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宋体"/>
          <w:b/>
          <w:bCs/>
          <w:kern w:val="0"/>
          <w:sz w:val="84"/>
          <w:szCs w:val="84"/>
        </w:rPr>
      </w:pPr>
    </w:p>
    <w:p>
      <w:pPr>
        <w:autoSpaceDE w:val="0"/>
        <w:autoSpaceDN w:val="0"/>
        <w:adjustRightInd w:val="0"/>
        <w:spacing w:line="360" w:lineRule="auto"/>
        <w:jc w:val="center"/>
        <w:rPr>
          <w:rFonts w:ascii="宋体" w:hAns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rPr>
          <w:rFonts w:ascii="宋体" w:hAnsi="宋体" w:cs="宋体"/>
          <w:kern w:val="0"/>
          <w:sz w:val="36"/>
          <w:szCs w:val="36"/>
          <w:u w:val="dotDash"/>
        </w:rPr>
      </w:pPr>
    </w:p>
    <w:p>
      <w:pPr>
        <w:autoSpaceDE w:val="0"/>
        <w:autoSpaceDN w:val="0"/>
        <w:adjustRightInd w:val="0"/>
        <w:spacing w:line="360" w:lineRule="auto"/>
        <w:jc w:val="left"/>
        <w:rPr>
          <w:rFonts w:hint="eastAsia" w:ascii="宋体" w:hAnsi="宋体" w:eastAsia="宋体" w:cs="宋体"/>
          <w:b/>
          <w:bCs/>
          <w:kern w:val="0"/>
          <w:sz w:val="36"/>
          <w:szCs w:val="36"/>
          <w:lang w:val="en-US" w:eastAsia="zh-CN"/>
        </w:rPr>
      </w:pPr>
      <w:r>
        <w:rPr>
          <w:rFonts w:hint="eastAsia" w:ascii="宋体" w:hAnsi="宋体" w:cs="宋体"/>
          <w:b/>
          <w:bCs/>
          <w:kern w:val="0"/>
          <w:sz w:val="36"/>
          <w:szCs w:val="36"/>
          <w:lang w:val="zh-CN"/>
        </w:rPr>
        <w:t>采购项目编号：青海璇锴公招（服务）2023-00</w:t>
      </w:r>
      <w:r>
        <w:rPr>
          <w:rFonts w:hint="eastAsia" w:ascii="宋体" w:hAnsi="宋体" w:cs="宋体"/>
          <w:b/>
          <w:bCs/>
          <w:kern w:val="0"/>
          <w:sz w:val="36"/>
          <w:szCs w:val="36"/>
          <w:lang w:val="en-US" w:eastAsia="zh-CN"/>
        </w:rPr>
        <w:t>8</w:t>
      </w:r>
    </w:p>
    <w:p>
      <w:pPr>
        <w:autoSpaceDE w:val="0"/>
        <w:autoSpaceDN w:val="0"/>
        <w:adjustRightInd w:val="0"/>
        <w:spacing w:line="360" w:lineRule="auto"/>
        <w:jc w:val="left"/>
        <w:rPr>
          <w:rFonts w:ascii="宋体" w:hAnsi="宋体" w:cs="宋体"/>
          <w:b/>
          <w:bCs/>
          <w:kern w:val="0"/>
          <w:sz w:val="36"/>
          <w:szCs w:val="36"/>
          <w:lang w:val="zh-CN"/>
        </w:rPr>
      </w:pPr>
      <w:r>
        <w:rPr>
          <w:rFonts w:hint="eastAsia" w:ascii="宋体" w:hAnsi="宋体" w:cs="宋体"/>
          <w:b/>
          <w:bCs/>
          <w:kern w:val="0"/>
          <w:sz w:val="36"/>
          <w:szCs w:val="36"/>
          <w:lang w:val="zh-CN"/>
        </w:rPr>
        <w:t>采购项目名称：都兰县自然资源统一确权登记项目</w:t>
      </w:r>
    </w:p>
    <w:p>
      <w:pPr>
        <w:autoSpaceDE w:val="0"/>
        <w:autoSpaceDN w:val="0"/>
        <w:adjustRightInd w:val="0"/>
        <w:spacing w:line="360" w:lineRule="auto"/>
        <w:jc w:val="left"/>
        <w:rPr>
          <w:rFonts w:ascii="宋体" w:hAnsi="宋体" w:cs="宋体"/>
          <w:b/>
          <w:bCs/>
          <w:kern w:val="0"/>
          <w:sz w:val="36"/>
          <w:szCs w:val="36"/>
          <w:lang w:val="zh-CN"/>
        </w:rPr>
      </w:pPr>
      <w:r>
        <w:rPr>
          <w:rFonts w:hint="eastAsia" w:ascii="宋体" w:hAnsi="宋体" w:cs="宋体"/>
          <w:b/>
          <w:bCs/>
          <w:kern w:val="0"/>
          <w:sz w:val="36"/>
          <w:szCs w:val="36"/>
          <w:lang w:val="zh-CN"/>
        </w:rPr>
        <w:t xml:space="preserve">采 </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 xml:space="preserve">购 </w:t>
      </w:r>
      <w:r>
        <w:rPr>
          <w:rFonts w:hint="eastAsia" w:ascii="宋体" w:hAnsi="宋体" w:cs="宋体"/>
          <w:b/>
          <w:bCs/>
          <w:kern w:val="0"/>
          <w:sz w:val="36"/>
          <w:szCs w:val="36"/>
          <w:lang w:val="en-US" w:eastAsia="zh-CN"/>
        </w:rPr>
        <w:t>单 位</w:t>
      </w:r>
      <w:r>
        <w:rPr>
          <w:rFonts w:hint="eastAsia" w:ascii="宋体" w:hAnsi="宋体" w:cs="宋体"/>
          <w:b/>
          <w:bCs/>
          <w:kern w:val="0"/>
          <w:sz w:val="36"/>
          <w:szCs w:val="36"/>
          <w:lang w:val="zh-CN"/>
        </w:rPr>
        <w:t>：都兰县自然资源局</w:t>
      </w:r>
    </w:p>
    <w:p>
      <w:pPr>
        <w:autoSpaceDE w:val="0"/>
        <w:autoSpaceDN w:val="0"/>
        <w:adjustRightInd w:val="0"/>
        <w:spacing w:line="360" w:lineRule="auto"/>
        <w:jc w:val="both"/>
        <w:rPr>
          <w:rFonts w:ascii="宋体" w:hAnsi="宋体" w:cs="宋体"/>
          <w:b/>
          <w:bCs/>
          <w:kern w:val="0"/>
          <w:sz w:val="28"/>
          <w:szCs w:val="28"/>
          <w:u w:val="single"/>
          <w:lang w:val="zh-CN"/>
        </w:rPr>
      </w:pPr>
      <w:r>
        <w:rPr>
          <w:rFonts w:hint="eastAsia" w:ascii="宋体" w:hAnsi="宋体" w:eastAsia="宋体" w:cs="宋体"/>
          <w:b/>
          <w:bCs/>
          <w:kern w:val="0"/>
          <w:sz w:val="36"/>
          <w:szCs w:val="36"/>
          <w:lang w:val="zh-CN"/>
        </w:rPr>
        <w:t>采购代理机构：</w:t>
      </w:r>
      <w:r>
        <w:rPr>
          <w:rFonts w:hint="eastAsia" w:ascii="宋体" w:hAnsi="宋体" w:cs="宋体"/>
          <w:b/>
          <w:bCs/>
          <w:kern w:val="0"/>
          <w:sz w:val="32"/>
          <w:szCs w:val="36"/>
          <w:lang w:val="zh-CN"/>
        </w:rPr>
        <w:t>青海璇锴工程项目管理有限公司</w:t>
      </w:r>
    </w:p>
    <w:p>
      <w:pPr>
        <w:autoSpaceDE w:val="0"/>
        <w:autoSpaceDN w:val="0"/>
        <w:adjustRightInd w:val="0"/>
        <w:spacing w:line="360" w:lineRule="auto"/>
        <w:jc w:val="center"/>
        <w:rPr>
          <w:rFonts w:ascii="宋体" w:hAnsi="Calibri" w:cs="宋体"/>
          <w:b/>
          <w:bCs/>
          <w:kern w:val="0"/>
          <w:sz w:val="32"/>
          <w:szCs w:val="36"/>
          <w:lang w:val="zh-CN"/>
        </w:rPr>
      </w:pPr>
      <w:r>
        <w:rPr>
          <w:rFonts w:hint="eastAsia" w:ascii="宋体" w:hAnsi="Calibri" w:cs="宋体"/>
          <w:b/>
          <w:bCs/>
          <w:kern w:val="0"/>
          <w:sz w:val="32"/>
          <w:szCs w:val="36"/>
          <w:lang w:val="zh-CN"/>
        </w:rPr>
        <w:t>202</w:t>
      </w:r>
      <w:r>
        <w:rPr>
          <w:rFonts w:hint="eastAsia" w:ascii="宋体" w:hAnsi="Calibri" w:cs="宋体"/>
          <w:b/>
          <w:bCs/>
          <w:kern w:val="0"/>
          <w:sz w:val="32"/>
          <w:szCs w:val="36"/>
          <w:lang w:val="en-US" w:eastAsia="zh-CN"/>
        </w:rPr>
        <w:t>3</w:t>
      </w:r>
      <w:r>
        <w:rPr>
          <w:rFonts w:hint="eastAsia" w:ascii="宋体" w:hAnsi="Calibri" w:cs="宋体"/>
          <w:b/>
          <w:bCs/>
          <w:kern w:val="0"/>
          <w:sz w:val="32"/>
          <w:szCs w:val="36"/>
          <w:lang w:val="zh-CN"/>
        </w:rPr>
        <w:t>年0</w:t>
      </w:r>
      <w:r>
        <w:rPr>
          <w:rFonts w:ascii="宋体" w:hAnsi="Calibri" w:cs="宋体"/>
          <w:b/>
          <w:bCs/>
          <w:kern w:val="0"/>
          <w:sz w:val="32"/>
          <w:szCs w:val="36"/>
        </w:rPr>
        <w:t>4</w:t>
      </w:r>
      <w:r>
        <w:rPr>
          <w:rFonts w:hint="eastAsia" w:ascii="宋体" w:hAnsi="Calibri" w:cs="宋体"/>
          <w:b/>
          <w:bCs/>
          <w:kern w:val="0"/>
          <w:sz w:val="32"/>
          <w:szCs w:val="36"/>
          <w:lang w:val="zh-CN"/>
        </w:rPr>
        <w:t>月</w:t>
      </w:r>
    </w:p>
    <w:p>
      <w:pPr>
        <w:autoSpaceDE w:val="0"/>
        <w:autoSpaceDN w:val="0"/>
        <w:adjustRightInd w:val="0"/>
        <w:spacing w:line="360" w:lineRule="auto"/>
        <w:rPr>
          <w:rFonts w:ascii="宋体" w:hAnsi="宋体" w:cs="宋体"/>
          <w:kern w:val="0"/>
          <w:sz w:val="36"/>
          <w:szCs w:val="36"/>
        </w:rPr>
      </w:pPr>
    </w:p>
    <w:p>
      <w:pPr>
        <w:autoSpaceDE w:val="0"/>
        <w:autoSpaceDN w:val="0"/>
        <w:adjustRightInd w:val="0"/>
        <w:spacing w:line="360" w:lineRule="auto"/>
        <w:rPr>
          <w:rFonts w:ascii="宋体" w:hAnsi="宋体" w:cs="宋体"/>
          <w:kern w:val="0"/>
          <w:sz w:val="36"/>
          <w:szCs w:val="36"/>
        </w:rPr>
      </w:pPr>
    </w:p>
    <w:p>
      <w:pPr>
        <w:pStyle w:val="2"/>
        <w:rPr>
          <w:rFonts w:ascii="宋体" w:hAnsi="宋体" w:cs="宋体"/>
          <w:kern w:val="0"/>
          <w:sz w:val="36"/>
          <w:szCs w:val="36"/>
        </w:rPr>
      </w:pPr>
    </w:p>
    <w:p>
      <w:pPr>
        <w:pStyle w:val="2"/>
        <w:rPr>
          <w:rFonts w:ascii="宋体" w:hAnsi="宋体" w:cs="宋体"/>
          <w:kern w:val="0"/>
          <w:sz w:val="36"/>
          <w:szCs w:val="36"/>
        </w:rPr>
      </w:pPr>
    </w:p>
    <w:p>
      <w:pPr>
        <w:pStyle w:val="2"/>
        <w:rPr>
          <w:rFonts w:ascii="宋体" w:hAnsi="宋体" w:cs="宋体"/>
          <w:kern w:val="0"/>
          <w:sz w:val="36"/>
          <w:szCs w:val="36"/>
        </w:rPr>
      </w:pPr>
    </w:p>
    <w:p>
      <w:pPr>
        <w:pStyle w:val="2"/>
        <w:rPr>
          <w:rFonts w:ascii="宋体" w:hAnsi="宋体" w:cs="宋体"/>
          <w:kern w:val="0"/>
          <w:sz w:val="36"/>
          <w:szCs w:val="36"/>
        </w:rPr>
      </w:pPr>
    </w:p>
    <w:p>
      <w:pPr>
        <w:pStyle w:val="2"/>
        <w:rPr>
          <w:rFonts w:ascii="宋体" w:hAnsi="宋体" w:cs="宋体"/>
          <w:kern w:val="0"/>
          <w:sz w:val="36"/>
          <w:szCs w:val="36"/>
        </w:rPr>
      </w:pPr>
    </w:p>
    <w:p>
      <w:pPr>
        <w:tabs>
          <w:tab w:val="left" w:pos="5149"/>
        </w:tabs>
        <w:adjustRightInd w:val="0"/>
        <w:spacing w:line="360" w:lineRule="auto"/>
        <w:jc w:val="center"/>
        <w:textAlignment w:val="baseline"/>
        <w:rPr>
          <w:rFonts w:ascii="宋体" w:hAnsi="宋体" w:cs="宋体"/>
          <w:b/>
          <w:sz w:val="40"/>
          <w:szCs w:val="30"/>
        </w:rPr>
      </w:pPr>
      <w:r>
        <w:rPr>
          <w:rFonts w:hint="eastAsia" w:ascii="宋体" w:hAnsi="宋体" w:cs="宋体"/>
          <w:b/>
          <w:sz w:val="40"/>
          <w:szCs w:val="30"/>
        </w:rPr>
        <w:t>目  录</w:t>
      </w:r>
    </w:p>
    <w:p>
      <w:pPr>
        <w:pStyle w:val="25"/>
        <w:tabs>
          <w:tab w:val="right" w:leader="dot" w:pos="8819"/>
        </w:tabs>
        <w:ind w:firstLine="420"/>
        <w:rPr>
          <w:rFonts w:asciiTheme="minorHAnsi" w:hAnsiTheme="minorHAnsi" w:eastAsiaTheme="minorEastAsia" w:cstheme="minorBidi"/>
          <w:b w:val="0"/>
          <w:bCs w:val="0"/>
          <w:caps w:val="0"/>
          <w:sz w:val="21"/>
          <w:szCs w:val="22"/>
        </w:rPr>
      </w:pPr>
      <w:r>
        <w:rPr>
          <w:rFonts w:hint="eastAsia" w:ascii="宋体" w:hAnsi="宋体" w:cs="宋体"/>
          <w:b w:val="0"/>
          <w:bCs w:val="0"/>
          <w:kern w:val="0"/>
          <w:sz w:val="21"/>
          <w:szCs w:val="21"/>
        </w:rPr>
        <w:fldChar w:fldCharType="begin"/>
      </w:r>
      <w:r>
        <w:rPr>
          <w:rStyle w:val="39"/>
          <w:rFonts w:hint="eastAsia" w:ascii="宋体" w:hAnsi="宋体" w:cs="宋体"/>
          <w:b w:val="0"/>
          <w:bCs w:val="0"/>
          <w:color w:val="auto"/>
          <w:kern w:val="0"/>
          <w:sz w:val="21"/>
          <w:szCs w:val="21"/>
        </w:rPr>
        <w:instrText xml:space="preserve"> TOC \o "3-3" \h \z \t "标题 1,2,标题 2,3,标题,1" </w:instrText>
      </w:r>
      <w:r>
        <w:rPr>
          <w:rFonts w:hint="eastAsia" w:ascii="宋体" w:hAnsi="宋体" w:cs="宋体"/>
          <w:b w:val="0"/>
          <w:bCs w:val="0"/>
          <w:kern w:val="0"/>
          <w:sz w:val="21"/>
          <w:szCs w:val="21"/>
        </w:rPr>
        <w:fldChar w:fldCharType="separate"/>
      </w:r>
      <w:r>
        <w:fldChar w:fldCharType="begin"/>
      </w:r>
      <w:r>
        <w:instrText xml:space="preserve"> HYPERLINK \l "_Toc78187902" </w:instrText>
      </w:r>
      <w:r>
        <w:fldChar w:fldCharType="separate"/>
      </w:r>
      <w:r>
        <w:rPr>
          <w:rStyle w:val="39"/>
          <w:rFonts w:ascii="宋体" w:hAnsi="宋体" w:cs="宋体"/>
          <w:lang w:val="zh-CN"/>
        </w:rPr>
        <w:t>第一部分  投标邀请</w:t>
      </w:r>
      <w:r>
        <w:tab/>
      </w:r>
      <w:r>
        <w:fldChar w:fldCharType="begin"/>
      </w:r>
      <w:r>
        <w:instrText xml:space="preserve"> PAGEREF _Toc78187902 \h </w:instrText>
      </w:r>
      <w:r>
        <w:fldChar w:fldCharType="separate"/>
      </w:r>
      <w:r>
        <w:t>5</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"_Toc78187903" </w:instrText>
      </w:r>
      <w:r>
        <w:fldChar w:fldCharType="separate"/>
      </w:r>
      <w:r>
        <w:rPr>
          <w:rStyle w:val="39"/>
          <w:rFonts w:ascii="宋体" w:hAnsi="宋体" w:cs="宋体"/>
          <w:lang w:val="zh-CN"/>
        </w:rPr>
        <w:t>第二部分  投标人须知</w:t>
      </w:r>
      <w:r>
        <w:tab/>
      </w:r>
      <w:r>
        <w:fldChar w:fldCharType="begin"/>
      </w:r>
      <w:r>
        <w:instrText xml:space="preserve"> PAGEREF _Toc78187903 \h </w:instrText>
      </w:r>
      <w:r>
        <w:fldChar w:fldCharType="separate"/>
      </w:r>
      <w:r>
        <w:t>8</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"_Toc78187904" </w:instrText>
      </w:r>
      <w:r>
        <w:fldChar w:fldCharType="separate"/>
      </w:r>
      <w:r>
        <w:rPr>
          <w:rStyle w:val="39"/>
          <w:rFonts w:ascii="宋体" w:hAnsi="宋体" w:cs="宋体"/>
          <w:lang w:val="zh-CN"/>
        </w:rPr>
        <w:t>一、说明</w:t>
      </w:r>
      <w:r>
        <w:tab/>
      </w:r>
      <w:r>
        <w:fldChar w:fldCharType="begin"/>
      </w:r>
      <w:r>
        <w:instrText xml:space="preserve"> PAGEREF _Toc78187904 \h </w:instrText>
      </w:r>
      <w:r>
        <w:fldChar w:fldCharType="separate"/>
      </w:r>
      <w:r>
        <w:t>8</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"_Toc78187905" </w:instrText>
      </w:r>
      <w:r>
        <w:fldChar w:fldCharType="separate"/>
      </w:r>
      <w:r>
        <w:rPr>
          <w:rStyle w:val="39"/>
          <w:rFonts w:ascii="宋体" w:hAnsi="宋体" w:cs="宋体"/>
          <w:lang w:val="zh-CN"/>
        </w:rPr>
        <w:t>1.适用范围</w:t>
      </w:r>
      <w:r>
        <w:tab/>
      </w:r>
      <w:r>
        <w:fldChar w:fldCharType="begin"/>
      </w:r>
      <w:r>
        <w:instrText xml:space="preserve"> PAGEREF _Toc78187905 \h </w:instrText>
      </w:r>
      <w:r>
        <w:fldChar w:fldCharType="separate"/>
      </w:r>
      <w:r>
        <w:t>8</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"_Toc78187906" </w:instrText>
      </w:r>
      <w:r>
        <w:fldChar w:fldCharType="separate"/>
      </w:r>
      <w:r>
        <w:rPr>
          <w:rStyle w:val="39"/>
          <w:rFonts w:ascii="宋体" w:hAnsi="宋体" w:cs="宋体"/>
          <w:lang w:val="zh-CN"/>
        </w:rPr>
        <w:t>2.采购方式、合格的投标人</w:t>
      </w:r>
      <w:r>
        <w:tab/>
      </w:r>
      <w:r>
        <w:fldChar w:fldCharType="begin"/>
      </w:r>
      <w:r>
        <w:instrText xml:space="preserve"> PAGEREF _Toc78187906 \h </w:instrText>
      </w:r>
      <w:r>
        <w:fldChar w:fldCharType="separate"/>
      </w:r>
      <w:r>
        <w:t>8</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"_Toc78187907" </w:instrText>
      </w:r>
      <w:r>
        <w:fldChar w:fldCharType="separate"/>
      </w:r>
      <w:r>
        <w:rPr>
          <w:rStyle w:val="39"/>
          <w:rFonts w:ascii="宋体" w:hAnsi="宋体" w:cs="宋体"/>
          <w:lang w:val="zh-CN"/>
        </w:rPr>
        <w:t>3.投标费用</w:t>
      </w:r>
      <w:r>
        <w:tab/>
      </w:r>
      <w:r>
        <w:fldChar w:fldCharType="begin"/>
      </w:r>
      <w:r>
        <w:instrText xml:space="preserve"> PAGEREF _Toc78187907 \h </w:instrText>
      </w:r>
      <w:r>
        <w:fldChar w:fldCharType="separate"/>
      </w:r>
      <w:r>
        <w:t>8</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"_Toc78187908" </w:instrText>
      </w:r>
      <w:r>
        <w:fldChar w:fldCharType="separate"/>
      </w:r>
      <w:r>
        <w:rPr>
          <w:rStyle w:val="39"/>
          <w:rFonts w:ascii="宋体" w:hAnsi="宋体" w:cs="宋体"/>
          <w:lang w:val="zh-CN"/>
        </w:rPr>
        <w:t>二、招标文件说明</w:t>
      </w:r>
      <w:r>
        <w:tab/>
      </w:r>
      <w:r>
        <w:fldChar w:fldCharType="begin"/>
      </w:r>
      <w:r>
        <w:instrText xml:space="preserve"> PAGEREF _Toc78187908 \h </w:instrText>
      </w:r>
      <w:r>
        <w:fldChar w:fldCharType="separate"/>
      </w:r>
      <w:r>
        <w:t>8</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"_Toc78187909" </w:instrText>
      </w:r>
      <w:r>
        <w:fldChar w:fldCharType="separate"/>
      </w:r>
      <w:r>
        <w:rPr>
          <w:rStyle w:val="39"/>
          <w:rFonts w:ascii="宋体" w:hAnsi="宋体" w:cs="宋体"/>
          <w:lang w:val="zh-CN"/>
        </w:rPr>
        <w:t>4.招标文件的构成</w:t>
      </w:r>
      <w:r>
        <w:tab/>
      </w:r>
      <w:r>
        <w:fldChar w:fldCharType="begin"/>
      </w:r>
      <w:r>
        <w:instrText xml:space="preserve"> PAGEREF _Toc78187909 \h </w:instrText>
      </w:r>
      <w:r>
        <w:fldChar w:fldCharType="separate"/>
      </w:r>
      <w:r>
        <w:t>8</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"_Toc78187910" </w:instrText>
      </w:r>
      <w:r>
        <w:fldChar w:fldCharType="separate"/>
      </w:r>
      <w:r>
        <w:rPr>
          <w:rStyle w:val="39"/>
          <w:rFonts w:ascii="宋体" w:hAnsi="宋体" w:cs="宋体"/>
          <w:lang w:val="zh-CN"/>
        </w:rPr>
        <w:t>5.招标文件、采购活动和中标结果的质疑</w:t>
      </w:r>
      <w:r>
        <w:tab/>
      </w:r>
      <w:r>
        <w:fldChar w:fldCharType="begin"/>
      </w:r>
      <w:r>
        <w:instrText xml:space="preserve"> PAGEREF _Toc78187910 \h </w:instrText>
      </w:r>
      <w:r>
        <w:fldChar w:fldCharType="separate"/>
      </w:r>
      <w:r>
        <w:t>8</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"_Toc78187911" </w:instrText>
      </w:r>
      <w:r>
        <w:fldChar w:fldCharType="separate"/>
      </w:r>
      <w:r>
        <w:rPr>
          <w:rStyle w:val="39"/>
          <w:rFonts w:ascii="宋体" w:hAnsi="宋体" w:cs="宋体"/>
          <w:lang w:val="zh-CN"/>
        </w:rPr>
        <w:t>6.招标文件的澄清或修改</w:t>
      </w:r>
      <w:r>
        <w:tab/>
      </w:r>
      <w:r>
        <w:fldChar w:fldCharType="begin"/>
      </w:r>
      <w:r>
        <w:instrText xml:space="preserve"> PAGEREF _Toc78187911 \h </w:instrText>
      </w:r>
      <w:r>
        <w:fldChar w:fldCharType="separate"/>
      </w:r>
      <w:r>
        <w:t>9</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"_Toc78187912" </w:instrText>
      </w:r>
      <w:r>
        <w:fldChar w:fldCharType="separate"/>
      </w:r>
      <w:r>
        <w:rPr>
          <w:rStyle w:val="39"/>
          <w:rFonts w:ascii="宋体" w:hAnsi="宋体" w:cs="宋体"/>
          <w:lang w:val="zh-CN"/>
        </w:rPr>
        <w:t>三、投标文件的编制</w:t>
      </w:r>
      <w:r>
        <w:tab/>
      </w:r>
      <w:r>
        <w:fldChar w:fldCharType="begin"/>
      </w:r>
      <w:r>
        <w:instrText xml:space="preserve"> PAGEREF _Toc78187912 \h </w:instrText>
      </w:r>
      <w:r>
        <w:fldChar w:fldCharType="separate"/>
      </w:r>
      <w:r>
        <w:t>9</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"_Toc78187913" </w:instrText>
      </w:r>
      <w:r>
        <w:fldChar w:fldCharType="separate"/>
      </w:r>
      <w:r>
        <w:rPr>
          <w:rStyle w:val="39"/>
          <w:rFonts w:ascii="宋体" w:hAnsi="宋体" w:cs="宋体"/>
          <w:lang w:val="zh-CN"/>
        </w:rPr>
        <w:t>7.投标文件的语言及度量衡单位</w:t>
      </w:r>
      <w:r>
        <w:tab/>
      </w:r>
      <w:r>
        <w:fldChar w:fldCharType="begin"/>
      </w:r>
      <w:r>
        <w:instrText xml:space="preserve"> PAGEREF _Toc78187913 \h </w:instrText>
      </w:r>
      <w:r>
        <w:fldChar w:fldCharType="separate"/>
      </w:r>
      <w:r>
        <w:t>9</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"_Toc78187914" </w:instrText>
      </w:r>
      <w:r>
        <w:fldChar w:fldCharType="separate"/>
      </w:r>
      <w:r>
        <w:rPr>
          <w:rStyle w:val="39"/>
          <w:rFonts w:ascii="宋体" w:hAnsi="宋体" w:cs="宋体"/>
          <w:lang w:val="zh-CN"/>
        </w:rPr>
        <w:t>8.投标报价及币种</w:t>
      </w:r>
      <w:r>
        <w:tab/>
      </w:r>
      <w:r>
        <w:fldChar w:fldCharType="begin"/>
      </w:r>
      <w:r>
        <w:instrText xml:space="preserve"> PAGEREF _Toc78187914 \h </w:instrText>
      </w:r>
      <w:r>
        <w:fldChar w:fldCharType="separate"/>
      </w:r>
      <w:r>
        <w:t>10</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"_Toc78187915" </w:instrText>
      </w:r>
      <w:r>
        <w:fldChar w:fldCharType="separate"/>
      </w:r>
      <w:r>
        <w:rPr>
          <w:rStyle w:val="39"/>
          <w:rFonts w:ascii="宋体" w:hAnsi="宋体" w:cs="宋体"/>
          <w:lang w:val="zh-CN"/>
        </w:rPr>
        <w:t>9.投标保证金</w:t>
      </w:r>
      <w:r>
        <w:tab/>
      </w:r>
      <w:r>
        <w:fldChar w:fldCharType="begin"/>
      </w:r>
      <w:r>
        <w:instrText xml:space="preserve"> PAGEREF _Toc78187915 \h </w:instrText>
      </w:r>
      <w:r>
        <w:fldChar w:fldCharType="separate"/>
      </w:r>
      <w:r>
        <w:t>10</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"_Toc78187916" </w:instrText>
      </w:r>
      <w:r>
        <w:fldChar w:fldCharType="separate"/>
      </w:r>
      <w:r>
        <w:rPr>
          <w:rStyle w:val="39"/>
          <w:rFonts w:ascii="宋体" w:hAnsi="宋体" w:cs="宋体"/>
          <w:lang w:val="zh-CN"/>
        </w:rPr>
        <w:t>10.投标有效期</w:t>
      </w:r>
      <w:r>
        <w:tab/>
      </w:r>
      <w:r>
        <w:fldChar w:fldCharType="begin"/>
      </w:r>
      <w:r>
        <w:instrText xml:space="preserve"> PAGEREF _Toc78187916 \h </w:instrText>
      </w:r>
      <w:r>
        <w:fldChar w:fldCharType="separate"/>
      </w:r>
      <w:r>
        <w:t>10</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"_Toc78187917" </w:instrText>
      </w:r>
      <w:r>
        <w:fldChar w:fldCharType="separate"/>
      </w:r>
      <w:r>
        <w:rPr>
          <w:rStyle w:val="39"/>
          <w:rFonts w:ascii="宋体" w:hAnsi="宋体" w:cs="宋体"/>
          <w:lang w:val="zh-CN"/>
        </w:rPr>
        <w:t>11.投标文件构成</w:t>
      </w:r>
      <w:r>
        <w:tab/>
      </w:r>
      <w:r>
        <w:fldChar w:fldCharType="begin"/>
      </w:r>
      <w:r>
        <w:instrText xml:space="preserve"> PAGEREF _Toc78187917 \h </w:instrText>
      </w:r>
      <w:r>
        <w:fldChar w:fldCharType="separate"/>
      </w:r>
      <w:r>
        <w:t>11</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"_Toc78187918" </w:instrText>
      </w:r>
      <w:r>
        <w:fldChar w:fldCharType="separate"/>
      </w:r>
      <w:r>
        <w:rPr>
          <w:rStyle w:val="39"/>
          <w:rFonts w:ascii="宋体" w:hAnsi="宋体" w:cs="宋体"/>
          <w:lang w:val="zh-CN"/>
        </w:rPr>
        <w:t>12.投标文件的编制要求</w:t>
      </w:r>
      <w:r>
        <w:tab/>
      </w:r>
      <w:r>
        <w:fldChar w:fldCharType="begin"/>
      </w:r>
      <w:r>
        <w:instrText xml:space="preserve"> PAGEREF _Toc78187918 \h </w:instrText>
      </w:r>
      <w:r>
        <w:fldChar w:fldCharType="separate"/>
      </w:r>
      <w:r>
        <w:t>11</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"_Toc78187919" </w:instrText>
      </w:r>
      <w:r>
        <w:fldChar w:fldCharType="separate"/>
      </w:r>
      <w:r>
        <w:rPr>
          <w:rStyle w:val="39"/>
          <w:rFonts w:ascii="宋体" w:hAnsi="宋体" w:cs="宋体"/>
          <w:lang w:val="zh-CN"/>
        </w:rPr>
        <w:t>四、投标文件的提交</w:t>
      </w:r>
      <w:r>
        <w:tab/>
      </w:r>
      <w:r>
        <w:fldChar w:fldCharType="begin"/>
      </w:r>
      <w:r>
        <w:instrText xml:space="preserve"> PAGEREF _Toc78187919 \h </w:instrText>
      </w:r>
      <w:r>
        <w:fldChar w:fldCharType="separate"/>
      </w:r>
      <w:r>
        <w:t>12</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"_Toc78187920" </w:instrText>
      </w:r>
      <w:r>
        <w:fldChar w:fldCharType="separate"/>
      </w:r>
      <w:r>
        <w:rPr>
          <w:rStyle w:val="39"/>
          <w:rFonts w:ascii="宋体" w:hAnsi="宋体" w:cs="宋体"/>
          <w:lang w:val="zh-CN"/>
        </w:rPr>
        <w:t>13.投标文件的密封和标记</w:t>
      </w:r>
      <w:r>
        <w:tab/>
      </w:r>
      <w:r>
        <w:fldChar w:fldCharType="begin"/>
      </w:r>
      <w:r>
        <w:instrText xml:space="preserve"> PAGEREF _Toc78187920 \h </w:instrText>
      </w:r>
      <w:r>
        <w:fldChar w:fldCharType="separate"/>
      </w:r>
      <w:r>
        <w:t>12</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"_Toc78187921" </w:instrText>
      </w:r>
      <w:r>
        <w:fldChar w:fldCharType="separate"/>
      </w:r>
      <w:r>
        <w:rPr>
          <w:rStyle w:val="39"/>
          <w:rFonts w:ascii="宋体" w:hAnsi="宋体" w:cs="宋体"/>
          <w:lang w:val="zh-CN"/>
        </w:rPr>
        <w:t>14.提交投标文件的时间、地点、方式</w:t>
      </w:r>
      <w:r>
        <w:tab/>
      </w:r>
      <w:r>
        <w:fldChar w:fldCharType="begin"/>
      </w:r>
      <w:r>
        <w:instrText xml:space="preserve"> PAGEREF _Toc78187921 \h </w:instrText>
      </w:r>
      <w:r>
        <w:fldChar w:fldCharType="separate"/>
      </w:r>
      <w:r>
        <w:t>12</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"_Toc78187922" </w:instrText>
      </w:r>
      <w:r>
        <w:fldChar w:fldCharType="separate"/>
      </w:r>
      <w:r>
        <w:rPr>
          <w:rStyle w:val="39"/>
          <w:rFonts w:ascii="宋体" w:hAnsi="宋体" w:cs="宋体"/>
          <w:lang w:val="zh-CN"/>
        </w:rPr>
        <w:t>15.投标文件的补充、修改或者撤回</w:t>
      </w:r>
      <w:r>
        <w:tab/>
      </w:r>
      <w:r>
        <w:fldChar w:fldCharType="begin"/>
      </w:r>
      <w:r>
        <w:instrText xml:space="preserve"> PAGEREF _Toc78187922 \h </w:instrText>
      </w:r>
      <w:r>
        <w:fldChar w:fldCharType="separate"/>
      </w:r>
      <w:r>
        <w:t>13</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"_Toc78187923" </w:instrText>
      </w:r>
      <w:r>
        <w:fldChar w:fldCharType="separate"/>
      </w:r>
      <w:r>
        <w:rPr>
          <w:rStyle w:val="39"/>
          <w:rFonts w:ascii="宋体" w:hAnsi="宋体" w:cs="宋体"/>
          <w:lang w:val="zh-CN"/>
        </w:rPr>
        <w:t>五、开标</w:t>
      </w:r>
      <w:r>
        <w:tab/>
      </w:r>
      <w:r>
        <w:fldChar w:fldCharType="begin"/>
      </w:r>
      <w:r>
        <w:instrText xml:space="preserve"> PAGEREF _Toc78187923 \h </w:instrText>
      </w:r>
      <w:r>
        <w:fldChar w:fldCharType="separate"/>
      </w:r>
      <w:r>
        <w:t>13</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"_Toc78187924" </w:instrText>
      </w:r>
      <w:r>
        <w:fldChar w:fldCharType="separate"/>
      </w:r>
      <w:r>
        <w:rPr>
          <w:rStyle w:val="39"/>
          <w:rFonts w:ascii="宋体" w:hAnsi="宋体" w:cs="宋体"/>
          <w:lang w:val="zh-CN"/>
        </w:rPr>
        <w:t>16.开标</w:t>
      </w:r>
      <w:r>
        <w:tab/>
      </w:r>
      <w:r>
        <w:fldChar w:fldCharType="begin"/>
      </w:r>
      <w:r>
        <w:instrText xml:space="preserve"> PAGEREF _Toc78187924 \h </w:instrText>
      </w:r>
      <w:r>
        <w:fldChar w:fldCharType="separate"/>
      </w:r>
      <w:r>
        <w:t>13</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"_Toc78187925" </w:instrText>
      </w:r>
      <w:r>
        <w:fldChar w:fldCharType="separate"/>
      </w:r>
      <w:r>
        <w:rPr>
          <w:rStyle w:val="39"/>
          <w:rFonts w:ascii="宋体" w:hAnsi="宋体" w:cs="宋体"/>
          <w:kern w:val="0"/>
        </w:rPr>
        <w:t>六、资格</w:t>
      </w:r>
      <w:r>
        <w:rPr>
          <w:rStyle w:val="39"/>
          <w:rFonts w:ascii="宋体" w:hAnsi="宋体" w:cs="宋体"/>
          <w:lang w:val="zh-CN"/>
        </w:rPr>
        <w:t>审查</w:t>
      </w:r>
      <w:r>
        <w:rPr>
          <w:rStyle w:val="39"/>
          <w:rFonts w:ascii="宋体" w:hAnsi="宋体" w:cs="宋体"/>
          <w:kern w:val="0"/>
        </w:rPr>
        <w:t>程序</w:t>
      </w:r>
      <w:r>
        <w:tab/>
      </w:r>
      <w:r>
        <w:fldChar w:fldCharType="begin"/>
      </w:r>
      <w:r>
        <w:instrText xml:space="preserve"> PAGEREF _Toc78187925 \h </w:instrText>
      </w:r>
      <w:r>
        <w:fldChar w:fldCharType="separate"/>
      </w:r>
      <w:r>
        <w:t>13</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"_Toc78187926" </w:instrText>
      </w:r>
      <w:r>
        <w:fldChar w:fldCharType="separate"/>
      </w:r>
      <w:r>
        <w:rPr>
          <w:rStyle w:val="39"/>
          <w:rFonts w:ascii="宋体" w:hAnsi="宋体" w:cs="宋体"/>
        </w:rPr>
        <w:t>17.资格审查</w:t>
      </w:r>
      <w:r>
        <w:tab/>
      </w:r>
      <w:r>
        <w:fldChar w:fldCharType="begin"/>
      </w:r>
      <w:r>
        <w:instrText xml:space="preserve"> PAGEREF _Toc78187926 \h </w:instrText>
      </w:r>
      <w:r>
        <w:fldChar w:fldCharType="separate"/>
      </w:r>
      <w:r>
        <w:t>13</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"_Toc78187927" </w:instrText>
      </w:r>
      <w:r>
        <w:fldChar w:fldCharType="separate"/>
      </w:r>
      <w:r>
        <w:rPr>
          <w:rStyle w:val="39"/>
          <w:rFonts w:ascii="宋体" w:hAnsi="宋体" w:cs="宋体"/>
          <w:lang w:val="zh-CN"/>
        </w:rPr>
        <w:t>七、评审程序及方法</w:t>
      </w:r>
      <w:r>
        <w:tab/>
      </w:r>
      <w:r>
        <w:fldChar w:fldCharType="begin"/>
      </w:r>
      <w:r>
        <w:instrText xml:space="preserve"> PAGEREF _Toc78187927 \h </w:instrText>
      </w:r>
      <w:r>
        <w:fldChar w:fldCharType="separate"/>
      </w:r>
      <w:r>
        <w:t>14</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"_Toc78187928" </w:instrText>
      </w:r>
      <w:r>
        <w:fldChar w:fldCharType="separate"/>
      </w:r>
      <w:r>
        <w:rPr>
          <w:rStyle w:val="39"/>
          <w:rFonts w:ascii="宋体" w:hAnsi="宋体" w:cs="宋体"/>
          <w:lang w:val="zh-CN"/>
        </w:rPr>
        <w:t>1</w:t>
      </w:r>
      <w:r>
        <w:rPr>
          <w:rStyle w:val="39"/>
          <w:rFonts w:ascii="宋体" w:hAnsi="宋体" w:cs="宋体"/>
        </w:rPr>
        <w:t>8</w:t>
      </w:r>
      <w:r>
        <w:rPr>
          <w:rStyle w:val="39"/>
          <w:rFonts w:ascii="宋体" w:hAnsi="宋体" w:cs="宋体"/>
          <w:lang w:val="zh-CN"/>
        </w:rPr>
        <w:t>.评标委员会</w:t>
      </w:r>
      <w:r>
        <w:tab/>
      </w:r>
      <w:r>
        <w:fldChar w:fldCharType="begin"/>
      </w:r>
      <w:r>
        <w:instrText xml:space="preserve"> PAGEREF _Toc78187928 \h </w:instrText>
      </w:r>
      <w:r>
        <w:fldChar w:fldCharType="separate"/>
      </w:r>
      <w:r>
        <w:t>14</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"_Toc78187929" </w:instrText>
      </w:r>
      <w:r>
        <w:fldChar w:fldCharType="separate"/>
      </w:r>
      <w:r>
        <w:rPr>
          <w:rStyle w:val="39"/>
          <w:rFonts w:ascii="宋体" w:hAnsi="宋体" w:cs="宋体"/>
        </w:rPr>
        <w:t>19</w:t>
      </w:r>
      <w:r>
        <w:rPr>
          <w:rStyle w:val="39"/>
          <w:rFonts w:ascii="宋体" w:hAnsi="宋体" w:cs="宋体"/>
          <w:lang w:val="zh-CN"/>
        </w:rPr>
        <w:t>.评审工作程序</w:t>
      </w:r>
      <w:r>
        <w:tab/>
      </w:r>
      <w:r>
        <w:fldChar w:fldCharType="begin"/>
      </w:r>
      <w:r>
        <w:instrText xml:space="preserve"> PAGEREF _Toc78187929 \h </w:instrText>
      </w:r>
      <w:r>
        <w:fldChar w:fldCharType="separate"/>
      </w:r>
      <w:r>
        <w:t>16</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"_Toc78187930" </w:instrText>
      </w:r>
      <w:r>
        <w:fldChar w:fldCharType="separate"/>
      </w:r>
      <w:r>
        <w:rPr>
          <w:rStyle w:val="39"/>
          <w:rFonts w:ascii="宋体" w:hAnsi="宋体" w:cs="宋体"/>
        </w:rPr>
        <w:t>20</w:t>
      </w:r>
      <w:r>
        <w:rPr>
          <w:rStyle w:val="39"/>
          <w:rFonts w:ascii="宋体" w:hAnsi="宋体" w:cs="宋体"/>
          <w:lang w:val="zh-CN"/>
        </w:rPr>
        <w:t>.评审方法和标准</w:t>
      </w:r>
      <w:r>
        <w:tab/>
      </w:r>
      <w:r>
        <w:fldChar w:fldCharType="begin"/>
      </w:r>
      <w:r>
        <w:instrText xml:space="preserve"> PAGEREF _Toc78187930 \h </w:instrText>
      </w:r>
      <w:r>
        <w:fldChar w:fldCharType="separate"/>
      </w:r>
      <w:r>
        <w:t>18</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"_Toc78187931" </w:instrText>
      </w:r>
      <w:r>
        <w:fldChar w:fldCharType="separate"/>
      </w:r>
      <w:r>
        <w:rPr>
          <w:rStyle w:val="39"/>
          <w:rFonts w:ascii="宋体" w:hAnsi="宋体" w:cs="宋体"/>
          <w:lang w:val="zh-CN"/>
        </w:rPr>
        <w:t>八、中标</w:t>
      </w:r>
      <w:r>
        <w:tab/>
      </w:r>
      <w:r>
        <w:fldChar w:fldCharType="begin"/>
      </w:r>
      <w:r>
        <w:instrText xml:space="preserve"> PAGEREF _Toc78187931 \h </w:instrText>
      </w:r>
      <w:r>
        <w:fldChar w:fldCharType="separate"/>
      </w:r>
      <w:r>
        <w:t>21</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"_Toc78187932" </w:instrText>
      </w:r>
      <w:r>
        <w:fldChar w:fldCharType="separate"/>
      </w:r>
      <w:r>
        <w:rPr>
          <w:rStyle w:val="39"/>
          <w:rFonts w:ascii="宋体" w:hAnsi="宋体" w:cs="宋体"/>
          <w:lang w:val="zh-CN"/>
        </w:rPr>
        <w:t>2</w:t>
      </w:r>
      <w:r>
        <w:rPr>
          <w:rStyle w:val="39"/>
          <w:rFonts w:ascii="宋体" w:hAnsi="宋体" w:cs="宋体"/>
        </w:rPr>
        <w:t>1</w:t>
      </w:r>
      <w:r>
        <w:rPr>
          <w:rStyle w:val="39"/>
          <w:rFonts w:ascii="宋体" w:hAnsi="宋体" w:cs="宋体"/>
          <w:lang w:val="zh-CN"/>
        </w:rPr>
        <w:t>.推荐并确定中标人</w:t>
      </w:r>
      <w:r>
        <w:tab/>
      </w:r>
      <w:r>
        <w:fldChar w:fldCharType="begin"/>
      </w:r>
      <w:r>
        <w:instrText xml:space="preserve"> PAGEREF _Toc78187932 \h </w:instrText>
      </w:r>
      <w:r>
        <w:fldChar w:fldCharType="separate"/>
      </w:r>
      <w:r>
        <w:t>21</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"_Toc78187933" </w:instrText>
      </w:r>
      <w:r>
        <w:fldChar w:fldCharType="separate"/>
      </w:r>
      <w:r>
        <w:rPr>
          <w:rStyle w:val="39"/>
          <w:rFonts w:ascii="宋体" w:hAnsi="宋体" w:cs="宋体"/>
          <w:lang w:val="zh-CN"/>
        </w:rPr>
        <w:t>2</w:t>
      </w:r>
      <w:r>
        <w:rPr>
          <w:rStyle w:val="39"/>
          <w:rFonts w:ascii="宋体" w:hAnsi="宋体" w:cs="宋体"/>
        </w:rPr>
        <w:t>2</w:t>
      </w:r>
      <w:r>
        <w:rPr>
          <w:rStyle w:val="39"/>
          <w:rFonts w:ascii="宋体" w:hAnsi="宋体" w:cs="宋体"/>
          <w:lang w:val="zh-CN"/>
        </w:rPr>
        <w:t>.中标通知</w:t>
      </w:r>
      <w:r>
        <w:tab/>
      </w:r>
      <w:r>
        <w:fldChar w:fldCharType="begin"/>
      </w:r>
      <w:r>
        <w:instrText xml:space="preserve"> PAGEREF _Toc78187933 \h </w:instrText>
      </w:r>
      <w:r>
        <w:fldChar w:fldCharType="separate"/>
      </w:r>
      <w:r>
        <w:t>21</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"_Toc78187934" </w:instrText>
      </w:r>
      <w:r>
        <w:fldChar w:fldCharType="separate"/>
      </w:r>
      <w:r>
        <w:rPr>
          <w:rStyle w:val="39"/>
          <w:rFonts w:ascii="宋体" w:hAnsi="宋体" w:cs="宋体"/>
          <w:lang w:val="zh-CN"/>
        </w:rPr>
        <w:t>九、授予合同</w:t>
      </w:r>
      <w:r>
        <w:tab/>
      </w:r>
      <w:r>
        <w:fldChar w:fldCharType="begin"/>
      </w:r>
      <w:r>
        <w:instrText xml:space="preserve"> PAGEREF _Toc78187934 \h </w:instrText>
      </w:r>
      <w:r>
        <w:fldChar w:fldCharType="separate"/>
      </w:r>
      <w:r>
        <w:t>22</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"_Toc78187935" </w:instrText>
      </w:r>
      <w:r>
        <w:fldChar w:fldCharType="separate"/>
      </w:r>
      <w:r>
        <w:rPr>
          <w:rStyle w:val="39"/>
          <w:rFonts w:ascii="宋体" w:hAnsi="宋体" w:cs="宋体"/>
          <w:lang w:val="zh-CN"/>
        </w:rPr>
        <w:t>2</w:t>
      </w:r>
      <w:r>
        <w:rPr>
          <w:rStyle w:val="39"/>
          <w:rFonts w:ascii="宋体" w:hAnsi="宋体" w:cs="宋体"/>
        </w:rPr>
        <w:t>3</w:t>
      </w:r>
      <w:r>
        <w:rPr>
          <w:rStyle w:val="39"/>
          <w:rFonts w:ascii="宋体" w:hAnsi="宋体" w:cs="宋体"/>
          <w:lang w:val="zh-CN"/>
        </w:rPr>
        <w:t>.签订合同</w:t>
      </w:r>
      <w:r>
        <w:tab/>
      </w:r>
      <w:r>
        <w:fldChar w:fldCharType="begin"/>
      </w:r>
      <w:r>
        <w:instrText xml:space="preserve"> PAGEREF _Toc78187935 \h </w:instrText>
      </w:r>
      <w:r>
        <w:fldChar w:fldCharType="separate"/>
      </w:r>
      <w:r>
        <w:t>22</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"_Toc78187936" </w:instrText>
      </w:r>
      <w:r>
        <w:fldChar w:fldCharType="separate"/>
      </w:r>
      <w:r>
        <w:rPr>
          <w:rStyle w:val="39"/>
          <w:rFonts w:ascii="宋体" w:hAnsi="宋体" w:cs="宋体"/>
          <w:lang w:val="zh-CN"/>
        </w:rPr>
        <w:t>十、其他</w:t>
      </w:r>
      <w:r>
        <w:tab/>
      </w:r>
      <w:r>
        <w:fldChar w:fldCharType="begin"/>
      </w:r>
      <w:r>
        <w:instrText xml:space="preserve"> PAGEREF _Toc78187936 \h </w:instrText>
      </w:r>
      <w:r>
        <w:fldChar w:fldCharType="separate"/>
      </w:r>
      <w:r>
        <w:t>23</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"_Toc78187937" </w:instrText>
      </w:r>
      <w:r>
        <w:fldChar w:fldCharType="separate"/>
      </w:r>
      <w:r>
        <w:rPr>
          <w:rStyle w:val="39"/>
          <w:rFonts w:ascii="宋体" w:hAnsi="宋体" w:cs="宋体"/>
        </w:rPr>
        <w:t>24. 串通投标的情形</w:t>
      </w:r>
      <w:r>
        <w:tab/>
      </w:r>
      <w:r>
        <w:fldChar w:fldCharType="begin"/>
      </w:r>
      <w:r>
        <w:instrText xml:space="preserve"> PAGEREF _Toc78187937 \h </w:instrText>
      </w:r>
      <w:r>
        <w:fldChar w:fldCharType="separate"/>
      </w:r>
      <w:r>
        <w:t>23</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"_Toc78187938" </w:instrText>
      </w:r>
      <w:r>
        <w:fldChar w:fldCharType="separate"/>
      </w:r>
      <w:r>
        <w:rPr>
          <w:rStyle w:val="39"/>
          <w:rFonts w:ascii="宋体" w:hAnsi="宋体" w:cs="宋体"/>
        </w:rPr>
        <w:t>25. 废标</w:t>
      </w:r>
      <w:r>
        <w:tab/>
      </w:r>
      <w:r>
        <w:fldChar w:fldCharType="begin"/>
      </w:r>
      <w:r>
        <w:instrText xml:space="preserve"> PAGEREF _Toc78187938 \h </w:instrText>
      </w:r>
      <w:r>
        <w:fldChar w:fldCharType="separate"/>
      </w:r>
      <w:r>
        <w:t>23</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"_Toc78187939" </w:instrText>
      </w:r>
      <w:r>
        <w:fldChar w:fldCharType="separate"/>
      </w:r>
      <w:r>
        <w:rPr>
          <w:rStyle w:val="39"/>
          <w:rFonts w:ascii="宋体" w:hAnsi="宋体" w:cs="宋体"/>
        </w:rPr>
        <w:t>26. 中标服务费</w:t>
      </w:r>
      <w:r>
        <w:tab/>
      </w:r>
      <w:r>
        <w:fldChar w:fldCharType="begin"/>
      </w:r>
      <w:r>
        <w:instrText xml:space="preserve"> PAGEREF _Toc78187939 \h </w:instrText>
      </w:r>
      <w:r>
        <w:fldChar w:fldCharType="separate"/>
      </w:r>
      <w:r>
        <w:t>24</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"_Toc78187940" </w:instrText>
      </w:r>
      <w:r>
        <w:fldChar w:fldCharType="separate"/>
      </w:r>
      <w:r>
        <w:rPr>
          <w:rStyle w:val="39"/>
          <w:rFonts w:ascii="宋体" w:hAnsi="宋体" w:cs="宋体"/>
          <w:lang w:val="zh-CN"/>
        </w:rPr>
        <w:t>第三部分 青海省政府采购项目合同书范本</w:t>
      </w:r>
      <w:r>
        <w:tab/>
      </w:r>
      <w:r>
        <w:fldChar w:fldCharType="begin"/>
      </w:r>
      <w:r>
        <w:instrText xml:space="preserve"> PAGEREF _Toc78187940 \h </w:instrText>
      </w:r>
      <w:r>
        <w:fldChar w:fldCharType="separate"/>
      </w:r>
      <w:r>
        <w:t>25</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"_Toc78187941" </w:instrText>
      </w:r>
      <w:r>
        <w:fldChar w:fldCharType="separate"/>
      </w:r>
      <w:r>
        <w:rPr>
          <w:rStyle w:val="39"/>
          <w:rFonts w:ascii="宋体" w:hAnsi="宋体" w:cs="宋体"/>
          <w:lang w:val="zh-CN"/>
        </w:rPr>
        <w:t>第四部分  投标文件格式</w:t>
      </w:r>
      <w:r>
        <w:tab/>
      </w:r>
      <w:r>
        <w:fldChar w:fldCharType="begin"/>
      </w:r>
      <w:r>
        <w:instrText xml:space="preserve"> PAGEREF _Toc78187941 \h </w:instrText>
      </w:r>
      <w:r>
        <w:fldChar w:fldCharType="separate"/>
      </w:r>
      <w:r>
        <w:t>29</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"_Toc78187942" </w:instrText>
      </w:r>
      <w:r>
        <w:fldChar w:fldCharType="separate"/>
      </w:r>
      <w:r>
        <w:rPr>
          <w:rStyle w:val="39"/>
          <w:rFonts w:ascii="宋体" w:hAnsi="宋体" w:cs="宋体"/>
          <w:lang w:val="zh-CN"/>
        </w:rPr>
        <w:t>封面（上册）</w:t>
      </w:r>
      <w:r>
        <w:tab/>
      </w:r>
      <w:r>
        <w:fldChar w:fldCharType="begin"/>
      </w:r>
      <w:r>
        <w:instrText xml:space="preserve"> PAGEREF _Toc78187942 \h </w:instrText>
      </w:r>
      <w:r>
        <w:fldChar w:fldCharType="separate"/>
      </w:r>
      <w:r>
        <w:t>29</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"_Toc78187943" </w:instrText>
      </w:r>
      <w:r>
        <w:fldChar w:fldCharType="separate"/>
      </w:r>
      <w:r>
        <w:rPr>
          <w:rStyle w:val="39"/>
          <w:rFonts w:ascii="宋体" w:hAnsi="宋体" w:cs="宋体"/>
          <w:lang w:val="zh-CN"/>
        </w:rPr>
        <w:t>目录（上册）</w:t>
      </w:r>
      <w:r>
        <w:tab/>
      </w:r>
      <w:r>
        <w:fldChar w:fldCharType="begin"/>
      </w:r>
      <w:r>
        <w:instrText xml:space="preserve"> PAGEREF _Toc78187943 \h </w:instrText>
      </w:r>
      <w:r>
        <w:fldChar w:fldCharType="separate"/>
      </w:r>
      <w:r>
        <w:t>30</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"_Toc78187944" </w:instrText>
      </w:r>
      <w:r>
        <w:fldChar w:fldCharType="separate"/>
      </w:r>
      <w:r>
        <w:rPr>
          <w:rStyle w:val="39"/>
          <w:rFonts w:ascii="宋体" w:hAnsi="宋体" w:cs="宋体"/>
        </w:rPr>
        <w:t>（1）</w:t>
      </w:r>
      <w:r>
        <w:rPr>
          <w:rStyle w:val="39"/>
          <w:rFonts w:ascii="宋体" w:hAnsi="宋体" w:cs="宋体"/>
          <w:lang w:val="zh-CN"/>
        </w:rPr>
        <w:t>投标函</w:t>
      </w:r>
      <w:r>
        <w:tab/>
      </w:r>
      <w:r>
        <w:fldChar w:fldCharType="begin"/>
      </w:r>
      <w:r>
        <w:instrText xml:space="preserve"> PAGEREF _Toc78187944 \h </w:instrText>
      </w:r>
      <w:r>
        <w:fldChar w:fldCharType="separate"/>
      </w:r>
      <w:r>
        <w:t>31</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"_Toc78187945" </w:instrText>
      </w:r>
      <w:r>
        <w:fldChar w:fldCharType="separate"/>
      </w:r>
      <w:r>
        <w:rPr>
          <w:rStyle w:val="39"/>
          <w:rFonts w:ascii="宋体" w:hAnsi="宋体" w:cs="宋体"/>
          <w:kern w:val="0"/>
          <w:lang w:val="zh-CN"/>
        </w:rPr>
        <w:t>（</w:t>
      </w:r>
      <w:r>
        <w:rPr>
          <w:rStyle w:val="39"/>
          <w:rFonts w:ascii="宋体" w:hAnsi="宋体" w:cs="宋体"/>
          <w:kern w:val="0"/>
        </w:rPr>
        <w:t>2</w:t>
      </w:r>
      <w:r>
        <w:rPr>
          <w:rStyle w:val="39"/>
          <w:rFonts w:ascii="宋体" w:hAnsi="宋体" w:cs="宋体"/>
          <w:kern w:val="0"/>
          <w:lang w:val="zh-CN"/>
        </w:rPr>
        <w:t>）</w:t>
      </w:r>
      <w:r>
        <w:rPr>
          <w:rStyle w:val="39"/>
          <w:rFonts w:ascii="宋体" w:hAnsi="宋体" w:cs="宋体"/>
        </w:rPr>
        <w:t>法定代表人证明书</w:t>
      </w:r>
      <w:r>
        <w:tab/>
      </w:r>
      <w:r>
        <w:fldChar w:fldCharType="begin"/>
      </w:r>
      <w:r>
        <w:instrText xml:space="preserve"> PAGEREF _Toc78187945 \h </w:instrText>
      </w:r>
      <w:r>
        <w:fldChar w:fldCharType="separate"/>
      </w:r>
      <w:r>
        <w:t>32</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"_Toc78187946" </w:instrText>
      </w:r>
      <w:r>
        <w:fldChar w:fldCharType="separate"/>
      </w:r>
      <w:r>
        <w:rPr>
          <w:rStyle w:val="39"/>
          <w:rFonts w:ascii="宋体" w:hAnsi="宋体" w:cs="宋体"/>
        </w:rPr>
        <w:t>（3）</w:t>
      </w:r>
      <w:r>
        <w:rPr>
          <w:rStyle w:val="39"/>
          <w:rFonts w:ascii="宋体" w:hAnsi="宋体" w:cs="宋体"/>
          <w:lang w:val="zh-CN"/>
        </w:rPr>
        <w:t>法定代表人授权书</w:t>
      </w:r>
      <w:r>
        <w:tab/>
      </w:r>
      <w:r>
        <w:fldChar w:fldCharType="begin"/>
      </w:r>
      <w:r>
        <w:instrText xml:space="preserve"> PAGEREF _Toc78187946 \h </w:instrText>
      </w:r>
      <w:r>
        <w:fldChar w:fldCharType="separate"/>
      </w:r>
      <w:r>
        <w:t>33</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"_Toc78187947" </w:instrText>
      </w:r>
      <w:r>
        <w:fldChar w:fldCharType="separate"/>
      </w:r>
      <w:r>
        <w:rPr>
          <w:rStyle w:val="39"/>
          <w:rFonts w:ascii="宋体" w:hAnsi="宋体" w:cs="宋体"/>
        </w:rPr>
        <w:t>（4）</w:t>
      </w:r>
      <w:r>
        <w:rPr>
          <w:rStyle w:val="39"/>
          <w:rFonts w:ascii="宋体" w:hAnsi="宋体" w:cs="宋体"/>
          <w:lang w:val="zh-CN"/>
        </w:rPr>
        <w:t>投标人承诺函</w:t>
      </w:r>
      <w:r>
        <w:tab/>
      </w:r>
      <w:r>
        <w:fldChar w:fldCharType="begin"/>
      </w:r>
      <w:r>
        <w:instrText xml:space="preserve"> PAGEREF _Toc78187947 \h </w:instrText>
      </w:r>
      <w:r>
        <w:fldChar w:fldCharType="separate"/>
      </w:r>
      <w:r>
        <w:t>34</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"_Toc78187948" </w:instrText>
      </w:r>
      <w:r>
        <w:fldChar w:fldCharType="separate"/>
      </w:r>
      <w:r>
        <w:rPr>
          <w:rStyle w:val="39"/>
          <w:rFonts w:ascii="宋体" w:hAnsi="宋体" w:cs="宋体"/>
        </w:rPr>
        <w:t>（5）</w:t>
      </w:r>
      <w:r>
        <w:rPr>
          <w:rStyle w:val="39"/>
          <w:rFonts w:ascii="宋体" w:hAnsi="宋体" w:cs="宋体"/>
          <w:lang w:val="zh-CN"/>
        </w:rPr>
        <w:t>投标人诚信承诺书</w:t>
      </w:r>
      <w:r>
        <w:tab/>
      </w:r>
      <w:r>
        <w:fldChar w:fldCharType="begin"/>
      </w:r>
      <w:r>
        <w:instrText xml:space="preserve"> PAGEREF _Toc78187948 \h </w:instrText>
      </w:r>
      <w:r>
        <w:fldChar w:fldCharType="separate"/>
      </w:r>
      <w:r>
        <w:t>35</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"_Toc78187949" </w:instrText>
      </w:r>
      <w:r>
        <w:fldChar w:fldCharType="separate"/>
      </w:r>
      <w:r>
        <w:rPr>
          <w:rStyle w:val="39"/>
          <w:rFonts w:ascii="宋体" w:hAnsi="宋体" w:cs="宋体"/>
        </w:rPr>
        <w:t>（6）</w:t>
      </w:r>
      <w:r>
        <w:rPr>
          <w:rStyle w:val="39"/>
          <w:rFonts w:ascii="宋体" w:hAnsi="宋体" w:cs="宋体"/>
          <w:lang w:val="zh-CN"/>
        </w:rPr>
        <w:t>资格证明材料</w:t>
      </w:r>
      <w:r>
        <w:tab/>
      </w:r>
      <w:r>
        <w:fldChar w:fldCharType="begin"/>
      </w:r>
      <w:r>
        <w:instrText xml:space="preserve"> PAGEREF _Toc78187949 \h </w:instrText>
      </w:r>
      <w:r>
        <w:fldChar w:fldCharType="separate"/>
      </w:r>
      <w:r>
        <w:t>36</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"_Toc78187950" </w:instrText>
      </w:r>
      <w:r>
        <w:fldChar w:fldCharType="separate"/>
      </w:r>
      <w:r>
        <w:rPr>
          <w:rStyle w:val="39"/>
          <w:rFonts w:ascii="宋体" w:hAnsi="宋体" w:cs="宋体"/>
        </w:rPr>
        <w:t>（7）</w:t>
      </w:r>
      <w:r>
        <w:rPr>
          <w:rStyle w:val="39"/>
          <w:rFonts w:ascii="宋体" w:hAnsi="宋体" w:cs="宋体"/>
          <w:lang w:val="zh-CN"/>
        </w:rPr>
        <w:t>财务状况报告，依法缴纳税收和社会保障资金的相关材料</w:t>
      </w:r>
      <w:r>
        <w:tab/>
      </w:r>
      <w:r>
        <w:fldChar w:fldCharType="begin"/>
      </w:r>
      <w:r>
        <w:instrText xml:space="preserve"> PAGEREF _Toc78187950 \h </w:instrText>
      </w:r>
      <w:r>
        <w:fldChar w:fldCharType="separate"/>
      </w:r>
      <w:r>
        <w:t>37</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"_Toc78187951" </w:instrText>
      </w:r>
      <w:r>
        <w:fldChar w:fldCharType="separate"/>
      </w:r>
      <w:r>
        <w:rPr>
          <w:rStyle w:val="39"/>
          <w:rFonts w:ascii="宋体" w:hAnsi="宋体" w:cs="宋体"/>
        </w:rPr>
        <w:t>（8）</w:t>
      </w:r>
      <w:r>
        <w:rPr>
          <w:rStyle w:val="39"/>
          <w:rFonts w:ascii="宋体" w:hAnsi="宋体" w:cs="宋体"/>
          <w:lang w:val="zh-CN"/>
        </w:rPr>
        <w:t>具备履行合同所必需的设备和专业技术能力的证明材料</w:t>
      </w:r>
      <w:r>
        <w:tab/>
      </w:r>
      <w:r>
        <w:fldChar w:fldCharType="begin"/>
      </w:r>
      <w:r>
        <w:instrText xml:space="preserve"> PAGEREF _Toc78187951 \h </w:instrText>
      </w:r>
      <w:r>
        <w:fldChar w:fldCharType="separate"/>
      </w:r>
      <w:r>
        <w:t>38</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"_Toc78187952" </w:instrText>
      </w:r>
      <w:r>
        <w:fldChar w:fldCharType="separate"/>
      </w:r>
      <w:r>
        <w:rPr>
          <w:rStyle w:val="39"/>
          <w:rFonts w:ascii="宋体" w:hAnsi="宋体" w:cs="宋体"/>
        </w:rPr>
        <w:t>（9）</w:t>
      </w:r>
      <w:r>
        <w:rPr>
          <w:rStyle w:val="39"/>
          <w:rFonts w:ascii="宋体" w:hAnsi="宋体" w:cs="宋体"/>
          <w:lang w:val="zh-CN"/>
        </w:rPr>
        <w:t>无重大违法记录声明</w:t>
      </w:r>
      <w:r>
        <w:tab/>
      </w:r>
      <w:r>
        <w:fldChar w:fldCharType="begin"/>
      </w:r>
      <w:r>
        <w:instrText xml:space="preserve"> PAGEREF _Toc78187952 \h </w:instrText>
      </w:r>
      <w:r>
        <w:fldChar w:fldCharType="separate"/>
      </w:r>
      <w:r>
        <w:t>39</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"_Toc78187953" </w:instrText>
      </w:r>
      <w:r>
        <w:fldChar w:fldCharType="separate"/>
      </w:r>
      <w:r>
        <w:rPr>
          <w:rStyle w:val="39"/>
          <w:rFonts w:ascii="宋体" w:hAnsi="宋体" w:cs="宋体"/>
          <w:lang w:val="zh-CN"/>
        </w:rPr>
        <w:t>（下册）</w:t>
      </w:r>
      <w:r>
        <w:tab/>
      </w:r>
      <w:r>
        <w:fldChar w:fldCharType="begin"/>
      </w:r>
      <w:r>
        <w:instrText xml:space="preserve"> PAGEREF _Toc78187953 \h </w:instrText>
      </w:r>
      <w:r>
        <w:fldChar w:fldCharType="separate"/>
      </w:r>
      <w:r>
        <w:t>40</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"_Toc78187954" </w:instrText>
      </w:r>
      <w:r>
        <w:fldChar w:fldCharType="separate"/>
      </w:r>
      <w:r>
        <w:rPr>
          <w:rStyle w:val="39"/>
          <w:rFonts w:ascii="宋体" w:hAnsi="宋体" w:cs="宋体"/>
          <w:lang w:val="zh-CN"/>
        </w:rPr>
        <w:t>目录（下册）</w:t>
      </w:r>
      <w:r>
        <w:tab/>
      </w:r>
      <w:r>
        <w:fldChar w:fldCharType="begin"/>
      </w:r>
      <w:r>
        <w:instrText xml:space="preserve"> PAGEREF _Toc78187954 \h </w:instrText>
      </w:r>
      <w:r>
        <w:fldChar w:fldCharType="separate"/>
      </w:r>
      <w:r>
        <w:t>41</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"_Toc78187955" </w:instrText>
      </w:r>
      <w:r>
        <w:fldChar w:fldCharType="separate"/>
      </w:r>
      <w:r>
        <w:rPr>
          <w:rStyle w:val="39"/>
          <w:rFonts w:ascii="宋体" w:hAnsi="宋体" w:cs="宋体"/>
        </w:rPr>
        <w:t>（10）</w:t>
      </w:r>
      <w:r>
        <w:rPr>
          <w:rStyle w:val="39"/>
          <w:rFonts w:ascii="宋体" w:hAnsi="宋体" w:cs="宋体"/>
          <w:lang w:val="zh-CN"/>
        </w:rPr>
        <w:t>评分对照表</w:t>
      </w:r>
      <w:r>
        <w:tab/>
      </w:r>
      <w:r>
        <w:fldChar w:fldCharType="begin"/>
      </w:r>
      <w:r>
        <w:instrText xml:space="preserve"> PAGEREF _Toc78187955 \h </w:instrText>
      </w:r>
      <w:r>
        <w:fldChar w:fldCharType="separate"/>
      </w:r>
      <w:r>
        <w:t>42</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"_Toc78187956" </w:instrText>
      </w:r>
      <w:r>
        <w:fldChar w:fldCharType="separate"/>
      </w:r>
      <w:r>
        <w:rPr>
          <w:rStyle w:val="39"/>
          <w:rFonts w:ascii="宋体" w:hAnsi="宋体" w:cs="宋体"/>
        </w:rPr>
        <w:t>（11）</w:t>
      </w:r>
      <w:r>
        <w:rPr>
          <w:rStyle w:val="39"/>
          <w:rFonts w:ascii="宋体" w:hAnsi="宋体" w:cs="宋体"/>
          <w:lang w:val="zh-CN"/>
        </w:rPr>
        <w:t>开标一览表（报价表）</w:t>
      </w:r>
      <w:r>
        <w:tab/>
      </w:r>
      <w:r>
        <w:fldChar w:fldCharType="begin"/>
      </w:r>
      <w:r>
        <w:instrText xml:space="preserve"> PAGEREF _Toc78187956 \h </w:instrText>
      </w:r>
      <w:r>
        <w:fldChar w:fldCharType="separate"/>
      </w:r>
      <w:r>
        <w:t>43</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"_Toc78187957" </w:instrText>
      </w:r>
      <w:r>
        <w:fldChar w:fldCharType="separate"/>
      </w:r>
      <w:r>
        <w:rPr>
          <w:rStyle w:val="39"/>
          <w:rFonts w:ascii="宋体" w:hAnsi="宋体" w:cs="宋体"/>
        </w:rPr>
        <w:t>（12）</w:t>
      </w:r>
      <w:r>
        <w:rPr>
          <w:rStyle w:val="39"/>
          <w:rFonts w:ascii="宋体" w:hAnsi="宋体" w:cs="宋体"/>
          <w:lang w:val="zh-CN"/>
        </w:rPr>
        <w:t>服务应答表</w:t>
      </w:r>
      <w:r>
        <w:tab/>
      </w:r>
      <w:r>
        <w:fldChar w:fldCharType="begin"/>
      </w:r>
      <w:r>
        <w:instrText xml:space="preserve"> PAGEREF _Toc78187957 \h </w:instrText>
      </w:r>
      <w:r>
        <w:fldChar w:fldCharType="separate"/>
      </w:r>
      <w:r>
        <w:t>44</w:t>
      </w:r>
      <w:r>
        <w:fldChar w:fldCharType="end"/>
      </w:r>
      <w:r>
        <w:fldChar w:fldCharType="end"/>
      </w:r>
    </w:p>
    <w:p>
      <w:pPr>
        <w:pStyle w:val="25"/>
        <w:tabs>
          <w:tab w:val="right" w:leader="dot" w:pos="8819"/>
        </w:tabs>
        <w:ind w:firstLine="482"/>
      </w:pPr>
      <w:r>
        <w:fldChar w:fldCharType="begin"/>
      </w:r>
      <w:r>
        <w:instrText xml:space="preserve"> HYPERLINK \l "_Toc78187958" </w:instrText>
      </w:r>
      <w:r>
        <w:fldChar w:fldCharType="separate"/>
      </w:r>
      <w:r>
        <w:rPr>
          <w:rStyle w:val="39"/>
          <w:rFonts w:ascii="宋体" w:hAnsi="宋体" w:cs="宋体"/>
        </w:rPr>
        <w:t>（13）</w:t>
      </w:r>
      <w:r>
        <w:rPr>
          <w:rStyle w:val="39"/>
          <w:rFonts w:ascii="宋体" w:hAnsi="宋体" w:cs="宋体"/>
          <w:lang w:val="zh-CN"/>
        </w:rPr>
        <w:t>投标服务相关资料</w:t>
      </w:r>
      <w:r>
        <w:tab/>
      </w:r>
      <w:r>
        <w:fldChar w:fldCharType="begin"/>
      </w:r>
      <w:r>
        <w:instrText xml:space="preserve"> PAGEREF _Toc78187958 \h </w:instrText>
      </w:r>
      <w:r>
        <w:fldChar w:fldCharType="separate"/>
      </w:r>
      <w:r>
        <w:t>45</w:t>
      </w:r>
      <w:r>
        <w:fldChar w:fldCharType="end"/>
      </w:r>
      <w:r>
        <w:fldChar w:fldCharType="end"/>
      </w:r>
    </w:p>
    <w:p>
      <w:pPr>
        <w:pStyle w:val="25"/>
        <w:tabs>
          <w:tab w:val="right" w:leader="dot" w:pos="8819"/>
        </w:tabs>
        <w:ind w:firstLine="482"/>
      </w:pPr>
      <w:r>
        <w:fldChar w:fldCharType="begin"/>
      </w:r>
      <w:r>
        <w:instrText xml:space="preserve"> HYPERLINK \l "_Toc78187958" </w:instrText>
      </w:r>
      <w:r>
        <w:fldChar w:fldCharType="separate"/>
      </w:r>
      <w:r>
        <w:rPr>
          <w:rStyle w:val="39"/>
          <w:rFonts w:ascii="宋体" w:hAnsi="宋体" w:cs="宋体"/>
        </w:rPr>
        <w:t>（14）</w:t>
      </w:r>
      <w:r>
        <w:rPr>
          <w:rStyle w:val="39"/>
          <w:rFonts w:hint="eastAsia" w:ascii="宋体" w:hAnsi="宋体" w:cs="宋体"/>
          <w:lang w:val="zh-CN"/>
        </w:rPr>
        <w:t>投标人</w:t>
      </w:r>
      <w:r>
        <w:rPr>
          <w:rStyle w:val="39"/>
          <w:rFonts w:ascii="宋体" w:hAnsi="宋体" w:cs="宋体"/>
          <w:lang w:val="zh-CN"/>
        </w:rPr>
        <w:t>的类似业绩证明材料</w:t>
      </w:r>
      <w:r>
        <w:tab/>
      </w:r>
      <w:r>
        <w:fldChar w:fldCharType="begin"/>
      </w:r>
      <w:r>
        <w:instrText xml:space="preserve"> PAGEREF _Toc78187958 \h </w:instrText>
      </w:r>
      <w:r>
        <w:fldChar w:fldCharType="separate"/>
      </w:r>
      <w:r>
        <w:t>45</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"_Toc78187959" </w:instrText>
      </w:r>
      <w:r>
        <w:fldChar w:fldCharType="separate"/>
      </w:r>
      <w:r>
        <w:rPr>
          <w:rStyle w:val="39"/>
          <w:rFonts w:ascii="宋体" w:hAnsi="宋体" w:cs="宋体"/>
        </w:rPr>
        <w:t>（15）</w:t>
      </w:r>
      <w:r>
        <w:rPr>
          <w:rStyle w:val="39"/>
        </w:rPr>
        <w:t>投标人本项目团队配置人员情况</w:t>
      </w:r>
      <w:r>
        <w:tab/>
      </w:r>
      <w:r>
        <w:fldChar w:fldCharType="begin"/>
      </w:r>
      <w:r>
        <w:instrText xml:space="preserve"> PAGEREF _Toc78187959 \h </w:instrText>
      </w:r>
      <w:r>
        <w:fldChar w:fldCharType="separate"/>
      </w:r>
      <w:r>
        <w:t>47</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"_Toc78187960" </w:instrText>
      </w:r>
      <w:r>
        <w:fldChar w:fldCharType="separate"/>
      </w:r>
      <w:r>
        <w:rPr>
          <w:rStyle w:val="39"/>
          <w:rFonts w:ascii="宋体" w:hAnsi="宋体" w:cs="宋体"/>
        </w:rPr>
        <w:t>（16）</w:t>
      </w:r>
      <w:r>
        <w:rPr>
          <w:rFonts w:hint="eastAsia" w:ascii="宋体" w:hAnsi="宋体" w:cs="宋体"/>
          <w:kern w:val="0"/>
          <w:lang w:val="zh-CN"/>
        </w:rPr>
        <w:t>中小企业声明函、残疾人福利性单位声明函、监狱企业</w:t>
      </w:r>
      <w:r>
        <w:tab/>
      </w:r>
      <w:r>
        <w:fldChar w:fldCharType="begin"/>
      </w:r>
      <w:r>
        <w:instrText xml:space="preserve"> PAGEREF _Toc78187960 \h </w:instrText>
      </w:r>
      <w:r>
        <w:fldChar w:fldCharType="separate"/>
      </w:r>
      <w:r>
        <w:t>48</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"_Toc78187963" </w:instrText>
      </w:r>
      <w:r>
        <w:fldChar w:fldCharType="separate"/>
      </w:r>
      <w:r>
        <w:rPr>
          <w:rStyle w:val="39"/>
          <w:rFonts w:ascii="宋体" w:hAnsi="宋体" w:cs="宋体"/>
        </w:rPr>
        <w:t>（17）</w:t>
      </w:r>
      <w:r>
        <w:rPr>
          <w:rStyle w:val="39"/>
          <w:rFonts w:ascii="宋体" w:hAnsi="宋体" w:cs="宋体"/>
          <w:lang w:val="zh-CN"/>
        </w:rPr>
        <w:t>投标人认为在其他方面有必要说明的事项</w:t>
      </w:r>
      <w:r>
        <w:tab/>
      </w:r>
      <w:r>
        <w:fldChar w:fldCharType="begin"/>
      </w:r>
      <w:r>
        <w:instrText xml:space="preserve"> PAGEREF _Toc78187963 \h </w:instrText>
      </w:r>
      <w:r>
        <w:fldChar w:fldCharType="separate"/>
      </w:r>
      <w:r>
        <w:t>51</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"_Toc78187964" </w:instrText>
      </w:r>
      <w:r>
        <w:fldChar w:fldCharType="separate"/>
      </w:r>
      <w:r>
        <w:rPr>
          <w:rStyle w:val="39"/>
          <w:rFonts w:ascii="宋体" w:hAnsi="宋体" w:cs="宋体"/>
          <w:lang w:val="zh-CN"/>
        </w:rPr>
        <w:t>第五部分  项目概况及服务要求</w:t>
      </w:r>
      <w:r>
        <w:tab/>
      </w:r>
      <w:r>
        <w:fldChar w:fldCharType="begin"/>
      </w:r>
      <w:r>
        <w:instrText xml:space="preserve"> PAGEREF _Toc78187964 \h </w:instrText>
      </w:r>
      <w:r>
        <w:fldChar w:fldCharType="separate"/>
      </w:r>
      <w:r>
        <w:t>52</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"_Toc78187965" </w:instrText>
      </w:r>
      <w:r>
        <w:fldChar w:fldCharType="separate"/>
      </w:r>
      <w:r>
        <w:rPr>
          <w:rStyle w:val="39"/>
          <w:lang w:val="zh-CN"/>
        </w:rPr>
        <w:t>（一）</w:t>
      </w:r>
      <w:r>
        <w:rPr>
          <w:rStyle w:val="39"/>
          <w:rFonts w:ascii="宋体" w:hAnsi="宋体" w:cs="宋体"/>
          <w:lang w:val="zh-CN"/>
        </w:rPr>
        <w:t>服务要求</w:t>
      </w:r>
      <w:r>
        <w:tab/>
      </w:r>
      <w:r>
        <w:fldChar w:fldCharType="begin"/>
      </w:r>
      <w:r>
        <w:instrText xml:space="preserve"> PAGEREF _Toc78187965 \h </w:instrText>
      </w:r>
      <w:r>
        <w:fldChar w:fldCharType="separate"/>
      </w:r>
      <w:r>
        <w:t>52</w:t>
      </w:r>
      <w:r>
        <w:fldChar w:fldCharType="end"/>
      </w:r>
      <w:r>
        <w:fldChar w:fldCharType="end"/>
      </w:r>
    </w:p>
    <w:p>
      <w:pPr>
        <w:pStyle w:val="25"/>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"_Toc78187966" </w:instrText>
      </w:r>
      <w:r>
        <w:fldChar w:fldCharType="separate"/>
      </w:r>
      <w:r>
        <w:rPr>
          <w:rStyle w:val="39"/>
          <w:lang w:val="zh-CN"/>
        </w:rPr>
        <w:t>（二）</w:t>
      </w:r>
      <w:r>
        <w:rPr>
          <w:rStyle w:val="39"/>
          <w:rFonts w:ascii="宋体" w:hAnsi="宋体" w:cs="宋体"/>
          <w:lang w:val="zh-CN"/>
        </w:rPr>
        <w:t>商务要求</w:t>
      </w:r>
      <w:r>
        <w:tab/>
      </w:r>
      <w:r>
        <w:fldChar w:fldCharType="begin"/>
      </w:r>
      <w:r>
        <w:instrText xml:space="preserve"> PAGEREF _Toc78187966 \h </w:instrText>
      </w:r>
      <w:r>
        <w:fldChar w:fldCharType="separate"/>
      </w:r>
      <w:r>
        <w:t>54</w:t>
      </w:r>
      <w:r>
        <w:fldChar w:fldCharType="end"/>
      </w:r>
      <w:r>
        <w:fldChar w:fldCharType="end"/>
      </w:r>
    </w:p>
    <w:p>
      <w:pPr>
        <w:spacing w:line="360" w:lineRule="auto"/>
        <w:rPr>
          <w:rFonts w:ascii="宋体" w:hAnsi="宋体" w:cs="宋体"/>
        </w:rPr>
      </w:pPr>
      <w:r>
        <w:rPr>
          <w:rFonts w:hint="eastAsia" w:ascii="宋体" w:hAnsi="宋体" w:cs="宋体"/>
          <w:szCs w:val="21"/>
        </w:rPr>
        <w:fldChar w:fldCharType="end"/>
      </w:r>
    </w:p>
    <w:p>
      <w:pPr>
        <w:pStyle w:val="30"/>
        <w:spacing w:before="0" w:after="0" w:line="360" w:lineRule="auto"/>
        <w:rPr>
          <w:rFonts w:ascii="宋体" w:hAnsi="宋体" w:cs="宋体"/>
          <w:szCs w:val="36"/>
          <w:lang w:val="zh-CN"/>
        </w:rPr>
      </w:pPr>
      <w:r>
        <w:rPr>
          <w:rFonts w:hint="eastAsia" w:ascii="宋体" w:hAnsi="宋体" w:cs="宋体"/>
        </w:rPr>
        <w:br w:type="page"/>
      </w:r>
      <w:bookmarkStart w:id="0" w:name="_Toc78187902"/>
      <w:r>
        <w:rPr>
          <w:rFonts w:hint="eastAsia" w:ascii="宋体" w:hAnsi="宋体" w:cs="宋体"/>
          <w:szCs w:val="36"/>
          <w:lang w:val="zh-CN"/>
        </w:rPr>
        <w:t>第一部分  投标邀请</w:t>
      </w:r>
      <w:bookmarkEnd w:id="0"/>
    </w:p>
    <w:p>
      <w:pPr>
        <w:autoSpaceDE w:val="0"/>
        <w:autoSpaceDN w:val="0"/>
        <w:adjustRightInd w:val="0"/>
        <w:spacing w:line="360" w:lineRule="auto"/>
        <w:ind w:firstLine="480" w:firstLineChars="200"/>
        <w:rPr>
          <w:rFonts w:ascii="宋体" w:hAnsi="宋体" w:cs="宋体"/>
          <w:kern w:val="0"/>
          <w:lang w:val="zh-CN"/>
        </w:rPr>
      </w:pPr>
      <w:r>
        <w:rPr>
          <w:rFonts w:hint="eastAsia" w:ascii="宋体" w:hAnsi="宋体" w:cs="宋体"/>
          <w:kern w:val="0"/>
          <w:lang w:val="zh-CN"/>
        </w:rPr>
        <w:t>青海璇锴工程项目管理有限公司（以下均简称“采购代理机构”）受都兰县自然资源局（以下均简称“采购人”）委托,拟对</w:t>
      </w:r>
      <w:r>
        <w:rPr>
          <w:rFonts w:hint="eastAsia" w:ascii="宋体" w:hAnsi="宋体" w:cs="仿宋"/>
          <w:lang w:eastAsia="zh-CN"/>
        </w:rPr>
        <w:t>都兰县自然资源统一确权登记项目</w:t>
      </w:r>
      <w:r>
        <w:rPr>
          <w:rFonts w:hint="eastAsia" w:ascii="宋体" w:hAnsi="宋体" w:cs="宋体"/>
          <w:kern w:val="0"/>
          <w:lang w:val="zh-CN"/>
        </w:rPr>
        <w:t>进行国内公开招标，现予以公告，欢迎潜在的投标人参加本次政府采购活动。</w:t>
      </w:r>
    </w:p>
    <w:tbl>
      <w:tblPr>
        <w:tblStyle w:val="32"/>
        <w:tblW w:w="9133" w:type="dxa"/>
        <w:jc w:val="center"/>
        <w:tblLayout w:type="fixed"/>
        <w:tblCellMar>
          <w:top w:w="0" w:type="dxa"/>
          <w:left w:w="108" w:type="dxa"/>
          <w:bottom w:w="0" w:type="dxa"/>
          <w:right w:w="108" w:type="dxa"/>
        </w:tblCellMar>
      </w:tblPr>
      <w:tblGrid>
        <w:gridCol w:w="2200"/>
        <w:gridCol w:w="6933"/>
      </w:tblGrid>
      <w:tr>
        <w:tblPrEx>
          <w:tblCellMar>
            <w:top w:w="0" w:type="dxa"/>
            <w:left w:w="108" w:type="dxa"/>
            <w:bottom w:w="0" w:type="dxa"/>
            <w:right w:w="108" w:type="dxa"/>
          </w:tblCellMar>
        </w:tblPrEx>
        <w:trPr>
          <w:trHeight w:val="298"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采购项目编号</w:t>
            </w:r>
          </w:p>
        </w:tc>
        <w:tc>
          <w:tcPr>
            <w:tcW w:w="69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rPr>
                <w:rFonts w:hint="eastAsia" w:ascii="宋体" w:hAnsi="Calibri" w:eastAsia="宋体" w:cs="宋体"/>
                <w:kern w:val="0"/>
                <w:lang w:val="en-US" w:eastAsia="zh-CN"/>
              </w:rPr>
            </w:pPr>
            <w:r>
              <w:rPr>
                <w:rFonts w:hint="eastAsia" w:ascii="宋体" w:hAnsi="Calibri" w:cs="宋体"/>
                <w:kern w:val="0"/>
                <w:lang w:val="zh-CN"/>
              </w:rPr>
              <w:t>青海璇锴公招（服务）2023-00</w:t>
            </w:r>
            <w:r>
              <w:rPr>
                <w:rFonts w:hint="eastAsia" w:ascii="宋体" w:hAnsi="Calibri" w:cs="宋体"/>
                <w:kern w:val="0"/>
                <w:lang w:val="en-US" w:eastAsia="zh-CN"/>
              </w:rPr>
              <w:t>8</w:t>
            </w:r>
          </w:p>
        </w:tc>
      </w:tr>
      <w:tr>
        <w:tblPrEx>
          <w:tblCellMar>
            <w:top w:w="0" w:type="dxa"/>
            <w:left w:w="108" w:type="dxa"/>
            <w:bottom w:w="0" w:type="dxa"/>
            <w:right w:w="108" w:type="dxa"/>
          </w:tblCellMar>
        </w:tblPrEx>
        <w:trPr>
          <w:trHeight w:val="23"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采购项目名称</w:t>
            </w:r>
          </w:p>
        </w:tc>
        <w:tc>
          <w:tcPr>
            <w:tcW w:w="69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rPr>
                <w:rFonts w:ascii="宋体" w:hAnsi="Calibri" w:cs="宋体"/>
                <w:kern w:val="0"/>
                <w:lang w:val="zh-CN"/>
              </w:rPr>
            </w:pPr>
            <w:r>
              <w:rPr>
                <w:rFonts w:hint="eastAsia" w:ascii="宋体" w:hAnsi="Calibri" w:cs="宋体"/>
                <w:kern w:val="0"/>
                <w:lang w:val="zh-CN"/>
              </w:rPr>
              <w:t>都兰县自然资源统一确权登记项目</w:t>
            </w:r>
          </w:p>
        </w:tc>
      </w:tr>
      <w:tr>
        <w:tblPrEx>
          <w:tblCellMar>
            <w:top w:w="0" w:type="dxa"/>
            <w:left w:w="108" w:type="dxa"/>
            <w:bottom w:w="0" w:type="dxa"/>
            <w:right w:w="108" w:type="dxa"/>
          </w:tblCellMar>
        </w:tblPrEx>
        <w:trPr>
          <w:trHeight w:val="496"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采购方式</w:t>
            </w:r>
          </w:p>
        </w:tc>
        <w:tc>
          <w:tcPr>
            <w:tcW w:w="69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rPr>
                <w:rFonts w:ascii="宋体" w:hAnsi="Calibri" w:cs="宋体"/>
                <w:kern w:val="0"/>
                <w:lang w:val="zh-CN"/>
              </w:rPr>
            </w:pPr>
            <w:r>
              <w:rPr>
                <w:rFonts w:hint="eastAsia" w:ascii="宋体" w:hAnsi="Calibri" w:cs="宋体"/>
                <w:kern w:val="0"/>
                <w:lang w:val="zh-CN"/>
              </w:rPr>
              <w:t>公开招标</w:t>
            </w:r>
          </w:p>
        </w:tc>
      </w:tr>
      <w:tr>
        <w:tblPrEx>
          <w:tblCellMar>
            <w:top w:w="0" w:type="dxa"/>
            <w:left w:w="108" w:type="dxa"/>
            <w:bottom w:w="0" w:type="dxa"/>
            <w:right w:w="108" w:type="dxa"/>
          </w:tblCellMar>
        </w:tblPrEx>
        <w:trPr>
          <w:trHeight w:val="23"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采购预算额度</w:t>
            </w:r>
          </w:p>
        </w:tc>
        <w:tc>
          <w:tcPr>
            <w:tcW w:w="69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rPr>
                <w:rFonts w:ascii="宋体" w:hAnsi="Calibri" w:cs="宋体"/>
                <w:kern w:val="0"/>
                <w:lang w:val="zh-CN"/>
              </w:rPr>
            </w:pPr>
            <w:r>
              <w:rPr>
                <w:rFonts w:hint="eastAsia" w:ascii="宋体" w:hAnsi="Calibri" w:cs="宋体"/>
                <w:kern w:val="0"/>
                <w:lang w:val="en-US" w:eastAsia="zh-CN"/>
              </w:rPr>
              <w:t>700.36</w:t>
            </w:r>
            <w:r>
              <w:rPr>
                <w:rFonts w:hint="eastAsia" w:ascii="宋体" w:hAnsi="Calibri" w:cs="宋体"/>
                <w:kern w:val="0"/>
                <w:lang w:val="zh-CN"/>
              </w:rPr>
              <w:t>万元</w:t>
            </w:r>
          </w:p>
        </w:tc>
      </w:tr>
      <w:tr>
        <w:tblPrEx>
          <w:tblCellMar>
            <w:top w:w="0" w:type="dxa"/>
            <w:left w:w="108" w:type="dxa"/>
            <w:bottom w:w="0" w:type="dxa"/>
            <w:right w:w="108" w:type="dxa"/>
          </w:tblCellMar>
        </w:tblPrEx>
        <w:trPr>
          <w:trHeight w:val="23"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项目分包个数</w:t>
            </w:r>
          </w:p>
        </w:tc>
        <w:tc>
          <w:tcPr>
            <w:tcW w:w="69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rPr>
                <w:rFonts w:hint="eastAsia" w:ascii="宋体" w:hAnsi="Calibri" w:eastAsia="宋体" w:cs="宋体"/>
                <w:kern w:val="0"/>
                <w:lang w:val="en-US" w:eastAsia="zh-CN"/>
              </w:rPr>
            </w:pPr>
            <w:r>
              <w:rPr>
                <w:rFonts w:hint="eastAsia" w:ascii="宋体" w:hAnsi="Calibri" w:cs="宋体"/>
                <w:kern w:val="0"/>
                <w:lang w:val="en-US" w:eastAsia="zh-CN"/>
              </w:rPr>
              <w:t>1</w:t>
            </w:r>
          </w:p>
        </w:tc>
      </w:tr>
      <w:tr>
        <w:tblPrEx>
          <w:tblCellMar>
            <w:top w:w="0" w:type="dxa"/>
            <w:left w:w="108" w:type="dxa"/>
            <w:bottom w:w="0" w:type="dxa"/>
            <w:right w:w="108" w:type="dxa"/>
          </w:tblCellMar>
        </w:tblPrEx>
        <w:trPr>
          <w:trHeight w:val="4006"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各包要求</w:t>
            </w:r>
          </w:p>
        </w:tc>
        <w:tc>
          <w:tcPr>
            <w:tcW w:w="69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采购预算额度：</w:t>
            </w:r>
            <w:r>
              <w:rPr>
                <w:rFonts w:hint="eastAsia" w:ascii="宋体" w:hAnsi="宋体" w:cs="宋体"/>
                <w:kern w:val="0"/>
                <w:lang w:val="en-US" w:eastAsia="zh-CN"/>
              </w:rPr>
              <w:t>700.36</w:t>
            </w:r>
            <w:r>
              <w:rPr>
                <w:rFonts w:ascii="宋体" w:hAnsi="宋体" w:cs="宋体"/>
                <w:kern w:val="0"/>
                <w:lang w:val="zh-CN"/>
              </w:rPr>
              <w:t>万元</w:t>
            </w:r>
          </w:p>
          <w:p>
            <w:pPr>
              <w:spacing w:before="120" w:beforeLines="50" w:after="120" w:afterLines="50" w:line="360" w:lineRule="auto"/>
              <w:rPr>
                <w:rFonts w:ascii="宋体" w:hAnsi="宋体" w:cs="宋体"/>
                <w:kern w:val="0"/>
                <w:u w:val="dashDotHeavy"/>
                <w:lang w:val="zh-CN"/>
              </w:rPr>
            </w:pPr>
            <w:r>
              <w:rPr>
                <w:rFonts w:hint="eastAsia"/>
              </w:rPr>
              <w:t>开展</w:t>
            </w:r>
            <w:r>
              <w:rPr>
                <w:rFonts w:hint="eastAsia"/>
                <w:lang w:val="en-US" w:eastAsia="zh-CN"/>
              </w:rPr>
              <w:t>都兰县</w:t>
            </w:r>
            <w:r>
              <w:rPr>
                <w:rFonts w:hint="eastAsia"/>
              </w:rPr>
              <w:t>全县自然资源统一确权登记工作</w:t>
            </w:r>
            <w:r>
              <w:rPr>
                <w:rFonts w:hint="eastAsia"/>
                <w:lang w:eastAsia="zh-CN"/>
              </w:rPr>
              <w:t>，</w:t>
            </w:r>
            <w:r>
              <w:rPr>
                <w:rFonts w:hint="eastAsia"/>
              </w:rPr>
              <w:t>以不动产登记为基础，充分利用第三次全国国土调查成果，逐步界定全县范围内的各类自然资源资产的所有权主体，划清全民所有和集体所有之间的边界，划清不同层级不同类型不同权利人之间的边界。分阶段、分区域开展全县自然资源统一确权登记，逐步实现全县范围内各类自然保护区、水流、森林、湖泊、草原、荒地和探明储量的矿产资源等全部国土空间内的自然资源登记全覆盖。</w:t>
            </w:r>
            <w:r>
              <w:rPr>
                <w:rFonts w:hint="eastAsia" w:ascii="宋体" w:hAnsi="宋体" w:cs="宋体"/>
                <w:kern w:val="0"/>
                <w:lang w:val="zh-CN"/>
              </w:rPr>
              <w:t>具体内容详见《招标文件》。</w:t>
            </w:r>
          </w:p>
        </w:tc>
      </w:tr>
      <w:tr>
        <w:tblPrEx>
          <w:tblCellMar>
            <w:top w:w="0" w:type="dxa"/>
            <w:left w:w="108" w:type="dxa"/>
            <w:bottom w:w="0" w:type="dxa"/>
            <w:right w:w="108" w:type="dxa"/>
          </w:tblCellMar>
        </w:tblPrEx>
        <w:trPr>
          <w:trHeight w:val="23"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各包投标人资格</w:t>
            </w:r>
          </w:p>
        </w:tc>
        <w:tc>
          <w:tcPr>
            <w:tcW w:w="69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napToGrid w:val="0"/>
              <w:spacing w:line="400" w:lineRule="exact"/>
            </w:pPr>
            <w:r>
              <w:rPr>
                <w:rFonts w:hint="eastAsia"/>
              </w:rPr>
              <w:t>1.符合《政府采购法》第22条条件，并提供下列材料：</w:t>
            </w:r>
          </w:p>
          <w:p>
            <w:pPr>
              <w:autoSpaceDE w:val="0"/>
              <w:autoSpaceDN w:val="0"/>
              <w:snapToGrid w:val="0"/>
              <w:spacing w:line="400" w:lineRule="exact"/>
            </w:pPr>
            <w:r>
              <w:rPr>
                <w:rFonts w:hint="eastAsia"/>
              </w:rPr>
              <w:t>（1）投标人的营业执照等证明文件，自然人的身份证明。</w:t>
            </w:r>
          </w:p>
          <w:p>
            <w:pPr>
              <w:autoSpaceDE w:val="0"/>
              <w:autoSpaceDN w:val="0"/>
              <w:snapToGrid w:val="0"/>
              <w:spacing w:line="400" w:lineRule="exact"/>
            </w:pPr>
            <w:r>
              <w:rPr>
                <w:rFonts w:hint="eastAsia"/>
              </w:rPr>
              <w:t>（2）有良好的企业信誉和健全的财务会计制度（提供投标企业经第三方出具的20</w:t>
            </w:r>
            <w:r>
              <w:t>2</w:t>
            </w:r>
            <w:r>
              <w:rPr>
                <w:rFonts w:hint="eastAsia"/>
                <w:lang w:val="en-US" w:eastAsia="zh-CN"/>
              </w:rPr>
              <w:t>1</w:t>
            </w:r>
            <w:r>
              <w:rPr>
                <w:rFonts w:hint="eastAsia"/>
              </w:rPr>
              <w:t>年度或2</w:t>
            </w:r>
            <w:r>
              <w:t>02</w:t>
            </w:r>
            <w:r>
              <w:rPr>
                <w:rFonts w:hint="eastAsia"/>
                <w:lang w:val="en-US" w:eastAsia="zh-CN"/>
              </w:rPr>
              <w:t>2</w:t>
            </w:r>
            <w:r>
              <w:rPr>
                <w:rFonts w:hint="eastAsia"/>
              </w:rPr>
              <w:t>年度财务状况审计报告，注册时间至文件递交截止日不足一年的提供在工商备案的公司章程或银行资信证明）。</w:t>
            </w:r>
          </w:p>
          <w:p>
            <w:pPr>
              <w:autoSpaceDE w:val="0"/>
              <w:autoSpaceDN w:val="0"/>
              <w:snapToGrid w:val="0"/>
              <w:spacing w:line="400" w:lineRule="exact"/>
            </w:pPr>
            <w:r>
              <w:rPr>
                <w:rFonts w:hint="eastAsia"/>
              </w:rPr>
              <w:t>（3）有依法缴纳税收和社会保障资金的良好记录（</w:t>
            </w:r>
            <w:r>
              <w:rPr>
                <w:rFonts w:hint="eastAsia" w:ascii="宋体" w:hAnsi="宋体"/>
                <w:bCs/>
                <w:color w:val="000000"/>
                <w:kern w:val="0"/>
                <w:szCs w:val="21"/>
              </w:rPr>
              <w:t>提供202</w:t>
            </w:r>
            <w:r>
              <w:rPr>
                <w:rFonts w:hint="eastAsia" w:ascii="宋体" w:hAnsi="宋体"/>
                <w:bCs/>
                <w:color w:val="000000"/>
                <w:kern w:val="0"/>
                <w:szCs w:val="21"/>
                <w:lang w:val="en-US" w:eastAsia="zh-CN"/>
              </w:rPr>
              <w:t>2</w:t>
            </w:r>
            <w:r>
              <w:rPr>
                <w:rFonts w:hint="eastAsia" w:ascii="宋体" w:hAnsi="宋体"/>
                <w:bCs/>
                <w:color w:val="000000"/>
                <w:kern w:val="0"/>
                <w:szCs w:val="21"/>
              </w:rPr>
              <w:t>年</w:t>
            </w:r>
            <w:r>
              <w:rPr>
                <w:rFonts w:ascii="宋体" w:hAnsi="宋体"/>
                <w:bCs/>
                <w:color w:val="000000"/>
                <w:kern w:val="0"/>
                <w:szCs w:val="21"/>
              </w:rPr>
              <w:t>11</w:t>
            </w:r>
            <w:r>
              <w:rPr>
                <w:rFonts w:hint="eastAsia" w:ascii="宋体" w:hAnsi="宋体"/>
                <w:bCs/>
                <w:color w:val="000000"/>
                <w:kern w:val="0"/>
                <w:szCs w:val="21"/>
              </w:rPr>
              <w:t>月至2</w:t>
            </w:r>
            <w:r>
              <w:rPr>
                <w:rFonts w:ascii="宋体" w:hAnsi="宋体"/>
                <w:bCs/>
                <w:color w:val="000000"/>
                <w:kern w:val="0"/>
                <w:szCs w:val="21"/>
              </w:rPr>
              <w:t>02</w:t>
            </w:r>
            <w:r>
              <w:rPr>
                <w:rFonts w:hint="eastAsia" w:ascii="宋体" w:hAnsi="宋体"/>
                <w:bCs/>
                <w:color w:val="000000"/>
                <w:kern w:val="0"/>
                <w:szCs w:val="21"/>
                <w:lang w:val="en-US" w:eastAsia="zh-CN"/>
              </w:rPr>
              <w:t>3</w:t>
            </w:r>
            <w:r>
              <w:rPr>
                <w:rFonts w:hint="eastAsia" w:ascii="宋体" w:hAnsi="宋体"/>
                <w:bCs/>
                <w:color w:val="000000"/>
                <w:kern w:val="0"/>
                <w:szCs w:val="21"/>
              </w:rPr>
              <w:t>年</w:t>
            </w:r>
            <w:r>
              <w:rPr>
                <w:rFonts w:ascii="宋体" w:hAnsi="宋体"/>
                <w:bCs/>
                <w:color w:val="000000"/>
                <w:kern w:val="0"/>
                <w:szCs w:val="21"/>
              </w:rPr>
              <w:t>04</w:t>
            </w:r>
            <w:r>
              <w:rPr>
                <w:rFonts w:hint="eastAsia" w:ascii="宋体" w:hAnsi="宋体"/>
                <w:bCs/>
                <w:color w:val="000000"/>
                <w:kern w:val="0"/>
                <w:szCs w:val="21"/>
              </w:rPr>
              <w:t>月任意3个月的纳税和社保缴纳</w:t>
            </w:r>
            <w:r>
              <w:rPr>
                <w:rFonts w:hint="eastAsia"/>
              </w:rPr>
              <w:t>证明材料）。</w:t>
            </w:r>
          </w:p>
          <w:p>
            <w:pPr>
              <w:autoSpaceDE w:val="0"/>
              <w:autoSpaceDN w:val="0"/>
              <w:snapToGrid w:val="0"/>
              <w:spacing w:line="400" w:lineRule="exact"/>
            </w:pPr>
            <w:r>
              <w:rPr>
                <w:rFonts w:hint="eastAsia"/>
              </w:rPr>
              <w:t>（4）具备履行合同所必需的设备和专业技术能力的证明材料。（并提供承诺函）</w:t>
            </w:r>
          </w:p>
          <w:p>
            <w:pPr>
              <w:autoSpaceDE w:val="0"/>
              <w:autoSpaceDN w:val="0"/>
              <w:snapToGrid w:val="0"/>
              <w:spacing w:line="400" w:lineRule="exact"/>
            </w:pPr>
            <w:r>
              <w:rPr>
                <w:rFonts w:hint="eastAsia"/>
              </w:rPr>
              <w:t>（5）参加政府采购活动前3年内在经营活动中没有重大违法记录的书面声明。（提供承诺函）</w:t>
            </w:r>
          </w:p>
          <w:p>
            <w:pPr>
              <w:autoSpaceDE w:val="0"/>
              <w:autoSpaceDN w:val="0"/>
              <w:snapToGrid w:val="0"/>
              <w:spacing w:line="400" w:lineRule="exact"/>
            </w:pPr>
            <w:r>
              <w:rPr>
                <w:rFonts w:hint="eastAsia"/>
              </w:rPr>
              <w:t>（6）具备法律、行政法规规定的其他条件的证明材料。</w:t>
            </w:r>
          </w:p>
          <w:p>
            <w:pPr>
              <w:autoSpaceDE w:val="0"/>
              <w:autoSpaceDN w:val="0"/>
              <w:snapToGrid w:val="0"/>
              <w:spacing w:line="400" w:lineRule="exact"/>
            </w:pPr>
            <w:r>
              <w:rPr>
                <w:rFonts w:hint="eastAsia"/>
              </w:rPr>
              <w:t>2.单位负责人为同一人或者存在直接控股、管理关系的不同投标人，不得参加同一合同项下的政府采购活动。否则，皆取消投标资格；</w:t>
            </w:r>
          </w:p>
          <w:p>
            <w:pPr>
              <w:tabs>
                <w:tab w:val="left" w:pos="840"/>
              </w:tabs>
              <w:snapToGrid w:val="0"/>
              <w:spacing w:line="500" w:lineRule="exact"/>
              <w:jc w:val="left"/>
            </w:pPr>
            <w:r>
              <w:t>3</w:t>
            </w:r>
            <w:r>
              <w:rPr>
                <w:rFonts w:hint="eastAsia"/>
              </w:rPr>
              <w:t>.本项目不接受投标人以联合体方式进行投标；</w:t>
            </w:r>
          </w:p>
          <w:p>
            <w:pPr>
              <w:rPr>
                <w:rFonts w:hint="eastAsia"/>
              </w:rPr>
            </w:pPr>
            <w:r>
              <w:t>4</w:t>
            </w:r>
            <w:r>
              <w:rPr>
                <w:rFonts w:hint="eastAsia"/>
              </w:rPr>
              <w:t>.提供在《信用中国》网站（www.creditchina.gov.cn）信用信息栏中无任何不良记录的查询截图（截图时间为：开标时间截止前20天内）。</w:t>
            </w:r>
          </w:p>
          <w:p>
            <w:pPr>
              <w:rPr>
                <w:rFonts w:hint="eastAsia" w:eastAsia="宋体"/>
                <w:lang w:eastAsia="zh-CN"/>
              </w:rPr>
            </w:pPr>
            <w:r>
              <w:rPr>
                <w:rFonts w:hint="eastAsia"/>
                <w:lang w:val="en-US" w:eastAsia="zh-CN"/>
              </w:rPr>
              <w:t>7.</w:t>
            </w:r>
            <w:r>
              <w:rPr>
                <w:rFonts w:hint="eastAsia"/>
              </w:rPr>
              <w:t>供应商具备自然资源主管部门核发的测绘</w:t>
            </w:r>
            <w:r>
              <w:rPr>
                <w:rFonts w:hint="eastAsia"/>
                <w:lang w:eastAsia="zh-CN"/>
              </w:rPr>
              <w:t>甲</w:t>
            </w:r>
            <w:r>
              <w:rPr>
                <w:rFonts w:hint="eastAsia"/>
              </w:rPr>
              <w:t>级资质（具备工程测量、不动产测绘、地理信息系统工程专业中两个及以上）</w:t>
            </w:r>
            <w:r>
              <w:rPr>
                <w:rFonts w:hint="eastAsia"/>
                <w:lang w:eastAsia="zh-CN"/>
              </w:rPr>
              <w:t>。</w:t>
            </w:r>
          </w:p>
        </w:tc>
      </w:tr>
      <w:tr>
        <w:tblPrEx>
          <w:tblCellMar>
            <w:top w:w="0" w:type="dxa"/>
            <w:left w:w="108" w:type="dxa"/>
            <w:bottom w:w="0" w:type="dxa"/>
            <w:right w:w="108" w:type="dxa"/>
          </w:tblCellMar>
        </w:tblPrEx>
        <w:trPr>
          <w:trHeight w:val="23"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公告发布时间</w:t>
            </w:r>
          </w:p>
        </w:tc>
        <w:tc>
          <w:tcPr>
            <w:tcW w:w="69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u w:val="dashDotHeavy"/>
                <w:lang w:val="zh-CN"/>
              </w:rPr>
            </w:pPr>
            <w:r>
              <w:rPr>
                <w:rFonts w:ascii="宋体" w:hAnsi="Calibri" w:cs="宋体"/>
                <w:kern w:val="0"/>
                <w:lang w:val="zh-CN"/>
              </w:rPr>
              <w:t>20</w:t>
            </w:r>
            <w:r>
              <w:rPr>
                <w:rFonts w:hint="eastAsia" w:ascii="宋体" w:hAnsi="Calibri" w:cs="宋体"/>
                <w:kern w:val="0"/>
                <w:lang w:val="zh-CN"/>
              </w:rPr>
              <w:t>2</w:t>
            </w:r>
            <w:r>
              <w:rPr>
                <w:rFonts w:hint="eastAsia" w:ascii="宋体" w:hAnsi="Calibri" w:cs="宋体"/>
                <w:kern w:val="0"/>
                <w:lang w:val="en-US" w:eastAsia="zh-CN"/>
              </w:rPr>
              <w:t>3</w:t>
            </w:r>
            <w:r>
              <w:rPr>
                <w:rFonts w:ascii="宋体" w:hAnsi="Calibri" w:cs="宋体"/>
                <w:kern w:val="0"/>
                <w:lang w:val="zh-CN"/>
              </w:rPr>
              <w:t>年</w:t>
            </w:r>
            <w:r>
              <w:rPr>
                <w:rFonts w:hint="eastAsia" w:ascii="宋体" w:hAnsi="Calibri" w:cs="宋体"/>
                <w:kern w:val="0"/>
                <w:lang w:val="en-US" w:eastAsia="zh-CN"/>
              </w:rPr>
              <w:t>5</w:t>
            </w:r>
            <w:r>
              <w:rPr>
                <w:rFonts w:ascii="宋体" w:hAnsi="Calibri" w:cs="宋体"/>
                <w:kern w:val="0"/>
                <w:lang w:val="zh-CN"/>
              </w:rPr>
              <w:t>月</w:t>
            </w:r>
            <w:r>
              <w:rPr>
                <w:rFonts w:hint="eastAsia" w:ascii="宋体" w:hAnsi="Calibri" w:cs="宋体"/>
                <w:kern w:val="0"/>
                <w:lang w:val="en-US" w:eastAsia="zh-CN"/>
              </w:rPr>
              <w:t>4</w:t>
            </w:r>
            <w:r>
              <w:rPr>
                <w:rFonts w:ascii="宋体" w:hAnsi="Calibri" w:cs="宋体"/>
                <w:kern w:val="0"/>
                <w:lang w:val="zh-CN"/>
              </w:rPr>
              <w:t>日</w:t>
            </w:r>
          </w:p>
        </w:tc>
      </w:tr>
      <w:tr>
        <w:tblPrEx>
          <w:tblCellMar>
            <w:top w:w="0" w:type="dxa"/>
            <w:left w:w="108" w:type="dxa"/>
            <w:bottom w:w="0" w:type="dxa"/>
            <w:right w:w="108" w:type="dxa"/>
          </w:tblCellMar>
        </w:tblPrEx>
        <w:trPr>
          <w:trHeight w:val="23"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获取招标文件的时间期限</w:t>
            </w:r>
          </w:p>
        </w:tc>
        <w:tc>
          <w:tcPr>
            <w:tcW w:w="69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u w:val="dashDotHeavy"/>
                <w:lang w:val="zh-CN"/>
              </w:rPr>
            </w:pPr>
            <w:r>
              <w:rPr>
                <w:rFonts w:hint="eastAsia" w:ascii="宋体" w:hAnsi="Calibri" w:cs="宋体"/>
                <w:kern w:val="0"/>
                <w:lang w:val="zh-CN"/>
              </w:rPr>
              <w:t>202</w:t>
            </w:r>
            <w:r>
              <w:rPr>
                <w:rFonts w:hint="eastAsia" w:ascii="宋体" w:hAnsi="Calibri" w:cs="宋体"/>
                <w:kern w:val="0"/>
                <w:lang w:val="en-US" w:eastAsia="zh-CN"/>
              </w:rPr>
              <w:t>3</w:t>
            </w:r>
            <w:r>
              <w:rPr>
                <w:rFonts w:hint="eastAsia" w:ascii="宋体" w:hAnsi="Calibri" w:cs="宋体"/>
                <w:kern w:val="0"/>
                <w:lang w:val="zh-CN"/>
              </w:rPr>
              <w:t>年</w:t>
            </w:r>
            <w:r>
              <w:rPr>
                <w:rFonts w:hint="eastAsia" w:ascii="宋体" w:hAnsi="Calibri" w:cs="宋体"/>
                <w:kern w:val="0"/>
                <w:lang w:val="en-US" w:eastAsia="zh-CN"/>
              </w:rPr>
              <w:t>5</w:t>
            </w:r>
            <w:r>
              <w:rPr>
                <w:rFonts w:hint="eastAsia" w:ascii="宋体" w:hAnsi="Calibri" w:cs="宋体"/>
                <w:kern w:val="0"/>
                <w:lang w:val="zh-CN"/>
              </w:rPr>
              <w:t>月</w:t>
            </w:r>
            <w:r>
              <w:rPr>
                <w:rFonts w:hint="eastAsia" w:ascii="宋体" w:hAnsi="Calibri" w:cs="宋体"/>
                <w:kern w:val="0"/>
                <w:lang w:val="en-US" w:eastAsia="zh-CN"/>
              </w:rPr>
              <w:t>5</w:t>
            </w:r>
            <w:r>
              <w:rPr>
                <w:rFonts w:hint="eastAsia" w:ascii="宋体" w:hAnsi="Calibri" w:cs="宋体"/>
                <w:kern w:val="0"/>
                <w:lang w:val="zh-CN"/>
              </w:rPr>
              <w:t>日至202</w:t>
            </w:r>
            <w:r>
              <w:rPr>
                <w:rFonts w:hint="eastAsia" w:ascii="宋体" w:hAnsi="Calibri" w:cs="宋体"/>
                <w:kern w:val="0"/>
                <w:lang w:val="en-US" w:eastAsia="zh-CN"/>
              </w:rPr>
              <w:t>3</w:t>
            </w:r>
            <w:r>
              <w:rPr>
                <w:rFonts w:hint="eastAsia" w:ascii="宋体" w:hAnsi="Calibri" w:cs="宋体"/>
                <w:kern w:val="0"/>
                <w:lang w:val="zh-CN"/>
              </w:rPr>
              <w:t>年</w:t>
            </w:r>
            <w:r>
              <w:rPr>
                <w:rFonts w:hint="eastAsia" w:ascii="宋体" w:hAnsi="Calibri" w:cs="宋体"/>
                <w:kern w:val="0"/>
                <w:lang w:val="en-US" w:eastAsia="zh-CN"/>
              </w:rPr>
              <w:t>05</w:t>
            </w:r>
            <w:r>
              <w:rPr>
                <w:rFonts w:hint="eastAsia" w:ascii="宋体" w:hAnsi="Calibri" w:cs="宋体"/>
                <w:kern w:val="0"/>
                <w:lang w:val="zh-CN"/>
              </w:rPr>
              <w:t>月</w:t>
            </w:r>
            <w:r>
              <w:rPr>
                <w:rFonts w:hint="eastAsia" w:ascii="宋体" w:hAnsi="Calibri" w:cs="宋体"/>
                <w:kern w:val="0"/>
                <w:lang w:val="en-US" w:eastAsia="zh-CN"/>
              </w:rPr>
              <w:t>10</w:t>
            </w:r>
            <w:r>
              <w:rPr>
                <w:rFonts w:hint="eastAsia" w:ascii="宋体" w:hAnsi="Calibri" w:cs="宋体"/>
                <w:kern w:val="0"/>
                <w:lang w:val="zh-CN"/>
              </w:rPr>
              <w:t>日上午9时- 12时，下午15时-17时30分（北京时间）节假日除外。</w:t>
            </w:r>
          </w:p>
        </w:tc>
      </w:tr>
      <w:tr>
        <w:tblPrEx>
          <w:tblCellMar>
            <w:top w:w="0" w:type="dxa"/>
            <w:left w:w="108" w:type="dxa"/>
            <w:bottom w:w="0" w:type="dxa"/>
            <w:right w:w="108" w:type="dxa"/>
          </w:tblCellMar>
        </w:tblPrEx>
        <w:trPr>
          <w:trHeight w:val="23"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获取招标文件方式</w:t>
            </w:r>
          </w:p>
        </w:tc>
        <w:tc>
          <w:tcPr>
            <w:tcW w:w="69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lang w:val="en-US" w:eastAsia="zh-CN"/>
              </w:rPr>
            </w:pPr>
            <w:r>
              <w:rPr>
                <w:rFonts w:hint="eastAsia" w:ascii="宋体" w:hAnsi="宋体" w:cs="宋体"/>
                <w:kern w:val="0"/>
                <w:lang w:val="zh-CN"/>
              </w:rPr>
              <w:t>投标人登录政采云平台https://www.zcygov.cn/在线申请获取采购文件（进入“项目采购”应用，在获取采购文件菜单中选择项目，申请获取采购文件）</w:t>
            </w:r>
          </w:p>
        </w:tc>
      </w:tr>
      <w:tr>
        <w:tblPrEx>
          <w:tblCellMar>
            <w:top w:w="0" w:type="dxa"/>
            <w:left w:w="108" w:type="dxa"/>
            <w:bottom w:w="0" w:type="dxa"/>
            <w:right w:w="108" w:type="dxa"/>
          </w:tblCellMar>
        </w:tblPrEx>
        <w:trPr>
          <w:trHeight w:val="23"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招标文件售价</w:t>
            </w:r>
          </w:p>
        </w:tc>
        <w:tc>
          <w:tcPr>
            <w:tcW w:w="6933" w:type="dxa"/>
            <w:tcBorders>
              <w:top w:val="single" w:color="000000" w:sz="6" w:space="0"/>
              <w:left w:val="single" w:color="000000" w:sz="6" w:space="0"/>
              <w:bottom w:val="single" w:color="000000" w:sz="6" w:space="0"/>
              <w:right w:val="single" w:color="000000" w:sz="6" w:space="0"/>
            </w:tcBorders>
            <w:vAlign w:val="center"/>
          </w:tcPr>
          <w:p>
            <w:pPr>
              <w:pStyle w:val="15"/>
              <w:spacing w:line="360" w:lineRule="auto"/>
              <w:jc w:val="both"/>
              <w:rPr>
                <w:rFonts w:ascii="宋体" w:hAnsi="宋体" w:cs="宋体"/>
                <w:kern w:val="0"/>
                <w:lang w:val="zh-CN"/>
              </w:rPr>
            </w:pPr>
            <w:r>
              <w:rPr>
                <w:rFonts w:hint="eastAsia" w:ascii="宋体" w:hAnsi="Calibri" w:cs="宋体"/>
                <w:kern w:val="0"/>
                <w:lang w:val="en-US" w:eastAsia="zh-CN"/>
              </w:rPr>
              <w:t>0.00</w:t>
            </w:r>
            <w:r>
              <w:rPr>
                <w:rFonts w:hint="eastAsia" w:ascii="宋体" w:hAnsi="Calibri" w:cs="宋体"/>
                <w:kern w:val="0"/>
                <w:lang w:val="zh-CN"/>
              </w:rPr>
              <w:t>元</w:t>
            </w:r>
            <w:r>
              <w:rPr>
                <w:rFonts w:ascii="宋体" w:hAnsi="Calibri" w:cs="宋体"/>
                <w:kern w:val="0"/>
                <w:lang w:val="zh-CN"/>
              </w:rPr>
              <w:t>/</w:t>
            </w:r>
            <w:r>
              <w:rPr>
                <w:rFonts w:hint="eastAsia" w:ascii="宋体" w:hAnsi="Calibri" w:cs="宋体"/>
                <w:kern w:val="0"/>
                <w:lang w:val="zh-CN"/>
              </w:rPr>
              <w:t>份</w:t>
            </w:r>
          </w:p>
        </w:tc>
      </w:tr>
      <w:tr>
        <w:tblPrEx>
          <w:tblCellMar>
            <w:top w:w="0" w:type="dxa"/>
            <w:left w:w="108" w:type="dxa"/>
            <w:bottom w:w="0" w:type="dxa"/>
            <w:right w:w="108" w:type="dxa"/>
          </w:tblCellMar>
        </w:tblPrEx>
        <w:trPr>
          <w:trHeight w:val="23"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获取招标文件地点</w:t>
            </w:r>
          </w:p>
        </w:tc>
        <w:tc>
          <w:tcPr>
            <w:tcW w:w="6933" w:type="dxa"/>
            <w:tcBorders>
              <w:top w:val="single" w:color="000000" w:sz="6" w:space="0"/>
              <w:left w:val="single" w:color="000000" w:sz="6" w:space="0"/>
              <w:bottom w:val="single" w:color="000000" w:sz="6" w:space="0"/>
              <w:right w:val="single" w:color="000000" w:sz="6" w:space="0"/>
            </w:tcBorders>
            <w:vAlign w:val="center"/>
          </w:tcPr>
          <w:p>
            <w:pPr>
              <w:pStyle w:val="15"/>
              <w:spacing w:line="276" w:lineRule="auto"/>
              <w:jc w:val="both"/>
              <w:rPr>
                <w:rFonts w:hint="default" w:ascii="宋体" w:hAnsi="宋体" w:cs="宋体" w:eastAsiaTheme="minorEastAsia"/>
                <w:kern w:val="0"/>
                <w:lang w:val="en-US" w:eastAsia="zh-CN"/>
              </w:rPr>
            </w:pPr>
            <w:r>
              <w:rPr>
                <w:rFonts w:hint="eastAsia" w:ascii="宋体" w:hAnsi="宋体" w:cs="宋体"/>
                <w:kern w:val="0"/>
                <w:lang w:val="en-US" w:eastAsia="zh-CN"/>
              </w:rPr>
              <w:t>政采云平台免费下载。</w:t>
            </w:r>
          </w:p>
        </w:tc>
      </w:tr>
      <w:tr>
        <w:tblPrEx>
          <w:tblCellMar>
            <w:top w:w="0" w:type="dxa"/>
            <w:left w:w="108" w:type="dxa"/>
            <w:bottom w:w="0" w:type="dxa"/>
            <w:right w:w="108" w:type="dxa"/>
          </w:tblCellMar>
        </w:tblPrEx>
        <w:trPr>
          <w:trHeight w:val="23"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获取招标文件时应提供材料</w:t>
            </w:r>
          </w:p>
        </w:tc>
        <w:tc>
          <w:tcPr>
            <w:tcW w:w="6933" w:type="dxa"/>
            <w:tcBorders>
              <w:top w:val="single" w:color="000000" w:sz="6" w:space="0"/>
              <w:left w:val="single" w:color="000000" w:sz="6" w:space="0"/>
              <w:bottom w:val="single" w:color="000000" w:sz="6" w:space="0"/>
              <w:right w:val="single" w:color="000000" w:sz="6" w:space="0"/>
            </w:tcBorders>
            <w:vAlign w:val="center"/>
          </w:tcPr>
          <w:p>
            <w:pPr>
              <w:pStyle w:val="15"/>
              <w:spacing w:line="276" w:lineRule="auto"/>
              <w:jc w:val="both"/>
              <w:rPr>
                <w:rFonts w:hint="eastAsia" w:ascii="宋体" w:hAnsi="宋体" w:cs="宋体" w:eastAsiaTheme="minorEastAsia"/>
                <w:kern w:val="0"/>
                <w:lang w:val="en-US" w:eastAsia="zh-CN"/>
              </w:rPr>
            </w:pPr>
            <w:r>
              <w:rPr>
                <w:rFonts w:hint="eastAsia" w:ascii="宋体" w:hAnsi="宋体" w:cs="宋体"/>
                <w:kern w:val="0"/>
                <w:lang w:val="en-US" w:eastAsia="zh-CN"/>
              </w:rPr>
              <w:t>/</w:t>
            </w:r>
          </w:p>
        </w:tc>
      </w:tr>
      <w:tr>
        <w:tblPrEx>
          <w:tblCellMar>
            <w:top w:w="0" w:type="dxa"/>
            <w:left w:w="108" w:type="dxa"/>
            <w:bottom w:w="0" w:type="dxa"/>
            <w:right w:w="108" w:type="dxa"/>
          </w:tblCellMar>
        </w:tblPrEx>
        <w:trPr>
          <w:trHeight w:val="801"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rPr>
              <w:t>响应文件解密开始时间</w:t>
            </w:r>
          </w:p>
        </w:tc>
        <w:tc>
          <w:tcPr>
            <w:tcW w:w="6933" w:type="dxa"/>
            <w:tcBorders>
              <w:top w:val="single" w:color="000000" w:sz="6" w:space="0"/>
              <w:left w:val="single" w:color="000000" w:sz="6" w:space="0"/>
              <w:bottom w:val="single" w:color="000000" w:sz="6" w:space="0"/>
              <w:right w:val="single" w:color="000000" w:sz="6" w:space="0"/>
            </w:tcBorders>
            <w:vAlign w:val="center"/>
          </w:tcPr>
          <w:p>
            <w:pPr>
              <w:pStyle w:val="15"/>
              <w:spacing w:line="276" w:lineRule="auto"/>
              <w:jc w:val="both"/>
              <w:rPr>
                <w:rFonts w:ascii="宋体" w:hAnsi="宋体" w:cs="宋体"/>
                <w:kern w:val="0"/>
                <w:lang w:val="zh-CN"/>
              </w:rPr>
            </w:pPr>
            <w:r>
              <w:rPr>
                <w:rFonts w:hint="eastAsia" w:ascii="宋体" w:hAnsi="宋体" w:cs="宋体"/>
              </w:rPr>
              <w:t>2022年05月</w:t>
            </w:r>
            <w:r>
              <w:rPr>
                <w:rFonts w:hint="eastAsia" w:ascii="宋体" w:hAnsi="宋体" w:cs="宋体"/>
                <w:lang w:val="en-US" w:eastAsia="zh-CN"/>
              </w:rPr>
              <w:t>26</w:t>
            </w:r>
            <w:r>
              <w:rPr>
                <w:rFonts w:hint="eastAsia" w:ascii="宋体" w:hAnsi="宋体" w:cs="宋体"/>
              </w:rPr>
              <w:t>日</w:t>
            </w:r>
            <w:r>
              <w:rPr>
                <w:rFonts w:hint="eastAsia" w:ascii="宋体" w:hAnsi="宋体" w:cs="宋体"/>
                <w:lang w:val="en-US" w:eastAsia="zh-CN"/>
              </w:rPr>
              <w:t>9</w:t>
            </w:r>
            <w:r>
              <w:rPr>
                <w:rFonts w:hint="eastAsia" w:ascii="宋体" w:hAnsi="宋体" w:cs="宋体"/>
              </w:rPr>
              <w:t>时</w:t>
            </w:r>
            <w:r>
              <w:rPr>
                <w:rFonts w:hint="eastAsia" w:ascii="宋体" w:hAnsi="宋体" w:cs="宋体"/>
                <w:lang w:val="en-US" w:eastAsia="zh-CN"/>
              </w:rPr>
              <w:t>00分</w:t>
            </w:r>
            <w:r>
              <w:rPr>
                <w:rFonts w:hint="eastAsia" w:ascii="宋体" w:hAnsi="宋体" w:cs="宋体"/>
              </w:rPr>
              <w:t>（北京时间）</w:t>
            </w:r>
          </w:p>
        </w:tc>
      </w:tr>
      <w:tr>
        <w:tblPrEx>
          <w:tblCellMar>
            <w:top w:w="0" w:type="dxa"/>
            <w:left w:w="108" w:type="dxa"/>
            <w:bottom w:w="0" w:type="dxa"/>
            <w:right w:w="108" w:type="dxa"/>
          </w:tblCellMar>
        </w:tblPrEx>
        <w:trPr>
          <w:trHeight w:val="23"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投标截止</w:t>
            </w:r>
            <w:r>
              <w:rPr>
                <w:rFonts w:hint="eastAsia" w:ascii="宋体" w:hAnsi="宋体" w:cs="宋体"/>
                <w:kern w:val="0"/>
              </w:rPr>
              <w:t>及</w:t>
            </w:r>
            <w:r>
              <w:rPr>
                <w:rFonts w:hint="eastAsia" w:ascii="宋体" w:hAnsi="宋体" w:cs="宋体"/>
                <w:kern w:val="0"/>
                <w:lang w:val="zh-CN"/>
              </w:rPr>
              <w:t>开标时间</w:t>
            </w:r>
          </w:p>
        </w:tc>
        <w:tc>
          <w:tcPr>
            <w:tcW w:w="6933" w:type="dxa"/>
            <w:tcBorders>
              <w:top w:val="single" w:color="000000" w:sz="6" w:space="0"/>
              <w:left w:val="single" w:color="000000" w:sz="6" w:space="0"/>
              <w:bottom w:val="single" w:color="000000" w:sz="6" w:space="0"/>
              <w:right w:val="single" w:color="000000" w:sz="6" w:space="0"/>
            </w:tcBorders>
            <w:vAlign w:val="center"/>
          </w:tcPr>
          <w:p>
            <w:pPr>
              <w:pStyle w:val="15"/>
              <w:spacing w:line="276" w:lineRule="auto"/>
              <w:jc w:val="both"/>
              <w:rPr>
                <w:rFonts w:ascii="宋体" w:hAnsi="宋体" w:cs="宋体"/>
              </w:rPr>
            </w:pPr>
            <w:r>
              <w:rPr>
                <w:rFonts w:hint="eastAsia" w:ascii="宋体" w:hAnsi="宋体" w:cs="宋体"/>
              </w:rPr>
              <w:t>2022年05月</w:t>
            </w:r>
            <w:r>
              <w:rPr>
                <w:rFonts w:hint="eastAsia" w:ascii="宋体" w:hAnsi="宋体" w:cs="宋体"/>
                <w:lang w:val="en-US" w:eastAsia="zh-CN"/>
              </w:rPr>
              <w:t>26</w:t>
            </w:r>
            <w:r>
              <w:rPr>
                <w:rFonts w:hint="eastAsia" w:ascii="宋体" w:hAnsi="宋体" w:cs="宋体"/>
              </w:rPr>
              <w:t>日9时</w:t>
            </w:r>
            <w:r>
              <w:rPr>
                <w:rFonts w:hint="eastAsia" w:ascii="宋体" w:hAnsi="宋体" w:cs="宋体"/>
                <w:lang w:val="en-US" w:eastAsia="zh-CN"/>
              </w:rPr>
              <w:t>00分</w:t>
            </w:r>
            <w:r>
              <w:rPr>
                <w:rFonts w:hint="eastAsia" w:ascii="宋体" w:hAnsi="宋体" w:cs="宋体"/>
              </w:rPr>
              <w:t xml:space="preserve">（北京时间） </w:t>
            </w:r>
            <w:r>
              <w:rPr>
                <w:rFonts w:ascii="宋体" w:hAnsi="宋体" w:cs="宋体"/>
              </w:rPr>
              <w:t xml:space="preserve">                     </w:t>
            </w:r>
          </w:p>
          <w:p>
            <w:pPr>
              <w:pStyle w:val="15"/>
              <w:spacing w:line="276" w:lineRule="auto"/>
              <w:jc w:val="both"/>
              <w:rPr>
                <w:rFonts w:ascii="宋体" w:hAnsi="宋体" w:cs="宋体"/>
              </w:rPr>
            </w:pPr>
          </w:p>
        </w:tc>
      </w:tr>
      <w:tr>
        <w:tblPrEx>
          <w:tblCellMar>
            <w:top w:w="0" w:type="dxa"/>
            <w:left w:w="108" w:type="dxa"/>
            <w:bottom w:w="0" w:type="dxa"/>
            <w:right w:w="108" w:type="dxa"/>
          </w:tblCellMar>
        </w:tblPrEx>
        <w:trPr>
          <w:trHeight w:val="301"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开标地点</w:t>
            </w:r>
          </w:p>
        </w:tc>
        <w:tc>
          <w:tcPr>
            <w:tcW w:w="69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line="312" w:lineRule="auto"/>
            </w:pPr>
            <w:r>
              <w:rPr>
                <w:rFonts w:hint="eastAsia"/>
                <w:lang w:val="en-US" w:eastAsia="zh-CN"/>
              </w:rPr>
              <w:t>海西州</w:t>
            </w:r>
            <w:r>
              <w:rPr>
                <w:rFonts w:hint="eastAsia"/>
              </w:rPr>
              <w:t>公共资源交易中心</w:t>
            </w:r>
            <w:r>
              <w:rPr>
                <w:rFonts w:hint="eastAsia"/>
                <w:lang w:val="en-US" w:eastAsia="zh-CN"/>
              </w:rPr>
              <w:t>一</w:t>
            </w:r>
            <w:r>
              <w:rPr>
                <w:rFonts w:hint="eastAsia"/>
              </w:rPr>
              <w:t>号开标厅</w:t>
            </w:r>
          </w:p>
        </w:tc>
      </w:tr>
      <w:tr>
        <w:tblPrEx>
          <w:tblCellMar>
            <w:top w:w="0" w:type="dxa"/>
            <w:left w:w="108" w:type="dxa"/>
            <w:bottom w:w="0" w:type="dxa"/>
            <w:right w:w="108" w:type="dxa"/>
          </w:tblCellMar>
        </w:tblPrEx>
        <w:trPr>
          <w:trHeight w:val="23"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采购人联系</w:t>
            </w:r>
            <w:r>
              <w:rPr>
                <w:rFonts w:hint="eastAsia" w:ascii="宋体" w:hAnsi="宋体" w:cs="宋体"/>
                <w:kern w:val="0"/>
              </w:rPr>
              <w:t>人</w:t>
            </w:r>
          </w:p>
        </w:tc>
        <w:tc>
          <w:tcPr>
            <w:tcW w:w="6933" w:type="dxa"/>
            <w:tcBorders>
              <w:top w:val="single" w:color="000000" w:sz="6" w:space="0"/>
              <w:left w:val="single" w:color="000000" w:sz="6" w:space="0"/>
              <w:bottom w:val="single" w:color="000000" w:sz="6" w:space="0"/>
              <w:right w:val="single" w:color="000000" w:sz="6" w:space="0"/>
            </w:tcBorders>
            <w:vAlign w:val="center"/>
          </w:tcPr>
          <w:p>
            <w:pPr>
              <w:spacing w:line="288"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rPr>
              <w:t>采</w:t>
            </w:r>
            <w:r>
              <w:rPr>
                <w:rFonts w:hint="eastAsia" w:ascii="宋体" w:hAnsi="宋体" w:cs="宋体"/>
                <w:color w:val="000000" w:themeColor="text1"/>
                <w14:textFill>
                  <w14:solidFill>
                    <w14:schemeClr w14:val="tx1"/>
                  </w14:solidFill>
                </w14:textFill>
              </w:rPr>
              <w:t>购人：</w:t>
            </w:r>
            <w:r>
              <w:rPr>
                <w:rFonts w:hint="eastAsia" w:ascii="宋体" w:hAnsi="宋体" w:cs="宋体"/>
                <w:color w:val="000000" w:themeColor="text1"/>
                <w:lang w:eastAsia="zh-CN"/>
                <w14:textFill>
                  <w14:solidFill>
                    <w14:schemeClr w14:val="tx1"/>
                  </w14:solidFill>
                </w14:textFill>
              </w:rPr>
              <w:t>都兰县自然资源局</w:t>
            </w:r>
          </w:p>
          <w:p>
            <w:pPr>
              <w:spacing w:line="288" w:lineRule="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通讯地址：</w:t>
            </w:r>
            <w:r>
              <w:rPr>
                <w:rFonts w:hint="eastAsia" w:ascii="宋体" w:hAnsi="宋体" w:cs="宋体"/>
                <w:color w:val="000000" w:themeColor="text1"/>
                <w:lang w:val="en-US" w:eastAsia="zh-CN"/>
                <w14:textFill>
                  <w14:solidFill>
                    <w14:schemeClr w14:val="tx1"/>
                  </w14:solidFill>
                </w14:textFill>
              </w:rPr>
              <w:t>都兰县</w:t>
            </w:r>
          </w:p>
          <w:p>
            <w:pPr>
              <w:spacing w:line="288"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联系人：</w:t>
            </w:r>
            <w:r>
              <w:rPr>
                <w:rFonts w:hint="eastAsia" w:ascii="宋体" w:hAnsi="宋体" w:cs="宋体"/>
                <w:color w:val="000000" w:themeColor="text1"/>
                <w:lang w:val="en-US" w:eastAsia="zh-CN"/>
                <w14:textFill>
                  <w14:solidFill>
                    <w14:schemeClr w14:val="tx1"/>
                  </w14:solidFill>
                </w14:textFill>
              </w:rPr>
              <w:t>毛先生</w:t>
            </w:r>
          </w:p>
          <w:p>
            <w:pPr>
              <w:autoSpaceDE w:val="0"/>
              <w:autoSpaceDN w:val="0"/>
              <w:adjustRightInd w:val="0"/>
              <w:spacing w:line="276" w:lineRule="auto"/>
              <w:rPr>
                <w:rFonts w:hint="default" w:ascii="宋体" w:hAnsi="宋体" w:eastAsia="宋体" w:cs="宋体"/>
                <w:kern w:val="0"/>
                <w:lang w:val="en-US" w:eastAsia="zh-CN"/>
              </w:rPr>
            </w:pP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themeColor="text1"/>
                <w:lang w:val="en-US" w:eastAsia="zh-CN"/>
                <w14:textFill>
                  <w14:solidFill>
                    <w14:schemeClr w14:val="tx1"/>
                  </w14:solidFill>
                </w14:textFill>
              </w:rPr>
              <w:t>18597019064</w:t>
            </w:r>
          </w:p>
        </w:tc>
      </w:tr>
      <w:tr>
        <w:tblPrEx>
          <w:tblCellMar>
            <w:top w:w="0" w:type="dxa"/>
            <w:left w:w="108" w:type="dxa"/>
            <w:bottom w:w="0" w:type="dxa"/>
            <w:right w:w="108" w:type="dxa"/>
          </w:tblCellMar>
        </w:tblPrEx>
        <w:trPr>
          <w:trHeight w:val="23"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代理机构联系人</w:t>
            </w:r>
          </w:p>
        </w:tc>
        <w:tc>
          <w:tcPr>
            <w:tcW w:w="69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line="312" w:lineRule="auto"/>
              <w:rPr>
                <w:rFonts w:ascii="宋体" w:hAnsi="宋体" w:cs="宋体"/>
                <w:kern w:val="0"/>
                <w:lang w:val="zh-CN"/>
              </w:rPr>
            </w:pPr>
            <w:r>
              <w:rPr>
                <w:rFonts w:hint="eastAsia" w:ascii="宋体" w:hAnsi="宋体" w:cs="宋体"/>
                <w:kern w:val="0"/>
                <w:lang w:val="zh-CN"/>
              </w:rPr>
              <w:t>采购代理机构：青海璇锴工程项目管理有限公司</w:t>
            </w:r>
          </w:p>
          <w:p>
            <w:pPr>
              <w:autoSpaceDE w:val="0"/>
              <w:autoSpaceDN w:val="0"/>
              <w:adjustRightInd w:val="0"/>
              <w:snapToGrid w:val="0"/>
              <w:spacing w:line="312" w:lineRule="auto"/>
              <w:rPr>
                <w:rFonts w:hint="default" w:ascii="宋体" w:hAnsi="宋体" w:eastAsia="宋体" w:cs="宋体"/>
                <w:kern w:val="0"/>
                <w:lang w:val="en-US" w:eastAsia="zh-CN"/>
              </w:rPr>
            </w:pPr>
            <w:r>
              <w:rPr>
                <w:rFonts w:hint="eastAsia" w:ascii="宋体" w:hAnsi="宋体" w:cs="宋体"/>
                <w:kern w:val="0"/>
                <w:lang w:val="zh-CN"/>
              </w:rPr>
              <w:t>联系人：</w:t>
            </w:r>
            <w:r>
              <w:rPr>
                <w:rFonts w:hint="eastAsia" w:ascii="宋体" w:hAnsi="宋体" w:cs="宋体"/>
                <w:kern w:val="0"/>
                <w:lang w:val="en-US" w:eastAsia="zh-CN"/>
              </w:rPr>
              <w:t>张女士</w:t>
            </w:r>
          </w:p>
          <w:p>
            <w:pPr>
              <w:autoSpaceDE w:val="0"/>
              <w:autoSpaceDN w:val="0"/>
              <w:adjustRightInd w:val="0"/>
              <w:snapToGrid w:val="0"/>
              <w:spacing w:line="312" w:lineRule="auto"/>
              <w:rPr>
                <w:rFonts w:hint="default"/>
                <w:lang w:val="en-US"/>
              </w:rPr>
            </w:pPr>
            <w:r>
              <w:rPr>
                <w:rFonts w:hint="eastAsia" w:ascii="宋体" w:hAnsi="宋体" w:cs="宋体"/>
                <w:kern w:val="0"/>
                <w:lang w:val="zh-CN"/>
              </w:rPr>
              <w:t>联系电话：0971-</w:t>
            </w:r>
            <w:r>
              <w:rPr>
                <w:rFonts w:hint="eastAsia" w:ascii="宋体" w:hAnsi="宋体" w:cs="宋体"/>
                <w:kern w:val="0"/>
                <w:lang w:val="en-US" w:eastAsia="zh-CN"/>
              </w:rPr>
              <w:t>4115188</w:t>
            </w:r>
          </w:p>
          <w:p>
            <w:pPr>
              <w:autoSpaceDE w:val="0"/>
              <w:autoSpaceDN w:val="0"/>
              <w:adjustRightInd w:val="0"/>
              <w:spacing w:line="360" w:lineRule="auto"/>
              <w:rPr>
                <w:rFonts w:hint="default" w:ascii="宋体" w:hAnsi="宋体" w:eastAsia="宋体" w:cs="宋体"/>
                <w:kern w:val="0"/>
                <w:lang w:val="en-US" w:eastAsia="zh-CN"/>
              </w:rPr>
            </w:pPr>
            <w:r>
              <w:rPr>
                <w:rFonts w:hint="eastAsia" w:ascii="宋体" w:hAnsi="宋体" w:cs="宋体"/>
                <w:kern w:val="0"/>
                <w:lang w:val="zh-CN"/>
              </w:rPr>
              <w:t>联系地址：西宁市城西区文苑路7号</w:t>
            </w:r>
            <w:r>
              <w:rPr>
                <w:rFonts w:hint="eastAsia" w:ascii="宋体" w:hAnsi="宋体" w:cs="宋体"/>
                <w:kern w:val="0"/>
                <w:lang w:val="en-US" w:eastAsia="zh-CN"/>
              </w:rPr>
              <w:t>1号楼2单元</w:t>
            </w:r>
            <w:r>
              <w:rPr>
                <w:rFonts w:hint="eastAsia" w:ascii="宋体" w:hAnsi="宋体" w:cs="宋体"/>
                <w:kern w:val="0"/>
                <w:lang w:val="zh-CN"/>
              </w:rPr>
              <w:t>B座</w:t>
            </w:r>
            <w:r>
              <w:rPr>
                <w:rFonts w:hint="eastAsia" w:ascii="宋体" w:hAnsi="宋体" w:cs="宋体"/>
                <w:kern w:val="0"/>
                <w:lang w:val="en-US" w:eastAsia="zh-CN"/>
              </w:rPr>
              <w:t>2104</w:t>
            </w:r>
          </w:p>
        </w:tc>
      </w:tr>
      <w:tr>
        <w:tblPrEx>
          <w:tblCellMar>
            <w:top w:w="0" w:type="dxa"/>
            <w:left w:w="108" w:type="dxa"/>
            <w:bottom w:w="0" w:type="dxa"/>
            <w:right w:w="108" w:type="dxa"/>
          </w:tblCellMar>
        </w:tblPrEx>
        <w:trPr>
          <w:trHeight w:val="23"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代理机构开户行</w:t>
            </w:r>
          </w:p>
        </w:tc>
        <w:tc>
          <w:tcPr>
            <w:tcW w:w="69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仿宋"/>
                <w:lang w:val="en-US" w:eastAsia="zh-CN"/>
              </w:rPr>
              <w:t>招商</w:t>
            </w:r>
            <w:r>
              <w:rPr>
                <w:rFonts w:hint="eastAsia" w:ascii="宋体" w:hAnsi="宋体" w:cs="仿宋"/>
              </w:rPr>
              <w:t>银行西宁分行</w:t>
            </w:r>
          </w:p>
        </w:tc>
      </w:tr>
      <w:tr>
        <w:tblPrEx>
          <w:tblCellMar>
            <w:top w:w="0" w:type="dxa"/>
            <w:left w:w="108" w:type="dxa"/>
            <w:bottom w:w="0" w:type="dxa"/>
            <w:right w:w="108" w:type="dxa"/>
          </w:tblCellMar>
        </w:tblPrEx>
        <w:trPr>
          <w:trHeight w:val="23"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收款人</w:t>
            </w:r>
          </w:p>
        </w:tc>
        <w:tc>
          <w:tcPr>
            <w:tcW w:w="69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Calibri" w:cs="宋体"/>
                <w:kern w:val="0"/>
                <w:lang w:val="zh-CN"/>
              </w:rPr>
              <w:t>青海璇锴工程项目管理有限公司</w:t>
            </w:r>
          </w:p>
        </w:tc>
      </w:tr>
      <w:tr>
        <w:tblPrEx>
          <w:tblCellMar>
            <w:top w:w="0" w:type="dxa"/>
            <w:left w:w="108" w:type="dxa"/>
            <w:bottom w:w="0" w:type="dxa"/>
            <w:right w:w="108" w:type="dxa"/>
          </w:tblCellMar>
        </w:tblPrEx>
        <w:trPr>
          <w:trHeight w:val="269"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银行账号</w:t>
            </w:r>
          </w:p>
        </w:tc>
        <w:tc>
          <w:tcPr>
            <w:tcW w:w="6933" w:type="dxa"/>
            <w:tcBorders>
              <w:top w:val="single" w:color="000000" w:sz="6" w:space="0"/>
              <w:left w:val="single" w:color="000000" w:sz="6" w:space="0"/>
              <w:bottom w:val="single" w:color="000000" w:sz="6" w:space="0"/>
              <w:right w:val="single" w:color="000000" w:sz="6" w:space="0"/>
            </w:tcBorders>
            <w:vAlign w:val="center"/>
          </w:tcPr>
          <w:p>
            <w:pPr>
              <w:spacing w:line="288" w:lineRule="auto"/>
              <w:rPr>
                <w:rFonts w:ascii="宋体" w:cs="宋体"/>
                <w:lang w:val="zh-CN"/>
              </w:rPr>
            </w:pPr>
            <w:r>
              <w:rPr>
                <w:rFonts w:hint="eastAsia" w:ascii="宋体" w:cs="宋体"/>
                <w:lang w:val="zh-CN"/>
              </w:rPr>
              <w:t>保证金账户：</w:t>
            </w:r>
            <w:r>
              <w:rPr>
                <w:rFonts w:hint="eastAsia" w:ascii="宋体" w:cs="宋体"/>
                <w:lang w:val="en-US" w:eastAsia="zh-CN"/>
              </w:rPr>
              <w:t>972901136410402</w:t>
            </w:r>
            <w:r>
              <w:rPr>
                <w:rFonts w:hint="eastAsia" w:ascii="宋体" w:cs="宋体"/>
                <w:lang w:val="zh-CN"/>
              </w:rPr>
              <w:t>（保证金汇款，后附项目编号及包号）</w:t>
            </w:r>
          </w:p>
          <w:p>
            <w:pPr>
              <w:spacing w:line="288" w:lineRule="auto"/>
              <w:rPr>
                <w:rFonts w:ascii="宋体" w:hAnsi="宋体" w:cs="宋体"/>
                <w:kern w:val="0"/>
                <w:lang w:val="zh-CN"/>
              </w:rPr>
            </w:pPr>
            <w:r>
              <w:rPr>
                <w:rFonts w:hint="eastAsia" w:ascii="宋体" w:cs="宋体"/>
                <w:lang w:val="zh-CN"/>
              </w:rPr>
              <w:t>一般账号：</w:t>
            </w:r>
            <w:r>
              <w:rPr>
                <w:rFonts w:hint="eastAsia" w:ascii="宋体" w:cs="宋体"/>
                <w:lang w:val="en-US" w:eastAsia="zh-CN"/>
              </w:rPr>
              <w:t>9729011136410601</w:t>
            </w:r>
            <w:r>
              <w:rPr>
                <w:rFonts w:hint="eastAsia" w:ascii="宋体" w:cs="宋体"/>
                <w:lang w:val="zh-CN"/>
              </w:rPr>
              <w:t>（标书费、中标服务费汇款，后附项目编号）</w:t>
            </w:r>
          </w:p>
        </w:tc>
      </w:tr>
      <w:tr>
        <w:tblPrEx>
          <w:tblCellMar>
            <w:top w:w="0" w:type="dxa"/>
            <w:left w:w="108" w:type="dxa"/>
            <w:bottom w:w="0" w:type="dxa"/>
            <w:right w:w="108" w:type="dxa"/>
          </w:tblCellMar>
        </w:tblPrEx>
        <w:trPr>
          <w:trHeight w:val="411"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其他事项</w:t>
            </w:r>
          </w:p>
        </w:tc>
        <w:tc>
          <w:tcPr>
            <w:tcW w:w="69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rPr>
                <w:rFonts w:hint="default" w:ascii="宋体" w:hAnsi="宋体" w:eastAsia="宋体" w:cs="宋体"/>
                <w:kern w:val="0"/>
                <w:lang w:val="en-US" w:eastAsia="zh-CN"/>
              </w:rPr>
            </w:pPr>
            <w:r>
              <w:rPr>
                <w:rFonts w:hint="eastAsia" w:ascii="宋体" w:hAnsi="宋体" w:cs="宋体"/>
                <w:kern w:val="0"/>
                <w:lang w:val="en-US" w:eastAsia="zh-CN"/>
              </w:rPr>
              <w:t>本项目为政采云平台全流程电子不见面开评标项目。</w:t>
            </w:r>
            <w:r>
              <w:rPr>
                <w:rFonts w:hint="eastAsia" w:ascii="宋体" w:hAnsi="Calibri" w:cs="宋体"/>
                <w:kern w:val="0"/>
                <w:lang w:val="zh-CN"/>
              </w:rPr>
              <w:t>若对项目采购电子交易系统操作有疑问，可登录政采云（https://www.zcygov.cn/），点击右侧咨询小采，获取采小蜜智能服务管家帮助，或拨打政采云服务热线</w:t>
            </w:r>
            <w:r>
              <w:rPr>
                <w:rFonts w:hint="eastAsia" w:ascii="宋体" w:hAnsi="Calibri" w:cs="宋体"/>
                <w:kern w:val="0"/>
                <w:lang w:val="en-US" w:eastAsia="zh-CN"/>
              </w:rPr>
              <w:t>95763</w:t>
            </w:r>
            <w:r>
              <w:rPr>
                <w:rFonts w:hint="eastAsia" w:ascii="宋体" w:hAnsi="Calibri" w:cs="宋体"/>
                <w:kern w:val="0"/>
                <w:lang w:val="zh-CN"/>
              </w:rPr>
              <w:t>获取热线服务帮助。CA问题联系电话（人工）；天谷CA 400-087-8198。</w:t>
            </w:r>
          </w:p>
        </w:tc>
      </w:tr>
      <w:tr>
        <w:tblPrEx>
          <w:tblCellMar>
            <w:top w:w="0" w:type="dxa"/>
            <w:left w:w="108" w:type="dxa"/>
            <w:bottom w:w="0" w:type="dxa"/>
            <w:right w:w="108" w:type="dxa"/>
          </w:tblCellMar>
        </w:tblPrEx>
        <w:trPr>
          <w:trHeight w:val="553" w:hRule="atLeast"/>
          <w:jc w:val="center"/>
        </w:trPr>
        <w:tc>
          <w:tcPr>
            <w:tcW w:w="22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Calibri" w:cs="宋体"/>
                <w:kern w:val="0"/>
                <w:lang w:val="zh-CN"/>
              </w:rPr>
              <w:t>财政监督部门及电话</w:t>
            </w:r>
          </w:p>
        </w:tc>
        <w:tc>
          <w:tcPr>
            <w:tcW w:w="69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rPr>
                <w:rFonts w:hint="default" w:ascii="宋体" w:hAnsi="宋体" w:eastAsia="宋体" w:cs="宋体"/>
                <w:kern w:val="0"/>
                <w:lang w:val="en-US" w:eastAsia="zh-CN"/>
              </w:rPr>
            </w:pPr>
            <w:r>
              <w:rPr>
                <w:rFonts w:hint="eastAsia" w:ascii="宋体" w:hAnsi="Calibri" w:cs="宋体"/>
                <w:lang w:val="zh-CN"/>
              </w:rPr>
              <w:t>监督单位：</w:t>
            </w:r>
            <w:r>
              <w:rPr>
                <w:rFonts w:hint="eastAsia" w:ascii="宋体" w:hAnsi="Calibri" w:cs="宋体"/>
                <w:lang w:val="en-US" w:eastAsia="zh-CN"/>
              </w:rPr>
              <w:t>都兰县财政局</w:t>
            </w:r>
            <w:r>
              <w:rPr>
                <w:rFonts w:hint="eastAsia" w:ascii="宋体" w:hAnsi="Calibri" w:cs="宋体"/>
              </w:rPr>
              <w:t xml:space="preserve"> </w:t>
            </w:r>
            <w:r>
              <w:rPr>
                <w:rFonts w:ascii="宋体" w:hAnsi="Calibri" w:cs="宋体"/>
              </w:rPr>
              <w:t xml:space="preserve">  </w:t>
            </w:r>
            <w:r>
              <w:rPr>
                <w:rFonts w:hint="eastAsia" w:ascii="宋体" w:hAnsi="Calibri" w:cs="宋体"/>
                <w:lang w:val="zh-CN"/>
              </w:rPr>
              <w:t>联系电话：</w:t>
            </w:r>
            <w:r>
              <w:rPr>
                <w:rFonts w:ascii="宋体" w:hAnsi="Calibri" w:cs="宋体"/>
              </w:rPr>
              <w:t>097</w:t>
            </w:r>
            <w:r>
              <w:rPr>
                <w:rFonts w:hint="eastAsia" w:ascii="宋体" w:hAnsi="Calibri" w:cs="宋体"/>
                <w:lang w:val="en-US" w:eastAsia="zh-CN"/>
              </w:rPr>
              <w:t>7-8232067</w:t>
            </w:r>
          </w:p>
        </w:tc>
      </w:tr>
    </w:tbl>
    <w:p>
      <w:pPr>
        <w:pStyle w:val="30"/>
        <w:spacing w:before="0" w:after="0" w:line="360" w:lineRule="auto"/>
        <w:rPr>
          <w:rFonts w:ascii="宋体" w:hAnsi="宋体" w:cs="宋体"/>
          <w:szCs w:val="36"/>
        </w:rPr>
      </w:pPr>
      <w:bookmarkStart w:id="1" w:name="_Toc428180535"/>
      <w:r>
        <w:rPr>
          <w:rFonts w:hint="eastAsia" w:ascii="宋体" w:hAnsi="宋体" w:cs="宋体"/>
          <w:lang w:val="zh-CN"/>
        </w:rPr>
        <w:br w:type="page"/>
      </w:r>
      <w:bookmarkEnd w:id="1"/>
      <w:bookmarkStart w:id="2" w:name="_Toc78187903"/>
      <w:r>
        <w:rPr>
          <w:rFonts w:hint="eastAsia" w:ascii="宋体" w:hAnsi="宋体" w:cs="宋体"/>
          <w:szCs w:val="36"/>
          <w:lang w:val="zh-CN"/>
        </w:rPr>
        <w:t>第二部分  投标人须知</w:t>
      </w:r>
      <w:bookmarkEnd w:id="2"/>
    </w:p>
    <w:p>
      <w:pPr>
        <w:pStyle w:val="30"/>
        <w:spacing w:before="0" w:after="0" w:line="360" w:lineRule="auto"/>
        <w:rPr>
          <w:rFonts w:ascii="宋体" w:hAnsi="宋体" w:cs="宋体"/>
        </w:rPr>
      </w:pPr>
      <w:bookmarkStart w:id="3" w:name="_Toc78187904"/>
      <w:r>
        <w:rPr>
          <w:rFonts w:hint="eastAsia" w:ascii="宋体" w:hAnsi="宋体" w:cs="宋体"/>
          <w:lang w:val="zh-CN"/>
        </w:rPr>
        <w:t>一、说明</w:t>
      </w:r>
      <w:bookmarkEnd w:id="3"/>
    </w:p>
    <w:p>
      <w:pPr>
        <w:pStyle w:val="30"/>
        <w:spacing w:before="0" w:after="0" w:line="360" w:lineRule="auto"/>
        <w:jc w:val="left"/>
        <w:rPr>
          <w:rFonts w:ascii="宋体" w:hAnsi="宋体" w:cs="宋体"/>
          <w:lang w:val="zh-CN"/>
        </w:rPr>
      </w:pPr>
      <w:bookmarkStart w:id="4" w:name="_Toc78187905"/>
      <w:r>
        <w:rPr>
          <w:rFonts w:hint="eastAsia" w:ascii="宋体" w:hAnsi="宋体" w:cs="宋体"/>
          <w:sz w:val="28"/>
          <w:szCs w:val="28"/>
          <w:lang w:val="zh-CN"/>
        </w:rPr>
        <w:t>1.适用范围</w:t>
      </w:r>
      <w:bookmarkEnd w:id="4"/>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30"/>
        <w:spacing w:before="0" w:after="0" w:line="360" w:lineRule="auto"/>
        <w:jc w:val="left"/>
        <w:rPr>
          <w:rFonts w:ascii="宋体" w:hAnsi="宋体" w:cs="宋体"/>
          <w:lang w:val="zh-CN"/>
        </w:rPr>
      </w:pPr>
      <w:bookmarkStart w:id="5" w:name="_Toc78187906"/>
      <w:r>
        <w:rPr>
          <w:rFonts w:hint="eastAsia" w:ascii="宋体" w:hAnsi="宋体" w:cs="宋体"/>
          <w:sz w:val="28"/>
          <w:szCs w:val="28"/>
          <w:lang w:val="zh-CN"/>
        </w:rPr>
        <w:t>2.采购方式、合格的投标人</w:t>
      </w:r>
      <w:bookmarkEnd w:id="5"/>
    </w:p>
    <w:p>
      <w:pPr>
        <w:autoSpaceDE w:val="0"/>
        <w:autoSpaceDN w:val="0"/>
        <w:spacing w:line="360" w:lineRule="auto"/>
        <w:ind w:firstLine="360" w:firstLineChars="150"/>
        <w:rPr>
          <w:rFonts w:ascii="宋体" w:hAnsi="宋体" w:cs="宋体"/>
          <w:b/>
          <w:bCs/>
          <w:kern w:val="0"/>
          <w:lang w:val="zh-CN"/>
        </w:rPr>
      </w:pPr>
      <w:r>
        <w:rPr>
          <w:rFonts w:hint="eastAsia" w:ascii="宋体" w:hAnsi="宋体" w:cs="宋体"/>
          <w:kern w:val="0"/>
          <w:lang w:val="zh-CN"/>
        </w:rPr>
        <w:t>2.1本次招标采取公开招标方式。</w:t>
      </w:r>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2.2合格的投标人：详见第一部分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30"/>
        <w:spacing w:before="0" w:after="0" w:line="360" w:lineRule="auto"/>
        <w:jc w:val="left"/>
        <w:rPr>
          <w:rFonts w:ascii="宋体" w:hAnsi="宋体" w:cs="宋体"/>
          <w:lang w:val="zh-CN"/>
        </w:rPr>
      </w:pPr>
      <w:bookmarkStart w:id="6" w:name="_Toc78187907"/>
      <w:r>
        <w:rPr>
          <w:rFonts w:hint="eastAsia" w:ascii="宋体" w:hAnsi="宋体" w:cs="宋体"/>
          <w:sz w:val="28"/>
          <w:szCs w:val="28"/>
          <w:lang w:val="zh-CN"/>
        </w:rPr>
        <w:t>3.投标费用</w:t>
      </w:r>
      <w:bookmarkEnd w:id="6"/>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30"/>
        <w:spacing w:before="0" w:after="0" w:line="360" w:lineRule="auto"/>
        <w:rPr>
          <w:rFonts w:ascii="宋体" w:hAnsi="宋体" w:cs="宋体"/>
        </w:rPr>
      </w:pPr>
      <w:bookmarkStart w:id="7" w:name="_Toc78187908"/>
      <w:r>
        <w:rPr>
          <w:rFonts w:hint="eastAsia" w:ascii="宋体" w:hAnsi="宋体" w:cs="宋体"/>
          <w:lang w:val="zh-CN"/>
        </w:rPr>
        <w:t>二、招标文件说明</w:t>
      </w:r>
      <w:bookmarkEnd w:id="7"/>
    </w:p>
    <w:p>
      <w:pPr>
        <w:pStyle w:val="30"/>
        <w:spacing w:before="0" w:after="0" w:line="360" w:lineRule="auto"/>
        <w:jc w:val="left"/>
        <w:rPr>
          <w:rFonts w:ascii="宋体" w:hAnsi="宋体" w:cs="宋体"/>
          <w:lang w:val="zh-CN"/>
        </w:rPr>
      </w:pPr>
      <w:bookmarkStart w:id="8" w:name="_Toc78187909"/>
      <w:r>
        <w:rPr>
          <w:rFonts w:hint="eastAsia" w:ascii="宋体" w:hAnsi="宋体" w:cs="宋体"/>
          <w:sz w:val="28"/>
          <w:szCs w:val="28"/>
          <w:lang w:val="zh-CN"/>
        </w:rPr>
        <w:t>4.招标文件的构成</w:t>
      </w:r>
      <w:bookmarkEnd w:id="8"/>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4.1招标文件包括：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（1）投标邀请</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30"/>
        <w:spacing w:before="0" w:after="0" w:line="360" w:lineRule="auto"/>
        <w:jc w:val="left"/>
        <w:rPr>
          <w:rFonts w:ascii="宋体" w:hAnsi="宋体" w:cs="宋体"/>
          <w:sz w:val="28"/>
          <w:szCs w:val="28"/>
          <w:lang w:val="zh-CN"/>
        </w:rPr>
      </w:pPr>
      <w:bookmarkStart w:id="9" w:name="_Toc78187910"/>
      <w:r>
        <w:rPr>
          <w:rFonts w:hint="eastAsia" w:ascii="宋体" w:hAnsi="宋体" w:cs="宋体"/>
          <w:sz w:val="28"/>
          <w:szCs w:val="28"/>
          <w:lang w:val="zh-CN"/>
        </w:rPr>
        <w:t>5.招标文件、采购活动和中标结果的质疑</w:t>
      </w:r>
      <w:bookmarkEnd w:id="9"/>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rPr>
        <w:t>潜在投标人已依法获取其可质疑的采购文件的，可以对该文件提出质疑</w:t>
      </w:r>
      <w:r>
        <w:rPr>
          <w:rFonts w:hint="eastAsia" w:ascii="Arial" w:hAnsi="Arial" w:cs="Arial"/>
        </w:rPr>
        <w:t>，</w:t>
      </w:r>
      <w:r>
        <w:rPr>
          <w:rFonts w:ascii="Arial" w:hAnsi="Arial" w:cs="Arial"/>
        </w:rPr>
        <w:t>对采购文件提出质疑的，应当在获取采购文件或者采购文件公告期限届满之日起7个工作日内提出</w:t>
      </w:r>
      <w:r>
        <w:rPr>
          <w:rFonts w:hint="eastAsia" w:ascii="宋体" w:hAnsi="宋体" w:cs="宋体"/>
          <w:kern w:val="0"/>
        </w:rPr>
        <w:t>。</w:t>
      </w:r>
      <w:r>
        <w:rPr>
          <w:rFonts w:ascii="Arial" w:hAnsi="Arial" w:cs="Arial"/>
        </w:rPr>
        <w:t>投标人</w:t>
      </w:r>
      <w:r>
        <w:rPr>
          <w:rFonts w:hint="eastAsia" w:ascii="Arial" w:hAnsi="Arial" w:cs="Arial"/>
        </w:rPr>
        <w:t>须</w:t>
      </w:r>
      <w:r>
        <w:rPr>
          <w:rFonts w:ascii="Arial" w:hAnsi="Arial" w:cs="Arial"/>
        </w:rPr>
        <w:t>在法定质疑期内一次性提出针对同一采购程序环节的质疑。</w:t>
      </w:r>
      <w:r>
        <w:rPr>
          <w:rFonts w:hint="eastAsia" w:ascii="宋体" w:hAnsi="宋体" w:cs="宋体"/>
          <w:kern w:val="0"/>
          <w:lang w:val="zh-CN"/>
        </w:rPr>
        <w:t>采购人或采购代理机构在收到书面</w:t>
      </w:r>
      <w:r>
        <w:rPr>
          <w:rFonts w:ascii="Arial" w:hAnsi="Arial" w:cs="Arial"/>
        </w:rPr>
        <w:t>质疑函后7个工作日内作出答复</w:t>
      </w:r>
      <w:r>
        <w:rPr>
          <w:rFonts w:hint="eastAsia" w:ascii="宋体" w:hAnsi="宋体" w:cs="宋体"/>
          <w:kern w:val="0"/>
          <w:lang w:val="zh-CN"/>
        </w:rPr>
        <w:t>。</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pPr>
        <w:pStyle w:val="30"/>
        <w:spacing w:before="0" w:after="0" w:line="360" w:lineRule="auto"/>
        <w:jc w:val="left"/>
        <w:rPr>
          <w:rFonts w:ascii="宋体" w:hAnsi="宋体" w:cs="宋体"/>
          <w:lang w:val="zh-CN"/>
        </w:rPr>
      </w:pPr>
      <w:bookmarkStart w:id="10" w:name="_Toc78187911"/>
      <w:r>
        <w:rPr>
          <w:rFonts w:hint="eastAsia" w:ascii="宋体" w:hAnsi="宋体" w:cs="宋体"/>
          <w:sz w:val="28"/>
          <w:szCs w:val="28"/>
          <w:lang w:val="zh-CN"/>
        </w:rPr>
        <w:t>6.招标文件的澄清或修改</w:t>
      </w:r>
      <w:bookmarkEnd w:id="10"/>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30"/>
        <w:spacing w:before="0" w:after="0" w:line="360" w:lineRule="auto"/>
        <w:rPr>
          <w:rFonts w:ascii="宋体" w:hAnsi="宋体" w:cs="宋体"/>
        </w:rPr>
      </w:pPr>
      <w:bookmarkStart w:id="11" w:name="_Toc78187912"/>
      <w:r>
        <w:rPr>
          <w:rFonts w:hint="eastAsia" w:ascii="宋体" w:hAnsi="宋体" w:cs="宋体"/>
          <w:lang w:val="zh-CN"/>
        </w:rPr>
        <w:t>三、投标文件的编制</w:t>
      </w:r>
      <w:bookmarkEnd w:id="11"/>
    </w:p>
    <w:p>
      <w:pPr>
        <w:pStyle w:val="30"/>
        <w:spacing w:before="0" w:after="0" w:line="360" w:lineRule="auto"/>
        <w:jc w:val="left"/>
        <w:rPr>
          <w:rFonts w:ascii="宋体" w:hAnsi="宋体" w:cs="宋体"/>
          <w:lang w:val="zh-CN"/>
        </w:rPr>
      </w:pPr>
      <w:bookmarkStart w:id="12" w:name="_Toc78187913"/>
      <w:r>
        <w:rPr>
          <w:rFonts w:hint="eastAsia" w:ascii="宋体" w:hAnsi="宋体" w:cs="宋体"/>
          <w:sz w:val="28"/>
          <w:szCs w:val="28"/>
          <w:lang w:val="zh-CN"/>
        </w:rPr>
        <w:t>7.投标文件的语言及度量衡单位</w:t>
      </w:r>
      <w:bookmarkEnd w:id="12"/>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7.1投标人提交的投标文件以及投标人与采购代理机构就此投标发生的所有来往函电均应使用简体中文。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30"/>
        <w:spacing w:before="0" w:after="0" w:line="360" w:lineRule="auto"/>
        <w:jc w:val="left"/>
        <w:rPr>
          <w:rFonts w:ascii="宋体" w:hAnsi="宋体" w:cs="宋体"/>
          <w:lang w:val="zh-CN"/>
        </w:rPr>
      </w:pPr>
      <w:bookmarkStart w:id="13" w:name="_Toc78187914"/>
      <w:r>
        <w:rPr>
          <w:rFonts w:hint="eastAsia" w:ascii="宋体" w:hAnsi="宋体" w:cs="宋体"/>
          <w:sz w:val="28"/>
          <w:szCs w:val="28"/>
          <w:lang w:val="zh-CN"/>
        </w:rPr>
        <w:t>8.投标报价及币种</w:t>
      </w:r>
      <w:bookmarkEnd w:id="13"/>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8.1投标报价为投标总价。投标报价必须包括：</w:t>
      </w:r>
      <w:r>
        <w:rPr>
          <w:rFonts w:hint="eastAsia" w:ascii="宋体" w:hAnsi="宋体" w:cs="宋体"/>
          <w:kern w:val="0"/>
          <w:lang w:val="en-US" w:eastAsia="zh-CN"/>
        </w:rPr>
        <w:t>测绘费，资料打印装订费，成果论证费</w:t>
      </w:r>
      <w:r>
        <w:rPr>
          <w:rFonts w:hint="eastAsia" w:ascii="宋体" w:hAnsi="宋体" w:cs="宋体"/>
          <w:kern w:val="0"/>
          <w:lang w:val="zh-CN"/>
        </w:rPr>
        <w:t>、验收费、培训费、税金及不可预见费等全部费用。（说明：具体内容应根据项目特点实事求是的填写）</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8.2投标报价有效期与投标有效期一致。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30"/>
        <w:spacing w:before="0" w:after="0" w:line="360" w:lineRule="auto"/>
        <w:jc w:val="left"/>
        <w:rPr>
          <w:rFonts w:ascii="宋体" w:hAnsi="宋体" w:cs="宋体"/>
          <w:lang w:val="zh-CN"/>
        </w:rPr>
      </w:pPr>
      <w:bookmarkStart w:id="14" w:name="_Toc78187915"/>
      <w:r>
        <w:rPr>
          <w:rFonts w:hint="eastAsia" w:ascii="宋体" w:hAnsi="宋体" w:cs="宋体"/>
          <w:sz w:val="28"/>
          <w:szCs w:val="28"/>
          <w:lang w:val="zh-CN"/>
        </w:rPr>
        <w:t>9.投标保证金</w:t>
      </w:r>
      <w:bookmarkEnd w:id="14"/>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9.1投标人须在投标截止期前按以下要求交纳投标保证金（说明：收取的投标保证金不得超过采购项目预算金额的2%）：</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保证金：</w:t>
      </w:r>
      <w:r>
        <w:rPr>
          <w:rFonts w:hint="eastAsia" w:ascii="宋体" w:hAnsi="宋体" w:cs="宋体"/>
          <w:b/>
          <w:bCs/>
          <w:kern w:val="0"/>
          <w:lang w:val="en-US" w:eastAsia="zh-CN"/>
        </w:rPr>
        <w:t>10</w:t>
      </w:r>
      <w:r>
        <w:rPr>
          <w:rFonts w:hint="eastAsia" w:ascii="宋体" w:hAnsi="宋体" w:cs="宋体"/>
          <w:b/>
          <w:bCs/>
          <w:kern w:val="0"/>
          <w:lang w:val="zh-CN"/>
        </w:rPr>
        <w:t xml:space="preserve">0000.00元 </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开户银行：</w:t>
      </w:r>
      <w:r>
        <w:rPr>
          <w:rFonts w:hint="eastAsia" w:ascii="宋体" w:hAnsi="宋体" w:cs="宋体"/>
          <w:b/>
          <w:bCs/>
          <w:kern w:val="0"/>
          <w:lang w:val="en-US" w:eastAsia="zh-CN"/>
        </w:rPr>
        <w:t>招商银行</w:t>
      </w:r>
      <w:r>
        <w:rPr>
          <w:rFonts w:hint="eastAsia" w:ascii="宋体" w:hAnsi="宋体" w:cs="宋体"/>
          <w:b/>
          <w:bCs/>
          <w:kern w:val="0"/>
          <w:lang w:val="zh-CN"/>
        </w:rPr>
        <w:t>西宁分行</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收款人：青海璇锴工程项目管理有限公司</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保证金账户：</w:t>
      </w:r>
      <w:r>
        <w:rPr>
          <w:rFonts w:hint="eastAsia" w:ascii="宋体" w:hAnsi="宋体" w:cs="宋体"/>
          <w:b/>
          <w:bCs/>
          <w:kern w:val="0"/>
          <w:lang w:val="en-US" w:eastAsia="zh-CN"/>
        </w:rPr>
        <w:t>972901136410402</w:t>
      </w:r>
      <w:r>
        <w:rPr>
          <w:rFonts w:hint="eastAsia" w:ascii="宋体" w:hAnsi="宋体" w:cs="宋体"/>
          <w:b/>
          <w:bCs/>
          <w:kern w:val="0"/>
          <w:lang w:val="zh-CN"/>
        </w:rPr>
        <w:t>（保证金汇款，后附项目编号）</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交付方式：投标保证金应当以转账、支票、本票或者金融机构、担保机构出具的保函等非现金形式提交。投标人未按照招标文件要求提交投标保证金的，投标无效。</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交款截止时间：本项目递交响应文件截止时间前，投标保证金的交纳以到账时间为准。</w:t>
      </w:r>
      <w:r>
        <w:rPr>
          <w:rFonts w:ascii="宋体" w:hAnsi="宋体" w:cs="宋体"/>
          <w:b/>
          <w:bCs/>
          <w:kern w:val="0"/>
          <w:lang w:val="zh-CN"/>
        </w:rPr>
        <w:t xml:space="preserve"> </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w:t>
      </w:r>
      <w:r>
        <w:rPr>
          <w:rFonts w:ascii="宋体" w:hAnsi="宋体" w:cs="宋体"/>
          <w:kern w:val="0"/>
          <w:lang w:val="zh-CN"/>
        </w:rPr>
        <w:t>2</w:t>
      </w:r>
      <w:r>
        <w:rPr>
          <w:rFonts w:hint="eastAsia" w:ascii="宋体" w:hAnsi="宋体" w:cs="宋体"/>
          <w:kern w:val="0"/>
          <w:lang w:val="zh-CN"/>
        </w:rPr>
        <w:t>投标保证金退还：投标人在投标截止时间前撤回已提交的投标文件的，采购代理机构应当自收到投标人书面撤回通知之日起5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9.4 投标有效期内投标人撤销投标文件的，采购人或者采购代理机构可以不退还投标保证金。</w:t>
      </w:r>
    </w:p>
    <w:p>
      <w:pPr>
        <w:pStyle w:val="30"/>
        <w:spacing w:before="0" w:after="0" w:line="360" w:lineRule="auto"/>
        <w:jc w:val="left"/>
        <w:rPr>
          <w:rFonts w:ascii="宋体" w:hAnsi="宋体" w:cs="宋体"/>
          <w:lang w:val="zh-CN"/>
        </w:rPr>
      </w:pPr>
      <w:bookmarkStart w:id="15" w:name="_Toc78187916"/>
      <w:r>
        <w:rPr>
          <w:rFonts w:hint="eastAsia" w:ascii="宋体" w:hAnsi="宋体" w:cs="宋体"/>
          <w:sz w:val="28"/>
          <w:szCs w:val="28"/>
          <w:lang w:val="zh-CN"/>
        </w:rPr>
        <w:t>10.投标有效期</w:t>
      </w:r>
      <w:bookmarkEnd w:id="15"/>
    </w:p>
    <w:p>
      <w:pPr>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w:t>
      </w:r>
      <w:r>
        <w:rPr>
          <w:rFonts w:hint="eastAsia" w:ascii="宋体" w:hAnsi="宋体" w:cs="宋体"/>
          <w:kern w:val="0"/>
          <w:lang w:val="zh-CN"/>
        </w:rPr>
        <w:t>起90日历日。投标文件中承诺的投标有效期应当不少于招标文件中载明的投标有效期。投标有效期内投标人撤销投标文件的，采购人或者采购代理机构可以不退还投标保证金。</w:t>
      </w:r>
    </w:p>
    <w:p>
      <w:pPr>
        <w:pStyle w:val="30"/>
        <w:spacing w:before="0" w:after="0" w:line="360" w:lineRule="auto"/>
        <w:jc w:val="left"/>
        <w:rPr>
          <w:rFonts w:ascii="宋体" w:hAnsi="宋体" w:cs="宋体"/>
          <w:lang w:val="zh-CN"/>
        </w:rPr>
      </w:pPr>
      <w:bookmarkStart w:id="16" w:name="_Toc78187917"/>
      <w:r>
        <w:rPr>
          <w:rFonts w:hint="eastAsia" w:ascii="宋体" w:hAnsi="宋体" w:cs="宋体"/>
          <w:sz w:val="28"/>
          <w:szCs w:val="28"/>
          <w:lang w:val="zh-CN"/>
        </w:rPr>
        <w:t>11.投标文件构成</w:t>
      </w:r>
      <w:bookmarkEnd w:id="16"/>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法定代表人证明书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法定代表人授权书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投标人承诺函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投标人诚信承诺书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资格证明材料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财务状况报告，依法缴纳税收和社会保障资金的相关材料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具备履行合同所必需的设备和专业技术能力的证明材料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无重大违法记录声明</w:t>
      </w:r>
    </w:p>
    <w:p>
      <w:pPr>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评分对照表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开标一览表（报价表）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服务应答表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投标服务相关资料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投标人的类似业绩证明材料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投标人本项目团队配置人员情况</w:t>
      </w:r>
    </w:p>
    <w:p>
      <w:pPr>
        <w:numPr>
          <w:ilvl w:val="0"/>
          <w:numId w:val="2"/>
        </w:numPr>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中小企业声明函、</w:t>
      </w:r>
      <w:r>
        <w:rPr>
          <w:rFonts w:hint="eastAsia" w:ascii="宋体" w:hAnsi="宋体" w:cs="宋体"/>
        </w:rPr>
        <w:t>残疾人福利性单位声明函</w:t>
      </w:r>
      <w:r>
        <w:rPr>
          <w:rFonts w:ascii="宋体" w:hAnsi="宋体" w:cs="宋体"/>
          <w:kern w:val="0"/>
          <w:lang w:val="zh-CN"/>
        </w:rPr>
        <w:t>、</w:t>
      </w:r>
      <w:r>
        <w:rPr>
          <w:rFonts w:hint="eastAsia" w:ascii="宋体" w:hAnsi="宋体" w:cs="宋体"/>
        </w:rPr>
        <w:t>监狱企业</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投标人认为在其他方面有必要说明的事项</w:t>
      </w:r>
    </w:p>
    <w:p>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30"/>
        <w:spacing w:before="0" w:after="0" w:line="360" w:lineRule="auto"/>
        <w:jc w:val="left"/>
        <w:rPr>
          <w:rFonts w:ascii="宋体" w:hAnsi="宋体" w:cs="宋体"/>
          <w:lang w:val="zh-CN"/>
        </w:rPr>
      </w:pPr>
      <w:bookmarkStart w:id="17" w:name="_Toc78187918"/>
      <w:r>
        <w:rPr>
          <w:rFonts w:hint="eastAsia" w:ascii="宋体" w:hAnsi="宋体" w:cs="宋体"/>
          <w:sz w:val="28"/>
          <w:szCs w:val="28"/>
          <w:lang w:val="zh-CN"/>
        </w:rPr>
        <w:t>12.投标文件的编制要求</w:t>
      </w:r>
      <w:bookmarkEnd w:id="17"/>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kern w:val="0"/>
          <w:lang w:val="zh-CN"/>
        </w:rPr>
      </w:pPr>
    </w:p>
    <w:p>
      <w:pPr>
        <w:pStyle w:val="30"/>
        <w:spacing w:before="0" w:after="0" w:line="360" w:lineRule="auto"/>
        <w:rPr>
          <w:rFonts w:ascii="宋体" w:hAnsi="宋体" w:cs="宋体"/>
        </w:rPr>
      </w:pPr>
      <w:bookmarkStart w:id="18" w:name="_Toc78187919"/>
      <w:r>
        <w:rPr>
          <w:rFonts w:hint="eastAsia" w:ascii="宋体" w:hAnsi="宋体" w:cs="宋体"/>
          <w:lang w:val="zh-CN"/>
        </w:rPr>
        <w:t>四、投标文件的提交</w:t>
      </w:r>
      <w:bookmarkEnd w:id="18"/>
    </w:p>
    <w:p>
      <w:pPr>
        <w:pStyle w:val="30"/>
        <w:spacing w:before="0" w:after="0" w:line="360" w:lineRule="auto"/>
        <w:jc w:val="left"/>
        <w:rPr>
          <w:rFonts w:ascii="宋体" w:hAnsi="宋体" w:cs="宋体"/>
          <w:sz w:val="28"/>
          <w:szCs w:val="28"/>
          <w:lang w:val="zh-CN"/>
        </w:rPr>
      </w:pPr>
      <w:bookmarkStart w:id="19" w:name="_Toc78187920"/>
      <w:r>
        <w:rPr>
          <w:rFonts w:hint="eastAsia" w:ascii="宋体" w:hAnsi="宋体" w:cs="宋体"/>
          <w:sz w:val="28"/>
          <w:szCs w:val="28"/>
          <w:lang w:val="zh-CN"/>
        </w:rPr>
        <w:t>13.</w:t>
      </w:r>
      <w:bookmarkEnd w:id="19"/>
      <w:r>
        <w:rPr>
          <w:rFonts w:hint="eastAsia"/>
        </w:rPr>
        <w:t xml:space="preserve"> </w:t>
      </w:r>
      <w:r>
        <w:rPr>
          <w:rFonts w:hint="eastAsia" w:ascii="宋体" w:hAnsi="宋体" w:cs="宋体"/>
          <w:sz w:val="28"/>
          <w:szCs w:val="28"/>
          <w:lang w:val="zh-CN"/>
        </w:rPr>
        <w:t>投标文件的解密</w:t>
      </w:r>
    </w:p>
    <w:p>
      <w:pPr>
        <w:pStyle w:val="30"/>
        <w:spacing w:before="0" w:after="0" w:line="360" w:lineRule="auto"/>
        <w:ind w:firstLine="480" w:firstLineChars="200"/>
        <w:jc w:val="left"/>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投标人登录政府采购云平台，点击“项目采购—开标评标”模块，进入本项目“开标大厅”，等待代理机构开启解密后，进行线上解密。除因系统发生故障（包括组织场所停电、断网等）导致投标文件无法按时解密外，投标文件未按时解密的作为无效投标处理。</w:t>
      </w:r>
    </w:p>
    <w:p>
      <w:pPr>
        <w:rPr>
          <w:color w:val="FF0000"/>
          <w:lang w:val="zh-CN"/>
        </w:rPr>
      </w:pPr>
    </w:p>
    <w:p>
      <w:pPr>
        <w:pStyle w:val="30"/>
        <w:spacing w:before="0" w:after="0" w:line="360" w:lineRule="auto"/>
        <w:jc w:val="left"/>
        <w:rPr>
          <w:rFonts w:hint="eastAsia" w:ascii="宋体" w:hAnsi="宋体" w:cs="宋体"/>
          <w:sz w:val="28"/>
          <w:szCs w:val="28"/>
          <w:lang w:val="zh-CN"/>
        </w:rPr>
      </w:pPr>
      <w:bookmarkStart w:id="20" w:name="_Toc78187921"/>
      <w:r>
        <w:rPr>
          <w:rFonts w:hint="eastAsia" w:ascii="宋体" w:hAnsi="宋体" w:cs="宋体"/>
          <w:sz w:val="28"/>
          <w:szCs w:val="28"/>
          <w:lang w:val="zh-CN"/>
        </w:rPr>
        <w:t>14.提交投标文件的时间、地点、方式</w:t>
      </w:r>
      <w:bookmarkEnd w:id="20"/>
    </w:p>
    <w:p>
      <w:pPr>
        <w:pStyle w:val="30"/>
        <w:spacing w:before="0" w:after="0" w:line="360" w:lineRule="auto"/>
        <w:ind w:firstLine="480" w:firstLineChars="200"/>
        <w:jc w:val="left"/>
        <w:rPr>
          <w:rFonts w:hint="eastAsia" w:ascii="宋体" w:hAnsi="宋体" w:eastAsia="宋体" w:cs="宋体"/>
          <w:b w:val="0"/>
          <w:bCs w:val="0"/>
          <w:kern w:val="0"/>
          <w:sz w:val="24"/>
          <w:szCs w:val="24"/>
          <w:lang w:val="zh-CN" w:eastAsia="zh-CN" w:bidi="ar-SA"/>
        </w:rPr>
      </w:pPr>
      <w:bookmarkStart w:id="21" w:name="_Toc78187922"/>
      <w:r>
        <w:rPr>
          <w:rFonts w:hint="eastAsia" w:ascii="宋体" w:hAnsi="宋体" w:eastAsia="宋体" w:cs="宋体"/>
          <w:b w:val="0"/>
          <w:bCs w:val="0"/>
          <w:kern w:val="0"/>
          <w:sz w:val="24"/>
          <w:szCs w:val="24"/>
          <w:lang w:val="zh-CN" w:eastAsia="zh-CN" w:bidi="ar-SA"/>
        </w:rPr>
        <w:t>14.1投标人应当在投标文件递交截止时间前，将编制完成并且已加密的电子投标文件成功递交至“政府采购云平台”。</w:t>
      </w:r>
    </w:p>
    <w:p>
      <w:pPr>
        <w:pStyle w:val="30"/>
        <w:spacing w:before="0" w:after="0" w:line="360" w:lineRule="auto"/>
        <w:ind w:firstLine="480" w:firstLineChars="200"/>
        <w:jc w:val="left"/>
        <w:rPr>
          <w:rFonts w:ascii="宋体" w:hAnsi="宋体" w:eastAsia="宋体" w:cs="宋体"/>
          <w:b w:val="0"/>
          <w:bCs w:val="0"/>
          <w:color w:val="FF0000"/>
          <w:kern w:val="0"/>
          <w:sz w:val="24"/>
          <w:szCs w:val="24"/>
          <w:lang w:val="zh-CN"/>
        </w:rPr>
      </w:pPr>
      <w:r>
        <w:rPr>
          <w:rFonts w:hint="eastAsia" w:ascii="宋体" w:hAnsi="宋体" w:eastAsia="宋体" w:cs="宋体"/>
          <w:b w:val="0"/>
          <w:bCs w:val="0"/>
          <w:kern w:val="0"/>
          <w:sz w:val="24"/>
          <w:szCs w:val="24"/>
          <w:lang w:val="zh-CN" w:eastAsia="zh-CN" w:bidi="ar-SA"/>
        </w:rPr>
        <w:t>14.2投标人应充分考虑递交文件的不可预见因素，在投标截止时间后将无法递交</w:t>
      </w:r>
      <w:r>
        <w:rPr>
          <w:rFonts w:hint="eastAsia" w:ascii="宋体" w:hAnsi="宋体" w:eastAsia="宋体" w:cs="宋体"/>
          <w:b w:val="0"/>
          <w:bCs w:val="0"/>
          <w:color w:val="FF0000"/>
          <w:kern w:val="0"/>
          <w:sz w:val="24"/>
          <w:szCs w:val="24"/>
          <w:lang w:val="zh-CN"/>
        </w:rPr>
        <w:t>。</w:t>
      </w:r>
    </w:p>
    <w:p>
      <w:pPr>
        <w:pStyle w:val="30"/>
        <w:spacing w:before="0" w:after="0" w:line="360" w:lineRule="auto"/>
        <w:jc w:val="left"/>
        <w:rPr>
          <w:rFonts w:hint="eastAsia" w:ascii="宋体" w:hAnsi="宋体" w:cs="宋体"/>
          <w:sz w:val="28"/>
          <w:szCs w:val="28"/>
          <w:lang w:val="zh-CN"/>
        </w:rPr>
      </w:pPr>
      <w:r>
        <w:rPr>
          <w:rFonts w:hint="eastAsia" w:ascii="宋体" w:hAnsi="宋体" w:cs="宋体"/>
          <w:sz w:val="28"/>
          <w:szCs w:val="28"/>
          <w:lang w:val="zh-CN"/>
        </w:rPr>
        <w:t>15.投标文件的补充、修改或者撤回</w:t>
      </w:r>
      <w:bookmarkEnd w:id="21"/>
    </w:p>
    <w:p>
      <w:pPr>
        <w:autoSpaceDE w:val="0"/>
        <w:autoSpaceDN w:val="0"/>
        <w:spacing w:line="360" w:lineRule="auto"/>
        <w:ind w:firstLine="480" w:firstLineChars="200"/>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15.1投标截止时间前，投标人可对已递交的投标文件进行补充、修改或撤回。补充或者修改投标文件的，应当先行撤回已递交的投标文件，在“政采云投标客户端”补充、修改投标文件并加密后重新递交。撤回投标文件进行补充、修改，在投标截止时间前未重新递交的，视为撤回投标文件。</w:t>
      </w:r>
    </w:p>
    <w:p>
      <w:pPr>
        <w:autoSpaceDE w:val="0"/>
        <w:autoSpaceDN w:val="0"/>
        <w:spacing w:line="360" w:lineRule="auto"/>
        <w:ind w:firstLine="480" w:firstLineChars="200"/>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15.2投标截止时间后，投标人不得对其递交的投标文件做任何补充、修改。</w:t>
      </w:r>
    </w:p>
    <w:p>
      <w:pPr>
        <w:autoSpaceDE w:val="0"/>
        <w:autoSpaceDN w:val="0"/>
        <w:spacing w:line="360" w:lineRule="auto"/>
        <w:ind w:firstLine="3253" w:firstLineChars="900"/>
        <w:rPr>
          <w:rFonts w:hint="eastAsia" w:ascii="宋体" w:hAnsi="宋体" w:cs="宋体" w:eastAsiaTheme="minorEastAsia"/>
          <w:b/>
          <w:bCs/>
          <w:kern w:val="2"/>
          <w:sz w:val="36"/>
          <w:szCs w:val="32"/>
          <w:lang w:val="zh-CN" w:eastAsia="zh-CN" w:bidi="ar-SA"/>
        </w:rPr>
      </w:pPr>
      <w:bookmarkStart w:id="22" w:name="_Toc78187923"/>
      <w:r>
        <w:rPr>
          <w:rFonts w:hint="eastAsia" w:ascii="宋体" w:hAnsi="宋体" w:cs="宋体" w:eastAsiaTheme="minorEastAsia"/>
          <w:b/>
          <w:bCs/>
          <w:kern w:val="2"/>
          <w:sz w:val="36"/>
          <w:szCs w:val="32"/>
          <w:lang w:val="zh-CN" w:eastAsia="zh-CN" w:bidi="ar-SA"/>
        </w:rPr>
        <w:t>五、开标</w:t>
      </w:r>
      <w:bookmarkEnd w:id="22"/>
    </w:p>
    <w:p>
      <w:pPr>
        <w:pStyle w:val="30"/>
        <w:spacing w:before="0" w:after="0" w:line="360" w:lineRule="auto"/>
        <w:jc w:val="left"/>
        <w:rPr>
          <w:rFonts w:hint="eastAsia" w:ascii="宋体" w:hAnsi="宋体" w:cs="宋体"/>
          <w:sz w:val="28"/>
          <w:szCs w:val="28"/>
          <w:lang w:val="zh-CN"/>
        </w:rPr>
      </w:pPr>
      <w:bookmarkStart w:id="23" w:name="_Toc78187924"/>
      <w:r>
        <w:rPr>
          <w:rFonts w:hint="eastAsia" w:ascii="宋体" w:hAnsi="宋体" w:cs="宋体"/>
          <w:sz w:val="28"/>
          <w:szCs w:val="28"/>
          <w:lang w:val="zh-CN"/>
        </w:rPr>
        <w:t>16.开标</w:t>
      </w:r>
      <w:bookmarkEnd w:id="23"/>
    </w:p>
    <w:p>
      <w:pPr>
        <w:autoSpaceDE w:val="0"/>
        <w:autoSpaceDN w:val="0"/>
        <w:spacing w:line="360" w:lineRule="auto"/>
        <w:ind w:firstLine="480" w:firstLineChars="200"/>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16.1本项目为不见面开标项目。（递交电子投标文件的投标人不足3家的，不予开标。）</w:t>
      </w:r>
    </w:p>
    <w:p>
      <w:pPr>
        <w:autoSpaceDE w:val="0"/>
        <w:autoSpaceDN w:val="0"/>
        <w:spacing w:line="360" w:lineRule="auto"/>
        <w:ind w:firstLine="480" w:firstLineChars="200"/>
        <w:rPr>
          <w:rFonts w:ascii="宋体" w:hAnsi="宋体" w:cs="宋体"/>
          <w:kern w:val="0"/>
          <w:lang w:val="zh-CN"/>
        </w:rPr>
      </w:pPr>
    </w:p>
    <w:p>
      <w:pPr>
        <w:autoSpaceDE w:val="0"/>
        <w:autoSpaceDN w:val="0"/>
        <w:spacing w:line="360" w:lineRule="auto"/>
        <w:ind w:firstLine="480" w:firstLineChars="200"/>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16.2开标准备工作。投标人需在开标当日、投标截止时间前登录“政府采购云平台”，通过本项目“开标大厅”参与不见面开标。登录政府采购云平台—项目采购—开标评标—开标大厅（确保进入本项目开标大厅）。</w:t>
      </w:r>
    </w:p>
    <w:p>
      <w:pPr>
        <w:autoSpaceDE w:val="0"/>
        <w:autoSpaceDN w:val="0"/>
        <w:spacing w:line="360" w:lineRule="auto"/>
        <w:ind w:firstLine="480" w:firstLineChars="200"/>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提示：投标人未按时登录不见面开标系统，错过开标解密时间的，由投标人自行承担不利后果。</w:t>
      </w:r>
    </w:p>
    <w:p>
      <w:pPr>
        <w:autoSpaceDE w:val="0"/>
        <w:autoSpaceDN w:val="0"/>
        <w:spacing w:line="360" w:lineRule="auto"/>
        <w:ind w:firstLine="480" w:firstLineChars="200"/>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16.3解密投标文件。等待代理机构开启解密后，投标人进行线上解密。开启解密后，投标人应在</w:t>
      </w:r>
      <w:r>
        <w:rPr>
          <w:rFonts w:hint="eastAsia" w:ascii="宋体" w:hAnsi="宋体" w:eastAsia="宋体" w:cs="宋体"/>
          <w:b w:val="0"/>
          <w:bCs w:val="0"/>
          <w:kern w:val="0"/>
          <w:sz w:val="24"/>
          <w:szCs w:val="24"/>
          <w:lang w:val="en-US" w:eastAsia="zh-CN" w:bidi="ar-SA"/>
        </w:rPr>
        <w:t>3</w:t>
      </w:r>
      <w:r>
        <w:rPr>
          <w:rFonts w:hint="eastAsia" w:ascii="宋体" w:hAnsi="宋体" w:eastAsia="宋体" w:cs="宋体"/>
          <w:b w:val="0"/>
          <w:bCs w:val="0"/>
          <w:kern w:val="0"/>
          <w:sz w:val="24"/>
          <w:szCs w:val="24"/>
          <w:lang w:val="zh-CN" w:eastAsia="zh-CN" w:bidi="ar-SA"/>
        </w:rPr>
        <w:t>0分钟内，使用加密该投标文件的CA数字证书在线完成投标文件的解密。除因系统故障（包括组织场所停电、断网等）导致系统无法使用外，投标人在规定的解密时间内，未成功解密的投标文件将视为无效投标文件。</w:t>
      </w:r>
    </w:p>
    <w:p>
      <w:pPr>
        <w:autoSpaceDE w:val="0"/>
        <w:autoSpaceDN w:val="0"/>
        <w:spacing w:line="360" w:lineRule="auto"/>
        <w:ind w:firstLine="480" w:firstLineChars="200"/>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16.4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可开标记录。</w:t>
      </w:r>
    </w:p>
    <w:p>
      <w:pPr>
        <w:autoSpaceDE w:val="0"/>
        <w:autoSpaceDN w:val="0"/>
        <w:spacing w:line="360" w:lineRule="auto"/>
        <w:ind w:firstLine="480" w:firstLineChars="200"/>
        <w:rPr>
          <w:rFonts w:hint="eastAsia" w:ascii="宋体" w:hAnsi="宋体" w:eastAsia="宋体" w:cs="宋体"/>
          <w:b w:val="0"/>
          <w:bCs w:val="0"/>
          <w:kern w:val="0"/>
          <w:sz w:val="24"/>
          <w:szCs w:val="24"/>
          <w:lang w:val="zh-CN" w:eastAsia="zh-CN" w:bidi="ar-SA"/>
        </w:rPr>
      </w:pPr>
      <w:bookmarkStart w:id="24" w:name="_Toc308164807"/>
      <w:bookmarkStart w:id="25" w:name="_Toc217446058"/>
      <w:r>
        <w:rPr>
          <w:rFonts w:hint="eastAsia" w:ascii="宋体" w:hAnsi="宋体" w:eastAsia="宋体" w:cs="宋体"/>
          <w:b w:val="0"/>
          <w:bCs w:val="0"/>
          <w:kern w:val="0"/>
          <w:sz w:val="24"/>
          <w:szCs w:val="24"/>
          <w:lang w:val="zh-CN" w:eastAsia="zh-CN" w:bidi="ar-SA"/>
        </w:rPr>
        <w:t>16.5投标人电脑终端等硬件设备和软件系统配置：投标人电脑终端等硬件设备和软件系统配置应符合电子投标（含不见面开标大厅）投标人电脑终端配置要求并运行正常，投标人承担因未尽职责产生的不利后果。</w:t>
      </w:r>
    </w:p>
    <w:p>
      <w:pPr>
        <w:autoSpaceDE w:val="0"/>
        <w:autoSpaceDN w:val="0"/>
        <w:spacing w:line="360" w:lineRule="auto"/>
        <w:ind w:firstLine="480" w:firstLineChars="200"/>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16.6因组织场所断电、断网、系统故障或其他不可抗力等因素导致不见面开标系统无法正常运行的，开标活动中止或延迟，待系统恢复正常后继续进行开标活动。</w:t>
      </w:r>
    </w:p>
    <w:p>
      <w:pPr>
        <w:autoSpaceDE w:val="0"/>
        <w:autoSpaceDN w:val="0"/>
        <w:spacing w:line="360" w:lineRule="auto"/>
        <w:ind w:firstLine="480" w:firstLineChars="200"/>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16.7不见面开标过程中，各方主体均应遵守互联网有关规定，不得发表与交易活动无关的言论。</w:t>
      </w:r>
      <w:bookmarkEnd w:id="24"/>
      <w:bookmarkEnd w:id="25"/>
    </w:p>
    <w:p>
      <w:pPr>
        <w:ind w:firstLine="480" w:firstLineChars="200"/>
        <w:rPr>
          <w:rFonts w:ascii="仿宋" w:hAnsi="仿宋" w:eastAsia="仿宋"/>
        </w:rPr>
      </w:pPr>
    </w:p>
    <w:p>
      <w:pPr>
        <w:pStyle w:val="30"/>
        <w:spacing w:before="0" w:after="0" w:line="360" w:lineRule="auto"/>
        <w:rPr>
          <w:rFonts w:ascii="宋体" w:hAnsi="宋体" w:cs="宋体"/>
          <w:kern w:val="0"/>
        </w:rPr>
      </w:pPr>
      <w:bookmarkStart w:id="26" w:name="_Toc78187925"/>
      <w:bookmarkStart w:id="27" w:name="_Toc496004006"/>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6"/>
      <w:bookmarkEnd w:id="27"/>
    </w:p>
    <w:p>
      <w:pPr>
        <w:pStyle w:val="30"/>
        <w:spacing w:before="0" w:after="0" w:line="360" w:lineRule="auto"/>
        <w:jc w:val="left"/>
        <w:rPr>
          <w:rFonts w:ascii="宋体" w:hAnsi="宋体" w:cs="宋体"/>
          <w:sz w:val="28"/>
          <w:szCs w:val="28"/>
        </w:rPr>
      </w:pPr>
      <w:bookmarkStart w:id="28" w:name="_Toc78187926"/>
      <w:r>
        <w:rPr>
          <w:rFonts w:hint="eastAsia" w:ascii="宋体" w:hAnsi="宋体" w:cs="宋体"/>
          <w:sz w:val="28"/>
          <w:szCs w:val="28"/>
        </w:rPr>
        <w:t>17.资格审查</w:t>
      </w:r>
      <w:bookmarkEnd w:id="28"/>
    </w:p>
    <w:p>
      <w:pPr>
        <w:autoSpaceDE w:val="0"/>
        <w:autoSpaceDN w:val="0"/>
        <w:spacing w:line="360" w:lineRule="auto"/>
        <w:ind w:firstLine="480" w:firstLineChars="200"/>
        <w:rPr>
          <w:rFonts w:ascii="宋体" w:hAnsi="宋体" w:cs="宋体"/>
          <w:kern w:val="0"/>
        </w:rPr>
      </w:pPr>
      <w:r>
        <w:rPr>
          <w:rFonts w:hint="eastAsia" w:ascii="宋体" w:hAnsi="宋体" w:cs="宋体"/>
          <w:kern w:val="0"/>
        </w:rPr>
        <w:t>17.1 开标结束后，采购人或者采购代理机构应当依法对投标人的资格性审查文件进行审查。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17.2 合格投标人不足3家的，不得评标。</w:t>
      </w:r>
    </w:p>
    <w:p>
      <w:pPr>
        <w:autoSpaceDE w:val="0"/>
        <w:autoSpaceDN w:val="0"/>
        <w:spacing w:line="360" w:lineRule="auto"/>
        <w:ind w:firstLine="480" w:firstLineChars="200"/>
        <w:rPr>
          <w:rFonts w:ascii="宋体" w:hAnsi="宋体" w:cs="宋体"/>
          <w:sz w:val="28"/>
          <w:szCs w:val="28"/>
        </w:rPr>
      </w:pPr>
      <w:bookmarkStart w:id="29" w:name="_Toc497503516"/>
      <w:bookmarkStart w:id="30" w:name="_Toc497503449"/>
      <w:bookmarkStart w:id="31" w:name="_Toc497503249"/>
      <w:bookmarkStart w:id="32" w:name="_Toc497503315"/>
      <w:bookmarkStart w:id="33" w:name="_Toc30809"/>
      <w:r>
        <w:rPr>
          <w:rFonts w:hint="eastAsia" w:ascii="宋体" w:hAnsi="宋体" w:cs="宋体"/>
          <w:kern w:val="0"/>
        </w:rPr>
        <w:t>17.3 资格审查时，投标人存在下列情况之一的，按无效投标处理：</w:t>
      </w:r>
      <w:bookmarkEnd w:id="29"/>
      <w:bookmarkEnd w:id="30"/>
      <w:bookmarkEnd w:id="31"/>
      <w:bookmarkEnd w:id="32"/>
      <w:bookmarkEnd w:id="33"/>
    </w:p>
    <w:p>
      <w:pPr>
        <w:numPr>
          <w:ilvl w:val="0"/>
          <w:numId w:val="3"/>
        </w:numPr>
        <w:tabs>
          <w:tab w:val="left" w:pos="960"/>
        </w:tabs>
        <w:autoSpaceDE w:val="0"/>
        <w:autoSpaceDN w:val="0"/>
        <w:spacing w:line="360" w:lineRule="auto"/>
        <w:ind w:firstLine="480"/>
        <w:rPr>
          <w:rFonts w:ascii="宋体" w:hAnsi="宋体" w:cs="宋体"/>
          <w:kern w:val="0"/>
        </w:rPr>
      </w:pPr>
      <w:r>
        <w:rPr>
          <w:rFonts w:hint="eastAsia" w:ascii="宋体" w:hAnsi="宋体" w:cs="宋体"/>
          <w:shd w:val="clear" w:color="auto" w:fill="FFFFFF"/>
        </w:rPr>
        <w:t>不具备第一部分“投标邀请”中各包投标人资格要求的；</w:t>
      </w:r>
    </w:p>
    <w:p>
      <w:pPr>
        <w:numPr>
          <w:ilvl w:val="0"/>
          <w:numId w:val="3"/>
        </w:numPr>
        <w:tabs>
          <w:tab w:val="left" w:pos="960"/>
        </w:tabs>
        <w:autoSpaceDE w:val="0"/>
        <w:autoSpaceDN w:val="0"/>
        <w:spacing w:line="360" w:lineRule="auto"/>
        <w:ind w:firstLine="480"/>
        <w:rPr>
          <w:rFonts w:ascii="宋体" w:hAnsi="宋体" w:cs="宋体"/>
          <w:kern w:val="0"/>
        </w:rPr>
      </w:pPr>
      <w:r>
        <w:rPr>
          <w:rFonts w:hint="eastAsia" w:ascii="宋体" w:hAnsi="宋体" w:cs="宋体"/>
          <w:kern w:val="0"/>
        </w:rPr>
        <w:t>未按招标文件要求交纳或未足额交纳投标保证金的；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未按第11.1要求提供相关资料的；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资格性审查文件未按招标文件规定和要求签字、盖章的；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投标有效期不能满足招标文件要求的；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未按照招标文件要求提供电子文档</w:t>
      </w:r>
      <w:r>
        <w:rPr>
          <w:rFonts w:hint="eastAsia" w:ascii="宋体" w:hAnsi="宋体" w:cs="宋体"/>
          <w:kern w:val="0"/>
          <w:lang w:val="zh-CN"/>
        </w:rPr>
        <w:t>的。</w:t>
      </w:r>
    </w:p>
    <w:p>
      <w:pPr>
        <w:tabs>
          <w:tab w:val="left" w:pos="312"/>
          <w:tab w:val="left" w:pos="960"/>
        </w:tabs>
        <w:autoSpaceDE w:val="0"/>
        <w:autoSpaceDN w:val="0"/>
        <w:spacing w:line="360" w:lineRule="auto"/>
        <w:ind w:left="480"/>
        <w:rPr>
          <w:rFonts w:ascii="宋体" w:hAnsi="宋体" w:cs="宋体"/>
          <w:kern w:val="0"/>
        </w:rPr>
      </w:pPr>
    </w:p>
    <w:p>
      <w:pPr>
        <w:pStyle w:val="30"/>
        <w:spacing w:before="0" w:after="0" w:line="360" w:lineRule="auto"/>
        <w:rPr>
          <w:rFonts w:ascii="宋体" w:hAnsi="宋体" w:cs="宋体"/>
        </w:rPr>
      </w:pPr>
      <w:bookmarkStart w:id="34" w:name="_Toc78187927"/>
      <w:r>
        <w:rPr>
          <w:rFonts w:hint="eastAsia" w:ascii="宋体" w:hAnsi="宋体" w:cs="宋体"/>
          <w:lang w:val="zh-CN"/>
        </w:rPr>
        <w:t>七、评审程序及方法</w:t>
      </w:r>
      <w:bookmarkEnd w:id="34"/>
    </w:p>
    <w:p>
      <w:pPr>
        <w:pStyle w:val="30"/>
        <w:spacing w:before="0" w:after="0" w:line="360" w:lineRule="auto"/>
        <w:jc w:val="left"/>
        <w:rPr>
          <w:rFonts w:ascii="宋体" w:hAnsi="宋体" w:cs="宋体"/>
          <w:lang w:val="zh-CN"/>
        </w:rPr>
      </w:pPr>
      <w:bookmarkStart w:id="35" w:name="_Toc78187928"/>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3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18.1</w:t>
      </w:r>
      <w:r>
        <w:rPr>
          <w:rFonts w:hint="eastAsia" w:ascii="宋体" w:hAnsi="宋体" w:cs="宋体"/>
          <w:kern w:val="0"/>
          <w:lang w:val="zh-CN"/>
        </w:rPr>
        <w:t xml:space="preserve"> 采购人或采购代理机构负责组织评标工作，并履行下列职责：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18.2 评标委员会负责具体评标事务，并独立履行下列职责：</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要求投标人对投标文件有关事项作出澄清或者说明；</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对投标文件进行比较和评价；</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确定中标候选人名单，以及根据采购人委托直接确定中标人；</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配合答复投标人的询问、质疑和投诉等事项,不得泄露评审文件、评审情况和在评审过程中获悉的商业秘密</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（1）采购预算金额在1000万元以上；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（2）技术复杂；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（3）社会影响较大。</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18.4 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采购人或采购代理机构应当将变更、重新组建评标委员会的情况予以记录，并随采购文件一并存档。</w:t>
      </w:r>
    </w:p>
    <w:p>
      <w:pPr>
        <w:pStyle w:val="30"/>
        <w:spacing w:before="0" w:after="0" w:line="360" w:lineRule="auto"/>
        <w:jc w:val="left"/>
        <w:rPr>
          <w:rFonts w:ascii="宋体" w:hAnsi="宋体" w:cs="宋体"/>
          <w:lang w:val="zh-CN"/>
        </w:rPr>
      </w:pPr>
      <w:bookmarkStart w:id="36" w:name="_Toc78187929"/>
      <w:r>
        <w:rPr>
          <w:rFonts w:hint="eastAsia" w:ascii="宋体" w:hAnsi="宋体" w:cs="宋体"/>
          <w:sz w:val="28"/>
          <w:szCs w:val="28"/>
        </w:rPr>
        <w:t>19</w:t>
      </w:r>
      <w:r>
        <w:rPr>
          <w:rFonts w:hint="eastAsia" w:ascii="宋体" w:hAnsi="宋体" w:cs="宋体"/>
          <w:sz w:val="28"/>
          <w:szCs w:val="28"/>
          <w:lang w:val="zh-CN"/>
        </w:rPr>
        <w:t>.评审工作程序</w:t>
      </w:r>
      <w:bookmarkEnd w:id="36"/>
    </w:p>
    <w:p>
      <w:pPr>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lang w:val="zh-CN"/>
        </w:rPr>
        <w:t>1</w:t>
      </w:r>
      <w:r>
        <w:rPr>
          <w:rFonts w:hint="eastAsia" w:ascii="宋体" w:hAnsi="宋体" w:cs="宋体"/>
          <w:b/>
          <w:bCs/>
          <w:kern w:val="0"/>
        </w:rPr>
        <w:t>9</w:t>
      </w:r>
      <w:r>
        <w:rPr>
          <w:rFonts w:hint="eastAsia" w:ascii="宋体" w:hAnsi="宋体" w:cs="宋体"/>
          <w:b/>
          <w:bCs/>
          <w:kern w:val="0"/>
          <w:lang w:val="zh-CN"/>
        </w:rPr>
        <w:t>.1</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19.1.1</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符合性审查文件未按招标文件要求签署、盖章的；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2（11）</w:t>
      </w:r>
      <w:r>
        <w:rPr>
          <w:rFonts w:hint="eastAsia" w:ascii="宋体" w:hAnsi="宋体" w:cs="楷体_GB2312"/>
          <w:lang w:val="zh-CN"/>
        </w:rPr>
        <w:t>-</w:t>
      </w:r>
      <w:r>
        <w:rPr>
          <w:rFonts w:ascii="宋体" w:hAnsi="宋体" w:cs="宋体"/>
          <w:lang w:val="zh-CN"/>
        </w:rPr>
        <w:t>（</w:t>
      </w:r>
      <w:r>
        <w:rPr>
          <w:rFonts w:hint="eastAsia" w:ascii="宋体" w:hAnsi="宋体" w:cs="宋体"/>
          <w:lang w:val="zh-CN"/>
        </w:rPr>
        <w:t>15</w:t>
      </w:r>
      <w:r>
        <w:rPr>
          <w:rFonts w:ascii="宋体" w:hAnsi="宋体" w:cs="宋体"/>
          <w:lang w:val="zh-CN"/>
        </w:rPr>
        <w:t>）</w:t>
      </w:r>
      <w:r>
        <w:rPr>
          <w:rFonts w:hint="eastAsia" w:ascii="宋体" w:hAnsi="宋体" w:cs="宋体"/>
          <w:lang w:val="zh-CN"/>
        </w:rPr>
        <w:t>款要求提供相关资料的；</w:t>
      </w:r>
    </w:p>
    <w:p>
      <w:pPr>
        <w:numPr>
          <w:ilvl w:val="0"/>
          <w:numId w:val="5"/>
        </w:num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服务期限不能满足招标文件要求的；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投标总报价超过招标文件规定的采购预算额度或者最高限价的；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投标</w:t>
      </w:r>
      <w:r>
        <w:rPr>
          <w:rFonts w:hint="eastAsia" w:ascii="宋体" w:hAnsi="宋体"/>
          <w:lang w:val="en-US" w:eastAsia="zh-CN"/>
        </w:rPr>
        <w:t>服务</w:t>
      </w:r>
      <w:r>
        <w:rPr>
          <w:rFonts w:hint="eastAsia" w:ascii="宋体" w:hAnsi="宋体"/>
        </w:rPr>
        <w:t>的技术规格、技术标准明显不符合采购项目要求的；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投标</w:t>
      </w:r>
      <w:r>
        <w:rPr>
          <w:rFonts w:hint="eastAsia" w:ascii="宋体" w:hAnsi="宋体"/>
          <w:lang w:val="en-US" w:eastAsia="zh-CN"/>
        </w:rPr>
        <w:t>服务</w:t>
      </w:r>
      <w:r>
        <w:rPr>
          <w:rFonts w:hint="eastAsia" w:ascii="宋体" w:hAnsi="宋体"/>
        </w:rPr>
        <w:t>未完全满足招标文件确定的重要技术指标、参数的；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存在串通投标行为；</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投标报价出现前后不一致</w:t>
      </w:r>
      <w:r>
        <w:rPr>
          <w:rFonts w:ascii="宋体" w:hAnsi="宋体"/>
        </w:rPr>
        <w:t>，</w:t>
      </w:r>
      <w:r>
        <w:rPr>
          <w:rFonts w:hint="eastAsia" w:ascii="宋体" w:hAnsi="宋体"/>
        </w:rPr>
        <w:t>又不按19.1.1进行确认</w:t>
      </w:r>
      <w:r>
        <w:rPr>
          <w:rFonts w:ascii="宋体" w:hAnsi="宋体"/>
        </w:rPr>
        <w:t>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rPr>
        <w:t>评标委员会认为应按无效投标处理的其他情况；</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19.1.3 投标文件报价出现前后不一致的，按照下列规定修正：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同时出现两种以上不一致的，按照前款规定的顺序修正。修正后的报价按19.1.1第二款的规定经投标人确认后产生约束力，投标人不确认的，其投标无效。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kern w:val="0"/>
          <w:lang w:val="zh-CN"/>
        </w:rPr>
      </w:pPr>
      <w:r>
        <w:rPr>
          <w:rFonts w:hint="eastAsia" w:ascii="宋体" w:hAnsi="Cambria" w:cs="宋体"/>
          <w:color w:val="000000" w:themeColor="text1"/>
          <w:lang w:val="zh-CN"/>
          <w14:textFill>
            <w14:solidFill>
              <w14:schemeClr w14:val="tx1"/>
            </w14:solidFill>
          </w14:textFill>
        </w:rPr>
        <w:t>根据《政府采购促进中小企业发展管理办法》（财库〔2020〕46号），对小型和微型企业制造（生产）产品的价格给予6%的扣除，用扣除后的价格参与评审（附中小企业声明函）。</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30"/>
        <w:spacing w:before="0" w:after="0" w:line="360" w:lineRule="auto"/>
        <w:jc w:val="left"/>
        <w:rPr>
          <w:rFonts w:ascii="宋体" w:hAnsi="宋体" w:cs="宋体"/>
          <w:sz w:val="28"/>
          <w:szCs w:val="28"/>
          <w:lang w:val="zh-CN"/>
        </w:rPr>
      </w:pPr>
      <w:bookmarkStart w:id="37" w:name="_Toc78187930"/>
      <w:r>
        <w:rPr>
          <w:rFonts w:hint="eastAsia" w:ascii="宋体" w:hAnsi="宋体" w:cs="宋体"/>
          <w:sz w:val="28"/>
          <w:szCs w:val="28"/>
        </w:rPr>
        <w:t>20</w:t>
      </w:r>
      <w:r>
        <w:rPr>
          <w:rFonts w:hint="eastAsia" w:ascii="宋体" w:hAnsi="宋体" w:cs="宋体"/>
          <w:sz w:val="28"/>
          <w:szCs w:val="28"/>
          <w:lang w:val="zh-CN"/>
        </w:rPr>
        <w:t>.评审方法和标准</w:t>
      </w:r>
      <w:bookmarkEnd w:id="37"/>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20</w:t>
      </w:r>
      <w:r>
        <w:rPr>
          <w:rFonts w:hint="eastAsia" w:ascii="宋体" w:hAnsi="宋体" w:cs="宋体"/>
          <w:kern w:val="0"/>
          <w:lang w:val="zh-CN"/>
        </w:rPr>
        <w:t>.1依照《中华人民共和国政府采购法》、《中华人民共和国政府采购法实施条例》、《政府采购货物和服务招投标管理办法》等法律法规的规定，结合该项目的特点制定本评审办法。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kern w:val="0"/>
          <w:u w:val="dashDotHeavy"/>
        </w:rPr>
      </w:pPr>
      <w:r>
        <w:rPr>
          <w:rFonts w:hint="eastAsia" w:ascii="宋体" w:hAnsi="宋体" w:cs="宋体"/>
          <w:kern w:val="0"/>
        </w:rPr>
        <w:t>20</w:t>
      </w:r>
      <w:r>
        <w:rPr>
          <w:rFonts w:hint="eastAsia" w:ascii="宋体" w:hAnsi="宋体" w:cs="宋体"/>
          <w:kern w:val="0"/>
          <w:lang w:val="zh-CN"/>
        </w:rPr>
        <w:t>.2本次评审方法采用</w:t>
      </w:r>
      <w:r>
        <w:rPr>
          <w:rFonts w:hint="eastAsia" w:ascii="宋体" w:hAnsi="宋体" w:cs="宋体"/>
          <w:b/>
          <w:bCs/>
          <w:sz w:val="28"/>
          <w:szCs w:val="28"/>
          <w:lang w:val="zh-CN"/>
        </w:rPr>
        <w:t>综合评分法。</w:t>
      </w:r>
    </w:p>
    <w:p>
      <w:pPr>
        <w:autoSpaceDE w:val="0"/>
        <w:autoSpaceDN w:val="0"/>
        <w:spacing w:line="360" w:lineRule="auto"/>
        <w:ind w:firstLine="482" w:firstLineChars="200"/>
        <w:rPr>
          <w:rFonts w:ascii="宋体" w:hAnsi="宋体" w:cs="宋体"/>
          <w:b/>
          <w:bCs/>
          <w:szCs w:val="28"/>
          <w:lang w:val="zh-CN"/>
        </w:rPr>
      </w:pPr>
      <w:r>
        <w:rPr>
          <w:rFonts w:hint="eastAsia" w:ascii="宋体" w:hAnsi="宋体" w:cs="宋体"/>
          <w:b/>
          <w:bCs/>
          <w:szCs w:val="28"/>
          <w:lang w:val="zh-CN"/>
        </w:rPr>
        <w:t>评审方法：采用综合评分法</w:t>
      </w:r>
    </w:p>
    <w:p>
      <w:pPr>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综合评分法，是指投标文件满足招标文件全部实质性要求，且按照评审因素的量化指标评审得分最高的投标人为中标候选人的评标方法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评审因素的设定应当与投标人所提供货物服务的质量相关，包括</w:t>
      </w:r>
      <w:r>
        <w:rPr>
          <w:rFonts w:hint="eastAsia" w:ascii="宋体" w:hAnsi="宋体" w:cs="宋体"/>
          <w:b/>
          <w:bCs/>
          <w:shd w:val="clear" w:color="auto" w:fill="FFFFFF"/>
        </w:rPr>
        <w:t>技术或者服务水平、履约能力、售后服务</w:t>
      </w:r>
      <w:r>
        <w:rPr>
          <w:rFonts w:hint="eastAsia" w:ascii="宋体" w:hAnsi="宋体" w:cs="宋体"/>
          <w:shd w:val="clear" w:color="auto" w:fill="FFFFFF"/>
        </w:rPr>
        <w:t>等。资格条件不得作为评审因素。</w:t>
      </w:r>
    </w:p>
    <w:p>
      <w:pPr>
        <w:autoSpaceDE w:val="0"/>
        <w:autoSpaceDN w:val="0"/>
        <w:spacing w:line="360" w:lineRule="auto"/>
        <w:ind w:firstLine="480" w:firstLineChars="200"/>
        <w:rPr>
          <w:rFonts w:ascii="宋体" w:hAnsi="宋体" w:cs="宋体"/>
          <w:b/>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32"/>
        <w:tblW w:w="907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709"/>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554" w:type="dxa"/>
            <w:vAlign w:val="center"/>
          </w:tcPr>
          <w:p>
            <w:pPr>
              <w:autoSpaceDE w:val="0"/>
              <w:autoSpaceDN w:val="0"/>
              <w:snapToGrid w:val="0"/>
              <w:spacing w:line="400" w:lineRule="exact"/>
              <w:ind w:firstLine="240" w:firstLineChars="1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类别</w:t>
            </w:r>
          </w:p>
        </w:tc>
        <w:tc>
          <w:tcPr>
            <w:tcW w:w="709" w:type="dxa"/>
            <w:vAlign w:val="center"/>
          </w:tcPr>
          <w:p>
            <w:pPr>
              <w:autoSpaceDE w:val="0"/>
              <w:autoSpaceDN w:val="0"/>
              <w:snapToGrid w:val="0"/>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分值</w:t>
            </w:r>
          </w:p>
        </w:tc>
        <w:tc>
          <w:tcPr>
            <w:tcW w:w="6812" w:type="dxa"/>
            <w:vAlign w:val="center"/>
          </w:tcPr>
          <w:p>
            <w:pPr>
              <w:autoSpaceDE w:val="0"/>
              <w:autoSpaceDN w:val="0"/>
              <w:snapToGrid w:val="0"/>
              <w:spacing w:line="40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554" w:type="dxa"/>
            <w:vAlign w:val="center"/>
          </w:tcPr>
          <w:p>
            <w:pPr>
              <w:pStyle w:val="29"/>
              <w:spacing w:line="360" w:lineRule="auto"/>
              <w:jc w:val="center"/>
              <w:rPr>
                <w:rFonts w:ascii="宋体" w:hAnsi="宋体" w:cs="宋体"/>
                <w:color w:val="000000" w:themeColor="text1"/>
                <w:kern w:val="2"/>
                <w:shd w:val="clear" w:color="auto" w:fill="FFFFFF"/>
                <w14:textFill>
                  <w14:solidFill>
                    <w14:schemeClr w14:val="tx1"/>
                  </w14:solidFill>
                </w14:textFill>
              </w:rPr>
            </w:pPr>
            <w:r>
              <w:rPr>
                <w:rFonts w:hint="eastAsia" w:ascii="宋体" w:hAnsi="宋体" w:cs="宋体"/>
                <w:color w:val="000000" w:themeColor="text1"/>
                <w:kern w:val="2"/>
                <w:shd w:val="clear" w:color="auto" w:fill="FFFFFF"/>
                <w14:textFill>
                  <w14:solidFill>
                    <w14:schemeClr w14:val="tx1"/>
                  </w14:solidFill>
                </w14:textFill>
              </w:rPr>
              <w:t>投标报价(</w:t>
            </w:r>
            <w:r>
              <w:rPr>
                <w:rFonts w:ascii="宋体" w:hAnsi="宋体" w:cs="宋体"/>
                <w:color w:val="000000" w:themeColor="text1"/>
                <w:kern w:val="2"/>
                <w:shd w:val="clear" w:color="auto" w:fill="FFFFFF"/>
                <w14:textFill>
                  <w14:solidFill>
                    <w14:schemeClr w14:val="tx1"/>
                  </w14:solidFill>
                </w14:textFill>
              </w:rPr>
              <w:t>10</w:t>
            </w:r>
            <w:r>
              <w:rPr>
                <w:rFonts w:hint="eastAsia" w:ascii="宋体" w:hAnsi="宋体" w:cs="宋体"/>
                <w:color w:val="000000" w:themeColor="text1"/>
                <w:kern w:val="2"/>
                <w:shd w:val="clear" w:color="auto" w:fill="FFFFFF"/>
                <w14:textFill>
                  <w14:solidFill>
                    <w14:schemeClr w14:val="tx1"/>
                  </w14:solidFill>
                </w14:textFill>
              </w:rPr>
              <w:t>%)</w:t>
            </w:r>
          </w:p>
        </w:tc>
        <w:tc>
          <w:tcPr>
            <w:tcW w:w="709" w:type="dxa"/>
            <w:vAlign w:val="center"/>
          </w:tcPr>
          <w:p>
            <w:pPr>
              <w:autoSpaceDE w:val="0"/>
              <w:autoSpaceDN w:val="0"/>
              <w:snapToGrid w:val="0"/>
              <w:spacing w:line="4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w:t>
            </w:r>
            <w:r>
              <w:rPr>
                <w:rFonts w:asciiTheme="minorEastAsia" w:hAnsiTheme="minorEastAsia" w:eastAsiaTheme="minorEastAsia"/>
                <w:color w:val="000000" w:themeColor="text1"/>
                <w14:textFill>
                  <w14:solidFill>
                    <w14:schemeClr w14:val="tx1"/>
                  </w14:solidFill>
                </w14:textFill>
              </w:rPr>
              <w:t>0</w:t>
            </w:r>
            <w:r>
              <w:rPr>
                <w:rFonts w:hint="eastAsia" w:asciiTheme="minorEastAsia" w:hAnsiTheme="minorEastAsia" w:eastAsiaTheme="minorEastAsia"/>
                <w:color w:val="000000" w:themeColor="text1"/>
                <w14:textFill>
                  <w14:solidFill>
                    <w14:schemeClr w14:val="tx1"/>
                  </w14:solidFill>
                </w14:textFill>
              </w:rPr>
              <w:t>分</w:t>
            </w:r>
          </w:p>
        </w:tc>
        <w:tc>
          <w:tcPr>
            <w:tcW w:w="6812" w:type="dxa"/>
          </w:tcPr>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在所有的有效投标报价中，以</w:t>
            </w:r>
            <w:r>
              <w:rPr>
                <w:rFonts w:hint="eastAsia" w:ascii="宋体" w:hAnsi="宋体"/>
              </w:rPr>
              <w:t>最低</w:t>
            </w:r>
            <w:r>
              <w:rPr>
                <w:rFonts w:hint="eastAsia" w:ascii="宋体" w:hAnsi="宋体"/>
                <w:color w:val="000000" w:themeColor="text1"/>
                <w14:textFill>
                  <w14:solidFill>
                    <w14:schemeClr w14:val="tx1"/>
                  </w14:solidFill>
                </w14:textFill>
              </w:rPr>
              <w:t>投标报价为基准价，其价格分为满分。其他投标人的报价分统一按下列公式计算：报价得分=(评标基准价／报价)×价格权值（</w:t>
            </w: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%）×100（四舍五入后保留小数点后两位）。</w:t>
            </w:r>
          </w:p>
          <w:p>
            <w:pPr>
              <w:pStyle w:val="29"/>
              <w:widowControl/>
              <w:spacing w:before="0" w:beforeAutospacing="0" w:after="0" w:afterAutospacing="0" w:line="360" w:lineRule="auto"/>
              <w:ind w:firstLine="472"/>
              <w:rPr>
                <w:rFonts w:ascii="宋体" w:hAnsi="宋体" w:cs="宋体"/>
                <w:color w:val="000000"/>
                <w:shd w:val="clear" w:color="auto" w:fill="FFFFFF"/>
              </w:rPr>
            </w:pPr>
            <w:r>
              <w:rPr>
                <w:rFonts w:hint="eastAsia" w:ascii="宋体" w:hAnsi="宋体" w:cs="宋体"/>
                <w:color w:val="000000"/>
                <w:shd w:val="clear" w:color="auto" w:fill="FFFFFF"/>
              </w:rPr>
              <w:t>注：小微企业（监狱企业、残疾人福利性单位均视同小微企业）价格扣除：</w:t>
            </w:r>
          </w:p>
          <w:p>
            <w:pPr>
              <w:pStyle w:val="29"/>
              <w:widowControl/>
              <w:spacing w:before="0" w:beforeAutospacing="0" w:after="0" w:afterAutospacing="0" w:line="360" w:lineRule="auto"/>
              <w:ind w:firstLine="472"/>
              <w:rPr>
                <w:rFonts w:ascii="宋体" w:hAnsi="宋体" w:cs="宋体"/>
                <w:color w:val="000000"/>
                <w:shd w:val="clear" w:color="auto" w:fill="FFFFFF"/>
              </w:rPr>
            </w:pPr>
            <w:r>
              <w:rPr>
                <w:rFonts w:hint="eastAsia" w:ascii="宋体" w:hAnsi="宋体" w:cs="宋体"/>
                <w:color w:val="000000"/>
                <w:shd w:val="clear" w:color="auto" w:fill="FFFFFF"/>
              </w:rPr>
              <w:t>1、根据《政府采购促进中小企业发展管理办法》（财库〔2020〕46号）的规定，</w:t>
            </w:r>
            <w:r>
              <w:rPr>
                <w:rFonts w:hint="eastAsia" w:ascii="宋体" w:hAnsi="宋体" w:cs="宋体"/>
                <w:color w:val="000000"/>
                <w:shd w:val="clear" w:color="auto" w:fill="FFFFFF"/>
                <w:lang w:val="en-US" w:eastAsia="zh-CN"/>
              </w:rPr>
              <w:t>本项目</w:t>
            </w:r>
            <w:r>
              <w:rPr>
                <w:rFonts w:hint="eastAsia" w:ascii="宋体" w:hAnsi="宋体" w:cs="宋体"/>
                <w:color w:val="000000"/>
                <w:shd w:val="clear" w:color="auto" w:fill="FFFFFF"/>
              </w:rPr>
              <w:t>对符合规定的小微企业报价给予</w:t>
            </w:r>
            <w:r>
              <w:rPr>
                <w:rFonts w:hint="eastAsia" w:ascii="宋体" w:hAnsi="宋体" w:cs="宋体"/>
                <w:color w:val="000000"/>
                <w:shd w:val="clear" w:color="auto" w:fill="FFFFFF"/>
                <w:lang w:val="en-US" w:eastAsia="zh-CN"/>
              </w:rPr>
              <w:t>10</w:t>
            </w:r>
            <w:r>
              <w:rPr>
                <w:rFonts w:hint="eastAsia" w:ascii="宋体" w:hAnsi="宋体" w:cs="宋体"/>
                <w:color w:val="000000"/>
                <w:shd w:val="clear" w:color="auto" w:fill="FFFFFF"/>
              </w:rPr>
              <w:t>%的扣除，用扣除后的价格参加评审。</w:t>
            </w:r>
          </w:p>
          <w:p>
            <w:pPr>
              <w:pStyle w:val="29"/>
              <w:widowControl/>
              <w:spacing w:before="0" w:beforeAutospacing="0" w:after="0" w:afterAutospacing="0" w:line="360" w:lineRule="auto"/>
              <w:ind w:firstLine="472"/>
              <w:rPr>
                <w:rFonts w:ascii="宋体" w:hAnsi="宋体" w:cs="宋体"/>
                <w:color w:val="000000"/>
                <w:shd w:val="clear" w:color="auto" w:fill="FFFFFF"/>
              </w:rPr>
            </w:pPr>
            <w:r>
              <w:rPr>
                <w:rFonts w:hint="eastAsia" w:ascii="宋体" w:hAnsi="宋体" w:cs="宋体"/>
                <w:color w:val="000000"/>
                <w:shd w:val="clear" w:color="auto" w:fill="FFFFFF"/>
              </w:rPr>
              <w:t>2、参加政府采购活动的中小企业（监狱企业）提供《中小企业（监狱企业）声明函》原件，未提供的，视为放弃享受小微企业价格扣除优惠政策。</w:t>
            </w:r>
          </w:p>
          <w:p>
            <w:pPr>
              <w:pStyle w:val="29"/>
              <w:widowControl/>
              <w:spacing w:before="0" w:beforeAutospacing="0" w:after="0" w:afterAutospacing="0" w:line="360" w:lineRule="auto"/>
              <w:ind w:firstLine="472"/>
              <w:rPr>
                <w:rFonts w:ascii="宋体" w:hAnsi="宋体" w:cs="宋体"/>
                <w:color w:val="000000"/>
                <w:shd w:val="clear" w:color="auto" w:fill="FFFFFF"/>
              </w:rPr>
            </w:pPr>
            <w:r>
              <w:rPr>
                <w:rFonts w:ascii="宋体" w:hAnsi="宋体" w:cs="宋体"/>
                <w:color w:val="000000"/>
                <w:shd w:val="clear" w:color="auto" w:fill="FFFFFF"/>
              </w:rPr>
              <w:t>3</w:t>
            </w:r>
            <w:r>
              <w:rPr>
                <w:rFonts w:hint="eastAsia" w:ascii="宋体" w:hAnsi="宋体" w:cs="宋体"/>
                <w:color w:val="000000"/>
                <w:shd w:val="clear" w:color="auto" w:fill="FFFFFF"/>
              </w:rPr>
              <w:t>、参加政府采购活动的残疾人福利性单位应当提供《残疾人福利性单位声明函》原件，未提供的，视为放弃享受小微企业价格扣除优惠政策。</w:t>
            </w:r>
          </w:p>
          <w:p>
            <w:pPr>
              <w:pStyle w:val="29"/>
              <w:widowControl/>
              <w:spacing w:before="0" w:beforeAutospacing="0" w:after="0" w:afterAutospacing="0" w:line="360" w:lineRule="auto"/>
              <w:ind w:firstLine="472"/>
              <w:rPr>
                <w:rFonts w:ascii="宋体" w:hAnsi="宋体" w:cs="宋体"/>
                <w:color w:val="000000"/>
                <w:shd w:val="clear" w:color="auto" w:fill="FFFFFF"/>
              </w:rPr>
            </w:pPr>
            <w:r>
              <w:rPr>
                <w:rFonts w:hint="eastAsia" w:ascii="宋体" w:hAnsi="宋体" w:cs="宋体"/>
                <w:color w:val="000000"/>
                <w:shd w:val="clear" w:color="auto" w:fill="FFFFFF"/>
              </w:rPr>
              <w:t>（1）服务项目的价格分值占总分值的比重不得低于</w:t>
            </w:r>
            <w:r>
              <w:rPr>
                <w:rFonts w:ascii="宋体" w:hAnsi="宋体" w:cs="宋体"/>
                <w:color w:val="000000"/>
                <w:shd w:val="clear" w:color="auto" w:fill="FFFFFF"/>
              </w:rPr>
              <w:t>1</w:t>
            </w:r>
            <w:r>
              <w:rPr>
                <w:rFonts w:hint="eastAsia" w:ascii="宋体" w:hAnsi="宋体" w:cs="宋体"/>
                <w:color w:val="000000"/>
                <w:shd w:val="clear" w:color="auto" w:fill="FFFFFF"/>
              </w:rPr>
              <w:t>0%；</w:t>
            </w:r>
          </w:p>
          <w:p>
            <w:pPr>
              <w:pStyle w:val="29"/>
              <w:widowControl/>
              <w:spacing w:before="0" w:beforeAutospacing="0" w:after="0" w:afterAutospacing="0" w:line="360" w:lineRule="auto"/>
              <w:ind w:firstLine="472"/>
              <w:rPr>
                <w:rFonts w:ascii="宋体" w:hAnsi="宋体" w:cs="宋体"/>
                <w:color w:val="000000"/>
                <w:shd w:val="clear" w:color="auto" w:fill="FFFFFF"/>
              </w:rPr>
            </w:pPr>
            <w:r>
              <w:rPr>
                <w:rFonts w:hint="eastAsia" w:ascii="宋体" w:hAnsi="宋体" w:cs="宋体"/>
                <w:color w:val="000000"/>
                <w:shd w:val="clear" w:color="auto" w:fill="FFFFFF"/>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29"/>
              <w:widowControl/>
              <w:spacing w:before="0" w:beforeAutospacing="0" w:after="0" w:afterAutospacing="0" w:line="360" w:lineRule="auto"/>
              <w:ind w:firstLine="472"/>
              <w:rPr>
                <w:rFonts w:ascii="宋体" w:hAnsi="宋体" w:cs="宋体"/>
                <w:color w:val="000000"/>
                <w:shd w:val="clear" w:color="auto" w:fill="FFFFFF"/>
              </w:rPr>
            </w:pPr>
            <w:r>
              <w:rPr>
                <w:rFonts w:hint="eastAsia" w:ascii="宋体" w:hAnsi="宋体" w:cs="宋体"/>
                <w:color w:val="000000"/>
                <w:shd w:val="clear" w:color="auto" w:fill="FFFFFF"/>
              </w:rPr>
              <w:t>（3）因落实政府采购政策进行价格调整的，以调整后的价格计算评标基准价和投标报价。残疾人福利性单位属于小型、微型企业的，不重复享受政策。</w:t>
            </w:r>
          </w:p>
          <w:p>
            <w:pPr>
              <w:autoSpaceDE w:val="0"/>
              <w:autoSpaceDN w:val="0"/>
              <w:snapToGrid w:val="0"/>
              <w:spacing w:line="360" w:lineRule="auto"/>
              <w:jc w:val="left"/>
              <w:rPr>
                <w:rFonts w:asciiTheme="minorEastAsia" w:hAnsiTheme="minorEastAsia" w:eastAsiaTheme="minorEastAsia"/>
                <w:color w:val="000000" w:themeColor="text1"/>
                <w14:textFill>
                  <w14:solidFill>
                    <w14:schemeClr w14:val="tx1"/>
                  </w14:solidFill>
                </w14:textFill>
              </w:rPr>
            </w:pPr>
            <w:r>
              <w:rPr>
                <w:rFonts w:hint="eastAsia" w:ascii="宋体" w:hAnsi="宋体" w:cs="宋体"/>
                <w:color w:val="000000"/>
                <w:shd w:val="clear" w:color="auto" w:fill="FFFFFF"/>
              </w:rPr>
              <w:t>（4）执行国家统一定价标准和采用固定价格采购的项目，其价格不列为评审因素。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1554" w:type="dxa"/>
            <w:vAlign w:val="center"/>
          </w:tcPr>
          <w:p>
            <w:pPr>
              <w:autoSpaceDE w:val="0"/>
              <w:autoSpaceDN w:val="0"/>
              <w:snapToGrid w:val="0"/>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hd w:val="clear" w:color="auto" w:fill="FFFFFF"/>
                <w14:textFill>
                  <w14:solidFill>
                    <w14:schemeClr w14:val="tx1"/>
                  </w14:solidFill>
                </w14:textFill>
              </w:rPr>
              <w:t>实施方案（</w:t>
            </w:r>
            <w:r>
              <w:rPr>
                <w:rFonts w:hint="eastAsia" w:cs="宋体" w:asciiTheme="minorEastAsia" w:hAnsiTheme="minorEastAsia" w:eastAsiaTheme="minorEastAsia"/>
                <w:color w:val="000000" w:themeColor="text1"/>
                <w:shd w:val="clear" w:color="auto" w:fill="FFFFFF"/>
                <w:lang w:val="en-US" w:eastAsia="zh-CN"/>
                <w14:textFill>
                  <w14:solidFill>
                    <w14:schemeClr w14:val="tx1"/>
                  </w14:solidFill>
                </w14:textFill>
              </w:rPr>
              <w:t>3</w:t>
            </w:r>
            <w:r>
              <w:rPr>
                <w:rFonts w:cs="宋体" w:asciiTheme="minorEastAsia" w:hAnsiTheme="minorEastAsia" w:eastAsiaTheme="minorEastAsia"/>
                <w:color w:val="000000" w:themeColor="text1"/>
                <w:shd w:val="clear" w:color="auto" w:fill="FFFFFF"/>
                <w14:textFill>
                  <w14:solidFill>
                    <w14:schemeClr w14:val="tx1"/>
                  </w14:solidFill>
                </w14:textFill>
              </w:rPr>
              <w:t>0</w:t>
            </w:r>
            <w:r>
              <w:rPr>
                <w:rFonts w:hint="eastAsia" w:cs="宋体" w:asciiTheme="minorEastAsia" w:hAnsiTheme="minorEastAsia" w:eastAsiaTheme="minorEastAsia"/>
                <w:color w:val="000000" w:themeColor="text1"/>
                <w:shd w:val="clear" w:color="auto" w:fill="FFFFFF"/>
                <w14:textFill>
                  <w14:solidFill>
                    <w14:schemeClr w14:val="tx1"/>
                  </w14:solidFill>
                </w14:textFill>
              </w:rPr>
              <w:t>%）</w:t>
            </w:r>
          </w:p>
        </w:tc>
        <w:tc>
          <w:tcPr>
            <w:tcW w:w="709" w:type="dxa"/>
            <w:vAlign w:val="center"/>
          </w:tcPr>
          <w:p>
            <w:pPr>
              <w:autoSpaceDE w:val="0"/>
              <w:autoSpaceDN w:val="0"/>
              <w:snapToGrid w:val="0"/>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3</w:t>
            </w:r>
            <w:r>
              <w:rPr>
                <w:rFonts w:asciiTheme="minorEastAsia" w:hAnsiTheme="minorEastAsia" w:eastAsiaTheme="minorEastAsia"/>
                <w:color w:val="000000" w:themeColor="text1"/>
                <w14:textFill>
                  <w14:solidFill>
                    <w14:schemeClr w14:val="tx1"/>
                  </w14:solidFill>
                </w14:textFill>
              </w:rPr>
              <w:t>0</w:t>
            </w:r>
            <w:r>
              <w:rPr>
                <w:rFonts w:hint="eastAsia" w:asciiTheme="minorEastAsia" w:hAnsiTheme="minorEastAsia" w:eastAsiaTheme="minorEastAsia"/>
                <w:color w:val="000000" w:themeColor="text1"/>
                <w14:textFill>
                  <w14:solidFill>
                    <w14:schemeClr w14:val="tx1"/>
                  </w14:solidFill>
                </w14:textFill>
              </w:rPr>
              <w:t>分</w:t>
            </w:r>
          </w:p>
        </w:tc>
        <w:tc>
          <w:tcPr>
            <w:tcW w:w="6812" w:type="dxa"/>
            <w:vAlign w:val="center"/>
          </w:tcPr>
          <w:p>
            <w:pPr>
              <w:autoSpaceDE w:val="0"/>
              <w:autoSpaceDN w:val="0"/>
              <w:adjustRightInd w:val="0"/>
              <w:spacing w:line="360" w:lineRule="auto"/>
              <w:jc w:val="left"/>
              <w:rPr>
                <w:rFonts w:asciiTheme="minorHAnsi" w:hAnsiTheme="minorHAnsi" w:eastAsiaTheme="minorEastAsia"/>
              </w:rPr>
            </w:pPr>
            <w:r>
              <w:rPr>
                <w:rFonts w:hint="eastAsia" w:ascii="宋体" w:hAnsi="宋体" w:cs="宋体"/>
              </w:rPr>
              <w:t>根据投标人提供的项目实施方案，方案包括但不限于①项目重点分析；②总体实施程序；③工作原则；④技术方法；⑤项目组织实施方案；</w:t>
            </w: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6 \* GB3</w:instrText>
            </w:r>
            <w:r>
              <w:rPr>
                <w:rFonts w:ascii="宋体" w:hAnsi="宋体" w:cs="宋体"/>
              </w:rPr>
              <w:instrText xml:space="preserve"> </w:instrText>
            </w:r>
            <w:r>
              <w:rPr>
                <w:rFonts w:ascii="宋体" w:hAnsi="宋体" w:cs="宋体"/>
              </w:rPr>
              <w:fldChar w:fldCharType="separate"/>
            </w:r>
            <w:r>
              <w:rPr>
                <w:rFonts w:hint="eastAsia" w:ascii="宋体" w:hAnsi="宋体" w:cs="宋体"/>
              </w:rPr>
              <w:t>⑥</w:t>
            </w:r>
            <w:r>
              <w:rPr>
                <w:rFonts w:ascii="宋体" w:hAnsi="宋体" w:cs="宋体"/>
              </w:rPr>
              <w:fldChar w:fldCharType="end"/>
            </w:r>
            <w:r>
              <w:rPr>
                <w:rFonts w:hint="eastAsia" w:ascii="宋体" w:hAnsi="宋体" w:cs="宋体"/>
              </w:rPr>
              <w:t>拟递交项目成果；</w:t>
            </w: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7 \* GB3</w:instrText>
            </w:r>
            <w:r>
              <w:rPr>
                <w:rFonts w:ascii="宋体" w:hAnsi="宋体" w:cs="宋体"/>
              </w:rPr>
              <w:instrText xml:space="preserve"> </w:instrText>
            </w:r>
            <w:r>
              <w:rPr>
                <w:rFonts w:ascii="宋体" w:hAnsi="宋体" w:cs="宋体"/>
              </w:rPr>
              <w:fldChar w:fldCharType="separate"/>
            </w:r>
            <w:r>
              <w:rPr>
                <w:rFonts w:hint="eastAsia" w:ascii="宋体" w:hAnsi="宋体" w:cs="宋体"/>
              </w:rPr>
              <w:t>⑦</w:t>
            </w:r>
            <w:r>
              <w:rPr>
                <w:rFonts w:ascii="宋体" w:hAnsi="宋体" w:cs="宋体"/>
              </w:rPr>
              <w:fldChar w:fldCharType="end"/>
            </w:r>
            <w:r>
              <w:rPr>
                <w:rFonts w:hint="eastAsia" w:ascii="宋体" w:hAnsi="宋体" w:cs="宋体"/>
              </w:rPr>
              <w:t>项目质量控制；</w:t>
            </w: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8 \* GB3</w:instrText>
            </w:r>
            <w:r>
              <w:rPr>
                <w:rFonts w:ascii="宋体" w:hAnsi="宋体" w:cs="宋体"/>
              </w:rPr>
              <w:instrText xml:space="preserve"> </w:instrText>
            </w:r>
            <w:r>
              <w:rPr>
                <w:rFonts w:ascii="宋体" w:hAnsi="宋体" w:cs="宋体"/>
              </w:rPr>
              <w:fldChar w:fldCharType="separate"/>
            </w:r>
            <w:r>
              <w:rPr>
                <w:rFonts w:hint="eastAsia" w:ascii="宋体" w:hAnsi="宋体" w:cs="宋体"/>
              </w:rPr>
              <w:t>⑧</w:t>
            </w:r>
            <w:r>
              <w:rPr>
                <w:rFonts w:ascii="宋体" w:hAnsi="宋体" w:cs="宋体"/>
              </w:rPr>
              <w:fldChar w:fldCharType="end"/>
            </w:r>
            <w:r>
              <w:rPr>
                <w:rFonts w:hint="eastAsia" w:ascii="宋体" w:hAnsi="宋体" w:cs="宋体"/>
              </w:rPr>
              <w:t>项目进度控制；</w:t>
            </w: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9 \* GB3</w:instrText>
            </w:r>
            <w:r>
              <w:rPr>
                <w:rFonts w:ascii="宋体" w:hAnsi="宋体" w:cs="宋体"/>
              </w:rPr>
              <w:instrText xml:space="preserve"> </w:instrText>
            </w:r>
            <w:r>
              <w:rPr>
                <w:rFonts w:ascii="宋体" w:hAnsi="宋体" w:cs="宋体"/>
              </w:rPr>
              <w:fldChar w:fldCharType="separate"/>
            </w:r>
            <w:r>
              <w:rPr>
                <w:rFonts w:hint="eastAsia" w:ascii="宋体" w:hAnsi="宋体" w:cs="宋体"/>
              </w:rPr>
              <w:t>⑨</w:t>
            </w:r>
            <w:r>
              <w:rPr>
                <w:rFonts w:ascii="宋体" w:hAnsi="宋体" w:cs="宋体"/>
              </w:rPr>
              <w:fldChar w:fldCharType="end"/>
            </w:r>
            <w:r>
              <w:rPr>
                <w:rFonts w:hint="eastAsia" w:ascii="宋体" w:hAnsi="宋体" w:cs="宋体"/>
              </w:rPr>
              <w:t>项目的保密制度；</w:t>
            </w: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10 \* GB3</w:instrText>
            </w:r>
            <w:r>
              <w:rPr>
                <w:rFonts w:ascii="宋体" w:hAnsi="宋体" w:cs="宋体"/>
              </w:rPr>
              <w:instrText xml:space="preserve"> </w:instrText>
            </w:r>
            <w:r>
              <w:rPr>
                <w:rFonts w:ascii="宋体" w:hAnsi="宋体" w:cs="宋体"/>
              </w:rPr>
              <w:fldChar w:fldCharType="separate"/>
            </w:r>
            <w:r>
              <w:rPr>
                <w:rFonts w:hint="eastAsia" w:ascii="宋体" w:hAnsi="宋体" w:cs="宋体"/>
              </w:rPr>
              <w:t>⑩</w:t>
            </w:r>
            <w:r>
              <w:rPr>
                <w:rFonts w:ascii="宋体" w:hAnsi="宋体" w:cs="宋体"/>
              </w:rPr>
              <w:fldChar w:fldCharType="end"/>
            </w:r>
            <w:r>
              <w:rPr>
                <w:rFonts w:hint="eastAsia" w:ascii="宋体" w:hAnsi="宋体" w:cs="宋体"/>
              </w:rPr>
              <w:t>项目保密制度等，方案内容完善（包含以上内容）、安排合理（结合本项目实际需求，能够有效提高服务效率和质量），可行性强（结合本项目实际需求）的得</w:t>
            </w:r>
            <w:r>
              <w:rPr>
                <w:rFonts w:hint="eastAsia" w:ascii="宋体" w:hAnsi="宋体" w:cs="宋体"/>
                <w:lang w:val="en-US" w:eastAsia="zh-CN"/>
              </w:rPr>
              <w:t>3</w:t>
            </w:r>
            <w:r>
              <w:rPr>
                <w:rFonts w:ascii="宋体" w:hAnsi="宋体" w:cs="宋体"/>
                <w:u w:val="single"/>
              </w:rPr>
              <w:t>0</w:t>
            </w:r>
            <w:r>
              <w:rPr>
                <w:rFonts w:hint="eastAsia" w:ascii="宋体" w:hAnsi="宋体" w:cs="宋体"/>
              </w:rPr>
              <w:t>分，在此基础上，方案存在漏项的每有一处扣</w:t>
            </w:r>
            <w:r>
              <w:rPr>
                <w:rFonts w:hint="eastAsia" w:ascii="宋体" w:hAnsi="宋体" w:cs="宋体"/>
                <w:lang w:val="en-US" w:eastAsia="zh-CN"/>
              </w:rPr>
              <w:t>3</w:t>
            </w:r>
            <w:r>
              <w:rPr>
                <w:rFonts w:hint="eastAsia" w:ascii="宋体" w:hAnsi="宋体" w:cs="宋体"/>
              </w:rPr>
              <w:t>分；存在缺陷或不合理（缺陷和不合理是指存在不适用项目实际情况的情形、凭空编造、逻辑漏洞、不利于项目实施及不可能实现的夸大情形等)的每有一处扣</w:t>
            </w:r>
            <w:r>
              <w:rPr>
                <w:rFonts w:ascii="宋体" w:hAnsi="宋体" w:cs="宋体"/>
                <w:u w:val="single"/>
              </w:rPr>
              <w:t>2</w:t>
            </w:r>
            <w:r>
              <w:rPr>
                <w:rFonts w:hint="eastAsia" w:ascii="宋体" w:hAnsi="宋体" w:cs="宋体"/>
              </w:rPr>
              <w:t>分，本项最多扣</w:t>
            </w:r>
            <w:r>
              <w:rPr>
                <w:rFonts w:hint="eastAsia" w:ascii="宋体" w:hAnsi="宋体" w:cs="宋体"/>
                <w:lang w:val="en-US" w:eastAsia="zh-CN"/>
              </w:rPr>
              <w:t>3</w:t>
            </w:r>
            <w:r>
              <w:rPr>
                <w:rFonts w:ascii="宋体" w:hAnsi="宋体" w:cs="宋体"/>
                <w:u w:val="single"/>
              </w:rPr>
              <w:t>0</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5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业绩</w:t>
            </w:r>
          </w:p>
          <w:p>
            <w:pPr>
              <w:widowControl/>
              <w:spacing w:line="360" w:lineRule="auto"/>
              <w:jc w:val="center"/>
              <w:rPr>
                <w:rFonts w:cs="宋体"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lang w:val="en-US" w:eastAsia="zh-CN"/>
                <w14:textFill>
                  <w14:solidFill>
                    <w14:schemeClr w14:val="tx1"/>
                  </w14:solidFill>
                </w14:textFill>
              </w:rPr>
              <w:t>0</w:t>
            </w:r>
            <w:r>
              <w:rPr>
                <w:rFonts w:hint="eastAsia" w:asciiTheme="minorEastAsia" w:hAnsiTheme="minorEastAsia" w:eastAsiaTheme="minorEastAsia"/>
                <w:color w:val="000000" w:themeColor="text1"/>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olor w:val="000000" w:themeColor="text1"/>
                <w14:textFill>
                  <w14:solidFill>
                    <w14:schemeClr w14:val="tx1"/>
                  </w14:solidFill>
                </w14:textFill>
              </w:rPr>
              <w:t>分</w:t>
            </w:r>
          </w:p>
        </w:tc>
        <w:tc>
          <w:tcPr>
            <w:tcW w:w="6812" w:type="dxa"/>
            <w:tcBorders>
              <w:top w:val="single" w:color="auto" w:sz="4" w:space="0"/>
              <w:left w:val="single" w:color="auto" w:sz="4" w:space="0"/>
              <w:right w:val="single" w:color="auto" w:sz="4" w:space="0"/>
            </w:tcBorders>
            <w:vAlign w:val="center"/>
          </w:tcPr>
          <w:p>
            <w:pPr>
              <w:pStyle w:val="133"/>
              <w:spacing w:before="23" w:line="468" w:lineRule="exact"/>
              <w:ind w:right="-29" w:righ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提供2018年1月1日至递交响应文件截止时间类似业绩（如自然资源统一确权登记、不动产权籍调查、划定类等项目）；每提供1项得2分，此项最多不超过20分；</w:t>
            </w:r>
          </w:p>
          <w:p>
            <w:pPr>
              <w:autoSpaceDE w:val="0"/>
              <w:autoSpaceDN w:val="0"/>
              <w:adjustRightInd w:val="0"/>
              <w:spacing w:line="360" w:lineRule="auto"/>
              <w:jc w:val="left"/>
              <w:rPr>
                <w:rFonts w:ascii="宋体" w:hAnsi="宋体" w:cs="宋体"/>
              </w:rPr>
            </w:pPr>
            <w:r>
              <w:rPr>
                <w:rFonts w:hint="eastAsia" w:ascii="宋体" w:hAnsi="宋体" w:eastAsia="宋体" w:cs="宋体"/>
                <w:kern w:val="2"/>
                <w:sz w:val="24"/>
                <w:szCs w:val="24"/>
                <w:lang w:val="en-US" w:eastAsia="zh-CN" w:bidi="ar-SA"/>
              </w:rPr>
              <w:t>注：需提供中标（成交）通知书或合同复印件（包含合同首页、标的及金额所在页、签字盖章页）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554" w:type="dxa"/>
            <w:vAlign w:val="center"/>
          </w:tcPr>
          <w:p>
            <w:pPr>
              <w:widowControl/>
              <w:spacing w:line="360" w:lineRule="auto"/>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团队实力水平及投入的设备（</w:t>
            </w:r>
            <w:r>
              <w:rPr>
                <w:rFonts w:hint="eastAsia" w:cs="宋体" w:asciiTheme="minorEastAsia" w:hAnsiTheme="minorEastAsia" w:eastAsiaTheme="minorEastAsia"/>
                <w:color w:val="000000" w:themeColor="text1"/>
                <w:lang w:val="en-US" w:eastAsia="zh-CN"/>
                <w14:textFill>
                  <w14:solidFill>
                    <w14:schemeClr w14:val="tx1"/>
                  </w14:solidFill>
                </w14:textFill>
              </w:rPr>
              <w:t>3</w:t>
            </w:r>
            <w:r>
              <w:rPr>
                <w:rFonts w:cs="宋体" w:asciiTheme="minorEastAsia" w:hAnsiTheme="minorEastAsia" w:eastAsiaTheme="minorEastAsia"/>
                <w:color w:val="000000" w:themeColor="text1"/>
                <w14:textFill>
                  <w14:solidFill>
                    <w14:schemeClr w14:val="tx1"/>
                  </w14:solidFill>
                </w14:textFill>
              </w:rPr>
              <w:t>0%</w:t>
            </w:r>
            <w:r>
              <w:rPr>
                <w:rFonts w:hint="eastAsia" w:cs="宋体" w:asciiTheme="minorEastAsia" w:hAnsiTheme="minorEastAsia" w:eastAsiaTheme="minorEastAsia"/>
                <w:color w:val="000000" w:themeColor="text1"/>
                <w14:textFill>
                  <w14:solidFill>
                    <w14:schemeClr w14:val="tx1"/>
                  </w14:solidFill>
                </w14:textFill>
              </w:rPr>
              <w:t>）</w:t>
            </w:r>
          </w:p>
        </w:tc>
        <w:tc>
          <w:tcPr>
            <w:tcW w:w="709" w:type="dxa"/>
            <w:vAlign w:val="center"/>
          </w:tcPr>
          <w:p>
            <w:pPr>
              <w:autoSpaceDE w:val="0"/>
              <w:autoSpaceDN w:val="0"/>
              <w:snapToGrid w:val="0"/>
              <w:spacing w:line="360" w:lineRule="auto"/>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lang w:val="en-US" w:eastAsia="zh-CN"/>
                <w14:textFill>
                  <w14:solidFill>
                    <w14:schemeClr w14:val="tx1"/>
                  </w14:solidFill>
                </w14:textFill>
              </w:rPr>
              <w:t>30</w:t>
            </w:r>
            <w:r>
              <w:rPr>
                <w:rFonts w:cs="宋体" w:asciiTheme="minorEastAsia" w:hAnsiTheme="minorEastAsia" w:eastAsiaTheme="minorEastAsia"/>
                <w:color w:val="000000" w:themeColor="text1"/>
                <w14:textFill>
                  <w14:solidFill>
                    <w14:schemeClr w14:val="tx1"/>
                  </w14:solidFill>
                </w14:textFill>
              </w:rPr>
              <w:t>分</w:t>
            </w:r>
          </w:p>
        </w:tc>
        <w:tc>
          <w:tcPr>
            <w:tcW w:w="6812" w:type="dxa"/>
            <w:vAlign w:val="center"/>
          </w:tcPr>
          <w:p>
            <w:pPr>
              <w:pStyle w:val="133"/>
              <w:spacing w:line="299" w:lineRule="exact"/>
              <w:ind w:left="3"/>
              <w:rPr>
                <w:rFonts w:hint="eastAsia" w:ascii="宋体" w:hAnsi="宋体" w:eastAsia="宋体" w:cs="宋体"/>
                <w:b/>
                <w:color w:val="auto"/>
                <w:sz w:val="24"/>
              </w:rPr>
            </w:pPr>
            <w:r>
              <w:rPr>
                <w:rFonts w:hint="eastAsia" w:ascii="宋体" w:hAnsi="宋体" w:eastAsia="宋体" w:cs="宋体"/>
                <w:b/>
                <w:color w:val="auto"/>
                <w:sz w:val="22"/>
                <w:szCs w:val="22"/>
                <w:lang w:val="en-US" w:eastAsia="zh-CN"/>
              </w:rPr>
              <w:t>1、</w:t>
            </w:r>
            <w:r>
              <w:rPr>
                <w:rFonts w:hint="eastAsia" w:ascii="宋体" w:hAnsi="宋体" w:eastAsia="宋体" w:cs="宋体"/>
                <w:b/>
                <w:color w:val="auto"/>
                <w:sz w:val="22"/>
                <w:szCs w:val="22"/>
              </w:rPr>
              <w:t>人员投入（</w:t>
            </w:r>
            <w:r>
              <w:rPr>
                <w:rFonts w:hint="eastAsia" w:ascii="宋体" w:hAnsi="宋体" w:eastAsia="宋体" w:cs="宋体"/>
                <w:b/>
                <w:color w:val="auto"/>
                <w:sz w:val="22"/>
                <w:szCs w:val="22"/>
                <w:lang w:val="en-US" w:eastAsia="zh-CN"/>
              </w:rPr>
              <w:t>10</w:t>
            </w:r>
            <w:r>
              <w:rPr>
                <w:rFonts w:hint="eastAsia" w:ascii="宋体" w:hAnsi="宋体" w:eastAsia="宋体" w:cs="宋体"/>
                <w:b/>
                <w:color w:val="auto"/>
                <w:sz w:val="22"/>
                <w:szCs w:val="22"/>
              </w:rPr>
              <w:t>分）</w:t>
            </w:r>
          </w:p>
          <w:p>
            <w:pPr>
              <w:pStyle w:val="133"/>
              <w:spacing w:before="23" w:line="468" w:lineRule="exact"/>
              <w:ind w:right="-29" w:right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项目负责人具有测绘正高级职称的，得</w:t>
            </w:r>
            <w:r>
              <w:rPr>
                <w:rFonts w:hint="eastAsia" w:ascii="宋体" w:hAnsi="宋体" w:eastAsia="宋体" w:cs="宋体"/>
                <w:kern w:val="2"/>
                <w:sz w:val="24"/>
                <w:szCs w:val="24"/>
                <w:lang w:val="en-US" w:eastAsia="zh-CN" w:bidi="ar-SA"/>
              </w:rPr>
              <w:t>3分</w:t>
            </w:r>
            <w:r>
              <w:rPr>
                <w:rFonts w:hint="eastAsia" w:ascii="宋体" w:hAnsi="宋体" w:eastAsia="宋体" w:cs="宋体"/>
                <w:kern w:val="2"/>
                <w:sz w:val="24"/>
                <w:szCs w:val="24"/>
                <w:lang w:val="zh-CN" w:eastAsia="zh-CN" w:bidi="ar-SA"/>
              </w:rPr>
              <w:t>；</w:t>
            </w:r>
          </w:p>
          <w:p>
            <w:pPr>
              <w:pStyle w:val="133"/>
              <w:spacing w:before="23" w:line="468" w:lineRule="exact"/>
              <w:ind w:right="-29" w:right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技术负责人具有测绘高级工程师职称的，得</w:t>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zh-CN" w:eastAsia="zh-CN" w:bidi="ar-SA"/>
              </w:rPr>
              <w:t>分，否则不得分。</w:t>
            </w:r>
          </w:p>
          <w:p>
            <w:pPr>
              <w:pStyle w:val="133"/>
              <w:spacing w:before="23" w:line="468" w:lineRule="exact"/>
              <w:ind w:right="-29" w:right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投入技术人员达到40人，且具有测绘及相关专业高级职称</w:t>
            </w:r>
            <w:r>
              <w:rPr>
                <w:rFonts w:hint="eastAsia" w:ascii="宋体" w:hAnsi="宋体" w:eastAsia="宋体" w:cs="宋体"/>
                <w:kern w:val="2"/>
                <w:sz w:val="24"/>
                <w:szCs w:val="24"/>
                <w:lang w:val="en-US" w:eastAsia="zh-CN" w:bidi="ar-SA"/>
              </w:rPr>
              <w:t>8</w:t>
            </w:r>
            <w:r>
              <w:rPr>
                <w:rFonts w:hint="eastAsia" w:ascii="宋体" w:hAnsi="宋体" w:eastAsia="宋体" w:cs="宋体"/>
                <w:kern w:val="2"/>
                <w:sz w:val="24"/>
                <w:szCs w:val="24"/>
                <w:lang w:val="zh-CN" w:eastAsia="zh-CN" w:bidi="ar-SA"/>
              </w:rPr>
              <w:t>人以上，中级职称15人以上，得</w:t>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val="zh-CN" w:eastAsia="zh-CN" w:bidi="ar-SA"/>
              </w:rPr>
              <w:t>分；达到20人以上，且具有高级职称2人以上，中级职称7人以上，得</w:t>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zh-CN" w:eastAsia="zh-CN" w:bidi="ar-SA"/>
              </w:rPr>
              <w:t>分。达到</w:t>
            </w:r>
            <w:r>
              <w:rPr>
                <w:rFonts w:hint="eastAsia" w:ascii="宋体" w:hAnsi="宋体" w:eastAsia="宋体" w:cs="宋体"/>
                <w:kern w:val="2"/>
                <w:sz w:val="24"/>
                <w:szCs w:val="24"/>
                <w:lang w:val="en-US" w:eastAsia="zh-CN" w:bidi="ar-SA"/>
              </w:rPr>
              <w:t>10</w:t>
            </w:r>
            <w:r>
              <w:rPr>
                <w:rFonts w:hint="eastAsia" w:ascii="宋体" w:hAnsi="宋体" w:eastAsia="宋体" w:cs="宋体"/>
                <w:kern w:val="2"/>
                <w:sz w:val="24"/>
                <w:szCs w:val="24"/>
                <w:lang w:val="zh-CN" w:eastAsia="zh-CN" w:bidi="ar-SA"/>
              </w:rPr>
              <w:t>人以上，且具有高级职称</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人以上，中级职称</w:t>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zh-CN" w:eastAsia="zh-CN" w:bidi="ar-SA"/>
              </w:rPr>
              <w:t>人以上，得</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分，</w:t>
            </w:r>
            <w:r>
              <w:rPr>
                <w:rFonts w:hint="eastAsia" w:ascii="宋体" w:hAnsi="宋体" w:eastAsia="宋体" w:cs="宋体"/>
                <w:kern w:val="2"/>
                <w:sz w:val="24"/>
                <w:szCs w:val="24"/>
                <w:lang w:val="en-US" w:eastAsia="zh-CN" w:bidi="ar-SA"/>
              </w:rPr>
              <w:t>其余不得分</w:t>
            </w:r>
            <w:r>
              <w:rPr>
                <w:rFonts w:hint="eastAsia" w:ascii="宋体" w:hAnsi="宋体" w:eastAsia="宋体" w:cs="宋体"/>
                <w:kern w:val="2"/>
                <w:sz w:val="24"/>
                <w:szCs w:val="24"/>
                <w:lang w:val="zh-CN" w:eastAsia="zh-CN" w:bidi="ar-SA"/>
              </w:rPr>
              <w:t>（提供人员职称证书和</w:t>
            </w:r>
            <w:r>
              <w:rPr>
                <w:rFonts w:hint="eastAsia" w:ascii="宋体" w:hAnsi="宋体" w:eastAsia="宋体" w:cs="宋体"/>
                <w:kern w:val="2"/>
                <w:sz w:val="24"/>
                <w:szCs w:val="24"/>
                <w:lang w:val="en-US" w:eastAsia="zh-CN" w:bidi="ar-SA"/>
              </w:rPr>
              <w:t>近3个月</w:t>
            </w:r>
            <w:r>
              <w:rPr>
                <w:rFonts w:hint="eastAsia" w:ascii="宋体" w:hAnsi="宋体" w:eastAsia="宋体" w:cs="宋体"/>
                <w:kern w:val="2"/>
                <w:sz w:val="24"/>
                <w:szCs w:val="24"/>
                <w:lang w:val="zh-CN" w:eastAsia="zh-CN" w:bidi="ar-SA"/>
              </w:rPr>
              <w:t>社保证明材料）。</w:t>
            </w:r>
          </w:p>
          <w:p>
            <w:pPr>
              <w:pStyle w:val="133"/>
              <w:spacing w:before="23" w:line="468" w:lineRule="exact"/>
              <w:ind w:right="-29" w:rightChars="0"/>
              <w:rPr>
                <w:rFonts w:hint="eastAsia" w:ascii="宋体" w:hAnsi="宋体" w:eastAsia="宋体" w:cs="宋体"/>
                <w:b/>
                <w:color w:val="auto"/>
                <w:sz w:val="24"/>
              </w:rPr>
            </w:pPr>
            <w:r>
              <w:rPr>
                <w:rFonts w:hint="eastAsia" w:ascii="宋体" w:hAnsi="宋体" w:eastAsia="宋体" w:cs="宋体"/>
                <w:b/>
                <w:color w:val="auto"/>
                <w:sz w:val="22"/>
                <w:szCs w:val="22"/>
              </w:rPr>
              <w:t>2、投入设备（</w:t>
            </w:r>
            <w:r>
              <w:rPr>
                <w:rFonts w:hint="eastAsia" w:ascii="宋体" w:hAnsi="宋体" w:eastAsia="宋体" w:cs="宋体"/>
                <w:b/>
                <w:color w:val="auto"/>
                <w:sz w:val="22"/>
                <w:szCs w:val="22"/>
                <w:lang w:val="en-US" w:eastAsia="zh-CN"/>
              </w:rPr>
              <w:t>20</w:t>
            </w:r>
            <w:r>
              <w:rPr>
                <w:rFonts w:hint="eastAsia" w:ascii="宋体" w:hAnsi="宋体" w:eastAsia="宋体" w:cs="宋体"/>
                <w:b/>
                <w:color w:val="auto"/>
                <w:spacing w:val="-31"/>
                <w:sz w:val="22"/>
                <w:szCs w:val="22"/>
              </w:rPr>
              <w:t>分</w:t>
            </w:r>
            <w:r>
              <w:rPr>
                <w:rFonts w:hint="eastAsia" w:ascii="宋体" w:hAnsi="宋体" w:eastAsia="宋体" w:cs="宋体"/>
                <w:b/>
                <w:color w:val="auto"/>
                <w:sz w:val="22"/>
                <w:szCs w:val="22"/>
              </w:rPr>
              <w:t>）</w:t>
            </w:r>
          </w:p>
          <w:p>
            <w:pPr>
              <w:pStyle w:val="133"/>
              <w:spacing w:before="23" w:line="468" w:lineRule="exact"/>
              <w:ind w:right="-29" w:right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拟投入自有GPS双频接收机</w:t>
            </w:r>
            <w:r>
              <w:rPr>
                <w:rFonts w:hint="eastAsia" w:ascii="宋体" w:hAnsi="宋体" w:eastAsia="宋体" w:cs="宋体"/>
                <w:kern w:val="2"/>
                <w:sz w:val="24"/>
                <w:szCs w:val="24"/>
                <w:lang w:val="en-US" w:eastAsia="zh-CN" w:bidi="ar-SA"/>
              </w:rPr>
              <w:t>20</w:t>
            </w:r>
            <w:r>
              <w:rPr>
                <w:rFonts w:hint="eastAsia" w:ascii="宋体" w:hAnsi="宋体" w:eastAsia="宋体" w:cs="宋体"/>
                <w:kern w:val="2"/>
                <w:sz w:val="24"/>
                <w:szCs w:val="24"/>
                <w:lang w:val="zh-CN" w:eastAsia="zh-CN" w:bidi="ar-SA"/>
              </w:rPr>
              <w:t>台以上的，得</w:t>
            </w:r>
            <w:r>
              <w:rPr>
                <w:rFonts w:hint="eastAsia" w:ascii="宋体" w:hAnsi="宋体" w:eastAsia="宋体" w:cs="宋体"/>
                <w:kern w:val="2"/>
                <w:sz w:val="24"/>
                <w:szCs w:val="24"/>
                <w:lang w:val="en-US" w:eastAsia="zh-CN" w:bidi="ar-SA"/>
              </w:rPr>
              <w:t>10</w:t>
            </w:r>
            <w:r>
              <w:rPr>
                <w:rFonts w:hint="eastAsia" w:ascii="宋体" w:hAnsi="宋体" w:eastAsia="宋体" w:cs="宋体"/>
                <w:kern w:val="2"/>
                <w:sz w:val="24"/>
                <w:szCs w:val="24"/>
                <w:lang w:val="zh-CN" w:eastAsia="zh-CN" w:bidi="ar-SA"/>
              </w:rPr>
              <w:t>分，</w:t>
            </w:r>
            <w:r>
              <w:rPr>
                <w:rFonts w:hint="eastAsia" w:ascii="宋体" w:hAnsi="宋体" w:eastAsia="宋体" w:cs="宋体"/>
                <w:kern w:val="2"/>
                <w:sz w:val="24"/>
                <w:szCs w:val="24"/>
                <w:lang w:val="en-US" w:eastAsia="zh-CN" w:bidi="ar-SA"/>
              </w:rPr>
              <w:t>10-15</w:t>
            </w:r>
            <w:r>
              <w:rPr>
                <w:rFonts w:hint="eastAsia" w:ascii="宋体" w:hAnsi="宋体" w:eastAsia="宋体" w:cs="宋体"/>
                <w:kern w:val="2"/>
                <w:sz w:val="24"/>
                <w:szCs w:val="24"/>
                <w:lang w:val="zh-CN" w:eastAsia="zh-CN" w:bidi="ar-SA"/>
              </w:rPr>
              <w:t>台得</w:t>
            </w:r>
            <w:r>
              <w:rPr>
                <w:rFonts w:hint="eastAsia" w:ascii="宋体" w:hAnsi="宋体" w:eastAsia="宋体" w:cs="宋体"/>
                <w:kern w:val="2"/>
                <w:sz w:val="24"/>
                <w:szCs w:val="24"/>
                <w:lang w:val="en-US" w:eastAsia="zh-CN" w:bidi="ar-SA"/>
              </w:rPr>
              <w:t>6</w:t>
            </w:r>
            <w:r>
              <w:rPr>
                <w:rFonts w:hint="eastAsia" w:ascii="宋体" w:hAnsi="宋体" w:eastAsia="宋体" w:cs="宋体"/>
                <w:kern w:val="2"/>
                <w:sz w:val="24"/>
                <w:szCs w:val="24"/>
                <w:lang w:val="zh-CN" w:eastAsia="zh-CN" w:bidi="ar-SA"/>
              </w:rPr>
              <w:t>分，</w:t>
            </w:r>
            <w:r>
              <w:rPr>
                <w:rFonts w:hint="eastAsia" w:ascii="宋体" w:hAnsi="宋体" w:eastAsia="宋体" w:cs="宋体"/>
                <w:kern w:val="2"/>
                <w:sz w:val="24"/>
                <w:szCs w:val="24"/>
                <w:lang w:val="en-US" w:eastAsia="zh-CN" w:bidi="ar-SA"/>
              </w:rPr>
              <w:t>10</w:t>
            </w:r>
            <w:r>
              <w:rPr>
                <w:rFonts w:hint="eastAsia" w:ascii="宋体" w:hAnsi="宋体" w:eastAsia="宋体" w:cs="宋体"/>
                <w:kern w:val="2"/>
                <w:sz w:val="24"/>
                <w:szCs w:val="24"/>
                <w:lang w:val="zh-CN" w:eastAsia="zh-CN" w:bidi="ar-SA"/>
              </w:rPr>
              <w:t>台以下得</w:t>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zh-CN" w:eastAsia="zh-CN" w:bidi="ar-SA"/>
              </w:rPr>
              <w:t>分（后附有效期内的仪器鉴定证书）；</w:t>
            </w:r>
          </w:p>
          <w:p>
            <w:pPr>
              <w:pStyle w:val="133"/>
              <w:spacing w:before="23" w:line="468" w:lineRule="exact"/>
              <w:ind w:right="-29" w:rightChars="0"/>
              <w:rPr>
                <w:rFonts w:ascii="宋体" w:hAnsi="宋体" w:cs="宋体"/>
              </w:rPr>
            </w:pPr>
            <w:r>
              <w:rPr>
                <w:rFonts w:hint="eastAsia" w:ascii="宋体" w:hAnsi="宋体" w:eastAsia="宋体" w:cs="宋体"/>
                <w:kern w:val="2"/>
                <w:sz w:val="24"/>
                <w:szCs w:val="24"/>
                <w:lang w:val="zh-CN" w:eastAsia="zh-CN" w:bidi="ar-SA"/>
              </w:rPr>
              <w:t>拟投入仪器设备中，具有</w:t>
            </w:r>
            <w:r>
              <w:rPr>
                <w:rFonts w:hint="eastAsia" w:ascii="宋体" w:hAnsi="宋体" w:eastAsia="宋体" w:cs="宋体"/>
                <w:kern w:val="2"/>
                <w:sz w:val="24"/>
                <w:szCs w:val="24"/>
                <w:lang w:val="en-US" w:eastAsia="zh-CN" w:bidi="ar-SA"/>
              </w:rPr>
              <w:t>10</w:t>
            </w:r>
            <w:r>
              <w:rPr>
                <w:rFonts w:hint="eastAsia" w:ascii="宋体" w:hAnsi="宋体" w:eastAsia="宋体" w:cs="宋体"/>
                <w:kern w:val="2"/>
                <w:sz w:val="24"/>
                <w:szCs w:val="24"/>
                <w:lang w:val="zh-CN" w:eastAsia="zh-CN" w:bidi="ar-SA"/>
              </w:rPr>
              <w:t>台以上工作站得</w:t>
            </w:r>
            <w:r>
              <w:rPr>
                <w:rFonts w:hint="eastAsia" w:ascii="宋体" w:hAnsi="宋体" w:eastAsia="宋体" w:cs="宋体"/>
                <w:kern w:val="2"/>
                <w:sz w:val="24"/>
                <w:szCs w:val="24"/>
                <w:lang w:val="en-US" w:eastAsia="zh-CN" w:bidi="ar-SA"/>
              </w:rPr>
              <w:t>10</w:t>
            </w:r>
            <w:r>
              <w:rPr>
                <w:rFonts w:hint="eastAsia" w:ascii="宋体" w:hAnsi="宋体" w:eastAsia="宋体" w:cs="宋体"/>
                <w:kern w:val="2"/>
                <w:sz w:val="24"/>
                <w:szCs w:val="24"/>
                <w:lang w:val="zh-CN" w:eastAsia="zh-CN" w:bidi="ar-SA"/>
              </w:rPr>
              <w:t>分，</w:t>
            </w:r>
            <w:r>
              <w:rPr>
                <w:rFonts w:hint="eastAsia" w:ascii="宋体" w:hAnsi="宋体" w:eastAsia="宋体" w:cs="宋体"/>
                <w:kern w:val="2"/>
                <w:sz w:val="24"/>
                <w:szCs w:val="24"/>
                <w:lang w:val="en-US" w:eastAsia="zh-CN" w:bidi="ar-SA"/>
              </w:rPr>
              <w:t>5-10</w:t>
            </w:r>
            <w:r>
              <w:rPr>
                <w:rFonts w:hint="eastAsia" w:ascii="宋体" w:hAnsi="宋体" w:eastAsia="宋体" w:cs="宋体"/>
                <w:kern w:val="2"/>
                <w:sz w:val="24"/>
                <w:szCs w:val="24"/>
                <w:lang w:val="zh-CN" w:eastAsia="zh-CN" w:bidi="ar-SA"/>
              </w:rPr>
              <w:t>台得</w:t>
            </w:r>
            <w:r>
              <w:rPr>
                <w:rFonts w:hint="eastAsia" w:ascii="宋体" w:hAnsi="宋体" w:eastAsia="宋体" w:cs="宋体"/>
                <w:kern w:val="2"/>
                <w:sz w:val="24"/>
                <w:szCs w:val="24"/>
                <w:lang w:val="en-US" w:eastAsia="zh-CN" w:bidi="ar-SA"/>
              </w:rPr>
              <w:t>6</w:t>
            </w:r>
            <w:r>
              <w:rPr>
                <w:rFonts w:hint="eastAsia" w:ascii="宋体" w:hAnsi="宋体" w:eastAsia="宋体" w:cs="宋体"/>
                <w:kern w:val="2"/>
                <w:sz w:val="24"/>
                <w:szCs w:val="24"/>
                <w:lang w:val="zh-CN" w:eastAsia="zh-CN" w:bidi="ar-SA"/>
              </w:rPr>
              <w:t>分，</w:t>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val="zh-CN" w:eastAsia="zh-CN" w:bidi="ar-SA"/>
              </w:rPr>
              <w:t>台以下得</w:t>
            </w:r>
            <w:r>
              <w:rPr>
                <w:rFonts w:hint="eastAsia" w:ascii="宋体" w:hAnsi="宋体" w:eastAsia="宋体" w:cs="宋体"/>
                <w:kern w:val="2"/>
                <w:sz w:val="24"/>
                <w:szCs w:val="24"/>
                <w:lang w:val="en-US" w:eastAsia="zh-CN" w:bidi="ar-SA"/>
              </w:rPr>
              <w:t>2</w:t>
            </w:r>
            <w:bookmarkStart w:id="170" w:name="_GoBack"/>
            <w:bookmarkEnd w:id="170"/>
            <w:r>
              <w:rPr>
                <w:rFonts w:hint="eastAsia" w:ascii="宋体" w:hAnsi="宋体" w:eastAsia="宋体" w:cs="宋体"/>
                <w:kern w:val="2"/>
                <w:sz w:val="24"/>
                <w:szCs w:val="24"/>
                <w:lang w:val="zh-CN" w:eastAsia="zh-CN" w:bidi="ar-SA"/>
              </w:rPr>
              <w:t>分（提供设备购置发票）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554" w:type="dxa"/>
            <w:vAlign w:val="center"/>
          </w:tcPr>
          <w:p>
            <w:pPr>
              <w:widowControl/>
              <w:spacing w:line="360" w:lineRule="auto"/>
              <w:jc w:val="center"/>
              <w:rPr>
                <w:rFonts w:hint="eastAsia" w:cs="宋体" w:asciiTheme="minorEastAsia" w:hAnsiTheme="minorEastAsia" w:eastAsiaTheme="minorEastAsia"/>
                <w:color w:val="000000" w:themeColor="text1"/>
                <w14:textFill>
                  <w14:solidFill>
                    <w14:schemeClr w14:val="tx1"/>
                  </w14:solidFill>
                </w14:textFill>
              </w:rPr>
            </w:pPr>
            <w:r>
              <w:rPr>
                <w:rFonts w:hint="eastAsia" w:ascii="宋体" w:hAnsi="宋体" w:eastAsia="宋体" w:cs="宋体"/>
                <w:b/>
                <w:bCs/>
                <w:color w:val="000000"/>
                <w:kern w:val="0"/>
                <w:sz w:val="21"/>
                <w:szCs w:val="21"/>
                <w:shd w:val="clear" w:color="auto" w:fill="FFFFFF"/>
                <w:lang w:val="zh-CN" w:eastAsia="zh-CN" w:bidi="ar-SA"/>
              </w:rPr>
              <w:t>企业信誉</w:t>
            </w:r>
          </w:p>
        </w:tc>
        <w:tc>
          <w:tcPr>
            <w:tcW w:w="709" w:type="dxa"/>
            <w:vAlign w:val="center"/>
          </w:tcPr>
          <w:p>
            <w:pPr>
              <w:autoSpaceDE w:val="0"/>
              <w:autoSpaceDN w:val="0"/>
              <w:snapToGrid w:val="0"/>
              <w:spacing w:line="360" w:lineRule="auto"/>
              <w:jc w:val="center"/>
              <w:rPr>
                <w:rFonts w:hint="default" w:cs="宋体" w:asciiTheme="minorEastAsia" w:hAnsiTheme="minorEastAsia" w:eastAsiaTheme="minorEastAsia"/>
                <w:color w:val="000000" w:themeColor="text1"/>
                <w:lang w:val="en-US" w:eastAsia="zh-CN"/>
                <w14:textFill>
                  <w14:solidFill>
                    <w14:schemeClr w14:val="tx1"/>
                  </w14:solidFill>
                </w14:textFill>
              </w:rPr>
            </w:pPr>
            <w:r>
              <w:rPr>
                <w:rFonts w:hint="eastAsia" w:cs="宋体" w:asciiTheme="minorEastAsia" w:hAnsiTheme="minorEastAsia" w:eastAsiaTheme="minorEastAsia"/>
                <w:color w:val="000000" w:themeColor="text1"/>
                <w:lang w:val="en-US" w:eastAsia="zh-CN"/>
                <w14:textFill>
                  <w14:solidFill>
                    <w14:schemeClr w14:val="tx1"/>
                  </w14:solidFill>
                </w14:textFill>
              </w:rPr>
              <w:t>4分</w:t>
            </w:r>
          </w:p>
        </w:tc>
        <w:tc>
          <w:tcPr>
            <w:tcW w:w="6812" w:type="dxa"/>
            <w:vAlign w:val="center"/>
          </w:tcPr>
          <w:p>
            <w:pPr>
              <w:pStyle w:val="133"/>
              <w:spacing w:before="23" w:line="468" w:lineRule="exact"/>
              <w:ind w:right="-29" w:right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投标单位拥有质量管理体系认证证书、环境管理体系认证证书、职业健康安全管理体系认证证书（认证范围涉及地理信息系统工程、工程测量、不动产测绘）每提供一个得</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分，最高得</w:t>
            </w:r>
            <w:r>
              <w:rPr>
                <w:rFonts w:hint="eastAsia" w:ascii="宋体" w:hAnsi="宋体" w:eastAsia="宋体" w:cs="宋体"/>
                <w:kern w:val="2"/>
                <w:sz w:val="24"/>
                <w:szCs w:val="24"/>
                <w:lang w:val="en-US" w:eastAsia="zh-CN" w:bidi="ar-SA"/>
              </w:rPr>
              <w:t>3分，</w:t>
            </w:r>
            <w:r>
              <w:rPr>
                <w:rFonts w:hint="eastAsia" w:ascii="宋体" w:hAnsi="宋体" w:eastAsia="宋体" w:cs="宋体"/>
                <w:kern w:val="2"/>
                <w:sz w:val="24"/>
                <w:szCs w:val="24"/>
                <w:lang w:val="zh-CN" w:eastAsia="zh-CN" w:bidi="ar-SA"/>
              </w:rPr>
              <w:t>没有不得分。</w:t>
            </w:r>
          </w:p>
          <w:p>
            <w:pPr>
              <w:pStyle w:val="133"/>
              <w:spacing w:before="23" w:line="468" w:lineRule="exact"/>
              <w:ind w:right="-29" w:right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投标单位拥有AAA级信用评价体系证书的，每个证书得1分，最高得</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554" w:type="dxa"/>
            <w:vAlign w:val="center"/>
          </w:tcPr>
          <w:p>
            <w:pPr>
              <w:widowControl/>
              <w:spacing w:line="360" w:lineRule="auto"/>
              <w:jc w:val="center"/>
              <w:rPr>
                <w:rFonts w:hint="eastAsia" w:cs="宋体" w:asciiTheme="minorEastAsia" w:hAnsiTheme="minorEastAsia" w:eastAsiaTheme="minorEastAsia"/>
                <w:color w:val="000000" w:themeColor="text1"/>
                <w14:textFill>
                  <w14:solidFill>
                    <w14:schemeClr w14:val="tx1"/>
                  </w14:solidFill>
                </w14:textFill>
              </w:rPr>
            </w:pPr>
            <w:r>
              <w:rPr>
                <w:rFonts w:hint="eastAsia" w:ascii="宋体" w:hAnsi="宋体" w:eastAsia="宋体" w:cs="宋体"/>
                <w:b/>
                <w:bCs/>
                <w:color w:val="000000"/>
                <w:kern w:val="0"/>
                <w:sz w:val="21"/>
                <w:szCs w:val="21"/>
                <w:shd w:val="clear" w:color="auto" w:fill="FFFFFF"/>
                <w:lang w:val="zh-CN" w:eastAsia="zh-CN" w:bidi="ar-SA"/>
              </w:rPr>
              <w:t>后期服务</w:t>
            </w:r>
          </w:p>
        </w:tc>
        <w:tc>
          <w:tcPr>
            <w:tcW w:w="709" w:type="dxa"/>
            <w:vAlign w:val="center"/>
          </w:tcPr>
          <w:p>
            <w:pPr>
              <w:autoSpaceDE w:val="0"/>
              <w:autoSpaceDN w:val="0"/>
              <w:snapToGrid w:val="0"/>
              <w:spacing w:line="360" w:lineRule="auto"/>
              <w:jc w:val="center"/>
              <w:rPr>
                <w:rFonts w:hint="default" w:cs="宋体" w:asciiTheme="minorEastAsia" w:hAnsiTheme="minorEastAsia" w:eastAsiaTheme="minorEastAsia"/>
                <w:color w:val="000000" w:themeColor="text1"/>
                <w:lang w:val="en-US" w:eastAsia="zh-CN"/>
                <w14:textFill>
                  <w14:solidFill>
                    <w14:schemeClr w14:val="tx1"/>
                  </w14:solidFill>
                </w14:textFill>
              </w:rPr>
            </w:pPr>
            <w:r>
              <w:rPr>
                <w:rFonts w:hint="eastAsia" w:cs="宋体" w:asciiTheme="minorEastAsia" w:hAnsiTheme="minorEastAsia" w:eastAsiaTheme="minorEastAsia"/>
                <w:color w:val="000000" w:themeColor="text1"/>
                <w:lang w:val="en-US" w:eastAsia="zh-CN"/>
                <w14:textFill>
                  <w14:solidFill>
                    <w14:schemeClr w14:val="tx1"/>
                  </w14:solidFill>
                </w14:textFill>
              </w:rPr>
              <w:t>6分</w:t>
            </w:r>
          </w:p>
        </w:tc>
        <w:tc>
          <w:tcPr>
            <w:tcW w:w="6812" w:type="dxa"/>
            <w:vAlign w:val="center"/>
          </w:tcPr>
          <w:p>
            <w:pPr>
              <w:autoSpaceDE w:val="0"/>
              <w:autoSpaceDN w:val="0"/>
              <w:snapToGrid w:val="0"/>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服务承诺：数据成果保密，时间响应及后续成果整改工作承诺，</w:t>
            </w:r>
            <w:r>
              <w:rPr>
                <w:rFonts w:hint="eastAsia" w:ascii="宋体" w:hAnsi="宋体" w:cs="宋体"/>
              </w:rPr>
              <w:t>方案内容完善、安排合理（结合本项目实际需求，能够有效提高服务效率和质量），可行性强</w:t>
            </w:r>
            <w:r>
              <w:rPr>
                <w:rFonts w:hint="eastAsia" w:ascii="宋体" w:hAnsi="宋体" w:cs="宋体"/>
                <w:lang w:val="en-US" w:eastAsia="zh-CN"/>
              </w:rPr>
              <w:t>的每一项得2分，内容不完善，安排不合理，没有可行性的不得分，最高6分</w:t>
            </w:r>
            <w:r>
              <w:rPr>
                <w:rFonts w:hint="eastAsia" w:ascii="宋体" w:hAnsi="宋体" w:eastAsia="宋体" w:cs="宋体"/>
                <w:kern w:val="2"/>
                <w:sz w:val="24"/>
                <w:szCs w:val="24"/>
                <w:lang w:val="zh-CN" w:eastAsia="zh-CN" w:bidi="ar-SA"/>
              </w:rPr>
              <w:t>。</w:t>
            </w:r>
          </w:p>
        </w:tc>
      </w:tr>
    </w:tbl>
    <w:p>
      <w:pPr>
        <w:autoSpaceDE w:val="0"/>
        <w:autoSpaceDN w:val="0"/>
        <w:spacing w:line="360" w:lineRule="auto"/>
        <w:ind w:firstLine="482" w:firstLineChars="200"/>
        <w:rPr>
          <w:rFonts w:ascii="宋体" w:hAnsi="宋体" w:cs="宋体"/>
          <w:b/>
          <w:shd w:val="clear" w:color="auto" w:fill="FFFFFF"/>
        </w:rPr>
      </w:pPr>
    </w:p>
    <w:p>
      <w:pPr>
        <w:autoSpaceDE w:val="0"/>
        <w:autoSpaceDN w:val="0"/>
        <w:spacing w:line="360" w:lineRule="auto"/>
        <w:ind w:firstLine="480" w:firstLineChars="200"/>
        <w:rPr>
          <w:rFonts w:ascii="宋体" w:hAnsi="宋体" w:cs="宋体"/>
          <w:shd w:val="clear" w:color="auto" w:fill="FFFFFF"/>
        </w:rPr>
      </w:pP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 xml:space="preserve">20.3 </w:t>
      </w:r>
      <w:r>
        <w:rPr>
          <w:rFonts w:hint="eastAsia" w:ascii="宋体" w:hAnsi="宋体" w:cs="宋体"/>
          <w:b/>
          <w:bCs/>
          <w:kern w:val="0"/>
        </w:rPr>
        <w:t>采用综合评分法的，</w:t>
      </w:r>
      <w:r>
        <w:rPr>
          <w:rFonts w:hint="eastAsia" w:ascii="宋体" w:hAnsi="宋体" w:cs="宋体"/>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（1）分值汇总计算错误的；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（2）分项评分超出评分标准范围的；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（4）经评标委员会认定评分畸高、畸低的。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30"/>
        <w:spacing w:before="0" w:after="0" w:line="360" w:lineRule="auto"/>
        <w:rPr>
          <w:rFonts w:ascii="宋体" w:hAnsi="宋体" w:cs="宋体"/>
          <w:lang w:val="zh-CN"/>
        </w:rPr>
      </w:pPr>
      <w:bookmarkStart w:id="38" w:name="_Toc78187931"/>
      <w:r>
        <w:rPr>
          <w:rFonts w:hint="eastAsia" w:ascii="宋体" w:hAnsi="宋体" w:cs="宋体"/>
          <w:lang w:val="zh-CN"/>
        </w:rPr>
        <w:t>八、中标</w:t>
      </w:r>
      <w:bookmarkEnd w:id="38"/>
    </w:p>
    <w:p>
      <w:pPr>
        <w:pStyle w:val="30"/>
        <w:spacing w:before="0" w:after="0" w:line="360" w:lineRule="auto"/>
        <w:jc w:val="left"/>
        <w:rPr>
          <w:rFonts w:ascii="宋体" w:hAnsi="宋体" w:cs="宋体"/>
          <w:lang w:val="zh-CN"/>
        </w:rPr>
      </w:pPr>
      <w:bookmarkStart w:id="39" w:name="_Toc78187932"/>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39"/>
    </w:p>
    <w:p>
      <w:pPr>
        <w:autoSpaceDE w:val="0"/>
        <w:autoSpaceDN w:val="0"/>
        <w:spacing w:line="360" w:lineRule="auto"/>
        <w:ind w:firstLine="480" w:firstLineChars="200"/>
        <w:rPr>
          <w:rFonts w:ascii="宋体" w:hAnsi="宋体" w:cs="宋体"/>
        </w:rPr>
      </w:pPr>
      <w:r>
        <w:rPr>
          <w:rFonts w:hint="eastAsia" w:ascii="宋体" w:hAnsi="宋体" w:cs="宋体"/>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rPr>
      </w:pPr>
      <w:r>
        <w:rPr>
          <w:rFonts w:hint="eastAsia" w:ascii="宋体" w:hAnsi="宋体" w:cs="宋体"/>
        </w:rPr>
        <w:t>21.2 采购人自行组织招标的，应当在评标结束后5个工作日内确定中标人。</w:t>
      </w:r>
    </w:p>
    <w:p>
      <w:pPr>
        <w:autoSpaceDE w:val="0"/>
        <w:autoSpaceDN w:val="0"/>
        <w:spacing w:line="360" w:lineRule="auto"/>
        <w:ind w:firstLine="480" w:firstLineChars="200"/>
        <w:rPr>
          <w:rFonts w:ascii="宋体" w:hAnsi="宋体" w:cs="宋体"/>
        </w:rPr>
      </w:pPr>
      <w:r>
        <w:rPr>
          <w:rFonts w:hint="eastAsia" w:ascii="宋体" w:hAnsi="宋体" w:cs="宋体"/>
        </w:rPr>
        <w:t>21.3 采购人在收到评标报告</w:t>
      </w:r>
      <w:r>
        <w:rPr>
          <w:rFonts w:ascii="宋体" w:hAnsi="宋体" w:cs="宋体"/>
        </w:rPr>
        <w:t>5</w:t>
      </w:r>
      <w:r>
        <w:rPr>
          <w:rFonts w:hint="eastAsia" w:ascii="宋体" w:hAnsi="宋体" w:cs="宋体"/>
        </w:rPr>
        <w:t>个工作日内未按评标报告推荐的中标候选人顺序确定中标人，又不能说明合法理由的，视同按评标报告推荐的顺序确定排名第一的中标候选人为中标人。</w:t>
      </w:r>
    </w:p>
    <w:p>
      <w:pPr>
        <w:pStyle w:val="30"/>
        <w:spacing w:before="0" w:after="0" w:line="360" w:lineRule="auto"/>
        <w:jc w:val="left"/>
        <w:rPr>
          <w:rFonts w:ascii="宋体" w:hAnsi="宋体" w:cs="宋体"/>
          <w:lang w:val="zh-CN"/>
        </w:rPr>
      </w:pPr>
      <w:bookmarkStart w:id="40" w:name="_Toc78187933"/>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40"/>
    </w:p>
    <w:p>
      <w:pPr>
        <w:autoSpaceDE w:val="0"/>
        <w:autoSpaceDN w:val="0"/>
        <w:spacing w:line="360" w:lineRule="auto"/>
        <w:ind w:firstLine="480" w:firstLineChars="200"/>
        <w:rPr>
          <w:rFonts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采购人或者采购代理机构应当自中标人确定之日起2个工作日内，在省级以上财政部门指定的媒体上公告中标结果，招标文件应当随中标结果同时公告。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22.3 中标公告期限为1个工作日。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30"/>
        <w:spacing w:before="0" w:after="0" w:line="360" w:lineRule="auto"/>
        <w:rPr>
          <w:rFonts w:ascii="宋体" w:hAnsi="宋体" w:cs="宋体"/>
          <w:lang w:val="zh-CN"/>
        </w:rPr>
      </w:pPr>
      <w:bookmarkStart w:id="41" w:name="_Toc78187934"/>
      <w:r>
        <w:rPr>
          <w:rFonts w:hint="eastAsia" w:ascii="宋体" w:hAnsi="宋体" w:cs="宋体"/>
          <w:lang w:val="zh-CN"/>
        </w:rPr>
        <w:t>九、授予合同</w:t>
      </w:r>
      <w:bookmarkEnd w:id="41"/>
    </w:p>
    <w:p>
      <w:pPr>
        <w:pStyle w:val="30"/>
        <w:spacing w:before="0" w:after="0" w:line="360" w:lineRule="auto"/>
        <w:jc w:val="left"/>
        <w:rPr>
          <w:rFonts w:ascii="宋体" w:hAnsi="宋体" w:cs="宋体"/>
          <w:kern w:val="0"/>
          <w:sz w:val="24"/>
        </w:rPr>
      </w:pPr>
      <w:bookmarkStart w:id="42" w:name="_Toc78187935"/>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42"/>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23.7 采购人或者采购代理机构应当按照政府采购合同规定的技术、服务、安全标准组织对投标人履约情况进行验收，并出具验收书。验收书应当包括每一项技术、服务、安全标准的履约情况。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23.8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23.9 采购人、采购代理机构应当建立真实完整的招标采购档案，妥善保存每项采购活动的采购文件。</w:t>
      </w:r>
    </w:p>
    <w:p>
      <w:pPr>
        <w:pStyle w:val="30"/>
        <w:spacing w:before="0" w:after="0" w:line="360" w:lineRule="auto"/>
        <w:rPr>
          <w:rFonts w:ascii="宋体" w:hAnsi="宋体" w:cs="宋体"/>
          <w:lang w:val="zh-CN"/>
        </w:rPr>
      </w:pPr>
      <w:bookmarkStart w:id="43" w:name="_Toc78187936"/>
      <w:r>
        <w:rPr>
          <w:rFonts w:hint="eastAsia" w:ascii="宋体" w:hAnsi="宋体" w:cs="宋体"/>
          <w:lang w:val="zh-CN"/>
        </w:rPr>
        <w:t>十、其他</w:t>
      </w:r>
      <w:bookmarkEnd w:id="43"/>
    </w:p>
    <w:p>
      <w:pPr>
        <w:pStyle w:val="30"/>
        <w:spacing w:before="0" w:after="0" w:line="360" w:lineRule="auto"/>
        <w:jc w:val="left"/>
        <w:rPr>
          <w:rFonts w:ascii="宋体" w:hAnsi="宋体" w:cs="宋体"/>
          <w:sz w:val="28"/>
          <w:szCs w:val="28"/>
        </w:rPr>
      </w:pPr>
      <w:bookmarkStart w:id="44" w:name="_Toc78187937"/>
      <w:bookmarkStart w:id="45" w:name="_Toc515908202"/>
      <w:r>
        <w:rPr>
          <w:rFonts w:hint="eastAsia" w:ascii="宋体" w:hAnsi="宋体" w:cs="宋体"/>
          <w:sz w:val="28"/>
          <w:szCs w:val="28"/>
        </w:rPr>
        <w:t>2</w:t>
      </w:r>
      <w:r>
        <w:rPr>
          <w:rFonts w:ascii="宋体" w:hAnsi="宋体" w:cs="宋体"/>
          <w:sz w:val="28"/>
          <w:szCs w:val="28"/>
        </w:rPr>
        <w:t>4</w:t>
      </w:r>
      <w:r>
        <w:rPr>
          <w:rFonts w:hint="eastAsia" w:ascii="宋体" w:hAnsi="宋体" w:cs="宋体"/>
          <w:sz w:val="28"/>
          <w:szCs w:val="28"/>
        </w:rPr>
        <w:t>. 串通投标的情形</w:t>
      </w:r>
      <w:bookmarkEnd w:id="44"/>
      <w:bookmarkEnd w:id="45"/>
    </w:p>
    <w:p>
      <w:pPr>
        <w:autoSpaceDE w:val="0"/>
        <w:autoSpaceDN w:val="0"/>
        <w:spacing w:line="360" w:lineRule="auto"/>
        <w:ind w:firstLine="480" w:firstLineChars="200"/>
        <w:rPr>
          <w:rFonts w:ascii="宋体" w:hAnsi="宋体" w:cs="宋体"/>
          <w:kern w:val="0"/>
        </w:rPr>
      </w:pPr>
      <w:r>
        <w:rPr>
          <w:rFonts w:hint="eastAsia" w:ascii="宋体" w:hAnsi="宋体" w:cs="宋体"/>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24.2有下列情形之一的，视为投标人串通投标，其投标无效：</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（5）不同投标人的投标文件相互混装；</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（6）不同投标人的投标保证金从同一单位或者个人的账户转出。</w:t>
      </w:r>
    </w:p>
    <w:p>
      <w:pPr>
        <w:pStyle w:val="30"/>
        <w:spacing w:before="0" w:after="0" w:line="360" w:lineRule="auto"/>
        <w:jc w:val="both"/>
        <w:rPr>
          <w:rFonts w:ascii="宋体" w:hAnsi="宋体" w:cs="宋体"/>
          <w:sz w:val="28"/>
          <w:szCs w:val="28"/>
        </w:rPr>
      </w:pPr>
      <w:bookmarkStart w:id="46" w:name="_Toc78187938"/>
      <w:bookmarkStart w:id="47" w:name="_Toc515908203"/>
      <w:r>
        <w:rPr>
          <w:rFonts w:hint="eastAsia" w:ascii="宋体" w:hAnsi="宋体" w:cs="宋体"/>
          <w:sz w:val="28"/>
          <w:szCs w:val="28"/>
        </w:rPr>
        <w:t>2</w:t>
      </w:r>
      <w:r>
        <w:rPr>
          <w:rFonts w:ascii="宋体" w:hAnsi="宋体" w:cs="宋体"/>
          <w:sz w:val="28"/>
          <w:szCs w:val="28"/>
        </w:rPr>
        <w:t>5</w:t>
      </w:r>
      <w:r>
        <w:rPr>
          <w:rFonts w:hint="eastAsia" w:ascii="宋体" w:hAnsi="宋体" w:cs="宋体"/>
          <w:sz w:val="28"/>
          <w:szCs w:val="28"/>
        </w:rPr>
        <w:t>. 废标</w:t>
      </w:r>
      <w:bookmarkEnd w:id="46"/>
      <w:bookmarkEnd w:id="47"/>
    </w:p>
    <w:p>
      <w:pPr>
        <w:autoSpaceDE w:val="0"/>
        <w:autoSpaceDN w:val="0"/>
        <w:spacing w:line="360" w:lineRule="auto"/>
        <w:ind w:firstLine="480" w:firstLineChars="200"/>
        <w:rPr>
          <w:rFonts w:ascii="宋体" w:hAnsi="宋体" w:cs="宋体"/>
          <w:kern w:val="0"/>
        </w:rPr>
      </w:pPr>
      <w:r>
        <w:rPr>
          <w:rFonts w:hint="eastAsia" w:ascii="宋体" w:hAnsi="宋体" w:cs="宋体"/>
          <w:kern w:val="0"/>
        </w:rPr>
        <w:t>25.1在招标采购中，出现下列情形之一的，应予废标：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（2）出现影响采购公正的违法、违规行为的。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（3）投标人的报价均超出采购预算，采购人不能支付的。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（4）因重大变故，采购任务取消的。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废标后，由采购人或者采购代理机构发布废标公告。</w:t>
      </w:r>
    </w:p>
    <w:p>
      <w:pPr>
        <w:autoSpaceDE w:val="0"/>
        <w:autoSpaceDN w:val="0"/>
        <w:spacing w:line="360" w:lineRule="auto"/>
        <w:ind w:firstLine="480" w:firstLineChars="200"/>
        <w:rPr>
          <w:rFonts w:ascii="宋体" w:hAnsi="宋体" w:cs="宋体"/>
          <w:kern w:val="0"/>
        </w:rPr>
      </w:pPr>
      <w:r>
        <w:rPr>
          <w:rFonts w:ascii="宋体" w:hAnsi="宋体" w:cs="宋体"/>
          <w:kern w:val="0"/>
        </w:rPr>
        <w:t xml:space="preserve">25.2 </w:t>
      </w:r>
      <w:r>
        <w:rPr>
          <w:rFonts w:hint="eastAsia" w:ascii="宋体" w:hAnsi="宋体" w:cs="宋体"/>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pStyle w:val="30"/>
        <w:spacing w:before="0" w:after="0" w:line="360" w:lineRule="auto"/>
        <w:jc w:val="left"/>
        <w:rPr>
          <w:rFonts w:ascii="宋体" w:hAnsi="宋体" w:cs="宋体"/>
          <w:sz w:val="28"/>
          <w:szCs w:val="28"/>
        </w:rPr>
      </w:pPr>
      <w:bookmarkStart w:id="48" w:name="_Toc515908204"/>
      <w:bookmarkStart w:id="49" w:name="_Toc78187939"/>
      <w:r>
        <w:rPr>
          <w:rFonts w:hint="eastAsia" w:ascii="宋体" w:hAnsi="宋体" w:cs="宋体"/>
          <w:sz w:val="28"/>
          <w:szCs w:val="28"/>
        </w:rPr>
        <w:t>2</w:t>
      </w:r>
      <w:r>
        <w:rPr>
          <w:rFonts w:ascii="宋体" w:hAnsi="宋体" w:cs="宋体"/>
          <w:sz w:val="28"/>
          <w:szCs w:val="28"/>
        </w:rPr>
        <w:t>6</w:t>
      </w:r>
      <w:r>
        <w:rPr>
          <w:rFonts w:hint="eastAsia" w:ascii="宋体" w:hAnsi="宋体" w:cs="宋体"/>
          <w:sz w:val="28"/>
          <w:szCs w:val="28"/>
        </w:rPr>
        <w:t>. 中标服务费</w:t>
      </w:r>
      <w:bookmarkEnd w:id="48"/>
      <w:bookmarkEnd w:id="49"/>
    </w:p>
    <w:p>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26.1 收取对象：</w:t>
      </w:r>
      <w:r>
        <w:rPr>
          <w:rFonts w:hint="eastAsia" w:ascii="宋体" w:hAnsi="宋体" w:cs="宋体"/>
          <w:kern w:val="0"/>
          <w:lang w:val="en-US" w:eastAsia="zh-CN"/>
        </w:rPr>
        <w:t>采购单位</w:t>
      </w:r>
      <w:r>
        <w:rPr>
          <w:rFonts w:hint="eastAsia" w:ascii="宋体" w:hAnsi="宋体" w:cs="宋体"/>
          <w:kern w:val="0"/>
          <w:lang w:val="zh-CN"/>
        </w:rPr>
        <w:t>。</w:t>
      </w:r>
    </w:p>
    <w:p>
      <w:pPr>
        <w:autoSpaceDE w:val="0"/>
        <w:autoSpaceDN w:val="0"/>
        <w:spacing w:line="360" w:lineRule="auto"/>
        <w:ind w:firstLine="480" w:firstLineChars="200"/>
        <w:jc w:val="left"/>
        <w:rPr>
          <w:rFonts w:ascii="宋体" w:hAnsi="宋体" w:cs="宋体"/>
          <w:kern w:val="0"/>
          <w:u w:val="dashDotDotHeavy"/>
          <w:lang w:val="zh-CN"/>
        </w:rPr>
      </w:pPr>
      <w:r>
        <w:rPr>
          <w:rFonts w:ascii="宋体" w:hAnsi="宋体" w:cs="宋体"/>
          <w:kern w:val="0"/>
        </w:rPr>
        <w:t xml:space="preserve">26.2 </w:t>
      </w:r>
      <w:r>
        <w:rPr>
          <w:rFonts w:hint="eastAsia" w:ascii="宋体" w:hAnsi="宋体" w:cs="宋体"/>
          <w:kern w:val="0"/>
          <w:lang w:val="zh-CN"/>
        </w:rPr>
        <w:t>收费金额：在领取中标通知书前向采购代理机构缴纳</w:t>
      </w:r>
      <w:r>
        <w:rPr>
          <w:rFonts w:hint="eastAsia" w:ascii="宋体" w:hAnsi="宋体" w:cs="宋体"/>
          <w:kern w:val="0"/>
          <w:u w:val="dashDotDotHeavy"/>
          <w:lang w:val="zh-CN"/>
        </w:rPr>
        <w:t>。</w:t>
      </w:r>
    </w:p>
    <w:p>
      <w:pPr>
        <w:autoSpaceDE w:val="0"/>
        <w:autoSpaceDN w:val="0"/>
        <w:spacing w:line="360" w:lineRule="auto"/>
        <w:ind w:firstLine="480" w:firstLineChars="200"/>
        <w:rPr>
          <w:rFonts w:ascii="宋体" w:hAnsi="宋体" w:cs="宋体"/>
          <w:b/>
          <w:bCs/>
          <w:sz w:val="36"/>
          <w:szCs w:val="32"/>
          <w:lang w:val="zh-CN"/>
        </w:rPr>
      </w:pPr>
      <w:r>
        <w:rPr>
          <w:rFonts w:hint="eastAsia" w:ascii="宋体" w:hAnsi="宋体" w:cs="宋体"/>
          <w:kern w:val="0"/>
        </w:rPr>
        <w:t>说明：根据</w:t>
      </w:r>
      <w:r>
        <w:rPr>
          <w:rFonts w:hint="eastAsia" w:ascii="宋体" w:hAnsi="宋体" w:cs="宋体"/>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rPr>
        <w:t>。</w:t>
      </w:r>
    </w:p>
    <w:p>
      <w:pPr>
        <w:autoSpaceDE w:val="0"/>
        <w:autoSpaceDN w:val="0"/>
        <w:spacing w:line="360" w:lineRule="auto"/>
        <w:ind w:firstLine="480" w:firstLineChars="200"/>
        <w:rPr>
          <w:rFonts w:ascii="宋体" w:hAnsi="宋体" w:cs="宋体"/>
        </w:rPr>
      </w:pP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pStyle w:val="30"/>
        <w:spacing w:before="0" w:after="0" w:line="360" w:lineRule="auto"/>
        <w:jc w:val="both"/>
        <w:rPr>
          <w:rFonts w:ascii="宋体" w:hAnsi="宋体" w:cs="宋体"/>
          <w:szCs w:val="36"/>
          <w:lang w:val="zh-CN"/>
        </w:rPr>
      </w:pPr>
      <w:r>
        <w:rPr>
          <w:rFonts w:hint="eastAsia" w:ascii="宋体" w:hAnsi="宋体" w:cs="宋体"/>
          <w:szCs w:val="36"/>
          <w:lang w:val="zh-CN"/>
        </w:rPr>
        <w:br w:type="page"/>
      </w:r>
    </w:p>
    <w:p>
      <w:pPr>
        <w:pStyle w:val="30"/>
        <w:spacing w:before="0" w:after="0" w:line="360" w:lineRule="auto"/>
        <w:rPr>
          <w:rFonts w:ascii="宋体" w:hAnsi="宋体" w:cs="宋体"/>
          <w:sz w:val="24"/>
        </w:rPr>
      </w:pPr>
      <w:bookmarkStart w:id="50" w:name="_Toc78187940"/>
      <w:r>
        <w:rPr>
          <w:rFonts w:hint="eastAsia" w:ascii="宋体" w:hAnsi="宋体" w:cs="宋体"/>
          <w:szCs w:val="36"/>
          <w:lang w:val="zh-CN"/>
        </w:rPr>
        <w:t>第三部分 青海省政府采购项目合同书范本</w:t>
      </w:r>
      <w:bookmarkEnd w:id="50"/>
    </w:p>
    <w:p>
      <w:pPr>
        <w:autoSpaceDE w:val="0"/>
        <w:autoSpaceDN w:val="0"/>
        <w:adjustRightInd w:val="0"/>
        <w:spacing w:line="360" w:lineRule="auto"/>
        <w:jc w:val="center"/>
        <w:rPr>
          <w:rFonts w:ascii="宋体" w:hAnsi="宋体" w:cs="宋体" w:eastAsiaTheme="minorEastAsia"/>
          <w:b/>
          <w:bCs/>
          <w:sz w:val="36"/>
          <w:szCs w:val="36"/>
          <w:lang w:val="zh-CN"/>
        </w:rPr>
      </w:pPr>
      <w:r>
        <w:rPr>
          <w:rFonts w:hint="eastAsia" w:ascii="宋体" w:hAnsi="宋体" w:cs="宋体" w:eastAsiaTheme="minorEastAsia"/>
          <w:b/>
          <w:bCs/>
          <w:sz w:val="36"/>
          <w:szCs w:val="36"/>
          <w:lang w:val="zh-CN"/>
        </w:rPr>
        <w:t>（服务类）</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center"/>
        <w:rPr>
          <w:rFonts w:ascii="宋体" w:hAnsi="宋体" w:cs="宋体"/>
          <w:b/>
          <w:bCs/>
          <w:kern w:val="0"/>
          <w:sz w:val="48"/>
          <w:szCs w:val="48"/>
          <w:lang w:val="zh-CN"/>
        </w:rPr>
      </w:pPr>
      <w:r>
        <w:rPr>
          <w:rFonts w:hint="eastAsia" w:ascii="宋体" w:hAnsi="宋体" w:cs="宋体"/>
          <w:b/>
          <w:bCs/>
          <w:kern w:val="0"/>
          <w:sz w:val="48"/>
          <w:szCs w:val="48"/>
          <w:lang w:val="zh-CN"/>
        </w:rPr>
        <w:t>青海省政府采购项目合同书</w:t>
      </w:r>
    </w:p>
    <w:p>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（参考）</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hint="default" w:ascii="宋体" w:hAnsi="宋体" w:eastAsia="宋体" w:cs="宋体"/>
          <w:b/>
          <w:bCs/>
          <w:kern w:val="0"/>
          <w:sz w:val="30"/>
          <w:szCs w:val="30"/>
          <w:lang w:val="en-US" w:eastAsia="zh-CN"/>
        </w:rPr>
      </w:pPr>
      <w:r>
        <w:rPr>
          <w:rFonts w:hint="eastAsia" w:ascii="宋体" w:hAnsi="宋体" w:cs="宋体"/>
          <w:b/>
          <w:bCs/>
          <w:kern w:val="0"/>
          <w:sz w:val="30"/>
          <w:szCs w:val="30"/>
          <w:lang w:val="zh-CN"/>
        </w:rPr>
        <w:t>采购合同编号：</w:t>
      </w:r>
      <w:r>
        <w:rPr>
          <w:rFonts w:hint="eastAsia" w:ascii="宋体" w:hAnsi="宋体" w:eastAsia="宋体" w:cs="宋体"/>
          <w:b/>
          <w:bCs/>
          <w:kern w:val="0"/>
          <w:sz w:val="30"/>
          <w:szCs w:val="30"/>
          <w:lang w:val="en-US" w:eastAsia="zh-CN"/>
        </w:rPr>
        <w:t>QHXKGZ(FW)</w:t>
      </w:r>
      <w:r>
        <w:rPr>
          <w:rFonts w:hint="eastAsia" w:ascii="宋体" w:hAnsi="宋体" w:eastAsia="宋体" w:cs="宋体"/>
          <w:b/>
          <w:bCs/>
          <w:kern w:val="0"/>
          <w:sz w:val="30"/>
          <w:szCs w:val="30"/>
          <w:lang w:val="zh-CN" w:eastAsia="zh-CN"/>
        </w:rPr>
        <w:t>-202</w:t>
      </w:r>
      <w:r>
        <w:rPr>
          <w:rFonts w:hint="eastAsia" w:ascii="宋体" w:hAnsi="宋体" w:eastAsia="宋体" w:cs="宋体"/>
          <w:b/>
          <w:bCs/>
          <w:kern w:val="0"/>
          <w:sz w:val="30"/>
          <w:szCs w:val="30"/>
          <w:lang w:val="en-US" w:eastAsia="zh-CN"/>
        </w:rPr>
        <w:t>3</w:t>
      </w:r>
      <w:r>
        <w:rPr>
          <w:rFonts w:hint="eastAsia" w:ascii="宋体" w:hAnsi="宋体" w:eastAsia="宋体" w:cs="宋体"/>
          <w:b/>
          <w:bCs/>
          <w:kern w:val="0"/>
          <w:sz w:val="30"/>
          <w:szCs w:val="30"/>
          <w:lang w:val="zh-CN" w:eastAsia="zh-CN"/>
        </w:rPr>
        <w:t>-</w:t>
      </w:r>
      <w:r>
        <w:rPr>
          <w:rFonts w:hint="eastAsia" w:ascii="宋体" w:hAnsi="宋体" w:eastAsia="宋体" w:cs="宋体"/>
          <w:b/>
          <w:bCs/>
          <w:kern w:val="0"/>
          <w:sz w:val="30"/>
          <w:szCs w:val="30"/>
          <w:lang w:val="en-US" w:eastAsia="zh-CN"/>
        </w:rPr>
        <w:t>00</w:t>
      </w:r>
      <w:r>
        <w:rPr>
          <w:rFonts w:hint="eastAsia" w:ascii="宋体" w:hAnsi="宋体" w:cs="宋体"/>
          <w:b/>
          <w:bCs/>
          <w:kern w:val="0"/>
          <w:sz w:val="30"/>
          <w:szCs w:val="30"/>
          <w:lang w:val="en-US" w:eastAsia="zh-CN"/>
        </w:rPr>
        <w:t>8</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left"/>
        <w:rPr>
          <w:rFonts w:ascii="宋体" w:hAnsi="宋体" w:cs="宋体"/>
          <w:b/>
          <w:bCs/>
          <w:kern w:val="0"/>
          <w:sz w:val="28"/>
          <w:szCs w:val="28"/>
        </w:rPr>
      </w:pPr>
      <w:r>
        <w:rPr>
          <w:rFonts w:hint="eastAsia" w:ascii="宋体" w:hAns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360" w:lineRule="auto"/>
        <w:rPr>
          <w:rFonts w:ascii="宋体" w:hAns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snapToGrid w:val="0"/>
        <w:spacing w:after="120" w:line="400" w:lineRule="exact"/>
        <w:ind w:left="420" w:firstLine="480"/>
      </w:pPr>
      <w:r>
        <w:rPr>
          <w:rFonts w:hint="eastAsia"/>
        </w:rPr>
        <w:t>甲、乙双方根据</w:t>
      </w:r>
      <w:r>
        <w:rPr>
          <w:rFonts w:hint="eastAsia"/>
          <w:b/>
          <w:u w:val="single"/>
          <w:lang w:eastAsia="zh-CN"/>
        </w:rPr>
        <w:t>都兰县自然资源统一确权登记项目</w:t>
      </w:r>
      <w:r>
        <w:rPr>
          <w:rFonts w:hint="eastAsia"/>
          <w:b/>
          <w:u w:val="single"/>
        </w:rPr>
        <w:t>（项目编号：</w:t>
      </w:r>
      <w:r>
        <w:rPr>
          <w:rFonts w:hint="eastAsia"/>
          <w:b/>
          <w:u w:val="single"/>
          <w:lang w:eastAsia="zh-CN"/>
        </w:rPr>
        <w:t>青海璇锴公招（服务）2023-00</w:t>
      </w:r>
      <w:r>
        <w:rPr>
          <w:rFonts w:hint="eastAsia"/>
          <w:b/>
          <w:u w:val="single"/>
          <w:lang w:val="en-US" w:eastAsia="zh-CN"/>
        </w:rPr>
        <w:t>8</w:t>
      </w:r>
      <w:r>
        <w:rPr>
          <w:rFonts w:hint="eastAsia"/>
          <w:b/>
          <w:u w:val="single"/>
        </w:rPr>
        <w:t>）</w:t>
      </w:r>
      <w:r>
        <w:rPr>
          <w:rFonts w:hint="eastAsia"/>
        </w:rPr>
        <w:t>的招标文件要求、中标单位响应文件内容及承诺和采购代理机构出具的《中标通知书》，并经双方协商一致，签订本合同协议书。</w:t>
      </w:r>
    </w:p>
    <w:p>
      <w:pPr>
        <w:autoSpaceDE w:val="0"/>
        <w:autoSpaceDN w:val="0"/>
        <w:snapToGrid w:val="0"/>
        <w:spacing w:line="400" w:lineRule="exact"/>
        <w:ind w:firstLine="480"/>
      </w:pPr>
      <w:r>
        <w:rPr>
          <w:rFonts w:hint="eastAsia"/>
        </w:rPr>
        <w:t>一、签订本政府采购合同的依据</w:t>
      </w:r>
    </w:p>
    <w:p>
      <w:pPr>
        <w:autoSpaceDE w:val="0"/>
        <w:autoSpaceDN w:val="0"/>
        <w:snapToGrid w:val="0"/>
        <w:spacing w:line="400" w:lineRule="exact"/>
        <w:ind w:firstLine="480"/>
      </w:pPr>
      <w:r>
        <w:rPr>
          <w:rFonts w:hint="eastAsia"/>
        </w:rPr>
        <w:t>1.招标文件；</w:t>
      </w:r>
    </w:p>
    <w:p>
      <w:pPr>
        <w:autoSpaceDE w:val="0"/>
        <w:autoSpaceDN w:val="0"/>
        <w:snapToGrid w:val="0"/>
        <w:spacing w:line="400" w:lineRule="exact"/>
        <w:ind w:firstLine="480"/>
      </w:pPr>
      <w:r>
        <w:rPr>
          <w:rFonts w:hint="eastAsia"/>
        </w:rPr>
        <w:t>2.招标文件的更正、变更公告；</w:t>
      </w:r>
    </w:p>
    <w:p>
      <w:pPr>
        <w:autoSpaceDE w:val="0"/>
        <w:autoSpaceDN w:val="0"/>
        <w:snapToGrid w:val="0"/>
        <w:spacing w:line="400" w:lineRule="exact"/>
        <w:ind w:firstLine="480"/>
      </w:pPr>
      <w:r>
        <w:rPr>
          <w:rFonts w:hint="eastAsia"/>
        </w:rPr>
        <w:t>3.中标单位提交的响应文件；</w:t>
      </w:r>
    </w:p>
    <w:p>
      <w:pPr>
        <w:autoSpaceDE w:val="0"/>
        <w:autoSpaceDN w:val="0"/>
        <w:snapToGrid w:val="0"/>
        <w:spacing w:line="400" w:lineRule="exact"/>
        <w:ind w:firstLine="480"/>
      </w:pPr>
      <w:r>
        <w:t>二</w:t>
      </w:r>
      <w:r>
        <w:rPr>
          <w:rFonts w:hint="eastAsia"/>
        </w:rPr>
        <w:t>、</w:t>
      </w:r>
      <w:r>
        <w:t>合同组成</w:t>
      </w:r>
    </w:p>
    <w:p>
      <w:pPr>
        <w:autoSpaceDE w:val="0"/>
        <w:autoSpaceDN w:val="0"/>
        <w:snapToGrid w:val="0"/>
        <w:spacing w:line="400" w:lineRule="exact"/>
        <w:ind w:firstLine="480"/>
      </w:pPr>
      <w:r>
        <w:rPr>
          <w:rFonts w:hint="eastAsia"/>
        </w:rPr>
        <w:t>1.响应分项报价表；</w:t>
      </w:r>
    </w:p>
    <w:p>
      <w:pPr>
        <w:autoSpaceDE w:val="0"/>
        <w:autoSpaceDN w:val="0"/>
        <w:snapToGrid w:val="0"/>
        <w:spacing w:line="400" w:lineRule="exact"/>
        <w:ind w:firstLine="480"/>
      </w:pPr>
      <w:r>
        <w:rPr>
          <w:rFonts w:hint="eastAsia"/>
        </w:rPr>
        <w:t>2.其他相关承诺；</w:t>
      </w:r>
    </w:p>
    <w:p>
      <w:pPr>
        <w:autoSpaceDE w:val="0"/>
        <w:autoSpaceDN w:val="0"/>
        <w:snapToGrid w:val="0"/>
        <w:spacing w:line="400" w:lineRule="exact"/>
        <w:ind w:firstLine="480"/>
      </w:pPr>
      <w:r>
        <w:rPr>
          <w:rFonts w:hint="eastAsia"/>
        </w:rPr>
        <w:t>3.中标通知书；</w:t>
      </w:r>
    </w:p>
    <w:p>
      <w:pPr>
        <w:autoSpaceDE w:val="0"/>
        <w:autoSpaceDN w:val="0"/>
        <w:snapToGrid w:val="0"/>
        <w:spacing w:line="400" w:lineRule="exact"/>
        <w:ind w:firstLine="480"/>
      </w:pPr>
      <w:r>
        <w:rPr>
          <w:rFonts w:hint="eastAsia"/>
        </w:rPr>
        <w:t>4.招标文件中规定的政府采购合同通用条款；</w:t>
      </w:r>
    </w:p>
    <w:p>
      <w:pPr>
        <w:autoSpaceDE w:val="0"/>
        <w:autoSpaceDN w:val="0"/>
        <w:snapToGrid w:val="0"/>
        <w:spacing w:line="400" w:lineRule="exact"/>
        <w:ind w:firstLine="480"/>
      </w:pPr>
      <w:r>
        <w:rPr>
          <w:rFonts w:hint="eastAsia"/>
          <w:b/>
        </w:rPr>
        <w:t>本政府采购合同所附文件是构成本政府采购合同不可分割的部分。</w:t>
      </w:r>
    </w:p>
    <w:p>
      <w:pPr>
        <w:autoSpaceDE w:val="0"/>
        <w:autoSpaceDN w:val="0"/>
        <w:snapToGrid w:val="0"/>
        <w:spacing w:line="400" w:lineRule="exact"/>
        <w:ind w:firstLine="480"/>
      </w:pPr>
      <w:r>
        <w:rPr>
          <w:rFonts w:hint="eastAsia"/>
        </w:rPr>
        <w:t>三、合同标的及金额（单位：元）</w:t>
      </w:r>
    </w:p>
    <w:p>
      <w:pPr>
        <w:autoSpaceDE w:val="0"/>
        <w:autoSpaceDN w:val="0"/>
        <w:snapToGrid w:val="0"/>
        <w:spacing w:line="400" w:lineRule="exact"/>
        <w:ind w:left="423" w:hanging="1"/>
      </w:pPr>
      <w:r>
        <w:rPr>
          <w:rFonts w:hint="eastAsia"/>
        </w:rPr>
        <w:t>根据上述政府采购合同文件要求，本政府采购合同的总金额为人民币（大写）元。（本合同以人民币进行结算）</w:t>
      </w:r>
    </w:p>
    <w:p>
      <w:pPr>
        <w:snapToGrid w:val="0"/>
        <w:spacing w:line="360" w:lineRule="auto"/>
        <w:ind w:firstLine="480"/>
      </w:pPr>
      <w:r>
        <w:rPr>
          <w:rFonts w:hint="eastAsia"/>
        </w:rPr>
        <w:t>四、服务内容与质量标准</w:t>
      </w:r>
    </w:p>
    <w:p>
      <w:pPr>
        <w:numPr>
          <w:ilvl w:val="0"/>
          <w:numId w:val="6"/>
        </w:numPr>
        <w:snapToGrid w:val="0"/>
        <w:spacing w:line="360" w:lineRule="auto"/>
        <w:ind w:firstLine="567"/>
      </w:pPr>
    </w:p>
    <w:p>
      <w:pPr>
        <w:numPr>
          <w:ilvl w:val="0"/>
          <w:numId w:val="6"/>
        </w:numPr>
        <w:snapToGrid w:val="0"/>
        <w:spacing w:line="360" w:lineRule="auto"/>
        <w:ind w:firstLine="567"/>
      </w:pPr>
    </w:p>
    <w:p>
      <w:pPr>
        <w:numPr>
          <w:ilvl w:val="0"/>
          <w:numId w:val="6"/>
        </w:numPr>
        <w:snapToGrid w:val="0"/>
        <w:spacing w:line="360" w:lineRule="auto"/>
        <w:ind w:firstLine="567"/>
      </w:pPr>
    </w:p>
    <w:p>
      <w:pPr>
        <w:snapToGrid w:val="0"/>
        <w:spacing w:line="360" w:lineRule="auto"/>
        <w:ind w:firstLine="630"/>
      </w:pPr>
      <w:r>
        <w:rPr>
          <w:rFonts w:hint="eastAsia"/>
        </w:rPr>
        <w:t>…</w:t>
      </w:r>
    </w:p>
    <w:p>
      <w:pPr>
        <w:snapToGrid w:val="0"/>
        <w:spacing w:line="360" w:lineRule="auto"/>
        <w:ind w:firstLine="480"/>
      </w:pPr>
      <w:r>
        <w:rPr>
          <w:rFonts w:hint="eastAsia"/>
        </w:rPr>
        <w:t>五、付款方式</w:t>
      </w:r>
    </w:p>
    <w:p>
      <w:pPr>
        <w:snapToGrid w:val="0"/>
        <w:spacing w:line="360" w:lineRule="auto"/>
        <w:ind w:firstLine="480"/>
      </w:pPr>
      <w:r>
        <w:rPr>
          <w:rFonts w:hint="eastAsia"/>
        </w:rPr>
        <w:t>在投标人缴纳中标价款5%的履约保证金，双方签订合同后10个工作日内，采购人向投标人支付中标价款总额的80%，项目通过省级验收后支付中标价款剩余的20%。项目验收后一年退还履约保证金（不计利息）。</w:t>
      </w:r>
    </w:p>
    <w:p>
      <w:pPr>
        <w:snapToGrid w:val="0"/>
        <w:spacing w:line="360" w:lineRule="auto"/>
        <w:ind w:firstLine="480"/>
      </w:pPr>
      <w:r>
        <w:rPr>
          <w:rFonts w:hint="eastAsia"/>
        </w:rPr>
        <w:t>六、履约保证金</w:t>
      </w:r>
    </w:p>
    <w:p>
      <w:pPr>
        <w:snapToGrid w:val="0"/>
        <w:spacing w:line="360" w:lineRule="auto"/>
        <w:ind w:firstLine="480"/>
        <w:rPr>
          <w:rFonts w:hint="eastAsia"/>
        </w:rPr>
      </w:pPr>
      <w:r>
        <w:rPr>
          <w:rFonts w:hint="eastAsia"/>
        </w:rPr>
        <w:t>1.乙方交纳中标价款5%作为本合同的履约保证金。</w:t>
      </w:r>
    </w:p>
    <w:p>
      <w:pPr>
        <w:snapToGrid w:val="0"/>
        <w:spacing w:line="360" w:lineRule="auto"/>
        <w:ind w:firstLine="480"/>
      </w:pPr>
      <w:r>
        <w:rPr>
          <w:rFonts w:hint="eastAsia"/>
        </w:rPr>
        <w:t>2.履约保证金在项目验收后满1年退还。如乙方有违约情形作为违约金的一部分及用于补偿甲方因乙方不能履行合同义务而蒙受的损失。</w:t>
      </w:r>
    </w:p>
    <w:p>
      <w:pPr>
        <w:snapToGrid w:val="0"/>
        <w:spacing w:line="360" w:lineRule="auto"/>
        <w:ind w:firstLine="480"/>
      </w:pPr>
      <w:r>
        <w:rPr>
          <w:rFonts w:hint="eastAsia"/>
        </w:rPr>
        <w:t>七、甲方的权利和义务</w:t>
      </w:r>
    </w:p>
    <w:p>
      <w:pPr>
        <w:numPr>
          <w:ilvl w:val="0"/>
          <w:numId w:val="7"/>
        </w:numPr>
        <w:tabs>
          <w:tab w:val="left" w:pos="1440"/>
        </w:tabs>
        <w:snapToGrid w:val="0"/>
        <w:spacing w:line="360" w:lineRule="auto"/>
        <w:ind w:left="424" w:hanging="6"/>
        <w:jc w:val="left"/>
      </w:pPr>
      <w:r>
        <w:rPr>
          <w:rFonts w:hint="eastAsia"/>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7"/>
        </w:numPr>
        <w:tabs>
          <w:tab w:val="left" w:pos="1440"/>
        </w:tabs>
        <w:snapToGrid w:val="0"/>
        <w:spacing w:line="360" w:lineRule="auto"/>
        <w:ind w:left="430" w:hanging="6"/>
        <w:jc w:val="left"/>
      </w:pPr>
      <w:r>
        <w:rPr>
          <w:rFonts w:hint="eastAsia"/>
        </w:rPr>
        <w:t>甲方有权依据双方签订的考评办法对乙方提供的服务进行定期考评。当考评结果未达到标准时，有权依据考评办法约定的数额扣除履约保证金。</w:t>
      </w:r>
    </w:p>
    <w:p>
      <w:pPr>
        <w:numPr>
          <w:ilvl w:val="0"/>
          <w:numId w:val="7"/>
        </w:numPr>
        <w:tabs>
          <w:tab w:val="left" w:pos="1440"/>
        </w:tabs>
        <w:snapToGrid w:val="0"/>
        <w:spacing w:line="360" w:lineRule="auto"/>
        <w:ind w:left="430" w:hanging="6"/>
        <w:jc w:val="left"/>
      </w:pPr>
      <w:r>
        <w:rPr>
          <w:rFonts w:hint="eastAsia"/>
        </w:rPr>
        <w:t>负责检查监督乙方管理工作的实施及制度的执行情况。</w:t>
      </w:r>
    </w:p>
    <w:p>
      <w:pPr>
        <w:numPr>
          <w:ilvl w:val="0"/>
          <w:numId w:val="7"/>
        </w:numPr>
        <w:tabs>
          <w:tab w:val="left" w:pos="1440"/>
        </w:tabs>
        <w:snapToGrid w:val="0"/>
        <w:spacing w:line="360" w:lineRule="auto"/>
        <w:ind w:left="430" w:hanging="6"/>
        <w:jc w:val="left"/>
      </w:pPr>
      <w:r>
        <w:rPr>
          <w:rFonts w:hint="eastAsia"/>
        </w:rPr>
        <w:t>根据本合同规定，按时向乙方支付应付服务费用。</w:t>
      </w:r>
    </w:p>
    <w:p>
      <w:pPr>
        <w:numPr>
          <w:ilvl w:val="0"/>
          <w:numId w:val="7"/>
        </w:numPr>
        <w:tabs>
          <w:tab w:val="left" w:pos="1440"/>
        </w:tabs>
        <w:snapToGrid w:val="0"/>
        <w:spacing w:line="360" w:lineRule="auto"/>
        <w:ind w:left="430" w:hanging="6"/>
        <w:jc w:val="left"/>
      </w:pPr>
      <w:r>
        <w:rPr>
          <w:rFonts w:hint="eastAsia"/>
        </w:rPr>
        <w:t>国家法律、法规所规定由甲方承担的其它责任。</w:t>
      </w:r>
    </w:p>
    <w:p>
      <w:pPr>
        <w:snapToGrid w:val="0"/>
        <w:spacing w:line="360" w:lineRule="auto"/>
        <w:ind w:left="424" w:firstLine="2"/>
      </w:pPr>
      <w:r>
        <w:rPr>
          <w:rFonts w:hint="eastAsia"/>
        </w:rPr>
        <w:t>八、乙方的权利和义务</w:t>
      </w:r>
    </w:p>
    <w:p>
      <w:pPr>
        <w:numPr>
          <w:ilvl w:val="0"/>
          <w:numId w:val="8"/>
        </w:numPr>
        <w:snapToGrid w:val="0"/>
        <w:spacing w:line="360" w:lineRule="auto"/>
        <w:ind w:left="430" w:hanging="6"/>
        <w:jc w:val="left"/>
      </w:pPr>
      <w:r>
        <w:rPr>
          <w:rFonts w:hint="eastAsia"/>
        </w:rPr>
        <w:t>对本合同规定的委托服务范围内的项目享有管理权及服务义务。</w:t>
      </w:r>
    </w:p>
    <w:p>
      <w:pPr>
        <w:numPr>
          <w:ilvl w:val="0"/>
          <w:numId w:val="8"/>
        </w:numPr>
        <w:snapToGrid w:val="0"/>
        <w:spacing w:line="360" w:lineRule="auto"/>
        <w:ind w:left="430" w:hanging="6"/>
        <w:jc w:val="left"/>
      </w:pPr>
      <w:r>
        <w:rPr>
          <w:rFonts w:hint="eastAsia"/>
        </w:rPr>
        <w:t>根据本合同的规定向甲方收取相关服务费用，并有权在本项目管理范围内管理及合理使用。</w:t>
      </w:r>
    </w:p>
    <w:p>
      <w:pPr>
        <w:numPr>
          <w:ilvl w:val="0"/>
          <w:numId w:val="8"/>
        </w:numPr>
        <w:snapToGrid w:val="0"/>
        <w:spacing w:line="360" w:lineRule="auto"/>
        <w:ind w:left="430" w:hanging="6"/>
        <w:jc w:val="left"/>
      </w:pPr>
      <w:r>
        <w:rPr>
          <w:rFonts w:hint="eastAsia"/>
        </w:rPr>
        <w:t>及时向甲方通告本项目服务范围内有关服务的重大事项，及时配合处理投诉。</w:t>
      </w:r>
    </w:p>
    <w:p>
      <w:pPr>
        <w:numPr>
          <w:ilvl w:val="0"/>
          <w:numId w:val="8"/>
        </w:numPr>
        <w:snapToGrid w:val="0"/>
        <w:spacing w:line="360" w:lineRule="auto"/>
        <w:ind w:left="430" w:hanging="6"/>
        <w:jc w:val="left"/>
      </w:pPr>
      <w:r>
        <w:rPr>
          <w:rFonts w:hint="eastAsia"/>
        </w:rPr>
        <w:t>接受项目行业管理部门及政府有关部门的指导，接受甲方的监督。</w:t>
      </w:r>
    </w:p>
    <w:p>
      <w:pPr>
        <w:numPr>
          <w:ilvl w:val="0"/>
          <w:numId w:val="8"/>
        </w:numPr>
        <w:snapToGrid w:val="0"/>
        <w:spacing w:line="360" w:lineRule="auto"/>
        <w:ind w:left="430" w:hanging="6"/>
        <w:jc w:val="left"/>
      </w:pPr>
      <w:r>
        <w:rPr>
          <w:rFonts w:hint="eastAsia"/>
        </w:rPr>
        <w:t>国家法律、法规所规定由乙方承担的其它责任。</w:t>
      </w:r>
    </w:p>
    <w:p>
      <w:pPr>
        <w:snapToGrid w:val="0"/>
        <w:spacing w:line="360" w:lineRule="auto"/>
        <w:ind w:left="424" w:firstLine="2"/>
      </w:pPr>
      <w:r>
        <w:rPr>
          <w:rFonts w:hint="eastAsia"/>
        </w:rPr>
        <w:t>九、违约责任</w:t>
      </w:r>
    </w:p>
    <w:p>
      <w:pPr>
        <w:numPr>
          <w:ilvl w:val="0"/>
          <w:numId w:val="9"/>
        </w:numPr>
        <w:snapToGrid w:val="0"/>
        <w:spacing w:line="360" w:lineRule="auto"/>
        <w:ind w:left="430" w:hanging="6"/>
        <w:jc w:val="left"/>
      </w:pPr>
      <w:r>
        <w:rPr>
          <w:rFonts w:hint="eastAsia"/>
        </w:rPr>
        <w:t>甲乙双方必须遵守本合同并执行合同中的各项规定，保证本合同的正常履行。</w:t>
      </w:r>
    </w:p>
    <w:p>
      <w:pPr>
        <w:numPr>
          <w:ilvl w:val="0"/>
          <w:numId w:val="9"/>
        </w:numPr>
        <w:snapToGrid w:val="0"/>
        <w:spacing w:line="360" w:lineRule="auto"/>
        <w:ind w:left="430" w:hanging="6"/>
        <w:jc w:val="left"/>
      </w:pPr>
      <w:r>
        <w:rPr>
          <w:rFonts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napToGrid w:val="0"/>
        <w:spacing w:line="360" w:lineRule="auto"/>
        <w:ind w:left="424" w:firstLine="2"/>
      </w:pPr>
      <w:r>
        <w:rPr>
          <w:rFonts w:hint="eastAsia"/>
        </w:rPr>
        <w:t>十、不可抗力事件处理</w:t>
      </w:r>
    </w:p>
    <w:p>
      <w:pPr>
        <w:numPr>
          <w:ilvl w:val="0"/>
          <w:numId w:val="10"/>
        </w:numPr>
        <w:tabs>
          <w:tab w:val="left" w:pos="0"/>
        </w:tabs>
        <w:snapToGrid w:val="0"/>
        <w:spacing w:line="360" w:lineRule="auto"/>
        <w:ind w:left="430" w:hanging="6"/>
      </w:pPr>
      <w:r>
        <w:rPr>
          <w:rFonts w:hint="eastAsia"/>
        </w:rPr>
        <w:t>在合同有效期内，任何一方因不可抗力事件导致不能履行合同，则合同履行期可延长，其延长期与不可抗力影响期相同。</w:t>
      </w:r>
    </w:p>
    <w:p>
      <w:pPr>
        <w:numPr>
          <w:ilvl w:val="0"/>
          <w:numId w:val="10"/>
        </w:numPr>
        <w:tabs>
          <w:tab w:val="left" w:pos="0"/>
        </w:tabs>
        <w:snapToGrid w:val="0"/>
        <w:spacing w:line="360" w:lineRule="auto"/>
        <w:ind w:left="430" w:hanging="6"/>
      </w:pPr>
      <w:r>
        <w:rPr>
          <w:rFonts w:hint="eastAsia"/>
        </w:rPr>
        <w:t>不可抗力事件发生后，应立即通知对方，并寄送有关权威机构出具的证明。</w:t>
      </w:r>
    </w:p>
    <w:p>
      <w:pPr>
        <w:numPr>
          <w:ilvl w:val="0"/>
          <w:numId w:val="10"/>
        </w:numPr>
        <w:tabs>
          <w:tab w:val="left" w:pos="0"/>
        </w:tabs>
        <w:snapToGrid w:val="0"/>
        <w:spacing w:line="360" w:lineRule="auto"/>
        <w:ind w:left="430" w:hanging="6"/>
      </w:pPr>
      <w:r>
        <w:rPr>
          <w:rFonts w:hint="eastAsia"/>
        </w:rPr>
        <w:t>不可抗力事件延续120天以上，双方应通过友好协商，确定是否继续履行合同。</w:t>
      </w:r>
    </w:p>
    <w:p>
      <w:pPr>
        <w:snapToGrid w:val="0"/>
        <w:spacing w:line="360" w:lineRule="auto"/>
        <w:ind w:left="424" w:firstLine="2"/>
      </w:pPr>
      <w:r>
        <w:rPr>
          <w:rFonts w:hint="eastAsia"/>
        </w:rPr>
        <w:t>十一、解决合同纠纷的方式</w:t>
      </w:r>
    </w:p>
    <w:p>
      <w:pPr>
        <w:numPr>
          <w:ilvl w:val="0"/>
          <w:numId w:val="11"/>
        </w:numPr>
        <w:tabs>
          <w:tab w:val="left" w:pos="0"/>
        </w:tabs>
        <w:snapToGrid w:val="0"/>
        <w:spacing w:line="360" w:lineRule="auto"/>
        <w:ind w:left="430" w:hanging="6"/>
      </w:pPr>
      <w:r>
        <w:rPr>
          <w:rFonts w:hint="eastAsia"/>
        </w:rPr>
        <w:t>在执行本合同中发生的或与本合同有关的争端，双方应通过友好协商解决，经协商在60天内不能达成协议时，应提交成都仲裁委员会仲裁。</w:t>
      </w:r>
    </w:p>
    <w:p>
      <w:pPr>
        <w:numPr>
          <w:ilvl w:val="0"/>
          <w:numId w:val="11"/>
        </w:numPr>
        <w:tabs>
          <w:tab w:val="left" w:pos="0"/>
        </w:tabs>
        <w:snapToGrid w:val="0"/>
        <w:spacing w:line="360" w:lineRule="auto"/>
        <w:ind w:left="430" w:hanging="6"/>
      </w:pPr>
      <w:r>
        <w:rPr>
          <w:rFonts w:hint="eastAsia"/>
        </w:rPr>
        <w:t>仲裁裁决应为最终决定，并对双方具有约束力。</w:t>
      </w:r>
    </w:p>
    <w:p>
      <w:pPr>
        <w:numPr>
          <w:ilvl w:val="0"/>
          <w:numId w:val="11"/>
        </w:numPr>
        <w:tabs>
          <w:tab w:val="left" w:pos="0"/>
        </w:tabs>
        <w:snapToGrid w:val="0"/>
        <w:spacing w:line="360" w:lineRule="auto"/>
        <w:ind w:left="430" w:hanging="6"/>
      </w:pPr>
      <w:r>
        <w:rPr>
          <w:rFonts w:hint="eastAsia"/>
        </w:rPr>
        <w:t>除另有裁决外，仲裁费应由败诉方负担。</w:t>
      </w:r>
    </w:p>
    <w:p>
      <w:pPr>
        <w:numPr>
          <w:ilvl w:val="0"/>
          <w:numId w:val="11"/>
        </w:numPr>
        <w:tabs>
          <w:tab w:val="left" w:pos="0"/>
        </w:tabs>
        <w:snapToGrid w:val="0"/>
        <w:spacing w:line="360" w:lineRule="auto"/>
        <w:ind w:left="430" w:hanging="6"/>
      </w:pPr>
      <w:r>
        <w:rPr>
          <w:rFonts w:hint="eastAsia"/>
        </w:rPr>
        <w:t>在仲裁期间，除正在进行仲裁部分外，合同其他部分继续执行。</w:t>
      </w:r>
    </w:p>
    <w:p>
      <w:pPr>
        <w:snapToGrid w:val="0"/>
        <w:spacing w:line="360" w:lineRule="auto"/>
        <w:ind w:left="424" w:firstLine="2"/>
      </w:pPr>
      <w:r>
        <w:rPr>
          <w:rFonts w:hint="eastAsia"/>
        </w:rPr>
        <w:t>十二、合同生效及其他</w:t>
      </w:r>
    </w:p>
    <w:p>
      <w:pPr>
        <w:numPr>
          <w:ilvl w:val="0"/>
          <w:numId w:val="12"/>
        </w:numPr>
        <w:snapToGrid w:val="0"/>
        <w:spacing w:line="360" w:lineRule="auto"/>
        <w:ind w:left="430" w:hanging="6"/>
      </w:pPr>
      <w:r>
        <w:rPr>
          <w:rFonts w:hint="eastAsia"/>
        </w:rPr>
        <w:t>合同经双方法定代表人或授权委托代理人签字并加盖单位公章后生效。</w:t>
      </w:r>
    </w:p>
    <w:p>
      <w:pPr>
        <w:numPr>
          <w:ilvl w:val="0"/>
          <w:numId w:val="12"/>
        </w:numPr>
        <w:snapToGrid w:val="0"/>
        <w:spacing w:line="360" w:lineRule="auto"/>
        <w:ind w:left="430" w:hanging="6"/>
      </w:pPr>
      <w:r>
        <w:rPr>
          <w:rFonts w:hint="eastAsia"/>
        </w:rPr>
        <w:t>合同执行中涉及采购资金和采购内容修改或补充的，须经政府采购监管部门审批，并签书面补充协议报政府采购监督管理部门备案，方可作为主合同不可分割的一部分。</w:t>
      </w:r>
    </w:p>
    <w:p>
      <w:pPr>
        <w:numPr>
          <w:ilvl w:val="0"/>
          <w:numId w:val="12"/>
        </w:numPr>
        <w:snapToGrid w:val="0"/>
        <w:spacing w:line="360" w:lineRule="auto"/>
        <w:ind w:left="430" w:hanging="6"/>
      </w:pPr>
      <w:r>
        <w:rPr>
          <w:rFonts w:hint="eastAsia"/>
        </w:rPr>
        <w:t>本合同一式</w:t>
      </w:r>
      <w:r>
        <w:rPr>
          <w:rFonts w:hint="eastAsia"/>
          <w:u w:val="single"/>
        </w:rPr>
        <w:t>陆</w:t>
      </w:r>
      <w:r>
        <w:rPr>
          <w:rFonts w:hint="eastAsia"/>
        </w:rPr>
        <w:t>份，自双方签章之日起起效。甲方份，乙方份，政府采购代理机构</w:t>
      </w:r>
      <w:r>
        <w:rPr>
          <w:rFonts w:hint="eastAsia"/>
          <w:b/>
          <w:u w:val="single"/>
        </w:rPr>
        <w:t>贰</w:t>
      </w:r>
      <w:r>
        <w:rPr>
          <w:rFonts w:hint="eastAsia"/>
        </w:rPr>
        <w:t>份，具有同等法律效力。</w:t>
      </w:r>
    </w:p>
    <w:p>
      <w:pPr>
        <w:autoSpaceDE w:val="0"/>
        <w:autoSpaceDN w:val="0"/>
        <w:snapToGrid w:val="0"/>
        <w:spacing w:line="400" w:lineRule="exact"/>
      </w:pPr>
    </w:p>
    <w:p>
      <w:pPr>
        <w:autoSpaceDE w:val="0"/>
        <w:autoSpaceDN w:val="0"/>
        <w:snapToGrid w:val="0"/>
        <w:spacing w:line="400" w:lineRule="exact"/>
        <w:ind w:left="430" w:hanging="6"/>
      </w:pPr>
    </w:p>
    <w:p>
      <w:pPr>
        <w:autoSpaceDE w:val="0"/>
        <w:autoSpaceDN w:val="0"/>
        <w:snapToGrid w:val="0"/>
        <w:spacing w:line="400" w:lineRule="exact"/>
        <w:ind w:left="430" w:hanging="6"/>
      </w:pPr>
    </w:p>
    <w:p>
      <w:pPr>
        <w:autoSpaceDE w:val="0"/>
        <w:autoSpaceDN w:val="0"/>
        <w:snapToGrid w:val="0"/>
        <w:spacing w:line="400" w:lineRule="exact"/>
        <w:ind w:left="430" w:hanging="6"/>
      </w:pPr>
      <w:r>
        <w:rPr>
          <w:rFonts w:hint="eastAsia"/>
        </w:rPr>
        <w:t>甲方（盖章）：乙方（盖章）：</w:t>
      </w:r>
    </w:p>
    <w:p>
      <w:pPr>
        <w:autoSpaceDE w:val="0"/>
        <w:autoSpaceDN w:val="0"/>
        <w:snapToGrid w:val="0"/>
        <w:spacing w:line="400" w:lineRule="exact"/>
        <w:ind w:left="430" w:hanging="6"/>
      </w:pPr>
      <w:r>
        <w:rPr>
          <w:rFonts w:hint="eastAsia"/>
        </w:rPr>
        <w:t>法定代表人或委托代理人：法定代表人或委托代理人：</w:t>
      </w:r>
    </w:p>
    <w:p>
      <w:pPr>
        <w:autoSpaceDE w:val="0"/>
        <w:autoSpaceDN w:val="0"/>
        <w:snapToGrid w:val="0"/>
        <w:spacing w:line="400" w:lineRule="exact"/>
        <w:ind w:left="430" w:hanging="6"/>
      </w:pPr>
      <w:r>
        <w:rPr>
          <w:rFonts w:hint="eastAsia"/>
        </w:rPr>
        <w:t>开户银行：</w:t>
      </w:r>
    </w:p>
    <w:p>
      <w:pPr>
        <w:autoSpaceDE w:val="0"/>
        <w:autoSpaceDN w:val="0"/>
        <w:snapToGrid w:val="0"/>
        <w:spacing w:line="400" w:lineRule="exact"/>
        <w:ind w:left="430" w:hanging="6"/>
      </w:pPr>
      <w:r>
        <w:rPr>
          <w:rFonts w:hint="eastAsia"/>
        </w:rPr>
        <w:t>联系电话：账号：</w:t>
      </w:r>
    </w:p>
    <w:p>
      <w:pPr>
        <w:autoSpaceDE w:val="0"/>
        <w:autoSpaceDN w:val="0"/>
        <w:snapToGrid w:val="0"/>
        <w:spacing w:line="400" w:lineRule="exact"/>
        <w:ind w:left="430" w:hanging="6"/>
      </w:pPr>
      <w:r>
        <w:rPr>
          <w:rFonts w:hint="eastAsia"/>
        </w:rPr>
        <w:t>联系电话：</w:t>
      </w:r>
    </w:p>
    <w:p>
      <w:pPr>
        <w:autoSpaceDE w:val="0"/>
        <w:autoSpaceDN w:val="0"/>
        <w:snapToGrid w:val="0"/>
        <w:spacing w:line="400" w:lineRule="exact"/>
        <w:ind w:left="424" w:firstLine="1320"/>
      </w:pPr>
      <w:r>
        <w:rPr>
          <w:rFonts w:hint="eastAsia"/>
        </w:rPr>
        <w:t xml:space="preserve">签约时间： 年 </w:t>
      </w:r>
      <w:r>
        <w:t xml:space="preserve"> </w:t>
      </w:r>
      <w:r>
        <w:rPr>
          <w:rFonts w:hint="eastAsia"/>
        </w:rPr>
        <w:t xml:space="preserve">月 </w:t>
      </w:r>
      <w:r>
        <w:t xml:space="preserve"> </w:t>
      </w:r>
      <w:r>
        <w:rPr>
          <w:rFonts w:hint="eastAsia"/>
        </w:rPr>
        <w:t>日</w:t>
      </w:r>
    </w:p>
    <w:p>
      <w:pPr>
        <w:autoSpaceDE w:val="0"/>
        <w:autoSpaceDN w:val="0"/>
        <w:snapToGrid w:val="0"/>
        <w:spacing w:line="400" w:lineRule="exact"/>
        <w:ind w:left="430" w:hanging="6"/>
      </w:pPr>
    </w:p>
    <w:p>
      <w:pPr>
        <w:autoSpaceDE w:val="0"/>
        <w:autoSpaceDN w:val="0"/>
        <w:snapToGrid w:val="0"/>
        <w:spacing w:line="400" w:lineRule="exact"/>
        <w:ind w:left="430" w:hanging="6"/>
      </w:pPr>
    </w:p>
    <w:p>
      <w:pPr>
        <w:autoSpaceDE w:val="0"/>
        <w:autoSpaceDN w:val="0"/>
        <w:snapToGrid w:val="0"/>
        <w:spacing w:line="400" w:lineRule="exact"/>
        <w:ind w:left="430" w:hanging="6"/>
        <w:rPr>
          <w:rFonts w:hint="eastAsia" w:eastAsia="宋体"/>
          <w:lang w:eastAsia="zh-CN"/>
        </w:rPr>
      </w:pPr>
      <w:r>
        <w:rPr>
          <w:rFonts w:hint="eastAsia"/>
        </w:rPr>
        <w:t>采购代理机构：</w:t>
      </w:r>
      <w:r>
        <w:rPr>
          <w:rFonts w:hint="eastAsia"/>
          <w:lang w:eastAsia="zh-CN"/>
        </w:rPr>
        <w:t>青海璇锴工程项目管理有限公司</w:t>
      </w:r>
    </w:p>
    <w:p>
      <w:pPr>
        <w:autoSpaceDE w:val="0"/>
        <w:autoSpaceDN w:val="0"/>
        <w:snapToGrid w:val="0"/>
        <w:spacing w:line="400" w:lineRule="exact"/>
        <w:ind w:left="430" w:hanging="6"/>
      </w:pPr>
      <w:r>
        <w:rPr>
          <w:rFonts w:hint="eastAsia"/>
        </w:rPr>
        <w:t>负责人或经办人：</w:t>
      </w:r>
    </w:p>
    <w:p>
      <w:pPr>
        <w:autoSpaceDE w:val="0"/>
        <w:autoSpaceDN w:val="0"/>
        <w:snapToGrid w:val="0"/>
        <w:spacing w:line="400" w:lineRule="exact"/>
        <w:ind w:left="430" w:hanging="6"/>
      </w:pPr>
      <w:r>
        <w:rPr>
          <w:rFonts w:hint="eastAsia"/>
        </w:rPr>
        <w:t>合同备案时间：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pPr>
        <w:autoSpaceDE w:val="0"/>
        <w:autoSpaceDN w:val="0"/>
        <w:snapToGrid w:val="0"/>
        <w:spacing w:line="400" w:lineRule="exact"/>
        <w:ind w:left="430" w:hanging="6"/>
        <w:rPr>
          <w:rFonts w:ascii="宋体" w:hAnsi="宋体" w:cs="宋体"/>
          <w:b/>
          <w:bCs/>
          <w:kern w:val="0"/>
          <w:sz w:val="28"/>
          <w:szCs w:val="28"/>
        </w:rPr>
      </w:pPr>
      <w:r>
        <w:rPr>
          <w:rFonts w:ascii="宋体" w:hAnsi="宋体" w:cs="宋体"/>
          <w:b/>
          <w:bCs/>
          <w:kern w:val="0"/>
          <w:sz w:val="28"/>
          <w:szCs w:val="28"/>
        </w:rPr>
        <w:br w:type="page"/>
      </w:r>
    </w:p>
    <w:p>
      <w:pPr>
        <w:pStyle w:val="30"/>
        <w:spacing w:before="0" w:after="0" w:line="360" w:lineRule="auto"/>
        <w:rPr>
          <w:rFonts w:ascii="宋体" w:hAnsi="宋体" w:cs="宋体"/>
          <w:lang w:val="zh-CN"/>
        </w:rPr>
      </w:pPr>
      <w:bookmarkStart w:id="51" w:name="_Toc78187941"/>
      <w:r>
        <w:rPr>
          <w:rFonts w:hint="eastAsia" w:ascii="宋体" w:hAnsi="宋体" w:cs="宋体"/>
          <w:szCs w:val="36"/>
          <w:lang w:val="zh-CN"/>
        </w:rPr>
        <w:t>第四部分  投标文件格式</w:t>
      </w:r>
      <w:bookmarkEnd w:id="51"/>
    </w:p>
    <w:p>
      <w:pPr>
        <w:pStyle w:val="30"/>
        <w:spacing w:before="0" w:after="0" w:line="360" w:lineRule="auto"/>
        <w:jc w:val="left"/>
        <w:outlineLvl w:val="1"/>
        <w:rPr>
          <w:rFonts w:ascii="宋体" w:hAnsi="宋体" w:cs="宋体"/>
        </w:rPr>
      </w:pPr>
      <w:bookmarkStart w:id="52" w:name="_Toc11851"/>
      <w:bookmarkStart w:id="53" w:name="_Toc78187942"/>
      <w:r>
        <w:rPr>
          <w:rFonts w:hint="eastAsia" w:ascii="宋体" w:hAnsi="宋体" w:cs="宋体"/>
          <w:sz w:val="30"/>
          <w:szCs w:val="30"/>
          <w:lang w:val="zh-CN"/>
        </w:rPr>
        <w:t>封面</w:t>
      </w:r>
      <w:bookmarkEnd w:id="52"/>
      <w:r>
        <w:rPr>
          <w:rFonts w:hint="eastAsia" w:ascii="宋体" w:hAnsi="宋体" w:cs="宋体"/>
          <w:sz w:val="30"/>
          <w:szCs w:val="30"/>
          <w:lang w:val="zh-CN"/>
        </w:rPr>
        <w:t>（上册）</w:t>
      </w:r>
      <w:bookmarkEnd w:id="53"/>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ascii="宋体" w:hAns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法定代表人或委托代理人：（签字或盖章）</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p>
    <w:p>
      <w:pPr>
        <w:pStyle w:val="30"/>
        <w:spacing w:before="0" w:after="0" w:line="360" w:lineRule="auto"/>
        <w:jc w:val="left"/>
        <w:outlineLvl w:val="1"/>
        <w:rPr>
          <w:rFonts w:ascii="宋体" w:hAnsi="宋体" w:cs="宋体"/>
          <w:lang w:val="zh-CN"/>
        </w:rPr>
      </w:pPr>
      <w:r>
        <w:rPr>
          <w:rFonts w:hint="eastAsia" w:ascii="宋体" w:hAnsi="宋体" w:cs="宋体"/>
          <w:b w:val="0"/>
          <w:bCs w:val="0"/>
          <w:kern w:val="0"/>
          <w:lang w:val="zh-CN"/>
        </w:rPr>
        <w:br w:type="page"/>
      </w:r>
      <w:bookmarkStart w:id="54" w:name="_Toc78187943"/>
      <w:bookmarkStart w:id="55" w:name="_Toc8514"/>
      <w:bookmarkStart w:id="56" w:name="_Toc29902"/>
      <w:r>
        <w:rPr>
          <w:rFonts w:hint="eastAsia" w:ascii="宋体" w:hAnsi="宋体" w:cs="宋体"/>
          <w:sz w:val="30"/>
          <w:szCs w:val="30"/>
          <w:lang w:val="zh-CN"/>
        </w:rPr>
        <w:t>目录（上册）</w:t>
      </w:r>
      <w:bookmarkEnd w:id="54"/>
    </w:p>
    <w:p>
      <w:pPr>
        <w:numPr>
          <w:ilvl w:val="0"/>
          <w:numId w:val="13"/>
        </w:numPr>
        <w:autoSpaceDE w:val="0"/>
        <w:autoSpaceDN w:val="0"/>
        <w:spacing w:line="360" w:lineRule="auto"/>
        <w:rPr>
          <w:rFonts w:ascii="宋体" w:hAnsi="宋体" w:cs="宋体"/>
          <w:kern w:val="0"/>
          <w:lang w:val="zh-CN"/>
        </w:rPr>
      </w:pPr>
      <w:r>
        <w:rPr>
          <w:rFonts w:hint="eastAsia" w:ascii="宋体" w:hAnsi="宋体" w:cs="宋体"/>
          <w:kern w:val="0"/>
          <w:lang w:val="zh-CN"/>
        </w:rPr>
        <w:t>投标函……………………………………………………………所在页码</w:t>
      </w:r>
    </w:p>
    <w:p>
      <w:pPr>
        <w:numPr>
          <w:ilvl w:val="0"/>
          <w:numId w:val="13"/>
        </w:numPr>
        <w:autoSpaceDE w:val="0"/>
        <w:autoSpaceDN w:val="0"/>
        <w:spacing w:line="360" w:lineRule="auto"/>
        <w:rPr>
          <w:rFonts w:ascii="宋体" w:hAnsi="宋体" w:cs="宋体"/>
          <w:kern w:val="0"/>
          <w:lang w:val="zh-CN"/>
        </w:rPr>
      </w:pPr>
      <w:r>
        <w:rPr>
          <w:rFonts w:hint="eastAsia" w:ascii="宋体" w:hAnsi="宋体" w:cs="宋体"/>
          <w:kern w:val="0"/>
          <w:lang w:val="zh-CN"/>
        </w:rPr>
        <w:t>法定代表人证明书………………………………………………所在页码</w:t>
      </w:r>
    </w:p>
    <w:p>
      <w:pPr>
        <w:numPr>
          <w:ilvl w:val="0"/>
          <w:numId w:val="13"/>
        </w:numPr>
        <w:autoSpaceDE w:val="0"/>
        <w:autoSpaceDN w:val="0"/>
        <w:spacing w:line="360" w:lineRule="auto"/>
        <w:rPr>
          <w:rFonts w:ascii="宋体" w:hAnsi="宋体" w:cs="宋体"/>
          <w:kern w:val="0"/>
          <w:lang w:val="zh-CN"/>
        </w:rPr>
      </w:pPr>
      <w:r>
        <w:rPr>
          <w:rFonts w:hint="eastAsia" w:ascii="宋体" w:hAnsi="宋体" w:cs="宋体"/>
          <w:kern w:val="0"/>
          <w:lang w:val="zh-CN"/>
        </w:rPr>
        <w:t>法定代表人授权书………………………………………………所在页码</w:t>
      </w:r>
    </w:p>
    <w:p>
      <w:pPr>
        <w:numPr>
          <w:ilvl w:val="0"/>
          <w:numId w:val="13"/>
        </w:numPr>
        <w:autoSpaceDE w:val="0"/>
        <w:autoSpaceDN w:val="0"/>
        <w:spacing w:line="360" w:lineRule="auto"/>
        <w:rPr>
          <w:rFonts w:ascii="宋体" w:hAnsi="宋体" w:cs="宋体"/>
          <w:kern w:val="0"/>
          <w:lang w:val="zh-CN"/>
        </w:rPr>
      </w:pPr>
      <w:r>
        <w:rPr>
          <w:rFonts w:hint="eastAsia" w:ascii="宋体" w:hAnsi="宋体" w:cs="宋体"/>
          <w:kern w:val="0"/>
          <w:lang w:val="zh-CN"/>
        </w:rPr>
        <w:t>投标人承诺函……………………………………………………所在页码</w:t>
      </w:r>
    </w:p>
    <w:p>
      <w:pPr>
        <w:numPr>
          <w:ilvl w:val="0"/>
          <w:numId w:val="13"/>
        </w:numPr>
        <w:autoSpaceDE w:val="0"/>
        <w:autoSpaceDN w:val="0"/>
        <w:spacing w:line="360" w:lineRule="auto"/>
        <w:rPr>
          <w:rFonts w:ascii="宋体" w:hAnsi="宋体" w:cs="宋体"/>
          <w:kern w:val="0"/>
          <w:lang w:val="zh-CN"/>
        </w:rPr>
      </w:pPr>
      <w:r>
        <w:rPr>
          <w:rFonts w:hint="eastAsia" w:ascii="宋体" w:hAnsi="宋体" w:cs="宋体"/>
          <w:kern w:val="0"/>
          <w:lang w:val="zh-CN"/>
        </w:rPr>
        <w:t>投标人诚信承诺书………………………………………………所在页码</w:t>
      </w:r>
    </w:p>
    <w:p>
      <w:pPr>
        <w:numPr>
          <w:ilvl w:val="0"/>
          <w:numId w:val="13"/>
        </w:numPr>
        <w:autoSpaceDE w:val="0"/>
        <w:autoSpaceDN w:val="0"/>
        <w:spacing w:line="360" w:lineRule="auto"/>
        <w:rPr>
          <w:rFonts w:ascii="宋体" w:hAnsi="宋体" w:cs="宋体"/>
          <w:kern w:val="0"/>
          <w:lang w:val="zh-CN"/>
        </w:rPr>
      </w:pPr>
      <w:r>
        <w:rPr>
          <w:rFonts w:hint="eastAsia" w:ascii="宋体" w:hAnsi="宋体" w:cs="宋体"/>
          <w:kern w:val="0"/>
          <w:lang w:val="zh-CN"/>
        </w:rPr>
        <w:t>资格证明材料……………………………………………………所在页码</w:t>
      </w:r>
    </w:p>
    <w:p>
      <w:pPr>
        <w:numPr>
          <w:ilvl w:val="0"/>
          <w:numId w:val="13"/>
        </w:numPr>
        <w:autoSpaceDE w:val="0"/>
        <w:autoSpaceDN w:val="0"/>
        <w:spacing w:line="360" w:lineRule="auto"/>
        <w:rPr>
          <w:rFonts w:ascii="宋体" w:hAns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13"/>
        </w:numPr>
        <w:autoSpaceDE w:val="0"/>
        <w:autoSpaceDN w:val="0"/>
        <w:spacing w:line="360" w:lineRule="auto"/>
        <w:rPr>
          <w:rFonts w:ascii="宋体" w:hAnsi="宋体" w:cs="宋体"/>
          <w:kern w:val="0"/>
          <w:lang w:val="zh-CN"/>
        </w:rPr>
      </w:pPr>
      <w:r>
        <w:rPr>
          <w:rFonts w:hint="eastAsia" w:ascii="宋体" w:hAnsi="宋体" w:cs="宋体"/>
          <w:kern w:val="0"/>
          <w:lang w:val="zh-CN"/>
        </w:rPr>
        <w:t>具备履行合同所必需的设备和专业技术能力的证明材料……所在页码</w:t>
      </w:r>
    </w:p>
    <w:p>
      <w:pPr>
        <w:numPr>
          <w:ilvl w:val="0"/>
          <w:numId w:val="13"/>
        </w:numPr>
        <w:autoSpaceDE w:val="0"/>
        <w:autoSpaceDN w:val="0"/>
        <w:spacing w:line="360" w:lineRule="auto"/>
        <w:rPr>
          <w:rFonts w:ascii="宋体" w:hAnsi="宋体" w:cs="宋体"/>
          <w:kern w:val="0"/>
          <w:lang w:val="zh-CN"/>
        </w:rPr>
      </w:pPr>
      <w:r>
        <w:rPr>
          <w:rFonts w:hint="eastAsia" w:ascii="宋体" w:hAnsi="宋体" w:cs="宋体"/>
          <w:kern w:val="0"/>
          <w:lang w:val="zh-CN"/>
        </w:rPr>
        <w:t>无重大违法记录声明……………………………………………所在页码</w:t>
      </w:r>
    </w:p>
    <w:bookmarkEnd w:id="55"/>
    <w:bookmarkEnd w:id="56"/>
    <w:p>
      <w:pPr>
        <w:pStyle w:val="30"/>
        <w:spacing w:before="0" w:after="0" w:line="360" w:lineRule="auto"/>
        <w:jc w:val="left"/>
        <w:outlineLvl w:val="1"/>
        <w:rPr>
          <w:rFonts w:ascii="宋体" w:hAnsi="宋体" w:cs="宋体"/>
          <w:lang w:val="zh-CN"/>
        </w:rPr>
      </w:pPr>
      <w:bookmarkStart w:id="57" w:name="_Toc19582"/>
      <w:r>
        <w:rPr>
          <w:rFonts w:hint="eastAsia" w:ascii="宋体" w:hAnsi="宋体" w:cs="宋体"/>
          <w:sz w:val="30"/>
          <w:szCs w:val="30"/>
          <w:lang w:val="zh-CN"/>
        </w:rPr>
        <w:br w:type="page"/>
      </w:r>
      <w:bookmarkStart w:id="58" w:name="_Toc78187944"/>
      <w:r>
        <w:rPr>
          <w:rFonts w:hint="eastAsia" w:ascii="宋体" w:hAnsi="宋体" w:cs="宋体"/>
          <w:sz w:val="30"/>
          <w:szCs w:val="30"/>
        </w:rPr>
        <w:t>（1）</w:t>
      </w:r>
      <w:r>
        <w:rPr>
          <w:rFonts w:hint="eastAsia" w:ascii="宋体" w:hAnsi="宋体" w:cs="宋体"/>
          <w:sz w:val="30"/>
          <w:szCs w:val="30"/>
          <w:lang w:val="zh-CN"/>
        </w:rPr>
        <w:t>投标函</w:t>
      </w:r>
      <w:bookmarkEnd w:id="57"/>
      <w:bookmarkEnd w:id="58"/>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u w:val="single"/>
          <w:shd w:val="clear" w:color="auto" w:fill="FFFFFF"/>
        </w:rPr>
        <w:t xml:space="preserve"> </w:t>
      </w:r>
      <w:r>
        <w:rPr>
          <w:rFonts w:ascii="宋体" w:hAnsi="宋体" w:cs="宋体"/>
          <w:u w:val="single"/>
          <w:shd w:val="clear" w:color="auto" w:fill="FFFFFF"/>
        </w:rPr>
        <w:t xml:space="preserve">   </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年   月   日</w:t>
      </w:r>
    </w:p>
    <w:p>
      <w:pPr>
        <w:pStyle w:val="30"/>
        <w:spacing w:before="0" w:after="0" w:line="360" w:lineRule="auto"/>
        <w:jc w:val="left"/>
        <w:outlineLvl w:val="1"/>
        <w:rPr>
          <w:rFonts w:ascii="宋体" w:hAnsi="宋体" w:cs="宋体"/>
        </w:rPr>
      </w:pPr>
      <w:r>
        <w:rPr>
          <w:rFonts w:hint="eastAsia" w:ascii="宋体" w:hAnsi="宋体" w:cs="宋体"/>
          <w:b w:val="0"/>
          <w:bCs w:val="0"/>
          <w:kern w:val="0"/>
          <w:sz w:val="24"/>
          <w:lang w:val="zh-CN"/>
        </w:rPr>
        <w:br w:type="page"/>
      </w:r>
      <w:bookmarkStart w:id="59" w:name="_Toc78187945"/>
      <w:bookmarkStart w:id="60"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59"/>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现任我单位职务，为法定代表人，特此证明。</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性别：</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年龄： </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民族：</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地址：</w:t>
      </w:r>
    </w:p>
    <w:p>
      <w:pPr>
        <w:autoSpaceDE w:val="0"/>
        <w:autoSpaceDN w:val="0"/>
        <w:spacing w:line="360" w:lineRule="auto"/>
        <w:rPr>
          <w:rFonts w:ascii="宋体" w:hAnsi="宋体" w:cs="宋体"/>
          <w:kern w:val="0"/>
          <w:lang w:val="zh-CN"/>
        </w:rPr>
      </w:pPr>
      <w:r>
        <w:rPr>
          <w:rFonts w:hint="eastAsia" w:ascii="宋体" w:hAnsi="宋体" w:cs="宋体"/>
          <w:kern w:val="0"/>
          <w:lang w:val="zh-CN"/>
        </w:rPr>
        <w:t>身份证号码：</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pStyle w:val="30"/>
        <w:spacing w:before="0" w:after="0" w:line="360" w:lineRule="auto"/>
        <w:jc w:val="left"/>
        <w:outlineLvl w:val="1"/>
        <w:rPr>
          <w:rFonts w:ascii="宋体" w:hAnsi="宋体" w:cs="宋体"/>
          <w:lang w:val="zh-CN"/>
        </w:rPr>
      </w:pPr>
      <w:r>
        <w:rPr>
          <w:rFonts w:hint="eastAsia" w:ascii="宋体" w:hAnsi="宋体" w:cs="宋体"/>
          <w:lang w:val="zh-CN"/>
        </w:rPr>
        <w:br w:type="page"/>
      </w:r>
      <w:bookmarkEnd w:id="60"/>
      <w:bookmarkStart w:id="61" w:name="_Toc78187946"/>
      <w:bookmarkStart w:id="62" w:name="_Toc17284"/>
      <w:r>
        <w:rPr>
          <w:rFonts w:hint="eastAsia" w:ascii="宋体" w:hAnsi="宋体" w:cs="宋体"/>
          <w:sz w:val="30"/>
          <w:szCs w:val="30"/>
        </w:rPr>
        <w:t>（3）</w:t>
      </w:r>
      <w:r>
        <w:rPr>
          <w:rFonts w:hint="eastAsia" w:ascii="宋体" w:hAnsi="宋体" w:cs="宋体"/>
          <w:sz w:val="30"/>
          <w:szCs w:val="30"/>
          <w:lang w:val="zh-CN"/>
        </w:rPr>
        <w:t>法定代表人授权书</w:t>
      </w:r>
      <w:bookmarkEnd w:id="61"/>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hAnsi="宋体" w:cs="宋体"/>
          <w:kern w:val="0"/>
          <w:lang w:val="zh-CN"/>
        </w:rPr>
      </w:pP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p>
    <w:p>
      <w:pPr>
        <w:autoSpaceDE w:val="0"/>
        <w:autoSpaceDN w:val="0"/>
        <w:spacing w:line="360" w:lineRule="auto"/>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pPr>
        <w:autoSpaceDE w:val="0"/>
        <w:autoSpaceDN w:val="0"/>
        <w:spacing w:line="360" w:lineRule="auto"/>
        <w:rPr>
          <w:rFonts w:ascii="宋体" w:hAnsi="宋体" w:cs="宋体"/>
          <w:kern w:val="0"/>
          <w:lang w:val="zh-CN"/>
        </w:rPr>
      </w:pP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被授权人联系电话：</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被授权人（委托代理人）签字：  授权人（法定代表人）签字：</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职务：  职务：</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        （签字或盖章）</w:t>
      </w: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年   月   日</w:t>
      </w:r>
    </w:p>
    <w:p>
      <w:pPr>
        <w:autoSpaceDE w:val="0"/>
        <w:autoSpaceDN w:val="0"/>
        <w:spacing w:line="360" w:lineRule="auto"/>
        <w:rPr>
          <w:rFonts w:ascii="宋体" w:hAnsi="宋体" w:cs="宋体"/>
          <w:kern w:val="0"/>
          <w:lang w:val="zh-CN"/>
        </w:rPr>
      </w:pPr>
    </w:p>
    <w:p>
      <w:pPr>
        <w:pStyle w:val="30"/>
        <w:spacing w:before="0" w:after="0" w:line="360" w:lineRule="auto"/>
        <w:jc w:val="left"/>
        <w:outlineLvl w:val="1"/>
        <w:rPr>
          <w:rFonts w:ascii="宋体" w:hAnsi="宋体" w:cs="宋体"/>
          <w:lang w:val="zh-CN"/>
        </w:rPr>
      </w:pPr>
      <w:r>
        <w:rPr>
          <w:rFonts w:hint="eastAsia" w:ascii="宋体" w:hAnsi="宋体" w:cs="宋体"/>
          <w:lang w:val="zh-CN"/>
        </w:rPr>
        <w:br w:type="page"/>
      </w:r>
      <w:bookmarkStart w:id="63" w:name="_Toc78187947"/>
      <w:r>
        <w:rPr>
          <w:rFonts w:hint="eastAsia" w:ascii="宋体" w:hAnsi="宋体" w:cs="宋体"/>
          <w:sz w:val="30"/>
          <w:szCs w:val="30"/>
        </w:rPr>
        <w:t>（4）</w:t>
      </w:r>
      <w:r>
        <w:rPr>
          <w:rFonts w:hint="eastAsia" w:ascii="宋体" w:hAnsi="宋体" w:cs="宋体"/>
          <w:sz w:val="30"/>
          <w:szCs w:val="30"/>
          <w:lang w:val="zh-CN"/>
        </w:rPr>
        <w:t>投标人承诺函</w:t>
      </w:r>
      <w:bookmarkEnd w:id="63"/>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关于贵方20</w:t>
      </w:r>
      <w:r>
        <w:rPr>
          <w:rFonts w:hint="eastAsia" w:ascii="宋体" w:hAnsi="宋体" w:cs="宋体"/>
          <w:kern w:val="0"/>
        </w:rPr>
        <w:t>2</w:t>
      </w:r>
      <w:r>
        <w:rPr>
          <w:rFonts w:hint="eastAsia" w:ascii="宋体" w:hAnsi="宋体" w:cs="宋体"/>
          <w:kern w:val="0"/>
          <w:lang w:val="en-US" w:eastAsia="zh-CN"/>
        </w:rPr>
        <w:t>3</w:t>
      </w:r>
      <w:r>
        <w:rPr>
          <w:rFonts w:hint="eastAsia" w:ascii="宋体" w:hAnsi="宋体" w:cs="宋体"/>
          <w:kern w:val="0"/>
          <w:lang w:val="zh-CN"/>
        </w:rPr>
        <w:t xml:space="preserve">年 </w:t>
      </w:r>
      <w:r>
        <w:rPr>
          <w:rFonts w:ascii="宋体" w:hAnsi="宋体" w:cs="宋体"/>
          <w:kern w:val="0"/>
          <w:lang w:val="zh-CN"/>
        </w:rPr>
        <w:t xml:space="preserve"> </w:t>
      </w:r>
      <w:r>
        <w:rPr>
          <w:rFonts w:hint="eastAsia" w:ascii="宋体" w:hAnsi="宋体" w:cs="宋体"/>
          <w:kern w:val="0"/>
          <w:lang w:val="zh-CN"/>
        </w:rPr>
        <w:t xml:space="preserve">月 </w:t>
      </w:r>
      <w:r>
        <w:rPr>
          <w:rFonts w:ascii="宋体" w:hAnsi="宋体" w:cs="宋体"/>
          <w:kern w:val="0"/>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kern w:val="0"/>
          <w:lang w:val="zh-CN"/>
        </w:rPr>
      </w:pPr>
      <w:r>
        <w:rPr>
          <w:rFonts w:hint="eastAsia" w:ascii="宋体" w:hAnsi="宋体" w:cs="宋体"/>
          <w:kern w:val="0"/>
          <w:lang w:val="zh-CN"/>
        </w:rPr>
        <w:t>1.完全理解和接受招标文件的一切规定和要求；</w:t>
      </w:r>
    </w:p>
    <w:p>
      <w:pPr>
        <w:autoSpaceDE w:val="0"/>
        <w:autoSpaceDN w:val="0"/>
        <w:spacing w:line="360" w:lineRule="auto"/>
        <w:rPr>
          <w:rFonts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ascii="宋体" w:hAnsi="宋体" w:cs="宋体"/>
          <w:kern w:val="0"/>
        </w:rPr>
      </w:pPr>
      <w:r>
        <w:rPr>
          <w:rFonts w:hint="eastAsia" w:ascii="宋体" w:hAnsi="宋体" w:cs="宋体"/>
          <w:kern w:val="0"/>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6.若中标，本承诺将成为合同不可分割的一部分，与合同具有同等的法律效力。</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pStyle w:val="30"/>
        <w:spacing w:before="0" w:after="0" w:line="360" w:lineRule="auto"/>
        <w:jc w:val="left"/>
        <w:outlineLvl w:val="1"/>
        <w:rPr>
          <w:rFonts w:ascii="宋体" w:hAnsi="宋体" w:cs="宋体"/>
          <w:lang w:val="zh-CN"/>
        </w:rPr>
      </w:pPr>
      <w:r>
        <w:rPr>
          <w:rFonts w:hint="eastAsia" w:ascii="宋体" w:hAnsi="宋体" w:cs="宋体"/>
          <w:lang w:val="zh-CN"/>
        </w:rPr>
        <w:br w:type="page"/>
      </w:r>
      <w:bookmarkStart w:id="64" w:name="_Toc78187948"/>
      <w:r>
        <w:rPr>
          <w:rFonts w:hint="eastAsia" w:ascii="宋体" w:hAnsi="宋体" w:cs="宋体"/>
          <w:sz w:val="30"/>
          <w:szCs w:val="30"/>
        </w:rPr>
        <w:t>（5）</w:t>
      </w:r>
      <w:r>
        <w:rPr>
          <w:rFonts w:hint="eastAsia" w:ascii="宋体" w:hAnsi="宋体" w:cs="宋体"/>
          <w:sz w:val="30"/>
          <w:szCs w:val="30"/>
          <w:lang w:val="zh-CN"/>
        </w:rPr>
        <w:t>投标人诚信承诺书</w:t>
      </w:r>
      <w:bookmarkEnd w:id="64"/>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pStyle w:val="30"/>
        <w:spacing w:before="0" w:after="0" w:line="360" w:lineRule="auto"/>
        <w:jc w:val="left"/>
        <w:outlineLvl w:val="1"/>
        <w:rPr>
          <w:rFonts w:ascii="宋体" w:hAnsi="宋体" w:cs="宋体"/>
          <w:lang w:val="zh-CN"/>
        </w:rPr>
      </w:pPr>
      <w:r>
        <w:rPr>
          <w:rFonts w:hint="eastAsia" w:ascii="宋体" w:hAnsi="宋体" w:cs="宋体"/>
          <w:kern w:val="0"/>
          <w:sz w:val="24"/>
          <w:lang w:val="zh-CN"/>
        </w:rPr>
        <w:br w:type="page"/>
      </w:r>
      <w:bookmarkEnd w:id="62"/>
      <w:bookmarkStart w:id="65" w:name="_Toc78187949"/>
      <w:bookmarkStart w:id="66" w:name="_Toc8344"/>
      <w:r>
        <w:rPr>
          <w:rFonts w:hint="eastAsia" w:ascii="宋体" w:hAnsi="宋体" w:cs="宋体"/>
          <w:sz w:val="30"/>
          <w:szCs w:val="30"/>
        </w:rPr>
        <w:t>（6）</w:t>
      </w:r>
      <w:r>
        <w:rPr>
          <w:rFonts w:hint="eastAsia" w:ascii="宋体" w:hAnsi="宋体" w:cs="宋体"/>
          <w:sz w:val="30"/>
          <w:szCs w:val="30"/>
          <w:lang w:val="zh-CN"/>
        </w:rPr>
        <w:t>资格证明材料</w:t>
      </w:r>
      <w:bookmarkEnd w:id="65"/>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ascii="宋体" w:hAnsi="宋体" w:cs="宋体"/>
          <w:kern w:val="0"/>
          <w:sz w:val="28"/>
          <w:szCs w:val="28"/>
          <w:lang w:val="zh-CN"/>
        </w:rPr>
      </w:pPr>
    </w:p>
    <w:p>
      <w:pPr>
        <w:spacing w:line="360" w:lineRule="auto"/>
        <w:ind w:firstLine="480" w:firstLineChars="200"/>
        <w:rPr>
          <w:rFonts w:ascii="宋体" w:hAnsi="宋体" w:cs="宋体"/>
        </w:rPr>
      </w:pPr>
      <w:r>
        <w:rPr>
          <w:rFonts w:hint="eastAsia" w:ascii="宋体" w:hAnsi="宋体" w:cs="宋体"/>
        </w:rPr>
        <w:t>资格证明材料包括：</w:t>
      </w:r>
    </w:p>
    <w:p>
      <w:pPr>
        <w:numPr>
          <w:ilvl w:val="0"/>
          <w:numId w:val="14"/>
        </w:numPr>
        <w:spacing w:line="360" w:lineRule="auto"/>
        <w:ind w:firstLine="480"/>
        <w:rPr>
          <w:rFonts w:ascii="宋体" w:hAnsi="宋体" w:cs="宋体"/>
        </w:rPr>
      </w:pPr>
      <w:r>
        <w:rPr>
          <w:rFonts w:hint="eastAsia" w:ascii="宋体" w:hAnsi="宋体" w:cs="宋体"/>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rPr>
      </w:pPr>
      <w:r>
        <w:rPr>
          <w:rFonts w:hint="eastAsia" w:ascii="宋体" w:hAnsi="宋体" w:cs="宋体"/>
        </w:rPr>
        <w:t>（2）招标文件规定的有关资格证书、许可证书、认证等（提供复印件加盖本单位公章）；</w:t>
      </w:r>
    </w:p>
    <w:p>
      <w:pPr>
        <w:spacing w:line="360" w:lineRule="auto"/>
        <w:ind w:firstLine="480" w:firstLineChars="200"/>
        <w:rPr>
          <w:rFonts w:ascii="宋体" w:hAnsi="宋体" w:cs="宋体"/>
        </w:rPr>
      </w:pPr>
      <w:r>
        <w:rPr>
          <w:rFonts w:hint="eastAsia" w:ascii="宋体" w:hAnsi="宋体" w:cs="宋体"/>
        </w:rPr>
        <w:t>（3）投标人认为有必要提供的其他资格证明文件。</w:t>
      </w:r>
    </w:p>
    <w:p>
      <w:pPr>
        <w:autoSpaceDE w:val="0"/>
        <w:autoSpaceDN w:val="0"/>
        <w:spacing w:line="360" w:lineRule="auto"/>
        <w:ind w:firstLine="600" w:firstLineChars="250"/>
        <w:rPr>
          <w:rFonts w:ascii="宋体" w:hAnsi="宋体" w:cs="宋体"/>
          <w:kern w:val="0"/>
        </w:rPr>
      </w:pPr>
    </w:p>
    <w:p>
      <w:pPr>
        <w:pStyle w:val="30"/>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7" w:name="_Toc78187950"/>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67"/>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1、投标人</w:t>
      </w:r>
      <w:r>
        <w:rPr>
          <w:rFonts w:hint="eastAsia"/>
        </w:rPr>
        <w:t>提供经第三方出具的20</w:t>
      </w:r>
      <w:r>
        <w:t>2</w:t>
      </w:r>
      <w:r>
        <w:rPr>
          <w:rFonts w:hint="eastAsia"/>
          <w:lang w:val="en-US" w:eastAsia="zh-CN"/>
        </w:rPr>
        <w:t>1</w:t>
      </w:r>
      <w:r>
        <w:rPr>
          <w:rFonts w:hint="eastAsia"/>
        </w:rPr>
        <w:t>年度或2</w:t>
      </w:r>
      <w:r>
        <w:t>02</w:t>
      </w:r>
      <w:r>
        <w:rPr>
          <w:rFonts w:hint="eastAsia"/>
          <w:lang w:val="en-US" w:eastAsia="zh-CN"/>
        </w:rPr>
        <w:t>2</w:t>
      </w:r>
      <w:r>
        <w:rPr>
          <w:rFonts w:hint="eastAsia"/>
        </w:rPr>
        <w:t>年度财务状况审计报告</w:t>
      </w:r>
      <w:r>
        <w:rPr>
          <w:rFonts w:hint="eastAsia" w:ascii="宋体" w:hAnsi="宋体" w:cs="宋体"/>
          <w:kern w:val="0"/>
          <w:lang w:val="zh-CN"/>
        </w:rPr>
        <w:t>（扫描或复印件应全面、完整、清晰），包括资产负债表、现金流量表、利润表和财务（会计）报表附注,并提供第三方机构的营业执照、执业证书。（注册时间至文件递交截止日不足一年的提供在工商备案的公司章程或银行资信证明）</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w:t>
      </w:r>
      <w:r>
        <w:rPr>
          <w:rFonts w:hint="eastAsia" w:ascii="宋体" w:hAnsi="Calibri" w:cs="宋体"/>
          <w:kern w:val="0"/>
          <w:lang w:val="zh-CN"/>
        </w:rPr>
        <w:t>提供</w:t>
      </w:r>
      <w:r>
        <w:rPr>
          <w:rFonts w:ascii="宋体" w:hAnsi="Calibri" w:cs="宋体"/>
          <w:kern w:val="0"/>
          <w:lang w:val="zh-CN"/>
        </w:rPr>
        <w:t>202</w:t>
      </w:r>
      <w:r>
        <w:rPr>
          <w:rFonts w:hint="eastAsia" w:ascii="宋体" w:hAnsi="Calibri" w:cs="宋体"/>
          <w:kern w:val="0"/>
          <w:lang w:val="en-US" w:eastAsia="zh-CN"/>
        </w:rPr>
        <w:t>2</w:t>
      </w:r>
      <w:r>
        <w:rPr>
          <w:rFonts w:ascii="宋体" w:hAnsi="Calibri" w:cs="宋体"/>
          <w:kern w:val="0"/>
          <w:lang w:val="zh-CN"/>
        </w:rPr>
        <w:t>年</w:t>
      </w:r>
      <w:r>
        <w:rPr>
          <w:rFonts w:hint="eastAsia" w:ascii="宋体" w:hAnsi="Calibri" w:cs="宋体"/>
          <w:kern w:val="0"/>
          <w:lang w:val="zh-CN"/>
        </w:rPr>
        <w:t>1</w:t>
      </w:r>
      <w:r>
        <w:rPr>
          <w:rFonts w:ascii="宋体" w:hAnsi="Calibri" w:cs="宋体"/>
          <w:kern w:val="0"/>
          <w:lang w:val="zh-CN"/>
        </w:rPr>
        <w:t>1月至</w:t>
      </w:r>
      <w:r>
        <w:rPr>
          <w:rFonts w:hint="eastAsia" w:ascii="宋体" w:hAnsi="Calibri" w:cs="宋体"/>
          <w:kern w:val="0"/>
          <w:lang w:val="zh-CN"/>
        </w:rPr>
        <w:t>2</w:t>
      </w:r>
      <w:r>
        <w:rPr>
          <w:rFonts w:ascii="宋体" w:hAnsi="Calibri" w:cs="宋体"/>
          <w:kern w:val="0"/>
          <w:lang w:val="zh-CN"/>
        </w:rPr>
        <w:t>02</w:t>
      </w:r>
      <w:r>
        <w:rPr>
          <w:rFonts w:hint="eastAsia" w:ascii="宋体" w:hAnsi="Calibri" w:cs="宋体"/>
          <w:kern w:val="0"/>
          <w:lang w:val="en-US" w:eastAsia="zh-CN"/>
        </w:rPr>
        <w:t>3</w:t>
      </w:r>
      <w:r>
        <w:rPr>
          <w:rFonts w:ascii="宋体" w:hAnsi="Calibri" w:cs="宋体"/>
          <w:kern w:val="0"/>
          <w:lang w:val="zh-CN"/>
        </w:rPr>
        <w:t>年</w:t>
      </w:r>
      <w:r>
        <w:rPr>
          <w:rFonts w:hint="eastAsia" w:ascii="宋体" w:hAnsi="Calibri" w:cs="宋体"/>
          <w:kern w:val="0"/>
          <w:lang w:val="zh-CN"/>
        </w:rPr>
        <w:t>04月任意3个月</w:t>
      </w:r>
      <w:r>
        <w:rPr>
          <w:rFonts w:hint="eastAsia" w:ascii="宋体" w:hAnsi="宋体" w:cs="宋体"/>
          <w:kern w:val="0"/>
          <w:lang w:val="zh-CN"/>
        </w:rPr>
        <w:t>的依法缴纳税收和社会保障资金记录的证明材料；依法免税或不需要缴纳社会保障资金的投标人须提供相应文件证明其依法免税或不需要缴纳社会保障资金。</w:t>
      </w:r>
    </w:p>
    <w:p>
      <w:pPr>
        <w:pStyle w:val="30"/>
        <w:spacing w:before="0" w:after="0" w:line="360" w:lineRule="auto"/>
        <w:jc w:val="left"/>
        <w:outlineLvl w:val="1"/>
        <w:rPr>
          <w:rFonts w:ascii="宋体" w:hAnsi="宋体" w:cs="宋体"/>
        </w:rPr>
      </w:pPr>
      <w:r>
        <w:rPr>
          <w:rFonts w:hint="eastAsia" w:ascii="宋体" w:hAnsi="宋体" w:cs="宋体"/>
          <w:kern w:val="0"/>
          <w:sz w:val="24"/>
          <w:lang w:val="zh-CN"/>
        </w:rPr>
        <w:br w:type="page"/>
      </w:r>
      <w:bookmarkEnd w:id="66"/>
      <w:bookmarkStart w:id="68" w:name="_Toc78187951"/>
      <w:bookmarkStart w:id="69"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68"/>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或用工合同等证明材料。</w:t>
      </w:r>
    </w:p>
    <w:p>
      <w:pPr>
        <w:pStyle w:val="30"/>
        <w:spacing w:before="0" w:after="0" w:line="360" w:lineRule="auto"/>
        <w:jc w:val="both"/>
        <w:outlineLvl w:val="1"/>
        <w:rPr>
          <w:rFonts w:ascii="宋体" w:hAnsi="宋体" w:cs="宋体"/>
        </w:rPr>
      </w:pPr>
      <w:r>
        <w:rPr>
          <w:rFonts w:hint="eastAsia" w:ascii="宋体" w:hAnsi="宋体" w:cs="宋体"/>
          <w:kern w:val="0"/>
          <w:sz w:val="24"/>
          <w:lang w:val="zh-CN"/>
        </w:rPr>
        <w:br w:type="page"/>
      </w:r>
      <w:bookmarkStart w:id="70" w:name="_Toc78187952"/>
      <w:r>
        <w:rPr>
          <w:rFonts w:hint="eastAsia" w:ascii="宋体" w:hAnsi="宋体" w:cs="宋体"/>
          <w:sz w:val="30"/>
          <w:szCs w:val="30"/>
        </w:rPr>
        <w:t>（9）</w:t>
      </w:r>
      <w:r>
        <w:rPr>
          <w:rFonts w:hint="eastAsia" w:ascii="宋体" w:hAnsi="宋体" w:cs="宋体"/>
          <w:sz w:val="30"/>
          <w:szCs w:val="30"/>
          <w:lang w:val="zh-CN"/>
        </w:rPr>
        <w:t>无重大违法记录声明</w:t>
      </w:r>
      <w:bookmarkEnd w:id="70"/>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hAnsi="宋体" w:cs="宋体"/>
          <w:b/>
          <w:bCs/>
          <w:sz w:val="28"/>
          <w:szCs w:val="28"/>
        </w:rPr>
      </w:pPr>
    </w:p>
    <w:p>
      <w:pPr>
        <w:spacing w:line="360" w:lineRule="auto"/>
        <w:rPr>
          <w:rFonts w:ascii="宋体" w:hAnsi="宋体" w:cs="宋体"/>
          <w:b/>
          <w:bCs/>
        </w:rPr>
      </w:pPr>
      <w:r>
        <w:rPr>
          <w:rFonts w:hint="eastAsia" w:ascii="宋体" w:hAnsi="宋体" w:cs="宋体"/>
          <w:b/>
          <w:bCs/>
        </w:rPr>
        <w:t>致：</w:t>
      </w:r>
      <w:r>
        <w:rPr>
          <w:rFonts w:hint="eastAsia" w:ascii="宋体" w:hAnsi="宋体" w:cs="宋体"/>
          <w:b/>
          <w:bCs/>
          <w:kern w:val="0"/>
          <w:lang w:val="zh-CN"/>
        </w:rPr>
        <w:t>采购代理机构</w:t>
      </w:r>
    </w:p>
    <w:p>
      <w:pPr>
        <w:spacing w:line="36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我单位参加本次政府采购项目活动前三年内，在经营活动中无重大违法活动记录，符合《政府采购法》规定的投标人资格条</w:t>
      </w:r>
      <w:r>
        <w:rPr>
          <w:rFonts w:hint="eastAsia" w:ascii="宋体" w:hAnsi="宋体" w:cs="宋体"/>
          <w:shd w:val="clear" w:color="auto" w:fill="FFFFFF"/>
        </w:rPr>
        <w:t>件。我方对此声明负全部法律责任。</w:t>
      </w:r>
    </w:p>
    <w:p>
      <w:pPr>
        <w:spacing w:line="360" w:lineRule="auto"/>
        <w:ind w:firstLine="480" w:firstLineChars="200"/>
        <w:rPr>
          <w:rFonts w:ascii="宋体" w:hAnsi="宋体" w:cs="宋体"/>
        </w:rPr>
      </w:pPr>
      <w:r>
        <w:rPr>
          <w:rFonts w:hint="eastAsia" w:ascii="宋体" w:hAnsi="宋体" w:cs="宋体"/>
        </w:rPr>
        <w:t>特此声明。</w:t>
      </w:r>
    </w:p>
    <w:p>
      <w:pPr>
        <w:autoSpaceDE w:val="0"/>
        <w:autoSpaceDN w:val="0"/>
        <w:spacing w:line="360" w:lineRule="auto"/>
        <w:jc w:val="left"/>
        <w:rPr>
          <w:rFonts w:ascii="宋体" w:hAnsi="宋体" w:cs="宋体"/>
          <w:kern w:val="0"/>
          <w:lang w:val="zh-CN"/>
        </w:rPr>
      </w:pPr>
    </w:p>
    <w:p>
      <w:pPr>
        <w:autoSpaceDE w:val="0"/>
        <w:autoSpaceDN w:val="0"/>
        <w:spacing w:line="360" w:lineRule="auto"/>
        <w:ind w:firstLine="720" w:firstLineChars="300"/>
        <w:jc w:val="left"/>
        <w:rPr>
          <w:rFonts w:ascii="宋体" w:hAnsi="宋体" w:cs="宋体"/>
          <w:kern w:val="0"/>
          <w:lang w:val="zh-CN"/>
        </w:rPr>
      </w:pPr>
      <w:r>
        <w:rPr>
          <w:rFonts w:hint="eastAsia" w:ascii="宋体" w:hAnsi="宋体" w:cs="宋体"/>
          <w:kern w:val="0"/>
          <w:lang w:val="zh-CN"/>
        </w:rPr>
        <w:t>附“信用中国”、“中国政府采购网”网站查询截图，时间为投标截止时间前20天内。</w:t>
      </w: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投标人：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年   月   日</w:t>
      </w: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kern w:val="0"/>
          <w:lang w:val="zh-CN"/>
        </w:rPr>
      </w:pPr>
    </w:p>
    <w:p>
      <w:pPr>
        <w:pStyle w:val="30"/>
        <w:spacing w:before="0" w:after="0" w:line="360" w:lineRule="auto"/>
        <w:jc w:val="left"/>
        <w:outlineLvl w:val="1"/>
        <w:rPr>
          <w:rFonts w:ascii="宋体" w:hAnsi="宋体" w:cs="宋体"/>
          <w:kern w:val="0"/>
          <w:szCs w:val="36"/>
          <w:lang w:val="zh-CN"/>
        </w:rPr>
      </w:pPr>
      <w:r>
        <w:rPr>
          <w:rFonts w:hint="eastAsia" w:ascii="宋体" w:hAnsi="宋体" w:cs="宋体"/>
          <w:lang w:val="zh-CN"/>
        </w:rPr>
        <w:br w:type="page"/>
      </w:r>
      <w:bookmarkEnd w:id="69"/>
      <w:bookmarkStart w:id="71" w:name="_Toc78187953"/>
      <w:r>
        <w:rPr>
          <w:rFonts w:hint="eastAsia" w:ascii="宋体" w:hAnsi="宋体" w:cs="宋体"/>
          <w:sz w:val="30"/>
          <w:szCs w:val="30"/>
          <w:lang w:val="zh-CN"/>
        </w:rPr>
        <w:t>（下册）</w:t>
      </w:r>
      <w:bookmarkEnd w:id="71"/>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hAns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法定代表人或委托代理人：（签字或盖章）</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p>
    <w:p>
      <w:pPr>
        <w:pStyle w:val="30"/>
        <w:spacing w:before="0" w:after="0" w:line="360" w:lineRule="auto"/>
        <w:jc w:val="left"/>
        <w:rPr>
          <w:rFonts w:ascii="宋体" w:hAnsi="宋体" w:cs="宋体"/>
          <w:lang w:val="zh-CN"/>
        </w:rPr>
      </w:pPr>
      <w:r>
        <w:rPr>
          <w:rFonts w:hint="eastAsia" w:ascii="宋体" w:hAnsi="宋体" w:cs="宋体"/>
          <w:b w:val="0"/>
          <w:bCs w:val="0"/>
          <w:kern w:val="0"/>
          <w:lang w:val="zh-CN"/>
        </w:rPr>
        <w:br w:type="page"/>
      </w:r>
      <w:bookmarkStart w:id="72" w:name="_Toc78187954"/>
      <w:r>
        <w:rPr>
          <w:rFonts w:hint="eastAsia" w:ascii="宋体" w:hAnsi="宋体" w:cs="宋体"/>
          <w:sz w:val="30"/>
          <w:szCs w:val="30"/>
          <w:lang w:val="zh-CN"/>
        </w:rPr>
        <w:t>目录（下册）</w:t>
      </w:r>
      <w:bookmarkEnd w:id="72"/>
    </w:p>
    <w:p>
      <w:pPr>
        <w:numPr>
          <w:ilvl w:val="0"/>
          <w:numId w:val="15"/>
        </w:numPr>
        <w:autoSpaceDE w:val="0"/>
        <w:autoSpaceDN w:val="0"/>
        <w:spacing w:line="360" w:lineRule="auto"/>
        <w:rPr>
          <w:rFonts w:ascii="宋体" w:hAnsi="宋体" w:cs="宋体"/>
          <w:kern w:val="0"/>
          <w:lang w:val="zh-CN"/>
        </w:rPr>
      </w:pPr>
      <w:r>
        <w:rPr>
          <w:rFonts w:hint="eastAsia" w:ascii="宋体" w:hAnsi="宋体" w:cs="宋体"/>
        </w:rPr>
        <w:t>评分对照表</w:t>
      </w:r>
      <w:r>
        <w:rPr>
          <w:rFonts w:hint="eastAsia" w:ascii="宋体" w:hAnsi="宋体" w:cs="宋体"/>
          <w:kern w:val="0"/>
          <w:lang w:val="zh-CN"/>
        </w:rPr>
        <w:t>………………………………………………………所在页码</w:t>
      </w:r>
    </w:p>
    <w:p>
      <w:pPr>
        <w:numPr>
          <w:ilvl w:val="0"/>
          <w:numId w:val="15"/>
        </w:numPr>
        <w:autoSpaceDE w:val="0"/>
        <w:autoSpaceDN w:val="0"/>
        <w:spacing w:line="360" w:lineRule="auto"/>
        <w:rPr>
          <w:rFonts w:ascii="宋体" w:hAnsi="宋体" w:cs="宋体"/>
          <w:kern w:val="0"/>
          <w:lang w:val="zh-CN"/>
        </w:rPr>
      </w:pPr>
      <w:r>
        <w:rPr>
          <w:rFonts w:hint="eastAsia" w:ascii="宋体" w:hAnsi="宋体" w:cs="宋体"/>
          <w:kern w:val="0"/>
          <w:lang w:val="zh-CN"/>
        </w:rPr>
        <w:t>开标一览表（报价表）…………………………………………所在页码</w:t>
      </w:r>
    </w:p>
    <w:p>
      <w:pPr>
        <w:numPr>
          <w:ilvl w:val="0"/>
          <w:numId w:val="15"/>
        </w:numPr>
        <w:autoSpaceDE w:val="0"/>
        <w:autoSpaceDN w:val="0"/>
        <w:spacing w:line="360" w:lineRule="auto"/>
        <w:rPr>
          <w:rFonts w:ascii="宋体" w:hAnsi="宋体" w:cs="宋体"/>
          <w:kern w:val="0"/>
          <w:lang w:val="zh-CN"/>
        </w:rPr>
      </w:pPr>
      <w:r>
        <w:rPr>
          <w:rFonts w:hint="eastAsia" w:ascii="宋体" w:hAnsi="宋体" w:cs="宋体"/>
          <w:kern w:val="0"/>
          <w:lang w:val="zh-CN"/>
        </w:rPr>
        <w:t>服务应答表………………………………………………………所在页码</w:t>
      </w:r>
    </w:p>
    <w:p>
      <w:pPr>
        <w:numPr>
          <w:ilvl w:val="0"/>
          <w:numId w:val="15"/>
        </w:numPr>
        <w:autoSpaceDE w:val="0"/>
        <w:autoSpaceDN w:val="0"/>
        <w:spacing w:line="360" w:lineRule="auto"/>
        <w:rPr>
          <w:rFonts w:ascii="宋体" w:hAnsi="宋体" w:cs="宋体"/>
          <w:kern w:val="0"/>
          <w:lang w:val="zh-CN"/>
        </w:rPr>
      </w:pPr>
      <w:r>
        <w:rPr>
          <w:rFonts w:hint="eastAsia" w:ascii="宋体" w:hAnsi="宋体" w:cs="宋体"/>
          <w:kern w:val="0"/>
          <w:lang w:val="zh-CN"/>
        </w:rPr>
        <w:t>投标服务相关资料………………………………………………所在页码</w:t>
      </w:r>
    </w:p>
    <w:p>
      <w:pPr>
        <w:numPr>
          <w:ilvl w:val="0"/>
          <w:numId w:val="15"/>
        </w:numPr>
        <w:autoSpaceDE w:val="0"/>
        <w:autoSpaceDN w:val="0"/>
        <w:spacing w:line="360" w:lineRule="auto"/>
        <w:rPr>
          <w:rFonts w:ascii="宋体" w:hAnsi="宋体" w:cs="宋体"/>
          <w:kern w:val="0"/>
          <w:lang w:val="zh-CN"/>
        </w:rPr>
      </w:pPr>
      <w:r>
        <w:rPr>
          <w:rFonts w:hint="eastAsia" w:ascii="宋体" w:hAnsi="宋体" w:cs="宋体"/>
          <w:kern w:val="0"/>
          <w:lang w:val="zh-CN"/>
        </w:rPr>
        <w:t>投标人的类似业绩证明材料……………………………………所在页码</w:t>
      </w:r>
    </w:p>
    <w:p>
      <w:pPr>
        <w:numPr>
          <w:ilvl w:val="0"/>
          <w:numId w:val="15"/>
        </w:numPr>
        <w:autoSpaceDE w:val="0"/>
        <w:autoSpaceDN w:val="0"/>
        <w:spacing w:line="360" w:lineRule="auto"/>
        <w:rPr>
          <w:rFonts w:ascii="宋体" w:hAnsi="宋体" w:cs="宋体"/>
          <w:kern w:val="0"/>
          <w:lang w:val="zh-CN"/>
        </w:rPr>
      </w:pPr>
      <w:r>
        <w:rPr>
          <w:rFonts w:hint="eastAsia" w:ascii="宋体" w:hAnsi="宋体" w:cs="宋体"/>
          <w:kern w:val="0"/>
          <w:lang w:val="zh-CN"/>
        </w:rPr>
        <w:t>投标人本项目团队配置人员情况………………………………所在页码</w:t>
      </w:r>
    </w:p>
    <w:p>
      <w:pPr>
        <w:numPr>
          <w:ilvl w:val="0"/>
          <w:numId w:val="15"/>
        </w:numPr>
        <w:autoSpaceDE w:val="0"/>
        <w:autoSpaceDN w:val="0"/>
        <w:spacing w:line="360" w:lineRule="auto"/>
        <w:rPr>
          <w:rFonts w:ascii="宋体" w:hAnsi="宋体" w:cs="宋体"/>
          <w:lang w:val="zh-CN"/>
        </w:rPr>
      </w:pPr>
      <w:r>
        <w:rPr>
          <w:rFonts w:hint="eastAsia" w:ascii="宋体" w:hAnsi="宋体" w:cs="宋体"/>
          <w:kern w:val="0"/>
          <w:lang w:val="zh-CN"/>
        </w:rPr>
        <w:t>中小企业声明函、残疾人福利性单位声明函、监狱企业……所在页码</w:t>
      </w:r>
    </w:p>
    <w:p>
      <w:pPr>
        <w:numPr>
          <w:ilvl w:val="0"/>
          <w:numId w:val="15"/>
        </w:numPr>
        <w:autoSpaceDE w:val="0"/>
        <w:autoSpaceDN w:val="0"/>
        <w:spacing w:line="360" w:lineRule="auto"/>
        <w:rPr>
          <w:rFonts w:ascii="宋体" w:hAnsi="宋体" w:cs="宋体"/>
          <w:lang w:val="zh-CN"/>
        </w:rPr>
      </w:pPr>
      <w:r>
        <w:rPr>
          <w:rFonts w:hint="eastAsia" w:ascii="宋体" w:hAnsi="宋体" w:cs="宋体"/>
          <w:kern w:val="0"/>
          <w:lang w:val="zh-CN"/>
        </w:rPr>
        <w:t>投标人认为在其他方面有必要说明的事项……………………所在页码</w:t>
      </w:r>
    </w:p>
    <w:p>
      <w:pPr>
        <w:pStyle w:val="30"/>
        <w:spacing w:before="0" w:after="0" w:line="360" w:lineRule="auto"/>
        <w:jc w:val="left"/>
        <w:outlineLvl w:val="1"/>
        <w:rPr>
          <w:rFonts w:ascii="宋体" w:hAnsi="宋体" w:cs="宋体"/>
          <w:sz w:val="30"/>
          <w:szCs w:val="30"/>
          <w:lang w:val="zh-CN"/>
        </w:rPr>
      </w:pPr>
      <w:r>
        <w:rPr>
          <w:rFonts w:hint="eastAsia" w:ascii="宋体" w:hAnsi="宋体" w:cs="宋体"/>
          <w:lang w:val="zh-CN"/>
        </w:rPr>
        <w:br w:type="page"/>
      </w:r>
      <w:bookmarkStart w:id="73" w:name="_Toc78187955"/>
      <w:r>
        <w:rPr>
          <w:rFonts w:hint="eastAsia" w:ascii="宋体" w:hAnsi="宋体" w:cs="宋体"/>
          <w:sz w:val="30"/>
          <w:szCs w:val="30"/>
        </w:rPr>
        <w:t>（1</w:t>
      </w:r>
      <w:r>
        <w:rPr>
          <w:rFonts w:ascii="宋体" w:hAnsi="宋体" w:cs="宋体"/>
          <w:sz w:val="30"/>
          <w:szCs w:val="30"/>
        </w:rPr>
        <w:t>0</w:t>
      </w:r>
      <w:r>
        <w:rPr>
          <w:rFonts w:hint="eastAsia" w:ascii="宋体" w:hAnsi="宋体" w:cs="宋体"/>
          <w:sz w:val="30"/>
          <w:szCs w:val="30"/>
        </w:rPr>
        <w:t>）</w:t>
      </w:r>
      <w:r>
        <w:rPr>
          <w:rFonts w:hint="eastAsia" w:ascii="宋体" w:hAnsi="宋体" w:cs="宋体"/>
          <w:sz w:val="30"/>
          <w:szCs w:val="30"/>
          <w:lang w:val="zh-CN"/>
        </w:rPr>
        <w:t>评分对照表</w:t>
      </w:r>
      <w:bookmarkEnd w:id="73"/>
    </w:p>
    <w:p>
      <w:pPr>
        <w:spacing w:line="360" w:lineRule="auto"/>
        <w:rPr>
          <w:rFonts w:ascii="宋体" w:hAnsi="宋体" w:cs="宋体"/>
          <w:sz w:val="28"/>
          <w:szCs w:val="28"/>
        </w:rPr>
      </w:pPr>
    </w:p>
    <w:p>
      <w:pPr>
        <w:spacing w:line="360" w:lineRule="auto"/>
        <w:jc w:val="center"/>
        <w:rPr>
          <w:rFonts w:ascii="宋体" w:hAnsi="宋体" w:cs="宋体"/>
        </w:rPr>
      </w:pPr>
      <w:r>
        <w:rPr>
          <w:rFonts w:hint="eastAsia" w:ascii="宋体" w:hAnsi="宋体" w:cs="宋体"/>
          <w:b/>
          <w:bCs/>
          <w:sz w:val="28"/>
          <w:szCs w:val="28"/>
        </w:rPr>
        <w:t>评分对照表</w:t>
      </w:r>
    </w:p>
    <w:p>
      <w:pPr>
        <w:spacing w:line="360" w:lineRule="auto"/>
        <w:rPr>
          <w:rFonts w:ascii="宋体" w:hAnsi="宋体" w:cs="宋体"/>
          <w:sz w:val="28"/>
          <w:szCs w:val="28"/>
        </w:rPr>
      </w:pPr>
    </w:p>
    <w:tbl>
      <w:tblPr>
        <w:tblStyle w:val="32"/>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szCs w:val="24"/>
              </w:rPr>
            </w:pPr>
            <w:r>
              <w:rPr>
                <w:rFonts w:hint="eastAsia" w:ascii="宋体" w:hAnsi="宋体" w:cs="宋体"/>
                <w:szCs w:val="24"/>
              </w:rPr>
              <w:t>序号</w:t>
            </w:r>
          </w:p>
        </w:tc>
        <w:tc>
          <w:tcPr>
            <w:tcW w:w="2514" w:type="dxa"/>
            <w:vAlign w:val="center"/>
          </w:tcPr>
          <w:p>
            <w:pPr>
              <w:pStyle w:val="10"/>
              <w:spacing w:line="360" w:lineRule="auto"/>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pPr>
              <w:pStyle w:val="10"/>
              <w:spacing w:line="360" w:lineRule="auto"/>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pPr>
              <w:pStyle w:val="10"/>
              <w:spacing w:line="360" w:lineRule="auto"/>
              <w:ind w:firstLine="0"/>
              <w:jc w:val="center"/>
              <w:rPr>
                <w:rFonts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szCs w:val="24"/>
              </w:rPr>
            </w:pPr>
          </w:p>
        </w:tc>
        <w:tc>
          <w:tcPr>
            <w:tcW w:w="2514" w:type="dxa"/>
            <w:vAlign w:val="center"/>
          </w:tcPr>
          <w:p>
            <w:pPr>
              <w:pStyle w:val="10"/>
              <w:spacing w:line="360" w:lineRule="auto"/>
              <w:ind w:firstLine="0"/>
              <w:jc w:val="center"/>
              <w:rPr>
                <w:rFonts w:ascii="宋体" w:hAnsi="宋体" w:cs="宋体"/>
                <w:szCs w:val="24"/>
              </w:rPr>
            </w:pPr>
          </w:p>
        </w:tc>
        <w:tc>
          <w:tcPr>
            <w:tcW w:w="2266" w:type="dxa"/>
            <w:vAlign w:val="center"/>
          </w:tcPr>
          <w:p>
            <w:pPr>
              <w:pStyle w:val="10"/>
              <w:spacing w:line="360" w:lineRule="auto"/>
              <w:ind w:firstLine="0"/>
              <w:jc w:val="center"/>
              <w:rPr>
                <w:rFonts w:ascii="宋体" w:hAnsi="宋体" w:cs="宋体"/>
                <w:szCs w:val="24"/>
              </w:rPr>
            </w:pPr>
          </w:p>
        </w:tc>
        <w:tc>
          <w:tcPr>
            <w:tcW w:w="2966" w:type="dxa"/>
            <w:vAlign w:val="center"/>
          </w:tcPr>
          <w:p>
            <w:pPr>
              <w:pStyle w:val="10"/>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szCs w:val="24"/>
              </w:rPr>
            </w:pPr>
          </w:p>
        </w:tc>
        <w:tc>
          <w:tcPr>
            <w:tcW w:w="2514" w:type="dxa"/>
            <w:vAlign w:val="center"/>
          </w:tcPr>
          <w:p>
            <w:pPr>
              <w:pStyle w:val="10"/>
              <w:spacing w:line="360" w:lineRule="auto"/>
              <w:ind w:firstLine="0"/>
              <w:jc w:val="center"/>
              <w:rPr>
                <w:rFonts w:ascii="宋体" w:hAnsi="宋体" w:cs="宋体"/>
                <w:szCs w:val="24"/>
              </w:rPr>
            </w:pPr>
          </w:p>
        </w:tc>
        <w:tc>
          <w:tcPr>
            <w:tcW w:w="2266" w:type="dxa"/>
            <w:vAlign w:val="center"/>
          </w:tcPr>
          <w:p>
            <w:pPr>
              <w:pStyle w:val="10"/>
              <w:spacing w:line="360" w:lineRule="auto"/>
              <w:ind w:firstLine="0"/>
              <w:jc w:val="center"/>
              <w:rPr>
                <w:rFonts w:ascii="宋体" w:hAnsi="宋体" w:cs="宋体"/>
                <w:szCs w:val="24"/>
              </w:rPr>
            </w:pPr>
          </w:p>
        </w:tc>
        <w:tc>
          <w:tcPr>
            <w:tcW w:w="2966" w:type="dxa"/>
            <w:vAlign w:val="center"/>
          </w:tcPr>
          <w:p>
            <w:pPr>
              <w:pStyle w:val="10"/>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szCs w:val="24"/>
              </w:rPr>
            </w:pPr>
          </w:p>
        </w:tc>
        <w:tc>
          <w:tcPr>
            <w:tcW w:w="2514" w:type="dxa"/>
            <w:vAlign w:val="center"/>
          </w:tcPr>
          <w:p>
            <w:pPr>
              <w:pStyle w:val="10"/>
              <w:spacing w:line="360" w:lineRule="auto"/>
              <w:ind w:firstLine="0"/>
              <w:jc w:val="center"/>
              <w:rPr>
                <w:rFonts w:ascii="宋体" w:hAnsi="宋体" w:cs="宋体"/>
                <w:szCs w:val="24"/>
              </w:rPr>
            </w:pPr>
          </w:p>
        </w:tc>
        <w:tc>
          <w:tcPr>
            <w:tcW w:w="2266" w:type="dxa"/>
            <w:vAlign w:val="center"/>
          </w:tcPr>
          <w:p>
            <w:pPr>
              <w:pStyle w:val="10"/>
              <w:spacing w:line="360" w:lineRule="auto"/>
              <w:ind w:firstLine="0"/>
              <w:jc w:val="center"/>
              <w:rPr>
                <w:rFonts w:ascii="宋体" w:hAnsi="宋体" w:cs="宋体"/>
                <w:szCs w:val="24"/>
              </w:rPr>
            </w:pPr>
          </w:p>
        </w:tc>
        <w:tc>
          <w:tcPr>
            <w:tcW w:w="2966" w:type="dxa"/>
            <w:vAlign w:val="center"/>
          </w:tcPr>
          <w:p>
            <w:pPr>
              <w:pStyle w:val="10"/>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szCs w:val="24"/>
              </w:rPr>
            </w:pPr>
          </w:p>
        </w:tc>
        <w:tc>
          <w:tcPr>
            <w:tcW w:w="2514" w:type="dxa"/>
            <w:vAlign w:val="center"/>
          </w:tcPr>
          <w:p>
            <w:pPr>
              <w:pStyle w:val="10"/>
              <w:spacing w:line="360" w:lineRule="auto"/>
              <w:ind w:firstLine="0"/>
              <w:jc w:val="center"/>
              <w:rPr>
                <w:rFonts w:ascii="宋体" w:hAnsi="宋体" w:cs="宋体"/>
                <w:szCs w:val="24"/>
              </w:rPr>
            </w:pPr>
          </w:p>
        </w:tc>
        <w:tc>
          <w:tcPr>
            <w:tcW w:w="2266" w:type="dxa"/>
            <w:vAlign w:val="center"/>
          </w:tcPr>
          <w:p>
            <w:pPr>
              <w:pStyle w:val="10"/>
              <w:spacing w:line="360" w:lineRule="auto"/>
              <w:ind w:firstLine="0"/>
              <w:jc w:val="center"/>
              <w:rPr>
                <w:rFonts w:ascii="宋体" w:hAnsi="宋体" w:cs="宋体"/>
                <w:szCs w:val="24"/>
              </w:rPr>
            </w:pPr>
          </w:p>
        </w:tc>
        <w:tc>
          <w:tcPr>
            <w:tcW w:w="2966" w:type="dxa"/>
            <w:vAlign w:val="center"/>
          </w:tcPr>
          <w:p>
            <w:pPr>
              <w:pStyle w:val="10"/>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szCs w:val="24"/>
              </w:rPr>
            </w:pPr>
          </w:p>
        </w:tc>
        <w:tc>
          <w:tcPr>
            <w:tcW w:w="2514" w:type="dxa"/>
            <w:vAlign w:val="center"/>
          </w:tcPr>
          <w:p>
            <w:pPr>
              <w:pStyle w:val="10"/>
              <w:spacing w:line="360" w:lineRule="auto"/>
              <w:ind w:firstLine="0"/>
              <w:jc w:val="center"/>
              <w:rPr>
                <w:rFonts w:ascii="宋体" w:hAnsi="宋体" w:cs="宋体"/>
                <w:szCs w:val="24"/>
              </w:rPr>
            </w:pPr>
          </w:p>
        </w:tc>
        <w:tc>
          <w:tcPr>
            <w:tcW w:w="2266" w:type="dxa"/>
            <w:vAlign w:val="center"/>
          </w:tcPr>
          <w:p>
            <w:pPr>
              <w:pStyle w:val="10"/>
              <w:spacing w:line="360" w:lineRule="auto"/>
              <w:ind w:firstLine="0"/>
              <w:jc w:val="center"/>
              <w:rPr>
                <w:rFonts w:ascii="宋体" w:hAnsi="宋体" w:cs="宋体"/>
                <w:szCs w:val="24"/>
              </w:rPr>
            </w:pPr>
          </w:p>
        </w:tc>
        <w:tc>
          <w:tcPr>
            <w:tcW w:w="2966" w:type="dxa"/>
            <w:vAlign w:val="center"/>
          </w:tcPr>
          <w:p>
            <w:pPr>
              <w:pStyle w:val="10"/>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ind w:firstLine="0"/>
              <w:jc w:val="center"/>
              <w:rPr>
                <w:rFonts w:ascii="宋体" w:hAnsi="宋体" w:cs="宋体"/>
                <w:szCs w:val="24"/>
              </w:rPr>
            </w:pPr>
          </w:p>
        </w:tc>
        <w:tc>
          <w:tcPr>
            <w:tcW w:w="2514" w:type="dxa"/>
            <w:vAlign w:val="center"/>
          </w:tcPr>
          <w:p>
            <w:pPr>
              <w:pStyle w:val="10"/>
              <w:spacing w:line="360" w:lineRule="auto"/>
              <w:ind w:firstLine="0"/>
              <w:jc w:val="center"/>
              <w:rPr>
                <w:rFonts w:ascii="宋体" w:hAnsi="宋体" w:cs="宋体"/>
                <w:szCs w:val="24"/>
              </w:rPr>
            </w:pPr>
          </w:p>
        </w:tc>
        <w:tc>
          <w:tcPr>
            <w:tcW w:w="2266" w:type="dxa"/>
            <w:vAlign w:val="center"/>
          </w:tcPr>
          <w:p>
            <w:pPr>
              <w:pStyle w:val="10"/>
              <w:spacing w:line="360" w:lineRule="auto"/>
              <w:ind w:firstLine="0"/>
              <w:jc w:val="center"/>
              <w:rPr>
                <w:rFonts w:ascii="宋体" w:hAnsi="宋体" w:cs="宋体"/>
                <w:szCs w:val="24"/>
              </w:rPr>
            </w:pPr>
          </w:p>
        </w:tc>
        <w:tc>
          <w:tcPr>
            <w:tcW w:w="2966" w:type="dxa"/>
            <w:vAlign w:val="center"/>
          </w:tcPr>
          <w:p>
            <w:pPr>
              <w:pStyle w:val="10"/>
              <w:spacing w:line="360" w:lineRule="auto"/>
              <w:ind w:firstLine="0"/>
              <w:jc w:val="center"/>
              <w:rPr>
                <w:rFonts w:ascii="宋体" w:hAnsi="宋体" w:cs="宋体"/>
                <w:szCs w:val="24"/>
              </w:rPr>
            </w:pPr>
          </w:p>
        </w:tc>
      </w:tr>
    </w:tbl>
    <w:p>
      <w:pPr>
        <w:spacing w:line="360" w:lineRule="auto"/>
        <w:rPr>
          <w:rFonts w:ascii="宋体" w:hAnsi="宋体" w:cs="宋体"/>
          <w:lang w:val="zh-CN"/>
        </w:rPr>
      </w:pPr>
    </w:p>
    <w:p>
      <w:pPr>
        <w:pStyle w:val="30"/>
        <w:spacing w:before="0" w:after="0" w:line="360" w:lineRule="auto"/>
        <w:jc w:val="left"/>
        <w:outlineLvl w:val="1"/>
        <w:rPr>
          <w:rFonts w:ascii="宋体" w:hAnsi="宋体" w:cs="宋体"/>
          <w:lang w:val="zh-CN"/>
        </w:rPr>
      </w:pPr>
      <w:bookmarkStart w:id="74" w:name="_Toc28963"/>
      <w:r>
        <w:rPr>
          <w:rFonts w:hint="eastAsia" w:ascii="宋体" w:hAnsi="宋体" w:cs="宋体"/>
          <w:sz w:val="30"/>
          <w:szCs w:val="30"/>
          <w:lang w:val="zh-CN"/>
        </w:rPr>
        <w:br w:type="page"/>
      </w:r>
      <w:bookmarkStart w:id="75" w:name="_Toc26451"/>
      <w:bookmarkStart w:id="76" w:name="_Toc78187956"/>
      <w:r>
        <w:rPr>
          <w:rFonts w:hint="eastAsia" w:ascii="宋体" w:hAnsi="宋体" w:cs="宋体"/>
          <w:sz w:val="30"/>
          <w:szCs w:val="30"/>
        </w:rPr>
        <w:t>（1</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开标一览表（报价表）</w:t>
      </w:r>
      <w:bookmarkEnd w:id="75"/>
      <w:bookmarkEnd w:id="76"/>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360" w:lineRule="auto"/>
        <w:rPr>
          <w:rFonts w:ascii="宋体" w:hAnsi="宋体" w:cs="宋体"/>
          <w:b/>
          <w:bCs/>
          <w:kern w:val="0"/>
          <w:sz w:val="28"/>
          <w:szCs w:val="28"/>
          <w:lang w:val="zh-CN"/>
        </w:rPr>
      </w:pPr>
    </w:p>
    <w:tbl>
      <w:tblPr>
        <w:tblStyle w:val="32"/>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632" w:type="dxa"/>
            <w:vAlign w:val="center"/>
          </w:tcPr>
          <w:p>
            <w:pPr>
              <w:pStyle w:val="10"/>
              <w:spacing w:line="360" w:lineRule="auto"/>
              <w:ind w:firstLine="0"/>
              <w:jc w:val="center"/>
              <w:rPr>
                <w:rFonts w:ascii="宋体" w:hAnsi="宋体" w:cs="宋体"/>
                <w:szCs w:val="24"/>
              </w:rPr>
            </w:pPr>
            <w:r>
              <w:rPr>
                <w:rFonts w:hint="eastAsia" w:ascii="宋体" w:hAnsi="宋体" w:cs="宋体"/>
                <w:szCs w:val="24"/>
              </w:rPr>
              <w:t>投标人名称</w:t>
            </w:r>
          </w:p>
        </w:tc>
        <w:tc>
          <w:tcPr>
            <w:tcW w:w="5985" w:type="dxa"/>
            <w:vAlign w:val="center"/>
          </w:tcPr>
          <w:p>
            <w:pPr>
              <w:pStyle w:val="10"/>
              <w:spacing w:line="36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0"/>
              <w:spacing w:line="360" w:lineRule="auto"/>
              <w:ind w:firstLine="0"/>
              <w:jc w:val="center"/>
              <w:rPr>
                <w:rFonts w:ascii="宋体" w:hAnsi="宋体" w:cs="宋体"/>
                <w:szCs w:val="24"/>
              </w:rPr>
            </w:pPr>
            <w:r>
              <w:rPr>
                <w:rFonts w:hint="eastAsia" w:ascii="宋体" w:hAnsi="宋体" w:cs="宋体"/>
                <w:szCs w:val="24"/>
              </w:rPr>
              <w:t>投标报价（元）</w:t>
            </w:r>
          </w:p>
        </w:tc>
        <w:tc>
          <w:tcPr>
            <w:tcW w:w="5985" w:type="dxa"/>
            <w:vAlign w:val="center"/>
          </w:tcPr>
          <w:p>
            <w:pPr>
              <w:pStyle w:val="10"/>
              <w:spacing w:line="36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0"/>
              <w:spacing w:line="360" w:lineRule="auto"/>
              <w:ind w:firstLine="0"/>
              <w:jc w:val="center"/>
              <w:rPr>
                <w:rFonts w:ascii="宋体" w:hAnsi="宋体" w:cs="宋体"/>
                <w:szCs w:val="24"/>
              </w:rPr>
            </w:pPr>
            <w:r>
              <w:rPr>
                <w:rFonts w:hint="eastAsia" w:ascii="宋体" w:hAnsi="宋体" w:cs="宋体"/>
                <w:szCs w:val="24"/>
              </w:rPr>
              <w:t>服务期限</w:t>
            </w:r>
          </w:p>
        </w:tc>
        <w:tc>
          <w:tcPr>
            <w:tcW w:w="5985" w:type="dxa"/>
            <w:vAlign w:val="center"/>
          </w:tcPr>
          <w:p>
            <w:pPr>
              <w:pStyle w:val="10"/>
              <w:spacing w:line="360" w:lineRule="auto"/>
              <w:ind w:firstLine="0"/>
              <w:rPr>
                <w:rFonts w:ascii="宋体" w:hAnsi="宋体" w:cs="宋体"/>
                <w:szCs w:val="24"/>
              </w:rPr>
            </w:pPr>
          </w:p>
        </w:tc>
      </w:tr>
    </w:tbl>
    <w:p>
      <w:pPr>
        <w:autoSpaceDE w:val="0"/>
        <w:autoSpaceDN w:val="0"/>
        <w:spacing w:line="360" w:lineRule="auto"/>
        <w:rPr>
          <w:rFonts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2.“投标报价”为投标总价。投标报价必须包括：</w:t>
      </w:r>
      <w:r>
        <w:rPr>
          <w:rFonts w:hint="eastAsia" w:ascii="宋体" w:hAnsi="宋体" w:cs="宋体"/>
          <w:kern w:val="0"/>
          <w:lang w:val="en-US" w:eastAsia="zh-CN"/>
        </w:rPr>
        <w:t>测绘</w:t>
      </w:r>
      <w:r>
        <w:rPr>
          <w:rFonts w:hint="eastAsia" w:ascii="宋体" w:hAnsi="宋体" w:cs="宋体"/>
          <w:kern w:val="0"/>
          <w:lang w:val="zh-CN"/>
        </w:rPr>
        <w:t>费、</w:t>
      </w:r>
      <w:r>
        <w:rPr>
          <w:rFonts w:hint="eastAsia" w:ascii="宋体" w:hAnsi="宋体" w:cs="宋体"/>
          <w:kern w:val="0"/>
          <w:lang w:val="en-US" w:eastAsia="zh-CN"/>
        </w:rPr>
        <w:t>资料编制费、专家配送费、</w:t>
      </w:r>
      <w:r>
        <w:rPr>
          <w:rFonts w:hint="eastAsia" w:ascii="宋体" w:hAnsi="宋体" w:cs="宋体"/>
          <w:kern w:val="0"/>
          <w:lang w:val="zh-CN"/>
        </w:rPr>
        <w:t>验收费、手续费、包装费、运输费、保险费、安装费、调试费、培训费、售前、售中、售后服务费、招标代理费、税金及不可预见费等全部费用。</w:t>
      </w:r>
    </w:p>
    <w:p>
      <w:pPr>
        <w:autoSpaceDE w:val="0"/>
        <w:autoSpaceDN w:val="0"/>
        <w:spacing w:line="360" w:lineRule="auto"/>
        <w:ind w:firstLine="480"/>
        <w:rPr>
          <w:rFonts w:ascii="宋体" w:hAnsi="宋体" w:cs="宋体"/>
          <w:kern w:val="0"/>
        </w:rPr>
      </w:pPr>
      <w:r>
        <w:rPr>
          <w:rFonts w:hint="eastAsia" w:ascii="宋体" w:hAnsi="宋体" w:cs="宋体"/>
          <w:kern w:val="0"/>
          <w:lang w:val="zh-CN"/>
        </w:rPr>
        <w:t>3.“服务期限”是指本项目服务时间。</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autoSpaceDE w:val="0"/>
        <w:autoSpaceDN w:val="0"/>
        <w:spacing w:line="360" w:lineRule="auto"/>
        <w:rPr>
          <w:rFonts w:ascii="宋体" w:hAnsi="宋体" w:cs="宋体"/>
          <w:kern w:val="0"/>
          <w:lang w:val="zh-CN"/>
        </w:rPr>
      </w:pPr>
    </w:p>
    <w:p>
      <w:pPr>
        <w:pStyle w:val="30"/>
        <w:spacing w:before="0" w:after="0" w:line="360" w:lineRule="auto"/>
        <w:jc w:val="left"/>
        <w:outlineLvl w:val="1"/>
        <w:rPr>
          <w:rFonts w:ascii="宋体" w:hAnsi="宋体" w:cs="宋体"/>
        </w:rPr>
      </w:pPr>
      <w:r>
        <w:rPr>
          <w:rFonts w:hint="eastAsia" w:ascii="宋体" w:hAnsi="宋体" w:cs="宋体"/>
          <w:sz w:val="30"/>
          <w:szCs w:val="30"/>
          <w:lang w:val="zh-CN"/>
        </w:rPr>
        <w:br w:type="page"/>
      </w:r>
      <w:bookmarkStart w:id="77" w:name="_Toc78187957"/>
      <w:r>
        <w:rPr>
          <w:rFonts w:hint="eastAsia" w:ascii="宋体" w:hAnsi="宋体" w:cs="宋体"/>
          <w:sz w:val="30"/>
          <w:szCs w:val="30"/>
        </w:rPr>
        <w:t>（1</w:t>
      </w:r>
      <w:r>
        <w:rPr>
          <w:rFonts w:ascii="宋体" w:hAnsi="宋体" w:cs="宋体"/>
          <w:sz w:val="30"/>
          <w:szCs w:val="30"/>
        </w:rPr>
        <w:t>2</w:t>
      </w:r>
      <w:r>
        <w:rPr>
          <w:rFonts w:hint="eastAsia" w:ascii="宋体" w:hAnsi="宋体" w:cs="宋体"/>
          <w:sz w:val="30"/>
          <w:szCs w:val="30"/>
        </w:rPr>
        <w:t>）</w:t>
      </w:r>
      <w:bookmarkEnd w:id="74"/>
      <w:r>
        <w:rPr>
          <w:rFonts w:hint="eastAsia" w:ascii="宋体" w:hAnsi="宋体" w:cs="宋体"/>
          <w:sz w:val="30"/>
          <w:szCs w:val="30"/>
          <w:lang w:val="zh-CN"/>
        </w:rPr>
        <w:t>服务应答表</w:t>
      </w:r>
      <w:bookmarkEnd w:id="77"/>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服务应答表</w:t>
      </w:r>
    </w:p>
    <w:p>
      <w:pPr>
        <w:autoSpaceDE w:val="0"/>
        <w:autoSpaceDN w:val="0"/>
        <w:adjustRightInd w:val="0"/>
        <w:spacing w:line="400" w:lineRule="exact"/>
        <w:jc w:val="center"/>
        <w:rPr>
          <w:rFonts w:ascii="宋体" w:hAnsi="宋体" w:cs="宋体"/>
          <w:b/>
          <w:bCs/>
          <w:kern w:val="0"/>
          <w:sz w:val="28"/>
          <w:szCs w:val="28"/>
          <w:lang w:val="zh-CN"/>
        </w:rPr>
      </w:pPr>
    </w:p>
    <w:p>
      <w:pPr>
        <w:spacing w:line="400" w:lineRule="exact"/>
        <w:rPr>
          <w:rFonts w:ascii="宋体" w:hAnsi="宋体"/>
          <w:szCs w:val="21"/>
        </w:rPr>
      </w:pPr>
      <w:r>
        <w:rPr>
          <w:rFonts w:hint="eastAsia" w:ascii="宋体" w:hAnsi="宋体"/>
        </w:rPr>
        <w:t xml:space="preserve">项目编号：                                         </w:t>
      </w:r>
    </w:p>
    <w:tbl>
      <w:tblPr>
        <w:tblStyle w:val="32"/>
        <w:tblW w:w="847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2" w:type="dxa"/>
            <w:vAlign w:val="center"/>
          </w:tcPr>
          <w:p>
            <w:pPr>
              <w:tabs>
                <w:tab w:val="left" w:pos="6880"/>
              </w:tabs>
              <w:spacing w:line="360" w:lineRule="auto"/>
              <w:rPr>
                <w:rFonts w:ascii="宋体" w:hAnsi="宋体" w:cs="宋体"/>
                <w:b/>
                <w:kern w:val="0"/>
              </w:rPr>
            </w:pPr>
            <w:r>
              <w:rPr>
                <w:rFonts w:hint="eastAsia" w:ascii="宋体" w:hAnsi="宋体" w:cs="宋体"/>
                <w:b/>
                <w:kern w:val="0"/>
              </w:rPr>
              <w:t>序号</w:t>
            </w:r>
          </w:p>
        </w:tc>
        <w:tc>
          <w:tcPr>
            <w:tcW w:w="2297" w:type="dxa"/>
            <w:vAlign w:val="center"/>
          </w:tcPr>
          <w:p>
            <w:pPr>
              <w:tabs>
                <w:tab w:val="left" w:pos="6880"/>
              </w:tabs>
              <w:spacing w:line="360" w:lineRule="auto"/>
              <w:jc w:val="center"/>
              <w:rPr>
                <w:rFonts w:ascii="宋体" w:hAnsi="宋体" w:cs="宋体"/>
                <w:b/>
                <w:kern w:val="0"/>
              </w:rPr>
            </w:pPr>
            <w:r>
              <w:rPr>
                <w:rFonts w:ascii="宋体" w:hAnsi="宋体" w:cs="宋体"/>
                <w:b/>
                <w:kern w:val="0"/>
              </w:rPr>
              <w:t>招标文件条目号</w:t>
            </w:r>
          </w:p>
        </w:tc>
        <w:tc>
          <w:tcPr>
            <w:tcW w:w="1866" w:type="dxa"/>
            <w:vAlign w:val="center"/>
          </w:tcPr>
          <w:p>
            <w:pPr>
              <w:tabs>
                <w:tab w:val="left" w:pos="6880"/>
              </w:tabs>
              <w:spacing w:line="360" w:lineRule="auto"/>
              <w:jc w:val="center"/>
              <w:rPr>
                <w:rFonts w:ascii="宋体" w:hAnsi="宋体" w:cs="宋体"/>
                <w:b/>
                <w:kern w:val="0"/>
              </w:rPr>
            </w:pPr>
            <w:r>
              <w:rPr>
                <w:rFonts w:hint="eastAsia" w:ascii="宋体" w:hAnsi="宋体" w:cs="宋体"/>
                <w:b/>
                <w:kern w:val="0"/>
              </w:rPr>
              <w:t>招标文件要求</w:t>
            </w:r>
          </w:p>
        </w:tc>
        <w:tc>
          <w:tcPr>
            <w:tcW w:w="2297" w:type="dxa"/>
            <w:vAlign w:val="center"/>
          </w:tcPr>
          <w:p>
            <w:pPr>
              <w:tabs>
                <w:tab w:val="left" w:pos="6880"/>
              </w:tabs>
              <w:spacing w:line="360" w:lineRule="auto"/>
              <w:jc w:val="center"/>
              <w:rPr>
                <w:rFonts w:ascii="宋体" w:hAnsi="宋体" w:cs="宋体"/>
                <w:b/>
                <w:kern w:val="0"/>
              </w:rPr>
            </w:pPr>
            <w:r>
              <w:rPr>
                <w:rFonts w:hint="eastAsia" w:ascii="宋体" w:hAnsi="宋体" w:cs="宋体"/>
                <w:b/>
                <w:kern w:val="0"/>
              </w:rPr>
              <w:t>投标文件的应答</w:t>
            </w:r>
          </w:p>
        </w:tc>
        <w:tc>
          <w:tcPr>
            <w:tcW w:w="1148" w:type="dxa"/>
            <w:vAlign w:val="center"/>
          </w:tcPr>
          <w:p>
            <w:pPr>
              <w:tabs>
                <w:tab w:val="left" w:pos="6880"/>
              </w:tabs>
              <w:spacing w:line="360" w:lineRule="auto"/>
              <w:jc w:val="center"/>
              <w:rPr>
                <w:rFonts w:ascii="宋体" w:hAnsi="宋体" w:cs="宋体"/>
                <w:b/>
                <w:kern w:val="0"/>
              </w:rPr>
            </w:pPr>
            <w:r>
              <w:rPr>
                <w:rFonts w:hint="eastAsia" w:ascii="宋体" w:hAnsi="宋体" w:cs="宋体"/>
                <w:b/>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tabs>
                <w:tab w:val="left" w:pos="34"/>
              </w:tabs>
              <w:spacing w:line="360" w:lineRule="auto"/>
              <w:ind w:left="-108"/>
              <w:jc w:val="center"/>
              <w:rPr>
                <w:rFonts w:ascii="宋体" w:hAnsi="宋体" w:cs="宋体"/>
                <w:kern w:val="0"/>
              </w:rPr>
            </w:pPr>
            <w:r>
              <w:rPr>
                <w:rFonts w:hint="eastAsia" w:ascii="宋体" w:hAnsi="宋体" w:cs="宋体"/>
                <w:kern w:val="0"/>
              </w:rPr>
              <w:t>1</w:t>
            </w:r>
          </w:p>
        </w:tc>
        <w:tc>
          <w:tcPr>
            <w:tcW w:w="2297" w:type="dxa"/>
            <w:vAlign w:val="center"/>
          </w:tcPr>
          <w:p>
            <w:pPr>
              <w:tabs>
                <w:tab w:val="left" w:pos="6880"/>
              </w:tabs>
              <w:spacing w:line="360" w:lineRule="auto"/>
              <w:ind w:firstLine="480" w:firstLineChars="200"/>
              <w:jc w:val="center"/>
              <w:rPr>
                <w:rFonts w:ascii="宋体" w:hAnsi="宋体" w:cs="宋体"/>
                <w:kern w:val="0"/>
              </w:rPr>
            </w:pPr>
          </w:p>
        </w:tc>
        <w:tc>
          <w:tcPr>
            <w:tcW w:w="1866" w:type="dxa"/>
            <w:vAlign w:val="center"/>
          </w:tcPr>
          <w:p>
            <w:pPr>
              <w:tabs>
                <w:tab w:val="left" w:pos="6880"/>
              </w:tabs>
              <w:spacing w:line="360" w:lineRule="auto"/>
              <w:ind w:firstLine="480" w:firstLineChars="200"/>
              <w:rPr>
                <w:rFonts w:ascii="宋体" w:hAnsi="宋体" w:cs="宋体"/>
                <w:kern w:val="0"/>
              </w:rPr>
            </w:pPr>
          </w:p>
        </w:tc>
        <w:tc>
          <w:tcPr>
            <w:tcW w:w="2297" w:type="dxa"/>
            <w:vAlign w:val="center"/>
          </w:tcPr>
          <w:p>
            <w:pPr>
              <w:tabs>
                <w:tab w:val="left" w:pos="6880"/>
              </w:tabs>
              <w:spacing w:line="360" w:lineRule="auto"/>
              <w:ind w:firstLine="480" w:firstLineChars="200"/>
              <w:rPr>
                <w:rFonts w:ascii="宋体" w:hAnsi="宋体" w:cs="宋体"/>
                <w:kern w:val="0"/>
              </w:rPr>
            </w:pPr>
          </w:p>
        </w:tc>
        <w:tc>
          <w:tcPr>
            <w:tcW w:w="1148" w:type="dxa"/>
            <w:vAlign w:val="center"/>
          </w:tcPr>
          <w:p>
            <w:pPr>
              <w:tabs>
                <w:tab w:val="left" w:pos="6880"/>
              </w:tabs>
              <w:spacing w:line="360" w:lineRule="auto"/>
              <w:ind w:firstLine="480" w:firstLineChars="200"/>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tabs>
                <w:tab w:val="left" w:pos="34"/>
              </w:tabs>
              <w:spacing w:line="360" w:lineRule="auto"/>
              <w:ind w:left="-108"/>
              <w:jc w:val="center"/>
              <w:rPr>
                <w:rFonts w:ascii="宋体" w:hAnsi="宋体" w:cs="宋体"/>
                <w:kern w:val="0"/>
              </w:rPr>
            </w:pPr>
            <w:r>
              <w:rPr>
                <w:rFonts w:hint="eastAsia" w:ascii="宋体" w:hAnsi="宋体" w:cs="宋体"/>
                <w:kern w:val="0"/>
              </w:rPr>
              <w:t>2</w:t>
            </w:r>
          </w:p>
        </w:tc>
        <w:tc>
          <w:tcPr>
            <w:tcW w:w="2297" w:type="dxa"/>
            <w:vAlign w:val="center"/>
          </w:tcPr>
          <w:p>
            <w:pPr>
              <w:tabs>
                <w:tab w:val="left" w:pos="6880"/>
              </w:tabs>
              <w:spacing w:line="360" w:lineRule="auto"/>
              <w:ind w:firstLine="480" w:firstLineChars="200"/>
              <w:jc w:val="center"/>
              <w:rPr>
                <w:rFonts w:ascii="宋体" w:hAnsi="宋体" w:cs="宋体"/>
                <w:kern w:val="0"/>
              </w:rPr>
            </w:pPr>
          </w:p>
        </w:tc>
        <w:tc>
          <w:tcPr>
            <w:tcW w:w="1866" w:type="dxa"/>
            <w:vAlign w:val="center"/>
          </w:tcPr>
          <w:p>
            <w:pPr>
              <w:tabs>
                <w:tab w:val="left" w:pos="6880"/>
              </w:tabs>
              <w:spacing w:line="360" w:lineRule="auto"/>
              <w:ind w:firstLine="480" w:firstLineChars="200"/>
              <w:rPr>
                <w:rFonts w:ascii="宋体" w:hAnsi="宋体" w:cs="宋体"/>
                <w:kern w:val="0"/>
              </w:rPr>
            </w:pPr>
          </w:p>
        </w:tc>
        <w:tc>
          <w:tcPr>
            <w:tcW w:w="2297" w:type="dxa"/>
            <w:vAlign w:val="center"/>
          </w:tcPr>
          <w:p>
            <w:pPr>
              <w:tabs>
                <w:tab w:val="left" w:pos="6880"/>
              </w:tabs>
              <w:spacing w:line="360" w:lineRule="auto"/>
              <w:ind w:firstLine="480" w:firstLineChars="200"/>
              <w:rPr>
                <w:rFonts w:ascii="宋体" w:hAnsi="宋体" w:cs="宋体"/>
                <w:kern w:val="0"/>
              </w:rPr>
            </w:pPr>
          </w:p>
        </w:tc>
        <w:tc>
          <w:tcPr>
            <w:tcW w:w="1148" w:type="dxa"/>
            <w:vAlign w:val="center"/>
          </w:tcPr>
          <w:p>
            <w:pPr>
              <w:tabs>
                <w:tab w:val="left" w:pos="6880"/>
              </w:tabs>
              <w:spacing w:line="360" w:lineRule="auto"/>
              <w:ind w:firstLine="480" w:firstLineChars="200"/>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62" w:type="dxa"/>
            <w:vAlign w:val="center"/>
          </w:tcPr>
          <w:p>
            <w:pPr>
              <w:tabs>
                <w:tab w:val="left" w:pos="34"/>
              </w:tabs>
              <w:spacing w:line="360" w:lineRule="auto"/>
              <w:ind w:left="-108"/>
              <w:jc w:val="center"/>
              <w:rPr>
                <w:rFonts w:ascii="宋体" w:hAnsi="宋体" w:cs="宋体"/>
                <w:kern w:val="0"/>
              </w:rPr>
            </w:pPr>
            <w:r>
              <w:rPr>
                <w:rFonts w:hint="eastAsia" w:ascii="宋体" w:hAnsi="宋体" w:cs="宋体"/>
                <w:kern w:val="0"/>
              </w:rPr>
              <w:t>3</w:t>
            </w:r>
          </w:p>
        </w:tc>
        <w:tc>
          <w:tcPr>
            <w:tcW w:w="2297" w:type="dxa"/>
            <w:vAlign w:val="center"/>
          </w:tcPr>
          <w:p>
            <w:pPr>
              <w:tabs>
                <w:tab w:val="left" w:pos="6880"/>
              </w:tabs>
              <w:spacing w:line="360" w:lineRule="auto"/>
              <w:ind w:firstLine="480" w:firstLineChars="200"/>
              <w:jc w:val="center"/>
              <w:rPr>
                <w:rFonts w:ascii="宋体" w:hAnsi="宋体" w:cs="宋体"/>
                <w:kern w:val="0"/>
              </w:rPr>
            </w:pPr>
          </w:p>
        </w:tc>
        <w:tc>
          <w:tcPr>
            <w:tcW w:w="1866" w:type="dxa"/>
            <w:vAlign w:val="center"/>
          </w:tcPr>
          <w:p>
            <w:pPr>
              <w:tabs>
                <w:tab w:val="left" w:pos="6880"/>
              </w:tabs>
              <w:spacing w:line="360" w:lineRule="auto"/>
              <w:ind w:firstLine="480" w:firstLineChars="200"/>
              <w:rPr>
                <w:rFonts w:ascii="宋体" w:hAnsi="宋体" w:cs="宋体"/>
                <w:kern w:val="0"/>
              </w:rPr>
            </w:pPr>
          </w:p>
        </w:tc>
        <w:tc>
          <w:tcPr>
            <w:tcW w:w="2297" w:type="dxa"/>
            <w:vAlign w:val="center"/>
          </w:tcPr>
          <w:p>
            <w:pPr>
              <w:tabs>
                <w:tab w:val="left" w:pos="6880"/>
              </w:tabs>
              <w:spacing w:line="360" w:lineRule="auto"/>
              <w:ind w:firstLine="480" w:firstLineChars="200"/>
              <w:rPr>
                <w:rFonts w:ascii="宋体" w:hAnsi="宋体" w:cs="宋体"/>
                <w:kern w:val="0"/>
              </w:rPr>
            </w:pPr>
          </w:p>
        </w:tc>
        <w:tc>
          <w:tcPr>
            <w:tcW w:w="1148" w:type="dxa"/>
            <w:vAlign w:val="center"/>
          </w:tcPr>
          <w:p>
            <w:pPr>
              <w:tabs>
                <w:tab w:val="left" w:pos="6880"/>
              </w:tabs>
              <w:spacing w:line="360" w:lineRule="auto"/>
              <w:ind w:firstLine="480" w:firstLineChars="200"/>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tabs>
                <w:tab w:val="left" w:pos="34"/>
              </w:tabs>
              <w:spacing w:line="360" w:lineRule="auto"/>
              <w:ind w:left="-108"/>
              <w:jc w:val="center"/>
              <w:rPr>
                <w:rFonts w:ascii="宋体" w:hAnsi="宋体" w:cs="宋体"/>
                <w:kern w:val="0"/>
              </w:rPr>
            </w:pPr>
            <w:r>
              <w:rPr>
                <w:rFonts w:hint="eastAsia" w:ascii="宋体" w:hAnsi="宋体" w:cs="宋体"/>
                <w:kern w:val="0"/>
              </w:rPr>
              <w:t>4</w:t>
            </w:r>
          </w:p>
        </w:tc>
        <w:tc>
          <w:tcPr>
            <w:tcW w:w="2297" w:type="dxa"/>
            <w:vAlign w:val="center"/>
          </w:tcPr>
          <w:p>
            <w:pPr>
              <w:tabs>
                <w:tab w:val="left" w:pos="6880"/>
              </w:tabs>
              <w:spacing w:line="360" w:lineRule="auto"/>
              <w:ind w:firstLine="480" w:firstLineChars="200"/>
              <w:jc w:val="center"/>
              <w:rPr>
                <w:rFonts w:ascii="宋体" w:hAnsi="宋体" w:cs="宋体"/>
                <w:kern w:val="0"/>
              </w:rPr>
            </w:pPr>
          </w:p>
        </w:tc>
        <w:tc>
          <w:tcPr>
            <w:tcW w:w="1866" w:type="dxa"/>
            <w:vAlign w:val="center"/>
          </w:tcPr>
          <w:p>
            <w:pPr>
              <w:tabs>
                <w:tab w:val="left" w:pos="6880"/>
              </w:tabs>
              <w:spacing w:line="360" w:lineRule="auto"/>
              <w:ind w:firstLine="480" w:firstLineChars="200"/>
              <w:rPr>
                <w:rFonts w:ascii="宋体" w:hAnsi="宋体" w:cs="宋体"/>
                <w:kern w:val="0"/>
              </w:rPr>
            </w:pPr>
          </w:p>
        </w:tc>
        <w:tc>
          <w:tcPr>
            <w:tcW w:w="2297" w:type="dxa"/>
            <w:vAlign w:val="center"/>
          </w:tcPr>
          <w:p>
            <w:pPr>
              <w:tabs>
                <w:tab w:val="left" w:pos="6880"/>
              </w:tabs>
              <w:spacing w:line="360" w:lineRule="auto"/>
              <w:ind w:firstLine="480" w:firstLineChars="200"/>
              <w:rPr>
                <w:rFonts w:ascii="宋体" w:hAnsi="宋体" w:cs="宋体"/>
                <w:kern w:val="0"/>
              </w:rPr>
            </w:pPr>
          </w:p>
        </w:tc>
        <w:tc>
          <w:tcPr>
            <w:tcW w:w="1148" w:type="dxa"/>
            <w:vAlign w:val="center"/>
          </w:tcPr>
          <w:p>
            <w:pPr>
              <w:tabs>
                <w:tab w:val="left" w:pos="6880"/>
              </w:tabs>
              <w:spacing w:line="360" w:lineRule="auto"/>
              <w:ind w:firstLine="480" w:firstLineChars="200"/>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62" w:type="dxa"/>
            <w:vAlign w:val="center"/>
          </w:tcPr>
          <w:p>
            <w:pPr>
              <w:tabs>
                <w:tab w:val="left" w:pos="34"/>
              </w:tabs>
              <w:spacing w:line="360" w:lineRule="auto"/>
              <w:ind w:left="-108"/>
              <w:jc w:val="center"/>
              <w:rPr>
                <w:rFonts w:ascii="宋体" w:hAnsi="宋体" w:cs="宋体"/>
                <w:kern w:val="0"/>
              </w:rPr>
            </w:pPr>
            <w:r>
              <w:rPr>
                <w:rFonts w:hint="eastAsia" w:ascii="宋体" w:hAnsi="宋体" w:cs="宋体"/>
                <w:kern w:val="0"/>
              </w:rPr>
              <w:t>5</w:t>
            </w:r>
          </w:p>
        </w:tc>
        <w:tc>
          <w:tcPr>
            <w:tcW w:w="2297" w:type="dxa"/>
            <w:vAlign w:val="center"/>
          </w:tcPr>
          <w:p>
            <w:pPr>
              <w:tabs>
                <w:tab w:val="left" w:pos="6880"/>
              </w:tabs>
              <w:spacing w:line="360" w:lineRule="auto"/>
              <w:ind w:firstLine="480" w:firstLineChars="200"/>
              <w:jc w:val="center"/>
              <w:rPr>
                <w:rFonts w:ascii="宋体" w:hAnsi="宋体" w:cs="宋体"/>
                <w:kern w:val="0"/>
              </w:rPr>
            </w:pPr>
          </w:p>
        </w:tc>
        <w:tc>
          <w:tcPr>
            <w:tcW w:w="1866" w:type="dxa"/>
            <w:vAlign w:val="center"/>
          </w:tcPr>
          <w:p>
            <w:pPr>
              <w:tabs>
                <w:tab w:val="left" w:pos="6880"/>
              </w:tabs>
              <w:spacing w:line="360" w:lineRule="auto"/>
              <w:ind w:firstLine="480" w:firstLineChars="200"/>
              <w:rPr>
                <w:rFonts w:ascii="宋体" w:hAnsi="宋体" w:cs="宋体"/>
                <w:kern w:val="0"/>
              </w:rPr>
            </w:pPr>
          </w:p>
        </w:tc>
        <w:tc>
          <w:tcPr>
            <w:tcW w:w="2297" w:type="dxa"/>
            <w:vAlign w:val="center"/>
          </w:tcPr>
          <w:p>
            <w:pPr>
              <w:tabs>
                <w:tab w:val="left" w:pos="6880"/>
              </w:tabs>
              <w:spacing w:line="360" w:lineRule="auto"/>
              <w:ind w:firstLine="480" w:firstLineChars="200"/>
              <w:rPr>
                <w:rFonts w:ascii="宋体" w:hAnsi="宋体" w:cs="宋体"/>
                <w:kern w:val="0"/>
              </w:rPr>
            </w:pPr>
          </w:p>
        </w:tc>
        <w:tc>
          <w:tcPr>
            <w:tcW w:w="1148" w:type="dxa"/>
            <w:vAlign w:val="center"/>
          </w:tcPr>
          <w:p>
            <w:pPr>
              <w:tabs>
                <w:tab w:val="left" w:pos="6880"/>
              </w:tabs>
              <w:spacing w:line="360" w:lineRule="auto"/>
              <w:ind w:firstLine="480" w:firstLineChars="200"/>
              <w:rPr>
                <w:rFonts w:ascii="宋体" w:hAnsi="宋体" w:cs="宋体"/>
                <w:kern w:val="0"/>
              </w:rPr>
            </w:pPr>
          </w:p>
        </w:tc>
      </w:tr>
    </w:tbl>
    <w:p>
      <w:pPr>
        <w:spacing w:line="400" w:lineRule="exact"/>
        <w:ind w:left="617" w:leftChars="57" w:hanging="480" w:hangingChars="200"/>
        <w:rPr>
          <w:rFonts w:ascii="宋体" w:hAnsi="宋体"/>
        </w:rPr>
      </w:pPr>
      <w:r>
        <w:rPr>
          <w:rFonts w:hint="eastAsia" w:ascii="宋体" w:hAnsi="宋体"/>
        </w:rPr>
        <w:t>注：1. 投标人必须把招标项目的全部服务内容事项列入此表，如全部响应，可不填写此表。</w:t>
      </w:r>
    </w:p>
    <w:p>
      <w:pPr>
        <w:spacing w:line="400" w:lineRule="exact"/>
        <w:ind w:left="684" w:leftChars="285"/>
        <w:rPr>
          <w:rFonts w:ascii="宋体" w:hAnsi="宋体"/>
        </w:rPr>
      </w:pPr>
      <w:r>
        <w:rPr>
          <w:rFonts w:hint="eastAsia" w:ascii="宋体" w:hAnsi="宋体"/>
        </w:rPr>
        <w:t>2．按照招标项目服务要求的顺序对应填写。</w:t>
      </w:r>
    </w:p>
    <w:p>
      <w:pPr>
        <w:adjustRightInd w:val="0"/>
        <w:spacing w:line="400" w:lineRule="exact"/>
        <w:ind w:firstLine="490" w:firstLineChars="175"/>
        <w:jc w:val="left"/>
        <w:rPr>
          <w:rFonts w:ascii="宋体" w:hAnsi="宋体"/>
          <w:bCs/>
          <w:sz w:val="28"/>
          <w:szCs w:val="28"/>
        </w:rPr>
      </w:pPr>
    </w:p>
    <w:p>
      <w:pPr>
        <w:rPr>
          <w:lang w:val="zh-CN"/>
        </w:rPr>
      </w:pPr>
    </w:p>
    <w:p>
      <w:pPr>
        <w:rPr>
          <w:lang w:val="zh-CN"/>
        </w:rPr>
      </w:pPr>
    </w:p>
    <w:p>
      <w:pPr>
        <w:rPr>
          <w:lang w:val="zh-CN"/>
        </w:rPr>
      </w:pPr>
    </w:p>
    <w:p>
      <w:pPr>
        <w:rPr>
          <w:lang w:val="zh-CN"/>
        </w:rPr>
      </w:pPr>
    </w:p>
    <w:p>
      <w:pPr>
        <w:rPr>
          <w:lang w:val="zh-CN"/>
        </w:rPr>
      </w:pPr>
    </w:p>
    <w:p>
      <w:pPr>
        <w:rPr>
          <w:lang w:val="zh-CN"/>
        </w:rPr>
      </w:pPr>
    </w:p>
    <w:p>
      <w:pPr>
        <w:autoSpaceDE w:val="0"/>
        <w:autoSpaceDN w:val="0"/>
        <w:spacing w:line="360" w:lineRule="auto"/>
        <w:ind w:firstLine="48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ind w:firstLine="3253"/>
        <w:rPr>
          <w:rFonts w:ascii="宋体" w:hAnsi="宋体" w:cs="宋体"/>
          <w:b/>
          <w:bCs/>
          <w:kern w:val="0"/>
          <w:lang w:val="zh-CN"/>
        </w:rPr>
      </w:pPr>
      <w:r>
        <w:rPr>
          <w:rFonts w:hint="eastAsia" w:ascii="宋体" w:hAnsi="宋体" w:cs="宋体"/>
          <w:b/>
          <w:bCs/>
          <w:kern w:val="0"/>
          <w:lang w:val="zh-CN"/>
        </w:rPr>
        <w:t>年   月   日</w:t>
      </w:r>
    </w:p>
    <w:p>
      <w:pPr>
        <w:rPr>
          <w:rFonts w:ascii="宋体" w:hAnsi="宋体" w:cs="宋体"/>
          <w:b/>
          <w:bCs/>
          <w:kern w:val="0"/>
          <w:lang w:val="zh-CN"/>
        </w:rPr>
      </w:pPr>
    </w:p>
    <w:p>
      <w:pPr>
        <w:pStyle w:val="30"/>
        <w:spacing w:before="0" w:after="0" w:line="360" w:lineRule="auto"/>
        <w:jc w:val="both"/>
        <w:outlineLvl w:val="1"/>
        <w:rPr>
          <w:rFonts w:ascii="宋体" w:hAnsi="宋体" w:cs="宋体"/>
        </w:rPr>
      </w:pPr>
      <w:r>
        <w:rPr>
          <w:rFonts w:hint="eastAsia" w:ascii="宋体" w:hAnsi="宋体" w:cs="宋体"/>
          <w:sz w:val="30"/>
          <w:szCs w:val="30"/>
          <w:lang w:val="zh-CN"/>
        </w:rPr>
        <w:br w:type="page"/>
      </w:r>
      <w:bookmarkStart w:id="78" w:name="_Toc78187958"/>
      <w:r>
        <w:rPr>
          <w:rFonts w:hint="eastAsia" w:ascii="宋体" w:hAnsi="宋体" w:cs="宋体"/>
          <w:sz w:val="30"/>
          <w:szCs w:val="30"/>
        </w:rPr>
        <w:t>（1</w:t>
      </w:r>
      <w:r>
        <w:rPr>
          <w:rFonts w:ascii="宋体" w:hAnsi="宋体" w:cs="宋体"/>
          <w:sz w:val="30"/>
          <w:szCs w:val="30"/>
        </w:rPr>
        <w:t>3</w:t>
      </w:r>
      <w:r>
        <w:rPr>
          <w:rFonts w:hint="eastAsia" w:ascii="宋体" w:hAnsi="宋体" w:cs="宋体"/>
          <w:sz w:val="30"/>
          <w:szCs w:val="30"/>
        </w:rPr>
        <w:t>）</w:t>
      </w:r>
      <w:bookmarkStart w:id="79" w:name="_Toc14290"/>
      <w:r>
        <w:rPr>
          <w:rFonts w:hint="eastAsia" w:ascii="宋体" w:hAnsi="宋体" w:cs="宋体"/>
          <w:sz w:val="30"/>
          <w:szCs w:val="30"/>
          <w:lang w:val="zh-CN"/>
        </w:rPr>
        <w:t>投标服务相关资料</w:t>
      </w:r>
      <w:bookmarkEnd w:id="78"/>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投标服务相关资料</w:t>
      </w:r>
    </w:p>
    <w:p>
      <w:pPr>
        <w:pStyle w:val="121"/>
      </w:pPr>
    </w:p>
    <w:p>
      <w:pPr>
        <w:pStyle w:val="121"/>
      </w:pPr>
    </w:p>
    <w:p>
      <w:pPr>
        <w:pStyle w:val="121"/>
        <w:rPr>
          <w:rFonts w:ascii="宋体" w:hAnsi="宋体" w:cs="宋体" w:eastAsiaTheme="minorEastAsia"/>
          <w:b/>
          <w:bCs/>
          <w:sz w:val="30"/>
          <w:szCs w:val="30"/>
          <w:lang w:bidi="ar-SA"/>
        </w:rPr>
      </w:pPr>
      <w:r>
        <w:rPr>
          <w:rFonts w:hint="eastAsia"/>
        </w:rPr>
        <w:t>根据服务项目内容，投标时提供投标服务服务要求资料、证明技术参数响应的相关资料、相关认证、服务方案、服务承诺等资料。</w:t>
      </w:r>
      <w:r>
        <w:rPr>
          <w:rFonts w:hint="eastAsia"/>
        </w:rPr>
        <w:br w:type="page"/>
      </w:r>
      <w:r>
        <w:rPr>
          <w:rFonts w:hint="eastAsia" w:ascii="宋体" w:hAnsi="宋体" w:cs="宋体" w:eastAsiaTheme="minorEastAsia"/>
          <w:b/>
          <w:bCs/>
          <w:sz w:val="30"/>
          <w:szCs w:val="30"/>
          <w:lang w:bidi="ar-SA"/>
        </w:rPr>
        <w:t>（1</w:t>
      </w:r>
      <w:r>
        <w:rPr>
          <w:rFonts w:ascii="宋体" w:hAnsi="宋体" w:cs="宋体" w:eastAsiaTheme="minorEastAsia"/>
          <w:b/>
          <w:bCs/>
          <w:sz w:val="30"/>
          <w:szCs w:val="30"/>
          <w:lang w:bidi="ar-SA"/>
        </w:rPr>
        <w:t>4</w:t>
      </w:r>
      <w:r>
        <w:rPr>
          <w:rFonts w:hint="eastAsia" w:ascii="宋体" w:hAnsi="宋体" w:cs="宋体" w:eastAsiaTheme="minorEastAsia"/>
          <w:b/>
          <w:bCs/>
          <w:sz w:val="30"/>
          <w:szCs w:val="30"/>
          <w:lang w:bidi="ar-SA"/>
        </w:rPr>
        <w:t>）投标人的类似业绩证明材料</w:t>
      </w:r>
      <w:bookmarkEnd w:id="79"/>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提供类似业绩证明材料。类似业绩是指与采购项目在服务类型等方面相同或相近的项目。</w:t>
      </w:r>
    </w:p>
    <w:p>
      <w:pPr>
        <w:pStyle w:val="30"/>
        <w:spacing w:before="0" w:after="0" w:line="360" w:lineRule="auto"/>
        <w:jc w:val="left"/>
        <w:outlineLvl w:val="1"/>
        <w:rPr>
          <w:rFonts w:ascii="宋体" w:hAnsi="宋体" w:cs="宋体"/>
          <w:lang w:val="zh-CN"/>
        </w:rPr>
      </w:pPr>
      <w:r>
        <w:rPr>
          <w:rFonts w:hint="eastAsia" w:ascii="宋体" w:hAnsi="宋体" w:cs="宋体"/>
          <w:lang w:val="zh-CN"/>
        </w:rPr>
        <w:br w:type="page"/>
      </w:r>
      <w:bookmarkStart w:id="80" w:name="_Toc78187959"/>
      <w:bookmarkStart w:id="81" w:name="_Toc10010"/>
      <w:r>
        <w:rPr>
          <w:rFonts w:hint="eastAsia" w:ascii="宋体" w:hAnsi="宋体" w:cs="宋体"/>
          <w:sz w:val="30"/>
          <w:szCs w:val="30"/>
        </w:rPr>
        <w:t>（1</w:t>
      </w:r>
      <w:r>
        <w:rPr>
          <w:rFonts w:ascii="宋体" w:hAnsi="宋体" w:cs="宋体"/>
          <w:sz w:val="30"/>
          <w:szCs w:val="30"/>
        </w:rPr>
        <w:t>5</w:t>
      </w:r>
      <w:r>
        <w:rPr>
          <w:rFonts w:hint="eastAsia" w:ascii="宋体" w:hAnsi="宋体" w:cs="宋体"/>
          <w:sz w:val="30"/>
          <w:szCs w:val="30"/>
        </w:rPr>
        <w:t>）</w:t>
      </w:r>
      <w:r>
        <w:rPr>
          <w:rFonts w:hint="eastAsia"/>
          <w:sz w:val="30"/>
        </w:rPr>
        <w:t>投标人本项目团队配置人员情况</w:t>
      </w:r>
      <w:bookmarkEnd w:id="80"/>
    </w:p>
    <w:p>
      <w:pPr>
        <w:widowControl/>
        <w:jc w:val="left"/>
        <w:rPr>
          <w:rFonts w:ascii="宋体" w:hAnsi="宋体" w:cs="宋体"/>
          <w:lang w:val="zh-CN"/>
        </w:rPr>
      </w:pPr>
    </w:p>
    <w:p>
      <w:pPr>
        <w:widowControl/>
        <w:jc w:val="center"/>
        <w:rPr>
          <w:rFonts w:ascii="宋体" w:hAnsi="宋体" w:cs="宋体"/>
          <w:lang w:val="zh-CN"/>
        </w:rPr>
      </w:pPr>
      <w:r>
        <w:rPr>
          <w:rFonts w:hint="eastAsia" w:ascii="宋体" w:hAnsi="宋体" w:cs="宋体"/>
          <w:lang w:val="zh-CN"/>
        </w:rPr>
        <w:t>投标人本项目团队配置人员情况表</w:t>
      </w:r>
    </w:p>
    <w:p>
      <w:pPr>
        <w:widowControl/>
        <w:rPr>
          <w:rFonts w:ascii="宋体" w:hAnsi="宋体" w:cs="Arial"/>
          <w:bCs/>
          <w:color w:val="000000"/>
        </w:rPr>
      </w:pPr>
      <w:r>
        <w:rPr>
          <w:rFonts w:hint="eastAsia" w:ascii="宋体" w:hAnsi="宋体" w:cs="Arial"/>
          <w:bCs/>
          <w:color w:val="000000"/>
        </w:rPr>
        <w:t xml:space="preserve"> 项目名称：</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70"/>
        <w:gridCol w:w="1183"/>
        <w:gridCol w:w="1223"/>
        <w:gridCol w:w="1223"/>
        <w:gridCol w:w="1224"/>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75" w:type="dxa"/>
            <w:vAlign w:val="center"/>
          </w:tcPr>
          <w:p>
            <w:pPr>
              <w:jc w:val="center"/>
              <w:rPr>
                <w:rFonts w:ascii="宋体" w:hAnsi="宋体"/>
                <w:color w:val="000000"/>
                <w:szCs w:val="21"/>
              </w:rPr>
            </w:pPr>
            <w:r>
              <w:rPr>
                <w:rFonts w:ascii="宋体" w:hAnsi="宋体"/>
                <w:color w:val="000000"/>
                <w:szCs w:val="21"/>
              </w:rPr>
              <w:t>类别</w:t>
            </w:r>
          </w:p>
        </w:tc>
        <w:tc>
          <w:tcPr>
            <w:tcW w:w="1770" w:type="dxa"/>
            <w:vAlign w:val="center"/>
          </w:tcPr>
          <w:p>
            <w:pPr>
              <w:jc w:val="center"/>
              <w:rPr>
                <w:rFonts w:ascii="宋体" w:hAnsi="宋体"/>
                <w:color w:val="000000"/>
                <w:szCs w:val="21"/>
              </w:rPr>
            </w:pPr>
            <w:r>
              <w:rPr>
                <w:rFonts w:ascii="宋体" w:hAnsi="宋体"/>
                <w:color w:val="000000"/>
                <w:szCs w:val="21"/>
              </w:rPr>
              <w:t>姓名</w:t>
            </w:r>
          </w:p>
        </w:tc>
        <w:tc>
          <w:tcPr>
            <w:tcW w:w="1183" w:type="dxa"/>
            <w:vAlign w:val="center"/>
          </w:tcPr>
          <w:p>
            <w:pPr>
              <w:jc w:val="center"/>
              <w:rPr>
                <w:rFonts w:ascii="宋体" w:hAnsi="宋体"/>
                <w:color w:val="000000"/>
                <w:szCs w:val="21"/>
              </w:rPr>
            </w:pPr>
            <w:r>
              <w:rPr>
                <w:rFonts w:ascii="宋体" w:hAnsi="宋体"/>
                <w:color w:val="000000"/>
                <w:szCs w:val="21"/>
              </w:rPr>
              <w:t>职务</w:t>
            </w:r>
          </w:p>
        </w:tc>
        <w:tc>
          <w:tcPr>
            <w:tcW w:w="1223" w:type="dxa"/>
            <w:vAlign w:val="center"/>
          </w:tcPr>
          <w:p>
            <w:pPr>
              <w:jc w:val="center"/>
              <w:rPr>
                <w:rFonts w:ascii="宋体" w:hAnsi="宋体"/>
                <w:color w:val="000000"/>
                <w:szCs w:val="21"/>
              </w:rPr>
            </w:pPr>
            <w:r>
              <w:rPr>
                <w:rFonts w:ascii="宋体" w:hAnsi="宋体"/>
                <w:color w:val="000000"/>
                <w:szCs w:val="21"/>
              </w:rPr>
              <w:t>身份证号</w:t>
            </w:r>
          </w:p>
        </w:tc>
        <w:tc>
          <w:tcPr>
            <w:tcW w:w="1223" w:type="dxa"/>
            <w:vAlign w:val="center"/>
          </w:tcPr>
          <w:p>
            <w:pPr>
              <w:jc w:val="center"/>
              <w:rPr>
                <w:rFonts w:ascii="宋体" w:hAnsi="宋体"/>
                <w:color w:val="000000"/>
                <w:szCs w:val="21"/>
              </w:rPr>
            </w:pPr>
            <w:r>
              <w:rPr>
                <w:rFonts w:ascii="宋体" w:hAnsi="宋体"/>
                <w:color w:val="000000"/>
                <w:szCs w:val="21"/>
              </w:rPr>
              <w:t>专业</w:t>
            </w:r>
          </w:p>
        </w:tc>
        <w:tc>
          <w:tcPr>
            <w:tcW w:w="1224" w:type="dxa"/>
            <w:vAlign w:val="center"/>
          </w:tcPr>
          <w:p>
            <w:pPr>
              <w:jc w:val="center"/>
              <w:rPr>
                <w:rFonts w:ascii="宋体" w:hAnsi="宋体"/>
                <w:color w:val="000000"/>
                <w:szCs w:val="21"/>
              </w:rPr>
            </w:pPr>
            <w:r>
              <w:rPr>
                <w:rFonts w:ascii="宋体" w:hAnsi="宋体"/>
                <w:color w:val="000000"/>
                <w:szCs w:val="21"/>
              </w:rPr>
              <w:t>职称</w:t>
            </w:r>
          </w:p>
        </w:tc>
        <w:tc>
          <w:tcPr>
            <w:tcW w:w="1224" w:type="dxa"/>
            <w:vAlign w:val="center"/>
          </w:tcPr>
          <w:p>
            <w:pPr>
              <w:jc w:val="center"/>
              <w:rPr>
                <w:rFonts w:ascii="宋体" w:hAnsi="宋体"/>
                <w:color w:val="000000"/>
                <w:szCs w:val="21"/>
              </w:rPr>
            </w:pPr>
            <w:r>
              <w:rPr>
                <w:rFonts w:ascii="宋体" w:hAnsi="宋体"/>
                <w:color w:val="000000"/>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olor w:val="000000"/>
                <w:szCs w:val="21"/>
              </w:rPr>
            </w:pPr>
            <w:r>
              <w:rPr>
                <w:rFonts w:ascii="宋体" w:hAnsi="宋体"/>
                <w:color w:val="000000"/>
                <w:szCs w:val="21"/>
              </w:rPr>
              <w:t>项目负责人</w:t>
            </w:r>
          </w:p>
        </w:tc>
        <w:tc>
          <w:tcPr>
            <w:tcW w:w="1770" w:type="dxa"/>
            <w:vAlign w:val="center"/>
          </w:tcPr>
          <w:p>
            <w:pPr>
              <w:jc w:val="center"/>
              <w:rPr>
                <w:rFonts w:ascii="宋体" w:hAnsi="宋体"/>
                <w:color w:val="000000"/>
                <w:szCs w:val="21"/>
              </w:rPr>
            </w:pPr>
          </w:p>
        </w:tc>
        <w:tc>
          <w:tcPr>
            <w:tcW w:w="1183" w:type="dxa"/>
            <w:vAlign w:val="center"/>
          </w:tcPr>
          <w:p>
            <w:pPr>
              <w:jc w:val="center"/>
              <w:rPr>
                <w:rFonts w:ascii="宋体" w:hAnsi="宋体"/>
                <w:color w:val="000000"/>
                <w:szCs w:val="21"/>
              </w:rPr>
            </w:pPr>
          </w:p>
        </w:tc>
        <w:tc>
          <w:tcPr>
            <w:tcW w:w="1223" w:type="dxa"/>
            <w:vAlign w:val="center"/>
          </w:tcPr>
          <w:p>
            <w:pPr>
              <w:jc w:val="center"/>
              <w:rPr>
                <w:rFonts w:ascii="宋体" w:hAnsi="宋体"/>
                <w:color w:val="000000"/>
                <w:szCs w:val="21"/>
              </w:rPr>
            </w:pPr>
          </w:p>
        </w:tc>
        <w:tc>
          <w:tcPr>
            <w:tcW w:w="1223" w:type="dxa"/>
            <w:vAlign w:val="center"/>
          </w:tcPr>
          <w:p>
            <w:pPr>
              <w:jc w:val="center"/>
              <w:rPr>
                <w:rFonts w:ascii="宋体" w:hAnsi="宋体"/>
                <w:color w:val="000000"/>
                <w:szCs w:val="21"/>
              </w:rPr>
            </w:pPr>
          </w:p>
        </w:tc>
        <w:tc>
          <w:tcPr>
            <w:tcW w:w="1224" w:type="dxa"/>
            <w:vAlign w:val="center"/>
          </w:tcPr>
          <w:p>
            <w:pPr>
              <w:jc w:val="center"/>
              <w:rPr>
                <w:rFonts w:ascii="宋体" w:hAnsi="宋体"/>
                <w:color w:val="000000"/>
                <w:szCs w:val="21"/>
              </w:rPr>
            </w:pPr>
          </w:p>
        </w:tc>
        <w:tc>
          <w:tcPr>
            <w:tcW w:w="1224"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75" w:type="dxa"/>
            <w:vMerge w:val="restart"/>
            <w:vAlign w:val="center"/>
          </w:tcPr>
          <w:p>
            <w:pPr>
              <w:jc w:val="center"/>
              <w:rPr>
                <w:rFonts w:ascii="宋体" w:hAnsi="宋体"/>
                <w:color w:val="000000"/>
                <w:szCs w:val="21"/>
              </w:rPr>
            </w:pPr>
            <w:r>
              <w:rPr>
                <w:rFonts w:hint="eastAsia" w:ascii="宋体" w:hAnsi="宋体"/>
                <w:color w:val="000000"/>
                <w:szCs w:val="21"/>
              </w:rPr>
              <w:t>管理</w:t>
            </w:r>
            <w:r>
              <w:rPr>
                <w:rFonts w:ascii="宋体" w:hAnsi="宋体"/>
                <w:color w:val="000000"/>
                <w:szCs w:val="21"/>
              </w:rPr>
              <w:t>人员</w:t>
            </w:r>
          </w:p>
        </w:tc>
        <w:tc>
          <w:tcPr>
            <w:tcW w:w="1770" w:type="dxa"/>
            <w:vAlign w:val="center"/>
          </w:tcPr>
          <w:p>
            <w:pPr>
              <w:jc w:val="center"/>
              <w:rPr>
                <w:rFonts w:ascii="宋体" w:hAnsi="宋体"/>
                <w:color w:val="000000"/>
                <w:szCs w:val="21"/>
              </w:rPr>
            </w:pPr>
          </w:p>
        </w:tc>
        <w:tc>
          <w:tcPr>
            <w:tcW w:w="1183" w:type="dxa"/>
            <w:vAlign w:val="center"/>
          </w:tcPr>
          <w:p>
            <w:pPr>
              <w:jc w:val="center"/>
              <w:rPr>
                <w:rFonts w:ascii="宋体" w:hAnsi="宋体"/>
                <w:color w:val="000000"/>
                <w:szCs w:val="21"/>
              </w:rPr>
            </w:pPr>
          </w:p>
        </w:tc>
        <w:tc>
          <w:tcPr>
            <w:tcW w:w="1223" w:type="dxa"/>
            <w:vAlign w:val="center"/>
          </w:tcPr>
          <w:p>
            <w:pPr>
              <w:jc w:val="center"/>
              <w:rPr>
                <w:rFonts w:ascii="宋体" w:hAnsi="宋体"/>
                <w:color w:val="000000"/>
                <w:szCs w:val="21"/>
              </w:rPr>
            </w:pPr>
          </w:p>
        </w:tc>
        <w:tc>
          <w:tcPr>
            <w:tcW w:w="1223" w:type="dxa"/>
            <w:vAlign w:val="center"/>
          </w:tcPr>
          <w:p>
            <w:pPr>
              <w:jc w:val="center"/>
              <w:rPr>
                <w:rFonts w:ascii="宋体" w:hAnsi="宋体"/>
                <w:color w:val="000000"/>
                <w:szCs w:val="21"/>
              </w:rPr>
            </w:pPr>
          </w:p>
        </w:tc>
        <w:tc>
          <w:tcPr>
            <w:tcW w:w="1224" w:type="dxa"/>
            <w:vAlign w:val="center"/>
          </w:tcPr>
          <w:p>
            <w:pPr>
              <w:jc w:val="center"/>
              <w:rPr>
                <w:rFonts w:ascii="宋体" w:hAnsi="宋体"/>
                <w:color w:val="000000"/>
                <w:szCs w:val="21"/>
              </w:rPr>
            </w:pPr>
          </w:p>
        </w:tc>
        <w:tc>
          <w:tcPr>
            <w:tcW w:w="1224"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75" w:type="dxa"/>
            <w:vMerge w:val="continue"/>
            <w:vAlign w:val="center"/>
          </w:tcPr>
          <w:p>
            <w:pPr>
              <w:jc w:val="center"/>
              <w:rPr>
                <w:rFonts w:ascii="宋体" w:hAnsi="宋体"/>
                <w:color w:val="000000"/>
                <w:szCs w:val="21"/>
              </w:rPr>
            </w:pPr>
          </w:p>
        </w:tc>
        <w:tc>
          <w:tcPr>
            <w:tcW w:w="1770" w:type="dxa"/>
            <w:vAlign w:val="center"/>
          </w:tcPr>
          <w:p>
            <w:pPr>
              <w:jc w:val="center"/>
              <w:rPr>
                <w:rFonts w:ascii="宋体" w:hAnsi="宋体"/>
                <w:color w:val="000000"/>
                <w:szCs w:val="21"/>
              </w:rPr>
            </w:pPr>
          </w:p>
        </w:tc>
        <w:tc>
          <w:tcPr>
            <w:tcW w:w="1183" w:type="dxa"/>
            <w:vAlign w:val="center"/>
          </w:tcPr>
          <w:p>
            <w:pPr>
              <w:jc w:val="center"/>
              <w:rPr>
                <w:rFonts w:ascii="宋体" w:hAnsi="宋体"/>
                <w:color w:val="000000"/>
                <w:szCs w:val="21"/>
              </w:rPr>
            </w:pPr>
          </w:p>
        </w:tc>
        <w:tc>
          <w:tcPr>
            <w:tcW w:w="1223" w:type="dxa"/>
            <w:vAlign w:val="center"/>
          </w:tcPr>
          <w:p>
            <w:pPr>
              <w:jc w:val="center"/>
              <w:rPr>
                <w:rFonts w:ascii="宋体" w:hAnsi="宋体"/>
                <w:color w:val="000000"/>
                <w:szCs w:val="21"/>
              </w:rPr>
            </w:pPr>
          </w:p>
        </w:tc>
        <w:tc>
          <w:tcPr>
            <w:tcW w:w="1223" w:type="dxa"/>
            <w:vAlign w:val="center"/>
          </w:tcPr>
          <w:p>
            <w:pPr>
              <w:jc w:val="center"/>
              <w:rPr>
                <w:rFonts w:ascii="宋体" w:hAnsi="宋体"/>
                <w:color w:val="000000"/>
                <w:szCs w:val="21"/>
              </w:rPr>
            </w:pPr>
          </w:p>
        </w:tc>
        <w:tc>
          <w:tcPr>
            <w:tcW w:w="1224" w:type="dxa"/>
            <w:vAlign w:val="center"/>
          </w:tcPr>
          <w:p>
            <w:pPr>
              <w:jc w:val="center"/>
              <w:rPr>
                <w:rFonts w:ascii="宋体" w:hAnsi="宋体"/>
                <w:color w:val="000000"/>
                <w:szCs w:val="21"/>
              </w:rPr>
            </w:pPr>
          </w:p>
        </w:tc>
        <w:tc>
          <w:tcPr>
            <w:tcW w:w="1224"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2" w:hRule="atLeast"/>
        </w:trPr>
        <w:tc>
          <w:tcPr>
            <w:tcW w:w="675" w:type="dxa"/>
            <w:vMerge w:val="continue"/>
            <w:vAlign w:val="center"/>
          </w:tcPr>
          <w:p>
            <w:pPr>
              <w:jc w:val="center"/>
              <w:rPr>
                <w:rFonts w:ascii="宋体" w:hAnsi="宋体"/>
                <w:color w:val="000000"/>
                <w:szCs w:val="21"/>
              </w:rPr>
            </w:pPr>
          </w:p>
        </w:tc>
        <w:tc>
          <w:tcPr>
            <w:tcW w:w="1770" w:type="dxa"/>
            <w:vAlign w:val="center"/>
          </w:tcPr>
          <w:p>
            <w:pPr>
              <w:jc w:val="center"/>
              <w:rPr>
                <w:rFonts w:ascii="宋体" w:hAnsi="宋体"/>
                <w:color w:val="000000"/>
                <w:szCs w:val="21"/>
              </w:rPr>
            </w:pPr>
          </w:p>
        </w:tc>
        <w:tc>
          <w:tcPr>
            <w:tcW w:w="1183" w:type="dxa"/>
            <w:vAlign w:val="center"/>
          </w:tcPr>
          <w:p>
            <w:pPr>
              <w:jc w:val="center"/>
              <w:rPr>
                <w:rFonts w:ascii="宋体" w:hAnsi="宋体"/>
                <w:color w:val="000000"/>
                <w:szCs w:val="21"/>
              </w:rPr>
            </w:pPr>
          </w:p>
        </w:tc>
        <w:tc>
          <w:tcPr>
            <w:tcW w:w="1223" w:type="dxa"/>
            <w:vAlign w:val="center"/>
          </w:tcPr>
          <w:p>
            <w:pPr>
              <w:jc w:val="center"/>
              <w:rPr>
                <w:rFonts w:ascii="宋体" w:hAnsi="宋体"/>
                <w:color w:val="000000"/>
                <w:szCs w:val="21"/>
              </w:rPr>
            </w:pPr>
          </w:p>
        </w:tc>
        <w:tc>
          <w:tcPr>
            <w:tcW w:w="1223" w:type="dxa"/>
            <w:vAlign w:val="center"/>
          </w:tcPr>
          <w:p>
            <w:pPr>
              <w:jc w:val="center"/>
              <w:rPr>
                <w:rFonts w:ascii="宋体" w:hAnsi="宋体"/>
                <w:color w:val="000000"/>
                <w:szCs w:val="21"/>
              </w:rPr>
            </w:pPr>
          </w:p>
        </w:tc>
        <w:tc>
          <w:tcPr>
            <w:tcW w:w="1224" w:type="dxa"/>
            <w:vAlign w:val="center"/>
          </w:tcPr>
          <w:p>
            <w:pPr>
              <w:jc w:val="center"/>
              <w:rPr>
                <w:rFonts w:ascii="宋体" w:hAnsi="宋体"/>
                <w:color w:val="000000"/>
                <w:szCs w:val="21"/>
              </w:rPr>
            </w:pPr>
          </w:p>
        </w:tc>
        <w:tc>
          <w:tcPr>
            <w:tcW w:w="1224"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restart"/>
            <w:vAlign w:val="center"/>
          </w:tcPr>
          <w:p>
            <w:pPr>
              <w:jc w:val="center"/>
              <w:rPr>
                <w:rFonts w:ascii="宋体" w:hAnsi="宋体"/>
                <w:color w:val="000000"/>
                <w:szCs w:val="21"/>
              </w:rPr>
            </w:pPr>
            <w:r>
              <w:rPr>
                <w:rFonts w:ascii="宋体" w:hAnsi="宋体"/>
                <w:color w:val="000000"/>
                <w:szCs w:val="21"/>
              </w:rPr>
              <w:t>专业人员</w:t>
            </w:r>
          </w:p>
        </w:tc>
        <w:tc>
          <w:tcPr>
            <w:tcW w:w="1770" w:type="dxa"/>
            <w:vAlign w:val="center"/>
          </w:tcPr>
          <w:p>
            <w:pPr>
              <w:jc w:val="center"/>
              <w:rPr>
                <w:rFonts w:ascii="宋体" w:hAnsi="宋体"/>
                <w:color w:val="000000"/>
                <w:szCs w:val="21"/>
              </w:rPr>
            </w:pPr>
          </w:p>
        </w:tc>
        <w:tc>
          <w:tcPr>
            <w:tcW w:w="1183" w:type="dxa"/>
            <w:vAlign w:val="center"/>
          </w:tcPr>
          <w:p>
            <w:pPr>
              <w:jc w:val="center"/>
              <w:rPr>
                <w:rFonts w:ascii="宋体" w:hAnsi="宋体"/>
                <w:color w:val="000000"/>
                <w:szCs w:val="21"/>
              </w:rPr>
            </w:pPr>
          </w:p>
        </w:tc>
        <w:tc>
          <w:tcPr>
            <w:tcW w:w="1223" w:type="dxa"/>
            <w:vAlign w:val="center"/>
          </w:tcPr>
          <w:p>
            <w:pPr>
              <w:jc w:val="center"/>
              <w:rPr>
                <w:rFonts w:ascii="宋体" w:hAnsi="宋体"/>
                <w:color w:val="000000"/>
                <w:szCs w:val="21"/>
              </w:rPr>
            </w:pPr>
          </w:p>
        </w:tc>
        <w:tc>
          <w:tcPr>
            <w:tcW w:w="1223" w:type="dxa"/>
            <w:vAlign w:val="center"/>
          </w:tcPr>
          <w:p>
            <w:pPr>
              <w:jc w:val="center"/>
              <w:rPr>
                <w:rFonts w:ascii="宋体" w:hAnsi="宋体"/>
                <w:color w:val="000000"/>
                <w:szCs w:val="21"/>
              </w:rPr>
            </w:pPr>
          </w:p>
        </w:tc>
        <w:tc>
          <w:tcPr>
            <w:tcW w:w="1224" w:type="dxa"/>
            <w:vAlign w:val="center"/>
          </w:tcPr>
          <w:p>
            <w:pPr>
              <w:jc w:val="center"/>
              <w:rPr>
                <w:rFonts w:ascii="宋体" w:hAnsi="宋体"/>
                <w:color w:val="000000"/>
                <w:szCs w:val="21"/>
              </w:rPr>
            </w:pPr>
          </w:p>
        </w:tc>
        <w:tc>
          <w:tcPr>
            <w:tcW w:w="1224"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675" w:type="dxa"/>
            <w:vMerge w:val="continue"/>
            <w:vAlign w:val="center"/>
          </w:tcPr>
          <w:p>
            <w:pPr>
              <w:jc w:val="center"/>
              <w:rPr>
                <w:rFonts w:ascii="宋体" w:hAnsi="宋体"/>
                <w:color w:val="000000"/>
                <w:szCs w:val="21"/>
              </w:rPr>
            </w:pPr>
          </w:p>
        </w:tc>
        <w:tc>
          <w:tcPr>
            <w:tcW w:w="1770" w:type="dxa"/>
            <w:vAlign w:val="center"/>
          </w:tcPr>
          <w:p>
            <w:pPr>
              <w:jc w:val="center"/>
              <w:rPr>
                <w:rFonts w:ascii="宋体" w:hAnsi="宋体"/>
                <w:color w:val="000000"/>
                <w:szCs w:val="21"/>
              </w:rPr>
            </w:pPr>
          </w:p>
        </w:tc>
        <w:tc>
          <w:tcPr>
            <w:tcW w:w="1183" w:type="dxa"/>
            <w:vAlign w:val="center"/>
          </w:tcPr>
          <w:p>
            <w:pPr>
              <w:jc w:val="center"/>
              <w:rPr>
                <w:rFonts w:ascii="宋体" w:hAnsi="宋体"/>
                <w:color w:val="000000"/>
                <w:szCs w:val="21"/>
              </w:rPr>
            </w:pPr>
          </w:p>
        </w:tc>
        <w:tc>
          <w:tcPr>
            <w:tcW w:w="1223" w:type="dxa"/>
            <w:vAlign w:val="center"/>
          </w:tcPr>
          <w:p>
            <w:pPr>
              <w:jc w:val="center"/>
              <w:rPr>
                <w:rFonts w:ascii="宋体" w:hAnsi="宋体"/>
                <w:color w:val="000000"/>
                <w:szCs w:val="21"/>
              </w:rPr>
            </w:pPr>
          </w:p>
        </w:tc>
        <w:tc>
          <w:tcPr>
            <w:tcW w:w="1223" w:type="dxa"/>
            <w:vAlign w:val="center"/>
          </w:tcPr>
          <w:p>
            <w:pPr>
              <w:jc w:val="center"/>
              <w:rPr>
                <w:rFonts w:ascii="宋体" w:hAnsi="宋体"/>
                <w:color w:val="000000"/>
                <w:szCs w:val="21"/>
              </w:rPr>
            </w:pPr>
          </w:p>
        </w:tc>
        <w:tc>
          <w:tcPr>
            <w:tcW w:w="1224" w:type="dxa"/>
            <w:vAlign w:val="center"/>
          </w:tcPr>
          <w:p>
            <w:pPr>
              <w:jc w:val="center"/>
              <w:rPr>
                <w:rFonts w:ascii="宋体" w:hAnsi="宋体"/>
                <w:color w:val="000000"/>
                <w:szCs w:val="21"/>
              </w:rPr>
            </w:pPr>
          </w:p>
        </w:tc>
        <w:tc>
          <w:tcPr>
            <w:tcW w:w="1224"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75" w:type="dxa"/>
            <w:vMerge w:val="continue"/>
            <w:vAlign w:val="center"/>
          </w:tcPr>
          <w:p>
            <w:pPr>
              <w:jc w:val="center"/>
              <w:rPr>
                <w:rFonts w:ascii="宋体" w:hAnsi="宋体"/>
                <w:color w:val="000000"/>
                <w:szCs w:val="21"/>
              </w:rPr>
            </w:pPr>
          </w:p>
        </w:tc>
        <w:tc>
          <w:tcPr>
            <w:tcW w:w="1770" w:type="dxa"/>
            <w:vAlign w:val="center"/>
          </w:tcPr>
          <w:p>
            <w:pPr>
              <w:jc w:val="center"/>
              <w:rPr>
                <w:rFonts w:ascii="宋体" w:hAnsi="宋体"/>
                <w:color w:val="000000"/>
                <w:szCs w:val="21"/>
              </w:rPr>
            </w:pPr>
          </w:p>
        </w:tc>
        <w:tc>
          <w:tcPr>
            <w:tcW w:w="1183" w:type="dxa"/>
            <w:vAlign w:val="center"/>
          </w:tcPr>
          <w:p>
            <w:pPr>
              <w:jc w:val="center"/>
              <w:rPr>
                <w:rFonts w:ascii="宋体" w:hAnsi="宋体"/>
                <w:color w:val="000000"/>
                <w:szCs w:val="21"/>
              </w:rPr>
            </w:pPr>
          </w:p>
        </w:tc>
        <w:tc>
          <w:tcPr>
            <w:tcW w:w="1223" w:type="dxa"/>
            <w:vAlign w:val="center"/>
          </w:tcPr>
          <w:p>
            <w:pPr>
              <w:jc w:val="center"/>
              <w:rPr>
                <w:rFonts w:ascii="宋体" w:hAnsi="宋体"/>
                <w:color w:val="000000"/>
                <w:szCs w:val="21"/>
              </w:rPr>
            </w:pPr>
          </w:p>
        </w:tc>
        <w:tc>
          <w:tcPr>
            <w:tcW w:w="1223" w:type="dxa"/>
            <w:vAlign w:val="center"/>
          </w:tcPr>
          <w:p>
            <w:pPr>
              <w:jc w:val="center"/>
              <w:rPr>
                <w:rFonts w:ascii="宋体" w:hAnsi="宋体"/>
                <w:color w:val="000000"/>
                <w:szCs w:val="21"/>
              </w:rPr>
            </w:pPr>
          </w:p>
        </w:tc>
        <w:tc>
          <w:tcPr>
            <w:tcW w:w="1224" w:type="dxa"/>
            <w:vAlign w:val="center"/>
          </w:tcPr>
          <w:p>
            <w:pPr>
              <w:jc w:val="center"/>
              <w:rPr>
                <w:rFonts w:ascii="宋体" w:hAnsi="宋体"/>
                <w:color w:val="000000"/>
                <w:szCs w:val="21"/>
              </w:rPr>
            </w:pPr>
          </w:p>
        </w:tc>
        <w:tc>
          <w:tcPr>
            <w:tcW w:w="1224"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75" w:type="dxa"/>
            <w:vMerge w:val="restart"/>
            <w:vAlign w:val="center"/>
          </w:tcPr>
          <w:p>
            <w:pPr>
              <w:jc w:val="center"/>
              <w:rPr>
                <w:rFonts w:ascii="宋体" w:hAnsi="宋体"/>
                <w:color w:val="000000"/>
                <w:szCs w:val="21"/>
              </w:rPr>
            </w:pPr>
            <w:r>
              <w:rPr>
                <w:rFonts w:ascii="宋体" w:hAnsi="宋体"/>
                <w:color w:val="000000"/>
                <w:szCs w:val="21"/>
              </w:rPr>
              <w:t>其他</w:t>
            </w:r>
          </w:p>
        </w:tc>
        <w:tc>
          <w:tcPr>
            <w:tcW w:w="1770" w:type="dxa"/>
            <w:vAlign w:val="center"/>
          </w:tcPr>
          <w:p>
            <w:pPr>
              <w:jc w:val="center"/>
              <w:rPr>
                <w:rFonts w:ascii="宋体" w:hAnsi="宋体"/>
                <w:color w:val="000000"/>
                <w:szCs w:val="21"/>
              </w:rPr>
            </w:pPr>
          </w:p>
        </w:tc>
        <w:tc>
          <w:tcPr>
            <w:tcW w:w="1183" w:type="dxa"/>
            <w:vAlign w:val="center"/>
          </w:tcPr>
          <w:p>
            <w:pPr>
              <w:jc w:val="center"/>
              <w:rPr>
                <w:rFonts w:ascii="宋体" w:hAnsi="宋体"/>
                <w:color w:val="000000"/>
                <w:szCs w:val="21"/>
              </w:rPr>
            </w:pPr>
          </w:p>
        </w:tc>
        <w:tc>
          <w:tcPr>
            <w:tcW w:w="1223" w:type="dxa"/>
            <w:vAlign w:val="center"/>
          </w:tcPr>
          <w:p>
            <w:pPr>
              <w:jc w:val="center"/>
              <w:rPr>
                <w:rFonts w:ascii="宋体" w:hAnsi="宋体"/>
                <w:color w:val="000000"/>
                <w:szCs w:val="21"/>
              </w:rPr>
            </w:pPr>
          </w:p>
        </w:tc>
        <w:tc>
          <w:tcPr>
            <w:tcW w:w="1223" w:type="dxa"/>
            <w:vAlign w:val="center"/>
          </w:tcPr>
          <w:p>
            <w:pPr>
              <w:jc w:val="center"/>
              <w:rPr>
                <w:rFonts w:ascii="宋体" w:hAnsi="宋体"/>
                <w:color w:val="000000"/>
                <w:szCs w:val="21"/>
              </w:rPr>
            </w:pPr>
          </w:p>
        </w:tc>
        <w:tc>
          <w:tcPr>
            <w:tcW w:w="1224" w:type="dxa"/>
            <w:vAlign w:val="center"/>
          </w:tcPr>
          <w:p>
            <w:pPr>
              <w:jc w:val="center"/>
              <w:rPr>
                <w:rFonts w:ascii="宋体" w:hAnsi="宋体"/>
                <w:color w:val="000000"/>
                <w:szCs w:val="21"/>
              </w:rPr>
            </w:pPr>
          </w:p>
        </w:tc>
        <w:tc>
          <w:tcPr>
            <w:tcW w:w="1224"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vMerge w:val="continue"/>
            <w:vAlign w:val="center"/>
          </w:tcPr>
          <w:p>
            <w:pPr>
              <w:jc w:val="center"/>
              <w:rPr>
                <w:rFonts w:ascii="宋体" w:hAnsi="宋体"/>
                <w:color w:val="000000"/>
                <w:szCs w:val="21"/>
              </w:rPr>
            </w:pPr>
          </w:p>
        </w:tc>
        <w:tc>
          <w:tcPr>
            <w:tcW w:w="1770" w:type="dxa"/>
            <w:vAlign w:val="center"/>
          </w:tcPr>
          <w:p>
            <w:pPr>
              <w:jc w:val="center"/>
              <w:rPr>
                <w:rFonts w:ascii="宋体" w:hAnsi="宋体"/>
                <w:color w:val="000000"/>
                <w:szCs w:val="21"/>
              </w:rPr>
            </w:pPr>
          </w:p>
        </w:tc>
        <w:tc>
          <w:tcPr>
            <w:tcW w:w="1183" w:type="dxa"/>
            <w:vAlign w:val="center"/>
          </w:tcPr>
          <w:p>
            <w:pPr>
              <w:jc w:val="center"/>
              <w:rPr>
                <w:rFonts w:ascii="宋体" w:hAnsi="宋体"/>
                <w:color w:val="000000"/>
                <w:szCs w:val="21"/>
              </w:rPr>
            </w:pPr>
          </w:p>
        </w:tc>
        <w:tc>
          <w:tcPr>
            <w:tcW w:w="1223" w:type="dxa"/>
            <w:vAlign w:val="center"/>
          </w:tcPr>
          <w:p>
            <w:pPr>
              <w:jc w:val="center"/>
              <w:rPr>
                <w:rFonts w:ascii="宋体" w:hAnsi="宋体"/>
                <w:color w:val="000000"/>
                <w:szCs w:val="21"/>
              </w:rPr>
            </w:pPr>
          </w:p>
        </w:tc>
        <w:tc>
          <w:tcPr>
            <w:tcW w:w="1223" w:type="dxa"/>
            <w:vAlign w:val="center"/>
          </w:tcPr>
          <w:p>
            <w:pPr>
              <w:jc w:val="center"/>
              <w:rPr>
                <w:rFonts w:ascii="宋体" w:hAnsi="宋体"/>
                <w:color w:val="000000"/>
                <w:szCs w:val="21"/>
              </w:rPr>
            </w:pPr>
          </w:p>
        </w:tc>
        <w:tc>
          <w:tcPr>
            <w:tcW w:w="1224" w:type="dxa"/>
            <w:vAlign w:val="center"/>
          </w:tcPr>
          <w:p>
            <w:pPr>
              <w:jc w:val="center"/>
              <w:rPr>
                <w:rFonts w:ascii="宋体" w:hAnsi="宋体"/>
                <w:color w:val="000000"/>
                <w:szCs w:val="21"/>
              </w:rPr>
            </w:pPr>
          </w:p>
        </w:tc>
        <w:tc>
          <w:tcPr>
            <w:tcW w:w="1224"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rPr>
        <w:tc>
          <w:tcPr>
            <w:tcW w:w="675" w:type="dxa"/>
            <w:vMerge w:val="continue"/>
            <w:vAlign w:val="center"/>
          </w:tcPr>
          <w:p>
            <w:pPr>
              <w:jc w:val="center"/>
              <w:rPr>
                <w:rFonts w:ascii="宋体" w:hAnsi="宋体"/>
                <w:color w:val="000000"/>
                <w:szCs w:val="21"/>
              </w:rPr>
            </w:pPr>
          </w:p>
        </w:tc>
        <w:tc>
          <w:tcPr>
            <w:tcW w:w="1770" w:type="dxa"/>
            <w:vAlign w:val="center"/>
          </w:tcPr>
          <w:p>
            <w:pPr>
              <w:jc w:val="center"/>
              <w:rPr>
                <w:rFonts w:ascii="宋体" w:hAnsi="宋体"/>
                <w:color w:val="000000"/>
                <w:szCs w:val="21"/>
              </w:rPr>
            </w:pPr>
          </w:p>
        </w:tc>
        <w:tc>
          <w:tcPr>
            <w:tcW w:w="1183" w:type="dxa"/>
            <w:vAlign w:val="center"/>
          </w:tcPr>
          <w:p>
            <w:pPr>
              <w:jc w:val="center"/>
              <w:rPr>
                <w:rFonts w:ascii="宋体" w:hAnsi="宋体"/>
                <w:color w:val="000000"/>
                <w:szCs w:val="21"/>
              </w:rPr>
            </w:pPr>
          </w:p>
        </w:tc>
        <w:tc>
          <w:tcPr>
            <w:tcW w:w="1223" w:type="dxa"/>
            <w:vAlign w:val="center"/>
          </w:tcPr>
          <w:p>
            <w:pPr>
              <w:jc w:val="center"/>
              <w:rPr>
                <w:rFonts w:ascii="宋体" w:hAnsi="宋体"/>
                <w:color w:val="000000"/>
                <w:szCs w:val="21"/>
              </w:rPr>
            </w:pPr>
          </w:p>
        </w:tc>
        <w:tc>
          <w:tcPr>
            <w:tcW w:w="1223" w:type="dxa"/>
            <w:vAlign w:val="center"/>
          </w:tcPr>
          <w:p>
            <w:pPr>
              <w:jc w:val="center"/>
              <w:rPr>
                <w:rFonts w:ascii="宋体" w:hAnsi="宋体"/>
                <w:color w:val="000000"/>
                <w:szCs w:val="21"/>
              </w:rPr>
            </w:pPr>
          </w:p>
        </w:tc>
        <w:tc>
          <w:tcPr>
            <w:tcW w:w="1224" w:type="dxa"/>
            <w:vAlign w:val="center"/>
          </w:tcPr>
          <w:p>
            <w:pPr>
              <w:jc w:val="center"/>
              <w:rPr>
                <w:rFonts w:ascii="宋体" w:hAnsi="宋体"/>
                <w:color w:val="000000"/>
                <w:szCs w:val="21"/>
              </w:rPr>
            </w:pPr>
          </w:p>
        </w:tc>
        <w:tc>
          <w:tcPr>
            <w:tcW w:w="1224" w:type="dxa"/>
            <w:vAlign w:val="center"/>
          </w:tcPr>
          <w:p>
            <w:pPr>
              <w:jc w:val="center"/>
              <w:rPr>
                <w:rFonts w:ascii="宋体" w:hAnsi="宋体"/>
                <w:color w:val="000000"/>
                <w:szCs w:val="21"/>
              </w:rPr>
            </w:pPr>
          </w:p>
        </w:tc>
      </w:tr>
    </w:tbl>
    <w:p>
      <w:pPr>
        <w:widowControl/>
        <w:rPr>
          <w:rFonts w:ascii="宋体" w:hAnsi="宋体" w:cs="宋体" w:eastAsiaTheme="minorEastAsia"/>
          <w:b/>
          <w:bCs/>
          <w:sz w:val="36"/>
          <w:szCs w:val="32"/>
          <w:lang w:val="zh-CN"/>
        </w:rPr>
      </w:pPr>
      <w:r>
        <w:rPr>
          <w:rFonts w:ascii="宋体" w:hAnsi="宋体" w:cs="宋体"/>
          <w:lang w:val="zh-CN"/>
        </w:rPr>
        <w:t>注</w:t>
      </w:r>
      <w:r>
        <w:rPr>
          <w:rFonts w:hint="eastAsia" w:ascii="宋体" w:hAnsi="宋体" w:cs="宋体"/>
          <w:lang w:val="zh-CN"/>
        </w:rPr>
        <w:t>：</w:t>
      </w:r>
      <w:r>
        <w:rPr>
          <w:rFonts w:ascii="宋体" w:hAnsi="宋体" w:cs="宋体"/>
          <w:lang w:val="zh-CN"/>
        </w:rPr>
        <w:t>后附人员相关资格证书等证明材料</w:t>
      </w:r>
      <w:r>
        <w:rPr>
          <w:rFonts w:ascii="宋体" w:hAnsi="宋体" w:cs="宋体"/>
          <w:lang w:val="zh-CN"/>
        </w:rPr>
        <w:br w:type="page"/>
      </w:r>
    </w:p>
    <w:p>
      <w:pPr>
        <w:pStyle w:val="30"/>
        <w:spacing w:before="0" w:after="0" w:line="360" w:lineRule="auto"/>
        <w:jc w:val="left"/>
        <w:outlineLvl w:val="1"/>
        <w:rPr>
          <w:rFonts w:ascii="宋体" w:hAnsi="宋体" w:cs="宋体"/>
          <w:lang w:val="zh-CN"/>
        </w:rPr>
      </w:pPr>
      <w:bookmarkStart w:id="82" w:name="_Toc78187960"/>
      <w:r>
        <w:rPr>
          <w:rFonts w:hint="eastAsia" w:ascii="宋体" w:hAnsi="宋体" w:cs="宋体"/>
          <w:sz w:val="30"/>
          <w:szCs w:val="30"/>
        </w:rPr>
        <w:t>（1</w:t>
      </w:r>
      <w:r>
        <w:rPr>
          <w:rFonts w:ascii="宋体" w:hAnsi="宋体" w:cs="宋体"/>
          <w:sz w:val="30"/>
          <w:szCs w:val="30"/>
        </w:rPr>
        <w:t>6</w:t>
      </w:r>
      <w:r>
        <w:rPr>
          <w:rFonts w:hint="eastAsia" w:ascii="宋体" w:hAnsi="宋体" w:cs="宋体"/>
          <w:sz w:val="30"/>
          <w:szCs w:val="30"/>
        </w:rPr>
        <w:t>）</w:t>
      </w:r>
      <w:bookmarkEnd w:id="81"/>
      <w:bookmarkEnd w:id="82"/>
      <w:r>
        <w:rPr>
          <w:rFonts w:hint="eastAsia" w:ascii="宋体" w:hAnsi="宋体" w:cs="宋体"/>
          <w:sz w:val="30"/>
          <w:szCs w:val="30"/>
          <w:lang w:val="zh-CN"/>
        </w:rPr>
        <w:t>中小企业声明函、残疾人福利性单位声明函、监狱企业</w:t>
      </w:r>
    </w:p>
    <w:p>
      <w:pPr>
        <w:spacing w:line="360" w:lineRule="auto"/>
        <w:rPr>
          <w:rFonts w:ascii="宋体" w:hAnsi="宋体" w:cs="宋体"/>
          <w:sz w:val="28"/>
          <w:szCs w:val="28"/>
          <w:lang w:val="zh-CN"/>
        </w:rPr>
      </w:pPr>
    </w:p>
    <w:p>
      <w:pPr>
        <w:widowControl/>
        <w:jc w:val="center"/>
        <w:outlineLvl w:val="2"/>
        <w:rPr>
          <w:rFonts w:ascii="仿宋" w:hAnsi="仿宋" w:eastAsia="仿宋"/>
          <w:b/>
          <w:sz w:val="32"/>
          <w:szCs w:val="32"/>
        </w:rPr>
      </w:pPr>
      <w:bookmarkStart w:id="83" w:name="_Toc67048193"/>
      <w:bookmarkStart w:id="84" w:name="_Toc78187961"/>
      <w:bookmarkStart w:id="85" w:name="_Toc743"/>
      <w:r>
        <w:rPr>
          <w:rFonts w:hint="eastAsia" w:ascii="仿宋" w:hAnsi="仿宋" w:eastAsia="仿宋"/>
          <w:b/>
          <w:sz w:val="32"/>
          <w:szCs w:val="32"/>
        </w:rPr>
        <w:t>中小企业声明函</w:t>
      </w:r>
    </w:p>
    <w:p>
      <w:pPr>
        <w:widowControl/>
        <w:jc w:val="center"/>
        <w:rPr>
          <w:rFonts w:ascii="仿宋" w:hAnsi="仿宋" w:eastAsia="仿宋"/>
          <w:b/>
          <w:sz w:val="32"/>
          <w:szCs w:val="32"/>
        </w:rPr>
      </w:pPr>
    </w:p>
    <w:p>
      <w:pPr>
        <w:spacing w:line="360" w:lineRule="auto"/>
        <w:ind w:firstLine="480" w:firstLineChars="200"/>
        <w:jc w:val="left"/>
        <w:rPr>
          <w:rFonts w:ascii="仿宋" w:hAnsi="仿宋" w:eastAsia="仿宋"/>
        </w:rPr>
      </w:pPr>
      <w:r>
        <w:rPr>
          <w:rFonts w:hint="eastAsia" w:ascii="仿宋" w:hAnsi="仿宋" w:eastAsia="仿宋"/>
        </w:rPr>
        <w:t>本公司（联合体）郑重声明，根据《政府采购促进中小企业发展管理办法》（财库〔2020</w:t>
      </w:r>
      <w:r>
        <w:rPr>
          <w:rFonts w:ascii="仿宋" w:hAnsi="仿宋" w:eastAsia="仿宋"/>
        </w:rPr>
        <w:t>〕</w:t>
      </w:r>
      <w:r>
        <w:rPr>
          <w:rFonts w:hint="eastAsia" w:ascii="仿宋" w:hAnsi="仿宋" w:eastAsia="仿宋"/>
        </w:rPr>
        <w:t>46 号）</w:t>
      </w:r>
      <w:r>
        <w:rPr>
          <w:rFonts w:ascii="仿宋" w:hAnsi="仿宋" w:eastAsia="仿宋"/>
        </w:rPr>
        <w:t>的规定，</w:t>
      </w:r>
      <w:r>
        <w:rPr>
          <w:rFonts w:hint="eastAsia" w:ascii="仿宋" w:hAnsi="仿宋" w:eastAsia="仿宋"/>
        </w:rPr>
        <w:t xml:space="preserve">本公司（联合体）参加 </w:t>
      </w:r>
      <w:r>
        <w:rPr>
          <w:rFonts w:hint="eastAsia" w:ascii="仿宋" w:hAnsi="仿宋" w:eastAsia="仿宋"/>
          <w:u w:val="single"/>
        </w:rPr>
        <w:t xml:space="preserve">（单位名称） </w:t>
      </w:r>
      <w:r>
        <w:rPr>
          <w:rFonts w:hint="eastAsia" w:ascii="仿宋" w:hAnsi="仿宋" w:eastAsia="仿宋"/>
        </w:rPr>
        <w:t xml:space="preserve">的 </w:t>
      </w:r>
      <w:r>
        <w:rPr>
          <w:rFonts w:hint="eastAsia" w:ascii="仿宋" w:hAnsi="仿宋" w:eastAsia="仿宋"/>
          <w:u w:val="single"/>
        </w:rPr>
        <w:t xml:space="preserve">（项目名称） </w:t>
      </w:r>
      <w:r>
        <w:rPr>
          <w:rFonts w:hint="eastAsia" w:ascii="仿宋" w:hAnsi="仿宋" w:eastAsia="仿宋"/>
        </w:rPr>
        <w:t>采购活动，服务全部由符合政策要求的中小企业承接。相关企业（含联合体中的中小企业、签订分包意向协议的中小企业）的具体情况如下：</w:t>
      </w:r>
      <w:r>
        <w:rPr>
          <w:rFonts w:ascii="仿宋" w:hAnsi="仿宋" w:eastAsia="仿宋"/>
        </w:rPr>
        <w:br w:type="textWrapping"/>
      </w:r>
      <w:r>
        <w:rPr>
          <w:rFonts w:hint="eastAsia" w:ascii="仿宋" w:hAnsi="仿宋" w:eastAsia="仿宋"/>
        </w:rPr>
        <w:t>　　</w:t>
      </w:r>
      <w:bookmarkStart w:id="86" w:name="_Toc413748654"/>
      <w:bookmarkStart w:id="87" w:name="_Toc419811733"/>
      <w:bookmarkStart w:id="88" w:name="_Toc387147344"/>
      <w:bookmarkStart w:id="89" w:name="_Toc387658050"/>
      <w:bookmarkStart w:id="90" w:name="_Toc417911732"/>
      <w:r>
        <w:rPr>
          <w:rFonts w:hint="eastAsia" w:ascii="仿宋" w:hAnsi="仿宋" w:eastAsia="仿宋"/>
        </w:rPr>
        <w:t xml:space="preserve">1. </w:t>
      </w:r>
      <w:r>
        <w:rPr>
          <w:rFonts w:hint="eastAsia" w:ascii="仿宋" w:hAnsi="仿宋" w:eastAsia="仿宋"/>
          <w:u w:val="single"/>
        </w:rPr>
        <w:t xml:space="preserve">（标的名称） </w:t>
      </w:r>
      <w:r>
        <w:rPr>
          <w:rFonts w:hint="eastAsia" w:ascii="仿宋" w:hAnsi="仿宋" w:eastAsia="仿宋"/>
        </w:rPr>
        <w:t>，属于</w:t>
      </w:r>
      <w:r>
        <w:rPr>
          <w:rFonts w:hint="eastAsia" w:ascii="仿宋" w:hAnsi="仿宋" w:eastAsia="仿宋"/>
          <w:u w:val="single"/>
        </w:rPr>
        <w:t xml:space="preserve"> （采购文件中明确的所属行业） </w:t>
      </w:r>
      <w:r>
        <w:rPr>
          <w:rFonts w:hint="eastAsia" w:ascii="仿宋" w:hAnsi="仿宋" w:eastAsia="仿宋"/>
        </w:rPr>
        <w:t>；承接企业为</w:t>
      </w:r>
      <w:r>
        <w:rPr>
          <w:rFonts w:hint="eastAsia" w:ascii="仿宋" w:hAnsi="仿宋" w:eastAsia="仿宋"/>
          <w:u w:val="single"/>
        </w:rPr>
        <w:t xml:space="preserve"> （企业名称） </w:t>
      </w:r>
      <w:r>
        <w:rPr>
          <w:rFonts w:hint="eastAsia" w:ascii="仿宋" w:hAnsi="仿宋" w:eastAsia="仿宋"/>
        </w:rPr>
        <w:t>，从业人员</w:t>
      </w:r>
      <w:r>
        <w:rPr>
          <w:rFonts w:ascii="仿宋" w:hAnsi="仿宋" w:eastAsia="仿宋"/>
          <w:u w:val="single"/>
        </w:rPr>
        <w:t xml:space="preserve">   </w:t>
      </w:r>
      <w:r>
        <w:rPr>
          <w:rFonts w:hint="eastAsia" w:ascii="仿宋" w:hAnsi="仿宋" w:eastAsia="仿宋"/>
        </w:rPr>
        <w:t>人，营业收入为</w:t>
      </w:r>
      <w:r>
        <w:rPr>
          <w:rFonts w:ascii="仿宋" w:hAnsi="仿宋" w:eastAsia="仿宋"/>
          <w:u w:val="single"/>
        </w:rPr>
        <w:t xml:space="preserve">    </w:t>
      </w:r>
      <w:r>
        <w:rPr>
          <w:rFonts w:hint="eastAsia" w:ascii="仿宋" w:hAnsi="仿宋" w:eastAsia="仿宋"/>
        </w:rPr>
        <w:t>万元，资产总额为</w:t>
      </w:r>
      <w:r>
        <w:rPr>
          <w:rFonts w:ascii="仿宋" w:hAnsi="仿宋" w:eastAsia="仿宋"/>
          <w:u w:val="single"/>
        </w:rPr>
        <w:t xml:space="preserve">   </w:t>
      </w:r>
      <w:r>
        <w:rPr>
          <w:rFonts w:hint="eastAsia" w:ascii="仿宋" w:hAnsi="仿宋" w:eastAsia="仿宋"/>
        </w:rPr>
        <w:t>万元，属于</w:t>
      </w:r>
      <w:r>
        <w:rPr>
          <w:rFonts w:hint="eastAsia" w:ascii="仿宋" w:hAnsi="仿宋" w:eastAsia="仿宋"/>
          <w:u w:val="single"/>
        </w:rPr>
        <w:t xml:space="preserve"> （中型企业、小型企业、微型企业） </w:t>
      </w:r>
      <w:r>
        <w:rPr>
          <w:rFonts w:hint="eastAsia" w:ascii="仿宋" w:hAnsi="仿宋" w:eastAsia="仿宋"/>
        </w:rPr>
        <w:t>；</w:t>
      </w:r>
    </w:p>
    <w:p>
      <w:pPr>
        <w:spacing w:line="360" w:lineRule="auto"/>
        <w:ind w:firstLine="600" w:firstLineChars="250"/>
        <w:jc w:val="left"/>
        <w:rPr>
          <w:rFonts w:ascii="仿宋" w:hAnsi="仿宋" w:eastAsia="仿宋"/>
        </w:rPr>
      </w:pPr>
      <w:r>
        <w:rPr>
          <w:rFonts w:hint="eastAsia" w:ascii="仿宋" w:hAnsi="仿宋" w:eastAsia="仿宋"/>
        </w:rPr>
        <w:t>2.</w:t>
      </w:r>
      <w:r>
        <w:rPr>
          <w:rFonts w:hint="eastAsia" w:ascii="仿宋" w:hAnsi="仿宋" w:eastAsia="仿宋"/>
          <w:u w:val="single"/>
        </w:rPr>
        <w:t xml:space="preserve"> （标的名称） </w:t>
      </w:r>
      <w:r>
        <w:rPr>
          <w:rFonts w:hint="eastAsia" w:ascii="仿宋" w:hAnsi="仿宋" w:eastAsia="仿宋"/>
        </w:rPr>
        <w:t>，属于</w:t>
      </w:r>
      <w:r>
        <w:rPr>
          <w:rFonts w:hint="eastAsia" w:ascii="仿宋" w:hAnsi="仿宋" w:eastAsia="仿宋"/>
          <w:u w:val="single"/>
        </w:rPr>
        <w:t xml:space="preserve"> （采购文件中明确的所属行业） </w:t>
      </w:r>
      <w:r>
        <w:rPr>
          <w:rFonts w:hint="eastAsia" w:ascii="仿宋" w:hAnsi="仿宋" w:eastAsia="仿宋"/>
        </w:rPr>
        <w:t>；承接企业为</w:t>
      </w:r>
      <w:r>
        <w:rPr>
          <w:rFonts w:hint="eastAsia" w:ascii="仿宋" w:hAnsi="仿宋" w:eastAsia="仿宋"/>
          <w:u w:val="single"/>
        </w:rPr>
        <w:t xml:space="preserve"> （企业名称） </w:t>
      </w:r>
      <w:r>
        <w:rPr>
          <w:rFonts w:hint="eastAsia" w:ascii="仿宋" w:hAnsi="仿宋" w:eastAsia="仿宋"/>
        </w:rPr>
        <w:t>，从业人员</w:t>
      </w:r>
      <w:r>
        <w:rPr>
          <w:rFonts w:ascii="仿宋" w:hAnsi="仿宋" w:eastAsia="仿宋"/>
          <w:u w:val="single"/>
        </w:rPr>
        <w:t xml:space="preserve">   </w:t>
      </w:r>
      <w:r>
        <w:rPr>
          <w:rFonts w:hint="eastAsia" w:ascii="仿宋" w:hAnsi="仿宋" w:eastAsia="仿宋"/>
        </w:rPr>
        <w:t>人，营业收入为</w:t>
      </w:r>
      <w:r>
        <w:rPr>
          <w:rFonts w:ascii="仿宋" w:hAnsi="仿宋" w:eastAsia="仿宋"/>
          <w:u w:val="single"/>
        </w:rPr>
        <w:t xml:space="preserve">    </w:t>
      </w:r>
      <w:r>
        <w:rPr>
          <w:rFonts w:hint="eastAsia" w:ascii="仿宋" w:hAnsi="仿宋" w:eastAsia="仿宋"/>
        </w:rPr>
        <w:t>万元，资产总额为</w:t>
      </w:r>
      <w:r>
        <w:rPr>
          <w:rFonts w:ascii="仿宋" w:hAnsi="仿宋" w:eastAsia="仿宋"/>
          <w:u w:val="single"/>
        </w:rPr>
        <w:t xml:space="preserve">   </w:t>
      </w:r>
      <w:r>
        <w:rPr>
          <w:rFonts w:hint="eastAsia" w:ascii="仿宋" w:hAnsi="仿宋" w:eastAsia="仿宋"/>
        </w:rPr>
        <w:t>万元，属于</w:t>
      </w:r>
      <w:r>
        <w:rPr>
          <w:rFonts w:hint="eastAsia" w:ascii="仿宋" w:hAnsi="仿宋" w:eastAsia="仿宋"/>
          <w:u w:val="single"/>
        </w:rPr>
        <w:t xml:space="preserve"> （中型企业、小型企业、微型企业） </w:t>
      </w:r>
      <w:r>
        <w:rPr>
          <w:rFonts w:hint="eastAsia" w:ascii="仿宋" w:hAnsi="仿宋" w:eastAsia="仿宋"/>
        </w:rPr>
        <w:t>；</w:t>
      </w:r>
    </w:p>
    <w:p>
      <w:pPr>
        <w:spacing w:line="360" w:lineRule="auto"/>
        <w:ind w:firstLine="600" w:firstLineChars="250"/>
        <w:jc w:val="left"/>
        <w:rPr>
          <w:rFonts w:ascii="仿宋" w:hAnsi="仿宋" w:eastAsia="仿宋"/>
        </w:rPr>
      </w:pPr>
      <w:r>
        <w:rPr>
          <w:rFonts w:hint="eastAsia" w:ascii="仿宋" w:hAnsi="仿宋" w:eastAsia="仿宋"/>
        </w:rPr>
        <w:t>……</w:t>
      </w:r>
    </w:p>
    <w:p>
      <w:pPr>
        <w:spacing w:line="360" w:lineRule="auto"/>
        <w:ind w:firstLine="600" w:firstLineChars="250"/>
        <w:jc w:val="left"/>
        <w:rPr>
          <w:rFonts w:ascii="仿宋" w:hAnsi="仿宋" w:eastAsia="仿宋"/>
        </w:rPr>
      </w:pPr>
      <w:r>
        <w:rPr>
          <w:rFonts w:hint="eastAsia" w:ascii="仿宋" w:hAnsi="仿宋" w:eastAsia="仿宋"/>
        </w:rPr>
        <w:t>以上企业，不属于大企业的分支机构，不存在控股股东为大企业的情形，也不存在与大企业的负责人为同一人的情形。</w:t>
      </w:r>
    </w:p>
    <w:p>
      <w:pPr>
        <w:spacing w:line="360" w:lineRule="auto"/>
        <w:ind w:firstLine="600" w:firstLineChars="250"/>
        <w:jc w:val="left"/>
        <w:rPr>
          <w:rFonts w:ascii="仿宋" w:hAnsi="仿宋" w:eastAsia="仿宋"/>
        </w:rPr>
      </w:pPr>
      <w:r>
        <w:rPr>
          <w:rFonts w:hint="eastAsia" w:ascii="仿宋" w:hAnsi="仿宋" w:eastAsia="仿宋"/>
        </w:rPr>
        <w:t>本企业对上述声明内容的真实性负责。如有虚假，将依法承担相应责任。</w:t>
      </w:r>
    </w:p>
    <w:p>
      <w:pPr>
        <w:spacing w:line="360" w:lineRule="auto"/>
        <w:jc w:val="center"/>
        <w:rPr>
          <w:rFonts w:ascii="仿宋" w:hAnsi="仿宋" w:eastAsia="仿宋"/>
        </w:rPr>
      </w:pPr>
      <w:r>
        <w:rPr>
          <w:rFonts w:hint="eastAsia" w:ascii="仿宋" w:hAnsi="仿宋" w:eastAsia="仿宋"/>
        </w:rPr>
        <w:t xml:space="preserve">                                 企业名称（盖章）：</w:t>
      </w:r>
    </w:p>
    <w:p>
      <w:pPr>
        <w:spacing w:line="360" w:lineRule="auto"/>
        <w:jc w:val="center"/>
        <w:rPr>
          <w:rFonts w:ascii="仿宋" w:hAnsi="仿宋" w:eastAsia="仿宋"/>
        </w:rPr>
      </w:pPr>
      <w:r>
        <w:rPr>
          <w:rFonts w:hint="eastAsia" w:ascii="仿宋" w:hAnsi="仿宋" w:eastAsia="仿宋"/>
        </w:rPr>
        <w:t xml:space="preserve">                        日 期：</w:t>
      </w:r>
    </w:p>
    <w:p>
      <w:pPr>
        <w:spacing w:line="360" w:lineRule="auto"/>
        <w:jc w:val="left"/>
        <w:rPr>
          <w:rFonts w:ascii="仿宋" w:hAnsi="仿宋" w:eastAsia="仿宋" w:cs="宋体"/>
        </w:rPr>
      </w:pPr>
      <w:r>
        <w:rPr>
          <w:rFonts w:hint="eastAsia" w:ascii="仿宋" w:hAnsi="仿宋" w:eastAsia="仿宋" w:cs="宋体"/>
        </w:rPr>
        <w:t>注：</w:t>
      </w:r>
    </w:p>
    <w:bookmarkEnd w:id="86"/>
    <w:bookmarkEnd w:id="87"/>
    <w:bookmarkEnd w:id="88"/>
    <w:bookmarkEnd w:id="89"/>
    <w:bookmarkEnd w:id="90"/>
    <w:p>
      <w:pPr>
        <w:pStyle w:val="85"/>
        <w:numPr>
          <w:ilvl w:val="1"/>
          <w:numId w:val="10"/>
        </w:numPr>
        <w:spacing w:line="360" w:lineRule="auto"/>
        <w:ind w:firstLineChars="0"/>
        <w:rPr>
          <w:rFonts w:ascii="仿宋" w:hAnsi="仿宋" w:eastAsia="仿宋" w:cs="宋体"/>
        </w:rPr>
      </w:pPr>
      <w:r>
        <w:rPr>
          <w:rFonts w:hint="eastAsia" w:ascii="仿宋" w:hAnsi="仿宋" w:eastAsia="仿宋" w:cs="宋体"/>
        </w:rPr>
        <w:t>从业人员、营业收入、资产总额填报上一年度数据，无上一年度数据的新成立企业可不填报。</w:t>
      </w:r>
    </w:p>
    <w:p>
      <w:pPr>
        <w:spacing w:line="360" w:lineRule="auto"/>
        <w:rPr>
          <w:rFonts w:ascii="仿宋" w:hAnsi="仿宋" w:eastAsia="仿宋" w:cs="宋体"/>
        </w:rPr>
      </w:pPr>
    </w:p>
    <w:p>
      <w:pPr>
        <w:spacing w:line="360" w:lineRule="auto"/>
        <w:rPr>
          <w:rFonts w:ascii="仿宋" w:hAnsi="仿宋" w:eastAsia="仿宋" w:cs="宋体"/>
        </w:rPr>
      </w:pPr>
    </w:p>
    <w:p>
      <w:pPr>
        <w:spacing w:line="360" w:lineRule="auto"/>
        <w:rPr>
          <w:rFonts w:ascii="仿宋" w:hAnsi="仿宋" w:eastAsia="仿宋" w:cs="宋体"/>
        </w:rPr>
      </w:pPr>
    </w:p>
    <w:p>
      <w:pPr>
        <w:spacing w:line="360" w:lineRule="auto"/>
        <w:rPr>
          <w:rFonts w:ascii="仿宋" w:hAnsi="仿宋" w:eastAsia="仿宋" w:cs="宋体"/>
        </w:rPr>
      </w:pPr>
    </w:p>
    <w:p>
      <w:pPr>
        <w:spacing w:line="360" w:lineRule="auto"/>
        <w:rPr>
          <w:rFonts w:ascii="仿宋" w:hAnsi="仿宋" w:eastAsia="仿宋" w:cs="宋体"/>
        </w:rPr>
      </w:pPr>
    </w:p>
    <w:p>
      <w:pPr>
        <w:spacing w:line="360" w:lineRule="auto"/>
        <w:rPr>
          <w:rFonts w:ascii="仿宋" w:hAnsi="仿宋" w:eastAsia="仿宋" w:cs="宋体"/>
        </w:rPr>
      </w:pPr>
    </w:p>
    <w:bookmarkEnd w:id="83"/>
    <w:bookmarkEnd w:id="84"/>
    <w:p>
      <w:pPr>
        <w:jc w:val="center"/>
        <w:rPr>
          <w:rFonts w:ascii="宋体" w:hAnsi="宋体" w:cs="宋体"/>
          <w:b/>
          <w:sz w:val="36"/>
          <w:szCs w:val="36"/>
        </w:rPr>
      </w:pPr>
      <w:bookmarkStart w:id="91" w:name="_Toc67048194"/>
    </w:p>
    <w:p>
      <w:pPr>
        <w:jc w:val="center"/>
        <w:outlineLvl w:val="2"/>
        <w:rPr>
          <w:rFonts w:ascii="仿宋" w:hAnsi="仿宋" w:eastAsia="仿宋"/>
          <w:b/>
          <w:sz w:val="32"/>
          <w:szCs w:val="32"/>
        </w:rPr>
      </w:pPr>
      <w:r>
        <w:rPr>
          <w:rFonts w:hint="eastAsia" w:ascii="仿宋" w:hAnsi="仿宋" w:eastAsia="仿宋"/>
          <w:b/>
          <w:sz w:val="32"/>
          <w:szCs w:val="32"/>
        </w:rPr>
        <w:t>残疾人福利性单位声明函</w:t>
      </w:r>
    </w:p>
    <w:p>
      <w:pPr>
        <w:spacing w:line="588" w:lineRule="exact"/>
        <w:rPr>
          <w:rFonts w:ascii="仿宋" w:hAnsi="仿宋" w:eastAsia="仿宋" w:cs="宋体"/>
          <w:b/>
          <w:spacing w:val="6"/>
        </w:rPr>
      </w:pPr>
    </w:p>
    <w:p>
      <w:pPr>
        <w:spacing w:line="588" w:lineRule="exact"/>
        <w:ind w:firstLine="504" w:firstLineChars="200"/>
        <w:rPr>
          <w:rFonts w:ascii="仿宋" w:hAnsi="仿宋" w:eastAsia="仿宋" w:cs="宋体"/>
          <w:spacing w:val="6"/>
        </w:rPr>
      </w:pPr>
      <w:r>
        <w:rPr>
          <w:rFonts w:hint="eastAsia" w:ascii="仿宋" w:hAnsi="仿宋" w:eastAsia="仿宋" w:cs="宋体"/>
          <w:spacing w:val="6"/>
        </w:rPr>
        <w:t>本单位郑重声明，根据《财政部 民政部 中国残疾人联合会关于促进残疾人就业政府采购政策的通知》（财库</w:t>
      </w:r>
      <w:r>
        <w:rPr>
          <w:rFonts w:hint="eastAsia" w:ascii="仿宋" w:hAnsi="仿宋" w:eastAsia="仿宋" w:cs="宋体"/>
        </w:rPr>
        <w:t>〔2017〕 141</w:t>
      </w:r>
      <w:r>
        <w:rPr>
          <w:rFonts w:hint="eastAsia" w:ascii="仿宋" w:hAnsi="仿宋" w:eastAsia="仿宋" w:cs="宋体"/>
          <w:spacing w:val="6"/>
        </w:rPr>
        <w:t>号）的规定，本单位为符合条件的残疾人福利性单位，且本单位参加</w:t>
      </w:r>
      <w:r>
        <w:rPr>
          <w:rFonts w:hint="eastAsia" w:ascii="仿宋" w:hAnsi="仿宋" w:eastAsia="仿宋"/>
          <w:u w:val="single"/>
        </w:rPr>
        <w:t>XXXX</w:t>
      </w:r>
      <w:r>
        <w:rPr>
          <w:rFonts w:hint="eastAsia" w:ascii="仿宋" w:hAnsi="仿宋" w:eastAsia="仿宋" w:cs="宋体"/>
          <w:spacing w:val="6"/>
        </w:rPr>
        <w:t>单位的</w:t>
      </w:r>
      <w:r>
        <w:rPr>
          <w:rFonts w:hint="eastAsia" w:ascii="仿宋" w:hAnsi="仿宋" w:eastAsia="仿宋"/>
          <w:u w:val="single"/>
        </w:rPr>
        <w:t>XXXX</w:t>
      </w:r>
      <w:r>
        <w:rPr>
          <w:rFonts w:hint="eastAsia" w:ascii="仿宋" w:hAnsi="仿宋" w:eastAsia="仿宋" w:cs="宋体"/>
          <w:spacing w:val="6"/>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仿宋" w:hAnsi="仿宋" w:eastAsia="仿宋" w:cs="宋体"/>
          <w:spacing w:val="6"/>
        </w:rPr>
      </w:pPr>
      <w:r>
        <w:rPr>
          <w:rFonts w:hint="eastAsia" w:ascii="仿宋" w:hAnsi="仿宋" w:eastAsia="仿宋" w:cs="宋体"/>
          <w:spacing w:val="6"/>
        </w:rPr>
        <w:t>本单位对上述声明的真实性负责。如有虚假，将依法承担相应责任。</w:t>
      </w:r>
    </w:p>
    <w:p>
      <w:pPr>
        <w:spacing w:line="588" w:lineRule="exact"/>
        <w:rPr>
          <w:rFonts w:ascii="仿宋" w:hAnsi="仿宋" w:eastAsia="仿宋" w:cs="宋体"/>
          <w:spacing w:val="6"/>
        </w:rPr>
      </w:pPr>
    </w:p>
    <w:p>
      <w:pPr>
        <w:spacing w:line="588" w:lineRule="exact"/>
        <w:rPr>
          <w:rFonts w:ascii="仿宋" w:hAnsi="仿宋" w:eastAsia="仿宋" w:cs="宋体"/>
          <w:spacing w:val="6"/>
        </w:rPr>
      </w:pPr>
    </w:p>
    <w:p>
      <w:pPr>
        <w:ind w:firstLine="480" w:firstLineChars="200"/>
        <w:jc w:val="left"/>
        <w:rPr>
          <w:rFonts w:ascii="仿宋" w:hAnsi="仿宋" w:eastAsia="仿宋"/>
        </w:rPr>
      </w:pPr>
      <w:r>
        <w:rPr>
          <w:rFonts w:hint="eastAsia" w:ascii="仿宋" w:hAnsi="仿宋" w:eastAsia="仿宋"/>
        </w:rPr>
        <w:t>单位名称：XXXX（盖单位公章）</w:t>
      </w:r>
    </w:p>
    <w:p>
      <w:pPr>
        <w:ind w:firstLine="480" w:firstLineChars="200"/>
        <w:jc w:val="left"/>
        <w:rPr>
          <w:rFonts w:ascii="仿宋" w:hAnsi="仿宋" w:eastAsia="仿宋"/>
        </w:rPr>
      </w:pPr>
    </w:p>
    <w:p>
      <w:pPr>
        <w:ind w:firstLine="480" w:firstLineChars="200"/>
        <w:jc w:val="left"/>
        <w:rPr>
          <w:rFonts w:ascii="仿宋" w:hAnsi="仿宋" w:eastAsia="仿宋"/>
        </w:rPr>
      </w:pPr>
      <w:r>
        <w:rPr>
          <w:rFonts w:hint="eastAsia" w:ascii="仿宋" w:hAnsi="仿宋" w:eastAsia="仿宋"/>
        </w:rPr>
        <w:t>日期：XXXX</w:t>
      </w:r>
    </w:p>
    <w:p>
      <w:pPr>
        <w:spacing w:line="360" w:lineRule="auto"/>
        <w:rPr>
          <w:rFonts w:ascii="仿宋" w:hAnsi="仿宋" w:eastAsia="仿宋" w:cs="宋体"/>
        </w:rPr>
      </w:pPr>
    </w:p>
    <w:p>
      <w:pPr>
        <w:spacing w:line="360" w:lineRule="auto"/>
        <w:rPr>
          <w:rFonts w:ascii="仿宋" w:hAnsi="仿宋" w:eastAsia="仿宋" w:cs="宋体"/>
        </w:rPr>
      </w:pPr>
      <w:r>
        <w:rPr>
          <w:rFonts w:hint="eastAsia" w:ascii="仿宋" w:hAnsi="仿宋" w:eastAsia="仿宋" w:cs="宋体"/>
        </w:rPr>
        <w:t>注：</w:t>
      </w:r>
    </w:p>
    <w:p>
      <w:pPr>
        <w:numPr>
          <w:ilvl w:val="0"/>
          <w:numId w:val="16"/>
        </w:numPr>
        <w:spacing w:after="160" w:line="360" w:lineRule="auto"/>
        <w:rPr>
          <w:rFonts w:ascii="仿宋" w:hAnsi="仿宋" w:eastAsia="仿宋" w:cs="宋体"/>
        </w:rPr>
      </w:pPr>
      <w:r>
        <w:rPr>
          <w:rFonts w:hint="eastAsia" w:ascii="仿宋" w:hAnsi="仿宋" w:eastAsia="仿宋" w:cs="宋体"/>
        </w:rPr>
        <w:t>残疾人福利性单位视同小型、微型企业，享受预留份额、评审中价格扣除等促进中小企业发展的政府采购政策。残疾人福利性单位属于小型、微型企业的，不重复享受政策。</w:t>
      </w:r>
    </w:p>
    <w:p>
      <w:pPr>
        <w:numPr>
          <w:ilvl w:val="0"/>
          <w:numId w:val="16"/>
        </w:numPr>
        <w:spacing w:after="160" w:line="360" w:lineRule="auto"/>
        <w:rPr>
          <w:rFonts w:ascii="仿宋" w:hAnsi="仿宋" w:eastAsia="仿宋" w:cs="宋体"/>
        </w:rPr>
      </w:pPr>
      <w:r>
        <w:rPr>
          <w:rFonts w:hint="eastAsia" w:ascii="仿宋" w:hAnsi="仿宋" w:eastAsia="仿宋" w:cs="宋体"/>
        </w:rPr>
        <w:t>投标人为非残疾人福利性单位的，可不提供此声明。</w:t>
      </w:r>
    </w:p>
    <w:p>
      <w:pPr>
        <w:pStyle w:val="30"/>
        <w:spacing w:before="0" w:after="0" w:line="360" w:lineRule="auto"/>
        <w:jc w:val="left"/>
        <w:outlineLvl w:val="1"/>
        <w:rPr>
          <w:rFonts w:ascii="宋体" w:hAnsi="宋体"/>
          <w:b w:val="0"/>
          <w:bCs w:val="0"/>
          <w:snapToGrid w:val="0"/>
        </w:rPr>
      </w:pPr>
      <w:r>
        <w:rPr>
          <w:rFonts w:ascii="宋体" w:hAnsi="宋体"/>
          <w:snapToGrid w:val="0"/>
        </w:rPr>
        <w:br w:type="page"/>
      </w:r>
      <w:bookmarkEnd w:id="91"/>
    </w:p>
    <w:p>
      <w:pPr>
        <w:jc w:val="center"/>
        <w:rPr>
          <w:rFonts w:ascii="宋体" w:hAnsi="宋体" w:cs="宋体"/>
          <w:b/>
          <w:sz w:val="36"/>
          <w:szCs w:val="36"/>
        </w:rPr>
      </w:pPr>
      <w:bookmarkStart w:id="92" w:name="OLE_LINK14"/>
      <w:bookmarkStart w:id="93" w:name="OLE_LINK13"/>
    </w:p>
    <w:bookmarkEnd w:id="92"/>
    <w:bookmarkEnd w:id="93"/>
    <w:p>
      <w:pPr>
        <w:widowControl/>
        <w:jc w:val="center"/>
        <w:outlineLvl w:val="2"/>
        <w:rPr>
          <w:rFonts w:ascii="仿宋" w:hAnsi="仿宋" w:eastAsia="仿宋"/>
          <w:b/>
          <w:sz w:val="32"/>
          <w:szCs w:val="32"/>
        </w:rPr>
      </w:pPr>
      <w:r>
        <w:rPr>
          <w:rFonts w:hint="eastAsia" w:ascii="仿宋" w:hAnsi="仿宋" w:eastAsia="仿宋"/>
          <w:b/>
          <w:sz w:val="32"/>
          <w:szCs w:val="32"/>
        </w:rPr>
        <w:t>监狱企业</w:t>
      </w:r>
    </w:p>
    <w:p>
      <w:pPr>
        <w:widowControl/>
        <w:spacing w:line="360" w:lineRule="atLeast"/>
        <w:jc w:val="center"/>
        <w:rPr>
          <w:rFonts w:ascii="仿宋" w:hAnsi="仿宋" w:eastAsia="仿宋"/>
          <w:b/>
          <w:sz w:val="32"/>
          <w:szCs w:val="32"/>
        </w:rPr>
      </w:pPr>
    </w:p>
    <w:p>
      <w:pPr>
        <w:spacing w:line="360" w:lineRule="auto"/>
        <w:ind w:firstLine="480" w:firstLineChars="200"/>
        <w:jc w:val="left"/>
        <w:rPr>
          <w:rFonts w:ascii="仿宋" w:hAnsi="仿宋" w:eastAsia="仿宋"/>
        </w:rPr>
      </w:pPr>
      <w:r>
        <w:rPr>
          <w:rFonts w:hint="eastAsia" w:ascii="仿宋" w:hAnsi="仿宋" w:eastAsia="仿宋"/>
        </w:rPr>
        <w:t>根据</w:t>
      </w:r>
      <w:r>
        <w:rPr>
          <w:rFonts w:hint="eastAsia" w:ascii="仿宋" w:hAnsi="仿宋" w:eastAsia="仿宋" w:cs="仿宋"/>
        </w:rPr>
        <w:t>《政府采购支持监狱企业发展有关问题的通知》</w:t>
      </w:r>
      <w:r>
        <w:rPr>
          <w:rFonts w:hint="eastAsia" w:ascii="仿宋" w:hAnsi="仿宋" w:eastAsia="仿宋"/>
        </w:rPr>
        <w:t>（财库〔</w:t>
      </w:r>
      <w:r>
        <w:rPr>
          <w:rFonts w:ascii="仿宋" w:hAnsi="仿宋" w:eastAsia="仿宋"/>
        </w:rPr>
        <w:t>2014〕68号）的规定</w:t>
      </w:r>
      <w:r>
        <w:rPr>
          <w:rFonts w:hint="eastAsia" w:ascii="仿宋" w:hAnsi="仿宋" w:eastAsia="仿宋"/>
        </w:rPr>
        <w:t>监狱企业参加采购活动的，应</w:t>
      </w:r>
      <w:r>
        <w:rPr>
          <w:rFonts w:hint="eastAsia" w:ascii="仿宋" w:hAnsi="仿宋" w:eastAsia="仿宋" w:cs="宋体"/>
        </w:rPr>
        <w:t>提供由省级以上监狱管理局、戒毒管理局</w:t>
      </w:r>
      <w:r>
        <w:rPr>
          <w:rFonts w:ascii="仿宋" w:hAnsi="仿宋" w:eastAsia="仿宋" w:cs="宋体"/>
        </w:rPr>
        <w:t>(含新疆生产建设兵团)出具的属于监狱企业的证明文件。</w:t>
      </w:r>
    </w:p>
    <w:p>
      <w:pPr>
        <w:spacing w:line="360" w:lineRule="auto"/>
        <w:jc w:val="left"/>
        <w:rPr>
          <w:rFonts w:ascii="仿宋" w:hAnsi="仿宋" w:eastAsia="仿宋" w:cs="宋体"/>
        </w:rPr>
      </w:pPr>
      <w:r>
        <w:rPr>
          <w:rFonts w:hint="eastAsia" w:ascii="仿宋" w:hAnsi="仿宋" w:eastAsia="仿宋" w:cs="宋体"/>
        </w:rPr>
        <w:t>注：</w:t>
      </w:r>
    </w:p>
    <w:p>
      <w:pPr>
        <w:spacing w:line="360" w:lineRule="auto"/>
        <w:rPr>
          <w:rFonts w:ascii="仿宋" w:hAnsi="仿宋" w:eastAsia="仿宋" w:cs="宋体"/>
        </w:rPr>
      </w:pPr>
      <w:r>
        <w:rPr>
          <w:rFonts w:ascii="仿宋" w:hAnsi="仿宋" w:eastAsia="仿宋" w:cs="宋体"/>
        </w:rPr>
        <w:t>1、</w:t>
      </w:r>
      <w:r>
        <w:rPr>
          <w:rFonts w:hint="eastAsia" w:ascii="仿宋" w:hAnsi="仿宋" w:eastAsia="仿宋" w:cs="宋体"/>
        </w:rPr>
        <w:t>投标人</w:t>
      </w:r>
      <w:r>
        <w:rPr>
          <w:rFonts w:ascii="仿宋" w:hAnsi="仿宋" w:eastAsia="仿宋" w:cs="宋体"/>
        </w:rPr>
        <w:t>符合《政府采购支持监狱企业发展有关问题的通知》（财库〔2014〕68号）规定的划分标准为监狱企业适用。</w:t>
      </w:r>
    </w:p>
    <w:p>
      <w:pPr>
        <w:spacing w:line="360" w:lineRule="auto"/>
        <w:rPr>
          <w:rFonts w:ascii="仿宋" w:hAnsi="仿宋" w:eastAsia="仿宋" w:cs="宋体"/>
        </w:rPr>
      </w:pPr>
      <w:r>
        <w:rPr>
          <w:rFonts w:ascii="仿宋" w:hAnsi="仿宋" w:eastAsia="仿宋" w:cs="宋体"/>
        </w:rPr>
        <w:t>2、在政府采购活动中，监狱企业视同小型、微型企业，享受预留份额、评审中</w:t>
      </w:r>
      <w:r>
        <w:rPr>
          <w:rFonts w:hint="eastAsia" w:ascii="仿宋" w:hAnsi="仿宋" w:eastAsia="仿宋" w:cs="宋体"/>
        </w:rPr>
        <w:t>价格扣除等政府采购促进中小企业发展的政府采购政策。</w:t>
      </w:r>
    </w:p>
    <w:p>
      <w:pPr>
        <w:pStyle w:val="30"/>
        <w:spacing w:before="0" w:after="0" w:line="360" w:lineRule="auto"/>
        <w:jc w:val="left"/>
        <w:outlineLvl w:val="1"/>
        <w:rPr>
          <w:rFonts w:ascii="宋体" w:hAnsi="宋体" w:cs="宋体"/>
        </w:rPr>
      </w:pPr>
    </w:p>
    <w:p>
      <w:pPr>
        <w:pStyle w:val="30"/>
        <w:spacing w:before="0" w:after="0" w:line="360" w:lineRule="auto"/>
        <w:jc w:val="left"/>
        <w:outlineLvl w:val="1"/>
        <w:rPr>
          <w:rFonts w:ascii="宋体" w:hAnsi="宋体" w:cs="宋体"/>
        </w:rPr>
      </w:pPr>
      <w:r>
        <w:rPr>
          <w:rFonts w:hint="eastAsia" w:ascii="宋体" w:hAnsi="宋体" w:cs="宋体"/>
          <w:lang w:val="zh-CN"/>
        </w:rPr>
        <w:br w:type="page"/>
      </w:r>
      <w:bookmarkStart w:id="94" w:name="_Toc78187963"/>
      <w:r>
        <w:rPr>
          <w:rFonts w:hint="eastAsia" w:ascii="宋体" w:hAnsi="宋体" w:cs="宋体"/>
          <w:sz w:val="30"/>
          <w:szCs w:val="30"/>
        </w:rPr>
        <w:t>（1</w:t>
      </w:r>
      <w:r>
        <w:rPr>
          <w:rFonts w:ascii="宋体" w:hAnsi="宋体" w:cs="宋体"/>
          <w:sz w:val="30"/>
          <w:szCs w:val="30"/>
        </w:rPr>
        <w:t>7</w:t>
      </w:r>
      <w:r>
        <w:rPr>
          <w:rFonts w:hint="eastAsia" w:ascii="宋体" w:hAnsi="宋体" w:cs="宋体"/>
          <w:sz w:val="30"/>
          <w:szCs w:val="30"/>
        </w:rPr>
        <w:t>）</w:t>
      </w:r>
      <w:r>
        <w:rPr>
          <w:rFonts w:hint="eastAsia" w:ascii="宋体" w:hAnsi="宋体" w:cs="宋体"/>
          <w:sz w:val="30"/>
          <w:szCs w:val="30"/>
          <w:lang w:val="zh-CN"/>
        </w:rPr>
        <w:t>投标人认为在其他方面有必要说明的事项</w:t>
      </w:r>
      <w:bookmarkEnd w:id="85"/>
      <w:bookmarkEnd w:id="94"/>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rPr>
          <w:rFonts w:ascii="宋体" w:hAnsi="宋体" w:cs="宋体"/>
          <w:lang w:val="zh-CN"/>
        </w:rPr>
      </w:pPr>
      <w:r>
        <w:rPr>
          <w:rFonts w:hint="eastAsia" w:ascii="宋体" w:hAnsi="宋体" w:cs="宋体"/>
          <w:lang w:val="zh-CN"/>
        </w:rPr>
        <w:t>格式自定</w:t>
      </w:r>
    </w:p>
    <w:p>
      <w:pPr>
        <w:autoSpaceDE w:val="0"/>
        <w:autoSpaceDN w:val="0"/>
        <w:spacing w:line="360" w:lineRule="auto"/>
        <w:rPr>
          <w:rFonts w:ascii="宋体" w:hAnsi="宋体" w:cs="宋体"/>
        </w:rPr>
      </w:pPr>
    </w:p>
    <w:p>
      <w:pPr>
        <w:autoSpaceDE w:val="0"/>
        <w:autoSpaceDN w:val="0"/>
        <w:spacing w:line="360" w:lineRule="auto"/>
        <w:rPr>
          <w:rFonts w:ascii="宋体" w:hAnsi="宋体" w:cs="宋体"/>
        </w:rPr>
      </w:pPr>
    </w:p>
    <w:p>
      <w:pPr>
        <w:pStyle w:val="30"/>
        <w:spacing w:before="0" w:after="0" w:line="360" w:lineRule="auto"/>
        <w:rPr>
          <w:rFonts w:ascii="宋体" w:hAnsi="宋体" w:cs="宋体"/>
          <w:lang w:val="zh-CN"/>
        </w:rPr>
      </w:pPr>
      <w:r>
        <w:rPr>
          <w:rFonts w:hint="eastAsia" w:ascii="宋体" w:hAnsi="宋体" w:cs="宋体"/>
          <w:lang w:val="zh-CN"/>
        </w:rPr>
        <w:br w:type="page"/>
      </w:r>
      <w:bookmarkStart w:id="95" w:name="_Toc18752"/>
      <w:bookmarkStart w:id="96" w:name="_Toc78187964"/>
      <w:r>
        <w:rPr>
          <w:rFonts w:hint="eastAsia" w:ascii="宋体" w:hAnsi="宋体" w:cs="宋体"/>
          <w:szCs w:val="36"/>
          <w:lang w:val="zh-CN"/>
        </w:rPr>
        <w:t xml:space="preserve">第五部分  </w:t>
      </w:r>
      <w:bookmarkEnd w:id="95"/>
      <w:r>
        <w:rPr>
          <w:rFonts w:hint="eastAsia" w:ascii="宋体" w:hAnsi="宋体" w:cs="宋体"/>
          <w:lang w:val="zh-CN"/>
        </w:rPr>
        <w:t>项目概况及服务要求</w:t>
      </w:r>
      <w:bookmarkEnd w:id="96"/>
    </w:p>
    <w:p>
      <w:pPr>
        <w:pStyle w:val="30"/>
        <w:numPr>
          <w:ilvl w:val="0"/>
          <w:numId w:val="17"/>
        </w:numPr>
        <w:spacing w:before="0" w:after="0" w:line="360" w:lineRule="auto"/>
        <w:rPr>
          <w:rFonts w:ascii="宋体" w:hAnsi="宋体" w:cs="宋体"/>
          <w:b/>
        </w:rPr>
      </w:pPr>
      <w:bookmarkStart w:id="97" w:name="_Toc78187965"/>
      <w:r>
        <w:rPr>
          <w:rFonts w:hint="eastAsia" w:ascii="宋体" w:hAnsi="宋体" w:cs="宋体"/>
          <w:lang w:val="zh-CN"/>
        </w:rPr>
        <w:t>服务要求</w:t>
      </w:r>
      <w:bookmarkEnd w:id="97"/>
      <w:bookmarkStart w:id="98" w:name="_Toc338"/>
    </w:p>
    <w:p>
      <w:pPr>
        <w:spacing w:line="360" w:lineRule="auto"/>
        <w:ind w:firstLine="482" w:firstLineChars="200"/>
        <w:rPr>
          <w:rFonts w:ascii="宋体" w:hAnsi="宋体" w:cs="宋体"/>
          <w:b/>
        </w:rPr>
      </w:pPr>
      <w:r>
        <w:rPr>
          <w:rFonts w:hint="eastAsia" w:ascii="宋体" w:hAnsi="宋体" w:cs="宋体"/>
          <w:b/>
        </w:rPr>
        <w:t>标的名称：</w:t>
      </w:r>
      <w:r>
        <w:rPr>
          <w:rFonts w:hint="eastAsia" w:ascii="宋体" w:hAnsi="宋体" w:cs="宋体"/>
          <w:b/>
          <w:lang w:eastAsia="zh-CN"/>
        </w:rPr>
        <w:t>都兰县自然资源统一确权登记项目</w:t>
      </w:r>
      <w:r>
        <w:rPr>
          <w:rFonts w:hint="eastAsia" w:ascii="宋体" w:hAnsi="宋体" w:cs="宋体"/>
          <w:b/>
        </w:rPr>
        <w:t xml:space="preserve"> </w:t>
      </w:r>
      <w:r>
        <w:rPr>
          <w:rFonts w:ascii="宋体" w:hAnsi="宋体" w:cs="宋体"/>
          <w:b/>
        </w:rPr>
        <w:t xml:space="preserve"> 包一</w:t>
      </w:r>
    </w:p>
    <w:p>
      <w:pPr>
        <w:pStyle w:val="16"/>
        <w:ind w:firstLine="482" w:firstLineChars="200"/>
        <w:rPr>
          <w:b/>
          <w:lang w:val="en-US"/>
        </w:rPr>
      </w:pPr>
      <w:r>
        <w:rPr>
          <w:b/>
          <w:lang w:val="en-US"/>
        </w:rPr>
        <w:t>所属行业：</w:t>
      </w:r>
      <w:r>
        <w:rPr>
          <w:rFonts w:hint="eastAsia"/>
          <w:b/>
          <w:lang w:val="en-US"/>
        </w:rPr>
        <w:t>其他未列明行业</w:t>
      </w:r>
    </w:p>
    <w:p>
      <w:pPr>
        <w:spacing w:line="360" w:lineRule="auto"/>
        <w:rPr>
          <w:rFonts w:hint="eastAsia" w:ascii="仿宋" w:hAnsi="仿宋" w:eastAsia="仿宋" w:cs="宋体"/>
          <w:lang w:eastAsia="zh-CN"/>
        </w:rPr>
      </w:pPr>
      <w:r>
        <w:rPr>
          <w:rFonts w:hint="eastAsia" w:ascii="仿宋" w:hAnsi="仿宋" w:eastAsia="仿宋" w:cs="宋体"/>
          <w:lang w:eastAsia="zh-CN"/>
        </w:rPr>
        <w:t>（</w:t>
      </w:r>
      <w:r>
        <w:rPr>
          <w:rFonts w:hint="eastAsia" w:ascii="仿宋" w:hAnsi="仿宋" w:eastAsia="仿宋" w:cs="宋体"/>
          <w:lang w:val="en-US" w:eastAsia="zh-CN"/>
        </w:rPr>
        <w:t>一）</w:t>
      </w:r>
      <w:r>
        <w:rPr>
          <w:rFonts w:hint="eastAsia" w:ascii="仿宋" w:hAnsi="仿宋" w:eastAsia="仿宋" w:cs="宋体"/>
        </w:rPr>
        <w:t>积极配合上级自然资源部门直接开展的统一确权登记工作</w:t>
      </w:r>
      <w:r>
        <w:rPr>
          <w:rFonts w:hint="eastAsia" w:ascii="仿宋" w:hAnsi="仿宋" w:eastAsia="仿宋" w:cs="宋体"/>
          <w:lang w:eastAsia="zh-CN"/>
        </w:rPr>
        <w:t>。</w:t>
      </w:r>
    </w:p>
    <w:p>
      <w:pPr>
        <w:spacing w:line="360" w:lineRule="auto"/>
        <w:rPr>
          <w:rFonts w:hint="default" w:ascii="仿宋" w:hAnsi="仿宋" w:eastAsia="仿宋" w:cs="宋体"/>
        </w:rPr>
      </w:pPr>
      <w:r>
        <w:rPr>
          <w:rFonts w:hint="eastAsia" w:ascii="仿宋" w:hAnsi="仿宋" w:eastAsia="仿宋" w:cs="宋体"/>
          <w:lang w:eastAsia="zh-CN"/>
        </w:rPr>
        <w:t>（</w:t>
      </w:r>
      <w:r>
        <w:rPr>
          <w:rFonts w:hint="eastAsia" w:ascii="仿宋" w:hAnsi="仿宋" w:eastAsia="仿宋" w:cs="宋体"/>
          <w:lang w:val="en-US" w:eastAsia="zh-CN"/>
        </w:rPr>
        <w:t>二）</w:t>
      </w:r>
      <w:r>
        <w:rPr>
          <w:rFonts w:hint="eastAsia" w:ascii="仿宋" w:hAnsi="仿宋" w:eastAsia="仿宋" w:cs="宋体"/>
        </w:rPr>
        <w:t>按照自然资源部、省自然资源厅和</w:t>
      </w:r>
      <w:r>
        <w:rPr>
          <w:rFonts w:hint="eastAsia" w:ascii="仿宋" w:hAnsi="仿宋" w:eastAsia="仿宋" w:cs="宋体"/>
          <w:lang w:eastAsia="zh-CN"/>
        </w:rPr>
        <w:t>州</w:t>
      </w:r>
      <w:r>
        <w:rPr>
          <w:rFonts w:hint="eastAsia" w:ascii="仿宋" w:hAnsi="仿宋" w:eastAsia="仿宋" w:cs="宋体"/>
        </w:rPr>
        <w:t>自然资源局的统一部署和相关要求，配合做好自然资源权籍调查、界限核实、权属争议调处等相关工作。</w:t>
      </w:r>
    </w:p>
    <w:p>
      <w:pPr>
        <w:spacing w:line="360" w:lineRule="auto"/>
        <w:rPr>
          <w:rFonts w:hint="default" w:ascii="仿宋" w:hAnsi="仿宋" w:eastAsia="仿宋" w:cs="宋体"/>
        </w:rPr>
      </w:pPr>
      <w:r>
        <w:rPr>
          <w:rFonts w:hint="eastAsia" w:ascii="仿宋" w:hAnsi="仿宋" w:eastAsia="仿宋" w:cs="宋体"/>
          <w:lang w:eastAsia="zh-CN"/>
        </w:rPr>
        <w:t>（</w:t>
      </w:r>
      <w:r>
        <w:rPr>
          <w:rFonts w:hint="eastAsia" w:ascii="仿宋" w:hAnsi="仿宋" w:eastAsia="仿宋" w:cs="宋体"/>
          <w:lang w:val="en-US" w:eastAsia="zh-CN"/>
        </w:rPr>
        <w:t>三）</w:t>
      </w:r>
      <w:r>
        <w:rPr>
          <w:rFonts w:hint="eastAsia" w:ascii="仿宋" w:hAnsi="仿宋" w:eastAsia="仿宋" w:cs="宋体"/>
        </w:rPr>
        <w:t>开展全县自然资源统一确权登记工作。</w:t>
      </w:r>
    </w:p>
    <w:p>
      <w:pPr>
        <w:spacing w:line="360" w:lineRule="auto"/>
        <w:rPr>
          <w:rFonts w:hint="default" w:ascii="仿宋" w:hAnsi="仿宋" w:eastAsia="仿宋" w:cs="宋体"/>
        </w:rPr>
      </w:pPr>
      <w:r>
        <w:rPr>
          <w:rFonts w:hint="eastAsia" w:ascii="仿宋" w:hAnsi="仿宋" w:eastAsia="仿宋" w:cs="宋体"/>
        </w:rPr>
        <w:t>1．开展全县各类自然保护地统一确权登记。</w:t>
      </w:r>
    </w:p>
    <w:p>
      <w:pPr>
        <w:spacing w:line="360" w:lineRule="auto"/>
        <w:rPr>
          <w:rFonts w:hint="default" w:ascii="仿宋" w:hAnsi="仿宋" w:eastAsia="仿宋" w:cs="宋体"/>
        </w:rPr>
      </w:pPr>
      <w:r>
        <w:rPr>
          <w:rFonts w:hint="eastAsia" w:ascii="仿宋" w:hAnsi="仿宋" w:eastAsia="仿宋" w:cs="宋体"/>
        </w:rPr>
        <w:t>县政府组织县自然资源局，对全县除自然资源部、省自然资源厅和</w:t>
      </w:r>
      <w:r>
        <w:rPr>
          <w:rFonts w:hint="eastAsia" w:ascii="仿宋" w:hAnsi="仿宋" w:eastAsia="仿宋" w:cs="宋体"/>
          <w:lang w:eastAsia="zh-CN"/>
        </w:rPr>
        <w:t>州</w:t>
      </w:r>
      <w:r>
        <w:rPr>
          <w:rFonts w:hint="eastAsia" w:ascii="仿宋" w:hAnsi="仿宋" w:eastAsia="仿宋" w:cs="宋体"/>
        </w:rPr>
        <w:t>自然资源局直接开展确权登记之外的自然保护地开展确权登记。通过组织技术力量，依据各类自然保护地设立、审批等资料划定登记单元界线，收集整理国土空间规划明确的用途、划定的生态保护红线等管制要求及其他特殊保护规定或者政策性文件，直接利用全县已有国土调查和自然资源专项调查成果确定资源类型、分布，开展登记单元内各类自然资源的权籍调查，明确全县自然保护地范围内各类自然资源的数量、种类、质量、分布、面积等自然状况，所有权主体、所有权代表行使主体、所有权代理行使主体以及权利内容等权属状况，并关联公共管制要求，颁发自然资源所有权证书，向社会公开。</w:t>
      </w:r>
    </w:p>
    <w:p>
      <w:pPr>
        <w:spacing w:line="360" w:lineRule="auto"/>
        <w:rPr>
          <w:rFonts w:hint="default" w:ascii="仿宋" w:hAnsi="仿宋" w:eastAsia="仿宋" w:cs="宋体"/>
        </w:rPr>
      </w:pPr>
      <w:r>
        <w:rPr>
          <w:rFonts w:hint="eastAsia" w:ascii="仿宋" w:hAnsi="仿宋" w:eastAsia="仿宋" w:cs="宋体"/>
        </w:rPr>
        <w:t>对于自然保护地范围内的森林、湿地、滩涂、探明矿产资源等，不单独划分登记单元，作为自然保护地登记单元内的资源类型予以调查、记载。国家批准的自然保护地登记单元内的水流自然资源不再单独划定登记单元，其他自然保护地登记单元内的水流自然资源，除水流源头外，应尽量保持主要河流的生态完整性，可单独划定水流登记单元。同一区域内存在多个自然保护地时，以自然保护地的最大范围划分登记单元；相互重叠的自然保护地，按照同级别保护强度优先、不同级别低级别服从高级别的原则进行单元归并确权登记；相互交叉的、面积不同的，以自然保护地的最大范围进行确权登记，以保护强度和级别高低确定登记单元。</w:t>
      </w:r>
    </w:p>
    <w:p>
      <w:pPr>
        <w:spacing w:line="360" w:lineRule="auto"/>
        <w:rPr>
          <w:rFonts w:hint="default" w:ascii="仿宋" w:hAnsi="仿宋" w:eastAsia="仿宋" w:cs="宋体"/>
        </w:rPr>
      </w:pPr>
      <w:r>
        <w:rPr>
          <w:rFonts w:hint="eastAsia" w:ascii="仿宋" w:hAnsi="仿宋" w:eastAsia="仿宋" w:cs="宋体"/>
        </w:rPr>
        <w:t>2．开展河流、湖泊等水流自然资源统一确权登记</w:t>
      </w:r>
    </w:p>
    <w:p>
      <w:pPr>
        <w:spacing w:line="360" w:lineRule="auto"/>
        <w:rPr>
          <w:rFonts w:hint="default" w:ascii="仿宋" w:hAnsi="仿宋" w:eastAsia="仿宋" w:cs="宋体"/>
        </w:rPr>
      </w:pPr>
      <w:r>
        <w:rPr>
          <w:rFonts w:hint="eastAsia" w:ascii="仿宋" w:hAnsi="仿宋" w:eastAsia="仿宋" w:cs="宋体"/>
        </w:rPr>
        <w:t>县政府组织县自然资源主管部门及水利主管部门，对全县除自然资源部、省自然资源厅及</w:t>
      </w:r>
      <w:r>
        <w:rPr>
          <w:rFonts w:hint="eastAsia" w:ascii="仿宋" w:hAnsi="仿宋" w:eastAsia="仿宋" w:cs="宋体"/>
          <w:lang w:eastAsia="zh-CN"/>
        </w:rPr>
        <w:t>州</w:t>
      </w:r>
      <w:r>
        <w:rPr>
          <w:rFonts w:hint="eastAsia" w:ascii="仿宋" w:hAnsi="仿宋" w:eastAsia="仿宋" w:cs="宋体"/>
        </w:rPr>
        <w:t>自然资源局直接开展确权登记之外的河流、湖泊等水流进行确权登记。组织技术力量，依据全县已有国土调查和水资源专项调查结果划定登记单元界线，收集整理国土空间规划明确的用途、划定的生态保护红线等管制要求及其他特殊保护规定或者政策性文件，并对承载水资源的土地开展权籍调查。探索建立水流自然资源三维登记模式，明确水流的范围、面积等自然状况，所有权主体、所有权代表行使主体、所有权代理行使主体以及权利内容等权属状况，并关联管制要求，颁发自然资源所有权证书，向社会公开。</w:t>
      </w:r>
    </w:p>
    <w:p>
      <w:pPr>
        <w:spacing w:line="360" w:lineRule="auto"/>
        <w:rPr>
          <w:rFonts w:hint="default" w:ascii="仿宋" w:hAnsi="仿宋" w:eastAsia="仿宋" w:cs="宋体"/>
        </w:rPr>
      </w:pPr>
      <w:r>
        <w:rPr>
          <w:rFonts w:hint="eastAsia" w:ascii="仿宋" w:hAnsi="仿宋" w:eastAsia="仿宋" w:cs="宋体"/>
        </w:rPr>
        <w:t>3．开展湿地自然资源统一确权登记</w:t>
      </w:r>
    </w:p>
    <w:p>
      <w:pPr>
        <w:spacing w:line="360" w:lineRule="auto"/>
        <w:rPr>
          <w:rFonts w:hint="default" w:ascii="仿宋" w:hAnsi="仿宋" w:eastAsia="仿宋" w:cs="宋体"/>
        </w:rPr>
      </w:pPr>
      <w:r>
        <w:rPr>
          <w:rFonts w:hint="eastAsia" w:ascii="仿宋" w:hAnsi="仿宋" w:eastAsia="仿宋" w:cs="宋体"/>
        </w:rPr>
        <w:t>县政府组织县自然资源主管部门对全县除自然资源部、省自然资源厅及市自然资源和规划局直接开展确权登记之外的湿地进行确权登记。组织技术力量，依据全县已有的国土调查和湿地资源专项调查结果划定登记单元界线，收集整理国土空间规划明确的用途、划定的生态保护红线等管制要求及其他特殊保护规定或者政策性文件，并开展权籍调查，明确湿地自然资源的范围、面积等自然状况，所有权主体、所有权代表行使主体、所有权代理行使主体以及权利内容等权属状况，并关联公共管制要求，颁发自然资源所有权证书，向社会公开。</w:t>
      </w:r>
    </w:p>
    <w:p>
      <w:pPr>
        <w:spacing w:line="360" w:lineRule="auto"/>
        <w:rPr>
          <w:rFonts w:hint="default" w:ascii="仿宋" w:hAnsi="仿宋" w:eastAsia="仿宋" w:cs="宋体"/>
        </w:rPr>
      </w:pPr>
      <w:r>
        <w:rPr>
          <w:rFonts w:hint="eastAsia" w:ascii="仿宋" w:hAnsi="仿宋" w:eastAsia="仿宋" w:cs="宋体"/>
        </w:rPr>
        <w:t>4．开展探明储量的矿产资源统一确权登记。</w:t>
      </w:r>
    </w:p>
    <w:p>
      <w:pPr>
        <w:spacing w:line="360" w:lineRule="auto"/>
        <w:rPr>
          <w:rFonts w:hint="default" w:ascii="仿宋" w:hAnsi="仿宋" w:eastAsia="仿宋" w:cs="宋体"/>
        </w:rPr>
      </w:pPr>
      <w:r>
        <w:rPr>
          <w:rFonts w:hint="eastAsia" w:ascii="仿宋" w:hAnsi="仿宋" w:eastAsia="仿宋" w:cs="宋体"/>
        </w:rPr>
        <w:t>县政府组织县自然资源主管部门，对全县自然资源部、省自然资源厅及市自然资源和规划局直接开展确权登记之外的矿产资源进行确权登记。组织技术力量，依据矿产资源储量数据库管理系统、矿产资源储量登记库，结合矿产资源利用现状调查数据库和已探明矿产地清理结果等划定登记单元界线，调查反映各类矿产资源的探明储量情况，收集整理国土空间规划明确的用途、划定的生态保护红线等管制要求及其他特殊保护规定或者政策性文件，探索采用矿产资源三维登记模式，明确矿产资源的数量、质量、范围、种类、面积等自然状况，所有权主体、所有权代表行使主体、所有权代理行使主体以及权利内容等权属状况，并关联勘查、采矿许可证号等相关信息和公共管制要求，颁发自然资源所有权证书，向社会公开。</w:t>
      </w:r>
    </w:p>
    <w:p>
      <w:pPr>
        <w:spacing w:line="360" w:lineRule="auto"/>
        <w:rPr>
          <w:rFonts w:hint="default" w:ascii="仿宋" w:hAnsi="仿宋" w:eastAsia="仿宋" w:cs="宋体"/>
        </w:rPr>
      </w:pPr>
      <w:r>
        <w:rPr>
          <w:rFonts w:hint="eastAsia" w:ascii="仿宋" w:hAnsi="仿宋" w:eastAsia="仿宋" w:cs="宋体"/>
        </w:rPr>
        <w:t>5．开展森林自然资源统一确权登记。</w:t>
      </w:r>
    </w:p>
    <w:p>
      <w:pPr>
        <w:spacing w:line="360" w:lineRule="auto"/>
        <w:rPr>
          <w:rFonts w:hint="default" w:ascii="仿宋" w:hAnsi="仿宋" w:eastAsia="仿宋" w:cs="宋体"/>
        </w:rPr>
      </w:pPr>
      <w:r>
        <w:rPr>
          <w:rFonts w:hint="eastAsia" w:ascii="仿宋" w:hAnsi="仿宋" w:eastAsia="仿宋" w:cs="宋体"/>
        </w:rPr>
        <w:t>县政府组织县自然资源主管部门，对全县除自然资源部、省自然资源厅及市自然资源和规划局直接开展确权登记的森林资源外的尚未颁发林权权属证书的森林资源，以所有权权属为界线单独划分登记单元，开展森林资源所有权登记，颁发自然资源所有权证书，向社会公开。</w:t>
      </w:r>
    </w:p>
    <w:p>
      <w:pPr>
        <w:spacing w:line="360" w:lineRule="auto"/>
        <w:rPr>
          <w:rFonts w:hint="default" w:ascii="仿宋" w:hAnsi="仿宋" w:eastAsia="仿宋" w:cs="宋体"/>
        </w:rPr>
      </w:pPr>
      <w:r>
        <w:rPr>
          <w:rFonts w:hint="eastAsia" w:ascii="仿宋" w:hAnsi="仿宋" w:eastAsia="仿宋" w:cs="宋体"/>
        </w:rPr>
        <w:t>开展自然资源确权登记信息数据库建设。</w:t>
      </w:r>
    </w:p>
    <w:p>
      <w:pPr>
        <w:spacing w:line="360" w:lineRule="auto"/>
        <w:rPr>
          <w:rFonts w:hint="eastAsia" w:ascii="仿宋" w:hAnsi="仿宋" w:eastAsia="仿宋" w:cs="宋体"/>
        </w:rPr>
      </w:pPr>
      <w:r>
        <w:rPr>
          <w:rFonts w:hint="eastAsia" w:ascii="仿宋" w:hAnsi="仿宋" w:eastAsia="仿宋" w:cs="宋体"/>
        </w:rPr>
        <w:t>按照全国统一的自然资源登记信息系统及标准，建设</w:t>
      </w:r>
      <w:r>
        <w:rPr>
          <w:rFonts w:hint="eastAsia" w:ascii="仿宋" w:hAnsi="仿宋" w:eastAsia="仿宋" w:cs="宋体"/>
          <w:lang w:eastAsia="zh-CN"/>
        </w:rPr>
        <w:t>都兰</w:t>
      </w:r>
      <w:r>
        <w:rPr>
          <w:rFonts w:hint="eastAsia" w:ascii="仿宋" w:hAnsi="仿宋" w:eastAsia="仿宋" w:cs="宋体"/>
        </w:rPr>
        <w:t>县自然资源确权登记信息数据库，将自然资源确权登记信息纳入不动产登记信息管理基础平台，实现自然资源登记信息的统一管理、实时共享，并关联不动产登记信息、国土调查、专项调查信息。自然资源主管部门加强同生态环境、水利等相关部门信息共享，发挥确权登记的综合效益，更好地为自然资源的有效监管和自然资源资产产权制度改革提供支撑。</w:t>
      </w:r>
    </w:p>
    <w:p>
      <w:pPr>
        <w:spacing w:line="360" w:lineRule="auto"/>
        <w:rPr>
          <w:rFonts w:ascii="仿宋" w:hAnsi="仿宋" w:eastAsia="仿宋" w:cs="宋体"/>
        </w:rPr>
      </w:pPr>
    </w:p>
    <w:p>
      <w:pPr>
        <w:pStyle w:val="3"/>
        <w:numPr>
          <w:ilvl w:val="0"/>
          <w:numId w:val="18"/>
        </w:numPr>
        <w:bidi w:val="0"/>
        <w:rPr>
          <w:rFonts w:hint="eastAsia"/>
          <w:sz w:val="32"/>
          <w:szCs w:val="32"/>
          <w:lang w:val="en-US" w:eastAsia="zh-CN"/>
        </w:rPr>
      </w:pPr>
      <w:r>
        <w:rPr>
          <w:rFonts w:hint="eastAsia"/>
          <w:sz w:val="32"/>
          <w:szCs w:val="32"/>
          <w:lang w:eastAsia="zh-CN"/>
        </w:rPr>
        <w:t>技术路线与方法</w:t>
      </w:r>
    </w:p>
    <w:p>
      <w:pPr>
        <w:pStyle w:val="4"/>
        <w:bidi w:val="0"/>
        <w:rPr>
          <w:rFonts w:hint="eastAsia" w:ascii="仿宋" w:hAnsi="仿宋" w:eastAsia="仿宋" w:cs="宋体"/>
          <w:b w:val="0"/>
          <w:bCs w:val="0"/>
          <w:kern w:val="2"/>
          <w:sz w:val="24"/>
          <w:szCs w:val="24"/>
          <w:lang w:val="en-US" w:eastAsia="zh-CN" w:bidi="ar-SA"/>
        </w:rPr>
      </w:pPr>
      <w:bookmarkStart w:id="99" w:name="_Toc17618"/>
      <w:bookmarkStart w:id="100" w:name="_Toc3860"/>
      <w:r>
        <w:rPr>
          <w:rFonts w:hint="eastAsia" w:ascii="仿宋" w:hAnsi="仿宋" w:eastAsia="仿宋" w:cs="宋体"/>
          <w:b w:val="0"/>
          <w:bCs w:val="0"/>
          <w:kern w:val="2"/>
          <w:sz w:val="24"/>
          <w:szCs w:val="24"/>
          <w:lang w:val="en-US" w:eastAsia="zh-CN" w:bidi="ar-SA"/>
        </w:rPr>
        <w:t>2.1技术依据</w:t>
      </w:r>
      <w:bookmarkEnd w:id="99"/>
      <w:bookmarkEnd w:id="100"/>
    </w:p>
    <w:p>
      <w:pPr>
        <w:keepNext w:val="0"/>
        <w:keepLines w:val="0"/>
        <w:pageBreakBefore w:val="0"/>
        <w:widowControl/>
        <w:numPr>
          <w:ilvl w:val="0"/>
          <w:numId w:val="0"/>
        </w:numPr>
        <w:kinsoku/>
        <w:wordWrap/>
        <w:overflowPunct/>
        <w:topLinePunct w:val="0"/>
        <w:autoSpaceDE/>
        <w:autoSpaceDN/>
        <w:bidi w:val="0"/>
        <w:adjustRightInd/>
        <w:snapToGrid/>
        <w:ind w:firstLine="0" w:firstLineChars="0"/>
        <w:textAlignment w:val="auto"/>
        <w:rPr>
          <w:rFonts w:hint="eastAsia" w:ascii="仿宋" w:hAnsi="仿宋" w:eastAsia="仿宋" w:cs="宋体"/>
          <w:b w:val="0"/>
          <w:bCs w:val="0"/>
          <w:kern w:val="2"/>
          <w:sz w:val="24"/>
          <w:szCs w:val="24"/>
          <w:lang w:val="en-US" w:eastAsia="zh-CN" w:bidi="ar-SA"/>
        </w:rPr>
      </w:pPr>
      <w:bookmarkStart w:id="101" w:name="_Toc504646033"/>
      <w:bookmarkStart w:id="102" w:name="_Toc499838065"/>
      <w:bookmarkStart w:id="103" w:name="_Toc499838007"/>
      <w:r>
        <w:rPr>
          <w:rFonts w:hint="eastAsia" w:ascii="仿宋" w:hAnsi="仿宋" w:eastAsia="仿宋" w:cs="宋体"/>
          <w:b w:val="0"/>
          <w:bCs w:val="0"/>
          <w:kern w:val="2"/>
          <w:sz w:val="24"/>
          <w:szCs w:val="24"/>
          <w:lang w:val="en-US" w:eastAsia="zh-CN" w:bidi="ar-SA"/>
        </w:rPr>
        <w:t>（一） 自然资源统一确权登记工作标准规范</w:t>
      </w:r>
      <w:bookmarkEnd w:id="101"/>
      <w:bookmarkEnd w:id="102"/>
      <w:bookmarkEnd w:id="103"/>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①原国土资源部、中央编办、财政部、原环境保护部、水利部、原农业部、国家林业局《关于印发&lt;自然资源统一确权登记办法（试行）&gt;的通知》（国土资发〔2016〕192号）</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②国务院令第656号《不动产登记暂行条例》</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③《关于设立统一规范的国家生态文明实验区的意见》</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④《建立国家公园体制试点方案》</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⑤《自然资源统一确权登记办法（试行）》</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⑥《&lt;探明储量的矿产资源纳入自然资源统一确权登记&gt;试点工作方案》</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⑦《青海省生态文明先行示范区建设实施方案》</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⑧《青海省自然资源统一确权登记试点实施方案》</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⑨《生态保护红线划定技术指南》</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⑩《自然生态空间用途管制办法（试行）》</w:t>
      </w:r>
    </w:p>
    <w:p>
      <w:pPr>
        <w:keepNext w:val="0"/>
        <w:keepLines w:val="0"/>
        <w:pageBreakBefore w:val="0"/>
        <w:widowControl/>
        <w:numPr>
          <w:ilvl w:val="0"/>
          <w:numId w:val="0"/>
        </w:numPr>
        <w:kinsoku/>
        <w:wordWrap/>
        <w:overflowPunct/>
        <w:topLinePunct w:val="0"/>
        <w:autoSpaceDE/>
        <w:autoSpaceDN/>
        <w:bidi w:val="0"/>
        <w:adjustRightInd/>
        <w:snapToGrid/>
        <w:ind w:firstLine="0" w:firstLineChars="0"/>
        <w:textAlignment w:val="auto"/>
        <w:rPr>
          <w:rFonts w:hint="eastAsia" w:ascii="仿宋" w:hAnsi="仿宋" w:eastAsia="仿宋" w:cs="宋体"/>
          <w:b w:val="0"/>
          <w:bCs w:val="0"/>
          <w:kern w:val="2"/>
          <w:sz w:val="24"/>
          <w:szCs w:val="24"/>
          <w:lang w:val="en-US" w:eastAsia="zh-CN" w:bidi="ar-SA"/>
        </w:rPr>
      </w:pPr>
      <w:bookmarkStart w:id="104" w:name="_Toc499838066"/>
      <w:bookmarkStart w:id="105" w:name="_Toc504646034"/>
      <w:bookmarkStart w:id="106" w:name="_Toc499838008"/>
      <w:r>
        <w:rPr>
          <w:rFonts w:hint="eastAsia" w:ascii="仿宋" w:hAnsi="仿宋" w:eastAsia="仿宋" w:cs="宋体"/>
          <w:b w:val="0"/>
          <w:bCs w:val="0"/>
          <w:kern w:val="2"/>
          <w:sz w:val="24"/>
          <w:szCs w:val="24"/>
          <w:lang w:val="en-US" w:eastAsia="zh-CN" w:bidi="ar-SA"/>
        </w:rPr>
        <w:t>（二）地类范围、面积认定技术标准、规范</w:t>
      </w:r>
      <w:bookmarkEnd w:id="104"/>
      <w:bookmarkEnd w:id="105"/>
      <w:bookmarkEnd w:id="106"/>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①《第三次全国国土调查工作分类》</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②《第三次全国土地调查技术规程》</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③《集体土地所有权调查技术规定》</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④《国家级森林公园管理办法》</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⑤《国家重点公园管理办法》</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⑥《国家城市湿地公园管理办法》</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⑦《中华人民共和国自然保护区条例》</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⑧《国家森林资源连续清查技术规定》</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⑨《国家级公益林区划界定办法》</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⑩《林业资源分类与代码-森林类型》（GB/T 14721）</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⑪《林业资源分类与代码-自然保护区》（GB/T 15778）</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⑫《湿地分类》（GB/T 24708）</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⑬《林地分类》（LYT 1812）</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⑭《饮用水水源保护区划分技术规范》</w:t>
      </w:r>
    </w:p>
    <w:p>
      <w:pPr>
        <w:keepNext w:val="0"/>
        <w:keepLines w:val="0"/>
        <w:pageBreakBefore w:val="0"/>
        <w:widowControl/>
        <w:numPr>
          <w:ilvl w:val="0"/>
          <w:numId w:val="0"/>
        </w:numPr>
        <w:kinsoku/>
        <w:wordWrap/>
        <w:overflowPunct/>
        <w:topLinePunct w:val="0"/>
        <w:autoSpaceDE/>
        <w:autoSpaceDN/>
        <w:bidi w:val="0"/>
        <w:adjustRightInd/>
        <w:snapToGrid/>
        <w:ind w:firstLine="0" w:firstLineChars="0"/>
        <w:textAlignment w:val="auto"/>
        <w:rPr>
          <w:rFonts w:hint="eastAsia" w:ascii="仿宋" w:hAnsi="仿宋" w:eastAsia="仿宋" w:cs="宋体"/>
          <w:b w:val="0"/>
          <w:bCs w:val="0"/>
          <w:kern w:val="2"/>
          <w:sz w:val="24"/>
          <w:szCs w:val="24"/>
          <w:lang w:val="en-US" w:eastAsia="zh-CN" w:bidi="ar-SA"/>
        </w:rPr>
      </w:pPr>
      <w:bookmarkStart w:id="107" w:name="_Toc499838067"/>
      <w:bookmarkStart w:id="108" w:name="_Toc504646035"/>
      <w:bookmarkStart w:id="109" w:name="_Toc499838009"/>
      <w:r>
        <w:rPr>
          <w:rFonts w:hint="eastAsia" w:ascii="仿宋" w:hAnsi="仿宋" w:eastAsia="仿宋" w:cs="宋体"/>
          <w:b w:val="0"/>
          <w:bCs w:val="0"/>
          <w:kern w:val="2"/>
          <w:sz w:val="24"/>
          <w:szCs w:val="24"/>
          <w:lang w:val="en-US" w:eastAsia="zh-CN" w:bidi="ar-SA"/>
        </w:rPr>
        <w:t>（三）外业权属调查、测绘认定标准、规范</w:t>
      </w:r>
      <w:bookmarkEnd w:id="107"/>
      <w:bookmarkEnd w:id="108"/>
      <w:bookmarkEnd w:id="109"/>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①《土地调查条例》</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②《不动产权籍调查技术方案（试行）》</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③《土地权属争议调查处理办法》</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④《土地登记法》</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⑤《确定土地所有权和使用权若干规定》</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⑥《森林资源规划设计调查技术规程》（GB/T 26424）</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⑦《湿地资源调查技术规程》</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⑧《青海省实施《中华人民共和国测绘法》办法》</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⑨《1:500 1:1000 1:2000地形图航空摄影测量内业规范》(GB/T 7930-2008)</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⑩《1:500 1:1000 1:2000地形图航空摄影测量外业规范》（GB/T7931）</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⑪《1:500 1:1000 1:2000外业数字测图技术规程》（GB/T 14912-2005）</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⑫《数字地形图产品基本要求》（GBT 17278-2009）</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⑬《国家基本比例尺地图图式第1部分：1:500  1:1000  1:2000地形图图式》；（GB/T 20257.1-2007）；</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⑭《地形图航空摄影测量数字化测图规范》(GB/T 1006-2000)；</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⑮《基础地理信息数字成果1:500、1:1000、1:2000数字正射影像图》(CH/T 9008.3-2010)</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⑯《1:5000 1:10000基础地理信息要素数据字典（GB/T 20258.2）</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⑰《全球定位系统（GPS）测量规范》（GB/T 18314-2001）；</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⑱《全球定位系统城市测量技术规程（CJJT 73-2010）》</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⑲《全球定位系统实时动态测量（RTK）技术规范》CH/T2009；</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⑳《城市测量规范》（CJJ/T 8-2011）；</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㉑《测绘技术设计规定》（CH/T 1004-2005）；</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㉒《测绘技术总结编写规定》（CH/T 1001-2005）；</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㉓《测绘产品质量评定标准》（CH 1002-95）；</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㉔《测绘产品检查验收规定》（CH 1003-95）；</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㉕《数字测绘成果质量检查与验收》（GB/T 18316-2008）；</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㉖《房产测量规范》（GB/T 17986）</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㉗《地籍调查规程》（TD/T 1001）</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㉘《农村土地承包经营权调查规程》（NY/T2537）</w:t>
      </w:r>
    </w:p>
    <w:p>
      <w:pPr>
        <w:keepNext w:val="0"/>
        <w:keepLines w:val="0"/>
        <w:pageBreakBefore w:val="0"/>
        <w:widowControl/>
        <w:numPr>
          <w:ilvl w:val="0"/>
          <w:numId w:val="0"/>
        </w:numPr>
        <w:kinsoku/>
        <w:wordWrap/>
        <w:overflowPunct/>
        <w:topLinePunct w:val="0"/>
        <w:autoSpaceDE/>
        <w:autoSpaceDN/>
        <w:bidi w:val="0"/>
        <w:adjustRightInd/>
        <w:snapToGrid/>
        <w:ind w:firstLine="0" w:firstLineChars="0"/>
        <w:textAlignment w:val="auto"/>
        <w:rPr>
          <w:rFonts w:hint="eastAsia" w:ascii="仿宋" w:hAnsi="仿宋" w:eastAsia="仿宋" w:cs="宋体"/>
          <w:b w:val="0"/>
          <w:bCs w:val="0"/>
          <w:kern w:val="2"/>
          <w:sz w:val="24"/>
          <w:szCs w:val="24"/>
          <w:lang w:val="en-US" w:eastAsia="zh-CN" w:bidi="ar-SA"/>
        </w:rPr>
      </w:pPr>
      <w:bookmarkStart w:id="110" w:name="_Toc496794139"/>
      <w:r>
        <w:rPr>
          <w:rFonts w:hint="eastAsia" w:ascii="仿宋" w:hAnsi="仿宋" w:eastAsia="仿宋" w:cs="宋体"/>
          <w:b w:val="0"/>
          <w:bCs w:val="0"/>
          <w:kern w:val="2"/>
          <w:sz w:val="24"/>
          <w:szCs w:val="24"/>
          <w:lang w:val="en-US" w:eastAsia="zh-CN" w:bidi="ar-SA"/>
        </w:rPr>
        <w:t>（四）其他认定标准、规范</w:t>
      </w:r>
      <w:bookmarkEnd w:id="110"/>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①《不动产登记数据库标准（试行）》</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②《青海省自然保护区数据库建设和更新技术规范(试行)》</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③《基础地理信息数字产品元数据》（CH/T 1007）；</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④《国土资源信息核心元数据标准》（TD/T 1016-2003）；</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⑤《土地利用数据库标准》</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⑥《城镇地籍数据库标准》（TD/T 1015-2007）</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⑦《中华人民共和国行政区划代码》(GB/T2260—1999)；</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⑧《宗地代码编制规则(试行)》(国土资厅发〔2011〕57号)；</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⑨《国民经济行业分类与代码》（GB/T 4754）</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⑩《城镇地籍数据库标准》（TD/T 1015）</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⑪《房地产市场基础信息数据标准》（JGJ/T 252）</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⑫《农村土地承包经营权确权登记数据库规范》（NY/T 2539）</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⑬《青海省地理空间数据交换和共享管理办法》</w:t>
      </w:r>
    </w:p>
    <w:p>
      <w:pPr>
        <w:pStyle w:val="4"/>
        <w:bidi w:val="0"/>
        <w:rPr>
          <w:rFonts w:hint="eastAsia" w:ascii="仿宋" w:hAnsi="仿宋" w:eastAsia="仿宋" w:cs="宋体"/>
          <w:b w:val="0"/>
          <w:bCs w:val="0"/>
          <w:kern w:val="2"/>
          <w:sz w:val="24"/>
          <w:szCs w:val="24"/>
          <w:lang w:val="en-US" w:eastAsia="zh-CN" w:bidi="ar-SA"/>
        </w:rPr>
      </w:pPr>
      <w:bookmarkStart w:id="111" w:name="_Toc24189"/>
      <w:bookmarkStart w:id="112" w:name="_Toc4413"/>
      <w:r>
        <w:rPr>
          <w:rFonts w:hint="eastAsia" w:ascii="仿宋" w:hAnsi="仿宋" w:eastAsia="仿宋" w:cs="宋体"/>
          <w:b w:val="0"/>
          <w:bCs w:val="0"/>
          <w:kern w:val="2"/>
          <w:sz w:val="24"/>
          <w:szCs w:val="24"/>
          <w:lang w:val="en-US" w:eastAsia="zh-CN" w:bidi="ar-SA"/>
        </w:rPr>
        <w:t>2.2主要技术指标</w:t>
      </w:r>
      <w:bookmarkEnd w:id="111"/>
      <w:bookmarkEnd w:id="112"/>
    </w:p>
    <w:p>
      <w:pPr>
        <w:keepNext w:val="0"/>
        <w:keepLines w:val="0"/>
        <w:pageBreakBefore w:val="0"/>
        <w:widowControl/>
        <w:numPr>
          <w:ilvl w:val="0"/>
          <w:numId w:val="0"/>
        </w:numPr>
        <w:kinsoku/>
        <w:wordWrap/>
        <w:overflowPunct/>
        <w:topLinePunct w:val="0"/>
        <w:autoSpaceDE/>
        <w:autoSpaceDN/>
        <w:bidi w:val="0"/>
        <w:adjustRightInd/>
        <w:snapToGrid/>
        <w:ind w:firstLine="0" w:firstLineChars="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（一）数学基础</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自然资源调查平面基准采用2000国家大地坐标系，各调查机构采用地理坐标，经纬度值采用“度”为单位，用双精度浮点数表示，保留9位小数。</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高程基准采用1985国家高程基准，高程系统为正常高；高程值单位为“米”，保留2位小数。</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投影方式：高斯一克里格投影,3度分带，带号32；</w:t>
      </w:r>
    </w:p>
    <w:p>
      <w:pPr>
        <w:keepNext w:val="0"/>
        <w:keepLines w:val="0"/>
        <w:pageBreakBefore w:val="0"/>
        <w:widowControl/>
        <w:numPr>
          <w:ilvl w:val="0"/>
          <w:numId w:val="0"/>
        </w:numPr>
        <w:kinsoku/>
        <w:wordWrap/>
        <w:overflowPunct/>
        <w:topLinePunct w:val="0"/>
        <w:autoSpaceDE/>
        <w:autoSpaceDN/>
        <w:bidi w:val="0"/>
        <w:adjustRightInd/>
        <w:snapToGrid/>
        <w:ind w:firstLine="0" w:firstLineChars="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（二） 计量单位</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长度单位采用米,面积计箅单位采用平方米,库容量和森林蓄积量单位采用立方米,矿产储量单位采用万吨，面积统计汇总单位采用公顷和亩。</w:t>
      </w:r>
    </w:p>
    <w:p>
      <w:pPr>
        <w:keepNext w:val="0"/>
        <w:keepLines w:val="0"/>
        <w:pageBreakBefore w:val="0"/>
        <w:widowControl/>
        <w:numPr>
          <w:ilvl w:val="0"/>
          <w:numId w:val="0"/>
        </w:numPr>
        <w:kinsoku/>
        <w:wordWrap/>
        <w:overflowPunct/>
        <w:topLinePunct w:val="0"/>
        <w:autoSpaceDE/>
        <w:autoSpaceDN/>
        <w:bidi w:val="0"/>
        <w:adjustRightInd/>
        <w:snapToGrid/>
        <w:ind w:firstLine="0" w:firstLineChars="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（三）自然资源分类标准</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根据调查要求，自然资源种类分为荒地、已探明储量的矿产、森林、草地、湿地、水流等。</w:t>
      </w:r>
      <w:bookmarkStart w:id="113" w:name="page11"/>
      <w:bookmarkEnd w:id="113"/>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本次调查中自然资源种类划分以第三次土地调查《土地利用现状分类》（GB/T 21010-2017)为基准，参考其他行业地类判读标准，结合试点区自然资源特点，将相关地表利用现状归结为自然资源种类，并采用两级分类系统进行登记。自然资源类别在空间中出现重叠的，应侧重于突出原位性自然资产类别，最上层地块属性具有优先选择权，但重叠区域中其他开采性或非原位性自然资产类别需在该类别中标注。</w:t>
      </w:r>
    </w:p>
    <w:p>
      <w:pPr>
        <w:keepNext w:val="0"/>
        <w:keepLines w:val="0"/>
        <w:pageBreakBefore w:val="0"/>
        <w:widowControl/>
        <w:numPr>
          <w:ilvl w:val="0"/>
          <w:numId w:val="0"/>
        </w:numPr>
        <w:kinsoku/>
        <w:wordWrap/>
        <w:overflowPunct/>
        <w:topLinePunct w:val="0"/>
        <w:autoSpaceDE/>
        <w:autoSpaceDN/>
        <w:bidi w:val="0"/>
        <w:adjustRightInd/>
        <w:snapToGrid/>
        <w:ind w:firstLine="0" w:firstLineChars="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（四）数据精度及制图规范</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野外调查测绘工作要求工作精度为厘米级。部分面积较大的偏远区域，可适当放宽至亚米级。采用解析法测界址点坐标，其点位中误差不得大于±10cm，界址点间允许误差±20cm；在数字正射影像图上获取界址点坐标，其点位中误差不得大于图上±0.8mm。</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电子图件面积单位为平方米，平方公里，精度不低于0.01平方米，长度单位为米，公里，精度不低于0.1米。统计报表单位为公顷，平方公里，统计结果保持小数点后6位。</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图件制作规范以国标土地利用现状调查制图规范为主要制图依据，根据不动产登记规范和国土资源部相关制图规范进行补充，由省领导小组办公室确定图例、符号系统和比例尺。</w:t>
      </w:r>
    </w:p>
    <w:p>
      <w:pPr>
        <w:keepNext w:val="0"/>
        <w:keepLines w:val="0"/>
        <w:pageBreakBefore w:val="0"/>
        <w:widowControl/>
        <w:numPr>
          <w:ilvl w:val="0"/>
          <w:numId w:val="0"/>
        </w:numPr>
        <w:kinsoku/>
        <w:wordWrap/>
        <w:overflowPunct/>
        <w:topLinePunct w:val="0"/>
        <w:autoSpaceDE/>
        <w:autoSpaceDN/>
        <w:bidi w:val="0"/>
        <w:adjustRightInd/>
        <w:snapToGrid/>
        <w:ind w:firstLine="0" w:firstLineChars="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（五）单元划分</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按照不同自然资源种类和在生态、经济、国防等方面的重要程度以及相对完整的生态功能、集中连片等原则，组织相关资源管理部门将本次工作范围划分为若干个自然资源登记单元，自然资源登记单元具有唯一编号。自然资源登记单元由自然资源类型单元组成，自然资源类型单元是指在同一登记单元内，同一自然资源类别或性质在空间上连续分布的区域。自然资源类型单元是第三次国土调查数据为基础，结合不动产登记和其他行业主管部门产权登记数据，在去除掉已登记区域后，同类自然资源类型，形成自然资源类型单元界线。同一种自然资源类型被公路、铁路等带状地物分割的，应划分为若干个单元。划分登记单元时，突出原位性、主要性、优势性原则，其他资产类别可做标注。</w:t>
      </w:r>
    </w:p>
    <w:p>
      <w:pPr>
        <w:pStyle w:val="3"/>
        <w:numPr>
          <w:ilvl w:val="0"/>
          <w:numId w:val="18"/>
        </w:numPr>
        <w:bidi w:val="0"/>
        <w:ind w:firstLine="480"/>
        <w:rPr>
          <w:rFonts w:hint="eastAsia"/>
          <w:sz w:val="32"/>
          <w:szCs w:val="32"/>
          <w:lang w:eastAsia="zh-CN"/>
        </w:rPr>
      </w:pPr>
      <w:r>
        <w:rPr>
          <w:rFonts w:hint="eastAsia"/>
          <w:sz w:val="32"/>
          <w:szCs w:val="32"/>
          <w:lang w:eastAsia="zh-CN"/>
        </w:rPr>
        <w:t>项目建设内容</w:t>
      </w:r>
    </w:p>
    <w:p>
      <w:pPr>
        <w:pStyle w:val="4"/>
        <w:numPr>
          <w:ilvl w:val="0"/>
          <w:numId w:val="0"/>
        </w:numPr>
        <w:bidi w:val="0"/>
        <w:rPr>
          <w:rFonts w:hint="eastAsia" w:ascii="仿宋" w:hAnsi="仿宋" w:eastAsia="仿宋" w:cs="宋体"/>
          <w:b w:val="0"/>
          <w:bCs w:val="0"/>
          <w:kern w:val="2"/>
          <w:sz w:val="24"/>
          <w:szCs w:val="24"/>
          <w:lang w:val="en-US" w:eastAsia="zh-CN" w:bidi="ar-SA"/>
        </w:rPr>
      </w:pPr>
      <w:bookmarkStart w:id="114" w:name="_Toc28894"/>
      <w:r>
        <w:rPr>
          <w:rFonts w:hint="eastAsia" w:ascii="仿宋" w:hAnsi="仿宋" w:eastAsia="仿宋" w:cs="宋体"/>
          <w:b w:val="0"/>
          <w:bCs w:val="0"/>
          <w:kern w:val="2"/>
          <w:sz w:val="24"/>
          <w:szCs w:val="24"/>
          <w:lang w:val="en-US" w:eastAsia="zh-CN" w:bidi="ar-SA"/>
        </w:rPr>
        <w:t>3.1工作方法</w:t>
      </w:r>
      <w:bookmarkEnd w:id="114"/>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以土地为基础，确定工作区范围内土地及其承载的各类自然资源所有权及其边界，调查反映各类自然资源的利用现状，在此基础上，开展自然资源统一确权登记，实现不动产登记簿与自然资源登记簿关联，自然资源数据库搭建等任务。</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收集都兰县土地及其承载的自然资源调查资料，各类自然资源普查或调查成果，以都兰县第三次国土调查为基础，形成自然资源调查底图。</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依据国家、省的有关政策规定，依法划定登记单元，开展工作范围内各类自然资源的调查，明确各类自然资源的位置面积类型，权属性质和质量，形成自然资源登记簿副本。同时界定行政区划、资源种类、权属界线等范围边界。</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在工作开展过程中积极与生态环境、农业农村、水利、林草等部门充分衔接核定，确保数据真实可靠。</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通过与相关部门的衔接，调查清楚工作区内各类用益物权的赋存状况，并建立与自然资源调查信息的关联，将相关权利信息统一标注至资源底图，建立相关权利信息与自然资源登记薄之间的实时关联信息，做到权利信息清楚可查、自然资源与权利清晰可辩。</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绘制各类资源图件、登记单元图、所有权图、自然资源分布图等各类图件，完成项目区自然资源调查数据库并录入至县、市（州）、省级不动产登记信息平台中，编写技术方案、工作报告、技术报告、建库文档等，按照要求提交相关成果，并最终通过审查验收。</w:t>
      </w:r>
    </w:p>
    <w:p>
      <w:pPr>
        <w:pStyle w:val="4"/>
        <w:bidi w:val="0"/>
      </w:pPr>
      <w:bookmarkStart w:id="115" w:name="_Toc9131"/>
      <w:bookmarkStart w:id="116" w:name="_Toc17770"/>
      <w:r>
        <w:rPr>
          <w:rFonts w:hint="eastAsia"/>
          <w:lang w:val="en-US" w:eastAsia="zh-CN"/>
        </w:rPr>
        <w:t>3</w:t>
      </w:r>
      <w:r>
        <w:rPr>
          <w:rFonts w:hint="eastAsia"/>
        </w:rPr>
        <w:t>.2工作原则</w:t>
      </w:r>
      <w:bookmarkEnd w:id="115"/>
      <w:bookmarkEnd w:id="116"/>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主要原则包括合法性原则、生态优先原则、继承性原则、实事求是原则。</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合法性原则是指登记单元的划定、自然资源图斑的划定需要经过程序认定。</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生态优先原则是指在划分自然资源图斑时，尽量避免分割大的森林、草原、河流水域等。划定边界时，尽量按自然资源自然边界为依据。</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继承性原则是指在工作时，对已有资料经认定后，在需要的时候继承使用，不再进行外业核查、调解等工作，以提高工作效率。如边界争议问题，如已有相关协议或缘由书，则直接使用，不再进行争议处理。</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实事求是原则是指在工作中做到数据、图件、实地三者一致，防止出现弄虚作假、随意修改调查登记数据的情况。</w:t>
      </w:r>
    </w:p>
    <w:p>
      <w:pPr>
        <w:pStyle w:val="4"/>
        <w:bidi w:val="0"/>
        <w:rPr>
          <w:rFonts w:hint="eastAsia"/>
        </w:rPr>
      </w:pPr>
      <w:bookmarkStart w:id="117" w:name="_Toc20779"/>
      <w:r>
        <w:rPr>
          <w:rFonts w:hint="eastAsia"/>
          <w:lang w:val="en-US" w:eastAsia="zh-CN"/>
        </w:rPr>
        <w:t>3.3</w:t>
      </w:r>
      <w:r>
        <w:rPr>
          <w:rFonts w:hint="eastAsia"/>
          <w:lang w:eastAsia="zh-CN"/>
        </w:rPr>
        <w:t>工作流程</w:t>
      </w:r>
      <w:bookmarkEnd w:id="117"/>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在自然资源统一确权登记的工作中，需要确定自然资源登记单元范围界线、基本情况和权属情况。依据《自然资源统一确权登记办法（试行）》中对于确权登记的要求，设计形成完整的技术路线。都兰县自然资源统一确权登记项目的整体技术路线是，首先根据各行业标准以及现有数据工作基础，划定出适合都兰县域现有自然资源类型分类指标体系；其次从现有数据中提取所有自然资源类型，制作工作底图，预划登记单元和登记单元内的自然资源类型单元；初步确定登记单元范围和权属后，发布首次登记通告，如对登记单元和登记单元内的自然资源类型单元划分有异议，则进行外业调查，现场指界，确定资源类型、权属和登记范围界与资源单元界；最后进行登簿工作，将自然资源确权成果记载到自然资源登记簿，并进行归档。建立自然资源统一确权数据库，辅助自然资源登记工作的完成，为自然资源产权制度建立、生态文明建设提供数据和平台基础。</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都兰县自然资源统一确权登记项目主要工作包括准备工作、单元预划与编码、调查底图制作、外业调查、内业整理及图件编制、数据库建设、汇总验收、登记八个部分。</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_GB2312" w:eastAsia="仿宋_GB2312"/>
          <w:lang w:eastAsia="zh-CN"/>
        </w:rPr>
      </w:pPr>
      <w:r>
        <w:rPr>
          <w:rFonts w:hint="eastAsia" w:ascii="仿宋" w:hAnsi="仿宋" w:eastAsia="仿宋" w:cs="宋体"/>
          <w:b w:val="0"/>
          <w:bCs w:val="0"/>
          <w:kern w:val="2"/>
          <w:sz w:val="24"/>
          <w:szCs w:val="24"/>
          <w:lang w:val="en-US" w:eastAsia="zh-CN" w:bidi="ar-SA"/>
        </w:rPr>
        <w:drawing>
          <wp:inline distT="0" distB="0" distL="114300" distR="114300">
            <wp:extent cx="4617720" cy="6002655"/>
            <wp:effectExtent l="0" t="0" r="11430" b="17145"/>
            <wp:docPr id="6" name="图片 1" descr="WPS图片-抠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WPS图片-抠图"/>
                    <pic:cNvPicPr>
                      <a:picLocks noChangeAspect="1"/>
                    </pic:cNvPicPr>
                  </pic:nvPicPr>
                  <pic:blipFill>
                    <a:blip r:embed="rId8"/>
                    <a:stretch>
                      <a:fillRect/>
                    </a:stretch>
                  </pic:blipFill>
                  <pic:spPr>
                    <a:xfrm>
                      <a:off x="0" y="0"/>
                      <a:ext cx="4617720" cy="600265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b w:val="0"/>
          <w:bCs w:val="0"/>
          <w:lang w:eastAsia="zh-CN"/>
        </w:rPr>
      </w:pPr>
      <w:bookmarkStart w:id="118" w:name="_Toc24640"/>
      <w:bookmarkStart w:id="119" w:name="_Toc37178209"/>
    </w:p>
    <w:p>
      <w:pPr>
        <w:keepNext w:val="0"/>
        <w:keepLines w:val="0"/>
        <w:pageBreakBefore w:val="0"/>
        <w:widowControl/>
        <w:kinsoku/>
        <w:wordWrap/>
        <w:overflowPunct/>
        <w:topLinePunct w:val="0"/>
        <w:autoSpaceDE/>
        <w:autoSpaceDN/>
        <w:bidi w:val="0"/>
        <w:adjustRightInd/>
        <w:snapToGrid/>
        <w:ind w:firstLine="0" w:firstLineChars="0"/>
        <w:textAlignment w:val="auto"/>
        <w:rPr>
          <w:b w:val="0"/>
          <w:bCs w:val="0"/>
        </w:rPr>
      </w:pPr>
      <w:r>
        <w:rPr>
          <w:rFonts w:hint="eastAsia"/>
          <w:b w:val="0"/>
          <w:bCs w:val="0"/>
          <w:lang w:eastAsia="zh-CN"/>
        </w:rPr>
        <w:t>（一）</w:t>
      </w:r>
      <w:r>
        <w:rPr>
          <w:rFonts w:hint="eastAsia"/>
          <w:b w:val="0"/>
          <w:bCs w:val="0"/>
        </w:rPr>
        <w:t>准备工作</w:t>
      </w:r>
      <w:bookmarkEnd w:id="118"/>
      <w:bookmarkEnd w:id="119"/>
    </w:p>
    <w:p>
      <w:pPr>
        <w:bidi w:val="0"/>
        <w:rPr>
          <w:rFonts w:hint="default"/>
        </w:rPr>
      </w:pPr>
      <w:bookmarkStart w:id="120" w:name="_Toc37178211"/>
      <w:r>
        <w:rPr>
          <w:rFonts w:hint="eastAsia"/>
          <w:lang w:val="en-US" w:eastAsia="zh-CN"/>
        </w:rPr>
        <w:t>1、</w:t>
      </w:r>
      <w:r>
        <w:t>工具准备</w:t>
      </w:r>
      <w:bookmarkEnd w:id="120"/>
    </w:p>
    <w:p>
      <w:pPr>
        <w:bidi w:val="0"/>
      </w:pPr>
      <w:r>
        <w:rPr>
          <w:rFonts w:hint="eastAsia"/>
          <w:lang w:val="en-US" w:eastAsia="zh-CN"/>
        </w:rPr>
        <w:t>硬件设施，包括全球导航定位系统接收机等测绘仪器，测距仪、钢尺、纸、笔、相机等量算和记录工具，电脑、外业调查设备、移动硬盘等计算和存储设备。软件设施，包括内业处理软件、数据分析软件、数据库软件、质量检查软件等。</w:t>
      </w:r>
    </w:p>
    <w:p>
      <w:pPr>
        <w:bidi w:val="0"/>
        <w:rPr>
          <w:rFonts w:hint="default"/>
        </w:rPr>
      </w:pPr>
      <w:bookmarkStart w:id="121" w:name="_Toc37178212"/>
      <w:r>
        <w:rPr>
          <w:rFonts w:hint="eastAsia"/>
          <w:lang w:val="en-US" w:eastAsia="zh-CN"/>
        </w:rPr>
        <w:t>2、</w:t>
      </w:r>
      <w:r>
        <w:t>资料准备</w:t>
      </w:r>
      <w:bookmarkEnd w:id="121"/>
    </w:p>
    <w:p>
      <w:pPr>
        <w:bidi w:val="0"/>
        <w:rPr>
          <w:rFonts w:hint="eastAsia"/>
          <w:lang w:val="en-US" w:eastAsia="zh-CN"/>
        </w:rPr>
      </w:pPr>
      <w:r>
        <w:rPr>
          <w:rFonts w:hint="eastAsia"/>
          <w:lang w:val="en-US" w:eastAsia="zh-CN"/>
        </w:rPr>
        <w:t>依据《自然资源统一确权登记办法》试行中对自然资源确权登记的资料的要求及行业管理情况，需要收集如下资料：</w:t>
      </w:r>
    </w:p>
    <w:p>
      <w:pPr>
        <w:bidi w:val="0"/>
        <w:rPr>
          <w:rFonts w:hint="eastAsia"/>
          <w:lang w:val="en-US" w:eastAsia="zh-CN"/>
        </w:rPr>
      </w:pPr>
      <w:r>
        <w:rPr>
          <w:rFonts w:hint="eastAsia"/>
          <w:lang w:val="en-US" w:eastAsia="zh-CN"/>
        </w:rPr>
        <w:t>基础地理类资料：</w:t>
      </w:r>
    </w:p>
    <w:p>
      <w:pPr>
        <w:bidi w:val="0"/>
        <w:rPr>
          <w:rFonts w:hint="eastAsia"/>
          <w:lang w:val="en-US" w:eastAsia="zh-CN"/>
        </w:rPr>
      </w:pPr>
      <w:r>
        <w:rPr>
          <w:rFonts w:hint="eastAsia"/>
          <w:lang w:val="en-US" w:eastAsia="zh-CN"/>
        </w:rPr>
        <w:t>①各类遥感资料</w:t>
      </w:r>
    </w:p>
    <w:p>
      <w:pPr>
        <w:bidi w:val="0"/>
        <w:rPr>
          <w:rFonts w:hint="eastAsia"/>
          <w:lang w:val="en-US" w:eastAsia="zh-CN"/>
        </w:rPr>
      </w:pPr>
      <w:r>
        <w:rPr>
          <w:rFonts w:hint="eastAsia"/>
          <w:lang w:val="en-US" w:eastAsia="zh-CN"/>
        </w:rPr>
        <w:t>②地形图</w:t>
      </w:r>
    </w:p>
    <w:p>
      <w:pPr>
        <w:bidi w:val="0"/>
        <w:rPr>
          <w:rFonts w:hint="eastAsia"/>
          <w:lang w:val="en-US" w:eastAsia="zh-CN"/>
        </w:rPr>
      </w:pPr>
      <w:r>
        <w:rPr>
          <w:rFonts w:hint="eastAsia"/>
          <w:lang w:val="en-US" w:eastAsia="zh-CN"/>
        </w:rPr>
        <w:t>③坐标系转换参数、控制点</w:t>
      </w:r>
    </w:p>
    <w:p>
      <w:pPr>
        <w:bidi w:val="0"/>
        <w:rPr>
          <w:rFonts w:hint="eastAsia"/>
          <w:lang w:val="en-US" w:eastAsia="zh-CN"/>
        </w:rPr>
      </w:pPr>
      <w:r>
        <w:rPr>
          <w:rFonts w:hint="eastAsia"/>
          <w:lang w:val="en-US" w:eastAsia="zh-CN"/>
        </w:rPr>
        <w:t>自然资源调查监测类资料：</w:t>
      </w:r>
    </w:p>
    <w:p>
      <w:pPr>
        <w:bidi w:val="0"/>
        <w:rPr>
          <w:rFonts w:hint="eastAsia"/>
          <w:lang w:val="en-US" w:eastAsia="zh-CN"/>
        </w:rPr>
      </w:pPr>
      <w:r>
        <w:rPr>
          <w:rFonts w:hint="eastAsia"/>
          <w:lang w:val="en-US" w:eastAsia="zh-CN"/>
        </w:rPr>
        <w:t>①第三次国土调查数据成果</w:t>
      </w:r>
    </w:p>
    <w:p>
      <w:pPr>
        <w:bidi w:val="0"/>
        <w:rPr>
          <w:rFonts w:hint="eastAsia"/>
          <w:lang w:val="en-US" w:eastAsia="zh-CN"/>
        </w:rPr>
      </w:pPr>
      <w:r>
        <w:rPr>
          <w:rFonts w:hint="eastAsia"/>
          <w:lang w:val="en-US" w:eastAsia="zh-CN"/>
        </w:rPr>
        <w:t>②地理国情普查与监测成果</w:t>
      </w:r>
    </w:p>
    <w:p>
      <w:pPr>
        <w:bidi w:val="0"/>
        <w:rPr>
          <w:rFonts w:hint="eastAsia"/>
          <w:lang w:val="en-US" w:eastAsia="zh-CN"/>
        </w:rPr>
      </w:pPr>
      <w:r>
        <w:rPr>
          <w:rFonts w:hint="eastAsia"/>
          <w:lang w:val="en-US" w:eastAsia="zh-CN"/>
        </w:rPr>
        <w:t>③水资源调查评价成果</w:t>
      </w:r>
    </w:p>
    <w:p>
      <w:pPr>
        <w:bidi w:val="0"/>
        <w:rPr>
          <w:rFonts w:hint="eastAsia"/>
          <w:lang w:val="en-US" w:eastAsia="zh-CN"/>
        </w:rPr>
      </w:pPr>
      <w:r>
        <w:rPr>
          <w:rFonts w:hint="eastAsia"/>
          <w:lang w:val="en-US" w:eastAsia="zh-CN"/>
        </w:rPr>
        <w:t>④水利普查成果</w:t>
      </w:r>
    </w:p>
    <w:p>
      <w:pPr>
        <w:bidi w:val="0"/>
        <w:rPr>
          <w:rFonts w:hint="eastAsia"/>
          <w:lang w:val="en-US" w:eastAsia="zh-CN"/>
        </w:rPr>
      </w:pPr>
      <w:r>
        <w:rPr>
          <w:rFonts w:hint="eastAsia"/>
          <w:lang w:val="en-US" w:eastAsia="zh-CN"/>
        </w:rPr>
        <w:t>⑤森林资源连续清查成果</w:t>
      </w:r>
    </w:p>
    <w:p>
      <w:pPr>
        <w:bidi w:val="0"/>
        <w:rPr>
          <w:rFonts w:hint="eastAsia"/>
          <w:lang w:val="en-US" w:eastAsia="zh-CN"/>
        </w:rPr>
      </w:pPr>
      <w:r>
        <w:rPr>
          <w:rFonts w:hint="eastAsia"/>
          <w:lang w:val="en-US" w:eastAsia="zh-CN"/>
        </w:rPr>
        <w:t>⑥湿地普查成果</w:t>
      </w:r>
    </w:p>
    <w:p>
      <w:pPr>
        <w:bidi w:val="0"/>
        <w:rPr>
          <w:rFonts w:hint="eastAsia"/>
          <w:lang w:val="en-US" w:eastAsia="zh-CN"/>
        </w:rPr>
      </w:pPr>
      <w:r>
        <w:rPr>
          <w:rFonts w:hint="eastAsia"/>
          <w:lang w:val="en-US" w:eastAsia="zh-CN"/>
        </w:rPr>
        <w:t>⑦林地一张图</w:t>
      </w:r>
    </w:p>
    <w:p>
      <w:pPr>
        <w:bidi w:val="0"/>
        <w:rPr>
          <w:rFonts w:hint="eastAsia"/>
          <w:lang w:val="en-US" w:eastAsia="zh-CN"/>
        </w:rPr>
      </w:pPr>
      <w:r>
        <w:rPr>
          <w:rFonts w:hint="eastAsia"/>
          <w:lang w:val="en-US" w:eastAsia="zh-CN"/>
        </w:rPr>
        <w:t>⑧草原调查与监测成果</w:t>
      </w:r>
    </w:p>
    <w:p>
      <w:pPr>
        <w:bidi w:val="0"/>
        <w:rPr>
          <w:rFonts w:hint="eastAsia"/>
          <w:lang w:val="en-US" w:eastAsia="zh-CN"/>
        </w:rPr>
      </w:pPr>
      <w:r>
        <w:rPr>
          <w:rFonts w:hint="eastAsia"/>
          <w:lang w:val="en-US" w:eastAsia="zh-CN"/>
        </w:rPr>
        <w:t>⑨矿产资源储量登记成果</w:t>
      </w:r>
    </w:p>
    <w:p>
      <w:pPr>
        <w:bidi w:val="0"/>
      </w:pPr>
      <w:r>
        <w:rPr>
          <w:rFonts w:hint="eastAsia"/>
        </w:rPr>
        <w:t>确权登记类资料：</w:t>
      </w:r>
    </w:p>
    <w:p>
      <w:pPr>
        <w:bidi w:val="0"/>
        <w:rPr>
          <w:rFonts w:hint="eastAsia"/>
          <w:lang w:val="en-US" w:eastAsia="zh-CN"/>
        </w:rPr>
      </w:pPr>
      <w:r>
        <w:rPr>
          <w:rFonts w:hint="eastAsia"/>
          <w:lang w:val="en-US" w:eastAsia="zh-CN"/>
        </w:rPr>
        <w:t>①集体土地确权登记资料</w:t>
      </w:r>
    </w:p>
    <w:p>
      <w:pPr>
        <w:bidi w:val="0"/>
        <w:rPr>
          <w:rFonts w:hint="eastAsia"/>
          <w:lang w:val="en-US" w:eastAsia="zh-CN"/>
        </w:rPr>
      </w:pPr>
      <w:r>
        <w:rPr>
          <w:rFonts w:hint="eastAsia"/>
          <w:lang w:val="en-US" w:eastAsia="zh-CN"/>
        </w:rPr>
        <w:t>②国有建设用地确权登记</w:t>
      </w:r>
    </w:p>
    <w:p>
      <w:pPr>
        <w:bidi w:val="0"/>
        <w:rPr>
          <w:rFonts w:hint="eastAsia"/>
          <w:lang w:val="en-US" w:eastAsia="zh-CN"/>
        </w:rPr>
      </w:pPr>
      <w:r>
        <w:rPr>
          <w:rFonts w:hint="eastAsia"/>
          <w:lang w:val="en-US" w:eastAsia="zh-CN"/>
        </w:rPr>
        <w:t>③土地承包经营权确权登记</w:t>
      </w:r>
    </w:p>
    <w:p>
      <w:pPr>
        <w:bidi w:val="0"/>
        <w:rPr>
          <w:rFonts w:hint="eastAsia"/>
          <w:lang w:val="en-US" w:eastAsia="zh-CN"/>
        </w:rPr>
      </w:pPr>
      <w:r>
        <w:rPr>
          <w:rFonts w:hint="eastAsia"/>
          <w:lang w:val="en-US" w:eastAsia="zh-CN"/>
        </w:rPr>
        <w:t>④林业二类调查</w:t>
      </w:r>
    </w:p>
    <w:p>
      <w:pPr>
        <w:bidi w:val="0"/>
        <w:rPr>
          <w:rFonts w:hint="eastAsia"/>
          <w:lang w:val="en-US" w:eastAsia="zh-CN"/>
        </w:rPr>
      </w:pPr>
      <w:r>
        <w:rPr>
          <w:rFonts w:hint="eastAsia"/>
          <w:lang w:val="en-US" w:eastAsia="zh-CN"/>
        </w:rPr>
        <w:t>⑤矿业两权登记</w:t>
      </w:r>
    </w:p>
    <w:p>
      <w:pPr>
        <w:bidi w:val="0"/>
      </w:pPr>
      <w:r>
        <w:rPr>
          <w:rFonts w:hint="eastAsia"/>
        </w:rPr>
        <w:t>规划与保护类资料：</w:t>
      </w:r>
    </w:p>
    <w:p>
      <w:pPr>
        <w:bidi w:val="0"/>
        <w:rPr>
          <w:rFonts w:hint="eastAsia"/>
          <w:lang w:val="en-US" w:eastAsia="zh-CN"/>
        </w:rPr>
      </w:pPr>
      <w:r>
        <w:rPr>
          <w:rFonts w:hint="eastAsia"/>
          <w:lang w:val="en-US" w:eastAsia="zh-CN"/>
        </w:rPr>
        <w:t>①主体功能区规划</w:t>
      </w:r>
    </w:p>
    <w:p>
      <w:pPr>
        <w:bidi w:val="0"/>
        <w:rPr>
          <w:rFonts w:hint="eastAsia"/>
          <w:lang w:val="en-US" w:eastAsia="zh-CN"/>
        </w:rPr>
      </w:pPr>
      <w:r>
        <w:rPr>
          <w:rFonts w:hint="eastAsia"/>
          <w:lang w:val="en-US" w:eastAsia="zh-CN"/>
        </w:rPr>
        <w:t>②永久基本农田划定成果</w:t>
      </w:r>
    </w:p>
    <w:p>
      <w:pPr>
        <w:bidi w:val="0"/>
        <w:rPr>
          <w:rFonts w:hint="eastAsia"/>
          <w:lang w:val="en-US" w:eastAsia="zh-CN"/>
        </w:rPr>
      </w:pPr>
      <w:r>
        <w:rPr>
          <w:rFonts w:hint="eastAsia"/>
          <w:lang w:val="en-US" w:eastAsia="zh-CN"/>
        </w:rPr>
        <w:t>③生态保护红线</w:t>
      </w:r>
    </w:p>
    <w:p>
      <w:pPr>
        <w:bidi w:val="0"/>
        <w:rPr>
          <w:rFonts w:hint="eastAsia"/>
          <w:lang w:val="en-US" w:eastAsia="zh-CN"/>
        </w:rPr>
      </w:pPr>
      <w:r>
        <w:rPr>
          <w:rFonts w:hint="eastAsia"/>
          <w:lang w:val="en-US" w:eastAsia="zh-CN"/>
        </w:rPr>
        <w:t>④县、乡级土地利用总体规划</w:t>
      </w:r>
    </w:p>
    <w:p>
      <w:pPr>
        <w:bidi w:val="0"/>
        <w:rPr>
          <w:rFonts w:hint="eastAsia"/>
          <w:lang w:val="en-US" w:eastAsia="zh-CN"/>
        </w:rPr>
      </w:pPr>
      <w:r>
        <w:rPr>
          <w:rFonts w:hint="eastAsia"/>
          <w:lang w:val="en-US" w:eastAsia="zh-CN"/>
        </w:rPr>
        <w:t>⑤环境保护规划</w:t>
      </w:r>
    </w:p>
    <w:p>
      <w:pPr>
        <w:bidi w:val="0"/>
        <w:rPr>
          <w:rFonts w:hint="eastAsia"/>
          <w:lang w:val="en-US" w:eastAsia="zh-CN"/>
        </w:rPr>
      </w:pPr>
      <w:r>
        <w:rPr>
          <w:rFonts w:hint="eastAsia"/>
          <w:lang w:val="en-US" w:eastAsia="zh-CN"/>
        </w:rPr>
        <w:t>⑥水功能规划</w:t>
      </w:r>
    </w:p>
    <w:p>
      <w:pPr>
        <w:bidi w:val="0"/>
        <w:rPr>
          <w:rFonts w:hint="eastAsia"/>
          <w:lang w:val="en-US" w:eastAsia="zh-CN"/>
        </w:rPr>
      </w:pPr>
      <w:r>
        <w:rPr>
          <w:rFonts w:hint="eastAsia"/>
          <w:lang w:val="en-US" w:eastAsia="zh-CN"/>
        </w:rPr>
        <w:t>⑦水环境功能区划</w:t>
      </w:r>
    </w:p>
    <w:p>
      <w:pPr>
        <w:bidi w:val="0"/>
        <w:rPr>
          <w:rFonts w:hint="eastAsia"/>
          <w:lang w:val="en-US" w:eastAsia="zh-CN"/>
        </w:rPr>
      </w:pPr>
      <w:r>
        <w:rPr>
          <w:rFonts w:hint="eastAsia"/>
          <w:lang w:val="en-US" w:eastAsia="zh-CN"/>
        </w:rPr>
        <w:t>⑧自然保护地划定和审批资料</w:t>
      </w:r>
    </w:p>
    <w:p>
      <w:pPr>
        <w:bidi w:val="0"/>
        <w:rPr>
          <w:rFonts w:hint="eastAsia"/>
          <w:lang w:val="en-US" w:eastAsia="zh-CN"/>
        </w:rPr>
      </w:pPr>
      <w:r>
        <w:rPr>
          <w:rFonts w:hint="eastAsia"/>
          <w:lang w:val="en-US" w:eastAsia="zh-CN"/>
        </w:rPr>
        <w:t>⑨河（湖）划界资料</w:t>
      </w:r>
    </w:p>
    <w:p>
      <w:pPr>
        <w:bidi w:val="0"/>
        <w:rPr>
          <w:rFonts w:hint="eastAsia"/>
          <w:lang w:val="en-US" w:eastAsia="zh-CN"/>
        </w:rPr>
      </w:pPr>
      <w:r>
        <w:rPr>
          <w:rFonts w:hint="eastAsia"/>
          <w:lang w:val="en-US" w:eastAsia="zh-CN"/>
        </w:rPr>
        <w:t>⑩岸线规划资料</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default"/>
        </w:rPr>
      </w:pPr>
      <w:bookmarkStart w:id="122" w:name="_Toc37178213"/>
      <w:r>
        <w:rPr>
          <w:rFonts w:hint="eastAsia"/>
          <w:lang w:eastAsia="zh-CN"/>
        </w:rPr>
        <w:t>（二）</w:t>
      </w:r>
      <w:r>
        <w:t>资料分析</w:t>
      </w:r>
      <w:bookmarkEnd w:id="122"/>
    </w:p>
    <w:p>
      <w:pPr>
        <w:bidi w:val="0"/>
        <w:rPr>
          <w:rFonts w:hint="eastAsia"/>
          <w:lang w:val="en-US" w:eastAsia="zh-CN"/>
        </w:rPr>
      </w:pPr>
      <w:r>
        <w:rPr>
          <w:rFonts w:hint="eastAsia"/>
          <w:lang w:val="en-US" w:eastAsia="zh-CN"/>
        </w:rPr>
        <w:t>根据收集到的自然资源相关数据资料，对数据成果的坐标系统、精度、完整性、现实性、法定性及属性等进行分析及评价。</w:t>
      </w:r>
    </w:p>
    <w:p>
      <w:pPr>
        <w:bidi w:val="0"/>
        <w:rPr>
          <w:rFonts w:hint="eastAsia"/>
          <w:lang w:val="en-US" w:eastAsia="zh-CN"/>
        </w:rPr>
      </w:pPr>
      <w:r>
        <w:rPr>
          <w:rFonts w:hint="eastAsia"/>
          <w:lang w:val="en-US" w:eastAsia="zh-CN"/>
        </w:rPr>
        <w:t>根据对现有资料的分析工作，综合评价收集数据的质量及可用性，确定在自然资源确权登记中仍需要收集或调查测绘那些数据，便于定量的评定工作量，为制定工作计划，保证项目进度提供基础。</w:t>
      </w:r>
    </w:p>
    <w:p>
      <w:pPr>
        <w:pStyle w:val="4"/>
        <w:bidi w:val="0"/>
      </w:pPr>
      <w:bookmarkStart w:id="123" w:name="_Toc8547"/>
      <w:bookmarkStart w:id="124" w:name="_Toc37178215"/>
      <w:r>
        <w:rPr>
          <w:rFonts w:hint="eastAsia"/>
        </w:rPr>
        <w:t>3</w:t>
      </w:r>
      <w:r>
        <w:rPr>
          <w:rFonts w:hint="eastAsia"/>
          <w:lang w:val="en-US" w:eastAsia="zh-CN"/>
        </w:rPr>
        <w:t>.4</w:t>
      </w:r>
      <w:r>
        <w:rPr>
          <w:rFonts w:hint="eastAsia"/>
        </w:rPr>
        <w:t>单元预划与编码</w:t>
      </w:r>
      <w:bookmarkEnd w:id="123"/>
      <w:bookmarkEnd w:id="124"/>
    </w:p>
    <w:p>
      <w:pPr>
        <w:keepNext w:val="0"/>
        <w:keepLines w:val="0"/>
        <w:pageBreakBefore w:val="0"/>
        <w:widowControl/>
        <w:kinsoku/>
        <w:wordWrap/>
        <w:overflowPunct/>
        <w:topLinePunct w:val="0"/>
        <w:autoSpaceDE/>
        <w:autoSpaceDN/>
        <w:bidi w:val="0"/>
        <w:adjustRightInd/>
        <w:snapToGrid/>
        <w:ind w:firstLine="0" w:firstLineChars="0"/>
        <w:textAlignment w:val="auto"/>
        <w:rPr>
          <w:rFonts w:hint="default"/>
          <w:lang w:val="en-US" w:eastAsia="zh-CN"/>
        </w:rPr>
      </w:pPr>
      <w:bookmarkStart w:id="125" w:name="_Toc37178216"/>
      <w:r>
        <w:rPr>
          <w:rFonts w:hint="eastAsia"/>
          <w:lang w:val="en-US" w:eastAsia="zh-CN"/>
        </w:rPr>
        <w:t>（一）确定调查范围</w:t>
      </w:r>
      <w:bookmarkEnd w:id="125"/>
    </w:p>
    <w:p>
      <w:pPr>
        <w:bidi w:val="0"/>
        <w:rPr>
          <w:rFonts w:hint="eastAsia"/>
          <w:lang w:val="en-US" w:eastAsia="zh-CN"/>
        </w:rPr>
      </w:pPr>
      <w:r>
        <w:rPr>
          <w:rFonts w:hint="eastAsia"/>
          <w:lang w:val="en-US" w:eastAsia="zh-CN"/>
        </w:rPr>
        <w:t>确定本次任务的调查范围，</w:t>
      </w:r>
      <w:r>
        <w:rPr>
          <w:rFonts w:hint="eastAsia"/>
        </w:rPr>
        <w:t>对</w:t>
      </w:r>
      <w:r>
        <w:rPr>
          <w:rFonts w:hint="eastAsia"/>
          <w:lang w:eastAsia="zh-CN"/>
        </w:rPr>
        <w:t>上级部门已</w:t>
      </w:r>
      <w:r>
        <w:rPr>
          <w:rFonts w:hint="eastAsia"/>
        </w:rPr>
        <w:t>开展确权登记</w:t>
      </w:r>
      <w:r>
        <w:rPr>
          <w:rFonts w:hint="eastAsia"/>
          <w:lang w:eastAsia="zh-CN"/>
        </w:rPr>
        <w:t>的自然资源、</w:t>
      </w:r>
      <w:r>
        <w:rPr>
          <w:rFonts w:hint="eastAsia"/>
          <w:lang w:val="en-US" w:eastAsia="zh-CN"/>
        </w:rPr>
        <w:t>对已作为不动产进行了登记的宗地，将其从本次调查内容范围内的剔除，减少不必要的工作量。</w:t>
      </w:r>
    </w:p>
    <w:p>
      <w:pPr>
        <w:bidi w:val="0"/>
        <w:rPr>
          <w:rFonts w:hint="eastAsia"/>
          <w:lang w:val="en-US" w:eastAsia="zh-CN"/>
        </w:rPr>
      </w:pPr>
      <w:r>
        <w:rPr>
          <w:rFonts w:hint="eastAsia"/>
          <w:lang w:val="en-US" w:eastAsia="zh-CN"/>
        </w:rPr>
        <w:t>第一步：确定自然资源调查范围是通过“三个图层相叠加”的方式，即集体土地所有权确权登记发证、国有土地使用权确权登记发证和三次国土调查成果相叠加，明确国有未利用土地的范围。</w:t>
      </w:r>
    </w:p>
    <w:p>
      <w:pPr>
        <w:bidi w:val="0"/>
        <w:rPr>
          <w:rFonts w:hint="eastAsia"/>
          <w:lang w:val="en-US" w:eastAsia="zh-CN"/>
        </w:rPr>
      </w:pPr>
      <w:r>
        <w:rPr>
          <w:rFonts w:hint="eastAsia"/>
          <w:lang w:val="en-US" w:eastAsia="zh-CN"/>
        </w:rPr>
        <w:t>第二步：经过层层扣除得到的自然资源调查范围会存在一些面积很小的碎图斑，定义最小上图图斑阈值，把小于最小上图图斑面积阈值的图斑进行归并，最终完成本次自然资源调查范围的确定。</w:t>
      </w:r>
      <w:bookmarkStart w:id="126" w:name="_Toc496794148"/>
    </w:p>
    <w:p>
      <w:pPr>
        <w:keepNext w:val="0"/>
        <w:keepLines w:val="0"/>
        <w:pageBreakBefore w:val="0"/>
        <w:widowControl/>
        <w:kinsoku/>
        <w:wordWrap/>
        <w:overflowPunct/>
        <w:topLinePunct w:val="0"/>
        <w:autoSpaceDE/>
        <w:autoSpaceDN/>
        <w:bidi w:val="0"/>
        <w:adjustRightInd/>
        <w:snapToGrid/>
        <w:ind w:firstLine="0" w:firstLineChars="0"/>
        <w:textAlignment w:val="auto"/>
        <w:rPr>
          <w:rFonts w:hint="default"/>
          <w:lang w:val="en-US" w:eastAsia="zh-CN"/>
        </w:rPr>
      </w:pPr>
      <w:bookmarkStart w:id="127" w:name="_Toc37178217"/>
      <w:r>
        <w:rPr>
          <w:rFonts w:hint="eastAsia"/>
          <w:lang w:val="en-US" w:eastAsia="zh-CN"/>
        </w:rPr>
        <w:t>（二）制作自然资源调查分布图</w:t>
      </w:r>
      <w:bookmarkEnd w:id="126"/>
      <w:bookmarkEnd w:id="127"/>
    </w:p>
    <w:p>
      <w:pPr>
        <w:bidi w:val="0"/>
        <w:rPr>
          <w:rFonts w:hint="eastAsia"/>
          <w:lang w:val="en-US" w:eastAsia="zh-CN"/>
        </w:rPr>
      </w:pPr>
      <w:r>
        <w:rPr>
          <w:rFonts w:hint="eastAsia"/>
          <w:lang w:val="en-US" w:eastAsia="zh-CN"/>
        </w:rPr>
        <w:t>自然资源调查分布图是预划登记单元及内部自然资源类型单元，并开展自然资源调查工作的基础。基于获得的自然资源调查范围，依据各部门提供的管理数据，制作自然资源调查分布图。主要工作是：</w:t>
      </w:r>
    </w:p>
    <w:p>
      <w:pPr>
        <w:bidi w:val="0"/>
        <w:rPr>
          <w:rFonts w:hint="eastAsia"/>
          <w:lang w:val="en-US" w:eastAsia="zh-CN"/>
        </w:rPr>
      </w:pPr>
      <w:r>
        <w:rPr>
          <w:rFonts w:hint="eastAsia"/>
          <w:lang w:val="en-US" w:eastAsia="zh-CN"/>
        </w:rPr>
        <w:t>（1）依据自然资源调查类型表，提取各管理部门提供数据中有用的信息；然后，将各管理部门的自然资源数据叠加形成自然资源分布总图；</w:t>
      </w:r>
    </w:p>
    <w:p>
      <w:pPr>
        <w:bidi w:val="0"/>
        <w:rPr>
          <w:rFonts w:hint="eastAsia"/>
          <w:lang w:val="en-US" w:eastAsia="zh-CN"/>
        </w:rPr>
      </w:pPr>
      <w:r>
        <w:rPr>
          <w:rFonts w:hint="eastAsia"/>
          <w:lang w:val="en-US" w:eastAsia="zh-CN"/>
        </w:rPr>
        <w:t>（2）自然资源分布总图套合自然资源调查范围，获得自然资源调查分布图。</w:t>
      </w:r>
    </w:p>
    <w:p>
      <w:pPr>
        <w:bidi w:val="0"/>
        <w:rPr>
          <w:rFonts w:hint="eastAsia"/>
          <w:lang w:val="en-US" w:eastAsia="zh-CN"/>
        </w:rPr>
      </w:pPr>
      <w:r>
        <w:rPr>
          <w:rFonts w:hint="eastAsia"/>
          <w:lang w:val="en-US" w:eastAsia="zh-CN"/>
        </w:rPr>
        <w:t>自然资源调查分布图的流程下图所示。</w:t>
      </w:r>
    </w:p>
    <w:p>
      <w:pPr>
        <w:keepNext/>
        <w:spacing w:line="360" w:lineRule="auto"/>
        <w:jc w:val="center"/>
      </w:pPr>
      <w:r>
        <w:drawing>
          <wp:inline distT="0" distB="0" distL="114300" distR="114300">
            <wp:extent cx="5296535" cy="2268220"/>
            <wp:effectExtent l="0" t="0" r="1841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96535" cy="2268220"/>
                    </a:xfrm>
                    <a:prstGeom prst="rect">
                      <a:avLst/>
                    </a:prstGeom>
                    <a:noFill/>
                    <a:ln>
                      <a:noFill/>
                    </a:ln>
                  </pic:spPr>
                </pic:pic>
              </a:graphicData>
            </a:graphic>
          </wp:inline>
        </w:drawing>
      </w:r>
    </w:p>
    <w:p>
      <w:pPr>
        <w:pStyle w:val="13"/>
        <w:rPr>
          <w:rFonts w:ascii="宋体" w:hAnsi="宋体"/>
          <w:sz w:val="24"/>
          <w:szCs w:val="24"/>
        </w:rPr>
      </w:pPr>
      <w:r>
        <w:rPr>
          <w:rFonts w:hint="eastAsia"/>
        </w:rPr>
        <w:t>自然资源调查分布图制作流程</w:t>
      </w:r>
    </w:p>
    <w:p>
      <w:pPr>
        <w:pStyle w:val="4"/>
        <w:bidi w:val="0"/>
      </w:pPr>
      <w:bookmarkStart w:id="128" w:name="_Toc37178218"/>
      <w:bookmarkStart w:id="129" w:name="_Toc26434"/>
      <w:bookmarkStart w:id="130" w:name="_Toc496794149"/>
      <w:r>
        <w:rPr>
          <w:rFonts w:hint="eastAsia"/>
        </w:rPr>
        <w:t>3.</w:t>
      </w:r>
      <w:r>
        <w:rPr>
          <w:rFonts w:hint="eastAsia"/>
          <w:lang w:val="en-US" w:eastAsia="zh-CN"/>
        </w:rPr>
        <w:t>5</w:t>
      </w:r>
      <w:r>
        <w:rPr>
          <w:rFonts w:hint="eastAsia"/>
        </w:rPr>
        <w:t>自然资源登记单元及内部自然资源类型单元预划与编码</w:t>
      </w:r>
      <w:bookmarkEnd w:id="128"/>
      <w:bookmarkEnd w:id="129"/>
      <w:bookmarkEnd w:id="130"/>
    </w:p>
    <w:p>
      <w:pPr>
        <w:bidi w:val="0"/>
        <w:rPr>
          <w:rFonts w:hint="eastAsia"/>
          <w:lang w:val="en-US" w:eastAsia="zh-CN"/>
        </w:rPr>
      </w:pPr>
      <w:r>
        <w:rPr>
          <w:rFonts w:hint="eastAsia"/>
          <w:lang w:val="en-US" w:eastAsia="zh-CN"/>
        </w:rPr>
        <w:t>依据第三次国土调查成果，结合《自然资源统一确权登记办法（试行）》的要求，将都兰项目区划分为若干个登记单元，在调查工作分布图上预划其界线。</w:t>
      </w:r>
    </w:p>
    <w:p>
      <w:pPr>
        <w:bidi w:val="0"/>
        <w:rPr>
          <w:rFonts w:hint="eastAsia"/>
          <w:lang w:val="en-US" w:eastAsia="zh-CN"/>
        </w:rPr>
      </w:pPr>
      <w:r>
        <w:rPr>
          <w:rFonts w:hint="eastAsia"/>
          <w:lang w:val="en-US" w:eastAsia="zh-CN"/>
        </w:rPr>
        <w:t>在预划登记单元界线范围内，根据各相关资源管理部门提供的自然资源范围、结合已登记的物权权属边界按照不同自然资源各类和相对完整的生态功能与集中连片的原则，在不冲突、可衔接、保持生态红线的情况下，在调查工作底图上，预划自然资源登记单元以及内部的自然资源类型单元，主要工作如下：</w:t>
      </w:r>
    </w:p>
    <w:p>
      <w:pPr>
        <w:bidi w:val="0"/>
        <w:rPr>
          <w:rFonts w:hint="eastAsia"/>
          <w:lang w:val="en-US" w:eastAsia="zh-CN"/>
        </w:rPr>
      </w:pPr>
      <w:r>
        <w:rPr>
          <w:rFonts w:hint="eastAsia"/>
          <w:lang w:val="en-US" w:eastAsia="zh-CN"/>
        </w:rPr>
        <w:t>确定预划登记单元以及内部的自然资源类型单元范围线；</w:t>
      </w:r>
    </w:p>
    <w:p>
      <w:pPr>
        <w:bidi w:val="0"/>
        <w:rPr>
          <w:rFonts w:hint="eastAsia"/>
          <w:lang w:val="en-US" w:eastAsia="zh-CN"/>
        </w:rPr>
      </w:pPr>
      <w:r>
        <w:rPr>
          <w:rFonts w:hint="eastAsia"/>
          <w:lang w:val="en-US" w:eastAsia="zh-CN"/>
        </w:rPr>
        <w:t>形成预划单元工作底图和预划单元调查草图；</w:t>
      </w:r>
    </w:p>
    <w:p>
      <w:pPr>
        <w:bidi w:val="0"/>
        <w:rPr>
          <w:rFonts w:hint="eastAsia"/>
          <w:lang w:val="en-US" w:eastAsia="zh-CN"/>
        </w:rPr>
      </w:pPr>
      <w:r>
        <w:rPr>
          <w:rFonts w:hint="eastAsia"/>
          <w:lang w:val="en-US" w:eastAsia="zh-CN"/>
        </w:rPr>
        <w:t>基于工作底图和调查草图开展内业预分析，分析预划登记单元内的各自然资源和权属情况。如果土地权属界线消晰，类型判别准确、无异议的，可以直接补充登记单元、自然资源类型单元其他属性，完成自然资源调查；对存在问题的单元，进一步开展外业资源调查工作。</w:t>
      </w:r>
      <w:bookmarkStart w:id="131" w:name="_Toc496794150"/>
    </w:p>
    <w:p>
      <w:pPr>
        <w:bidi w:val="0"/>
        <w:rPr>
          <w:rFonts w:hint="eastAsia"/>
          <w:lang w:val="en-US" w:eastAsia="zh-CN"/>
        </w:rPr>
      </w:pPr>
      <w:r>
        <w:rPr>
          <w:rFonts w:hint="eastAsia"/>
          <w:lang w:val="en-US" w:eastAsia="zh-CN"/>
        </w:rPr>
        <w:t>（1）自然资源登记单元以及内部自然资源类型单元预划原则</w:t>
      </w:r>
      <w:bookmarkEnd w:id="131"/>
    </w:p>
    <w:p>
      <w:pPr>
        <w:bidi w:val="0"/>
        <w:rPr>
          <w:rFonts w:hint="eastAsia"/>
          <w:lang w:val="en-US" w:eastAsia="zh-CN"/>
        </w:rPr>
      </w:pPr>
      <w:r>
        <w:rPr>
          <w:rFonts w:hint="eastAsia"/>
          <w:lang w:val="en-US" w:eastAsia="zh-CN"/>
        </w:rPr>
        <w:t>参考《自然资源统一确权登记办法（试行）》，对预划自然资源登记单元其内的自然资源，按照不同自然资源种类和在生态、经济、国防等方面的重要程度并结合生态功能的完整性、集中连片等原则进行划定单元。预划的基本要求如下：</w:t>
      </w:r>
    </w:p>
    <w:p>
      <w:pPr>
        <w:bidi w:val="0"/>
        <w:rPr>
          <w:rFonts w:hint="eastAsia"/>
          <w:lang w:val="en-US" w:eastAsia="zh-CN"/>
        </w:rPr>
      </w:pPr>
      <w:r>
        <w:rPr>
          <w:rFonts w:hint="eastAsia"/>
          <w:lang w:val="en-US" w:eastAsia="zh-CN"/>
        </w:rPr>
        <w:t>①自然资源生态功能重要性和完整性调查。以自然资源相关保护规划、国家审批为依据，确定自然资源国家、省级、地方保护重要性级别，并从生态系统性的角度对自然资源生态完整性进行调查评价。</w:t>
      </w:r>
    </w:p>
    <w:p>
      <w:pPr>
        <w:bidi w:val="0"/>
        <w:rPr>
          <w:rFonts w:hint="eastAsia"/>
          <w:lang w:val="en-US" w:eastAsia="zh-CN"/>
        </w:rPr>
      </w:pPr>
      <w:r>
        <w:rPr>
          <w:rFonts w:hint="eastAsia"/>
          <w:lang w:val="en-US" w:eastAsia="zh-CN"/>
        </w:rPr>
        <w:t>②按照生态功能完整性和集中连片等原则，划分自然资源登记单元及内部自然资源类型单元。</w:t>
      </w:r>
    </w:p>
    <w:p>
      <w:pPr>
        <w:bidi w:val="0"/>
        <w:rPr>
          <w:rFonts w:hint="eastAsia"/>
          <w:lang w:val="en-US" w:eastAsia="zh-CN"/>
        </w:rPr>
      </w:pPr>
      <w:r>
        <w:rPr>
          <w:rFonts w:hint="eastAsia"/>
          <w:lang w:val="en-US" w:eastAsia="zh-CN"/>
        </w:rPr>
        <w:t>③探明储量的的矿产、历史遗迹保护作为单独单元。</w:t>
      </w:r>
    </w:p>
    <w:p>
      <w:pPr>
        <w:bidi w:val="0"/>
        <w:rPr>
          <w:rFonts w:hint="eastAsia"/>
          <w:lang w:val="en-US" w:eastAsia="zh-CN"/>
        </w:rPr>
      </w:pPr>
      <w:r>
        <w:rPr>
          <w:rFonts w:hint="eastAsia"/>
          <w:lang w:val="en-US" w:eastAsia="zh-CN"/>
        </w:rPr>
        <w:t>④登记单元及登记单元内的自然资源类型单元边界与不动产单元权属边界衔接。结合登记单元内自然资源的所有权、使用权等权属边界对初步划定的自然资源登记单元及登记单元内的自然资源类型单元边界进行修正。</w:t>
      </w:r>
    </w:p>
    <w:p>
      <w:pPr>
        <w:bidi w:val="0"/>
        <w:rPr>
          <w:rFonts w:hint="eastAsia"/>
          <w:lang w:val="en-US" w:eastAsia="zh-CN"/>
        </w:rPr>
      </w:pPr>
      <w:r>
        <w:rPr>
          <w:rFonts w:hint="eastAsia"/>
          <w:lang w:val="en-US" w:eastAsia="zh-CN"/>
        </w:rPr>
        <w:t>参考以上预划要求,预划登记单元范围原则上是选取调查范围内的自然资源和资源所在权属界线的最大范围。</w:t>
      </w:r>
    </w:p>
    <w:p>
      <w:pPr>
        <w:bidi w:val="0"/>
        <w:rPr>
          <w:rFonts w:hint="eastAsia"/>
          <w:lang w:val="en-US" w:eastAsia="zh-CN"/>
        </w:rPr>
      </w:pPr>
      <w:bookmarkStart w:id="132" w:name="_Toc496794151"/>
      <w:r>
        <w:rPr>
          <w:rFonts w:hint="eastAsia"/>
          <w:lang w:val="en-US" w:eastAsia="zh-CN"/>
        </w:rPr>
        <w:t>（2）自然资源登记单元以及自然资源类型单元编码规则</w:t>
      </w:r>
      <w:bookmarkEnd w:id="132"/>
    </w:p>
    <w:p>
      <w:pPr>
        <w:bidi w:val="0"/>
        <w:rPr>
          <w:rFonts w:hint="eastAsia"/>
          <w:lang w:val="en-US" w:eastAsia="zh-CN"/>
        </w:rPr>
      </w:pPr>
      <w:bookmarkStart w:id="133" w:name="_Toc496794152"/>
      <w:r>
        <w:rPr>
          <w:rFonts w:hint="eastAsia"/>
          <w:lang w:val="en-US" w:eastAsia="zh-CN"/>
        </w:rPr>
        <w:t>①自然资源登记单元编码规则</w:t>
      </w:r>
      <w:bookmarkEnd w:id="133"/>
    </w:p>
    <w:p>
      <w:pPr>
        <w:bidi w:val="0"/>
        <w:rPr>
          <w:rFonts w:hint="eastAsia"/>
          <w:lang w:val="en-US" w:eastAsia="zh-CN"/>
        </w:rPr>
      </w:pPr>
      <w:r>
        <w:rPr>
          <w:rFonts w:hint="eastAsia"/>
          <w:lang w:val="en-US" w:eastAsia="zh-CN"/>
        </w:rPr>
        <w:t>以预划完的自然资源登记单元为数据源，按照每个登记单元应具有唯一代码的基本耍求 ，依据GB/T 7027规定的信息分类原则和方法, 参照不动产登记单元编码规则，建议按以下规则编制自然资源登记单元号。</w:t>
      </w:r>
    </w:p>
    <w:p>
      <w:pPr>
        <w:bidi w:val="0"/>
        <w:rPr>
          <w:rFonts w:hint="eastAsia"/>
          <w:lang w:val="en-US" w:eastAsia="zh-CN"/>
        </w:rPr>
      </w:pPr>
      <w:r>
        <w:rPr>
          <w:rFonts w:hint="eastAsia"/>
          <w:lang w:val="en-US" w:eastAsia="zh-CN"/>
        </w:rPr>
        <w:t>1）代码结构</w:t>
      </w:r>
    </w:p>
    <w:p>
      <w:pPr>
        <w:bidi w:val="0"/>
        <w:rPr>
          <w:rFonts w:hint="eastAsia"/>
          <w:lang w:val="en-US" w:eastAsia="zh-CN"/>
        </w:rPr>
      </w:pPr>
      <w:r>
        <w:rPr>
          <w:rFonts w:hint="eastAsia"/>
          <w:lang w:val="en-US" w:eastAsia="zh-CN"/>
        </w:rPr>
        <w:t>自然资源登记单元代码共17位，前6位为行政区编码，第7-8位为登记单元特征码，第9-10位为登记单元类别编码，第11位为代表行使所有权层级编码，第12位为预留位，第13-17位为登记单元编码（流水号）的顺序。</w:t>
      </w:r>
    </w:p>
    <w:p>
      <w:pPr>
        <w:bidi w:val="0"/>
        <w:rPr>
          <w:rFonts w:hint="eastAsia"/>
          <w:lang w:val="en-US" w:eastAsia="zh-CN"/>
        </w:rPr>
      </w:pPr>
      <w:r>
        <w:rPr>
          <w:rFonts w:hint="eastAsia"/>
          <w:lang w:val="en-US" w:eastAsia="zh-CN"/>
        </w:rPr>
        <w:t>2）代码说明</w:t>
      </w:r>
    </w:p>
    <w:p>
      <w:pPr>
        <w:bidi w:val="0"/>
        <w:rPr>
          <w:rFonts w:hint="eastAsia"/>
          <w:lang w:val="en-US" w:eastAsia="zh-CN"/>
        </w:rPr>
      </w:pPr>
      <w:r>
        <w:rPr>
          <w:rFonts w:hint="eastAsia"/>
          <w:lang w:val="en-US" w:eastAsia="zh-CN"/>
        </w:rPr>
        <w:t>行政区划代码（6位）：青海省行政区划代码630000；</w:t>
      </w:r>
    </w:p>
    <w:p>
      <w:pPr>
        <w:bidi w:val="0"/>
        <w:rPr>
          <w:rFonts w:hint="eastAsia"/>
          <w:lang w:val="en-US" w:eastAsia="zh-CN"/>
        </w:rPr>
      </w:pPr>
      <w:r>
        <w:rPr>
          <w:rFonts w:hint="eastAsia"/>
          <w:lang w:val="en-US" w:eastAsia="zh-CN"/>
        </w:rPr>
        <w:t>登记单元特征码（2位）：用“GZ”表示。“G”表示国家土地（海域）所有权，“Z”表示自然资源。</w:t>
      </w:r>
    </w:p>
    <w:p>
      <w:pPr>
        <w:bidi w:val="0"/>
        <w:rPr>
          <w:rFonts w:hint="eastAsia"/>
          <w:lang w:val="en-US" w:eastAsia="zh-CN"/>
        </w:rPr>
      </w:pPr>
      <w:r>
        <w:rPr>
          <w:rFonts w:hint="eastAsia"/>
          <w:lang w:val="en-US" w:eastAsia="zh-CN"/>
        </w:rPr>
        <w:t>登记单元类别编码（2位）：用 “BH”表示自然保护区，用“GY”表示国家公园，用“SL”表示森林，用“SD”表示湿地，用“LS”表示水流，用“KC”表示矿产，用“CY”表示草原，用“TD”表示土地；</w:t>
      </w:r>
    </w:p>
    <w:p>
      <w:pPr>
        <w:bidi w:val="0"/>
        <w:rPr>
          <w:rFonts w:hint="eastAsia"/>
          <w:lang w:val="en-US" w:eastAsia="zh-CN"/>
        </w:rPr>
      </w:pPr>
      <w:r>
        <w:rPr>
          <w:rFonts w:hint="eastAsia"/>
          <w:lang w:val="en-US" w:eastAsia="zh-CN"/>
        </w:rPr>
        <w:t>代表行使所有权层级（1位）：代表行使所有权机构级别，“0”代表未设置代表主体的情况，“1”代表国家级，“2”代表省（自治区、直辖市）级，“3”代表市级，“4”代表县级；</w:t>
      </w:r>
    </w:p>
    <w:p>
      <w:pPr>
        <w:bidi w:val="0"/>
        <w:rPr>
          <w:rFonts w:hint="eastAsia"/>
          <w:lang w:val="en-US" w:eastAsia="zh-CN"/>
        </w:rPr>
      </w:pPr>
      <w:r>
        <w:rPr>
          <w:rFonts w:hint="eastAsia"/>
          <w:lang w:val="en-US" w:eastAsia="zh-CN"/>
        </w:rPr>
        <w:t>预留位（1位）：为以后添加字段增加预留位；</w:t>
      </w:r>
    </w:p>
    <w:p>
      <w:pPr>
        <w:bidi w:val="0"/>
      </w:pPr>
      <w:r>
        <w:rPr>
          <w:rFonts w:hint="eastAsia"/>
          <w:lang w:val="en-US" w:eastAsia="zh-CN"/>
        </w:rPr>
        <w:t>登记单元顺序号（5位）：按照登记单元几何中心位置“从北向南，从西到东”反“S”形状顺序，码值为00001-99999开始。</w:t>
      </w:r>
    </w:p>
    <w:p>
      <w:pPr>
        <w:ind w:firstLine="560" w:firstLineChars="200"/>
        <w:rPr>
          <w:rFonts w:ascii="宋体" w:hAnsi="宋体" w:cs="宋体"/>
          <w:sz w:val="28"/>
          <w:szCs w:val="28"/>
        </w:rPr>
      </w:pPr>
      <w:r>
        <w:rPr>
          <w:rFonts w:ascii="宋体" w:hAnsi="宋体" w:cs="宋体"/>
          <w:sz w:val="28"/>
          <w:szCs w:val="28"/>
        </w:rPr>
        <w:drawing>
          <wp:inline distT="0" distB="0" distL="114300" distR="114300">
            <wp:extent cx="3823970" cy="19475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3823970" cy="1947545"/>
                    </a:xfrm>
                    <a:prstGeom prst="rect">
                      <a:avLst/>
                    </a:prstGeom>
                    <a:noFill/>
                    <a:ln>
                      <a:noFill/>
                    </a:ln>
                  </pic:spPr>
                </pic:pic>
              </a:graphicData>
            </a:graphic>
          </wp:inline>
        </w:drawing>
      </w:r>
    </w:p>
    <w:p>
      <w:pPr>
        <w:pStyle w:val="2"/>
        <w:ind w:firstLine="1680" w:firstLineChars="600"/>
        <w:rPr>
          <w:rFonts w:ascii="仿宋" w:hAnsi="仿宋" w:eastAsia="仿宋"/>
          <w:sz w:val="28"/>
          <w:szCs w:val="28"/>
        </w:rPr>
      </w:pPr>
      <w:r>
        <w:rPr>
          <w:rFonts w:hint="eastAsia" w:ascii="仿宋" w:hAnsi="仿宋" w:eastAsia="仿宋"/>
          <w:sz w:val="28"/>
          <w:szCs w:val="28"/>
        </w:rPr>
        <w:t xml:space="preserve">图 </w:t>
      </w:r>
      <w:r>
        <w:rPr>
          <w:rFonts w:hint="eastAsia" w:ascii="仿宋" w:hAnsi="仿宋" w:eastAsia="仿宋"/>
          <w:sz w:val="28"/>
          <w:szCs w:val="28"/>
        </w:rPr>
        <w:fldChar w:fldCharType="begin"/>
      </w:r>
      <w:r>
        <w:rPr>
          <w:rFonts w:hint="eastAsia" w:ascii="仿宋" w:hAnsi="仿宋" w:eastAsia="仿宋"/>
          <w:sz w:val="28"/>
          <w:szCs w:val="28"/>
        </w:rPr>
        <w:instrText xml:space="preserve"> STYLEREF 1 \s </w:instrText>
      </w:r>
      <w:r>
        <w:rPr>
          <w:rFonts w:hint="eastAsia" w:ascii="仿宋" w:hAnsi="仿宋" w:eastAsia="仿宋"/>
          <w:sz w:val="28"/>
          <w:szCs w:val="28"/>
        </w:rPr>
        <w:fldChar w:fldCharType="separate"/>
      </w:r>
      <w:r>
        <w:rPr>
          <w:rFonts w:hint="eastAsia" w:ascii="仿宋" w:hAnsi="仿宋" w:eastAsia="仿宋"/>
          <w:sz w:val="28"/>
          <w:szCs w:val="28"/>
        </w:rPr>
        <w:t>10</w:t>
      </w:r>
      <w:r>
        <w:rPr>
          <w:rFonts w:hint="eastAsia" w:ascii="仿宋" w:hAnsi="仿宋" w:eastAsia="仿宋"/>
          <w:sz w:val="28"/>
          <w:szCs w:val="28"/>
        </w:rPr>
        <w:fldChar w:fldCharType="end"/>
      </w:r>
      <w:r>
        <w:rPr>
          <w:rFonts w:hint="eastAsia" w:ascii="仿宋" w:hAnsi="仿宋" w:eastAsia="仿宋"/>
          <w:sz w:val="28"/>
          <w:szCs w:val="28"/>
        </w:rPr>
        <w:noBreakHyphen/>
      </w:r>
      <w:r>
        <w:rPr>
          <w:rFonts w:hint="eastAsia" w:ascii="仿宋" w:hAnsi="仿宋" w:eastAsia="仿宋"/>
          <w:sz w:val="28"/>
          <w:szCs w:val="28"/>
        </w:rPr>
        <w:fldChar w:fldCharType="begin"/>
      </w:r>
      <w:r>
        <w:rPr>
          <w:rFonts w:hint="eastAsia" w:ascii="仿宋" w:hAnsi="仿宋" w:eastAsia="仿宋"/>
          <w:sz w:val="28"/>
          <w:szCs w:val="28"/>
        </w:rPr>
        <w:instrText xml:space="preserve"> SEQ 图 \* ARABIC \s 1 </w:instrText>
      </w:r>
      <w:r>
        <w:rPr>
          <w:rFonts w:hint="eastAsia" w:ascii="仿宋" w:hAnsi="仿宋" w:eastAsia="仿宋"/>
          <w:sz w:val="28"/>
          <w:szCs w:val="28"/>
        </w:rPr>
        <w:fldChar w:fldCharType="separate"/>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 xml:space="preserve"> 自然资源登记单元编码结构</w:t>
      </w:r>
    </w:p>
    <w:p>
      <w:pPr>
        <w:bidi w:val="0"/>
        <w:rPr>
          <w:rFonts w:hint="eastAsia"/>
          <w:lang w:val="en-US" w:eastAsia="zh-CN"/>
        </w:rPr>
      </w:pPr>
      <w:bookmarkStart w:id="134" w:name="_Toc496794153"/>
      <w:r>
        <w:rPr>
          <w:rFonts w:hint="eastAsia"/>
          <w:lang w:val="en-US" w:eastAsia="zh-CN"/>
        </w:rPr>
        <w:t>②自然资源类型单元编码规则</w:t>
      </w:r>
      <w:bookmarkEnd w:id="134"/>
    </w:p>
    <w:p>
      <w:pPr>
        <w:bidi w:val="0"/>
        <w:rPr>
          <w:rFonts w:hint="eastAsia"/>
          <w:lang w:val="en-US" w:eastAsia="zh-CN"/>
        </w:rPr>
      </w:pPr>
      <w:r>
        <w:rPr>
          <w:rFonts w:hint="eastAsia"/>
          <w:lang w:val="en-US" w:eastAsia="zh-CN"/>
        </w:rPr>
        <w:t>以预划完的自然资源登记单元里面的自然资源类型为数据源，按照每个自然资源类型单元应具有唯一代码的基本耍求 ，依据GB/T 7027规定的信息分类原则和方法, 参照不动产登记单元编码规则，建议按以下规则编制自然资源类型单元号。</w:t>
      </w:r>
    </w:p>
    <w:p>
      <w:pPr>
        <w:bidi w:val="0"/>
        <w:rPr>
          <w:rFonts w:hint="eastAsia"/>
          <w:lang w:val="en-US" w:eastAsia="zh-CN"/>
        </w:rPr>
      </w:pPr>
      <w:r>
        <w:rPr>
          <w:rFonts w:hint="eastAsia"/>
          <w:lang w:val="en-US" w:eastAsia="zh-CN"/>
        </w:rPr>
        <w:t>1）代码结构</w:t>
      </w:r>
    </w:p>
    <w:p>
      <w:pPr>
        <w:bidi w:val="0"/>
        <w:rPr>
          <w:rFonts w:hint="eastAsia"/>
          <w:lang w:val="en-US" w:eastAsia="zh-CN"/>
        </w:rPr>
      </w:pPr>
      <w:r>
        <w:rPr>
          <w:rFonts w:hint="eastAsia"/>
          <w:lang w:val="en-US" w:eastAsia="zh-CN"/>
        </w:rPr>
        <w:t>自然资源类型单元号代码共26位，前17位为自然资源登记单元编码，第18-19位为自然资源类型特征码，第20-21位为自然资源类型二级类别编码，第22-26为自然资源类型单元编码的顺序。</w:t>
      </w:r>
    </w:p>
    <w:p>
      <w:pPr>
        <w:bidi w:val="0"/>
        <w:rPr>
          <w:rFonts w:hint="eastAsia"/>
          <w:lang w:val="en-US" w:eastAsia="zh-CN"/>
        </w:rPr>
      </w:pPr>
      <w:r>
        <w:rPr>
          <w:rFonts w:hint="eastAsia"/>
          <w:lang w:val="en-US" w:eastAsia="zh-CN"/>
        </w:rPr>
        <w:t>2）代码说明</w:t>
      </w:r>
    </w:p>
    <w:p>
      <w:pPr>
        <w:bidi w:val="0"/>
        <w:rPr>
          <w:rFonts w:hint="eastAsia"/>
          <w:lang w:val="en-US" w:eastAsia="zh-CN"/>
        </w:rPr>
      </w:pPr>
      <w:r>
        <w:rPr>
          <w:rFonts w:hint="eastAsia"/>
          <w:lang w:val="en-US" w:eastAsia="zh-CN"/>
        </w:rPr>
        <w:t>前17位说明参见自然资源登记单元编码规则；</w:t>
      </w:r>
    </w:p>
    <w:p>
      <w:pPr>
        <w:bidi w:val="0"/>
        <w:rPr>
          <w:rFonts w:hint="eastAsia"/>
          <w:lang w:val="en-US" w:eastAsia="zh-CN"/>
        </w:rPr>
      </w:pPr>
      <w:r>
        <w:rPr>
          <w:rFonts w:hint="eastAsia"/>
          <w:lang w:val="en-US" w:eastAsia="zh-CN"/>
        </w:rPr>
        <w:t>自然资源类型单元特征码（2位）：用“SL”表示森林，用“LS”表示水流，用“SD”表示湿地，用“CY”表示草原，用“TD”表示土地，用“KC”表示矿产；</w:t>
      </w:r>
    </w:p>
    <w:p>
      <w:pPr>
        <w:bidi w:val="0"/>
        <w:rPr>
          <w:rFonts w:hint="eastAsia"/>
          <w:lang w:val="en-US" w:eastAsia="zh-CN"/>
        </w:rPr>
      </w:pPr>
      <w:r>
        <w:rPr>
          <w:rFonts w:hint="eastAsia"/>
          <w:lang w:val="en-US" w:eastAsia="zh-CN"/>
        </w:rPr>
        <w:t>自然资源类型单元二级类别编码（2位）：依照自然资源类型进行编制；</w:t>
      </w:r>
    </w:p>
    <w:p>
      <w:pPr>
        <w:bidi w:val="0"/>
        <w:rPr>
          <w:rFonts w:hint="eastAsia"/>
          <w:lang w:val="en-US" w:eastAsia="zh-CN"/>
        </w:rPr>
      </w:pPr>
      <w:r>
        <w:rPr>
          <w:rFonts w:hint="eastAsia"/>
          <w:lang w:val="en-US" w:eastAsia="zh-CN"/>
        </w:rPr>
        <w:t>自然资源类型单元编码（5位）：按照类型单元几何中心位置“从北向南，从西到东”反“S”形状顺序，码值为00001-99999开始。</w:t>
      </w:r>
    </w:p>
    <w:p>
      <w:pPr>
        <w:spacing w:line="276" w:lineRule="auto"/>
        <w:jc w:val="center"/>
      </w:pPr>
      <w:r>
        <w:drawing>
          <wp:inline distT="0" distB="0" distL="114300" distR="114300">
            <wp:extent cx="5201285" cy="2244725"/>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stretch>
                      <a:fillRect/>
                    </a:stretch>
                  </pic:blipFill>
                  <pic:spPr>
                    <a:xfrm>
                      <a:off x="0" y="0"/>
                      <a:ext cx="5201285" cy="2244725"/>
                    </a:xfrm>
                    <a:prstGeom prst="rect">
                      <a:avLst/>
                    </a:prstGeom>
                    <a:noFill/>
                    <a:ln>
                      <a:noFill/>
                    </a:ln>
                  </pic:spPr>
                </pic:pic>
              </a:graphicData>
            </a:graphic>
          </wp:inline>
        </w:drawing>
      </w:r>
    </w:p>
    <w:p>
      <w:pPr>
        <w:pStyle w:val="13"/>
      </w:pPr>
      <w:r>
        <w:rPr>
          <w:rFonts w:hint="eastAsia"/>
        </w:rPr>
        <w:t>自然资源类型单元编码结构</w:t>
      </w:r>
    </w:p>
    <w:p>
      <w:pPr>
        <w:bidi w:val="0"/>
        <w:rPr>
          <w:rFonts w:hint="eastAsia"/>
          <w:lang w:val="en-US" w:eastAsia="zh-CN"/>
        </w:rPr>
      </w:pPr>
      <w:bookmarkStart w:id="135" w:name="_Toc496794154"/>
      <w:r>
        <w:rPr>
          <w:rFonts w:hint="eastAsia"/>
          <w:lang w:val="en-US" w:eastAsia="zh-CN"/>
        </w:rPr>
        <w:t>3)矿产资源储量估算范围编码</w:t>
      </w:r>
      <w:bookmarkEnd w:id="135"/>
    </w:p>
    <w:p>
      <w:pPr>
        <w:ind w:firstLine="360" w:firstLineChars="150"/>
        <w:rPr>
          <w:rFonts w:ascii="仿宋" w:hAnsi="仿宋" w:eastAsia="仿宋"/>
          <w:sz w:val="24"/>
          <w:szCs w:val="24"/>
        </w:rPr>
      </w:pPr>
    </w:p>
    <w:tbl>
      <w:tblPr>
        <w:tblStyle w:val="32"/>
        <w:tblW w:w="7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442"/>
        <w:gridCol w:w="1417"/>
        <w:gridCol w:w="1701"/>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5" w:type="dxa"/>
            <w:noWrap w:val="0"/>
            <w:vAlign w:val="center"/>
          </w:tcPr>
          <w:p>
            <w:pPr>
              <w:bidi w:val="0"/>
              <w:ind w:left="0" w:leftChars="0" w:firstLine="0" w:firstLineChars="0"/>
              <w:rPr>
                <w:rFonts w:hint="eastAsia"/>
                <w:lang w:val="en-US" w:eastAsia="zh-CN"/>
              </w:rPr>
            </w:pPr>
            <w:r>
              <w:rPr>
                <w:rFonts w:hint="eastAsia"/>
                <w:lang w:val="en-US" w:eastAsia="zh-CN"/>
              </w:rPr>
              <w:t>层级</w:t>
            </w:r>
          </w:p>
        </w:tc>
        <w:tc>
          <w:tcPr>
            <w:tcW w:w="1442" w:type="dxa"/>
            <w:noWrap w:val="0"/>
            <w:vAlign w:val="center"/>
          </w:tcPr>
          <w:p>
            <w:pPr>
              <w:bidi w:val="0"/>
              <w:ind w:left="0" w:leftChars="0" w:firstLine="0" w:firstLineChars="0"/>
              <w:rPr>
                <w:rFonts w:hint="eastAsia"/>
                <w:lang w:val="en-US" w:eastAsia="zh-CN"/>
              </w:rPr>
            </w:pPr>
            <w:r>
              <w:rPr>
                <w:rFonts w:hint="eastAsia"/>
                <w:lang w:val="en-US" w:eastAsia="zh-CN"/>
              </w:rPr>
              <w:t>第一层</w:t>
            </w:r>
          </w:p>
        </w:tc>
        <w:tc>
          <w:tcPr>
            <w:tcW w:w="1417" w:type="dxa"/>
            <w:noWrap w:val="0"/>
            <w:vAlign w:val="center"/>
          </w:tcPr>
          <w:p>
            <w:pPr>
              <w:bidi w:val="0"/>
              <w:ind w:left="0" w:leftChars="0" w:firstLine="0" w:firstLineChars="0"/>
              <w:rPr>
                <w:rFonts w:hint="eastAsia"/>
                <w:lang w:val="en-US" w:eastAsia="zh-CN"/>
              </w:rPr>
            </w:pPr>
            <w:r>
              <w:rPr>
                <w:rFonts w:hint="eastAsia"/>
                <w:lang w:val="en-US" w:eastAsia="zh-CN"/>
              </w:rPr>
              <w:t>第二层</w:t>
            </w:r>
          </w:p>
        </w:tc>
        <w:tc>
          <w:tcPr>
            <w:tcW w:w="1701" w:type="dxa"/>
            <w:noWrap w:val="0"/>
            <w:vAlign w:val="center"/>
          </w:tcPr>
          <w:p>
            <w:pPr>
              <w:bidi w:val="0"/>
              <w:ind w:left="0" w:leftChars="0" w:firstLine="0" w:firstLineChars="0"/>
              <w:rPr>
                <w:rFonts w:hint="eastAsia"/>
                <w:lang w:val="en-US" w:eastAsia="zh-CN"/>
              </w:rPr>
            </w:pPr>
            <w:r>
              <w:rPr>
                <w:rFonts w:hint="eastAsia"/>
                <w:lang w:val="en-US" w:eastAsia="zh-CN"/>
              </w:rPr>
              <w:t>第三层</w:t>
            </w:r>
          </w:p>
        </w:tc>
        <w:tc>
          <w:tcPr>
            <w:tcW w:w="1930" w:type="dxa"/>
            <w:noWrap w:val="0"/>
            <w:vAlign w:val="center"/>
          </w:tcPr>
          <w:p>
            <w:pPr>
              <w:bidi w:val="0"/>
              <w:rPr>
                <w:rFonts w:hint="eastAsia"/>
                <w:lang w:val="en-US" w:eastAsia="zh-CN"/>
              </w:rPr>
            </w:pPr>
            <w:r>
              <w:rPr>
                <w:rFonts w:hint="eastAsia"/>
                <w:lang w:val="en-US" w:eastAsia="zh-CN"/>
              </w:rPr>
              <w:t>第五层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485" w:type="dxa"/>
            <w:noWrap w:val="0"/>
            <w:vAlign w:val="center"/>
          </w:tcPr>
          <w:p>
            <w:pPr>
              <w:bidi w:val="0"/>
              <w:ind w:left="0" w:leftChars="0" w:firstLine="0" w:firstLineChars="0"/>
              <w:rPr>
                <w:rFonts w:hint="eastAsia"/>
                <w:lang w:val="en-US" w:eastAsia="zh-CN"/>
              </w:rPr>
            </w:pPr>
            <w:r>
              <w:rPr>
                <w:rFonts w:hint="eastAsia"/>
                <w:lang w:val="en-US" w:eastAsia="zh-CN"/>
              </w:rPr>
              <w:t>代码值</w:t>
            </w:r>
          </w:p>
        </w:tc>
        <w:tc>
          <w:tcPr>
            <w:tcW w:w="1442" w:type="dxa"/>
            <w:noWrap w:val="0"/>
            <w:vAlign w:val="center"/>
          </w:tcPr>
          <w:p>
            <w:pPr>
              <w:bidi w:val="0"/>
              <w:ind w:left="0" w:leftChars="0" w:firstLine="0" w:firstLineChars="0"/>
              <w:rPr>
                <w:rFonts w:hint="eastAsia"/>
                <w:lang w:val="en-US" w:eastAsia="zh-CN"/>
              </w:rPr>
            </w:pPr>
            <w:r>
              <w:rPr>
                <w:rFonts w:hint="eastAsia"/>
                <w:lang w:val="en-US" w:eastAsia="zh-CN"/>
              </w:rPr>
              <w:t>000001-999999</w:t>
            </w:r>
          </w:p>
        </w:tc>
        <w:tc>
          <w:tcPr>
            <w:tcW w:w="1417" w:type="dxa"/>
            <w:noWrap w:val="0"/>
            <w:vAlign w:val="center"/>
          </w:tcPr>
          <w:p>
            <w:pPr>
              <w:bidi w:val="0"/>
              <w:rPr>
                <w:rFonts w:hint="eastAsia"/>
                <w:lang w:val="en-US" w:eastAsia="zh-CN"/>
              </w:rPr>
            </w:pPr>
            <w:r>
              <w:rPr>
                <w:rFonts w:hint="eastAsia"/>
                <w:lang w:val="en-US" w:eastAsia="zh-CN"/>
              </w:rPr>
              <w:t>7</w:t>
            </w:r>
          </w:p>
        </w:tc>
        <w:tc>
          <w:tcPr>
            <w:tcW w:w="1701" w:type="dxa"/>
            <w:noWrap w:val="0"/>
            <w:vAlign w:val="center"/>
          </w:tcPr>
          <w:p>
            <w:pPr>
              <w:bidi w:val="0"/>
              <w:rPr>
                <w:rFonts w:hint="eastAsia"/>
                <w:lang w:val="en-US" w:eastAsia="zh-CN"/>
              </w:rPr>
            </w:pPr>
            <w:r>
              <w:rPr>
                <w:rFonts w:hint="eastAsia"/>
                <w:lang w:val="en-US" w:eastAsia="zh-CN"/>
              </w:rPr>
              <w:t>0-4</w:t>
            </w:r>
          </w:p>
        </w:tc>
        <w:tc>
          <w:tcPr>
            <w:tcW w:w="1930" w:type="dxa"/>
            <w:noWrap w:val="0"/>
            <w:vAlign w:val="center"/>
          </w:tcPr>
          <w:p>
            <w:pPr>
              <w:bidi w:val="0"/>
              <w:rPr>
                <w:rFonts w:hint="eastAsia"/>
                <w:lang w:val="en-US" w:eastAsia="zh-CN"/>
              </w:rPr>
            </w:pPr>
            <w:r>
              <w:rPr>
                <w:rFonts w:hint="eastAsia"/>
                <w:lang w:val="en-US" w:eastAsia="zh-CN"/>
              </w:rPr>
              <w:t>001-999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485" w:type="dxa"/>
            <w:noWrap w:val="0"/>
            <w:vAlign w:val="center"/>
          </w:tcPr>
          <w:p>
            <w:pPr>
              <w:bidi w:val="0"/>
              <w:ind w:left="0" w:leftChars="0" w:firstLine="0" w:firstLineChars="0"/>
              <w:rPr>
                <w:rFonts w:hint="eastAsia"/>
                <w:lang w:val="en-US" w:eastAsia="zh-CN"/>
              </w:rPr>
            </w:pPr>
            <w:r>
              <w:rPr>
                <w:rFonts w:hint="eastAsia"/>
                <w:lang w:val="en-US" w:eastAsia="zh-CN"/>
              </w:rPr>
              <w:t>代码意义</w:t>
            </w:r>
          </w:p>
        </w:tc>
        <w:tc>
          <w:tcPr>
            <w:tcW w:w="1442" w:type="dxa"/>
            <w:noWrap w:val="0"/>
            <w:vAlign w:val="center"/>
          </w:tcPr>
          <w:p>
            <w:pPr>
              <w:bidi w:val="0"/>
              <w:ind w:left="0" w:leftChars="0" w:firstLine="0" w:firstLineChars="0"/>
              <w:rPr>
                <w:rFonts w:hint="eastAsia"/>
                <w:lang w:val="en-US" w:eastAsia="zh-CN"/>
              </w:rPr>
            </w:pPr>
            <w:r>
              <w:rPr>
                <w:rFonts w:hint="eastAsia"/>
                <w:lang w:val="en-US" w:eastAsia="zh-CN"/>
              </w:rPr>
              <w:t>县级行政代码</w:t>
            </w:r>
          </w:p>
        </w:tc>
        <w:tc>
          <w:tcPr>
            <w:tcW w:w="1417" w:type="dxa"/>
            <w:noWrap w:val="0"/>
            <w:vAlign w:val="center"/>
          </w:tcPr>
          <w:p>
            <w:pPr>
              <w:bidi w:val="0"/>
              <w:ind w:left="0" w:leftChars="0" w:firstLine="0" w:firstLineChars="0"/>
              <w:rPr>
                <w:rFonts w:hint="eastAsia"/>
                <w:lang w:val="en-US" w:eastAsia="zh-CN"/>
              </w:rPr>
            </w:pPr>
            <w:r>
              <w:rPr>
                <w:rFonts w:hint="eastAsia"/>
                <w:lang w:val="en-US" w:eastAsia="zh-CN"/>
              </w:rPr>
              <w:t>探明储量的矿产资源</w:t>
            </w:r>
          </w:p>
        </w:tc>
        <w:tc>
          <w:tcPr>
            <w:tcW w:w="1701" w:type="dxa"/>
            <w:noWrap w:val="0"/>
            <w:vAlign w:val="center"/>
          </w:tcPr>
          <w:p>
            <w:pPr>
              <w:bidi w:val="0"/>
              <w:ind w:left="0" w:leftChars="0" w:firstLine="0" w:firstLineChars="0"/>
              <w:rPr>
                <w:rFonts w:hint="eastAsia"/>
                <w:lang w:val="en-US" w:eastAsia="zh-CN"/>
              </w:rPr>
            </w:pPr>
            <w:r>
              <w:rPr>
                <w:rFonts w:hint="eastAsia"/>
                <w:lang w:val="en-US" w:eastAsia="zh-CN"/>
              </w:rPr>
              <w:t>所有权代表行使主体</w:t>
            </w:r>
          </w:p>
        </w:tc>
        <w:tc>
          <w:tcPr>
            <w:tcW w:w="1930" w:type="dxa"/>
            <w:noWrap w:val="0"/>
            <w:vAlign w:val="center"/>
          </w:tcPr>
          <w:p>
            <w:pPr>
              <w:bidi w:val="0"/>
              <w:ind w:left="0" w:leftChars="0" w:firstLine="0" w:firstLineChars="0"/>
              <w:rPr>
                <w:rFonts w:hint="eastAsia"/>
                <w:lang w:val="en-US" w:eastAsia="zh-CN"/>
              </w:rPr>
            </w:pPr>
            <w:r>
              <w:rPr>
                <w:rFonts w:hint="eastAsia"/>
                <w:lang w:val="en-US" w:eastAsia="zh-CN"/>
              </w:rPr>
              <w:t>矿产资源储量估算范围顺序号</w:t>
            </w:r>
          </w:p>
        </w:tc>
      </w:tr>
    </w:tbl>
    <w:p>
      <w:pPr>
        <w:bidi w:val="0"/>
        <w:rPr>
          <w:rFonts w:hint="eastAsia"/>
          <w:lang w:val="en-US" w:eastAsia="zh-CN"/>
        </w:rPr>
      </w:pPr>
      <w:r>
        <w:rPr>
          <w:rFonts w:hint="eastAsia"/>
          <w:lang w:val="en-US" w:eastAsia="zh-CN"/>
        </w:rPr>
        <w:t>第一层代表县级行政区划代码；</w:t>
      </w:r>
    </w:p>
    <w:p>
      <w:pPr>
        <w:bidi w:val="0"/>
        <w:rPr>
          <w:rFonts w:hint="eastAsia"/>
          <w:lang w:val="en-US" w:eastAsia="zh-CN"/>
        </w:rPr>
      </w:pPr>
      <w:r>
        <w:rPr>
          <w:rFonts w:hint="eastAsia"/>
          <w:lang w:val="en-US" w:eastAsia="zh-CN"/>
        </w:rPr>
        <w:t>第二层代表统一确权登记的自然资源类型。以“代表“探明储量的矿产资源”；</w:t>
      </w:r>
    </w:p>
    <w:p>
      <w:pPr>
        <w:bidi w:val="0"/>
        <w:rPr>
          <w:rFonts w:hint="eastAsia"/>
          <w:lang w:val="en-US" w:eastAsia="zh-CN"/>
        </w:rPr>
      </w:pPr>
      <w:r>
        <w:rPr>
          <w:rFonts w:hint="eastAsia"/>
          <w:lang w:val="en-US" w:eastAsia="zh-CN"/>
        </w:rPr>
        <w:t>第三层代表探明储量的矿产资源的所有权代表行使主体。其中，“0”代表未设置矿业权的情况，“1”代表国土资源部，“2”代表省（自治区、直辖市）国土资源主管部门，“3”代表市级国土资源主管部门，“4”代表县级国土资源主管部门；</w:t>
      </w:r>
    </w:p>
    <w:p>
      <w:pPr>
        <w:bidi w:val="0"/>
        <w:rPr>
          <w:rFonts w:hint="eastAsia"/>
          <w:lang w:val="en-US" w:eastAsia="zh-CN"/>
        </w:rPr>
      </w:pPr>
      <w:r>
        <w:rPr>
          <w:rFonts w:hint="eastAsia"/>
          <w:lang w:val="en-US" w:eastAsia="zh-CN"/>
        </w:rPr>
        <w:t>第四层代表矿产资源储量现状。其中，“0”代表未动用的，“1”代表处于勘查阶段的，“2”代表处于开采阶段的，“3”代表残留的，“4”代表压覆的；</w:t>
      </w:r>
    </w:p>
    <w:p>
      <w:pPr>
        <w:bidi w:val="0"/>
      </w:pPr>
      <w:r>
        <w:rPr>
          <w:rFonts w:hint="eastAsia"/>
          <w:lang w:val="en-US" w:eastAsia="zh-CN"/>
        </w:rPr>
        <w:t>第五层代表资源储量估算范围的顺序号。</w:t>
      </w:r>
    </w:p>
    <w:p>
      <w:pPr>
        <w:pStyle w:val="4"/>
        <w:bidi w:val="0"/>
      </w:pPr>
      <w:bookmarkStart w:id="136" w:name="_Toc28674"/>
      <w:bookmarkStart w:id="137" w:name="_Toc37178219"/>
      <w:r>
        <w:rPr>
          <w:rFonts w:hint="eastAsia"/>
        </w:rPr>
        <w:t>3.</w:t>
      </w:r>
      <w:r>
        <w:rPr>
          <w:rFonts w:hint="eastAsia"/>
          <w:lang w:val="en-US" w:eastAsia="zh-CN"/>
        </w:rPr>
        <w:t>6</w:t>
      </w:r>
      <w:r>
        <w:rPr>
          <w:rFonts w:hint="eastAsia"/>
        </w:rPr>
        <w:t>工作底图制作</w:t>
      </w:r>
      <w:bookmarkEnd w:id="136"/>
      <w:bookmarkEnd w:id="137"/>
    </w:p>
    <w:p>
      <w:pPr>
        <w:bidi w:val="0"/>
        <w:rPr>
          <w:rFonts w:hint="eastAsia"/>
          <w:lang w:val="en-US" w:eastAsia="zh-CN"/>
        </w:rPr>
      </w:pPr>
      <w:r>
        <w:rPr>
          <w:rFonts w:hint="eastAsia"/>
          <w:lang w:val="en-US" w:eastAsia="zh-CN"/>
        </w:rPr>
        <w:t>外业调查工作底图为数字调查工作底图。以电子数据形式，以作业区为单元存储，按如下流程，根据预划登记单元范围线制作预划登记单元工作底图。</w:t>
      </w:r>
    </w:p>
    <w:p>
      <w:pPr>
        <w:bidi w:val="0"/>
      </w:pPr>
      <w:r>
        <w:rPr>
          <w:rFonts w:hint="eastAsia"/>
          <w:lang w:val="en-US" w:eastAsia="zh-CN"/>
        </w:rPr>
        <w:t>首先，把自然资源调查分布图和预划登记单元范围线进行套合，获得预划登记单元资源工作底图;然后,将这个预划登记单元资源分布图套合所有权界线，形成预划登记单元工作底图，根据不同的图层及属性采用不同的颜色、线型及符号进行配置，统一制作底图模版，进行切片处理，然后导入外业调绘系统中，由此获得的预划登记单元工作底图，包含了自然资源分布信息和所有权分布信息,为后续的内业分析提供数据基础。</w:t>
      </w:r>
    </w:p>
    <w:p>
      <w:pPr>
        <w:pStyle w:val="2"/>
        <w:ind w:firstLine="560"/>
        <w:rPr>
          <w:rFonts w:ascii="宋体" w:hAnsi="宋体" w:cs="宋体"/>
          <w:sz w:val="28"/>
          <w:szCs w:val="28"/>
        </w:rPr>
      </w:pPr>
      <w:r>
        <w:rPr>
          <w:sz w:val="28"/>
        </w:rPr>
        <w:drawing>
          <wp:inline distT="0" distB="0" distL="114300" distR="114300">
            <wp:extent cx="4229100" cy="5057775"/>
            <wp:effectExtent l="0" t="0" r="0" b="9525"/>
            <wp:docPr id="4" name="图片 5" descr="WPS图片-抠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WPS图片-抠图"/>
                    <pic:cNvPicPr>
                      <a:picLocks noChangeAspect="1"/>
                    </pic:cNvPicPr>
                  </pic:nvPicPr>
                  <pic:blipFill>
                    <a:blip r:embed="rId12"/>
                    <a:stretch>
                      <a:fillRect/>
                    </a:stretch>
                  </pic:blipFill>
                  <pic:spPr>
                    <a:xfrm>
                      <a:off x="0" y="0"/>
                      <a:ext cx="4229100" cy="5057775"/>
                    </a:xfrm>
                    <a:prstGeom prst="rect">
                      <a:avLst/>
                    </a:prstGeom>
                    <a:noFill/>
                    <a:ln>
                      <a:noFill/>
                    </a:ln>
                  </pic:spPr>
                </pic:pic>
              </a:graphicData>
            </a:graphic>
          </wp:inline>
        </w:drawing>
      </w:r>
      <w:r>
        <w:rPr>
          <w:sz w:val="28"/>
        </w:rPr>
        <mc:AlternateContent>
          <mc:Choice Requires="wps">
            <w:drawing>
              <wp:anchor distT="0" distB="0" distL="114300" distR="114300" simplePos="0" relativeHeight="251660288" behindDoc="0" locked="0" layoutInCell="1" allowOverlap="1">
                <wp:simplePos x="0" y="0"/>
                <wp:positionH relativeFrom="column">
                  <wp:posOffset>1661160</wp:posOffset>
                </wp:positionH>
                <wp:positionV relativeFrom="paragraph">
                  <wp:posOffset>2745740</wp:posOffset>
                </wp:positionV>
                <wp:extent cx="635" cy="407670"/>
                <wp:effectExtent l="4445" t="0" r="13970" b="11430"/>
                <wp:wrapNone/>
                <wp:docPr id="76" name="直接连接符 76"/>
                <wp:cNvGraphicFramePr/>
                <a:graphic xmlns:a="http://schemas.openxmlformats.org/drawingml/2006/main">
                  <a:graphicData uri="http://schemas.microsoft.com/office/word/2010/wordprocessingShape">
                    <wps:wsp>
                      <wps:cNvCnPr/>
                      <wps:spPr>
                        <a:xfrm>
                          <a:off x="0" y="0"/>
                          <a:ext cx="635" cy="407670"/>
                        </a:xfrm>
                        <a:prstGeom prst="line">
                          <a:avLst/>
                        </a:prstGeom>
                        <a:ln w="9525" cap="flat" cmpd="sng">
                          <a:solidFill>
                            <a:srgbClr val="5B9BD5"/>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0.8pt;margin-top:216.2pt;height:32.1pt;width:0.05pt;z-index:251660288;mso-width-relative:page;mso-height-relative:page;" filled="f" stroked="t" coordsize="21600,21600" o:gfxdata="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LItjdgAAAALAQAADwAAAAAAAAABACAAAAAiAAAAZHJzL2Rv&#10;d25yZXYueG1sUEsBAhQAFAAAAAgAh07iQGK4OhIBAgAA9QMAAA4AAAAAAAAAAQAgAAAAJwEAAGRy&#10;cy9lMm9Eb2MueG1sUEsFBgAAAAAGAAYAWQEAAJoFAAAAAA==&#10;">
                <v:fill on="f" focussize="0,0"/>
                <v:stroke color="#5B9BD5" joinstyle="round"/>
                <v:imagedata o:title=""/>
                <o:lock v:ext="edit" aspectratio="f"/>
              </v:line>
            </w:pict>
          </mc:Fallback>
        </mc:AlternateContent>
      </w:r>
    </w:p>
    <w:p>
      <w:pPr>
        <w:rPr>
          <w:rFonts w:hint="eastAsia"/>
        </w:rPr>
      </w:pPr>
      <w:bookmarkStart w:id="138" w:name="_Toc37178220"/>
    </w:p>
    <w:p>
      <w:pPr>
        <w:pStyle w:val="4"/>
        <w:bidi w:val="0"/>
      </w:pPr>
      <w:bookmarkStart w:id="139" w:name="_Toc3293"/>
      <w:r>
        <w:rPr>
          <w:rFonts w:hint="eastAsia"/>
        </w:rPr>
        <w:t>3.</w:t>
      </w:r>
      <w:r>
        <w:rPr>
          <w:rFonts w:hint="eastAsia"/>
          <w:lang w:val="en-US" w:eastAsia="zh-CN"/>
        </w:rPr>
        <w:t>7</w:t>
      </w:r>
      <w:r>
        <w:rPr>
          <w:rFonts w:hint="eastAsia"/>
        </w:rPr>
        <w:t>外业调查</w:t>
      </w:r>
      <w:bookmarkEnd w:id="138"/>
      <w:bookmarkEnd w:id="139"/>
    </w:p>
    <w:p>
      <w:pPr>
        <w:bidi w:val="0"/>
        <w:rPr>
          <w:rFonts w:hint="eastAsia"/>
          <w:lang w:val="en-US" w:eastAsia="zh-CN"/>
        </w:rPr>
      </w:pPr>
      <w:r>
        <w:rPr>
          <w:rFonts w:hint="eastAsia"/>
          <w:lang w:val="en-US" w:eastAsia="zh-CN"/>
        </w:rPr>
        <w:t>根据自然资源统一登记的相关要求，在有争议且不能图上定界的情况下，或者需要核实自然资源的类型、类别、范围以及质量，需要进行自然资源外业调查工作。自然资源调查主要包括权属核实和属性核实，都兰县自然资源调查要遵循以下要求：</w:t>
      </w:r>
    </w:p>
    <w:p>
      <w:pPr>
        <w:bidi w:val="0"/>
        <w:rPr>
          <w:rFonts w:hint="eastAsia"/>
          <w:lang w:val="en-US" w:eastAsia="zh-CN"/>
        </w:rPr>
      </w:pPr>
      <w:r>
        <w:rPr>
          <w:rFonts w:hint="eastAsia"/>
          <w:lang w:val="en-US" w:eastAsia="zh-CN"/>
        </w:rPr>
        <w:t>（1）充分利用第三次全国国土调查成果数据、有关资源部门数据和管理材料。</w:t>
      </w:r>
    </w:p>
    <w:p>
      <w:pPr>
        <w:bidi w:val="0"/>
        <w:rPr>
          <w:rFonts w:hint="eastAsia"/>
          <w:lang w:val="en-US" w:eastAsia="zh-CN"/>
        </w:rPr>
      </w:pPr>
      <w:r>
        <w:rPr>
          <w:rFonts w:hint="eastAsia"/>
          <w:lang w:val="en-US" w:eastAsia="zh-CN"/>
        </w:rPr>
        <w:t>（2）权属界线应认定合法、位置准确、表示规范。</w:t>
      </w:r>
    </w:p>
    <w:p>
      <w:pPr>
        <w:bidi w:val="0"/>
      </w:pPr>
      <w:r>
        <w:rPr>
          <w:rFonts w:hint="eastAsia"/>
          <w:lang w:val="en-US" w:eastAsia="zh-CN"/>
        </w:rPr>
        <w:t>（3）调查图件、数值和实地应该协调一致。</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default"/>
          <w:lang w:val="en-US" w:eastAsia="zh-CN"/>
        </w:rPr>
      </w:pPr>
      <w:bookmarkStart w:id="140" w:name="_Toc37178221"/>
      <w:bookmarkStart w:id="141" w:name="_Toc496794160"/>
      <w:r>
        <w:rPr>
          <w:rFonts w:hint="eastAsia"/>
          <w:lang w:eastAsia="zh-CN"/>
        </w:rPr>
        <w:t>（</w:t>
      </w:r>
      <w:r>
        <w:rPr>
          <w:rFonts w:hint="eastAsia"/>
          <w:lang w:val="en-US" w:eastAsia="zh-CN"/>
        </w:rPr>
        <w:t>一）调查方法</w:t>
      </w:r>
      <w:bookmarkEnd w:id="140"/>
    </w:p>
    <w:p>
      <w:pPr>
        <w:bidi w:val="0"/>
        <w:rPr>
          <w:rFonts w:hint="eastAsia"/>
          <w:lang w:val="en-US" w:eastAsia="zh-CN"/>
        </w:rPr>
      </w:pPr>
      <w:r>
        <w:rPr>
          <w:rFonts w:hint="eastAsia"/>
          <w:lang w:val="en-US" w:eastAsia="zh-CN"/>
        </w:rPr>
        <w:t>在都兰县自然资源统一确权登记领导小组的统一部署下会同同级相关部门、机构按自然资源图斑逐个核实自然资源的类型、类别、质量、边界、权属界，必要时由县级土地登记机构出具界线认定书，各会商部门签字。各类已有法定界线不进行调整。</w:t>
      </w:r>
    </w:p>
    <w:p>
      <w:pPr>
        <w:bidi w:val="0"/>
        <w:rPr>
          <w:rFonts w:hint="eastAsia"/>
          <w:lang w:val="en-US" w:eastAsia="zh-CN"/>
        </w:rPr>
      </w:pPr>
      <w:r>
        <w:rPr>
          <w:rFonts w:hint="eastAsia"/>
          <w:lang w:val="en-US" w:eastAsia="zh-CN"/>
        </w:rPr>
        <w:t>如果边界存在争议，且涉及行政区域界线的，在土地权属调查、地籍调查、不动产登记等工作中未进行争议处理的，以行政区域界线勘界时形成的界线协议书和界线详图为依据，由争议方派专人进行集体协商，依据自然资源部门所有的遥感影像数据和争议边界线为图上作业依据，协商后由县级土地登记机构出具边界认定书，争议各方签字；若协商不成，则采用实地走界或测绘技术重定争议边界线后签订边界更新协议后由县级土地登记机构出具边界认定书，争议各方签字；仍然无法达成一致，由县级土地登记部门出具争议缘由书，争议各方签字。</w:t>
      </w:r>
    </w:p>
    <w:p>
      <w:pPr>
        <w:pStyle w:val="2"/>
        <w:spacing w:before="0" w:line="240" w:lineRule="auto"/>
        <w:ind w:firstLine="0" w:firstLineChars="0"/>
      </w:pPr>
      <w:r>
        <w:rPr>
          <w:rFonts w:ascii="Calibri" w:hAnsi="Calibri" w:cs="Times New Roman"/>
          <w:kern w:val="2"/>
          <w:sz w:val="21"/>
          <w:szCs w:val="22"/>
        </w:rPr>
        <w:drawing>
          <wp:anchor distT="0" distB="0" distL="114300" distR="114300" simplePos="0" relativeHeight="251661312" behindDoc="0" locked="0" layoutInCell="1" allowOverlap="1">
            <wp:simplePos x="0" y="0"/>
            <wp:positionH relativeFrom="column">
              <wp:posOffset>1040765</wp:posOffset>
            </wp:positionH>
            <wp:positionV relativeFrom="paragraph">
              <wp:posOffset>84455</wp:posOffset>
            </wp:positionV>
            <wp:extent cx="3086100" cy="4219575"/>
            <wp:effectExtent l="0" t="0" r="0" b="9525"/>
            <wp:wrapTopAndBottom/>
            <wp:docPr id="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0"/>
                    <pic:cNvPicPr>
                      <a:picLocks noChangeAspect="1"/>
                    </pic:cNvPicPr>
                  </pic:nvPicPr>
                  <pic:blipFill>
                    <a:blip r:embed="rId13"/>
                    <a:stretch>
                      <a:fillRect/>
                    </a:stretch>
                  </pic:blipFill>
                  <pic:spPr>
                    <a:xfrm>
                      <a:off x="0" y="0"/>
                      <a:ext cx="3086100" cy="4219575"/>
                    </a:xfrm>
                    <a:prstGeom prst="rect">
                      <a:avLst/>
                    </a:prstGeom>
                    <a:noFill/>
                    <a:ln>
                      <a:noFill/>
                    </a:ln>
                  </pic:spPr>
                </pic:pic>
              </a:graphicData>
            </a:graphic>
          </wp:anchor>
        </w:drawing>
      </w:r>
    </w:p>
    <w:p>
      <w:pPr>
        <w:bidi w:val="0"/>
        <w:rPr>
          <w:rFonts w:hint="eastAsia"/>
          <w:lang w:val="en-US" w:eastAsia="zh-CN"/>
        </w:rPr>
      </w:pPr>
      <w:r>
        <w:rPr>
          <w:rFonts w:hint="eastAsia"/>
          <w:lang w:val="en-US" w:eastAsia="zh-CN"/>
        </w:rPr>
        <w:t>设计调绘路线</w:t>
      </w:r>
    </w:p>
    <w:p>
      <w:pPr>
        <w:bidi w:val="0"/>
        <w:rPr>
          <w:rFonts w:hint="eastAsia"/>
          <w:lang w:val="en-US" w:eastAsia="zh-CN"/>
        </w:rPr>
      </w:pPr>
      <w:r>
        <w:rPr>
          <w:rFonts w:hint="eastAsia"/>
          <w:lang w:val="en-US" w:eastAsia="zh-CN"/>
        </w:rPr>
        <w:t>在外业实地调查核实前，在室内设计好外业调绘路线。调绘路线以既要少走路又不至于漏掉要调绘的自然资源为原则，并做到走到、看到、问道、画到。</w:t>
      </w:r>
    </w:p>
    <w:p>
      <w:pPr>
        <w:bidi w:val="0"/>
        <w:rPr>
          <w:rFonts w:hint="eastAsia"/>
          <w:lang w:val="en-US" w:eastAsia="zh-CN"/>
        </w:rPr>
      </w:pPr>
      <w:r>
        <w:rPr>
          <w:rFonts w:hint="eastAsia"/>
          <w:lang w:val="en-US" w:eastAsia="zh-CN"/>
        </w:rPr>
        <w:t>核实、调查</w:t>
      </w:r>
    </w:p>
    <w:p>
      <w:pPr>
        <w:bidi w:val="0"/>
        <w:rPr>
          <w:rFonts w:hint="eastAsia"/>
          <w:lang w:val="en-US" w:eastAsia="zh-CN"/>
        </w:rPr>
      </w:pPr>
      <w:r>
        <w:rPr>
          <w:rFonts w:hint="eastAsia"/>
          <w:lang w:val="en-US" w:eastAsia="zh-CN"/>
        </w:rPr>
        <w:t>实地核实，将自然资源的界线、范围、属性等调查内容准确调绘在调查底图上。通过外业，依据实地现状，将内业解译或无法解译的内容，依据实地现状进行核实或调绘。</w:t>
      </w:r>
    </w:p>
    <w:p>
      <w:pPr>
        <w:bidi w:val="0"/>
        <w:rPr>
          <w:rFonts w:hint="eastAsia"/>
          <w:lang w:val="en-US" w:eastAsia="zh-CN"/>
        </w:rPr>
      </w:pPr>
      <w:r>
        <w:rPr>
          <w:rFonts w:hint="eastAsia"/>
          <w:lang w:val="en-US" w:eastAsia="zh-CN"/>
        </w:rPr>
        <w:t>（3）边走边调绘</w:t>
      </w:r>
    </w:p>
    <w:p>
      <w:pPr>
        <w:bidi w:val="0"/>
        <w:rPr>
          <w:rFonts w:hint="eastAsia"/>
          <w:lang w:val="en-US" w:eastAsia="zh-CN"/>
        </w:rPr>
      </w:pPr>
      <w:r>
        <w:rPr>
          <w:rFonts w:hint="eastAsia"/>
          <w:lang w:val="en-US" w:eastAsia="zh-CN"/>
        </w:rPr>
        <w:t>根据调查设计的路线，在达到下一站立点途中，可根据影响边走、边看、边判、边记、边画，对室内预判的内容逐一核实、记载，在到达下一站点后，再进行调绘。</w:t>
      </w:r>
    </w:p>
    <w:p>
      <w:pPr>
        <w:bidi w:val="0"/>
        <w:rPr>
          <w:rFonts w:hint="eastAsia"/>
          <w:lang w:val="en-US" w:eastAsia="zh-CN"/>
        </w:rPr>
      </w:pPr>
      <w:r>
        <w:rPr>
          <w:rFonts w:hint="eastAsia"/>
          <w:lang w:val="en-US" w:eastAsia="zh-CN"/>
        </w:rPr>
        <w:t>询问确认</w:t>
      </w:r>
    </w:p>
    <w:p>
      <w:pPr>
        <w:bidi w:val="0"/>
        <w:rPr>
          <w:rFonts w:ascii="宋体" w:hAnsi="宋体"/>
          <w:sz w:val="28"/>
          <w:szCs w:val="28"/>
        </w:rPr>
      </w:pPr>
      <w:r>
        <mc:AlternateContent>
          <mc:Choice Requires="wpg">
            <w:drawing>
              <wp:anchor distT="0" distB="0" distL="114300" distR="114300" simplePos="0" relativeHeight="251659264" behindDoc="0" locked="0" layoutInCell="1" allowOverlap="1">
                <wp:simplePos x="0" y="0"/>
                <wp:positionH relativeFrom="column">
                  <wp:posOffset>111760</wp:posOffset>
                </wp:positionH>
                <wp:positionV relativeFrom="paragraph">
                  <wp:posOffset>790575</wp:posOffset>
                </wp:positionV>
                <wp:extent cx="4729480" cy="1222375"/>
                <wp:effectExtent l="4445" t="4445" r="9525" b="11430"/>
                <wp:wrapNone/>
                <wp:docPr id="17" name="组合 17"/>
                <wp:cNvGraphicFramePr/>
                <a:graphic xmlns:a="http://schemas.openxmlformats.org/drawingml/2006/main">
                  <a:graphicData uri="http://schemas.microsoft.com/office/word/2010/wordprocessingGroup">
                    <wpg:wgp>
                      <wpg:cNvGrpSpPr/>
                      <wpg:grpSpPr>
                        <a:xfrm>
                          <a:off x="0" y="0"/>
                          <a:ext cx="4729480" cy="1222375"/>
                          <a:chOff x="0" y="0"/>
                          <a:chExt cx="6969" cy="1685"/>
                        </a:xfrm>
                      </wpg:grpSpPr>
                      <wps:wsp>
                        <wps:cNvPr id="8" name="流程图: 过程 8"/>
                        <wps:cNvSpPr/>
                        <wps:spPr>
                          <a:xfrm>
                            <a:off x="0" y="19"/>
                            <a:ext cx="1976" cy="597"/>
                          </a:xfrm>
                          <a:prstGeom prst="flowChartProcess">
                            <a:avLst/>
                          </a:prstGeom>
                          <a:noFill/>
                          <a:ln w="9525" cap="flat" cmpd="sng">
                            <a:solidFill>
                              <a:srgbClr val="000000"/>
                            </a:solidFill>
                            <a:prstDash val="solid"/>
                            <a:miter/>
                            <a:headEnd type="none" w="med" len="med"/>
                            <a:tailEnd type="none" w="med" len="med"/>
                          </a:ln>
                        </wps:spPr>
                        <wps:txbx>
                          <w:txbxContent>
                            <w:p>
                              <w:pPr>
                                <w:bidi w:val="0"/>
                                <w:ind w:left="0" w:leftChars="0" w:firstLine="0" w:firstLineChars="0"/>
                                <w:rPr>
                                  <w:rFonts w:hint="eastAsia"/>
                                  <w:lang w:val="en-US" w:eastAsia="zh-CN"/>
                                </w:rPr>
                              </w:pPr>
                              <w:r>
                                <w:rPr>
                                  <w:rFonts w:hint="eastAsia"/>
                                  <w:lang w:val="en-US" w:eastAsia="zh-CN"/>
                                </w:rPr>
                                <w:t>设计调绘路线</w:t>
                              </w:r>
                            </w:p>
                          </w:txbxContent>
                        </wps:txbx>
                        <wps:bodyPr anchor="ctr" anchorCtr="0" upright="1"/>
                      </wps:wsp>
                      <wps:wsp>
                        <wps:cNvPr id="9" name="直接箭头连接符 9"/>
                        <wps:cNvCnPr/>
                        <wps:spPr>
                          <a:xfrm>
                            <a:off x="1976" y="318"/>
                            <a:ext cx="490" cy="0"/>
                          </a:xfrm>
                          <a:prstGeom prst="straightConnector1">
                            <a:avLst/>
                          </a:prstGeom>
                          <a:ln w="9525" cap="flat" cmpd="sng">
                            <a:solidFill>
                              <a:srgbClr val="000000"/>
                            </a:solidFill>
                            <a:prstDash val="solid"/>
                            <a:headEnd type="none" w="med" len="med"/>
                            <a:tailEnd type="arrow" w="med" len="med"/>
                          </a:ln>
                        </wps:spPr>
                        <wps:bodyPr/>
                      </wps:wsp>
                      <wps:wsp>
                        <wps:cNvPr id="10" name="流程图: 过程 10"/>
                        <wps:cNvSpPr/>
                        <wps:spPr>
                          <a:xfrm>
                            <a:off x="2482" y="2"/>
                            <a:ext cx="1976" cy="597"/>
                          </a:xfrm>
                          <a:prstGeom prst="flowChartProcess">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both"/>
                                <w:rPr>
                                  <w:b w:val="0"/>
                                  <w:bCs w:val="0"/>
                                  <w:sz w:val="24"/>
                                  <w:szCs w:val="24"/>
                                </w:rPr>
                              </w:pPr>
                              <w:r>
                                <w:rPr>
                                  <w:rFonts w:hint="eastAsia"/>
                                  <w:b w:val="0"/>
                                  <w:bCs w:val="0"/>
                                  <w:color w:val="000000"/>
                                </w:rPr>
                                <w:t>实地核查</w:t>
                              </w:r>
                            </w:p>
                          </w:txbxContent>
                        </wps:txbx>
                        <wps:bodyPr anchor="ctr" anchorCtr="0" upright="1"/>
                      </wps:wsp>
                      <wps:wsp>
                        <wps:cNvPr id="11" name="流程图: 过程 11"/>
                        <wps:cNvSpPr/>
                        <wps:spPr>
                          <a:xfrm>
                            <a:off x="4950" y="0"/>
                            <a:ext cx="1976" cy="597"/>
                          </a:xfrm>
                          <a:prstGeom prst="flowChartProcess">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both"/>
                                <w:rPr>
                                  <w:b w:val="0"/>
                                  <w:bCs w:val="0"/>
                                  <w:sz w:val="24"/>
                                  <w:szCs w:val="24"/>
                                </w:rPr>
                              </w:pPr>
                              <w:r>
                                <w:rPr>
                                  <w:rFonts w:hint="eastAsia"/>
                                  <w:b w:val="0"/>
                                  <w:bCs w:val="0"/>
                                  <w:color w:val="000000"/>
                                </w:rPr>
                                <w:t>现场调绘</w:t>
                              </w:r>
                            </w:p>
                          </w:txbxContent>
                        </wps:txbx>
                        <wps:bodyPr anchor="ctr" anchorCtr="0" upright="1"/>
                      </wps:wsp>
                      <wps:wsp>
                        <wps:cNvPr id="12" name="直接箭头连接符 12"/>
                        <wps:cNvCnPr/>
                        <wps:spPr>
                          <a:xfrm>
                            <a:off x="4489" y="316"/>
                            <a:ext cx="490" cy="0"/>
                          </a:xfrm>
                          <a:prstGeom prst="straightConnector1">
                            <a:avLst/>
                          </a:prstGeom>
                          <a:ln w="9525" cap="flat" cmpd="sng">
                            <a:solidFill>
                              <a:srgbClr val="000000"/>
                            </a:solidFill>
                            <a:prstDash val="solid"/>
                            <a:headEnd type="none" w="med" len="med"/>
                            <a:tailEnd type="arrow" w="med" len="med"/>
                          </a:ln>
                        </wps:spPr>
                        <wps:bodyPr/>
                      </wps:wsp>
                      <wps:wsp>
                        <wps:cNvPr id="13" name="直接箭头连接符 13"/>
                        <wps:cNvCnPr/>
                        <wps:spPr>
                          <a:xfrm>
                            <a:off x="5938" y="597"/>
                            <a:ext cx="0" cy="508"/>
                          </a:xfrm>
                          <a:prstGeom prst="straightConnector1">
                            <a:avLst/>
                          </a:prstGeom>
                          <a:ln w="9525" cap="flat" cmpd="sng">
                            <a:solidFill>
                              <a:srgbClr val="000000"/>
                            </a:solidFill>
                            <a:prstDash val="solid"/>
                            <a:headEnd type="none" w="med" len="med"/>
                            <a:tailEnd type="arrow" w="med" len="med"/>
                          </a:ln>
                        </wps:spPr>
                        <wps:bodyPr/>
                      </wps:wsp>
                      <wps:wsp>
                        <wps:cNvPr id="14" name="流程图: 过程 14"/>
                        <wps:cNvSpPr/>
                        <wps:spPr>
                          <a:xfrm>
                            <a:off x="4993" y="1088"/>
                            <a:ext cx="1976" cy="597"/>
                          </a:xfrm>
                          <a:prstGeom prst="flowChartProcess">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both"/>
                                <w:rPr>
                                  <w:b w:val="0"/>
                                  <w:bCs w:val="0"/>
                                  <w:sz w:val="24"/>
                                  <w:szCs w:val="24"/>
                                </w:rPr>
                              </w:pPr>
                              <w:r>
                                <w:rPr>
                                  <w:rFonts w:hint="eastAsia"/>
                                  <w:b w:val="0"/>
                                  <w:bCs w:val="0"/>
                                  <w:color w:val="000000"/>
                                </w:rPr>
                                <w:t>询问确认</w:t>
                              </w:r>
                            </w:p>
                          </w:txbxContent>
                        </wps:txbx>
                        <wps:bodyPr anchor="ctr" anchorCtr="0" upright="1"/>
                      </wps:wsp>
                      <wps:wsp>
                        <wps:cNvPr id="15" name="流程图: 过程 15"/>
                        <wps:cNvSpPr/>
                        <wps:spPr>
                          <a:xfrm>
                            <a:off x="2491" y="1085"/>
                            <a:ext cx="1976" cy="597"/>
                          </a:xfrm>
                          <a:prstGeom prst="flowChartProcess">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both"/>
                                <w:rPr>
                                  <w:b w:val="0"/>
                                  <w:bCs w:val="0"/>
                                  <w:sz w:val="24"/>
                                  <w:szCs w:val="24"/>
                                </w:rPr>
                              </w:pPr>
                              <w:r>
                                <w:rPr>
                                  <w:rFonts w:hint="eastAsia"/>
                                  <w:b w:val="0"/>
                                  <w:bCs w:val="0"/>
                                  <w:color w:val="000000"/>
                                </w:rPr>
                                <w:t>询问确认</w:t>
                              </w:r>
                            </w:p>
                          </w:txbxContent>
                        </wps:txbx>
                        <wps:bodyPr anchor="ctr" anchorCtr="0" upright="1"/>
                      </wps:wsp>
                      <wps:wsp>
                        <wps:cNvPr id="16" name="直接箭头连接符 16"/>
                        <wps:cNvCnPr/>
                        <wps:spPr>
                          <a:xfrm flipH="1" flipV="1">
                            <a:off x="4467" y="1384"/>
                            <a:ext cx="526" cy="3"/>
                          </a:xfrm>
                          <a:prstGeom prst="straightConnector1">
                            <a:avLst/>
                          </a:prstGeom>
                          <a:ln w="9525" cap="flat" cmpd="sng">
                            <a:solidFill>
                              <a:srgbClr val="000000"/>
                            </a:solidFill>
                            <a:prstDash val="solid"/>
                            <a:headEnd type="none" w="med" len="med"/>
                            <a:tailEnd type="arrow" w="med" len="med"/>
                          </a:ln>
                        </wps:spPr>
                        <wps:bodyPr/>
                      </wps:wsp>
                    </wpg:wgp>
                  </a:graphicData>
                </a:graphic>
              </wp:anchor>
            </w:drawing>
          </mc:Choice>
          <mc:Fallback>
            <w:pict>
              <v:group id="_x0000_s1026" o:spid="_x0000_s1026" o:spt="203" style="position:absolute;left:0pt;margin-left:8.8pt;margin-top:62.25pt;height:96.25pt;width:372.4pt;z-index:251659264;mso-width-relative:page;mso-height-relative:page;" coordsize="6969,1685" o:gfxdata="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">
                <o:lock v:ext="edit" aspectratio="f"/>
                <v:shape id="_x0000_s1026" o:spid="_x0000_s1026" o:spt="109" type="#_x0000_t109" style="position:absolute;left:0;top:19;height:597;width:1976;v-text-anchor:middle;" filled="f" stroked="t" coordsize="21600,21600" o:gfxdata="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TjfeLgAAADaAAAA&#10;DwAAAAAAAAABACAAAAAiAAAAZHJzL2Rvd25yZXYueG1sUEsBAhQAFAAAAAgAh07iQDMvBZ47AAAA&#10;OQAAABAAAAAAAAAAAQAgAAAABwEAAGRycy9zaGFwZXhtbC54bWxQSwUGAAAAAAYABgBbAQAAsQMA&#10;AAAA&#10;">
                  <v:fill on="f" focussize="0,0"/>
                  <v:stroke color="#000000" joinstyle="miter"/>
                  <v:imagedata o:title=""/>
                  <o:lock v:ext="edit" aspectratio="f"/>
                  <v:textbox>
                    <w:txbxContent>
                      <w:p>
                        <w:pPr>
                          <w:bidi w:val="0"/>
                          <w:ind w:left="0" w:leftChars="0" w:firstLine="0" w:firstLineChars="0"/>
                          <w:rPr>
                            <w:rFonts w:hint="eastAsia"/>
                            <w:lang w:val="en-US" w:eastAsia="zh-CN"/>
                          </w:rPr>
                        </w:pPr>
                        <w:r>
                          <w:rPr>
                            <w:rFonts w:hint="eastAsia"/>
                            <w:lang w:val="en-US" w:eastAsia="zh-CN"/>
                          </w:rPr>
                          <w:t>设计调绘路线</w:t>
                        </w:r>
                      </w:p>
                    </w:txbxContent>
                  </v:textbox>
                </v:shape>
                <v:shape id="_x0000_s1026" o:spid="_x0000_s1026" o:spt="32" type="#_x0000_t32" style="position:absolute;left:1976;top:318;height:0;width:490;" filled="f" stroked="t" coordsize="21600,21600" o:gfxdata="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hvE9rsAAADa&#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_x0000_s1026" o:spid="_x0000_s1026" o:spt="109" type="#_x0000_t109" style="position:absolute;left:2482;top:2;height:597;width:1976;v-text-anchor:middle;" filled="f" stroked="t" coordsize="21600,21600" o:gfxdata="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uO0/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ind w:left="0" w:leftChars="0" w:firstLine="0" w:firstLineChars="0"/>
                          <w:jc w:val="both"/>
                          <w:rPr>
                            <w:b w:val="0"/>
                            <w:bCs w:val="0"/>
                            <w:sz w:val="24"/>
                            <w:szCs w:val="24"/>
                          </w:rPr>
                        </w:pPr>
                        <w:r>
                          <w:rPr>
                            <w:rFonts w:hint="eastAsia"/>
                            <w:b w:val="0"/>
                            <w:bCs w:val="0"/>
                            <w:color w:val="000000"/>
                          </w:rPr>
                          <w:t>实地核查</w:t>
                        </w:r>
                      </w:p>
                    </w:txbxContent>
                  </v:textbox>
                </v:shape>
                <v:shape id="_x0000_s1026" o:spid="_x0000_s1026" o:spt="109" type="#_x0000_t109" style="position:absolute;left:4950;top:0;height:597;width:1976;v-text-anchor:middle;" filled="f" stroked="t" coordsize="21600,21600" o:gfxdata="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a8RZr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ind w:left="0" w:leftChars="0" w:firstLine="0" w:firstLineChars="0"/>
                          <w:jc w:val="both"/>
                          <w:rPr>
                            <w:b w:val="0"/>
                            <w:bCs w:val="0"/>
                            <w:sz w:val="24"/>
                            <w:szCs w:val="24"/>
                          </w:rPr>
                        </w:pPr>
                        <w:r>
                          <w:rPr>
                            <w:rFonts w:hint="eastAsia"/>
                            <w:b w:val="0"/>
                            <w:bCs w:val="0"/>
                            <w:color w:val="000000"/>
                          </w:rPr>
                          <w:t>现场调绘</w:t>
                        </w:r>
                      </w:p>
                    </w:txbxContent>
                  </v:textbox>
                </v:shape>
                <v:shape id="_x0000_s1026" o:spid="_x0000_s1026" o:spt="32" type="#_x0000_t32" style="position:absolute;left:4489;top:316;height:0;width:490;" filled="f" stroked="t" coordsize="21600,21600" o:gfxdata="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Fk42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_x0000_s1026" o:spid="_x0000_s1026" o:spt="32" type="#_x0000_t32" style="position:absolute;left:5938;top:597;height:508;width:0;" filled="f" stroked="t" coordsize="21600,21600" o:gfxdata="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iTYW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shape id="_x0000_s1026" o:spid="_x0000_s1026" o:spt="109" type="#_x0000_t109" style="position:absolute;left:4993;top:1088;height:597;width:1976;v-text-anchor:middle;" filled="f" stroked="t" coordsize="21600,21600" o:gfxdata="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2LL+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ind w:left="0" w:leftChars="0" w:firstLine="0" w:firstLineChars="0"/>
                          <w:jc w:val="both"/>
                          <w:rPr>
                            <w:b w:val="0"/>
                            <w:bCs w:val="0"/>
                            <w:sz w:val="24"/>
                            <w:szCs w:val="24"/>
                          </w:rPr>
                        </w:pPr>
                        <w:r>
                          <w:rPr>
                            <w:rFonts w:hint="eastAsia"/>
                            <w:b w:val="0"/>
                            <w:bCs w:val="0"/>
                            <w:color w:val="000000"/>
                          </w:rPr>
                          <w:t>询问确认</w:t>
                        </w:r>
                      </w:p>
                    </w:txbxContent>
                  </v:textbox>
                </v:shape>
                <v:shape id="_x0000_s1026" o:spid="_x0000_s1026" o:spt="109" type="#_x0000_t109" style="position:absolute;left:2491;top:1085;height:597;width:1976;v-text-anchor:middle;" filled="f" stroked="t" coordsize="21600,21600" o:gfxdata="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QXZ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ind w:left="0" w:leftChars="0" w:firstLine="0" w:firstLineChars="0"/>
                          <w:jc w:val="both"/>
                          <w:rPr>
                            <w:b w:val="0"/>
                            <w:bCs w:val="0"/>
                            <w:sz w:val="24"/>
                            <w:szCs w:val="24"/>
                          </w:rPr>
                        </w:pPr>
                        <w:r>
                          <w:rPr>
                            <w:rFonts w:hint="eastAsia"/>
                            <w:b w:val="0"/>
                            <w:bCs w:val="0"/>
                            <w:color w:val="000000"/>
                          </w:rPr>
                          <w:t>询问确认</w:t>
                        </w:r>
                      </w:p>
                    </w:txbxContent>
                  </v:textbox>
                </v:shape>
                <v:shape id="_x0000_s1026" o:spid="_x0000_s1026" o:spt="32" type="#_x0000_t32" style="position:absolute;left:4467;top:1384;flip:x y;height:3;width:526;" filled="f" stroked="t" coordsize="21600,21600" o:gfxdata="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1svpb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group>
            </w:pict>
          </mc:Fallback>
        </mc:AlternateContent>
      </w:r>
      <w:r>
        <w:rPr>
          <w:rFonts w:hint="eastAsia"/>
          <w:lang w:val="en-US" w:eastAsia="zh-CN"/>
        </w:rPr>
        <w:t>在调查过程中向当地群众询问确认，及时掌握当地的自然资源的各种情况。</w:t>
      </w:r>
    </w:p>
    <w:p>
      <w:pPr>
        <w:spacing w:line="0" w:lineRule="atLeast"/>
        <w:ind w:left="2940"/>
        <w:rPr>
          <w:rFonts w:ascii="宋体" w:hAnsi="宋体"/>
          <w:b/>
          <w:sz w:val="21"/>
        </w:rPr>
      </w:pPr>
    </w:p>
    <w:p>
      <w:pPr>
        <w:spacing w:line="0" w:lineRule="atLeast"/>
        <w:ind w:left="2940"/>
        <w:rPr>
          <w:rFonts w:ascii="宋体" w:hAnsi="宋体"/>
          <w:b/>
          <w:sz w:val="21"/>
        </w:rPr>
      </w:pPr>
    </w:p>
    <w:p>
      <w:pPr>
        <w:spacing w:line="0" w:lineRule="atLeast"/>
        <w:jc w:val="center"/>
        <w:rPr>
          <w:rFonts w:ascii="宋体" w:hAnsi="宋体"/>
          <w:b/>
          <w:sz w:val="21"/>
        </w:rPr>
      </w:pPr>
    </w:p>
    <w:p>
      <w:pPr>
        <w:spacing w:line="0" w:lineRule="atLeast"/>
        <w:ind w:left="2940"/>
        <w:rPr>
          <w:rFonts w:ascii="宋体" w:hAnsi="宋体"/>
          <w:b/>
          <w:sz w:val="21"/>
        </w:rPr>
      </w:pPr>
    </w:p>
    <w:p>
      <w:pPr>
        <w:spacing w:line="0" w:lineRule="atLeast"/>
        <w:ind w:left="2940"/>
      </w:pPr>
    </w:p>
    <w:p>
      <w:pPr>
        <w:spacing w:line="0" w:lineRule="atLeast"/>
        <w:ind w:left="0" w:leftChars="0" w:firstLine="0" w:firstLineChars="0"/>
      </w:pPr>
    </w:p>
    <w:p>
      <w:pPr>
        <w:pStyle w:val="138"/>
        <w:ind w:firstLine="140" w:firstLineChars="50"/>
        <w:jc w:val="center"/>
        <w:rPr>
          <w:rFonts w:ascii="宋体" w:hAnsi="宋体"/>
          <w:sz w:val="28"/>
          <w:szCs w:val="28"/>
        </w:rPr>
      </w:pPr>
      <w:r>
        <w:rPr>
          <w:rFonts w:hint="eastAsia" w:ascii="宋体" w:hAnsi="宋体"/>
          <w:sz w:val="28"/>
          <w:szCs w:val="28"/>
        </w:rPr>
        <w:t xml:space="preserve"> </w:t>
      </w:r>
      <w:r>
        <w:rPr>
          <w:rFonts w:ascii="宋体" w:hAnsi="宋体"/>
          <w:sz w:val="28"/>
          <w:szCs w:val="28"/>
        </w:rPr>
        <w:t>争议外业工作流程</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default"/>
          <w:lang w:val="en-US" w:eastAsia="zh-CN"/>
        </w:rPr>
      </w:pPr>
      <w:bookmarkStart w:id="142" w:name="_Toc37178222"/>
      <w:r>
        <w:rPr>
          <w:rFonts w:hint="eastAsia"/>
          <w:lang w:val="en-US" w:eastAsia="zh-CN"/>
        </w:rPr>
        <w:t>（二）权属</w:t>
      </w:r>
      <w:bookmarkEnd w:id="141"/>
      <w:r>
        <w:rPr>
          <w:rFonts w:hint="eastAsia"/>
          <w:lang w:val="en-US" w:eastAsia="zh-CN"/>
        </w:rPr>
        <w:t>调查</w:t>
      </w:r>
      <w:bookmarkEnd w:id="142"/>
      <w:r>
        <w:rPr>
          <w:rFonts w:hint="eastAsia"/>
          <w:lang w:val="en-US" w:eastAsia="zh-CN"/>
        </w:rPr>
        <w:tab/>
      </w:r>
    </w:p>
    <w:p>
      <w:pPr>
        <w:bidi w:val="0"/>
        <w:ind w:firstLine="480"/>
        <w:rPr>
          <w:rFonts w:hint="eastAsia"/>
          <w:lang w:val="en-US" w:eastAsia="zh-CN"/>
        </w:rPr>
      </w:pPr>
      <w:r>
        <w:rPr>
          <w:rFonts w:hint="eastAsia"/>
          <w:lang w:val="en-US" w:eastAsia="zh-CN"/>
        </w:rPr>
        <w:t>依据《地籍调查规程》规定，科学划清国有和集体土地及承载的自然资源边界范围，基于应确尽确的原则，设置最小争议区。</w:t>
      </w:r>
    </w:p>
    <w:p>
      <w:pPr>
        <w:bidi w:val="0"/>
        <w:ind w:firstLine="480"/>
        <w:rPr>
          <w:rFonts w:hint="eastAsia"/>
          <w:lang w:val="en-US" w:eastAsia="zh-CN"/>
        </w:rPr>
      </w:pPr>
      <w:r>
        <w:rPr>
          <w:rFonts w:hint="eastAsia"/>
          <w:lang w:val="en-US" w:eastAsia="zh-CN"/>
        </w:rPr>
        <w:t>（1）调查时，必须由调查人员会同双方指界人共同到现场指界。经双方认定的界线，必须由双方指界人在自然资源确权登记权籍调查表上签字。</w:t>
      </w:r>
    </w:p>
    <w:p>
      <w:pPr>
        <w:bidi w:val="0"/>
        <w:ind w:firstLine="480"/>
        <w:rPr>
          <w:rFonts w:hint="eastAsia"/>
          <w:lang w:val="en-US" w:eastAsia="zh-CN"/>
        </w:rPr>
      </w:pPr>
      <w:r>
        <w:rPr>
          <w:rFonts w:hint="eastAsia"/>
          <w:lang w:val="en-US" w:eastAsia="zh-CN"/>
        </w:rPr>
        <w:t>（2）权属界线有争议的，应进行现场调解处理。经调解未达成协议的，按争议调处办法处理。</w:t>
      </w:r>
    </w:p>
    <w:p>
      <w:pPr>
        <w:bidi w:val="0"/>
        <w:ind w:firstLine="480"/>
        <w:rPr>
          <w:rFonts w:hint="eastAsia"/>
          <w:lang w:val="en-US" w:eastAsia="zh-CN"/>
        </w:rPr>
      </w:pPr>
      <w:r>
        <w:rPr>
          <w:rFonts w:hint="eastAsia"/>
          <w:lang w:val="en-US" w:eastAsia="zh-CN"/>
        </w:rPr>
        <w:t>（3）如一方指界人无正当理由未在规定时间出席指界，暂以另一方所指认界线作为双方权属界线。将确界结果以书面形式送达违约缺席者。缺席者如有异议，其应在15日内提出重新划界申请，并由申请人负担重新划界的全部费用，逾期不提出申请，视同对确定的界线无异议。</w:t>
      </w:r>
    </w:p>
    <w:p>
      <w:pPr>
        <w:bidi w:val="0"/>
        <w:ind w:firstLine="480"/>
        <w:rPr>
          <w:rFonts w:hint="eastAsia"/>
          <w:lang w:val="en-US" w:eastAsia="zh-CN"/>
        </w:rPr>
      </w:pPr>
      <w:r>
        <w:rPr>
          <w:rFonts w:hint="eastAsia"/>
          <w:lang w:val="en-US" w:eastAsia="zh-CN"/>
        </w:rPr>
        <w:t>（4）指界人若无正当理由拒绝在自然资源确权登记表上签字，视同缺席。指界结果参照第三条确认。</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default"/>
          <w:lang w:val="en-US" w:eastAsia="zh-CN"/>
        </w:rPr>
      </w:pPr>
      <w:bookmarkStart w:id="143" w:name="_Toc496794161"/>
      <w:bookmarkStart w:id="144" w:name="_Toc37178223"/>
      <w:r>
        <w:rPr>
          <w:rFonts w:hint="eastAsia"/>
          <w:lang w:val="en-US" w:eastAsia="zh-CN"/>
        </w:rPr>
        <w:t>（三）属性调查</w:t>
      </w:r>
      <w:bookmarkEnd w:id="143"/>
      <w:bookmarkEnd w:id="144"/>
    </w:p>
    <w:p>
      <w:pPr>
        <w:bidi w:val="0"/>
        <w:ind w:firstLine="480"/>
        <w:rPr>
          <w:rFonts w:hint="eastAsia"/>
          <w:lang w:val="en-US" w:eastAsia="zh-CN"/>
        </w:rPr>
      </w:pPr>
      <w:r>
        <w:rPr>
          <w:rFonts w:hint="eastAsia"/>
          <w:lang w:val="en-US" w:eastAsia="zh-CN"/>
        </w:rPr>
        <w:t>根据自然资源类型，调查人员会同相应资源管理部门展开调查，记载自然资源的自然状况（坐落、总面积、类型以及类别、面积、数量、质量等）及公共管制等属性。</w:t>
      </w:r>
    </w:p>
    <w:p>
      <w:pPr>
        <w:bidi w:val="0"/>
        <w:ind w:firstLine="480"/>
        <w:rPr>
          <w:rFonts w:hint="eastAsia"/>
          <w:lang w:val="en-US" w:eastAsia="zh-CN"/>
        </w:rPr>
      </w:pPr>
      <w:r>
        <w:rPr>
          <w:rFonts w:hint="eastAsia"/>
          <w:lang w:val="en-US" w:eastAsia="zh-CN"/>
        </w:rPr>
        <w:t>（1）登记单元属性调查内容</w:t>
      </w:r>
    </w:p>
    <w:p>
      <w:pPr>
        <w:bidi w:val="0"/>
        <w:ind w:firstLine="480"/>
        <w:rPr>
          <w:rFonts w:hint="eastAsia"/>
          <w:lang w:val="en-US" w:eastAsia="zh-CN"/>
        </w:rPr>
      </w:pPr>
      <w:r>
        <w:rPr>
          <w:rFonts w:hint="eastAsia"/>
          <w:lang w:val="en-US" w:eastAsia="zh-CN"/>
        </w:rPr>
        <w:t>所有权人、所有权代表行使主体、所有权代表行使内容、单元坐落、总面积、总数量、类型、类别、各类别面积、数量、质量、空间坐标或四至描述、公共管制要求（用途、生态红线、特殊保护等）。</w:t>
      </w:r>
    </w:p>
    <w:p>
      <w:pPr>
        <w:bidi w:val="0"/>
        <w:ind w:firstLine="480"/>
        <w:rPr>
          <w:rFonts w:hint="eastAsia"/>
          <w:lang w:val="en-US" w:eastAsia="zh-CN"/>
        </w:rPr>
      </w:pPr>
      <w:r>
        <w:rPr>
          <w:rFonts w:hint="eastAsia"/>
          <w:lang w:val="en-US" w:eastAsia="zh-CN"/>
        </w:rPr>
        <w:t>（2）自然资源属性调查</w:t>
      </w:r>
    </w:p>
    <w:p>
      <w:pPr>
        <w:bidi w:val="0"/>
        <w:ind w:firstLine="480"/>
        <w:rPr>
          <w:rFonts w:hint="eastAsia"/>
          <w:lang w:val="en-US" w:eastAsia="zh-CN"/>
        </w:rPr>
      </w:pPr>
      <w:r>
        <w:rPr>
          <w:rFonts w:hint="eastAsia"/>
          <w:lang w:val="en-US" w:eastAsia="zh-CN"/>
        </w:rPr>
        <w:t>自然资源登记单元调查，包括自然资源类型、自然资源质量、各单元空间坐标或四至描述、公共管制要求（用途、生态红线、特殊保护等）。自然资源类型填写以《青海省自然资源调查办法（试行）》为准进行。自然资源质量按照不同自然资源类别，采用对应类别质量调查成果。</w:t>
      </w:r>
    </w:p>
    <w:p>
      <w:pPr>
        <w:bidi w:val="0"/>
        <w:ind w:firstLine="480"/>
        <w:rPr>
          <w:rFonts w:hint="eastAsia"/>
          <w:lang w:val="en-US" w:eastAsia="zh-CN"/>
        </w:rPr>
      </w:pPr>
      <w:r>
        <w:rPr>
          <w:rFonts w:hint="eastAsia"/>
          <w:lang w:val="en-US" w:eastAsia="zh-CN"/>
        </w:rPr>
        <w:t>对森林资源单元调查属性包括地类、级别、优势树种、立地因子（地貌、坡向、坡度、坡位）、腐殖质层厚度和土层厚度、权属、郁闭度、覆盖度等。</w:t>
      </w:r>
    </w:p>
    <w:p>
      <w:pPr>
        <w:bidi w:val="0"/>
        <w:ind w:firstLine="480"/>
        <w:rPr>
          <w:rFonts w:hint="eastAsia"/>
          <w:lang w:val="en-US" w:eastAsia="zh-CN"/>
        </w:rPr>
      </w:pPr>
      <w:r>
        <w:rPr>
          <w:rFonts w:hint="eastAsia"/>
          <w:lang w:val="en-US" w:eastAsia="zh-CN"/>
        </w:rPr>
        <w:t>森林资源质量：调查林木长势优良程度、单位面积蓄积量，人工林林分单位面积蓄积，散生木和四旁树蓄积量作为其资源质量主要内容。对于某些有具体要求地区，为提高调查质量和成果水平，可根据条件编制、收集或补充修订立木生物量表、地位指数表(或地位级表)、林木生长率表、材种出材率表、收获表(生长过程表)等。</w:t>
      </w:r>
    </w:p>
    <w:p>
      <w:pPr>
        <w:bidi w:val="0"/>
        <w:ind w:firstLine="480"/>
        <w:rPr>
          <w:rFonts w:hint="eastAsia"/>
          <w:lang w:val="en-US" w:eastAsia="zh-CN"/>
        </w:rPr>
      </w:pPr>
      <w:r>
        <w:rPr>
          <w:rFonts w:hint="eastAsia"/>
          <w:lang w:val="en-US" w:eastAsia="zh-CN"/>
        </w:rPr>
        <w:t>对草原单元，调查属性包括地类、面积、范围、权属、地貌、最大载蓄量、牧草等级等。</w:t>
      </w:r>
    </w:p>
    <w:p>
      <w:pPr>
        <w:bidi w:val="0"/>
        <w:ind w:firstLine="480"/>
        <w:rPr>
          <w:rFonts w:hint="eastAsia"/>
          <w:lang w:val="en-US" w:eastAsia="zh-CN"/>
        </w:rPr>
      </w:pPr>
      <w:r>
        <w:rPr>
          <w:rFonts w:hint="eastAsia"/>
          <w:lang w:val="en-US" w:eastAsia="zh-CN"/>
        </w:rPr>
        <w:t>草原资源质量：依据《中国草地资源的等级评价》及《草场资源调查技术规范》，将草原资源划分为五等八级，分类为优、良、中、低、劣等，1、2、3、4、5、6、7、8个级。调查属性包括地类、面积、范围、权属、地貌、最大载蓄量、牧草等级等。</w:t>
      </w:r>
    </w:p>
    <w:p>
      <w:pPr>
        <w:bidi w:val="0"/>
        <w:ind w:firstLine="480"/>
        <w:rPr>
          <w:rFonts w:hint="eastAsia"/>
          <w:lang w:val="en-US" w:eastAsia="zh-CN"/>
        </w:rPr>
      </w:pPr>
      <w:r>
        <w:rPr>
          <w:rFonts w:hint="eastAsia"/>
          <w:lang w:val="en-US" w:eastAsia="zh-CN"/>
        </w:rPr>
        <w:t>对河流、湖泊、水库等水流单元，调查属性包括空间范围、名称、流域级别、所有权、功能定位和管理要求、流域面积等。</w:t>
      </w:r>
    </w:p>
    <w:p>
      <w:pPr>
        <w:bidi w:val="0"/>
        <w:ind w:firstLine="480"/>
        <w:rPr>
          <w:rFonts w:hint="eastAsia"/>
          <w:lang w:val="en-US" w:eastAsia="zh-CN"/>
        </w:rPr>
      </w:pPr>
      <w:bookmarkStart w:id="145" w:name="page16"/>
      <w:bookmarkEnd w:id="145"/>
      <w:r>
        <w:rPr>
          <w:rFonts w:hint="eastAsia"/>
          <w:lang w:val="en-US" w:eastAsia="zh-CN"/>
        </w:rPr>
        <w:t>水资源质量：按照地下水资源质量分为Ⅰ，Ⅱ，Ⅲ，Ⅳ，Ⅴ五类，按地表水划分为Ⅰ，Ⅱ，Ⅲ，Ⅳ，Ⅴ五类。调查属性包括空间范围、名称、流域级别、所有权、功能定位和管理要求、流域面积等。</w:t>
      </w:r>
    </w:p>
    <w:p>
      <w:pPr>
        <w:bidi w:val="0"/>
        <w:ind w:firstLine="480"/>
        <w:rPr>
          <w:rFonts w:hint="eastAsia"/>
          <w:lang w:val="en-US" w:eastAsia="zh-CN"/>
        </w:rPr>
      </w:pPr>
      <w:r>
        <w:rPr>
          <w:rFonts w:hint="eastAsia"/>
          <w:lang w:val="en-US" w:eastAsia="zh-CN"/>
        </w:rPr>
        <w:t>对沼泽等湿地单元，调查属性包括名称、湿地型、湿地面积、湿地分布、土地所有权、主要优势植物种、湿地地貌、土壤类型（泥炭层厚度、土壤分类）、湿地野生动物（物种+数量）、湿地植物（种类+保护级别）、湿地保护和利用状况（保护管理状况、湿地功能与利用方式）。</w:t>
      </w:r>
    </w:p>
    <w:p>
      <w:pPr>
        <w:bidi w:val="0"/>
        <w:ind w:firstLine="480"/>
        <w:rPr>
          <w:rFonts w:hint="eastAsia"/>
          <w:lang w:val="en-US" w:eastAsia="zh-CN"/>
        </w:rPr>
      </w:pPr>
      <w:r>
        <w:rPr>
          <w:rFonts w:hint="eastAsia"/>
          <w:lang w:val="en-US" w:eastAsia="zh-CN"/>
        </w:rPr>
        <w:t>湿地资源质量：参照《湿地资源调查技术方案》，以土壤质量和水质条件综合进行评价，同时要补充完整其他属性字段等。调查属性包括名称、湿地型、湿地面积、湿地分布、土地所有权、主要优势植物种、湿地地貌、土壤类型（泥炭层厚度、土壤分类）、湿地野生动物（物种+数量）、湿地植物（种类+保护级别）、湿地保护和利用状况（保护管理状况、湿地功能与利用方式）。</w:t>
      </w:r>
    </w:p>
    <w:p>
      <w:pPr>
        <w:bidi w:val="0"/>
        <w:ind w:firstLine="480"/>
        <w:rPr>
          <w:rFonts w:hint="eastAsia"/>
          <w:lang w:val="en-US" w:eastAsia="zh-CN"/>
        </w:rPr>
      </w:pPr>
      <w:r>
        <w:rPr>
          <w:rFonts w:hint="eastAsia"/>
          <w:lang w:val="en-US" w:eastAsia="zh-CN"/>
        </w:rPr>
        <w:t>对矿产资源单元，调查属性包括矿种名称、储量、储量级别、矿石质量等。</w:t>
      </w:r>
    </w:p>
    <w:p>
      <w:pPr>
        <w:bidi w:val="0"/>
        <w:ind w:firstLine="480"/>
        <w:rPr>
          <w:rFonts w:hint="eastAsia"/>
          <w:lang w:val="en-US" w:eastAsia="zh-CN"/>
        </w:rPr>
      </w:pPr>
      <w:r>
        <w:rPr>
          <w:rFonts w:hint="eastAsia"/>
          <w:lang w:val="en-US" w:eastAsia="zh-CN"/>
        </w:rPr>
        <w:t>矿产资源储量：按中华人民共和国国家标准-固体矿产资源储量分类（GB/T17766-120999）标准进行填写，调查属性包括矿种名称、储量、储量级别、矿石质量等。</w:t>
      </w:r>
    </w:p>
    <w:p>
      <w:pPr>
        <w:bidi w:val="0"/>
        <w:ind w:firstLine="480"/>
        <w:rPr>
          <w:rFonts w:hint="eastAsia"/>
          <w:lang w:val="en-US" w:eastAsia="zh-CN"/>
        </w:rPr>
      </w:pPr>
      <w:r>
        <w:rPr>
          <w:rFonts w:hint="eastAsia"/>
          <w:lang w:val="en-US" w:eastAsia="zh-CN"/>
        </w:rPr>
        <w:t>其他自然资源资源质量：记录其他自然资源的，坡度，坡长，坡形等。</w:t>
      </w:r>
    </w:p>
    <w:p>
      <w:pPr>
        <w:bidi w:val="0"/>
        <w:ind w:firstLine="480"/>
        <w:rPr>
          <w:rFonts w:hint="eastAsia"/>
          <w:lang w:val="en-US" w:eastAsia="zh-CN"/>
        </w:rPr>
      </w:pPr>
      <w:r>
        <w:rPr>
          <w:rFonts w:hint="eastAsia"/>
          <w:lang w:val="en-US" w:eastAsia="zh-CN"/>
        </w:rPr>
        <w:t>（3）属性填写要求</w:t>
      </w:r>
    </w:p>
    <w:p>
      <w:pPr>
        <w:bidi w:val="0"/>
        <w:ind w:firstLine="480"/>
        <w:rPr>
          <w:rFonts w:hint="eastAsia"/>
          <w:lang w:val="en-US" w:eastAsia="zh-CN"/>
        </w:rPr>
      </w:pPr>
      <w:r>
        <w:rPr>
          <w:rFonts w:hint="eastAsia"/>
          <w:lang w:val="en-US" w:eastAsia="zh-CN"/>
        </w:rPr>
        <w:t>必须做到图表内容与实地一致，各项目填写齐全，准确无误，字迹清楚整洁；</w:t>
      </w:r>
    </w:p>
    <w:p>
      <w:pPr>
        <w:bidi w:val="0"/>
        <w:ind w:firstLine="480"/>
        <w:rPr>
          <w:rFonts w:hint="eastAsia"/>
          <w:lang w:val="en-US" w:eastAsia="zh-CN"/>
        </w:rPr>
      </w:pPr>
      <w:r>
        <w:rPr>
          <w:rFonts w:hint="eastAsia"/>
          <w:lang w:val="en-US" w:eastAsia="zh-CN"/>
        </w:rPr>
        <w:t>填写内容划改不超过两处，划改处应加盖划改人员印章；</w:t>
      </w:r>
    </w:p>
    <w:p>
      <w:pPr>
        <w:bidi w:val="0"/>
        <w:ind w:firstLine="480"/>
        <w:rPr>
          <w:rFonts w:hint="eastAsia"/>
          <w:lang w:val="en-US" w:eastAsia="zh-CN"/>
        </w:rPr>
      </w:pPr>
      <w:r>
        <w:rPr>
          <w:rFonts w:hint="eastAsia"/>
          <w:lang w:val="en-US" w:eastAsia="zh-CN"/>
        </w:rPr>
        <w:t>每调查单元填写一份；</w:t>
      </w:r>
    </w:p>
    <w:p>
      <w:pPr>
        <w:bidi w:val="0"/>
        <w:ind w:firstLine="480"/>
        <w:rPr>
          <w:rFonts w:hint="eastAsia"/>
          <w:lang w:val="en-US" w:eastAsia="zh-CN"/>
        </w:rPr>
      </w:pPr>
      <w:r>
        <w:rPr>
          <w:rFonts w:hint="eastAsia"/>
          <w:lang w:val="en-US" w:eastAsia="zh-CN"/>
        </w:rPr>
        <w:t>内容填写不下的可另加附页；</w:t>
      </w:r>
    </w:p>
    <w:p>
      <w:pPr>
        <w:bidi w:val="0"/>
        <w:ind w:firstLine="480"/>
        <w:rPr>
          <w:rFonts w:hint="eastAsia"/>
          <w:lang w:val="en-US" w:eastAsia="zh-CN"/>
        </w:rPr>
      </w:pPr>
      <w:r>
        <w:rPr>
          <w:rFonts w:hint="eastAsia"/>
          <w:lang w:val="en-US" w:eastAsia="zh-CN"/>
        </w:rPr>
        <w:t>文字内容一律使用蓝黑钢笔或黑色签字笔填写。</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default"/>
          <w:lang w:val="en-US" w:eastAsia="zh-CN"/>
        </w:rPr>
      </w:pPr>
      <w:bookmarkStart w:id="146" w:name="_Toc37178224"/>
      <w:r>
        <w:rPr>
          <w:rFonts w:hint="eastAsia"/>
          <w:lang w:val="en-US" w:eastAsia="zh-CN"/>
        </w:rPr>
        <w:t>（四）成果核查</w:t>
      </w:r>
      <w:bookmarkEnd w:id="146"/>
    </w:p>
    <w:p>
      <w:pPr>
        <w:bidi w:val="0"/>
        <w:ind w:firstLine="480"/>
        <w:rPr>
          <w:rFonts w:hint="eastAsia"/>
          <w:lang w:val="en-US" w:eastAsia="zh-CN"/>
        </w:rPr>
      </w:pPr>
      <w:r>
        <w:rPr>
          <w:rFonts w:hint="eastAsia"/>
          <w:lang w:val="en-US" w:eastAsia="zh-CN"/>
        </w:rPr>
        <w:t>根据外业调查成果，核实登记单元内，边界、类型单元及属性信息是否与不动产登记资料、其他行业主管部门资料一致，补充完善边界核查数据、自然资源类型单元数据，核实各类自然资源的数量、面积、质量及分布，制作自然资源统一登记公告图件及说明。</w:t>
      </w:r>
    </w:p>
    <w:p>
      <w:pPr>
        <w:bidi w:val="0"/>
        <w:ind w:firstLine="480"/>
        <w:rPr>
          <w:rFonts w:hint="eastAsia"/>
          <w:lang w:val="en-US" w:eastAsia="zh-CN"/>
        </w:rPr>
      </w:pPr>
      <w:r>
        <w:rPr>
          <w:rFonts w:hint="eastAsia"/>
          <w:lang w:val="en-US" w:eastAsia="zh-CN"/>
        </w:rPr>
        <w:t>（1）数据接边与协议书</w:t>
      </w:r>
    </w:p>
    <w:p>
      <w:pPr>
        <w:bidi w:val="0"/>
        <w:ind w:firstLine="480"/>
        <w:rPr>
          <w:rFonts w:hint="eastAsia"/>
          <w:lang w:val="en-US" w:eastAsia="zh-CN"/>
        </w:rPr>
      </w:pPr>
      <w:r>
        <w:rPr>
          <w:rFonts w:hint="eastAsia"/>
          <w:lang w:val="en-US" w:eastAsia="zh-CN"/>
        </w:rPr>
        <w:t>根据划分的若干个登记单元，在单元内部按自然资源种类划分自然资源类型单元。部分自然资源单元不可避免出现跨自然资源登记座落单元的情况，因此必须进行数据接边检查，对于需要调整的自然资源类型单元，需要跨界单元所涉及的县级不动产登记机构共同签订自然资源类型单元接边协议书。</w:t>
      </w:r>
    </w:p>
    <w:p>
      <w:pPr>
        <w:bidi w:val="0"/>
        <w:ind w:firstLine="480"/>
        <w:rPr>
          <w:rFonts w:hint="eastAsia"/>
          <w:lang w:val="en-US" w:eastAsia="zh-CN"/>
        </w:rPr>
      </w:pPr>
      <w:r>
        <w:rPr>
          <w:rFonts w:hint="eastAsia"/>
          <w:lang w:val="en-US" w:eastAsia="zh-CN"/>
        </w:rPr>
        <w:t>如果自然资源类型单元涉及相关土地利用现状图斑已完成接边工作，并存档有相关协议书，则直接采用相关成果并存档协议书副书。</w:t>
      </w:r>
    </w:p>
    <w:p>
      <w:pPr>
        <w:bidi w:val="0"/>
        <w:ind w:firstLine="480"/>
        <w:rPr>
          <w:rFonts w:hint="eastAsia"/>
          <w:lang w:val="en-US" w:eastAsia="zh-CN"/>
        </w:rPr>
      </w:pPr>
      <w:r>
        <w:rPr>
          <w:rFonts w:hint="eastAsia"/>
          <w:lang w:val="en-US" w:eastAsia="zh-CN"/>
        </w:rPr>
        <w:t>（2）数据自查与面积衔接</w:t>
      </w:r>
    </w:p>
    <w:p>
      <w:pPr>
        <w:bidi w:val="0"/>
        <w:ind w:firstLine="480"/>
        <w:rPr>
          <w:rFonts w:hint="eastAsia"/>
          <w:lang w:val="en-US" w:eastAsia="zh-CN"/>
        </w:rPr>
      </w:pPr>
      <w:r>
        <w:rPr>
          <w:rFonts w:hint="eastAsia"/>
          <w:lang w:val="en-US" w:eastAsia="zh-CN"/>
        </w:rPr>
        <w:t>数据自查主要检查数据规范是否符合技术方案的规定。包括检查字段名称、字段长度是否符合规定，非空字段是否填写，录入数据与来源数据是否一致，附件支撑文件是否齐全等。自查问题应立即整改并记录在档。</w:t>
      </w:r>
    </w:p>
    <w:p>
      <w:pPr>
        <w:bidi w:val="0"/>
        <w:ind w:firstLine="480"/>
        <w:rPr>
          <w:rFonts w:hint="eastAsia"/>
          <w:lang w:val="en-US" w:eastAsia="zh-CN"/>
        </w:rPr>
      </w:pPr>
      <w:r>
        <w:rPr>
          <w:rFonts w:hint="eastAsia"/>
          <w:lang w:val="en-US" w:eastAsia="zh-CN"/>
        </w:rPr>
        <w:t>面积衔接工作主要是核查内业工作成果数据中，涉及到面积变化的，进行面积衔接检查工作。对于自然资源类型单元存在有分割或合并的情况的，应检查分割/合并后面积字段内容是否更新；边界产生变化的类型单元，应检</w:t>
      </w:r>
      <w:bookmarkStart w:id="147" w:name="page18"/>
      <w:bookmarkEnd w:id="147"/>
      <w:r>
        <w:rPr>
          <w:rFonts w:hint="eastAsia"/>
          <w:lang w:val="en-US" w:eastAsia="zh-CN"/>
        </w:rPr>
        <w:t>查面积是否更新；面积更新后的数据，应当与土地利用数据相吻合。自然资源类型单元汇总后，应该与自然资源登记单元一致。内业成果中采用、套用其他行业主管部门专项自然资源调查成果的，应当针对各类自然资源分别进行汇总统计，如果存在面积不一致的情况，应进行检查原因并记录在档。确保自然资源单元的界址清楚、面积准确。</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default"/>
          <w:lang w:val="en-US" w:eastAsia="zh-CN"/>
        </w:rPr>
      </w:pPr>
      <w:bookmarkStart w:id="148" w:name="_Toc496794162"/>
      <w:bookmarkStart w:id="149" w:name="_Toc37178225"/>
      <w:r>
        <w:rPr>
          <w:rFonts w:hint="eastAsia"/>
          <w:lang w:val="en-US" w:eastAsia="zh-CN"/>
        </w:rPr>
        <w:t>（五）绘制登记单元图</w:t>
      </w:r>
      <w:bookmarkEnd w:id="148"/>
      <w:bookmarkEnd w:id="149"/>
    </w:p>
    <w:p>
      <w:pPr>
        <w:bidi w:val="0"/>
        <w:ind w:firstLine="480"/>
        <w:rPr>
          <w:rFonts w:hint="eastAsia"/>
          <w:lang w:val="en-US" w:eastAsia="zh-CN"/>
        </w:rPr>
      </w:pPr>
      <w:r>
        <w:rPr>
          <w:rFonts w:hint="eastAsia"/>
          <w:lang w:val="en-US" w:eastAsia="zh-CN"/>
        </w:rPr>
        <w:t>登记单元图是描述登记单元所在位置、界址点、线和相邻登记单元关系的资料，不得涂改。预划登记单元图是预划登记单元调查草图经过自然资源调查后的成果数据，作为权籍调查表的附图，配备界址点说明，应保证权属清楚，界址准确，注记清晰规范。自然资源登记单元图的内容包括：</w:t>
      </w:r>
    </w:p>
    <w:p>
      <w:pPr>
        <w:bidi w:val="0"/>
        <w:ind w:firstLine="480"/>
        <w:rPr>
          <w:rFonts w:hint="eastAsia"/>
          <w:lang w:val="en-US" w:eastAsia="zh-CN"/>
        </w:rPr>
      </w:pPr>
      <w:r>
        <w:rPr>
          <w:rFonts w:hint="eastAsia"/>
          <w:lang w:val="en-US" w:eastAsia="zh-CN"/>
        </w:rPr>
        <w:t>①本单元编号；</w:t>
      </w:r>
    </w:p>
    <w:p>
      <w:pPr>
        <w:bidi w:val="0"/>
        <w:ind w:firstLine="480"/>
        <w:rPr>
          <w:rFonts w:hint="eastAsia"/>
          <w:lang w:val="en-US" w:eastAsia="zh-CN"/>
        </w:rPr>
      </w:pPr>
      <w:r>
        <w:rPr>
          <w:rFonts w:hint="eastAsia"/>
          <w:lang w:val="en-US" w:eastAsia="zh-CN"/>
        </w:rPr>
        <w:t>②本单元界址点、界址线；</w:t>
      </w:r>
    </w:p>
    <w:p>
      <w:pPr>
        <w:bidi w:val="0"/>
        <w:ind w:firstLine="480"/>
        <w:rPr>
          <w:rFonts w:hint="eastAsia"/>
          <w:lang w:val="en-US" w:eastAsia="zh-CN"/>
        </w:rPr>
      </w:pPr>
      <w:r>
        <w:rPr>
          <w:rFonts w:hint="eastAsia"/>
          <w:lang w:val="en-US" w:eastAsia="zh-CN"/>
        </w:rPr>
        <w:t>③登记单元内各自然资源的界址点、界址线；</w:t>
      </w:r>
    </w:p>
    <w:p>
      <w:pPr>
        <w:bidi w:val="0"/>
        <w:ind w:firstLine="480"/>
        <w:rPr>
          <w:rFonts w:hint="eastAsia"/>
          <w:lang w:val="en-US" w:eastAsia="zh-CN"/>
        </w:rPr>
      </w:pPr>
      <w:r>
        <w:rPr>
          <w:rFonts w:hint="eastAsia"/>
          <w:lang w:val="en-US" w:eastAsia="zh-CN"/>
        </w:rPr>
        <w:t>④与界址点有直接关系的建筑物、构筑物和重要建筑物和构筑物；</w:t>
      </w:r>
    </w:p>
    <w:p>
      <w:pPr>
        <w:bidi w:val="0"/>
        <w:ind w:firstLine="480"/>
        <w:rPr>
          <w:rFonts w:hint="eastAsia"/>
          <w:lang w:val="en-US" w:eastAsia="zh-CN"/>
        </w:rPr>
      </w:pPr>
      <w:r>
        <w:rPr>
          <w:rFonts w:hint="eastAsia"/>
          <w:lang w:val="en-US" w:eastAsia="zh-CN"/>
        </w:rPr>
        <w:t>⑤资源类型注记；</w:t>
      </w:r>
    </w:p>
    <w:p>
      <w:pPr>
        <w:bidi w:val="0"/>
        <w:ind w:firstLine="480"/>
        <w:rPr>
          <w:rFonts w:hint="eastAsia"/>
          <w:lang w:val="en-US" w:eastAsia="zh-CN"/>
        </w:rPr>
      </w:pPr>
      <w:r>
        <w:rPr>
          <w:rFonts w:hint="eastAsia"/>
          <w:lang w:val="en-US" w:eastAsia="zh-CN"/>
        </w:rPr>
        <w:t>⑥指北线、图例、比例尺、坐标系、制图单位及时间；</w:t>
      </w:r>
    </w:p>
    <w:p>
      <w:pPr>
        <w:bidi w:val="0"/>
        <w:ind w:firstLine="480"/>
        <w:rPr>
          <w:rFonts w:hint="eastAsia"/>
          <w:lang w:val="en-US" w:eastAsia="zh-CN"/>
        </w:rPr>
      </w:pPr>
      <w:r>
        <w:rPr>
          <w:rFonts w:hint="eastAsia"/>
          <w:lang w:val="en-US" w:eastAsia="zh-CN"/>
        </w:rPr>
        <w:t>⑦基础地理及行政区划要素；</w:t>
      </w:r>
    </w:p>
    <w:p>
      <w:pPr>
        <w:bidi w:val="0"/>
        <w:ind w:firstLine="480"/>
        <w:rPr>
          <w:rFonts w:hint="eastAsia"/>
          <w:lang w:val="en-US" w:eastAsia="zh-CN"/>
        </w:rPr>
      </w:pPr>
      <w:r>
        <w:rPr>
          <w:rFonts w:hint="eastAsia"/>
          <w:lang w:val="en-US" w:eastAsia="zh-CN"/>
        </w:rPr>
        <w:t>⑧调查人员认为其他有必要的内容。</w:t>
      </w:r>
    </w:p>
    <w:p>
      <w:pPr>
        <w:pStyle w:val="4"/>
        <w:bidi w:val="0"/>
      </w:pPr>
      <w:bookmarkStart w:id="150" w:name="_Toc32358"/>
      <w:bookmarkStart w:id="151" w:name="_Toc496794163"/>
      <w:bookmarkStart w:id="152" w:name="_Toc15689"/>
      <w:bookmarkStart w:id="153" w:name="_Toc37178226"/>
      <w:r>
        <w:rPr>
          <w:rFonts w:hint="eastAsia"/>
        </w:rPr>
        <w:t>3.</w:t>
      </w:r>
      <w:r>
        <w:rPr>
          <w:rFonts w:hint="eastAsia"/>
          <w:lang w:val="en-US" w:eastAsia="zh-CN"/>
        </w:rPr>
        <w:t>8</w:t>
      </w:r>
      <w:r>
        <w:rPr>
          <w:rFonts w:hint="eastAsia"/>
        </w:rPr>
        <w:t>调查数据库建设</w:t>
      </w:r>
      <w:bookmarkEnd w:id="150"/>
      <w:bookmarkEnd w:id="151"/>
      <w:bookmarkEnd w:id="152"/>
      <w:bookmarkEnd w:id="153"/>
    </w:p>
    <w:p>
      <w:pPr>
        <w:bidi w:val="0"/>
        <w:rPr>
          <w:rFonts w:hint="eastAsia"/>
          <w:lang w:val="en-US" w:eastAsia="zh-CN"/>
        </w:rPr>
      </w:pPr>
      <w:r>
        <w:rPr>
          <w:rFonts w:hint="eastAsia"/>
          <w:lang w:val="en-US" w:eastAsia="zh-CN"/>
        </w:rPr>
        <w:t>自然资源调查明确了登记单元内自然资源自然属性和权属，需要将这些调查信息整理入库，形成数据库成果格式。自然资源确权登记信息纳入不动产登记信息管理平台，实现自然资源确权登记信息与不动产登记信息有效衔接。自然资源数据库标准参照《不动产登记数据库标准（试行）》方案。基于地理信息平台软件，利用调查成果，开展数据库建设，对数据库进行坐标系、完整性、空间拓扑、属性检查。</w:t>
      </w:r>
    </w:p>
    <w:p>
      <w:pPr>
        <w:bidi w:val="0"/>
        <w:rPr>
          <w:rFonts w:hint="eastAsia"/>
          <w:lang w:val="en-US" w:eastAsia="zh-CN"/>
        </w:rPr>
      </w:pPr>
      <w:r>
        <w:rPr>
          <w:rFonts w:hint="eastAsia"/>
          <w:lang w:val="en-US" w:eastAsia="zh-CN"/>
        </w:rPr>
        <w:t>自然资源调查数据库建设的步骤是：</w:t>
      </w:r>
    </w:p>
    <w:p>
      <w:pPr>
        <w:bidi w:val="0"/>
        <w:rPr>
          <w:rFonts w:hint="eastAsia"/>
          <w:lang w:val="en-US" w:eastAsia="zh-CN"/>
        </w:rPr>
      </w:pPr>
      <w:r>
        <w:rPr>
          <w:rFonts w:hint="eastAsia"/>
          <w:lang w:val="en-US" w:eastAsia="zh-CN"/>
        </w:rPr>
        <w:t>第一步：利用地理信息平台软件，建立空间数据库框架；</w:t>
      </w:r>
    </w:p>
    <w:p>
      <w:pPr>
        <w:bidi w:val="0"/>
        <w:rPr>
          <w:rFonts w:hint="eastAsia"/>
          <w:lang w:val="en-US" w:eastAsia="zh-CN"/>
        </w:rPr>
      </w:pPr>
      <w:r>
        <w:rPr>
          <w:rFonts w:hint="eastAsia"/>
          <w:lang w:val="en-US" w:eastAsia="zh-CN"/>
        </w:rPr>
        <w:t>第二步：根据数据库标准配置要素集；</w:t>
      </w:r>
    </w:p>
    <w:p>
      <w:pPr>
        <w:bidi w:val="0"/>
        <w:rPr>
          <w:rFonts w:hint="eastAsia"/>
          <w:lang w:val="en-US" w:eastAsia="zh-CN"/>
        </w:rPr>
      </w:pPr>
      <w:r>
        <w:rPr>
          <w:rFonts w:hint="eastAsia"/>
          <w:lang w:val="en-US" w:eastAsia="zh-CN"/>
        </w:rPr>
        <w:t>第三步：将调查成果整理入库；</w:t>
      </w:r>
    </w:p>
    <w:p>
      <w:pPr>
        <w:bidi w:val="0"/>
        <w:rPr>
          <w:rFonts w:hint="eastAsia"/>
          <w:lang w:val="en-US" w:eastAsia="zh-CN"/>
        </w:rPr>
      </w:pPr>
      <w:r>
        <w:rPr>
          <w:rFonts w:hint="eastAsia"/>
          <w:lang w:val="en-US" w:eastAsia="zh-CN"/>
        </w:rPr>
        <w:t>第四步：在设计自然资源空间要素应满足的拓扑条件后，进行行政区、自然资源登记单元之间、自然资源类型单元之间的空间拓扑关系检查；</w:t>
      </w:r>
    </w:p>
    <w:p>
      <w:pPr>
        <w:bidi w:val="0"/>
        <w:rPr>
          <w:rFonts w:hint="eastAsia"/>
          <w:lang w:val="en-US" w:eastAsia="zh-CN"/>
        </w:rPr>
      </w:pPr>
      <w:r>
        <w:rPr>
          <w:rFonts w:hint="eastAsia"/>
          <w:lang w:val="en-US" w:eastAsia="zh-CN"/>
        </w:rPr>
        <w:t>第五步：对各类要素，进行属性格式和内容的检查。</w:t>
      </w:r>
    </w:p>
    <w:p>
      <w:pPr>
        <w:bidi w:val="0"/>
        <w:rPr>
          <w:rFonts w:hint="eastAsia"/>
          <w:lang w:val="en-US" w:eastAsia="zh-CN"/>
        </w:rPr>
      </w:pPr>
      <w:r>
        <w:rPr>
          <w:rFonts w:hint="eastAsia"/>
          <w:lang w:val="en-US" w:eastAsia="zh-CN"/>
        </w:rPr>
        <w:t>第六步：对来自各县的调查数据，进行空间接边处理，并进行接边检查。</w:t>
      </w:r>
    </w:p>
    <w:tbl>
      <w:tblPr>
        <w:tblStyle w:val="32"/>
        <w:tblpPr w:leftFromText="180" w:rightFromText="180" w:vertAnchor="text" w:horzAnchor="page" w:tblpX="2163" w:tblpY="303"/>
        <w:tblOverlap w:val="never"/>
        <w:tblW w:w="8340" w:type="dxa"/>
        <w:tblInd w:w="0" w:type="dxa"/>
        <w:tblLayout w:type="fixed"/>
        <w:tblCellMar>
          <w:top w:w="0" w:type="dxa"/>
          <w:left w:w="0" w:type="dxa"/>
          <w:bottom w:w="0" w:type="dxa"/>
          <w:right w:w="0" w:type="dxa"/>
        </w:tblCellMar>
      </w:tblPr>
      <w:tblGrid>
        <w:gridCol w:w="1092"/>
        <w:gridCol w:w="2583"/>
        <w:gridCol w:w="4665"/>
      </w:tblGrid>
      <w:tr>
        <w:tblPrEx>
          <w:tblCellMar>
            <w:top w:w="0" w:type="dxa"/>
            <w:left w:w="0" w:type="dxa"/>
            <w:bottom w:w="0" w:type="dxa"/>
            <w:right w:w="0" w:type="dxa"/>
          </w:tblCellMar>
        </w:tblPrEx>
        <w:trPr>
          <w:trHeight w:val="421" w:hRule="atLeast"/>
        </w:trPr>
        <w:tc>
          <w:tcPr>
            <w:tcW w:w="1092" w:type="dxa"/>
            <w:vMerge w:val="restart"/>
            <w:tcBorders>
              <w:top w:val="single" w:color="auto" w:sz="8" w:space="0"/>
              <w:left w:val="single" w:color="auto" w:sz="8" w:space="0"/>
              <w:bottom w:val="single" w:color="000000"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空</w:t>
            </w:r>
          </w:p>
          <w:p>
            <w:pPr>
              <w:jc w:val="center"/>
              <w:textAlignment w:val="center"/>
              <w:rPr>
                <w:rFonts w:ascii="宋体" w:hAnsi="宋体" w:cs="华文仿宋"/>
                <w:color w:val="000000"/>
                <w:sz w:val="21"/>
                <w:szCs w:val="21"/>
              </w:rPr>
            </w:pPr>
            <w:r>
              <w:rPr>
                <w:rFonts w:hint="eastAsia" w:ascii="宋体" w:hAnsi="宋体" w:cs="华文仿宋"/>
                <w:color w:val="000000"/>
                <w:sz w:val="21"/>
                <w:szCs w:val="21"/>
              </w:rPr>
              <w:t>间</w:t>
            </w:r>
          </w:p>
          <w:p>
            <w:pPr>
              <w:jc w:val="center"/>
              <w:textAlignment w:val="center"/>
              <w:rPr>
                <w:rFonts w:ascii="宋体" w:hAnsi="宋体" w:cs="华文仿宋"/>
                <w:color w:val="000000"/>
                <w:sz w:val="21"/>
                <w:szCs w:val="21"/>
              </w:rPr>
            </w:pPr>
            <w:r>
              <w:rPr>
                <w:rFonts w:hint="eastAsia" w:ascii="宋体" w:hAnsi="宋体" w:cs="华文仿宋"/>
                <w:color w:val="000000"/>
                <w:sz w:val="21"/>
                <w:szCs w:val="21"/>
              </w:rPr>
              <w:t>数</w:t>
            </w:r>
          </w:p>
          <w:p>
            <w:pPr>
              <w:jc w:val="center"/>
              <w:textAlignment w:val="center"/>
              <w:rPr>
                <w:rFonts w:ascii="宋体" w:hAnsi="宋体" w:cs="华文仿宋"/>
                <w:color w:val="000000"/>
                <w:sz w:val="21"/>
                <w:szCs w:val="21"/>
              </w:rPr>
            </w:pPr>
            <w:r>
              <w:rPr>
                <w:rFonts w:hint="eastAsia" w:ascii="宋体" w:hAnsi="宋体" w:cs="华文仿宋"/>
                <w:color w:val="000000"/>
                <w:sz w:val="21"/>
                <w:szCs w:val="21"/>
              </w:rPr>
              <w:t>据</w:t>
            </w:r>
          </w:p>
        </w:tc>
        <w:tc>
          <w:tcPr>
            <w:tcW w:w="2583" w:type="dxa"/>
            <w:tcBorders>
              <w:top w:val="single" w:color="auto" w:sz="8" w:space="0"/>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行政区划</w:t>
            </w:r>
          </w:p>
        </w:tc>
        <w:tc>
          <w:tcPr>
            <w:tcW w:w="4665" w:type="dxa"/>
            <w:tcBorders>
              <w:top w:val="single" w:color="auto" w:sz="8" w:space="0"/>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层要素</w:t>
            </w:r>
          </w:p>
        </w:tc>
      </w:tr>
      <w:tr>
        <w:tblPrEx>
          <w:tblCellMar>
            <w:top w:w="0" w:type="dxa"/>
            <w:left w:w="0" w:type="dxa"/>
            <w:bottom w:w="0" w:type="dxa"/>
            <w:right w:w="0" w:type="dxa"/>
          </w:tblCellMar>
        </w:tblPrEx>
        <w:trPr>
          <w:trHeight w:val="421" w:hRule="atLeast"/>
        </w:trPr>
        <w:tc>
          <w:tcPr>
            <w:tcW w:w="1092" w:type="dxa"/>
            <w:vMerge w:val="continue"/>
            <w:tcBorders>
              <w:top w:val="single" w:color="auto" w:sz="8" w:space="0"/>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restart"/>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自然资源</w:t>
            </w: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行政区</w:t>
            </w:r>
          </w:p>
        </w:tc>
      </w:tr>
      <w:tr>
        <w:tblPrEx>
          <w:tblCellMar>
            <w:top w:w="0" w:type="dxa"/>
            <w:left w:w="0" w:type="dxa"/>
            <w:bottom w:w="0" w:type="dxa"/>
            <w:right w:w="0" w:type="dxa"/>
          </w:tblCellMar>
        </w:tblPrEx>
        <w:trPr>
          <w:trHeight w:val="421" w:hRule="atLeast"/>
        </w:trPr>
        <w:tc>
          <w:tcPr>
            <w:tcW w:w="1092" w:type="dxa"/>
            <w:vMerge w:val="continue"/>
            <w:tcBorders>
              <w:top w:val="single" w:color="auto" w:sz="8" w:space="0"/>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登记单元</w:t>
            </w:r>
          </w:p>
        </w:tc>
      </w:tr>
      <w:tr>
        <w:tblPrEx>
          <w:tblCellMar>
            <w:top w:w="0" w:type="dxa"/>
            <w:left w:w="0" w:type="dxa"/>
            <w:bottom w:w="0" w:type="dxa"/>
            <w:right w:w="0" w:type="dxa"/>
          </w:tblCellMar>
        </w:tblPrEx>
        <w:trPr>
          <w:trHeight w:val="702" w:hRule="atLeast"/>
        </w:trPr>
        <w:tc>
          <w:tcPr>
            <w:tcW w:w="1092" w:type="dxa"/>
            <w:vMerge w:val="continue"/>
            <w:tcBorders>
              <w:top w:val="single" w:color="auto" w:sz="8" w:space="0"/>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国家所有权范围</w:t>
            </w:r>
          </w:p>
        </w:tc>
      </w:tr>
      <w:tr>
        <w:tblPrEx>
          <w:tblCellMar>
            <w:top w:w="0" w:type="dxa"/>
            <w:left w:w="0" w:type="dxa"/>
            <w:bottom w:w="0" w:type="dxa"/>
            <w:right w:w="0" w:type="dxa"/>
          </w:tblCellMar>
        </w:tblPrEx>
        <w:trPr>
          <w:trHeight w:val="702" w:hRule="atLeast"/>
        </w:trPr>
        <w:tc>
          <w:tcPr>
            <w:tcW w:w="1092" w:type="dxa"/>
            <w:vMerge w:val="continue"/>
            <w:tcBorders>
              <w:top w:val="single" w:color="auto" w:sz="8" w:space="0"/>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争议区范围</w:t>
            </w:r>
          </w:p>
        </w:tc>
      </w:tr>
      <w:tr>
        <w:tblPrEx>
          <w:tblCellMar>
            <w:top w:w="0" w:type="dxa"/>
            <w:left w:w="0" w:type="dxa"/>
            <w:bottom w:w="0" w:type="dxa"/>
            <w:right w:w="0" w:type="dxa"/>
          </w:tblCellMar>
        </w:tblPrEx>
        <w:trPr>
          <w:trHeight w:val="421" w:hRule="atLeast"/>
        </w:trPr>
        <w:tc>
          <w:tcPr>
            <w:tcW w:w="1092" w:type="dxa"/>
            <w:vMerge w:val="continue"/>
            <w:tcBorders>
              <w:top w:val="single" w:color="auto" w:sz="8" w:space="0"/>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河湖库塘</w:t>
            </w:r>
          </w:p>
        </w:tc>
      </w:tr>
      <w:tr>
        <w:tblPrEx>
          <w:tblCellMar>
            <w:top w:w="0" w:type="dxa"/>
            <w:left w:w="0" w:type="dxa"/>
            <w:bottom w:w="0" w:type="dxa"/>
            <w:right w:w="0" w:type="dxa"/>
          </w:tblCellMar>
        </w:tblPrEx>
        <w:trPr>
          <w:trHeight w:val="394" w:hRule="atLeast"/>
        </w:trPr>
        <w:tc>
          <w:tcPr>
            <w:tcW w:w="1092" w:type="dxa"/>
            <w:vMerge w:val="continue"/>
            <w:tcBorders>
              <w:top w:val="single" w:color="auto" w:sz="8" w:space="0"/>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资源区块（水流、森林、荒地、滩涂、矿产）</w:t>
            </w:r>
          </w:p>
        </w:tc>
      </w:tr>
      <w:tr>
        <w:tblPrEx>
          <w:tblCellMar>
            <w:top w:w="0" w:type="dxa"/>
            <w:left w:w="0" w:type="dxa"/>
            <w:bottom w:w="0" w:type="dxa"/>
            <w:right w:w="0" w:type="dxa"/>
          </w:tblCellMar>
        </w:tblPrEx>
        <w:trPr>
          <w:trHeight w:val="679" w:hRule="atLeast"/>
        </w:trPr>
        <w:tc>
          <w:tcPr>
            <w:tcW w:w="1092" w:type="dxa"/>
            <w:vMerge w:val="continue"/>
            <w:tcBorders>
              <w:top w:val="single" w:color="auto" w:sz="8" w:space="0"/>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湿地区（湿地斑块）</w:t>
            </w:r>
          </w:p>
        </w:tc>
      </w:tr>
      <w:tr>
        <w:tblPrEx>
          <w:tblCellMar>
            <w:top w:w="0" w:type="dxa"/>
            <w:left w:w="0" w:type="dxa"/>
            <w:bottom w:w="0" w:type="dxa"/>
            <w:right w:w="0" w:type="dxa"/>
          </w:tblCellMar>
        </w:tblPrEx>
        <w:trPr>
          <w:trHeight w:val="595" w:hRule="atLeast"/>
        </w:trPr>
        <w:tc>
          <w:tcPr>
            <w:tcW w:w="1092" w:type="dxa"/>
            <w:vMerge w:val="continue"/>
            <w:tcBorders>
              <w:top w:val="single" w:color="auto" w:sz="8" w:space="0"/>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其他生态功能斑块</w:t>
            </w:r>
          </w:p>
        </w:tc>
      </w:tr>
      <w:tr>
        <w:tblPrEx>
          <w:tblCellMar>
            <w:top w:w="0" w:type="dxa"/>
            <w:left w:w="0" w:type="dxa"/>
            <w:bottom w:w="0" w:type="dxa"/>
            <w:right w:w="0" w:type="dxa"/>
          </w:tblCellMar>
        </w:tblPrEx>
        <w:trPr>
          <w:trHeight w:val="488" w:hRule="atLeast"/>
        </w:trPr>
        <w:tc>
          <w:tcPr>
            <w:tcW w:w="1092" w:type="dxa"/>
            <w:vMerge w:val="continue"/>
            <w:tcBorders>
              <w:top w:val="single" w:color="auto" w:sz="8" w:space="0"/>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生态保护红线</w:t>
            </w:r>
          </w:p>
        </w:tc>
      </w:tr>
      <w:tr>
        <w:tblPrEx>
          <w:tblCellMar>
            <w:top w:w="0" w:type="dxa"/>
            <w:left w:w="0" w:type="dxa"/>
            <w:bottom w:w="0" w:type="dxa"/>
            <w:right w:w="0" w:type="dxa"/>
          </w:tblCellMar>
        </w:tblPrEx>
        <w:trPr>
          <w:trHeight w:val="702" w:hRule="atLeast"/>
        </w:trPr>
        <w:tc>
          <w:tcPr>
            <w:tcW w:w="1092" w:type="dxa"/>
            <w:vMerge w:val="continue"/>
            <w:tcBorders>
              <w:top w:val="single" w:color="auto" w:sz="8" w:space="0"/>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其他管制分区</w:t>
            </w:r>
          </w:p>
        </w:tc>
      </w:tr>
      <w:tr>
        <w:tblPrEx>
          <w:tblCellMar>
            <w:top w:w="0" w:type="dxa"/>
            <w:left w:w="0" w:type="dxa"/>
            <w:bottom w:w="0" w:type="dxa"/>
            <w:right w:w="0" w:type="dxa"/>
          </w:tblCellMar>
        </w:tblPrEx>
        <w:trPr>
          <w:trHeight w:val="421" w:hRule="atLeast"/>
        </w:trPr>
        <w:tc>
          <w:tcPr>
            <w:tcW w:w="1092" w:type="dxa"/>
            <w:vMerge w:val="continue"/>
            <w:tcBorders>
              <w:top w:val="single" w:color="auto" w:sz="8" w:space="0"/>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不动产</w:t>
            </w: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宗地</w:t>
            </w:r>
          </w:p>
        </w:tc>
      </w:tr>
      <w:tr>
        <w:tblPrEx>
          <w:tblCellMar>
            <w:top w:w="0" w:type="dxa"/>
            <w:left w:w="0" w:type="dxa"/>
            <w:bottom w:w="0" w:type="dxa"/>
            <w:right w:w="0" w:type="dxa"/>
          </w:tblCellMar>
        </w:tblPrEx>
        <w:trPr>
          <w:trHeight w:val="456" w:hRule="atLeast"/>
        </w:trPr>
        <w:tc>
          <w:tcPr>
            <w:tcW w:w="1092" w:type="dxa"/>
            <w:vMerge w:val="continue"/>
            <w:tcBorders>
              <w:top w:val="single" w:color="auto" w:sz="8" w:space="0"/>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restart"/>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其他栅格数据</w:t>
            </w: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数字正射影像图</w:t>
            </w:r>
          </w:p>
        </w:tc>
      </w:tr>
      <w:tr>
        <w:tblPrEx>
          <w:tblCellMar>
            <w:top w:w="0" w:type="dxa"/>
            <w:left w:w="0" w:type="dxa"/>
            <w:bottom w:w="0" w:type="dxa"/>
            <w:right w:w="0" w:type="dxa"/>
          </w:tblCellMar>
        </w:tblPrEx>
        <w:trPr>
          <w:trHeight w:val="556" w:hRule="atLeast"/>
        </w:trPr>
        <w:tc>
          <w:tcPr>
            <w:tcW w:w="1092" w:type="dxa"/>
            <w:vMerge w:val="continue"/>
            <w:tcBorders>
              <w:top w:val="single" w:color="auto" w:sz="8" w:space="0"/>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数字高程模型</w:t>
            </w:r>
          </w:p>
        </w:tc>
      </w:tr>
      <w:tr>
        <w:tblPrEx>
          <w:tblCellMar>
            <w:top w:w="0" w:type="dxa"/>
            <w:left w:w="0" w:type="dxa"/>
            <w:bottom w:w="0" w:type="dxa"/>
            <w:right w:w="0" w:type="dxa"/>
          </w:tblCellMar>
        </w:tblPrEx>
        <w:trPr>
          <w:trHeight w:val="488" w:hRule="atLeast"/>
        </w:trPr>
        <w:tc>
          <w:tcPr>
            <w:tcW w:w="1092" w:type="dxa"/>
            <w:vMerge w:val="continue"/>
            <w:tcBorders>
              <w:top w:val="single" w:color="auto" w:sz="8" w:space="0"/>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数字栅格地图</w:t>
            </w:r>
          </w:p>
        </w:tc>
      </w:tr>
      <w:tr>
        <w:tblPrEx>
          <w:tblCellMar>
            <w:top w:w="0" w:type="dxa"/>
            <w:left w:w="0" w:type="dxa"/>
            <w:bottom w:w="0" w:type="dxa"/>
            <w:right w:w="0" w:type="dxa"/>
          </w:tblCellMar>
        </w:tblPrEx>
        <w:trPr>
          <w:trHeight w:val="421" w:hRule="atLeast"/>
        </w:trPr>
        <w:tc>
          <w:tcPr>
            <w:tcW w:w="1092" w:type="dxa"/>
            <w:vMerge w:val="continue"/>
            <w:tcBorders>
              <w:top w:val="single" w:color="auto" w:sz="8" w:space="0"/>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其他栅格数据</w:t>
            </w:r>
          </w:p>
        </w:tc>
      </w:tr>
      <w:tr>
        <w:tblPrEx>
          <w:tblCellMar>
            <w:top w:w="0" w:type="dxa"/>
            <w:left w:w="0" w:type="dxa"/>
            <w:bottom w:w="0" w:type="dxa"/>
            <w:right w:w="0" w:type="dxa"/>
          </w:tblCellMar>
        </w:tblPrEx>
        <w:trPr>
          <w:trHeight w:val="421" w:hRule="atLeast"/>
        </w:trPr>
        <w:tc>
          <w:tcPr>
            <w:tcW w:w="1092" w:type="dxa"/>
            <w:vMerge w:val="restart"/>
            <w:tcBorders>
              <w:top w:val="single" w:color="auto" w:sz="4" w:space="0"/>
              <w:left w:val="single" w:color="auto" w:sz="8" w:space="0"/>
              <w:bottom w:val="single" w:color="000000"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非</w:t>
            </w:r>
          </w:p>
          <w:p>
            <w:pPr>
              <w:jc w:val="center"/>
              <w:textAlignment w:val="center"/>
              <w:rPr>
                <w:rFonts w:ascii="宋体" w:hAnsi="宋体" w:cs="华文仿宋"/>
                <w:color w:val="000000"/>
                <w:sz w:val="21"/>
                <w:szCs w:val="21"/>
              </w:rPr>
            </w:pPr>
            <w:r>
              <w:rPr>
                <w:rFonts w:hint="eastAsia" w:ascii="宋体" w:hAnsi="宋体" w:cs="华文仿宋"/>
                <w:color w:val="000000"/>
                <w:sz w:val="21"/>
                <w:szCs w:val="21"/>
              </w:rPr>
              <w:t>空</w:t>
            </w:r>
          </w:p>
          <w:p>
            <w:pPr>
              <w:jc w:val="center"/>
              <w:textAlignment w:val="center"/>
              <w:rPr>
                <w:rFonts w:ascii="宋体" w:hAnsi="宋体" w:cs="华文仿宋"/>
                <w:color w:val="000000"/>
                <w:sz w:val="21"/>
                <w:szCs w:val="21"/>
              </w:rPr>
            </w:pPr>
            <w:r>
              <w:rPr>
                <w:rFonts w:hint="eastAsia" w:ascii="宋体" w:hAnsi="宋体" w:cs="华文仿宋"/>
                <w:color w:val="000000"/>
                <w:sz w:val="21"/>
                <w:szCs w:val="21"/>
              </w:rPr>
              <w:t>间</w:t>
            </w:r>
          </w:p>
          <w:p>
            <w:pPr>
              <w:jc w:val="center"/>
              <w:textAlignment w:val="center"/>
              <w:rPr>
                <w:rFonts w:ascii="宋体" w:hAnsi="宋体" w:cs="华文仿宋"/>
                <w:color w:val="000000"/>
                <w:sz w:val="21"/>
                <w:szCs w:val="21"/>
              </w:rPr>
            </w:pPr>
            <w:r>
              <w:rPr>
                <w:rFonts w:hint="eastAsia" w:ascii="宋体" w:hAnsi="宋体" w:cs="华文仿宋"/>
                <w:color w:val="000000"/>
                <w:sz w:val="21"/>
                <w:szCs w:val="21"/>
              </w:rPr>
              <w:t>数</w:t>
            </w:r>
          </w:p>
          <w:p>
            <w:pPr>
              <w:jc w:val="center"/>
              <w:textAlignment w:val="center"/>
              <w:rPr>
                <w:rFonts w:ascii="宋体" w:hAnsi="宋体" w:cs="华文仿宋"/>
                <w:color w:val="000000"/>
                <w:sz w:val="21"/>
                <w:szCs w:val="21"/>
              </w:rPr>
            </w:pPr>
            <w:r>
              <w:rPr>
                <w:rFonts w:hint="eastAsia" w:ascii="宋体" w:hAnsi="宋体" w:cs="华文仿宋"/>
                <w:color w:val="000000"/>
                <w:sz w:val="21"/>
                <w:szCs w:val="21"/>
              </w:rPr>
              <w:t>据</w:t>
            </w:r>
          </w:p>
        </w:tc>
        <w:tc>
          <w:tcPr>
            <w:tcW w:w="2583" w:type="dxa"/>
            <w:vMerge w:val="restart"/>
            <w:tcBorders>
              <w:top w:val="single" w:color="auto" w:sz="4" w:space="0"/>
              <w:left w:val="single" w:color="auto" w:sz="8" w:space="0"/>
              <w:bottom w:val="single" w:color="000000"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调查表格</w:t>
            </w:r>
          </w:p>
        </w:tc>
        <w:tc>
          <w:tcPr>
            <w:tcW w:w="4665" w:type="dxa"/>
            <w:tcBorders>
              <w:top w:val="single" w:color="auto" w:sz="4" w:space="0"/>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自然资源所有权属表</w:t>
            </w:r>
          </w:p>
        </w:tc>
      </w:tr>
      <w:tr>
        <w:tblPrEx>
          <w:tblCellMar>
            <w:top w:w="0" w:type="dxa"/>
            <w:left w:w="0" w:type="dxa"/>
            <w:bottom w:w="0" w:type="dxa"/>
            <w:right w:w="0" w:type="dxa"/>
          </w:tblCellMar>
        </w:tblPrEx>
        <w:trPr>
          <w:trHeight w:val="421" w:hRule="atLeast"/>
        </w:trPr>
        <w:tc>
          <w:tcPr>
            <w:tcW w:w="1092"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自然资源权属使用表</w:t>
            </w:r>
          </w:p>
        </w:tc>
      </w:tr>
      <w:tr>
        <w:tblPrEx>
          <w:tblCellMar>
            <w:top w:w="0" w:type="dxa"/>
            <w:left w:w="0" w:type="dxa"/>
            <w:bottom w:w="0" w:type="dxa"/>
            <w:right w:w="0" w:type="dxa"/>
          </w:tblCellMar>
        </w:tblPrEx>
        <w:trPr>
          <w:trHeight w:val="421" w:hRule="atLeast"/>
        </w:trPr>
        <w:tc>
          <w:tcPr>
            <w:tcW w:w="1092"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不动产权利关联信息表</w:t>
            </w:r>
          </w:p>
        </w:tc>
      </w:tr>
      <w:tr>
        <w:tblPrEx>
          <w:tblCellMar>
            <w:top w:w="0" w:type="dxa"/>
            <w:left w:w="0" w:type="dxa"/>
            <w:bottom w:w="0" w:type="dxa"/>
            <w:right w:w="0" w:type="dxa"/>
          </w:tblCellMar>
        </w:tblPrEx>
        <w:trPr>
          <w:trHeight w:val="421" w:hRule="atLeast"/>
        </w:trPr>
        <w:tc>
          <w:tcPr>
            <w:tcW w:w="1092"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森林资源状况表</w:t>
            </w:r>
          </w:p>
        </w:tc>
      </w:tr>
      <w:tr>
        <w:tblPrEx>
          <w:tblCellMar>
            <w:top w:w="0" w:type="dxa"/>
            <w:left w:w="0" w:type="dxa"/>
            <w:bottom w:w="0" w:type="dxa"/>
            <w:right w:w="0" w:type="dxa"/>
          </w:tblCellMar>
        </w:tblPrEx>
        <w:trPr>
          <w:trHeight w:val="421" w:hRule="atLeast"/>
        </w:trPr>
        <w:tc>
          <w:tcPr>
            <w:tcW w:w="1092"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草原资源状况表</w:t>
            </w:r>
          </w:p>
        </w:tc>
      </w:tr>
      <w:tr>
        <w:tblPrEx>
          <w:tblCellMar>
            <w:top w:w="0" w:type="dxa"/>
            <w:left w:w="0" w:type="dxa"/>
            <w:bottom w:w="0" w:type="dxa"/>
            <w:right w:w="0" w:type="dxa"/>
          </w:tblCellMar>
        </w:tblPrEx>
        <w:trPr>
          <w:trHeight w:val="421" w:hRule="atLeast"/>
        </w:trPr>
        <w:tc>
          <w:tcPr>
            <w:tcW w:w="1092"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水流资源状况表</w:t>
            </w:r>
          </w:p>
        </w:tc>
      </w:tr>
      <w:tr>
        <w:tblPrEx>
          <w:tblCellMar>
            <w:top w:w="0" w:type="dxa"/>
            <w:left w:w="0" w:type="dxa"/>
            <w:bottom w:w="0" w:type="dxa"/>
            <w:right w:w="0" w:type="dxa"/>
          </w:tblCellMar>
        </w:tblPrEx>
        <w:trPr>
          <w:trHeight w:val="421" w:hRule="atLeast"/>
        </w:trPr>
        <w:tc>
          <w:tcPr>
            <w:tcW w:w="1092"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湿地资源状况表</w:t>
            </w:r>
          </w:p>
        </w:tc>
      </w:tr>
      <w:tr>
        <w:tblPrEx>
          <w:tblCellMar>
            <w:top w:w="0" w:type="dxa"/>
            <w:left w:w="0" w:type="dxa"/>
            <w:bottom w:w="0" w:type="dxa"/>
            <w:right w:w="0" w:type="dxa"/>
          </w:tblCellMar>
        </w:tblPrEx>
        <w:trPr>
          <w:trHeight w:val="421" w:hRule="atLeast"/>
        </w:trPr>
        <w:tc>
          <w:tcPr>
            <w:tcW w:w="1092"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山岭资源状况表</w:t>
            </w:r>
          </w:p>
        </w:tc>
      </w:tr>
      <w:tr>
        <w:tblPrEx>
          <w:tblCellMar>
            <w:top w:w="0" w:type="dxa"/>
            <w:left w:w="0" w:type="dxa"/>
            <w:bottom w:w="0" w:type="dxa"/>
            <w:right w:w="0" w:type="dxa"/>
          </w:tblCellMar>
        </w:tblPrEx>
        <w:trPr>
          <w:trHeight w:val="421" w:hRule="atLeast"/>
        </w:trPr>
        <w:tc>
          <w:tcPr>
            <w:tcW w:w="1092"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其他自然资源状况表</w:t>
            </w:r>
          </w:p>
        </w:tc>
      </w:tr>
      <w:tr>
        <w:tblPrEx>
          <w:tblCellMar>
            <w:top w:w="0" w:type="dxa"/>
            <w:left w:w="0" w:type="dxa"/>
            <w:bottom w:w="0" w:type="dxa"/>
            <w:right w:w="0" w:type="dxa"/>
          </w:tblCellMar>
        </w:tblPrEx>
        <w:trPr>
          <w:trHeight w:val="421" w:hRule="atLeast"/>
        </w:trPr>
        <w:tc>
          <w:tcPr>
            <w:tcW w:w="1092"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restart"/>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登记表格</w:t>
            </w: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自然资源登记簿</w:t>
            </w:r>
          </w:p>
        </w:tc>
      </w:tr>
      <w:tr>
        <w:tblPrEx>
          <w:tblCellMar>
            <w:top w:w="0" w:type="dxa"/>
            <w:left w:w="0" w:type="dxa"/>
            <w:bottom w:w="0" w:type="dxa"/>
            <w:right w:w="0" w:type="dxa"/>
          </w:tblCellMar>
        </w:tblPrEx>
        <w:trPr>
          <w:trHeight w:val="421" w:hRule="atLeast"/>
        </w:trPr>
        <w:tc>
          <w:tcPr>
            <w:tcW w:w="1092"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自然资源类型单元登记表</w:t>
            </w:r>
          </w:p>
        </w:tc>
      </w:tr>
      <w:tr>
        <w:tblPrEx>
          <w:tblCellMar>
            <w:top w:w="0" w:type="dxa"/>
            <w:left w:w="0" w:type="dxa"/>
            <w:bottom w:w="0" w:type="dxa"/>
            <w:right w:w="0" w:type="dxa"/>
          </w:tblCellMar>
        </w:tblPrEx>
        <w:trPr>
          <w:trHeight w:val="421" w:hRule="atLeast"/>
        </w:trPr>
        <w:tc>
          <w:tcPr>
            <w:tcW w:w="1092"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restart"/>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图件</w:t>
            </w: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自然资源权属状况图</w:t>
            </w:r>
          </w:p>
        </w:tc>
      </w:tr>
      <w:tr>
        <w:tblPrEx>
          <w:tblCellMar>
            <w:top w:w="0" w:type="dxa"/>
            <w:left w:w="0" w:type="dxa"/>
            <w:bottom w:w="0" w:type="dxa"/>
            <w:right w:w="0" w:type="dxa"/>
          </w:tblCellMar>
        </w:tblPrEx>
        <w:trPr>
          <w:trHeight w:val="421" w:hRule="atLeast"/>
        </w:trPr>
        <w:tc>
          <w:tcPr>
            <w:tcW w:w="1092"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自然资源类型分布图</w:t>
            </w:r>
          </w:p>
        </w:tc>
      </w:tr>
      <w:tr>
        <w:tblPrEx>
          <w:tblCellMar>
            <w:top w:w="0" w:type="dxa"/>
            <w:left w:w="0" w:type="dxa"/>
            <w:bottom w:w="0" w:type="dxa"/>
            <w:right w:w="0" w:type="dxa"/>
          </w:tblCellMar>
        </w:tblPrEx>
        <w:trPr>
          <w:trHeight w:val="421" w:hRule="atLeast"/>
        </w:trPr>
        <w:tc>
          <w:tcPr>
            <w:tcW w:w="1092"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自然资源质量状况图</w:t>
            </w:r>
          </w:p>
        </w:tc>
      </w:tr>
      <w:tr>
        <w:tblPrEx>
          <w:tblCellMar>
            <w:top w:w="0" w:type="dxa"/>
            <w:left w:w="0" w:type="dxa"/>
            <w:bottom w:w="0" w:type="dxa"/>
            <w:right w:w="0" w:type="dxa"/>
          </w:tblCellMar>
        </w:tblPrEx>
        <w:trPr>
          <w:trHeight w:val="421" w:hRule="atLeast"/>
        </w:trPr>
        <w:tc>
          <w:tcPr>
            <w:tcW w:w="1092"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restart"/>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文字报告</w:t>
            </w: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技术方案</w:t>
            </w:r>
          </w:p>
        </w:tc>
      </w:tr>
      <w:tr>
        <w:tblPrEx>
          <w:tblCellMar>
            <w:top w:w="0" w:type="dxa"/>
            <w:left w:w="0" w:type="dxa"/>
            <w:bottom w:w="0" w:type="dxa"/>
            <w:right w:w="0" w:type="dxa"/>
          </w:tblCellMar>
        </w:tblPrEx>
        <w:trPr>
          <w:trHeight w:val="421" w:hRule="atLeast"/>
        </w:trPr>
        <w:tc>
          <w:tcPr>
            <w:tcW w:w="1092"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工作方案</w:t>
            </w:r>
          </w:p>
        </w:tc>
      </w:tr>
      <w:tr>
        <w:tblPrEx>
          <w:tblCellMar>
            <w:top w:w="0" w:type="dxa"/>
            <w:left w:w="0" w:type="dxa"/>
            <w:bottom w:w="0" w:type="dxa"/>
            <w:right w:w="0" w:type="dxa"/>
          </w:tblCellMar>
        </w:tblPrEx>
        <w:trPr>
          <w:trHeight w:val="421" w:hRule="atLeast"/>
        </w:trPr>
        <w:tc>
          <w:tcPr>
            <w:tcW w:w="1092"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数据分析报告</w:t>
            </w:r>
          </w:p>
        </w:tc>
      </w:tr>
      <w:tr>
        <w:tblPrEx>
          <w:tblCellMar>
            <w:top w:w="0" w:type="dxa"/>
            <w:left w:w="0" w:type="dxa"/>
            <w:bottom w:w="0" w:type="dxa"/>
            <w:right w:w="0" w:type="dxa"/>
          </w:tblCellMar>
        </w:tblPrEx>
        <w:trPr>
          <w:trHeight w:val="493" w:hRule="atLeast"/>
        </w:trPr>
        <w:tc>
          <w:tcPr>
            <w:tcW w:w="1092"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2583" w:type="dxa"/>
            <w:vMerge w:val="continue"/>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jc w:val="center"/>
              <w:rPr>
                <w:rFonts w:ascii="宋体" w:hAnsi="宋体" w:cs="华文仿宋"/>
                <w:color w:val="000000"/>
                <w:sz w:val="21"/>
                <w:szCs w:val="21"/>
              </w:rPr>
            </w:pPr>
          </w:p>
        </w:tc>
        <w:tc>
          <w:tcPr>
            <w:tcW w:w="4665"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textAlignment w:val="center"/>
              <w:rPr>
                <w:rFonts w:ascii="宋体" w:hAnsi="宋体" w:cs="华文仿宋"/>
                <w:color w:val="000000"/>
                <w:sz w:val="21"/>
                <w:szCs w:val="21"/>
              </w:rPr>
            </w:pPr>
            <w:r>
              <w:rPr>
                <w:rFonts w:hint="eastAsia" w:ascii="宋体" w:hAnsi="宋体" w:cs="华文仿宋"/>
                <w:color w:val="000000"/>
                <w:sz w:val="21"/>
                <w:szCs w:val="21"/>
              </w:rPr>
              <w:t>工作报告</w:t>
            </w:r>
          </w:p>
        </w:tc>
      </w:tr>
    </w:tbl>
    <w:p>
      <w:pPr>
        <w:pStyle w:val="95"/>
        <w:ind w:firstLine="3795" w:firstLineChars="1800"/>
        <w:rPr>
          <w:b/>
          <w:bCs/>
          <w:iCs/>
        </w:rPr>
      </w:pPr>
      <w:r>
        <w:rPr>
          <w:rFonts w:hint="eastAsia"/>
          <w:b/>
          <w:bCs/>
          <w:iCs/>
        </w:rPr>
        <w:t>数据库要素表</w:t>
      </w:r>
    </w:p>
    <w:p>
      <w:pPr>
        <w:pStyle w:val="4"/>
        <w:bidi w:val="0"/>
      </w:pPr>
      <w:bookmarkStart w:id="154" w:name="_Toc18732"/>
      <w:bookmarkStart w:id="155" w:name="_Toc37178227"/>
      <w:r>
        <w:rPr>
          <w:rFonts w:hint="eastAsia"/>
        </w:rPr>
        <w:t>3.</w:t>
      </w:r>
      <w:r>
        <w:rPr>
          <w:rFonts w:hint="eastAsia"/>
          <w:lang w:val="en-US" w:eastAsia="zh-CN"/>
        </w:rPr>
        <w:t>9</w:t>
      </w:r>
      <w:r>
        <w:rPr>
          <w:rFonts w:hint="eastAsia"/>
        </w:rPr>
        <w:t>成果检查</w:t>
      </w:r>
      <w:bookmarkEnd w:id="154"/>
      <w:bookmarkEnd w:id="155"/>
    </w:p>
    <w:p>
      <w:pPr>
        <w:bidi w:val="0"/>
        <w:rPr>
          <w:rFonts w:hint="eastAsia"/>
          <w:lang w:val="en-US" w:eastAsia="zh-CN"/>
        </w:rPr>
      </w:pPr>
      <w:r>
        <w:rPr>
          <w:rFonts w:hint="eastAsia"/>
          <w:lang w:val="en-US" w:eastAsia="zh-CN"/>
        </w:rPr>
        <w:t>成果资料检查方法采用作业小组自检、互检和项目组质检部专检，再通过县级自验、市级初验、省级验收的三级验收方式进行。各级检查均应做好记录。检查采取按工序分阶段进行的办法，检查合格后方可转入下一工作阶段。不合格的应予更正后，再进行下一阶段的工作。</w:t>
      </w:r>
    </w:p>
    <w:p>
      <w:pPr>
        <w:bidi w:val="0"/>
        <w:rPr>
          <w:rFonts w:hint="eastAsia"/>
          <w:lang w:val="en-US" w:eastAsia="zh-CN"/>
        </w:rPr>
      </w:pPr>
      <w:r>
        <w:rPr>
          <w:rFonts w:hint="eastAsia"/>
          <w:lang w:val="en-US" w:eastAsia="zh-CN"/>
        </w:rPr>
        <w:t>（1）检查验收制度</w:t>
      </w:r>
    </w:p>
    <w:p>
      <w:pPr>
        <w:bidi w:val="0"/>
        <w:rPr>
          <w:rFonts w:hint="eastAsia"/>
          <w:lang w:val="en-US" w:eastAsia="zh-CN"/>
        </w:rPr>
      </w:pPr>
      <w:r>
        <w:rPr>
          <w:rFonts w:hint="eastAsia"/>
          <w:lang w:val="en-US" w:eastAsia="zh-CN"/>
        </w:rPr>
        <w:t>检查验收制度检查验收采用自检-预检—验收。检查验收的过程应当有记录，包括质量问题、问题处理以及质量评价等的记录。记录必须及时、认真、规范。</w:t>
      </w:r>
    </w:p>
    <w:p>
      <w:pPr>
        <w:bidi w:val="0"/>
        <w:rPr>
          <w:rFonts w:hint="eastAsia"/>
          <w:lang w:val="en-US" w:eastAsia="zh-CN"/>
        </w:rPr>
      </w:pPr>
      <w:r>
        <w:rPr>
          <w:rFonts w:hint="eastAsia"/>
          <w:lang w:val="en-US" w:eastAsia="zh-CN"/>
        </w:rPr>
        <w:t>（2）检查内容与要求</w:t>
      </w:r>
    </w:p>
    <w:p>
      <w:pPr>
        <w:bidi w:val="0"/>
        <w:rPr>
          <w:rFonts w:hint="eastAsia"/>
          <w:lang w:val="en-US" w:eastAsia="zh-CN"/>
        </w:rPr>
      </w:pPr>
      <w:r>
        <w:rPr>
          <w:rFonts w:hint="eastAsia"/>
          <w:lang w:val="en-US" w:eastAsia="zh-CN"/>
        </w:rPr>
        <w:t>检查工作包括外业抽查与内业核查。</w:t>
      </w:r>
    </w:p>
    <w:p>
      <w:pPr>
        <w:bidi w:val="0"/>
        <w:rPr>
          <w:rFonts w:hint="eastAsia"/>
          <w:lang w:val="en-US" w:eastAsia="zh-CN"/>
        </w:rPr>
      </w:pPr>
      <w:r>
        <w:rPr>
          <w:rFonts w:hint="eastAsia"/>
          <w:lang w:val="en-US" w:eastAsia="zh-CN"/>
        </w:rPr>
        <w:t>外业抽查：质量检查人员从待查成果中，随机抽取占总数10%比例的自然资源类型单元，实地检查类型单元所代表的自然资源类型、面积是否正确，自然资源登记簿所记载内容是否完备、正确。</w:t>
      </w:r>
    </w:p>
    <w:p>
      <w:pPr>
        <w:bidi w:val="0"/>
        <w:rPr>
          <w:rFonts w:hint="eastAsia"/>
          <w:lang w:val="en-US" w:eastAsia="zh-CN"/>
        </w:rPr>
      </w:pPr>
      <w:r>
        <w:rPr>
          <w:rFonts w:hint="eastAsia"/>
          <w:lang w:val="en-US" w:eastAsia="zh-CN"/>
        </w:rPr>
        <w:t>内业检查：质量检查人员从待查成果中，随机抽取不少总数30%比例的自然资源类型单元，检查其类型、位置、面积是否与土地利用数据、不动产登记数据、其他行业主管部门自然资源专项调查数据一致；待查成果是否符合技术方案字段要求的相关规定；</w:t>
      </w:r>
    </w:p>
    <w:p>
      <w:pPr>
        <w:bidi w:val="0"/>
        <w:rPr>
          <w:rFonts w:hint="eastAsia"/>
          <w:lang w:val="en-US" w:eastAsia="zh-CN"/>
        </w:rPr>
      </w:pPr>
      <w:r>
        <w:rPr>
          <w:rFonts w:hint="eastAsia"/>
          <w:lang w:val="en-US" w:eastAsia="zh-CN"/>
        </w:rPr>
        <w:t>检查内容、过程及结论须书面存档。</w:t>
      </w:r>
    </w:p>
    <w:p>
      <w:pPr>
        <w:pStyle w:val="4"/>
        <w:bidi w:val="0"/>
        <w:rPr>
          <w:rFonts w:hint="eastAsia"/>
        </w:rPr>
      </w:pPr>
      <w:bookmarkStart w:id="156" w:name="_Toc25509"/>
      <w:bookmarkStart w:id="157" w:name="_Toc37178228"/>
      <w:r>
        <w:rPr>
          <w:rFonts w:hint="eastAsia"/>
          <w:lang w:val="en-US" w:eastAsia="zh-CN"/>
        </w:rPr>
        <w:t>3.10</w:t>
      </w:r>
      <w:r>
        <w:rPr>
          <w:rFonts w:hint="eastAsia"/>
        </w:rPr>
        <w:t>登记</w:t>
      </w:r>
      <w:bookmarkEnd w:id="156"/>
      <w:bookmarkEnd w:id="157"/>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lang w:val="en-US" w:eastAsia="zh-CN"/>
        </w:rPr>
      </w:pPr>
      <w:bookmarkStart w:id="158" w:name="_Toc31144"/>
      <w:r>
        <w:rPr>
          <w:rFonts w:hint="eastAsia"/>
          <w:lang w:val="en-US" w:eastAsia="zh-CN"/>
        </w:rPr>
        <w:t>（一）登记审核</w:t>
      </w:r>
      <w:bookmarkEnd w:id="158"/>
    </w:p>
    <w:p>
      <w:pPr>
        <w:bidi w:val="0"/>
        <w:rPr>
          <w:rFonts w:hint="eastAsia"/>
          <w:lang w:val="en-US" w:eastAsia="zh-CN"/>
        </w:rPr>
      </w:pPr>
      <w:r>
        <w:rPr>
          <w:rFonts w:hint="eastAsia"/>
          <w:lang w:val="en-US" w:eastAsia="zh-CN"/>
        </w:rPr>
        <w:t>由都兰县不动产登记机构对此次工作进行自然资源确权登记审核。审核内容包括：</w:t>
      </w:r>
    </w:p>
    <w:p>
      <w:pPr>
        <w:bidi w:val="0"/>
        <w:rPr>
          <w:rFonts w:hint="eastAsia"/>
          <w:lang w:val="en-US" w:eastAsia="zh-CN"/>
        </w:rPr>
      </w:pPr>
      <w:r>
        <w:rPr>
          <w:rFonts w:hint="eastAsia"/>
          <w:lang w:val="en-US" w:eastAsia="zh-CN"/>
        </w:rPr>
        <w:t>（1）登记程序是否符合要求；</w:t>
      </w:r>
    </w:p>
    <w:p>
      <w:pPr>
        <w:bidi w:val="0"/>
        <w:rPr>
          <w:rFonts w:hint="eastAsia"/>
          <w:lang w:val="en-US" w:eastAsia="zh-CN"/>
        </w:rPr>
      </w:pPr>
      <w:r>
        <w:rPr>
          <w:rFonts w:hint="eastAsia"/>
          <w:lang w:val="en-US" w:eastAsia="zh-CN"/>
        </w:rPr>
        <w:t>（2）登记材料是否齐全，是否有效。主要包括：自然资源自然状况材料是否来源于资源管理部门；权属材料是否合法有效；地籍调查成果是否经过县级人民政府或其授权机构组织的核实；</w:t>
      </w:r>
    </w:p>
    <w:p>
      <w:pPr>
        <w:bidi w:val="0"/>
        <w:rPr>
          <w:rFonts w:hint="eastAsia"/>
          <w:lang w:val="en-US" w:eastAsia="zh-CN"/>
        </w:rPr>
      </w:pPr>
      <w:r>
        <w:rPr>
          <w:rFonts w:hint="eastAsia"/>
          <w:lang w:val="en-US" w:eastAsia="zh-CN"/>
        </w:rPr>
        <w:t>（3）地籍调查成果是否齐全，是否符合相关技术规范。主要包括：调查程序是否符合要求；实地补充调查的程序是否到位，指界、签字、界址点、界址线测量成果等资料是否齐全；权属争议区的范围是否明确；国有土地所有权界线是否清楚；登记单元界线划分是否符合技术规范。</w:t>
      </w:r>
    </w:p>
    <w:p>
      <w:pPr>
        <w:bidi w:val="0"/>
        <w:rPr>
          <w:rFonts w:hint="eastAsia"/>
          <w:lang w:val="en-US" w:eastAsia="zh-CN"/>
        </w:rPr>
      </w:pPr>
      <w:r>
        <w:rPr>
          <w:rFonts w:hint="eastAsia"/>
          <w:lang w:val="en-US" w:eastAsia="zh-CN"/>
        </w:rPr>
        <w:t>（4）相关许可、公共管制和不动产权利信息关联是否准确。</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lang w:val="en-US" w:eastAsia="zh-CN"/>
        </w:rPr>
      </w:pPr>
      <w:bookmarkStart w:id="159" w:name="_Toc496794165"/>
      <w:bookmarkStart w:id="160" w:name="_Toc13181"/>
      <w:r>
        <w:rPr>
          <w:rFonts w:hint="eastAsia"/>
          <w:lang w:val="en-US" w:eastAsia="zh-CN"/>
        </w:rPr>
        <w:t>（二）登记公告</w:t>
      </w:r>
      <w:bookmarkEnd w:id="159"/>
      <w:bookmarkEnd w:id="160"/>
    </w:p>
    <w:p>
      <w:pPr>
        <w:bidi w:val="0"/>
        <w:rPr>
          <w:rFonts w:hint="eastAsia"/>
          <w:lang w:val="en-US" w:eastAsia="zh-CN"/>
        </w:rPr>
      </w:pPr>
      <w:r>
        <w:rPr>
          <w:rFonts w:hint="eastAsia"/>
          <w:lang w:val="en-US" w:eastAsia="zh-CN"/>
        </w:rPr>
        <w:t>登记审核通过后，将不涉及国家秘密的自然资源登记事项，由自然资源部门统一在政府门户网站及县乡镇村等指定场所进行公告，公告期不少于15个工作日，并对公告进行拍照留痕。公告期内，相关权利人对登记事项提出异议的，登记机构应当对提出的异议进行调查核实。</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lang w:val="en-US" w:eastAsia="zh-CN"/>
        </w:rPr>
      </w:pPr>
      <w:bookmarkStart w:id="161" w:name="_Toc496794166"/>
      <w:bookmarkStart w:id="162" w:name="_Toc3329"/>
      <w:r>
        <w:rPr>
          <w:rFonts w:hint="eastAsia"/>
          <w:lang w:val="en-US" w:eastAsia="zh-CN"/>
        </w:rPr>
        <w:t>（三）记载登簿</w:t>
      </w:r>
      <w:bookmarkEnd w:id="161"/>
      <w:bookmarkEnd w:id="162"/>
    </w:p>
    <w:p>
      <w:pPr>
        <w:bidi w:val="0"/>
        <w:rPr>
          <w:rFonts w:hint="eastAsia"/>
        </w:rPr>
      </w:pPr>
      <w:r>
        <w:rPr>
          <w:rFonts w:hint="eastAsia"/>
          <w:lang w:val="en-US" w:eastAsia="zh-CN"/>
        </w:rPr>
        <w:t>公告期满无异议或异议不成立的，由技术单位与登记机构将项目区范围内自然资源基本状况、权属主体和公共管制等登记事项，记载录入于自然资源登记簿上。</w:t>
      </w:r>
    </w:p>
    <w:p>
      <w:pPr>
        <w:pStyle w:val="4"/>
        <w:bidi w:val="0"/>
        <w:rPr>
          <w:rFonts w:hint="eastAsia" w:eastAsia="宋体"/>
        </w:rPr>
      </w:pPr>
      <w:bookmarkStart w:id="163" w:name="_Toc28251"/>
      <w:bookmarkStart w:id="164" w:name="_Toc22792"/>
      <w:r>
        <w:rPr>
          <w:rFonts w:hint="eastAsia" w:eastAsia="宋体"/>
          <w:lang w:val="en-US" w:eastAsia="zh-CN"/>
        </w:rPr>
        <w:t>3.11</w:t>
      </w:r>
      <w:r>
        <w:rPr>
          <w:rFonts w:hint="eastAsia" w:eastAsia="宋体"/>
        </w:rPr>
        <w:t>预期主要成果</w:t>
      </w:r>
      <w:bookmarkEnd w:id="163"/>
      <w:bookmarkEnd w:id="164"/>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lang w:val="en-US" w:eastAsia="zh-CN"/>
        </w:rPr>
      </w:pPr>
      <w:bookmarkStart w:id="165" w:name="_Toc14288"/>
      <w:r>
        <w:rPr>
          <w:rFonts w:hint="eastAsia"/>
          <w:lang w:val="en-US" w:eastAsia="zh-CN"/>
        </w:rPr>
        <w:t>（一）数据成果</w:t>
      </w:r>
      <w:bookmarkEnd w:id="165"/>
    </w:p>
    <w:p>
      <w:pPr>
        <w:bidi w:val="0"/>
        <w:rPr>
          <w:rFonts w:hint="eastAsia"/>
          <w:lang w:val="en-US" w:eastAsia="zh-CN"/>
        </w:rPr>
      </w:pPr>
      <w:r>
        <w:rPr>
          <w:rFonts w:hint="eastAsia"/>
          <w:lang w:val="en-US" w:eastAsia="zh-CN"/>
        </w:rPr>
        <w:t>①自然资源登记数据库</w:t>
      </w:r>
    </w:p>
    <w:p>
      <w:pPr>
        <w:bidi w:val="0"/>
        <w:rPr>
          <w:rFonts w:hint="eastAsia"/>
          <w:lang w:val="en-US" w:eastAsia="zh-CN"/>
        </w:rPr>
      </w:pPr>
      <w:r>
        <w:rPr>
          <w:rFonts w:hint="eastAsia"/>
          <w:lang w:val="en-US" w:eastAsia="zh-CN"/>
        </w:rPr>
        <w:t>②自然资源登记簿</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lang w:val="en-US" w:eastAsia="zh-CN"/>
        </w:rPr>
      </w:pPr>
      <w:bookmarkStart w:id="166" w:name="_Toc11607"/>
      <w:r>
        <w:rPr>
          <w:rFonts w:hint="eastAsia"/>
          <w:lang w:val="en-US" w:eastAsia="zh-CN"/>
        </w:rPr>
        <w:t>（二）工作成果</w:t>
      </w:r>
      <w:bookmarkEnd w:id="166"/>
    </w:p>
    <w:p>
      <w:pPr>
        <w:bidi w:val="0"/>
        <w:rPr>
          <w:rFonts w:hint="eastAsia"/>
          <w:lang w:val="en-US" w:eastAsia="zh-CN"/>
        </w:rPr>
      </w:pPr>
      <w:r>
        <w:rPr>
          <w:rFonts w:hint="eastAsia"/>
          <w:lang w:val="en-US" w:eastAsia="zh-CN"/>
        </w:rPr>
        <w:t>①外业工作表册（附协议书/争议书）</w:t>
      </w:r>
    </w:p>
    <w:p>
      <w:pPr>
        <w:bidi w:val="0"/>
        <w:rPr>
          <w:rFonts w:hint="eastAsia"/>
          <w:lang w:val="en-US" w:eastAsia="zh-CN"/>
        </w:rPr>
      </w:pPr>
      <w:bookmarkStart w:id="167" w:name="page23"/>
      <w:bookmarkEnd w:id="167"/>
      <w:r>
        <w:rPr>
          <w:rFonts w:hint="eastAsia"/>
          <w:lang w:val="en-US" w:eastAsia="zh-CN"/>
        </w:rPr>
        <w:t>②接边说明及确认书</w:t>
      </w:r>
    </w:p>
    <w:p>
      <w:pPr>
        <w:bidi w:val="0"/>
        <w:rPr>
          <w:rFonts w:hint="eastAsia"/>
          <w:lang w:val="en-US" w:eastAsia="zh-CN"/>
        </w:rPr>
      </w:pPr>
      <w:r>
        <w:rPr>
          <w:rFonts w:hint="eastAsia"/>
          <w:lang w:val="en-US" w:eastAsia="zh-CN"/>
        </w:rPr>
        <w:t>③自然资源权籍调查表</w:t>
      </w:r>
    </w:p>
    <w:p>
      <w:pPr>
        <w:bidi w:val="0"/>
        <w:rPr>
          <w:rFonts w:hint="eastAsia"/>
          <w:lang w:val="en-US" w:eastAsia="zh-CN"/>
        </w:rPr>
      </w:pPr>
      <w:r>
        <w:rPr>
          <w:rFonts w:hint="eastAsia"/>
          <w:lang w:val="en-US" w:eastAsia="zh-CN"/>
        </w:rPr>
        <w:t>④自然资源挂图集</w:t>
      </w:r>
    </w:p>
    <w:p>
      <w:pPr>
        <w:bidi w:val="0"/>
        <w:rPr>
          <w:rFonts w:hint="eastAsia"/>
          <w:lang w:val="en-US" w:eastAsia="zh-CN"/>
        </w:rPr>
      </w:pPr>
      <w:r>
        <w:rPr>
          <w:rFonts w:hint="eastAsia"/>
          <w:lang w:val="en-US" w:eastAsia="zh-CN"/>
        </w:rPr>
        <w:t>⑤自然资源登记汇总表</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lang w:val="en-US" w:eastAsia="zh-CN"/>
        </w:rPr>
      </w:pPr>
      <w:bookmarkStart w:id="168" w:name="_Toc18372"/>
      <w:r>
        <w:rPr>
          <w:rFonts w:hint="eastAsia"/>
          <w:lang w:val="en-US" w:eastAsia="zh-CN"/>
        </w:rPr>
        <w:t>（三）文字报告</w:t>
      </w:r>
      <w:bookmarkEnd w:id="168"/>
    </w:p>
    <w:p>
      <w:pPr>
        <w:bidi w:val="0"/>
        <w:rPr>
          <w:rFonts w:hint="eastAsia"/>
          <w:lang w:val="en-US" w:eastAsia="zh-CN"/>
        </w:rPr>
      </w:pPr>
      <w:r>
        <w:rPr>
          <w:rFonts w:hint="eastAsia"/>
          <w:lang w:val="en-US" w:eastAsia="zh-CN"/>
        </w:rPr>
        <w:t>①《都兰县自然资源统一确权登记工作方案》</w:t>
      </w:r>
    </w:p>
    <w:p>
      <w:pPr>
        <w:bidi w:val="0"/>
        <w:rPr>
          <w:rFonts w:hint="eastAsia"/>
          <w:lang w:val="en-US" w:eastAsia="zh-CN"/>
        </w:rPr>
      </w:pPr>
      <w:r>
        <w:rPr>
          <w:rFonts w:hint="eastAsia"/>
          <w:lang w:val="en-US" w:eastAsia="zh-CN"/>
        </w:rPr>
        <w:t>②《都兰县自然资源统一确权登记技术方案》</w:t>
      </w:r>
    </w:p>
    <w:p>
      <w:pPr>
        <w:bidi w:val="0"/>
        <w:rPr>
          <w:rFonts w:hint="eastAsia"/>
          <w:lang w:val="en-US" w:eastAsia="zh-CN"/>
        </w:rPr>
      </w:pPr>
      <w:r>
        <w:rPr>
          <w:rFonts w:hint="eastAsia"/>
          <w:lang w:val="en-US" w:eastAsia="zh-CN"/>
        </w:rPr>
        <w:t>③《都兰县自然资源统一确权登记数据分析报告》</w:t>
      </w:r>
    </w:p>
    <w:p>
      <w:pPr>
        <w:bidi w:val="0"/>
        <w:rPr>
          <w:rFonts w:hint="eastAsia"/>
          <w:lang w:val="en-US" w:eastAsia="zh-CN"/>
        </w:rPr>
      </w:pPr>
      <w:r>
        <w:rPr>
          <w:rFonts w:hint="eastAsia"/>
          <w:lang w:val="en-US" w:eastAsia="zh-CN"/>
        </w:rPr>
        <w:t>④《都兰县自然资源统一确权登记工作总结报告》</w:t>
      </w:r>
    </w:p>
    <w:p>
      <w:pPr>
        <w:bidi w:val="0"/>
        <w:rPr>
          <w:rFonts w:hint="eastAsia"/>
          <w:lang w:val="en-US" w:eastAsia="zh-CN"/>
        </w:rPr>
      </w:pPr>
      <w:r>
        <w:rPr>
          <w:rFonts w:hint="eastAsia"/>
          <w:lang w:val="en-US" w:eastAsia="zh-CN"/>
        </w:rPr>
        <w:t>⑤《都兰县自然资源统一确权登记自检报告》</w:t>
      </w:r>
    </w:p>
    <w:p>
      <w:pPr>
        <w:bidi w:val="0"/>
        <w:rPr>
          <w:rFonts w:hint="eastAsia"/>
          <w:lang w:val="en-US" w:eastAsia="zh-CN"/>
        </w:rPr>
      </w:pPr>
      <w:r>
        <w:rPr>
          <w:rFonts w:hint="eastAsia"/>
          <w:lang w:val="en-US" w:eastAsia="zh-CN"/>
        </w:rPr>
        <w:t>⑥《都兰县自然资源统一确权登记制图工作报告》</w:t>
      </w:r>
    </w:p>
    <w:p>
      <w:pPr>
        <w:bidi w:val="0"/>
        <w:rPr>
          <w:rFonts w:hint="eastAsia"/>
          <w:lang w:val="en-US" w:eastAsia="zh-CN"/>
        </w:rPr>
      </w:pPr>
      <w:r>
        <w:rPr>
          <w:rFonts w:hint="eastAsia"/>
          <w:lang w:val="en-US" w:eastAsia="zh-CN"/>
        </w:rPr>
        <w:t>⑦《都兰县自然资源统一确权登记项目技术总结报告》</w:t>
      </w:r>
    </w:p>
    <w:p>
      <w:pPr>
        <w:bidi w:val="0"/>
        <w:rPr>
          <w:rFonts w:hint="eastAsia"/>
          <w:lang w:val="en-US" w:eastAsia="zh-CN"/>
        </w:rPr>
      </w:pPr>
      <w:r>
        <w:rPr>
          <w:rFonts w:hint="eastAsia"/>
          <w:lang w:val="en-US" w:eastAsia="zh-CN"/>
        </w:rPr>
        <w:t>⑧《都兰县自然资源统一确权登记项目确权工作报告》</w:t>
      </w:r>
    </w:p>
    <w:p>
      <w:pPr>
        <w:bidi w:val="0"/>
        <w:rPr>
          <w:rFonts w:hint="eastAsia"/>
          <w:lang w:val="en-US" w:eastAsia="zh-CN"/>
        </w:rPr>
      </w:pPr>
      <w:r>
        <w:rPr>
          <w:rFonts w:hint="eastAsia"/>
          <w:lang w:val="en-US" w:eastAsia="zh-CN"/>
        </w:rPr>
        <w:t>⑨《都兰县自然资源统一确权登记项目数据库建库报告》</w:t>
      </w:r>
    </w:p>
    <w:p>
      <w:pPr>
        <w:bidi w:val="0"/>
        <w:rPr>
          <w:rFonts w:hint="eastAsia"/>
          <w:lang w:val="en-US" w:eastAsia="zh-CN"/>
        </w:rPr>
      </w:pPr>
      <w:r>
        <w:rPr>
          <w:rFonts w:hint="eastAsia"/>
          <w:lang w:val="en-US" w:eastAsia="zh-CN"/>
        </w:rPr>
        <w:t>⑩《都兰县自然资源统一确权登记项目自然资源状况与权属状况报告》</w:t>
      </w:r>
    </w:p>
    <w:p>
      <w:pPr>
        <w:spacing w:line="360" w:lineRule="auto"/>
        <w:rPr>
          <w:rFonts w:ascii="宋体" w:hAnsi="宋体" w:cs="宋体"/>
        </w:rPr>
      </w:pPr>
      <w:r>
        <w:rPr>
          <w:rFonts w:hint="eastAsia"/>
          <w:lang w:val="en-US" w:eastAsia="zh-CN"/>
        </w:rPr>
        <w:t>⑪《都兰县自然资源统一确权登记项目问题及难点报告》</w:t>
      </w:r>
    </w:p>
    <w:p>
      <w:pPr>
        <w:pStyle w:val="30"/>
        <w:spacing w:before="0" w:after="0" w:line="360" w:lineRule="auto"/>
        <w:rPr>
          <w:rFonts w:ascii="宋体" w:hAnsi="宋体" w:cs="宋体"/>
          <w:lang w:val="zh-CN"/>
        </w:rPr>
      </w:pPr>
      <w:bookmarkStart w:id="169" w:name="_Toc78187966"/>
      <w:r>
        <w:rPr>
          <w:rFonts w:hint="eastAsia"/>
          <w:lang w:val="zh-CN"/>
        </w:rPr>
        <w:t>（二）</w:t>
      </w:r>
      <w:r>
        <w:rPr>
          <w:rFonts w:hint="eastAsia" w:ascii="宋体" w:hAnsi="宋体" w:cs="宋体"/>
          <w:lang w:val="zh-CN"/>
        </w:rPr>
        <w:t>商务要求</w:t>
      </w:r>
      <w:bookmarkEnd w:id="169"/>
      <w:r>
        <w:rPr>
          <w:rFonts w:hint="eastAsia" w:ascii="宋体" w:hAnsi="宋体" w:cs="宋体"/>
          <w:lang w:val="zh-CN"/>
        </w:rPr>
        <w:t>（实质性要求）</w:t>
      </w:r>
    </w:p>
    <w:bookmarkEnd w:id="98"/>
    <w:p>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rPr>
        <w:t>2</w:t>
      </w:r>
      <w:r>
        <w:rPr>
          <w:rFonts w:ascii="宋体" w:hAnsi="宋体" w:cs="宋体"/>
        </w:rPr>
        <w:t>.1.</w:t>
      </w:r>
      <w:r>
        <w:rPr>
          <w:rFonts w:hint="eastAsia" w:ascii="宋体" w:hAnsi="宋体" w:cs="宋体"/>
        </w:rPr>
        <w:t>服务期限：</w:t>
      </w:r>
      <w:r>
        <w:rPr>
          <w:rFonts w:hint="eastAsia" w:ascii="宋体" w:hAnsi="宋体" w:cs="宋体"/>
          <w:color w:val="000000" w:themeColor="text1"/>
          <w14:textFill>
            <w14:solidFill>
              <w14:schemeClr w14:val="tx1"/>
            </w14:solidFill>
          </w14:textFill>
        </w:rPr>
        <w:t>自合同签订之日起</w:t>
      </w:r>
      <w:r>
        <w:rPr>
          <w:rFonts w:hint="eastAsia" w:ascii="宋体" w:hAnsi="宋体" w:cs="宋体"/>
          <w:color w:val="000000" w:themeColor="text1"/>
          <w:lang w:val="en-US" w:eastAsia="zh-CN"/>
          <w14:textFill>
            <w14:solidFill>
              <w14:schemeClr w14:val="tx1"/>
            </w14:solidFill>
          </w14:textFill>
        </w:rPr>
        <w:t>36</w:t>
      </w:r>
      <w:r>
        <w:rPr>
          <w:rFonts w:hint="eastAsia" w:ascii="宋体" w:hAnsi="宋体" w:cs="宋体"/>
          <w:color w:val="000000" w:themeColor="text1"/>
          <w14:textFill>
            <w14:solidFill>
              <w14:schemeClr w14:val="tx1"/>
            </w14:solidFill>
          </w14:textFill>
        </w:rPr>
        <w:t>个月</w:t>
      </w:r>
    </w:p>
    <w:p>
      <w:pPr>
        <w:spacing w:line="360" w:lineRule="auto"/>
        <w:ind w:firstLine="480"/>
        <w:rPr>
          <w:rFonts w:ascii="宋体" w:hAnsi="宋体" w:cs="宋体"/>
        </w:rPr>
      </w:pPr>
      <w:r>
        <w:rPr>
          <w:rFonts w:hint="eastAsia" w:ascii="宋体" w:hAnsi="宋体" w:cs="宋体"/>
        </w:rPr>
        <w:t>2</w:t>
      </w:r>
      <w:r>
        <w:rPr>
          <w:rFonts w:ascii="宋体" w:hAnsi="宋体" w:cs="宋体"/>
        </w:rPr>
        <w:t>.3.</w:t>
      </w:r>
      <w:r>
        <w:rPr>
          <w:rFonts w:hint="eastAsia" w:ascii="宋体" w:hAnsi="宋体" w:cs="宋体"/>
        </w:rPr>
        <w:t>付款方式：</w:t>
      </w:r>
    </w:p>
    <w:p>
      <w:pPr>
        <w:spacing w:line="360" w:lineRule="auto"/>
        <w:ind w:firstLine="480"/>
        <w:rPr>
          <w:rFonts w:ascii="宋体" w:hAnsi="宋体" w:cs="宋体"/>
        </w:rPr>
      </w:pPr>
      <w:r>
        <w:rPr>
          <w:rFonts w:ascii="宋体" w:hAnsi="宋体" w:cs="宋体"/>
        </w:rPr>
        <w:t>2.4售后服务：</w:t>
      </w:r>
      <w:r>
        <w:rPr>
          <w:rFonts w:hint="eastAsia" w:ascii="宋体" w:hAnsi="宋体" w:cs="宋体"/>
        </w:rPr>
        <w:t>投标人应在项目实施完成后所承担的责任、服务内容、质保期、服务方式是否可靠，并在国家、省相关规范性文件调整要求下，无条件修改和完善工作方案、成果资料。</w:t>
      </w:r>
    </w:p>
    <w:p/>
    <w:p>
      <w:pPr>
        <w:spacing w:line="576" w:lineRule="exact"/>
        <w:ind w:firstLine="560" w:firstLineChars="200"/>
        <w:rPr>
          <w:rFonts w:asciiTheme="minorEastAsia" w:hAnsiTheme="minorEastAsia" w:eastAsiaTheme="minorEastAsia"/>
          <w:sz w:val="28"/>
          <w:szCs w:val="28"/>
        </w:rPr>
      </w:pPr>
    </w:p>
    <w:sectPr>
      <w:headerReference r:id="rId4" w:type="first"/>
      <w:footerReference r:id="rId6" w:type="first"/>
      <w:headerReference r:id="rId3" w:type="default"/>
      <w:footerReference r:id="rId5" w:type="default"/>
      <w:pgSz w:w="11849" w:h="16781"/>
      <w:pgMar w:top="1440" w:right="1217" w:bottom="1440" w:left="1803" w:header="851" w:footer="992" w:gutter="0"/>
      <w:pgNumType w:start="1"/>
      <w:cols w:space="72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ejaVu Sans">
    <w:altName w:val="Arial"/>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00"/>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Times">
    <w:altName w:val="Times New Roman"/>
    <w:panose1 w:val="00000000000000000000"/>
    <w:charset w:val="00"/>
    <w:family w:val="roman"/>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5943933"/>
    </w:sdtPr>
    <w:sdtContent>
      <w:p>
        <w:pPr>
          <w:pStyle w:val="23"/>
          <w:jc w:val="center"/>
        </w:pPr>
        <w:r>
          <w:fldChar w:fldCharType="begin"/>
        </w:r>
        <w:r>
          <w:instrText xml:space="preserve">PAGE   \* MERGEFORMAT</w:instrText>
        </w:r>
        <w:r>
          <w:fldChar w:fldCharType="separate"/>
        </w:r>
        <w:r>
          <w:rPr>
            <w:lang w:val="zh-CN"/>
          </w:rPr>
          <w:t>34</w:t>
        </w:r>
        <w:r>
          <w:fldChar w:fldCharType="end"/>
        </w:r>
      </w:p>
    </w:sdtContent>
  </w:sdt>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2569139"/>
    </w:sdtPr>
    <w:sdtContent>
      <w:p>
        <w:pPr>
          <w:pStyle w:val="23"/>
          <w:jc w:val="center"/>
        </w:pPr>
        <w:r>
          <w:fldChar w:fldCharType="begin"/>
        </w:r>
        <w:r>
          <w:instrText xml:space="preserve">PAGE   \* MERGEFORMAT</w:instrText>
        </w:r>
        <w:r>
          <w:fldChar w:fldCharType="separate"/>
        </w:r>
        <w:r>
          <w:rPr>
            <w:lang w:val="zh-CN"/>
          </w:rPr>
          <w:t>1</w:t>
        </w:r>
        <w:r>
          <w:fldChar w:fldCharType="end"/>
        </w:r>
      </w:p>
    </w:sdtContent>
  </w:sdt>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right"/>
    </w:pPr>
  </w:p>
  <w:p>
    <w:pPr>
      <w:pStyle w:val="24"/>
      <w:jc w:val="both"/>
    </w:pPr>
    <w:r>
      <w:rPr>
        <w:rFonts w:hint="eastAsia" w:ascii="宋体" w:hAnsi="宋体" w:eastAsia="宋体" w:cs="宋体"/>
        <w:kern w:val="2"/>
        <w:sz w:val="22"/>
        <w:szCs w:val="22"/>
      </w:rPr>
      <w:t>都兰县自然资源统一确权登记项目</w:t>
    </w:r>
    <w:r>
      <w:rPr>
        <w:rFonts w:hint="eastAsia" w:ascii="宋体" w:hAnsi="宋体" w:cs="宋体"/>
        <w:kern w:val="2"/>
        <w:sz w:val="22"/>
        <w:szCs w:val="22"/>
        <w:lang w:val="en-US"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both"/>
      <w:rPr>
        <w:rFonts w:hint="eastAsia" w:ascii="宋体" w:hAnsi="宋体" w:eastAsia="宋体" w:cs="宋体"/>
        <w:kern w:val="2"/>
        <w:sz w:val="36"/>
        <w:szCs w:val="36"/>
        <w:lang w:val="en-US" w:eastAsia="zh-CN"/>
      </w:rPr>
    </w:pPr>
    <w:r>
      <w:rPr>
        <w:rFonts w:hint="eastAsia" w:ascii="宋体" w:hAnsi="宋体" w:eastAsia="宋体" w:cs="宋体"/>
        <w:kern w:val="2"/>
        <w:sz w:val="22"/>
        <w:szCs w:val="22"/>
      </w:rPr>
      <w:t>都兰县自然资源统一确权登记项目</w:t>
    </w:r>
    <w:r>
      <w:rPr>
        <w:rFonts w:hint="eastAsia" w:ascii="宋体" w:hAnsi="宋体" w:cs="宋体"/>
        <w:kern w:val="2"/>
        <w:sz w:val="22"/>
        <w:szCs w:val="22"/>
        <w:lang w:val="en-US" w:eastAsia="zh-CN"/>
      </w:rPr>
      <w:t>招标文件</w:t>
    </w:r>
  </w:p>
  <w:p>
    <w:pPr>
      <w:pStyle w:val="24"/>
      <w:jc w:val="both"/>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E9391"/>
    <w:multiLevelType w:val="singleLevel"/>
    <w:tmpl w:val="C66E9391"/>
    <w:lvl w:ilvl="0" w:tentative="0">
      <w:start w:val="1"/>
      <w:numFmt w:val="chineseCounting"/>
      <w:suff w:val="nothing"/>
      <w:lvlText w:val="%1、"/>
      <w:lvlJc w:val="left"/>
      <w:rPr>
        <w:rFonts w:hint="eastAsia"/>
      </w:rPr>
    </w:lvl>
  </w:abstractNum>
  <w:abstractNum w:abstractNumId="1">
    <w:nsid w:val="3CC63FC1"/>
    <w:multiLevelType w:val="singleLevel"/>
    <w:tmpl w:val="3CC63FC1"/>
    <w:lvl w:ilvl="0" w:tentative="0">
      <w:start w:val="10"/>
      <w:numFmt w:val="decimal"/>
      <w:suff w:val="nothing"/>
      <w:lvlText w:val="（%1）"/>
      <w:lvlJc w:val="left"/>
      <w:pPr>
        <w:ind w:left="0" w:firstLine="0"/>
      </w:pPr>
      <w:rPr>
        <w:rFonts w:hint="eastAsia"/>
      </w:rPr>
    </w:lvl>
  </w:abstractNum>
  <w:abstractNum w:abstractNumId="2">
    <w:nsid w:val="482D2265"/>
    <w:multiLevelType w:val="multilevel"/>
    <w:tmpl w:val="482D2265"/>
    <w:lvl w:ilvl="0" w:tentative="0">
      <w:start w:val="1"/>
      <w:numFmt w:val="japaneseCounting"/>
      <w:lvlText w:val="（%1）"/>
      <w:lvlJc w:val="left"/>
      <w:pPr>
        <w:ind w:left="1125" w:hanging="1125"/>
      </w:pPr>
      <w:rPr>
        <w:rFonts w:hint="default" w:ascii="Cambria" w:hAnsi="Cambr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59C07086"/>
    <w:multiLevelType w:val="singleLevel"/>
    <w:tmpl w:val="59C07086"/>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pStyle w:val="103"/>
      <w:suff w:val="nothing"/>
      <w:lvlText w:val="（%1）"/>
      <w:lvlJc w:val="left"/>
    </w:lvl>
  </w:abstractNum>
  <w:abstractNum w:abstractNumId="6">
    <w:nsid w:val="59FC3E95"/>
    <w:multiLevelType w:val="singleLevel"/>
    <w:tmpl w:val="59FC3E95"/>
    <w:lvl w:ilvl="0" w:tentative="0">
      <w:start w:val="1"/>
      <w:numFmt w:val="decimal"/>
      <w:lvlText w:val="(%1)"/>
      <w:lvlJc w:val="left"/>
      <w:pPr>
        <w:tabs>
          <w:tab w:val="left" w:pos="312"/>
        </w:tabs>
      </w:pPr>
    </w:lvl>
  </w:abstractNum>
  <w:abstractNum w:abstractNumId="7">
    <w:nsid w:val="59FC4271"/>
    <w:multiLevelType w:val="singleLevel"/>
    <w:tmpl w:val="59FC4271"/>
    <w:lvl w:ilvl="0" w:tentative="0">
      <w:start w:val="1"/>
      <w:numFmt w:val="decimal"/>
      <w:suff w:val="nothing"/>
      <w:lvlText w:val="（%1）"/>
      <w:lvlJc w:val="left"/>
    </w:lvl>
  </w:abstractNum>
  <w:abstractNum w:abstractNumId="8">
    <w:nsid w:val="59FC4698"/>
    <w:multiLevelType w:val="singleLevel"/>
    <w:tmpl w:val="59FC4698"/>
    <w:lvl w:ilvl="0" w:tentative="0">
      <w:start w:val="1"/>
      <w:numFmt w:val="decimal"/>
      <w:suff w:val="nothing"/>
      <w:lvlText w:val="（%1）"/>
      <w:lvlJc w:val="left"/>
    </w:lvl>
  </w:abstractNum>
  <w:abstractNum w:abstractNumId="9">
    <w:nsid w:val="59FC4CCC"/>
    <w:multiLevelType w:val="singleLevel"/>
    <w:tmpl w:val="59FC4CCC"/>
    <w:lvl w:ilvl="0" w:tentative="0">
      <w:start w:val="1"/>
      <w:numFmt w:val="decimal"/>
      <w:suff w:val="nothing"/>
      <w:lvlText w:val="（%1）"/>
      <w:lvlJc w:val="left"/>
    </w:lvl>
  </w:abstractNum>
  <w:abstractNum w:abstractNumId="10">
    <w:nsid w:val="5C946295"/>
    <w:multiLevelType w:val="singleLevel"/>
    <w:tmpl w:val="5C946295"/>
    <w:lvl w:ilvl="0" w:tentative="0">
      <w:start w:val="3"/>
      <w:numFmt w:val="decimal"/>
      <w:suff w:val="nothing"/>
      <w:lvlText w:val="%1、"/>
      <w:lvlJc w:val="left"/>
      <w:pPr>
        <w:ind w:left="0" w:firstLine="0"/>
      </w:pPr>
      <w:rPr>
        <w:rFonts w:hint="default"/>
        <w:w w:val="100"/>
      </w:rPr>
    </w:lvl>
  </w:abstractNum>
  <w:abstractNum w:abstractNumId="11">
    <w:nsid w:val="5C946296"/>
    <w:multiLevelType w:val="singleLevel"/>
    <w:tmpl w:val="5C946296"/>
    <w:lvl w:ilvl="0" w:tentative="0">
      <w:start w:val="2"/>
      <w:numFmt w:val="decimal"/>
      <w:suff w:val="nothing"/>
      <w:lvlText w:val="%1、"/>
      <w:lvlJc w:val="left"/>
      <w:pPr>
        <w:ind w:left="0" w:firstLine="0"/>
      </w:pPr>
      <w:rPr>
        <w:rFonts w:hint="default"/>
        <w:w w:val="100"/>
      </w:rPr>
    </w:lvl>
  </w:abstractNum>
  <w:abstractNum w:abstractNumId="12">
    <w:nsid w:val="5C946297"/>
    <w:multiLevelType w:val="singleLevel"/>
    <w:tmpl w:val="5C946297"/>
    <w:lvl w:ilvl="0" w:tentative="0">
      <w:start w:val="1"/>
      <w:numFmt w:val="decimal"/>
      <w:suff w:val="nothing"/>
      <w:lvlText w:val="%1、"/>
      <w:lvlJc w:val="left"/>
      <w:pPr>
        <w:ind w:left="0" w:firstLine="0"/>
      </w:pPr>
      <w:rPr>
        <w:rFonts w:hint="default"/>
        <w:w w:val="100"/>
      </w:rPr>
    </w:lvl>
  </w:abstractNum>
  <w:abstractNum w:abstractNumId="13">
    <w:nsid w:val="5C946298"/>
    <w:multiLevelType w:val="singleLevel"/>
    <w:tmpl w:val="5C946298"/>
    <w:lvl w:ilvl="0" w:tentative="0">
      <w:start w:val="5"/>
      <w:numFmt w:val="decimal"/>
      <w:suff w:val="nothing"/>
      <w:lvlText w:val="%1、"/>
      <w:lvlJc w:val="left"/>
      <w:pPr>
        <w:ind w:left="0" w:firstLine="0"/>
      </w:pPr>
      <w:rPr>
        <w:rFonts w:hint="default"/>
        <w:w w:val="100"/>
      </w:rPr>
    </w:lvl>
  </w:abstractNum>
  <w:abstractNum w:abstractNumId="14">
    <w:nsid w:val="5C946299"/>
    <w:multiLevelType w:val="multilevel"/>
    <w:tmpl w:val="5C946299"/>
    <w:lvl w:ilvl="0" w:tentative="0">
      <w:start w:val="1"/>
      <w:numFmt w:val="decimal"/>
      <w:lvlText w:val="%1)"/>
      <w:lvlJc w:val="left"/>
      <w:pPr>
        <w:ind w:left="900" w:hanging="420"/>
      </w:pPr>
      <w:rPr>
        <w:rFonts w:hint="default"/>
        <w:w w:val="100"/>
      </w:rPr>
    </w:lvl>
    <w:lvl w:ilvl="1" w:tentative="0">
      <w:start w:val="1"/>
      <w:numFmt w:val="decimal"/>
      <w:lvlText w:val="%2、"/>
      <w:lvlJc w:val="left"/>
      <w:pPr>
        <w:ind w:left="720" w:hanging="360"/>
      </w:pPr>
      <w:rPr>
        <w:rFonts w:hint="default"/>
        <w:w w:val="100"/>
      </w:rPr>
    </w:lvl>
    <w:lvl w:ilvl="2" w:tentative="0">
      <w:start w:val="1"/>
      <w:numFmt w:val="decimal"/>
      <w:lvlText w:val="%3."/>
      <w:lvlJc w:val="left"/>
      <w:pPr>
        <w:ind w:left="846" w:hanging="420"/>
      </w:pPr>
      <w:rPr>
        <w:rFonts w:hint="default"/>
        <w:w w:val="100"/>
      </w:rPr>
    </w:lvl>
    <w:lvl w:ilvl="3" w:tentative="0">
      <w:start w:val="1"/>
      <w:numFmt w:val="decimal"/>
      <w:lvlText w:val="%4."/>
      <w:lvlJc w:val="left"/>
      <w:pPr>
        <w:ind w:left="2160" w:hanging="420"/>
      </w:pPr>
      <w:rPr>
        <w:rFonts w:hint="default"/>
        <w:w w:val="100"/>
      </w:rPr>
    </w:lvl>
    <w:lvl w:ilvl="4" w:tentative="0">
      <w:start w:val="1"/>
      <w:numFmt w:val="lowerLetter"/>
      <w:lvlText w:val="%5)"/>
      <w:lvlJc w:val="left"/>
      <w:pPr>
        <w:ind w:left="2580" w:hanging="420"/>
      </w:pPr>
      <w:rPr>
        <w:rFonts w:hint="default"/>
        <w:w w:val="100"/>
      </w:rPr>
    </w:lvl>
    <w:lvl w:ilvl="5" w:tentative="0">
      <w:start w:val="1"/>
      <w:numFmt w:val="lowerRoman"/>
      <w:lvlText w:val="%6."/>
      <w:lvlJc w:val="right"/>
      <w:pPr>
        <w:ind w:left="3000" w:hanging="420"/>
      </w:pPr>
      <w:rPr>
        <w:rFonts w:hint="default"/>
        <w:w w:val="100"/>
      </w:rPr>
    </w:lvl>
    <w:lvl w:ilvl="6" w:tentative="0">
      <w:start w:val="1"/>
      <w:numFmt w:val="decimal"/>
      <w:lvlText w:val="%7."/>
      <w:lvlJc w:val="left"/>
      <w:pPr>
        <w:ind w:left="3420" w:hanging="420"/>
      </w:pPr>
      <w:rPr>
        <w:rFonts w:hint="default"/>
        <w:w w:val="100"/>
      </w:rPr>
    </w:lvl>
    <w:lvl w:ilvl="7" w:tentative="0">
      <w:start w:val="1"/>
      <w:numFmt w:val="lowerLetter"/>
      <w:lvlText w:val="%8)"/>
      <w:lvlJc w:val="left"/>
      <w:pPr>
        <w:ind w:left="3840" w:hanging="420"/>
      </w:pPr>
      <w:rPr>
        <w:rFonts w:hint="default"/>
        <w:w w:val="100"/>
      </w:rPr>
    </w:lvl>
    <w:lvl w:ilvl="8" w:tentative="0">
      <w:start w:val="1"/>
      <w:numFmt w:val="lowerRoman"/>
      <w:lvlText w:val="%9."/>
      <w:lvlJc w:val="right"/>
      <w:pPr>
        <w:ind w:left="4260" w:hanging="420"/>
      </w:pPr>
      <w:rPr>
        <w:rFonts w:hint="default"/>
        <w:w w:val="100"/>
      </w:rPr>
    </w:lvl>
  </w:abstractNum>
  <w:abstractNum w:abstractNumId="15">
    <w:nsid w:val="5C94629A"/>
    <w:multiLevelType w:val="singleLevel"/>
    <w:tmpl w:val="5C94629A"/>
    <w:lvl w:ilvl="0" w:tentative="0">
      <w:start w:val="3"/>
      <w:numFmt w:val="decimal"/>
      <w:suff w:val="nothing"/>
      <w:lvlText w:val="%1、"/>
      <w:lvlJc w:val="left"/>
      <w:pPr>
        <w:ind w:left="0" w:firstLine="0"/>
      </w:pPr>
      <w:rPr>
        <w:rFonts w:hint="default"/>
        <w:w w:val="100"/>
      </w:rPr>
    </w:lvl>
  </w:abstractNum>
  <w:abstractNum w:abstractNumId="16">
    <w:nsid w:val="5C94629B"/>
    <w:multiLevelType w:val="singleLevel"/>
    <w:tmpl w:val="5C94629B"/>
    <w:lvl w:ilvl="0" w:tentative="0">
      <w:start w:val="1"/>
      <w:numFmt w:val="decimal"/>
      <w:suff w:val="nothing"/>
      <w:lvlText w:val="%1、"/>
      <w:lvlJc w:val="left"/>
      <w:pPr>
        <w:ind w:left="0" w:firstLine="0"/>
      </w:pPr>
      <w:rPr>
        <w:rFonts w:hint="default"/>
        <w:w w:val="100"/>
      </w:rPr>
    </w:lvl>
  </w:abstractNum>
  <w:abstractNum w:abstractNumId="17">
    <w:nsid w:val="67ED2C4A"/>
    <w:multiLevelType w:val="multilevel"/>
    <w:tmpl w:val="67ED2C4A"/>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1134"/>
        </w:tabs>
        <w:ind w:left="1134" w:hanging="850"/>
      </w:pPr>
      <w:rPr>
        <w:rFonts w:hint="eastAsia"/>
      </w:rPr>
    </w:lvl>
    <w:lvl w:ilvl="2" w:tentative="0">
      <w:start w:val="1"/>
      <w:numFmt w:val="decimal"/>
      <w:lvlText w:val="%1.%2.%3"/>
      <w:lvlJc w:val="left"/>
      <w:pPr>
        <w:tabs>
          <w:tab w:val="left" w:pos="1588"/>
        </w:tabs>
        <w:ind w:left="1588" w:hanging="1021"/>
      </w:pPr>
      <w:rPr>
        <w:rFonts w:hint="eastAsia"/>
      </w:rPr>
    </w:lvl>
    <w:lvl w:ilvl="3" w:tentative="0">
      <w:start w:val="1"/>
      <w:numFmt w:val="decimal"/>
      <w:lvlText w:val="%1.%2.%3.%4"/>
      <w:lvlJc w:val="left"/>
      <w:pPr>
        <w:tabs>
          <w:tab w:val="left" w:pos="1985"/>
        </w:tabs>
        <w:ind w:left="1985" w:hanging="113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num w:numId="1">
    <w:abstractNumId w:val="17"/>
  </w:num>
  <w:num w:numId="2">
    <w:abstractNumId w:val="5"/>
  </w:num>
  <w:num w:numId="3">
    <w:abstractNumId w:val="6"/>
  </w:num>
  <w:num w:numId="4">
    <w:abstractNumId w:val="7"/>
  </w:num>
  <w:num w:numId="5">
    <w:abstractNumId w:val="8"/>
  </w:num>
  <w:num w:numId="6">
    <w:abstractNumId w:val="10"/>
    <w:lvlOverride w:ilvl="0">
      <w:startOverride w:val="1"/>
    </w:lvlOverride>
  </w:num>
  <w:num w:numId="7">
    <w:abstractNumId w:val="11"/>
    <w:lvlOverride w:ilvl="0">
      <w:startOverride w:val="1"/>
    </w:lvlOverride>
  </w:num>
  <w:num w:numId="8">
    <w:abstractNumId w:val="12"/>
  </w:num>
  <w:num w:numId="9">
    <w:abstractNumId w:val="13"/>
    <w:lvlOverride w:ilvl="0">
      <w:startOverride w:val="1"/>
    </w:lvlOverride>
  </w:num>
  <w:num w:numId="10">
    <w:abstractNumId w:val="14"/>
  </w:num>
  <w:num w:numId="11">
    <w:abstractNumId w:val="15"/>
    <w:lvlOverride w:ilvl="0">
      <w:startOverride w:val="1"/>
    </w:lvlOverride>
  </w:num>
  <w:num w:numId="12">
    <w:abstractNumId w:val="16"/>
  </w:num>
  <w:num w:numId="13">
    <w:abstractNumId w:val="9"/>
  </w:num>
  <w:num w:numId="14">
    <w:abstractNumId w:val="3"/>
  </w:num>
  <w:num w:numId="15">
    <w:abstractNumId w:val="1"/>
  </w:num>
  <w:num w:numId="16">
    <w:abstractNumId w:val="4"/>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0ZDdlMWE1ZmM2N2IzMjc4ZGNkMmRlNjIzZGUyNDkifQ=="/>
  </w:docVars>
  <w:rsids>
    <w:rsidRoot w:val="00DC4935"/>
    <w:rsid w:val="000038EA"/>
    <w:rsid w:val="00007137"/>
    <w:rsid w:val="00007B6D"/>
    <w:rsid w:val="0001010A"/>
    <w:rsid w:val="00012202"/>
    <w:rsid w:val="00012525"/>
    <w:rsid w:val="000126D4"/>
    <w:rsid w:val="0001277B"/>
    <w:rsid w:val="00014652"/>
    <w:rsid w:val="000226E0"/>
    <w:rsid w:val="000262D7"/>
    <w:rsid w:val="000265C5"/>
    <w:rsid w:val="0003279C"/>
    <w:rsid w:val="00041209"/>
    <w:rsid w:val="000423DC"/>
    <w:rsid w:val="00043B36"/>
    <w:rsid w:val="00046BFF"/>
    <w:rsid w:val="00047E74"/>
    <w:rsid w:val="000505F8"/>
    <w:rsid w:val="0005155B"/>
    <w:rsid w:val="00056015"/>
    <w:rsid w:val="0006216A"/>
    <w:rsid w:val="00063382"/>
    <w:rsid w:val="000705A6"/>
    <w:rsid w:val="00074471"/>
    <w:rsid w:val="00075483"/>
    <w:rsid w:val="00075882"/>
    <w:rsid w:val="00075987"/>
    <w:rsid w:val="00077AF3"/>
    <w:rsid w:val="00077CF0"/>
    <w:rsid w:val="00081156"/>
    <w:rsid w:val="00083A9A"/>
    <w:rsid w:val="00086C5F"/>
    <w:rsid w:val="00090ACB"/>
    <w:rsid w:val="00091CAB"/>
    <w:rsid w:val="000A019F"/>
    <w:rsid w:val="000A043D"/>
    <w:rsid w:val="000A0A69"/>
    <w:rsid w:val="000A63D1"/>
    <w:rsid w:val="000B092B"/>
    <w:rsid w:val="000B400F"/>
    <w:rsid w:val="000B4D06"/>
    <w:rsid w:val="000B6236"/>
    <w:rsid w:val="000C1F57"/>
    <w:rsid w:val="000C2D10"/>
    <w:rsid w:val="000C61C0"/>
    <w:rsid w:val="000D5FFC"/>
    <w:rsid w:val="000D6465"/>
    <w:rsid w:val="000E0A21"/>
    <w:rsid w:val="000E4A14"/>
    <w:rsid w:val="000E602A"/>
    <w:rsid w:val="000F124F"/>
    <w:rsid w:val="000F2E26"/>
    <w:rsid w:val="000F7D42"/>
    <w:rsid w:val="0010647F"/>
    <w:rsid w:val="00112F28"/>
    <w:rsid w:val="0011534C"/>
    <w:rsid w:val="00117800"/>
    <w:rsid w:val="00117BEA"/>
    <w:rsid w:val="0012127E"/>
    <w:rsid w:val="001255F2"/>
    <w:rsid w:val="001265BB"/>
    <w:rsid w:val="001277AD"/>
    <w:rsid w:val="00130DE0"/>
    <w:rsid w:val="00132284"/>
    <w:rsid w:val="001341C8"/>
    <w:rsid w:val="001376FD"/>
    <w:rsid w:val="00141471"/>
    <w:rsid w:val="001420FF"/>
    <w:rsid w:val="00143C4B"/>
    <w:rsid w:val="00154777"/>
    <w:rsid w:val="001556BD"/>
    <w:rsid w:val="00167652"/>
    <w:rsid w:val="00167862"/>
    <w:rsid w:val="001706FA"/>
    <w:rsid w:val="00171F8C"/>
    <w:rsid w:val="0017543F"/>
    <w:rsid w:val="00177BFC"/>
    <w:rsid w:val="001831B4"/>
    <w:rsid w:val="00183EB6"/>
    <w:rsid w:val="001841D9"/>
    <w:rsid w:val="00192790"/>
    <w:rsid w:val="00193200"/>
    <w:rsid w:val="001973A2"/>
    <w:rsid w:val="001A2CBC"/>
    <w:rsid w:val="001A726D"/>
    <w:rsid w:val="001A7946"/>
    <w:rsid w:val="001B04D8"/>
    <w:rsid w:val="001B50A5"/>
    <w:rsid w:val="001C2670"/>
    <w:rsid w:val="001C389B"/>
    <w:rsid w:val="001C38F1"/>
    <w:rsid w:val="001C7D4E"/>
    <w:rsid w:val="001C7D4F"/>
    <w:rsid w:val="001D065D"/>
    <w:rsid w:val="001D32A0"/>
    <w:rsid w:val="001D3E29"/>
    <w:rsid w:val="001D4AA9"/>
    <w:rsid w:val="001E6355"/>
    <w:rsid w:val="001F196A"/>
    <w:rsid w:val="001F26BC"/>
    <w:rsid w:val="001F6BB2"/>
    <w:rsid w:val="001F7DB1"/>
    <w:rsid w:val="00206C9B"/>
    <w:rsid w:val="002105DA"/>
    <w:rsid w:val="00210E58"/>
    <w:rsid w:val="00215443"/>
    <w:rsid w:val="00215BC4"/>
    <w:rsid w:val="00215C19"/>
    <w:rsid w:val="00217E53"/>
    <w:rsid w:val="00220654"/>
    <w:rsid w:val="002214DF"/>
    <w:rsid w:val="00224BC4"/>
    <w:rsid w:val="00237FB1"/>
    <w:rsid w:val="00250867"/>
    <w:rsid w:val="00250889"/>
    <w:rsid w:val="00250C60"/>
    <w:rsid w:val="00254030"/>
    <w:rsid w:val="00254C99"/>
    <w:rsid w:val="002611B9"/>
    <w:rsid w:val="002612B7"/>
    <w:rsid w:val="0026332C"/>
    <w:rsid w:val="002656AF"/>
    <w:rsid w:val="002733B8"/>
    <w:rsid w:val="00276A2C"/>
    <w:rsid w:val="0028160E"/>
    <w:rsid w:val="00283FAD"/>
    <w:rsid w:val="002906BB"/>
    <w:rsid w:val="00292823"/>
    <w:rsid w:val="00292852"/>
    <w:rsid w:val="002A35DC"/>
    <w:rsid w:val="002A395C"/>
    <w:rsid w:val="002A4622"/>
    <w:rsid w:val="002A5303"/>
    <w:rsid w:val="002A601A"/>
    <w:rsid w:val="002B1414"/>
    <w:rsid w:val="002B5E65"/>
    <w:rsid w:val="002B5EBB"/>
    <w:rsid w:val="002B5F3A"/>
    <w:rsid w:val="002B76D9"/>
    <w:rsid w:val="002C2ADF"/>
    <w:rsid w:val="002D1FB4"/>
    <w:rsid w:val="002D2E0B"/>
    <w:rsid w:val="002D34C1"/>
    <w:rsid w:val="002D35E6"/>
    <w:rsid w:val="002D7B1F"/>
    <w:rsid w:val="002D7DB7"/>
    <w:rsid w:val="002E3312"/>
    <w:rsid w:val="002E47AF"/>
    <w:rsid w:val="002E6DBB"/>
    <w:rsid w:val="002E7F30"/>
    <w:rsid w:val="002F0ADA"/>
    <w:rsid w:val="0030372C"/>
    <w:rsid w:val="003045DD"/>
    <w:rsid w:val="00310790"/>
    <w:rsid w:val="003121DF"/>
    <w:rsid w:val="00313494"/>
    <w:rsid w:val="00315182"/>
    <w:rsid w:val="00317048"/>
    <w:rsid w:val="0032190C"/>
    <w:rsid w:val="003230FB"/>
    <w:rsid w:val="00323FF9"/>
    <w:rsid w:val="00335D9E"/>
    <w:rsid w:val="00336DEF"/>
    <w:rsid w:val="0034092A"/>
    <w:rsid w:val="0034733B"/>
    <w:rsid w:val="0035349E"/>
    <w:rsid w:val="00353FF1"/>
    <w:rsid w:val="0035640B"/>
    <w:rsid w:val="00357B18"/>
    <w:rsid w:val="003610D5"/>
    <w:rsid w:val="00371D2A"/>
    <w:rsid w:val="00372A60"/>
    <w:rsid w:val="00373EA7"/>
    <w:rsid w:val="00377250"/>
    <w:rsid w:val="00380913"/>
    <w:rsid w:val="003815C4"/>
    <w:rsid w:val="00390C93"/>
    <w:rsid w:val="00391CEC"/>
    <w:rsid w:val="0039257F"/>
    <w:rsid w:val="00392D71"/>
    <w:rsid w:val="00393AEE"/>
    <w:rsid w:val="00394A8B"/>
    <w:rsid w:val="00397565"/>
    <w:rsid w:val="003A0006"/>
    <w:rsid w:val="003A4869"/>
    <w:rsid w:val="003A5E3F"/>
    <w:rsid w:val="003B1895"/>
    <w:rsid w:val="003B2913"/>
    <w:rsid w:val="003B3466"/>
    <w:rsid w:val="003B4651"/>
    <w:rsid w:val="003B4871"/>
    <w:rsid w:val="003C13A3"/>
    <w:rsid w:val="003C3736"/>
    <w:rsid w:val="003C3A18"/>
    <w:rsid w:val="003D103B"/>
    <w:rsid w:val="003D39BF"/>
    <w:rsid w:val="003D4278"/>
    <w:rsid w:val="003D4E29"/>
    <w:rsid w:val="003E0112"/>
    <w:rsid w:val="003F098B"/>
    <w:rsid w:val="003F6842"/>
    <w:rsid w:val="00401794"/>
    <w:rsid w:val="004031CF"/>
    <w:rsid w:val="0040357D"/>
    <w:rsid w:val="004037C5"/>
    <w:rsid w:val="00407534"/>
    <w:rsid w:val="00410E0C"/>
    <w:rsid w:val="004115A4"/>
    <w:rsid w:val="00414DB9"/>
    <w:rsid w:val="00416D3B"/>
    <w:rsid w:val="004174CC"/>
    <w:rsid w:val="00423369"/>
    <w:rsid w:val="004236ED"/>
    <w:rsid w:val="00424D50"/>
    <w:rsid w:val="00425CFC"/>
    <w:rsid w:val="00433F4A"/>
    <w:rsid w:val="00436694"/>
    <w:rsid w:val="00437EB4"/>
    <w:rsid w:val="00441089"/>
    <w:rsid w:val="00441869"/>
    <w:rsid w:val="00442F71"/>
    <w:rsid w:val="00450900"/>
    <w:rsid w:val="00451CBB"/>
    <w:rsid w:val="004529CD"/>
    <w:rsid w:val="004557D9"/>
    <w:rsid w:val="00463AC8"/>
    <w:rsid w:val="004723EA"/>
    <w:rsid w:val="004752E1"/>
    <w:rsid w:val="00485326"/>
    <w:rsid w:val="00485952"/>
    <w:rsid w:val="004924C1"/>
    <w:rsid w:val="00494E48"/>
    <w:rsid w:val="004A21D5"/>
    <w:rsid w:val="004A2C49"/>
    <w:rsid w:val="004A3FFD"/>
    <w:rsid w:val="004B1122"/>
    <w:rsid w:val="004B1969"/>
    <w:rsid w:val="004B1F64"/>
    <w:rsid w:val="004B2831"/>
    <w:rsid w:val="004B503E"/>
    <w:rsid w:val="004B66B0"/>
    <w:rsid w:val="004C5B80"/>
    <w:rsid w:val="004C7CDF"/>
    <w:rsid w:val="004D1B18"/>
    <w:rsid w:val="004D48A0"/>
    <w:rsid w:val="004F05D8"/>
    <w:rsid w:val="004F486F"/>
    <w:rsid w:val="004F63A4"/>
    <w:rsid w:val="004F64EE"/>
    <w:rsid w:val="004F7BE6"/>
    <w:rsid w:val="0050328C"/>
    <w:rsid w:val="0051288D"/>
    <w:rsid w:val="0051558E"/>
    <w:rsid w:val="005203EE"/>
    <w:rsid w:val="00527ED6"/>
    <w:rsid w:val="00530879"/>
    <w:rsid w:val="005337EC"/>
    <w:rsid w:val="00534722"/>
    <w:rsid w:val="00535F6F"/>
    <w:rsid w:val="00540790"/>
    <w:rsid w:val="005418C7"/>
    <w:rsid w:val="00544D21"/>
    <w:rsid w:val="00547D8D"/>
    <w:rsid w:val="00551E87"/>
    <w:rsid w:val="005523C3"/>
    <w:rsid w:val="00553168"/>
    <w:rsid w:val="005541BE"/>
    <w:rsid w:val="005541D2"/>
    <w:rsid w:val="0055567E"/>
    <w:rsid w:val="00560EB1"/>
    <w:rsid w:val="00560F27"/>
    <w:rsid w:val="0056209E"/>
    <w:rsid w:val="00565507"/>
    <w:rsid w:val="005663DC"/>
    <w:rsid w:val="005742ED"/>
    <w:rsid w:val="00574894"/>
    <w:rsid w:val="00574E31"/>
    <w:rsid w:val="00580493"/>
    <w:rsid w:val="0058126C"/>
    <w:rsid w:val="00586C44"/>
    <w:rsid w:val="00587D9C"/>
    <w:rsid w:val="00595246"/>
    <w:rsid w:val="005A3C7E"/>
    <w:rsid w:val="005B2206"/>
    <w:rsid w:val="005B70C3"/>
    <w:rsid w:val="005B7E09"/>
    <w:rsid w:val="005C368F"/>
    <w:rsid w:val="005C6675"/>
    <w:rsid w:val="005E0F02"/>
    <w:rsid w:val="005E7D37"/>
    <w:rsid w:val="005F2C3A"/>
    <w:rsid w:val="005F3D6D"/>
    <w:rsid w:val="00604474"/>
    <w:rsid w:val="006051C4"/>
    <w:rsid w:val="00605BF3"/>
    <w:rsid w:val="0062098F"/>
    <w:rsid w:val="00623545"/>
    <w:rsid w:val="00624DC9"/>
    <w:rsid w:val="00626DB5"/>
    <w:rsid w:val="00631429"/>
    <w:rsid w:val="00637574"/>
    <w:rsid w:val="006429B5"/>
    <w:rsid w:val="006463A9"/>
    <w:rsid w:val="00646F5A"/>
    <w:rsid w:val="00654645"/>
    <w:rsid w:val="006612CF"/>
    <w:rsid w:val="0066488F"/>
    <w:rsid w:val="00665BDC"/>
    <w:rsid w:val="006803B3"/>
    <w:rsid w:val="00681398"/>
    <w:rsid w:val="00682D98"/>
    <w:rsid w:val="00682EAB"/>
    <w:rsid w:val="00685263"/>
    <w:rsid w:val="0069008C"/>
    <w:rsid w:val="00693352"/>
    <w:rsid w:val="006A5D09"/>
    <w:rsid w:val="006A7B2C"/>
    <w:rsid w:val="006B4549"/>
    <w:rsid w:val="006B5331"/>
    <w:rsid w:val="006C49B0"/>
    <w:rsid w:val="006C61FB"/>
    <w:rsid w:val="006D505C"/>
    <w:rsid w:val="006E053E"/>
    <w:rsid w:val="006E2F9A"/>
    <w:rsid w:val="006E40AD"/>
    <w:rsid w:val="006E70FE"/>
    <w:rsid w:val="006E7B2B"/>
    <w:rsid w:val="006F0C46"/>
    <w:rsid w:val="006F2044"/>
    <w:rsid w:val="007014F5"/>
    <w:rsid w:val="007058CD"/>
    <w:rsid w:val="007109DA"/>
    <w:rsid w:val="00725609"/>
    <w:rsid w:val="007261F7"/>
    <w:rsid w:val="0073155F"/>
    <w:rsid w:val="007405EA"/>
    <w:rsid w:val="00745E44"/>
    <w:rsid w:val="00751E18"/>
    <w:rsid w:val="00756371"/>
    <w:rsid w:val="007563CD"/>
    <w:rsid w:val="0075668F"/>
    <w:rsid w:val="00757F5C"/>
    <w:rsid w:val="00763DDA"/>
    <w:rsid w:val="007641C4"/>
    <w:rsid w:val="00765702"/>
    <w:rsid w:val="007662D7"/>
    <w:rsid w:val="00766A64"/>
    <w:rsid w:val="00767EB6"/>
    <w:rsid w:val="00770B25"/>
    <w:rsid w:val="00770EE4"/>
    <w:rsid w:val="00780653"/>
    <w:rsid w:val="007821C3"/>
    <w:rsid w:val="00783692"/>
    <w:rsid w:val="00785798"/>
    <w:rsid w:val="007978B4"/>
    <w:rsid w:val="0079791E"/>
    <w:rsid w:val="00797EAE"/>
    <w:rsid w:val="007A188F"/>
    <w:rsid w:val="007A4658"/>
    <w:rsid w:val="007A4A16"/>
    <w:rsid w:val="007A4D7E"/>
    <w:rsid w:val="007A5F18"/>
    <w:rsid w:val="007A5F75"/>
    <w:rsid w:val="007B1356"/>
    <w:rsid w:val="007B174B"/>
    <w:rsid w:val="007B1D90"/>
    <w:rsid w:val="007B2CFA"/>
    <w:rsid w:val="007B6477"/>
    <w:rsid w:val="007C004B"/>
    <w:rsid w:val="007C1357"/>
    <w:rsid w:val="007C2D4C"/>
    <w:rsid w:val="007C2EA1"/>
    <w:rsid w:val="007C5E33"/>
    <w:rsid w:val="007D1661"/>
    <w:rsid w:val="007D2316"/>
    <w:rsid w:val="007D235E"/>
    <w:rsid w:val="007D438B"/>
    <w:rsid w:val="007D5947"/>
    <w:rsid w:val="007E2542"/>
    <w:rsid w:val="007E52A0"/>
    <w:rsid w:val="007F155A"/>
    <w:rsid w:val="007F3283"/>
    <w:rsid w:val="00801F8D"/>
    <w:rsid w:val="00802725"/>
    <w:rsid w:val="00802836"/>
    <w:rsid w:val="00804837"/>
    <w:rsid w:val="00804DD1"/>
    <w:rsid w:val="008061C9"/>
    <w:rsid w:val="00807BA2"/>
    <w:rsid w:val="00812E19"/>
    <w:rsid w:val="00816ADB"/>
    <w:rsid w:val="00820755"/>
    <w:rsid w:val="00825338"/>
    <w:rsid w:val="00831D7E"/>
    <w:rsid w:val="00836D3F"/>
    <w:rsid w:val="00842E19"/>
    <w:rsid w:val="008446A6"/>
    <w:rsid w:val="00846B97"/>
    <w:rsid w:val="0085495C"/>
    <w:rsid w:val="00856C60"/>
    <w:rsid w:val="008601DB"/>
    <w:rsid w:val="00860374"/>
    <w:rsid w:val="00863392"/>
    <w:rsid w:val="00876340"/>
    <w:rsid w:val="00876463"/>
    <w:rsid w:val="0088381F"/>
    <w:rsid w:val="00883AB6"/>
    <w:rsid w:val="00885E7A"/>
    <w:rsid w:val="00887B61"/>
    <w:rsid w:val="008918A1"/>
    <w:rsid w:val="00897B4D"/>
    <w:rsid w:val="008A3549"/>
    <w:rsid w:val="008A5796"/>
    <w:rsid w:val="008B320F"/>
    <w:rsid w:val="008C1AA7"/>
    <w:rsid w:val="008C2C1A"/>
    <w:rsid w:val="008C530C"/>
    <w:rsid w:val="008D2A31"/>
    <w:rsid w:val="008E0343"/>
    <w:rsid w:val="008E0638"/>
    <w:rsid w:val="008E5841"/>
    <w:rsid w:val="008E7A98"/>
    <w:rsid w:val="008F0802"/>
    <w:rsid w:val="008F2D10"/>
    <w:rsid w:val="008F44BE"/>
    <w:rsid w:val="008F4F99"/>
    <w:rsid w:val="008F6882"/>
    <w:rsid w:val="00902A82"/>
    <w:rsid w:val="00904559"/>
    <w:rsid w:val="0090711F"/>
    <w:rsid w:val="00914766"/>
    <w:rsid w:val="00914B9F"/>
    <w:rsid w:val="00917741"/>
    <w:rsid w:val="00934693"/>
    <w:rsid w:val="00934908"/>
    <w:rsid w:val="00941D29"/>
    <w:rsid w:val="00941FFB"/>
    <w:rsid w:val="00944261"/>
    <w:rsid w:val="0094481F"/>
    <w:rsid w:val="00947873"/>
    <w:rsid w:val="00953128"/>
    <w:rsid w:val="00956208"/>
    <w:rsid w:val="009563E3"/>
    <w:rsid w:val="00960E48"/>
    <w:rsid w:val="00962420"/>
    <w:rsid w:val="00966D3F"/>
    <w:rsid w:val="0097335D"/>
    <w:rsid w:val="0097588C"/>
    <w:rsid w:val="00977F91"/>
    <w:rsid w:val="0098280F"/>
    <w:rsid w:val="00984F23"/>
    <w:rsid w:val="00993732"/>
    <w:rsid w:val="009A06E6"/>
    <w:rsid w:val="009A5536"/>
    <w:rsid w:val="009A6724"/>
    <w:rsid w:val="009A6739"/>
    <w:rsid w:val="009B0E5C"/>
    <w:rsid w:val="009B384B"/>
    <w:rsid w:val="009B4329"/>
    <w:rsid w:val="009B6ED4"/>
    <w:rsid w:val="009C14E2"/>
    <w:rsid w:val="009C6FD7"/>
    <w:rsid w:val="009D64EE"/>
    <w:rsid w:val="009F244C"/>
    <w:rsid w:val="009F25A4"/>
    <w:rsid w:val="009F2877"/>
    <w:rsid w:val="009F457C"/>
    <w:rsid w:val="009F5CA7"/>
    <w:rsid w:val="00A0024E"/>
    <w:rsid w:val="00A10F26"/>
    <w:rsid w:val="00A10F40"/>
    <w:rsid w:val="00A16AFA"/>
    <w:rsid w:val="00A23C5E"/>
    <w:rsid w:val="00A24CF2"/>
    <w:rsid w:val="00A342E1"/>
    <w:rsid w:val="00A34651"/>
    <w:rsid w:val="00A35A4B"/>
    <w:rsid w:val="00A42811"/>
    <w:rsid w:val="00A47A6A"/>
    <w:rsid w:val="00A5251A"/>
    <w:rsid w:val="00A52B28"/>
    <w:rsid w:val="00A57E12"/>
    <w:rsid w:val="00A61491"/>
    <w:rsid w:val="00A7543C"/>
    <w:rsid w:val="00A77BF8"/>
    <w:rsid w:val="00A80696"/>
    <w:rsid w:val="00A93D01"/>
    <w:rsid w:val="00AB5376"/>
    <w:rsid w:val="00AC23DA"/>
    <w:rsid w:val="00AC4004"/>
    <w:rsid w:val="00AD0825"/>
    <w:rsid w:val="00AD4D31"/>
    <w:rsid w:val="00AD71F4"/>
    <w:rsid w:val="00AE08F2"/>
    <w:rsid w:val="00AE29F1"/>
    <w:rsid w:val="00AE4DB8"/>
    <w:rsid w:val="00AE58D1"/>
    <w:rsid w:val="00AF37EA"/>
    <w:rsid w:val="00AF42A5"/>
    <w:rsid w:val="00AF6EE7"/>
    <w:rsid w:val="00AF7F2D"/>
    <w:rsid w:val="00B00747"/>
    <w:rsid w:val="00B00B14"/>
    <w:rsid w:val="00B06722"/>
    <w:rsid w:val="00B0696B"/>
    <w:rsid w:val="00B175D3"/>
    <w:rsid w:val="00B20946"/>
    <w:rsid w:val="00B20B24"/>
    <w:rsid w:val="00B221C5"/>
    <w:rsid w:val="00B301EE"/>
    <w:rsid w:val="00B31166"/>
    <w:rsid w:val="00B32590"/>
    <w:rsid w:val="00B351BD"/>
    <w:rsid w:val="00B3537F"/>
    <w:rsid w:val="00B37A92"/>
    <w:rsid w:val="00B4009C"/>
    <w:rsid w:val="00B409E1"/>
    <w:rsid w:val="00B4431B"/>
    <w:rsid w:val="00B608D7"/>
    <w:rsid w:val="00B6295C"/>
    <w:rsid w:val="00B63060"/>
    <w:rsid w:val="00B6329A"/>
    <w:rsid w:val="00B65F54"/>
    <w:rsid w:val="00B667E9"/>
    <w:rsid w:val="00B675A6"/>
    <w:rsid w:val="00B704C3"/>
    <w:rsid w:val="00B74151"/>
    <w:rsid w:val="00B81696"/>
    <w:rsid w:val="00B867DC"/>
    <w:rsid w:val="00B87A46"/>
    <w:rsid w:val="00B969EB"/>
    <w:rsid w:val="00B97D83"/>
    <w:rsid w:val="00BA212A"/>
    <w:rsid w:val="00BA4142"/>
    <w:rsid w:val="00BA5E3B"/>
    <w:rsid w:val="00BA7675"/>
    <w:rsid w:val="00BB22AB"/>
    <w:rsid w:val="00BB4216"/>
    <w:rsid w:val="00BB6199"/>
    <w:rsid w:val="00BB6730"/>
    <w:rsid w:val="00BC4136"/>
    <w:rsid w:val="00BC523D"/>
    <w:rsid w:val="00BC70FC"/>
    <w:rsid w:val="00BD092D"/>
    <w:rsid w:val="00BD6432"/>
    <w:rsid w:val="00BD7604"/>
    <w:rsid w:val="00BE167F"/>
    <w:rsid w:val="00BE3B47"/>
    <w:rsid w:val="00BE65A3"/>
    <w:rsid w:val="00BF000C"/>
    <w:rsid w:val="00BF15A3"/>
    <w:rsid w:val="00BF3408"/>
    <w:rsid w:val="00BF47DC"/>
    <w:rsid w:val="00BF6BDC"/>
    <w:rsid w:val="00BF6EC7"/>
    <w:rsid w:val="00C036B6"/>
    <w:rsid w:val="00C03E84"/>
    <w:rsid w:val="00C070A9"/>
    <w:rsid w:val="00C07AE2"/>
    <w:rsid w:val="00C07CEF"/>
    <w:rsid w:val="00C10D26"/>
    <w:rsid w:val="00C13E26"/>
    <w:rsid w:val="00C14973"/>
    <w:rsid w:val="00C2287F"/>
    <w:rsid w:val="00C2311D"/>
    <w:rsid w:val="00C2592B"/>
    <w:rsid w:val="00C2693A"/>
    <w:rsid w:val="00C30D91"/>
    <w:rsid w:val="00C31262"/>
    <w:rsid w:val="00C31BC1"/>
    <w:rsid w:val="00C3326A"/>
    <w:rsid w:val="00C41BC5"/>
    <w:rsid w:val="00C41FF8"/>
    <w:rsid w:val="00C44A58"/>
    <w:rsid w:val="00C44BBA"/>
    <w:rsid w:val="00C502A0"/>
    <w:rsid w:val="00C53C88"/>
    <w:rsid w:val="00C56AB9"/>
    <w:rsid w:val="00C57B5A"/>
    <w:rsid w:val="00C6013A"/>
    <w:rsid w:val="00C60A86"/>
    <w:rsid w:val="00C60AC3"/>
    <w:rsid w:val="00C61B26"/>
    <w:rsid w:val="00C62C57"/>
    <w:rsid w:val="00C646A4"/>
    <w:rsid w:val="00C66053"/>
    <w:rsid w:val="00C67386"/>
    <w:rsid w:val="00C675E0"/>
    <w:rsid w:val="00C67E25"/>
    <w:rsid w:val="00C708CD"/>
    <w:rsid w:val="00C7154F"/>
    <w:rsid w:val="00C7226E"/>
    <w:rsid w:val="00C748A5"/>
    <w:rsid w:val="00C75997"/>
    <w:rsid w:val="00C82A00"/>
    <w:rsid w:val="00C856E5"/>
    <w:rsid w:val="00C938B2"/>
    <w:rsid w:val="00C952A0"/>
    <w:rsid w:val="00C96124"/>
    <w:rsid w:val="00CA4101"/>
    <w:rsid w:val="00CB3EF4"/>
    <w:rsid w:val="00CB794D"/>
    <w:rsid w:val="00CC02FC"/>
    <w:rsid w:val="00CC357A"/>
    <w:rsid w:val="00CC7716"/>
    <w:rsid w:val="00CD1CEC"/>
    <w:rsid w:val="00CD5F6F"/>
    <w:rsid w:val="00CD789F"/>
    <w:rsid w:val="00CE79FA"/>
    <w:rsid w:val="00D0627D"/>
    <w:rsid w:val="00D14A3E"/>
    <w:rsid w:val="00D14FF0"/>
    <w:rsid w:val="00D16420"/>
    <w:rsid w:val="00D170DA"/>
    <w:rsid w:val="00D30564"/>
    <w:rsid w:val="00D32B1C"/>
    <w:rsid w:val="00D34EE8"/>
    <w:rsid w:val="00D37120"/>
    <w:rsid w:val="00D372F3"/>
    <w:rsid w:val="00D3797F"/>
    <w:rsid w:val="00D46173"/>
    <w:rsid w:val="00D547D8"/>
    <w:rsid w:val="00D55D06"/>
    <w:rsid w:val="00D579AC"/>
    <w:rsid w:val="00D6073A"/>
    <w:rsid w:val="00D60B27"/>
    <w:rsid w:val="00D63BE2"/>
    <w:rsid w:val="00D64F27"/>
    <w:rsid w:val="00D658D6"/>
    <w:rsid w:val="00D7219B"/>
    <w:rsid w:val="00D72D85"/>
    <w:rsid w:val="00D735C2"/>
    <w:rsid w:val="00D80AA8"/>
    <w:rsid w:val="00D82B13"/>
    <w:rsid w:val="00D8453C"/>
    <w:rsid w:val="00D85063"/>
    <w:rsid w:val="00D94B10"/>
    <w:rsid w:val="00D9575C"/>
    <w:rsid w:val="00DA2785"/>
    <w:rsid w:val="00DC02F5"/>
    <w:rsid w:val="00DC1B21"/>
    <w:rsid w:val="00DC4935"/>
    <w:rsid w:val="00DC63F9"/>
    <w:rsid w:val="00DD1495"/>
    <w:rsid w:val="00DD1754"/>
    <w:rsid w:val="00DD1950"/>
    <w:rsid w:val="00DD21EA"/>
    <w:rsid w:val="00DD3427"/>
    <w:rsid w:val="00DE0F2D"/>
    <w:rsid w:val="00DE4DA0"/>
    <w:rsid w:val="00DE7993"/>
    <w:rsid w:val="00DF1755"/>
    <w:rsid w:val="00DF6EEF"/>
    <w:rsid w:val="00E050D8"/>
    <w:rsid w:val="00E06EF7"/>
    <w:rsid w:val="00E10F61"/>
    <w:rsid w:val="00E12263"/>
    <w:rsid w:val="00E128D7"/>
    <w:rsid w:val="00E13444"/>
    <w:rsid w:val="00E142E4"/>
    <w:rsid w:val="00E15489"/>
    <w:rsid w:val="00E161DE"/>
    <w:rsid w:val="00E17911"/>
    <w:rsid w:val="00E2043E"/>
    <w:rsid w:val="00E209AA"/>
    <w:rsid w:val="00E2565A"/>
    <w:rsid w:val="00E25E26"/>
    <w:rsid w:val="00E34626"/>
    <w:rsid w:val="00E3568B"/>
    <w:rsid w:val="00E35B6F"/>
    <w:rsid w:val="00E366E6"/>
    <w:rsid w:val="00E4066C"/>
    <w:rsid w:val="00E43DD2"/>
    <w:rsid w:val="00E47844"/>
    <w:rsid w:val="00E637F4"/>
    <w:rsid w:val="00E63CC6"/>
    <w:rsid w:val="00E6652F"/>
    <w:rsid w:val="00E6788A"/>
    <w:rsid w:val="00E762D8"/>
    <w:rsid w:val="00E84688"/>
    <w:rsid w:val="00E8504E"/>
    <w:rsid w:val="00E85887"/>
    <w:rsid w:val="00E934B6"/>
    <w:rsid w:val="00E943DB"/>
    <w:rsid w:val="00EA1DC3"/>
    <w:rsid w:val="00EA4CD4"/>
    <w:rsid w:val="00EA5A7E"/>
    <w:rsid w:val="00EA5BBB"/>
    <w:rsid w:val="00EA6927"/>
    <w:rsid w:val="00EB0A8D"/>
    <w:rsid w:val="00EB2273"/>
    <w:rsid w:val="00EB2CAE"/>
    <w:rsid w:val="00EB6987"/>
    <w:rsid w:val="00EC056C"/>
    <w:rsid w:val="00EC2497"/>
    <w:rsid w:val="00EC33FF"/>
    <w:rsid w:val="00ED099D"/>
    <w:rsid w:val="00ED1167"/>
    <w:rsid w:val="00ED2C87"/>
    <w:rsid w:val="00ED2DBB"/>
    <w:rsid w:val="00EF3F24"/>
    <w:rsid w:val="00EF77C8"/>
    <w:rsid w:val="00F018D0"/>
    <w:rsid w:val="00F01915"/>
    <w:rsid w:val="00F032FF"/>
    <w:rsid w:val="00F036D2"/>
    <w:rsid w:val="00F12B5B"/>
    <w:rsid w:val="00F12DAB"/>
    <w:rsid w:val="00F15370"/>
    <w:rsid w:val="00F2109E"/>
    <w:rsid w:val="00F23112"/>
    <w:rsid w:val="00F24045"/>
    <w:rsid w:val="00F2502D"/>
    <w:rsid w:val="00F260D5"/>
    <w:rsid w:val="00F268A4"/>
    <w:rsid w:val="00F31F4A"/>
    <w:rsid w:val="00F41C17"/>
    <w:rsid w:val="00F44932"/>
    <w:rsid w:val="00F45BA9"/>
    <w:rsid w:val="00F47E0D"/>
    <w:rsid w:val="00F51740"/>
    <w:rsid w:val="00F56059"/>
    <w:rsid w:val="00F56F7D"/>
    <w:rsid w:val="00F577C5"/>
    <w:rsid w:val="00F57956"/>
    <w:rsid w:val="00F67F17"/>
    <w:rsid w:val="00F70015"/>
    <w:rsid w:val="00F7305B"/>
    <w:rsid w:val="00F7793E"/>
    <w:rsid w:val="00F811A3"/>
    <w:rsid w:val="00F9466F"/>
    <w:rsid w:val="00F94C03"/>
    <w:rsid w:val="00F955A2"/>
    <w:rsid w:val="00F9668D"/>
    <w:rsid w:val="00FA318C"/>
    <w:rsid w:val="00FA61A5"/>
    <w:rsid w:val="00FB5CBC"/>
    <w:rsid w:val="00FB5D65"/>
    <w:rsid w:val="00FB7CD6"/>
    <w:rsid w:val="00FC1515"/>
    <w:rsid w:val="00FC58E4"/>
    <w:rsid w:val="00FD0885"/>
    <w:rsid w:val="00FD11FB"/>
    <w:rsid w:val="00FD3ADF"/>
    <w:rsid w:val="00FE794E"/>
    <w:rsid w:val="00FF42F3"/>
    <w:rsid w:val="00FF4537"/>
    <w:rsid w:val="01081D25"/>
    <w:rsid w:val="01112761"/>
    <w:rsid w:val="01211666"/>
    <w:rsid w:val="0195414E"/>
    <w:rsid w:val="03096C54"/>
    <w:rsid w:val="03BF7E99"/>
    <w:rsid w:val="0437200F"/>
    <w:rsid w:val="05937BD7"/>
    <w:rsid w:val="06530982"/>
    <w:rsid w:val="07011DF9"/>
    <w:rsid w:val="07A0532B"/>
    <w:rsid w:val="09273A1C"/>
    <w:rsid w:val="095E559D"/>
    <w:rsid w:val="09725D0D"/>
    <w:rsid w:val="09D3610B"/>
    <w:rsid w:val="0A344D76"/>
    <w:rsid w:val="0A452465"/>
    <w:rsid w:val="0AFE394E"/>
    <w:rsid w:val="0D2529B5"/>
    <w:rsid w:val="0D270436"/>
    <w:rsid w:val="0E3E34DA"/>
    <w:rsid w:val="0E835B8E"/>
    <w:rsid w:val="105F021E"/>
    <w:rsid w:val="113223FE"/>
    <w:rsid w:val="11A93C5C"/>
    <w:rsid w:val="12AE6C3E"/>
    <w:rsid w:val="13FD2432"/>
    <w:rsid w:val="155C324D"/>
    <w:rsid w:val="156B3E88"/>
    <w:rsid w:val="164736E6"/>
    <w:rsid w:val="184F5832"/>
    <w:rsid w:val="19A43465"/>
    <w:rsid w:val="19C75C91"/>
    <w:rsid w:val="1A0E446D"/>
    <w:rsid w:val="1A3A155A"/>
    <w:rsid w:val="1AF80AAA"/>
    <w:rsid w:val="1C3B3891"/>
    <w:rsid w:val="1D7C0C84"/>
    <w:rsid w:val="1D910E43"/>
    <w:rsid w:val="1E646882"/>
    <w:rsid w:val="1F2B0BD4"/>
    <w:rsid w:val="1F3727F0"/>
    <w:rsid w:val="1F627C74"/>
    <w:rsid w:val="2282075D"/>
    <w:rsid w:val="22C029B6"/>
    <w:rsid w:val="23A001CD"/>
    <w:rsid w:val="246529AA"/>
    <w:rsid w:val="253A0100"/>
    <w:rsid w:val="25FB2DE0"/>
    <w:rsid w:val="26ED0790"/>
    <w:rsid w:val="26ED27D1"/>
    <w:rsid w:val="29954641"/>
    <w:rsid w:val="29AA0009"/>
    <w:rsid w:val="2AD6555A"/>
    <w:rsid w:val="2D4C5573"/>
    <w:rsid w:val="2DAA1A9C"/>
    <w:rsid w:val="2DC17D59"/>
    <w:rsid w:val="2E8F5EAC"/>
    <w:rsid w:val="2EDF74A6"/>
    <w:rsid w:val="2FAB0637"/>
    <w:rsid w:val="32125B0F"/>
    <w:rsid w:val="321E0783"/>
    <w:rsid w:val="33EE004E"/>
    <w:rsid w:val="348547EC"/>
    <w:rsid w:val="34CA06AE"/>
    <w:rsid w:val="354F46A7"/>
    <w:rsid w:val="355C5AC6"/>
    <w:rsid w:val="39FD3454"/>
    <w:rsid w:val="3AA31DB3"/>
    <w:rsid w:val="3BAF0217"/>
    <w:rsid w:val="3BD27231"/>
    <w:rsid w:val="3C5D0939"/>
    <w:rsid w:val="3CD10D85"/>
    <w:rsid w:val="3D8B63BA"/>
    <w:rsid w:val="3DA123A9"/>
    <w:rsid w:val="408815CA"/>
    <w:rsid w:val="419B465A"/>
    <w:rsid w:val="41BE4AF5"/>
    <w:rsid w:val="4386599B"/>
    <w:rsid w:val="44547942"/>
    <w:rsid w:val="4461561B"/>
    <w:rsid w:val="448D49EA"/>
    <w:rsid w:val="46414F28"/>
    <w:rsid w:val="46B136CD"/>
    <w:rsid w:val="473F209E"/>
    <w:rsid w:val="47F852A0"/>
    <w:rsid w:val="48672271"/>
    <w:rsid w:val="488C2C7B"/>
    <w:rsid w:val="494F1734"/>
    <w:rsid w:val="49711FE4"/>
    <w:rsid w:val="4A9F2BAB"/>
    <w:rsid w:val="4E2E2D6E"/>
    <w:rsid w:val="4E417B4F"/>
    <w:rsid w:val="4EAA18D8"/>
    <w:rsid w:val="51096898"/>
    <w:rsid w:val="513144BA"/>
    <w:rsid w:val="51C473E9"/>
    <w:rsid w:val="53644E41"/>
    <w:rsid w:val="53AE44D7"/>
    <w:rsid w:val="54567359"/>
    <w:rsid w:val="5471038D"/>
    <w:rsid w:val="55461372"/>
    <w:rsid w:val="55B53DAC"/>
    <w:rsid w:val="5689762F"/>
    <w:rsid w:val="59780EFD"/>
    <w:rsid w:val="5CFE3440"/>
    <w:rsid w:val="5F5F433F"/>
    <w:rsid w:val="5F78550F"/>
    <w:rsid w:val="5FD208D8"/>
    <w:rsid w:val="60EF4C4D"/>
    <w:rsid w:val="617F1329"/>
    <w:rsid w:val="635D74BC"/>
    <w:rsid w:val="65BF01CA"/>
    <w:rsid w:val="675932F7"/>
    <w:rsid w:val="68C1769A"/>
    <w:rsid w:val="68C25C27"/>
    <w:rsid w:val="69614D34"/>
    <w:rsid w:val="6A4E498E"/>
    <w:rsid w:val="6A871C21"/>
    <w:rsid w:val="6AC0272E"/>
    <w:rsid w:val="6ACD6C06"/>
    <w:rsid w:val="6B644FAD"/>
    <w:rsid w:val="6DE65371"/>
    <w:rsid w:val="6E020C07"/>
    <w:rsid w:val="6F490CF7"/>
    <w:rsid w:val="6FBD49D0"/>
    <w:rsid w:val="6FCD43E3"/>
    <w:rsid w:val="75953385"/>
    <w:rsid w:val="76CD2919"/>
    <w:rsid w:val="78802156"/>
    <w:rsid w:val="796D1B06"/>
    <w:rsid w:val="7A035D19"/>
    <w:rsid w:val="7C7A2D4A"/>
    <w:rsid w:val="7E385B95"/>
    <w:rsid w:val="7EE75AF3"/>
    <w:rsid w:val="7F880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1"/>
    <w:qFormat/>
    <w:uiPriority w:val="0"/>
    <w:pPr>
      <w:keepNext/>
      <w:keepLines/>
      <w:spacing w:before="340" w:after="330" w:line="576" w:lineRule="auto"/>
      <w:outlineLvl w:val="0"/>
    </w:pPr>
    <w:rPr>
      <w:b/>
      <w:bCs/>
      <w:kern w:val="44"/>
      <w:sz w:val="30"/>
      <w:szCs w:val="44"/>
      <w:lang w:val="zh-CN"/>
    </w:rPr>
  </w:style>
  <w:style w:type="paragraph" w:styleId="4">
    <w:name w:val="heading 2"/>
    <w:basedOn w:val="1"/>
    <w:next w:val="1"/>
    <w:link w:val="42"/>
    <w:qFormat/>
    <w:uiPriority w:val="0"/>
    <w:pPr>
      <w:keepNext/>
      <w:keepLines/>
      <w:spacing w:before="260" w:after="260" w:line="415" w:lineRule="auto"/>
      <w:outlineLvl w:val="1"/>
    </w:pPr>
    <w:rPr>
      <w:rFonts w:ascii="Cambria" w:hAnsi="Cambria"/>
      <w:b/>
      <w:bCs/>
      <w:sz w:val="32"/>
      <w:szCs w:val="32"/>
      <w:lang w:val="zh-CN"/>
    </w:rPr>
  </w:style>
  <w:style w:type="paragraph" w:styleId="5">
    <w:name w:val="heading 3"/>
    <w:basedOn w:val="1"/>
    <w:next w:val="1"/>
    <w:link w:val="43"/>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44"/>
    <w:unhideWhenUsed/>
    <w:qFormat/>
    <w:uiPriority w:val="0"/>
    <w:pPr>
      <w:keepNext/>
      <w:keepLines/>
      <w:spacing w:before="280" w:after="290" w:line="372" w:lineRule="auto"/>
      <w:outlineLvl w:val="3"/>
    </w:pPr>
    <w:rPr>
      <w:rFonts w:ascii="DejaVu Sans" w:hAnsi="DejaVu Sans" w:eastAsia="方正黑体_GBK" w:cstheme="minorBidi"/>
      <w:b/>
      <w:sz w:val="28"/>
    </w:rPr>
  </w:style>
  <w:style w:type="paragraph" w:styleId="7">
    <w:name w:val="heading 5"/>
    <w:basedOn w:val="1"/>
    <w:next w:val="1"/>
    <w:link w:val="45"/>
    <w:unhideWhenUsed/>
    <w:qFormat/>
    <w:uiPriority w:val="0"/>
    <w:pPr>
      <w:keepNext/>
      <w:keepLines/>
      <w:spacing w:before="280" w:after="290" w:line="372" w:lineRule="auto"/>
      <w:outlineLvl w:val="4"/>
    </w:pPr>
    <w:rPr>
      <w:rFonts w:asciiTheme="minorHAnsi" w:hAnsiTheme="minorHAnsi" w:eastAsiaTheme="minorEastAsia" w:cstheme="minorBidi"/>
      <w:b/>
      <w:sz w:val="28"/>
    </w:rPr>
  </w:style>
  <w:style w:type="paragraph" w:styleId="8">
    <w:name w:val="heading 6"/>
    <w:basedOn w:val="1"/>
    <w:next w:val="1"/>
    <w:link w:val="46"/>
    <w:unhideWhenUsed/>
    <w:qFormat/>
    <w:uiPriority w:val="0"/>
    <w:pPr>
      <w:keepNext/>
      <w:keepLines/>
      <w:spacing w:before="240" w:after="64" w:line="317" w:lineRule="auto"/>
      <w:outlineLvl w:val="5"/>
    </w:pPr>
    <w:rPr>
      <w:rFonts w:ascii="DejaVu Sans" w:hAnsi="DejaVu Sans" w:eastAsia="方正黑体_GBK" w:cstheme="minorBidi"/>
      <w:b/>
    </w:rPr>
  </w:style>
  <w:style w:type="paragraph" w:styleId="9">
    <w:name w:val="heading 7"/>
    <w:basedOn w:val="1"/>
    <w:next w:val="10"/>
    <w:link w:val="47"/>
    <w:qFormat/>
    <w:uiPriority w:val="0"/>
    <w:pPr>
      <w:keepNext/>
      <w:keepLines/>
      <w:numPr>
        <w:ilvl w:val="6"/>
        <w:numId w:val="1"/>
      </w:numPr>
      <w:spacing w:before="240" w:after="64" w:line="320" w:lineRule="auto"/>
      <w:outlineLvl w:val="6"/>
    </w:pPr>
    <w:rPr>
      <w:b/>
      <w:szCs w:val="20"/>
    </w:rPr>
  </w:style>
  <w:style w:type="paragraph" w:styleId="11">
    <w:name w:val="heading 8"/>
    <w:basedOn w:val="1"/>
    <w:next w:val="10"/>
    <w:link w:val="48"/>
    <w:qFormat/>
    <w:uiPriority w:val="0"/>
    <w:pPr>
      <w:keepNext/>
      <w:keepLines/>
      <w:numPr>
        <w:ilvl w:val="7"/>
        <w:numId w:val="1"/>
      </w:numPr>
      <w:spacing w:before="240" w:after="64" w:line="320" w:lineRule="auto"/>
      <w:outlineLvl w:val="7"/>
    </w:pPr>
    <w:rPr>
      <w:rFonts w:ascii="Arial" w:hAnsi="Arial" w:eastAsia="黑体"/>
      <w:szCs w:val="20"/>
    </w:rPr>
  </w:style>
  <w:style w:type="paragraph" w:styleId="12">
    <w:name w:val="heading 9"/>
    <w:basedOn w:val="1"/>
    <w:next w:val="10"/>
    <w:link w:val="49"/>
    <w:qFormat/>
    <w:uiPriority w:val="0"/>
    <w:pPr>
      <w:keepNext/>
      <w:keepLines/>
      <w:numPr>
        <w:ilvl w:val="8"/>
        <w:numId w:val="1"/>
      </w:numPr>
      <w:spacing w:before="240" w:after="64" w:line="320" w:lineRule="auto"/>
      <w:outlineLvl w:val="8"/>
    </w:pPr>
    <w:rPr>
      <w:rFonts w:ascii="Arial" w:hAnsi="Arial" w:eastAsia="黑体"/>
      <w:sz w:val="21"/>
      <w:szCs w:val="20"/>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标准中文版式_正文"/>
    <w:basedOn w:val="1"/>
    <w:qFormat/>
    <w:uiPriority w:val="0"/>
    <w:pPr>
      <w:spacing w:before="30" w:line="360" w:lineRule="auto"/>
      <w:ind w:firstLine="200" w:firstLineChars="200"/>
    </w:pPr>
    <w:rPr>
      <w:rFonts w:ascii="Arial" w:hAnsi="Arial"/>
      <w:sz w:val="24"/>
    </w:rPr>
  </w:style>
  <w:style w:type="paragraph" w:styleId="10">
    <w:name w:val="Normal Indent"/>
    <w:basedOn w:val="1"/>
    <w:qFormat/>
    <w:uiPriority w:val="0"/>
    <w:pPr>
      <w:ind w:firstLine="420"/>
    </w:pPr>
    <w:rPr>
      <w:szCs w:val="20"/>
    </w:rPr>
  </w:style>
  <w:style w:type="paragraph" w:styleId="13">
    <w:name w:val="caption"/>
    <w:basedOn w:val="1"/>
    <w:next w:val="1"/>
    <w:link w:val="122"/>
    <w:qFormat/>
    <w:uiPriority w:val="0"/>
    <w:rPr>
      <w:rFonts w:ascii="Calibri" w:hAnsi="Calibri"/>
      <w:sz w:val="18"/>
      <w:szCs w:val="18"/>
    </w:rPr>
  </w:style>
  <w:style w:type="paragraph" w:styleId="14">
    <w:name w:val="Document Map"/>
    <w:basedOn w:val="1"/>
    <w:link w:val="50"/>
    <w:qFormat/>
    <w:uiPriority w:val="0"/>
    <w:pPr>
      <w:shd w:val="clear" w:color="auto" w:fill="000080"/>
    </w:pPr>
    <w:rPr>
      <w:rFonts w:asciiTheme="minorHAnsi" w:hAnsiTheme="minorHAnsi" w:eastAsiaTheme="minorEastAsia" w:cstheme="minorBidi"/>
    </w:rPr>
  </w:style>
  <w:style w:type="paragraph" w:styleId="15">
    <w:name w:val="annotation text"/>
    <w:basedOn w:val="1"/>
    <w:link w:val="51"/>
    <w:qFormat/>
    <w:uiPriority w:val="0"/>
    <w:pPr>
      <w:jc w:val="left"/>
    </w:pPr>
    <w:rPr>
      <w:rFonts w:asciiTheme="minorHAnsi" w:hAnsiTheme="minorHAnsi" w:eastAsiaTheme="minorEastAsia" w:cstheme="minorBidi"/>
    </w:rPr>
  </w:style>
  <w:style w:type="paragraph" w:styleId="16">
    <w:name w:val="Body Text"/>
    <w:basedOn w:val="1"/>
    <w:next w:val="17"/>
    <w:link w:val="52"/>
    <w:qFormat/>
    <w:uiPriority w:val="0"/>
    <w:pPr>
      <w:spacing w:after="120"/>
    </w:pPr>
    <w:rPr>
      <w:lang w:val="zh-CN"/>
    </w:rPr>
  </w:style>
  <w:style w:type="paragraph" w:styleId="17">
    <w:name w:val="Plain Text"/>
    <w:basedOn w:val="1"/>
    <w:link w:val="54"/>
    <w:qFormat/>
    <w:uiPriority w:val="0"/>
    <w:rPr>
      <w:rFonts w:ascii="宋体" w:hAnsi="Courier New" w:cs="Courier New" w:eastAsiaTheme="minorEastAsia"/>
      <w:sz w:val="21"/>
      <w:szCs w:val="21"/>
    </w:rPr>
  </w:style>
  <w:style w:type="paragraph" w:styleId="18">
    <w:name w:val="Body Text Indent"/>
    <w:basedOn w:val="1"/>
    <w:link w:val="53"/>
    <w:qFormat/>
    <w:uiPriority w:val="0"/>
    <w:pPr>
      <w:spacing w:after="120"/>
      <w:ind w:left="420" w:leftChars="200"/>
    </w:pPr>
    <w:rPr>
      <w:rFonts w:asciiTheme="minorHAnsi" w:hAnsiTheme="minorHAnsi" w:eastAsiaTheme="minorEastAsia" w:cstheme="minorBidi"/>
      <w:sz w:val="21"/>
    </w:rPr>
  </w:style>
  <w:style w:type="paragraph" w:styleId="19">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20">
    <w:name w:val="Date"/>
    <w:basedOn w:val="1"/>
    <w:next w:val="1"/>
    <w:link w:val="55"/>
    <w:qFormat/>
    <w:uiPriority w:val="0"/>
    <w:pPr>
      <w:ind w:left="100" w:leftChars="2500"/>
    </w:pPr>
    <w:rPr>
      <w:rFonts w:eastAsia="仿宋_GB2312" w:asciiTheme="minorHAnsi" w:hAnsiTheme="minorHAnsi" w:cstheme="minorBidi"/>
      <w:sz w:val="32"/>
    </w:rPr>
  </w:style>
  <w:style w:type="paragraph" w:styleId="21">
    <w:name w:val="Body Text Indent 2"/>
    <w:basedOn w:val="1"/>
    <w:link w:val="56"/>
    <w:qFormat/>
    <w:uiPriority w:val="0"/>
    <w:pPr>
      <w:spacing w:line="400" w:lineRule="atLeast"/>
      <w:ind w:left="840"/>
    </w:pPr>
    <w:rPr>
      <w:rFonts w:ascii="华文中宋" w:hAnsi="宋体" w:eastAsia="华文中宋"/>
      <w:kern w:val="0"/>
      <w:szCs w:val="20"/>
    </w:rPr>
  </w:style>
  <w:style w:type="paragraph" w:styleId="22">
    <w:name w:val="Balloon Text"/>
    <w:basedOn w:val="1"/>
    <w:link w:val="57"/>
    <w:qFormat/>
    <w:uiPriority w:val="0"/>
    <w:rPr>
      <w:sz w:val="18"/>
      <w:szCs w:val="18"/>
      <w:lang w:val="zh-CN"/>
    </w:rPr>
  </w:style>
  <w:style w:type="paragraph" w:styleId="23">
    <w:name w:val="footer"/>
    <w:basedOn w:val="1"/>
    <w:link w:val="58"/>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4">
    <w:name w:val="header"/>
    <w:basedOn w:val="1"/>
    <w:link w:val="5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5">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26">
    <w:name w:val="Subtitle"/>
    <w:basedOn w:val="1"/>
    <w:next w:val="1"/>
    <w:link w:val="60"/>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27">
    <w:name w:val="Body Text Indent 3"/>
    <w:basedOn w:val="1"/>
    <w:link w:val="61"/>
    <w:qFormat/>
    <w:uiPriority w:val="0"/>
    <w:pPr>
      <w:spacing w:after="120"/>
      <w:ind w:left="420" w:leftChars="200"/>
    </w:pPr>
    <w:rPr>
      <w:rFonts w:asciiTheme="minorHAnsi" w:hAnsiTheme="minorHAnsi" w:eastAsiaTheme="minorEastAsia" w:cstheme="minorBidi"/>
      <w:sz w:val="16"/>
      <w:szCs w:val="16"/>
    </w:rPr>
  </w:style>
  <w:style w:type="paragraph" w:styleId="28">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29">
    <w:name w:val="Normal (Web)"/>
    <w:basedOn w:val="1"/>
    <w:qFormat/>
    <w:uiPriority w:val="0"/>
    <w:pPr>
      <w:spacing w:before="100" w:beforeAutospacing="1" w:after="100" w:afterAutospacing="1"/>
      <w:jc w:val="left"/>
    </w:pPr>
    <w:rPr>
      <w:kern w:val="0"/>
    </w:rPr>
  </w:style>
  <w:style w:type="paragraph" w:styleId="30">
    <w:name w:val="Title"/>
    <w:basedOn w:val="1"/>
    <w:next w:val="1"/>
    <w:link w:val="62"/>
    <w:qFormat/>
    <w:uiPriority w:val="10"/>
    <w:pPr>
      <w:spacing w:before="240" w:after="60"/>
      <w:jc w:val="center"/>
      <w:outlineLvl w:val="0"/>
    </w:pPr>
    <w:rPr>
      <w:rFonts w:ascii="Cambria" w:hAnsi="Cambria" w:eastAsiaTheme="minorEastAsia" w:cstheme="minorBidi"/>
      <w:b/>
      <w:bCs/>
      <w:sz w:val="36"/>
      <w:szCs w:val="32"/>
    </w:rPr>
  </w:style>
  <w:style w:type="paragraph" w:styleId="31">
    <w:name w:val="annotation subject"/>
    <w:basedOn w:val="15"/>
    <w:next w:val="15"/>
    <w:link w:val="63"/>
    <w:qFormat/>
    <w:uiPriority w:val="0"/>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99"/>
    <w:rPr>
      <w:color w:val="000000"/>
      <w:u w:val="none"/>
    </w:rPr>
  </w:style>
  <w:style w:type="character" w:styleId="38">
    <w:name w:val="Emphasis"/>
    <w:qFormat/>
    <w:uiPriority w:val="0"/>
  </w:style>
  <w:style w:type="character" w:styleId="39">
    <w:name w:val="Hyperlink"/>
    <w:qFormat/>
    <w:uiPriority w:val="99"/>
    <w:rPr>
      <w:color w:val="000000"/>
      <w:u w:val="none"/>
    </w:rPr>
  </w:style>
  <w:style w:type="character" w:styleId="40">
    <w:name w:val="annotation reference"/>
    <w:qFormat/>
    <w:uiPriority w:val="0"/>
    <w:rPr>
      <w:sz w:val="21"/>
      <w:szCs w:val="21"/>
    </w:rPr>
  </w:style>
  <w:style w:type="character" w:customStyle="1" w:styleId="41">
    <w:name w:val="标题 1 Char"/>
    <w:basedOn w:val="34"/>
    <w:link w:val="3"/>
    <w:qFormat/>
    <w:uiPriority w:val="0"/>
    <w:rPr>
      <w:rFonts w:ascii="Times New Roman" w:hAnsi="Times New Roman" w:eastAsia="宋体" w:cs="Times New Roman"/>
      <w:b/>
      <w:bCs/>
      <w:kern w:val="44"/>
      <w:sz w:val="30"/>
      <w:szCs w:val="44"/>
      <w:lang w:val="zh-CN" w:eastAsia="zh-CN"/>
    </w:rPr>
  </w:style>
  <w:style w:type="character" w:customStyle="1" w:styleId="42">
    <w:name w:val="标题 2 Char"/>
    <w:basedOn w:val="34"/>
    <w:link w:val="4"/>
    <w:qFormat/>
    <w:uiPriority w:val="0"/>
    <w:rPr>
      <w:rFonts w:ascii="Cambria" w:hAnsi="Cambria" w:eastAsia="宋体" w:cs="Times New Roman"/>
      <w:b/>
      <w:bCs/>
      <w:sz w:val="32"/>
      <w:szCs w:val="32"/>
      <w:lang w:val="zh-CN" w:eastAsia="zh-CN"/>
    </w:rPr>
  </w:style>
  <w:style w:type="character" w:customStyle="1" w:styleId="43">
    <w:name w:val="标题 3 Char"/>
    <w:basedOn w:val="34"/>
    <w:link w:val="5"/>
    <w:qFormat/>
    <w:uiPriority w:val="0"/>
    <w:rPr>
      <w:rFonts w:ascii="Times New Roman" w:hAnsi="Times New Roman"/>
      <w:b/>
      <w:bCs/>
      <w:kern w:val="2"/>
      <w:sz w:val="32"/>
      <w:szCs w:val="32"/>
    </w:rPr>
  </w:style>
  <w:style w:type="character" w:customStyle="1" w:styleId="44">
    <w:name w:val="标题 4 Char"/>
    <w:basedOn w:val="34"/>
    <w:link w:val="6"/>
    <w:qFormat/>
    <w:uiPriority w:val="0"/>
    <w:rPr>
      <w:rFonts w:ascii="DejaVu Sans" w:hAnsi="DejaVu Sans" w:eastAsia="方正黑体_GBK" w:cstheme="minorBidi"/>
      <w:b/>
      <w:kern w:val="2"/>
      <w:sz w:val="28"/>
      <w:szCs w:val="24"/>
    </w:rPr>
  </w:style>
  <w:style w:type="character" w:customStyle="1" w:styleId="45">
    <w:name w:val="标题 5 Char"/>
    <w:basedOn w:val="34"/>
    <w:link w:val="7"/>
    <w:qFormat/>
    <w:uiPriority w:val="0"/>
    <w:rPr>
      <w:rFonts w:asciiTheme="minorHAnsi" w:hAnsiTheme="minorHAnsi" w:eastAsiaTheme="minorEastAsia" w:cstheme="minorBidi"/>
      <w:b/>
      <w:kern w:val="2"/>
      <w:sz w:val="28"/>
      <w:szCs w:val="24"/>
    </w:rPr>
  </w:style>
  <w:style w:type="character" w:customStyle="1" w:styleId="46">
    <w:name w:val="标题 6 Char"/>
    <w:basedOn w:val="34"/>
    <w:link w:val="8"/>
    <w:qFormat/>
    <w:uiPriority w:val="0"/>
    <w:rPr>
      <w:rFonts w:ascii="DejaVu Sans" w:hAnsi="DejaVu Sans" w:eastAsia="方正黑体_GBK" w:cstheme="minorBidi"/>
      <w:b/>
      <w:kern w:val="2"/>
      <w:sz w:val="24"/>
      <w:szCs w:val="24"/>
    </w:rPr>
  </w:style>
  <w:style w:type="character" w:customStyle="1" w:styleId="47">
    <w:name w:val="标题 7 Char"/>
    <w:basedOn w:val="34"/>
    <w:link w:val="9"/>
    <w:qFormat/>
    <w:uiPriority w:val="0"/>
    <w:rPr>
      <w:rFonts w:ascii="Times New Roman" w:hAnsi="Times New Roman"/>
      <w:b/>
      <w:kern w:val="2"/>
      <w:sz w:val="24"/>
    </w:rPr>
  </w:style>
  <w:style w:type="character" w:customStyle="1" w:styleId="48">
    <w:name w:val="标题 8 Char"/>
    <w:basedOn w:val="34"/>
    <w:link w:val="11"/>
    <w:qFormat/>
    <w:uiPriority w:val="0"/>
    <w:rPr>
      <w:rFonts w:ascii="Arial" w:hAnsi="Arial" w:eastAsia="黑体"/>
      <w:kern w:val="2"/>
      <w:sz w:val="24"/>
    </w:rPr>
  </w:style>
  <w:style w:type="character" w:customStyle="1" w:styleId="49">
    <w:name w:val="标题 9 Char"/>
    <w:basedOn w:val="34"/>
    <w:link w:val="12"/>
    <w:qFormat/>
    <w:uiPriority w:val="0"/>
    <w:rPr>
      <w:rFonts w:ascii="Arial" w:hAnsi="Arial" w:eastAsia="黑体"/>
      <w:kern w:val="2"/>
      <w:sz w:val="21"/>
    </w:rPr>
  </w:style>
  <w:style w:type="character" w:customStyle="1" w:styleId="50">
    <w:name w:val="文档结构图 Char"/>
    <w:link w:val="14"/>
    <w:qFormat/>
    <w:uiPriority w:val="0"/>
    <w:rPr>
      <w:sz w:val="24"/>
      <w:szCs w:val="24"/>
      <w:shd w:val="clear" w:color="auto" w:fill="000080"/>
    </w:rPr>
  </w:style>
  <w:style w:type="character" w:customStyle="1" w:styleId="51">
    <w:name w:val="批注文字 Char"/>
    <w:link w:val="15"/>
    <w:qFormat/>
    <w:uiPriority w:val="0"/>
    <w:rPr>
      <w:sz w:val="24"/>
      <w:szCs w:val="24"/>
    </w:rPr>
  </w:style>
  <w:style w:type="character" w:customStyle="1" w:styleId="52">
    <w:name w:val="正文文本 Char"/>
    <w:basedOn w:val="34"/>
    <w:link w:val="16"/>
    <w:qFormat/>
    <w:uiPriority w:val="0"/>
    <w:rPr>
      <w:rFonts w:ascii="Times New Roman" w:hAnsi="Times New Roman" w:eastAsia="宋体" w:cs="Times New Roman"/>
      <w:sz w:val="24"/>
      <w:szCs w:val="24"/>
      <w:lang w:val="zh-CN" w:eastAsia="zh-CN"/>
    </w:rPr>
  </w:style>
  <w:style w:type="character" w:customStyle="1" w:styleId="53">
    <w:name w:val="正文文本缩进 Char"/>
    <w:link w:val="18"/>
    <w:qFormat/>
    <w:uiPriority w:val="0"/>
    <w:rPr>
      <w:szCs w:val="24"/>
    </w:rPr>
  </w:style>
  <w:style w:type="character" w:customStyle="1" w:styleId="54">
    <w:name w:val="纯文本 Char1"/>
    <w:link w:val="17"/>
    <w:qFormat/>
    <w:uiPriority w:val="99"/>
    <w:rPr>
      <w:rFonts w:ascii="宋体" w:hAnsi="Courier New" w:cs="Courier New"/>
      <w:szCs w:val="21"/>
    </w:rPr>
  </w:style>
  <w:style w:type="character" w:customStyle="1" w:styleId="55">
    <w:name w:val="日期 Char"/>
    <w:link w:val="20"/>
    <w:qFormat/>
    <w:uiPriority w:val="0"/>
    <w:rPr>
      <w:rFonts w:eastAsia="仿宋_GB2312"/>
      <w:sz w:val="32"/>
      <w:szCs w:val="24"/>
    </w:rPr>
  </w:style>
  <w:style w:type="character" w:customStyle="1" w:styleId="56">
    <w:name w:val="正文文本缩进 2 Char"/>
    <w:basedOn w:val="34"/>
    <w:link w:val="21"/>
    <w:qFormat/>
    <w:uiPriority w:val="0"/>
    <w:rPr>
      <w:rFonts w:ascii="华文中宋" w:hAnsi="宋体" w:eastAsia="华文中宋"/>
      <w:sz w:val="24"/>
    </w:rPr>
  </w:style>
  <w:style w:type="character" w:customStyle="1" w:styleId="57">
    <w:name w:val="批注框文本 Char"/>
    <w:basedOn w:val="34"/>
    <w:link w:val="22"/>
    <w:qFormat/>
    <w:uiPriority w:val="0"/>
    <w:rPr>
      <w:rFonts w:ascii="Times New Roman" w:hAnsi="Times New Roman" w:eastAsia="宋体" w:cs="Times New Roman"/>
      <w:sz w:val="18"/>
      <w:szCs w:val="18"/>
      <w:lang w:val="zh-CN" w:eastAsia="zh-CN"/>
    </w:rPr>
  </w:style>
  <w:style w:type="character" w:customStyle="1" w:styleId="58">
    <w:name w:val="页脚 Char"/>
    <w:link w:val="23"/>
    <w:qFormat/>
    <w:uiPriority w:val="99"/>
    <w:rPr>
      <w:sz w:val="18"/>
      <w:szCs w:val="18"/>
    </w:rPr>
  </w:style>
  <w:style w:type="character" w:customStyle="1" w:styleId="59">
    <w:name w:val="页眉 Char"/>
    <w:link w:val="24"/>
    <w:qFormat/>
    <w:uiPriority w:val="0"/>
    <w:rPr>
      <w:sz w:val="18"/>
      <w:szCs w:val="18"/>
    </w:rPr>
  </w:style>
  <w:style w:type="character" w:customStyle="1" w:styleId="60">
    <w:name w:val="副标题 Char"/>
    <w:link w:val="26"/>
    <w:qFormat/>
    <w:uiPriority w:val="0"/>
    <w:rPr>
      <w:rFonts w:ascii="Cambria" w:hAnsi="Cambria"/>
      <w:b/>
      <w:bCs/>
      <w:kern w:val="28"/>
      <w:sz w:val="32"/>
      <w:szCs w:val="32"/>
    </w:rPr>
  </w:style>
  <w:style w:type="character" w:customStyle="1" w:styleId="61">
    <w:name w:val="正文文本缩进 3 Char"/>
    <w:link w:val="27"/>
    <w:qFormat/>
    <w:uiPriority w:val="0"/>
    <w:rPr>
      <w:sz w:val="16"/>
      <w:szCs w:val="16"/>
    </w:rPr>
  </w:style>
  <w:style w:type="character" w:customStyle="1" w:styleId="62">
    <w:name w:val="标题 Char"/>
    <w:link w:val="30"/>
    <w:qFormat/>
    <w:uiPriority w:val="10"/>
    <w:rPr>
      <w:rFonts w:ascii="Cambria" w:hAnsi="Cambria"/>
      <w:b/>
      <w:bCs/>
      <w:sz w:val="36"/>
      <w:szCs w:val="32"/>
    </w:rPr>
  </w:style>
  <w:style w:type="character" w:customStyle="1" w:styleId="63">
    <w:name w:val="批注主题 Char"/>
    <w:basedOn w:val="51"/>
    <w:link w:val="31"/>
    <w:qFormat/>
    <w:uiPriority w:val="0"/>
    <w:rPr>
      <w:sz w:val="24"/>
      <w:szCs w:val="24"/>
    </w:rPr>
  </w:style>
  <w:style w:type="character" w:customStyle="1" w:styleId="64">
    <w:name w:val="apple-converted-space"/>
    <w:qFormat/>
    <w:uiPriority w:val="0"/>
  </w:style>
  <w:style w:type="character" w:customStyle="1" w:styleId="65">
    <w:name w:val="标题 Char1"/>
    <w:qFormat/>
    <w:uiPriority w:val="0"/>
    <w:rPr>
      <w:rFonts w:ascii="Cambria" w:hAnsi="Cambria" w:cs="Times New Roman"/>
      <w:b/>
      <w:bCs/>
      <w:kern w:val="2"/>
      <w:sz w:val="32"/>
      <w:szCs w:val="32"/>
    </w:rPr>
  </w:style>
  <w:style w:type="character" w:customStyle="1" w:styleId="66">
    <w:name w:val="纯文本 Char"/>
    <w:qFormat/>
    <w:uiPriority w:val="0"/>
    <w:rPr>
      <w:rFonts w:ascii="宋体" w:hAnsi="Courier New" w:cs="Courier New"/>
      <w:kern w:val="2"/>
      <w:sz w:val="21"/>
      <w:szCs w:val="21"/>
    </w:rPr>
  </w:style>
  <w:style w:type="character" w:customStyle="1" w:styleId="67">
    <w:name w:val="bg02"/>
    <w:basedOn w:val="34"/>
    <w:qFormat/>
    <w:uiPriority w:val="0"/>
  </w:style>
  <w:style w:type="character" w:customStyle="1" w:styleId="68">
    <w:name w:val="bg01"/>
    <w:basedOn w:val="34"/>
    <w:qFormat/>
    <w:uiPriority w:val="0"/>
  </w:style>
  <w:style w:type="character" w:customStyle="1" w:styleId="69">
    <w:name w:val="副标题 Char1"/>
    <w:qFormat/>
    <w:uiPriority w:val="0"/>
    <w:rPr>
      <w:rFonts w:ascii="Cambria" w:hAnsi="Cambria" w:cs="Times New Roman"/>
      <w:b/>
      <w:bCs/>
      <w:kern w:val="28"/>
      <w:sz w:val="32"/>
      <w:szCs w:val="32"/>
    </w:rPr>
  </w:style>
  <w:style w:type="character" w:customStyle="1" w:styleId="70">
    <w:name w:val="more"/>
    <w:qFormat/>
    <w:uiPriority w:val="0"/>
    <w:rPr>
      <w:color w:val="666666"/>
      <w:sz w:val="18"/>
      <w:szCs w:val="18"/>
    </w:rPr>
  </w:style>
  <w:style w:type="character" w:customStyle="1" w:styleId="71">
    <w:name w:val="正文文本缩进 3 Char1"/>
    <w:qFormat/>
    <w:uiPriority w:val="0"/>
    <w:rPr>
      <w:kern w:val="2"/>
      <w:sz w:val="16"/>
      <w:szCs w:val="16"/>
    </w:rPr>
  </w:style>
  <w:style w:type="character" w:customStyle="1" w:styleId="72">
    <w:name w:val="tabg"/>
    <w:qFormat/>
    <w:uiPriority w:val="0"/>
    <w:rPr>
      <w:rFonts w:ascii="微软雅黑" w:hAnsi="微软雅黑" w:eastAsia="微软雅黑" w:cs="微软雅黑"/>
      <w:color w:val="FFFFFF"/>
      <w:sz w:val="27"/>
      <w:szCs w:val="27"/>
    </w:rPr>
  </w:style>
  <w:style w:type="character" w:customStyle="1" w:styleId="73">
    <w:name w:val="页眉 Char1"/>
    <w:basedOn w:val="34"/>
    <w:semiHidden/>
    <w:qFormat/>
    <w:uiPriority w:val="99"/>
    <w:rPr>
      <w:rFonts w:ascii="Times New Roman" w:hAnsi="Times New Roman" w:eastAsia="宋体" w:cs="Times New Roman"/>
      <w:sz w:val="18"/>
      <w:szCs w:val="18"/>
    </w:rPr>
  </w:style>
  <w:style w:type="character" w:customStyle="1" w:styleId="74">
    <w:name w:val="标题 Char2"/>
    <w:basedOn w:val="34"/>
    <w:qFormat/>
    <w:uiPriority w:val="10"/>
    <w:rPr>
      <w:rFonts w:eastAsia="宋体" w:asciiTheme="majorHAnsi" w:hAnsiTheme="majorHAnsi" w:cstheme="majorBidi"/>
      <w:b/>
      <w:bCs/>
      <w:sz w:val="32"/>
      <w:szCs w:val="32"/>
    </w:rPr>
  </w:style>
  <w:style w:type="character" w:customStyle="1" w:styleId="75">
    <w:name w:val="页脚 Char1"/>
    <w:basedOn w:val="34"/>
    <w:semiHidden/>
    <w:qFormat/>
    <w:uiPriority w:val="99"/>
    <w:rPr>
      <w:rFonts w:ascii="Times New Roman" w:hAnsi="Times New Roman" w:eastAsia="宋体" w:cs="Times New Roman"/>
      <w:sz w:val="18"/>
      <w:szCs w:val="18"/>
    </w:rPr>
  </w:style>
  <w:style w:type="character" w:customStyle="1" w:styleId="76">
    <w:name w:val="正文文本缩进 Char1"/>
    <w:basedOn w:val="34"/>
    <w:semiHidden/>
    <w:qFormat/>
    <w:uiPriority w:val="99"/>
    <w:rPr>
      <w:rFonts w:ascii="Times New Roman" w:hAnsi="Times New Roman" w:eastAsia="宋体" w:cs="Times New Roman"/>
      <w:sz w:val="24"/>
      <w:szCs w:val="24"/>
    </w:rPr>
  </w:style>
  <w:style w:type="character" w:customStyle="1" w:styleId="77">
    <w:name w:val="文档结构图 Char1"/>
    <w:basedOn w:val="34"/>
    <w:semiHidden/>
    <w:qFormat/>
    <w:uiPriority w:val="99"/>
    <w:rPr>
      <w:rFonts w:ascii="Microsoft YaHei UI" w:hAnsi="Times New Roman" w:eastAsia="Microsoft YaHei UI" w:cs="Times New Roman"/>
      <w:sz w:val="18"/>
      <w:szCs w:val="18"/>
    </w:rPr>
  </w:style>
  <w:style w:type="character" w:customStyle="1" w:styleId="78">
    <w:name w:val="副标题 Char2"/>
    <w:basedOn w:val="34"/>
    <w:qFormat/>
    <w:uiPriority w:val="11"/>
    <w:rPr>
      <w:rFonts w:eastAsia="宋体" w:asciiTheme="majorHAnsi" w:hAnsiTheme="majorHAnsi" w:cstheme="majorBidi"/>
      <w:b/>
      <w:bCs/>
      <w:kern w:val="28"/>
      <w:sz w:val="32"/>
      <w:szCs w:val="32"/>
    </w:rPr>
  </w:style>
  <w:style w:type="character" w:customStyle="1" w:styleId="79">
    <w:name w:val="批注文字 Char1"/>
    <w:basedOn w:val="34"/>
    <w:qFormat/>
    <w:uiPriority w:val="0"/>
    <w:rPr>
      <w:rFonts w:ascii="Times New Roman" w:hAnsi="Times New Roman" w:eastAsia="宋体" w:cs="Times New Roman"/>
      <w:sz w:val="24"/>
      <w:szCs w:val="24"/>
    </w:rPr>
  </w:style>
  <w:style w:type="character" w:customStyle="1" w:styleId="80">
    <w:name w:val="批注主题 Char1"/>
    <w:basedOn w:val="79"/>
    <w:semiHidden/>
    <w:qFormat/>
    <w:uiPriority w:val="99"/>
    <w:rPr>
      <w:rFonts w:ascii="Times New Roman" w:hAnsi="Times New Roman" w:eastAsia="宋体" w:cs="Times New Roman"/>
      <w:b/>
      <w:bCs/>
      <w:sz w:val="24"/>
      <w:szCs w:val="24"/>
    </w:rPr>
  </w:style>
  <w:style w:type="character" w:customStyle="1" w:styleId="81">
    <w:name w:val="日期 Char1"/>
    <w:basedOn w:val="34"/>
    <w:semiHidden/>
    <w:qFormat/>
    <w:uiPriority w:val="99"/>
    <w:rPr>
      <w:rFonts w:ascii="Times New Roman" w:hAnsi="Times New Roman" w:eastAsia="宋体" w:cs="Times New Roman"/>
      <w:sz w:val="24"/>
      <w:szCs w:val="24"/>
    </w:rPr>
  </w:style>
  <w:style w:type="character" w:customStyle="1" w:styleId="82">
    <w:name w:val="纯文本 Char2"/>
    <w:basedOn w:val="34"/>
    <w:semiHidden/>
    <w:qFormat/>
    <w:uiPriority w:val="99"/>
    <w:rPr>
      <w:rFonts w:ascii="宋体" w:hAnsi="Courier New" w:eastAsia="宋体" w:cs="Courier New"/>
      <w:szCs w:val="21"/>
    </w:rPr>
  </w:style>
  <w:style w:type="character" w:customStyle="1" w:styleId="83">
    <w:name w:val="正文文本缩进 3 Char2"/>
    <w:basedOn w:val="34"/>
    <w:semiHidden/>
    <w:qFormat/>
    <w:uiPriority w:val="99"/>
    <w:rPr>
      <w:rFonts w:ascii="Times New Roman" w:hAnsi="Times New Roman" w:eastAsia="宋体" w:cs="Times New Roman"/>
      <w:sz w:val="16"/>
      <w:szCs w:val="16"/>
    </w:rPr>
  </w:style>
  <w:style w:type="paragraph" w:customStyle="1" w:styleId="84">
    <w:name w:val="_Style 31"/>
    <w:basedOn w:val="14"/>
    <w:qFormat/>
    <w:uiPriority w:val="0"/>
    <w:rPr>
      <w:szCs w:val="20"/>
      <w:shd w:val="clear" w:color="auto" w:fill="000080"/>
    </w:rPr>
  </w:style>
  <w:style w:type="paragraph" w:styleId="85">
    <w:name w:val="List Paragraph"/>
    <w:basedOn w:val="1"/>
    <w:link w:val="86"/>
    <w:qFormat/>
    <w:uiPriority w:val="34"/>
    <w:pPr>
      <w:ind w:firstLine="420" w:firstLineChars="200"/>
    </w:pPr>
    <w:rPr>
      <w:rFonts w:ascii="Calibri" w:hAnsi="Calibri"/>
      <w:sz w:val="21"/>
      <w:szCs w:val="22"/>
    </w:rPr>
  </w:style>
  <w:style w:type="character" w:customStyle="1" w:styleId="86">
    <w:name w:val="列出段落 Char"/>
    <w:link w:val="85"/>
    <w:qFormat/>
    <w:locked/>
    <w:uiPriority w:val="34"/>
    <w:rPr>
      <w:kern w:val="2"/>
      <w:sz w:val="21"/>
      <w:szCs w:val="22"/>
    </w:rPr>
  </w:style>
  <w:style w:type="paragraph" w:customStyle="1" w:styleId="87">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8">
    <w:name w:val="Char"/>
    <w:basedOn w:val="1"/>
    <w:qFormat/>
    <w:uiPriority w:val="0"/>
    <w:rPr>
      <w:szCs w:val="21"/>
    </w:rPr>
  </w:style>
  <w:style w:type="paragraph" w:customStyle="1" w:styleId="89">
    <w:name w:val="样式3"/>
    <w:basedOn w:val="90"/>
    <w:qFormat/>
    <w:uiPriority w:val="0"/>
    <w:pPr>
      <w:jc w:val="center"/>
    </w:pPr>
  </w:style>
  <w:style w:type="paragraph" w:customStyle="1" w:styleId="90">
    <w:name w:val="样式2"/>
    <w:basedOn w:val="1"/>
    <w:qFormat/>
    <w:uiPriority w:val="0"/>
    <w:rPr>
      <w:rFonts w:eastAsia="华文中宋"/>
      <w:sz w:val="44"/>
    </w:rPr>
  </w:style>
  <w:style w:type="paragraph" w:customStyle="1" w:styleId="91">
    <w:name w:val="样式1"/>
    <w:basedOn w:val="1"/>
    <w:qFormat/>
    <w:uiPriority w:val="0"/>
    <w:rPr>
      <w:rFonts w:eastAsia="仿宋_GB2312"/>
      <w:sz w:val="32"/>
    </w:rPr>
  </w:style>
  <w:style w:type="paragraph" w:customStyle="1" w:styleId="92">
    <w:name w:val="_Style 15"/>
    <w:basedOn w:val="1"/>
    <w:qFormat/>
    <w:uiPriority w:val="0"/>
    <w:pPr>
      <w:tabs>
        <w:tab w:val="left" w:pos="360"/>
      </w:tabs>
    </w:pPr>
  </w:style>
  <w:style w:type="paragraph" w:customStyle="1" w:styleId="93">
    <w:name w:val="Char1"/>
    <w:basedOn w:val="1"/>
    <w:qFormat/>
    <w:uiPriority w:val="0"/>
    <w:rPr>
      <w:rFonts w:ascii="Tahoma" w:hAnsi="Tahoma"/>
      <w:szCs w:val="20"/>
    </w:rPr>
  </w:style>
  <w:style w:type="paragraph" w:customStyle="1" w:styleId="94">
    <w:name w:val="正文1"/>
    <w:basedOn w:val="1"/>
    <w:qFormat/>
    <w:uiPriority w:val="0"/>
    <w:pPr>
      <w:tabs>
        <w:tab w:val="left" w:pos="2220"/>
      </w:tabs>
      <w:spacing w:line="360" w:lineRule="auto"/>
    </w:pPr>
    <w:rPr>
      <w:rFonts w:ascii="宋体" w:hAnsi="宋体"/>
      <w:sz w:val="21"/>
    </w:rPr>
  </w:style>
  <w:style w:type="paragraph" w:customStyle="1" w:styleId="95">
    <w:name w:val="列出段落1"/>
    <w:basedOn w:val="1"/>
    <w:qFormat/>
    <w:uiPriority w:val="0"/>
    <w:pPr>
      <w:ind w:firstLine="420" w:firstLineChars="200"/>
    </w:pPr>
    <w:rPr>
      <w:sz w:val="21"/>
    </w:rPr>
  </w:style>
  <w:style w:type="paragraph" w:customStyle="1" w:styleId="96">
    <w:name w:val="1"/>
    <w:basedOn w:val="1"/>
    <w:qFormat/>
    <w:uiPriority w:val="0"/>
    <w:rPr>
      <w:rFonts w:ascii="Tahoma" w:hAnsi="Tahoma"/>
      <w:szCs w:val="20"/>
    </w:rPr>
  </w:style>
  <w:style w:type="table" w:customStyle="1" w:styleId="97">
    <w:name w:val="网格型1"/>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font11"/>
    <w:basedOn w:val="34"/>
    <w:qFormat/>
    <w:uiPriority w:val="0"/>
    <w:rPr>
      <w:rFonts w:hint="default" w:ascii="Times New Roman" w:hAnsi="Times New Roman" w:eastAsia="宋体" w:cs="Times New Roman"/>
      <w:color w:val="000000"/>
      <w:sz w:val="24"/>
      <w:szCs w:val="24"/>
      <w:u w:val="none"/>
    </w:rPr>
  </w:style>
  <w:style w:type="character" w:customStyle="1" w:styleId="99">
    <w:name w:val="font91"/>
    <w:qFormat/>
    <w:uiPriority w:val="0"/>
    <w:rPr>
      <w:rFonts w:hint="eastAsia" w:ascii="微软雅黑" w:hAnsi="微软雅黑" w:eastAsia="微软雅黑" w:cs="微软雅黑"/>
      <w:color w:val="000000"/>
      <w:sz w:val="20"/>
      <w:szCs w:val="20"/>
      <w:u w:val="none"/>
    </w:rPr>
  </w:style>
  <w:style w:type="character" w:customStyle="1" w:styleId="100">
    <w:name w:val="font81"/>
    <w:qFormat/>
    <w:uiPriority w:val="0"/>
    <w:rPr>
      <w:rFonts w:hint="eastAsia" w:ascii="宋体" w:hAnsi="宋体" w:eastAsia="宋体" w:cs="宋体"/>
      <w:color w:val="000000"/>
      <w:sz w:val="20"/>
      <w:szCs w:val="20"/>
      <w:u w:val="none"/>
    </w:rPr>
  </w:style>
  <w:style w:type="character" w:customStyle="1" w:styleId="101">
    <w:name w:val="font31"/>
    <w:qFormat/>
    <w:uiPriority w:val="0"/>
    <w:rPr>
      <w:rFonts w:hint="eastAsia" w:ascii="微软雅黑" w:hAnsi="微软雅黑" w:eastAsia="微软雅黑" w:cs="微软雅黑"/>
      <w:b/>
      <w:color w:val="000000"/>
      <w:sz w:val="20"/>
      <w:szCs w:val="20"/>
      <w:u w:val="none"/>
    </w:rPr>
  </w:style>
  <w:style w:type="character" w:customStyle="1" w:styleId="102">
    <w:name w:val="项目 Char"/>
    <w:link w:val="103"/>
    <w:qFormat/>
    <w:uiPriority w:val="0"/>
    <w:rPr>
      <w:rFonts w:ascii="宋体" w:hAnsi="宋体" w:eastAsiaTheme="minorEastAsia" w:cstheme="minorBidi"/>
      <w:color w:val="000000"/>
      <w:kern w:val="2"/>
      <w:sz w:val="24"/>
      <w:szCs w:val="22"/>
      <w:lang w:val="zh-CN"/>
    </w:rPr>
  </w:style>
  <w:style w:type="paragraph" w:customStyle="1" w:styleId="103">
    <w:name w:val="项目"/>
    <w:basedOn w:val="1"/>
    <w:link w:val="102"/>
    <w:qFormat/>
    <w:uiPriority w:val="0"/>
    <w:pPr>
      <w:numPr>
        <w:ilvl w:val="0"/>
        <w:numId w:val="2"/>
      </w:numPr>
      <w:spacing w:line="360" w:lineRule="auto"/>
    </w:pPr>
    <w:rPr>
      <w:rFonts w:ascii="宋体" w:hAnsi="宋体" w:eastAsiaTheme="minorEastAsia" w:cstheme="minorBidi"/>
      <w:color w:val="000000"/>
      <w:szCs w:val="22"/>
      <w:lang w:val="zh-CN"/>
    </w:rPr>
  </w:style>
  <w:style w:type="paragraph" w:customStyle="1" w:styleId="104">
    <w:name w:val="a"/>
    <w:basedOn w:val="1"/>
    <w:qFormat/>
    <w:uiPriority w:val="0"/>
    <w:pPr>
      <w:widowControl/>
      <w:jc w:val="left"/>
    </w:pPr>
    <w:rPr>
      <w:rFonts w:ascii="宋体" w:hAnsi="宋体" w:cs="宋体"/>
      <w:kern w:val="0"/>
    </w:rPr>
  </w:style>
  <w:style w:type="paragraph" w:customStyle="1" w:styleId="105">
    <w:name w:val="修订1"/>
    <w:hidden/>
    <w:unhideWhenUsed/>
    <w:qFormat/>
    <w:uiPriority w:val="99"/>
    <w:rPr>
      <w:rFonts w:ascii="Times New Roman" w:hAnsi="Times New Roman" w:eastAsia="宋体" w:cs="Times New Roman"/>
      <w:kern w:val="2"/>
      <w:sz w:val="24"/>
      <w:szCs w:val="24"/>
      <w:lang w:val="en-US" w:eastAsia="zh-CN" w:bidi="ar-SA"/>
    </w:rPr>
  </w:style>
  <w:style w:type="paragraph" w:customStyle="1" w:styleId="106">
    <w:name w:val="TOC 标题11"/>
    <w:basedOn w:val="3"/>
    <w:next w:val="1"/>
    <w:qFormat/>
    <w:uiPriority w:val="39"/>
    <w:pPr>
      <w:widowControl/>
      <w:spacing w:before="480" w:after="0" w:line="276" w:lineRule="auto"/>
      <w:jc w:val="left"/>
      <w:outlineLvl w:val="9"/>
    </w:pPr>
    <w:rPr>
      <w:rFonts w:ascii="Cambria" w:hAnsi="Cambria"/>
      <w:color w:val="365F91"/>
      <w:kern w:val="0"/>
      <w:sz w:val="28"/>
      <w:szCs w:val="28"/>
      <w:lang w:val="en-US"/>
    </w:rPr>
  </w:style>
  <w:style w:type="paragraph" w:customStyle="1" w:styleId="107">
    <w:name w:val="List Paragraph1"/>
    <w:basedOn w:val="1"/>
    <w:qFormat/>
    <w:uiPriority w:val="0"/>
    <w:pPr>
      <w:ind w:firstLine="420" w:firstLineChars="200"/>
    </w:pPr>
    <w:rPr>
      <w:sz w:val="21"/>
    </w:rPr>
  </w:style>
  <w:style w:type="paragraph" w:customStyle="1" w:styleId="108">
    <w:name w:val="修订11"/>
    <w:hidden/>
    <w:semiHidden/>
    <w:unhideWhenUsed/>
    <w:qFormat/>
    <w:uiPriority w:val="99"/>
    <w:rPr>
      <w:rFonts w:ascii="Times New Roman" w:hAnsi="Times New Roman" w:eastAsia="宋体" w:cs="Times New Roman"/>
      <w:kern w:val="2"/>
      <w:sz w:val="24"/>
      <w:szCs w:val="24"/>
      <w:lang w:val="en-US" w:eastAsia="zh-CN" w:bidi="ar-SA"/>
    </w:rPr>
  </w:style>
  <w:style w:type="character" w:customStyle="1" w:styleId="109">
    <w:name w:val="font01"/>
    <w:basedOn w:val="34"/>
    <w:qFormat/>
    <w:uiPriority w:val="0"/>
    <w:rPr>
      <w:color w:val="000000"/>
      <w:sz w:val="22"/>
      <w:szCs w:val="22"/>
      <w:u w:val="none"/>
    </w:rPr>
  </w:style>
  <w:style w:type="character" w:customStyle="1" w:styleId="110">
    <w:name w:val="Char Char1"/>
    <w:qFormat/>
    <w:uiPriority w:val="0"/>
    <w:rPr>
      <w:rFonts w:eastAsia="宋体"/>
      <w:kern w:val="2"/>
      <w:sz w:val="18"/>
      <w:szCs w:val="18"/>
      <w:lang w:val="en-US" w:eastAsia="zh-CN" w:bidi="ar-SA"/>
    </w:rPr>
  </w:style>
  <w:style w:type="character" w:customStyle="1" w:styleId="111">
    <w:name w:val="Char Char"/>
    <w:qFormat/>
    <w:uiPriority w:val="0"/>
    <w:rPr>
      <w:rFonts w:eastAsia="宋体"/>
      <w:kern w:val="2"/>
      <w:sz w:val="18"/>
      <w:szCs w:val="18"/>
      <w:lang w:val="en-US" w:eastAsia="zh-CN" w:bidi="ar-SA"/>
    </w:rPr>
  </w:style>
  <w:style w:type="paragraph" w:customStyle="1" w:styleId="112">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character" w:customStyle="1" w:styleId="113">
    <w:name w:val="grame"/>
    <w:basedOn w:val="34"/>
    <w:qFormat/>
    <w:uiPriority w:val="0"/>
  </w:style>
  <w:style w:type="character" w:customStyle="1" w:styleId="114">
    <w:name w:val="标题 1 Char Char2"/>
    <w:qFormat/>
    <w:uiPriority w:val="0"/>
    <w:rPr>
      <w:rFonts w:ascii="宋体"/>
    </w:rPr>
  </w:style>
  <w:style w:type="paragraph" w:customStyle="1" w:styleId="115">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修订2"/>
    <w:hidden/>
    <w:semiHidden/>
    <w:qFormat/>
    <w:uiPriority w:val="99"/>
    <w:rPr>
      <w:rFonts w:ascii="Times New Roman" w:hAnsi="Times New Roman" w:eastAsia="宋体" w:cs="Times New Roman"/>
      <w:kern w:val="2"/>
      <w:sz w:val="24"/>
      <w:szCs w:val="24"/>
      <w:lang w:val="en-US" w:eastAsia="zh-CN" w:bidi="ar-SA"/>
    </w:rPr>
  </w:style>
  <w:style w:type="paragraph" w:customStyle="1" w:styleId="117">
    <w:name w:val="修订3"/>
    <w:hidden/>
    <w:unhideWhenUsed/>
    <w:qFormat/>
    <w:uiPriority w:val="99"/>
    <w:rPr>
      <w:rFonts w:ascii="Times New Roman" w:hAnsi="Times New Roman" w:eastAsia="宋体" w:cs="Times New Roman"/>
      <w:kern w:val="2"/>
      <w:sz w:val="24"/>
      <w:szCs w:val="24"/>
      <w:lang w:val="en-US" w:eastAsia="zh-CN" w:bidi="ar-SA"/>
    </w:rPr>
  </w:style>
  <w:style w:type="character" w:customStyle="1" w:styleId="118">
    <w:name w:val="标题 3 字符"/>
    <w:basedOn w:val="34"/>
    <w:qFormat/>
    <w:uiPriority w:val="0"/>
    <w:rPr>
      <w:rFonts w:hint="default" w:ascii="Tahoma" w:hAnsi="Tahoma" w:eastAsia="Tahoma" w:cs="Times New Roman"/>
      <w:b/>
      <w:sz w:val="32"/>
      <w:szCs w:val="32"/>
    </w:rPr>
  </w:style>
  <w:style w:type="paragraph" w:customStyle="1" w:styleId="119">
    <w:name w:val="msolistparagraph"/>
    <w:basedOn w:val="1"/>
    <w:qFormat/>
    <w:uiPriority w:val="0"/>
    <w:pPr>
      <w:ind w:firstLine="420" w:firstLineChars="200"/>
    </w:pPr>
    <w:rPr>
      <w:rFonts w:ascii="Calibri" w:hAnsi="Calibri"/>
      <w:sz w:val="21"/>
      <w:szCs w:val="22"/>
    </w:rPr>
  </w:style>
  <w:style w:type="character" w:styleId="120">
    <w:name w:val="Placeholder Text"/>
    <w:basedOn w:val="34"/>
    <w:unhideWhenUsed/>
    <w:qFormat/>
    <w:uiPriority w:val="99"/>
    <w:rPr>
      <w:color w:val="808080"/>
    </w:rPr>
  </w:style>
  <w:style w:type="paragraph" w:customStyle="1" w:styleId="121">
    <w:name w:val="正文_0"/>
    <w:qFormat/>
    <w:uiPriority w:val="0"/>
    <w:rPr>
      <w:rFonts w:ascii="Times New Roman" w:hAnsi="Times New Roman" w:eastAsia="宋体" w:cs="Times New Roman"/>
      <w:kern w:val="2"/>
      <w:sz w:val="24"/>
      <w:szCs w:val="24"/>
      <w:lang w:val="en-US" w:eastAsia="zh-CN" w:bidi="mn-Mong-CN"/>
    </w:rPr>
  </w:style>
  <w:style w:type="character" w:customStyle="1" w:styleId="122">
    <w:name w:val="题注 Char"/>
    <w:link w:val="13"/>
    <w:qFormat/>
    <w:uiPriority w:val="0"/>
    <w:rPr>
      <w:kern w:val="2"/>
      <w:sz w:val="18"/>
      <w:szCs w:val="18"/>
    </w:rPr>
  </w:style>
  <w:style w:type="paragraph" w:customStyle="1" w:styleId="123">
    <w:name w:val="样式 正文缩进 + 首行缩进:  2 字符"/>
    <w:basedOn w:val="10"/>
    <w:link w:val="124"/>
    <w:qFormat/>
    <w:uiPriority w:val="0"/>
    <w:pPr>
      <w:spacing w:line="360" w:lineRule="auto"/>
      <w:ind w:firstLine="566" w:firstLineChars="236"/>
    </w:pPr>
    <w:rPr>
      <w:snapToGrid w:val="0"/>
      <w:kern w:val="0"/>
      <w:lang w:val="zh-CN"/>
    </w:rPr>
  </w:style>
  <w:style w:type="character" w:customStyle="1" w:styleId="124">
    <w:name w:val="样式 正文缩进 + 首行缩进:  2 字符 Char"/>
    <w:link w:val="123"/>
    <w:qFormat/>
    <w:uiPriority w:val="0"/>
    <w:rPr>
      <w:rFonts w:ascii="Times New Roman" w:hAnsi="Times New Roman"/>
      <w:snapToGrid w:val="0"/>
      <w:sz w:val="24"/>
      <w:lang w:val="zh-CN" w:eastAsia="zh-CN"/>
    </w:rPr>
  </w:style>
  <w:style w:type="character" w:customStyle="1" w:styleId="125">
    <w:name w:val="TableNormal Char"/>
    <w:link w:val="126"/>
    <w:qFormat/>
    <w:locked/>
    <w:uiPriority w:val="0"/>
    <w:rPr>
      <w:rFonts w:ascii="Arial" w:hAnsi="Arial" w:cs="Arial"/>
      <w:lang w:eastAsia="en-US"/>
    </w:rPr>
  </w:style>
  <w:style w:type="paragraph" w:customStyle="1" w:styleId="126">
    <w:name w:val="TableNormal"/>
    <w:basedOn w:val="1"/>
    <w:link w:val="125"/>
    <w:qFormat/>
    <w:uiPriority w:val="0"/>
    <w:pPr>
      <w:widowControl/>
      <w:spacing w:before="40" w:after="40" w:line="264" w:lineRule="auto"/>
      <w:ind w:firstLine="566" w:firstLineChars="236"/>
      <w:jc w:val="left"/>
    </w:pPr>
    <w:rPr>
      <w:rFonts w:ascii="Arial" w:hAnsi="Arial" w:cs="Arial"/>
      <w:kern w:val="0"/>
      <w:sz w:val="20"/>
      <w:szCs w:val="20"/>
      <w:lang w:eastAsia="en-US"/>
    </w:rPr>
  </w:style>
  <w:style w:type="paragraph" w:customStyle="1" w:styleId="127">
    <w:name w:val="正文_0_0"/>
    <w:qFormat/>
    <w:uiPriority w:val="0"/>
    <w:rPr>
      <w:rFonts w:ascii="Times New Roman" w:hAnsi="Times New Roman" w:eastAsia="宋体" w:cs="Times New Roman"/>
      <w:kern w:val="2"/>
      <w:sz w:val="24"/>
      <w:szCs w:val="24"/>
      <w:lang w:val="en-US" w:eastAsia="zh-CN" w:bidi="mn-Mong-CN"/>
    </w:rPr>
  </w:style>
  <w:style w:type="character" w:customStyle="1" w:styleId="128">
    <w:name w:val="NormalCharacter"/>
    <w:semiHidden/>
    <w:qFormat/>
    <w:uiPriority w:val="99"/>
  </w:style>
  <w:style w:type="paragraph" w:customStyle="1" w:styleId="129">
    <w:name w:val="正文 A"/>
    <w:qFormat/>
    <w:uiPriority w:val="0"/>
    <w:pPr>
      <w:widowControl w:val="0"/>
      <w:spacing w:line="576" w:lineRule="exact"/>
      <w:ind w:firstLine="662"/>
      <w:jc w:val="both"/>
    </w:pPr>
    <w:rPr>
      <w:rFonts w:ascii="仿宋_GB2312" w:hAnsi="仿宋_GB2312" w:eastAsia="仿宋_GB2312" w:cs="仿宋_GB2312"/>
      <w:color w:val="000000"/>
      <w:kern w:val="2"/>
      <w:sz w:val="32"/>
      <w:szCs w:val="32"/>
      <w:u w:color="000000"/>
      <w:lang w:val="zh-TW" w:eastAsia="zh-TW" w:bidi="ar-SA"/>
    </w:rPr>
  </w:style>
  <w:style w:type="paragraph" w:customStyle="1" w:styleId="130">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1">
    <w:name w:val="一级条标题"/>
    <w:basedOn w:val="1"/>
    <w:next w:val="132"/>
    <w:qFormat/>
    <w:uiPriority w:val="0"/>
    <w:pPr>
      <w:widowControl/>
      <w:ind w:left="420"/>
      <w:outlineLvl w:val="2"/>
    </w:pPr>
    <w:rPr>
      <w:rFonts w:ascii="黑体" w:hAnsi="Calibri" w:eastAsia="黑体" w:cs="黑体"/>
      <w:kern w:val="0"/>
      <w:sz w:val="21"/>
      <w:szCs w:val="21"/>
    </w:rPr>
  </w:style>
  <w:style w:type="paragraph" w:customStyle="1" w:styleId="13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3">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134">
    <w:name w:val="GW-正文 Char"/>
    <w:link w:val="135"/>
    <w:qFormat/>
    <w:uiPriority w:val="0"/>
    <w:rPr>
      <w:rFonts w:eastAsia="仿宋_GB2312"/>
      <w:sz w:val="24"/>
      <w:szCs w:val="24"/>
    </w:rPr>
  </w:style>
  <w:style w:type="paragraph" w:customStyle="1" w:styleId="135">
    <w:name w:val="GW-正文"/>
    <w:basedOn w:val="1"/>
    <w:link w:val="134"/>
    <w:qFormat/>
    <w:uiPriority w:val="0"/>
    <w:pPr>
      <w:spacing w:line="360" w:lineRule="auto"/>
      <w:ind w:firstLine="200" w:firstLineChars="200"/>
    </w:pPr>
    <w:rPr>
      <w:rFonts w:eastAsia="仿宋_GB2312" w:asciiTheme="minorHAnsi" w:hAnsiTheme="minorHAnsi" w:cstheme="minorBidi"/>
      <w:kern w:val="0"/>
    </w:rPr>
  </w:style>
  <w:style w:type="paragraph" w:customStyle="1" w:styleId="136">
    <w:name w:val="BodyText"/>
    <w:basedOn w:val="1"/>
    <w:next w:val="137"/>
    <w:qFormat/>
    <w:uiPriority w:val="0"/>
    <w:pPr>
      <w:spacing w:after="120"/>
    </w:pPr>
  </w:style>
  <w:style w:type="paragraph" w:customStyle="1" w:styleId="137">
    <w:name w:val="BodyTextIndent"/>
    <w:basedOn w:val="1"/>
    <w:qFormat/>
    <w:uiPriority w:val="0"/>
    <w:pPr>
      <w:spacing w:after="120"/>
      <w:ind w:left="420" w:leftChars="200"/>
    </w:pPr>
    <w:rPr>
      <w:sz w:val="21"/>
    </w:rPr>
  </w:style>
  <w:style w:type="paragraph" w:customStyle="1" w:styleId="138">
    <w:name w:val="本文正文"/>
    <w:basedOn w:val="1"/>
    <w:qFormat/>
    <w:uiPriority w:val="0"/>
    <w:pPr>
      <w:tabs>
        <w:tab w:val="left" w:pos="4500"/>
      </w:tabs>
    </w:pPr>
    <w:rPr>
      <w:rFonts w:ascii="Times" w:hAnsi="Times"/>
      <w:kern w:val="2"/>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emf"/><Relationship Id="rId12" Type="http://schemas.openxmlformats.org/officeDocument/2006/relationships/image" Target="media/image5.png"/><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650777-91BA-4ADA-AA66-BD1BF5AF3A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34891</Words>
  <Characters>36394</Characters>
  <Lines>283</Lines>
  <Paragraphs>79</Paragraphs>
  <TotalTime>98</TotalTime>
  <ScaleCrop>false</ScaleCrop>
  <LinksUpToDate>false</LinksUpToDate>
  <CharactersWithSpaces>37042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2022-04-19T12:54:00Z</dcterms:created>
  <dc:creator>峰 峰</dc:creator>
  <cp:lastModifiedBy>jiashu</cp:lastModifiedBy>
  <cp:lastPrinted>2022-02-24T08:47:00Z</cp:lastPrinted>
  <dcterms:modified xsi:type="dcterms:W3CDTF">2023-04-29T07:12:54Z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29AD622D77144FA082073583E347CAC4_13</vt:lpwstr>
  </property>
</Properties>
</file>