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cs="宋体"/>
          <w:b/>
          <w:bCs/>
          <w:color w:val="000000"/>
          <w:kern w:val="0"/>
          <w:sz w:val="84"/>
          <w:szCs w:val="84"/>
          <w:lang w:val="zh-CN"/>
        </w:rPr>
      </w:pPr>
    </w:p>
    <w:p>
      <w:pPr>
        <w:autoSpaceDE w:val="0"/>
        <w:autoSpaceDN w:val="0"/>
        <w:adjustRightInd w:val="0"/>
        <w:spacing w:line="360" w:lineRule="auto"/>
        <w:jc w:val="center"/>
        <w:rPr>
          <w:rFonts w:ascii="宋体" w:hAnsi="宋体" w:cs="宋体"/>
          <w:b/>
          <w:bCs/>
          <w:color w:val="000000"/>
          <w:kern w:val="0"/>
          <w:sz w:val="84"/>
          <w:szCs w:val="84"/>
          <w:lang w:val="zh-CN"/>
        </w:rPr>
      </w:pPr>
    </w:p>
    <w:p>
      <w:pPr>
        <w:autoSpaceDE w:val="0"/>
        <w:autoSpaceDN w:val="0"/>
        <w:adjustRightInd w:val="0"/>
        <w:spacing w:line="360" w:lineRule="auto"/>
        <w:jc w:val="center"/>
        <w:rPr>
          <w:rFonts w:ascii="宋体" w:hAnsi="宋体" w:cs="宋体"/>
          <w:b/>
          <w:bCs/>
          <w:color w:val="000000"/>
          <w:kern w:val="0"/>
          <w:sz w:val="84"/>
          <w:szCs w:val="84"/>
          <w:lang w:val="zh-CN"/>
        </w:rPr>
      </w:pPr>
      <w:r>
        <w:rPr>
          <w:rFonts w:hint="eastAsia" w:ascii="宋体" w:hAnsi="宋体" w:cs="宋体"/>
          <w:b/>
          <w:bCs/>
          <w:color w:val="000000"/>
          <w:kern w:val="0"/>
          <w:sz w:val="84"/>
          <w:szCs w:val="84"/>
          <w:lang w:val="zh-CN"/>
        </w:rPr>
        <w:t>公</w:t>
      </w:r>
      <w:r>
        <w:rPr>
          <w:rFonts w:hint="eastAsia" w:ascii="宋体" w:hAnsi="宋体" w:cs="宋体"/>
          <w:b/>
          <w:bCs/>
          <w:color w:val="000000"/>
          <w:kern w:val="0"/>
          <w:sz w:val="84"/>
          <w:szCs w:val="84"/>
        </w:rPr>
        <w:t xml:space="preserve"> </w:t>
      </w:r>
      <w:r>
        <w:rPr>
          <w:rFonts w:hint="eastAsia" w:ascii="宋体" w:hAnsi="宋体" w:cs="宋体"/>
          <w:b/>
          <w:bCs/>
          <w:color w:val="000000"/>
          <w:kern w:val="0"/>
          <w:sz w:val="84"/>
          <w:szCs w:val="84"/>
          <w:lang w:val="zh-CN"/>
        </w:rPr>
        <w:t>开</w:t>
      </w:r>
      <w:r>
        <w:rPr>
          <w:rFonts w:hint="eastAsia" w:ascii="宋体" w:hAnsi="宋体" w:cs="宋体"/>
          <w:b/>
          <w:bCs/>
          <w:color w:val="000000"/>
          <w:kern w:val="0"/>
          <w:sz w:val="84"/>
          <w:szCs w:val="84"/>
        </w:rPr>
        <w:t xml:space="preserve"> </w:t>
      </w:r>
      <w:r>
        <w:rPr>
          <w:rFonts w:hint="eastAsia" w:ascii="宋体" w:hAnsi="宋体" w:cs="宋体"/>
          <w:b/>
          <w:bCs/>
          <w:color w:val="000000"/>
          <w:kern w:val="0"/>
          <w:sz w:val="84"/>
          <w:szCs w:val="84"/>
          <w:lang w:val="zh-CN"/>
        </w:rPr>
        <w:t>招</w:t>
      </w:r>
      <w:r>
        <w:rPr>
          <w:rFonts w:hint="eastAsia" w:ascii="宋体" w:hAnsi="宋体" w:cs="宋体"/>
          <w:b/>
          <w:bCs/>
          <w:color w:val="000000"/>
          <w:kern w:val="0"/>
          <w:sz w:val="84"/>
          <w:szCs w:val="84"/>
        </w:rPr>
        <w:t xml:space="preserve"> </w:t>
      </w:r>
      <w:r>
        <w:rPr>
          <w:rFonts w:hint="eastAsia" w:ascii="宋体" w:hAnsi="宋体" w:cs="宋体"/>
          <w:b/>
          <w:bCs/>
          <w:color w:val="000000"/>
          <w:kern w:val="0"/>
          <w:sz w:val="84"/>
          <w:szCs w:val="84"/>
          <w:lang w:val="zh-CN"/>
        </w:rPr>
        <w:t>标</w:t>
      </w:r>
      <w:r>
        <w:rPr>
          <w:rFonts w:hint="eastAsia" w:ascii="宋体" w:hAnsi="宋体" w:cs="宋体"/>
          <w:b/>
          <w:bCs/>
          <w:color w:val="000000"/>
          <w:kern w:val="0"/>
          <w:sz w:val="84"/>
          <w:szCs w:val="84"/>
        </w:rPr>
        <w:t xml:space="preserve"> </w:t>
      </w:r>
      <w:r>
        <w:rPr>
          <w:rFonts w:hint="eastAsia" w:ascii="宋体" w:hAnsi="宋体" w:cs="宋体"/>
          <w:b/>
          <w:bCs/>
          <w:color w:val="000000"/>
          <w:kern w:val="0"/>
          <w:sz w:val="84"/>
          <w:szCs w:val="84"/>
          <w:lang w:val="zh-CN"/>
        </w:rPr>
        <w:t>文</w:t>
      </w:r>
      <w:r>
        <w:rPr>
          <w:rFonts w:hint="eastAsia" w:ascii="宋体" w:hAnsi="宋体" w:cs="宋体"/>
          <w:b/>
          <w:bCs/>
          <w:color w:val="000000"/>
          <w:kern w:val="0"/>
          <w:sz w:val="84"/>
          <w:szCs w:val="84"/>
        </w:rPr>
        <w:t xml:space="preserve"> </w:t>
      </w:r>
      <w:r>
        <w:rPr>
          <w:rFonts w:hint="eastAsia" w:ascii="宋体" w:hAnsi="宋体" w:cs="宋体"/>
          <w:b/>
          <w:bCs/>
          <w:color w:val="000000"/>
          <w:kern w:val="0"/>
          <w:sz w:val="84"/>
          <w:szCs w:val="84"/>
          <w:lang w:val="zh-CN"/>
        </w:rPr>
        <w:t>件</w:t>
      </w:r>
    </w:p>
    <w:p>
      <w:pPr>
        <w:pStyle w:val="8"/>
        <w:numPr>
          <w:ilvl w:val="0"/>
          <w:numId w:val="0"/>
        </w:numPr>
        <w:spacing w:before="120" w:after="120"/>
      </w:pPr>
    </w:p>
    <w:p>
      <w:pPr>
        <w:pStyle w:val="7"/>
        <w:spacing w:line="360" w:lineRule="auto"/>
        <w:rPr>
          <w:rFonts w:ascii="宋体" w:hAnsi="宋体" w:cs="宋体"/>
          <w:kern w:val="0"/>
          <w:sz w:val="36"/>
          <w:szCs w:val="36"/>
          <w:u w:val="dotDash"/>
        </w:rPr>
      </w:pPr>
    </w:p>
    <w:p>
      <w:pPr>
        <w:autoSpaceDE w:val="0"/>
        <w:autoSpaceDN w:val="0"/>
        <w:adjustRightInd w:val="0"/>
        <w:spacing w:line="360" w:lineRule="auto"/>
        <w:jc w:val="left"/>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采购项目编号：青海中旭公招（货物）2022-045</w:t>
      </w:r>
    </w:p>
    <w:p>
      <w:pPr>
        <w:autoSpaceDE w:val="0"/>
        <w:autoSpaceDN w:val="0"/>
        <w:adjustRightInd w:val="0"/>
        <w:spacing w:line="360" w:lineRule="auto"/>
        <w:jc w:val="left"/>
        <w:rPr>
          <w:rFonts w:ascii="宋体" w:hAnsi="宋体" w:cs="宋体"/>
          <w:b/>
          <w:bCs/>
          <w:color w:val="000000"/>
          <w:kern w:val="0"/>
          <w:sz w:val="32"/>
          <w:szCs w:val="32"/>
          <w:lang w:val="zh-CN"/>
        </w:rPr>
      </w:pPr>
    </w:p>
    <w:p>
      <w:pPr>
        <w:autoSpaceDE w:val="0"/>
        <w:autoSpaceDN w:val="0"/>
        <w:adjustRightInd w:val="0"/>
        <w:spacing w:line="360" w:lineRule="auto"/>
        <w:ind w:left="2249" w:hanging="2249" w:hangingChars="700"/>
        <w:jc w:val="left"/>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采购项目名称：青海省自然灾害应急救援设备装备及器材购置项目</w:t>
      </w:r>
    </w:p>
    <w:p>
      <w:pPr>
        <w:autoSpaceDE w:val="0"/>
        <w:autoSpaceDN w:val="0"/>
        <w:adjustRightInd w:val="0"/>
        <w:spacing w:line="360" w:lineRule="auto"/>
        <w:jc w:val="left"/>
        <w:rPr>
          <w:rFonts w:ascii="宋体" w:hAnsi="宋体" w:cs="宋体"/>
          <w:b/>
          <w:bCs/>
          <w:color w:val="000000"/>
          <w:kern w:val="0"/>
          <w:sz w:val="32"/>
          <w:szCs w:val="32"/>
          <w:lang w:val="zh-CN"/>
        </w:rPr>
      </w:pPr>
    </w:p>
    <w:p>
      <w:pPr>
        <w:autoSpaceDE w:val="0"/>
        <w:autoSpaceDN w:val="0"/>
        <w:adjustRightInd w:val="0"/>
        <w:spacing w:line="360" w:lineRule="auto"/>
        <w:ind w:left="2249" w:hanging="2249" w:hangingChars="700"/>
        <w:jc w:val="left"/>
        <w:rPr>
          <w:sz w:val="32"/>
          <w:szCs w:val="32"/>
          <w:lang w:val="zh-CN"/>
        </w:rPr>
      </w:pPr>
      <w:r>
        <w:rPr>
          <w:rFonts w:hint="eastAsia" w:ascii="宋体" w:hAnsi="宋体" w:cs="宋体"/>
          <w:b/>
          <w:bCs/>
          <w:color w:val="000000"/>
          <w:kern w:val="0"/>
          <w:sz w:val="32"/>
          <w:szCs w:val="32"/>
          <w:lang w:val="zh-CN"/>
        </w:rPr>
        <w:t>采</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购</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人：青海省应急管理厅</w:t>
      </w:r>
      <w:r>
        <w:rPr>
          <w:rFonts w:hint="eastAsia" w:ascii="宋体" w:hAnsi="宋体" w:cs="宋体"/>
          <w:b/>
          <w:bCs/>
          <w:color w:val="000000"/>
          <w:kern w:val="0"/>
          <w:sz w:val="32"/>
          <w:szCs w:val="32"/>
        </w:rPr>
        <w:t xml:space="preserve">      </w:t>
      </w:r>
    </w:p>
    <w:p>
      <w:pPr>
        <w:autoSpaceDE w:val="0"/>
        <w:autoSpaceDN w:val="0"/>
        <w:adjustRightInd w:val="0"/>
        <w:spacing w:line="360" w:lineRule="auto"/>
        <w:jc w:val="left"/>
        <w:rPr>
          <w:rFonts w:ascii="宋体" w:hAnsi="宋体" w:cs="宋体"/>
          <w:b/>
          <w:bCs/>
          <w:color w:val="000000"/>
          <w:kern w:val="0"/>
          <w:sz w:val="32"/>
          <w:szCs w:val="32"/>
          <w:lang w:val="zh-CN"/>
        </w:rPr>
      </w:pPr>
    </w:p>
    <w:p>
      <w:pPr>
        <w:autoSpaceDE w:val="0"/>
        <w:autoSpaceDN w:val="0"/>
        <w:adjustRightInd w:val="0"/>
        <w:spacing w:line="360" w:lineRule="auto"/>
        <w:jc w:val="left"/>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采购代理机构：青海中旭工程项目管理有限公司</w:t>
      </w:r>
    </w:p>
    <w:p>
      <w:pPr>
        <w:pStyle w:val="5"/>
        <w:ind w:left="480"/>
        <w:rPr>
          <w:sz w:val="32"/>
          <w:szCs w:val="32"/>
          <w:lang w:val="zh-CN"/>
        </w:rPr>
      </w:pPr>
    </w:p>
    <w:p>
      <w:pPr>
        <w:autoSpaceDE w:val="0"/>
        <w:autoSpaceDN w:val="0"/>
        <w:adjustRightInd w:val="0"/>
        <w:spacing w:line="360" w:lineRule="auto"/>
        <w:jc w:val="left"/>
        <w:rPr>
          <w:rFonts w:ascii="宋体" w:hAnsi="宋体" w:cs="宋体"/>
          <w:b/>
          <w:bCs/>
          <w:color w:val="000000"/>
          <w:kern w:val="0"/>
          <w:sz w:val="32"/>
          <w:szCs w:val="32"/>
          <w:lang w:val="zh-CN"/>
        </w:rPr>
      </w:pPr>
    </w:p>
    <w:p>
      <w:pPr>
        <w:autoSpaceDE w:val="0"/>
        <w:autoSpaceDN w:val="0"/>
        <w:adjustRightInd w:val="0"/>
        <w:spacing w:line="360" w:lineRule="auto"/>
        <w:jc w:val="left"/>
        <w:rPr>
          <w:rFonts w:ascii="宋体" w:hAnsi="宋体" w:cs="宋体"/>
          <w:b/>
          <w:bCs/>
          <w:color w:val="000000"/>
          <w:kern w:val="0"/>
          <w:sz w:val="32"/>
          <w:szCs w:val="32"/>
        </w:rPr>
      </w:pPr>
      <w:r>
        <w:rPr>
          <w:rFonts w:hint="eastAsia" w:ascii="宋体" w:hAnsi="宋体" w:cs="宋体"/>
          <w:b/>
          <w:bCs/>
          <w:color w:val="000000"/>
          <w:kern w:val="0"/>
          <w:sz w:val="32"/>
          <w:szCs w:val="32"/>
          <w:lang w:val="zh-CN"/>
        </w:rPr>
        <w:t>日</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期：</w:t>
      </w:r>
      <w:r>
        <w:rPr>
          <w:rFonts w:hint="eastAsia" w:ascii="宋体" w:hAnsi="宋体" w:cs="宋体"/>
          <w:b/>
          <w:bCs/>
          <w:color w:val="000000"/>
          <w:kern w:val="0"/>
          <w:sz w:val="32"/>
          <w:szCs w:val="32"/>
        </w:rPr>
        <w:t>2022年</w:t>
      </w:r>
      <w:r>
        <w:rPr>
          <w:rFonts w:hint="eastAsia" w:ascii="宋体" w:hAnsi="宋体" w:cs="宋体"/>
          <w:b/>
          <w:bCs/>
          <w:color w:val="000000"/>
          <w:kern w:val="0"/>
          <w:sz w:val="32"/>
          <w:szCs w:val="32"/>
          <w:lang w:val="en-US" w:eastAsia="zh-CN"/>
        </w:rPr>
        <w:t>10</w:t>
      </w:r>
      <w:r>
        <w:rPr>
          <w:rFonts w:hint="eastAsia" w:ascii="宋体" w:hAnsi="宋体" w:cs="宋体"/>
          <w:b/>
          <w:bCs/>
          <w:color w:val="000000"/>
          <w:kern w:val="0"/>
          <w:sz w:val="32"/>
          <w:szCs w:val="32"/>
        </w:rPr>
        <w:t>月</w:t>
      </w:r>
    </w:p>
    <w:p>
      <w:pPr>
        <w:adjustRightInd w:val="0"/>
        <w:spacing w:line="360" w:lineRule="auto"/>
        <w:textAlignment w:val="baseline"/>
        <w:rPr>
          <w:rFonts w:ascii="宋体" w:hAnsi="宋体" w:cs="宋体"/>
          <w:b/>
          <w:color w:val="000000"/>
          <w:sz w:val="32"/>
          <w:szCs w:val="32"/>
        </w:rPr>
        <w:sectPr>
          <w:headerReference r:id="rId3" w:type="default"/>
          <w:footerReference r:id="rId4" w:type="even"/>
          <w:pgSz w:w="11849" w:h="16781"/>
          <w:pgMar w:top="1440" w:right="1803" w:bottom="1440" w:left="1803" w:header="454" w:footer="992" w:gutter="0"/>
          <w:pgNumType w:start="1"/>
          <w:cols w:space="720" w:num="1"/>
          <w:docGrid w:linePitch="397" w:charSpace="0"/>
        </w:sectPr>
      </w:pPr>
    </w:p>
    <w:p>
      <w:pPr>
        <w:spacing w:line="360" w:lineRule="auto"/>
        <w:ind w:firstLine="3935" w:firstLineChars="1400"/>
        <w:rPr>
          <w:b/>
          <w:bCs/>
          <w:sz w:val="28"/>
          <w:szCs w:val="28"/>
        </w:rPr>
      </w:pPr>
      <w:bookmarkStart w:id="0" w:name="_Toc27474"/>
      <w:bookmarkStart w:id="1" w:name="_Toc15311"/>
      <w:bookmarkStart w:id="2" w:name="_Toc7988"/>
      <w:bookmarkStart w:id="3" w:name="_Toc7555"/>
      <w:bookmarkStart w:id="4" w:name="_Toc27332"/>
      <w:r>
        <w:rPr>
          <w:rFonts w:ascii="宋体" w:hAnsi="宋体"/>
          <w:b/>
          <w:bCs/>
          <w:sz w:val="28"/>
          <w:szCs w:val="28"/>
        </w:rPr>
        <w:t>目</w:t>
      </w:r>
      <w:r>
        <w:rPr>
          <w:rFonts w:hint="eastAsia" w:ascii="宋体" w:hAnsi="宋体"/>
          <w:b/>
          <w:bCs/>
          <w:sz w:val="28"/>
          <w:szCs w:val="28"/>
        </w:rPr>
        <w:t xml:space="preserve">   </w:t>
      </w:r>
      <w:r>
        <w:rPr>
          <w:rFonts w:ascii="宋体" w:hAnsi="宋体"/>
          <w:b/>
          <w:bCs/>
          <w:sz w:val="28"/>
          <w:szCs w:val="28"/>
        </w:rPr>
        <w:t>录</w:t>
      </w:r>
    </w:p>
    <w:p>
      <w:pPr>
        <w:pStyle w:val="28"/>
        <w:tabs>
          <w:tab w:val="right" w:leader="dot" w:pos="9070"/>
        </w:tabs>
        <w:spacing w:line="360" w:lineRule="auto"/>
        <w:rPr>
          <w:rFonts w:ascii="宋体" w:hAnsi="宋体"/>
          <w:sz w:val="24"/>
          <w:szCs w:val="24"/>
        </w:rPr>
      </w:pPr>
      <w:r>
        <w:rPr>
          <w:b/>
          <w:bCs/>
          <w:sz w:val="21"/>
          <w:szCs w:val="21"/>
        </w:rPr>
        <w:fldChar w:fldCharType="begin"/>
      </w:r>
      <w:r>
        <w:rPr>
          <w:b/>
          <w:bCs/>
          <w:sz w:val="21"/>
          <w:szCs w:val="21"/>
        </w:rPr>
        <w:instrText xml:space="preserve">TOC \o "1-3" \h \u </w:instrText>
      </w:r>
      <w:r>
        <w:rPr>
          <w:b/>
          <w:bCs/>
          <w:sz w:val="21"/>
          <w:szCs w:val="21"/>
        </w:rPr>
        <w:fldChar w:fldCharType="separate"/>
      </w:r>
      <w:r>
        <w:fldChar w:fldCharType="begin"/>
      </w:r>
      <w:r>
        <w:instrText xml:space="preserve"> HYPERLINK \l "_Toc23476" </w:instrText>
      </w:r>
      <w:r>
        <w:fldChar w:fldCharType="separate"/>
      </w:r>
      <w:r>
        <w:rPr>
          <w:rFonts w:hint="eastAsia" w:ascii="宋体" w:hAnsi="宋体"/>
          <w:sz w:val="24"/>
          <w:szCs w:val="24"/>
          <w:lang w:val="zh-CN"/>
        </w:rPr>
        <w:t>第一部分  招标公告</w:t>
      </w:r>
      <w:r>
        <w:rPr>
          <w:rFonts w:hint="eastAsia" w:ascii="宋体" w:hAnsi="宋体"/>
          <w:sz w:val="24"/>
          <w:szCs w:val="24"/>
        </w:rPr>
        <w:tab/>
      </w:r>
      <w:r>
        <w:rPr>
          <w:rFonts w:hint="eastAsia" w:ascii="宋体" w:hAnsi="宋体"/>
          <w:sz w:val="24"/>
          <w:szCs w:val="24"/>
          <w:lang w:val="en-US" w:eastAsia="zh-CN"/>
        </w:rPr>
        <w:t>3</w:t>
      </w:r>
      <w:r>
        <w:rPr>
          <w:rFonts w:hint="eastAsia" w:ascii="宋体" w:hAnsi="宋体"/>
          <w:sz w:val="24"/>
          <w:szCs w:val="24"/>
        </w:rPr>
        <w:fldChar w:fldCharType="end"/>
      </w:r>
    </w:p>
    <w:p>
      <w:pPr>
        <w:pStyle w:val="28"/>
        <w:tabs>
          <w:tab w:val="right" w:leader="dot" w:pos="9070"/>
        </w:tabs>
        <w:spacing w:line="360" w:lineRule="auto"/>
        <w:rPr>
          <w:rFonts w:ascii="宋体" w:hAnsi="宋体"/>
          <w:sz w:val="24"/>
          <w:szCs w:val="24"/>
        </w:rPr>
      </w:pPr>
      <w:r>
        <w:fldChar w:fldCharType="begin"/>
      </w:r>
      <w:r>
        <w:instrText xml:space="preserve"> HYPERLINK \l "_Toc5994" </w:instrText>
      </w:r>
      <w:r>
        <w:fldChar w:fldCharType="separate"/>
      </w:r>
      <w:r>
        <w:rPr>
          <w:rFonts w:hint="eastAsia" w:ascii="宋体" w:hAnsi="宋体"/>
          <w:sz w:val="24"/>
          <w:szCs w:val="24"/>
          <w:lang w:val="zh-CN"/>
        </w:rPr>
        <w:t xml:space="preserve">第二部分 </w:t>
      </w:r>
      <w:r>
        <w:rPr>
          <w:rFonts w:hint="eastAsia" w:ascii="宋体" w:hAnsi="宋体"/>
          <w:sz w:val="24"/>
          <w:szCs w:val="24"/>
          <w:lang w:val="en-US" w:eastAsia="zh-CN"/>
        </w:rPr>
        <w:t xml:space="preserve"> </w:t>
      </w:r>
      <w:r>
        <w:rPr>
          <w:rFonts w:hint="eastAsia" w:ascii="宋体" w:hAnsi="宋体"/>
          <w:sz w:val="24"/>
          <w:szCs w:val="24"/>
          <w:lang w:val="zh-CN"/>
        </w:rPr>
        <w:t>投标人须知</w:t>
      </w:r>
      <w:r>
        <w:rPr>
          <w:rFonts w:hint="eastAsia" w:ascii="宋体" w:hAnsi="宋体"/>
          <w:sz w:val="24"/>
          <w:szCs w:val="24"/>
        </w:rPr>
        <w:tab/>
      </w:r>
      <w:r>
        <w:rPr>
          <w:rFonts w:hint="eastAsia" w:ascii="宋体" w:hAnsi="宋体"/>
          <w:sz w:val="24"/>
          <w:szCs w:val="24"/>
          <w:lang w:val="en-US" w:eastAsia="zh-CN"/>
        </w:rPr>
        <w:t>7</w:t>
      </w:r>
      <w:r>
        <w:rPr>
          <w:rFonts w:hint="eastAsia" w:ascii="宋体" w:hAnsi="宋体"/>
          <w:sz w:val="24"/>
          <w:szCs w:val="24"/>
        </w:rPr>
        <w:fldChar w:fldCharType="end"/>
      </w:r>
    </w:p>
    <w:p>
      <w:pPr>
        <w:pStyle w:val="28"/>
        <w:tabs>
          <w:tab w:val="right" w:leader="dot" w:pos="9070"/>
        </w:tabs>
        <w:spacing w:line="360" w:lineRule="auto"/>
        <w:rPr>
          <w:rFonts w:ascii="宋体" w:hAnsi="宋体"/>
          <w:sz w:val="24"/>
          <w:szCs w:val="24"/>
        </w:rPr>
      </w:pPr>
      <w:r>
        <w:fldChar w:fldCharType="begin"/>
      </w:r>
      <w:r>
        <w:instrText xml:space="preserve"> HYPERLINK \l "_Toc21418" </w:instrText>
      </w:r>
      <w:r>
        <w:fldChar w:fldCharType="separate"/>
      </w:r>
      <w:r>
        <w:rPr>
          <w:rFonts w:hint="eastAsia" w:ascii="宋体" w:hAnsi="宋体"/>
          <w:sz w:val="24"/>
          <w:szCs w:val="24"/>
          <w:lang w:val="zh-CN"/>
        </w:rPr>
        <w:t>第三部分</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lang w:val="zh-CN"/>
        </w:rPr>
        <w:t>青海省政府采购项目合同书范本</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_Toc21418 </w:instrText>
      </w:r>
      <w:r>
        <w:rPr>
          <w:rFonts w:hint="eastAsia" w:ascii="宋体" w:hAnsi="宋体"/>
          <w:sz w:val="24"/>
          <w:szCs w:val="24"/>
        </w:rPr>
        <w:fldChar w:fldCharType="separate"/>
      </w:r>
      <w:r>
        <w:rPr>
          <w:rFonts w:hint="eastAsia" w:ascii="宋体" w:hAnsi="宋体"/>
          <w:sz w:val="24"/>
          <w:szCs w:val="24"/>
        </w:rPr>
        <w:t>25</w:t>
      </w:r>
      <w:r>
        <w:rPr>
          <w:rFonts w:hint="eastAsia" w:ascii="宋体" w:hAnsi="宋体"/>
          <w:sz w:val="24"/>
          <w:szCs w:val="24"/>
        </w:rPr>
        <w:fldChar w:fldCharType="end"/>
      </w:r>
      <w:r>
        <w:rPr>
          <w:rFonts w:hint="eastAsia" w:ascii="宋体" w:hAnsi="宋体"/>
          <w:sz w:val="24"/>
          <w:szCs w:val="24"/>
        </w:rPr>
        <w:fldChar w:fldCharType="end"/>
      </w:r>
    </w:p>
    <w:p>
      <w:pPr>
        <w:pStyle w:val="28"/>
        <w:tabs>
          <w:tab w:val="right" w:leader="dot" w:pos="9070"/>
        </w:tabs>
        <w:spacing w:line="360" w:lineRule="auto"/>
        <w:rPr>
          <w:rFonts w:ascii="宋体" w:hAnsi="宋体"/>
          <w:sz w:val="24"/>
          <w:szCs w:val="24"/>
        </w:rPr>
      </w:pPr>
      <w:r>
        <w:fldChar w:fldCharType="begin"/>
      </w:r>
      <w:r>
        <w:instrText xml:space="preserve"> HYPERLINK \l "_Toc547" </w:instrText>
      </w:r>
      <w:r>
        <w:fldChar w:fldCharType="separate"/>
      </w:r>
      <w:r>
        <w:rPr>
          <w:rFonts w:hint="eastAsia" w:ascii="宋体" w:hAnsi="宋体"/>
          <w:sz w:val="24"/>
          <w:szCs w:val="24"/>
          <w:lang w:val="zh-CN"/>
        </w:rPr>
        <w:t>第四部分  投标文件格式</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_Toc547 </w:instrText>
      </w:r>
      <w:r>
        <w:rPr>
          <w:rFonts w:hint="eastAsia" w:ascii="宋体" w:hAnsi="宋体"/>
          <w:sz w:val="24"/>
          <w:szCs w:val="24"/>
        </w:rPr>
        <w:fldChar w:fldCharType="separate"/>
      </w:r>
      <w:r>
        <w:rPr>
          <w:rFonts w:hint="eastAsia" w:ascii="宋体" w:hAnsi="宋体"/>
          <w:sz w:val="24"/>
          <w:szCs w:val="24"/>
        </w:rPr>
        <w:t>40</w:t>
      </w:r>
      <w:r>
        <w:rPr>
          <w:rFonts w:hint="eastAsia" w:ascii="宋体" w:hAnsi="宋体"/>
          <w:sz w:val="24"/>
          <w:szCs w:val="24"/>
        </w:rPr>
        <w:fldChar w:fldCharType="end"/>
      </w:r>
      <w:r>
        <w:rPr>
          <w:rFonts w:hint="eastAsia" w:ascii="宋体" w:hAnsi="宋体"/>
          <w:sz w:val="24"/>
          <w:szCs w:val="24"/>
        </w:rPr>
        <w:fldChar w:fldCharType="end"/>
      </w:r>
    </w:p>
    <w:p>
      <w:pPr>
        <w:pStyle w:val="28"/>
        <w:tabs>
          <w:tab w:val="right" w:leader="dot" w:pos="9070"/>
        </w:tabs>
        <w:spacing w:line="360" w:lineRule="auto"/>
        <w:rPr>
          <w:rFonts w:ascii="宋体" w:hAnsi="宋体"/>
          <w:sz w:val="24"/>
          <w:szCs w:val="24"/>
        </w:rPr>
      </w:pPr>
      <w:r>
        <w:fldChar w:fldCharType="begin"/>
      </w:r>
      <w:r>
        <w:instrText xml:space="preserve"> HYPERLINK \l "_Toc7594" </w:instrText>
      </w:r>
      <w:r>
        <w:fldChar w:fldCharType="separate"/>
      </w:r>
      <w:r>
        <w:rPr>
          <w:rFonts w:hint="eastAsia" w:ascii="宋体" w:hAnsi="宋体"/>
          <w:sz w:val="24"/>
          <w:szCs w:val="24"/>
          <w:lang w:val="zh-CN"/>
        </w:rPr>
        <w:t>目录（上册）</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_Toc7594 </w:instrText>
      </w:r>
      <w:r>
        <w:rPr>
          <w:rFonts w:hint="eastAsia" w:ascii="宋体" w:hAnsi="宋体"/>
          <w:sz w:val="24"/>
          <w:szCs w:val="24"/>
        </w:rPr>
        <w:fldChar w:fldCharType="separate"/>
      </w:r>
      <w:r>
        <w:rPr>
          <w:rFonts w:hint="eastAsia" w:ascii="宋体" w:hAnsi="宋体"/>
          <w:sz w:val="24"/>
          <w:szCs w:val="24"/>
        </w:rPr>
        <w:t>41</w:t>
      </w:r>
      <w:r>
        <w:rPr>
          <w:rFonts w:hint="eastAsia" w:ascii="宋体" w:hAnsi="宋体"/>
          <w:sz w:val="24"/>
          <w:szCs w:val="24"/>
        </w:rPr>
        <w:fldChar w:fldCharType="end"/>
      </w:r>
      <w:r>
        <w:rPr>
          <w:rFonts w:hint="eastAsia" w:ascii="宋体" w:hAnsi="宋体"/>
          <w:sz w:val="24"/>
          <w:szCs w:val="24"/>
        </w:rPr>
        <w:fldChar w:fldCharType="end"/>
      </w:r>
    </w:p>
    <w:p>
      <w:pPr>
        <w:pStyle w:val="28"/>
        <w:tabs>
          <w:tab w:val="right" w:leader="dot" w:pos="9070"/>
        </w:tabs>
        <w:spacing w:line="360" w:lineRule="auto"/>
        <w:rPr>
          <w:rFonts w:ascii="宋体" w:hAnsi="宋体"/>
          <w:sz w:val="24"/>
          <w:szCs w:val="24"/>
        </w:rPr>
      </w:pPr>
      <w:r>
        <w:fldChar w:fldCharType="begin"/>
      </w:r>
      <w:r>
        <w:instrText xml:space="preserve"> HYPERLINK \l "_Toc25189" </w:instrText>
      </w:r>
      <w:r>
        <w:fldChar w:fldCharType="separate"/>
      </w:r>
      <w:r>
        <w:rPr>
          <w:rFonts w:hint="eastAsia" w:ascii="宋体" w:hAnsi="宋体"/>
          <w:sz w:val="24"/>
          <w:szCs w:val="24"/>
        </w:rPr>
        <w:t>（1）</w:t>
      </w:r>
      <w:r>
        <w:rPr>
          <w:rFonts w:hint="eastAsia" w:ascii="宋体" w:hAnsi="宋体"/>
          <w:sz w:val="24"/>
          <w:szCs w:val="24"/>
          <w:lang w:val="zh-CN"/>
        </w:rPr>
        <w:t>投标函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_Toc25189 </w:instrText>
      </w:r>
      <w:r>
        <w:rPr>
          <w:rFonts w:hint="eastAsia" w:ascii="宋体" w:hAnsi="宋体"/>
          <w:sz w:val="24"/>
          <w:szCs w:val="24"/>
        </w:rPr>
        <w:fldChar w:fldCharType="separate"/>
      </w:r>
      <w:r>
        <w:rPr>
          <w:rFonts w:hint="eastAsia" w:ascii="宋体" w:hAnsi="宋体"/>
          <w:sz w:val="24"/>
          <w:szCs w:val="24"/>
        </w:rPr>
        <w:t>42</w:t>
      </w:r>
      <w:r>
        <w:rPr>
          <w:rFonts w:hint="eastAsia" w:ascii="宋体" w:hAnsi="宋体"/>
          <w:sz w:val="24"/>
          <w:szCs w:val="24"/>
        </w:rPr>
        <w:fldChar w:fldCharType="end"/>
      </w:r>
      <w:r>
        <w:rPr>
          <w:rFonts w:hint="eastAsia" w:ascii="宋体" w:hAnsi="宋体"/>
          <w:sz w:val="24"/>
          <w:szCs w:val="24"/>
        </w:rPr>
        <w:fldChar w:fldCharType="end"/>
      </w:r>
    </w:p>
    <w:p>
      <w:pPr>
        <w:pStyle w:val="29"/>
        <w:tabs>
          <w:tab w:val="right" w:leader="dot" w:pos="9070"/>
        </w:tabs>
        <w:spacing w:line="360" w:lineRule="auto"/>
        <w:ind w:left="0" w:leftChars="0"/>
        <w:rPr>
          <w:rFonts w:ascii="宋体" w:hAnsi="宋体"/>
          <w:sz w:val="24"/>
          <w:szCs w:val="24"/>
        </w:rPr>
      </w:pPr>
      <w:r>
        <w:fldChar w:fldCharType="begin"/>
      </w:r>
      <w:r>
        <w:instrText xml:space="preserve"> HYPERLINK \l "_Toc15779" </w:instrText>
      </w:r>
      <w:r>
        <w:fldChar w:fldCharType="separate"/>
      </w:r>
      <w:r>
        <w:rPr>
          <w:rFonts w:hint="eastAsia" w:ascii="宋体" w:hAnsi="宋体"/>
          <w:sz w:val="24"/>
          <w:szCs w:val="24"/>
          <w:lang w:val="zh-CN"/>
        </w:rPr>
        <w:t>（</w:t>
      </w:r>
      <w:r>
        <w:rPr>
          <w:rFonts w:hint="eastAsia" w:ascii="宋体" w:hAnsi="宋体"/>
          <w:sz w:val="24"/>
          <w:szCs w:val="24"/>
        </w:rPr>
        <w:t>2</w:t>
      </w:r>
      <w:r>
        <w:rPr>
          <w:rFonts w:hint="eastAsia" w:ascii="宋体" w:hAnsi="宋体"/>
          <w:sz w:val="24"/>
          <w:szCs w:val="24"/>
          <w:lang w:val="zh-CN"/>
        </w:rPr>
        <w:t>）</w:t>
      </w:r>
      <w:r>
        <w:rPr>
          <w:rFonts w:hint="eastAsia" w:ascii="宋体" w:hAnsi="宋体"/>
          <w:sz w:val="24"/>
          <w:szCs w:val="24"/>
        </w:rPr>
        <w:t>法定代表人证明书</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_Toc15779 </w:instrText>
      </w:r>
      <w:r>
        <w:rPr>
          <w:rFonts w:hint="eastAsia" w:ascii="宋体" w:hAnsi="宋体"/>
          <w:sz w:val="24"/>
          <w:szCs w:val="24"/>
        </w:rPr>
        <w:fldChar w:fldCharType="separate"/>
      </w:r>
      <w:r>
        <w:rPr>
          <w:rFonts w:hint="eastAsia" w:ascii="宋体" w:hAnsi="宋体"/>
          <w:sz w:val="24"/>
          <w:szCs w:val="24"/>
        </w:rPr>
        <w:t>43</w:t>
      </w:r>
      <w:r>
        <w:rPr>
          <w:rFonts w:hint="eastAsia" w:ascii="宋体" w:hAnsi="宋体"/>
          <w:sz w:val="24"/>
          <w:szCs w:val="24"/>
        </w:rPr>
        <w:fldChar w:fldCharType="end"/>
      </w:r>
      <w:r>
        <w:rPr>
          <w:rFonts w:hint="eastAsia" w:ascii="宋体" w:hAnsi="宋体"/>
          <w:sz w:val="24"/>
          <w:szCs w:val="24"/>
        </w:rPr>
        <w:fldChar w:fldCharType="end"/>
      </w:r>
    </w:p>
    <w:p>
      <w:pPr>
        <w:pStyle w:val="29"/>
        <w:tabs>
          <w:tab w:val="right" w:leader="dot" w:pos="9070"/>
        </w:tabs>
        <w:spacing w:line="360" w:lineRule="auto"/>
        <w:ind w:left="0" w:leftChars="0"/>
        <w:rPr>
          <w:rFonts w:ascii="宋体" w:hAnsi="宋体"/>
          <w:sz w:val="24"/>
          <w:szCs w:val="24"/>
        </w:rPr>
      </w:pPr>
      <w:r>
        <w:fldChar w:fldCharType="begin"/>
      </w:r>
      <w:r>
        <w:instrText xml:space="preserve"> HYPERLINK \l "_Toc30555" </w:instrText>
      </w:r>
      <w:r>
        <w:fldChar w:fldCharType="separate"/>
      </w:r>
      <w:r>
        <w:rPr>
          <w:rFonts w:hint="eastAsia" w:ascii="宋体" w:hAnsi="宋体"/>
          <w:sz w:val="24"/>
          <w:szCs w:val="24"/>
        </w:rPr>
        <w:t>（3）</w:t>
      </w:r>
      <w:r>
        <w:rPr>
          <w:rFonts w:hint="eastAsia" w:ascii="宋体" w:hAnsi="宋体"/>
          <w:sz w:val="24"/>
          <w:szCs w:val="24"/>
          <w:lang w:val="zh-CN"/>
        </w:rPr>
        <w:t>法定代表人授权书</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_Toc30555 </w:instrText>
      </w:r>
      <w:r>
        <w:rPr>
          <w:rFonts w:hint="eastAsia" w:ascii="宋体" w:hAnsi="宋体"/>
          <w:sz w:val="24"/>
          <w:szCs w:val="24"/>
        </w:rPr>
        <w:fldChar w:fldCharType="separate"/>
      </w:r>
      <w:r>
        <w:rPr>
          <w:rFonts w:hint="eastAsia" w:ascii="宋体" w:hAnsi="宋体"/>
          <w:sz w:val="24"/>
          <w:szCs w:val="24"/>
        </w:rPr>
        <w:t>44</w:t>
      </w:r>
      <w:r>
        <w:rPr>
          <w:rFonts w:hint="eastAsia" w:ascii="宋体" w:hAnsi="宋体"/>
          <w:sz w:val="24"/>
          <w:szCs w:val="24"/>
        </w:rPr>
        <w:fldChar w:fldCharType="end"/>
      </w:r>
      <w:r>
        <w:rPr>
          <w:rFonts w:hint="eastAsia" w:ascii="宋体" w:hAnsi="宋体"/>
          <w:sz w:val="24"/>
          <w:szCs w:val="24"/>
        </w:rPr>
        <w:fldChar w:fldCharType="end"/>
      </w:r>
    </w:p>
    <w:p>
      <w:pPr>
        <w:pStyle w:val="28"/>
        <w:tabs>
          <w:tab w:val="right" w:leader="dot" w:pos="9070"/>
        </w:tabs>
        <w:spacing w:line="360" w:lineRule="auto"/>
        <w:rPr>
          <w:rFonts w:ascii="宋体" w:hAnsi="宋体"/>
          <w:sz w:val="24"/>
          <w:szCs w:val="24"/>
        </w:rPr>
      </w:pPr>
      <w:r>
        <w:fldChar w:fldCharType="begin"/>
      </w:r>
      <w:r>
        <w:instrText xml:space="preserve"> HYPERLINK \l "_Toc4935" </w:instrText>
      </w:r>
      <w:r>
        <w:fldChar w:fldCharType="separate"/>
      </w:r>
      <w:r>
        <w:rPr>
          <w:rFonts w:hint="eastAsia" w:ascii="宋体" w:hAnsi="宋体"/>
          <w:sz w:val="24"/>
          <w:szCs w:val="24"/>
        </w:rPr>
        <w:t>（4）</w:t>
      </w:r>
      <w:r>
        <w:rPr>
          <w:rFonts w:hint="eastAsia" w:ascii="宋体" w:hAnsi="宋体"/>
          <w:sz w:val="24"/>
          <w:szCs w:val="24"/>
          <w:lang w:val="zh-CN"/>
        </w:rPr>
        <w:t>投标人承诺函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_Toc4935 </w:instrText>
      </w:r>
      <w:r>
        <w:rPr>
          <w:rFonts w:hint="eastAsia" w:ascii="宋体" w:hAnsi="宋体"/>
          <w:sz w:val="24"/>
          <w:szCs w:val="24"/>
        </w:rPr>
        <w:fldChar w:fldCharType="separate"/>
      </w:r>
      <w:r>
        <w:rPr>
          <w:rFonts w:hint="eastAsia" w:ascii="宋体" w:hAnsi="宋体"/>
          <w:sz w:val="24"/>
          <w:szCs w:val="24"/>
        </w:rPr>
        <w:t>45</w:t>
      </w:r>
      <w:r>
        <w:rPr>
          <w:rFonts w:hint="eastAsia" w:ascii="宋体" w:hAnsi="宋体"/>
          <w:sz w:val="24"/>
          <w:szCs w:val="24"/>
        </w:rPr>
        <w:fldChar w:fldCharType="end"/>
      </w:r>
      <w:r>
        <w:rPr>
          <w:rFonts w:hint="eastAsia" w:ascii="宋体" w:hAnsi="宋体"/>
          <w:sz w:val="24"/>
          <w:szCs w:val="24"/>
        </w:rPr>
        <w:fldChar w:fldCharType="end"/>
      </w:r>
    </w:p>
    <w:p>
      <w:pPr>
        <w:pStyle w:val="28"/>
        <w:tabs>
          <w:tab w:val="right" w:leader="dot" w:pos="9070"/>
        </w:tabs>
        <w:spacing w:line="360" w:lineRule="auto"/>
        <w:rPr>
          <w:rFonts w:ascii="宋体" w:hAnsi="宋体"/>
          <w:sz w:val="24"/>
          <w:szCs w:val="24"/>
        </w:rPr>
      </w:pPr>
      <w:r>
        <w:fldChar w:fldCharType="begin"/>
      </w:r>
      <w:r>
        <w:instrText xml:space="preserve"> HYPERLINK \l "_Toc8697" </w:instrText>
      </w:r>
      <w:r>
        <w:fldChar w:fldCharType="separate"/>
      </w:r>
      <w:r>
        <w:rPr>
          <w:rFonts w:hint="eastAsia" w:ascii="宋体" w:hAnsi="宋体"/>
          <w:sz w:val="24"/>
          <w:szCs w:val="24"/>
        </w:rPr>
        <w:t>（5）</w:t>
      </w:r>
      <w:r>
        <w:rPr>
          <w:rFonts w:hint="eastAsia" w:ascii="宋体" w:hAnsi="宋体"/>
          <w:sz w:val="24"/>
          <w:szCs w:val="24"/>
          <w:lang w:val="zh-CN"/>
        </w:rPr>
        <w:t>投标人诚信承诺书</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_Toc8697 </w:instrText>
      </w:r>
      <w:r>
        <w:rPr>
          <w:rFonts w:hint="eastAsia" w:ascii="宋体" w:hAnsi="宋体"/>
          <w:sz w:val="24"/>
          <w:szCs w:val="24"/>
        </w:rPr>
        <w:fldChar w:fldCharType="separate"/>
      </w:r>
      <w:r>
        <w:rPr>
          <w:rFonts w:hint="eastAsia" w:ascii="宋体" w:hAnsi="宋体"/>
          <w:sz w:val="24"/>
          <w:szCs w:val="24"/>
        </w:rPr>
        <w:t>46</w:t>
      </w:r>
      <w:r>
        <w:rPr>
          <w:rFonts w:hint="eastAsia" w:ascii="宋体" w:hAnsi="宋体"/>
          <w:sz w:val="24"/>
          <w:szCs w:val="24"/>
        </w:rPr>
        <w:fldChar w:fldCharType="end"/>
      </w:r>
      <w:r>
        <w:rPr>
          <w:rFonts w:hint="eastAsia" w:ascii="宋体" w:hAnsi="宋体"/>
          <w:sz w:val="24"/>
          <w:szCs w:val="24"/>
        </w:rPr>
        <w:fldChar w:fldCharType="end"/>
      </w:r>
    </w:p>
    <w:p>
      <w:pPr>
        <w:pStyle w:val="28"/>
        <w:tabs>
          <w:tab w:val="right" w:leader="dot" w:pos="9070"/>
        </w:tabs>
        <w:spacing w:line="360" w:lineRule="auto"/>
        <w:rPr>
          <w:rFonts w:ascii="宋体" w:hAnsi="宋体"/>
          <w:sz w:val="24"/>
          <w:szCs w:val="24"/>
        </w:rPr>
      </w:pPr>
      <w:r>
        <w:fldChar w:fldCharType="begin"/>
      </w:r>
      <w:r>
        <w:instrText xml:space="preserve"> HYPERLINK \l "_Toc21877" </w:instrText>
      </w:r>
      <w:r>
        <w:fldChar w:fldCharType="separate"/>
      </w:r>
      <w:r>
        <w:rPr>
          <w:rFonts w:hint="eastAsia" w:ascii="宋体" w:hAnsi="宋体"/>
          <w:sz w:val="24"/>
          <w:szCs w:val="24"/>
        </w:rPr>
        <w:t>（6）</w:t>
      </w:r>
      <w:r>
        <w:rPr>
          <w:rFonts w:hint="eastAsia" w:ascii="宋体" w:hAnsi="宋体"/>
          <w:sz w:val="24"/>
          <w:szCs w:val="24"/>
          <w:lang w:val="zh-CN"/>
        </w:rPr>
        <w:t>资格证明材料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_Toc21877 </w:instrText>
      </w:r>
      <w:r>
        <w:rPr>
          <w:rFonts w:hint="eastAsia" w:ascii="宋体" w:hAnsi="宋体"/>
          <w:sz w:val="24"/>
          <w:szCs w:val="24"/>
        </w:rPr>
        <w:fldChar w:fldCharType="separate"/>
      </w:r>
      <w:r>
        <w:rPr>
          <w:rFonts w:hint="eastAsia" w:ascii="宋体" w:hAnsi="宋体"/>
          <w:sz w:val="24"/>
          <w:szCs w:val="24"/>
        </w:rPr>
        <w:t>47</w:t>
      </w:r>
      <w:r>
        <w:rPr>
          <w:rFonts w:hint="eastAsia" w:ascii="宋体" w:hAnsi="宋体"/>
          <w:sz w:val="24"/>
          <w:szCs w:val="24"/>
        </w:rPr>
        <w:fldChar w:fldCharType="end"/>
      </w:r>
      <w:r>
        <w:rPr>
          <w:rFonts w:hint="eastAsia" w:ascii="宋体" w:hAnsi="宋体"/>
          <w:sz w:val="24"/>
          <w:szCs w:val="24"/>
        </w:rPr>
        <w:fldChar w:fldCharType="end"/>
      </w:r>
    </w:p>
    <w:p>
      <w:pPr>
        <w:pStyle w:val="28"/>
        <w:tabs>
          <w:tab w:val="right" w:leader="dot" w:pos="9070"/>
        </w:tabs>
        <w:spacing w:line="360" w:lineRule="auto"/>
        <w:rPr>
          <w:rFonts w:ascii="宋体" w:hAnsi="宋体"/>
          <w:sz w:val="24"/>
          <w:szCs w:val="24"/>
        </w:rPr>
      </w:pPr>
      <w:r>
        <w:fldChar w:fldCharType="begin"/>
      </w:r>
      <w:r>
        <w:instrText xml:space="preserve"> HYPERLINK \l "_Toc18302" </w:instrText>
      </w:r>
      <w:r>
        <w:fldChar w:fldCharType="separate"/>
      </w:r>
      <w:r>
        <w:rPr>
          <w:rFonts w:hint="eastAsia" w:ascii="宋体" w:hAnsi="宋体"/>
          <w:sz w:val="24"/>
          <w:szCs w:val="24"/>
        </w:rPr>
        <w:t>（7）</w:t>
      </w:r>
      <w:r>
        <w:rPr>
          <w:rFonts w:hint="eastAsia" w:ascii="宋体" w:hAnsi="宋体"/>
          <w:sz w:val="24"/>
          <w:szCs w:val="24"/>
          <w:lang w:val="zh-CN"/>
        </w:rPr>
        <w:t>财务状况报告，依法缴纳税收和社会保障资金的相关材料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_Toc18302 </w:instrText>
      </w:r>
      <w:r>
        <w:rPr>
          <w:rFonts w:hint="eastAsia" w:ascii="宋体" w:hAnsi="宋体"/>
          <w:sz w:val="24"/>
          <w:szCs w:val="24"/>
        </w:rPr>
        <w:fldChar w:fldCharType="separate"/>
      </w:r>
      <w:r>
        <w:rPr>
          <w:rFonts w:hint="eastAsia" w:ascii="宋体" w:hAnsi="宋体"/>
          <w:sz w:val="24"/>
          <w:szCs w:val="24"/>
        </w:rPr>
        <w:t>48</w:t>
      </w:r>
      <w:r>
        <w:rPr>
          <w:rFonts w:hint="eastAsia" w:ascii="宋体" w:hAnsi="宋体"/>
          <w:sz w:val="24"/>
          <w:szCs w:val="24"/>
        </w:rPr>
        <w:fldChar w:fldCharType="end"/>
      </w:r>
      <w:r>
        <w:rPr>
          <w:rFonts w:hint="eastAsia" w:ascii="宋体" w:hAnsi="宋体"/>
          <w:sz w:val="24"/>
          <w:szCs w:val="24"/>
        </w:rPr>
        <w:fldChar w:fldCharType="end"/>
      </w:r>
    </w:p>
    <w:p>
      <w:pPr>
        <w:pStyle w:val="29"/>
        <w:tabs>
          <w:tab w:val="right" w:leader="dot" w:pos="9070"/>
        </w:tabs>
        <w:spacing w:line="360" w:lineRule="auto"/>
        <w:ind w:left="0" w:leftChars="0"/>
        <w:rPr>
          <w:rFonts w:ascii="宋体" w:hAnsi="宋体"/>
          <w:sz w:val="24"/>
          <w:szCs w:val="24"/>
        </w:rPr>
      </w:pPr>
      <w:r>
        <w:fldChar w:fldCharType="begin"/>
      </w:r>
      <w:r>
        <w:instrText xml:space="preserve"> HYPERLINK \l "_Toc31622" </w:instrText>
      </w:r>
      <w:r>
        <w:fldChar w:fldCharType="separate"/>
      </w:r>
      <w:r>
        <w:rPr>
          <w:rFonts w:hint="eastAsia" w:ascii="宋体" w:hAnsi="宋体"/>
          <w:sz w:val="24"/>
          <w:szCs w:val="24"/>
          <w:lang w:val="zh-CN"/>
        </w:rPr>
        <w:t>（</w:t>
      </w:r>
      <w:r>
        <w:rPr>
          <w:rFonts w:hint="eastAsia" w:ascii="宋体" w:hAnsi="宋体"/>
          <w:sz w:val="24"/>
          <w:szCs w:val="24"/>
        </w:rPr>
        <w:t>8</w:t>
      </w:r>
      <w:r>
        <w:rPr>
          <w:rFonts w:hint="eastAsia" w:ascii="宋体" w:hAnsi="宋体"/>
          <w:sz w:val="24"/>
          <w:szCs w:val="24"/>
          <w:lang w:val="zh-CN"/>
        </w:rPr>
        <w:t>）具备履行合同所必须的设备和专业技术能力证明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_Toc31622 </w:instrText>
      </w:r>
      <w:r>
        <w:rPr>
          <w:rFonts w:hint="eastAsia" w:ascii="宋体" w:hAnsi="宋体"/>
          <w:sz w:val="24"/>
          <w:szCs w:val="24"/>
        </w:rPr>
        <w:fldChar w:fldCharType="separate"/>
      </w:r>
      <w:r>
        <w:rPr>
          <w:rFonts w:hint="eastAsia" w:ascii="宋体" w:hAnsi="宋体"/>
          <w:sz w:val="24"/>
          <w:szCs w:val="24"/>
        </w:rPr>
        <w:t>49</w:t>
      </w:r>
      <w:r>
        <w:rPr>
          <w:rFonts w:hint="eastAsia" w:ascii="宋体" w:hAnsi="宋体"/>
          <w:sz w:val="24"/>
          <w:szCs w:val="24"/>
        </w:rPr>
        <w:fldChar w:fldCharType="end"/>
      </w:r>
      <w:r>
        <w:rPr>
          <w:rFonts w:hint="eastAsia" w:ascii="宋体" w:hAnsi="宋体"/>
          <w:sz w:val="24"/>
          <w:szCs w:val="24"/>
        </w:rPr>
        <w:fldChar w:fldCharType="end"/>
      </w:r>
    </w:p>
    <w:p>
      <w:pPr>
        <w:pStyle w:val="30"/>
        <w:tabs>
          <w:tab w:val="right" w:leader="dot" w:pos="9070"/>
        </w:tabs>
        <w:spacing w:line="360" w:lineRule="auto"/>
        <w:ind w:left="0" w:leftChars="0"/>
        <w:rPr>
          <w:rFonts w:ascii="宋体" w:hAnsi="宋体"/>
          <w:sz w:val="24"/>
          <w:szCs w:val="24"/>
        </w:rPr>
      </w:pPr>
      <w:r>
        <w:fldChar w:fldCharType="begin"/>
      </w:r>
      <w:r>
        <w:instrText xml:space="preserve"> HYPERLINK \l "_Toc11436" </w:instrText>
      </w:r>
      <w:r>
        <w:fldChar w:fldCharType="separate"/>
      </w:r>
      <w:r>
        <w:rPr>
          <w:rFonts w:hint="eastAsia" w:ascii="宋体" w:hAnsi="宋体"/>
          <w:sz w:val="24"/>
          <w:szCs w:val="24"/>
        </w:rPr>
        <w:t>（9）</w:t>
      </w:r>
      <w:r>
        <w:rPr>
          <w:rFonts w:hint="eastAsia" w:ascii="宋体" w:hAnsi="宋体"/>
          <w:sz w:val="24"/>
          <w:szCs w:val="24"/>
          <w:lang w:val="zh-CN"/>
        </w:rPr>
        <w:t>无重大违法记录声明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_Toc11436 </w:instrText>
      </w:r>
      <w:r>
        <w:rPr>
          <w:rFonts w:hint="eastAsia" w:ascii="宋体" w:hAnsi="宋体"/>
          <w:sz w:val="24"/>
          <w:szCs w:val="24"/>
        </w:rPr>
        <w:fldChar w:fldCharType="separate"/>
      </w:r>
      <w:r>
        <w:rPr>
          <w:rFonts w:hint="eastAsia" w:ascii="宋体" w:hAnsi="宋体"/>
          <w:sz w:val="24"/>
          <w:szCs w:val="24"/>
        </w:rPr>
        <w:t>50</w:t>
      </w:r>
      <w:r>
        <w:rPr>
          <w:rFonts w:hint="eastAsia" w:ascii="宋体" w:hAnsi="宋体"/>
          <w:sz w:val="24"/>
          <w:szCs w:val="24"/>
        </w:rPr>
        <w:fldChar w:fldCharType="end"/>
      </w:r>
      <w:r>
        <w:rPr>
          <w:rFonts w:hint="eastAsia" w:ascii="宋体" w:hAnsi="宋体"/>
          <w:sz w:val="24"/>
          <w:szCs w:val="24"/>
        </w:rPr>
        <w:fldChar w:fldCharType="end"/>
      </w:r>
    </w:p>
    <w:p>
      <w:pPr>
        <w:pStyle w:val="30"/>
        <w:tabs>
          <w:tab w:val="right" w:leader="dot" w:pos="9070"/>
        </w:tabs>
        <w:spacing w:line="360" w:lineRule="auto"/>
        <w:ind w:left="0" w:leftChars="0"/>
        <w:rPr>
          <w:rFonts w:ascii="宋体" w:hAnsi="宋体"/>
          <w:sz w:val="24"/>
          <w:szCs w:val="24"/>
        </w:rPr>
      </w:pPr>
      <w:r>
        <w:fldChar w:fldCharType="begin"/>
      </w:r>
      <w:r>
        <w:instrText xml:space="preserve"> HYPERLINK \l "_Toc13692" </w:instrText>
      </w:r>
      <w:r>
        <w:fldChar w:fldCharType="separate"/>
      </w:r>
      <w:r>
        <w:rPr>
          <w:rFonts w:hint="eastAsia" w:ascii="宋体" w:hAnsi="宋体"/>
          <w:sz w:val="24"/>
          <w:szCs w:val="24"/>
        </w:rPr>
        <w:t>（10）</w:t>
      </w:r>
      <w:r>
        <w:rPr>
          <w:rFonts w:hint="eastAsia" w:ascii="宋体" w:hAnsi="宋体"/>
          <w:sz w:val="24"/>
          <w:szCs w:val="24"/>
          <w:lang w:val="zh-CN"/>
        </w:rPr>
        <w:t>投标保证金证明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_Toc13692 </w:instrText>
      </w:r>
      <w:r>
        <w:rPr>
          <w:rFonts w:hint="eastAsia" w:ascii="宋体" w:hAnsi="宋体"/>
          <w:sz w:val="24"/>
          <w:szCs w:val="24"/>
        </w:rPr>
        <w:fldChar w:fldCharType="separate"/>
      </w:r>
      <w:r>
        <w:rPr>
          <w:rFonts w:hint="eastAsia" w:ascii="宋体" w:hAnsi="宋体"/>
          <w:sz w:val="24"/>
          <w:szCs w:val="24"/>
        </w:rPr>
        <w:t>51</w:t>
      </w:r>
      <w:r>
        <w:rPr>
          <w:rFonts w:hint="eastAsia" w:ascii="宋体" w:hAnsi="宋体"/>
          <w:sz w:val="24"/>
          <w:szCs w:val="24"/>
        </w:rPr>
        <w:fldChar w:fldCharType="end"/>
      </w:r>
      <w:r>
        <w:rPr>
          <w:rFonts w:hint="eastAsia" w:ascii="宋体" w:hAnsi="宋体"/>
          <w:sz w:val="24"/>
          <w:szCs w:val="24"/>
        </w:rPr>
        <w:fldChar w:fldCharType="end"/>
      </w:r>
    </w:p>
    <w:p>
      <w:pPr>
        <w:pStyle w:val="28"/>
        <w:tabs>
          <w:tab w:val="right" w:leader="dot" w:pos="9070"/>
        </w:tabs>
        <w:spacing w:line="360" w:lineRule="auto"/>
        <w:rPr>
          <w:rFonts w:ascii="宋体" w:hAnsi="宋体"/>
          <w:sz w:val="24"/>
          <w:szCs w:val="24"/>
        </w:rPr>
      </w:pPr>
      <w:r>
        <w:fldChar w:fldCharType="begin"/>
      </w:r>
      <w:r>
        <w:instrText xml:space="preserve"> HYPERLINK \l "_Toc18106" </w:instrText>
      </w:r>
      <w:r>
        <w:fldChar w:fldCharType="separate"/>
      </w:r>
      <w:r>
        <w:rPr>
          <w:rFonts w:hint="eastAsia" w:ascii="宋体" w:hAnsi="宋体"/>
          <w:sz w:val="24"/>
          <w:szCs w:val="24"/>
          <w:lang w:val="zh-CN"/>
        </w:rPr>
        <w:t>目录（下册）</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_Toc18106 </w:instrText>
      </w:r>
      <w:r>
        <w:rPr>
          <w:rFonts w:hint="eastAsia" w:ascii="宋体" w:hAnsi="宋体"/>
          <w:sz w:val="24"/>
          <w:szCs w:val="24"/>
        </w:rPr>
        <w:fldChar w:fldCharType="separate"/>
      </w:r>
      <w:r>
        <w:rPr>
          <w:rFonts w:hint="eastAsia" w:ascii="宋体" w:hAnsi="宋体"/>
          <w:sz w:val="24"/>
          <w:szCs w:val="24"/>
        </w:rPr>
        <w:t>53</w:t>
      </w:r>
      <w:r>
        <w:rPr>
          <w:rFonts w:hint="eastAsia" w:ascii="宋体" w:hAnsi="宋体"/>
          <w:sz w:val="24"/>
          <w:szCs w:val="24"/>
        </w:rPr>
        <w:fldChar w:fldCharType="end"/>
      </w:r>
      <w:r>
        <w:rPr>
          <w:rFonts w:hint="eastAsia" w:ascii="宋体" w:hAnsi="宋体"/>
          <w:sz w:val="24"/>
          <w:szCs w:val="24"/>
        </w:rPr>
        <w:fldChar w:fldCharType="end"/>
      </w:r>
    </w:p>
    <w:p>
      <w:pPr>
        <w:pStyle w:val="29"/>
        <w:tabs>
          <w:tab w:val="right" w:leader="dot" w:pos="9070"/>
        </w:tabs>
        <w:spacing w:line="360" w:lineRule="auto"/>
        <w:ind w:left="0" w:leftChars="0"/>
        <w:rPr>
          <w:rFonts w:ascii="宋体" w:hAnsi="宋体"/>
          <w:sz w:val="24"/>
          <w:szCs w:val="24"/>
        </w:rPr>
      </w:pPr>
      <w:r>
        <w:fldChar w:fldCharType="begin"/>
      </w:r>
      <w:r>
        <w:instrText xml:space="preserve"> HYPERLINK \l "_Toc13710" </w:instrText>
      </w:r>
      <w:r>
        <w:fldChar w:fldCharType="separate"/>
      </w:r>
      <w:r>
        <w:rPr>
          <w:rFonts w:hint="eastAsia" w:ascii="宋体" w:hAnsi="宋体"/>
          <w:sz w:val="24"/>
          <w:szCs w:val="24"/>
          <w:lang w:val="zh-CN"/>
        </w:rPr>
        <w:t>（</w:t>
      </w:r>
      <w:r>
        <w:rPr>
          <w:rFonts w:hint="eastAsia" w:ascii="宋体" w:hAnsi="宋体"/>
          <w:sz w:val="24"/>
          <w:szCs w:val="24"/>
        </w:rPr>
        <w:t>11</w:t>
      </w:r>
      <w:r>
        <w:rPr>
          <w:rFonts w:hint="eastAsia" w:ascii="宋体" w:hAnsi="宋体"/>
          <w:sz w:val="24"/>
          <w:szCs w:val="24"/>
          <w:lang w:val="zh-CN"/>
        </w:rPr>
        <w:t>）评分对照表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_Toc13710 </w:instrText>
      </w:r>
      <w:r>
        <w:rPr>
          <w:rFonts w:hint="eastAsia" w:ascii="宋体" w:hAnsi="宋体"/>
          <w:sz w:val="24"/>
          <w:szCs w:val="24"/>
        </w:rPr>
        <w:fldChar w:fldCharType="separate"/>
      </w:r>
      <w:r>
        <w:rPr>
          <w:rFonts w:hint="eastAsia" w:ascii="宋体" w:hAnsi="宋体"/>
          <w:sz w:val="24"/>
          <w:szCs w:val="24"/>
        </w:rPr>
        <w:t>54</w:t>
      </w:r>
      <w:r>
        <w:rPr>
          <w:rFonts w:hint="eastAsia" w:ascii="宋体" w:hAnsi="宋体"/>
          <w:sz w:val="24"/>
          <w:szCs w:val="24"/>
        </w:rPr>
        <w:fldChar w:fldCharType="end"/>
      </w:r>
      <w:r>
        <w:rPr>
          <w:rFonts w:hint="eastAsia" w:ascii="宋体" w:hAnsi="宋体"/>
          <w:sz w:val="24"/>
          <w:szCs w:val="24"/>
        </w:rPr>
        <w:fldChar w:fldCharType="end"/>
      </w:r>
    </w:p>
    <w:p>
      <w:pPr>
        <w:pStyle w:val="29"/>
        <w:tabs>
          <w:tab w:val="right" w:leader="dot" w:pos="9070"/>
        </w:tabs>
        <w:spacing w:line="360" w:lineRule="auto"/>
        <w:ind w:left="0" w:leftChars="0"/>
        <w:rPr>
          <w:rFonts w:ascii="宋体" w:hAnsi="宋体"/>
          <w:sz w:val="24"/>
          <w:szCs w:val="24"/>
        </w:rPr>
      </w:pPr>
      <w:r>
        <w:fldChar w:fldCharType="begin"/>
      </w:r>
      <w:r>
        <w:instrText xml:space="preserve"> HYPERLINK \l "_Toc16022" </w:instrText>
      </w:r>
      <w:r>
        <w:fldChar w:fldCharType="separate"/>
      </w:r>
      <w:r>
        <w:rPr>
          <w:rFonts w:hint="eastAsia" w:ascii="宋体" w:hAnsi="宋体"/>
          <w:sz w:val="24"/>
          <w:szCs w:val="24"/>
        </w:rPr>
        <w:t>（12）</w:t>
      </w:r>
      <w:r>
        <w:rPr>
          <w:rFonts w:hint="eastAsia" w:ascii="宋体" w:hAnsi="宋体"/>
          <w:sz w:val="24"/>
          <w:szCs w:val="24"/>
          <w:lang w:val="zh-CN"/>
        </w:rPr>
        <w:t>开标一览表（报价表）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_Toc16022 </w:instrText>
      </w:r>
      <w:r>
        <w:rPr>
          <w:rFonts w:hint="eastAsia" w:ascii="宋体" w:hAnsi="宋体"/>
          <w:sz w:val="24"/>
          <w:szCs w:val="24"/>
        </w:rPr>
        <w:fldChar w:fldCharType="separate"/>
      </w:r>
      <w:r>
        <w:rPr>
          <w:rFonts w:hint="eastAsia" w:ascii="宋体" w:hAnsi="宋体"/>
          <w:sz w:val="24"/>
          <w:szCs w:val="24"/>
        </w:rPr>
        <w:t>55</w:t>
      </w:r>
      <w:r>
        <w:rPr>
          <w:rFonts w:hint="eastAsia" w:ascii="宋体" w:hAnsi="宋体"/>
          <w:sz w:val="24"/>
          <w:szCs w:val="24"/>
        </w:rPr>
        <w:fldChar w:fldCharType="end"/>
      </w:r>
      <w:r>
        <w:rPr>
          <w:rFonts w:hint="eastAsia" w:ascii="宋体" w:hAnsi="宋体"/>
          <w:sz w:val="24"/>
          <w:szCs w:val="24"/>
        </w:rPr>
        <w:fldChar w:fldCharType="end"/>
      </w:r>
    </w:p>
    <w:p>
      <w:pPr>
        <w:pStyle w:val="28"/>
        <w:tabs>
          <w:tab w:val="right" w:leader="dot" w:pos="9070"/>
        </w:tabs>
        <w:spacing w:line="360" w:lineRule="auto"/>
        <w:rPr>
          <w:rFonts w:ascii="宋体" w:hAnsi="宋体"/>
          <w:sz w:val="24"/>
          <w:szCs w:val="24"/>
        </w:rPr>
      </w:pPr>
      <w:r>
        <w:fldChar w:fldCharType="begin"/>
      </w:r>
      <w:r>
        <w:instrText xml:space="preserve"> HYPERLINK \l "_Toc22374" </w:instrText>
      </w:r>
      <w:r>
        <w:fldChar w:fldCharType="separate"/>
      </w:r>
      <w:r>
        <w:rPr>
          <w:rFonts w:hint="eastAsia" w:ascii="宋体" w:hAnsi="宋体"/>
          <w:sz w:val="24"/>
          <w:szCs w:val="24"/>
        </w:rPr>
        <w:t>（13）</w:t>
      </w:r>
      <w:r>
        <w:rPr>
          <w:rFonts w:hint="eastAsia" w:ascii="宋体" w:hAnsi="宋体"/>
          <w:sz w:val="24"/>
          <w:szCs w:val="24"/>
          <w:lang w:val="zh-CN"/>
        </w:rPr>
        <w:t>分项报价表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_Toc22374 </w:instrText>
      </w:r>
      <w:r>
        <w:rPr>
          <w:rFonts w:hint="eastAsia" w:ascii="宋体" w:hAnsi="宋体"/>
          <w:sz w:val="24"/>
          <w:szCs w:val="24"/>
        </w:rPr>
        <w:fldChar w:fldCharType="separate"/>
      </w:r>
      <w:r>
        <w:rPr>
          <w:rFonts w:hint="eastAsia" w:ascii="宋体" w:hAnsi="宋体"/>
          <w:sz w:val="24"/>
          <w:szCs w:val="24"/>
        </w:rPr>
        <w:t>56</w:t>
      </w:r>
      <w:r>
        <w:rPr>
          <w:rFonts w:hint="eastAsia" w:ascii="宋体" w:hAnsi="宋体"/>
          <w:sz w:val="24"/>
          <w:szCs w:val="24"/>
        </w:rPr>
        <w:fldChar w:fldCharType="end"/>
      </w:r>
      <w:r>
        <w:rPr>
          <w:rFonts w:hint="eastAsia" w:ascii="宋体" w:hAnsi="宋体"/>
          <w:sz w:val="24"/>
          <w:szCs w:val="24"/>
        </w:rPr>
        <w:fldChar w:fldCharType="end"/>
      </w:r>
    </w:p>
    <w:p>
      <w:pPr>
        <w:pStyle w:val="28"/>
        <w:tabs>
          <w:tab w:val="right" w:leader="dot" w:pos="9070"/>
        </w:tabs>
        <w:spacing w:line="360" w:lineRule="auto"/>
        <w:rPr>
          <w:rFonts w:ascii="宋体" w:hAnsi="宋体"/>
          <w:sz w:val="24"/>
          <w:szCs w:val="24"/>
        </w:rPr>
      </w:pPr>
      <w:r>
        <w:fldChar w:fldCharType="begin"/>
      </w:r>
      <w:r>
        <w:instrText xml:space="preserve"> HYPERLINK \l "_Toc5098" </w:instrText>
      </w:r>
      <w:r>
        <w:fldChar w:fldCharType="separate"/>
      </w:r>
      <w:r>
        <w:rPr>
          <w:rFonts w:hint="eastAsia" w:ascii="宋体" w:hAnsi="宋体"/>
          <w:sz w:val="24"/>
          <w:szCs w:val="24"/>
        </w:rPr>
        <w:t>（14）</w:t>
      </w:r>
      <w:r>
        <w:rPr>
          <w:rFonts w:hint="eastAsia" w:ascii="宋体" w:hAnsi="宋体"/>
          <w:sz w:val="24"/>
          <w:szCs w:val="24"/>
          <w:lang w:val="zh-CN"/>
        </w:rPr>
        <w:t>技术规格响应表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_Toc5098 </w:instrText>
      </w:r>
      <w:r>
        <w:rPr>
          <w:rFonts w:hint="eastAsia" w:ascii="宋体" w:hAnsi="宋体"/>
          <w:sz w:val="24"/>
          <w:szCs w:val="24"/>
        </w:rPr>
        <w:fldChar w:fldCharType="separate"/>
      </w:r>
      <w:r>
        <w:rPr>
          <w:rFonts w:hint="eastAsia" w:ascii="宋体" w:hAnsi="宋体"/>
          <w:sz w:val="24"/>
          <w:szCs w:val="24"/>
        </w:rPr>
        <w:t>57</w:t>
      </w:r>
      <w:r>
        <w:rPr>
          <w:rFonts w:hint="eastAsia" w:ascii="宋体" w:hAnsi="宋体"/>
          <w:sz w:val="24"/>
          <w:szCs w:val="24"/>
        </w:rPr>
        <w:fldChar w:fldCharType="end"/>
      </w:r>
      <w:r>
        <w:rPr>
          <w:rFonts w:hint="eastAsia" w:ascii="宋体" w:hAnsi="宋体"/>
          <w:sz w:val="24"/>
          <w:szCs w:val="24"/>
        </w:rPr>
        <w:fldChar w:fldCharType="end"/>
      </w:r>
    </w:p>
    <w:p>
      <w:pPr>
        <w:pStyle w:val="29"/>
        <w:tabs>
          <w:tab w:val="right" w:leader="dot" w:pos="9070"/>
        </w:tabs>
        <w:spacing w:line="360" w:lineRule="auto"/>
        <w:ind w:left="0" w:leftChars="0"/>
        <w:rPr>
          <w:rFonts w:ascii="宋体" w:hAnsi="宋体"/>
          <w:sz w:val="24"/>
          <w:szCs w:val="24"/>
        </w:rPr>
      </w:pPr>
      <w:r>
        <w:fldChar w:fldCharType="begin"/>
      </w:r>
      <w:r>
        <w:instrText xml:space="preserve"> HYPERLINK \l "_Toc26593" </w:instrText>
      </w:r>
      <w:r>
        <w:fldChar w:fldCharType="separate"/>
      </w:r>
      <w:r>
        <w:rPr>
          <w:rFonts w:hint="eastAsia" w:ascii="宋体" w:hAnsi="宋体"/>
          <w:sz w:val="24"/>
          <w:szCs w:val="24"/>
          <w:lang w:val="zh-CN"/>
        </w:rPr>
        <w:t>（</w:t>
      </w:r>
      <w:r>
        <w:rPr>
          <w:rFonts w:hint="eastAsia" w:ascii="宋体" w:hAnsi="宋体"/>
          <w:sz w:val="24"/>
          <w:szCs w:val="24"/>
        </w:rPr>
        <w:t>15</w:t>
      </w:r>
      <w:r>
        <w:rPr>
          <w:rFonts w:hint="eastAsia" w:ascii="宋体" w:hAnsi="宋体"/>
          <w:sz w:val="24"/>
          <w:szCs w:val="24"/>
          <w:lang w:val="zh-CN"/>
        </w:rPr>
        <w:t>）投标产品相关资料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_Toc26593 </w:instrText>
      </w:r>
      <w:r>
        <w:rPr>
          <w:rFonts w:hint="eastAsia" w:ascii="宋体" w:hAnsi="宋体"/>
          <w:sz w:val="24"/>
          <w:szCs w:val="24"/>
        </w:rPr>
        <w:fldChar w:fldCharType="separate"/>
      </w:r>
      <w:r>
        <w:rPr>
          <w:rFonts w:hint="eastAsia" w:ascii="宋体" w:hAnsi="宋体"/>
          <w:sz w:val="24"/>
          <w:szCs w:val="24"/>
        </w:rPr>
        <w:t>58</w:t>
      </w:r>
      <w:r>
        <w:rPr>
          <w:rFonts w:hint="eastAsia" w:ascii="宋体" w:hAnsi="宋体"/>
          <w:sz w:val="24"/>
          <w:szCs w:val="24"/>
        </w:rPr>
        <w:fldChar w:fldCharType="end"/>
      </w:r>
      <w:r>
        <w:rPr>
          <w:rFonts w:hint="eastAsia" w:ascii="宋体" w:hAnsi="宋体"/>
          <w:sz w:val="24"/>
          <w:szCs w:val="24"/>
        </w:rPr>
        <w:fldChar w:fldCharType="end"/>
      </w:r>
    </w:p>
    <w:p>
      <w:pPr>
        <w:pStyle w:val="29"/>
        <w:tabs>
          <w:tab w:val="right" w:leader="dot" w:pos="9070"/>
        </w:tabs>
        <w:spacing w:line="360" w:lineRule="auto"/>
        <w:ind w:left="0" w:leftChars="0"/>
        <w:rPr>
          <w:rFonts w:ascii="宋体" w:hAnsi="宋体"/>
          <w:sz w:val="24"/>
          <w:szCs w:val="24"/>
        </w:rPr>
      </w:pPr>
      <w:r>
        <w:fldChar w:fldCharType="begin"/>
      </w:r>
      <w:r>
        <w:instrText xml:space="preserve"> HYPERLINK \l "_Toc5125" </w:instrText>
      </w:r>
      <w:r>
        <w:fldChar w:fldCharType="separate"/>
      </w:r>
      <w:r>
        <w:rPr>
          <w:rFonts w:hint="eastAsia" w:ascii="宋体" w:hAnsi="宋体"/>
          <w:sz w:val="24"/>
          <w:szCs w:val="24"/>
        </w:rPr>
        <w:t>（16）</w:t>
      </w:r>
      <w:r>
        <w:rPr>
          <w:rFonts w:hint="eastAsia" w:ascii="宋体" w:hAnsi="宋体"/>
          <w:sz w:val="24"/>
          <w:szCs w:val="24"/>
          <w:lang w:val="zh-CN"/>
        </w:rPr>
        <w:t>投标人的类似业绩证明材料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_Toc5125 </w:instrText>
      </w:r>
      <w:r>
        <w:rPr>
          <w:rFonts w:hint="eastAsia" w:ascii="宋体" w:hAnsi="宋体"/>
          <w:sz w:val="24"/>
          <w:szCs w:val="24"/>
        </w:rPr>
        <w:fldChar w:fldCharType="separate"/>
      </w:r>
      <w:r>
        <w:rPr>
          <w:rFonts w:hint="eastAsia" w:ascii="宋体" w:hAnsi="宋体"/>
          <w:sz w:val="24"/>
          <w:szCs w:val="24"/>
        </w:rPr>
        <w:t>59</w:t>
      </w:r>
      <w:r>
        <w:rPr>
          <w:rFonts w:hint="eastAsia" w:ascii="宋体" w:hAnsi="宋体"/>
          <w:sz w:val="24"/>
          <w:szCs w:val="24"/>
        </w:rPr>
        <w:fldChar w:fldCharType="end"/>
      </w:r>
      <w:r>
        <w:rPr>
          <w:rFonts w:hint="eastAsia" w:ascii="宋体" w:hAnsi="宋体"/>
          <w:sz w:val="24"/>
          <w:szCs w:val="24"/>
        </w:rPr>
        <w:fldChar w:fldCharType="end"/>
      </w:r>
    </w:p>
    <w:p>
      <w:pPr>
        <w:pStyle w:val="28"/>
        <w:tabs>
          <w:tab w:val="right" w:leader="dot" w:pos="9070"/>
        </w:tabs>
        <w:spacing w:line="360" w:lineRule="auto"/>
        <w:rPr>
          <w:rFonts w:ascii="宋体" w:hAnsi="宋体"/>
          <w:sz w:val="24"/>
          <w:szCs w:val="24"/>
        </w:rPr>
      </w:pPr>
      <w:r>
        <w:fldChar w:fldCharType="begin"/>
      </w:r>
      <w:r>
        <w:instrText xml:space="preserve"> HYPERLINK \l "_Toc1506" </w:instrText>
      </w:r>
      <w:r>
        <w:fldChar w:fldCharType="separate"/>
      </w:r>
      <w:r>
        <w:rPr>
          <w:rFonts w:hint="eastAsia" w:ascii="宋体" w:hAnsi="宋体"/>
          <w:sz w:val="24"/>
          <w:szCs w:val="24"/>
        </w:rPr>
        <w:t>（17.1）</w:t>
      </w:r>
      <w:r>
        <w:rPr>
          <w:rFonts w:hint="eastAsia" w:ascii="宋体" w:hAnsi="宋体"/>
          <w:sz w:val="24"/>
          <w:szCs w:val="24"/>
          <w:lang w:val="zh-CN"/>
        </w:rPr>
        <w:t>制造（生产）企业小型、微型企业声明函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_Toc1506 </w:instrText>
      </w:r>
      <w:r>
        <w:rPr>
          <w:rFonts w:hint="eastAsia" w:ascii="宋体" w:hAnsi="宋体"/>
          <w:sz w:val="24"/>
          <w:szCs w:val="24"/>
        </w:rPr>
        <w:fldChar w:fldCharType="separate"/>
      </w:r>
      <w:r>
        <w:rPr>
          <w:rFonts w:hint="eastAsia" w:ascii="宋体" w:hAnsi="宋体"/>
          <w:sz w:val="24"/>
          <w:szCs w:val="24"/>
        </w:rPr>
        <w:t>60</w:t>
      </w:r>
      <w:r>
        <w:rPr>
          <w:rFonts w:hint="eastAsia" w:ascii="宋体" w:hAnsi="宋体"/>
          <w:sz w:val="24"/>
          <w:szCs w:val="24"/>
        </w:rPr>
        <w:fldChar w:fldCharType="end"/>
      </w:r>
      <w:r>
        <w:rPr>
          <w:rFonts w:hint="eastAsia" w:ascii="宋体" w:hAnsi="宋体"/>
          <w:sz w:val="24"/>
          <w:szCs w:val="24"/>
        </w:rPr>
        <w:fldChar w:fldCharType="end"/>
      </w:r>
    </w:p>
    <w:p>
      <w:pPr>
        <w:pStyle w:val="29"/>
        <w:tabs>
          <w:tab w:val="right" w:leader="dot" w:pos="9070"/>
        </w:tabs>
        <w:spacing w:line="360" w:lineRule="auto"/>
        <w:ind w:left="0" w:leftChars="0"/>
        <w:rPr>
          <w:rFonts w:ascii="宋体" w:hAnsi="宋体"/>
          <w:sz w:val="24"/>
          <w:szCs w:val="24"/>
        </w:rPr>
      </w:pPr>
      <w:r>
        <w:fldChar w:fldCharType="begin"/>
      </w:r>
      <w:r>
        <w:instrText xml:space="preserve"> HYPERLINK \l "_Toc15558" </w:instrText>
      </w:r>
      <w:r>
        <w:fldChar w:fldCharType="separate"/>
      </w:r>
      <w:r>
        <w:rPr>
          <w:rFonts w:hint="eastAsia" w:ascii="宋体" w:hAnsi="宋体"/>
          <w:sz w:val="24"/>
          <w:szCs w:val="24"/>
          <w:lang w:val="zh-CN"/>
        </w:rPr>
        <w:t>（</w:t>
      </w:r>
      <w:r>
        <w:rPr>
          <w:rFonts w:hint="eastAsia" w:ascii="宋体" w:hAnsi="宋体"/>
          <w:sz w:val="24"/>
          <w:szCs w:val="24"/>
        </w:rPr>
        <w:t>17.2</w:t>
      </w:r>
      <w:r>
        <w:rPr>
          <w:rFonts w:hint="eastAsia" w:ascii="宋体" w:hAnsi="宋体"/>
          <w:sz w:val="24"/>
          <w:szCs w:val="24"/>
          <w:lang w:val="zh-CN"/>
        </w:rPr>
        <w:t>）监狱企业证明资料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_Toc15558 </w:instrText>
      </w:r>
      <w:r>
        <w:rPr>
          <w:rFonts w:hint="eastAsia" w:ascii="宋体" w:hAnsi="宋体"/>
          <w:sz w:val="24"/>
          <w:szCs w:val="24"/>
        </w:rPr>
        <w:fldChar w:fldCharType="separate"/>
      </w:r>
      <w:r>
        <w:rPr>
          <w:rFonts w:hint="eastAsia" w:ascii="宋体" w:hAnsi="宋体"/>
          <w:sz w:val="24"/>
          <w:szCs w:val="24"/>
        </w:rPr>
        <w:t>61</w:t>
      </w:r>
      <w:r>
        <w:rPr>
          <w:rFonts w:hint="eastAsia" w:ascii="宋体" w:hAnsi="宋体"/>
          <w:sz w:val="24"/>
          <w:szCs w:val="24"/>
        </w:rPr>
        <w:fldChar w:fldCharType="end"/>
      </w:r>
      <w:r>
        <w:rPr>
          <w:rFonts w:hint="eastAsia" w:ascii="宋体" w:hAnsi="宋体"/>
          <w:sz w:val="24"/>
          <w:szCs w:val="24"/>
        </w:rPr>
        <w:fldChar w:fldCharType="end"/>
      </w:r>
    </w:p>
    <w:p>
      <w:pPr>
        <w:pStyle w:val="28"/>
        <w:tabs>
          <w:tab w:val="right" w:leader="dot" w:pos="9070"/>
        </w:tabs>
        <w:spacing w:line="360" w:lineRule="auto"/>
        <w:rPr>
          <w:rFonts w:ascii="宋体" w:hAnsi="宋体"/>
          <w:sz w:val="24"/>
          <w:szCs w:val="24"/>
        </w:rPr>
      </w:pPr>
      <w:r>
        <w:fldChar w:fldCharType="begin"/>
      </w:r>
      <w:r>
        <w:instrText xml:space="preserve"> HYPERLINK \l "_Toc8794" </w:instrText>
      </w:r>
      <w:r>
        <w:fldChar w:fldCharType="separate"/>
      </w:r>
      <w:r>
        <w:rPr>
          <w:rFonts w:hint="eastAsia" w:ascii="宋体" w:hAnsi="宋体"/>
          <w:sz w:val="24"/>
          <w:szCs w:val="24"/>
          <w:lang w:val="zh-CN"/>
        </w:rPr>
        <w:t>（</w:t>
      </w:r>
      <w:r>
        <w:rPr>
          <w:rFonts w:hint="eastAsia" w:ascii="宋体" w:hAnsi="宋体"/>
          <w:sz w:val="24"/>
          <w:szCs w:val="24"/>
        </w:rPr>
        <w:t>18</w:t>
      </w:r>
      <w:r>
        <w:rPr>
          <w:rFonts w:hint="eastAsia" w:ascii="宋体" w:hAnsi="宋体"/>
          <w:sz w:val="24"/>
          <w:szCs w:val="24"/>
          <w:lang w:val="zh-CN"/>
        </w:rPr>
        <w:t>）残疾人</w:t>
      </w:r>
      <w:r>
        <w:rPr>
          <w:rFonts w:hint="eastAsia" w:ascii="宋体" w:hAnsi="宋体"/>
          <w:sz w:val="24"/>
          <w:szCs w:val="24"/>
        </w:rPr>
        <w:t>福利性单位声明函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_Toc8794 </w:instrText>
      </w:r>
      <w:r>
        <w:rPr>
          <w:rFonts w:hint="eastAsia" w:ascii="宋体" w:hAnsi="宋体"/>
          <w:sz w:val="24"/>
          <w:szCs w:val="24"/>
        </w:rPr>
        <w:fldChar w:fldCharType="separate"/>
      </w:r>
      <w:r>
        <w:rPr>
          <w:rFonts w:hint="eastAsia" w:ascii="宋体" w:hAnsi="宋体"/>
          <w:sz w:val="24"/>
          <w:szCs w:val="24"/>
        </w:rPr>
        <w:t>62</w:t>
      </w:r>
      <w:r>
        <w:rPr>
          <w:rFonts w:hint="eastAsia" w:ascii="宋体" w:hAnsi="宋体"/>
          <w:sz w:val="24"/>
          <w:szCs w:val="24"/>
        </w:rPr>
        <w:fldChar w:fldCharType="end"/>
      </w:r>
      <w:r>
        <w:rPr>
          <w:rFonts w:hint="eastAsia" w:ascii="宋体" w:hAnsi="宋体"/>
          <w:sz w:val="24"/>
          <w:szCs w:val="24"/>
        </w:rPr>
        <w:fldChar w:fldCharType="end"/>
      </w:r>
    </w:p>
    <w:p>
      <w:pPr>
        <w:pStyle w:val="29"/>
        <w:tabs>
          <w:tab w:val="right" w:leader="dot" w:pos="9070"/>
        </w:tabs>
        <w:spacing w:line="360" w:lineRule="auto"/>
        <w:ind w:left="0" w:leftChars="0"/>
        <w:rPr>
          <w:rFonts w:ascii="宋体" w:hAnsi="宋体"/>
          <w:sz w:val="24"/>
          <w:szCs w:val="24"/>
        </w:rPr>
      </w:pPr>
      <w:r>
        <w:fldChar w:fldCharType="begin"/>
      </w:r>
      <w:r>
        <w:instrText xml:space="preserve"> HYPERLINK \l "_Toc32045" </w:instrText>
      </w:r>
      <w:r>
        <w:fldChar w:fldCharType="separate"/>
      </w:r>
      <w:r>
        <w:rPr>
          <w:rFonts w:hint="eastAsia" w:ascii="宋体" w:hAnsi="宋体"/>
          <w:sz w:val="24"/>
          <w:szCs w:val="24"/>
        </w:rPr>
        <w:t>（19）</w:t>
      </w:r>
      <w:r>
        <w:rPr>
          <w:rFonts w:hint="eastAsia" w:ascii="宋体" w:hAnsi="宋体"/>
          <w:sz w:val="24"/>
          <w:szCs w:val="24"/>
          <w:lang w:val="zh-CN"/>
        </w:rPr>
        <w:t>投标人认为在其他方面有必要说明的事项</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_Toc32045 </w:instrText>
      </w:r>
      <w:r>
        <w:rPr>
          <w:rFonts w:hint="eastAsia" w:ascii="宋体" w:hAnsi="宋体"/>
          <w:sz w:val="24"/>
          <w:szCs w:val="24"/>
        </w:rPr>
        <w:fldChar w:fldCharType="separate"/>
      </w:r>
      <w:r>
        <w:rPr>
          <w:rFonts w:hint="eastAsia" w:ascii="宋体" w:hAnsi="宋体"/>
          <w:sz w:val="24"/>
          <w:szCs w:val="24"/>
        </w:rPr>
        <w:t>63</w:t>
      </w:r>
      <w:r>
        <w:rPr>
          <w:rFonts w:hint="eastAsia" w:ascii="宋体" w:hAnsi="宋体"/>
          <w:sz w:val="24"/>
          <w:szCs w:val="24"/>
        </w:rPr>
        <w:fldChar w:fldCharType="end"/>
      </w:r>
      <w:r>
        <w:rPr>
          <w:rFonts w:hint="eastAsia" w:ascii="宋体" w:hAnsi="宋体"/>
          <w:sz w:val="24"/>
          <w:szCs w:val="24"/>
        </w:rPr>
        <w:fldChar w:fldCharType="end"/>
      </w:r>
    </w:p>
    <w:p>
      <w:pPr>
        <w:pStyle w:val="28"/>
        <w:tabs>
          <w:tab w:val="right" w:leader="dot" w:pos="9070"/>
        </w:tabs>
        <w:spacing w:line="360" w:lineRule="auto"/>
        <w:rPr>
          <w:rFonts w:ascii="宋体" w:hAnsi="宋体"/>
          <w:sz w:val="24"/>
          <w:szCs w:val="24"/>
        </w:rPr>
      </w:pPr>
      <w:r>
        <w:fldChar w:fldCharType="begin"/>
      </w:r>
      <w:r>
        <w:instrText xml:space="preserve"> HYPERLINK \l "_Toc21970" </w:instrText>
      </w:r>
      <w:r>
        <w:fldChar w:fldCharType="separate"/>
      </w:r>
      <w:r>
        <w:rPr>
          <w:rFonts w:hint="eastAsia" w:ascii="宋体" w:hAnsi="宋体"/>
          <w:sz w:val="24"/>
          <w:szCs w:val="24"/>
          <w:lang w:val="zh-CN"/>
        </w:rPr>
        <w:t>第五部分  采购项目要求及技术参数</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_Toc21970 </w:instrText>
      </w:r>
      <w:r>
        <w:rPr>
          <w:rFonts w:hint="eastAsia" w:ascii="宋体" w:hAnsi="宋体"/>
          <w:sz w:val="24"/>
          <w:szCs w:val="24"/>
        </w:rPr>
        <w:fldChar w:fldCharType="separate"/>
      </w:r>
      <w:r>
        <w:rPr>
          <w:rFonts w:hint="eastAsia" w:ascii="宋体" w:hAnsi="宋体"/>
          <w:sz w:val="24"/>
          <w:szCs w:val="24"/>
        </w:rPr>
        <w:t>64</w:t>
      </w:r>
      <w:r>
        <w:rPr>
          <w:rFonts w:hint="eastAsia" w:ascii="宋体" w:hAnsi="宋体"/>
          <w:sz w:val="24"/>
          <w:szCs w:val="24"/>
        </w:rPr>
        <w:fldChar w:fldCharType="end"/>
      </w:r>
      <w:r>
        <w:rPr>
          <w:rFonts w:hint="eastAsia" w:ascii="宋体" w:hAnsi="宋体"/>
          <w:sz w:val="24"/>
          <w:szCs w:val="24"/>
        </w:rPr>
        <w:fldChar w:fldCharType="end"/>
      </w:r>
    </w:p>
    <w:p>
      <w:pPr>
        <w:pStyle w:val="30"/>
        <w:tabs>
          <w:tab w:val="right" w:leader="dot" w:pos="9070"/>
        </w:tabs>
        <w:spacing w:line="360" w:lineRule="auto"/>
        <w:ind w:left="480"/>
        <w:rPr>
          <w:rFonts w:ascii="宋体" w:hAnsi="宋体"/>
          <w:sz w:val="24"/>
          <w:szCs w:val="24"/>
        </w:rPr>
      </w:pPr>
      <w:r>
        <w:fldChar w:fldCharType="begin"/>
      </w:r>
      <w:r>
        <w:instrText xml:space="preserve"> HYPERLINK \l "_Toc5679" </w:instrText>
      </w:r>
      <w:r>
        <w:fldChar w:fldCharType="separate"/>
      </w:r>
      <w:r>
        <w:rPr>
          <w:rFonts w:hint="eastAsia" w:ascii="宋体" w:hAnsi="宋体"/>
          <w:sz w:val="24"/>
          <w:szCs w:val="24"/>
          <w:lang w:val="zh-CN"/>
        </w:rPr>
        <w:t>一、 采购项目要求</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_Toc5679 </w:instrText>
      </w:r>
      <w:r>
        <w:rPr>
          <w:rFonts w:hint="eastAsia" w:ascii="宋体" w:hAnsi="宋体"/>
          <w:sz w:val="24"/>
          <w:szCs w:val="24"/>
        </w:rPr>
        <w:fldChar w:fldCharType="separate"/>
      </w:r>
      <w:r>
        <w:rPr>
          <w:rFonts w:hint="eastAsia" w:ascii="宋体" w:hAnsi="宋体"/>
          <w:sz w:val="24"/>
          <w:szCs w:val="24"/>
        </w:rPr>
        <w:t>64</w:t>
      </w:r>
      <w:r>
        <w:rPr>
          <w:rFonts w:hint="eastAsia" w:ascii="宋体" w:hAnsi="宋体"/>
          <w:sz w:val="24"/>
          <w:szCs w:val="24"/>
        </w:rPr>
        <w:fldChar w:fldCharType="end"/>
      </w:r>
      <w:r>
        <w:rPr>
          <w:rFonts w:hint="eastAsia" w:ascii="宋体" w:hAnsi="宋体"/>
          <w:sz w:val="24"/>
          <w:szCs w:val="24"/>
        </w:rPr>
        <w:fldChar w:fldCharType="end"/>
      </w:r>
    </w:p>
    <w:p>
      <w:pPr>
        <w:pStyle w:val="30"/>
        <w:tabs>
          <w:tab w:val="right" w:leader="dot" w:pos="9070"/>
        </w:tabs>
        <w:spacing w:line="360" w:lineRule="auto"/>
        <w:ind w:left="480"/>
        <w:rPr>
          <w:rFonts w:hint="eastAsia" w:eastAsia="宋体"/>
          <w:b/>
          <w:bCs/>
          <w:sz w:val="21"/>
          <w:szCs w:val="21"/>
          <w:lang w:val="en-US" w:eastAsia="zh-CN"/>
        </w:rPr>
      </w:pPr>
      <w:r>
        <w:fldChar w:fldCharType="begin"/>
      </w:r>
      <w:r>
        <w:instrText xml:space="preserve"> HYPERLINK \l "_Toc2830" </w:instrText>
      </w:r>
      <w:r>
        <w:fldChar w:fldCharType="separate"/>
      </w:r>
      <w:r>
        <w:rPr>
          <w:rFonts w:hint="eastAsia" w:ascii="宋体" w:hAnsi="宋体"/>
          <w:sz w:val="24"/>
          <w:szCs w:val="24"/>
          <w:lang w:val="zh-CN"/>
        </w:rPr>
        <w:t>二、 项目概况及技术参数</w:t>
      </w:r>
      <w:r>
        <w:rPr>
          <w:rFonts w:hint="eastAsia" w:ascii="宋体" w:hAnsi="宋体"/>
          <w:sz w:val="24"/>
          <w:szCs w:val="24"/>
        </w:rPr>
        <w:tab/>
      </w:r>
      <w:r>
        <w:rPr>
          <w:rFonts w:hint="eastAsia" w:ascii="宋体" w:hAnsi="宋体"/>
          <w:sz w:val="24"/>
          <w:szCs w:val="24"/>
          <w:lang w:val="en-US" w:eastAsia="zh-CN"/>
        </w:rPr>
        <w:t>6</w:t>
      </w:r>
      <w:r>
        <w:rPr>
          <w:rFonts w:hint="eastAsia" w:ascii="宋体" w:hAnsi="宋体"/>
          <w:sz w:val="24"/>
          <w:szCs w:val="24"/>
        </w:rPr>
        <w:fldChar w:fldCharType="end"/>
      </w:r>
      <w:r>
        <w:rPr>
          <w:rFonts w:hint="eastAsia" w:ascii="宋体" w:hAnsi="宋体"/>
          <w:sz w:val="24"/>
          <w:szCs w:val="24"/>
          <w:lang w:val="en-US" w:eastAsia="zh-CN"/>
        </w:rPr>
        <w:t>6</w:t>
      </w:r>
    </w:p>
    <w:p>
      <w:pPr>
        <w:spacing w:line="360" w:lineRule="auto"/>
        <w:rPr>
          <w:b/>
          <w:bCs/>
          <w:sz w:val="21"/>
          <w:szCs w:val="21"/>
        </w:rPr>
      </w:pPr>
      <w:r>
        <w:rPr>
          <w:b/>
          <w:bCs/>
          <w:sz w:val="21"/>
          <w:szCs w:val="21"/>
        </w:rPr>
        <w:fldChar w:fldCharType="end"/>
      </w:r>
      <w:bookmarkStart w:id="5" w:name="_Toc23476"/>
      <w:r>
        <w:rPr>
          <w:rFonts w:hint="eastAsia"/>
          <w:b/>
          <w:bCs/>
          <w:sz w:val="21"/>
          <w:szCs w:val="21"/>
        </w:rPr>
        <w:t xml:space="preserve">                      </w:t>
      </w:r>
    </w:p>
    <w:p>
      <w:pPr>
        <w:spacing w:line="360" w:lineRule="auto"/>
        <w:ind w:firstLine="2209" w:firstLineChars="500"/>
        <w:rPr>
          <w:rStyle w:val="31"/>
          <w:rFonts w:hint="eastAsia"/>
          <w:lang w:val="zh-CN"/>
        </w:rPr>
      </w:pPr>
    </w:p>
    <w:p>
      <w:pPr>
        <w:bidi w:val="0"/>
        <w:rPr>
          <w:rFonts w:hint="eastAsia"/>
          <w:lang w:val="zh-CN"/>
        </w:rPr>
      </w:pPr>
    </w:p>
    <w:p>
      <w:pPr>
        <w:tabs>
          <w:tab w:val="left" w:pos="6264"/>
        </w:tabs>
        <w:bidi w:val="0"/>
        <w:jc w:val="left"/>
        <w:rPr>
          <w:rFonts w:hint="eastAsia"/>
          <w:lang w:val="zh-CN"/>
        </w:rPr>
        <w:sectPr>
          <w:footerReference r:id="rId5" w:type="default"/>
          <w:pgSz w:w="11849" w:h="16781"/>
          <w:pgMar w:top="1440" w:right="1417" w:bottom="1440" w:left="1701" w:header="851" w:footer="992" w:gutter="0"/>
          <w:pgNumType w:fmt="decimal" w:start="1"/>
          <w:cols w:space="720" w:num="1"/>
          <w:docGrid w:linePitch="397" w:charSpace="0"/>
        </w:sectPr>
      </w:pPr>
      <w:r>
        <w:rPr>
          <w:rFonts w:hint="eastAsia"/>
          <w:lang w:val="zh-CN"/>
        </w:rPr>
        <w:tab/>
      </w:r>
    </w:p>
    <w:p>
      <w:pPr>
        <w:spacing w:line="360" w:lineRule="auto"/>
        <w:jc w:val="center"/>
        <w:rPr>
          <w:rStyle w:val="31"/>
          <w:sz w:val="36"/>
          <w:szCs w:val="16"/>
          <w:lang w:val="zh-CN"/>
        </w:rPr>
      </w:pPr>
      <w:r>
        <w:rPr>
          <w:rStyle w:val="31"/>
          <w:rFonts w:hint="eastAsia"/>
          <w:sz w:val="36"/>
          <w:szCs w:val="16"/>
          <w:lang w:val="zh-CN"/>
        </w:rPr>
        <w:t xml:space="preserve">第一部分  </w:t>
      </w:r>
      <w:bookmarkEnd w:id="0"/>
      <w:r>
        <w:rPr>
          <w:rStyle w:val="31"/>
          <w:rFonts w:hint="eastAsia"/>
          <w:sz w:val="36"/>
          <w:szCs w:val="16"/>
          <w:lang w:val="zh-CN"/>
        </w:rPr>
        <w:t>招标公告</w:t>
      </w:r>
      <w:bookmarkEnd w:id="1"/>
      <w:bookmarkEnd w:id="2"/>
      <w:bookmarkEnd w:id="3"/>
      <w:bookmarkEnd w:id="4"/>
      <w:bookmarkEnd w:id="5"/>
    </w:p>
    <w:p>
      <w:pPr>
        <w:pStyle w:val="32"/>
        <w:spacing w:line="360" w:lineRule="auto"/>
        <w:ind w:firstLine="480"/>
        <w:rPr>
          <w:rFonts w:ascii="宋体" w:hAnsi="宋体" w:cs="宋体"/>
          <w:szCs w:val="24"/>
          <w:lang w:val="zh-CN"/>
        </w:rPr>
      </w:pPr>
    </w:p>
    <w:p>
      <w:pPr>
        <w:pStyle w:val="32"/>
        <w:spacing w:line="360" w:lineRule="auto"/>
        <w:ind w:firstLine="48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青海中旭工程项目管理有限公司（以下均简称“采购代理机构”）受青海省应急管理厅（以下均简称“采购人”）委托,拟对青海省自然灾害应急救援设备装备及器材购置项目进行国内公开招标，现予以公告，欢迎潜在的投标人参加本次政府采购活动。</w:t>
      </w:r>
    </w:p>
    <w:tbl>
      <w:tblPr>
        <w:tblStyle w:val="22"/>
        <w:tblW w:w="9161" w:type="dxa"/>
        <w:jc w:val="center"/>
        <w:tblLayout w:type="fixed"/>
        <w:tblCellMar>
          <w:top w:w="0" w:type="dxa"/>
          <w:left w:w="108" w:type="dxa"/>
          <w:bottom w:w="0" w:type="dxa"/>
          <w:right w:w="108" w:type="dxa"/>
        </w:tblCellMar>
      </w:tblPr>
      <w:tblGrid>
        <w:gridCol w:w="2425"/>
        <w:gridCol w:w="6736"/>
      </w:tblGrid>
      <w:tr>
        <w:tblPrEx>
          <w:tblCellMar>
            <w:top w:w="0" w:type="dxa"/>
            <w:left w:w="108" w:type="dxa"/>
            <w:bottom w:w="0" w:type="dxa"/>
            <w:right w:w="108" w:type="dxa"/>
          </w:tblCellMar>
        </w:tblPrEx>
        <w:trPr>
          <w:trHeight w:val="470"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left="0" w:leftChars="0" w:firstLine="0" w:firstLineChars="0"/>
              <w:jc w:val="both"/>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采购项目编号</w:t>
            </w:r>
          </w:p>
        </w:tc>
        <w:tc>
          <w:tcPr>
            <w:tcW w:w="673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青海中旭公招（货物）2022-045</w:t>
            </w:r>
          </w:p>
        </w:tc>
      </w:tr>
      <w:tr>
        <w:tblPrEx>
          <w:tblCellMar>
            <w:top w:w="0" w:type="dxa"/>
            <w:left w:w="108" w:type="dxa"/>
            <w:bottom w:w="0" w:type="dxa"/>
            <w:right w:w="108" w:type="dxa"/>
          </w:tblCellMar>
        </w:tblPrEx>
        <w:trPr>
          <w:trHeight w:val="554"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left="0" w:leftChars="0" w:firstLine="0" w:firstLineChars="0"/>
              <w:jc w:val="both"/>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采购项目名称</w:t>
            </w:r>
          </w:p>
        </w:tc>
        <w:tc>
          <w:tcPr>
            <w:tcW w:w="673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firstLine="0" w:firstLineChars="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青海省自然灾害应急救援设备装备及器材购置项目</w:t>
            </w:r>
          </w:p>
        </w:tc>
      </w:tr>
      <w:tr>
        <w:tblPrEx>
          <w:tblCellMar>
            <w:top w:w="0" w:type="dxa"/>
            <w:left w:w="108" w:type="dxa"/>
            <w:bottom w:w="0" w:type="dxa"/>
            <w:right w:w="108" w:type="dxa"/>
          </w:tblCellMar>
        </w:tblPrEx>
        <w:trPr>
          <w:trHeight w:val="404"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left="0" w:leftChars="0" w:firstLine="0" w:firstLineChars="0"/>
              <w:jc w:val="both"/>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采购方式</w:t>
            </w:r>
          </w:p>
        </w:tc>
        <w:tc>
          <w:tcPr>
            <w:tcW w:w="673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firstLine="0" w:firstLineChars="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公开招标</w:t>
            </w:r>
          </w:p>
        </w:tc>
      </w:tr>
      <w:tr>
        <w:tblPrEx>
          <w:tblCellMar>
            <w:top w:w="0" w:type="dxa"/>
            <w:left w:w="108" w:type="dxa"/>
            <w:bottom w:w="0" w:type="dxa"/>
            <w:right w:w="108" w:type="dxa"/>
          </w:tblCellMar>
        </w:tblPrEx>
        <w:trPr>
          <w:trHeight w:val="404"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分包个数</w:t>
            </w:r>
          </w:p>
        </w:tc>
        <w:tc>
          <w:tcPr>
            <w:tcW w:w="673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firstLine="0" w:firstLineChar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r>
      <w:tr>
        <w:tblPrEx>
          <w:tblCellMar>
            <w:top w:w="0" w:type="dxa"/>
            <w:left w:w="108" w:type="dxa"/>
            <w:bottom w:w="0" w:type="dxa"/>
            <w:right w:w="108" w:type="dxa"/>
          </w:tblCellMar>
        </w:tblPrEx>
        <w:trPr>
          <w:trHeight w:val="224"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left="0" w:leftChars="0" w:firstLine="0" w:firstLineChars="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采购预算额度</w:t>
            </w:r>
          </w:p>
        </w:tc>
        <w:tc>
          <w:tcPr>
            <w:tcW w:w="673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人民币</w:t>
            </w:r>
            <w:r>
              <w:rPr>
                <w:rFonts w:hint="eastAsia" w:asciiTheme="minorEastAsia" w:hAnsiTheme="minorEastAsia" w:eastAsiaTheme="minorEastAsia" w:cstheme="minorEastAsia"/>
                <w:sz w:val="24"/>
                <w:szCs w:val="24"/>
                <w:lang w:val="en-US" w:eastAsia="zh-CN"/>
              </w:rPr>
              <w:t>713万元</w:t>
            </w:r>
            <w:r>
              <w:rPr>
                <w:rFonts w:hint="eastAsia" w:asciiTheme="minorEastAsia" w:hAnsiTheme="minorEastAsia" w:eastAsiaTheme="minorEastAsia" w:cstheme="minorEastAsia"/>
                <w:sz w:val="24"/>
                <w:szCs w:val="24"/>
              </w:rPr>
              <w:t xml:space="preserve"> </w:t>
            </w:r>
          </w:p>
          <w:p>
            <w:pPr>
              <w:pStyle w:val="32"/>
              <w:spacing w:line="360" w:lineRule="auto"/>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其中包1:</w:t>
            </w:r>
            <w:r>
              <w:rPr>
                <w:rFonts w:hint="eastAsia" w:asciiTheme="minorEastAsia" w:hAnsiTheme="minorEastAsia" w:eastAsiaTheme="minorEastAsia" w:cstheme="minorEastAsia"/>
                <w:sz w:val="24"/>
                <w:szCs w:val="24"/>
                <w:lang w:val="en-US" w:eastAsia="zh-CN"/>
              </w:rPr>
              <w:t>426.2704万元</w:t>
            </w:r>
            <w:r>
              <w:rPr>
                <w:rFonts w:hint="eastAsia" w:asciiTheme="minorEastAsia" w:hAnsiTheme="minorEastAsia" w:eastAsiaTheme="minorEastAsia" w:cstheme="minorEastAsia"/>
                <w:sz w:val="24"/>
                <w:szCs w:val="24"/>
              </w:rPr>
              <w:t xml:space="preserve"> </w:t>
            </w:r>
          </w:p>
          <w:p>
            <w:pPr>
              <w:pStyle w:val="32"/>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包2:</w:t>
            </w:r>
            <w:r>
              <w:rPr>
                <w:rFonts w:hint="eastAsia" w:asciiTheme="minorEastAsia" w:hAnsiTheme="minorEastAsia" w:eastAsiaTheme="minorEastAsia" w:cstheme="minorEastAsia"/>
                <w:sz w:val="24"/>
                <w:szCs w:val="24"/>
                <w:lang w:val="en-US" w:eastAsia="zh-CN"/>
              </w:rPr>
              <w:t>143.7788万元</w:t>
            </w:r>
            <w:r>
              <w:rPr>
                <w:rFonts w:hint="eastAsia" w:asciiTheme="minorEastAsia" w:hAnsiTheme="minorEastAsia" w:eastAsiaTheme="minorEastAsia" w:cstheme="minorEastAsia"/>
                <w:sz w:val="24"/>
                <w:szCs w:val="24"/>
              </w:rPr>
              <w:t xml:space="preserve">  </w:t>
            </w:r>
          </w:p>
          <w:p>
            <w:pPr>
              <w:pStyle w:val="32"/>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包3:</w:t>
            </w:r>
            <w:r>
              <w:rPr>
                <w:rFonts w:hint="eastAsia" w:asciiTheme="minorEastAsia" w:hAnsiTheme="minorEastAsia" w:eastAsiaTheme="minorEastAsia" w:cstheme="minorEastAsia"/>
                <w:sz w:val="24"/>
                <w:szCs w:val="24"/>
                <w:lang w:val="en-US" w:eastAsia="zh-CN"/>
              </w:rPr>
              <w:t>142.9508万元</w:t>
            </w:r>
            <w:r>
              <w:rPr>
                <w:rFonts w:hint="eastAsia" w:asciiTheme="minorEastAsia" w:hAnsiTheme="minorEastAsia" w:eastAsiaTheme="minorEastAsia" w:cstheme="minorEastAsia"/>
                <w:sz w:val="24"/>
                <w:szCs w:val="24"/>
              </w:rPr>
              <w:t xml:space="preserve">  </w:t>
            </w:r>
          </w:p>
        </w:tc>
      </w:tr>
      <w:tr>
        <w:tblPrEx>
          <w:tblCellMar>
            <w:top w:w="0" w:type="dxa"/>
            <w:left w:w="108" w:type="dxa"/>
            <w:bottom w:w="0" w:type="dxa"/>
            <w:right w:w="108" w:type="dxa"/>
          </w:tblCellMar>
        </w:tblPrEx>
        <w:trPr>
          <w:trHeight w:val="224"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left="0" w:leftChars="0" w:firstLine="0" w:firstLineChars="0"/>
              <w:jc w:val="left"/>
              <w:rPr>
                <w:rFonts w:hint="default"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sz w:val="24"/>
                <w:szCs w:val="24"/>
                <w:lang w:val="en-US" w:eastAsia="zh-CN"/>
              </w:rPr>
              <w:t>最高限价</w:t>
            </w:r>
          </w:p>
        </w:tc>
        <w:tc>
          <w:tcPr>
            <w:tcW w:w="673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人民币</w:t>
            </w:r>
            <w:r>
              <w:rPr>
                <w:rFonts w:hint="eastAsia" w:asciiTheme="minorEastAsia" w:hAnsiTheme="minorEastAsia" w:eastAsiaTheme="minorEastAsia" w:cstheme="minorEastAsia"/>
                <w:sz w:val="24"/>
                <w:szCs w:val="24"/>
                <w:lang w:val="en-US" w:eastAsia="zh-CN"/>
              </w:rPr>
              <w:t>713万元</w:t>
            </w:r>
            <w:r>
              <w:rPr>
                <w:rFonts w:hint="eastAsia" w:asciiTheme="minorEastAsia" w:hAnsiTheme="minorEastAsia" w:eastAsiaTheme="minorEastAsia" w:cstheme="minorEastAsia"/>
                <w:sz w:val="24"/>
                <w:szCs w:val="24"/>
              </w:rPr>
              <w:t xml:space="preserve"> </w:t>
            </w:r>
          </w:p>
          <w:p>
            <w:pPr>
              <w:pStyle w:val="32"/>
              <w:spacing w:line="360" w:lineRule="auto"/>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其中包1:</w:t>
            </w:r>
            <w:r>
              <w:rPr>
                <w:rFonts w:hint="eastAsia" w:asciiTheme="minorEastAsia" w:hAnsiTheme="minorEastAsia" w:eastAsiaTheme="minorEastAsia" w:cstheme="minorEastAsia"/>
                <w:sz w:val="24"/>
                <w:szCs w:val="24"/>
                <w:lang w:val="en-US" w:eastAsia="zh-CN"/>
              </w:rPr>
              <w:t>426.2704万元</w:t>
            </w:r>
            <w:r>
              <w:rPr>
                <w:rFonts w:hint="eastAsia" w:asciiTheme="minorEastAsia" w:hAnsiTheme="minorEastAsia" w:eastAsiaTheme="minorEastAsia" w:cstheme="minorEastAsia"/>
                <w:sz w:val="24"/>
                <w:szCs w:val="24"/>
              </w:rPr>
              <w:t xml:space="preserve"> </w:t>
            </w:r>
          </w:p>
          <w:p>
            <w:pPr>
              <w:pStyle w:val="32"/>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包2:</w:t>
            </w:r>
            <w:r>
              <w:rPr>
                <w:rFonts w:hint="eastAsia" w:asciiTheme="minorEastAsia" w:hAnsiTheme="minorEastAsia" w:eastAsiaTheme="minorEastAsia" w:cstheme="minorEastAsia"/>
                <w:sz w:val="24"/>
                <w:szCs w:val="24"/>
                <w:lang w:val="en-US" w:eastAsia="zh-CN"/>
              </w:rPr>
              <w:t>143.7788万元</w:t>
            </w:r>
            <w:r>
              <w:rPr>
                <w:rFonts w:hint="eastAsia" w:asciiTheme="minorEastAsia" w:hAnsiTheme="minorEastAsia" w:eastAsiaTheme="minorEastAsia" w:cstheme="minorEastAsia"/>
                <w:sz w:val="24"/>
                <w:szCs w:val="24"/>
              </w:rPr>
              <w:t xml:space="preserve">  </w:t>
            </w:r>
          </w:p>
          <w:p>
            <w:pPr>
              <w:pStyle w:val="32"/>
              <w:spacing w:line="360" w:lineRule="auto"/>
              <w:ind w:firstLine="480" w:firstLineChars="200"/>
              <w:jc w:val="left"/>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sz w:val="24"/>
                <w:szCs w:val="24"/>
              </w:rPr>
              <w:t>包3:</w:t>
            </w:r>
            <w:r>
              <w:rPr>
                <w:rFonts w:hint="eastAsia" w:asciiTheme="minorEastAsia" w:hAnsiTheme="minorEastAsia" w:eastAsiaTheme="minorEastAsia" w:cstheme="minorEastAsia"/>
                <w:sz w:val="24"/>
                <w:szCs w:val="24"/>
                <w:lang w:val="en-US" w:eastAsia="zh-CN"/>
              </w:rPr>
              <w:t>142.9508万元</w:t>
            </w:r>
            <w:r>
              <w:rPr>
                <w:rFonts w:hint="eastAsia" w:asciiTheme="minorEastAsia" w:hAnsiTheme="minorEastAsia" w:eastAsiaTheme="minorEastAsia" w:cstheme="minorEastAsia"/>
                <w:sz w:val="24"/>
                <w:szCs w:val="24"/>
              </w:rPr>
              <w:t xml:space="preserve">  </w:t>
            </w:r>
          </w:p>
        </w:tc>
      </w:tr>
      <w:tr>
        <w:tblPrEx>
          <w:tblCellMar>
            <w:top w:w="0" w:type="dxa"/>
            <w:left w:w="108" w:type="dxa"/>
            <w:bottom w:w="0" w:type="dxa"/>
            <w:right w:w="108" w:type="dxa"/>
          </w:tblCellMar>
        </w:tblPrEx>
        <w:trPr>
          <w:trHeight w:val="305"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left="0" w:leftChars="0" w:firstLine="0" w:firstLineChars="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各包</w:t>
            </w:r>
            <w:r>
              <w:rPr>
                <w:rFonts w:hint="eastAsia" w:asciiTheme="minorEastAsia" w:hAnsiTheme="minorEastAsia" w:eastAsiaTheme="minorEastAsia" w:cstheme="minorEastAsia"/>
                <w:sz w:val="24"/>
                <w:szCs w:val="24"/>
                <w:lang w:val="zh-CN"/>
              </w:rPr>
              <w:t>要求</w:t>
            </w:r>
          </w:p>
        </w:tc>
        <w:tc>
          <w:tcPr>
            <w:tcW w:w="673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firstLine="0" w:firstLineChar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包1：指挥保障类</w:t>
            </w:r>
          </w:p>
          <w:p>
            <w:pPr>
              <w:pStyle w:val="32"/>
              <w:spacing w:line="360" w:lineRule="auto"/>
              <w:ind w:firstLine="0" w:firstLineChar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包2：照明保障类</w:t>
            </w:r>
          </w:p>
          <w:p>
            <w:pPr>
              <w:pStyle w:val="32"/>
              <w:spacing w:line="360" w:lineRule="auto"/>
              <w:ind w:firstLine="0" w:firstLineChar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包3：抢险救援类</w:t>
            </w:r>
          </w:p>
          <w:p>
            <w:pPr>
              <w:pStyle w:val="32"/>
              <w:spacing w:line="360" w:lineRule="auto"/>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具体内容详见《公开招标文件》</w:t>
            </w:r>
          </w:p>
        </w:tc>
      </w:tr>
      <w:tr>
        <w:tblPrEx>
          <w:tblCellMar>
            <w:top w:w="0" w:type="dxa"/>
            <w:left w:w="108" w:type="dxa"/>
            <w:bottom w:w="0" w:type="dxa"/>
            <w:right w:w="108" w:type="dxa"/>
          </w:tblCellMar>
        </w:tblPrEx>
        <w:trPr>
          <w:trHeight w:val="449"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firstLine="0" w:firstLineChars="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各包</w:t>
            </w:r>
            <w:r>
              <w:rPr>
                <w:rFonts w:hint="eastAsia" w:asciiTheme="minorEastAsia" w:hAnsiTheme="minorEastAsia" w:eastAsiaTheme="minorEastAsia" w:cstheme="minorEastAsia"/>
                <w:sz w:val="24"/>
                <w:szCs w:val="24"/>
                <w:lang w:val="zh-CN"/>
              </w:rPr>
              <w:t>投标人资格要求</w:t>
            </w:r>
          </w:p>
        </w:tc>
        <w:tc>
          <w:tcPr>
            <w:tcW w:w="673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left="0" w:lef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应当具备《政府采购法》第二十二条规定的条件，并提供下列材料：</w:t>
            </w:r>
          </w:p>
          <w:p>
            <w:pPr>
              <w:pStyle w:val="32"/>
              <w:spacing w:line="360" w:lineRule="auto"/>
              <w:ind w:left="0" w:lef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（1）投标人的营业执照等证明文件，自然人的身份证明；</w:t>
            </w:r>
          </w:p>
          <w:p>
            <w:pPr>
              <w:pStyle w:val="32"/>
              <w:spacing w:line="360" w:lineRule="auto"/>
              <w:ind w:left="0" w:lef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（2）财务状况报告，依法缴纳税收和社会保障资金的相关材料；</w:t>
            </w:r>
          </w:p>
          <w:p>
            <w:pPr>
              <w:pStyle w:val="32"/>
              <w:spacing w:line="360" w:lineRule="auto"/>
              <w:ind w:left="0" w:lef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（3）具备履行合同所必需的设备和专业技术能力的证明材料；</w:t>
            </w:r>
          </w:p>
          <w:p>
            <w:pPr>
              <w:pStyle w:val="32"/>
              <w:spacing w:line="360" w:lineRule="auto"/>
              <w:ind w:left="0" w:lef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（4）参加政府采购活动前三年内，在经营活动中没有重大违法记录的书面声明;</w:t>
            </w:r>
          </w:p>
          <w:p>
            <w:pPr>
              <w:pStyle w:val="32"/>
              <w:spacing w:line="360" w:lineRule="auto"/>
              <w:ind w:left="0" w:lef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（5）具备法律、行政法规规定的其他条件的证明材料。</w:t>
            </w:r>
          </w:p>
          <w:p>
            <w:pPr>
              <w:pStyle w:val="32"/>
              <w:spacing w:line="360" w:lineRule="auto"/>
              <w:ind w:left="0" w:lef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经信用中国（www.creditchina.gov.cn）、中国政府采购网（www.ccgp.gov.cn）等渠道查询后，列入失信被执行人、</w:t>
            </w:r>
            <w:r>
              <w:rPr>
                <w:rFonts w:hint="eastAsia" w:ascii="宋体" w:hAnsi="宋体" w:eastAsia="宋体" w:cs="宋体"/>
                <w:sz w:val="24"/>
                <w:lang w:eastAsia="zh-CN"/>
              </w:rPr>
              <w:t>重大税收违法失信主体</w:t>
            </w:r>
            <w:r>
              <w:rPr>
                <w:rFonts w:hint="eastAsia" w:asciiTheme="minorEastAsia" w:hAnsiTheme="minorEastAsia" w:eastAsiaTheme="minorEastAsia" w:cstheme="minorEastAsia"/>
                <w:sz w:val="24"/>
                <w:szCs w:val="24"/>
              </w:rPr>
              <w:t xml:space="preserve">、政府采购严重违法失信行为记录名单的，取消投标资格（提供“信用中国”“中国政府采购网”网站无任何不良记录的查询截图）； </w:t>
            </w:r>
          </w:p>
          <w:p>
            <w:pPr>
              <w:pStyle w:val="32"/>
              <w:spacing w:line="360" w:lineRule="auto"/>
              <w:ind w:left="0" w:lef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单位负责人为同一人或者存在直接控股、管理关系的不同投标人，不得参加同一合同项下的政府采购活动。否则，取消投标资格； </w:t>
            </w:r>
          </w:p>
          <w:p>
            <w:pPr>
              <w:pStyle w:val="32"/>
              <w:spacing w:line="360" w:lineRule="auto"/>
              <w:ind w:left="0" w:lef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为本采购项目提供整体设计、规范编制或者项目管理、监理、检测等服务的投标人，不得再参加该采购项目的其他采购活动； </w:t>
            </w:r>
          </w:p>
          <w:p>
            <w:pPr>
              <w:pStyle w:val="32"/>
              <w:spacing w:line="360" w:lineRule="auto"/>
              <w:ind w:left="0" w:lef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本项目不接受供应商以联合体方式进行投标；</w:t>
            </w:r>
          </w:p>
          <w:p>
            <w:pPr>
              <w:pStyle w:val="32"/>
              <w:spacing w:line="360" w:lineRule="auto"/>
              <w:ind w:left="0" w:leftChars="0"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招标文件中规定的其他资质条件：</w:t>
            </w:r>
          </w:p>
          <w:p>
            <w:pPr>
              <w:pStyle w:val="32"/>
              <w:spacing w:line="360" w:lineRule="auto"/>
              <w:ind w:firstLine="240" w:firstLineChars="100"/>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6.1文件中要求提供3C认证、防爆合格证的必须提供</w:t>
            </w:r>
            <w:r>
              <w:rPr>
                <w:rFonts w:hint="eastAsia" w:asciiTheme="minorEastAsia" w:hAnsiTheme="minorEastAsia" w:eastAsiaTheme="minorEastAsia" w:cstheme="minorEastAsia"/>
                <w:sz w:val="24"/>
                <w:szCs w:val="24"/>
                <w:highlight w:val="none"/>
                <w:lang w:eastAsia="zh-CN"/>
              </w:rPr>
              <w:t>；</w:t>
            </w:r>
          </w:p>
          <w:p>
            <w:pPr>
              <w:pStyle w:val="32"/>
              <w:spacing w:line="360" w:lineRule="auto"/>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lang w:val="en-US" w:eastAsia="zh-CN"/>
              </w:rPr>
              <w:t>6.2包3所投压力容器生产厂家需具有有效的《中华人民共和国特种设备制造许可证》（压力容器）；包3投标人为生产商的，须具备有效的《医疗器械生产许可证》和所投产品的《医疗器械注册证》；投标供应商为代理商的，须具备有效的《医疗器械经营许可证》及所投产品的《医疗器械注册证》。</w:t>
            </w:r>
          </w:p>
        </w:tc>
      </w:tr>
      <w:tr>
        <w:tblPrEx>
          <w:tblCellMar>
            <w:top w:w="0" w:type="dxa"/>
            <w:left w:w="108" w:type="dxa"/>
            <w:bottom w:w="0" w:type="dxa"/>
            <w:right w:w="108" w:type="dxa"/>
          </w:tblCellMar>
        </w:tblPrEx>
        <w:trPr>
          <w:trHeight w:val="410"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left="0" w:leftChars="0" w:firstLine="0" w:firstLineChars="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公告发布时间</w:t>
            </w:r>
          </w:p>
        </w:tc>
        <w:tc>
          <w:tcPr>
            <w:tcW w:w="673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firstLine="0" w:firstLineChars="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2022</w:t>
            </w:r>
            <w:r>
              <w:rPr>
                <w:rFonts w:hint="eastAsia" w:asciiTheme="minorEastAsia" w:hAnsiTheme="minorEastAsia" w:eastAsiaTheme="minorEastAsia" w:cstheme="minorEastAsia"/>
                <w:sz w:val="24"/>
                <w:szCs w:val="24"/>
                <w:lang w:val="zh-CN"/>
              </w:rPr>
              <w:t>年</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val="zh-CN"/>
              </w:rPr>
              <w:t>月</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lang w:val="zh-CN"/>
              </w:rPr>
              <w:t>日</w:t>
            </w:r>
          </w:p>
        </w:tc>
      </w:tr>
      <w:tr>
        <w:tblPrEx>
          <w:tblCellMar>
            <w:top w:w="0" w:type="dxa"/>
            <w:left w:w="108" w:type="dxa"/>
            <w:bottom w:w="0" w:type="dxa"/>
            <w:right w:w="108" w:type="dxa"/>
          </w:tblCellMar>
        </w:tblPrEx>
        <w:trPr>
          <w:trHeight w:val="806"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firstLine="0" w:firstLineChars="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获取招标文件的时间期限</w:t>
            </w:r>
          </w:p>
        </w:tc>
        <w:tc>
          <w:tcPr>
            <w:tcW w:w="673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firstLine="0" w:firstLineChars="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2022</w:t>
            </w:r>
            <w:r>
              <w:rPr>
                <w:rFonts w:hint="eastAsia" w:asciiTheme="minorEastAsia" w:hAnsiTheme="minorEastAsia" w:eastAsiaTheme="minorEastAsia" w:cstheme="minorEastAsia"/>
                <w:sz w:val="24"/>
                <w:szCs w:val="24"/>
                <w:lang w:val="zh-CN"/>
              </w:rPr>
              <w:t>年</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val="zh-CN"/>
              </w:rPr>
              <w:t>月</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zh-CN"/>
              </w:rPr>
              <w:t>至</w:t>
            </w:r>
            <w:r>
              <w:rPr>
                <w:rFonts w:hint="eastAsia" w:asciiTheme="minorEastAsia" w:hAnsiTheme="minorEastAsia" w:eastAsiaTheme="minorEastAsia" w:cstheme="minorEastAsia"/>
                <w:sz w:val="24"/>
                <w:szCs w:val="24"/>
              </w:rPr>
              <w:t>2022年</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val="zh-CN"/>
              </w:rPr>
              <w:t>月</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lang w:val="zh-CN"/>
              </w:rPr>
              <w:t>日，每天上午9:00-</w:t>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zh-CN"/>
              </w:rPr>
              <w:t>0,下午</w:t>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30</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lang w:val="zh-CN"/>
              </w:rPr>
              <w:t>:30（午休、节假日除外）</w:t>
            </w:r>
          </w:p>
        </w:tc>
      </w:tr>
      <w:tr>
        <w:tblPrEx>
          <w:tblCellMar>
            <w:top w:w="0" w:type="dxa"/>
            <w:left w:w="108" w:type="dxa"/>
            <w:bottom w:w="0" w:type="dxa"/>
            <w:right w:w="108" w:type="dxa"/>
          </w:tblCellMar>
        </w:tblPrEx>
        <w:trPr>
          <w:trHeight w:val="284"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firstLine="0" w:firstLineChars="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获取招标文件的方式</w:t>
            </w:r>
          </w:p>
        </w:tc>
        <w:tc>
          <w:tcPr>
            <w:tcW w:w="673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firstLine="0" w:firstLineChar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投标人登录政采云平台https://www.zcygov.cn/在线申请获取采购文件（进入“项目采购”应用，在获取采购文件菜单中选择项目，申请获取采购文件）</w:t>
            </w:r>
          </w:p>
        </w:tc>
      </w:tr>
      <w:tr>
        <w:tblPrEx>
          <w:tblCellMar>
            <w:top w:w="0" w:type="dxa"/>
            <w:left w:w="108" w:type="dxa"/>
            <w:bottom w:w="0" w:type="dxa"/>
            <w:right w:w="108" w:type="dxa"/>
          </w:tblCellMar>
        </w:tblPrEx>
        <w:trPr>
          <w:trHeight w:val="611"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firstLine="0" w:firstLineChars="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招标文件售价</w:t>
            </w:r>
          </w:p>
        </w:tc>
        <w:tc>
          <w:tcPr>
            <w:tcW w:w="673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firstLine="0" w:firstLineChar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0</w:t>
            </w:r>
          </w:p>
        </w:tc>
      </w:tr>
      <w:tr>
        <w:tblPrEx>
          <w:tblCellMar>
            <w:top w:w="0" w:type="dxa"/>
            <w:left w:w="108" w:type="dxa"/>
            <w:bottom w:w="0" w:type="dxa"/>
            <w:right w:w="108" w:type="dxa"/>
          </w:tblCellMar>
        </w:tblPrEx>
        <w:trPr>
          <w:trHeight w:val="553"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firstLine="0" w:firstLineChars="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rPr>
              <w:t>文件递交方式</w:t>
            </w:r>
          </w:p>
        </w:tc>
        <w:tc>
          <w:tcPr>
            <w:tcW w:w="673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firstLine="0" w:firstLineChars="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线上递交，投标人</w:t>
            </w:r>
            <w:r>
              <w:rPr>
                <w:rFonts w:hint="eastAsia" w:asciiTheme="minorEastAsia" w:hAnsiTheme="minorEastAsia" w:eastAsiaTheme="minorEastAsia" w:cstheme="minorEastAsia"/>
                <w:sz w:val="24"/>
                <w:szCs w:val="24"/>
              </w:rPr>
              <w:t>如对项目采购电子交易系统操作有疑问，可登录政采云（https://www.zcygov.cn/），点击右侧咨询小采，获取采小蜜智能服务管家帮助，或拨打政采云服务热线400-881-7190获取热线服务帮助。CA问题联系电话（人工）；天谷CA  400-087-8198。</w:t>
            </w:r>
            <w:r>
              <w:rPr>
                <w:rFonts w:hint="eastAsia" w:asciiTheme="minorEastAsia" w:hAnsiTheme="minorEastAsia" w:eastAsiaTheme="minorEastAsia" w:cstheme="minorEastAsia"/>
                <w:sz w:val="24"/>
                <w:szCs w:val="24"/>
                <w:lang w:val="zh-CN"/>
              </w:rPr>
              <w:t>）</w:t>
            </w:r>
          </w:p>
        </w:tc>
      </w:tr>
      <w:tr>
        <w:tblPrEx>
          <w:tblCellMar>
            <w:top w:w="0" w:type="dxa"/>
            <w:left w:w="108" w:type="dxa"/>
            <w:bottom w:w="0" w:type="dxa"/>
            <w:right w:w="108" w:type="dxa"/>
          </w:tblCellMar>
        </w:tblPrEx>
        <w:trPr>
          <w:trHeight w:val="629"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firstLine="0" w:firstLineChars="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投标截止及开标时间</w:t>
            </w:r>
          </w:p>
        </w:tc>
        <w:tc>
          <w:tcPr>
            <w:tcW w:w="673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firstLine="0" w:firstLineChars="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2022年</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02</w:t>
            </w:r>
            <w:r>
              <w:rPr>
                <w:rFonts w:hint="eastAsia" w:asciiTheme="minorEastAsia" w:hAnsiTheme="minorEastAsia" w:eastAsiaTheme="minorEastAsia" w:cstheme="minorEastAsia"/>
                <w:sz w:val="24"/>
                <w:szCs w:val="24"/>
              </w:rPr>
              <w:t>日上午09时</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0分（北京时间）</w:t>
            </w:r>
          </w:p>
        </w:tc>
      </w:tr>
      <w:tr>
        <w:tblPrEx>
          <w:tblCellMar>
            <w:top w:w="0" w:type="dxa"/>
            <w:left w:w="108" w:type="dxa"/>
            <w:bottom w:w="0" w:type="dxa"/>
            <w:right w:w="108" w:type="dxa"/>
          </w:tblCellMar>
        </w:tblPrEx>
        <w:trPr>
          <w:trHeight w:val="644"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hint="eastAsia" w:asciiTheme="minorEastAsia" w:hAnsiTheme="minorEastAsia" w:eastAsiaTheme="minorEastAsia" w:cstheme="minorEastAsia"/>
                <w:sz w:val="24"/>
                <w:szCs w:val="24"/>
              </w:rPr>
            </w:pPr>
            <w:r>
              <w:rPr>
                <w:rFonts w:hint="eastAsia" w:eastAsia="宋体"/>
                <w:color w:val="auto"/>
                <w:sz w:val="24"/>
                <w:szCs w:val="24"/>
              </w:rPr>
              <w:t>提交</w:t>
            </w:r>
            <w:r>
              <w:rPr>
                <w:rFonts w:hint="eastAsia"/>
                <w:color w:val="auto"/>
                <w:sz w:val="24"/>
                <w:szCs w:val="24"/>
                <w:lang w:val="en-US" w:eastAsia="zh-CN"/>
              </w:rPr>
              <w:t>投标</w:t>
            </w:r>
            <w:r>
              <w:rPr>
                <w:rFonts w:hint="eastAsia" w:eastAsia="宋体"/>
                <w:color w:val="auto"/>
                <w:sz w:val="24"/>
                <w:szCs w:val="24"/>
              </w:rPr>
              <w:t>文件地点</w:t>
            </w:r>
          </w:p>
        </w:tc>
        <w:tc>
          <w:tcPr>
            <w:tcW w:w="673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hint="eastAsia" w:asciiTheme="minorEastAsia" w:hAnsiTheme="minorEastAsia" w:eastAsiaTheme="minorEastAsia" w:cstheme="minorEastAsia"/>
                <w:sz w:val="24"/>
                <w:szCs w:val="24"/>
                <w:highlight w:val="yellow"/>
              </w:rPr>
            </w:pPr>
            <w:r>
              <w:rPr>
                <w:rFonts w:hint="eastAsia" w:eastAsia="宋体"/>
                <w:color w:val="auto"/>
                <w:sz w:val="24"/>
                <w:szCs w:val="24"/>
              </w:rPr>
              <w:t>在政采云平台（https://www.zcygov.cn/）进行线上解密      </w:t>
            </w:r>
          </w:p>
        </w:tc>
      </w:tr>
      <w:tr>
        <w:tblPrEx>
          <w:tblCellMar>
            <w:top w:w="0" w:type="dxa"/>
            <w:left w:w="108" w:type="dxa"/>
            <w:bottom w:w="0" w:type="dxa"/>
            <w:right w:w="108" w:type="dxa"/>
          </w:tblCellMar>
        </w:tblPrEx>
        <w:trPr>
          <w:trHeight w:val="348"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left="0" w:leftChars="0" w:firstLine="0" w:firstLineChars="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采购人联系人</w:t>
            </w:r>
          </w:p>
        </w:tc>
        <w:tc>
          <w:tcPr>
            <w:tcW w:w="673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left="0" w:leftChars="0" w:firstLine="0" w:firstLineChars="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采 购 人：青海省应急管理厅 </w:t>
            </w:r>
          </w:p>
          <w:p>
            <w:pPr>
              <w:pStyle w:val="32"/>
              <w:spacing w:line="360" w:lineRule="auto"/>
              <w:ind w:firstLine="0" w:firstLineChar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zh-CN"/>
              </w:rPr>
              <w:t>联</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rPr>
              <w:t>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rPr>
              <w:t>人：</w:t>
            </w:r>
            <w:r>
              <w:rPr>
                <w:rFonts w:hint="eastAsia" w:asciiTheme="minorEastAsia" w:hAnsiTheme="minorEastAsia" w:eastAsiaTheme="minorEastAsia" w:cstheme="minorEastAsia"/>
                <w:sz w:val="24"/>
                <w:szCs w:val="24"/>
                <w:lang w:val="en-US" w:eastAsia="zh-CN"/>
              </w:rPr>
              <w:t>刘先生</w:t>
            </w:r>
          </w:p>
          <w:p>
            <w:pPr>
              <w:pStyle w:val="32"/>
              <w:spacing w:line="360" w:lineRule="auto"/>
              <w:ind w:firstLine="0" w:firstLineChars="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联系电话：0971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zh-CN"/>
              </w:rPr>
              <w:t>6139792</w:t>
            </w:r>
          </w:p>
          <w:p>
            <w:pPr>
              <w:pStyle w:val="32"/>
              <w:spacing w:line="360" w:lineRule="auto"/>
              <w:ind w:left="0" w:leftChars="0" w:firstLine="0" w:firstLineChars="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联系地址：</w:t>
            </w:r>
            <w:r>
              <w:rPr>
                <w:rFonts w:hint="eastAsia"/>
              </w:rPr>
              <w:t>青海省应急管理厅</w:t>
            </w:r>
            <w:r>
              <w:rPr>
                <w:rFonts w:hint="eastAsia" w:asciiTheme="minorEastAsia" w:hAnsiTheme="minorEastAsia" w:eastAsiaTheme="minorEastAsia" w:cstheme="minorEastAsia"/>
                <w:sz w:val="24"/>
                <w:szCs w:val="24"/>
                <w:lang w:val="zh-CN"/>
              </w:rPr>
              <w:t xml:space="preserve">      </w:t>
            </w:r>
          </w:p>
        </w:tc>
      </w:tr>
      <w:tr>
        <w:tblPrEx>
          <w:tblCellMar>
            <w:top w:w="0" w:type="dxa"/>
            <w:left w:w="108" w:type="dxa"/>
            <w:bottom w:w="0" w:type="dxa"/>
            <w:right w:w="108" w:type="dxa"/>
          </w:tblCellMar>
        </w:tblPrEx>
        <w:trPr>
          <w:trHeight w:val="448"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left="0" w:leftChars="0" w:firstLine="0" w:firstLineChars="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代理机构联系人</w:t>
            </w:r>
          </w:p>
        </w:tc>
        <w:tc>
          <w:tcPr>
            <w:tcW w:w="673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firstLine="0" w:firstLineChars="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采购代理机构：青海中旭工程项目管理有限公司</w:t>
            </w:r>
          </w:p>
          <w:p>
            <w:pPr>
              <w:pStyle w:val="32"/>
              <w:spacing w:line="360" w:lineRule="auto"/>
              <w:ind w:firstLine="0" w:firstLineChars="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联</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zh-CN"/>
              </w:rPr>
              <w:t>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zh-CN"/>
              </w:rPr>
              <w:t>人：段女士</w:t>
            </w:r>
          </w:p>
          <w:p>
            <w:pPr>
              <w:pStyle w:val="32"/>
              <w:spacing w:line="360" w:lineRule="auto"/>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联系电话：</w:t>
            </w:r>
            <w:r>
              <w:rPr>
                <w:rFonts w:hint="eastAsia" w:asciiTheme="minorEastAsia" w:hAnsiTheme="minorEastAsia" w:eastAsiaTheme="minorEastAsia" w:cstheme="minorEastAsia"/>
                <w:sz w:val="24"/>
                <w:szCs w:val="24"/>
              </w:rPr>
              <w:t>0971-5218441</w:t>
            </w:r>
          </w:p>
          <w:p>
            <w:pPr>
              <w:pStyle w:val="32"/>
              <w:spacing w:line="360" w:lineRule="auto"/>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联系地址：</w:t>
            </w:r>
            <w:r>
              <w:rPr>
                <w:rFonts w:hint="eastAsia" w:asciiTheme="minorEastAsia" w:hAnsiTheme="minorEastAsia" w:eastAsiaTheme="minorEastAsia" w:cstheme="minorEastAsia"/>
                <w:sz w:val="24"/>
                <w:szCs w:val="24"/>
              </w:rPr>
              <w:t>西宁市城西区西川南路76号万达中心1号写字楼20楼12014室</w:t>
            </w:r>
          </w:p>
        </w:tc>
      </w:tr>
      <w:tr>
        <w:tblPrEx>
          <w:tblCellMar>
            <w:top w:w="0" w:type="dxa"/>
            <w:left w:w="108" w:type="dxa"/>
            <w:bottom w:w="0" w:type="dxa"/>
            <w:right w:w="108" w:type="dxa"/>
          </w:tblCellMar>
        </w:tblPrEx>
        <w:trPr>
          <w:trHeight w:val="305"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left="0" w:leftChars="0" w:firstLine="0" w:firstLineChars="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代理机构开户行</w:t>
            </w:r>
          </w:p>
        </w:tc>
        <w:tc>
          <w:tcPr>
            <w:tcW w:w="67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兴业银行西宁分行营业部</w:t>
            </w:r>
          </w:p>
        </w:tc>
      </w:tr>
      <w:tr>
        <w:tblPrEx>
          <w:tblCellMar>
            <w:top w:w="0" w:type="dxa"/>
            <w:left w:w="108" w:type="dxa"/>
            <w:bottom w:w="0" w:type="dxa"/>
            <w:right w:w="108" w:type="dxa"/>
          </w:tblCellMar>
        </w:tblPrEx>
        <w:trPr>
          <w:trHeight w:val="410"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left="0" w:leftChars="0" w:firstLine="0" w:firstLineChars="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收款人</w:t>
            </w:r>
          </w:p>
        </w:tc>
        <w:tc>
          <w:tcPr>
            <w:tcW w:w="67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青海中旭工程项目管理有限公司</w:t>
            </w:r>
          </w:p>
        </w:tc>
      </w:tr>
      <w:tr>
        <w:tblPrEx>
          <w:tblCellMar>
            <w:top w:w="0" w:type="dxa"/>
            <w:left w:w="108" w:type="dxa"/>
            <w:bottom w:w="0" w:type="dxa"/>
            <w:right w:w="108" w:type="dxa"/>
          </w:tblCellMar>
        </w:tblPrEx>
        <w:trPr>
          <w:trHeight w:val="410"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left="0" w:leftChars="0" w:firstLine="0" w:firstLineChars="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银行账号</w:t>
            </w:r>
          </w:p>
        </w:tc>
        <w:tc>
          <w:tcPr>
            <w:tcW w:w="67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632010100100376299（开户行号：309851000028）</w:t>
            </w:r>
          </w:p>
        </w:tc>
      </w:tr>
      <w:tr>
        <w:tblPrEx>
          <w:tblCellMar>
            <w:top w:w="0" w:type="dxa"/>
            <w:left w:w="108" w:type="dxa"/>
            <w:bottom w:w="0" w:type="dxa"/>
            <w:right w:w="108" w:type="dxa"/>
          </w:tblCellMar>
        </w:tblPrEx>
        <w:trPr>
          <w:trHeight w:val="712"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left="0" w:leftChars="0" w:firstLine="0" w:firstLineChars="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其他事项</w:t>
            </w:r>
          </w:p>
        </w:tc>
        <w:tc>
          <w:tcPr>
            <w:tcW w:w="6736" w:type="dxa"/>
            <w:tcBorders>
              <w:top w:val="single" w:color="000000" w:sz="6" w:space="0"/>
              <w:left w:val="single" w:color="000000" w:sz="6" w:space="0"/>
              <w:bottom w:val="single" w:color="000000" w:sz="6" w:space="0"/>
              <w:right w:val="single" w:color="000000" w:sz="6" w:space="0"/>
            </w:tcBorders>
            <w:vAlign w:val="center"/>
          </w:tcPr>
          <w:p>
            <w:pPr>
              <w:spacing w:line="540" w:lineRule="exact"/>
              <w:jc w:val="left"/>
              <w:rPr>
                <w:rFonts w:cs="Arial"/>
                <w:b/>
                <w:bCs/>
                <w:sz w:val="24"/>
                <w:lang w:val="zh-CN"/>
              </w:rPr>
            </w:pPr>
            <w:r>
              <w:rPr>
                <w:rFonts w:hint="eastAsia" w:cs="Arial"/>
                <w:b/>
                <w:bCs/>
                <w:sz w:val="24"/>
                <w:lang w:val="zh-CN"/>
              </w:rPr>
              <w:t>公告发布媒体：《青海</w:t>
            </w:r>
            <w:r>
              <w:rPr>
                <w:rFonts w:hint="eastAsia" w:cs="Arial"/>
                <w:b/>
                <w:bCs/>
                <w:sz w:val="24"/>
              </w:rPr>
              <w:t>省</w:t>
            </w:r>
            <w:r>
              <w:rPr>
                <w:rFonts w:hint="eastAsia" w:cs="Arial"/>
                <w:b/>
                <w:bCs/>
                <w:sz w:val="24"/>
                <w:lang w:val="zh-CN"/>
              </w:rPr>
              <w:t>政府采购网》《青海电子招标投标公共服务平台》《中国采购与招标网》《青海省项目信息网》。公告内容以《青海</w:t>
            </w:r>
            <w:r>
              <w:rPr>
                <w:rFonts w:hint="eastAsia" w:cs="Arial"/>
                <w:b/>
                <w:bCs/>
                <w:sz w:val="24"/>
              </w:rPr>
              <w:t>省</w:t>
            </w:r>
            <w:r>
              <w:rPr>
                <w:rFonts w:hint="eastAsia" w:cs="Arial"/>
                <w:b/>
                <w:bCs/>
                <w:sz w:val="24"/>
                <w:lang w:val="zh-CN"/>
              </w:rPr>
              <w:t>政府采购网》发布的为准。</w:t>
            </w:r>
          </w:p>
          <w:p>
            <w:pPr>
              <w:spacing w:line="540" w:lineRule="exact"/>
              <w:jc w:val="left"/>
              <w:rPr>
                <w:rFonts w:cs="Arial"/>
                <w:b/>
                <w:bCs/>
                <w:sz w:val="24"/>
              </w:rPr>
            </w:pPr>
            <w:r>
              <w:rPr>
                <w:rFonts w:hint="eastAsia" w:cs="Arial"/>
                <w:b/>
                <w:bCs/>
                <w:sz w:val="24"/>
              </w:rPr>
              <w:t>1、本次项目</w:t>
            </w:r>
            <w:r>
              <w:rPr>
                <w:rFonts w:hint="eastAsia" w:cs="Arial"/>
                <w:b/>
                <w:bCs/>
                <w:sz w:val="24"/>
                <w:lang w:val="en-US" w:eastAsia="zh-CN"/>
              </w:rPr>
              <w:t>招标</w:t>
            </w:r>
            <w:r>
              <w:rPr>
                <w:rFonts w:hint="eastAsia" w:cs="Arial"/>
                <w:b/>
                <w:bCs/>
                <w:sz w:val="24"/>
              </w:rPr>
              <w:t>活动采用线上进行，</w:t>
            </w:r>
            <w:r>
              <w:rPr>
                <w:rFonts w:hint="eastAsia" w:cs="Arial"/>
                <w:b/>
                <w:bCs/>
                <w:sz w:val="24"/>
                <w:lang w:val="en-US" w:eastAsia="zh-CN"/>
              </w:rPr>
              <w:t>投标人</w:t>
            </w:r>
            <w:r>
              <w:rPr>
                <w:rFonts w:hint="eastAsia" w:cs="Arial"/>
                <w:b/>
                <w:bCs/>
                <w:sz w:val="24"/>
              </w:rPr>
              <w:t>无需到现场；如非系统原因造成无法解密的或非系统原因加密文件上传不成功的或未办理CA锁而造成加密</w:t>
            </w:r>
            <w:r>
              <w:rPr>
                <w:rFonts w:hint="eastAsia" w:cs="Arial"/>
                <w:b/>
                <w:bCs/>
                <w:sz w:val="24"/>
                <w:lang w:val="en-US" w:eastAsia="zh-CN"/>
              </w:rPr>
              <w:t>投标</w:t>
            </w:r>
            <w:r>
              <w:rPr>
                <w:rFonts w:hint="eastAsia" w:cs="Arial"/>
                <w:b/>
                <w:bCs/>
                <w:sz w:val="24"/>
              </w:rPr>
              <w:t>文件无法解密、加密</w:t>
            </w:r>
            <w:r>
              <w:rPr>
                <w:rFonts w:hint="eastAsia" w:cs="Arial"/>
                <w:b/>
                <w:bCs/>
                <w:sz w:val="24"/>
                <w:lang w:val="en-US" w:eastAsia="zh-CN"/>
              </w:rPr>
              <w:t>投标</w:t>
            </w:r>
            <w:r>
              <w:rPr>
                <w:rFonts w:hint="eastAsia" w:cs="Arial"/>
                <w:b/>
                <w:bCs/>
                <w:sz w:val="24"/>
              </w:rPr>
              <w:t>文件无法上传的视为无效</w:t>
            </w:r>
            <w:r>
              <w:rPr>
                <w:rFonts w:hint="eastAsia" w:cs="Arial"/>
                <w:b/>
                <w:bCs/>
                <w:sz w:val="24"/>
                <w:lang w:val="en-US" w:eastAsia="zh-CN"/>
              </w:rPr>
              <w:t>投标</w:t>
            </w:r>
            <w:r>
              <w:rPr>
                <w:rFonts w:hint="eastAsia" w:cs="Arial"/>
                <w:b/>
                <w:bCs/>
                <w:sz w:val="24"/>
              </w:rPr>
              <w:t>文件，线上电子加密</w:t>
            </w:r>
            <w:r>
              <w:rPr>
                <w:rFonts w:hint="eastAsia" w:cs="Arial"/>
                <w:b/>
                <w:bCs/>
                <w:sz w:val="24"/>
                <w:lang w:val="en-US" w:eastAsia="zh-CN"/>
              </w:rPr>
              <w:t>投标</w:t>
            </w:r>
            <w:r>
              <w:rPr>
                <w:rFonts w:hint="eastAsia" w:cs="Arial"/>
                <w:b/>
                <w:bCs/>
                <w:sz w:val="24"/>
              </w:rPr>
              <w:t>文件必须在</w:t>
            </w:r>
            <w:r>
              <w:rPr>
                <w:rFonts w:hint="eastAsia" w:cs="Arial"/>
                <w:b/>
                <w:bCs/>
                <w:sz w:val="24"/>
                <w:lang w:val="en-US" w:eastAsia="zh-CN"/>
              </w:rPr>
              <w:t>投标</w:t>
            </w:r>
            <w:r>
              <w:rPr>
                <w:rFonts w:hint="eastAsia" w:cs="Arial"/>
                <w:b/>
                <w:bCs/>
                <w:sz w:val="24"/>
              </w:rPr>
              <w:t>文件提交截止时间前上传至政采云电子开评标系统；</w:t>
            </w:r>
          </w:p>
          <w:p>
            <w:pPr>
              <w:spacing w:line="540" w:lineRule="exact"/>
              <w:jc w:val="left"/>
              <w:rPr>
                <w:rFonts w:hint="eastAsia" w:asciiTheme="minorEastAsia" w:hAnsiTheme="minorEastAsia" w:eastAsiaTheme="minorEastAsia" w:cstheme="minorEastAsia"/>
                <w:sz w:val="24"/>
                <w:szCs w:val="24"/>
                <w:lang w:val="zh-CN"/>
              </w:rPr>
            </w:pPr>
            <w:r>
              <w:rPr>
                <w:rFonts w:hint="eastAsia" w:cs="Arial"/>
                <w:b/>
                <w:bCs/>
                <w:sz w:val="24"/>
              </w:rPr>
              <w:t>2、线上电子化开评标系统操作及办理CA锁等相关事宜请咨询政采云：咨询电话：400-881-7190；</w:t>
            </w:r>
          </w:p>
        </w:tc>
      </w:tr>
      <w:tr>
        <w:tblPrEx>
          <w:tblCellMar>
            <w:top w:w="0" w:type="dxa"/>
            <w:left w:w="108" w:type="dxa"/>
            <w:bottom w:w="0" w:type="dxa"/>
            <w:right w:w="108" w:type="dxa"/>
          </w:tblCellMar>
        </w:tblPrEx>
        <w:trPr>
          <w:trHeight w:val="821"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auto"/>
              <w:ind w:firstLine="0" w:firstLineChars="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财政监督部门及电话</w:t>
            </w:r>
          </w:p>
        </w:tc>
        <w:tc>
          <w:tcPr>
            <w:tcW w:w="673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eastAsia="宋体"/>
                <w:color w:val="auto"/>
                <w:sz w:val="24"/>
                <w:szCs w:val="24"/>
                <w:lang w:val="zh-CN"/>
              </w:rPr>
            </w:pPr>
            <w:r>
              <w:rPr>
                <w:rFonts w:hint="eastAsia" w:eastAsia="宋体"/>
                <w:color w:val="auto"/>
                <w:sz w:val="24"/>
                <w:szCs w:val="24"/>
                <w:lang w:val="zh-CN"/>
              </w:rPr>
              <w:t xml:space="preserve">监督单位：青海省财政厅  </w:t>
            </w:r>
          </w:p>
          <w:p>
            <w:pPr>
              <w:spacing w:line="360" w:lineRule="auto"/>
              <w:jc w:val="left"/>
              <w:rPr>
                <w:rFonts w:hint="eastAsia" w:asciiTheme="minorEastAsia" w:hAnsiTheme="minorEastAsia" w:eastAsiaTheme="minorEastAsia" w:cstheme="minorEastAsia"/>
                <w:sz w:val="24"/>
                <w:szCs w:val="24"/>
              </w:rPr>
            </w:pPr>
            <w:r>
              <w:rPr>
                <w:rFonts w:hint="eastAsia" w:eastAsia="宋体"/>
                <w:color w:val="auto"/>
                <w:sz w:val="24"/>
                <w:szCs w:val="24"/>
                <w:lang w:val="zh-CN"/>
              </w:rPr>
              <w:t>联系电话：</w:t>
            </w:r>
            <w:r>
              <w:rPr>
                <w:rFonts w:ascii="宋体" w:hAnsi="宋体" w:cs="宋体"/>
                <w:kern w:val="0"/>
              </w:rPr>
              <w:t>0971-</w:t>
            </w:r>
            <w:r>
              <w:rPr>
                <w:rFonts w:hint="eastAsia" w:ascii="宋体" w:hAnsi="宋体" w:cs="宋体"/>
                <w:kern w:val="0"/>
              </w:rPr>
              <w:t>3660354</w:t>
            </w:r>
          </w:p>
        </w:tc>
      </w:tr>
    </w:tbl>
    <w:p>
      <w:pPr>
        <w:pStyle w:val="32"/>
        <w:spacing w:line="360" w:lineRule="auto"/>
        <w:ind w:firstLine="0" w:firstLineChars="0"/>
        <w:rPr>
          <w:rFonts w:hint="eastAsia" w:asciiTheme="minorEastAsia" w:hAnsiTheme="minorEastAsia" w:eastAsiaTheme="minorEastAsia" w:cstheme="minorEastAsia"/>
          <w:sz w:val="24"/>
          <w:szCs w:val="24"/>
          <w:lang w:val="zh-CN"/>
        </w:rPr>
      </w:pPr>
      <w:bookmarkStart w:id="6" w:name="_Toc428180535"/>
    </w:p>
    <w:p>
      <w:pPr>
        <w:pStyle w:val="32"/>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zh-CN"/>
        </w:rPr>
        <w:t>青海中旭工程项目管理有限公司</w:t>
      </w:r>
      <w:bookmarkStart w:id="7" w:name="_Toc22084"/>
      <w:r>
        <w:rPr>
          <w:rFonts w:hint="eastAsia" w:asciiTheme="minorEastAsia" w:hAnsiTheme="minorEastAsia" w:eastAsiaTheme="minorEastAsia" w:cstheme="minorEastAsia"/>
          <w:sz w:val="24"/>
          <w:szCs w:val="24"/>
        </w:rPr>
        <w:t xml:space="preserve">                               </w:t>
      </w:r>
    </w:p>
    <w:p>
      <w:pPr>
        <w:pStyle w:val="32"/>
        <w:spacing w:line="360" w:lineRule="auto"/>
        <w:ind w:firstLine="480"/>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bookmarkStart w:id="8" w:name="_Toc5994"/>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2022年</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日</w:t>
      </w:r>
    </w:p>
    <w:p>
      <w:pPr>
        <w:pStyle w:val="32"/>
        <w:spacing w:line="360" w:lineRule="auto"/>
        <w:ind w:firstLine="480"/>
        <w:jc w:val="center"/>
        <w:outlineLvl w:val="0"/>
        <w:rPr>
          <w:rFonts w:ascii="宋体" w:hAnsi="宋体" w:cs="宋体"/>
          <w:szCs w:val="24"/>
        </w:rPr>
      </w:pPr>
    </w:p>
    <w:p>
      <w:pPr>
        <w:pStyle w:val="32"/>
        <w:spacing w:line="360" w:lineRule="auto"/>
        <w:ind w:left="0" w:leftChars="0" w:firstLine="0" w:firstLineChars="0"/>
        <w:jc w:val="center"/>
        <w:outlineLvl w:val="0"/>
        <w:rPr>
          <w:rStyle w:val="33"/>
          <w:bCs/>
        </w:rPr>
      </w:pPr>
      <w:r>
        <w:rPr>
          <w:rFonts w:hint="eastAsia" w:ascii="宋体" w:hAnsi="宋体" w:cs="宋体"/>
          <w:szCs w:val="24"/>
          <w:highlight w:val="yellow"/>
          <w:u w:val="single"/>
          <w:lang w:val="zh-CN"/>
        </w:rPr>
        <w:br w:type="page"/>
      </w:r>
      <w:bookmarkEnd w:id="6"/>
      <w:bookmarkEnd w:id="7"/>
      <w:bookmarkStart w:id="9" w:name="_Toc7182"/>
      <w:r>
        <w:rPr>
          <w:rStyle w:val="33"/>
          <w:rFonts w:hint="eastAsia"/>
          <w:bCs/>
          <w:lang w:val="zh-CN"/>
        </w:rPr>
        <w:t>第二部分 投标人须知</w:t>
      </w:r>
      <w:bookmarkEnd w:id="8"/>
      <w:bookmarkEnd w:id="9"/>
    </w:p>
    <w:p>
      <w:pPr>
        <w:pStyle w:val="2"/>
        <w:spacing w:line="360" w:lineRule="auto"/>
      </w:pPr>
      <w:bookmarkStart w:id="10" w:name="_Toc2207"/>
      <w:bookmarkStart w:id="11" w:name="_Toc14738"/>
      <w:bookmarkStart w:id="12" w:name="_Toc31887"/>
      <w:bookmarkStart w:id="13" w:name="_Toc2662"/>
      <w:bookmarkStart w:id="14" w:name="_Toc5492"/>
      <w:bookmarkStart w:id="15" w:name="_Toc759"/>
      <w:r>
        <w:rPr>
          <w:rFonts w:hint="eastAsia"/>
          <w:lang w:val="zh-CN"/>
        </w:rPr>
        <w:t>一、说明</w:t>
      </w:r>
      <w:bookmarkEnd w:id="10"/>
      <w:bookmarkEnd w:id="11"/>
      <w:bookmarkEnd w:id="12"/>
      <w:bookmarkEnd w:id="13"/>
      <w:bookmarkEnd w:id="14"/>
      <w:bookmarkEnd w:id="15"/>
    </w:p>
    <w:p>
      <w:pPr>
        <w:pStyle w:val="4"/>
        <w:spacing w:line="360" w:lineRule="auto"/>
        <w:rPr>
          <w:rFonts w:hint="default" w:cs="宋体"/>
          <w:color w:val="000000"/>
          <w:szCs w:val="30"/>
          <w:lang w:val="zh-CN"/>
        </w:rPr>
      </w:pPr>
      <w:bookmarkStart w:id="16" w:name="_Toc258"/>
      <w:bookmarkStart w:id="17" w:name="_Toc4282"/>
      <w:bookmarkStart w:id="18" w:name="_Toc15372"/>
      <w:bookmarkStart w:id="19" w:name="_Toc29145"/>
      <w:bookmarkStart w:id="20" w:name="_Toc29122"/>
      <w:bookmarkStart w:id="21" w:name="_Toc28576"/>
      <w:r>
        <w:rPr>
          <w:lang w:val="zh-CN"/>
        </w:rPr>
        <w:t>1.适用范围</w:t>
      </w:r>
      <w:bookmarkEnd w:id="16"/>
      <w:bookmarkEnd w:id="17"/>
      <w:bookmarkEnd w:id="18"/>
      <w:bookmarkEnd w:id="19"/>
      <w:bookmarkEnd w:id="20"/>
      <w:bookmarkEnd w:id="21"/>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4"/>
        <w:spacing w:line="360" w:lineRule="auto"/>
        <w:rPr>
          <w:rFonts w:hint="default"/>
          <w:lang w:val="zh-CN"/>
        </w:rPr>
      </w:pPr>
      <w:bookmarkStart w:id="22" w:name="_Toc18506"/>
      <w:bookmarkStart w:id="23" w:name="_Toc12127"/>
      <w:bookmarkStart w:id="24" w:name="_Toc31168"/>
      <w:bookmarkStart w:id="25" w:name="_Toc26662"/>
      <w:bookmarkStart w:id="26" w:name="_Toc4255"/>
      <w:bookmarkStart w:id="27" w:name="_Toc25032"/>
      <w:r>
        <w:rPr>
          <w:lang w:val="zh-CN"/>
        </w:rPr>
        <w:t>2.采购方式、合格的</w:t>
      </w:r>
      <w:bookmarkEnd w:id="22"/>
      <w:bookmarkEnd w:id="23"/>
      <w:bookmarkEnd w:id="24"/>
      <w:bookmarkEnd w:id="25"/>
      <w:bookmarkEnd w:id="26"/>
      <w:r>
        <w:rPr>
          <w:lang w:val="zh-CN"/>
        </w:rPr>
        <w:t>投标人</w:t>
      </w:r>
      <w:bookmarkEnd w:id="27"/>
    </w:p>
    <w:p>
      <w:pPr>
        <w:autoSpaceDE w:val="0"/>
        <w:autoSpaceDN w:val="0"/>
        <w:spacing w:line="360" w:lineRule="auto"/>
        <w:ind w:firstLine="360" w:firstLineChars="150"/>
        <w:rPr>
          <w:rFonts w:ascii="宋体" w:hAnsi="宋体" w:cs="宋体"/>
          <w:b/>
          <w:bCs/>
          <w:color w:val="000000"/>
          <w:kern w:val="0"/>
          <w:lang w:val="zh-CN"/>
        </w:rPr>
      </w:pPr>
      <w:bookmarkStart w:id="28" w:name="_Toc27564_WPSOffice_Level3"/>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bookmarkEnd w:id="28"/>
    </w:p>
    <w:p>
      <w:pPr>
        <w:autoSpaceDE w:val="0"/>
        <w:autoSpaceDN w:val="0"/>
        <w:spacing w:line="360" w:lineRule="auto"/>
        <w:ind w:firstLine="360" w:firstLineChars="150"/>
        <w:rPr>
          <w:rFonts w:ascii="宋体" w:hAnsi="宋体" w:cs="宋体"/>
          <w:color w:val="000000"/>
          <w:kern w:val="0"/>
          <w:lang w:val="zh-CN"/>
        </w:rPr>
      </w:pPr>
      <w:bookmarkStart w:id="29" w:name="_Toc11150_WPSOffice_Level3"/>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“各包</w:t>
      </w:r>
      <w:r>
        <w:rPr>
          <w:rFonts w:hint="eastAsia" w:ascii="宋体" w:hAnsi="宋体" w:cs="宋体"/>
          <w:color w:val="000000"/>
          <w:kern w:val="0"/>
          <w:lang w:val="zh-CN"/>
        </w:rPr>
        <w:t>投标人资格要求</w:t>
      </w:r>
      <w:r>
        <w:rPr>
          <w:rFonts w:hint="eastAsia" w:ascii="宋体" w:hAnsi="宋体" w:cs="宋体"/>
          <w:color w:val="000000"/>
          <w:kern w:val="0"/>
        </w:rPr>
        <w:t>”。</w:t>
      </w:r>
      <w:bookmarkEnd w:id="29"/>
    </w:p>
    <w:p>
      <w:pPr>
        <w:pStyle w:val="4"/>
        <w:spacing w:line="360" w:lineRule="auto"/>
        <w:rPr>
          <w:lang w:val="zh-CN"/>
        </w:rPr>
      </w:pPr>
      <w:bookmarkStart w:id="30" w:name="_Toc6100"/>
      <w:bookmarkStart w:id="31" w:name="_Toc8349"/>
      <w:bookmarkStart w:id="32" w:name="_Toc13719"/>
      <w:bookmarkStart w:id="33" w:name="_Toc31851"/>
      <w:bookmarkStart w:id="34" w:name="_Toc22175"/>
      <w:bookmarkStart w:id="35" w:name="_Toc29581"/>
      <w:r>
        <w:rPr>
          <w:lang w:val="zh-CN"/>
        </w:rPr>
        <w:t>3.投标费用</w:t>
      </w:r>
      <w:bookmarkEnd w:id="30"/>
      <w:bookmarkEnd w:id="31"/>
      <w:bookmarkEnd w:id="32"/>
      <w:bookmarkEnd w:id="33"/>
      <w:bookmarkEnd w:id="34"/>
      <w:bookmarkEnd w:id="3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w:t>
      </w:r>
    </w:p>
    <w:p>
      <w:pPr>
        <w:pStyle w:val="2"/>
        <w:spacing w:line="360" w:lineRule="auto"/>
      </w:pPr>
      <w:bookmarkStart w:id="36" w:name="_Toc307"/>
      <w:bookmarkStart w:id="37" w:name="_Toc25735"/>
      <w:bookmarkStart w:id="38" w:name="_Toc9950"/>
      <w:bookmarkStart w:id="39" w:name="_Toc1638"/>
      <w:bookmarkStart w:id="40" w:name="_Toc30496"/>
      <w:bookmarkStart w:id="41" w:name="_Toc17371"/>
      <w:r>
        <w:rPr>
          <w:rFonts w:hint="eastAsia"/>
          <w:lang w:val="zh-CN"/>
        </w:rPr>
        <w:t>二、招标文件说明</w:t>
      </w:r>
      <w:bookmarkEnd w:id="36"/>
      <w:bookmarkEnd w:id="37"/>
      <w:bookmarkEnd w:id="38"/>
      <w:bookmarkEnd w:id="39"/>
      <w:bookmarkEnd w:id="40"/>
      <w:bookmarkEnd w:id="41"/>
    </w:p>
    <w:p>
      <w:pPr>
        <w:pStyle w:val="4"/>
        <w:spacing w:line="360" w:lineRule="auto"/>
        <w:rPr>
          <w:rFonts w:hint="default"/>
          <w:lang w:val="zh-CN"/>
        </w:rPr>
      </w:pPr>
      <w:bookmarkStart w:id="42" w:name="_Toc25474"/>
      <w:bookmarkStart w:id="43" w:name="_Toc26240"/>
      <w:bookmarkStart w:id="44" w:name="_Toc19180"/>
      <w:bookmarkStart w:id="45" w:name="_Toc2581"/>
      <w:bookmarkStart w:id="46" w:name="_Toc2641"/>
      <w:bookmarkStart w:id="47" w:name="_Toc12013"/>
      <w:r>
        <w:rPr>
          <w:lang w:val="zh-CN"/>
        </w:rPr>
        <w:t>4.招标文件的构成</w:t>
      </w:r>
      <w:bookmarkEnd w:id="42"/>
      <w:bookmarkEnd w:id="43"/>
      <w:bookmarkEnd w:id="44"/>
      <w:bookmarkEnd w:id="45"/>
      <w:bookmarkEnd w:id="46"/>
      <w:bookmarkEnd w:id="47"/>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autoSpaceDE w:val="0"/>
        <w:autoSpaceDN w:val="0"/>
        <w:spacing w:line="360" w:lineRule="auto"/>
        <w:ind w:firstLine="480" w:firstLineChars="200"/>
        <w:rPr>
          <w:rFonts w:ascii="宋体" w:hAnsi="宋体" w:cs="宋体"/>
          <w:color w:val="000000"/>
          <w:kern w:val="0"/>
          <w:lang w:val="zh-CN"/>
        </w:rPr>
      </w:pPr>
      <w:bookmarkStart w:id="48" w:name="_Toc13587_WPSOffice_Level3"/>
      <w:r>
        <w:rPr>
          <w:rFonts w:hint="eastAsia" w:ascii="宋体" w:hAnsi="宋体" w:cs="宋体"/>
          <w:color w:val="000000"/>
          <w:kern w:val="0"/>
          <w:lang w:val="zh-CN"/>
        </w:rPr>
        <w:t>（1）</w:t>
      </w:r>
      <w:bookmarkEnd w:id="48"/>
      <w:r>
        <w:rPr>
          <w:rFonts w:hint="eastAsia" w:ascii="宋体" w:hAnsi="宋体" w:cs="宋体"/>
          <w:color w:val="000000"/>
          <w:kern w:val="0"/>
          <w:lang w:val="zh-CN"/>
        </w:rPr>
        <w:t>招标公告</w:t>
      </w:r>
    </w:p>
    <w:p>
      <w:pPr>
        <w:autoSpaceDE w:val="0"/>
        <w:autoSpaceDN w:val="0"/>
        <w:spacing w:line="360" w:lineRule="auto"/>
        <w:ind w:firstLine="480" w:firstLineChars="200"/>
        <w:rPr>
          <w:rFonts w:ascii="宋体" w:hAnsi="宋体" w:cs="宋体"/>
          <w:color w:val="000000"/>
          <w:kern w:val="0"/>
          <w:lang w:val="zh-CN"/>
        </w:rPr>
      </w:pPr>
      <w:bookmarkStart w:id="49" w:name="_Toc21875_WPSOffice_Level3"/>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bookmarkEnd w:id="49"/>
    </w:p>
    <w:p>
      <w:pPr>
        <w:autoSpaceDE w:val="0"/>
        <w:autoSpaceDN w:val="0"/>
        <w:spacing w:line="360" w:lineRule="auto"/>
        <w:ind w:firstLine="480" w:firstLineChars="200"/>
        <w:rPr>
          <w:rFonts w:ascii="宋体" w:hAnsi="宋体" w:cs="宋体"/>
          <w:color w:val="000000"/>
          <w:kern w:val="0"/>
          <w:lang w:val="zh-CN"/>
        </w:rPr>
      </w:pPr>
      <w:bookmarkStart w:id="50" w:name="_Toc13369_WPSOffice_Level3"/>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bookmarkEnd w:id="50"/>
    </w:p>
    <w:p>
      <w:pPr>
        <w:autoSpaceDE w:val="0"/>
        <w:autoSpaceDN w:val="0"/>
        <w:spacing w:line="360" w:lineRule="auto"/>
        <w:ind w:firstLine="480" w:firstLineChars="200"/>
        <w:rPr>
          <w:rFonts w:ascii="宋体" w:hAnsi="宋体" w:cs="宋体"/>
          <w:color w:val="000000"/>
          <w:kern w:val="0"/>
          <w:lang w:val="zh-CN"/>
        </w:rPr>
      </w:pPr>
      <w:bookmarkStart w:id="51" w:name="_Toc13347_WPSOffice_Level3"/>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bookmarkEnd w:id="51"/>
    </w:p>
    <w:p>
      <w:pPr>
        <w:autoSpaceDE w:val="0"/>
        <w:autoSpaceDN w:val="0"/>
        <w:spacing w:line="360" w:lineRule="auto"/>
        <w:ind w:firstLine="480" w:firstLineChars="200"/>
        <w:rPr>
          <w:rFonts w:ascii="宋体" w:hAnsi="宋体" w:cs="宋体"/>
          <w:color w:val="000000"/>
          <w:kern w:val="0"/>
          <w:lang w:val="zh-CN"/>
        </w:rPr>
      </w:pPr>
      <w:bookmarkStart w:id="52" w:name="_Toc3038_WPSOffice_Level3"/>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bookmarkEnd w:id="52"/>
    </w:p>
    <w:p>
      <w:pPr>
        <w:autoSpaceDE w:val="0"/>
        <w:autoSpaceDN w:val="0"/>
        <w:spacing w:line="360" w:lineRule="auto"/>
        <w:ind w:firstLine="480" w:firstLineChars="200"/>
        <w:rPr>
          <w:rFonts w:ascii="宋体" w:hAnsi="宋体" w:cs="宋体"/>
          <w:color w:val="000000"/>
          <w:kern w:val="0"/>
          <w:lang w:val="zh-CN"/>
        </w:rPr>
      </w:pPr>
      <w:bookmarkStart w:id="53" w:name="_Toc14774_WPSOffice_Level3"/>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bookmarkEnd w:id="5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4.2投标人</w:t>
      </w:r>
      <w:r>
        <w:rPr>
          <w:rFonts w:hint="eastAsia" w:ascii="宋体" w:hAnsi="宋体" w:cs="宋体"/>
          <w:kern w:val="0"/>
        </w:rPr>
        <w:t>应当按照招标文件的要求编制投标文件。投标文件应当对招标文件提出的要求和条件作出明确响应。</w:t>
      </w:r>
    </w:p>
    <w:p>
      <w:pPr>
        <w:pStyle w:val="4"/>
        <w:spacing w:line="360" w:lineRule="auto"/>
        <w:rPr>
          <w:rFonts w:hint="default"/>
          <w:lang w:val="zh-CN"/>
        </w:rPr>
      </w:pPr>
      <w:bookmarkStart w:id="54" w:name="_Toc8024"/>
      <w:bookmarkStart w:id="55" w:name="_Toc11751"/>
      <w:bookmarkStart w:id="56" w:name="_Toc29811"/>
      <w:bookmarkStart w:id="57" w:name="_Toc12032"/>
      <w:bookmarkStart w:id="58" w:name="_Toc2324"/>
      <w:bookmarkStart w:id="59" w:name="_Toc19331"/>
      <w:r>
        <w:rPr>
          <w:lang w:val="zh-CN"/>
        </w:rPr>
        <w:t>5.招标文件、采购活动和中标结果的质疑</w:t>
      </w:r>
      <w:bookmarkEnd w:id="54"/>
      <w:bookmarkEnd w:id="55"/>
      <w:bookmarkEnd w:id="56"/>
      <w:bookmarkEnd w:id="57"/>
      <w:bookmarkEnd w:id="58"/>
      <w:bookmarkEnd w:id="59"/>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color w:val="000000"/>
        </w:rPr>
        <w:t>潜在投标人已依法获取其可质疑的采购文件的，可以对该文件提出质疑，对采购文件提出质疑的，应当在获取采购文件或者采购文件公告期限届满之日起7个工作日内提出</w:t>
      </w:r>
      <w:r>
        <w:rPr>
          <w:rFonts w:hint="eastAsia" w:ascii="宋体" w:hAnsi="宋体" w:cs="宋体"/>
          <w:color w:val="000000"/>
          <w:kern w:val="0"/>
        </w:rPr>
        <w:t>。</w:t>
      </w:r>
      <w:r>
        <w:rPr>
          <w:rFonts w:hint="eastAsia" w:ascii="宋体" w:hAnsi="宋体" w:cs="宋体"/>
          <w:color w:val="000000"/>
        </w:rPr>
        <w:t>投标人须在法定质疑期内一次性提出针对同一采购程序环节的质疑。</w:t>
      </w:r>
      <w:r>
        <w:rPr>
          <w:rFonts w:hint="eastAsia" w:ascii="宋体" w:hAnsi="宋体" w:cs="宋体"/>
          <w:color w:val="000000"/>
          <w:kern w:val="0"/>
          <w:lang w:val="zh-CN"/>
        </w:rPr>
        <w:t>采购人或采购代理机构在收到书面</w:t>
      </w:r>
      <w:r>
        <w:rPr>
          <w:rFonts w:hint="eastAsia" w:ascii="宋体" w:hAnsi="宋体" w:cs="宋体"/>
          <w:color w:val="000000"/>
        </w:rPr>
        <w:t>质疑函后7个工作日内作出答复</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4"/>
        <w:spacing w:line="360" w:lineRule="auto"/>
        <w:rPr>
          <w:rFonts w:hint="default"/>
          <w:lang w:val="zh-CN"/>
        </w:rPr>
      </w:pPr>
      <w:bookmarkStart w:id="60" w:name="_Toc31363"/>
      <w:bookmarkStart w:id="61" w:name="_Toc24258"/>
      <w:bookmarkStart w:id="62" w:name="_Toc25769"/>
      <w:bookmarkStart w:id="63" w:name="_Toc7858"/>
      <w:bookmarkStart w:id="64" w:name="_Toc27634"/>
      <w:bookmarkStart w:id="65" w:name="_Toc25959"/>
      <w:r>
        <w:rPr>
          <w:lang w:val="zh-CN"/>
        </w:rPr>
        <w:t>6.招标文件的澄清或修改</w:t>
      </w:r>
      <w:bookmarkEnd w:id="60"/>
      <w:bookmarkEnd w:id="61"/>
      <w:bookmarkEnd w:id="62"/>
      <w:bookmarkEnd w:id="63"/>
      <w:bookmarkEnd w:id="64"/>
      <w:bookmarkEnd w:id="6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color w:val="000000"/>
          <w:kern w:val="0"/>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；不足15日的，采购人或者采购代理机构应当顺延提交投标文件的截止时间。</w:t>
      </w:r>
    </w:p>
    <w:p>
      <w:pPr>
        <w:pStyle w:val="2"/>
        <w:spacing w:line="360" w:lineRule="auto"/>
      </w:pPr>
      <w:bookmarkStart w:id="66" w:name="_Toc2850"/>
      <w:bookmarkStart w:id="67" w:name="_Toc2227"/>
      <w:bookmarkStart w:id="68" w:name="_Toc13003"/>
      <w:bookmarkStart w:id="69" w:name="_Toc26775"/>
      <w:bookmarkStart w:id="70" w:name="_Toc4286"/>
      <w:bookmarkStart w:id="71" w:name="_Toc10881"/>
      <w:r>
        <w:rPr>
          <w:rFonts w:hint="eastAsia"/>
          <w:lang w:val="zh-CN"/>
        </w:rPr>
        <w:t>三、投标文件的编制</w:t>
      </w:r>
      <w:bookmarkEnd w:id="66"/>
      <w:bookmarkEnd w:id="67"/>
      <w:bookmarkEnd w:id="68"/>
      <w:bookmarkEnd w:id="69"/>
      <w:bookmarkEnd w:id="70"/>
      <w:bookmarkEnd w:id="71"/>
    </w:p>
    <w:p>
      <w:pPr>
        <w:pStyle w:val="4"/>
        <w:spacing w:line="360" w:lineRule="auto"/>
        <w:rPr>
          <w:rFonts w:hint="default"/>
          <w:lang w:val="zh-CN"/>
        </w:rPr>
      </w:pPr>
      <w:bookmarkStart w:id="72" w:name="_Toc22487"/>
      <w:bookmarkStart w:id="73" w:name="_Toc1448"/>
      <w:bookmarkStart w:id="74" w:name="_Toc21426"/>
      <w:bookmarkStart w:id="75" w:name="_Toc17665"/>
      <w:bookmarkStart w:id="76" w:name="_Toc3292"/>
      <w:bookmarkStart w:id="77" w:name="_Toc15541"/>
      <w:r>
        <w:rPr>
          <w:lang w:val="zh-CN"/>
        </w:rPr>
        <w:t>7.投标文件的语言及度量衡单位</w:t>
      </w:r>
      <w:bookmarkEnd w:id="72"/>
      <w:bookmarkEnd w:id="73"/>
      <w:bookmarkEnd w:id="74"/>
      <w:bookmarkEnd w:id="75"/>
      <w:bookmarkEnd w:id="76"/>
      <w:bookmarkEnd w:id="7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投标人</w:t>
      </w:r>
      <w:r>
        <w:rPr>
          <w:rFonts w:hint="eastAsia" w:ascii="宋体" w:hAnsi="宋体" w:cs="宋体"/>
          <w:color w:val="000000"/>
          <w:kern w:val="0"/>
          <w:lang w:val="zh-CN"/>
        </w:rPr>
        <w:t>提交的投标文件以及投标人与采购人或者采购代理机构就此投标发生的所有来往函电均应使用简体中文。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4"/>
        <w:spacing w:line="360" w:lineRule="auto"/>
        <w:rPr>
          <w:rFonts w:hint="default"/>
          <w:lang w:val="zh-CN"/>
        </w:rPr>
      </w:pPr>
      <w:bookmarkStart w:id="78" w:name="_Toc13056"/>
      <w:bookmarkStart w:id="79" w:name="_Toc1933"/>
      <w:bookmarkStart w:id="80" w:name="_Toc30089"/>
      <w:bookmarkStart w:id="81" w:name="_Toc31919"/>
      <w:bookmarkStart w:id="82" w:name="_Toc8733"/>
      <w:bookmarkStart w:id="83" w:name="_Toc1407"/>
      <w:r>
        <w:rPr>
          <w:lang w:val="zh-CN"/>
        </w:rPr>
        <w:t>8.投标报价及币种</w:t>
      </w:r>
      <w:bookmarkEnd w:id="78"/>
      <w:bookmarkEnd w:id="79"/>
      <w:bookmarkEnd w:id="80"/>
      <w:bookmarkEnd w:id="81"/>
      <w:bookmarkEnd w:id="82"/>
      <w:bookmarkEnd w:id="83"/>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w:t>
      </w:r>
      <w:r>
        <w:rPr>
          <w:rFonts w:hint="eastAsia" w:ascii="宋体" w:hAnsi="宋体" w:cs="宋体"/>
          <w:color w:val="000000"/>
          <w:kern w:val="0"/>
          <w:lang w:val="en-US" w:eastAsia="zh-CN"/>
        </w:rPr>
        <w:t>报价</w:t>
      </w:r>
      <w:r>
        <w:rPr>
          <w:rFonts w:hint="eastAsia" w:ascii="宋体" w:hAnsi="宋体" w:cs="宋体"/>
          <w:color w:val="000000"/>
          <w:kern w:val="0"/>
          <w:lang w:val="zh-CN"/>
        </w:rPr>
        <w:t>包括：产品费、验收费、手续费、包装费、装卸费、运输费、安装调试费、保险费、售前、售中、售后服务费、税金及不可预见费等全部费用。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4"/>
        <w:spacing w:line="360" w:lineRule="auto"/>
        <w:rPr>
          <w:rFonts w:hint="default"/>
          <w:lang w:val="zh-CN"/>
        </w:rPr>
      </w:pPr>
      <w:bookmarkStart w:id="84" w:name="_Toc9665"/>
      <w:bookmarkStart w:id="85" w:name="_Toc4204"/>
      <w:bookmarkStart w:id="86" w:name="_Toc20883"/>
      <w:bookmarkStart w:id="87" w:name="_Toc6793"/>
      <w:bookmarkStart w:id="88" w:name="_Toc2089"/>
      <w:bookmarkStart w:id="89" w:name="_Toc11447"/>
      <w:r>
        <w:rPr>
          <w:lang w:val="zh-CN"/>
        </w:rPr>
        <w:t>9.投标保证金</w:t>
      </w:r>
      <w:bookmarkEnd w:id="84"/>
      <w:bookmarkEnd w:id="85"/>
      <w:bookmarkEnd w:id="86"/>
      <w:bookmarkEnd w:id="87"/>
      <w:bookmarkEnd w:id="88"/>
      <w:bookmarkEnd w:id="89"/>
    </w:p>
    <w:p>
      <w:pPr>
        <w:autoSpaceDE w:val="0"/>
        <w:autoSpaceDN w:val="0"/>
        <w:spacing w:line="360" w:lineRule="auto"/>
        <w:ind w:firstLine="480" w:firstLineChars="200"/>
        <w:rPr>
          <w:rFonts w:ascii="宋体" w:hAnsi="宋体" w:cs="宋体"/>
          <w:kern w:val="0"/>
          <w:lang w:val="zh-CN"/>
        </w:rPr>
      </w:pPr>
      <w:r>
        <w:rPr>
          <w:rFonts w:hint="eastAsia" w:ascii="宋体" w:hAnsi="宋体" w:cs="宋体"/>
          <w:color w:val="000000"/>
          <w:kern w:val="0"/>
          <w:lang w:val="zh-CN"/>
        </w:rPr>
        <w:t>9.1投标人须在投</w:t>
      </w:r>
      <w:r>
        <w:rPr>
          <w:rFonts w:hint="eastAsia" w:ascii="宋体" w:hAnsi="宋体" w:cs="宋体"/>
          <w:kern w:val="0"/>
          <w:lang w:val="zh-CN"/>
        </w:rPr>
        <w:t>标截止期前按以下要求交纳投标保证金：</w:t>
      </w:r>
    </w:p>
    <w:p>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投标保证金：</w:t>
      </w:r>
    </w:p>
    <w:p>
      <w:pPr>
        <w:autoSpaceDE w:val="0"/>
        <w:autoSpaceDN w:val="0"/>
        <w:spacing w:line="360" w:lineRule="auto"/>
        <w:ind w:firstLine="1205" w:firstLineChars="500"/>
        <w:rPr>
          <w:rFonts w:ascii="宋体" w:hAnsi="宋体" w:cs="宋体"/>
          <w:b/>
          <w:bCs/>
          <w:kern w:val="0"/>
        </w:rPr>
      </w:pPr>
      <w:r>
        <w:rPr>
          <w:rFonts w:hint="eastAsia" w:ascii="宋体" w:hAnsi="宋体" w:cs="宋体"/>
          <w:b/>
          <w:bCs/>
          <w:kern w:val="0"/>
        </w:rPr>
        <w:t xml:space="preserve">包1： </w:t>
      </w:r>
      <w:r>
        <w:rPr>
          <w:rFonts w:hint="eastAsia" w:ascii="宋体" w:hAnsi="宋体" w:cs="宋体"/>
          <w:b/>
          <w:bCs/>
          <w:kern w:val="0"/>
          <w:lang w:val="zh-CN"/>
        </w:rPr>
        <w:t>大写：</w:t>
      </w:r>
      <w:r>
        <w:rPr>
          <w:rFonts w:hint="eastAsia" w:ascii="宋体" w:hAnsi="宋体" w:cs="宋体"/>
          <w:b/>
          <w:bCs/>
          <w:kern w:val="0"/>
          <w:lang w:val="en-US" w:eastAsia="zh-CN"/>
        </w:rPr>
        <w:t>捌万伍仟</w:t>
      </w:r>
      <w:r>
        <w:rPr>
          <w:rFonts w:hint="eastAsia" w:ascii="宋体" w:hAnsi="宋体" w:cs="宋体"/>
          <w:b/>
          <w:bCs/>
          <w:kern w:val="0"/>
        </w:rPr>
        <w:t>元整</w:t>
      </w:r>
      <w:r>
        <w:rPr>
          <w:rFonts w:hint="eastAsia" w:ascii="宋体" w:hAnsi="宋体" w:cs="宋体"/>
          <w:b/>
          <w:bCs/>
          <w:kern w:val="0"/>
          <w:lang w:val="zh-CN"/>
        </w:rPr>
        <w:t>；</w:t>
      </w:r>
      <w:r>
        <w:rPr>
          <w:rFonts w:hint="eastAsia" w:ascii="宋体" w:hAnsi="宋体" w:cs="宋体"/>
          <w:b/>
          <w:bCs/>
          <w:kern w:val="0"/>
        </w:rPr>
        <w:t xml:space="preserve">      </w:t>
      </w:r>
    </w:p>
    <w:p>
      <w:pPr>
        <w:autoSpaceDE w:val="0"/>
        <w:autoSpaceDN w:val="0"/>
        <w:spacing w:line="360" w:lineRule="auto"/>
        <w:ind w:firstLine="1928" w:firstLineChars="800"/>
        <w:rPr>
          <w:rFonts w:ascii="宋体" w:hAnsi="宋体" w:cs="宋体"/>
          <w:b/>
          <w:bCs/>
          <w:kern w:val="0"/>
        </w:rPr>
      </w:pPr>
      <w:r>
        <w:rPr>
          <w:rFonts w:hint="eastAsia" w:ascii="宋体" w:hAnsi="宋体" w:cs="宋体"/>
          <w:b/>
          <w:bCs/>
          <w:kern w:val="0"/>
          <w:lang w:val="zh-CN"/>
        </w:rPr>
        <w:t>小写</w:t>
      </w:r>
      <w:r>
        <w:rPr>
          <w:rFonts w:hint="eastAsia" w:ascii="宋体" w:hAnsi="宋体" w:cs="宋体"/>
          <w:b/>
          <w:bCs/>
          <w:kern w:val="0"/>
        </w:rPr>
        <w:t>：¥</w:t>
      </w:r>
      <w:r>
        <w:rPr>
          <w:rFonts w:hint="eastAsia" w:ascii="宋体" w:hAnsi="宋体" w:cs="宋体"/>
          <w:b/>
          <w:bCs/>
          <w:kern w:val="0"/>
          <w:lang w:val="en-US" w:eastAsia="zh-CN"/>
        </w:rPr>
        <w:t>85000</w:t>
      </w:r>
      <w:r>
        <w:rPr>
          <w:rFonts w:hint="eastAsia" w:ascii="宋体" w:hAnsi="宋体" w:cs="宋体"/>
          <w:b/>
          <w:bCs/>
          <w:kern w:val="0"/>
        </w:rPr>
        <w:t>.00元</w:t>
      </w:r>
      <w:r>
        <w:rPr>
          <w:rFonts w:hint="eastAsia" w:ascii="宋体" w:hAnsi="宋体" w:cs="宋体"/>
          <w:b/>
          <w:bCs/>
          <w:kern w:val="0"/>
          <w:lang w:val="zh-CN"/>
        </w:rPr>
        <w:t>；</w:t>
      </w:r>
    </w:p>
    <w:p>
      <w:pPr>
        <w:autoSpaceDE w:val="0"/>
        <w:autoSpaceDN w:val="0"/>
        <w:spacing w:line="360" w:lineRule="auto"/>
        <w:ind w:firstLine="1205" w:firstLineChars="500"/>
        <w:rPr>
          <w:rFonts w:ascii="宋体" w:hAnsi="宋体" w:cs="宋体"/>
          <w:b/>
          <w:bCs/>
          <w:kern w:val="0"/>
        </w:rPr>
      </w:pPr>
    </w:p>
    <w:p>
      <w:pPr>
        <w:autoSpaceDE w:val="0"/>
        <w:autoSpaceDN w:val="0"/>
        <w:spacing w:line="360" w:lineRule="auto"/>
        <w:ind w:firstLine="1205" w:firstLineChars="500"/>
        <w:rPr>
          <w:rFonts w:ascii="宋体" w:hAnsi="宋体" w:cs="宋体"/>
          <w:b/>
          <w:bCs/>
          <w:kern w:val="0"/>
        </w:rPr>
      </w:pPr>
      <w:r>
        <w:rPr>
          <w:rFonts w:hint="eastAsia" w:ascii="宋体" w:hAnsi="宋体" w:cs="宋体"/>
          <w:b/>
          <w:bCs/>
          <w:kern w:val="0"/>
        </w:rPr>
        <w:t xml:space="preserve">包2： </w:t>
      </w:r>
      <w:r>
        <w:rPr>
          <w:rFonts w:hint="eastAsia" w:ascii="宋体" w:hAnsi="宋体" w:cs="宋体"/>
          <w:b/>
          <w:bCs/>
          <w:kern w:val="0"/>
          <w:lang w:val="zh-CN"/>
        </w:rPr>
        <w:t>大写：</w:t>
      </w:r>
      <w:r>
        <w:rPr>
          <w:rFonts w:hint="eastAsia" w:ascii="宋体" w:hAnsi="宋体" w:cs="宋体"/>
          <w:b/>
          <w:bCs/>
          <w:kern w:val="0"/>
          <w:lang w:val="en-US" w:eastAsia="zh-CN"/>
        </w:rPr>
        <w:t>贰万捌仟柒佰</w:t>
      </w:r>
      <w:r>
        <w:rPr>
          <w:rFonts w:hint="eastAsia" w:ascii="宋体" w:hAnsi="宋体" w:cs="宋体"/>
          <w:b/>
          <w:bCs/>
          <w:kern w:val="0"/>
        </w:rPr>
        <w:t>元整</w:t>
      </w:r>
      <w:r>
        <w:rPr>
          <w:rFonts w:hint="eastAsia" w:ascii="宋体" w:hAnsi="宋体" w:cs="宋体"/>
          <w:b/>
          <w:bCs/>
          <w:kern w:val="0"/>
          <w:lang w:val="zh-CN"/>
        </w:rPr>
        <w:t>；</w:t>
      </w:r>
      <w:r>
        <w:rPr>
          <w:rFonts w:hint="eastAsia" w:ascii="宋体" w:hAnsi="宋体" w:cs="宋体"/>
          <w:b/>
          <w:bCs/>
          <w:kern w:val="0"/>
        </w:rPr>
        <w:t xml:space="preserve">      </w:t>
      </w:r>
    </w:p>
    <w:p>
      <w:pPr>
        <w:autoSpaceDE w:val="0"/>
        <w:autoSpaceDN w:val="0"/>
        <w:spacing w:line="360" w:lineRule="auto"/>
        <w:ind w:firstLine="1928" w:firstLineChars="800"/>
        <w:rPr>
          <w:rFonts w:ascii="宋体" w:hAnsi="宋体" w:cs="宋体"/>
          <w:b/>
          <w:bCs/>
          <w:kern w:val="0"/>
        </w:rPr>
      </w:pPr>
      <w:r>
        <w:rPr>
          <w:rFonts w:hint="eastAsia" w:ascii="宋体" w:hAnsi="宋体" w:cs="宋体"/>
          <w:b/>
          <w:bCs/>
          <w:kern w:val="0"/>
          <w:lang w:val="zh-CN"/>
        </w:rPr>
        <w:t>小写</w:t>
      </w:r>
      <w:r>
        <w:rPr>
          <w:rFonts w:hint="eastAsia" w:ascii="宋体" w:hAnsi="宋体" w:cs="宋体"/>
          <w:b/>
          <w:bCs/>
          <w:kern w:val="0"/>
        </w:rPr>
        <w:t>：¥</w:t>
      </w:r>
      <w:r>
        <w:rPr>
          <w:rFonts w:hint="eastAsia" w:ascii="宋体" w:hAnsi="宋体" w:cs="宋体"/>
          <w:b/>
          <w:bCs/>
          <w:kern w:val="0"/>
          <w:lang w:val="en-US" w:eastAsia="zh-CN"/>
        </w:rPr>
        <w:t>28700</w:t>
      </w:r>
      <w:r>
        <w:rPr>
          <w:rFonts w:hint="eastAsia" w:ascii="宋体" w:hAnsi="宋体" w:cs="宋体"/>
          <w:b/>
          <w:bCs/>
          <w:kern w:val="0"/>
        </w:rPr>
        <w:t>.00元</w:t>
      </w:r>
    </w:p>
    <w:p>
      <w:pPr>
        <w:autoSpaceDE w:val="0"/>
        <w:autoSpaceDN w:val="0"/>
        <w:spacing w:line="360" w:lineRule="auto"/>
        <w:ind w:firstLine="1205" w:firstLineChars="500"/>
        <w:rPr>
          <w:rFonts w:ascii="宋体" w:hAnsi="宋体" w:cs="宋体"/>
          <w:b/>
          <w:bCs/>
          <w:kern w:val="0"/>
        </w:rPr>
      </w:pPr>
    </w:p>
    <w:p>
      <w:pPr>
        <w:autoSpaceDE w:val="0"/>
        <w:autoSpaceDN w:val="0"/>
        <w:spacing w:line="360" w:lineRule="auto"/>
        <w:ind w:firstLine="1205" w:firstLineChars="500"/>
        <w:rPr>
          <w:rFonts w:ascii="宋体" w:hAnsi="宋体" w:cs="宋体"/>
          <w:b/>
          <w:bCs/>
          <w:kern w:val="0"/>
        </w:rPr>
      </w:pPr>
      <w:r>
        <w:rPr>
          <w:rFonts w:hint="eastAsia" w:ascii="宋体" w:hAnsi="宋体" w:cs="宋体"/>
          <w:b/>
          <w:bCs/>
          <w:kern w:val="0"/>
        </w:rPr>
        <w:t xml:space="preserve">包3： </w:t>
      </w:r>
      <w:r>
        <w:rPr>
          <w:rFonts w:hint="eastAsia" w:ascii="宋体" w:hAnsi="宋体" w:cs="宋体"/>
          <w:b/>
          <w:bCs/>
          <w:kern w:val="0"/>
          <w:lang w:val="zh-CN"/>
        </w:rPr>
        <w:t>大写：</w:t>
      </w:r>
      <w:r>
        <w:rPr>
          <w:rFonts w:hint="eastAsia" w:ascii="宋体" w:hAnsi="宋体" w:cs="宋体"/>
          <w:b/>
          <w:bCs/>
          <w:kern w:val="0"/>
          <w:lang w:val="en-US" w:eastAsia="zh-CN"/>
        </w:rPr>
        <w:t>贰万捌仟伍佰</w:t>
      </w:r>
      <w:r>
        <w:rPr>
          <w:rFonts w:hint="eastAsia" w:ascii="宋体" w:hAnsi="宋体" w:cs="宋体"/>
          <w:b/>
          <w:bCs/>
          <w:kern w:val="0"/>
        </w:rPr>
        <w:t>元整</w:t>
      </w:r>
      <w:r>
        <w:rPr>
          <w:rFonts w:hint="eastAsia" w:ascii="宋体" w:hAnsi="宋体" w:cs="宋体"/>
          <w:b/>
          <w:bCs/>
          <w:kern w:val="0"/>
          <w:lang w:val="zh-CN"/>
        </w:rPr>
        <w:t>；</w:t>
      </w:r>
      <w:r>
        <w:rPr>
          <w:rFonts w:hint="eastAsia" w:ascii="宋体" w:hAnsi="宋体" w:cs="宋体"/>
          <w:b/>
          <w:bCs/>
          <w:kern w:val="0"/>
        </w:rPr>
        <w:t xml:space="preserve">      </w:t>
      </w:r>
    </w:p>
    <w:p>
      <w:pPr>
        <w:autoSpaceDE w:val="0"/>
        <w:autoSpaceDN w:val="0"/>
        <w:spacing w:line="360" w:lineRule="auto"/>
        <w:ind w:firstLine="1928" w:firstLineChars="800"/>
        <w:rPr>
          <w:rFonts w:ascii="宋体" w:hAnsi="宋体" w:cs="宋体"/>
          <w:b/>
          <w:bCs/>
          <w:kern w:val="0"/>
        </w:rPr>
      </w:pPr>
      <w:r>
        <w:rPr>
          <w:rFonts w:hint="eastAsia" w:ascii="宋体" w:hAnsi="宋体" w:cs="宋体"/>
          <w:b/>
          <w:bCs/>
          <w:kern w:val="0"/>
          <w:lang w:val="zh-CN"/>
        </w:rPr>
        <w:t>小写</w:t>
      </w:r>
      <w:r>
        <w:rPr>
          <w:rFonts w:hint="eastAsia" w:ascii="宋体" w:hAnsi="宋体" w:cs="宋体"/>
          <w:b/>
          <w:bCs/>
          <w:kern w:val="0"/>
        </w:rPr>
        <w:t>：¥</w:t>
      </w:r>
      <w:r>
        <w:rPr>
          <w:rFonts w:hint="eastAsia" w:ascii="宋体" w:hAnsi="宋体" w:cs="宋体"/>
          <w:b/>
          <w:bCs/>
          <w:kern w:val="0"/>
          <w:lang w:val="en-US" w:eastAsia="zh-CN"/>
        </w:rPr>
        <w:t>28500</w:t>
      </w:r>
      <w:r>
        <w:rPr>
          <w:rFonts w:hint="eastAsia" w:ascii="宋体" w:hAnsi="宋体" w:cs="宋体"/>
          <w:b/>
          <w:bCs/>
          <w:kern w:val="0"/>
        </w:rPr>
        <w:t>.00元</w:t>
      </w:r>
    </w:p>
    <w:p>
      <w:pPr>
        <w:pStyle w:val="6"/>
        <w:ind w:firstLine="0"/>
      </w:pPr>
    </w:p>
    <w:p>
      <w:pPr>
        <w:autoSpaceDE w:val="0"/>
        <w:autoSpaceDN w:val="0"/>
        <w:spacing w:line="360" w:lineRule="auto"/>
        <w:ind w:firstLine="482" w:firstLineChars="200"/>
        <w:rPr>
          <w:rFonts w:ascii="宋体" w:hAnsi="Calibri" w:cs="宋体"/>
          <w:b/>
          <w:bCs/>
          <w:kern w:val="0"/>
          <w:lang w:val="zh-CN"/>
        </w:rPr>
      </w:pPr>
      <w:r>
        <w:rPr>
          <w:rFonts w:hint="eastAsia" w:ascii="宋体" w:hAnsi="Calibri" w:cs="宋体"/>
          <w:b/>
          <w:bCs/>
          <w:kern w:val="0"/>
          <w:lang w:val="zh-CN"/>
        </w:rPr>
        <w:t>收款单位：青海中旭工程项目管理有限公司</w:t>
      </w:r>
    </w:p>
    <w:p>
      <w:pPr>
        <w:autoSpaceDE w:val="0"/>
        <w:autoSpaceDN w:val="0"/>
        <w:spacing w:line="360" w:lineRule="auto"/>
        <w:ind w:firstLine="482" w:firstLineChars="200"/>
        <w:rPr>
          <w:rFonts w:ascii="宋体" w:hAnsi="Calibri" w:cs="宋体"/>
          <w:b/>
          <w:bCs/>
          <w:kern w:val="0"/>
          <w:lang w:val="zh-CN"/>
        </w:rPr>
      </w:pPr>
      <w:r>
        <w:rPr>
          <w:rFonts w:hint="eastAsia" w:ascii="宋体" w:hAnsi="Calibri" w:cs="宋体"/>
          <w:b/>
          <w:bCs/>
          <w:kern w:val="0"/>
          <w:lang w:val="zh-CN"/>
        </w:rPr>
        <w:t>开户银行：兴业银行西宁分行营业部</w:t>
      </w:r>
    </w:p>
    <w:p>
      <w:pPr>
        <w:autoSpaceDE w:val="0"/>
        <w:autoSpaceDN w:val="0"/>
        <w:spacing w:line="360" w:lineRule="auto"/>
        <w:ind w:firstLine="482" w:firstLineChars="200"/>
        <w:rPr>
          <w:rFonts w:ascii="宋体" w:hAnsi="Calibri" w:cs="宋体"/>
          <w:b/>
          <w:bCs/>
          <w:kern w:val="0"/>
          <w:lang w:val="zh-CN"/>
        </w:rPr>
      </w:pPr>
      <w:r>
        <w:rPr>
          <w:rFonts w:hint="eastAsia" w:ascii="宋体" w:hAnsi="Calibri" w:cs="宋体"/>
          <w:b/>
          <w:bCs/>
          <w:kern w:val="0"/>
          <w:lang w:val="zh-CN"/>
        </w:rPr>
        <w:t>投标保证金账号：632010100100376299（开户行号：309851000028</w:t>
      </w:r>
      <w:r>
        <w:rPr>
          <w:rFonts w:hint="eastAsia" w:ascii="宋体" w:hAnsi="Calibri" w:cs="宋体"/>
          <w:b/>
          <w:bCs/>
          <w:kern w:val="0"/>
          <w:lang w:val="zh-CN" w:eastAsia="zh-CN"/>
        </w:rPr>
        <w:t>）</w:t>
      </w:r>
      <w:r>
        <w:rPr>
          <w:rFonts w:hint="eastAsia" w:ascii="宋体" w:hAnsi="Calibri" w:cs="宋体"/>
          <w:b/>
          <w:bCs/>
          <w:kern w:val="0"/>
          <w:lang w:val="zh-CN"/>
        </w:rPr>
        <w:t>（保证金专用账号）</w:t>
      </w:r>
    </w:p>
    <w:p>
      <w:pPr>
        <w:autoSpaceDE w:val="0"/>
        <w:autoSpaceDN w:val="0"/>
        <w:spacing w:line="360" w:lineRule="auto"/>
        <w:ind w:firstLine="482" w:firstLineChars="200"/>
        <w:rPr>
          <w:rFonts w:ascii="宋体" w:hAnsi="Calibri" w:cs="宋体"/>
          <w:b/>
          <w:bCs/>
          <w:kern w:val="0"/>
          <w:lang w:val="zh-CN"/>
        </w:rPr>
      </w:pPr>
      <w:r>
        <w:rPr>
          <w:rFonts w:hint="eastAsia" w:ascii="宋体" w:hAnsi="Calibri" w:cs="宋体"/>
          <w:b/>
          <w:bCs/>
          <w:kern w:val="0"/>
          <w:lang w:val="zh-CN"/>
        </w:rPr>
        <w:t>缴费时间：同投标截止日期前，以银行到账时间为准，递交保证金时需注明项目名称以及编号。</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注：不接受个人名义或现金形式递交的投标保证金，投标供应商应单独提交投标保证金，投标保证金须从企业基本账户中支付，投标文件中须附企业开户许可证；</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如采购项目变更开标时间，则保证金交纳时间相应顺延。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9.2 缴费方式：投标保证金应当以支票、汇票、本票或者金融机构、担保机构出具的保函等非现金形式提交。通过银行转账的，必须由投标人从其企业账户汇（转）入9.1条规定的账户。</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9.3 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pStyle w:val="4"/>
        <w:spacing w:line="360" w:lineRule="auto"/>
        <w:rPr>
          <w:rFonts w:hint="default"/>
          <w:lang w:val="zh-CN"/>
        </w:rPr>
      </w:pPr>
      <w:bookmarkStart w:id="90" w:name="_Toc12075"/>
      <w:bookmarkStart w:id="91" w:name="_Toc21598"/>
      <w:bookmarkStart w:id="92" w:name="_Toc23724"/>
      <w:bookmarkStart w:id="93" w:name="_Toc21078"/>
      <w:bookmarkStart w:id="94" w:name="_Toc14073"/>
      <w:bookmarkStart w:id="95" w:name="_Toc4190"/>
      <w:r>
        <w:rPr>
          <w:lang w:val="zh-CN"/>
        </w:rPr>
        <w:t>10.投标有效期</w:t>
      </w:r>
      <w:bookmarkEnd w:id="90"/>
      <w:bookmarkEnd w:id="91"/>
      <w:bookmarkEnd w:id="92"/>
      <w:bookmarkEnd w:id="93"/>
      <w:bookmarkEnd w:id="94"/>
      <w:bookmarkEnd w:id="9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rPr>
        <w:t>从提交投标文件的截止之日起60</w:t>
      </w:r>
      <w:r>
        <w:rPr>
          <w:rFonts w:hint="eastAsia" w:ascii="宋体" w:hAnsi="宋体" w:cs="宋体"/>
          <w:color w:val="000000"/>
          <w:lang w:val="zh-CN"/>
        </w:rPr>
        <w:t>日历</w:t>
      </w:r>
      <w:r>
        <w:rPr>
          <w:rFonts w:hint="eastAsia" w:ascii="宋体" w:hAnsi="宋体" w:cs="宋体"/>
          <w:color w:val="000000"/>
          <w:kern w:val="0"/>
          <w:lang w:val="zh-CN"/>
        </w:rPr>
        <w:t>日。投标文件中承诺的投标有效期应当不少于招标文件中载明的投标有效期。</w:t>
      </w:r>
    </w:p>
    <w:p>
      <w:pPr>
        <w:pStyle w:val="4"/>
        <w:spacing w:line="360" w:lineRule="auto"/>
        <w:rPr>
          <w:rFonts w:hint="default"/>
          <w:lang w:val="zh-CN"/>
        </w:rPr>
      </w:pPr>
      <w:bookmarkStart w:id="96" w:name="_Toc6015"/>
      <w:bookmarkStart w:id="97" w:name="_Toc15029"/>
      <w:bookmarkStart w:id="98" w:name="_Toc25975"/>
      <w:bookmarkStart w:id="99" w:name="_Toc10189"/>
      <w:bookmarkStart w:id="100" w:name="_Toc3626"/>
      <w:bookmarkStart w:id="101" w:name="_Toc12002"/>
      <w:r>
        <w:rPr>
          <w:lang w:val="zh-CN"/>
        </w:rPr>
        <w:t>11.投标文件构成</w:t>
      </w:r>
      <w:bookmarkEnd w:id="96"/>
      <w:bookmarkEnd w:id="97"/>
      <w:bookmarkEnd w:id="98"/>
      <w:bookmarkEnd w:id="99"/>
      <w:bookmarkEnd w:id="100"/>
      <w:bookmarkEnd w:id="10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rPr>
          <w:rFonts w:ascii="宋体" w:hAnsi="宋体" w:cs="宋体"/>
          <w:color w:val="000000"/>
        </w:rPr>
      </w:pPr>
      <w:bookmarkStart w:id="102" w:name="_Toc7878_WPSOffice_Level3"/>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bookmarkEnd w:id="102"/>
    </w:p>
    <w:p>
      <w:pPr>
        <w:autoSpaceDE w:val="0"/>
        <w:autoSpaceDN w:val="0"/>
        <w:spacing w:line="360" w:lineRule="auto"/>
        <w:outlineLvl w:val="2"/>
        <w:rPr>
          <w:rFonts w:ascii="宋体" w:hAnsi="宋体" w:cs="宋体"/>
          <w:color w:val="000000"/>
          <w:kern w:val="0"/>
          <w:lang w:val="zh-CN"/>
        </w:rPr>
      </w:pPr>
      <w:bookmarkStart w:id="103" w:name="_Toc15036_WPSOffice_Level3"/>
      <w:r>
        <w:rPr>
          <w:rFonts w:hint="eastAsia" w:ascii="宋体" w:hAnsi="宋体" w:cs="宋体"/>
          <w:color w:val="000000"/>
          <w:kern w:val="0"/>
        </w:rPr>
        <w:t>（1）</w:t>
      </w:r>
      <w:r>
        <w:rPr>
          <w:rFonts w:hint="eastAsia" w:ascii="宋体" w:hAnsi="宋体" w:cs="宋体"/>
          <w:color w:val="000000"/>
          <w:kern w:val="0"/>
          <w:lang w:val="zh-CN"/>
        </w:rPr>
        <w:t>投标函</w:t>
      </w:r>
    </w:p>
    <w:p>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）法定代表人证明书</w:t>
      </w:r>
    </w:p>
    <w:p>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）法定代表人授权书</w:t>
      </w:r>
    </w:p>
    <w:p>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）投标人承诺函</w:t>
      </w:r>
    </w:p>
    <w:p>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）投标人诚信承诺书</w:t>
      </w:r>
    </w:p>
    <w:p>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）资格证明材料</w:t>
      </w:r>
    </w:p>
    <w:p>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）财务状况报告，依法缴纳税收和社会保障资金的相关材料</w:t>
      </w:r>
    </w:p>
    <w:p>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）具备履行合同所必须的设备和专业技术能力证明</w:t>
      </w:r>
    </w:p>
    <w:p>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）无重大违法记录声明</w:t>
      </w:r>
    </w:p>
    <w:p>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）投标保证金证明</w:t>
      </w:r>
    </w:p>
    <w:p>
      <w:pPr>
        <w:autoSpaceDE w:val="0"/>
        <w:autoSpaceDN w:val="0"/>
        <w:spacing w:line="360" w:lineRule="auto"/>
        <w:rPr>
          <w:rFonts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投标文件（下册）</w:t>
      </w:r>
      <w:bookmarkEnd w:id="103"/>
      <w:r>
        <w:rPr>
          <w:rFonts w:hint="eastAsia" w:ascii="宋体" w:hAnsi="宋体" w:cs="宋体"/>
          <w:b/>
          <w:bCs/>
          <w:kern w:val="0"/>
          <w:lang w:val="zh-CN"/>
        </w:rPr>
        <w:t>（符合性审查）</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w:t>
      </w:r>
      <w:r>
        <w:rPr>
          <w:rFonts w:hint="eastAsia" w:ascii="宋体" w:hAnsi="宋体" w:cs="宋体"/>
          <w:color w:val="000000"/>
          <w:kern w:val="0"/>
        </w:rPr>
        <w:t>11</w:t>
      </w:r>
      <w:r>
        <w:rPr>
          <w:rFonts w:hint="eastAsia" w:ascii="宋体" w:hAnsi="宋体" w:cs="宋体"/>
          <w:color w:val="000000"/>
          <w:kern w:val="0"/>
          <w:lang w:val="zh-CN"/>
        </w:rPr>
        <w:t>）评分对照表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12</w:t>
      </w:r>
      <w:r>
        <w:rPr>
          <w:rFonts w:hint="eastAsia" w:ascii="宋体" w:hAnsi="宋体" w:cs="宋体"/>
          <w:color w:val="000000"/>
          <w:kern w:val="0"/>
          <w:lang w:val="zh-CN"/>
        </w:rPr>
        <w:t>）开标一览表（报价表）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13</w:t>
      </w:r>
      <w:r>
        <w:rPr>
          <w:rFonts w:hint="eastAsia" w:ascii="宋体" w:hAnsi="宋体" w:cs="宋体"/>
          <w:color w:val="000000"/>
          <w:kern w:val="0"/>
          <w:lang w:val="zh-CN"/>
        </w:rPr>
        <w:t>）分项报价表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14</w:t>
      </w:r>
      <w:r>
        <w:rPr>
          <w:rFonts w:hint="eastAsia" w:ascii="宋体" w:hAnsi="宋体" w:cs="宋体"/>
          <w:color w:val="000000"/>
          <w:kern w:val="0"/>
          <w:lang w:val="zh-CN"/>
        </w:rPr>
        <w:t>）技术规格响应表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15）</w:t>
      </w:r>
      <w:r>
        <w:rPr>
          <w:rFonts w:hint="eastAsia" w:ascii="宋体" w:hAnsi="宋体" w:cs="宋体"/>
          <w:color w:val="000000"/>
          <w:kern w:val="0"/>
          <w:lang w:val="zh-CN"/>
        </w:rPr>
        <w:t>投标产品相关资料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16）</w:t>
      </w:r>
      <w:r>
        <w:rPr>
          <w:rFonts w:hint="eastAsia" w:ascii="宋体" w:hAnsi="宋体" w:cs="宋体"/>
          <w:color w:val="000000"/>
          <w:kern w:val="0"/>
          <w:lang w:val="zh-CN"/>
        </w:rPr>
        <w:t>投标人的类似业绩证明材料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17</w:t>
      </w:r>
      <w:r>
        <w:rPr>
          <w:rFonts w:hint="eastAsia" w:ascii="宋体" w:hAnsi="宋体" w:cs="宋体"/>
          <w:color w:val="000000"/>
          <w:kern w:val="0"/>
          <w:lang w:val="zh-CN"/>
        </w:rPr>
        <w:t>）制造（生产）企业小型微型企业声明函、监狱企业证明资料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18</w:t>
      </w:r>
      <w:r>
        <w:rPr>
          <w:rFonts w:hint="eastAsia" w:ascii="宋体" w:hAnsi="宋体" w:cs="宋体"/>
          <w:color w:val="000000"/>
          <w:kern w:val="0"/>
          <w:lang w:val="zh-CN"/>
        </w:rPr>
        <w:t>）残疾人福利性单位声明函</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19</w:t>
      </w:r>
      <w:r>
        <w:rPr>
          <w:rFonts w:hint="eastAsia" w:ascii="宋体" w:hAnsi="宋体" w:cs="宋体"/>
          <w:color w:val="000000"/>
          <w:kern w:val="0"/>
          <w:lang w:val="zh-CN"/>
        </w:rPr>
        <w:t>）投标人认为在其他方面有必要说明的事项</w:t>
      </w:r>
    </w:p>
    <w:p>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pPr>
        <w:pStyle w:val="4"/>
        <w:spacing w:line="360" w:lineRule="auto"/>
        <w:rPr>
          <w:rFonts w:hint="default"/>
          <w:lang w:val="zh-CN"/>
        </w:rPr>
      </w:pPr>
      <w:bookmarkStart w:id="104" w:name="_Toc24047"/>
      <w:bookmarkStart w:id="105" w:name="_Toc9293"/>
      <w:bookmarkStart w:id="106" w:name="_Toc14476"/>
      <w:bookmarkStart w:id="107" w:name="_Toc3995"/>
      <w:bookmarkStart w:id="108" w:name="_Toc17808"/>
      <w:bookmarkStart w:id="109" w:name="_Toc18781"/>
      <w:r>
        <w:rPr>
          <w:lang w:val="zh-CN"/>
        </w:rPr>
        <w:t>12.投标文件的编制要求</w:t>
      </w:r>
      <w:bookmarkEnd w:id="104"/>
      <w:bookmarkEnd w:id="105"/>
      <w:bookmarkEnd w:id="106"/>
      <w:bookmarkEnd w:id="107"/>
      <w:bookmarkEnd w:id="108"/>
      <w:bookmarkEnd w:id="109"/>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投标人</w:t>
      </w:r>
      <w:r>
        <w:rPr>
          <w:rFonts w:hint="eastAsia" w:ascii="宋体" w:hAnsi="宋体" w:cs="宋体"/>
          <w:color w:val="000000"/>
          <w:kern w:val="0"/>
          <w:lang w:val="zh-CN"/>
        </w:rPr>
        <w:t>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lang w:val="en-US" w:eastAsia="zh-CN"/>
        </w:rPr>
        <w:t>2</w:t>
      </w:r>
      <w:r>
        <w:rPr>
          <w:rFonts w:hint="eastAsia" w:ascii="宋体" w:hAnsi="宋体" w:cs="宋体"/>
          <w:color w:val="000000"/>
          <w:kern w:val="0"/>
          <w:lang w:val="zh-CN"/>
        </w:rPr>
        <w:t>投标文件中不得行间插字、涂改或增删，如有修改错漏处，须由投标人法定代表人或其委托代理人签字、加盖公章。</w:t>
      </w:r>
    </w:p>
    <w:p>
      <w:pPr>
        <w:pStyle w:val="2"/>
        <w:spacing w:line="360" w:lineRule="auto"/>
      </w:pPr>
      <w:bookmarkStart w:id="110" w:name="_Toc20461"/>
      <w:bookmarkStart w:id="111" w:name="_Toc12937"/>
      <w:bookmarkStart w:id="112" w:name="_Toc24811"/>
      <w:bookmarkStart w:id="113" w:name="_Toc26790"/>
      <w:bookmarkStart w:id="114" w:name="_Toc28376"/>
      <w:bookmarkStart w:id="115" w:name="_Toc10893"/>
      <w:r>
        <w:rPr>
          <w:rFonts w:hint="eastAsia"/>
          <w:lang w:val="zh-CN"/>
        </w:rPr>
        <w:t>四、投标文件的提交</w:t>
      </w:r>
      <w:bookmarkEnd w:id="110"/>
      <w:bookmarkEnd w:id="111"/>
      <w:bookmarkEnd w:id="112"/>
      <w:bookmarkEnd w:id="113"/>
      <w:bookmarkEnd w:id="114"/>
      <w:bookmarkEnd w:id="115"/>
    </w:p>
    <w:p>
      <w:pPr>
        <w:pStyle w:val="4"/>
        <w:spacing w:line="360" w:lineRule="auto"/>
        <w:rPr>
          <w:rFonts w:hint="default"/>
          <w:lang w:val="zh-CN"/>
        </w:rPr>
      </w:pPr>
      <w:bookmarkStart w:id="116" w:name="_Toc25595"/>
      <w:bookmarkStart w:id="117" w:name="_Toc27202"/>
      <w:bookmarkStart w:id="118" w:name="_Toc334"/>
      <w:bookmarkStart w:id="119" w:name="_Toc16984"/>
      <w:bookmarkStart w:id="120" w:name="_Toc15867"/>
      <w:bookmarkStart w:id="121" w:name="_Toc6091"/>
      <w:r>
        <w:rPr>
          <w:lang w:val="zh-CN"/>
        </w:rPr>
        <w:t>13.投标文件的密封和标记</w:t>
      </w:r>
      <w:bookmarkEnd w:id="116"/>
      <w:bookmarkEnd w:id="117"/>
      <w:bookmarkEnd w:id="118"/>
      <w:bookmarkEnd w:id="119"/>
      <w:bookmarkEnd w:id="120"/>
      <w:bookmarkEnd w:id="121"/>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w:t>
      </w:r>
      <w:r>
        <w:rPr>
          <w:rFonts w:hint="eastAsia" w:ascii="宋体" w:hAnsi="宋体" w:cs="宋体"/>
          <w:color w:val="000000"/>
          <w:kern w:val="0"/>
          <w:lang w:val="en-US" w:eastAsia="zh-CN"/>
        </w:rPr>
        <w:t>投标</w:t>
      </w:r>
      <w:r>
        <w:rPr>
          <w:rFonts w:hint="eastAsia" w:ascii="宋体" w:hAnsi="宋体" w:cs="宋体"/>
          <w:color w:val="000000"/>
          <w:kern w:val="0"/>
          <w:lang w:val="zh-CN"/>
        </w:rPr>
        <w:t>文件的密封和标记：本次招标采用线上提交投标文件的方式进行采购，投标人应在投标截止时间前按招标文件要求使用政采云电子投标客户端制作加密并上传电子投标文件，并在开标后30分钟内远程解密投标文件。</w:t>
      </w:r>
    </w:p>
    <w:p>
      <w:pPr>
        <w:pStyle w:val="4"/>
        <w:spacing w:line="360" w:lineRule="auto"/>
        <w:rPr>
          <w:rFonts w:hint="default"/>
          <w:lang w:val="zh-CN"/>
        </w:rPr>
      </w:pPr>
      <w:bookmarkStart w:id="122" w:name="_Toc21558"/>
      <w:bookmarkStart w:id="123" w:name="_Toc3328"/>
      <w:bookmarkStart w:id="124" w:name="_Toc10135"/>
      <w:bookmarkStart w:id="125" w:name="_Toc1232"/>
      <w:bookmarkStart w:id="126" w:name="_Toc21461"/>
      <w:bookmarkStart w:id="127" w:name="_Toc16753"/>
      <w:r>
        <w:rPr>
          <w:lang w:val="zh-CN"/>
        </w:rPr>
        <w:t>14.提交投标文件的时间、地点、方式</w:t>
      </w:r>
      <w:bookmarkEnd w:id="122"/>
      <w:bookmarkEnd w:id="123"/>
      <w:bookmarkEnd w:id="124"/>
      <w:bookmarkEnd w:id="125"/>
      <w:bookmarkEnd w:id="126"/>
      <w:bookmarkEnd w:id="127"/>
    </w:p>
    <w:p>
      <w:pPr>
        <w:pStyle w:val="13"/>
        <w:spacing w:line="360" w:lineRule="auto"/>
        <w:ind w:firstLine="480" w:firstLineChars="200"/>
        <w:jc w:val="left"/>
        <w:rPr>
          <w:rFonts w:hint="eastAsia" w:ascii="宋体" w:hAnsi="宋体" w:cs="宋体"/>
          <w:color w:val="auto"/>
          <w:kern w:val="0"/>
          <w:sz w:val="24"/>
          <w:szCs w:val="24"/>
          <w:lang w:val="en-US" w:eastAsia="zh-CN"/>
        </w:rPr>
      </w:pPr>
      <w:r>
        <w:rPr>
          <w:rFonts w:hint="eastAsia" w:ascii="宋体" w:hAnsi="宋体" w:cs="宋体"/>
          <w:color w:val="000000"/>
          <w:kern w:val="0"/>
          <w:lang w:val="zh-CN"/>
        </w:rPr>
        <w:t>14.1</w:t>
      </w:r>
      <w:r>
        <w:rPr>
          <w:rFonts w:hint="eastAsia" w:hAnsi="宋体"/>
          <w:color w:val="auto"/>
          <w:sz w:val="24"/>
          <w:szCs w:val="24"/>
          <w:lang w:val="en-US" w:eastAsia="zh-CN"/>
        </w:rPr>
        <w:t>投标人应在投标截止时间前按招标文件要求使用政采云电子投标客户端制作上传电子投标文件，并在开标后规定时间内远程解密投标文件。</w:t>
      </w:r>
    </w:p>
    <w:p>
      <w:pPr>
        <w:pStyle w:val="4"/>
        <w:spacing w:line="360" w:lineRule="auto"/>
        <w:rPr>
          <w:rFonts w:hint="eastAsia" w:cs="Times New Roman"/>
          <w:lang w:val="zh-CN"/>
        </w:rPr>
      </w:pPr>
      <w:bookmarkStart w:id="128" w:name="_Toc12951"/>
      <w:bookmarkStart w:id="129" w:name="_Toc13949"/>
      <w:bookmarkStart w:id="130" w:name="_Toc16663"/>
      <w:bookmarkStart w:id="131" w:name="_Toc16709"/>
      <w:bookmarkStart w:id="132" w:name="_Toc29275"/>
      <w:bookmarkStart w:id="133" w:name="_Toc6901"/>
      <w:bookmarkStart w:id="134" w:name="_Toc9213"/>
      <w:r>
        <w:rPr>
          <w:rFonts w:hint="eastAsia" w:cs="Times New Roman"/>
          <w:lang w:val="zh-CN"/>
        </w:rPr>
        <w:t>15.投标文件的补充、修改或者撤回</w:t>
      </w:r>
      <w:bookmarkEnd w:id="128"/>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4"/>
        <w:spacing w:line="360" w:lineRule="auto"/>
      </w:pPr>
      <w:r>
        <w:rPr>
          <w:rFonts w:hint="eastAsia"/>
          <w:lang w:val="zh-CN"/>
        </w:rPr>
        <w:t>五、开标</w:t>
      </w:r>
      <w:bookmarkEnd w:id="129"/>
      <w:bookmarkEnd w:id="130"/>
      <w:bookmarkEnd w:id="131"/>
      <w:bookmarkEnd w:id="132"/>
      <w:bookmarkEnd w:id="133"/>
      <w:bookmarkEnd w:id="134"/>
    </w:p>
    <w:p>
      <w:pPr>
        <w:pStyle w:val="4"/>
        <w:spacing w:line="360" w:lineRule="auto"/>
        <w:rPr>
          <w:rFonts w:hint="default"/>
          <w:lang w:val="zh-CN"/>
        </w:rPr>
      </w:pPr>
      <w:bookmarkStart w:id="135" w:name="_Toc3360"/>
      <w:bookmarkStart w:id="136" w:name="_Toc22326"/>
      <w:bookmarkStart w:id="137" w:name="_Toc7381"/>
      <w:bookmarkStart w:id="138" w:name="_Toc6421"/>
      <w:bookmarkStart w:id="139" w:name="_Toc9768"/>
      <w:bookmarkStart w:id="140" w:name="_Toc8014"/>
      <w:r>
        <w:rPr>
          <w:lang w:val="zh-CN"/>
        </w:rPr>
        <w:t>16.开标</w:t>
      </w:r>
      <w:bookmarkEnd w:id="135"/>
      <w:bookmarkEnd w:id="136"/>
      <w:bookmarkEnd w:id="137"/>
      <w:bookmarkEnd w:id="138"/>
      <w:bookmarkEnd w:id="139"/>
      <w:bookmarkEnd w:id="14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ascii="宋体" w:hAnsi="宋体" w:cs="宋体"/>
          <w:kern w:val="0"/>
          <w:lang w:val="zh-CN"/>
        </w:rPr>
      </w:pPr>
      <w:bookmarkStart w:id="141" w:name="_Toc496004006"/>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16.2</w:t>
      </w:r>
      <w:r>
        <w:rPr>
          <w:rFonts w:hint="eastAsia" w:ascii="宋体" w:hAnsi="宋体" w:cs="宋体"/>
          <w:kern w:val="0"/>
        </w:rPr>
        <w:t xml:space="preserve"> </w:t>
      </w:r>
      <w:r>
        <w:rPr>
          <w:rFonts w:hint="eastAsia" w:ascii="宋体" w:hAnsi="宋体" w:cs="宋体"/>
        </w:rPr>
        <w:t>开标由</w:t>
      </w:r>
      <w:r>
        <w:rPr>
          <w:rFonts w:hint="eastAsia" w:ascii="宋体" w:hAnsi="宋体" w:cs="宋体"/>
          <w:kern w:val="0"/>
          <w:lang w:val="zh-CN"/>
        </w:rPr>
        <w:t>采购代理机构</w:t>
      </w:r>
      <w:r>
        <w:rPr>
          <w:rFonts w:hint="eastAsia" w:ascii="宋体" w:hAnsi="宋体" w:cs="宋体"/>
        </w:rPr>
        <w:t>主持，邀请投标人参加。评标委员会成员（包括采购人代表）不得参加开标活动。</w:t>
      </w:r>
    </w:p>
    <w:p>
      <w:pPr>
        <w:pStyle w:val="20"/>
        <w:spacing w:before="0" w:after="0" w:line="560" w:lineRule="exact"/>
        <w:ind w:firstLine="480" w:firstLineChars="200"/>
        <w:jc w:val="both"/>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16.3 开标时，潜在投标人未在</w:t>
      </w:r>
      <w:r>
        <w:rPr>
          <w:rFonts w:hint="eastAsia" w:ascii="宋体" w:hAnsi="宋体" w:cs="宋体"/>
          <w:b w:val="0"/>
          <w:bCs w:val="0"/>
          <w:color w:val="auto"/>
          <w:kern w:val="0"/>
          <w:sz w:val="24"/>
          <w:szCs w:val="24"/>
          <w:lang w:val="en-US" w:eastAsia="zh-CN" w:bidi="ar-SA"/>
        </w:rPr>
        <w:t>政府采购云平台</w:t>
      </w:r>
      <w:r>
        <w:rPr>
          <w:rFonts w:hint="eastAsia" w:ascii="宋体" w:hAnsi="宋体" w:eastAsia="宋体" w:cs="宋体"/>
          <w:b w:val="0"/>
          <w:bCs w:val="0"/>
          <w:color w:val="auto"/>
          <w:kern w:val="0"/>
          <w:sz w:val="24"/>
          <w:szCs w:val="24"/>
          <w:lang w:val="en-US" w:eastAsia="zh-CN" w:bidi="ar-SA"/>
        </w:rPr>
        <w:t xml:space="preserve">上报价的，视同未参与投标。 </w:t>
      </w:r>
    </w:p>
    <w:p>
      <w:pPr>
        <w:pStyle w:val="20"/>
        <w:spacing w:before="0" w:after="0" w:line="560" w:lineRule="exact"/>
        <w:ind w:firstLine="480" w:firstLineChars="200"/>
        <w:jc w:val="both"/>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16.4 投标人代表对开标过程和开标记录有疑义，以及认为采购人、采购代 </w:t>
      </w:r>
    </w:p>
    <w:p>
      <w:pPr>
        <w:pStyle w:val="20"/>
        <w:spacing w:before="0" w:after="0" w:line="560" w:lineRule="exac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理机构相关工作人员有需要回避的情形的，应当场提出询问或者回避申请。采 </w:t>
      </w:r>
    </w:p>
    <w:p>
      <w:pPr>
        <w:pStyle w:val="20"/>
        <w:spacing w:before="0" w:after="0" w:line="560" w:lineRule="exac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购人、采购代理机构对投标人代表提出的询问或者回避申请应当及时处理。 </w:t>
      </w:r>
    </w:p>
    <w:p>
      <w:pPr>
        <w:pStyle w:val="20"/>
        <w:spacing w:before="0" w:after="0" w:line="560" w:lineRule="exact"/>
        <w:jc w:val="both"/>
        <w:rPr>
          <w:rFonts w:hint="eastAsia" w:ascii="宋体" w:hAnsi="宋体" w:cs="宋体"/>
          <w:color w:val="auto"/>
          <w:kern w:val="0"/>
          <w:szCs w:val="36"/>
        </w:rPr>
      </w:pPr>
      <w:r>
        <w:rPr>
          <w:rFonts w:hint="eastAsia" w:ascii="宋体" w:hAnsi="宋体" w:eastAsia="宋体" w:cs="宋体"/>
          <w:b w:val="0"/>
          <w:bCs w:val="0"/>
          <w:color w:val="auto"/>
          <w:kern w:val="0"/>
          <w:sz w:val="24"/>
          <w:szCs w:val="24"/>
          <w:lang w:val="en-US" w:eastAsia="zh-CN" w:bidi="ar-SA"/>
        </w:rPr>
        <w:t>投标人未参加开标的，视同认可开标结果。</w:t>
      </w:r>
    </w:p>
    <w:p>
      <w:pPr>
        <w:autoSpaceDE w:val="0"/>
        <w:autoSpaceDN w:val="0"/>
        <w:spacing w:line="360" w:lineRule="auto"/>
        <w:ind w:firstLine="480" w:firstLineChars="200"/>
        <w:rPr>
          <w:rFonts w:ascii="宋体" w:hAnsi="宋体" w:cs="宋体"/>
          <w:kern w:val="0"/>
        </w:rPr>
      </w:pPr>
    </w:p>
    <w:p>
      <w:pPr>
        <w:pStyle w:val="2"/>
        <w:spacing w:line="360" w:lineRule="auto"/>
      </w:pPr>
      <w:bookmarkStart w:id="142" w:name="_Toc16958"/>
      <w:bookmarkStart w:id="143" w:name="_Toc14280"/>
      <w:bookmarkStart w:id="144" w:name="_Toc27511"/>
      <w:bookmarkStart w:id="145" w:name="_Toc17746"/>
      <w:bookmarkStart w:id="146" w:name="_Toc12615"/>
      <w:bookmarkStart w:id="147" w:name="_Toc23939"/>
      <w:r>
        <w:rPr>
          <w:rFonts w:hint="eastAsia"/>
        </w:rPr>
        <w:t>六、资格</w:t>
      </w:r>
      <w:r>
        <w:rPr>
          <w:rFonts w:hint="eastAsia"/>
          <w:lang w:val="zh-CN"/>
        </w:rPr>
        <w:t>审查</w:t>
      </w:r>
      <w:r>
        <w:rPr>
          <w:rFonts w:hint="eastAsia"/>
        </w:rPr>
        <w:t>程序</w:t>
      </w:r>
      <w:bookmarkEnd w:id="141"/>
      <w:bookmarkEnd w:id="142"/>
      <w:bookmarkEnd w:id="143"/>
      <w:bookmarkEnd w:id="144"/>
      <w:bookmarkEnd w:id="145"/>
      <w:bookmarkEnd w:id="146"/>
      <w:bookmarkEnd w:id="147"/>
    </w:p>
    <w:p>
      <w:pPr>
        <w:pStyle w:val="4"/>
        <w:spacing w:line="360" w:lineRule="auto"/>
        <w:rPr>
          <w:rFonts w:hint="default"/>
        </w:rPr>
      </w:pPr>
      <w:bookmarkStart w:id="148" w:name="_Toc13962"/>
      <w:bookmarkStart w:id="149" w:name="_Toc2725"/>
      <w:bookmarkStart w:id="150" w:name="_Toc7777"/>
      <w:bookmarkStart w:id="151" w:name="_Toc5383"/>
      <w:bookmarkStart w:id="152" w:name="_Toc2877"/>
      <w:bookmarkStart w:id="153" w:name="_Toc5507"/>
      <w:r>
        <w:t>17.资格审查</w:t>
      </w:r>
      <w:bookmarkEnd w:id="148"/>
      <w:bookmarkEnd w:id="149"/>
      <w:bookmarkEnd w:id="150"/>
      <w:bookmarkEnd w:id="151"/>
      <w:bookmarkEnd w:id="152"/>
      <w:bookmarkEnd w:id="153"/>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17.1 开标结束后，采购人或者</w:t>
      </w:r>
      <w:r>
        <w:rPr>
          <w:rFonts w:hint="eastAsia" w:ascii="宋体" w:hAnsi="宋体" w:cs="宋体"/>
          <w:color w:val="000000"/>
          <w:kern w:val="0"/>
          <w:lang w:val="zh-CN"/>
        </w:rPr>
        <w:t>采购代理机构</w:t>
      </w:r>
      <w:r>
        <w:rPr>
          <w:rFonts w:hint="eastAsia" w:ascii="宋体" w:hAnsi="宋体" w:cs="宋体"/>
          <w:color w:val="000000"/>
          <w:kern w:val="0"/>
        </w:rPr>
        <w:t>应当依法对投标人的资格性审查文件（上册）进行审查。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17.2 合格投标人不足3家的，不得评标。</w:t>
      </w:r>
    </w:p>
    <w:p>
      <w:pPr>
        <w:autoSpaceDE w:val="0"/>
        <w:autoSpaceDN w:val="0"/>
        <w:spacing w:line="360" w:lineRule="auto"/>
        <w:ind w:firstLine="480" w:firstLineChars="200"/>
        <w:rPr>
          <w:rFonts w:ascii="宋体" w:hAnsi="宋体" w:cs="宋体"/>
          <w:color w:val="000000"/>
        </w:rPr>
      </w:pPr>
      <w:bookmarkStart w:id="154" w:name="_Toc497503315"/>
      <w:bookmarkStart w:id="155" w:name="_Toc497503249"/>
      <w:bookmarkStart w:id="156" w:name="_Toc497503516"/>
      <w:bookmarkStart w:id="157" w:name="_Toc497503449"/>
      <w:bookmarkStart w:id="158" w:name="_Toc30809"/>
      <w:r>
        <w:rPr>
          <w:rFonts w:hint="eastAsia" w:ascii="宋体" w:hAnsi="宋体" w:cs="宋体"/>
          <w:color w:val="000000"/>
          <w:kern w:val="0"/>
        </w:rPr>
        <w:t>17.3 资格审查时，投标人存在下列情况之一的，按无效投标处理：</w:t>
      </w:r>
      <w:bookmarkEnd w:id="154"/>
      <w:bookmarkEnd w:id="155"/>
      <w:bookmarkEnd w:id="156"/>
      <w:bookmarkEnd w:id="157"/>
      <w:bookmarkEnd w:id="158"/>
    </w:p>
    <w:p>
      <w:pPr>
        <w:numPr>
          <w:ilvl w:val="0"/>
          <w:numId w:val="4"/>
        </w:numPr>
        <w:tabs>
          <w:tab w:val="left" w:pos="960"/>
        </w:tabs>
        <w:autoSpaceDE w:val="0"/>
        <w:autoSpaceDN w:val="0"/>
        <w:spacing w:line="360" w:lineRule="auto"/>
        <w:ind w:firstLine="480" w:firstLineChars="200"/>
        <w:rPr>
          <w:rFonts w:ascii="宋体" w:hAnsi="宋体" w:cs="宋体"/>
          <w:color w:val="000000"/>
          <w:kern w:val="0"/>
        </w:rPr>
      </w:pPr>
      <w:bookmarkStart w:id="159" w:name="_Toc154_WPSOffice_Level3"/>
      <w:r>
        <w:rPr>
          <w:rFonts w:hint="eastAsia" w:ascii="宋体" w:hAnsi="宋体" w:cs="宋体"/>
          <w:color w:val="000000"/>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rPr>
        <w:t>的；</w:t>
      </w:r>
      <w:bookmarkEnd w:id="159"/>
    </w:p>
    <w:p>
      <w:pPr>
        <w:numPr>
          <w:ilvl w:val="0"/>
          <w:numId w:val="4"/>
        </w:numPr>
        <w:tabs>
          <w:tab w:val="left" w:pos="960"/>
        </w:tabs>
        <w:autoSpaceDE w:val="0"/>
        <w:autoSpaceDN w:val="0"/>
        <w:spacing w:line="360" w:lineRule="auto"/>
        <w:ind w:firstLine="480" w:firstLineChars="200"/>
        <w:rPr>
          <w:rFonts w:ascii="宋体" w:hAnsi="宋体" w:cs="宋体"/>
          <w:color w:val="000000"/>
          <w:kern w:val="0"/>
        </w:rPr>
      </w:pPr>
      <w:bookmarkStart w:id="160" w:name="_Toc12334_WPSOffice_Level3"/>
      <w:r>
        <w:rPr>
          <w:rFonts w:hint="eastAsia" w:ascii="宋体" w:hAnsi="宋体" w:cs="宋体"/>
          <w:color w:val="000000"/>
          <w:kern w:val="0"/>
        </w:rPr>
        <w:t>未按招标文件要求交纳或未足额交纳投标保证金的；</w:t>
      </w:r>
      <w:bookmarkEnd w:id="160"/>
    </w:p>
    <w:p>
      <w:pPr>
        <w:numPr>
          <w:ilvl w:val="0"/>
          <w:numId w:val="4"/>
        </w:numPr>
        <w:tabs>
          <w:tab w:val="left" w:pos="960"/>
        </w:tabs>
        <w:autoSpaceDE w:val="0"/>
        <w:autoSpaceDN w:val="0"/>
        <w:spacing w:line="360" w:lineRule="auto"/>
        <w:ind w:firstLine="480" w:firstLineChars="200"/>
        <w:rPr>
          <w:rFonts w:ascii="宋体" w:hAnsi="宋体" w:cs="宋体"/>
          <w:color w:val="000000"/>
          <w:kern w:val="0"/>
        </w:rPr>
      </w:pPr>
      <w:bookmarkStart w:id="161" w:name="_Toc29337_WPSOffice_Level3"/>
      <w:r>
        <w:rPr>
          <w:rFonts w:hint="eastAsia" w:ascii="宋体" w:hAnsi="宋体" w:cs="宋体"/>
          <w:color w:val="000000"/>
          <w:kern w:val="0"/>
        </w:rPr>
        <w:t>未按第11.1要求提供相关资料的；</w:t>
      </w:r>
      <w:bookmarkEnd w:id="161"/>
    </w:p>
    <w:p>
      <w:pPr>
        <w:numPr>
          <w:ilvl w:val="0"/>
          <w:numId w:val="4"/>
        </w:numPr>
        <w:tabs>
          <w:tab w:val="left" w:pos="960"/>
        </w:tabs>
        <w:autoSpaceDE w:val="0"/>
        <w:autoSpaceDN w:val="0"/>
        <w:spacing w:line="360" w:lineRule="auto"/>
        <w:ind w:firstLine="480" w:firstLineChars="200"/>
        <w:rPr>
          <w:rFonts w:ascii="宋体" w:hAnsi="宋体" w:cs="宋体"/>
          <w:color w:val="000000"/>
        </w:rPr>
      </w:pPr>
      <w:bookmarkStart w:id="162" w:name="_Toc31185_WPSOffice_Level3"/>
      <w:r>
        <w:rPr>
          <w:rFonts w:hint="eastAsia" w:ascii="宋体" w:hAnsi="宋体" w:cs="宋体"/>
          <w:color w:val="000000"/>
          <w:kern w:val="0"/>
        </w:rPr>
        <w:t>资格性审查文件未按招标文件规定和要求签字、盖章的；</w:t>
      </w:r>
      <w:bookmarkEnd w:id="162"/>
    </w:p>
    <w:p>
      <w:pPr>
        <w:numPr>
          <w:ilvl w:val="0"/>
          <w:numId w:val="4"/>
        </w:numPr>
        <w:tabs>
          <w:tab w:val="left" w:pos="960"/>
        </w:tabs>
        <w:autoSpaceDE w:val="0"/>
        <w:autoSpaceDN w:val="0"/>
        <w:spacing w:line="360" w:lineRule="auto"/>
        <w:ind w:firstLine="480" w:firstLineChars="200"/>
        <w:rPr>
          <w:rFonts w:ascii="宋体" w:hAnsi="宋体" w:cs="宋体"/>
          <w:color w:val="000000"/>
        </w:rPr>
      </w:pPr>
      <w:bookmarkStart w:id="163" w:name="_Toc29422_WPSOffice_Level3"/>
      <w:r>
        <w:rPr>
          <w:rFonts w:hint="eastAsia" w:ascii="宋体" w:hAnsi="宋体" w:cs="宋体"/>
          <w:color w:val="000000"/>
        </w:rPr>
        <w:t>报价超过招标文件中规定的预算金额或者最高限价的；</w:t>
      </w:r>
      <w:bookmarkEnd w:id="163"/>
    </w:p>
    <w:p>
      <w:pPr>
        <w:numPr>
          <w:ilvl w:val="0"/>
          <w:numId w:val="4"/>
        </w:numPr>
        <w:tabs>
          <w:tab w:val="left" w:pos="960"/>
        </w:tabs>
        <w:autoSpaceDE w:val="0"/>
        <w:autoSpaceDN w:val="0"/>
        <w:spacing w:line="360" w:lineRule="auto"/>
        <w:ind w:firstLine="480" w:firstLineChars="200"/>
        <w:rPr>
          <w:rFonts w:ascii="宋体" w:hAnsi="宋体" w:cs="宋体"/>
          <w:color w:val="000000"/>
          <w:shd w:val="clear" w:color="auto" w:fill="FFFFFF"/>
        </w:rPr>
      </w:pPr>
      <w:bookmarkStart w:id="164" w:name="_Toc11448_WPSOffice_Level3"/>
      <w:r>
        <w:rPr>
          <w:rFonts w:hint="eastAsia" w:ascii="宋体" w:hAnsi="宋体" w:cs="宋体"/>
          <w:color w:val="000000"/>
          <w:kern w:val="0"/>
          <w:lang w:val="zh-CN"/>
        </w:rPr>
        <w:t>投标有效期不能满足招标文件要求的；</w:t>
      </w:r>
      <w:bookmarkEnd w:id="164"/>
    </w:p>
    <w:p>
      <w:pPr>
        <w:numPr>
          <w:ilvl w:val="0"/>
          <w:numId w:val="4"/>
        </w:numPr>
        <w:tabs>
          <w:tab w:val="left" w:pos="960"/>
        </w:tabs>
        <w:autoSpaceDE w:val="0"/>
        <w:autoSpaceDN w:val="0"/>
        <w:spacing w:line="360" w:lineRule="auto"/>
        <w:ind w:firstLine="480" w:firstLineChars="200"/>
        <w:rPr>
          <w:rFonts w:ascii="宋体" w:hAnsi="宋体" w:cs="宋体"/>
          <w:color w:val="000000"/>
          <w:kern w:val="0"/>
        </w:rPr>
      </w:pPr>
      <w:bookmarkStart w:id="165" w:name="_Toc23469_WPSOffice_Level3"/>
      <w:r>
        <w:rPr>
          <w:rFonts w:hint="eastAsia" w:ascii="宋体" w:hAnsi="宋体" w:cs="宋体"/>
          <w:color w:val="000000"/>
          <w:kern w:val="0"/>
        </w:rPr>
        <w:t>未按照招标文件要求提供电子文档</w:t>
      </w:r>
      <w:r>
        <w:rPr>
          <w:rFonts w:hint="eastAsia" w:ascii="宋体" w:hAnsi="宋体" w:cs="宋体"/>
          <w:color w:val="000000"/>
          <w:kern w:val="0"/>
          <w:lang w:val="zh-CN"/>
        </w:rPr>
        <w:t>的。</w:t>
      </w:r>
      <w:bookmarkEnd w:id="165"/>
    </w:p>
    <w:p>
      <w:pPr>
        <w:pStyle w:val="2"/>
        <w:spacing w:line="360" w:lineRule="auto"/>
      </w:pPr>
      <w:bookmarkStart w:id="166" w:name="_Toc17592"/>
      <w:bookmarkStart w:id="167" w:name="_Toc9399"/>
      <w:bookmarkStart w:id="168" w:name="_Toc1385"/>
      <w:bookmarkStart w:id="169" w:name="_Toc2411"/>
      <w:bookmarkStart w:id="170" w:name="_Toc20966"/>
      <w:bookmarkStart w:id="171" w:name="_Toc12384"/>
      <w:r>
        <w:rPr>
          <w:rFonts w:hint="eastAsia"/>
          <w:lang w:val="zh-CN"/>
        </w:rPr>
        <w:t>七、评审程序及方法</w:t>
      </w:r>
      <w:bookmarkEnd w:id="166"/>
      <w:bookmarkEnd w:id="167"/>
      <w:bookmarkEnd w:id="168"/>
      <w:bookmarkEnd w:id="169"/>
      <w:bookmarkEnd w:id="170"/>
      <w:bookmarkEnd w:id="171"/>
    </w:p>
    <w:p>
      <w:pPr>
        <w:pStyle w:val="4"/>
        <w:spacing w:line="360" w:lineRule="auto"/>
        <w:rPr>
          <w:rFonts w:hint="default"/>
          <w:lang w:val="zh-CN"/>
        </w:rPr>
      </w:pPr>
      <w:bookmarkStart w:id="172" w:name="_Toc18616"/>
      <w:bookmarkStart w:id="173" w:name="_Toc32733"/>
      <w:bookmarkStart w:id="174" w:name="_Toc9368"/>
      <w:bookmarkStart w:id="175" w:name="_Toc342"/>
      <w:bookmarkStart w:id="176" w:name="_Toc8573"/>
      <w:bookmarkStart w:id="177" w:name="_Toc13246"/>
      <w:r>
        <w:rPr>
          <w:lang w:val="zh-CN"/>
        </w:rPr>
        <w:t>1</w:t>
      </w:r>
      <w:r>
        <w:t>8</w:t>
      </w:r>
      <w:r>
        <w:rPr>
          <w:lang w:val="zh-CN"/>
        </w:rPr>
        <w:t>.评标委员会</w:t>
      </w:r>
      <w:bookmarkEnd w:id="172"/>
      <w:bookmarkEnd w:id="173"/>
      <w:bookmarkEnd w:id="174"/>
      <w:bookmarkEnd w:id="175"/>
      <w:bookmarkEnd w:id="176"/>
      <w:bookmarkEnd w:id="17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采购代理机构负责组织评标工作，并履行下列职责：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18.2 评标委员会负责具体评标事务，并独立履行下列职责：</w:t>
      </w:r>
    </w:p>
    <w:p>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配合答复投标人的询问、质疑和投诉等事项,不得泄露评审文件、评审情况和在评审过程中获悉的商业秘密</w:t>
      </w:r>
      <w:r>
        <w:rPr>
          <w:rFonts w:hint="eastAsia" w:ascii="宋体" w:hAnsi="宋体" w:cs="宋体"/>
          <w:color w:val="000000"/>
          <w:kern w:val="0"/>
          <w:lang w:val="zh-CN"/>
        </w:rPr>
        <w:t>；</w:t>
      </w:r>
    </w:p>
    <w:p>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color w:val="000000"/>
          <w:kern w:val="0"/>
        </w:rPr>
      </w:pPr>
      <w:bookmarkStart w:id="178" w:name="_Toc5829_WPSOffice_Level3"/>
      <w:r>
        <w:rPr>
          <w:rFonts w:hint="eastAsia" w:ascii="宋体" w:hAnsi="宋体" w:cs="宋体"/>
          <w:color w:val="000000"/>
          <w:kern w:val="0"/>
        </w:rPr>
        <w:t>（1）采购预算金额在1000万元以上；</w:t>
      </w:r>
      <w:bookmarkEnd w:id="178"/>
    </w:p>
    <w:p>
      <w:pPr>
        <w:autoSpaceDE w:val="0"/>
        <w:autoSpaceDN w:val="0"/>
        <w:spacing w:line="360" w:lineRule="auto"/>
        <w:ind w:firstLine="480" w:firstLineChars="200"/>
        <w:rPr>
          <w:rFonts w:ascii="宋体" w:hAnsi="宋体" w:cs="宋体"/>
          <w:color w:val="000000"/>
          <w:kern w:val="0"/>
        </w:rPr>
      </w:pPr>
      <w:bookmarkStart w:id="179" w:name="_Toc14020_WPSOffice_Level3"/>
      <w:r>
        <w:rPr>
          <w:rFonts w:hint="eastAsia" w:ascii="宋体" w:hAnsi="宋体" w:cs="宋体"/>
          <w:color w:val="000000"/>
          <w:kern w:val="0"/>
        </w:rPr>
        <w:t>（2）技术复杂；</w:t>
      </w:r>
      <w:bookmarkEnd w:id="179"/>
    </w:p>
    <w:p>
      <w:pPr>
        <w:autoSpaceDE w:val="0"/>
        <w:autoSpaceDN w:val="0"/>
        <w:spacing w:line="360" w:lineRule="auto"/>
        <w:ind w:firstLine="480" w:firstLineChars="200"/>
        <w:rPr>
          <w:rFonts w:ascii="宋体" w:hAnsi="宋体" w:cs="宋体"/>
          <w:color w:val="000000"/>
          <w:kern w:val="0"/>
        </w:rPr>
      </w:pPr>
      <w:bookmarkStart w:id="180" w:name="_Toc10082_WPSOffice_Level3"/>
      <w:r>
        <w:rPr>
          <w:rFonts w:hint="eastAsia" w:ascii="宋体" w:hAnsi="宋体" w:cs="宋体"/>
          <w:color w:val="000000"/>
          <w:kern w:val="0"/>
        </w:rPr>
        <w:t>（3）社会影响较大。</w:t>
      </w:r>
      <w:bookmarkEnd w:id="180"/>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采购代理机构</w:t>
      </w:r>
      <w:r>
        <w:rPr>
          <w:rFonts w:hint="eastAsia" w:ascii="宋体" w:hAnsi="宋体" w:cs="宋体"/>
          <w:color w:val="000000"/>
          <w:kern w:val="0"/>
        </w:rPr>
        <w:t>应当从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w:t>
      </w:r>
      <w:r>
        <w:rPr>
          <w:rFonts w:hint="eastAsia" w:ascii="宋体" w:hAnsi="宋体" w:cs="宋体"/>
          <w:color w:val="000000"/>
          <w:kern w:val="0"/>
        </w:rPr>
        <w:t>应当将变更、重新组建评标委员会的情况予以记录，并随采购文件一并存档。</w:t>
      </w:r>
    </w:p>
    <w:p>
      <w:pPr>
        <w:pStyle w:val="4"/>
        <w:spacing w:line="360" w:lineRule="auto"/>
        <w:rPr>
          <w:rFonts w:hint="default"/>
          <w:lang w:val="zh-CN"/>
        </w:rPr>
      </w:pPr>
      <w:bookmarkStart w:id="181" w:name="_Toc5794"/>
      <w:bookmarkStart w:id="182" w:name="_Toc23388"/>
      <w:bookmarkStart w:id="183" w:name="_Toc17910"/>
      <w:bookmarkStart w:id="184" w:name="_Toc10442"/>
      <w:bookmarkStart w:id="185" w:name="_Toc16877"/>
      <w:bookmarkStart w:id="186" w:name="_Toc13495"/>
      <w:r>
        <w:t>19</w:t>
      </w:r>
      <w:r>
        <w:rPr>
          <w:lang w:val="zh-CN"/>
        </w:rPr>
        <w:t>.评审工作程序</w:t>
      </w:r>
      <w:bookmarkEnd w:id="181"/>
      <w:bookmarkEnd w:id="182"/>
      <w:bookmarkEnd w:id="183"/>
      <w:bookmarkEnd w:id="184"/>
      <w:bookmarkEnd w:id="185"/>
      <w:bookmarkEnd w:id="18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lang w:val="zh-CN"/>
        </w:rPr>
        <w:t>未按</w:t>
      </w:r>
      <w:r>
        <w:rPr>
          <w:rFonts w:hint="eastAsia" w:ascii="宋体" w:hAnsi="宋体" w:cs="宋体"/>
        </w:rPr>
        <w:t>招标文件</w:t>
      </w:r>
      <w:r>
        <w:rPr>
          <w:rFonts w:hint="eastAsia" w:ascii="宋体" w:hAnsi="宋体" w:cs="宋体"/>
          <w:color w:val="000000"/>
          <w:lang w:val="zh-CN"/>
        </w:rPr>
        <w:t>要求提供相关资料的；</w:t>
      </w:r>
    </w:p>
    <w:p>
      <w:pPr>
        <w:numPr>
          <w:ilvl w:val="0"/>
          <w:numId w:val="6"/>
        </w:numPr>
        <w:autoSpaceDE w:val="0"/>
        <w:autoSpaceDN w:val="0"/>
        <w:spacing w:line="360" w:lineRule="auto"/>
        <w:ind w:firstLine="480" w:firstLineChars="200"/>
        <w:rPr>
          <w:rFonts w:ascii="宋体" w:hAnsi="宋体" w:cs="宋体"/>
          <w:color w:val="000000"/>
        </w:rPr>
      </w:pPr>
      <w:r>
        <w:rPr>
          <w:rFonts w:hint="eastAsia" w:ascii="宋体" w:hAnsi="宋体" w:cs="宋体"/>
          <w:color w:val="000000"/>
        </w:rPr>
        <w:t>投标文件含有采购人不能接受的附加条件的；</w:t>
      </w:r>
    </w:p>
    <w:p>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产品交货时间不能满足招标文件要求的；</w:t>
      </w:r>
    </w:p>
    <w:p>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投标产品的技术规格、技术标准明显不符合采购项目要求的；</w:t>
      </w:r>
    </w:p>
    <w:p>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投标产品未完全满足招标文件确定的重要技术指标、参数的；</w:t>
      </w:r>
    </w:p>
    <w:p>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又不按19.1.1进行确认</w:t>
      </w:r>
      <w:r>
        <w:rPr>
          <w:rFonts w:ascii="宋体" w:hAnsi="宋体"/>
          <w:color w:val="000000"/>
        </w:rPr>
        <w:t>的；</w:t>
      </w:r>
    </w:p>
    <w:p>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评标委员会认为应按无效投标处理的其他情况；</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（11）法律、法规规定的其他情形。</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（12）投标人恶意低于成本价竞标的。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19.1.3 投标文件报价出现前后不一致的，按照下列规定修正：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同时出现两种以上不一致的，按照前款规定的顺序修正。修正后的报价按19.1.1的规定经投标人确认后产生约束力。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根据《政府采购促进中小企业发展</w:t>
      </w:r>
      <w:r>
        <w:rPr>
          <w:rFonts w:hint="eastAsia" w:ascii="宋体" w:hAnsi="宋体" w:cs="宋体"/>
          <w:color w:val="000000"/>
          <w:kern w:val="0"/>
          <w:lang w:val="en-US" w:eastAsia="zh-CN"/>
        </w:rPr>
        <w:t>管理</w:t>
      </w:r>
      <w:r>
        <w:rPr>
          <w:rFonts w:hint="eastAsia" w:ascii="宋体" w:hAnsi="宋体" w:cs="宋体"/>
          <w:color w:val="000000"/>
          <w:kern w:val="0"/>
          <w:lang w:val="zh-CN"/>
        </w:rPr>
        <w:t>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kern w:val="0"/>
        </w:rPr>
        <w:t>18</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4"/>
        <w:spacing w:line="360" w:lineRule="auto"/>
        <w:rPr>
          <w:rFonts w:hint="default"/>
          <w:lang w:val="zh-CN"/>
        </w:rPr>
      </w:pPr>
      <w:bookmarkStart w:id="187" w:name="_Toc1119"/>
      <w:bookmarkStart w:id="188" w:name="_Toc15535"/>
      <w:bookmarkStart w:id="189" w:name="_Toc11028"/>
      <w:bookmarkStart w:id="190" w:name="_Toc7062"/>
      <w:bookmarkStart w:id="191" w:name="_Toc11377"/>
      <w:bookmarkStart w:id="192" w:name="_Toc3497"/>
      <w:r>
        <w:t>20</w:t>
      </w:r>
      <w:r>
        <w:rPr>
          <w:lang w:val="zh-CN"/>
        </w:rPr>
        <w:t>.评审方法和标准</w:t>
      </w:r>
      <w:bookmarkEnd w:id="187"/>
      <w:bookmarkEnd w:id="188"/>
      <w:bookmarkEnd w:id="189"/>
      <w:bookmarkEnd w:id="190"/>
      <w:bookmarkEnd w:id="191"/>
      <w:bookmarkEnd w:id="192"/>
    </w:p>
    <w:p>
      <w:pPr>
        <w:autoSpaceDE w:val="0"/>
        <w:autoSpaceDN w:val="0"/>
        <w:spacing w:line="360" w:lineRule="auto"/>
        <w:ind w:firstLine="480" w:firstLineChars="200"/>
        <w:rPr>
          <w:rFonts w:ascii="宋体" w:hAnsi="宋体" w:cs="宋体"/>
          <w:color w:val="000000"/>
          <w:lang w:val="zh-CN"/>
        </w:rPr>
      </w:pPr>
      <w:r>
        <w:rPr>
          <w:rFonts w:hint="eastAsia" w:ascii="宋体" w:hAnsi="宋体" w:cs="宋体"/>
          <w:color w:val="000000"/>
        </w:rPr>
        <w:t>20</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依照《中华人民共和国政府采购法》</w:t>
      </w:r>
      <w:r>
        <w:rPr>
          <w:rFonts w:hint="eastAsia" w:ascii="宋体" w:hAnsi="宋体" w:cs="宋体"/>
          <w:color w:val="000000"/>
          <w:lang w:val="en-US" w:eastAsia="zh-CN"/>
        </w:rPr>
        <w:t xml:space="preserve"> </w:t>
      </w:r>
      <w:r>
        <w:rPr>
          <w:rFonts w:hint="eastAsia" w:ascii="宋体" w:hAnsi="宋体" w:cs="宋体"/>
          <w:color w:val="000000"/>
          <w:lang w:val="zh-CN"/>
        </w:rPr>
        <w:t>《中华人民共和国政府采购法实施条例》</w:t>
      </w:r>
      <w:r>
        <w:rPr>
          <w:rFonts w:hint="eastAsia" w:ascii="宋体" w:hAnsi="宋体" w:cs="宋体"/>
          <w:color w:val="000000"/>
          <w:lang w:val="en-US" w:eastAsia="zh-CN"/>
        </w:rPr>
        <w:t xml:space="preserve"> </w:t>
      </w:r>
      <w:r>
        <w:rPr>
          <w:rFonts w:hint="eastAsia" w:ascii="宋体" w:hAnsi="宋体" w:cs="宋体"/>
          <w:color w:val="000000"/>
          <w:lang w:val="zh-CN"/>
        </w:rPr>
        <w:t>《政府采购货物和服务招投标管理办法》等法律法规的规定，结合该项目的特点制定本评审办法。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20</w:t>
      </w:r>
      <w:r>
        <w:rPr>
          <w:rFonts w:hint="eastAsia" w:ascii="宋体" w:hAnsi="宋体" w:cs="宋体"/>
          <w:color w:val="000000"/>
          <w:lang w:val="zh-CN"/>
        </w:rPr>
        <w:t>.2</w:t>
      </w:r>
      <w:r>
        <w:rPr>
          <w:rFonts w:hint="eastAsia" w:ascii="宋体" w:hAnsi="宋体" w:cs="宋体"/>
          <w:color w:val="000000"/>
        </w:rPr>
        <w:t xml:space="preserve"> </w:t>
      </w:r>
      <w:r>
        <w:rPr>
          <w:rFonts w:hint="eastAsia" w:ascii="宋体" w:hAnsi="宋体" w:cs="宋体"/>
          <w:color w:val="000000"/>
          <w:lang w:val="zh-CN"/>
        </w:rPr>
        <w:t>本次评审方法采用综合评分法。</w:t>
      </w:r>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评审方法：采用</w:t>
      </w:r>
      <w:r>
        <w:rPr>
          <w:rFonts w:hint="eastAsia" w:ascii="宋体" w:hAnsi="宋体" w:cs="宋体"/>
          <w:b/>
          <w:bCs/>
          <w:color w:val="000000"/>
          <w:kern w:val="0"/>
          <w:lang w:val="zh-CN"/>
        </w:rPr>
        <w:t>综合评分法</w:t>
      </w:r>
    </w:p>
    <w:p>
      <w:pPr>
        <w:autoSpaceDE w:val="0"/>
        <w:autoSpaceDN w:val="0"/>
        <w:spacing w:line="360" w:lineRule="auto"/>
        <w:ind w:firstLine="480" w:firstLineChars="200"/>
        <w:rPr>
          <w:rFonts w:ascii="宋体" w:hAnsi="宋体" w:cs="宋体"/>
          <w:color w:val="000000"/>
          <w:shd w:val="clear" w:color="auto" w:fill="FFFFFF"/>
          <w:lang w:val="zh-CN"/>
        </w:rPr>
      </w:pPr>
      <w:r>
        <w:rPr>
          <w:rFonts w:hint="eastAsia" w:ascii="宋体" w:hAnsi="宋体" w:cs="宋体"/>
          <w:color w:val="000000"/>
          <w:lang w:val="zh-CN"/>
        </w:rPr>
        <w:t>综合评分法，</w:t>
      </w:r>
      <w:r>
        <w:rPr>
          <w:rFonts w:hint="eastAsia" w:ascii="宋体" w:hAnsi="宋体" w:cs="宋体"/>
          <w:color w:val="000000"/>
        </w:rPr>
        <w:t>是指投标文件满足招标文件全部实质性要求，且按照评审因素的量化指标评审得分最高的投标人为中标候选人的评标方法</w:t>
      </w:r>
      <w:r>
        <w:rPr>
          <w:rFonts w:hint="eastAsia" w:ascii="宋体" w:hAnsi="宋体" w:cs="宋体"/>
          <w:color w:val="000000"/>
          <w:lang w:val="zh-CN"/>
        </w:rPr>
        <w:t>。</w:t>
      </w:r>
    </w:p>
    <w:p>
      <w:pPr>
        <w:autoSpaceDE w:val="0"/>
        <w:autoSpaceDN w:val="0"/>
        <w:spacing w:line="360" w:lineRule="auto"/>
        <w:rPr>
          <w:rFonts w:ascii="宋体" w:hAnsi="宋体" w:cs="宋体"/>
          <w:kern w:val="0"/>
          <w:lang w:val="zh-CN"/>
        </w:rPr>
      </w:pPr>
      <w:r>
        <w:rPr>
          <w:rFonts w:hint="eastAsia" w:ascii="宋体" w:hAnsi="宋体" w:cs="宋体"/>
          <w:kern w:val="0"/>
          <w:lang w:val="zh-CN"/>
        </w:rPr>
        <w:t>评标标准和分值设置如下：</w:t>
      </w:r>
    </w:p>
    <w:p>
      <w:pPr>
        <w:pStyle w:val="13"/>
        <w:spacing w:line="360" w:lineRule="auto"/>
        <w:rPr>
          <w:b/>
          <w:bCs/>
          <w:sz w:val="28"/>
          <w:szCs w:val="28"/>
        </w:rPr>
      </w:pPr>
      <w:r>
        <w:rPr>
          <w:rFonts w:hint="eastAsia"/>
          <w:b/>
          <w:bCs/>
          <w:sz w:val="28"/>
          <w:szCs w:val="28"/>
        </w:rPr>
        <w:t>评审标准（包1-包</w:t>
      </w:r>
      <w:r>
        <w:rPr>
          <w:rFonts w:hint="eastAsia"/>
          <w:b/>
          <w:bCs/>
          <w:sz w:val="28"/>
          <w:szCs w:val="28"/>
          <w:lang w:val="en-US" w:eastAsia="zh-CN"/>
        </w:rPr>
        <w:t>3</w:t>
      </w:r>
      <w:r>
        <w:rPr>
          <w:rFonts w:hint="eastAsia"/>
          <w:b/>
          <w:bCs/>
          <w:sz w:val="28"/>
          <w:szCs w:val="28"/>
        </w:rPr>
        <w:t>）：</w:t>
      </w:r>
    </w:p>
    <w:tbl>
      <w:tblPr>
        <w:tblStyle w:val="22"/>
        <w:tblpPr w:leftFromText="180" w:rightFromText="180" w:vertAnchor="text" w:horzAnchor="page" w:tblpX="1517" w:tblpY="389"/>
        <w:tblOverlap w:val="never"/>
        <w:tblW w:w="9032" w:type="dxa"/>
        <w:tblInd w:w="0" w:type="dxa"/>
        <w:tblLayout w:type="fixed"/>
        <w:tblCellMar>
          <w:top w:w="0" w:type="dxa"/>
          <w:left w:w="108" w:type="dxa"/>
          <w:bottom w:w="0" w:type="dxa"/>
          <w:right w:w="108" w:type="dxa"/>
        </w:tblCellMar>
      </w:tblPr>
      <w:tblGrid>
        <w:gridCol w:w="878"/>
        <w:gridCol w:w="1425"/>
        <w:gridCol w:w="840"/>
        <w:gridCol w:w="5889"/>
      </w:tblGrid>
      <w:tr>
        <w:tblPrEx>
          <w:tblCellMar>
            <w:top w:w="0" w:type="dxa"/>
            <w:left w:w="108" w:type="dxa"/>
            <w:bottom w:w="0" w:type="dxa"/>
            <w:right w:w="108" w:type="dxa"/>
          </w:tblCellMar>
        </w:tblPrEx>
        <w:trPr>
          <w:trHeight w:val="485" w:hRule="atLeast"/>
        </w:trPr>
        <w:tc>
          <w:tcPr>
            <w:tcW w:w="878"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pPr>
              <w:autoSpaceDE w:val="0"/>
              <w:autoSpaceDN w:val="0"/>
              <w:adjustRightInd w:val="0"/>
              <w:spacing w:line="400" w:lineRule="exact"/>
              <w:jc w:val="cente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类别</w:t>
            </w:r>
          </w:p>
        </w:tc>
        <w:tc>
          <w:tcPr>
            <w:tcW w:w="1425"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pPr>
              <w:autoSpaceDE w:val="0"/>
              <w:autoSpaceDN w:val="0"/>
              <w:adjustRightInd w:val="0"/>
              <w:spacing w:line="400" w:lineRule="exact"/>
              <w:ind w:firstLine="480"/>
              <w:jc w:val="left"/>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项目</w:t>
            </w:r>
          </w:p>
        </w:tc>
        <w:tc>
          <w:tcPr>
            <w:tcW w:w="840"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pPr>
              <w:autoSpaceDE w:val="0"/>
              <w:autoSpaceDN w:val="0"/>
              <w:adjustRightInd w:val="0"/>
              <w:spacing w:line="400" w:lineRule="exact"/>
              <w:jc w:val="cente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满分 分值</w:t>
            </w:r>
          </w:p>
        </w:tc>
        <w:tc>
          <w:tcPr>
            <w:tcW w:w="5889"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pPr>
              <w:autoSpaceDE w:val="0"/>
              <w:autoSpaceDN w:val="0"/>
              <w:adjustRightInd w:val="0"/>
              <w:spacing w:line="400" w:lineRule="exact"/>
              <w:jc w:val="cente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评审标准</w:t>
            </w:r>
          </w:p>
        </w:tc>
      </w:tr>
      <w:tr>
        <w:tblPrEx>
          <w:tblCellMar>
            <w:top w:w="0" w:type="dxa"/>
            <w:left w:w="108" w:type="dxa"/>
            <w:bottom w:w="0" w:type="dxa"/>
            <w:right w:w="108" w:type="dxa"/>
          </w:tblCellMar>
        </w:tblPrEx>
        <w:trPr>
          <w:trHeight w:val="3790" w:hRule="atLeast"/>
        </w:trPr>
        <w:tc>
          <w:tcPr>
            <w:tcW w:w="878"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pPr>
              <w:autoSpaceDE w:val="0"/>
              <w:autoSpaceDN w:val="0"/>
              <w:adjustRightInd w:val="0"/>
              <w:spacing w:line="400" w:lineRule="exact"/>
              <w:jc w:val="cente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投标报价</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30</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分</w:t>
            </w:r>
          </w:p>
        </w:tc>
        <w:tc>
          <w:tcPr>
            <w:tcW w:w="1425"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pPr>
              <w:autoSpaceDE w:val="0"/>
              <w:autoSpaceDN w:val="0"/>
              <w:adjustRightInd w:val="0"/>
              <w:spacing w:line="400" w:lineRule="exact"/>
              <w:ind w:firstLine="120" w:firstLineChars="50"/>
              <w:jc w:val="cente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报价分</w:t>
            </w:r>
          </w:p>
        </w:tc>
        <w:tc>
          <w:tcPr>
            <w:tcW w:w="840"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pPr>
              <w:autoSpaceDE w:val="0"/>
              <w:autoSpaceDN w:val="0"/>
              <w:adjustRightInd w:val="0"/>
              <w:spacing w:line="400" w:lineRule="exact"/>
              <w:jc w:val="cente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30</w:t>
            </w:r>
          </w:p>
        </w:tc>
        <w:tc>
          <w:tcPr>
            <w:tcW w:w="5889"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pPr>
              <w:autoSpaceDE w:val="0"/>
              <w:autoSpaceDN w:val="0"/>
              <w:adjustRightInd w:val="0"/>
              <w:spacing w:line="400" w:lineRule="exact"/>
              <w:jc w:val="left"/>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在所有的有效投标报价中，以最低投标报价为基准价，其价格分为满分。其他投标人的报价分统一按下列公式计算：投标报价得分=(评标基准价／投标报价)×价格权值（</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30</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%）×100（四舍五入后保留小数点后两位）。</w:t>
            </w:r>
          </w:p>
          <w:p>
            <w:pPr>
              <w:autoSpaceDE w:val="0"/>
              <w:autoSpaceDN w:val="0"/>
              <w:adjustRightInd w:val="0"/>
              <w:spacing w:line="400" w:lineRule="exact"/>
              <w:jc w:val="left"/>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注：根据《政府采购促进中小企业发展管理办法》的相关规定，对小型和微型企业制造（生产）产品的价格给予</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10</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%的扣除，用扣除后的价格参与评审。</w:t>
            </w:r>
          </w:p>
          <w:p>
            <w:pPr>
              <w:autoSpaceDE w:val="0"/>
              <w:autoSpaceDN w:val="0"/>
              <w:adjustRightInd w:val="0"/>
              <w:spacing w:line="400" w:lineRule="exact"/>
              <w:jc w:val="left"/>
              <w:rPr>
                <w:rFonts w:hint="eastAsia" w:ascii="宋体" w:hAnsi="宋体" w:eastAsia="宋体" w:cs="宋体"/>
                <w:b w:val="0"/>
                <w:bCs w:val="0"/>
                <w:color w:val="000000"/>
                <w:kern w:val="2"/>
                <w:sz w:val="24"/>
                <w:szCs w:val="24"/>
                <w:highlight w:val="none"/>
                <w:shd w:val="clear" w:color="auto" w:fill="auto"/>
                <w:vertAlign w:val="baseline"/>
                <w:lang w:val="en-US"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残疾人福利性单位属于小型、微型企业的，不重复享受政策。</w:t>
            </w:r>
          </w:p>
        </w:tc>
      </w:tr>
      <w:tr>
        <w:tblPrEx>
          <w:tblCellMar>
            <w:top w:w="0" w:type="dxa"/>
            <w:left w:w="108" w:type="dxa"/>
            <w:bottom w:w="0" w:type="dxa"/>
            <w:right w:w="108" w:type="dxa"/>
          </w:tblCellMar>
        </w:tblPrEx>
        <w:trPr>
          <w:trHeight w:val="1402" w:hRule="atLeast"/>
        </w:trPr>
        <w:tc>
          <w:tcPr>
            <w:tcW w:w="878" w:type="dxa"/>
            <w:tcBorders>
              <w:top w:val="nil"/>
              <w:left w:val="single" w:color="000000" w:sz="6" w:space="0"/>
              <w:right w:val="single" w:color="000000" w:sz="6" w:space="0"/>
            </w:tcBorders>
            <w:shd w:val="clear" w:color="000000" w:fill="auto"/>
            <w:noWrap w:val="0"/>
            <w:vAlign w:val="center"/>
          </w:tcPr>
          <w:p>
            <w:pPr>
              <w:autoSpaceDE w:val="0"/>
              <w:autoSpaceDN w:val="0"/>
              <w:adjustRightInd w:val="0"/>
              <w:spacing w:line="400" w:lineRule="exact"/>
              <w:jc w:val="cente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履约能力</w:t>
            </w:r>
          </w:p>
          <w:p>
            <w:pPr>
              <w:autoSpaceDE w:val="0"/>
              <w:autoSpaceDN w:val="0"/>
              <w:adjustRightInd w:val="0"/>
              <w:spacing w:line="400" w:lineRule="exact"/>
              <w:jc w:val="cente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10</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分</w:t>
            </w:r>
          </w:p>
        </w:tc>
        <w:tc>
          <w:tcPr>
            <w:tcW w:w="1425" w:type="dxa"/>
            <w:tcBorders>
              <w:top w:val="single" w:color="000000" w:sz="6" w:space="0"/>
              <w:left w:val="single" w:color="000000" w:sz="6" w:space="0"/>
              <w:bottom w:val="single" w:color="auto" w:sz="4" w:space="0"/>
              <w:right w:val="single" w:color="000000" w:sz="6" w:space="0"/>
            </w:tcBorders>
            <w:shd w:val="clear" w:color="000000" w:fill="auto"/>
            <w:noWrap w:val="0"/>
            <w:vAlign w:val="center"/>
          </w:tcPr>
          <w:p>
            <w:pPr>
              <w:autoSpaceDE w:val="0"/>
              <w:autoSpaceDN w:val="0"/>
              <w:adjustRightInd w:val="0"/>
              <w:spacing w:line="400" w:lineRule="exact"/>
              <w:jc w:val="cente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p>
          <w:p>
            <w:pPr>
              <w:autoSpaceDE w:val="0"/>
              <w:autoSpaceDN w:val="0"/>
              <w:adjustRightInd w:val="0"/>
              <w:spacing w:line="400" w:lineRule="exact"/>
              <w:jc w:val="cente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业绩情况</w:t>
            </w:r>
          </w:p>
          <w:p>
            <w:pPr>
              <w:pStyle w:val="21"/>
              <w:ind w:firstLine="210"/>
              <w:jc w:val="cente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p>
        </w:tc>
        <w:tc>
          <w:tcPr>
            <w:tcW w:w="840" w:type="dxa"/>
            <w:tcBorders>
              <w:top w:val="single" w:color="000000" w:sz="6" w:space="0"/>
              <w:left w:val="single" w:color="000000" w:sz="6" w:space="0"/>
              <w:bottom w:val="single" w:color="auto" w:sz="4" w:space="0"/>
              <w:right w:val="single" w:color="000000" w:sz="6" w:space="0"/>
            </w:tcBorders>
            <w:shd w:val="clear" w:color="000000" w:fill="auto"/>
            <w:noWrap w:val="0"/>
            <w:vAlign w:val="center"/>
          </w:tcPr>
          <w:p>
            <w:pPr>
              <w:autoSpaceDE w:val="0"/>
              <w:autoSpaceDN w:val="0"/>
              <w:adjustRightInd w:val="0"/>
              <w:spacing w:line="400" w:lineRule="exact"/>
              <w:jc w:val="cente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10</w:t>
            </w:r>
          </w:p>
        </w:tc>
        <w:tc>
          <w:tcPr>
            <w:tcW w:w="5889"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pPr>
              <w:autoSpaceDE w:val="0"/>
              <w:autoSpaceDN w:val="0"/>
              <w:adjustRightInd w:val="0"/>
              <w:spacing w:line="400" w:lineRule="exact"/>
              <w:jc w:val="left"/>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auto"/>
                <w:kern w:val="2"/>
                <w:sz w:val="24"/>
                <w:szCs w:val="24"/>
                <w:highlight w:val="none"/>
                <w:shd w:val="clear" w:color="auto" w:fill="auto"/>
                <w:vertAlign w:val="baseline"/>
                <w:lang w:val="zh-CN" w:eastAsia="zh-CN" w:bidi="ar-SA"/>
              </w:rPr>
              <w:t>提供自201</w:t>
            </w:r>
            <w:r>
              <w:rPr>
                <w:rFonts w:hint="eastAsia" w:ascii="宋体" w:hAnsi="宋体" w:eastAsia="宋体" w:cs="宋体"/>
                <w:b w:val="0"/>
                <w:bCs w:val="0"/>
                <w:color w:val="auto"/>
                <w:kern w:val="2"/>
                <w:sz w:val="24"/>
                <w:szCs w:val="24"/>
                <w:highlight w:val="none"/>
                <w:shd w:val="clear" w:color="auto" w:fill="auto"/>
                <w:vertAlign w:val="baseline"/>
                <w:lang w:val="en-US" w:eastAsia="zh-CN" w:bidi="ar-SA"/>
              </w:rPr>
              <w:t>9</w:t>
            </w:r>
            <w:r>
              <w:rPr>
                <w:rFonts w:hint="eastAsia" w:ascii="宋体" w:hAnsi="宋体" w:eastAsia="宋体" w:cs="宋体"/>
                <w:b w:val="0"/>
                <w:bCs w:val="0"/>
                <w:color w:val="auto"/>
                <w:kern w:val="2"/>
                <w:sz w:val="24"/>
                <w:szCs w:val="24"/>
                <w:highlight w:val="none"/>
                <w:shd w:val="clear" w:color="auto" w:fill="auto"/>
                <w:vertAlign w:val="baseline"/>
                <w:lang w:val="zh-CN" w:eastAsia="zh-CN" w:bidi="ar-SA"/>
              </w:rPr>
              <w:t>年</w:t>
            </w:r>
            <w:r>
              <w:rPr>
                <w:rFonts w:hint="eastAsia" w:ascii="宋体" w:hAnsi="宋体" w:eastAsia="宋体" w:cs="宋体"/>
                <w:b w:val="0"/>
                <w:bCs w:val="0"/>
                <w:color w:val="auto"/>
                <w:kern w:val="2"/>
                <w:sz w:val="24"/>
                <w:szCs w:val="24"/>
                <w:highlight w:val="none"/>
                <w:shd w:val="clear" w:color="auto" w:fill="auto"/>
                <w:vertAlign w:val="baseline"/>
                <w:lang w:val="en-US" w:eastAsia="zh-CN" w:bidi="ar-SA"/>
              </w:rPr>
              <w:t>10月01日</w:t>
            </w:r>
            <w:r>
              <w:rPr>
                <w:rFonts w:hint="eastAsia" w:ascii="宋体" w:hAnsi="宋体" w:eastAsia="宋体" w:cs="宋体"/>
                <w:b w:val="0"/>
                <w:bCs w:val="0"/>
                <w:color w:val="auto"/>
                <w:kern w:val="2"/>
                <w:sz w:val="24"/>
                <w:szCs w:val="24"/>
                <w:highlight w:val="none"/>
                <w:shd w:val="clear" w:color="auto" w:fill="auto"/>
                <w:vertAlign w:val="baseline"/>
                <w:lang w:val="zh-CN" w:eastAsia="zh-CN" w:bidi="ar-SA"/>
              </w:rPr>
              <w:t>以来的</w:t>
            </w:r>
            <w:r>
              <w:rPr>
                <w:rFonts w:hint="eastAsia" w:ascii="宋体" w:hAnsi="宋体" w:eastAsia="宋体" w:cs="宋体"/>
                <w:b w:val="0"/>
                <w:bCs w:val="0"/>
                <w:color w:val="auto"/>
                <w:kern w:val="2"/>
                <w:sz w:val="24"/>
                <w:szCs w:val="24"/>
                <w:highlight w:val="none"/>
                <w:shd w:val="clear" w:color="auto" w:fill="auto"/>
                <w:vertAlign w:val="baseline"/>
                <w:lang w:val="en-US" w:eastAsia="zh-CN" w:bidi="ar-SA"/>
              </w:rPr>
              <w:t>同类</w:t>
            </w:r>
            <w:r>
              <w:rPr>
                <w:rFonts w:hint="eastAsia" w:ascii="宋体" w:hAnsi="宋体" w:eastAsia="宋体" w:cs="宋体"/>
                <w:b w:val="0"/>
                <w:bCs w:val="0"/>
                <w:color w:val="auto"/>
                <w:kern w:val="2"/>
                <w:sz w:val="24"/>
                <w:szCs w:val="24"/>
                <w:highlight w:val="none"/>
                <w:shd w:val="clear" w:color="auto" w:fill="auto"/>
                <w:vertAlign w:val="baseline"/>
                <w:lang w:val="zh-CN" w:eastAsia="zh-CN" w:bidi="ar-SA"/>
              </w:rPr>
              <w:t>业绩证明材料（需提供中标通知书</w:t>
            </w:r>
            <w:r>
              <w:rPr>
                <w:rFonts w:hint="eastAsia" w:ascii="宋体" w:hAnsi="宋体" w:eastAsia="宋体" w:cs="宋体"/>
                <w:b w:val="0"/>
                <w:bCs w:val="0"/>
                <w:color w:val="auto"/>
                <w:kern w:val="2"/>
                <w:sz w:val="24"/>
                <w:szCs w:val="24"/>
                <w:highlight w:val="none"/>
                <w:shd w:val="clear" w:color="auto" w:fill="auto"/>
                <w:vertAlign w:val="baseline"/>
                <w:lang w:val="en-US" w:eastAsia="zh-CN" w:bidi="ar-SA"/>
              </w:rPr>
              <w:t>及</w:t>
            </w:r>
            <w:r>
              <w:rPr>
                <w:rFonts w:hint="eastAsia" w:ascii="宋体" w:hAnsi="宋体" w:eastAsia="宋体" w:cs="宋体"/>
                <w:b w:val="0"/>
                <w:bCs w:val="0"/>
                <w:color w:val="auto"/>
                <w:kern w:val="2"/>
                <w:sz w:val="24"/>
                <w:szCs w:val="24"/>
                <w:highlight w:val="none"/>
                <w:shd w:val="clear" w:color="auto" w:fill="auto"/>
                <w:vertAlign w:val="baseline"/>
                <w:lang w:val="zh-CN" w:eastAsia="zh-CN" w:bidi="ar-SA"/>
              </w:rPr>
              <w:t>包含合同首页、标的金额所在页、供货合同签字盖章页）。每提供1项得</w:t>
            </w:r>
            <w:r>
              <w:rPr>
                <w:rFonts w:hint="eastAsia" w:ascii="宋体" w:hAnsi="宋体" w:eastAsia="宋体" w:cs="宋体"/>
                <w:b w:val="0"/>
                <w:bCs w:val="0"/>
                <w:color w:val="auto"/>
                <w:kern w:val="2"/>
                <w:sz w:val="24"/>
                <w:szCs w:val="24"/>
                <w:highlight w:val="none"/>
                <w:shd w:val="clear" w:color="auto" w:fill="auto"/>
                <w:vertAlign w:val="baseline"/>
                <w:lang w:val="en-US" w:eastAsia="zh-CN" w:bidi="ar-SA"/>
              </w:rPr>
              <w:t>2</w:t>
            </w:r>
            <w:r>
              <w:rPr>
                <w:rFonts w:hint="eastAsia" w:ascii="宋体" w:hAnsi="宋体" w:eastAsia="宋体" w:cs="宋体"/>
                <w:b w:val="0"/>
                <w:bCs w:val="0"/>
                <w:color w:val="auto"/>
                <w:kern w:val="2"/>
                <w:sz w:val="24"/>
                <w:szCs w:val="24"/>
                <w:highlight w:val="none"/>
                <w:shd w:val="clear" w:color="auto" w:fill="auto"/>
                <w:vertAlign w:val="baseline"/>
                <w:lang w:val="zh-CN" w:eastAsia="zh-CN" w:bidi="ar-SA"/>
              </w:rPr>
              <w:t>分</w:t>
            </w:r>
            <w:r>
              <w:rPr>
                <w:rFonts w:hint="eastAsia" w:ascii="宋体" w:hAnsi="宋体" w:eastAsia="宋体" w:cs="宋体"/>
                <w:b w:val="0"/>
                <w:bCs w:val="0"/>
                <w:color w:val="auto"/>
                <w:kern w:val="2"/>
                <w:sz w:val="24"/>
                <w:szCs w:val="24"/>
                <w:highlight w:val="none"/>
                <w:shd w:val="clear" w:color="auto" w:fill="auto"/>
                <w:vertAlign w:val="baseline"/>
                <w:lang w:val="en-US" w:eastAsia="zh-CN" w:bidi="ar-SA"/>
              </w:rPr>
              <w:t>,满分10分，</w:t>
            </w:r>
            <w:r>
              <w:rPr>
                <w:rFonts w:hint="eastAsia" w:ascii="宋体" w:hAnsi="宋体" w:eastAsia="宋体" w:cs="宋体"/>
                <w:b w:val="0"/>
                <w:bCs w:val="0"/>
                <w:color w:val="auto"/>
                <w:kern w:val="2"/>
                <w:sz w:val="24"/>
                <w:szCs w:val="24"/>
                <w:highlight w:val="none"/>
                <w:shd w:val="clear" w:color="auto" w:fill="auto"/>
                <w:vertAlign w:val="baseline"/>
                <w:lang w:val="zh-CN" w:eastAsia="zh-CN" w:bidi="ar-SA"/>
              </w:rPr>
              <w:t>不提供不得分。</w:t>
            </w:r>
          </w:p>
        </w:tc>
      </w:tr>
      <w:tr>
        <w:tblPrEx>
          <w:tblCellMar>
            <w:top w:w="0" w:type="dxa"/>
            <w:left w:w="108" w:type="dxa"/>
            <w:bottom w:w="0" w:type="dxa"/>
            <w:right w:w="108" w:type="dxa"/>
          </w:tblCellMar>
        </w:tblPrEx>
        <w:trPr>
          <w:trHeight w:val="845" w:hRule="atLeast"/>
        </w:trPr>
        <w:tc>
          <w:tcPr>
            <w:tcW w:w="878" w:type="dxa"/>
            <w:vMerge w:val="restart"/>
            <w:tcBorders>
              <w:top w:val="single" w:color="auto" w:sz="4" w:space="0"/>
              <w:left w:val="single" w:color="auto" w:sz="4" w:space="0"/>
              <w:right w:val="single" w:color="000000" w:sz="6" w:space="0"/>
            </w:tcBorders>
            <w:shd w:val="clear" w:color="000000" w:fill="auto"/>
            <w:noWrap w:val="0"/>
            <w:vAlign w:val="center"/>
          </w:tcPr>
          <w:p>
            <w:pPr>
              <w:autoSpaceDE w:val="0"/>
              <w:autoSpaceDN w:val="0"/>
              <w:adjustRightInd w:val="0"/>
              <w:spacing w:line="400" w:lineRule="exact"/>
              <w:jc w:val="cente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技术部分</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50分</w:t>
            </w:r>
          </w:p>
        </w:tc>
        <w:tc>
          <w:tcPr>
            <w:tcW w:w="1425" w:type="dxa"/>
            <w:tcBorders>
              <w:top w:val="single" w:color="auto" w:sz="4" w:space="0"/>
              <w:left w:val="single" w:color="000000" w:sz="6" w:space="0"/>
              <w:right w:val="single" w:color="auto" w:sz="4" w:space="0"/>
            </w:tcBorders>
            <w:shd w:val="clear" w:color="000000" w:fill="auto"/>
            <w:noWrap w:val="0"/>
            <w:vAlign w:val="center"/>
          </w:tcPr>
          <w:p>
            <w:pPr>
              <w:autoSpaceDE w:val="0"/>
              <w:autoSpaceDN w:val="0"/>
              <w:adjustRightInd w:val="0"/>
              <w:spacing w:line="400" w:lineRule="exact"/>
              <w:jc w:val="cente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技术参数</w:t>
            </w:r>
          </w:p>
        </w:tc>
        <w:tc>
          <w:tcPr>
            <w:tcW w:w="84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autoSpaceDE w:val="0"/>
              <w:autoSpaceDN w:val="0"/>
              <w:adjustRightInd w:val="0"/>
              <w:spacing w:line="400" w:lineRule="exact"/>
              <w:jc w:val="cente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30</w:t>
            </w:r>
          </w:p>
        </w:tc>
        <w:tc>
          <w:tcPr>
            <w:tcW w:w="5889" w:type="dxa"/>
            <w:tcBorders>
              <w:top w:val="single" w:color="000000" w:sz="6" w:space="0"/>
              <w:left w:val="single" w:color="auto" w:sz="4" w:space="0"/>
              <w:bottom w:val="single" w:color="000000" w:sz="6" w:space="0"/>
              <w:right w:val="single" w:color="000000" w:sz="6" w:space="0"/>
            </w:tcBorders>
            <w:shd w:val="clear" w:color="000000" w:fill="auto"/>
            <w:noWrap w:val="0"/>
            <w:vAlign w:val="center"/>
          </w:tcPr>
          <w:p>
            <w:pPr>
              <w:autoSpaceDE w:val="0"/>
              <w:autoSpaceDN w:val="0"/>
              <w:adjustRightInd w:val="0"/>
              <w:spacing w:line="400" w:lineRule="exact"/>
              <w:jc w:val="left"/>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投标产品技术参数和配置完全满足或高于投标文件要求的，得</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30</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分，每有一项负偏离扣</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1.5</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分；扣完为止。</w:t>
            </w:r>
          </w:p>
        </w:tc>
      </w:tr>
      <w:tr>
        <w:tblPrEx>
          <w:tblCellMar>
            <w:top w:w="0" w:type="dxa"/>
            <w:left w:w="108" w:type="dxa"/>
            <w:bottom w:w="0" w:type="dxa"/>
            <w:right w:w="108" w:type="dxa"/>
          </w:tblCellMar>
        </w:tblPrEx>
        <w:trPr>
          <w:trHeight w:val="90" w:hRule="atLeast"/>
        </w:trPr>
        <w:tc>
          <w:tcPr>
            <w:tcW w:w="878" w:type="dxa"/>
            <w:vMerge w:val="continue"/>
            <w:tcBorders>
              <w:left w:val="single" w:color="auto" w:sz="4" w:space="0"/>
              <w:right w:val="single" w:color="000000" w:sz="6" w:space="0"/>
            </w:tcBorders>
            <w:shd w:val="clear" w:color="000000" w:fill="auto"/>
            <w:noWrap w:val="0"/>
            <w:vAlign w:val="center"/>
          </w:tcPr>
          <w:p>
            <w:pPr>
              <w:autoSpaceDE w:val="0"/>
              <w:autoSpaceDN w:val="0"/>
              <w:adjustRightInd w:val="0"/>
              <w:spacing w:line="400" w:lineRule="exact"/>
              <w:jc w:val="left"/>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p>
        </w:tc>
        <w:tc>
          <w:tcPr>
            <w:tcW w:w="1425" w:type="dxa"/>
            <w:tcBorders>
              <w:top w:val="single" w:color="000000" w:sz="6" w:space="0"/>
              <w:left w:val="single" w:color="000000" w:sz="6" w:space="0"/>
              <w:bottom w:val="single" w:color="auto" w:sz="4" w:space="0"/>
              <w:right w:val="single" w:color="auto" w:sz="4" w:space="0"/>
            </w:tcBorders>
            <w:shd w:val="clear" w:color="000000" w:fill="auto"/>
            <w:noWrap w:val="0"/>
            <w:vAlign w:val="center"/>
          </w:tcPr>
          <w:p>
            <w:pPr>
              <w:autoSpaceDE w:val="0"/>
              <w:autoSpaceDN w:val="0"/>
              <w:adjustRightInd w:val="0"/>
              <w:spacing w:line="400" w:lineRule="exact"/>
              <w:jc w:val="cente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环保和节能</w:t>
            </w:r>
          </w:p>
        </w:tc>
        <w:tc>
          <w:tcPr>
            <w:tcW w:w="840" w:type="dxa"/>
            <w:tcBorders>
              <w:top w:val="single" w:color="auto" w:sz="4" w:space="0"/>
              <w:left w:val="single" w:color="auto" w:sz="4" w:space="0"/>
              <w:bottom w:val="single" w:color="000000" w:sz="6" w:space="0"/>
              <w:right w:val="single" w:color="000000" w:sz="6" w:space="0"/>
            </w:tcBorders>
            <w:shd w:val="clear" w:color="000000" w:fill="auto"/>
            <w:noWrap w:val="0"/>
            <w:vAlign w:val="center"/>
          </w:tcPr>
          <w:p>
            <w:pPr>
              <w:autoSpaceDE w:val="0"/>
              <w:autoSpaceDN w:val="0"/>
              <w:adjustRightInd w:val="0"/>
              <w:spacing w:line="400" w:lineRule="exact"/>
              <w:jc w:val="cente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4</w:t>
            </w:r>
          </w:p>
        </w:tc>
        <w:tc>
          <w:tcPr>
            <w:tcW w:w="5889"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pPr>
              <w:autoSpaceDE w:val="0"/>
              <w:autoSpaceDN w:val="0"/>
              <w:adjustRightInd w:val="0"/>
              <w:spacing w:line="400" w:lineRule="exact"/>
              <w:jc w:val="left"/>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所投产品为环保产品的，每提供1份得1分，满分</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2</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分；所投产品为节能产品的，每提供1份得1分，满分</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2</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分；未提供不得分。该项得分的认定以《国家节能产品认证证书》</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 xml:space="preserve"> </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《中国环境标志产品认证证书》或政府部门公布的《节能产品政府采购清单》</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 xml:space="preserve"> </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《环境标志产品政府采购清单》网页截屏为准。</w:t>
            </w:r>
          </w:p>
        </w:tc>
      </w:tr>
      <w:tr>
        <w:tblPrEx>
          <w:tblCellMar>
            <w:top w:w="0" w:type="dxa"/>
            <w:left w:w="108" w:type="dxa"/>
            <w:bottom w:w="0" w:type="dxa"/>
            <w:right w:w="108" w:type="dxa"/>
          </w:tblCellMar>
        </w:tblPrEx>
        <w:trPr>
          <w:trHeight w:val="392" w:hRule="atLeast"/>
        </w:trPr>
        <w:tc>
          <w:tcPr>
            <w:tcW w:w="878" w:type="dxa"/>
            <w:vMerge w:val="continue"/>
            <w:tcBorders>
              <w:left w:val="single" w:color="auto" w:sz="4" w:space="0"/>
              <w:right w:val="single" w:color="000000" w:sz="6" w:space="0"/>
            </w:tcBorders>
            <w:shd w:val="clear" w:color="000000" w:fill="auto"/>
            <w:noWrap w:val="0"/>
            <w:vAlign w:val="center"/>
          </w:tcPr>
          <w:p>
            <w:pPr>
              <w:autoSpaceDE w:val="0"/>
              <w:autoSpaceDN w:val="0"/>
              <w:adjustRightInd w:val="0"/>
              <w:spacing w:line="400" w:lineRule="exact"/>
              <w:jc w:val="left"/>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p>
        </w:tc>
        <w:tc>
          <w:tcPr>
            <w:tcW w:w="1425" w:type="dxa"/>
            <w:tcBorders>
              <w:top w:val="single" w:color="auto" w:sz="4" w:space="0"/>
              <w:left w:val="single" w:color="000000" w:sz="6" w:space="0"/>
              <w:bottom w:val="single" w:color="auto" w:sz="4" w:space="0"/>
              <w:right w:val="single" w:color="000000" w:sz="6" w:space="0"/>
            </w:tcBorders>
            <w:shd w:val="clear" w:color="000000" w:fill="auto"/>
            <w:noWrap w:val="0"/>
            <w:vAlign w:val="center"/>
          </w:tcPr>
          <w:p>
            <w:pPr>
              <w:autoSpaceDE w:val="0"/>
              <w:autoSpaceDN w:val="0"/>
              <w:adjustRightInd w:val="0"/>
              <w:spacing w:line="400" w:lineRule="exact"/>
              <w:jc w:val="cente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项目管理及实施方案</w:t>
            </w:r>
          </w:p>
        </w:tc>
        <w:tc>
          <w:tcPr>
            <w:tcW w:w="840" w:type="dxa"/>
            <w:tcBorders>
              <w:top w:val="single" w:color="auto" w:sz="4" w:space="0"/>
              <w:left w:val="single" w:color="000000" w:sz="6" w:space="0"/>
              <w:bottom w:val="single" w:color="000000" w:sz="6" w:space="0"/>
              <w:right w:val="single" w:color="000000" w:sz="6" w:space="0"/>
            </w:tcBorders>
            <w:shd w:val="clear" w:color="000000" w:fill="auto"/>
            <w:noWrap w:val="0"/>
            <w:vAlign w:val="center"/>
          </w:tcPr>
          <w:p>
            <w:pPr>
              <w:autoSpaceDE w:val="0"/>
              <w:autoSpaceDN w:val="0"/>
              <w:adjustRightInd w:val="0"/>
              <w:spacing w:line="400" w:lineRule="exact"/>
              <w:jc w:val="cente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10</w:t>
            </w:r>
          </w:p>
        </w:tc>
        <w:tc>
          <w:tcPr>
            <w:tcW w:w="5889" w:type="dxa"/>
            <w:tcBorders>
              <w:top w:val="single" w:color="auto" w:sz="4" w:space="0"/>
              <w:left w:val="single" w:color="000000" w:sz="6" w:space="0"/>
              <w:bottom w:val="single" w:color="000000" w:sz="6" w:space="0"/>
              <w:right w:val="single" w:color="000000" w:sz="6" w:space="0"/>
            </w:tcBorders>
            <w:shd w:val="clear" w:color="000000" w:fill="auto"/>
            <w:noWrap w:val="0"/>
            <w:vAlign w:val="center"/>
          </w:tcPr>
          <w:p>
            <w:pPr>
              <w:autoSpaceDE w:val="0"/>
              <w:autoSpaceDN w:val="0"/>
              <w:adjustRightInd w:val="0"/>
              <w:spacing w:line="400" w:lineRule="exact"/>
              <w:jc w:val="left"/>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设置了项目管理机构，并且有科学、具体的项目管理措施，包含：1</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实施计划2</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实施团队3</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实施进度4</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质量控制措施5</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安全保障措施。能够结合本项目特点制定实施方案，对实施方案的实际性和操作性提出多层次、多方面、多途径的方案，完全满足项目需求，得</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10</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分；对实施方案的实际性和操作性提出单一层面的计划性、系统性、专业化方案，基本满足项目需求，得</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7</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分；对实施方案的方案编制全面、详尽、完善，得</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3</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分；对实施方案的的编制内容不完善，操作性不强，得</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1</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分；未提供不得分。</w:t>
            </w:r>
          </w:p>
        </w:tc>
      </w:tr>
      <w:tr>
        <w:tblPrEx>
          <w:tblCellMar>
            <w:top w:w="0" w:type="dxa"/>
            <w:left w:w="108" w:type="dxa"/>
            <w:bottom w:w="0" w:type="dxa"/>
            <w:right w:w="108" w:type="dxa"/>
          </w:tblCellMar>
        </w:tblPrEx>
        <w:trPr>
          <w:trHeight w:val="843" w:hRule="atLeast"/>
        </w:trPr>
        <w:tc>
          <w:tcPr>
            <w:tcW w:w="878" w:type="dxa"/>
            <w:vMerge w:val="continue"/>
            <w:tcBorders>
              <w:left w:val="single" w:color="auto" w:sz="4" w:space="0"/>
              <w:right w:val="single" w:color="000000" w:sz="6" w:space="0"/>
            </w:tcBorders>
            <w:shd w:val="clear" w:color="000000" w:fill="auto"/>
            <w:noWrap w:val="0"/>
            <w:vAlign w:val="center"/>
          </w:tcPr>
          <w:p>
            <w:pPr>
              <w:autoSpaceDE w:val="0"/>
              <w:autoSpaceDN w:val="0"/>
              <w:adjustRightInd w:val="0"/>
              <w:spacing w:line="400" w:lineRule="exact"/>
              <w:jc w:val="left"/>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p>
        </w:tc>
        <w:tc>
          <w:tcPr>
            <w:tcW w:w="1425" w:type="dxa"/>
            <w:tcBorders>
              <w:top w:val="single" w:color="auto" w:sz="4" w:space="0"/>
              <w:left w:val="single" w:color="000000" w:sz="6" w:space="0"/>
              <w:bottom w:val="single" w:color="auto" w:sz="4" w:space="0"/>
              <w:right w:val="single" w:color="000000" w:sz="6" w:space="0"/>
            </w:tcBorders>
            <w:shd w:val="clear" w:color="000000" w:fill="auto"/>
            <w:noWrap w:val="0"/>
            <w:vAlign w:val="center"/>
          </w:tcPr>
          <w:p>
            <w:pPr>
              <w:autoSpaceDE w:val="0"/>
              <w:autoSpaceDN w:val="0"/>
              <w:adjustRightInd w:val="0"/>
              <w:spacing w:line="400" w:lineRule="exact"/>
              <w:jc w:val="cente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拟投入服务团队人员</w:t>
            </w:r>
          </w:p>
        </w:tc>
        <w:tc>
          <w:tcPr>
            <w:tcW w:w="840" w:type="dxa"/>
            <w:tcBorders>
              <w:top w:val="single" w:color="auto" w:sz="4" w:space="0"/>
              <w:left w:val="single" w:color="000000" w:sz="6" w:space="0"/>
              <w:bottom w:val="single" w:color="000000" w:sz="6" w:space="0"/>
              <w:right w:val="single" w:color="000000" w:sz="6" w:space="0"/>
            </w:tcBorders>
            <w:shd w:val="clear" w:color="000000" w:fill="auto"/>
            <w:noWrap w:val="0"/>
            <w:vAlign w:val="center"/>
          </w:tcPr>
          <w:p>
            <w:pPr>
              <w:autoSpaceDE w:val="0"/>
              <w:autoSpaceDN w:val="0"/>
              <w:adjustRightInd w:val="0"/>
              <w:spacing w:line="400" w:lineRule="exact"/>
              <w:jc w:val="cente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4</w:t>
            </w:r>
          </w:p>
        </w:tc>
        <w:tc>
          <w:tcPr>
            <w:tcW w:w="5889" w:type="dxa"/>
            <w:tcBorders>
              <w:top w:val="single" w:color="auto" w:sz="4" w:space="0"/>
              <w:left w:val="single" w:color="000000" w:sz="6" w:space="0"/>
              <w:bottom w:val="single" w:color="000000" w:sz="6" w:space="0"/>
              <w:right w:val="single" w:color="000000" w:sz="6" w:space="0"/>
            </w:tcBorders>
            <w:shd w:val="clear" w:color="000000" w:fill="auto"/>
            <w:noWrap w:val="0"/>
            <w:vAlign w:val="center"/>
          </w:tcPr>
          <w:p>
            <w:pPr>
              <w:autoSpaceDE w:val="0"/>
              <w:autoSpaceDN w:val="0"/>
              <w:adjustRightInd w:val="0"/>
              <w:spacing w:line="400" w:lineRule="exact"/>
              <w:jc w:val="left"/>
              <w:rPr>
                <w:rFonts w:hint="eastAsia" w:ascii="宋体" w:hAnsi="宋体" w:eastAsia="宋体" w:cs="宋体"/>
                <w:b w:val="0"/>
                <w:bCs w:val="0"/>
                <w:color w:val="000000"/>
                <w:kern w:val="2"/>
                <w:sz w:val="24"/>
                <w:szCs w:val="24"/>
                <w:highlight w:val="none"/>
                <w:shd w:val="clear" w:color="auto" w:fill="auto"/>
                <w:vertAlign w:val="baseline"/>
                <w:lang w:val="en-US"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拟投入项目服务团队人员每提供1人得1分，满分4分，未提供不得分（需提供相关人员近6个月内缴纳社保证明）</w:t>
            </w:r>
            <w:r>
              <w:rPr>
                <w:rFonts w:hint="eastAsia" w:ascii="宋体" w:hAnsi="宋体" w:cs="宋体"/>
                <w:b w:val="0"/>
                <w:bCs w:val="0"/>
                <w:color w:val="000000"/>
                <w:kern w:val="2"/>
                <w:sz w:val="24"/>
                <w:szCs w:val="24"/>
                <w:highlight w:val="none"/>
                <w:shd w:val="clear" w:color="auto" w:fill="auto"/>
                <w:vertAlign w:val="baseline"/>
                <w:lang w:val="en-US" w:eastAsia="zh-CN" w:bidi="ar-SA"/>
              </w:rPr>
              <w:t>。</w:t>
            </w:r>
          </w:p>
        </w:tc>
      </w:tr>
      <w:tr>
        <w:tblPrEx>
          <w:tblCellMar>
            <w:top w:w="0" w:type="dxa"/>
            <w:left w:w="108" w:type="dxa"/>
            <w:bottom w:w="0" w:type="dxa"/>
            <w:right w:w="108" w:type="dxa"/>
          </w:tblCellMar>
        </w:tblPrEx>
        <w:trPr>
          <w:trHeight w:val="431" w:hRule="atLeast"/>
        </w:trPr>
        <w:tc>
          <w:tcPr>
            <w:tcW w:w="878" w:type="dxa"/>
            <w:vMerge w:val="continue"/>
            <w:tcBorders>
              <w:left w:val="single" w:color="auto" w:sz="4" w:space="0"/>
              <w:right w:val="single" w:color="000000" w:sz="6" w:space="0"/>
            </w:tcBorders>
            <w:shd w:val="clear" w:color="000000" w:fill="auto"/>
            <w:noWrap w:val="0"/>
            <w:vAlign w:val="center"/>
          </w:tcPr>
          <w:p>
            <w:pPr>
              <w:autoSpaceDE w:val="0"/>
              <w:autoSpaceDN w:val="0"/>
              <w:adjustRightInd w:val="0"/>
              <w:spacing w:line="400" w:lineRule="exact"/>
              <w:jc w:val="left"/>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p>
        </w:tc>
        <w:tc>
          <w:tcPr>
            <w:tcW w:w="1425" w:type="dxa"/>
            <w:tcBorders>
              <w:top w:val="single" w:color="auto" w:sz="4" w:space="0"/>
              <w:left w:val="single" w:color="000000" w:sz="6" w:space="0"/>
              <w:bottom w:val="single" w:color="auto" w:sz="4" w:space="0"/>
              <w:right w:val="single" w:color="000000" w:sz="6" w:space="0"/>
            </w:tcBorders>
            <w:shd w:val="clear" w:color="000000" w:fill="auto"/>
            <w:noWrap w:val="0"/>
            <w:vAlign w:val="center"/>
          </w:tcPr>
          <w:p>
            <w:pPr>
              <w:autoSpaceDE w:val="0"/>
              <w:autoSpaceDN w:val="0"/>
              <w:adjustRightInd w:val="0"/>
              <w:spacing w:line="400" w:lineRule="exact"/>
              <w:jc w:val="cente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人员能力</w:t>
            </w:r>
          </w:p>
        </w:tc>
        <w:tc>
          <w:tcPr>
            <w:tcW w:w="840" w:type="dxa"/>
            <w:tcBorders>
              <w:top w:val="single" w:color="auto" w:sz="4" w:space="0"/>
              <w:left w:val="single" w:color="000000" w:sz="6" w:space="0"/>
              <w:bottom w:val="single" w:color="000000" w:sz="6" w:space="0"/>
              <w:right w:val="single" w:color="000000" w:sz="6" w:space="0"/>
            </w:tcBorders>
            <w:shd w:val="clear" w:color="000000" w:fill="auto"/>
            <w:noWrap w:val="0"/>
            <w:vAlign w:val="center"/>
          </w:tcPr>
          <w:p>
            <w:pPr>
              <w:autoSpaceDE w:val="0"/>
              <w:autoSpaceDN w:val="0"/>
              <w:adjustRightInd w:val="0"/>
              <w:spacing w:line="400" w:lineRule="exact"/>
              <w:jc w:val="cente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2</w:t>
            </w:r>
          </w:p>
        </w:tc>
        <w:tc>
          <w:tcPr>
            <w:tcW w:w="5889" w:type="dxa"/>
            <w:tcBorders>
              <w:top w:val="single" w:color="auto" w:sz="4" w:space="0"/>
              <w:left w:val="single" w:color="000000" w:sz="6" w:space="0"/>
              <w:bottom w:val="single" w:color="000000" w:sz="6" w:space="0"/>
              <w:right w:val="single" w:color="000000" w:sz="6" w:space="0"/>
            </w:tcBorders>
            <w:shd w:val="clear" w:color="000000" w:fill="auto"/>
            <w:noWrap w:val="0"/>
            <w:vAlign w:val="center"/>
          </w:tcPr>
          <w:p>
            <w:pPr>
              <w:autoSpaceDE w:val="0"/>
              <w:autoSpaceDN w:val="0"/>
              <w:adjustRightInd w:val="0"/>
              <w:spacing w:line="400" w:lineRule="exact"/>
              <w:jc w:val="left"/>
              <w:rPr>
                <w:rFonts w:hint="eastAsia" w:ascii="宋体" w:hAnsi="宋体" w:eastAsia="宋体" w:cs="宋体"/>
                <w:b w:val="0"/>
                <w:bCs w:val="0"/>
                <w:color w:val="000000"/>
                <w:kern w:val="2"/>
                <w:sz w:val="24"/>
                <w:szCs w:val="24"/>
                <w:highlight w:val="none"/>
                <w:shd w:val="clear" w:color="auto" w:fill="auto"/>
                <w:vertAlign w:val="baseline"/>
                <w:lang w:val="en-US"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服务团队人员具有相关专业能力，每提供1项得1分，满分2分，未提供不得分（需提供相关证书复印件及近6个月内缴纳社保证明）。</w:t>
            </w:r>
          </w:p>
        </w:tc>
      </w:tr>
      <w:tr>
        <w:tblPrEx>
          <w:tblCellMar>
            <w:top w:w="0" w:type="dxa"/>
            <w:left w:w="108" w:type="dxa"/>
            <w:bottom w:w="0" w:type="dxa"/>
            <w:right w:w="108" w:type="dxa"/>
          </w:tblCellMar>
        </w:tblPrEx>
        <w:trPr>
          <w:trHeight w:val="729" w:hRule="atLeast"/>
        </w:trPr>
        <w:tc>
          <w:tcPr>
            <w:tcW w:w="878" w:type="dxa"/>
            <w:tcBorders>
              <w:top w:val="single" w:color="auto" w:sz="4" w:space="0"/>
              <w:left w:val="single" w:color="000000" w:sz="6" w:space="0"/>
              <w:bottom w:val="single" w:color="auto" w:sz="4" w:space="0"/>
              <w:right w:val="single" w:color="000000" w:sz="6" w:space="0"/>
            </w:tcBorders>
            <w:shd w:val="clear" w:color="000000" w:fill="auto"/>
            <w:noWrap w:val="0"/>
            <w:vAlign w:val="center"/>
          </w:tcPr>
          <w:p>
            <w:pPr>
              <w:autoSpaceDE w:val="0"/>
              <w:autoSpaceDN w:val="0"/>
              <w:adjustRightInd w:val="0"/>
              <w:spacing w:line="400" w:lineRule="exact"/>
              <w:jc w:val="cente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售后服务</w:t>
            </w:r>
          </w:p>
          <w:p>
            <w:pPr>
              <w:autoSpaceDE w:val="0"/>
              <w:autoSpaceDN w:val="0"/>
              <w:adjustRightInd w:val="0"/>
              <w:spacing w:line="400" w:lineRule="exact"/>
              <w:jc w:val="cente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10</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分</w:t>
            </w:r>
          </w:p>
        </w:tc>
        <w:tc>
          <w:tcPr>
            <w:tcW w:w="1425" w:type="dxa"/>
            <w:tcBorders>
              <w:top w:val="single" w:color="000000" w:sz="6" w:space="0"/>
              <w:left w:val="single" w:color="000000" w:sz="6" w:space="0"/>
              <w:bottom w:val="single" w:color="auto" w:sz="4" w:space="0"/>
              <w:right w:val="single" w:color="000000" w:sz="6" w:space="0"/>
            </w:tcBorders>
            <w:shd w:val="clear" w:color="000000" w:fill="auto"/>
            <w:noWrap w:val="0"/>
            <w:vAlign w:val="center"/>
          </w:tcPr>
          <w:p>
            <w:pPr>
              <w:autoSpaceDE w:val="0"/>
              <w:autoSpaceDN w:val="0"/>
              <w:adjustRightInd w:val="0"/>
              <w:spacing w:line="400" w:lineRule="exact"/>
              <w:jc w:val="cente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售后服务</w:t>
            </w:r>
          </w:p>
          <w:p>
            <w:pPr>
              <w:autoSpaceDE w:val="0"/>
              <w:autoSpaceDN w:val="0"/>
              <w:adjustRightInd w:val="0"/>
              <w:spacing w:line="400" w:lineRule="exact"/>
              <w:jc w:val="cente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计划及措施</w:t>
            </w:r>
          </w:p>
        </w:tc>
        <w:tc>
          <w:tcPr>
            <w:tcW w:w="840" w:type="dxa"/>
            <w:tcBorders>
              <w:top w:val="single" w:color="000000" w:sz="6" w:space="0"/>
              <w:left w:val="single" w:color="000000" w:sz="6" w:space="0"/>
              <w:bottom w:val="single" w:color="auto" w:sz="4" w:space="0"/>
              <w:right w:val="single" w:color="000000" w:sz="6" w:space="0"/>
            </w:tcBorders>
            <w:shd w:val="clear" w:color="000000" w:fill="auto"/>
            <w:noWrap w:val="0"/>
            <w:vAlign w:val="center"/>
          </w:tcPr>
          <w:p>
            <w:pPr>
              <w:autoSpaceDE w:val="0"/>
              <w:autoSpaceDN w:val="0"/>
              <w:adjustRightInd w:val="0"/>
              <w:spacing w:line="400" w:lineRule="exact"/>
              <w:jc w:val="cente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10</w:t>
            </w:r>
          </w:p>
        </w:tc>
        <w:tc>
          <w:tcPr>
            <w:tcW w:w="5889" w:type="dxa"/>
            <w:tcBorders>
              <w:top w:val="single" w:color="000000" w:sz="6" w:space="0"/>
              <w:left w:val="single" w:color="000000" w:sz="6" w:space="0"/>
              <w:bottom w:val="single" w:color="auto" w:sz="4" w:space="0"/>
              <w:right w:val="single" w:color="000000" w:sz="6" w:space="0"/>
            </w:tcBorders>
            <w:shd w:val="clear" w:color="000000"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rPr>
                <w:rFonts w:hint="eastAsia" w:ascii="宋体" w:hAnsi="宋体" w:eastAsia="宋体" w:cs="宋体"/>
                <w:b w:val="0"/>
                <w:bCs w:val="0"/>
                <w:color w:val="000000"/>
                <w:kern w:val="2"/>
                <w:sz w:val="24"/>
                <w:szCs w:val="24"/>
                <w:highlight w:val="none"/>
                <w:shd w:val="clear" w:color="auto" w:fill="auto"/>
                <w:vertAlign w:val="baseline"/>
                <w:lang w:val="en-US"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（1）针对该项目须有完善的售后服务体系，包含：1.售后服务机构和人员；2.售后服务内容及流程；3.售后服务响应时间和质量；4.</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售后服务方式和特色及售后服务相关承诺。</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结合以上因素进行评价，</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售后服务计划及措施科学合理有效完全符合项目特点，售后服务机构和人员配备合理安排完整、售后服务内容和流程严谨有序、系统专业、售后服务响应时间和质量科学合理详尽可行，得</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6</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分；售后服务计划及措施科学合理有效部分符合项目特点，售后服务机构和人员配备、安排较合理完整、售后服务内容和流程全面完善、售后服务响应时间和质量具有操作性，得</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4</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分；售后服务计划及措施内容基本完善，售后服务机构和人员配备基本满足、售后服务内容和流程和售后服务响应时间和质量基本详尽，得</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1</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分；售后服务计划及措施内容不完善，操作性不强、售后服务机构和人员配备混乱、售后服务内容和流程和售后服务响应时间和质量不全面不详尽，得</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0.5</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分；未提供不得分。</w:t>
            </w:r>
          </w:p>
          <w:p>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rPr>
                <w:rFonts w:hint="eastAsia" w:ascii="宋体" w:hAnsi="宋体" w:eastAsia="宋体" w:cs="宋体"/>
                <w:b w:val="0"/>
                <w:bCs w:val="0"/>
                <w:color w:val="000000"/>
                <w:kern w:val="2"/>
                <w:sz w:val="24"/>
                <w:szCs w:val="24"/>
                <w:highlight w:val="none"/>
                <w:shd w:val="clear" w:color="auto" w:fill="auto"/>
                <w:vertAlign w:val="baseline"/>
                <w:lang w:val="en-US"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（2）针对该项目提供详尽的组织配送、验收等方面的服务能力、措施</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进行评价。承诺全面符合或优于要求的得</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4</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分；承诺较全面符合要求的得</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2.5</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分；承诺缺失不符合要求响应</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差</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的得</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0.5</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分。</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未提供或其他情况不得分</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w:t>
            </w:r>
          </w:p>
        </w:tc>
      </w:tr>
    </w:tbl>
    <w:p>
      <w:pPr>
        <w:autoSpaceDE w:val="0"/>
        <w:autoSpaceDN w:val="0"/>
        <w:spacing w:line="360" w:lineRule="auto"/>
        <w:rPr>
          <w:rFonts w:hint="eastAsia" w:ascii="宋体" w:hAnsi="宋体" w:cs="宋体"/>
          <w:color w:val="000000"/>
          <w:shd w:val="clear" w:color="auto" w:fill="FFFFFF"/>
        </w:rPr>
      </w:pP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lang w:val="en-US" w:eastAsia="zh-CN"/>
        </w:rPr>
        <w:t xml:space="preserve">20.3 </w:t>
      </w:r>
      <w:r>
        <w:rPr>
          <w:rFonts w:hint="eastAsia" w:ascii="宋体" w:hAnsi="宋体" w:cs="宋体"/>
          <w:color w:val="000000"/>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color w:val="000000"/>
          <w:shd w:val="clear" w:color="auto" w:fill="FFFFFF"/>
        </w:rPr>
      </w:pPr>
      <w:bookmarkStart w:id="193" w:name="_Toc22115_WPSOffice_Level3"/>
      <w:r>
        <w:rPr>
          <w:rFonts w:hint="eastAsia" w:ascii="宋体" w:hAnsi="宋体" w:cs="宋体"/>
          <w:color w:val="000000"/>
          <w:shd w:val="clear" w:color="auto" w:fill="FFFFFF"/>
        </w:rPr>
        <w:t>（1）分值汇总计算错误的；</w:t>
      </w:r>
      <w:bookmarkEnd w:id="193"/>
    </w:p>
    <w:p>
      <w:pPr>
        <w:autoSpaceDE w:val="0"/>
        <w:autoSpaceDN w:val="0"/>
        <w:spacing w:line="360" w:lineRule="auto"/>
        <w:ind w:firstLine="480" w:firstLineChars="200"/>
        <w:rPr>
          <w:rFonts w:ascii="宋体" w:hAnsi="宋体" w:cs="宋体"/>
          <w:color w:val="000000"/>
          <w:shd w:val="clear" w:color="auto" w:fill="FFFFFF"/>
        </w:rPr>
      </w:pPr>
      <w:bookmarkStart w:id="194" w:name="_Toc11973_WPSOffice_Level3"/>
      <w:r>
        <w:rPr>
          <w:rFonts w:hint="eastAsia" w:ascii="宋体" w:hAnsi="宋体" w:cs="宋体"/>
          <w:color w:val="000000"/>
          <w:shd w:val="clear" w:color="auto" w:fill="FFFFFF"/>
        </w:rPr>
        <w:t>（2）分项评分超出评分标准范围的；</w:t>
      </w:r>
      <w:bookmarkEnd w:id="194"/>
    </w:p>
    <w:p>
      <w:pPr>
        <w:autoSpaceDE w:val="0"/>
        <w:autoSpaceDN w:val="0"/>
        <w:spacing w:line="360" w:lineRule="auto"/>
        <w:ind w:firstLine="480" w:firstLineChars="200"/>
        <w:rPr>
          <w:rFonts w:ascii="宋体" w:hAnsi="宋体" w:cs="宋体"/>
          <w:color w:val="000000"/>
          <w:shd w:val="clear" w:color="auto" w:fill="FFFFFF"/>
        </w:rPr>
      </w:pPr>
      <w:bookmarkStart w:id="195" w:name="_Toc32161_WPSOffice_Level3"/>
      <w:r>
        <w:rPr>
          <w:rFonts w:hint="eastAsia" w:ascii="宋体" w:hAnsi="宋体" w:cs="宋体"/>
          <w:color w:val="000000"/>
          <w:shd w:val="clear" w:color="auto" w:fill="FFFFFF"/>
        </w:rPr>
        <w:t>（3）评标委员会成员对客观评审因素评分不一致的；</w:t>
      </w:r>
      <w:bookmarkEnd w:id="195"/>
    </w:p>
    <w:p>
      <w:pPr>
        <w:autoSpaceDE w:val="0"/>
        <w:autoSpaceDN w:val="0"/>
        <w:spacing w:line="360" w:lineRule="auto"/>
        <w:ind w:firstLine="480" w:firstLineChars="200"/>
        <w:rPr>
          <w:rFonts w:ascii="宋体" w:hAnsi="宋体" w:cs="宋体"/>
          <w:color w:val="000000"/>
          <w:shd w:val="clear" w:color="auto" w:fill="FFFFFF"/>
        </w:rPr>
      </w:pPr>
      <w:bookmarkStart w:id="196" w:name="_Toc12405_WPSOffice_Level3"/>
      <w:r>
        <w:rPr>
          <w:rFonts w:hint="eastAsia" w:ascii="宋体" w:hAnsi="宋体" w:cs="宋体"/>
          <w:color w:val="000000"/>
          <w:shd w:val="clear" w:color="auto" w:fill="FFFFFF"/>
        </w:rPr>
        <w:t>（4）经评标委员会认定评分畸高、畸低的。</w:t>
      </w:r>
      <w:bookmarkEnd w:id="196"/>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color w:val="000000"/>
          <w:lang w:val="zh-CN"/>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bookmarkStart w:id="197" w:name="_Toc23338"/>
    </w:p>
    <w:p>
      <w:pPr>
        <w:pStyle w:val="2"/>
        <w:spacing w:line="360" w:lineRule="auto"/>
        <w:rPr>
          <w:lang w:val="zh-CN"/>
        </w:rPr>
      </w:pPr>
      <w:bookmarkStart w:id="198" w:name="_Toc25750"/>
      <w:bookmarkStart w:id="199" w:name="_Toc5669"/>
      <w:bookmarkStart w:id="200" w:name="_Toc25707"/>
      <w:bookmarkStart w:id="201" w:name="_Toc10133"/>
      <w:bookmarkStart w:id="202" w:name="_Toc22320"/>
      <w:r>
        <w:rPr>
          <w:rFonts w:hint="eastAsia"/>
          <w:lang w:val="zh-CN"/>
        </w:rPr>
        <w:t>八、中标</w:t>
      </w:r>
      <w:bookmarkEnd w:id="197"/>
      <w:bookmarkEnd w:id="198"/>
      <w:bookmarkEnd w:id="199"/>
      <w:bookmarkEnd w:id="200"/>
      <w:bookmarkEnd w:id="201"/>
      <w:bookmarkEnd w:id="202"/>
    </w:p>
    <w:p>
      <w:pPr>
        <w:pStyle w:val="4"/>
        <w:spacing w:line="360" w:lineRule="auto"/>
        <w:rPr>
          <w:rFonts w:hint="default"/>
          <w:lang w:val="zh-CN"/>
        </w:rPr>
      </w:pPr>
      <w:bookmarkStart w:id="203" w:name="_Toc10348"/>
      <w:bookmarkStart w:id="204" w:name="_Toc17048"/>
      <w:bookmarkStart w:id="205" w:name="_Toc5993"/>
      <w:bookmarkStart w:id="206" w:name="_Toc15574"/>
      <w:bookmarkStart w:id="207" w:name="_Toc13030"/>
      <w:bookmarkStart w:id="208" w:name="_Toc18820"/>
      <w:r>
        <w:rPr>
          <w:lang w:val="zh-CN"/>
        </w:rPr>
        <w:t>2</w:t>
      </w:r>
      <w:r>
        <w:t>1</w:t>
      </w:r>
      <w:r>
        <w:rPr>
          <w:lang w:val="zh-CN"/>
        </w:rPr>
        <w:t>.推荐并确定中标人</w:t>
      </w:r>
      <w:bookmarkEnd w:id="203"/>
      <w:bookmarkEnd w:id="204"/>
      <w:bookmarkEnd w:id="205"/>
      <w:bookmarkEnd w:id="206"/>
      <w:bookmarkEnd w:id="207"/>
      <w:bookmarkEnd w:id="208"/>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21.2 采购人自行组织招标的，应当在评标结束后5个工作日内确定中标人。</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4"/>
        <w:spacing w:line="360" w:lineRule="auto"/>
        <w:rPr>
          <w:rFonts w:hint="default"/>
          <w:lang w:val="zh-CN"/>
        </w:rPr>
      </w:pPr>
      <w:bookmarkStart w:id="209" w:name="_Toc8213"/>
      <w:bookmarkStart w:id="210" w:name="_Toc27873"/>
      <w:bookmarkStart w:id="211" w:name="_Toc1032"/>
      <w:bookmarkStart w:id="212" w:name="_Toc4045"/>
      <w:bookmarkStart w:id="213" w:name="_Toc14939"/>
      <w:bookmarkStart w:id="214" w:name="_Toc31545"/>
      <w:r>
        <w:rPr>
          <w:lang w:val="zh-CN"/>
        </w:rPr>
        <w:t>2</w:t>
      </w:r>
      <w:r>
        <w:t>2</w:t>
      </w:r>
      <w:r>
        <w:rPr>
          <w:lang w:val="zh-CN"/>
        </w:rPr>
        <w:t>.中标通知</w:t>
      </w:r>
      <w:bookmarkEnd w:id="209"/>
      <w:bookmarkEnd w:id="210"/>
      <w:bookmarkEnd w:id="211"/>
      <w:bookmarkEnd w:id="212"/>
      <w:bookmarkEnd w:id="213"/>
      <w:bookmarkEnd w:id="214"/>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22.3 中标公告期限为1个工作日。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22.4 在公告中标结果的同时，采购代理机构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22.6 </w:t>
      </w:r>
      <w:r>
        <w:rPr>
          <w:rFonts w:hint="eastAsia" w:ascii="宋体" w:hAnsi="宋体" w:cs="宋体"/>
          <w:color w:val="000000"/>
          <w:kern w:val="0"/>
          <w:lang w:val="zh-CN"/>
        </w:rPr>
        <w:t>代理服务费收取</w:t>
      </w:r>
      <w:r>
        <w:rPr>
          <w:rFonts w:hint="eastAsia" w:ascii="宋体" w:hAnsi="宋体" w:cs="宋体"/>
          <w:color w:val="000000"/>
          <w:kern w:val="0"/>
        </w:rPr>
        <w:t xml:space="preserve">      </w:t>
      </w:r>
    </w:p>
    <w:p>
      <w:pPr>
        <w:autoSpaceDE w:val="0"/>
        <w:autoSpaceDN w:val="0"/>
        <w:spacing w:line="360" w:lineRule="auto"/>
        <w:ind w:firstLine="480" w:firstLineChars="200"/>
        <w:rPr>
          <w:rFonts w:hint="eastAsia" w:ascii="宋体" w:hAnsi="宋体" w:cs="宋体"/>
          <w:color w:val="000000"/>
          <w:kern w:val="0"/>
          <w:lang w:val="zh-CN"/>
        </w:rPr>
      </w:pPr>
      <w:bookmarkStart w:id="215" w:name="_Toc682"/>
      <w:r>
        <w:rPr>
          <w:rFonts w:hint="eastAsia" w:ascii="宋体" w:hAnsi="宋体" w:cs="宋体"/>
          <w:color w:val="000000"/>
          <w:kern w:val="0"/>
          <w:lang w:val="zh-CN"/>
        </w:rPr>
        <w:t>收取对象：中标人</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收取方式：转账</w:t>
      </w:r>
    </w:p>
    <w:p>
      <w:pPr>
        <w:autoSpaceDE w:val="0"/>
        <w:autoSpaceDN w:val="0"/>
        <w:spacing w:line="360" w:lineRule="auto"/>
        <w:ind w:firstLine="482" w:firstLineChars="200"/>
        <w:rPr>
          <w:rFonts w:ascii="宋体" w:hAnsi="宋体" w:cs="宋体"/>
          <w:b/>
          <w:iCs/>
          <w:color w:val="000000"/>
          <w:kern w:val="0"/>
          <w:lang w:val="zh-CN"/>
        </w:rPr>
      </w:pPr>
      <w:r>
        <w:rPr>
          <w:rFonts w:hint="eastAsia" w:ascii="宋体" w:hAnsi="宋体" w:cs="宋体"/>
          <w:b/>
          <w:iCs/>
          <w:color w:val="000000"/>
          <w:kern w:val="0"/>
          <w:lang w:val="zh-CN"/>
        </w:rPr>
        <w:t>收取单位：青海中旭工程项目管理有限公司</w:t>
      </w:r>
    </w:p>
    <w:p>
      <w:pPr>
        <w:autoSpaceDE w:val="0"/>
        <w:autoSpaceDN w:val="0"/>
        <w:spacing w:line="360" w:lineRule="auto"/>
        <w:ind w:firstLine="482" w:firstLineChars="200"/>
        <w:rPr>
          <w:rFonts w:ascii="宋体" w:hAnsi="宋体" w:cs="宋体"/>
          <w:b/>
          <w:iCs/>
          <w:color w:val="000000"/>
          <w:kern w:val="0"/>
          <w:lang w:val="zh-CN"/>
        </w:rPr>
      </w:pPr>
      <w:r>
        <w:rPr>
          <w:rFonts w:hint="eastAsia" w:ascii="宋体" w:hAnsi="宋体" w:cs="宋体"/>
          <w:b/>
          <w:iCs/>
          <w:color w:val="000000"/>
          <w:kern w:val="0"/>
          <w:lang w:val="zh-CN"/>
        </w:rPr>
        <w:t>开户银行：中国农业银行股份有限公司西宁城西区万达支行交通巷分理处</w:t>
      </w:r>
    </w:p>
    <w:p>
      <w:pPr>
        <w:autoSpaceDE w:val="0"/>
        <w:autoSpaceDN w:val="0"/>
        <w:spacing w:line="360" w:lineRule="auto"/>
        <w:ind w:firstLine="482" w:firstLineChars="200"/>
        <w:rPr>
          <w:rFonts w:hint="eastAsia" w:ascii="宋体" w:hAnsi="宋体" w:cs="宋体"/>
          <w:bCs/>
          <w:iCs/>
          <w:color w:val="000000"/>
          <w:kern w:val="0"/>
        </w:rPr>
      </w:pPr>
      <w:r>
        <w:rPr>
          <w:rFonts w:hint="eastAsia" w:ascii="宋体" w:hAnsi="宋体" w:cs="宋体"/>
          <w:b/>
          <w:iCs/>
          <w:color w:val="000000"/>
          <w:kern w:val="0"/>
          <w:lang w:val="zh-CN"/>
        </w:rPr>
        <w:t>代理服务费账号：28043001040001791（开户行号：103851004307）（代理服务费专用账号）</w:t>
      </w:r>
    </w:p>
    <w:p>
      <w:pPr>
        <w:autoSpaceDE w:val="0"/>
        <w:autoSpaceDN w:val="0"/>
        <w:spacing w:line="360" w:lineRule="auto"/>
        <w:ind w:firstLine="480" w:firstLineChars="200"/>
        <w:rPr>
          <w:rFonts w:hint="eastAsia" w:ascii="宋体" w:hAnsi="宋体" w:eastAsia="宋体" w:cs="宋体"/>
          <w:bCs/>
          <w:iCs/>
          <w:color w:val="000000"/>
          <w:kern w:val="0"/>
          <w:lang w:val="en-US" w:eastAsia="zh-CN"/>
        </w:rPr>
      </w:pPr>
      <w:r>
        <w:rPr>
          <w:rFonts w:hint="eastAsia" w:ascii="宋体" w:hAnsi="宋体" w:cs="宋体"/>
          <w:bCs/>
          <w:iCs/>
          <w:color w:val="000000"/>
          <w:kern w:val="0"/>
        </w:rPr>
        <w:t>收取金额：</w:t>
      </w:r>
      <w:r>
        <w:rPr>
          <w:rFonts w:hint="eastAsia" w:ascii="宋体" w:hAnsi="宋体" w:cs="宋体"/>
          <w:bCs/>
          <w:iCs/>
          <w:color w:val="000000"/>
          <w:kern w:val="0"/>
          <w:lang w:val="en-US" w:eastAsia="zh-CN"/>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pPr>
        <w:spacing w:line="360" w:lineRule="auto"/>
        <w:ind w:left="480" w:leftChars="200"/>
        <w:jc w:val="left"/>
        <w:rPr>
          <w:rFonts w:ascii="宋体" w:hAnsi="宋体" w:cs="宋体"/>
          <w:kern w:val="0"/>
        </w:rPr>
      </w:pPr>
      <w:bookmarkStart w:id="216" w:name="_Toc23093"/>
      <w:bookmarkStart w:id="217" w:name="_Toc28222"/>
      <w:bookmarkStart w:id="218" w:name="_Toc25929"/>
      <w:bookmarkStart w:id="219" w:name="_Toc23854"/>
      <w:bookmarkStart w:id="220" w:name="_Toc32361"/>
      <w:r>
        <w:rPr>
          <w:rFonts w:hint="eastAsia" w:ascii="宋体" w:hAnsi="宋体" w:cs="宋体"/>
          <w:kern w:val="0"/>
        </w:rPr>
        <w:t>由采购人自行招标的，中标人无需缴纳招标代理费。</w:t>
      </w:r>
    </w:p>
    <w:p>
      <w:pPr>
        <w:autoSpaceDE w:val="0"/>
        <w:autoSpaceDN w:val="0"/>
        <w:spacing w:line="360" w:lineRule="auto"/>
        <w:ind w:firstLine="480" w:firstLineChars="200"/>
      </w:pPr>
      <w:r>
        <w:rPr>
          <w:rFonts w:hint="eastAsia" w:ascii="宋体" w:hAnsi="宋体" w:cs="宋体"/>
          <w:kern w:val="0"/>
        </w:rPr>
        <w:t>招标代理服务费不足伍仟元的则按伍仟元整收取。</w:t>
      </w:r>
    </w:p>
    <w:p>
      <w:pPr>
        <w:pStyle w:val="2"/>
        <w:spacing w:line="360" w:lineRule="auto"/>
        <w:rPr>
          <w:lang w:val="zh-CN"/>
        </w:rPr>
      </w:pPr>
      <w:r>
        <w:rPr>
          <w:rFonts w:hint="eastAsia"/>
          <w:lang w:val="zh-CN"/>
        </w:rPr>
        <w:t>九、授予合同</w:t>
      </w:r>
      <w:bookmarkEnd w:id="215"/>
      <w:bookmarkEnd w:id="216"/>
      <w:bookmarkEnd w:id="217"/>
      <w:bookmarkEnd w:id="218"/>
      <w:bookmarkEnd w:id="219"/>
      <w:bookmarkEnd w:id="220"/>
    </w:p>
    <w:p>
      <w:pPr>
        <w:pStyle w:val="4"/>
        <w:spacing w:line="360" w:lineRule="auto"/>
        <w:rPr>
          <w:rFonts w:hint="default"/>
        </w:rPr>
      </w:pPr>
      <w:bookmarkStart w:id="221" w:name="_Toc26891"/>
      <w:bookmarkStart w:id="222" w:name="_Toc30880"/>
      <w:bookmarkStart w:id="223" w:name="_Toc11174"/>
      <w:bookmarkStart w:id="224" w:name="_Toc628"/>
      <w:bookmarkStart w:id="225" w:name="_Toc14658"/>
      <w:bookmarkStart w:id="226" w:name="_Toc18842"/>
      <w:r>
        <w:rPr>
          <w:lang w:val="zh-CN"/>
        </w:rPr>
        <w:t>2</w:t>
      </w:r>
      <w:r>
        <w:t>3</w:t>
      </w:r>
      <w:r>
        <w:rPr>
          <w:lang w:val="zh-CN"/>
        </w:rPr>
        <w:t>.签订合同</w:t>
      </w:r>
      <w:bookmarkEnd w:id="221"/>
      <w:bookmarkEnd w:id="222"/>
      <w:bookmarkEnd w:id="223"/>
      <w:bookmarkEnd w:id="224"/>
      <w:bookmarkEnd w:id="225"/>
      <w:bookmarkEnd w:id="226"/>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360" w:lineRule="auto"/>
        <w:ind w:firstLine="480" w:firstLineChars="200"/>
        <w:rPr>
          <w:rFonts w:ascii="宋体" w:hAnsi="宋体"/>
          <w:szCs w:val="2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 xml:space="preserve">.2 </w:t>
      </w:r>
      <w:r>
        <w:rPr>
          <w:rFonts w:hint="eastAsia" w:ascii="宋体" w:hAnsi="宋体"/>
          <w:szCs w:val="20"/>
        </w:rPr>
        <w:t>签订合同时，中标投标人应按规定向采购人提交履约保证金</w:t>
      </w:r>
      <w:r>
        <w:rPr>
          <w:rFonts w:hint="eastAsia" w:ascii="宋体" w:hAnsi="宋体" w:cs="宋体"/>
          <w:lang w:val="zh-CN"/>
        </w:rPr>
        <w:t>（履约保证金的数额合同总金额的</w:t>
      </w:r>
      <w:r>
        <w:rPr>
          <w:rFonts w:hint="eastAsia" w:ascii="宋体" w:hAnsi="宋体" w:cs="宋体"/>
        </w:rPr>
        <w:t>3</w:t>
      </w:r>
      <w:r>
        <w:rPr>
          <w:rFonts w:hint="eastAsia" w:ascii="宋体" w:hAnsi="宋体" w:cs="宋体"/>
          <w:lang w:val="zh-CN"/>
        </w:rPr>
        <w:t>%）</w:t>
      </w:r>
      <w:r>
        <w:rPr>
          <w:rFonts w:hint="eastAsia" w:ascii="宋体" w:hAnsi="宋体"/>
          <w:szCs w:val="20"/>
        </w:rPr>
        <w:t>，履约保证金须缴纳到采购人指定的账户。</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23.7</w:t>
      </w:r>
      <w:r>
        <w:rPr>
          <w:rFonts w:ascii="宋体" w:hAnsi="宋体" w:cs="宋体"/>
          <w:color w:val="000000"/>
          <w:kern w:val="0"/>
        </w:rPr>
        <w:t xml:space="preserve"> </w:t>
      </w:r>
      <w:r>
        <w:rPr>
          <w:rFonts w:hint="eastAsia"/>
          <w:color w:val="000000"/>
        </w:rPr>
        <w:t>采购人或者采购代理机构应当按照政府采购合同规定的技术、服务、安全标准组织对投标人履约情况进行验收，并出具验收书。验收书应当包括每一项技术、服务、安全标准的履约情况。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23.8</w:t>
      </w:r>
      <w:r>
        <w:rPr>
          <w:rFonts w:ascii="宋体" w:hAnsi="宋体" w:cs="宋体"/>
          <w:color w:val="000000"/>
          <w:kern w:val="0"/>
        </w:rPr>
        <w:t xml:space="preserve"> </w:t>
      </w:r>
      <w:r>
        <w:rPr>
          <w:rFonts w:hint="eastAsia" w:ascii="宋体" w:hAnsi="宋体" w:cs="宋体"/>
          <w:color w:val="000000"/>
          <w:kern w:val="0"/>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pPr>
        <w:pStyle w:val="2"/>
        <w:spacing w:line="360" w:lineRule="auto"/>
        <w:rPr>
          <w:lang w:val="zh-CN"/>
        </w:rPr>
      </w:pPr>
      <w:bookmarkStart w:id="227" w:name="_Toc21289"/>
      <w:bookmarkStart w:id="228" w:name="_Toc32098"/>
      <w:bookmarkStart w:id="229" w:name="_Toc6498"/>
      <w:bookmarkStart w:id="230" w:name="_Toc10985"/>
      <w:bookmarkStart w:id="231" w:name="_Toc10587"/>
      <w:bookmarkStart w:id="232" w:name="_Toc8233"/>
      <w:r>
        <w:rPr>
          <w:rFonts w:hint="eastAsia"/>
          <w:lang w:val="zh-CN"/>
        </w:rPr>
        <w:t>十、其他</w:t>
      </w:r>
      <w:bookmarkEnd w:id="227"/>
      <w:bookmarkEnd w:id="228"/>
      <w:bookmarkEnd w:id="229"/>
      <w:bookmarkEnd w:id="230"/>
      <w:bookmarkEnd w:id="231"/>
      <w:bookmarkEnd w:id="232"/>
    </w:p>
    <w:p>
      <w:pPr>
        <w:pStyle w:val="4"/>
        <w:spacing w:line="360" w:lineRule="auto"/>
        <w:rPr>
          <w:rFonts w:hint="default"/>
        </w:rPr>
      </w:pPr>
      <w:bookmarkStart w:id="233" w:name="_Toc10184"/>
      <w:bookmarkStart w:id="234" w:name="_Toc6734"/>
      <w:bookmarkStart w:id="235" w:name="_Toc32506"/>
      <w:bookmarkStart w:id="236" w:name="_Toc8585"/>
      <w:bookmarkStart w:id="237" w:name="_Toc428"/>
      <w:bookmarkStart w:id="238" w:name="_Toc30114"/>
      <w:r>
        <w:t>24. 串通投标的情形</w:t>
      </w:r>
      <w:bookmarkEnd w:id="233"/>
      <w:bookmarkEnd w:id="234"/>
      <w:bookmarkEnd w:id="235"/>
      <w:bookmarkEnd w:id="236"/>
      <w:bookmarkEnd w:id="237"/>
      <w:bookmarkEnd w:id="238"/>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4"/>
        <w:spacing w:line="360" w:lineRule="auto"/>
        <w:rPr>
          <w:rFonts w:hint="default"/>
        </w:rPr>
      </w:pPr>
      <w:bookmarkStart w:id="239" w:name="_Toc19265"/>
      <w:bookmarkStart w:id="240" w:name="_Toc12269"/>
      <w:bookmarkStart w:id="241" w:name="_Toc1206"/>
      <w:bookmarkStart w:id="242" w:name="_Toc11785"/>
      <w:bookmarkStart w:id="243" w:name="_Toc11801"/>
      <w:bookmarkStart w:id="244" w:name="_Toc30258"/>
      <w:r>
        <w:t>25. 废标</w:t>
      </w:r>
      <w:bookmarkEnd w:id="239"/>
      <w:bookmarkEnd w:id="240"/>
      <w:bookmarkEnd w:id="241"/>
      <w:bookmarkEnd w:id="242"/>
      <w:bookmarkEnd w:id="243"/>
      <w:bookmarkEnd w:id="244"/>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25.1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pPr>
        <w:pStyle w:val="4"/>
        <w:spacing w:line="360" w:lineRule="auto"/>
        <w:rPr>
          <w:rFonts w:hint="default"/>
        </w:rPr>
      </w:pPr>
      <w:bookmarkStart w:id="245" w:name="_Toc376936764"/>
      <w:bookmarkStart w:id="246" w:name="_Toc4217"/>
      <w:bookmarkStart w:id="247" w:name="_Toc10279"/>
      <w:bookmarkStart w:id="248" w:name="_Toc325726033"/>
      <w:bookmarkStart w:id="249" w:name="_Toc30277"/>
      <w:bookmarkStart w:id="250" w:name="_Toc2786"/>
      <w:bookmarkStart w:id="251" w:name="_Toc517790785"/>
      <w:bookmarkStart w:id="252" w:name="_Toc17085"/>
      <w:bookmarkStart w:id="253" w:name="_Toc5749"/>
      <w:r>
        <w:t>26. 处罚情形</w:t>
      </w:r>
      <w:bookmarkEnd w:id="245"/>
      <w:bookmarkEnd w:id="246"/>
      <w:bookmarkEnd w:id="247"/>
      <w:bookmarkEnd w:id="248"/>
      <w:bookmarkEnd w:id="249"/>
      <w:bookmarkEnd w:id="250"/>
      <w:bookmarkEnd w:id="251"/>
      <w:bookmarkEnd w:id="252"/>
      <w:bookmarkEnd w:id="253"/>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26.1有下列情形之一的，投标人的投标保证金不予退还；中标投标人的中标结果无效，履约保证金不予退还。</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（1）投标人在投标截止期后撤回其投标的；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（2）提供虚假材料谋取中标的；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（3）采取不正当手段诋毁、排挤其他投标人的；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（4）有恶意串通等不正当竞争行为的；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（5）中标后无正当理由拒不与采购人签订采购合同的；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（6）未按照招、投标文件确定的事项签订采购合同的；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（7）将采购合同转包的；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（8）提供假冒伪劣产品的；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（9）擅自变更、中止或者终止政府采购合同的；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（10）中标投标人签订合同后，因种种原因不能履约或无故拖延履约期的；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（11）法律、法规规定的其他情形的。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26.2出现上述情况，情节严重的，报省财政厅依法进行处理。</w:t>
      </w:r>
    </w:p>
    <w:p>
      <w:pPr>
        <w:pStyle w:val="4"/>
        <w:numPr>
          <w:ilvl w:val="0"/>
          <w:numId w:val="7"/>
        </w:numPr>
        <w:spacing w:line="360" w:lineRule="auto"/>
        <w:rPr>
          <w:rFonts w:hint="default"/>
        </w:rPr>
      </w:pPr>
      <w:bookmarkStart w:id="254" w:name="_Toc8188"/>
      <w:bookmarkStart w:id="255" w:name="_Toc18661"/>
      <w:bookmarkStart w:id="256" w:name="_Toc19200"/>
      <w:bookmarkStart w:id="257" w:name="_Toc32397"/>
      <w:bookmarkStart w:id="258" w:name="_Toc8379"/>
      <w:bookmarkStart w:id="259" w:name="_Toc9763"/>
      <w:r>
        <w:t>其他</w:t>
      </w:r>
      <w:bookmarkEnd w:id="254"/>
      <w:bookmarkEnd w:id="255"/>
      <w:bookmarkEnd w:id="256"/>
      <w:bookmarkEnd w:id="257"/>
      <w:bookmarkEnd w:id="258"/>
      <w:bookmarkEnd w:id="259"/>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其他未尽事宜，按照《中华人民共和国政府采购法</w:t>
      </w:r>
      <w:r>
        <w:rPr>
          <w:rFonts w:hint="eastAsia" w:ascii="宋体" w:hAnsi="宋体" w:cs="宋体"/>
          <w:color w:val="000000"/>
          <w:kern w:val="0"/>
          <w:lang w:eastAsia="zh-CN"/>
        </w:rPr>
        <w:t>》《</w:t>
      </w:r>
      <w:r>
        <w:rPr>
          <w:rFonts w:hint="eastAsia" w:ascii="宋体" w:hAnsi="宋体" w:cs="宋体"/>
          <w:color w:val="000000"/>
          <w:kern w:val="0"/>
        </w:rPr>
        <w:t>中华人民共和国</w:t>
      </w:r>
      <w:r>
        <w:rPr>
          <w:rFonts w:hint="eastAsia" w:ascii="宋体" w:hAnsi="宋体" w:cs="宋体"/>
          <w:color w:val="000000"/>
          <w:kern w:val="0"/>
          <w:lang w:eastAsia="zh-CN"/>
        </w:rPr>
        <w:t>民法典》《</w:t>
      </w:r>
      <w:r>
        <w:rPr>
          <w:rFonts w:hint="eastAsia" w:ascii="宋体" w:hAnsi="宋体" w:cs="宋体"/>
          <w:color w:val="000000"/>
          <w:kern w:val="0"/>
        </w:rPr>
        <w:t>中华人民共和国政府采购法实施条例》等法律法规及中华人民共和国财政部《政府采购货物和服务招标投标管理办法》的有关条款执行。</w:t>
      </w:r>
    </w:p>
    <w:p>
      <w:pPr>
        <w:autoSpaceDE w:val="0"/>
        <w:autoSpaceDN w:val="0"/>
        <w:spacing w:line="360" w:lineRule="auto"/>
        <w:ind w:firstLine="480" w:firstLineChars="200"/>
        <w:rPr>
          <w:rFonts w:ascii="宋体" w:hAnsi="宋体" w:cs="宋体"/>
          <w:color w:val="000000"/>
          <w:kern w:val="0"/>
        </w:rPr>
      </w:pPr>
    </w:p>
    <w:p>
      <w:pPr>
        <w:pStyle w:val="20"/>
        <w:spacing w:before="0" w:after="0" w:line="360" w:lineRule="auto"/>
        <w:rPr>
          <w:rFonts w:ascii="宋体" w:hAnsi="宋体" w:cs="宋体"/>
          <w:szCs w:val="36"/>
        </w:rPr>
      </w:pPr>
      <w:r>
        <w:rPr>
          <w:rFonts w:hint="eastAsia" w:ascii="宋体" w:hAnsi="宋体" w:cs="宋体"/>
          <w:color w:val="000000"/>
          <w:szCs w:val="36"/>
          <w:lang w:val="zh-CN"/>
        </w:rPr>
        <w:br w:type="page"/>
      </w:r>
      <w:bookmarkStart w:id="260" w:name="_Toc10590"/>
      <w:bookmarkStart w:id="261" w:name="_Toc12195"/>
      <w:bookmarkStart w:id="262" w:name="_Toc16615"/>
      <w:bookmarkStart w:id="263" w:name="_Toc17353"/>
      <w:bookmarkStart w:id="264" w:name="_Toc24367"/>
      <w:bookmarkStart w:id="265" w:name="_Toc21418"/>
      <w:r>
        <w:rPr>
          <w:rFonts w:hint="eastAsia" w:ascii="宋体" w:hAnsi="宋体" w:cs="宋体"/>
          <w:color w:val="000000"/>
          <w:szCs w:val="36"/>
          <w:lang w:val="zh-CN"/>
        </w:rPr>
        <w:t>第三部分</w:t>
      </w:r>
      <w:bookmarkEnd w:id="260"/>
      <w:r>
        <w:rPr>
          <w:rFonts w:hint="eastAsia" w:ascii="宋体" w:hAnsi="宋体" w:cs="宋体"/>
          <w:szCs w:val="36"/>
        </w:rPr>
        <w:t xml:space="preserve"> </w:t>
      </w:r>
      <w:r>
        <w:rPr>
          <w:rFonts w:hint="eastAsia" w:ascii="宋体" w:hAnsi="宋体" w:cs="宋体"/>
          <w:szCs w:val="36"/>
          <w:lang w:val="zh-CN"/>
        </w:rPr>
        <w:t>青海省政府采购项目合同书范本</w:t>
      </w:r>
      <w:bookmarkEnd w:id="261"/>
      <w:bookmarkEnd w:id="262"/>
      <w:bookmarkEnd w:id="263"/>
      <w:bookmarkEnd w:id="264"/>
      <w:bookmarkEnd w:id="265"/>
    </w:p>
    <w:p>
      <w:pPr>
        <w:autoSpaceDE w:val="0"/>
        <w:autoSpaceDN w:val="0"/>
        <w:adjustRightInd w:val="0"/>
        <w:spacing w:line="360" w:lineRule="auto"/>
        <w:jc w:val="center"/>
        <w:outlineLvl w:val="1"/>
        <w:rPr>
          <w:rFonts w:ascii="宋体" w:hAnsi="宋体" w:cs="宋体"/>
          <w:b/>
          <w:bCs/>
          <w:kern w:val="0"/>
          <w:sz w:val="36"/>
          <w:szCs w:val="36"/>
        </w:rPr>
      </w:pPr>
      <w:bookmarkStart w:id="266" w:name="_Toc6346"/>
      <w:bookmarkStart w:id="267" w:name="_Toc1459_WPSOffice_Level2"/>
      <w:r>
        <w:rPr>
          <w:rFonts w:hint="eastAsia" w:ascii="宋体" w:hAnsi="宋体" w:cs="宋体"/>
          <w:b/>
          <w:bCs/>
          <w:kern w:val="0"/>
          <w:sz w:val="36"/>
          <w:szCs w:val="36"/>
          <w:lang w:val="zh-CN"/>
        </w:rPr>
        <w:t>（货物类）</w:t>
      </w:r>
      <w:bookmarkEnd w:id="266"/>
      <w:bookmarkEnd w:id="267"/>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36"/>
          <w:szCs w:val="36"/>
        </w:rPr>
      </w:pPr>
    </w:p>
    <w:p>
      <w:pPr>
        <w:autoSpaceDE w:val="0"/>
        <w:autoSpaceDN w:val="0"/>
        <w:adjustRightInd w:val="0"/>
        <w:spacing w:line="360" w:lineRule="auto"/>
        <w:jc w:val="center"/>
        <w:outlineLvl w:val="1"/>
        <w:rPr>
          <w:rFonts w:ascii="宋体" w:hAnsi="宋体" w:cs="宋体"/>
          <w:b/>
          <w:bCs/>
          <w:kern w:val="0"/>
          <w:sz w:val="36"/>
          <w:szCs w:val="36"/>
        </w:rPr>
      </w:pPr>
      <w:bookmarkStart w:id="268" w:name="_Toc30762_WPSOffice_Level2"/>
      <w:bookmarkStart w:id="269" w:name="_Toc4297"/>
      <w:r>
        <w:rPr>
          <w:rFonts w:hint="eastAsia" w:ascii="宋体" w:hAnsi="宋体" w:cs="宋体"/>
          <w:b/>
          <w:bCs/>
          <w:kern w:val="0"/>
          <w:sz w:val="36"/>
          <w:szCs w:val="36"/>
          <w:lang w:val="zh-CN"/>
        </w:rPr>
        <w:t>青海省政府采购项目合同书</w:t>
      </w:r>
      <w:bookmarkEnd w:id="268"/>
      <w:bookmarkEnd w:id="269"/>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outlineLvl w:val="2"/>
        <w:rPr>
          <w:rFonts w:ascii="宋体" w:hAnsi="宋体" w:cs="宋体"/>
          <w:b/>
          <w:bCs/>
          <w:kern w:val="0"/>
          <w:sz w:val="30"/>
          <w:szCs w:val="30"/>
          <w:u w:val="single"/>
        </w:rPr>
      </w:pPr>
      <w:bookmarkStart w:id="270" w:name="_Toc16919"/>
      <w:bookmarkStart w:id="271" w:name="_Toc884_WPSOffice_Level3"/>
      <w:r>
        <w:rPr>
          <w:rFonts w:hint="eastAsia" w:ascii="宋体" w:hAnsi="宋体" w:cs="宋体"/>
          <w:b/>
          <w:bCs/>
          <w:kern w:val="0"/>
          <w:sz w:val="30"/>
          <w:szCs w:val="30"/>
          <w:lang w:val="zh-CN"/>
        </w:rPr>
        <w:t>采购项目编号：</w:t>
      </w:r>
      <w:bookmarkEnd w:id="270"/>
      <w:bookmarkEnd w:id="271"/>
      <w:r>
        <w:rPr>
          <w:rFonts w:hint="eastAsia" w:ascii="宋体" w:hAnsi="宋体" w:cs="宋体"/>
          <w:kern w:val="0"/>
          <w:sz w:val="30"/>
          <w:szCs w:val="30"/>
          <w:u w:val="single"/>
        </w:rPr>
        <w:t xml:space="preserve">    </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eastAsia="zh-CN"/>
        </w:rPr>
        <w:t>青海中旭公招（货物）2022-045</w:t>
      </w:r>
      <w:r>
        <w:rPr>
          <w:rFonts w:hint="eastAsia" w:ascii="宋体" w:hAnsi="宋体" w:cs="宋体"/>
          <w:kern w:val="0"/>
          <w:sz w:val="30"/>
          <w:szCs w:val="30"/>
          <w:u w:val="single"/>
        </w:rPr>
        <w:t xml:space="preserve">        </w:t>
      </w:r>
    </w:p>
    <w:p>
      <w:pPr>
        <w:autoSpaceDE w:val="0"/>
        <w:autoSpaceDN w:val="0"/>
        <w:adjustRightInd w:val="0"/>
        <w:spacing w:line="360" w:lineRule="auto"/>
        <w:outlineLvl w:val="2"/>
        <w:rPr>
          <w:rFonts w:ascii="宋体" w:hAnsi="宋体" w:cs="宋体"/>
          <w:b/>
          <w:bCs/>
          <w:kern w:val="0"/>
          <w:sz w:val="30"/>
          <w:szCs w:val="30"/>
          <w:u w:val="single"/>
        </w:rPr>
      </w:pPr>
      <w:bookmarkStart w:id="272" w:name="_Toc7789"/>
      <w:bookmarkStart w:id="273" w:name="_Toc10995_WPSOffice_Level3"/>
      <w:r>
        <w:rPr>
          <w:rFonts w:hint="eastAsia" w:ascii="宋体" w:hAnsi="宋体" w:cs="宋体"/>
          <w:b/>
          <w:bCs/>
          <w:kern w:val="0"/>
          <w:sz w:val="30"/>
          <w:szCs w:val="30"/>
          <w:lang w:val="zh-CN"/>
        </w:rPr>
        <w:t>采购项目名称：</w:t>
      </w:r>
      <w:bookmarkEnd w:id="272"/>
      <w:bookmarkEnd w:id="273"/>
      <w:bookmarkStart w:id="274" w:name="_Toc27185_WPSOffice_Level3"/>
      <w:r>
        <w:rPr>
          <w:rFonts w:hint="eastAsia" w:ascii="宋体" w:hAnsi="宋体" w:cs="宋体"/>
          <w:kern w:val="0"/>
          <w:sz w:val="30"/>
          <w:szCs w:val="30"/>
          <w:u w:val="single"/>
        </w:rPr>
        <w:t xml:space="preserve">                                         </w:t>
      </w:r>
    </w:p>
    <w:p>
      <w:pPr>
        <w:autoSpaceDE w:val="0"/>
        <w:autoSpaceDN w:val="0"/>
        <w:adjustRightInd w:val="0"/>
        <w:spacing w:line="360" w:lineRule="auto"/>
        <w:outlineLvl w:val="2"/>
        <w:rPr>
          <w:rFonts w:hint="default" w:ascii="宋体" w:hAnsi="宋体" w:eastAsia="宋体" w:cs="宋体"/>
          <w:kern w:val="0"/>
          <w:sz w:val="30"/>
          <w:szCs w:val="30"/>
          <w:u w:val="single"/>
          <w:lang w:val="en-US" w:eastAsia="zh-CN"/>
        </w:rPr>
      </w:pPr>
      <w:bookmarkStart w:id="275" w:name="_Toc5846"/>
      <w:r>
        <w:rPr>
          <w:rFonts w:hint="eastAsia" w:ascii="宋体" w:hAnsi="宋体" w:cs="宋体"/>
          <w:b/>
          <w:bCs/>
          <w:kern w:val="0"/>
          <w:sz w:val="30"/>
          <w:szCs w:val="30"/>
          <w:lang w:val="zh-CN"/>
        </w:rPr>
        <w:t>采购合同编号：</w:t>
      </w:r>
      <w:bookmarkEnd w:id="274"/>
      <w:r>
        <w:rPr>
          <w:rFonts w:hint="eastAsia" w:ascii="宋体" w:hAnsi="宋体" w:cs="宋体"/>
          <w:kern w:val="0"/>
          <w:sz w:val="30"/>
          <w:szCs w:val="30"/>
          <w:u w:val="single"/>
        </w:rPr>
        <w:t xml:space="preserve">    </w:t>
      </w:r>
      <w:r>
        <w:rPr>
          <w:rFonts w:hint="eastAsia" w:ascii="宋体" w:hAnsi="宋体" w:cs="宋体"/>
          <w:b/>
          <w:bCs/>
          <w:kern w:val="0"/>
          <w:sz w:val="30"/>
          <w:szCs w:val="30"/>
          <w:u w:val="single"/>
        </w:rPr>
        <w:t>QHZX-2022-0</w:t>
      </w:r>
      <w:bookmarkEnd w:id="275"/>
      <w:r>
        <w:rPr>
          <w:rFonts w:hint="eastAsia" w:ascii="宋体" w:hAnsi="宋体" w:cs="宋体"/>
          <w:b/>
          <w:bCs/>
          <w:kern w:val="0"/>
          <w:sz w:val="30"/>
          <w:szCs w:val="30"/>
          <w:u w:val="single"/>
          <w:lang w:val="en-US" w:eastAsia="zh-CN"/>
        </w:rPr>
        <w:t>45</w:t>
      </w:r>
      <w:r>
        <w:rPr>
          <w:rFonts w:hint="eastAsia" w:ascii="宋体" w:hAnsi="宋体" w:cs="宋体"/>
          <w:b/>
          <w:bCs/>
          <w:kern w:val="0"/>
          <w:sz w:val="30"/>
          <w:szCs w:val="30"/>
          <w:u w:val="single"/>
        </w:rPr>
        <w:t>-1/2/3</w:t>
      </w:r>
      <w:r>
        <w:rPr>
          <w:rFonts w:hint="eastAsia" w:ascii="宋体" w:hAnsi="宋体" w:cs="宋体"/>
          <w:b/>
          <w:bCs/>
          <w:kern w:val="0"/>
          <w:sz w:val="30"/>
          <w:szCs w:val="30"/>
          <w:u w:val="single"/>
          <w:lang w:val="en-US" w:eastAsia="zh-CN"/>
        </w:rPr>
        <w:t xml:space="preserve">                  </w:t>
      </w:r>
    </w:p>
    <w:p>
      <w:pPr>
        <w:autoSpaceDE w:val="0"/>
        <w:autoSpaceDN w:val="0"/>
        <w:adjustRightInd w:val="0"/>
        <w:spacing w:line="360" w:lineRule="auto"/>
        <w:outlineLvl w:val="2"/>
        <w:rPr>
          <w:rFonts w:ascii="宋体" w:hAnsi="宋体" w:cs="宋体"/>
          <w:b/>
          <w:bCs/>
          <w:kern w:val="0"/>
          <w:sz w:val="30"/>
          <w:szCs w:val="30"/>
        </w:rPr>
      </w:pPr>
      <w:bookmarkStart w:id="276" w:name="_Toc1459_WPSOffice_Level3"/>
      <w:bookmarkStart w:id="277" w:name="_Toc10955"/>
      <w:r>
        <w:rPr>
          <w:rFonts w:hint="eastAsia" w:ascii="宋体" w:hAnsi="宋体" w:cs="宋体"/>
          <w:b/>
          <w:bCs/>
          <w:kern w:val="0"/>
          <w:sz w:val="30"/>
          <w:szCs w:val="30"/>
          <w:lang w:val="zh-CN"/>
        </w:rPr>
        <w:t>合同金额（人民币）：</w:t>
      </w:r>
      <w:bookmarkEnd w:id="276"/>
      <w:bookmarkEnd w:id="277"/>
      <w:r>
        <w:rPr>
          <w:rFonts w:hint="eastAsia" w:ascii="宋体" w:hAnsi="宋体" w:cs="宋体"/>
          <w:b/>
          <w:bCs/>
          <w:kern w:val="0"/>
          <w:sz w:val="30"/>
          <w:szCs w:val="30"/>
          <w:u w:val="single"/>
        </w:rPr>
        <w:t xml:space="preserve">                                   </w:t>
      </w:r>
    </w:p>
    <w:p>
      <w:pPr>
        <w:autoSpaceDE w:val="0"/>
        <w:autoSpaceDN w:val="0"/>
        <w:adjustRightInd w:val="0"/>
        <w:spacing w:line="360" w:lineRule="auto"/>
        <w:outlineLvl w:val="2"/>
        <w:rPr>
          <w:rFonts w:ascii="宋体" w:hAnsi="宋体" w:cs="宋体"/>
          <w:b/>
          <w:bCs/>
          <w:kern w:val="0"/>
          <w:sz w:val="30"/>
          <w:szCs w:val="30"/>
        </w:rPr>
      </w:pPr>
      <w:bookmarkStart w:id="278" w:name="_Toc18190"/>
      <w:bookmarkStart w:id="279" w:name="_Toc30762_WPSOffice_Level3"/>
      <w:r>
        <w:rPr>
          <w:rFonts w:hint="eastAsia" w:ascii="宋体" w:hAnsi="宋体" w:cs="宋体"/>
          <w:b/>
          <w:bCs/>
          <w:kern w:val="0"/>
          <w:sz w:val="30"/>
          <w:szCs w:val="30"/>
          <w:lang w:val="zh-CN"/>
        </w:rPr>
        <w:t>采购人（甲方）：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bookmarkEnd w:id="278"/>
      <w:bookmarkEnd w:id="279"/>
      <w:r>
        <w:rPr>
          <w:rFonts w:hint="eastAsia" w:ascii="宋体" w:hAnsi="宋体" w:cs="宋体"/>
          <w:b/>
          <w:bCs/>
          <w:kern w:val="0"/>
          <w:sz w:val="30"/>
          <w:szCs w:val="30"/>
          <w:u w:val="single"/>
        </w:rPr>
        <w:t xml:space="preserve">        </w:t>
      </w:r>
    </w:p>
    <w:p>
      <w:pPr>
        <w:autoSpaceDE w:val="0"/>
        <w:autoSpaceDN w:val="0"/>
        <w:adjustRightInd w:val="0"/>
        <w:spacing w:line="360" w:lineRule="auto"/>
        <w:outlineLvl w:val="2"/>
        <w:rPr>
          <w:rFonts w:ascii="宋体" w:hAnsi="宋体" w:cs="宋体"/>
          <w:b/>
          <w:bCs/>
          <w:kern w:val="0"/>
          <w:sz w:val="30"/>
          <w:szCs w:val="30"/>
        </w:rPr>
      </w:pPr>
      <w:bookmarkStart w:id="280" w:name="_Toc15062"/>
      <w:bookmarkStart w:id="281" w:name="_Toc8132_WPSOffice_Level3"/>
      <w:r>
        <w:rPr>
          <w:rFonts w:hint="eastAsia" w:ascii="宋体" w:hAnsi="宋体" w:cs="宋体"/>
          <w:b/>
          <w:bCs/>
          <w:kern w:val="0"/>
          <w:sz w:val="30"/>
          <w:szCs w:val="30"/>
          <w:lang w:val="zh-CN"/>
        </w:rPr>
        <w:t>中标人（乙方）：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bookmarkEnd w:id="280"/>
      <w:bookmarkEnd w:id="281"/>
      <w:r>
        <w:rPr>
          <w:rFonts w:hint="eastAsia" w:ascii="宋体" w:hAnsi="宋体" w:cs="宋体"/>
          <w:b/>
          <w:bCs/>
          <w:kern w:val="0"/>
          <w:sz w:val="30"/>
          <w:szCs w:val="30"/>
          <w:u w:val="single"/>
        </w:rPr>
        <w:t xml:space="preserve">        </w:t>
      </w:r>
    </w:p>
    <w:p>
      <w:pPr>
        <w:autoSpaceDE w:val="0"/>
        <w:autoSpaceDN w:val="0"/>
        <w:adjustRightInd w:val="0"/>
        <w:spacing w:line="360" w:lineRule="auto"/>
        <w:outlineLvl w:val="2"/>
        <w:rPr>
          <w:rFonts w:ascii="宋体" w:hAnsi="宋体" w:cs="宋体"/>
          <w:b/>
          <w:bCs/>
          <w:kern w:val="0"/>
          <w:sz w:val="30"/>
          <w:szCs w:val="30"/>
        </w:rPr>
      </w:pPr>
      <w:bookmarkStart w:id="282" w:name="_Toc551_WPSOffice_Level3"/>
      <w:bookmarkStart w:id="283" w:name="_Toc21240"/>
      <w:r>
        <w:rPr>
          <w:rFonts w:hint="eastAsia" w:ascii="宋体" w:hAnsi="宋体" w:cs="宋体"/>
          <w:b/>
          <w:bCs/>
          <w:kern w:val="0"/>
          <w:sz w:val="30"/>
          <w:szCs w:val="30"/>
          <w:lang w:val="zh-CN"/>
        </w:rPr>
        <w:t>采购日期：</w:t>
      </w:r>
      <w:bookmarkEnd w:id="282"/>
      <w:bookmarkEnd w:id="283"/>
      <w:r>
        <w:rPr>
          <w:rFonts w:hint="eastAsia" w:ascii="宋体" w:hAnsi="宋体" w:cs="宋体"/>
          <w:b/>
          <w:bCs/>
          <w:kern w:val="0"/>
          <w:sz w:val="30"/>
          <w:szCs w:val="30"/>
          <w:u w:val="single"/>
        </w:rPr>
        <w:t xml:space="preserve">                                             </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jc w:val="left"/>
        <w:rPr>
          <w:rFonts w:ascii="宋体" w:hAnsi="宋体" w:cs="宋体"/>
          <w:b/>
          <w:bCs/>
          <w:kern w:val="0"/>
        </w:rPr>
      </w:pPr>
      <w:r>
        <w:rPr>
          <w:rFonts w:hint="eastAsia" w:ascii="宋体" w:hAnsi="宋体" w:cs="宋体"/>
          <w:kern w:val="0"/>
          <w:sz w:val="28"/>
          <w:szCs w:val="28"/>
        </w:rPr>
        <w:br w:type="page"/>
      </w:r>
      <w:r>
        <w:rPr>
          <w:rFonts w:hint="eastAsia" w:ascii="宋体" w:hAnsi="宋体" w:cs="宋体"/>
          <w:b/>
          <w:bCs/>
          <w:kern w:val="0"/>
          <w:lang w:val="zh-CN"/>
        </w:rPr>
        <w:t>采</w:t>
      </w:r>
      <w:r>
        <w:rPr>
          <w:rFonts w:hint="eastAsia" w:ascii="宋体" w:hAnsi="宋体" w:cs="宋体"/>
          <w:b/>
          <w:bCs/>
          <w:kern w:val="0"/>
        </w:rPr>
        <w:t xml:space="preserve"> </w:t>
      </w:r>
      <w:r>
        <w:rPr>
          <w:rFonts w:hint="eastAsia" w:ascii="宋体" w:hAnsi="宋体" w:cs="宋体"/>
          <w:b/>
          <w:bCs/>
          <w:kern w:val="0"/>
          <w:lang w:val="zh-CN"/>
        </w:rPr>
        <w:t>购</w:t>
      </w:r>
      <w:r>
        <w:rPr>
          <w:rFonts w:hint="eastAsia" w:ascii="宋体" w:hAnsi="宋体" w:cs="宋体"/>
          <w:b/>
          <w:bCs/>
          <w:kern w:val="0"/>
        </w:rPr>
        <w:t xml:space="preserve"> </w:t>
      </w:r>
      <w:r>
        <w:rPr>
          <w:rFonts w:hint="eastAsia" w:ascii="宋体" w:hAnsi="宋体" w:cs="宋体"/>
          <w:b/>
          <w:bCs/>
          <w:kern w:val="0"/>
          <w:lang w:val="zh-CN"/>
        </w:rPr>
        <w:t>人（以下简称甲方）：</w:t>
      </w:r>
    </w:p>
    <w:p>
      <w:pPr>
        <w:autoSpaceDE w:val="0"/>
        <w:autoSpaceDN w:val="0"/>
        <w:adjustRightInd w:val="0"/>
        <w:spacing w:line="360" w:lineRule="auto"/>
        <w:rPr>
          <w:rFonts w:ascii="宋体" w:hAnsi="宋体" w:cs="宋体"/>
          <w:kern w:val="0"/>
        </w:rPr>
      </w:pPr>
      <w:r>
        <w:rPr>
          <w:rFonts w:hint="eastAsia" w:ascii="宋体" w:hAnsi="宋体" w:cs="宋体"/>
          <w:b/>
          <w:bCs/>
          <w:kern w:val="0"/>
          <w:lang w:val="zh-CN"/>
        </w:rPr>
        <w:t>中</w:t>
      </w:r>
      <w:r>
        <w:rPr>
          <w:rFonts w:hint="eastAsia" w:ascii="宋体" w:hAnsi="宋体" w:cs="宋体"/>
          <w:b/>
          <w:bCs/>
          <w:kern w:val="0"/>
        </w:rPr>
        <w:t xml:space="preserve"> </w:t>
      </w:r>
      <w:r>
        <w:rPr>
          <w:rFonts w:hint="eastAsia" w:ascii="宋体" w:hAnsi="宋体" w:cs="宋体"/>
          <w:b/>
          <w:bCs/>
          <w:kern w:val="0"/>
          <w:lang w:val="zh-CN"/>
        </w:rPr>
        <w:t>标</w:t>
      </w:r>
      <w:r>
        <w:rPr>
          <w:rFonts w:hint="eastAsia" w:ascii="宋体" w:hAnsi="宋体" w:cs="宋体"/>
          <w:b/>
          <w:bCs/>
          <w:kern w:val="0"/>
        </w:rPr>
        <w:t xml:space="preserve"> </w:t>
      </w:r>
      <w:r>
        <w:rPr>
          <w:rFonts w:hint="eastAsia" w:ascii="宋体" w:hAnsi="宋体" w:cs="宋体"/>
          <w:b/>
          <w:bCs/>
          <w:kern w:val="0"/>
          <w:lang w:val="zh-CN"/>
        </w:rPr>
        <w:t>人（以下简称乙方）：</w:t>
      </w:r>
    </w:p>
    <w:p>
      <w:pPr>
        <w:pStyle w:val="12"/>
        <w:spacing w:after="0" w:line="360" w:lineRule="auto"/>
        <w:ind w:left="0" w:leftChars="0"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甲、乙双方根据XXXX年XX月XX日（采购项目名称）采购项目（采购项目编号）的招标文件要求和采购代理机构出具的《中标通知书》，并经双方协商一致，签订本合同协议书。</w:t>
      </w:r>
    </w:p>
    <w:p>
      <w:pPr>
        <w:autoSpaceDE w:val="0"/>
        <w:autoSpaceDN w:val="0"/>
        <w:spacing w:line="360" w:lineRule="auto"/>
        <w:outlineLvl w:val="2"/>
        <w:rPr>
          <w:rFonts w:hint="eastAsia" w:asciiTheme="minorEastAsia" w:hAnsiTheme="minorEastAsia" w:eastAsiaTheme="minorEastAsia" w:cstheme="minorEastAsia"/>
          <w:kern w:val="0"/>
          <w:sz w:val="24"/>
          <w:szCs w:val="24"/>
          <w:lang w:val="zh-CN"/>
        </w:rPr>
      </w:pPr>
      <w:bookmarkStart w:id="284" w:name="_Toc3293_WPSOffice_Level3"/>
      <w:bookmarkStart w:id="285" w:name="_Toc2193"/>
      <w:r>
        <w:rPr>
          <w:rFonts w:hint="eastAsia" w:asciiTheme="minorEastAsia" w:hAnsiTheme="minorEastAsia" w:eastAsiaTheme="minorEastAsia" w:cstheme="minorEastAsia"/>
          <w:kern w:val="0"/>
          <w:sz w:val="24"/>
          <w:szCs w:val="24"/>
          <w:lang w:val="zh-CN"/>
        </w:rPr>
        <w:t>一、签订本政府采购合同的依据</w:t>
      </w:r>
      <w:bookmarkEnd w:id="284"/>
      <w:bookmarkEnd w:id="285"/>
    </w:p>
    <w:p>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本政府采购合同所附下列文件是构成本政府采购合同不可分割的部分：</w:t>
      </w:r>
    </w:p>
    <w:p>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1.招标文件；</w:t>
      </w:r>
    </w:p>
    <w:p>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2.招标文件的澄清、变更公告；</w:t>
      </w:r>
    </w:p>
    <w:p>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3.中标人提交的投标文件；</w:t>
      </w:r>
    </w:p>
    <w:p>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4.招标文件中规定的政府采购合同通用条款；</w:t>
      </w:r>
    </w:p>
    <w:p>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5.中标通知书；</w:t>
      </w:r>
    </w:p>
    <w:p>
      <w:pPr>
        <w:autoSpaceDE w:val="0"/>
        <w:autoSpaceDN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6.履约保证金缴费证明。</w:t>
      </w:r>
    </w:p>
    <w:p>
      <w:pPr>
        <w:autoSpaceDE w:val="0"/>
        <w:autoSpaceDN w:val="0"/>
        <w:adjustRightInd w:val="0"/>
        <w:spacing w:line="360" w:lineRule="auto"/>
        <w:rPr>
          <w:rFonts w:hint="eastAsia" w:asciiTheme="minorEastAsia" w:hAnsiTheme="minorEastAsia" w:eastAsiaTheme="minorEastAsia" w:cstheme="minorEastAsia"/>
          <w:kern w:val="0"/>
          <w:sz w:val="24"/>
          <w:szCs w:val="24"/>
        </w:rPr>
      </w:pPr>
      <w:bookmarkStart w:id="286" w:name="_Toc24272_WPSOffice_Level3"/>
      <w:bookmarkStart w:id="287" w:name="_Toc9340"/>
      <w:r>
        <w:rPr>
          <w:rFonts w:hint="eastAsia" w:asciiTheme="minorEastAsia" w:hAnsiTheme="minorEastAsia" w:eastAsiaTheme="minorEastAsia" w:cstheme="minorEastAsia"/>
          <w:kern w:val="0"/>
          <w:sz w:val="24"/>
          <w:szCs w:val="24"/>
          <w:lang w:val="zh-CN"/>
        </w:rPr>
        <w:t>二、</w:t>
      </w:r>
      <w:bookmarkEnd w:id="286"/>
      <w:bookmarkEnd w:id="287"/>
      <w:bookmarkStart w:id="288" w:name="_Toc13959"/>
      <w:bookmarkStart w:id="289" w:name="_Toc15270_WPSOffice_Level3"/>
      <w:r>
        <w:rPr>
          <w:rFonts w:hint="eastAsia" w:asciiTheme="minorEastAsia" w:hAnsiTheme="minorEastAsia" w:eastAsiaTheme="minorEastAsia" w:cstheme="minorEastAsia"/>
          <w:kern w:val="0"/>
          <w:sz w:val="24"/>
          <w:szCs w:val="24"/>
          <w:lang w:val="zh-CN"/>
        </w:rPr>
        <w:t>交付时间、地点和要求</w:t>
      </w:r>
      <w:bookmarkEnd w:id="288"/>
      <w:bookmarkEnd w:id="289"/>
    </w:p>
    <w:p>
      <w:pPr>
        <w:autoSpaceDE w:val="0"/>
        <w:autoSpaceDN w:val="0"/>
        <w:spacing w:line="360" w:lineRule="auto"/>
        <w:ind w:firstLine="480" w:firstLineChars="200"/>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交货时间：</w:t>
      </w:r>
      <w:r>
        <w:rPr>
          <w:rFonts w:hint="eastAsia" w:asciiTheme="minorEastAsia" w:hAnsiTheme="minorEastAsia" w:eastAsiaTheme="minorEastAsia" w:cstheme="minorEastAsia"/>
          <w:kern w:val="0"/>
          <w:sz w:val="24"/>
          <w:szCs w:val="24"/>
          <w:lang w:val="zh-CN" w:eastAsia="zh-CN"/>
        </w:rPr>
        <w:t>政府采购合同签订生效之日起30日历天内交货；</w:t>
      </w:r>
    </w:p>
    <w:p>
      <w:pPr>
        <w:autoSpaceDE w:val="0"/>
        <w:autoSpaceDN w:val="0"/>
        <w:spacing w:line="360" w:lineRule="auto"/>
        <w:ind w:firstLine="480" w:firstLineChars="200"/>
        <w:jc w:val="left"/>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rPr>
        <w:t>交货地点：</w:t>
      </w:r>
      <w:r>
        <w:rPr>
          <w:rFonts w:hint="eastAsia" w:asciiTheme="minorEastAsia" w:hAnsiTheme="minorEastAsia" w:eastAsiaTheme="minorEastAsia" w:cstheme="minorEastAsia"/>
          <w:kern w:val="0"/>
          <w:sz w:val="24"/>
          <w:szCs w:val="24"/>
          <w:lang w:val="zh-CN" w:eastAsia="zh-CN"/>
        </w:rPr>
        <w:t>青海省救灾物资储备中心（青海省西宁市湟中县多巴镇小寨村1001号）。</w:t>
      </w:r>
    </w:p>
    <w:p>
      <w:pPr>
        <w:autoSpaceDE w:val="0"/>
        <w:autoSpaceDN w:val="0"/>
        <w:spacing w:line="360" w:lineRule="auto"/>
        <w:ind w:firstLine="48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签订合同前，中标单位需提供单兵背囊、充气帐篷、会议话筒、智能录音笔、单目融合微光热成像、超高清视频终端、现场指挥部移动式电子桌牌、双面升降液晶电子桌牌、口哨（小喇叭）、反光背心、防风镜、救援服、救援鞋、移动式高杆照明灯、防爆微型头灯、防爆便携式探照灯、便携式移动照明灯组、便携式搜索照明灯、照明灯塔、正压式消防空气呼吸器、紧急逃生呼吸器、应急救援三脚架、双级顶杆、单级顶杆、蛇眼生命探测仪、测风仪、红外热像仪等装备设备样品，待核验确认后方可签订合同。所有产品需提供相关部门出具的有效检测报告或产品彩页等技术支撑材料，检测报告复印件需加盖制造商公章，签合同前提供原件核查。乙方提供不符合招投标文件和本合同规定的产品，甲方有权拒绝接受。</w:t>
      </w:r>
    </w:p>
    <w:p>
      <w:pPr>
        <w:autoSpaceDE w:val="0"/>
        <w:autoSpaceDN w:val="0"/>
        <w:spacing w:line="360" w:lineRule="auto"/>
        <w:ind w:firstLine="48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4.乙方应将所供货物的装箱清单、质量合格证、产品说明书、原厂保修卡、备品（备件）等交付给甲方，如有缺失应在甲方规定时限内及时补齐，否则视为逾期交货。</w:t>
      </w:r>
    </w:p>
    <w:p>
      <w:pPr>
        <w:autoSpaceDE w:val="0"/>
        <w:autoSpaceDN w:val="0"/>
        <w:spacing w:line="360" w:lineRule="auto"/>
        <w:ind w:firstLine="48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 xml:space="preserve">5.甲方应当在乙方提出书面验收申请的10个工作日内，参与或组织验收。 </w:t>
      </w:r>
    </w:p>
    <w:p>
      <w:pPr>
        <w:autoSpaceDE w:val="0"/>
        <w:autoSpaceDN w:val="0"/>
        <w:spacing w:line="360" w:lineRule="auto"/>
        <w:ind w:firstLine="48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6.甲方在验收过程中发现乙方有违约问题，可按招、投标文件规定要求乙方及时予以解决。</w:t>
      </w:r>
    </w:p>
    <w:p>
      <w:pPr>
        <w:autoSpaceDE w:val="0"/>
        <w:autoSpaceDN w:val="0"/>
        <w:spacing w:line="360" w:lineRule="auto"/>
        <w:ind w:firstLine="48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7.乙方向甲方提供产品相关完税销售发票。</w:t>
      </w:r>
    </w:p>
    <w:p>
      <w:pPr>
        <w:autoSpaceDE w:val="0"/>
        <w:autoSpaceDN w:val="0"/>
        <w:spacing w:line="360" w:lineRule="auto"/>
        <w:ind w:firstLine="48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三、付款方式</w:t>
      </w:r>
    </w:p>
    <w:p>
      <w:pPr>
        <w:autoSpaceDE w:val="0"/>
        <w:autoSpaceDN w:val="0"/>
        <w:spacing w:line="360" w:lineRule="auto"/>
        <w:ind w:firstLine="48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签订合同前，乙方向甲方缴纳合同总金额5%作为履约保证金；签订合同后由甲方先向乙方支付合同金额的30%，待乙方所交付的产品由甲方验收合格后，由甲方向乙方支付剩余70%。货物验收合格后，甲方接到乙方通知和支付凭证资料文件，以及由甲方确认本合同货物质量与服务等约定事项已经履行完毕的正式书面文件后，向乙方支付相应货款。</w:t>
      </w:r>
    </w:p>
    <w:p>
      <w:pPr>
        <w:autoSpaceDE w:val="0"/>
        <w:autoSpaceDN w:val="0"/>
        <w:spacing w:line="360" w:lineRule="auto"/>
        <w:ind w:firstLine="48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前期乙方缴纳5%的履约保证金在货物验收合格后转为质量保证金，待约定的免费质保期满3年（质保期起始日为合同约定所有货物验收合格后第一个工作日为准），且产品无质量问题后，由乙方提出书面申请，甲方以转账方式退还质量保证金。</w:t>
      </w:r>
    </w:p>
    <w:p>
      <w:pPr>
        <w:autoSpaceDE w:val="0"/>
        <w:autoSpaceDN w:val="0"/>
        <w:spacing w:line="360" w:lineRule="auto"/>
        <w:ind w:firstLine="48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四、包装要求</w:t>
      </w:r>
    </w:p>
    <w:p>
      <w:pPr>
        <w:autoSpaceDE w:val="0"/>
        <w:autoSpaceDN w:val="0"/>
        <w:spacing w:line="360" w:lineRule="auto"/>
        <w:ind w:firstLine="48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1.乙方提供的全部货物，均应采用本行业通用的方式进行包装，且该包装应符合国家有关包装的法律、法规的规定。</w:t>
      </w:r>
    </w:p>
    <w:p>
      <w:pPr>
        <w:autoSpaceDE w:val="0"/>
        <w:autoSpaceDN w:val="0"/>
        <w:spacing w:line="360" w:lineRule="auto"/>
        <w:ind w:firstLine="48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3.乙方应提供货物运至合同规定的最终目的地所需要的包装，以防止货物在转运途中损坏或变质。</w:t>
      </w:r>
    </w:p>
    <w:p>
      <w:pPr>
        <w:autoSpaceDE w:val="0"/>
        <w:autoSpaceDN w:val="0"/>
        <w:spacing w:line="360" w:lineRule="auto"/>
        <w:ind w:firstLine="48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4.乙方所提供的货物包装均为出厂时原包装。</w:t>
      </w:r>
    </w:p>
    <w:p>
      <w:pPr>
        <w:autoSpaceDE w:val="0"/>
        <w:autoSpaceDN w:val="0"/>
        <w:spacing w:line="360" w:lineRule="auto"/>
        <w:ind w:firstLine="48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5.乙方所提供货物必须附有装箱清单、质量合格证、产品说明书、原厂保修卡、备品（备件）等。如有缺失应在甲方规定时限内及时补齐，否则视为逾期交货；货物运输中的运输费用和保险费用均由乙方承担。运输过程中的一切损失、损坏均由乙方负责。因包装、运输引起的货物损坏，按质量不合格处理。</w:t>
      </w:r>
    </w:p>
    <w:p>
      <w:pPr>
        <w:autoSpaceDE w:val="0"/>
        <w:autoSpaceDN w:val="0"/>
        <w:spacing w:line="360" w:lineRule="auto"/>
        <w:ind w:firstLine="48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五、质量保修范围和保修期</w:t>
      </w:r>
    </w:p>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en-US" w:eastAsia="zh-CN"/>
        </w:rPr>
        <w:t>货物必须提供3年质保服务，质保期内出现质量问题，乙方在接到通知后20天内完成维修或更换，并承担修理调换的费用；如货物经乙方维修仍不能达到本合同约定的质量标准，视作乙方未能按时交货，甲方有权退货并追究乙方的违约责任。</w:t>
      </w:r>
    </w:p>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en-US" w:eastAsia="zh-CN"/>
        </w:rPr>
        <w:t>六、</w:t>
      </w:r>
      <w:r>
        <w:rPr>
          <w:rFonts w:hint="eastAsia" w:asciiTheme="minorEastAsia" w:hAnsiTheme="minorEastAsia" w:eastAsiaTheme="minorEastAsia" w:cstheme="minorEastAsia"/>
          <w:kern w:val="0"/>
          <w:sz w:val="24"/>
          <w:szCs w:val="24"/>
          <w:lang w:val="zh-CN" w:eastAsia="zh-CN"/>
        </w:rPr>
        <w:t xml:space="preserve">合同标的及金额 </w:t>
      </w:r>
    </w:p>
    <w:p>
      <w:pPr>
        <w:autoSpaceDE w:val="0"/>
        <w:autoSpaceDN w:val="0"/>
        <w:spacing w:line="360" w:lineRule="auto"/>
        <w:ind w:firstLine="480"/>
        <w:jc w:val="left"/>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根据上述政府采购合同文件要求，本政府采购合同的总金额为人民币                       （大写）                 元。</w:t>
      </w:r>
    </w:p>
    <w:tbl>
      <w:tblPr>
        <w:tblStyle w:val="22"/>
        <w:tblpPr w:leftFromText="180" w:rightFromText="180" w:vertAnchor="text" w:horzAnchor="page" w:tblpX="1995" w:tblpY="99"/>
        <w:tblOverlap w:val="never"/>
        <w:tblW w:w="8398" w:type="dxa"/>
        <w:jc w:val="center"/>
        <w:tblLayout w:type="fixed"/>
        <w:tblCellMar>
          <w:top w:w="0" w:type="dxa"/>
          <w:left w:w="108" w:type="dxa"/>
          <w:bottom w:w="0" w:type="dxa"/>
          <w:right w:w="108" w:type="dxa"/>
        </w:tblCellMar>
      </w:tblPr>
      <w:tblGrid>
        <w:gridCol w:w="940"/>
        <w:gridCol w:w="1244"/>
        <w:gridCol w:w="1900"/>
        <w:gridCol w:w="1232"/>
        <w:gridCol w:w="1208"/>
        <w:gridCol w:w="938"/>
        <w:gridCol w:w="936"/>
      </w:tblGrid>
      <w:tr>
        <w:tblPrEx>
          <w:tblCellMar>
            <w:top w:w="0" w:type="dxa"/>
            <w:left w:w="108" w:type="dxa"/>
            <w:bottom w:w="0" w:type="dxa"/>
            <w:right w:w="108" w:type="dxa"/>
          </w:tblCellMar>
        </w:tblPrEx>
        <w:trPr>
          <w:cantSplit/>
          <w:trHeight w:val="1229"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序号</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产品名称</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型号规格</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数量</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单价</w:t>
            </w:r>
          </w:p>
        </w:tc>
        <w:tc>
          <w:tcPr>
            <w:tcW w:w="9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总价</w:t>
            </w:r>
          </w:p>
        </w:tc>
        <w:tc>
          <w:tcPr>
            <w:tcW w:w="93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备注</w:t>
            </w:r>
          </w:p>
        </w:tc>
      </w:tr>
      <w:tr>
        <w:trPr>
          <w:cantSplit/>
          <w:trHeight w:val="633"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p>
        </w:tc>
      </w:tr>
      <w:tr>
        <w:tblPrEx>
          <w:tblCellMar>
            <w:top w:w="0" w:type="dxa"/>
            <w:left w:w="108" w:type="dxa"/>
            <w:bottom w:w="0" w:type="dxa"/>
            <w:right w:w="108" w:type="dxa"/>
          </w:tblCellMar>
        </w:tblPrEx>
        <w:trPr>
          <w:cantSplit/>
          <w:trHeight w:val="671" w:hRule="atLeast"/>
          <w:jc w:val="center"/>
        </w:trPr>
        <w:tc>
          <w:tcPr>
            <w:tcW w:w="6524"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合计</w:t>
            </w:r>
          </w:p>
        </w:tc>
        <w:tc>
          <w:tcPr>
            <w:tcW w:w="9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p>
        </w:tc>
      </w:tr>
    </w:tbl>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p>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本合同以人民币进行结算，合同总价包括：产品费、验收费、手续费、包装费、装卸费、运输费、安装调试费、保险费、售前、售中、售后服务费、税金及不可预见费等全部费用。</w:t>
      </w:r>
    </w:p>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en-US" w:eastAsia="zh-CN"/>
        </w:rPr>
        <w:t>七、履约验收方案</w:t>
      </w:r>
    </w:p>
    <w:p>
      <w:pPr>
        <w:autoSpaceDE w:val="0"/>
        <w:autoSpaceDN w:val="0"/>
        <w:spacing w:line="360" w:lineRule="auto"/>
        <w:ind w:firstLine="48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验收的主体：采购人</w:t>
      </w:r>
    </w:p>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en-US" w:eastAsia="zh-CN"/>
        </w:rPr>
        <w:t>1.乙方提出书面验收申请，甲方应在接到验收申请10日内参加或组织验收工作</w:t>
      </w:r>
      <w:r>
        <w:rPr>
          <w:rFonts w:hint="eastAsia" w:asciiTheme="minorEastAsia" w:hAnsiTheme="minorEastAsia" w:eastAsiaTheme="minorEastAsia" w:cstheme="minorEastAsia"/>
          <w:kern w:val="0"/>
          <w:sz w:val="24"/>
          <w:szCs w:val="24"/>
          <w:lang w:val="zh-CN" w:eastAsia="zh-CN"/>
        </w:rPr>
        <w:t>；甲方在验收过程中发现乙方有违约问题，可要求乙方及时予以解决；验收合格后，由甲乙双方签写</w:t>
      </w:r>
      <w:r>
        <w:rPr>
          <w:rFonts w:hint="eastAsia" w:asciiTheme="minorEastAsia" w:hAnsiTheme="minorEastAsia" w:eastAsiaTheme="minorEastAsia" w:cstheme="minorEastAsia"/>
          <w:kern w:val="0"/>
          <w:sz w:val="24"/>
          <w:szCs w:val="24"/>
          <w:lang w:val="en-US" w:eastAsia="zh-CN"/>
        </w:rPr>
        <w:t>《现场验收报告》</w:t>
      </w:r>
      <w:r>
        <w:rPr>
          <w:rFonts w:hint="eastAsia" w:asciiTheme="minorEastAsia" w:hAnsiTheme="minorEastAsia" w:eastAsiaTheme="minorEastAsia" w:cstheme="minorEastAsia"/>
          <w:kern w:val="0"/>
          <w:sz w:val="24"/>
          <w:szCs w:val="24"/>
          <w:lang w:val="zh-CN" w:eastAsia="zh-CN"/>
        </w:rPr>
        <w:t>，甲乙双方各执一份。</w:t>
      </w:r>
    </w:p>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eastAsia="zh-CN"/>
        </w:rPr>
        <w:t>乙方向甲方提供产品相关完税销售发票。</w:t>
      </w:r>
    </w:p>
    <w:p>
      <w:pPr>
        <w:autoSpaceDE w:val="0"/>
        <w:autoSpaceDN w:val="0"/>
        <w:spacing w:line="360" w:lineRule="auto"/>
        <w:ind w:firstLine="48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3.乙方应在交货前对货物的质量、规格、数量等进行详细而全面的检验，并出具证明货物符合合同规定的文件。该文件将作为申请付款单据的一部分，但有关质量、规格、数量的检验不应视为最终验收。</w:t>
      </w:r>
    </w:p>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en-US" w:eastAsia="zh-CN"/>
        </w:rPr>
        <w:t>4.质量验收出现全部或部分未达到本合同所约定的技术指标，甲方有权选择下列任一处理方式：（1）要求乙方对货物进行免费更换，然后重新组织验收直至合格为止；因此而发生的所有费用均由乙方负担。</w:t>
      </w:r>
      <w:r>
        <w:rPr>
          <w:rFonts w:hint="eastAsia" w:asciiTheme="minorEastAsia" w:hAnsiTheme="minorEastAsia" w:eastAsiaTheme="minorEastAsia" w:cstheme="minorEastAsia"/>
          <w:kern w:val="0"/>
          <w:sz w:val="24"/>
          <w:szCs w:val="24"/>
          <w:lang w:val="en" w:eastAsia="zh-CN"/>
        </w:rPr>
        <w:t>（</w:t>
      </w:r>
      <w:r>
        <w:rPr>
          <w:rFonts w:hint="eastAsia" w:asciiTheme="minorEastAsia" w:hAnsiTheme="minorEastAsia" w:eastAsiaTheme="minorEastAsia" w:cstheme="minorEastAsia"/>
          <w:kern w:val="0"/>
          <w:sz w:val="24"/>
          <w:szCs w:val="24"/>
          <w:lang w:val="en-US" w:eastAsia="zh-CN"/>
        </w:rPr>
        <w:t>2）在合同规定的质保服务期内，发现货物质量或规格与合同规定不符，包括潜在的缺陷或使用不合适的原材料等，由甲方组织质检（相关检测费用由乙方承担），据质检报告及质量保证条款向乙方提出索赔。</w:t>
      </w:r>
    </w:p>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en-US" w:eastAsia="zh-CN"/>
        </w:rPr>
        <w:t>八、</w:t>
      </w:r>
      <w:r>
        <w:rPr>
          <w:rFonts w:hint="eastAsia" w:asciiTheme="minorEastAsia" w:hAnsiTheme="minorEastAsia" w:eastAsiaTheme="minorEastAsia" w:cstheme="minorEastAsia"/>
          <w:kern w:val="0"/>
          <w:sz w:val="24"/>
          <w:szCs w:val="24"/>
          <w:lang w:val="zh-CN" w:eastAsia="zh-CN"/>
        </w:rPr>
        <w:t>合同的变更、终止与转让</w:t>
      </w:r>
    </w:p>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1</w:t>
      </w:r>
      <w:r>
        <w:rPr>
          <w:rFonts w:hint="eastAsia" w:asciiTheme="minorEastAsia" w:hAnsiTheme="minorEastAsia" w:eastAsiaTheme="minorEastAsia" w:cstheme="minorEastAsia"/>
          <w:kern w:val="0"/>
          <w:sz w:val="24"/>
          <w:szCs w:val="24"/>
          <w:lang w:val="en-US" w:eastAsia="zh-CN"/>
        </w:rPr>
        <w:t>.</w:t>
      </w:r>
      <w:r>
        <w:rPr>
          <w:rFonts w:hint="eastAsia" w:asciiTheme="minorEastAsia" w:hAnsiTheme="minorEastAsia" w:eastAsiaTheme="minorEastAsia" w:cstheme="minorEastAsia"/>
          <w:kern w:val="0"/>
          <w:sz w:val="24"/>
          <w:szCs w:val="24"/>
          <w:lang w:val="zh-CN" w:eastAsia="zh-CN"/>
        </w:rPr>
        <w:t>除《中华人民共和国政府采购法》第五十条规定的情形外，本合同一经签订，甲乙双方不得擅自变更、中止或终止。</w:t>
      </w:r>
    </w:p>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2</w:t>
      </w:r>
      <w:r>
        <w:rPr>
          <w:rFonts w:hint="eastAsia" w:asciiTheme="minorEastAsia" w:hAnsiTheme="minorEastAsia" w:eastAsiaTheme="minorEastAsia" w:cstheme="minorEastAsia"/>
          <w:kern w:val="0"/>
          <w:sz w:val="24"/>
          <w:szCs w:val="24"/>
          <w:lang w:val="en-US" w:eastAsia="zh-CN"/>
        </w:rPr>
        <w:t>.</w:t>
      </w:r>
      <w:r>
        <w:rPr>
          <w:rFonts w:hint="eastAsia" w:asciiTheme="minorEastAsia" w:hAnsiTheme="minorEastAsia" w:eastAsiaTheme="minorEastAsia" w:cstheme="minorEastAsia"/>
          <w:kern w:val="0"/>
          <w:sz w:val="24"/>
          <w:szCs w:val="24"/>
          <w:lang w:val="zh-CN" w:eastAsia="zh-CN"/>
        </w:rPr>
        <w:t>乙方应独立完成合同义务，不得擅自转让其应履行的合同义务。</w:t>
      </w:r>
    </w:p>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en-US" w:eastAsia="zh-CN"/>
        </w:rPr>
        <w:t>3.乙方</w:t>
      </w:r>
      <w:r>
        <w:rPr>
          <w:rFonts w:hint="eastAsia" w:asciiTheme="minorEastAsia" w:hAnsiTheme="minorEastAsia" w:eastAsiaTheme="minorEastAsia" w:cstheme="minorEastAsia"/>
          <w:kern w:val="0"/>
          <w:sz w:val="24"/>
          <w:szCs w:val="24"/>
          <w:lang w:val="zh-CN" w:eastAsia="zh-CN"/>
        </w:rPr>
        <w:t>逾期交货超过</w:t>
      </w:r>
      <w:r>
        <w:rPr>
          <w:rFonts w:hint="eastAsia" w:asciiTheme="minorEastAsia" w:hAnsiTheme="minorEastAsia" w:eastAsiaTheme="minorEastAsia" w:cstheme="minorEastAsia"/>
          <w:kern w:val="0"/>
          <w:sz w:val="24"/>
          <w:szCs w:val="24"/>
          <w:lang w:val="en-US" w:eastAsia="zh-CN"/>
        </w:rPr>
        <w:t>30日历</w:t>
      </w:r>
      <w:r>
        <w:rPr>
          <w:rFonts w:hint="eastAsia" w:asciiTheme="minorEastAsia" w:hAnsiTheme="minorEastAsia" w:eastAsiaTheme="minorEastAsia" w:cstheme="minorEastAsia"/>
          <w:kern w:val="0"/>
          <w:sz w:val="24"/>
          <w:szCs w:val="24"/>
          <w:lang w:val="zh-CN" w:eastAsia="zh-CN"/>
        </w:rPr>
        <w:t>天，甲方有权解除合同，自</w:t>
      </w:r>
      <w:r>
        <w:rPr>
          <w:rFonts w:hint="eastAsia" w:asciiTheme="minorEastAsia" w:hAnsiTheme="minorEastAsia" w:eastAsiaTheme="minorEastAsia" w:cstheme="minorEastAsia"/>
          <w:kern w:val="0"/>
          <w:sz w:val="24"/>
          <w:szCs w:val="24"/>
          <w:lang w:val="en-US" w:eastAsia="zh-CN"/>
        </w:rPr>
        <w:t>书面</w:t>
      </w:r>
      <w:r>
        <w:rPr>
          <w:rFonts w:hint="eastAsia" w:asciiTheme="minorEastAsia" w:hAnsiTheme="minorEastAsia" w:eastAsiaTheme="minorEastAsia" w:cstheme="minorEastAsia"/>
          <w:kern w:val="0"/>
          <w:sz w:val="24"/>
          <w:szCs w:val="24"/>
          <w:lang w:val="zh-CN" w:eastAsia="zh-CN"/>
        </w:rPr>
        <w:t>通知乙方即视为解除。</w:t>
      </w:r>
    </w:p>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en-US" w:eastAsia="zh-CN"/>
        </w:rPr>
        <w:t>九、</w:t>
      </w:r>
      <w:r>
        <w:rPr>
          <w:rFonts w:hint="eastAsia" w:asciiTheme="minorEastAsia" w:hAnsiTheme="minorEastAsia" w:eastAsiaTheme="minorEastAsia" w:cstheme="minorEastAsia"/>
          <w:kern w:val="0"/>
          <w:sz w:val="24"/>
          <w:szCs w:val="24"/>
          <w:lang w:val="zh-CN" w:eastAsia="zh-CN"/>
        </w:rPr>
        <w:t>违约责任</w:t>
      </w:r>
    </w:p>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lang w:val="zh-CN" w:eastAsia="zh-CN"/>
        </w:rPr>
        <w:t>乙方所提供货物的规格、技术标准、质量等不合格的，应及时更换；更换不及时的，按逾期交货处理。</w:t>
      </w:r>
    </w:p>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eastAsia="zh-CN"/>
        </w:rPr>
        <w:t>乙方提供的货物如侵犯了第三方权益而引发纠纷或诉讼的，均由乙方负责交涉并承担全部责任。如乙方存在侵权等违法行为，甲方有权提出退换货且产生的所有费用由乙方承担。</w:t>
      </w:r>
    </w:p>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lang w:val="zh-CN" w:eastAsia="zh-CN"/>
        </w:rPr>
        <w:t>因包装、运输引起的货物损坏，按质量不合格处理。</w:t>
      </w:r>
    </w:p>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lang w:val="zh-CN" w:eastAsia="zh-CN"/>
        </w:rPr>
        <w:t>甲方无故延期接受货物和乙方逾期交货的，违约方每天应向对方偿付未交货物货款</w:t>
      </w: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lang w:val="zh-CN" w:eastAsia="zh-CN"/>
        </w:rPr>
        <w:t>‰的违约金，超过</w:t>
      </w:r>
      <w:r>
        <w:rPr>
          <w:rFonts w:hint="eastAsia" w:asciiTheme="minorEastAsia" w:hAnsiTheme="minorEastAsia" w:eastAsiaTheme="minorEastAsia" w:cstheme="minorEastAsia"/>
          <w:kern w:val="0"/>
          <w:sz w:val="24"/>
          <w:szCs w:val="24"/>
          <w:lang w:val="en-US" w:eastAsia="zh-CN"/>
        </w:rPr>
        <w:t>约定期限交货期</w:t>
      </w:r>
      <w:r>
        <w:rPr>
          <w:rFonts w:hint="eastAsia" w:asciiTheme="minorEastAsia" w:hAnsiTheme="minorEastAsia" w:eastAsiaTheme="minorEastAsia" w:cstheme="minorEastAsia"/>
          <w:kern w:val="0"/>
          <w:sz w:val="24"/>
          <w:szCs w:val="24"/>
          <w:lang w:val="zh-CN" w:eastAsia="zh-CN"/>
        </w:rPr>
        <w:t>甲方有权解除合同。</w:t>
      </w:r>
      <w:r>
        <w:rPr>
          <w:rFonts w:hint="eastAsia" w:asciiTheme="minorEastAsia" w:hAnsiTheme="minorEastAsia" w:eastAsiaTheme="minorEastAsia" w:cstheme="minorEastAsia"/>
          <w:kern w:val="0"/>
          <w:sz w:val="24"/>
          <w:szCs w:val="24"/>
          <w:lang w:val="en-US" w:eastAsia="zh-CN"/>
        </w:rPr>
        <w:t>甲方解除合同的，乙方应向甲方支付合同总金额10%的违约金，并</w:t>
      </w:r>
      <w:r>
        <w:rPr>
          <w:rFonts w:hint="eastAsia" w:asciiTheme="minorEastAsia" w:hAnsiTheme="minorEastAsia" w:eastAsiaTheme="minorEastAsia" w:cstheme="minorEastAsia"/>
          <w:kern w:val="0"/>
          <w:sz w:val="24"/>
          <w:szCs w:val="24"/>
          <w:lang w:val="zh-CN" w:eastAsia="zh-CN"/>
        </w:rPr>
        <w:t>承担因此给对方造成的</w:t>
      </w:r>
      <w:r>
        <w:rPr>
          <w:rFonts w:hint="eastAsia" w:asciiTheme="minorEastAsia" w:hAnsiTheme="minorEastAsia" w:eastAsiaTheme="minorEastAsia" w:cstheme="minorEastAsia"/>
          <w:kern w:val="0"/>
          <w:sz w:val="24"/>
          <w:szCs w:val="24"/>
          <w:lang w:val="en-US" w:eastAsia="zh-CN"/>
        </w:rPr>
        <w:t>全部</w:t>
      </w:r>
      <w:r>
        <w:rPr>
          <w:rFonts w:hint="eastAsia" w:asciiTheme="minorEastAsia" w:hAnsiTheme="minorEastAsia" w:eastAsiaTheme="minorEastAsia" w:cstheme="minorEastAsia"/>
          <w:kern w:val="0"/>
          <w:sz w:val="24"/>
          <w:szCs w:val="24"/>
          <w:lang w:val="zh-CN" w:eastAsia="zh-CN"/>
        </w:rPr>
        <w:t>经济损失。</w:t>
      </w:r>
    </w:p>
    <w:p>
      <w:pPr>
        <w:autoSpaceDE w:val="0"/>
        <w:autoSpaceDN w:val="0"/>
        <w:spacing w:line="360" w:lineRule="auto"/>
        <w:ind w:firstLine="48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lang w:val="zh-CN" w:eastAsia="zh-CN"/>
        </w:rPr>
        <w:t>乙方应对所供</w:t>
      </w:r>
      <w:r>
        <w:rPr>
          <w:rFonts w:hint="eastAsia" w:asciiTheme="minorEastAsia" w:hAnsiTheme="minorEastAsia" w:eastAsiaTheme="minorEastAsia" w:cstheme="minorEastAsia"/>
          <w:kern w:val="0"/>
          <w:sz w:val="24"/>
          <w:szCs w:val="24"/>
          <w:lang w:val="en-US" w:eastAsia="zh-CN"/>
        </w:rPr>
        <w:t>货物提供3年质保服务，质保期内出现质量问题，乙方应在甲方规定期限内完成维修或更换，并承担修理调换的费用；如货物经乙方维修仍不能达到本合同约定的质量标准，视作乙方未能按时交货，甲方有权退货并追究乙方的违约责任。</w:t>
      </w:r>
    </w:p>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en-US" w:eastAsia="zh-CN"/>
        </w:rPr>
        <w:t>十、</w:t>
      </w:r>
      <w:r>
        <w:rPr>
          <w:rFonts w:hint="eastAsia" w:asciiTheme="minorEastAsia" w:hAnsiTheme="minorEastAsia" w:eastAsiaTheme="minorEastAsia" w:cstheme="minorEastAsia"/>
          <w:kern w:val="0"/>
          <w:sz w:val="24"/>
          <w:szCs w:val="24"/>
          <w:lang w:val="zh-CN" w:eastAsia="zh-CN"/>
        </w:rPr>
        <w:t>不可抗力</w:t>
      </w:r>
    </w:p>
    <w:p>
      <w:pPr>
        <w:autoSpaceDE w:val="0"/>
        <w:autoSpaceDN w:val="0"/>
        <w:spacing w:line="360" w:lineRule="auto"/>
        <w:ind w:firstLine="48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lang w:val="zh-CN" w:eastAsia="zh-CN"/>
        </w:rPr>
        <w:t>不可抗力使合同的某些内容有变更必要的，双方应通过协商在</w:t>
      </w:r>
      <w:r>
        <w:rPr>
          <w:rFonts w:hint="eastAsia" w:asciiTheme="minorEastAsia" w:hAnsiTheme="minorEastAsia" w:eastAsiaTheme="minorEastAsia" w:cstheme="minorEastAsia"/>
          <w:kern w:val="0"/>
          <w:sz w:val="24"/>
          <w:szCs w:val="24"/>
          <w:lang w:val="en-US" w:eastAsia="zh-CN"/>
        </w:rPr>
        <w:t>15</w:t>
      </w:r>
      <w:r>
        <w:rPr>
          <w:rFonts w:hint="eastAsia" w:asciiTheme="minorEastAsia" w:hAnsiTheme="minorEastAsia" w:eastAsiaTheme="minorEastAsia" w:cstheme="minorEastAsia"/>
          <w:kern w:val="0"/>
          <w:sz w:val="24"/>
          <w:szCs w:val="24"/>
          <w:lang w:val="zh-CN" w:eastAsia="zh-CN"/>
        </w:rPr>
        <w:t>天内达成进一步履行合同的协议，因不可抗力致使合同不能履行的，合同终止。</w:t>
      </w:r>
    </w:p>
    <w:p>
      <w:pPr>
        <w:autoSpaceDE w:val="0"/>
        <w:autoSpaceDN w:val="0"/>
        <w:spacing w:line="360" w:lineRule="auto"/>
        <w:ind w:firstLine="480"/>
        <w:rPr>
          <w:rFonts w:hint="eastAsia" w:ascii="仿宋_GB2312" w:hAnsi="仿宋_GB2312" w:eastAsia="仿宋_GB2312" w:cs="仿宋_GB2312"/>
          <w:b w:val="0"/>
          <w:bCs w:val="0"/>
          <w:color w:val="000000"/>
          <w:sz w:val="24"/>
          <w:szCs w:val="24"/>
          <w:highlight w:val="none"/>
          <w:vertAlign w:val="baseline"/>
          <w:lang w:val="zh-CN" w:eastAsia="zh-CN"/>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eastAsia="zh-CN"/>
        </w:rPr>
        <w:t>除法律、法规规定的不可抗力情形外，双方约定出现</w:t>
      </w:r>
      <w:r>
        <w:rPr>
          <w:rFonts w:hint="eastAsia" w:asciiTheme="minorEastAsia" w:hAnsiTheme="minorEastAsia" w:eastAsiaTheme="minorEastAsia" w:cstheme="minorEastAsia"/>
          <w:kern w:val="0"/>
          <w:sz w:val="24"/>
          <w:szCs w:val="24"/>
          <w:lang w:val="en-US" w:eastAsia="zh-CN"/>
        </w:rPr>
        <w:t>重大自然灾害或重大疫情</w:t>
      </w:r>
      <w:r>
        <w:rPr>
          <w:rFonts w:hint="eastAsia" w:asciiTheme="minorEastAsia" w:hAnsiTheme="minorEastAsia" w:eastAsiaTheme="minorEastAsia" w:cstheme="minorEastAsia"/>
          <w:kern w:val="0"/>
          <w:sz w:val="24"/>
          <w:szCs w:val="24"/>
          <w:lang w:val="zh-CN" w:eastAsia="zh-CN"/>
        </w:rPr>
        <w:t>亦视为不可抗力。</w:t>
      </w:r>
    </w:p>
    <w:p>
      <w:pPr>
        <w:autoSpaceDE w:val="0"/>
        <w:autoSpaceDN w:val="0"/>
        <w:spacing w:line="360" w:lineRule="auto"/>
        <w:outlineLvl w:val="2"/>
        <w:rPr>
          <w:rFonts w:hint="eastAsia" w:asciiTheme="minorEastAsia" w:hAnsiTheme="minorEastAsia" w:eastAsiaTheme="minorEastAsia" w:cstheme="minorEastAsia"/>
          <w:kern w:val="0"/>
          <w:sz w:val="24"/>
          <w:szCs w:val="24"/>
        </w:rPr>
      </w:pPr>
      <w:bookmarkStart w:id="290" w:name="_Toc1746_WPSOffice_Level3"/>
      <w:bookmarkStart w:id="291" w:name="_Toc17809"/>
      <w:r>
        <w:rPr>
          <w:rFonts w:hint="eastAsia" w:asciiTheme="minorEastAsia" w:hAnsiTheme="minorEastAsia" w:eastAsiaTheme="minorEastAsia" w:cstheme="minorEastAsia"/>
          <w:kern w:val="0"/>
          <w:sz w:val="24"/>
          <w:szCs w:val="24"/>
          <w:lang w:val="zh-CN"/>
        </w:rPr>
        <w:t>十一、合同生效及其它</w:t>
      </w:r>
      <w:r>
        <w:rPr>
          <w:rFonts w:hint="eastAsia" w:asciiTheme="minorEastAsia" w:hAnsiTheme="minorEastAsia" w:eastAsiaTheme="minorEastAsia" w:cstheme="minorEastAsia"/>
          <w:kern w:val="0"/>
          <w:sz w:val="24"/>
          <w:szCs w:val="24"/>
        </w:rPr>
        <w:t>：</w:t>
      </w:r>
      <w:bookmarkEnd w:id="290"/>
      <w:bookmarkEnd w:id="291"/>
    </w:p>
    <w:p>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本合同一式</w:t>
      </w:r>
      <w:r>
        <w:rPr>
          <w:rFonts w:hint="eastAsia" w:asciiTheme="minorEastAsia" w:hAnsiTheme="minorEastAsia" w:eastAsiaTheme="minorEastAsia" w:cstheme="minorEastAsia"/>
          <w:kern w:val="0"/>
          <w:sz w:val="24"/>
          <w:szCs w:val="24"/>
          <w:lang w:val="en-US" w:eastAsia="zh-CN"/>
        </w:rPr>
        <w:t>八</w:t>
      </w:r>
      <w:r>
        <w:rPr>
          <w:rFonts w:hint="eastAsia" w:asciiTheme="minorEastAsia" w:hAnsiTheme="minorEastAsia" w:eastAsiaTheme="minorEastAsia" w:cstheme="minorEastAsia"/>
          <w:kern w:val="0"/>
          <w:sz w:val="24"/>
          <w:szCs w:val="24"/>
          <w:lang w:val="zh-CN"/>
        </w:rPr>
        <w:t>份，经双方签字，并加盖公章即为生效。</w:t>
      </w:r>
    </w:p>
    <w:p>
      <w:pPr>
        <w:autoSpaceDE w:val="0"/>
        <w:autoSpaceDN w:val="0"/>
        <w:spacing w:line="360" w:lineRule="auto"/>
        <w:ind w:firstLine="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本合同未尽事宜，按</w:t>
      </w:r>
      <w:r>
        <w:rPr>
          <w:rFonts w:hint="eastAsia" w:asciiTheme="minorEastAsia" w:hAnsiTheme="minorEastAsia" w:eastAsiaTheme="minorEastAsia" w:cstheme="minorEastAsia"/>
          <w:kern w:val="0"/>
          <w:sz w:val="24"/>
          <w:szCs w:val="24"/>
          <w:lang w:val="en-US" w:eastAsia="zh-CN"/>
        </w:rPr>
        <w:t>民法典</w:t>
      </w:r>
      <w:r>
        <w:rPr>
          <w:rFonts w:hint="eastAsia" w:asciiTheme="minorEastAsia" w:hAnsiTheme="minorEastAsia" w:eastAsiaTheme="minorEastAsia" w:cstheme="minorEastAsia"/>
          <w:kern w:val="0"/>
          <w:sz w:val="24"/>
          <w:szCs w:val="24"/>
          <w:lang w:val="zh-CN"/>
        </w:rPr>
        <w:t>有关规定处理。</w:t>
      </w:r>
    </w:p>
    <w:p>
      <w:pPr>
        <w:autoSpaceDE w:val="0"/>
        <w:autoSpaceDN w:val="0"/>
        <w:spacing w:line="360" w:lineRule="auto"/>
        <w:ind w:firstLine="36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本合同的组成包含《合同通用条款》。</w:t>
      </w:r>
    </w:p>
    <w:p>
      <w:pPr>
        <w:autoSpaceDE w:val="0"/>
        <w:autoSpaceDN w:val="0"/>
        <w:spacing w:line="360" w:lineRule="auto"/>
        <w:ind w:firstLine="360"/>
        <w:rPr>
          <w:rFonts w:hint="eastAsia" w:asciiTheme="minorEastAsia" w:hAnsiTheme="minorEastAsia" w:eastAsiaTheme="minorEastAsia" w:cstheme="minorEastAsia"/>
          <w:kern w:val="0"/>
          <w:sz w:val="24"/>
          <w:szCs w:val="24"/>
          <w:lang w:val="zh-CN"/>
        </w:rPr>
      </w:pPr>
    </w:p>
    <w:p>
      <w:pPr>
        <w:autoSpaceDE w:val="0"/>
        <w:autoSpaceDN w:val="0"/>
        <w:spacing w:line="360" w:lineRule="auto"/>
        <w:ind w:firstLine="360"/>
        <w:rPr>
          <w:rFonts w:hint="eastAsia" w:asciiTheme="minorEastAsia" w:hAnsiTheme="minorEastAsia" w:eastAsiaTheme="minorEastAsia" w:cstheme="minorEastAsia"/>
          <w:kern w:val="0"/>
          <w:sz w:val="24"/>
          <w:szCs w:val="24"/>
          <w:lang w:val="zh-CN"/>
        </w:rPr>
      </w:pPr>
    </w:p>
    <w:p>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甲方（盖章）：</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乙方（盖章）：</w:t>
      </w:r>
    </w:p>
    <w:p>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法定代表人或委托代理人</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法定代表人或委托代理人</w:t>
      </w:r>
      <w:r>
        <w:rPr>
          <w:rFonts w:hint="eastAsia" w:asciiTheme="minorEastAsia" w:hAnsiTheme="minorEastAsia" w:eastAsiaTheme="minorEastAsia" w:cstheme="minorEastAsia"/>
          <w:kern w:val="0"/>
          <w:sz w:val="24"/>
          <w:szCs w:val="24"/>
        </w:rPr>
        <w:t>：</w:t>
      </w:r>
    </w:p>
    <w:p>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开户银行：</w:t>
      </w:r>
    </w:p>
    <w:p>
      <w:pPr>
        <w:autoSpaceDE w:val="0"/>
        <w:autoSpaceDN w:val="0"/>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账号：</w:t>
      </w:r>
    </w:p>
    <w:p>
      <w:pPr>
        <w:autoSpaceDE w:val="0"/>
        <w:autoSpaceDN w:val="0"/>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地址：</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地址：</w:t>
      </w:r>
    </w:p>
    <w:p>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联系电话：</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联系电话：</w:t>
      </w:r>
    </w:p>
    <w:p>
      <w:pPr>
        <w:autoSpaceDE w:val="0"/>
        <w:autoSpaceDN w:val="0"/>
        <w:spacing w:line="360" w:lineRule="auto"/>
        <w:ind w:firstLine="1320" w:firstLineChars="550"/>
        <w:rPr>
          <w:rFonts w:hint="eastAsia" w:asciiTheme="minorEastAsia" w:hAnsiTheme="minorEastAsia" w:eastAsiaTheme="minorEastAsia" w:cstheme="minorEastAsia"/>
          <w:kern w:val="0"/>
          <w:sz w:val="24"/>
          <w:szCs w:val="24"/>
          <w:lang w:val="zh-CN"/>
        </w:rPr>
      </w:pPr>
    </w:p>
    <w:p>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签约时间：</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年</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月</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日</w:t>
      </w:r>
    </w:p>
    <w:p>
      <w:pPr>
        <w:autoSpaceDE w:val="0"/>
        <w:autoSpaceDN w:val="0"/>
        <w:spacing w:line="360" w:lineRule="auto"/>
        <w:rPr>
          <w:rFonts w:hint="eastAsia" w:asciiTheme="minorEastAsia" w:hAnsiTheme="minorEastAsia" w:eastAsiaTheme="minorEastAsia" w:cstheme="minorEastAsia"/>
          <w:kern w:val="0"/>
          <w:sz w:val="24"/>
          <w:szCs w:val="24"/>
          <w:lang w:val="zh-CN"/>
        </w:rPr>
      </w:pPr>
    </w:p>
    <w:p>
      <w:pPr>
        <w:autoSpaceDE w:val="0"/>
        <w:autoSpaceDN w:val="0"/>
        <w:spacing w:line="360" w:lineRule="auto"/>
        <w:rPr>
          <w:rFonts w:hint="eastAsia" w:asciiTheme="minorEastAsia" w:hAnsiTheme="minorEastAsia" w:eastAsiaTheme="minorEastAsia" w:cstheme="minorEastAsia"/>
          <w:kern w:val="0"/>
          <w:sz w:val="24"/>
          <w:szCs w:val="24"/>
          <w:lang w:val="zh-CN"/>
        </w:rPr>
      </w:pPr>
    </w:p>
    <w:p>
      <w:pPr>
        <w:autoSpaceDE w:val="0"/>
        <w:autoSpaceDN w:val="0"/>
        <w:spacing w:line="360" w:lineRule="auto"/>
        <w:rPr>
          <w:rFonts w:hint="eastAsia" w:asciiTheme="minorEastAsia" w:hAnsiTheme="minorEastAsia" w:eastAsiaTheme="minorEastAsia" w:cstheme="minorEastAsia"/>
          <w:kern w:val="0"/>
          <w:sz w:val="24"/>
          <w:szCs w:val="24"/>
          <w:lang w:val="zh-CN"/>
        </w:rPr>
      </w:pPr>
    </w:p>
    <w:p>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采购代理机构：</w:t>
      </w:r>
    </w:p>
    <w:p>
      <w:pPr>
        <w:autoSpaceDE w:val="0"/>
        <w:autoSpaceDN w:val="0"/>
        <w:spacing w:line="360" w:lineRule="auto"/>
        <w:rPr>
          <w:rFonts w:hint="eastAsia" w:asciiTheme="minorEastAsia" w:hAnsiTheme="minorEastAsia" w:eastAsiaTheme="minorEastAsia" w:cstheme="minorEastAsia"/>
          <w:kern w:val="0"/>
          <w:sz w:val="24"/>
          <w:szCs w:val="24"/>
          <w:lang w:val="zh-CN"/>
        </w:rPr>
      </w:pPr>
    </w:p>
    <w:p>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负责人或经办人：</w:t>
      </w:r>
    </w:p>
    <w:p>
      <w:pPr>
        <w:autoSpaceDE w:val="0"/>
        <w:autoSpaceDN w:val="0"/>
        <w:spacing w:line="360" w:lineRule="auto"/>
        <w:jc w:val="both"/>
        <w:outlineLvl w:val="0"/>
        <w:rPr>
          <w:rFonts w:hint="eastAsia" w:asciiTheme="minorEastAsia" w:hAnsiTheme="minorEastAsia" w:eastAsiaTheme="minorEastAsia" w:cstheme="minorEastAsia"/>
          <w:kern w:val="0"/>
          <w:sz w:val="24"/>
          <w:szCs w:val="24"/>
          <w:lang w:val="zh-CN"/>
        </w:rPr>
      </w:pPr>
      <w:bookmarkStart w:id="292" w:name="_Toc28586"/>
      <w:bookmarkStart w:id="293" w:name="_Toc29337_WPSOffice_Level1"/>
      <w:r>
        <w:rPr>
          <w:rFonts w:hint="eastAsia" w:asciiTheme="minorEastAsia" w:hAnsiTheme="minorEastAsia" w:eastAsiaTheme="minorEastAsia" w:cstheme="minorEastAsia"/>
          <w:kern w:val="0"/>
          <w:sz w:val="24"/>
          <w:szCs w:val="24"/>
          <w:lang w:val="zh-CN"/>
        </w:rPr>
        <w:t>时</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val="zh-CN"/>
        </w:rPr>
        <w:t>间：</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年</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月</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日</w:t>
      </w:r>
    </w:p>
    <w:p>
      <w:pPr>
        <w:autoSpaceDE w:val="0"/>
        <w:autoSpaceDN w:val="0"/>
        <w:spacing w:line="360" w:lineRule="auto"/>
        <w:jc w:val="center"/>
        <w:outlineLvl w:val="9"/>
        <w:rPr>
          <w:rFonts w:hint="eastAsia" w:asciiTheme="minorEastAsia" w:hAnsiTheme="minorEastAsia" w:eastAsiaTheme="minorEastAsia" w:cstheme="minorEastAsia"/>
          <w:kern w:val="0"/>
          <w:sz w:val="24"/>
          <w:szCs w:val="24"/>
          <w:lang w:val="zh-CN"/>
        </w:rPr>
      </w:pPr>
    </w:p>
    <w:p>
      <w:pPr>
        <w:autoSpaceDE w:val="0"/>
        <w:autoSpaceDN w:val="0"/>
        <w:spacing w:line="360" w:lineRule="auto"/>
        <w:jc w:val="center"/>
        <w:outlineLvl w:val="9"/>
        <w:rPr>
          <w:rFonts w:hint="eastAsia" w:asciiTheme="minorEastAsia" w:hAnsiTheme="minorEastAsia" w:eastAsiaTheme="minorEastAsia" w:cstheme="minorEastAsia"/>
          <w:kern w:val="0"/>
          <w:sz w:val="24"/>
          <w:szCs w:val="24"/>
          <w:lang w:val="zh-CN"/>
        </w:rPr>
      </w:pPr>
    </w:p>
    <w:p>
      <w:pPr>
        <w:autoSpaceDE w:val="0"/>
        <w:autoSpaceDN w:val="0"/>
        <w:spacing w:line="360" w:lineRule="auto"/>
        <w:jc w:val="center"/>
        <w:outlineLvl w:val="9"/>
        <w:rPr>
          <w:rFonts w:hint="eastAsia" w:asciiTheme="minorEastAsia" w:hAnsiTheme="minorEastAsia" w:eastAsiaTheme="minorEastAsia" w:cstheme="minorEastAsia"/>
          <w:kern w:val="0"/>
          <w:sz w:val="24"/>
          <w:szCs w:val="24"/>
          <w:lang w:val="zh-CN"/>
        </w:rPr>
      </w:pPr>
    </w:p>
    <w:p>
      <w:pPr>
        <w:autoSpaceDE w:val="0"/>
        <w:autoSpaceDN w:val="0"/>
        <w:spacing w:line="360" w:lineRule="auto"/>
        <w:jc w:val="center"/>
        <w:outlineLvl w:val="9"/>
        <w:rPr>
          <w:rFonts w:hint="eastAsia" w:asciiTheme="minorEastAsia" w:hAnsiTheme="minorEastAsia" w:eastAsiaTheme="minorEastAsia" w:cstheme="minorEastAsia"/>
          <w:kern w:val="0"/>
          <w:sz w:val="24"/>
          <w:szCs w:val="24"/>
          <w:lang w:val="zh-CN"/>
        </w:rPr>
      </w:pPr>
    </w:p>
    <w:p>
      <w:pPr>
        <w:pStyle w:val="2"/>
        <w:rPr>
          <w:rFonts w:hint="eastAsia"/>
          <w:lang w:val="zh-CN"/>
        </w:rPr>
      </w:pPr>
    </w:p>
    <w:p>
      <w:pPr>
        <w:autoSpaceDE w:val="0"/>
        <w:autoSpaceDN w:val="0"/>
        <w:spacing w:line="360" w:lineRule="auto"/>
        <w:jc w:val="center"/>
        <w:outlineLvl w:val="9"/>
        <w:rPr>
          <w:rFonts w:hint="eastAsia" w:asciiTheme="minorEastAsia" w:hAnsiTheme="minorEastAsia" w:eastAsiaTheme="minorEastAsia" w:cstheme="minorEastAsia"/>
          <w:kern w:val="0"/>
          <w:sz w:val="24"/>
          <w:szCs w:val="24"/>
          <w:lang w:val="zh-CN"/>
        </w:rPr>
      </w:pPr>
    </w:p>
    <w:p>
      <w:pPr>
        <w:autoSpaceDE w:val="0"/>
        <w:autoSpaceDN w:val="0"/>
        <w:spacing w:line="360" w:lineRule="auto"/>
        <w:jc w:val="center"/>
        <w:outlineLvl w:val="9"/>
        <w:rPr>
          <w:rFonts w:hint="eastAsia" w:asciiTheme="minorEastAsia" w:hAnsiTheme="minorEastAsia" w:eastAsiaTheme="minorEastAsia" w:cstheme="minorEastAsia"/>
          <w:kern w:val="0"/>
          <w:sz w:val="24"/>
          <w:szCs w:val="24"/>
          <w:lang w:val="zh-CN"/>
        </w:rPr>
      </w:pPr>
    </w:p>
    <w:p>
      <w:pPr>
        <w:autoSpaceDE w:val="0"/>
        <w:autoSpaceDN w:val="0"/>
        <w:spacing w:line="360" w:lineRule="auto"/>
        <w:jc w:val="center"/>
        <w:outlineLvl w:val="9"/>
        <w:rPr>
          <w:rFonts w:hint="eastAsia" w:asciiTheme="minorEastAsia" w:hAnsiTheme="minorEastAsia" w:eastAsiaTheme="minorEastAsia" w:cstheme="minorEastAsia"/>
          <w:kern w:val="0"/>
          <w:sz w:val="24"/>
          <w:szCs w:val="24"/>
          <w:lang w:val="zh-CN"/>
        </w:rPr>
      </w:pPr>
    </w:p>
    <w:p>
      <w:pPr>
        <w:autoSpaceDE w:val="0"/>
        <w:autoSpaceDN w:val="0"/>
        <w:spacing w:line="360" w:lineRule="auto"/>
        <w:jc w:val="center"/>
        <w:outlineLvl w:val="0"/>
        <w:rPr>
          <w:rFonts w:hint="eastAsia" w:ascii="宋体" w:hAnsi="宋体" w:cs="宋体"/>
          <w:b/>
          <w:bCs/>
          <w:kern w:val="0"/>
          <w:sz w:val="30"/>
          <w:szCs w:val="30"/>
          <w:lang w:val="zh-CN"/>
        </w:rPr>
      </w:pPr>
    </w:p>
    <w:p>
      <w:pPr>
        <w:autoSpaceDE w:val="0"/>
        <w:autoSpaceDN w:val="0"/>
        <w:spacing w:line="360" w:lineRule="auto"/>
        <w:jc w:val="center"/>
        <w:outlineLvl w:val="0"/>
        <w:rPr>
          <w:rFonts w:ascii="宋体" w:hAnsi="宋体" w:cs="宋体"/>
          <w:b/>
          <w:bCs/>
          <w:kern w:val="0"/>
          <w:sz w:val="28"/>
          <w:szCs w:val="28"/>
        </w:rPr>
      </w:pPr>
      <w:r>
        <w:rPr>
          <w:rFonts w:hint="eastAsia" w:ascii="宋体" w:hAnsi="宋体" w:cs="宋体"/>
          <w:b/>
          <w:bCs/>
          <w:kern w:val="0"/>
          <w:sz w:val="30"/>
          <w:szCs w:val="30"/>
          <w:lang w:val="zh-CN"/>
        </w:rPr>
        <w:t>合同通用条款</w:t>
      </w:r>
      <w:bookmarkEnd w:id="292"/>
      <w:bookmarkEnd w:id="293"/>
    </w:p>
    <w:p>
      <w:pPr>
        <w:autoSpaceDE w:val="0"/>
        <w:autoSpaceDN w:val="0"/>
        <w:adjustRightInd w:val="0"/>
        <w:spacing w:line="360" w:lineRule="auto"/>
        <w:rPr>
          <w:rFonts w:ascii="宋体" w:hAnsi="宋体" w:cs="宋体"/>
          <w:kern w:val="0"/>
          <w:sz w:val="28"/>
          <w:szCs w:val="28"/>
        </w:rPr>
      </w:pPr>
    </w:p>
    <w:p>
      <w:pPr>
        <w:autoSpaceDE w:val="0"/>
        <w:autoSpaceDN w:val="0"/>
        <w:spacing w:line="360" w:lineRule="auto"/>
        <w:ind w:firstLine="480"/>
        <w:rPr>
          <w:rFonts w:ascii="宋体" w:hAnsi="宋体" w:cs="宋体"/>
          <w:kern w:val="0"/>
        </w:rPr>
      </w:pPr>
      <w:r>
        <w:rPr>
          <w:rFonts w:hint="eastAsia" w:ascii="宋体" w:hAnsi="宋体" w:cs="宋体"/>
          <w:kern w:val="0"/>
          <w:lang w:val="zh-CN"/>
        </w:rPr>
        <w:t>根据《中华人民共和国民法典》《中华人民共和国政府采购法》的规定，合同双方经协商达成一致，自愿订立本合同，遵循公平原则明确双方的权利、义务，确保双方诚实守信地履行合同。</w:t>
      </w:r>
    </w:p>
    <w:p>
      <w:pPr>
        <w:autoSpaceDE w:val="0"/>
        <w:autoSpaceDN w:val="0"/>
        <w:spacing w:line="360" w:lineRule="auto"/>
        <w:outlineLvl w:val="0"/>
        <w:rPr>
          <w:rFonts w:ascii="宋体" w:hAnsi="宋体" w:cs="宋体"/>
          <w:b/>
          <w:bCs/>
          <w:kern w:val="0"/>
        </w:rPr>
      </w:pPr>
      <w:bookmarkStart w:id="294" w:name="_Toc1678"/>
      <w:bookmarkStart w:id="295" w:name="_Toc31185_WPSOffice_Level1"/>
      <w:r>
        <w:rPr>
          <w:rFonts w:hint="eastAsia" w:ascii="宋体" w:hAnsi="宋体" w:cs="宋体"/>
          <w:b/>
          <w:bCs/>
          <w:kern w:val="0"/>
        </w:rPr>
        <w:t>1.</w:t>
      </w:r>
      <w:r>
        <w:rPr>
          <w:rFonts w:hint="eastAsia" w:ascii="宋体" w:hAnsi="宋体" w:cs="宋体"/>
          <w:b/>
          <w:bCs/>
          <w:kern w:val="0"/>
          <w:lang w:val="zh-CN"/>
        </w:rPr>
        <w:t>定义</w:t>
      </w:r>
      <w:bookmarkEnd w:id="294"/>
      <w:bookmarkEnd w:id="295"/>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outlineLvl w:val="0"/>
        <w:rPr>
          <w:rFonts w:ascii="宋体" w:hAnsi="宋体" w:cs="宋体"/>
          <w:b/>
          <w:bCs/>
          <w:kern w:val="0"/>
        </w:rPr>
      </w:pPr>
      <w:bookmarkStart w:id="296" w:name="_Toc29422_WPSOffice_Level1"/>
      <w:bookmarkStart w:id="297" w:name="_Toc3590"/>
      <w:r>
        <w:rPr>
          <w:rFonts w:hint="eastAsia" w:ascii="宋体" w:hAnsi="宋体" w:cs="宋体"/>
          <w:b/>
          <w:bCs/>
          <w:kern w:val="0"/>
        </w:rPr>
        <w:t>2.</w:t>
      </w:r>
      <w:r>
        <w:rPr>
          <w:rFonts w:hint="eastAsia" w:ascii="宋体" w:hAnsi="宋体" w:cs="宋体"/>
          <w:b/>
          <w:bCs/>
          <w:kern w:val="0"/>
          <w:lang w:val="zh-CN"/>
        </w:rPr>
        <w:t>技术规格要求</w:t>
      </w:r>
      <w:bookmarkEnd w:id="296"/>
      <w:bookmarkEnd w:id="297"/>
    </w:p>
    <w:p>
      <w:pPr>
        <w:autoSpaceDE w:val="0"/>
        <w:autoSpaceDN w:val="0"/>
        <w:spacing w:line="360" w:lineRule="auto"/>
        <w:ind w:firstLine="480"/>
        <w:rPr>
          <w:rFonts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outlineLvl w:val="0"/>
        <w:rPr>
          <w:rFonts w:ascii="宋体" w:hAnsi="宋体" w:cs="宋体"/>
          <w:b/>
          <w:bCs/>
          <w:kern w:val="0"/>
        </w:rPr>
      </w:pPr>
      <w:bookmarkStart w:id="298" w:name="_Toc12325"/>
      <w:bookmarkStart w:id="299" w:name="_Toc11448_WPSOffice_Level1"/>
      <w:r>
        <w:rPr>
          <w:rFonts w:hint="eastAsia" w:ascii="宋体" w:hAnsi="宋体" w:cs="宋体"/>
          <w:b/>
          <w:bCs/>
          <w:kern w:val="0"/>
        </w:rPr>
        <w:t>3.</w:t>
      </w:r>
      <w:r>
        <w:rPr>
          <w:rFonts w:hint="eastAsia" w:ascii="宋体" w:hAnsi="宋体" w:cs="宋体"/>
          <w:b/>
          <w:bCs/>
          <w:kern w:val="0"/>
          <w:lang w:val="zh-CN"/>
        </w:rPr>
        <w:t>合同范围</w:t>
      </w:r>
      <w:bookmarkEnd w:id="298"/>
      <w:bookmarkEnd w:id="299"/>
    </w:p>
    <w:p>
      <w:pPr>
        <w:autoSpaceDE w:val="0"/>
        <w:autoSpaceDN w:val="0"/>
        <w:spacing w:line="360" w:lineRule="auto"/>
        <w:ind w:firstLine="480"/>
        <w:rPr>
          <w:rFonts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outlineLvl w:val="0"/>
        <w:rPr>
          <w:rFonts w:ascii="宋体" w:hAnsi="宋体" w:cs="宋体"/>
          <w:b/>
          <w:bCs/>
          <w:kern w:val="0"/>
        </w:rPr>
      </w:pPr>
      <w:bookmarkStart w:id="300" w:name="_Toc23469_WPSOffice_Level1"/>
      <w:bookmarkStart w:id="301" w:name="_Toc2399"/>
      <w:r>
        <w:rPr>
          <w:rFonts w:hint="eastAsia" w:ascii="宋体" w:hAnsi="宋体" w:cs="宋体"/>
          <w:b/>
          <w:bCs/>
          <w:kern w:val="0"/>
        </w:rPr>
        <w:t>4.</w:t>
      </w:r>
      <w:r>
        <w:rPr>
          <w:rFonts w:hint="eastAsia" w:ascii="宋体" w:hAnsi="宋体" w:cs="宋体"/>
          <w:b/>
          <w:bCs/>
          <w:kern w:val="0"/>
          <w:lang w:val="zh-CN"/>
        </w:rPr>
        <w:t>合同文件和资料</w:t>
      </w:r>
      <w:bookmarkEnd w:id="300"/>
      <w:bookmarkEnd w:id="301"/>
    </w:p>
    <w:p>
      <w:pPr>
        <w:autoSpaceDE w:val="0"/>
        <w:autoSpaceDN w:val="0"/>
        <w:spacing w:line="360" w:lineRule="auto"/>
        <w:ind w:firstLine="480"/>
        <w:rPr>
          <w:rFonts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outlineLvl w:val="0"/>
        <w:rPr>
          <w:rFonts w:ascii="宋体" w:hAnsi="宋体" w:cs="宋体"/>
          <w:b/>
          <w:bCs/>
          <w:kern w:val="0"/>
        </w:rPr>
      </w:pPr>
      <w:bookmarkStart w:id="302" w:name="_Toc17247"/>
      <w:bookmarkStart w:id="303" w:name="_Toc5829_WPSOffice_Level1"/>
      <w:r>
        <w:rPr>
          <w:rFonts w:hint="eastAsia" w:ascii="宋体" w:hAnsi="宋体" w:cs="宋体"/>
          <w:b/>
          <w:bCs/>
          <w:kern w:val="0"/>
        </w:rPr>
        <w:t>5.</w:t>
      </w:r>
      <w:r>
        <w:rPr>
          <w:rFonts w:hint="eastAsia" w:ascii="宋体" w:hAnsi="宋体" w:cs="宋体"/>
          <w:b/>
          <w:bCs/>
          <w:kern w:val="0"/>
          <w:lang w:val="zh-CN"/>
        </w:rPr>
        <w:t>知识产权</w:t>
      </w:r>
      <w:bookmarkEnd w:id="302"/>
      <w:bookmarkEnd w:id="303"/>
    </w:p>
    <w:p>
      <w:pPr>
        <w:autoSpaceDE w:val="0"/>
        <w:autoSpaceDN w:val="0"/>
        <w:spacing w:line="360" w:lineRule="auto"/>
        <w:ind w:firstLine="480"/>
        <w:rPr>
          <w:rFonts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outlineLvl w:val="0"/>
        <w:rPr>
          <w:rFonts w:ascii="宋体" w:hAnsi="宋体" w:cs="宋体"/>
          <w:b/>
          <w:bCs/>
          <w:kern w:val="0"/>
        </w:rPr>
      </w:pPr>
      <w:bookmarkStart w:id="304" w:name="_Toc30473"/>
      <w:bookmarkStart w:id="305" w:name="_Toc14020_WPSOffice_Level1"/>
      <w:r>
        <w:rPr>
          <w:rFonts w:hint="eastAsia" w:ascii="宋体" w:hAnsi="宋体" w:cs="宋体"/>
          <w:b/>
          <w:bCs/>
          <w:kern w:val="0"/>
        </w:rPr>
        <w:t>6.</w:t>
      </w:r>
      <w:r>
        <w:rPr>
          <w:rFonts w:hint="eastAsia" w:ascii="宋体" w:hAnsi="宋体" w:cs="宋体"/>
          <w:b/>
          <w:bCs/>
          <w:kern w:val="0"/>
          <w:lang w:val="zh-CN"/>
        </w:rPr>
        <w:t>保密</w:t>
      </w:r>
      <w:bookmarkEnd w:id="304"/>
      <w:bookmarkEnd w:id="305"/>
    </w:p>
    <w:p>
      <w:pPr>
        <w:autoSpaceDE w:val="0"/>
        <w:autoSpaceDN w:val="0"/>
        <w:spacing w:line="360" w:lineRule="auto"/>
        <w:ind w:firstLine="480"/>
        <w:rPr>
          <w:rFonts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w:t>
      </w:r>
      <w:r>
        <w:rPr>
          <w:rFonts w:hint="eastAsia" w:ascii="宋体" w:hAnsi="宋体" w:cs="宋体"/>
          <w:kern w:val="0"/>
        </w:rPr>
        <w:t xml:space="preserve"> </w:t>
      </w:r>
      <w:r>
        <w:rPr>
          <w:rFonts w:hint="eastAsia" w:ascii="宋体" w:hAnsi="宋体" w:cs="宋体"/>
          <w:kern w:val="0"/>
          <w:lang w:val="zh-CN"/>
        </w:rPr>
        <w:t>、报告、数据、客户软件、流程图、数据库、发明、知识、贸易秘密。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outlineLvl w:val="0"/>
        <w:rPr>
          <w:rFonts w:ascii="宋体" w:hAnsi="宋体" w:cs="宋体"/>
          <w:b/>
          <w:bCs/>
          <w:kern w:val="0"/>
        </w:rPr>
      </w:pPr>
      <w:bookmarkStart w:id="306" w:name="_Toc24317"/>
      <w:bookmarkStart w:id="307" w:name="_Toc10082_WPSOffice_Level1"/>
      <w:r>
        <w:rPr>
          <w:rFonts w:hint="eastAsia" w:ascii="宋体" w:hAnsi="宋体" w:cs="宋体"/>
          <w:b/>
          <w:bCs/>
          <w:kern w:val="0"/>
        </w:rPr>
        <w:t xml:space="preserve">7. </w:t>
      </w:r>
      <w:r>
        <w:rPr>
          <w:rFonts w:hint="eastAsia" w:ascii="宋体" w:hAnsi="宋体" w:cs="宋体"/>
          <w:b/>
          <w:bCs/>
          <w:kern w:val="0"/>
          <w:lang w:val="zh-CN"/>
        </w:rPr>
        <w:t>质量保证</w:t>
      </w:r>
      <w:bookmarkEnd w:id="306"/>
      <w:bookmarkEnd w:id="307"/>
    </w:p>
    <w:p>
      <w:pPr>
        <w:autoSpaceDE w:val="0"/>
        <w:autoSpaceDN w:val="0"/>
        <w:spacing w:line="360" w:lineRule="auto"/>
        <w:ind w:firstLine="480"/>
        <w:outlineLvl w:val="1"/>
        <w:rPr>
          <w:rFonts w:ascii="宋体" w:hAnsi="宋体" w:cs="宋体"/>
          <w:kern w:val="0"/>
        </w:rPr>
      </w:pPr>
      <w:bookmarkStart w:id="308" w:name="_Toc26228"/>
      <w:bookmarkStart w:id="309" w:name="_Toc8132_WPSOffice_Level2"/>
      <w:r>
        <w:rPr>
          <w:rFonts w:hint="eastAsia" w:ascii="宋体" w:hAnsi="宋体" w:cs="宋体"/>
          <w:kern w:val="0"/>
        </w:rPr>
        <w:t xml:space="preserve">7.1 </w:t>
      </w:r>
      <w:r>
        <w:rPr>
          <w:rFonts w:hint="eastAsia" w:ascii="宋体" w:hAnsi="宋体" w:cs="宋体"/>
          <w:kern w:val="0"/>
          <w:lang w:val="zh-CN"/>
        </w:rPr>
        <w:t>货物质量保证</w:t>
      </w:r>
      <w:bookmarkEnd w:id="308"/>
      <w:bookmarkEnd w:id="309"/>
    </w:p>
    <w:p>
      <w:pPr>
        <w:autoSpaceDE w:val="0"/>
        <w:autoSpaceDN w:val="0"/>
        <w:spacing w:line="360" w:lineRule="auto"/>
        <w:ind w:firstLine="480"/>
        <w:rPr>
          <w:rFonts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outlineLvl w:val="1"/>
        <w:rPr>
          <w:rFonts w:ascii="宋体" w:hAnsi="宋体" w:cs="宋体"/>
          <w:kern w:val="0"/>
        </w:rPr>
      </w:pPr>
      <w:bookmarkStart w:id="310" w:name="_Toc551_WPSOffice_Level2"/>
      <w:bookmarkStart w:id="311" w:name="_Toc31111"/>
      <w:r>
        <w:rPr>
          <w:rFonts w:hint="eastAsia" w:ascii="宋体" w:hAnsi="宋体" w:cs="宋体"/>
          <w:kern w:val="0"/>
        </w:rPr>
        <w:t xml:space="preserve">7.2 </w:t>
      </w:r>
      <w:r>
        <w:rPr>
          <w:rFonts w:hint="eastAsia" w:ascii="宋体" w:hAnsi="宋体" w:cs="宋体"/>
          <w:kern w:val="0"/>
          <w:lang w:val="zh-CN"/>
        </w:rPr>
        <w:t>辅助服务质量保证</w:t>
      </w:r>
      <w:bookmarkEnd w:id="310"/>
      <w:bookmarkEnd w:id="311"/>
    </w:p>
    <w:p>
      <w:pPr>
        <w:autoSpaceDE w:val="0"/>
        <w:autoSpaceDN w:val="0"/>
        <w:spacing w:line="360" w:lineRule="auto"/>
        <w:ind w:firstLine="480"/>
        <w:rPr>
          <w:rFonts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outlineLvl w:val="0"/>
        <w:rPr>
          <w:rFonts w:ascii="宋体" w:hAnsi="宋体" w:cs="宋体"/>
          <w:b/>
          <w:bCs/>
          <w:kern w:val="0"/>
        </w:rPr>
      </w:pPr>
      <w:bookmarkStart w:id="312" w:name="_Toc19867"/>
      <w:bookmarkStart w:id="313" w:name="_Toc22115_WPSOffice_Level1"/>
      <w:r>
        <w:rPr>
          <w:rFonts w:hint="eastAsia" w:ascii="宋体" w:hAnsi="宋体" w:cs="宋体"/>
          <w:b/>
          <w:bCs/>
          <w:kern w:val="0"/>
        </w:rPr>
        <w:t>8.</w:t>
      </w:r>
      <w:r>
        <w:rPr>
          <w:rFonts w:hint="eastAsia" w:ascii="宋体" w:hAnsi="宋体" w:cs="宋体"/>
          <w:b/>
          <w:bCs/>
          <w:kern w:val="0"/>
          <w:lang w:val="zh-CN"/>
        </w:rPr>
        <w:t>包装要求</w:t>
      </w:r>
      <w:bookmarkEnd w:id="312"/>
      <w:bookmarkEnd w:id="313"/>
    </w:p>
    <w:p>
      <w:pPr>
        <w:autoSpaceDE w:val="0"/>
        <w:autoSpaceDN w:val="0"/>
        <w:spacing w:line="360" w:lineRule="auto"/>
        <w:ind w:firstLine="480"/>
        <w:rPr>
          <w:rFonts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outlineLvl w:val="0"/>
        <w:rPr>
          <w:rFonts w:ascii="宋体" w:hAnsi="宋体" w:cs="宋体"/>
          <w:b/>
          <w:bCs/>
          <w:kern w:val="0"/>
        </w:rPr>
      </w:pPr>
      <w:bookmarkStart w:id="314" w:name="_Toc11973_WPSOffice_Level1"/>
      <w:bookmarkStart w:id="315" w:name="_Toc19562"/>
      <w:r>
        <w:rPr>
          <w:rFonts w:hint="eastAsia" w:ascii="宋体" w:hAnsi="宋体" w:cs="宋体"/>
          <w:b/>
          <w:bCs/>
          <w:kern w:val="0"/>
        </w:rPr>
        <w:t>9.</w:t>
      </w:r>
      <w:r>
        <w:rPr>
          <w:rFonts w:hint="eastAsia" w:ascii="宋体" w:hAnsi="宋体" w:cs="宋体"/>
          <w:b/>
          <w:bCs/>
          <w:kern w:val="0"/>
          <w:lang w:val="zh-CN"/>
        </w:rPr>
        <w:t>价格</w:t>
      </w:r>
      <w:bookmarkEnd w:id="314"/>
      <w:bookmarkEnd w:id="315"/>
    </w:p>
    <w:p>
      <w:pPr>
        <w:autoSpaceDE w:val="0"/>
        <w:autoSpaceDN w:val="0"/>
        <w:spacing w:line="360" w:lineRule="auto"/>
        <w:ind w:firstLine="480"/>
        <w:rPr>
          <w:rFonts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w:t>
      </w:r>
      <w:r>
        <w:rPr>
          <w:rFonts w:hint="eastAsia" w:ascii="宋体" w:hAnsi="宋体" w:cs="宋体"/>
          <w:kern w:val="0"/>
        </w:rPr>
        <w:t xml:space="preserve"> </w:t>
      </w:r>
      <w:r>
        <w:rPr>
          <w:rFonts w:hint="eastAsia" w:ascii="宋体" w:hAnsi="宋体" w:cs="宋体"/>
          <w:kern w:val="0"/>
          <w:lang w:val="zh-CN"/>
        </w:rPr>
        <w:t>而引起甲方人员延长逗留时间，所有由此产生的包括甲方人员在内的直接费用及成本由乙方承担。</w:t>
      </w:r>
    </w:p>
    <w:p>
      <w:pPr>
        <w:autoSpaceDE w:val="0"/>
        <w:autoSpaceDN w:val="0"/>
        <w:spacing w:line="360" w:lineRule="auto"/>
        <w:outlineLvl w:val="0"/>
        <w:rPr>
          <w:rFonts w:ascii="宋体" w:hAnsi="宋体" w:cs="宋体"/>
          <w:b/>
          <w:bCs/>
          <w:kern w:val="0"/>
        </w:rPr>
      </w:pPr>
      <w:bookmarkStart w:id="316" w:name="_Toc32161_WPSOffice_Level1"/>
      <w:bookmarkStart w:id="317" w:name="_Toc13833"/>
      <w:r>
        <w:rPr>
          <w:rFonts w:hint="eastAsia" w:ascii="宋体" w:hAnsi="宋体" w:cs="宋体"/>
          <w:b/>
          <w:bCs/>
          <w:kern w:val="0"/>
        </w:rPr>
        <w:t>10.</w:t>
      </w:r>
      <w:r>
        <w:rPr>
          <w:rFonts w:hint="eastAsia" w:ascii="宋体" w:hAnsi="宋体" w:cs="宋体"/>
          <w:b/>
          <w:bCs/>
          <w:kern w:val="0"/>
          <w:lang w:val="zh-CN"/>
        </w:rPr>
        <w:t>交货方式及交货日期</w:t>
      </w:r>
      <w:bookmarkEnd w:id="316"/>
      <w:bookmarkEnd w:id="317"/>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交货期应根据产品的特点实事求是填写，特殊产品交货期需说明。</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360" w:lineRule="auto"/>
        <w:outlineLvl w:val="0"/>
        <w:rPr>
          <w:rFonts w:ascii="宋体" w:hAnsi="宋体" w:cs="宋体"/>
          <w:kern w:val="0"/>
          <w:lang w:val="zh-CN"/>
        </w:rPr>
      </w:pPr>
      <w:bookmarkStart w:id="318" w:name="_Toc376"/>
      <w:bookmarkStart w:id="319" w:name="_Toc12405_WPSOffice_Level1"/>
      <w:r>
        <w:rPr>
          <w:rFonts w:hint="eastAsia" w:ascii="宋体" w:hAnsi="宋体" w:cs="宋体"/>
          <w:b/>
          <w:bCs/>
          <w:kern w:val="0"/>
          <w:lang w:val="zh-CN"/>
        </w:rPr>
        <w:t>11.检验和验收</w:t>
      </w:r>
      <w:bookmarkEnd w:id="318"/>
      <w:bookmarkEnd w:id="319"/>
    </w:p>
    <w:p>
      <w:pPr>
        <w:autoSpaceDE w:val="0"/>
        <w:autoSpaceDN w:val="0"/>
        <w:spacing w:line="360" w:lineRule="auto"/>
        <w:ind w:firstLine="480"/>
        <w:outlineLvl w:val="1"/>
        <w:rPr>
          <w:rFonts w:ascii="宋体" w:hAnsi="宋体" w:cs="宋体"/>
          <w:kern w:val="0"/>
        </w:rPr>
      </w:pPr>
      <w:bookmarkStart w:id="320" w:name="_Toc5876"/>
      <w:bookmarkStart w:id="321" w:name="_Toc3293_WPSOffice_Level2"/>
      <w:r>
        <w:rPr>
          <w:rFonts w:hint="eastAsia" w:ascii="宋体" w:hAnsi="宋体" w:cs="宋体"/>
          <w:kern w:val="0"/>
        </w:rPr>
        <w:t xml:space="preserve">11.1 </w:t>
      </w:r>
      <w:r>
        <w:rPr>
          <w:rFonts w:hint="eastAsia" w:ascii="宋体" w:hAnsi="宋体" w:cs="宋体"/>
          <w:kern w:val="0"/>
          <w:lang w:val="zh-CN"/>
        </w:rPr>
        <w:t>开箱验收</w:t>
      </w:r>
      <w:bookmarkEnd w:id="320"/>
      <w:bookmarkEnd w:id="321"/>
    </w:p>
    <w:p>
      <w:pPr>
        <w:autoSpaceDE w:val="0"/>
        <w:autoSpaceDN w:val="0"/>
        <w:spacing w:line="360" w:lineRule="auto"/>
        <w:ind w:firstLine="480"/>
        <w:rPr>
          <w:rFonts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outlineLvl w:val="1"/>
        <w:rPr>
          <w:rFonts w:ascii="宋体" w:hAnsi="宋体" w:cs="宋体"/>
          <w:kern w:val="0"/>
        </w:rPr>
      </w:pPr>
      <w:bookmarkStart w:id="322" w:name="_Toc24272_WPSOffice_Level2"/>
      <w:bookmarkStart w:id="323" w:name="_Toc32016"/>
      <w:r>
        <w:rPr>
          <w:rFonts w:hint="eastAsia" w:ascii="宋体" w:hAnsi="宋体" w:cs="宋体"/>
          <w:kern w:val="0"/>
        </w:rPr>
        <w:t xml:space="preserve">11.2 </w:t>
      </w:r>
      <w:r>
        <w:rPr>
          <w:rFonts w:hint="eastAsia" w:ascii="宋体" w:hAnsi="宋体" w:cs="宋体"/>
          <w:kern w:val="0"/>
          <w:lang w:val="zh-CN"/>
        </w:rPr>
        <w:t>检验验收</w:t>
      </w:r>
      <w:bookmarkEnd w:id="322"/>
      <w:bookmarkEnd w:id="323"/>
    </w:p>
    <w:p>
      <w:pPr>
        <w:autoSpaceDE w:val="0"/>
        <w:autoSpaceDN w:val="0"/>
        <w:spacing w:line="360" w:lineRule="auto"/>
        <w:ind w:firstLine="480"/>
        <w:rPr>
          <w:rFonts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kern w:val="0"/>
        </w:rPr>
      </w:pPr>
      <w:bookmarkStart w:id="324" w:name="_Toc2465_WPSOffice_Level3"/>
      <w:r>
        <w:rPr>
          <w:rFonts w:hint="eastAsia" w:ascii="宋体" w:hAnsi="宋体" w:cs="宋体"/>
          <w:kern w:val="0"/>
        </w:rPr>
        <w:t>a.</w:t>
      </w:r>
      <w:r>
        <w:rPr>
          <w:rFonts w:hint="eastAsia" w:ascii="宋体" w:hAnsi="宋体" w:cs="宋体"/>
          <w:kern w:val="0"/>
          <w:lang w:val="zh-CN"/>
        </w:rPr>
        <w:t>重新测试直至合格为止；</w:t>
      </w:r>
      <w:bookmarkEnd w:id="324"/>
    </w:p>
    <w:p>
      <w:pPr>
        <w:autoSpaceDE w:val="0"/>
        <w:autoSpaceDN w:val="0"/>
        <w:spacing w:line="360" w:lineRule="auto"/>
        <w:ind w:firstLine="480"/>
        <w:rPr>
          <w:rFonts w:ascii="宋体" w:hAnsi="宋体" w:cs="宋体"/>
          <w:kern w:val="0"/>
        </w:rPr>
      </w:pPr>
      <w:bookmarkStart w:id="325" w:name="_Toc3903_WPSOffice_Level3"/>
      <w:r>
        <w:rPr>
          <w:rFonts w:hint="eastAsia" w:ascii="宋体" w:hAnsi="宋体" w:cs="宋体"/>
          <w:kern w:val="0"/>
        </w:rPr>
        <w:t>b.</w:t>
      </w:r>
      <w:r>
        <w:rPr>
          <w:rFonts w:hint="eastAsia" w:ascii="宋体" w:hAnsi="宋体" w:cs="宋体"/>
          <w:kern w:val="0"/>
          <w:lang w:val="zh-CN"/>
        </w:rPr>
        <w:t>要求乙方对货物进行免费更换，然后重新测试直至合格为止；</w:t>
      </w:r>
      <w:bookmarkEnd w:id="325"/>
    </w:p>
    <w:p>
      <w:pPr>
        <w:autoSpaceDE w:val="0"/>
        <w:autoSpaceDN w:val="0"/>
        <w:spacing w:line="360" w:lineRule="auto"/>
        <w:rPr>
          <w:rFonts w:ascii="宋体" w:hAns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outlineLvl w:val="1"/>
        <w:rPr>
          <w:rFonts w:ascii="宋体" w:hAnsi="宋体" w:cs="宋体"/>
          <w:kern w:val="0"/>
        </w:rPr>
      </w:pPr>
      <w:bookmarkStart w:id="326" w:name="_Toc15270_WPSOffice_Level2"/>
      <w:bookmarkStart w:id="327" w:name="_Toc27965"/>
      <w:r>
        <w:rPr>
          <w:rFonts w:hint="eastAsia" w:ascii="宋体" w:hAnsi="宋体" w:cs="宋体"/>
          <w:kern w:val="0"/>
        </w:rPr>
        <w:t xml:space="preserve">11.3 </w:t>
      </w:r>
      <w:r>
        <w:rPr>
          <w:rFonts w:hint="eastAsia" w:ascii="宋体" w:hAnsi="宋体" w:cs="宋体"/>
          <w:kern w:val="0"/>
          <w:lang w:val="zh-CN"/>
        </w:rPr>
        <w:t>使用过程检验</w:t>
      </w:r>
      <w:bookmarkEnd w:id="326"/>
      <w:bookmarkEnd w:id="327"/>
    </w:p>
    <w:p>
      <w:pPr>
        <w:autoSpaceDE w:val="0"/>
        <w:autoSpaceDN w:val="0"/>
        <w:spacing w:line="360" w:lineRule="auto"/>
        <w:ind w:firstLine="480"/>
        <w:rPr>
          <w:rFonts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10日内</w:t>
      </w:r>
      <w:r>
        <w:rPr>
          <w:rFonts w:hint="eastAsia" w:ascii="宋体" w:hAnsi="宋体" w:cs="宋体"/>
          <w:kern w:val="0"/>
          <w:lang w:val="zh-CN"/>
        </w:rPr>
        <w:t>给对方声明，以陈述己方的观点。声明须附有关证据。分歧应通过协商解决。</w:t>
      </w:r>
    </w:p>
    <w:p>
      <w:pPr>
        <w:autoSpaceDE w:val="0"/>
        <w:autoSpaceDN w:val="0"/>
        <w:spacing w:line="360" w:lineRule="auto"/>
        <w:outlineLvl w:val="0"/>
        <w:rPr>
          <w:rFonts w:ascii="宋体" w:hAnsi="宋体" w:cs="宋体"/>
          <w:b/>
          <w:bCs/>
          <w:kern w:val="0"/>
        </w:rPr>
      </w:pPr>
      <w:bookmarkStart w:id="328" w:name="_Toc12966"/>
      <w:bookmarkStart w:id="329" w:name="_Toc884_WPSOffice_Level1"/>
      <w:r>
        <w:rPr>
          <w:rFonts w:hint="eastAsia" w:ascii="宋体" w:hAnsi="宋体" w:cs="宋体"/>
          <w:b/>
          <w:bCs/>
          <w:kern w:val="0"/>
        </w:rPr>
        <w:t>12.</w:t>
      </w:r>
      <w:r>
        <w:rPr>
          <w:rFonts w:hint="eastAsia" w:ascii="宋体" w:hAnsi="宋体" w:cs="宋体"/>
          <w:b/>
          <w:bCs/>
          <w:kern w:val="0"/>
          <w:lang w:val="zh-CN"/>
        </w:rPr>
        <w:t>付款方法和条件</w:t>
      </w:r>
      <w:bookmarkEnd w:id="328"/>
      <w:bookmarkEnd w:id="329"/>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360" w:lineRule="auto"/>
        <w:outlineLvl w:val="0"/>
        <w:rPr>
          <w:rFonts w:ascii="宋体" w:hAnsi="宋体" w:cs="宋体"/>
          <w:b/>
          <w:bCs/>
          <w:kern w:val="0"/>
        </w:rPr>
      </w:pPr>
      <w:bookmarkStart w:id="330" w:name="_Toc26705"/>
      <w:bookmarkStart w:id="331" w:name="_Toc10995_WPSOffice_Level1"/>
      <w:r>
        <w:rPr>
          <w:rFonts w:hint="eastAsia" w:ascii="宋体" w:hAnsi="宋体" w:cs="宋体"/>
          <w:b/>
          <w:bCs/>
          <w:kern w:val="0"/>
        </w:rPr>
        <w:t>13.</w:t>
      </w:r>
      <w:r>
        <w:rPr>
          <w:rFonts w:hint="eastAsia" w:ascii="宋体" w:hAnsi="宋体" w:cs="宋体"/>
          <w:b/>
          <w:bCs/>
          <w:kern w:val="0"/>
          <w:lang w:val="zh-CN"/>
        </w:rPr>
        <w:t>履约保证金</w:t>
      </w:r>
      <w:bookmarkEnd w:id="330"/>
      <w:bookmarkEnd w:id="331"/>
    </w:p>
    <w:p>
      <w:pPr>
        <w:autoSpaceDE w:val="0"/>
        <w:autoSpaceDN w:val="0"/>
        <w:spacing w:line="360" w:lineRule="auto"/>
        <w:ind w:firstLine="480"/>
        <w:rPr>
          <w:rFonts w:ascii="宋体" w:hAnsi="宋体" w:cs="宋体"/>
          <w:kern w:val="0"/>
        </w:rPr>
      </w:pPr>
      <w:r>
        <w:rPr>
          <w:rFonts w:hint="eastAsia"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部分“八 授予合同”中第22.2项的约定提交履约保证金。</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outlineLvl w:val="0"/>
        <w:rPr>
          <w:rFonts w:ascii="宋体" w:hAnsi="宋体" w:cs="宋体"/>
          <w:b/>
          <w:bCs/>
          <w:kern w:val="0"/>
        </w:rPr>
      </w:pPr>
      <w:bookmarkStart w:id="332" w:name="_Toc27185_WPSOffice_Level1"/>
      <w:bookmarkStart w:id="333" w:name="_Toc7824"/>
      <w:r>
        <w:rPr>
          <w:rFonts w:hint="eastAsia" w:ascii="宋体" w:hAnsi="宋体" w:cs="宋体"/>
          <w:b/>
          <w:bCs/>
          <w:kern w:val="0"/>
        </w:rPr>
        <w:t>14.</w:t>
      </w:r>
      <w:r>
        <w:rPr>
          <w:rFonts w:hint="eastAsia" w:ascii="宋体" w:hAnsi="宋体" w:cs="宋体"/>
          <w:b/>
          <w:bCs/>
          <w:kern w:val="0"/>
          <w:lang w:val="zh-CN"/>
        </w:rPr>
        <w:t>索赔</w:t>
      </w:r>
      <w:bookmarkEnd w:id="332"/>
      <w:bookmarkEnd w:id="333"/>
    </w:p>
    <w:p>
      <w:pPr>
        <w:autoSpaceDE w:val="0"/>
        <w:autoSpaceDN w:val="0"/>
        <w:spacing w:line="360" w:lineRule="auto"/>
        <w:ind w:firstLine="480"/>
        <w:rPr>
          <w:rFonts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outlineLvl w:val="0"/>
        <w:rPr>
          <w:rFonts w:ascii="宋体" w:hAnsi="宋体" w:cs="宋体"/>
          <w:b/>
          <w:bCs/>
          <w:kern w:val="0"/>
        </w:rPr>
      </w:pPr>
      <w:bookmarkStart w:id="334" w:name="_Toc1459_WPSOffice_Level1"/>
      <w:bookmarkStart w:id="335" w:name="_Toc31556"/>
      <w:r>
        <w:rPr>
          <w:rFonts w:hint="eastAsia" w:ascii="宋体" w:hAnsi="宋体" w:cs="宋体"/>
          <w:b/>
          <w:bCs/>
          <w:kern w:val="0"/>
        </w:rPr>
        <w:t>15.</w:t>
      </w:r>
      <w:r>
        <w:rPr>
          <w:rFonts w:hint="eastAsia" w:ascii="宋体" w:hAnsi="宋体" w:cs="宋体"/>
          <w:b/>
          <w:bCs/>
          <w:kern w:val="0"/>
          <w:lang w:val="zh-CN"/>
        </w:rPr>
        <w:t>迟延交货</w:t>
      </w:r>
      <w:bookmarkEnd w:id="334"/>
      <w:bookmarkEnd w:id="335"/>
    </w:p>
    <w:p>
      <w:pPr>
        <w:autoSpaceDE w:val="0"/>
        <w:autoSpaceDN w:val="0"/>
        <w:spacing w:line="360" w:lineRule="auto"/>
        <w:ind w:firstLine="480"/>
        <w:rPr>
          <w:rFonts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outlineLvl w:val="0"/>
        <w:rPr>
          <w:rFonts w:ascii="宋体" w:hAnsi="宋体" w:cs="宋体"/>
          <w:b/>
          <w:bCs/>
          <w:kern w:val="0"/>
        </w:rPr>
      </w:pPr>
      <w:bookmarkStart w:id="336" w:name="_Toc5955"/>
      <w:bookmarkStart w:id="337" w:name="_Toc30762_WPSOffice_Level1"/>
      <w:r>
        <w:rPr>
          <w:rFonts w:hint="eastAsia" w:ascii="宋体" w:hAnsi="宋体" w:cs="宋体"/>
          <w:b/>
          <w:bCs/>
          <w:kern w:val="0"/>
        </w:rPr>
        <w:t>16.</w:t>
      </w:r>
      <w:r>
        <w:rPr>
          <w:rFonts w:hint="eastAsia" w:ascii="宋体" w:hAnsi="宋体" w:cs="宋体"/>
          <w:b/>
          <w:bCs/>
          <w:kern w:val="0"/>
          <w:lang w:val="zh-CN"/>
        </w:rPr>
        <w:t>违约赔偿</w:t>
      </w:r>
      <w:bookmarkEnd w:id="336"/>
      <w:bookmarkEnd w:id="337"/>
    </w:p>
    <w:p>
      <w:pPr>
        <w:autoSpaceDE w:val="0"/>
        <w:autoSpaceDN w:val="0"/>
        <w:spacing w:line="360" w:lineRule="auto"/>
        <w:ind w:firstLine="480"/>
        <w:rPr>
          <w:rFonts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outlineLvl w:val="0"/>
        <w:rPr>
          <w:rFonts w:ascii="宋体" w:hAnsi="宋体" w:cs="宋体"/>
          <w:b/>
          <w:bCs/>
          <w:kern w:val="0"/>
        </w:rPr>
      </w:pPr>
      <w:bookmarkStart w:id="338" w:name="_Toc8132_WPSOffice_Level1"/>
      <w:bookmarkStart w:id="339" w:name="_Toc23457"/>
      <w:r>
        <w:rPr>
          <w:rFonts w:hint="eastAsia" w:ascii="宋体" w:hAnsi="宋体" w:cs="宋体"/>
          <w:b/>
          <w:bCs/>
          <w:kern w:val="0"/>
        </w:rPr>
        <w:t>17.</w:t>
      </w:r>
      <w:r>
        <w:rPr>
          <w:rFonts w:hint="eastAsia" w:ascii="宋体" w:hAnsi="宋体" w:cs="宋体"/>
          <w:b/>
          <w:bCs/>
          <w:kern w:val="0"/>
          <w:lang w:val="zh-CN"/>
        </w:rPr>
        <w:t>不可抗力</w:t>
      </w:r>
      <w:bookmarkEnd w:id="338"/>
      <w:bookmarkEnd w:id="339"/>
    </w:p>
    <w:p>
      <w:pPr>
        <w:autoSpaceDE w:val="0"/>
        <w:autoSpaceDN w:val="0"/>
        <w:spacing w:line="360" w:lineRule="auto"/>
        <w:ind w:firstLine="480"/>
        <w:rPr>
          <w:rFonts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outlineLvl w:val="0"/>
        <w:rPr>
          <w:rFonts w:ascii="宋体" w:hAnsi="宋体" w:cs="宋体"/>
          <w:b/>
          <w:bCs/>
          <w:kern w:val="0"/>
        </w:rPr>
      </w:pPr>
      <w:bookmarkStart w:id="340" w:name="_Toc551_WPSOffice_Level1"/>
      <w:bookmarkStart w:id="341" w:name="_Toc31076"/>
      <w:r>
        <w:rPr>
          <w:rFonts w:hint="eastAsia" w:ascii="宋体" w:hAnsi="宋体" w:cs="宋体"/>
          <w:b/>
          <w:bCs/>
          <w:kern w:val="0"/>
        </w:rPr>
        <w:t>18.</w:t>
      </w:r>
      <w:r>
        <w:rPr>
          <w:rFonts w:hint="eastAsia" w:ascii="宋体" w:hAnsi="宋体" w:cs="宋体"/>
          <w:b/>
          <w:bCs/>
          <w:kern w:val="0"/>
          <w:lang w:val="zh-CN"/>
        </w:rPr>
        <w:t>税费</w:t>
      </w:r>
      <w:bookmarkEnd w:id="340"/>
      <w:bookmarkEnd w:id="341"/>
    </w:p>
    <w:p>
      <w:pPr>
        <w:autoSpaceDE w:val="0"/>
        <w:autoSpaceDN w:val="0"/>
        <w:spacing w:line="360" w:lineRule="auto"/>
        <w:ind w:firstLine="480"/>
        <w:rPr>
          <w:rFonts w:ascii="宋体" w:hAnsi="宋体" w:cs="宋体"/>
          <w:kern w:val="0"/>
        </w:rPr>
      </w:pPr>
      <w:r>
        <w:rPr>
          <w:rFonts w:hint="eastAsia" w:ascii="宋体" w:hAnsi="宋体" w:cs="宋体"/>
          <w:kern w:val="0"/>
          <w:lang w:val="zh-CN"/>
        </w:rPr>
        <w:t>与本合同有关的一切税费均由乙方承担。</w:t>
      </w:r>
    </w:p>
    <w:p>
      <w:pPr>
        <w:autoSpaceDE w:val="0"/>
        <w:autoSpaceDN w:val="0"/>
        <w:spacing w:line="360" w:lineRule="auto"/>
        <w:outlineLvl w:val="0"/>
        <w:rPr>
          <w:rFonts w:ascii="宋体" w:hAnsi="宋体" w:cs="宋体"/>
          <w:b/>
          <w:bCs/>
          <w:kern w:val="0"/>
        </w:rPr>
      </w:pPr>
      <w:bookmarkStart w:id="342" w:name="_Toc954"/>
      <w:bookmarkStart w:id="343" w:name="_Toc3293_WPSOffice_Level1"/>
      <w:r>
        <w:rPr>
          <w:rFonts w:hint="eastAsia" w:ascii="宋体" w:hAnsi="宋体" w:cs="宋体"/>
          <w:b/>
          <w:bCs/>
          <w:kern w:val="0"/>
        </w:rPr>
        <w:t>19.</w:t>
      </w:r>
      <w:r>
        <w:rPr>
          <w:rFonts w:hint="eastAsia" w:ascii="宋体" w:hAnsi="宋体" w:cs="宋体"/>
          <w:b/>
          <w:bCs/>
          <w:kern w:val="0"/>
          <w:lang w:val="zh-CN"/>
        </w:rPr>
        <w:t>合同争议的解决</w:t>
      </w:r>
      <w:bookmarkEnd w:id="342"/>
      <w:bookmarkEnd w:id="343"/>
    </w:p>
    <w:p>
      <w:pPr>
        <w:autoSpaceDE w:val="0"/>
        <w:autoSpaceDN w:val="0"/>
        <w:spacing w:line="360" w:lineRule="auto"/>
        <w:ind w:firstLine="480"/>
        <w:rPr>
          <w:rFonts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outlineLvl w:val="0"/>
        <w:rPr>
          <w:rFonts w:ascii="宋体" w:hAnsi="宋体" w:cs="宋体"/>
          <w:b/>
          <w:bCs/>
          <w:kern w:val="0"/>
        </w:rPr>
      </w:pPr>
      <w:bookmarkStart w:id="344" w:name="_Toc3405"/>
      <w:bookmarkStart w:id="345" w:name="_Toc24272_WPSOffice_Level1"/>
      <w:r>
        <w:rPr>
          <w:rFonts w:hint="eastAsia" w:ascii="宋体" w:hAnsi="宋体" w:cs="宋体"/>
          <w:b/>
          <w:bCs/>
          <w:kern w:val="0"/>
        </w:rPr>
        <w:t>20.</w:t>
      </w:r>
      <w:r>
        <w:rPr>
          <w:rFonts w:hint="eastAsia" w:ascii="宋体" w:hAnsi="宋体" w:cs="宋体"/>
          <w:b/>
          <w:bCs/>
          <w:kern w:val="0"/>
          <w:lang w:val="zh-CN"/>
        </w:rPr>
        <w:t>违约解除合同</w:t>
      </w:r>
      <w:bookmarkEnd w:id="344"/>
      <w:bookmarkEnd w:id="345"/>
    </w:p>
    <w:p>
      <w:pPr>
        <w:autoSpaceDE w:val="0"/>
        <w:autoSpaceDN w:val="0"/>
        <w:spacing w:line="360" w:lineRule="auto"/>
        <w:ind w:firstLine="480"/>
        <w:rPr>
          <w:rFonts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outlineLvl w:val="0"/>
        <w:rPr>
          <w:rFonts w:ascii="宋体" w:hAnsi="宋体" w:cs="宋体"/>
          <w:b/>
          <w:bCs/>
          <w:kern w:val="0"/>
        </w:rPr>
      </w:pPr>
      <w:bookmarkStart w:id="346" w:name="_Toc15270_WPSOffice_Level1"/>
      <w:bookmarkStart w:id="347" w:name="_Toc15489"/>
      <w:r>
        <w:rPr>
          <w:rFonts w:hint="eastAsia" w:ascii="宋体" w:hAnsi="宋体" w:cs="宋体"/>
          <w:b/>
          <w:bCs/>
          <w:kern w:val="0"/>
        </w:rPr>
        <w:t>21.</w:t>
      </w:r>
      <w:r>
        <w:rPr>
          <w:rFonts w:hint="eastAsia" w:ascii="宋体" w:hAnsi="宋体" w:cs="宋体"/>
          <w:b/>
          <w:bCs/>
          <w:kern w:val="0"/>
          <w:lang w:val="zh-CN"/>
        </w:rPr>
        <w:t>破产终止合同</w:t>
      </w:r>
      <w:bookmarkEnd w:id="346"/>
      <w:bookmarkEnd w:id="347"/>
    </w:p>
    <w:p>
      <w:pPr>
        <w:autoSpaceDE w:val="0"/>
        <w:autoSpaceDN w:val="0"/>
        <w:spacing w:line="360" w:lineRule="auto"/>
        <w:ind w:firstLine="480"/>
        <w:rPr>
          <w:rFonts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outlineLvl w:val="0"/>
        <w:rPr>
          <w:rFonts w:ascii="宋体" w:hAnsi="宋体" w:cs="宋体"/>
          <w:b/>
          <w:bCs/>
          <w:kern w:val="0"/>
        </w:rPr>
      </w:pPr>
      <w:bookmarkStart w:id="348" w:name="_Toc14858"/>
      <w:bookmarkStart w:id="349" w:name="_Toc29252_WPSOffice_Level1"/>
      <w:r>
        <w:rPr>
          <w:rFonts w:hint="eastAsia" w:ascii="宋体" w:hAnsi="宋体" w:cs="宋体"/>
          <w:b/>
          <w:bCs/>
          <w:kern w:val="0"/>
        </w:rPr>
        <w:t>22.</w:t>
      </w:r>
      <w:r>
        <w:rPr>
          <w:rFonts w:hint="eastAsia" w:ascii="宋体" w:hAnsi="宋体" w:cs="宋体"/>
          <w:b/>
          <w:bCs/>
          <w:kern w:val="0"/>
          <w:lang w:val="zh-CN"/>
        </w:rPr>
        <w:t>转让和分包</w:t>
      </w:r>
      <w:bookmarkEnd w:id="348"/>
      <w:bookmarkEnd w:id="349"/>
    </w:p>
    <w:p>
      <w:pPr>
        <w:autoSpaceDE w:val="0"/>
        <w:autoSpaceDN w:val="0"/>
        <w:spacing w:line="360" w:lineRule="auto"/>
        <w:ind w:firstLine="360"/>
        <w:rPr>
          <w:rFonts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outlineLvl w:val="0"/>
        <w:rPr>
          <w:rFonts w:ascii="宋体" w:hAnsi="宋体" w:cs="宋体"/>
          <w:b/>
          <w:bCs/>
          <w:kern w:val="0"/>
        </w:rPr>
      </w:pPr>
      <w:bookmarkStart w:id="350" w:name="_Toc22392_WPSOffice_Level1"/>
      <w:bookmarkStart w:id="351" w:name="_Toc4918"/>
      <w:r>
        <w:rPr>
          <w:rFonts w:hint="eastAsia" w:ascii="宋体" w:hAnsi="宋体" w:cs="宋体"/>
          <w:b/>
          <w:bCs/>
          <w:kern w:val="0"/>
        </w:rPr>
        <w:t>23.</w:t>
      </w:r>
      <w:r>
        <w:rPr>
          <w:rFonts w:hint="eastAsia" w:ascii="宋体" w:hAnsi="宋体" w:cs="宋体"/>
          <w:b/>
          <w:bCs/>
          <w:kern w:val="0"/>
          <w:lang w:val="zh-CN"/>
        </w:rPr>
        <w:t>合同修改</w:t>
      </w:r>
      <w:bookmarkEnd w:id="350"/>
      <w:bookmarkEnd w:id="351"/>
    </w:p>
    <w:p>
      <w:pPr>
        <w:autoSpaceDE w:val="0"/>
        <w:autoSpaceDN w:val="0"/>
        <w:spacing w:line="360" w:lineRule="auto"/>
        <w:ind w:firstLine="480" w:firstLineChars="200"/>
        <w:rPr>
          <w:rFonts w:ascii="宋体" w:hAns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outlineLvl w:val="0"/>
        <w:rPr>
          <w:rFonts w:ascii="宋体" w:hAnsi="宋体" w:cs="宋体"/>
          <w:b/>
          <w:bCs/>
          <w:kern w:val="0"/>
        </w:rPr>
      </w:pPr>
      <w:bookmarkStart w:id="352" w:name="_Toc31591_WPSOffice_Level1"/>
      <w:bookmarkStart w:id="353" w:name="_Toc30923"/>
      <w:r>
        <w:rPr>
          <w:rFonts w:hint="eastAsia" w:ascii="宋体" w:hAnsi="宋体" w:cs="宋体"/>
          <w:b/>
          <w:bCs/>
          <w:kern w:val="0"/>
        </w:rPr>
        <w:t>24.</w:t>
      </w:r>
      <w:r>
        <w:rPr>
          <w:rFonts w:hint="eastAsia" w:ascii="宋体" w:hAnsi="宋体" w:cs="宋体"/>
          <w:b/>
          <w:bCs/>
          <w:kern w:val="0"/>
          <w:lang w:val="zh-CN"/>
        </w:rPr>
        <w:t>通知</w:t>
      </w:r>
      <w:bookmarkEnd w:id="352"/>
      <w:bookmarkEnd w:id="353"/>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outlineLvl w:val="0"/>
        <w:rPr>
          <w:rFonts w:ascii="宋体" w:hAnsi="宋体" w:cs="宋体"/>
          <w:b/>
          <w:bCs/>
          <w:kern w:val="0"/>
        </w:rPr>
      </w:pPr>
      <w:bookmarkStart w:id="354" w:name="_Toc362"/>
      <w:bookmarkStart w:id="355" w:name="_Toc2279_WPSOffice_Level1"/>
      <w:r>
        <w:rPr>
          <w:rFonts w:hint="eastAsia" w:ascii="宋体" w:hAnsi="宋体" w:cs="宋体"/>
          <w:b/>
          <w:bCs/>
          <w:kern w:val="0"/>
        </w:rPr>
        <w:t>25.</w:t>
      </w:r>
      <w:r>
        <w:rPr>
          <w:rFonts w:hint="eastAsia" w:ascii="宋体" w:hAnsi="宋体" w:cs="宋体"/>
          <w:b/>
          <w:bCs/>
          <w:kern w:val="0"/>
          <w:lang w:val="zh-CN"/>
        </w:rPr>
        <w:t>计量单位</w:t>
      </w:r>
      <w:bookmarkEnd w:id="354"/>
      <w:bookmarkEnd w:id="355"/>
    </w:p>
    <w:p>
      <w:pPr>
        <w:autoSpaceDE w:val="0"/>
        <w:autoSpaceDN w:val="0"/>
        <w:spacing w:line="360" w:lineRule="auto"/>
        <w:ind w:firstLine="480"/>
        <w:rPr>
          <w:rFonts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pPr>
        <w:autoSpaceDE w:val="0"/>
        <w:autoSpaceDN w:val="0"/>
        <w:spacing w:line="360" w:lineRule="auto"/>
        <w:outlineLvl w:val="0"/>
        <w:rPr>
          <w:rFonts w:ascii="宋体" w:hAnsi="宋体" w:cs="宋体"/>
          <w:b/>
          <w:bCs/>
          <w:kern w:val="0"/>
        </w:rPr>
      </w:pPr>
      <w:bookmarkStart w:id="356" w:name="_Toc21860"/>
      <w:bookmarkStart w:id="357" w:name="_Toc22708_WPSOffice_Level1"/>
      <w:r>
        <w:rPr>
          <w:rFonts w:hint="eastAsia" w:ascii="宋体" w:hAnsi="宋体" w:cs="宋体"/>
          <w:b/>
          <w:bCs/>
          <w:kern w:val="0"/>
        </w:rPr>
        <w:t>26.</w:t>
      </w:r>
      <w:r>
        <w:rPr>
          <w:rFonts w:hint="eastAsia" w:ascii="宋体" w:hAnsi="宋体" w:cs="宋体"/>
          <w:b/>
          <w:bCs/>
          <w:kern w:val="0"/>
          <w:lang w:val="zh-CN"/>
        </w:rPr>
        <w:t>适用法律</w:t>
      </w:r>
      <w:bookmarkEnd w:id="356"/>
      <w:bookmarkEnd w:id="357"/>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本合同按照中华人民共和国的相关法律进行解释。</w:t>
      </w:r>
    </w:p>
    <w:p>
      <w:pPr>
        <w:pStyle w:val="7"/>
        <w:rPr>
          <w:rFonts w:ascii="宋体" w:hAnsi="宋体" w:cs="宋体"/>
          <w:kern w:val="0"/>
          <w:lang w:val="zh-CN"/>
        </w:rPr>
      </w:pPr>
    </w:p>
    <w:p>
      <w:pPr>
        <w:rPr>
          <w:rFonts w:ascii="宋体" w:hAnsi="宋体" w:cs="宋体"/>
          <w:kern w:val="0"/>
          <w:lang w:val="zh-CN"/>
        </w:rPr>
      </w:pPr>
    </w:p>
    <w:p>
      <w:pPr>
        <w:rPr>
          <w:lang w:val="zh-CN"/>
        </w:rPr>
      </w:pPr>
      <w:bookmarkStart w:id="358" w:name="_Toc11417"/>
      <w:bookmarkStart w:id="359" w:name="_Toc32625"/>
      <w:bookmarkStart w:id="360" w:name="_Toc31268"/>
      <w:bookmarkStart w:id="361" w:name="_Toc15241"/>
      <w:bookmarkStart w:id="362" w:name="_Toc21453"/>
      <w:bookmarkStart w:id="363" w:name="_Toc547"/>
      <w:r>
        <w:rPr>
          <w:rFonts w:hint="eastAsia"/>
          <w:lang w:val="zh-CN"/>
        </w:rPr>
        <w:br w:type="page"/>
      </w:r>
    </w:p>
    <w:p>
      <w:pPr>
        <w:pStyle w:val="20"/>
        <w:spacing w:line="360" w:lineRule="auto"/>
        <w:rPr>
          <w:lang w:val="zh-CN"/>
        </w:rPr>
      </w:pPr>
      <w:r>
        <w:rPr>
          <w:rFonts w:hint="eastAsia"/>
          <w:lang w:val="zh-CN"/>
        </w:rPr>
        <w:t>第四部分  投标文件格式</w:t>
      </w:r>
      <w:bookmarkEnd w:id="358"/>
      <w:bookmarkEnd w:id="359"/>
      <w:bookmarkEnd w:id="360"/>
      <w:bookmarkEnd w:id="361"/>
      <w:bookmarkEnd w:id="362"/>
      <w:bookmarkEnd w:id="363"/>
    </w:p>
    <w:p>
      <w:pPr>
        <w:pStyle w:val="2"/>
        <w:spacing w:line="360" w:lineRule="auto"/>
        <w:rPr>
          <w:lang w:val="zh-CN"/>
        </w:rPr>
      </w:pPr>
      <w:bookmarkStart w:id="364" w:name="_Toc11851"/>
      <w:bookmarkStart w:id="365" w:name="_Toc11181"/>
      <w:bookmarkStart w:id="366" w:name="_Toc6691"/>
      <w:bookmarkStart w:id="367" w:name="_Toc6261"/>
      <w:bookmarkStart w:id="368" w:name="_Toc29922"/>
      <w:bookmarkStart w:id="369" w:name="_Toc15617"/>
      <w:bookmarkStart w:id="370" w:name="_Toc27476"/>
      <w:r>
        <w:rPr>
          <w:rFonts w:hint="eastAsia"/>
          <w:lang w:val="zh-CN"/>
        </w:rPr>
        <w:t>封面</w:t>
      </w:r>
      <w:bookmarkEnd w:id="364"/>
      <w:r>
        <w:rPr>
          <w:rFonts w:hint="eastAsia"/>
          <w:lang w:val="zh-CN"/>
        </w:rPr>
        <w:t>（上册）</w:t>
      </w:r>
      <w:bookmarkEnd w:id="365"/>
      <w:bookmarkEnd w:id="366"/>
      <w:bookmarkEnd w:id="367"/>
      <w:bookmarkEnd w:id="368"/>
      <w:bookmarkEnd w:id="369"/>
      <w:bookmarkStart w:id="371" w:name="_Toc8436_WPSOffice_Level3"/>
      <w:r>
        <w:rPr>
          <w:rFonts w:hint="eastAsia"/>
        </w:rPr>
        <w:t xml:space="preserve">                          </w:t>
      </w:r>
      <w:r>
        <w:rPr>
          <w:rFonts w:hint="eastAsia"/>
          <w:lang w:val="zh-CN"/>
        </w:rPr>
        <w:t>正本/副本</w:t>
      </w:r>
      <w:bookmarkEnd w:id="370"/>
      <w:bookmarkEnd w:id="371"/>
    </w:p>
    <w:p>
      <w:pPr>
        <w:autoSpaceDE w:val="0"/>
        <w:autoSpaceDN w:val="0"/>
        <w:spacing w:line="360" w:lineRule="auto"/>
        <w:jc w:val="center"/>
        <w:rPr>
          <w:rFonts w:ascii="宋体" w:hAnsi="宋体" w:cs="宋体"/>
          <w:b/>
          <w:bCs/>
          <w:color w:val="000000"/>
          <w:kern w:val="0"/>
          <w:sz w:val="52"/>
          <w:szCs w:val="52"/>
          <w:lang w:val="zh-CN"/>
        </w:rPr>
      </w:pPr>
    </w:p>
    <w:p>
      <w:pPr>
        <w:autoSpaceDE w:val="0"/>
        <w:autoSpaceDN w:val="0"/>
        <w:spacing w:line="360" w:lineRule="auto"/>
        <w:jc w:val="center"/>
        <w:outlineLvl w:val="2"/>
        <w:rPr>
          <w:rFonts w:ascii="宋体" w:hAnsi="宋体" w:cs="宋体"/>
          <w:b/>
          <w:bCs/>
          <w:color w:val="000000"/>
          <w:kern w:val="0"/>
          <w:sz w:val="52"/>
          <w:szCs w:val="52"/>
          <w:lang w:val="zh-CN"/>
        </w:rPr>
      </w:pPr>
      <w:bookmarkStart w:id="372" w:name="_Toc25897"/>
      <w:r>
        <w:rPr>
          <w:rFonts w:hint="eastAsia" w:ascii="宋体" w:hAnsi="宋体" w:cs="宋体"/>
          <w:b/>
          <w:bCs/>
          <w:color w:val="000000"/>
          <w:kern w:val="0"/>
          <w:sz w:val="52"/>
          <w:szCs w:val="52"/>
          <w:lang w:val="zh-CN"/>
        </w:rPr>
        <w:t>青海省政府采购项目</w:t>
      </w:r>
      <w:bookmarkEnd w:id="372"/>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outlineLvl w:val="2"/>
        <w:rPr>
          <w:rFonts w:ascii="宋体" w:hAnsi="宋体" w:cs="宋体"/>
          <w:b/>
          <w:bCs/>
          <w:color w:val="000000"/>
          <w:kern w:val="0"/>
          <w:sz w:val="72"/>
          <w:szCs w:val="72"/>
          <w:lang w:val="zh-CN"/>
        </w:rPr>
      </w:pPr>
      <w:bookmarkStart w:id="373" w:name="_Toc3167"/>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bookmarkEnd w:id="373"/>
    </w:p>
    <w:p>
      <w:pPr>
        <w:autoSpaceDE w:val="0"/>
        <w:autoSpaceDN w:val="0"/>
        <w:spacing w:line="360" w:lineRule="auto"/>
        <w:jc w:val="center"/>
        <w:outlineLvl w:val="1"/>
        <w:rPr>
          <w:rFonts w:ascii="宋体" w:hAnsi="宋体" w:cs="宋体"/>
          <w:color w:val="000000"/>
          <w:sz w:val="36"/>
          <w:szCs w:val="36"/>
          <w:lang w:val="zh-CN"/>
        </w:rPr>
      </w:pPr>
      <w:bookmarkStart w:id="374" w:name="_Toc22392_WPSOffice_Level2"/>
      <w:bookmarkStart w:id="375" w:name="_Toc31179"/>
      <w:r>
        <w:rPr>
          <w:rFonts w:hint="eastAsia" w:ascii="宋体" w:hAnsi="宋体" w:cs="宋体"/>
          <w:b/>
          <w:bCs/>
          <w:color w:val="000000"/>
          <w:sz w:val="36"/>
          <w:szCs w:val="36"/>
          <w:lang w:val="zh-CN"/>
        </w:rPr>
        <w:t>（资格审查文件）</w:t>
      </w:r>
      <w:bookmarkEnd w:id="374"/>
      <w:bookmarkEnd w:id="375"/>
    </w:p>
    <w:p>
      <w:pPr>
        <w:autoSpaceDE w:val="0"/>
        <w:autoSpaceDN w:val="0"/>
        <w:spacing w:line="360" w:lineRule="auto"/>
        <w:rPr>
          <w:rFonts w:ascii="宋体" w:hAnsi="宋体" w:cs="宋体"/>
          <w:color w:val="000000"/>
          <w:kern w:val="0"/>
          <w:sz w:val="36"/>
          <w:szCs w:val="36"/>
        </w:rPr>
      </w:pPr>
    </w:p>
    <w:p>
      <w:pPr>
        <w:autoSpaceDE w:val="0"/>
        <w:autoSpaceDN w:val="0"/>
        <w:spacing w:line="360" w:lineRule="auto"/>
        <w:outlineLvl w:val="2"/>
        <w:rPr>
          <w:rFonts w:ascii="宋体" w:hAnsi="宋体" w:cs="宋体"/>
          <w:b/>
          <w:bCs/>
          <w:color w:val="000000"/>
          <w:kern w:val="0"/>
          <w:sz w:val="36"/>
          <w:szCs w:val="36"/>
          <w:lang w:val="zh-CN"/>
        </w:rPr>
      </w:pPr>
      <w:bookmarkStart w:id="376" w:name="_Toc25808"/>
      <w:bookmarkStart w:id="377" w:name="_Toc24091_WPSOffice_Level3"/>
      <w:r>
        <w:rPr>
          <w:rFonts w:hint="eastAsia" w:ascii="宋体" w:hAnsi="宋体" w:cs="宋体"/>
          <w:b/>
          <w:bCs/>
          <w:color w:val="000000"/>
          <w:kern w:val="0"/>
          <w:sz w:val="36"/>
          <w:szCs w:val="36"/>
          <w:lang w:val="zh-CN"/>
        </w:rPr>
        <w:t>采购项目编号：</w:t>
      </w:r>
      <w:bookmarkEnd w:id="376"/>
      <w:bookmarkEnd w:id="377"/>
      <w:bookmarkStart w:id="378" w:name="_Toc13456"/>
      <w:bookmarkStart w:id="379" w:name="_Toc515_WPSOffice_Level3"/>
    </w:p>
    <w:p>
      <w:pPr>
        <w:autoSpaceDE w:val="0"/>
        <w:autoSpaceDN w:val="0"/>
        <w:spacing w:line="360" w:lineRule="auto"/>
        <w:outlineLvl w:val="2"/>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bookmarkEnd w:id="378"/>
    </w:p>
    <w:p>
      <w:pPr>
        <w:autoSpaceDE w:val="0"/>
        <w:autoSpaceDN w:val="0"/>
        <w:spacing w:line="360" w:lineRule="auto"/>
        <w:outlineLvl w:val="2"/>
        <w:rPr>
          <w:rFonts w:ascii="宋体" w:hAnsi="宋体" w:cs="宋体"/>
          <w:b/>
          <w:bCs/>
          <w:color w:val="000000"/>
          <w:kern w:val="0"/>
          <w:sz w:val="36"/>
          <w:szCs w:val="36"/>
        </w:rPr>
      </w:pPr>
      <w:r>
        <w:rPr>
          <w:rFonts w:hint="eastAsia" w:ascii="宋体" w:hAnsi="宋体" w:cs="宋体"/>
          <w:b/>
          <w:bCs/>
          <w:color w:val="000000"/>
          <w:kern w:val="0"/>
          <w:sz w:val="36"/>
          <w:szCs w:val="36"/>
        </w:rPr>
        <w:t>投  标 包 号：</w:t>
      </w:r>
    </w:p>
    <w:bookmarkEnd w:id="379"/>
    <w:p>
      <w:pPr>
        <w:pStyle w:val="20"/>
        <w:jc w:val="both"/>
      </w:pPr>
    </w:p>
    <w:p/>
    <w:p>
      <w:pPr>
        <w:autoSpaceDE w:val="0"/>
        <w:autoSpaceDN w:val="0"/>
        <w:spacing w:line="360" w:lineRule="auto"/>
        <w:outlineLvl w:val="2"/>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bookmarkStart w:id="380" w:name="_Toc20405"/>
      <w:bookmarkStart w:id="381" w:name="_Toc11688_WPSOffice_Level3"/>
      <w:r>
        <w:rPr>
          <w:rFonts w:hint="eastAsia" w:ascii="宋体" w:hAnsi="宋体" w:cs="宋体"/>
          <w:b/>
          <w:bCs/>
          <w:color w:val="000000"/>
          <w:kern w:val="0"/>
          <w:sz w:val="36"/>
          <w:szCs w:val="36"/>
        </w:rPr>
        <w:t>投标人</w:t>
      </w:r>
      <w:r>
        <w:rPr>
          <w:rFonts w:hint="eastAsia" w:ascii="宋体" w:hAnsi="宋体" w:cs="宋体"/>
          <w:b/>
          <w:bCs/>
          <w:color w:val="000000"/>
          <w:kern w:val="0"/>
          <w:sz w:val="36"/>
          <w:szCs w:val="36"/>
          <w:lang w:val="zh-CN"/>
        </w:rPr>
        <w:t>：</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bookmarkEnd w:id="380"/>
      <w:bookmarkEnd w:id="381"/>
    </w:p>
    <w:p>
      <w:pPr>
        <w:autoSpaceDE w:val="0"/>
        <w:autoSpaceDN w:val="0"/>
        <w:spacing w:line="360" w:lineRule="auto"/>
        <w:outlineLvl w:val="2"/>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bookmarkStart w:id="382" w:name="_Toc10321_WPSOffice_Level3"/>
      <w:bookmarkStart w:id="383" w:name="_Toc4483"/>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bookmarkEnd w:id="382"/>
      <w:bookmarkEnd w:id="383"/>
    </w:p>
    <w:p>
      <w:pPr>
        <w:autoSpaceDE w:val="0"/>
        <w:autoSpaceDN w:val="0"/>
        <w:spacing w:line="360" w:lineRule="auto"/>
        <w:outlineLvl w:val="9"/>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bookmarkStart w:id="384" w:name="_Toc9324"/>
      <w:bookmarkStart w:id="385" w:name="_Toc13437_WPSOffice_Level3"/>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bookmarkEnd w:id="384"/>
      <w:bookmarkEnd w:id="385"/>
    </w:p>
    <w:p>
      <w:pPr>
        <w:pStyle w:val="20"/>
        <w:spacing w:before="0" w:after="0" w:line="360" w:lineRule="auto"/>
        <w:jc w:val="left"/>
        <w:outlineLvl w:val="1"/>
        <w:rPr>
          <w:rFonts w:ascii="宋体" w:hAnsi="宋体" w:cs="宋体"/>
          <w:color w:val="000000"/>
          <w:lang w:val="zh-CN"/>
        </w:rPr>
      </w:pPr>
      <w:bookmarkStart w:id="386" w:name="_Toc3035"/>
      <w:bookmarkStart w:id="387" w:name="_Toc14634"/>
      <w:bookmarkStart w:id="388" w:name="_Toc31925_WPSOffice_Level3"/>
      <w:bookmarkStart w:id="389" w:name="_Toc21298"/>
      <w:bookmarkStart w:id="390" w:name="_Toc18205"/>
      <w:bookmarkStart w:id="391" w:name="_Toc32303"/>
      <w:bookmarkStart w:id="392" w:name="_Toc7594"/>
      <w:bookmarkStart w:id="393" w:name="_Toc19582"/>
      <w:r>
        <w:rPr>
          <w:rFonts w:hint="eastAsia" w:ascii="宋体" w:hAnsi="宋体" w:cs="宋体"/>
          <w:color w:val="000000"/>
          <w:sz w:val="30"/>
          <w:szCs w:val="30"/>
          <w:lang w:val="zh-CN"/>
        </w:rPr>
        <w:br w:type="page"/>
      </w:r>
      <w:r>
        <w:rPr>
          <w:rFonts w:hint="eastAsia" w:ascii="宋体" w:hAnsi="宋体" w:cs="宋体"/>
          <w:color w:val="000000"/>
          <w:sz w:val="30"/>
          <w:szCs w:val="30"/>
          <w:lang w:val="zh-CN"/>
        </w:rPr>
        <w:t>目录（上册）</w:t>
      </w:r>
      <w:bookmarkEnd w:id="386"/>
      <w:bookmarkEnd w:id="387"/>
      <w:bookmarkEnd w:id="388"/>
      <w:bookmarkEnd w:id="389"/>
      <w:bookmarkEnd w:id="390"/>
      <w:bookmarkEnd w:id="391"/>
      <w:bookmarkEnd w:id="392"/>
    </w:p>
    <w:p>
      <w:pPr>
        <w:autoSpaceDE w:val="0"/>
        <w:autoSpaceDN w:val="0"/>
        <w:spacing w:line="360" w:lineRule="auto"/>
        <w:outlineLvl w:val="2"/>
        <w:rPr>
          <w:rFonts w:ascii="宋体" w:hAnsi="宋体" w:cs="宋体"/>
          <w:color w:val="000000"/>
          <w:kern w:val="0"/>
          <w:lang w:val="zh-CN"/>
        </w:rPr>
      </w:pPr>
      <w:bookmarkStart w:id="394" w:name="_Toc11057"/>
      <w:r>
        <w:rPr>
          <w:rFonts w:hint="eastAsia" w:ascii="宋体" w:hAnsi="宋体" w:cs="宋体"/>
          <w:color w:val="000000"/>
          <w:kern w:val="0"/>
        </w:rPr>
        <w:t>（1）</w:t>
      </w:r>
      <w:r>
        <w:rPr>
          <w:rFonts w:hint="eastAsia" w:ascii="宋体" w:hAnsi="宋体" w:cs="宋体"/>
          <w:color w:val="000000"/>
          <w:kern w:val="0"/>
          <w:lang w:val="zh-CN"/>
        </w:rPr>
        <w:t>投标函……………………………………………………………所在页码</w:t>
      </w:r>
      <w:bookmarkEnd w:id="394"/>
    </w:p>
    <w:p>
      <w:pPr>
        <w:autoSpaceDE w:val="0"/>
        <w:autoSpaceDN w:val="0"/>
        <w:spacing w:line="360" w:lineRule="auto"/>
        <w:outlineLvl w:val="2"/>
        <w:rPr>
          <w:rFonts w:ascii="宋体" w:hAnsi="宋体" w:cs="宋体"/>
          <w:color w:val="000000"/>
          <w:kern w:val="0"/>
          <w:lang w:val="zh-CN"/>
        </w:rPr>
      </w:pPr>
      <w:bookmarkStart w:id="395" w:name="_Toc10567"/>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）法定代表人证明书………………………………………………所在页码</w:t>
      </w:r>
      <w:bookmarkEnd w:id="395"/>
    </w:p>
    <w:p>
      <w:pPr>
        <w:autoSpaceDE w:val="0"/>
        <w:autoSpaceDN w:val="0"/>
        <w:spacing w:line="360" w:lineRule="auto"/>
        <w:outlineLvl w:val="2"/>
        <w:rPr>
          <w:rFonts w:ascii="宋体" w:hAnsi="宋体" w:cs="宋体"/>
          <w:color w:val="000000"/>
          <w:kern w:val="0"/>
          <w:lang w:val="zh-CN"/>
        </w:rPr>
      </w:pPr>
      <w:bookmarkStart w:id="396" w:name="_Toc17335"/>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）法定代表人授权书………………………………………………所在页码</w:t>
      </w:r>
      <w:bookmarkEnd w:id="396"/>
    </w:p>
    <w:p>
      <w:pPr>
        <w:autoSpaceDE w:val="0"/>
        <w:autoSpaceDN w:val="0"/>
        <w:spacing w:line="360" w:lineRule="auto"/>
        <w:outlineLvl w:val="2"/>
        <w:rPr>
          <w:rFonts w:ascii="宋体" w:hAnsi="宋体" w:cs="宋体"/>
          <w:color w:val="000000"/>
          <w:kern w:val="0"/>
          <w:lang w:val="zh-CN"/>
        </w:rPr>
      </w:pPr>
      <w:bookmarkStart w:id="397" w:name="_Toc23621"/>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）投标人承诺函……………………………………………………所在页码</w:t>
      </w:r>
      <w:bookmarkEnd w:id="397"/>
    </w:p>
    <w:p>
      <w:pPr>
        <w:autoSpaceDE w:val="0"/>
        <w:autoSpaceDN w:val="0"/>
        <w:spacing w:line="360" w:lineRule="auto"/>
        <w:outlineLvl w:val="2"/>
        <w:rPr>
          <w:rFonts w:ascii="宋体" w:hAnsi="宋体" w:cs="宋体"/>
          <w:color w:val="000000"/>
          <w:kern w:val="0"/>
          <w:lang w:val="zh-CN"/>
        </w:rPr>
      </w:pPr>
      <w:bookmarkStart w:id="398" w:name="_Toc10545"/>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）投标人诚信承诺书………………………………………………所在页码</w:t>
      </w:r>
      <w:bookmarkEnd w:id="398"/>
    </w:p>
    <w:p>
      <w:pPr>
        <w:autoSpaceDE w:val="0"/>
        <w:autoSpaceDN w:val="0"/>
        <w:spacing w:line="360" w:lineRule="auto"/>
        <w:outlineLvl w:val="2"/>
        <w:rPr>
          <w:rFonts w:ascii="宋体" w:hAnsi="宋体" w:cs="宋体"/>
          <w:color w:val="000000"/>
          <w:kern w:val="0"/>
          <w:lang w:val="zh-CN"/>
        </w:rPr>
      </w:pPr>
      <w:bookmarkStart w:id="399" w:name="_Toc21528"/>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）资格证明材料……………………………………………………所在页码</w:t>
      </w:r>
      <w:bookmarkEnd w:id="399"/>
    </w:p>
    <w:p>
      <w:pPr>
        <w:autoSpaceDE w:val="0"/>
        <w:autoSpaceDN w:val="0"/>
        <w:spacing w:line="360" w:lineRule="auto"/>
        <w:outlineLvl w:val="2"/>
        <w:rPr>
          <w:rFonts w:ascii="宋体" w:hAnsi="宋体" w:cs="宋体"/>
          <w:color w:val="000000"/>
          <w:kern w:val="0"/>
          <w:lang w:val="zh-CN"/>
        </w:rPr>
      </w:pPr>
      <w:bookmarkStart w:id="400" w:name="_Toc24078"/>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）财务状况报告，依法缴纳税收和社会保障资金的相关材料…所在页码</w:t>
      </w:r>
      <w:bookmarkEnd w:id="400"/>
    </w:p>
    <w:p>
      <w:pPr>
        <w:autoSpaceDE w:val="0"/>
        <w:autoSpaceDN w:val="0"/>
        <w:spacing w:line="360" w:lineRule="auto"/>
        <w:outlineLvl w:val="2"/>
        <w:rPr>
          <w:lang w:val="zh-CN"/>
        </w:rPr>
      </w:pPr>
      <w:bookmarkStart w:id="401" w:name="_Toc8475"/>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）具备履行合同所必须的设备和专业技术能力证明……………所在页码</w:t>
      </w:r>
      <w:bookmarkEnd w:id="401"/>
    </w:p>
    <w:p>
      <w:pPr>
        <w:autoSpaceDE w:val="0"/>
        <w:autoSpaceDN w:val="0"/>
        <w:spacing w:line="360" w:lineRule="auto"/>
        <w:outlineLvl w:val="2"/>
        <w:rPr>
          <w:rFonts w:ascii="宋体" w:hAnsi="宋体" w:cs="宋体"/>
          <w:color w:val="000000"/>
          <w:kern w:val="0"/>
          <w:lang w:val="zh-CN"/>
        </w:rPr>
      </w:pPr>
      <w:bookmarkStart w:id="402" w:name="_Toc29274"/>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）无重大违法记录声明……………………………………………所在页码</w:t>
      </w:r>
      <w:bookmarkEnd w:id="402"/>
    </w:p>
    <w:p>
      <w:pPr>
        <w:autoSpaceDE w:val="0"/>
        <w:autoSpaceDN w:val="0"/>
        <w:spacing w:line="360" w:lineRule="auto"/>
        <w:outlineLvl w:val="2"/>
        <w:rPr>
          <w:rFonts w:ascii="宋体" w:hAnsi="宋体" w:cs="宋体"/>
          <w:color w:val="000000"/>
          <w:kern w:val="0"/>
          <w:lang w:val="zh-CN"/>
        </w:rPr>
      </w:pPr>
      <w:bookmarkStart w:id="403" w:name="_Toc14294"/>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）投标保证金证明…………………………………………………所在页码</w:t>
      </w:r>
      <w:bookmarkEnd w:id="403"/>
    </w:p>
    <w:p>
      <w:pPr>
        <w:pStyle w:val="20"/>
        <w:spacing w:before="0" w:after="0" w:line="360" w:lineRule="auto"/>
        <w:jc w:val="left"/>
        <w:outlineLvl w:val="1"/>
        <w:rPr>
          <w:rFonts w:ascii="宋体" w:hAnsi="宋体" w:cs="宋体"/>
          <w:b w:val="0"/>
          <w:bCs w:val="0"/>
          <w:color w:val="000000"/>
          <w:sz w:val="30"/>
          <w:szCs w:val="30"/>
          <w:lang w:val="zh-CN"/>
        </w:rPr>
      </w:pPr>
      <w:r>
        <w:rPr>
          <w:rFonts w:hint="eastAsia" w:ascii="宋体" w:hAnsi="宋体" w:cs="宋体"/>
          <w:color w:val="000000"/>
          <w:sz w:val="30"/>
          <w:szCs w:val="30"/>
          <w:lang w:val="zh-CN"/>
        </w:rPr>
        <w:br w:type="page"/>
      </w:r>
      <w:bookmarkStart w:id="404" w:name="_Toc29897"/>
      <w:bookmarkStart w:id="405" w:name="_Toc7004"/>
      <w:bookmarkStart w:id="406" w:name="_Toc7762"/>
      <w:bookmarkStart w:id="407" w:name="_Toc22774"/>
      <w:bookmarkStart w:id="408" w:name="_Toc5475"/>
      <w:bookmarkStart w:id="409" w:name="_Toc25189"/>
      <w:r>
        <w:rPr>
          <w:rStyle w:val="34"/>
          <w:rFonts w:hint="default"/>
          <w:b/>
        </w:rPr>
        <w:t>（1）</w:t>
      </w:r>
      <w:r>
        <w:rPr>
          <w:rStyle w:val="34"/>
          <w:rFonts w:hint="default"/>
          <w:b/>
          <w:lang w:val="zh-CN"/>
        </w:rPr>
        <w:t>投标函</w:t>
      </w:r>
      <w:bookmarkEnd w:id="393"/>
      <w:bookmarkEnd w:id="404"/>
      <w:bookmarkEnd w:id="405"/>
      <w:bookmarkEnd w:id="406"/>
      <w:bookmarkEnd w:id="407"/>
      <w:bookmarkEnd w:id="408"/>
      <w:bookmarkEnd w:id="409"/>
    </w:p>
    <w:p>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30"/>
          <w:szCs w:val="30"/>
          <w:lang w:val="zh-CN"/>
        </w:rPr>
        <w:t>投标函</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致：青海中旭工程项目管理有限公司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（采购项目名称、</w:t>
      </w:r>
      <w:r>
        <w:rPr>
          <w:rFonts w:hint="eastAsia" w:ascii="宋体" w:hAnsi="宋体" w:cs="宋体"/>
          <w:color w:val="000000"/>
          <w:kern w:val="0"/>
        </w:rPr>
        <w:t>包号</w:t>
      </w:r>
      <w:r>
        <w:rPr>
          <w:rFonts w:hint="eastAsia" w:ascii="宋体" w:hAnsi="宋体" w:cs="宋体"/>
          <w:color w:val="000000"/>
          <w:kern w:val="0"/>
          <w:lang w:val="zh-CN"/>
        </w:rPr>
        <w:t xml:space="preserve">）采购项目 </w:t>
      </w:r>
      <w:r>
        <w:rPr>
          <w:rFonts w:hint="eastAsia" w:ascii="宋体" w:hAnsi="宋体" w:cs="宋体"/>
          <w:color w:val="000000"/>
          <w:kern w:val="0"/>
          <w:u w:val="single"/>
        </w:rPr>
        <w:t xml:space="preserve">            </w:t>
      </w:r>
      <w:r>
        <w:rPr>
          <w:rFonts w:hint="eastAsia" w:ascii="宋体" w:hAnsi="宋体" w:cs="宋体"/>
          <w:color w:val="000000"/>
          <w:kern w:val="0"/>
          <w:lang w:val="zh-CN"/>
        </w:rPr>
        <w:t>（采购项目编号）招标文件，经研究，法定代表人</w:t>
      </w:r>
      <w:r>
        <w:rPr>
          <w:rFonts w:hint="eastAsia" w:ascii="宋体" w:hAnsi="宋体" w:cs="宋体"/>
          <w:color w:val="000000"/>
          <w:kern w:val="0"/>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（姓名、职务）正式授权</w:t>
      </w:r>
      <w:r>
        <w:rPr>
          <w:rFonts w:hint="eastAsia" w:ascii="宋体" w:hAnsi="宋体" w:cs="宋体"/>
          <w:color w:val="000000"/>
          <w:kern w:val="0"/>
          <w:u w:val="single"/>
        </w:rPr>
        <w:t xml:space="preserve">          </w:t>
      </w:r>
      <w:r>
        <w:rPr>
          <w:rFonts w:hint="eastAsia" w:ascii="宋体" w:hAnsi="宋体" w:cs="宋体"/>
          <w:color w:val="000000"/>
          <w:kern w:val="0"/>
          <w:lang w:val="zh-CN"/>
        </w:rPr>
        <w:t>（委托代理人姓名、职务）代表投标人</w:t>
      </w:r>
      <w:r>
        <w:rPr>
          <w:rFonts w:hint="eastAsia" w:ascii="宋体" w:hAnsi="宋体" w:cs="宋体"/>
          <w:color w:val="000000"/>
          <w:kern w:val="0"/>
          <w:u w:val="single"/>
        </w:rPr>
        <w:t xml:space="preserve">          </w:t>
      </w:r>
      <w:r>
        <w:rPr>
          <w:rFonts w:hint="eastAsia" w:ascii="宋体" w:hAnsi="宋体" w:cs="宋体"/>
          <w:color w:val="000000"/>
          <w:kern w:val="0"/>
          <w:lang w:val="zh-CN"/>
        </w:rPr>
        <w:t>（投标人名称、地址）提交投标文件。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u w:val="single"/>
          <w:shd w:val="clear" w:color="auto" w:fill="FFFFFF"/>
        </w:rPr>
        <w:t xml:space="preserve"> </w:t>
      </w:r>
      <w:r>
        <w:rPr>
          <w:rFonts w:hint="eastAsia" w:ascii="宋体" w:hAnsi="宋体" w:cs="宋体"/>
          <w:color w:val="000000"/>
          <w:kern w:val="0"/>
          <w:u w:val="single"/>
        </w:rPr>
        <w:t xml:space="preserve">60 </w:t>
      </w:r>
      <w:r>
        <w:rPr>
          <w:rFonts w:hint="eastAsia" w:ascii="宋体" w:hAnsi="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right"/>
        <w:rPr>
          <w:rFonts w:ascii="宋体" w:hAnsi="宋体" w:cs="宋体"/>
          <w:color w:val="000000"/>
          <w:kern w:val="0"/>
          <w:lang w:val="zh-CN"/>
        </w:rPr>
      </w:pPr>
    </w:p>
    <w:p>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0"/>
        <w:spacing w:before="0" w:after="0" w:line="360" w:lineRule="auto"/>
        <w:jc w:val="both"/>
        <w:outlineLvl w:val="9"/>
        <w:rPr>
          <w:rFonts w:ascii="宋体" w:hAnsi="宋体" w:cs="宋体"/>
          <w:color w:val="000000"/>
          <w:sz w:val="24"/>
          <w:szCs w:val="24"/>
          <w:lang w:val="zh-CN"/>
        </w:rPr>
      </w:pPr>
      <w:bookmarkStart w:id="410" w:name="_Toc5189"/>
      <w:bookmarkStart w:id="411" w:name="_Toc29944"/>
    </w:p>
    <w:p>
      <w:pPr>
        <w:spacing w:line="360" w:lineRule="auto"/>
        <w:outlineLvl w:val="9"/>
        <w:rPr>
          <w:rFonts w:hint="default"/>
          <w:lang w:val="zh-CN"/>
        </w:rPr>
      </w:pPr>
      <w:bookmarkStart w:id="412" w:name="_Toc17604"/>
      <w:bookmarkStart w:id="413" w:name="_Toc12578"/>
      <w:bookmarkStart w:id="414" w:name="_Toc27239"/>
      <w:bookmarkStart w:id="415" w:name="_Toc30382"/>
    </w:p>
    <w:p>
      <w:pPr>
        <w:pStyle w:val="4"/>
        <w:spacing w:line="360" w:lineRule="auto"/>
        <w:rPr>
          <w:rFonts w:hint="default" w:cs="宋体"/>
          <w:color w:val="000000"/>
          <w:sz w:val="30"/>
          <w:szCs w:val="30"/>
          <w:lang w:val="zh-CN"/>
        </w:rPr>
      </w:pPr>
      <w:bookmarkStart w:id="416" w:name="_Toc15779"/>
      <w:r>
        <w:rPr>
          <w:lang w:val="zh-CN"/>
        </w:rPr>
        <w:br w:type="page"/>
      </w:r>
      <w:r>
        <w:rPr>
          <w:lang w:val="zh-CN"/>
        </w:rPr>
        <w:t>（</w:t>
      </w:r>
      <w:r>
        <w:t>2</w:t>
      </w:r>
      <w:r>
        <w:rPr>
          <w:lang w:val="zh-CN"/>
        </w:rPr>
        <w:t>）</w:t>
      </w:r>
      <w:r>
        <w:t>法定代表人证明书</w:t>
      </w:r>
      <w:bookmarkEnd w:id="410"/>
      <w:bookmarkEnd w:id="412"/>
      <w:bookmarkEnd w:id="413"/>
      <w:bookmarkEnd w:id="414"/>
      <w:bookmarkEnd w:id="415"/>
      <w:bookmarkEnd w:id="416"/>
    </w:p>
    <w:p>
      <w:pPr>
        <w:autoSpaceDE w:val="0"/>
        <w:autoSpaceDN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法定代表人证明书</w:t>
      </w:r>
    </w:p>
    <w:p>
      <w:pPr>
        <w:autoSpaceDE w:val="0"/>
        <w:autoSpaceDN w:val="0"/>
        <w:spacing w:line="360" w:lineRule="auto"/>
        <w:rPr>
          <w:rFonts w:ascii="宋体" w:hAnsi="宋体" w:cs="宋体"/>
          <w:b/>
          <w:bCs/>
          <w:color w:val="000000"/>
          <w:kern w:val="0"/>
          <w:sz w:val="24"/>
          <w:szCs w:val="24"/>
          <w:lang w:val="zh-CN"/>
        </w:rPr>
      </w:pPr>
    </w:p>
    <w:p>
      <w:pPr>
        <w:autoSpaceDE w:val="0"/>
        <w:autoSpaceDN w:val="0"/>
        <w:spacing w:line="360" w:lineRule="auto"/>
        <w:rPr>
          <w:rFonts w:ascii="宋体" w:hAnsi="宋体" w:cs="宋体"/>
          <w:b/>
          <w:bCs/>
          <w:color w:val="000000"/>
          <w:kern w:val="0"/>
          <w:sz w:val="24"/>
          <w:szCs w:val="24"/>
          <w:lang w:val="zh-CN"/>
        </w:rPr>
      </w:pPr>
      <w:r>
        <w:rPr>
          <w:rFonts w:hint="eastAsia" w:ascii="宋体" w:hAnsi="宋体" w:cs="宋体"/>
          <w:b/>
          <w:bCs/>
          <w:color w:val="000000"/>
          <w:kern w:val="0"/>
          <w:sz w:val="24"/>
          <w:szCs w:val="24"/>
          <w:lang w:val="zh-CN"/>
        </w:rPr>
        <w:t>致：青海中旭工程项目管理有限公司</w:t>
      </w:r>
    </w:p>
    <w:p>
      <w:pPr>
        <w:autoSpaceDE w:val="0"/>
        <w:autoSpaceDN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 xml:space="preserve">    </w:t>
      </w:r>
      <w:r>
        <w:rPr>
          <w:rFonts w:hint="eastAsia" w:ascii="宋体" w:hAnsi="宋体" w:cs="宋体"/>
          <w:color w:val="000000"/>
          <w:kern w:val="0"/>
          <w:sz w:val="24"/>
          <w:szCs w:val="24"/>
          <w:u w:val="single"/>
          <w:lang w:val="zh-CN"/>
        </w:rPr>
        <w:t>（法定代表人姓名）</w:t>
      </w:r>
      <w:r>
        <w:rPr>
          <w:rFonts w:hint="eastAsia" w:ascii="宋体" w:hAnsi="宋体" w:cs="宋体"/>
          <w:color w:val="000000"/>
          <w:kern w:val="0"/>
          <w:sz w:val="24"/>
          <w:szCs w:val="24"/>
          <w:lang w:val="zh-CN"/>
        </w:rPr>
        <w:t>现任我单位</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职务，为法定代表人，特此证明。</w:t>
      </w:r>
    </w:p>
    <w:p>
      <w:pPr>
        <w:autoSpaceDE w:val="0"/>
        <w:autoSpaceDN w:val="0"/>
        <w:spacing w:line="360" w:lineRule="auto"/>
        <w:rPr>
          <w:rFonts w:ascii="宋体" w:hAnsi="宋体" w:cs="宋体"/>
          <w:color w:val="000000"/>
          <w:kern w:val="0"/>
          <w:sz w:val="24"/>
          <w:szCs w:val="24"/>
          <w:lang w:val="zh-CN"/>
        </w:rPr>
      </w:pPr>
    </w:p>
    <w:p>
      <w:pPr>
        <w:autoSpaceDE w:val="0"/>
        <w:autoSpaceDN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法定代表人基本情况：</w:t>
      </w:r>
    </w:p>
    <w:p>
      <w:pPr>
        <w:autoSpaceDE w:val="0"/>
        <w:autoSpaceDN w:val="0"/>
        <w:spacing w:line="360" w:lineRule="auto"/>
        <w:rPr>
          <w:rFonts w:ascii="宋体" w:hAnsi="宋体" w:cs="宋体"/>
          <w:color w:val="000000"/>
          <w:kern w:val="0"/>
          <w:sz w:val="24"/>
          <w:szCs w:val="24"/>
          <w:u w:val="single"/>
          <w:lang w:val="zh-CN"/>
        </w:rPr>
      </w:pPr>
      <w:r>
        <w:rPr>
          <w:rFonts w:hint="eastAsia" w:ascii="宋体" w:hAnsi="宋体" w:cs="宋体"/>
          <w:color w:val="000000"/>
          <w:kern w:val="0"/>
          <w:sz w:val="24"/>
          <w:szCs w:val="24"/>
          <w:lang w:val="zh-CN"/>
        </w:rPr>
        <w:t>性别：</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年龄：</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 xml:space="preserve"> 民族：</w:t>
      </w:r>
      <w:r>
        <w:rPr>
          <w:rFonts w:hint="eastAsia" w:ascii="宋体" w:hAnsi="宋体" w:cs="宋体"/>
          <w:color w:val="000000"/>
          <w:kern w:val="0"/>
          <w:sz w:val="24"/>
          <w:szCs w:val="24"/>
          <w:u w:val="single"/>
          <w:lang w:val="zh-CN"/>
        </w:rPr>
        <w:t xml:space="preserve">         </w:t>
      </w:r>
    </w:p>
    <w:p>
      <w:pPr>
        <w:autoSpaceDE w:val="0"/>
        <w:autoSpaceDN w:val="0"/>
        <w:spacing w:line="360" w:lineRule="auto"/>
        <w:rPr>
          <w:rFonts w:ascii="宋体" w:hAnsi="宋体" w:cs="宋体"/>
          <w:color w:val="000000"/>
          <w:kern w:val="0"/>
          <w:sz w:val="24"/>
          <w:szCs w:val="24"/>
          <w:u w:val="single"/>
          <w:lang w:val="zh-CN"/>
        </w:rPr>
      </w:pPr>
      <w:r>
        <w:rPr>
          <w:rFonts w:hint="eastAsia" w:ascii="宋体" w:hAnsi="宋体" w:cs="宋体"/>
          <w:color w:val="000000"/>
          <w:kern w:val="0"/>
          <w:sz w:val="24"/>
          <w:szCs w:val="24"/>
          <w:lang w:val="zh-CN"/>
        </w:rPr>
        <w:t>地址：</w:t>
      </w:r>
      <w:r>
        <w:rPr>
          <w:rFonts w:hint="eastAsia" w:ascii="宋体" w:hAnsi="宋体" w:cs="宋体"/>
          <w:color w:val="000000"/>
          <w:kern w:val="0"/>
          <w:sz w:val="24"/>
          <w:szCs w:val="24"/>
          <w:u w:val="single"/>
          <w:lang w:val="zh-CN"/>
        </w:rPr>
        <w:t xml:space="preserve">                                            </w:t>
      </w:r>
    </w:p>
    <w:p>
      <w:pPr>
        <w:autoSpaceDE w:val="0"/>
        <w:autoSpaceDN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身份证号码：</w:t>
      </w:r>
      <w:r>
        <w:rPr>
          <w:rFonts w:hint="eastAsia" w:ascii="宋体" w:hAnsi="宋体" w:cs="宋体"/>
          <w:color w:val="000000"/>
          <w:kern w:val="0"/>
          <w:sz w:val="24"/>
          <w:szCs w:val="24"/>
          <w:u w:val="single"/>
          <w:lang w:val="zh-CN"/>
        </w:rPr>
        <w:t xml:space="preserve">                                      </w:t>
      </w:r>
    </w:p>
    <w:p>
      <w:pPr>
        <w:autoSpaceDE w:val="0"/>
        <w:autoSpaceDN w:val="0"/>
        <w:spacing w:line="360" w:lineRule="auto"/>
        <w:rPr>
          <w:rFonts w:ascii="宋体" w:hAnsi="宋体" w:cs="宋体"/>
          <w:color w:val="000000"/>
          <w:kern w:val="0"/>
          <w:sz w:val="24"/>
          <w:szCs w:val="24"/>
          <w:lang w:val="zh-CN"/>
        </w:rPr>
      </w:pPr>
    </w:p>
    <w:p>
      <w:pPr>
        <w:autoSpaceDE w:val="0"/>
        <w:autoSpaceDN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附法定代表人第二代身份证双面扫描（或复印）件</w:t>
      </w:r>
    </w:p>
    <w:p>
      <w:pPr>
        <w:autoSpaceDE w:val="0"/>
        <w:autoSpaceDN w:val="0"/>
        <w:spacing w:line="360" w:lineRule="auto"/>
        <w:rPr>
          <w:rFonts w:ascii="宋体" w:hAnsi="宋体" w:cs="宋体"/>
          <w:color w:val="000000"/>
          <w:kern w:val="0"/>
          <w:sz w:val="24"/>
          <w:szCs w:val="24"/>
          <w:lang w:val="zh-CN"/>
        </w:rPr>
      </w:pPr>
    </w:p>
    <w:p>
      <w:pPr>
        <w:autoSpaceDE w:val="0"/>
        <w:autoSpaceDN w:val="0"/>
        <w:spacing w:line="360" w:lineRule="auto"/>
        <w:jc w:val="right"/>
        <w:rPr>
          <w:rFonts w:ascii="宋体" w:hAnsi="宋体" w:cs="宋体"/>
          <w:color w:val="000000"/>
          <w:kern w:val="0"/>
          <w:sz w:val="24"/>
          <w:szCs w:val="24"/>
          <w:lang w:val="zh-CN"/>
        </w:rPr>
      </w:pPr>
    </w:p>
    <w:p>
      <w:pPr>
        <w:autoSpaceDE w:val="0"/>
        <w:autoSpaceDN w:val="0"/>
        <w:spacing w:line="360" w:lineRule="auto"/>
        <w:jc w:val="right"/>
        <w:rPr>
          <w:rFonts w:ascii="宋体" w:hAnsi="宋体" w:cs="宋体"/>
          <w:b/>
          <w:bCs/>
          <w:color w:val="000000"/>
          <w:kern w:val="0"/>
          <w:sz w:val="24"/>
          <w:szCs w:val="24"/>
          <w:lang w:val="zh-CN"/>
        </w:rPr>
      </w:pPr>
      <w:r>
        <w:rPr>
          <w:rFonts w:hint="eastAsia" w:ascii="宋体" w:hAnsi="宋体" w:cs="宋体"/>
          <w:b/>
          <w:bCs/>
          <w:color w:val="000000"/>
          <w:kern w:val="0"/>
          <w:sz w:val="24"/>
          <w:szCs w:val="24"/>
          <w:lang w:val="zh-CN"/>
        </w:rPr>
        <w:t xml:space="preserve">投标人：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（公章）</w:t>
      </w:r>
    </w:p>
    <w:p>
      <w:pPr>
        <w:autoSpaceDE w:val="0"/>
        <w:autoSpaceDN w:val="0"/>
        <w:spacing w:line="360" w:lineRule="auto"/>
        <w:jc w:val="right"/>
        <w:rPr>
          <w:rFonts w:ascii="宋体" w:hAnsi="宋体" w:cs="宋体"/>
          <w:color w:val="000000"/>
          <w:kern w:val="0"/>
          <w:sz w:val="24"/>
          <w:szCs w:val="24"/>
          <w:lang w:val="zh-CN"/>
        </w:rPr>
      </w:pPr>
      <w:r>
        <w:rPr>
          <w:rFonts w:hint="eastAsia" w:ascii="宋体" w:hAnsi="宋体" w:cs="宋体"/>
          <w:b/>
          <w:bCs/>
          <w:color w:val="000000"/>
          <w:kern w:val="0"/>
          <w:sz w:val="24"/>
          <w:szCs w:val="24"/>
          <w:lang w:val="zh-CN"/>
        </w:rPr>
        <w:t xml:space="preserve">年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月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日</w:t>
      </w:r>
    </w:p>
    <w:bookmarkEnd w:id="411"/>
    <w:p>
      <w:pPr>
        <w:pStyle w:val="20"/>
        <w:spacing w:before="0" w:after="0" w:line="360" w:lineRule="auto"/>
        <w:jc w:val="both"/>
        <w:outlineLvl w:val="9"/>
        <w:rPr>
          <w:rFonts w:ascii="宋体" w:hAnsi="宋体" w:cs="宋体"/>
          <w:color w:val="000000"/>
          <w:sz w:val="24"/>
          <w:szCs w:val="24"/>
        </w:rPr>
      </w:pPr>
      <w:bookmarkStart w:id="417" w:name="_Toc17854"/>
      <w:bookmarkStart w:id="418" w:name="_Toc17284"/>
    </w:p>
    <w:p>
      <w:pPr>
        <w:pStyle w:val="20"/>
        <w:spacing w:before="0" w:after="0" w:line="360" w:lineRule="auto"/>
        <w:jc w:val="both"/>
        <w:outlineLvl w:val="9"/>
        <w:rPr>
          <w:rFonts w:ascii="宋体" w:hAnsi="宋体" w:cs="宋体"/>
          <w:color w:val="000000"/>
          <w:sz w:val="24"/>
          <w:szCs w:val="24"/>
        </w:rPr>
      </w:pPr>
    </w:p>
    <w:p>
      <w:pPr>
        <w:pStyle w:val="20"/>
        <w:spacing w:before="0" w:after="0" w:line="360" w:lineRule="auto"/>
        <w:jc w:val="both"/>
        <w:outlineLvl w:val="9"/>
        <w:rPr>
          <w:rFonts w:ascii="宋体" w:hAnsi="宋体" w:cs="宋体"/>
          <w:color w:val="000000"/>
          <w:sz w:val="30"/>
          <w:szCs w:val="30"/>
        </w:rPr>
      </w:pPr>
    </w:p>
    <w:p>
      <w:pPr>
        <w:pStyle w:val="20"/>
        <w:spacing w:before="0" w:after="0" w:line="360" w:lineRule="auto"/>
        <w:jc w:val="both"/>
        <w:outlineLvl w:val="9"/>
        <w:rPr>
          <w:rFonts w:ascii="宋体" w:hAnsi="宋体" w:cs="宋体"/>
          <w:color w:val="000000"/>
          <w:sz w:val="30"/>
          <w:szCs w:val="30"/>
        </w:rPr>
      </w:pPr>
    </w:p>
    <w:p>
      <w:pPr>
        <w:pStyle w:val="20"/>
        <w:spacing w:before="0" w:after="0" w:line="360" w:lineRule="auto"/>
        <w:jc w:val="both"/>
        <w:outlineLvl w:val="9"/>
        <w:rPr>
          <w:rFonts w:ascii="宋体" w:hAnsi="宋体" w:cs="宋体"/>
          <w:color w:val="000000"/>
          <w:sz w:val="30"/>
          <w:szCs w:val="30"/>
        </w:rPr>
      </w:pPr>
    </w:p>
    <w:p>
      <w:pPr>
        <w:pStyle w:val="20"/>
        <w:spacing w:before="0" w:after="0" w:line="360" w:lineRule="auto"/>
        <w:jc w:val="both"/>
        <w:outlineLvl w:val="9"/>
        <w:rPr>
          <w:rFonts w:ascii="宋体" w:hAnsi="宋体" w:cs="宋体"/>
          <w:color w:val="000000"/>
          <w:sz w:val="30"/>
          <w:szCs w:val="30"/>
        </w:rPr>
      </w:pPr>
    </w:p>
    <w:p>
      <w:pPr>
        <w:spacing w:line="360" w:lineRule="auto"/>
        <w:outlineLvl w:val="9"/>
        <w:rPr>
          <w:rFonts w:hint="default"/>
        </w:rPr>
      </w:pPr>
      <w:bookmarkStart w:id="419" w:name="_Toc30887"/>
      <w:bookmarkStart w:id="420" w:name="_Toc21675"/>
      <w:bookmarkStart w:id="421" w:name="_Toc18109"/>
      <w:bookmarkStart w:id="422" w:name="_Toc14797"/>
    </w:p>
    <w:p>
      <w:pPr>
        <w:pStyle w:val="4"/>
        <w:spacing w:line="360" w:lineRule="auto"/>
        <w:rPr>
          <w:rFonts w:hint="default" w:cs="宋体"/>
          <w:color w:val="000000"/>
          <w:sz w:val="30"/>
          <w:szCs w:val="30"/>
        </w:rPr>
      </w:pPr>
      <w:bookmarkStart w:id="423" w:name="_Toc30555"/>
      <w:r>
        <w:br w:type="page"/>
      </w:r>
      <w:r>
        <w:t>（3）</w:t>
      </w:r>
      <w:r>
        <w:rPr>
          <w:lang w:val="zh-CN"/>
        </w:rPr>
        <w:t>法定代表人授权书</w:t>
      </w:r>
      <w:bookmarkEnd w:id="417"/>
      <w:bookmarkEnd w:id="419"/>
      <w:bookmarkEnd w:id="420"/>
      <w:bookmarkEnd w:id="421"/>
      <w:bookmarkEnd w:id="422"/>
      <w:bookmarkEnd w:id="423"/>
      <w:r>
        <w:t xml:space="preserve">           </w:t>
      </w:r>
    </w:p>
    <w:p>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30"/>
          <w:szCs w:val="30"/>
          <w:lang w:val="zh-CN"/>
        </w:rPr>
        <w:t>法定代表人授权书</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致：青海中旭工程项目管理有限公司</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jc w:val="right"/>
        <w:rPr>
          <w:rFonts w:ascii="宋体" w:hAnsi="宋体" w:cs="宋体"/>
          <w:color w:val="000000"/>
          <w:kern w:val="0"/>
          <w:lang w:val="zh-CN"/>
        </w:rPr>
      </w:pPr>
    </w:p>
    <w:p>
      <w:pPr>
        <w:pStyle w:val="20"/>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24"/>
          <w:szCs w:val="24"/>
          <w:lang w:val="zh-CN"/>
        </w:rPr>
        <w:br w:type="page"/>
      </w:r>
      <w:bookmarkStart w:id="424" w:name="_Toc4935"/>
      <w:bookmarkStart w:id="425" w:name="_Toc20203"/>
      <w:bookmarkStart w:id="426" w:name="_Toc8865"/>
      <w:bookmarkStart w:id="427" w:name="_Toc27330"/>
      <w:bookmarkStart w:id="428" w:name="_Toc11432"/>
      <w:bookmarkStart w:id="429" w:name="_Toc27778"/>
      <w:r>
        <w:rPr>
          <w:rStyle w:val="34"/>
          <w:rFonts w:hint="default"/>
          <w:b/>
        </w:rPr>
        <w:t>（4）</w:t>
      </w:r>
      <w:r>
        <w:rPr>
          <w:rStyle w:val="34"/>
          <w:rFonts w:hint="default"/>
          <w:b/>
          <w:lang w:val="zh-CN"/>
        </w:rPr>
        <w:t>投标人承诺函</w:t>
      </w:r>
      <w:bookmarkEnd w:id="424"/>
      <w:bookmarkEnd w:id="425"/>
      <w:bookmarkEnd w:id="426"/>
      <w:bookmarkEnd w:id="427"/>
      <w:bookmarkEnd w:id="428"/>
      <w:bookmarkEnd w:id="429"/>
    </w:p>
    <w:p>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30"/>
          <w:szCs w:val="30"/>
          <w:lang w:val="zh-CN"/>
        </w:rPr>
        <w:t>投标人承诺函</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致：青海中旭工程项目管理有限公司</w:t>
      </w:r>
    </w:p>
    <w:p>
      <w:pPr>
        <w:autoSpaceDE w:val="0"/>
        <w:autoSpaceDN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关于贵方</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lang w:val="zh-CN"/>
        </w:rPr>
        <w:t>年</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月</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日</w:t>
      </w:r>
      <w:r>
        <w:rPr>
          <w:rFonts w:hint="eastAsia" w:ascii="宋体" w:hAnsi="宋体" w:cs="宋体"/>
          <w:color w:val="000000"/>
          <w:kern w:val="0"/>
          <w:sz w:val="24"/>
          <w:szCs w:val="24"/>
          <w:u w:val="single"/>
          <w:lang w:val="zh-CN"/>
        </w:rPr>
        <w:t xml:space="preserve">          (项目名称)</w:t>
      </w:r>
      <w:r>
        <w:rPr>
          <w:rFonts w:hint="eastAsia" w:ascii="宋体" w:hAnsi="宋体" w:cs="宋体"/>
          <w:color w:val="000000"/>
          <w:kern w:val="0"/>
          <w:sz w:val="24"/>
          <w:szCs w:val="24"/>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 xml:space="preserve">   </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1.完全理解和接受招标文件的一切规定和要求；</w:t>
      </w:r>
    </w:p>
    <w:p>
      <w:pPr>
        <w:autoSpaceDE w:val="0"/>
        <w:autoSpaceDN w:val="0"/>
        <w:spacing w:line="360" w:lineRule="auto"/>
        <w:ind w:firstLine="480" w:firstLineChars="200"/>
        <w:rPr>
          <w:rFonts w:ascii="宋体" w:hAnsi="宋体" w:cs="宋体"/>
          <w:color w:val="000000"/>
          <w:kern w:val="0"/>
          <w:sz w:val="24"/>
          <w:szCs w:val="24"/>
          <w:lang w:val="zh-CN"/>
        </w:rPr>
      </w:pPr>
      <w:r>
        <w:rPr>
          <w:rFonts w:hint="eastAsia" w:ascii="宋体" w:hAnsi="宋体" w:cs="宋体"/>
          <w:color w:val="000000"/>
          <w:kern w:val="0"/>
          <w:sz w:val="24"/>
          <w:szCs w:val="24"/>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color w:val="000000"/>
          <w:kern w:val="0"/>
          <w:sz w:val="24"/>
          <w:szCs w:val="24"/>
          <w:lang w:val="zh-CN"/>
        </w:rPr>
      </w:pPr>
      <w:r>
        <w:rPr>
          <w:rFonts w:hint="eastAsia" w:ascii="宋体" w:hAnsi="宋体" w:cs="宋体"/>
          <w:color w:val="000000"/>
          <w:kern w:val="0"/>
          <w:sz w:val="24"/>
          <w:szCs w:val="24"/>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color w:val="000000"/>
          <w:kern w:val="0"/>
          <w:sz w:val="24"/>
          <w:szCs w:val="24"/>
          <w:lang w:val="zh-CN"/>
        </w:rPr>
      </w:pPr>
      <w:r>
        <w:rPr>
          <w:rFonts w:hint="eastAsia" w:ascii="宋体" w:hAnsi="宋体" w:cs="宋体"/>
          <w:color w:val="000000"/>
          <w:kern w:val="0"/>
          <w:sz w:val="24"/>
          <w:szCs w:val="24"/>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color w:val="000000"/>
          <w:kern w:val="0"/>
          <w:sz w:val="24"/>
          <w:szCs w:val="24"/>
          <w:lang w:val="zh-CN"/>
        </w:rPr>
      </w:pPr>
      <w:r>
        <w:rPr>
          <w:rFonts w:hint="eastAsia" w:ascii="宋体" w:hAnsi="宋体" w:cs="宋体"/>
          <w:color w:val="000000"/>
          <w:kern w:val="0"/>
          <w:sz w:val="24"/>
          <w:szCs w:val="24"/>
          <w:lang w:val="zh-CN"/>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color w:val="000000"/>
          <w:kern w:val="0"/>
          <w:sz w:val="24"/>
          <w:szCs w:val="24"/>
          <w:lang w:val="zh-CN"/>
        </w:rPr>
      </w:pPr>
      <w:r>
        <w:rPr>
          <w:rFonts w:hint="eastAsia" w:ascii="宋体" w:hAnsi="宋体" w:cs="宋体"/>
          <w:color w:val="000000"/>
          <w:kern w:val="0"/>
          <w:sz w:val="24"/>
          <w:szCs w:val="24"/>
          <w:lang w:val="zh-CN"/>
        </w:rPr>
        <w:t>6、若中标，本承诺将成为合同不可分割的一部分，与合同具有同等的法律效力。</w:t>
      </w:r>
    </w:p>
    <w:p>
      <w:pPr>
        <w:autoSpaceDE w:val="0"/>
        <w:autoSpaceDN w:val="0"/>
        <w:spacing w:line="360" w:lineRule="auto"/>
        <w:rPr>
          <w:rFonts w:ascii="宋体" w:hAnsi="宋体" w:cs="宋体"/>
          <w:color w:val="000000"/>
          <w:kern w:val="0"/>
          <w:sz w:val="24"/>
          <w:szCs w:val="24"/>
          <w:lang w:val="zh-CN"/>
        </w:rPr>
      </w:pPr>
    </w:p>
    <w:p>
      <w:pPr>
        <w:autoSpaceDE w:val="0"/>
        <w:autoSpaceDN w:val="0"/>
        <w:spacing w:line="360" w:lineRule="auto"/>
        <w:rPr>
          <w:rFonts w:ascii="宋体" w:hAnsi="宋体" w:cs="宋体"/>
          <w:color w:val="000000"/>
          <w:kern w:val="0"/>
          <w:sz w:val="24"/>
          <w:szCs w:val="24"/>
          <w:lang w:val="zh-CN"/>
        </w:rPr>
      </w:pPr>
    </w:p>
    <w:p>
      <w:pPr>
        <w:autoSpaceDE w:val="0"/>
        <w:autoSpaceDN w:val="0"/>
        <w:spacing w:line="360" w:lineRule="auto"/>
        <w:jc w:val="right"/>
        <w:rPr>
          <w:rFonts w:ascii="宋体" w:hAnsi="宋体" w:cs="宋体"/>
          <w:b/>
          <w:bCs/>
          <w:color w:val="000000"/>
          <w:kern w:val="0"/>
          <w:sz w:val="24"/>
          <w:szCs w:val="24"/>
          <w:lang w:val="zh-CN"/>
        </w:rPr>
      </w:pPr>
      <w:r>
        <w:rPr>
          <w:rFonts w:hint="eastAsia" w:ascii="宋体" w:hAnsi="宋体" w:cs="宋体"/>
          <w:b/>
          <w:bCs/>
          <w:color w:val="000000"/>
          <w:kern w:val="0"/>
          <w:sz w:val="24"/>
          <w:szCs w:val="24"/>
          <w:lang w:val="zh-CN"/>
        </w:rPr>
        <w:t xml:space="preserve">投标人：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（公章）</w:t>
      </w:r>
    </w:p>
    <w:p>
      <w:pPr>
        <w:autoSpaceDE w:val="0"/>
        <w:autoSpaceDN w:val="0"/>
        <w:spacing w:line="360" w:lineRule="auto"/>
        <w:jc w:val="right"/>
        <w:rPr>
          <w:rFonts w:ascii="宋体" w:hAnsi="宋体" w:cs="宋体"/>
          <w:b/>
          <w:bCs/>
          <w:color w:val="000000"/>
          <w:kern w:val="0"/>
          <w:sz w:val="24"/>
          <w:szCs w:val="24"/>
          <w:u w:val="single"/>
          <w:lang w:val="zh-CN"/>
        </w:rPr>
      </w:pPr>
      <w:r>
        <w:rPr>
          <w:rFonts w:hint="eastAsia" w:ascii="宋体" w:hAnsi="宋体" w:cs="宋体"/>
          <w:b/>
          <w:bCs/>
          <w:color w:val="000000"/>
          <w:kern w:val="0"/>
          <w:sz w:val="24"/>
          <w:szCs w:val="24"/>
          <w:lang w:val="zh-CN"/>
        </w:rPr>
        <w:t>法定代表人或委托代理人：        （签字或盖章）</w:t>
      </w:r>
    </w:p>
    <w:p>
      <w:pPr>
        <w:autoSpaceDE w:val="0"/>
        <w:autoSpaceDN w:val="0"/>
        <w:spacing w:line="360" w:lineRule="auto"/>
        <w:jc w:val="right"/>
        <w:rPr>
          <w:rFonts w:ascii="宋体" w:hAnsi="宋体" w:cs="宋体"/>
          <w:color w:val="000000"/>
          <w:kern w:val="0"/>
          <w:sz w:val="24"/>
          <w:szCs w:val="24"/>
          <w:lang w:val="zh-CN"/>
        </w:rPr>
      </w:pPr>
      <w:r>
        <w:rPr>
          <w:rFonts w:hint="eastAsia" w:ascii="宋体" w:hAnsi="宋体" w:cs="宋体"/>
          <w:b/>
          <w:bCs/>
          <w:color w:val="000000"/>
          <w:kern w:val="0"/>
          <w:sz w:val="24"/>
          <w:szCs w:val="24"/>
          <w:lang w:val="zh-CN"/>
        </w:rPr>
        <w:t xml:space="preserve">年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月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日</w:t>
      </w:r>
    </w:p>
    <w:p>
      <w:pPr>
        <w:pStyle w:val="20"/>
        <w:spacing w:before="0" w:after="0" w:line="360" w:lineRule="auto"/>
        <w:jc w:val="left"/>
        <w:outlineLvl w:val="1"/>
        <w:rPr>
          <w:rStyle w:val="34"/>
          <w:rFonts w:hint="default"/>
          <w:b/>
          <w:lang w:val="zh-CN"/>
        </w:rPr>
      </w:pPr>
      <w:r>
        <w:rPr>
          <w:rFonts w:hint="eastAsia" w:ascii="宋体" w:hAnsi="宋体" w:cs="宋体"/>
          <w:color w:val="000000"/>
          <w:sz w:val="24"/>
          <w:szCs w:val="24"/>
          <w:lang w:val="zh-CN"/>
        </w:rPr>
        <w:br w:type="page"/>
      </w:r>
      <w:bookmarkStart w:id="430" w:name="_Toc8697"/>
      <w:bookmarkStart w:id="431" w:name="_Toc28857"/>
      <w:bookmarkStart w:id="432" w:name="_Toc22039"/>
      <w:bookmarkStart w:id="433" w:name="_Toc14620"/>
      <w:bookmarkStart w:id="434" w:name="_Toc3113"/>
      <w:bookmarkStart w:id="435" w:name="_Toc12603"/>
      <w:r>
        <w:rPr>
          <w:rStyle w:val="34"/>
          <w:rFonts w:hint="default"/>
          <w:b/>
        </w:rPr>
        <w:t>（5）</w:t>
      </w:r>
      <w:r>
        <w:rPr>
          <w:rStyle w:val="34"/>
          <w:rFonts w:hint="default"/>
          <w:b/>
          <w:lang w:val="zh-CN"/>
        </w:rPr>
        <w:t>投标人诚信承诺书</w:t>
      </w:r>
      <w:bookmarkEnd w:id="430"/>
      <w:bookmarkEnd w:id="431"/>
      <w:bookmarkEnd w:id="432"/>
      <w:bookmarkEnd w:id="433"/>
      <w:bookmarkEnd w:id="434"/>
      <w:bookmarkEnd w:id="435"/>
    </w:p>
    <w:p>
      <w:pPr>
        <w:spacing w:line="360" w:lineRule="auto"/>
        <w:rPr>
          <w:rFonts w:ascii="宋体" w:hAnsi="宋体" w:cs="宋体"/>
          <w:color w:val="000000"/>
          <w:sz w:val="30"/>
          <w:szCs w:val="30"/>
          <w:lang w:val="zh-CN"/>
        </w:rPr>
      </w:pPr>
    </w:p>
    <w:p>
      <w:pPr>
        <w:autoSpaceDE w:val="0"/>
        <w:autoSpaceDN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投标人诚信承诺书</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致：青海中旭工程项目管理有限公司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为了诚实、客观、有序地参与青海省市政府采购活动，愿就以下内容作出承诺：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right"/>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0"/>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24"/>
          <w:lang w:val="zh-CN"/>
        </w:rPr>
        <w:br w:type="page"/>
      </w:r>
      <w:bookmarkEnd w:id="418"/>
      <w:bookmarkStart w:id="436" w:name="_Toc1183"/>
      <w:bookmarkStart w:id="437" w:name="_Toc20300"/>
      <w:bookmarkStart w:id="438" w:name="_Toc25197"/>
      <w:bookmarkStart w:id="439" w:name="_Toc3763"/>
      <w:bookmarkStart w:id="440" w:name="_Toc7636"/>
      <w:bookmarkStart w:id="441" w:name="_Toc21877"/>
      <w:bookmarkStart w:id="442" w:name="_Toc8344"/>
      <w:r>
        <w:rPr>
          <w:rStyle w:val="34"/>
          <w:rFonts w:hint="default"/>
          <w:b/>
        </w:rPr>
        <w:t>（6）</w:t>
      </w:r>
      <w:r>
        <w:rPr>
          <w:rStyle w:val="34"/>
          <w:rFonts w:hint="default"/>
          <w:b/>
          <w:lang w:val="zh-CN"/>
        </w:rPr>
        <w:t>资格证明材料</w:t>
      </w:r>
      <w:bookmarkEnd w:id="436"/>
      <w:bookmarkEnd w:id="437"/>
      <w:bookmarkEnd w:id="438"/>
      <w:bookmarkEnd w:id="439"/>
      <w:bookmarkEnd w:id="440"/>
      <w:bookmarkEnd w:id="441"/>
    </w:p>
    <w:p>
      <w:pPr>
        <w:autoSpaceDE w:val="0"/>
        <w:autoSpaceDN w:val="0"/>
        <w:spacing w:line="360" w:lineRule="auto"/>
        <w:jc w:val="center"/>
        <w:rPr>
          <w:rFonts w:ascii="宋体" w:hAnsi="宋体" w:cs="宋体"/>
          <w:color w:val="000000"/>
          <w:kern w:val="0"/>
          <w:sz w:val="28"/>
          <w:szCs w:val="28"/>
          <w:lang w:val="zh-CN"/>
        </w:rPr>
      </w:pPr>
      <w:r>
        <w:rPr>
          <w:rFonts w:hint="eastAsia" w:ascii="宋体" w:hAnsi="宋体" w:cs="宋体"/>
          <w:b/>
          <w:bCs/>
          <w:color w:val="000000"/>
          <w:kern w:val="0"/>
          <w:sz w:val="30"/>
          <w:szCs w:val="30"/>
          <w:lang w:val="zh-CN"/>
        </w:rPr>
        <w:t>资格证明材料</w:t>
      </w:r>
    </w:p>
    <w:p>
      <w:pPr>
        <w:spacing w:line="360" w:lineRule="auto"/>
        <w:ind w:firstLine="480" w:firstLineChars="200"/>
        <w:rPr>
          <w:rFonts w:ascii="宋体" w:hAnsi="宋体" w:cs="宋体"/>
          <w:color w:val="000000"/>
        </w:rPr>
      </w:pPr>
      <w:r>
        <w:rPr>
          <w:rFonts w:hint="eastAsia" w:ascii="宋体" w:hAnsi="宋体" w:cs="宋体"/>
          <w:color w:val="000000"/>
        </w:rPr>
        <w:t>资格证明材料包括：</w:t>
      </w:r>
    </w:p>
    <w:p>
      <w:pPr>
        <w:numPr>
          <w:ilvl w:val="0"/>
          <w:numId w:val="3"/>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firstLineChars="200"/>
        <w:rPr>
          <w:rFonts w:ascii="宋体" w:hAnsi="宋体" w:cs="宋体"/>
          <w:color w:val="000000"/>
        </w:rPr>
      </w:pPr>
      <w:r>
        <w:rPr>
          <w:rFonts w:hint="eastAsia" w:ascii="宋体" w:hAnsi="宋体" w:cs="宋体"/>
          <w:color w:val="000000"/>
        </w:rPr>
        <w:t>（3）投标人认为有必要提供的其他资格证明文件。</w:t>
      </w:r>
    </w:p>
    <w:p>
      <w:pPr>
        <w:pStyle w:val="20"/>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24"/>
          <w:lang w:val="zh-CN"/>
        </w:rPr>
        <w:br w:type="page"/>
      </w:r>
      <w:bookmarkStart w:id="443" w:name="_Toc4654"/>
      <w:bookmarkStart w:id="444" w:name="_Toc6101"/>
      <w:bookmarkStart w:id="445" w:name="_Toc18302"/>
      <w:bookmarkStart w:id="446" w:name="_Toc11366"/>
      <w:bookmarkStart w:id="447" w:name="_Toc1297"/>
      <w:bookmarkStart w:id="448" w:name="_Toc3870"/>
      <w:r>
        <w:rPr>
          <w:rStyle w:val="34"/>
          <w:rFonts w:hint="default"/>
          <w:b/>
        </w:rPr>
        <w:t>（7）</w:t>
      </w:r>
      <w:r>
        <w:rPr>
          <w:rStyle w:val="34"/>
          <w:rFonts w:hint="default"/>
          <w:b/>
          <w:lang w:val="zh-CN"/>
        </w:rPr>
        <w:t>财务状况报告，依法缴纳税收和社会保障资金的相关材料</w:t>
      </w:r>
      <w:bookmarkEnd w:id="443"/>
      <w:bookmarkEnd w:id="444"/>
      <w:bookmarkEnd w:id="445"/>
      <w:bookmarkEnd w:id="446"/>
      <w:bookmarkEnd w:id="447"/>
      <w:bookmarkEnd w:id="448"/>
    </w:p>
    <w:p>
      <w:pPr>
        <w:pStyle w:val="20"/>
        <w:spacing w:before="0" w:after="0" w:line="360" w:lineRule="auto"/>
        <w:outlineLvl w:val="1"/>
        <w:rPr>
          <w:rFonts w:ascii="宋体" w:hAnsi="宋体" w:cs="宋体"/>
          <w:color w:val="000000"/>
          <w:sz w:val="30"/>
          <w:szCs w:val="30"/>
          <w:lang w:val="zh-CN"/>
        </w:rPr>
      </w:pPr>
      <w:bookmarkStart w:id="449" w:name="_Toc2652"/>
      <w:r>
        <w:rPr>
          <w:rFonts w:hint="eastAsia" w:ascii="宋体" w:hAnsi="宋体" w:cs="宋体"/>
          <w:color w:val="000000"/>
          <w:sz w:val="30"/>
          <w:szCs w:val="30"/>
          <w:lang w:val="zh-CN"/>
        </w:rPr>
        <w:t>财务状况报告，依法缴纳税收和社会保障资金的相关材料</w:t>
      </w:r>
      <w:bookmarkEnd w:id="449"/>
    </w:p>
    <w:p>
      <w:pPr>
        <w:autoSpaceDE w:val="0"/>
        <w:autoSpaceDN w:val="0"/>
        <w:adjustRightInd w:val="0"/>
        <w:spacing w:line="360" w:lineRule="auto"/>
        <w:rPr>
          <w:rFonts w:ascii="宋体" w:hAnsi="Cambria" w:cs="宋体"/>
          <w:kern w:val="0"/>
          <w:lang w:val="zh-CN"/>
        </w:rPr>
      </w:pPr>
    </w:p>
    <w:p>
      <w:pPr>
        <w:spacing w:line="360" w:lineRule="auto"/>
        <w:ind w:firstLine="480" w:firstLineChars="200"/>
        <w:rPr>
          <w:rFonts w:ascii="宋体" w:hAnsi="Cambria" w:cs="宋体"/>
          <w:kern w:val="0"/>
          <w:sz w:val="24"/>
          <w:szCs w:val="24"/>
          <w:lang w:val="zh-CN"/>
        </w:rPr>
      </w:pPr>
      <w:r>
        <w:rPr>
          <w:rFonts w:hint="eastAsia" w:ascii="宋体" w:hAnsi="Cambria" w:cs="宋体"/>
          <w:kern w:val="0"/>
          <w:sz w:val="24"/>
          <w:szCs w:val="24"/>
          <w:lang w:val="zh-CN"/>
        </w:rPr>
        <w:t>1、投标人是法人的，提供20</w:t>
      </w:r>
      <w:r>
        <w:rPr>
          <w:rFonts w:hint="eastAsia" w:ascii="宋体" w:hAnsi="Cambria" w:cs="宋体"/>
          <w:kern w:val="0"/>
          <w:sz w:val="24"/>
          <w:szCs w:val="24"/>
        </w:rPr>
        <w:t>21</w:t>
      </w:r>
      <w:r>
        <w:rPr>
          <w:rFonts w:hint="eastAsia" w:ascii="宋体" w:hAnsi="Cambria" w:cs="宋体"/>
          <w:kern w:val="0"/>
          <w:sz w:val="24"/>
          <w:szCs w:val="24"/>
          <w:lang w:val="zh-CN"/>
        </w:rPr>
        <w:t>年度经审计的财务状况报告，</w:t>
      </w:r>
      <w:r>
        <w:rPr>
          <w:rFonts w:hint="eastAsia" w:ascii="宋体" w:hAnsi="宋体" w:cs="宋体"/>
          <w:color w:val="000000"/>
          <w:sz w:val="24"/>
          <w:szCs w:val="24"/>
          <w:lang w:val="zh-CN"/>
        </w:rPr>
        <w:t>经第三方</w:t>
      </w:r>
      <w:r>
        <w:rPr>
          <w:rFonts w:hint="eastAsia" w:ascii="宋体" w:hAnsi="宋体" w:cs="宋体"/>
          <w:color w:val="000000"/>
          <w:sz w:val="24"/>
          <w:szCs w:val="24"/>
        </w:rPr>
        <w:t>审计的财务状况报告</w:t>
      </w:r>
      <w:r>
        <w:rPr>
          <w:rFonts w:hint="eastAsia" w:ascii="宋体" w:hAnsi="宋体" w:cs="宋体"/>
          <w:color w:val="000000"/>
          <w:sz w:val="24"/>
          <w:szCs w:val="24"/>
          <w:lang w:val="zh-CN"/>
        </w:rPr>
        <w:t>（扫描或复印件应全面、完整、清晰），包括资产负债表、现金流量表、利润表和财务（会计）报表附注</w:t>
      </w:r>
      <w:r>
        <w:rPr>
          <w:rFonts w:hint="eastAsia" w:ascii="宋体" w:hAnsi="宋体" w:cs="宋体"/>
          <w:color w:val="000000"/>
          <w:sz w:val="24"/>
          <w:szCs w:val="24"/>
        </w:rPr>
        <w:t>，</w:t>
      </w:r>
      <w:r>
        <w:rPr>
          <w:rFonts w:hint="eastAsia" w:ascii="宋体" w:hAnsi="宋体" w:cs="宋体"/>
          <w:color w:val="000000"/>
          <w:sz w:val="24"/>
          <w:szCs w:val="24"/>
          <w:lang w:val="zh-CN"/>
        </w:rPr>
        <w:t>并提供第三方机构的营业执照、执业证书，</w:t>
      </w:r>
      <w:r>
        <w:rPr>
          <w:rFonts w:hint="eastAsia" w:ascii="宋体" w:hAnsi="宋体" w:cs="宋体"/>
          <w:color w:val="000000"/>
          <w:sz w:val="24"/>
          <w:szCs w:val="24"/>
        </w:rPr>
        <w:t>成立未满一年的投标人须提供</w:t>
      </w:r>
      <w:r>
        <w:rPr>
          <w:rFonts w:hint="eastAsia" w:ascii="宋体" w:hAnsi="Cambria" w:cs="宋体"/>
          <w:kern w:val="0"/>
          <w:sz w:val="24"/>
          <w:szCs w:val="24"/>
          <w:lang w:val="zh-CN"/>
        </w:rPr>
        <w:t>基本开户银行出具的近三个月内的银行资信证明</w:t>
      </w:r>
      <w:r>
        <w:rPr>
          <w:rFonts w:hint="eastAsia" w:ascii="宋体" w:hAnsi="宋体" w:cs="宋体"/>
          <w:color w:val="000000"/>
          <w:sz w:val="24"/>
          <w:szCs w:val="24"/>
        </w:rPr>
        <w:t>。</w:t>
      </w:r>
    </w:p>
    <w:p>
      <w:pPr>
        <w:autoSpaceDE w:val="0"/>
        <w:autoSpaceDN w:val="0"/>
        <w:adjustRightInd w:val="0"/>
        <w:spacing w:line="360" w:lineRule="auto"/>
        <w:ind w:firstLine="480"/>
        <w:rPr>
          <w:rFonts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近半年内</w:t>
      </w:r>
      <w:r>
        <w:rPr>
          <w:rFonts w:hint="eastAsia" w:ascii="宋体" w:hAnsi="Cambria" w:cs="宋体"/>
          <w:kern w:val="0"/>
          <w:sz w:val="24"/>
          <w:szCs w:val="24"/>
          <w:lang w:val="zh-CN"/>
        </w:rPr>
        <w:t>任意3</w:t>
      </w:r>
      <w:r>
        <w:rPr>
          <w:rFonts w:hint="eastAsia" w:ascii="宋体" w:hAnsi="Cambria" w:cs="宋体"/>
          <w:kern w:val="0"/>
          <w:sz w:val="24"/>
          <w:szCs w:val="24"/>
        </w:rPr>
        <w:t>个月</w:t>
      </w:r>
      <w:r>
        <w:rPr>
          <w:rFonts w:hint="eastAsia" w:ascii="宋体" w:hAnsi="Cambria" w:cs="宋体"/>
          <w:kern w:val="0"/>
          <w:sz w:val="24"/>
          <w:szCs w:val="24"/>
          <w:lang w:val="zh-CN"/>
        </w:rPr>
        <w:t>依法缴纳税收和社会保障资金记录的证明材料。依法免税或不需要缴纳社会保障资金的投标人，应提供相应文件证明其依法免税或不需要缴纳社会保障资金。</w:t>
      </w:r>
    </w:p>
    <w:p>
      <w:pPr>
        <w:autoSpaceDE w:val="0"/>
        <w:autoSpaceDN w:val="0"/>
        <w:adjustRightInd w:val="0"/>
        <w:spacing w:line="360" w:lineRule="auto"/>
        <w:ind w:firstLine="480"/>
        <w:outlineLvl w:val="9"/>
        <w:rPr>
          <w:rFonts w:ascii="宋体" w:hAnsi="Cambria" w:cs="宋体"/>
          <w:kern w:val="0"/>
          <w:sz w:val="24"/>
          <w:szCs w:val="24"/>
          <w:lang w:val="zh-CN"/>
        </w:rPr>
      </w:pPr>
    </w:p>
    <w:bookmarkEnd w:id="442"/>
    <w:p>
      <w:pPr>
        <w:tabs>
          <w:tab w:val="left" w:pos="425"/>
        </w:tabs>
        <w:spacing w:line="360" w:lineRule="auto"/>
        <w:outlineLvl w:val="9"/>
        <w:rPr>
          <w:rFonts w:hint="default" w:cs="宋体"/>
          <w:color w:val="000000"/>
          <w:sz w:val="24"/>
          <w:szCs w:val="24"/>
          <w:lang w:val="zh-CN"/>
        </w:rPr>
      </w:pPr>
      <w:bookmarkStart w:id="450" w:name="_Toc34339313"/>
      <w:bookmarkStart w:id="451" w:name="_Toc31622"/>
      <w:bookmarkStart w:id="452" w:name="_Toc17409"/>
      <w:bookmarkStart w:id="453" w:name="_Toc13812"/>
      <w:bookmarkStart w:id="454" w:name="_Toc21530"/>
    </w:p>
    <w:p>
      <w:pPr>
        <w:tabs>
          <w:tab w:val="left" w:pos="425"/>
        </w:tabs>
        <w:spacing w:line="360" w:lineRule="auto"/>
        <w:outlineLvl w:val="9"/>
        <w:rPr>
          <w:rFonts w:hint="default" w:cs="宋体"/>
          <w:color w:val="000000"/>
          <w:lang w:val="zh-CN"/>
        </w:rPr>
      </w:pPr>
    </w:p>
    <w:p>
      <w:pPr>
        <w:tabs>
          <w:tab w:val="left" w:pos="425"/>
        </w:tabs>
        <w:spacing w:line="360" w:lineRule="auto"/>
        <w:outlineLvl w:val="9"/>
        <w:rPr>
          <w:rFonts w:hint="default" w:cs="宋体"/>
          <w:color w:val="000000"/>
          <w:lang w:val="zh-CN"/>
        </w:rPr>
      </w:pPr>
    </w:p>
    <w:p>
      <w:pPr>
        <w:tabs>
          <w:tab w:val="left" w:pos="425"/>
        </w:tabs>
        <w:spacing w:line="360" w:lineRule="auto"/>
        <w:outlineLvl w:val="9"/>
        <w:rPr>
          <w:rFonts w:hint="default" w:cs="宋体"/>
          <w:color w:val="000000"/>
          <w:lang w:val="zh-CN"/>
        </w:rPr>
      </w:pPr>
    </w:p>
    <w:p>
      <w:pPr>
        <w:tabs>
          <w:tab w:val="left" w:pos="425"/>
        </w:tabs>
        <w:spacing w:line="360" w:lineRule="auto"/>
        <w:outlineLvl w:val="9"/>
        <w:rPr>
          <w:rFonts w:hint="default" w:cs="宋体"/>
          <w:color w:val="000000"/>
          <w:lang w:val="zh-CN"/>
        </w:rPr>
      </w:pPr>
    </w:p>
    <w:p>
      <w:pPr>
        <w:tabs>
          <w:tab w:val="left" w:pos="425"/>
        </w:tabs>
        <w:spacing w:line="360" w:lineRule="auto"/>
        <w:outlineLvl w:val="9"/>
        <w:rPr>
          <w:rFonts w:hint="default" w:cs="宋体"/>
          <w:color w:val="000000"/>
          <w:lang w:val="zh-CN"/>
        </w:rPr>
      </w:pPr>
    </w:p>
    <w:p>
      <w:pPr>
        <w:tabs>
          <w:tab w:val="left" w:pos="425"/>
        </w:tabs>
        <w:spacing w:line="360" w:lineRule="auto"/>
        <w:outlineLvl w:val="9"/>
        <w:rPr>
          <w:rFonts w:hint="default" w:cs="宋体"/>
          <w:color w:val="000000"/>
          <w:lang w:val="zh-CN"/>
        </w:rPr>
      </w:pPr>
    </w:p>
    <w:p>
      <w:pPr>
        <w:tabs>
          <w:tab w:val="left" w:pos="425"/>
        </w:tabs>
        <w:spacing w:line="360" w:lineRule="auto"/>
        <w:outlineLvl w:val="9"/>
        <w:rPr>
          <w:rStyle w:val="34"/>
          <w:rFonts w:hint="default"/>
          <w:b/>
          <w:lang w:val="zh-CN"/>
        </w:rPr>
      </w:pPr>
      <w:r>
        <w:rPr>
          <w:rFonts w:cs="宋体"/>
          <w:color w:val="000000"/>
          <w:lang w:val="zh-CN"/>
        </w:rPr>
        <w:br w:type="page"/>
      </w:r>
      <w:r>
        <w:rPr>
          <w:rFonts w:cs="宋体"/>
          <w:color w:val="000000"/>
          <w:lang w:val="zh-CN"/>
        </w:rPr>
        <w:t>（</w:t>
      </w:r>
      <w:r>
        <w:rPr>
          <w:rFonts w:cs="宋体"/>
          <w:color w:val="000000"/>
        </w:rPr>
        <w:t>8</w:t>
      </w:r>
      <w:r>
        <w:rPr>
          <w:rFonts w:cs="宋体"/>
          <w:color w:val="000000"/>
          <w:lang w:val="zh-CN"/>
        </w:rPr>
        <w:t>）</w:t>
      </w:r>
      <w:r>
        <w:rPr>
          <w:rStyle w:val="34"/>
          <w:b/>
          <w:lang w:val="zh-CN"/>
        </w:rPr>
        <w:t>具备履行合同所必须的设备和专业技术能力证明</w:t>
      </w:r>
      <w:bookmarkEnd w:id="450"/>
      <w:bookmarkEnd w:id="451"/>
    </w:p>
    <w:p>
      <w:pPr>
        <w:autoSpaceDE w:val="0"/>
        <w:autoSpaceDN w:val="0"/>
        <w:adjustRightInd w:val="0"/>
        <w:spacing w:line="360" w:lineRule="auto"/>
        <w:rPr>
          <w:lang w:val="zh-CN"/>
        </w:rPr>
      </w:pPr>
    </w:p>
    <w:p>
      <w:pPr>
        <w:autoSpaceDE w:val="0"/>
        <w:autoSpaceDN w:val="0"/>
        <w:adjustRightInd w:val="0"/>
        <w:spacing w:line="360" w:lineRule="auto"/>
        <w:jc w:val="center"/>
      </w:pPr>
      <w:r>
        <w:rPr>
          <w:rFonts w:hint="eastAsia"/>
          <w:b/>
          <w:bCs/>
          <w:sz w:val="32"/>
          <w:szCs w:val="30"/>
          <w:lang w:val="zh-CN"/>
        </w:rPr>
        <w:t>具备履行合同</w:t>
      </w:r>
      <w:r>
        <w:rPr>
          <w:rFonts w:hint="eastAsia"/>
          <w:b/>
          <w:bCs/>
          <w:sz w:val="32"/>
          <w:szCs w:val="30"/>
        </w:rPr>
        <w:t xml:space="preserve">                                                                                                                                                                                                                                                                                                                                                                                                                                                                                                                                                                                                                                                                                                                                                                                                                                                                                                                                                      </w:t>
      </w:r>
      <w:r>
        <w:rPr>
          <w:rFonts w:hint="eastAsia"/>
          <w:b/>
          <w:bCs/>
          <w:sz w:val="32"/>
          <w:szCs w:val="30"/>
          <w:lang w:val="zh-CN"/>
        </w:rPr>
        <w:t>所必须的设备和专业技术能力证明</w:t>
      </w:r>
    </w:p>
    <w:p>
      <w:pPr>
        <w:pStyle w:val="35"/>
        <w:spacing w:line="360" w:lineRule="auto"/>
        <w:ind w:firstLine="48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为保证本项目合同的顺利履行，投标人必须具备履行合同的设备和专业技术能力，须提供相关设备的购置发票</w:t>
      </w:r>
      <w:r>
        <w:rPr>
          <w:rFonts w:hint="eastAsia" w:asciiTheme="minorEastAsia" w:hAnsiTheme="minorEastAsia" w:eastAsiaTheme="minorEastAsia" w:cstheme="minorEastAsia"/>
          <w:sz w:val="24"/>
          <w:szCs w:val="24"/>
        </w:rPr>
        <w:t>和</w:t>
      </w:r>
      <w:r>
        <w:rPr>
          <w:rFonts w:hint="eastAsia" w:asciiTheme="minorEastAsia" w:hAnsiTheme="minorEastAsia" w:eastAsiaTheme="minorEastAsia" w:cstheme="minorEastAsia"/>
          <w:sz w:val="24"/>
          <w:szCs w:val="24"/>
          <w:lang w:val="zh-CN"/>
        </w:rPr>
        <w:t>相关人员的职称证书</w:t>
      </w:r>
      <w:r>
        <w:rPr>
          <w:rFonts w:hint="eastAsia" w:asciiTheme="minorEastAsia" w:hAnsiTheme="minorEastAsia" w:eastAsiaTheme="minorEastAsia" w:cstheme="minorEastAsia"/>
          <w:sz w:val="24"/>
          <w:szCs w:val="24"/>
        </w:rPr>
        <w:t>或</w:t>
      </w:r>
      <w:r>
        <w:rPr>
          <w:rFonts w:hint="eastAsia" w:asciiTheme="minorEastAsia" w:hAnsiTheme="minorEastAsia" w:eastAsiaTheme="minorEastAsia" w:cstheme="minorEastAsia"/>
          <w:sz w:val="24"/>
          <w:szCs w:val="24"/>
          <w:lang w:val="zh-CN"/>
        </w:rPr>
        <w:t>用工合同等证明材料。</w:t>
      </w:r>
    </w:p>
    <w:p>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p>
    <w:p>
      <w:pPr>
        <w:pStyle w:val="19"/>
        <w:spacing w:line="360" w:lineRule="auto"/>
        <w:rPr>
          <w:rFonts w:hint="eastAsia" w:asciiTheme="minorEastAsia" w:hAnsiTheme="minorEastAsia" w:eastAsiaTheme="minorEastAsia" w:cstheme="minorEastAsia"/>
          <w:color w:val="000000"/>
          <w:sz w:val="24"/>
          <w:szCs w:val="24"/>
          <w:lang w:val="zh-CN"/>
        </w:rPr>
      </w:pPr>
    </w:p>
    <w:p>
      <w:pPr>
        <w:pStyle w:val="19"/>
        <w:spacing w:line="360" w:lineRule="auto"/>
        <w:rPr>
          <w:rFonts w:ascii="宋体" w:hAnsi="宋体" w:cs="宋体"/>
          <w:color w:val="000000"/>
          <w:lang w:val="zh-CN"/>
        </w:rPr>
      </w:pPr>
    </w:p>
    <w:p>
      <w:pPr>
        <w:pStyle w:val="19"/>
        <w:spacing w:line="360" w:lineRule="auto"/>
        <w:rPr>
          <w:rFonts w:ascii="宋体" w:hAnsi="宋体" w:cs="宋体"/>
          <w:color w:val="000000"/>
          <w:lang w:val="zh-CN"/>
        </w:rPr>
      </w:pPr>
    </w:p>
    <w:p>
      <w:pPr>
        <w:pStyle w:val="19"/>
        <w:spacing w:line="360" w:lineRule="auto"/>
        <w:rPr>
          <w:rFonts w:ascii="宋体" w:hAnsi="宋体" w:cs="宋体"/>
          <w:color w:val="000000"/>
          <w:lang w:val="zh-CN"/>
        </w:rPr>
      </w:pPr>
    </w:p>
    <w:p>
      <w:pPr>
        <w:pStyle w:val="19"/>
        <w:spacing w:line="360" w:lineRule="auto"/>
        <w:rPr>
          <w:rFonts w:ascii="宋体" w:hAnsi="宋体" w:cs="宋体"/>
          <w:color w:val="000000"/>
          <w:lang w:val="zh-CN"/>
        </w:rPr>
      </w:pPr>
    </w:p>
    <w:p>
      <w:pPr>
        <w:pStyle w:val="19"/>
        <w:spacing w:line="360" w:lineRule="auto"/>
        <w:rPr>
          <w:rFonts w:ascii="宋体" w:hAnsi="宋体" w:cs="宋体"/>
          <w:color w:val="000000"/>
          <w:lang w:val="zh-CN"/>
        </w:rPr>
      </w:pPr>
    </w:p>
    <w:p>
      <w:pPr>
        <w:pStyle w:val="19"/>
        <w:spacing w:line="360" w:lineRule="auto"/>
        <w:rPr>
          <w:rFonts w:ascii="宋体" w:hAnsi="宋体" w:cs="宋体"/>
          <w:color w:val="000000"/>
          <w:lang w:val="zh-CN"/>
        </w:rPr>
      </w:pPr>
    </w:p>
    <w:p>
      <w:pPr>
        <w:pStyle w:val="19"/>
        <w:spacing w:line="360" w:lineRule="auto"/>
        <w:rPr>
          <w:rFonts w:ascii="宋体" w:hAnsi="宋体" w:cs="宋体"/>
          <w:color w:val="000000"/>
          <w:lang w:val="zh-CN"/>
        </w:rPr>
      </w:pPr>
    </w:p>
    <w:p>
      <w:pPr>
        <w:pStyle w:val="19"/>
        <w:spacing w:line="360" w:lineRule="auto"/>
        <w:rPr>
          <w:rFonts w:ascii="宋体" w:hAnsi="宋体" w:cs="宋体"/>
          <w:color w:val="000000"/>
          <w:lang w:val="zh-CN"/>
        </w:rPr>
      </w:pPr>
    </w:p>
    <w:p>
      <w:pPr>
        <w:pStyle w:val="19"/>
        <w:spacing w:line="360" w:lineRule="auto"/>
        <w:rPr>
          <w:rFonts w:ascii="宋体" w:hAnsi="宋体" w:cs="宋体"/>
          <w:color w:val="000000"/>
          <w:lang w:val="zh-CN"/>
        </w:rPr>
      </w:pPr>
    </w:p>
    <w:p>
      <w:pPr>
        <w:pStyle w:val="19"/>
        <w:spacing w:line="360" w:lineRule="auto"/>
        <w:rPr>
          <w:rFonts w:ascii="宋体" w:hAnsi="宋体" w:cs="宋体"/>
          <w:color w:val="000000"/>
          <w:lang w:val="zh-CN"/>
        </w:rPr>
      </w:pPr>
    </w:p>
    <w:p>
      <w:pPr>
        <w:pStyle w:val="19"/>
        <w:spacing w:line="360" w:lineRule="auto"/>
        <w:rPr>
          <w:rFonts w:ascii="宋体" w:hAnsi="宋体" w:cs="宋体"/>
          <w:color w:val="000000"/>
          <w:lang w:val="zh-CN"/>
        </w:rPr>
      </w:pPr>
    </w:p>
    <w:p>
      <w:pPr>
        <w:pStyle w:val="19"/>
        <w:spacing w:line="360" w:lineRule="auto"/>
        <w:rPr>
          <w:rFonts w:ascii="宋体" w:hAnsi="宋体" w:cs="宋体"/>
          <w:color w:val="000000"/>
          <w:lang w:val="zh-CN"/>
        </w:rPr>
      </w:pPr>
    </w:p>
    <w:p>
      <w:pPr>
        <w:pStyle w:val="19"/>
        <w:spacing w:line="360" w:lineRule="auto"/>
        <w:rPr>
          <w:rFonts w:ascii="宋体" w:hAnsi="宋体" w:cs="宋体"/>
          <w:color w:val="000000"/>
          <w:lang w:val="zh-CN"/>
        </w:rPr>
      </w:pPr>
    </w:p>
    <w:p>
      <w:pPr>
        <w:pStyle w:val="19"/>
        <w:spacing w:line="360" w:lineRule="auto"/>
        <w:rPr>
          <w:rFonts w:ascii="宋体" w:hAnsi="宋体" w:cs="宋体"/>
          <w:color w:val="000000"/>
          <w:lang w:val="zh-CN"/>
        </w:rPr>
      </w:pPr>
    </w:p>
    <w:p>
      <w:pPr>
        <w:pStyle w:val="19"/>
        <w:spacing w:line="360" w:lineRule="auto"/>
        <w:rPr>
          <w:rFonts w:ascii="宋体" w:hAnsi="宋体" w:cs="宋体"/>
          <w:color w:val="000000"/>
          <w:lang w:val="zh-CN"/>
        </w:rPr>
      </w:pPr>
    </w:p>
    <w:p>
      <w:pPr>
        <w:autoSpaceDE w:val="0"/>
        <w:autoSpaceDN w:val="0"/>
        <w:spacing w:line="360" w:lineRule="auto"/>
        <w:outlineLvl w:val="1"/>
        <w:rPr>
          <w:rStyle w:val="34"/>
          <w:rFonts w:hint="default"/>
        </w:rPr>
      </w:pPr>
      <w:bookmarkStart w:id="455" w:name="_Toc11436"/>
      <w:r>
        <w:rPr>
          <w:rStyle w:val="34"/>
          <w:rFonts w:hint="default"/>
        </w:rPr>
        <w:br w:type="page"/>
      </w:r>
      <w:r>
        <w:rPr>
          <w:rStyle w:val="34"/>
          <w:rFonts w:hint="default"/>
        </w:rPr>
        <w:t>（9）</w:t>
      </w:r>
      <w:r>
        <w:rPr>
          <w:rStyle w:val="34"/>
          <w:rFonts w:hint="default"/>
          <w:lang w:val="zh-CN"/>
        </w:rPr>
        <w:t>无重大违法记录声明</w:t>
      </w:r>
      <w:bookmarkEnd w:id="455"/>
    </w:p>
    <w:bookmarkEnd w:id="452"/>
    <w:bookmarkEnd w:id="453"/>
    <w:p>
      <w:pPr>
        <w:autoSpaceDE w:val="0"/>
        <w:autoSpaceDN w:val="0"/>
        <w:spacing w:line="360" w:lineRule="auto"/>
        <w:rPr>
          <w:rFonts w:ascii="宋体" w:hAnsi="宋体" w:cs="宋体"/>
          <w:color w:val="000000"/>
          <w:kern w:val="0"/>
          <w:sz w:val="30"/>
          <w:szCs w:val="30"/>
          <w:lang w:val="zh-CN"/>
        </w:rPr>
      </w:pPr>
    </w:p>
    <w:p>
      <w:pPr>
        <w:autoSpaceDE w:val="0"/>
        <w:autoSpaceDN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无重大违法记录声明</w:t>
      </w:r>
    </w:p>
    <w:p>
      <w:pPr>
        <w:spacing w:line="360" w:lineRule="auto"/>
        <w:ind w:firstLine="480" w:firstLineChars="200"/>
        <w:rPr>
          <w:rFonts w:ascii="宋体" w:hAnsi="宋体"/>
        </w:rPr>
      </w:pPr>
      <w:r>
        <w:rPr>
          <w:rFonts w:hint="eastAsia" w:ascii="宋体" w:hAnsi="宋体"/>
        </w:rPr>
        <w:t>提供参加政府采购活动前3年内在经营活动中没有重大违法记录的书面声明（格式可自定）；并附“信用中国”网站的查询截图，时间为投标截止时间前20日内。</w:t>
      </w:r>
    </w:p>
    <w:p>
      <w:pPr>
        <w:spacing w:line="360" w:lineRule="auto"/>
        <w:outlineLvl w:val="1"/>
        <w:rPr>
          <w:rFonts w:ascii="宋体" w:hAnsi="宋体" w:cs="宋体"/>
          <w:color w:val="000000"/>
          <w:sz w:val="30"/>
          <w:szCs w:val="30"/>
          <w:lang w:val="zh-CN"/>
        </w:rPr>
      </w:pPr>
      <w:r>
        <w:rPr>
          <w:rFonts w:hint="eastAsia" w:ascii="宋体" w:hAnsi="宋体"/>
          <w:lang w:val="zh-CN"/>
        </w:rPr>
        <w:br w:type="page"/>
      </w:r>
      <w:bookmarkStart w:id="456" w:name="_Toc29764"/>
      <w:bookmarkStart w:id="457" w:name="_Toc13692"/>
      <w:bookmarkStart w:id="458" w:name="_Toc12811"/>
      <w:bookmarkStart w:id="459" w:name="_Toc15122"/>
      <w:r>
        <w:rPr>
          <w:rStyle w:val="34"/>
          <w:rFonts w:hint="default"/>
        </w:rPr>
        <w:t>（10）</w:t>
      </w:r>
      <w:r>
        <w:rPr>
          <w:rStyle w:val="34"/>
          <w:rFonts w:hint="default"/>
          <w:lang w:val="zh-CN"/>
        </w:rPr>
        <w:t>投标保证金证明</w:t>
      </w:r>
      <w:bookmarkEnd w:id="456"/>
      <w:bookmarkEnd w:id="457"/>
      <w:bookmarkEnd w:id="458"/>
      <w:bookmarkEnd w:id="459"/>
    </w:p>
    <w:p>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30"/>
          <w:szCs w:val="30"/>
          <w:lang w:val="zh-CN"/>
        </w:rPr>
        <w:t>投标保证金证明</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致：青海中旭工程项目管理有限公司</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我方为（采购项目名称</w:t>
      </w:r>
      <w:r>
        <w:rPr>
          <w:rFonts w:hint="eastAsia" w:ascii="宋体" w:hAnsi="宋体" w:cs="宋体"/>
          <w:color w:val="000000"/>
          <w:kern w:val="0"/>
        </w:rPr>
        <w:t>、包号</w:t>
      </w:r>
      <w:r>
        <w:rPr>
          <w:rFonts w:hint="eastAsia" w:ascii="宋体" w:hAnsi="宋体" w:cs="宋体"/>
          <w:color w:val="000000"/>
          <w:kern w:val="0"/>
          <w:lang w:val="zh-CN"/>
        </w:rPr>
        <w:t>）项目（采购项目编号为：        ）递交保证金人民币       （大写：人民币        元）已于     年    月    日以基本户转账方式汇入你方账户。</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附件：保证金交款证明复印件（加盖公章）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jc w:val="right"/>
        <w:rPr>
          <w:rFonts w:ascii="宋体" w:hAnsi="宋体" w:cs="宋体"/>
          <w:color w:val="000000"/>
          <w:kern w:val="0"/>
          <w:lang w:val="zh-CN"/>
        </w:rPr>
      </w:pPr>
    </w:p>
    <w:p>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right"/>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b/>
          <w:bCs/>
          <w:color w:val="000000"/>
          <w:kern w:val="0"/>
          <w:lang w:val="zh-CN"/>
        </w:rPr>
      </w:pPr>
    </w:p>
    <w:bookmarkEnd w:id="454"/>
    <w:p>
      <w:pPr>
        <w:spacing w:line="360" w:lineRule="auto"/>
        <w:outlineLvl w:val="1"/>
        <w:rPr>
          <w:b/>
          <w:sz w:val="36"/>
          <w:szCs w:val="36"/>
        </w:rPr>
      </w:pPr>
      <w:r>
        <w:rPr>
          <w:rFonts w:hint="eastAsia"/>
          <w:kern w:val="0"/>
          <w:lang w:val="zh-CN"/>
        </w:rPr>
        <w:br w:type="page"/>
      </w:r>
      <w:bookmarkStart w:id="460" w:name="_Toc1973"/>
      <w:bookmarkStart w:id="461" w:name="_Toc6424"/>
      <w:bookmarkStart w:id="462" w:name="_Toc18696"/>
      <w:r>
        <w:rPr>
          <w:rStyle w:val="36"/>
          <w:rFonts w:hint="eastAsia"/>
          <w:lang w:val="zh-CN"/>
        </w:rPr>
        <w:t>（下册）</w:t>
      </w:r>
      <w:bookmarkEnd w:id="460"/>
      <w:bookmarkEnd w:id="461"/>
      <w:bookmarkEnd w:id="462"/>
    </w:p>
    <w:p>
      <w:pPr>
        <w:autoSpaceDE w:val="0"/>
        <w:autoSpaceDN w:val="0"/>
        <w:spacing w:line="360" w:lineRule="auto"/>
        <w:jc w:val="right"/>
        <w:rPr>
          <w:rFonts w:ascii="宋体" w:hAnsi="宋体" w:cs="宋体"/>
          <w:b/>
          <w:bCs/>
          <w:color w:val="000000"/>
          <w:kern w:val="0"/>
          <w:sz w:val="36"/>
          <w:szCs w:val="36"/>
        </w:rPr>
      </w:pPr>
      <w:bookmarkStart w:id="463" w:name="_Toc18533_WPSOffice_Level3"/>
      <w:r>
        <w:rPr>
          <w:rFonts w:hint="eastAsia" w:ascii="宋体" w:hAnsi="宋体" w:cs="宋体"/>
          <w:b/>
          <w:bCs/>
          <w:color w:val="000000"/>
          <w:kern w:val="0"/>
          <w:sz w:val="36"/>
          <w:szCs w:val="36"/>
        </w:rPr>
        <w:t>正本/副本</w:t>
      </w:r>
      <w:bookmarkEnd w:id="463"/>
    </w:p>
    <w:p>
      <w:pPr>
        <w:autoSpaceDE w:val="0"/>
        <w:autoSpaceDN w:val="0"/>
        <w:spacing w:line="360" w:lineRule="auto"/>
        <w:jc w:val="center"/>
        <w:rPr>
          <w:rFonts w:ascii="宋体" w:hAnsi="宋体" w:cs="宋体"/>
          <w:b/>
          <w:bCs/>
          <w:color w:val="000000"/>
          <w:kern w:val="0"/>
          <w:sz w:val="48"/>
          <w:szCs w:val="48"/>
          <w:lang w:val="zh-CN"/>
        </w:rPr>
      </w:pPr>
      <w:r>
        <w:rPr>
          <w:rFonts w:hint="eastAsia" w:ascii="宋体" w:hAnsi="宋体" w:cs="宋体"/>
          <w:b/>
          <w:bCs/>
          <w:color w:val="000000"/>
          <w:kern w:val="0"/>
          <w:sz w:val="48"/>
          <w:szCs w:val="48"/>
          <w:lang w:val="zh-CN"/>
        </w:rPr>
        <w:t>青海省政府采购项目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djustRightInd w:val="0"/>
        <w:spacing w:line="360" w:lineRule="auto"/>
        <w:ind w:firstLine="2530" w:firstLineChars="700"/>
        <w:textAlignment w:val="baseline"/>
        <w:rPr>
          <w:rFonts w:ascii="宋体" w:hAnsi="宋体"/>
          <w:b/>
          <w:bCs/>
          <w:sz w:val="36"/>
          <w:szCs w:val="36"/>
        </w:rPr>
      </w:pPr>
      <w:bookmarkStart w:id="464" w:name="_Toc5775_WPSOffice_Level3"/>
      <w:r>
        <w:rPr>
          <w:rFonts w:hint="eastAsia" w:ascii="宋体" w:hAnsi="宋体"/>
          <w:b/>
          <w:bCs/>
          <w:sz w:val="36"/>
          <w:szCs w:val="36"/>
        </w:rPr>
        <w:t>（符合性审查文件）</w:t>
      </w:r>
      <w:bookmarkEnd w:id="464"/>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lang w:val="zh-CN"/>
        </w:rPr>
      </w:pPr>
      <w:bookmarkStart w:id="465" w:name="_Toc29015_WPSOffice_Level3"/>
      <w:r>
        <w:rPr>
          <w:rFonts w:hint="eastAsia" w:ascii="宋体" w:hAnsi="宋体" w:cs="宋体"/>
          <w:b/>
          <w:bCs/>
          <w:color w:val="000000"/>
          <w:kern w:val="0"/>
          <w:sz w:val="36"/>
          <w:szCs w:val="36"/>
          <w:lang w:val="zh-CN"/>
        </w:rPr>
        <w:t>采购项目编号：</w:t>
      </w:r>
      <w:bookmarkEnd w:id="465"/>
      <w:bookmarkStart w:id="466" w:name="_Toc9882_WPSOffice_Level3"/>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bookmarkEnd w:id="466"/>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投  标 包 号：</w:t>
      </w:r>
    </w:p>
    <w:p>
      <w:pPr>
        <w:autoSpaceDE w:val="0"/>
        <w:autoSpaceDN w:val="0"/>
        <w:spacing w:line="360" w:lineRule="auto"/>
        <w:rPr>
          <w:rFonts w:ascii="宋体" w:hAnsi="宋体" w:cs="宋体"/>
          <w:b/>
          <w:bCs/>
          <w:color w:val="000000"/>
          <w:kern w:val="0"/>
          <w:sz w:val="36"/>
          <w:szCs w:val="36"/>
        </w:rPr>
      </w:pPr>
    </w:p>
    <w:p>
      <w:pPr>
        <w:pStyle w:val="20"/>
        <w:outlineLvl w:val="9"/>
      </w:pPr>
    </w:p>
    <w:p>
      <w:pPr>
        <w:pStyle w:val="11"/>
        <w:spacing w:line="360" w:lineRule="auto"/>
        <w:rPr>
          <w:rFonts w:hAnsi="宋体"/>
          <w:b/>
          <w:bCs/>
          <w:sz w:val="36"/>
          <w:szCs w:val="36"/>
        </w:rPr>
      </w:pPr>
    </w:p>
    <w:p>
      <w:pPr>
        <w:pStyle w:val="11"/>
        <w:spacing w:line="360" w:lineRule="auto"/>
        <w:rPr>
          <w:rFonts w:hAnsi="宋体"/>
          <w:b/>
          <w:bCs/>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bookmarkStart w:id="467" w:name="_Toc13741_WPSOffice_Level3"/>
      <w:r>
        <w:rPr>
          <w:rFonts w:hint="eastAsia" w:ascii="宋体" w:hAnsi="宋体" w:cs="宋体"/>
          <w:b/>
          <w:bCs/>
          <w:color w:val="000000"/>
          <w:kern w:val="0"/>
          <w:sz w:val="36"/>
          <w:szCs w:val="36"/>
        </w:rPr>
        <w:t>投标人</w:t>
      </w:r>
      <w:r>
        <w:rPr>
          <w:rFonts w:hint="eastAsia" w:ascii="宋体" w:hAnsi="宋体" w:cs="宋体"/>
          <w:b/>
          <w:bCs/>
          <w:color w:val="000000"/>
          <w:kern w:val="0"/>
          <w:sz w:val="36"/>
          <w:szCs w:val="36"/>
          <w:lang w:val="zh-CN"/>
        </w:rPr>
        <w:t>：</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bookmarkEnd w:id="467"/>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bookmarkStart w:id="468" w:name="_Toc15568_WPSOffice_Level3"/>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bookmarkEnd w:id="468"/>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bookmarkStart w:id="469" w:name="_Toc1919_WPSOffice_Level3"/>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bookmarkEnd w:id="469"/>
    </w:p>
    <w:p>
      <w:pPr>
        <w:pStyle w:val="20"/>
        <w:spacing w:before="0" w:after="0" w:line="360" w:lineRule="auto"/>
        <w:jc w:val="left"/>
        <w:rPr>
          <w:rFonts w:ascii="宋体" w:hAnsi="宋体" w:cs="宋体"/>
          <w:color w:val="000000"/>
          <w:sz w:val="30"/>
          <w:szCs w:val="30"/>
          <w:lang w:val="zh-CN"/>
        </w:rPr>
      </w:pPr>
      <w:r>
        <w:rPr>
          <w:rFonts w:hint="eastAsia" w:ascii="宋体" w:hAnsi="宋体" w:cs="宋体"/>
          <w:b w:val="0"/>
          <w:bCs w:val="0"/>
          <w:color w:val="000000"/>
          <w:lang w:val="zh-CN"/>
        </w:rPr>
        <w:br w:type="page"/>
      </w:r>
      <w:bookmarkStart w:id="470" w:name="_Toc16937"/>
      <w:bookmarkStart w:id="471" w:name="_Toc22743"/>
      <w:bookmarkStart w:id="472" w:name="_Toc20382_WPSOffice_Level3"/>
      <w:bookmarkStart w:id="473" w:name="_Toc8623"/>
      <w:bookmarkStart w:id="474" w:name="_Toc28813"/>
      <w:bookmarkStart w:id="475" w:name="_Toc18106"/>
      <w:bookmarkStart w:id="476" w:name="_Toc11901"/>
      <w:r>
        <w:rPr>
          <w:rFonts w:hint="eastAsia" w:ascii="宋体" w:hAnsi="宋体" w:cs="宋体"/>
          <w:color w:val="000000"/>
          <w:sz w:val="30"/>
          <w:szCs w:val="30"/>
          <w:lang w:val="zh-CN"/>
        </w:rPr>
        <w:t>目录（下册）</w:t>
      </w:r>
      <w:bookmarkEnd w:id="470"/>
      <w:bookmarkEnd w:id="471"/>
      <w:bookmarkEnd w:id="472"/>
      <w:bookmarkEnd w:id="473"/>
      <w:bookmarkEnd w:id="474"/>
      <w:bookmarkEnd w:id="475"/>
      <w:bookmarkEnd w:id="476"/>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w:t>
      </w:r>
      <w:r>
        <w:rPr>
          <w:rFonts w:hint="eastAsia" w:ascii="宋体" w:hAnsi="宋体" w:cs="宋体"/>
          <w:color w:val="000000"/>
          <w:kern w:val="0"/>
        </w:rPr>
        <w:t>11</w:t>
      </w:r>
      <w:r>
        <w:rPr>
          <w:rFonts w:hint="eastAsia" w:ascii="宋体" w:hAnsi="宋体" w:cs="宋体"/>
          <w:color w:val="000000"/>
          <w:kern w:val="0"/>
          <w:lang w:val="zh-CN"/>
        </w:rPr>
        <w:t>）评分对照表………………………………………………………所在页码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12</w:t>
      </w:r>
      <w:r>
        <w:rPr>
          <w:rFonts w:hint="eastAsia" w:ascii="宋体" w:hAnsi="宋体" w:cs="宋体"/>
          <w:color w:val="000000"/>
          <w:kern w:val="0"/>
          <w:lang w:val="zh-CN"/>
        </w:rPr>
        <w:t>）开标一览表（报价表）…………………………………………所在页码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13</w:t>
      </w:r>
      <w:r>
        <w:rPr>
          <w:rFonts w:hint="eastAsia" w:ascii="宋体" w:hAnsi="宋体" w:cs="宋体"/>
          <w:color w:val="000000"/>
          <w:kern w:val="0"/>
          <w:lang w:val="zh-CN"/>
        </w:rPr>
        <w:t>）分项报价表………………………………………………………所在页码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14</w:t>
      </w:r>
      <w:r>
        <w:rPr>
          <w:rFonts w:hint="eastAsia" w:ascii="宋体" w:hAnsi="宋体" w:cs="宋体"/>
          <w:color w:val="000000"/>
          <w:kern w:val="0"/>
          <w:lang w:val="zh-CN"/>
        </w:rPr>
        <w:t>）技术规格响应表…………………………………………………所在页码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15）</w:t>
      </w:r>
      <w:r>
        <w:rPr>
          <w:rFonts w:hint="eastAsia" w:ascii="宋体" w:hAnsi="宋体" w:cs="宋体"/>
          <w:color w:val="000000"/>
          <w:kern w:val="0"/>
          <w:lang w:val="zh-CN"/>
        </w:rPr>
        <w:t>投标产品相关资料………………………………………………所在页码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16）</w:t>
      </w:r>
      <w:r>
        <w:rPr>
          <w:rFonts w:hint="eastAsia" w:ascii="宋体" w:hAnsi="宋体" w:cs="宋体"/>
          <w:color w:val="000000"/>
          <w:kern w:val="0"/>
          <w:lang w:val="zh-CN"/>
        </w:rPr>
        <w:t>投标人的类似业绩证明材料……………………………………所在页码</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17</w:t>
      </w:r>
      <w:r>
        <w:rPr>
          <w:rFonts w:hint="eastAsia" w:ascii="宋体" w:hAnsi="宋体" w:cs="宋体"/>
          <w:color w:val="000000"/>
          <w:kern w:val="0"/>
          <w:lang w:val="en-US" w:eastAsia="zh-CN"/>
        </w:rPr>
        <w:t>.1</w:t>
      </w:r>
      <w:r>
        <w:rPr>
          <w:rFonts w:hint="eastAsia" w:ascii="宋体" w:hAnsi="宋体" w:cs="宋体"/>
          <w:color w:val="000000"/>
          <w:kern w:val="0"/>
          <w:lang w:val="zh-CN"/>
        </w:rPr>
        <w:t>）制造（生产）企业小型微型企业声明函……………………所在页码</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（17</w:t>
      </w:r>
      <w:r>
        <w:rPr>
          <w:rFonts w:hint="eastAsia" w:ascii="宋体" w:hAnsi="宋体" w:cs="宋体"/>
          <w:color w:val="000000"/>
          <w:kern w:val="0"/>
          <w:lang w:val="zh-CN" w:eastAsia="zh-CN"/>
        </w:rPr>
        <w:t>.</w:t>
      </w:r>
      <w:r>
        <w:rPr>
          <w:rFonts w:hint="eastAsia" w:ascii="宋体" w:hAnsi="宋体" w:cs="宋体"/>
          <w:color w:val="000000"/>
          <w:kern w:val="0"/>
          <w:lang w:val="en-US" w:eastAsia="zh-CN"/>
        </w:rPr>
        <w:t>2</w:t>
      </w:r>
      <w:r>
        <w:rPr>
          <w:rFonts w:hint="eastAsia" w:ascii="宋体" w:hAnsi="宋体" w:cs="宋体"/>
          <w:color w:val="000000"/>
          <w:kern w:val="0"/>
          <w:lang w:val="zh-CN"/>
        </w:rPr>
        <w:t>）监狱企业证明资料……………………………………………所在页码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18</w:t>
      </w:r>
      <w:r>
        <w:rPr>
          <w:rFonts w:hint="eastAsia" w:ascii="宋体" w:hAnsi="宋体" w:cs="宋体"/>
          <w:color w:val="000000"/>
          <w:kern w:val="0"/>
          <w:lang w:val="zh-CN"/>
        </w:rPr>
        <w:t>）残疾人福利性单位声明函………………………………………所在页码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19</w:t>
      </w:r>
      <w:r>
        <w:rPr>
          <w:rFonts w:hint="eastAsia" w:ascii="宋体" w:hAnsi="宋体" w:cs="宋体"/>
          <w:color w:val="000000"/>
          <w:kern w:val="0"/>
          <w:lang w:val="zh-CN"/>
        </w:rPr>
        <w:t>）投标人认为在其他方面有必要说明的事项……………………所在页码</w:t>
      </w:r>
    </w:p>
    <w:p>
      <w:pPr>
        <w:pStyle w:val="4"/>
        <w:tabs>
          <w:tab w:val="left" w:pos="425"/>
        </w:tabs>
        <w:spacing w:line="360" w:lineRule="auto"/>
        <w:rPr>
          <w:rFonts w:hint="default"/>
          <w:bCs/>
          <w:sz w:val="32"/>
          <w:szCs w:val="30"/>
          <w:lang w:val="zh-CN"/>
        </w:rPr>
      </w:pPr>
      <w:bookmarkStart w:id="477" w:name="_Toc34339318"/>
      <w:bookmarkStart w:id="478" w:name="_Toc26451"/>
      <w:bookmarkStart w:id="479" w:name="_Toc26198"/>
      <w:bookmarkStart w:id="480" w:name="_Toc15377"/>
      <w:bookmarkStart w:id="481" w:name="_Toc28963"/>
      <w:r>
        <w:rPr>
          <w:rStyle w:val="34"/>
          <w:b/>
          <w:lang w:val="zh-CN"/>
        </w:rPr>
        <w:br w:type="page"/>
      </w:r>
      <w:bookmarkStart w:id="482" w:name="_Toc13710"/>
      <w:r>
        <w:rPr>
          <w:rStyle w:val="34"/>
          <w:b/>
          <w:lang w:val="zh-CN"/>
        </w:rPr>
        <w:t>（</w:t>
      </w:r>
      <w:r>
        <w:rPr>
          <w:rStyle w:val="34"/>
          <w:b/>
        </w:rPr>
        <w:t>11</w:t>
      </w:r>
      <w:r>
        <w:rPr>
          <w:rStyle w:val="34"/>
          <w:b/>
          <w:lang w:val="zh-CN"/>
        </w:rPr>
        <w:t>）评分对照表</w:t>
      </w:r>
      <w:bookmarkEnd w:id="477"/>
      <w:bookmarkEnd w:id="482"/>
    </w:p>
    <w:p>
      <w:pPr>
        <w:autoSpaceDE w:val="0"/>
        <w:autoSpaceDN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评分对照表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ind w:firstLine="0"/>
              <w:jc w:val="center"/>
              <w:rPr>
                <w:sz w:val="24"/>
                <w:szCs w:val="24"/>
              </w:rPr>
            </w:pPr>
            <w:r>
              <w:rPr>
                <w:rFonts w:hint="eastAsia"/>
                <w:sz w:val="24"/>
                <w:szCs w:val="24"/>
              </w:rPr>
              <w:t>序号</w:t>
            </w:r>
          </w:p>
        </w:tc>
        <w:tc>
          <w:tcPr>
            <w:tcW w:w="2514" w:type="dxa"/>
            <w:vAlign w:val="center"/>
          </w:tcPr>
          <w:p>
            <w:pPr>
              <w:pStyle w:val="6"/>
              <w:spacing w:line="360" w:lineRule="auto"/>
              <w:ind w:firstLine="0"/>
              <w:jc w:val="center"/>
              <w:rPr>
                <w:sz w:val="24"/>
                <w:szCs w:val="24"/>
              </w:rPr>
            </w:pPr>
            <w:r>
              <w:rPr>
                <w:rFonts w:hint="eastAsia"/>
                <w:sz w:val="24"/>
                <w:szCs w:val="24"/>
              </w:rPr>
              <w:t>招标文件评分标准</w:t>
            </w:r>
          </w:p>
        </w:tc>
        <w:tc>
          <w:tcPr>
            <w:tcW w:w="2266" w:type="dxa"/>
            <w:vAlign w:val="center"/>
          </w:tcPr>
          <w:p>
            <w:pPr>
              <w:pStyle w:val="6"/>
              <w:spacing w:line="360" w:lineRule="auto"/>
              <w:ind w:firstLine="0"/>
              <w:jc w:val="center"/>
              <w:rPr>
                <w:sz w:val="24"/>
                <w:szCs w:val="24"/>
              </w:rPr>
            </w:pPr>
            <w:r>
              <w:rPr>
                <w:rFonts w:hint="eastAsia"/>
                <w:sz w:val="24"/>
                <w:szCs w:val="24"/>
              </w:rPr>
              <w:t>投标响应部分</w:t>
            </w:r>
          </w:p>
        </w:tc>
        <w:tc>
          <w:tcPr>
            <w:tcW w:w="2966" w:type="dxa"/>
            <w:vAlign w:val="center"/>
          </w:tcPr>
          <w:p>
            <w:pPr>
              <w:pStyle w:val="6"/>
              <w:spacing w:line="360" w:lineRule="auto"/>
              <w:ind w:firstLine="0"/>
              <w:jc w:val="center"/>
              <w:rPr>
                <w:sz w:val="24"/>
                <w:szCs w:val="24"/>
              </w:rPr>
            </w:pPr>
            <w:r>
              <w:rPr>
                <w:rFonts w:hint="eastAsia"/>
                <w:sz w:val="24"/>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jc w:val="center"/>
              <w:rPr>
                <w:sz w:val="24"/>
                <w:szCs w:val="24"/>
              </w:rPr>
            </w:pPr>
          </w:p>
        </w:tc>
        <w:tc>
          <w:tcPr>
            <w:tcW w:w="2514" w:type="dxa"/>
            <w:vAlign w:val="center"/>
          </w:tcPr>
          <w:p>
            <w:pPr>
              <w:pStyle w:val="6"/>
              <w:spacing w:line="360" w:lineRule="auto"/>
              <w:jc w:val="center"/>
              <w:rPr>
                <w:sz w:val="24"/>
                <w:szCs w:val="24"/>
              </w:rPr>
            </w:pPr>
          </w:p>
        </w:tc>
        <w:tc>
          <w:tcPr>
            <w:tcW w:w="2266" w:type="dxa"/>
            <w:vAlign w:val="center"/>
          </w:tcPr>
          <w:p>
            <w:pPr>
              <w:pStyle w:val="6"/>
              <w:spacing w:line="360" w:lineRule="auto"/>
              <w:jc w:val="center"/>
              <w:rPr>
                <w:sz w:val="24"/>
                <w:szCs w:val="24"/>
              </w:rPr>
            </w:pPr>
          </w:p>
        </w:tc>
        <w:tc>
          <w:tcPr>
            <w:tcW w:w="2966" w:type="dxa"/>
            <w:vAlign w:val="center"/>
          </w:tcPr>
          <w:p>
            <w:pPr>
              <w:pStyle w:val="6"/>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jc w:val="center"/>
              <w:rPr>
                <w:sz w:val="24"/>
                <w:szCs w:val="24"/>
              </w:rPr>
            </w:pPr>
          </w:p>
        </w:tc>
        <w:tc>
          <w:tcPr>
            <w:tcW w:w="2514" w:type="dxa"/>
            <w:vAlign w:val="center"/>
          </w:tcPr>
          <w:p>
            <w:pPr>
              <w:pStyle w:val="6"/>
              <w:spacing w:line="360" w:lineRule="auto"/>
              <w:jc w:val="center"/>
              <w:rPr>
                <w:sz w:val="24"/>
                <w:szCs w:val="24"/>
              </w:rPr>
            </w:pPr>
          </w:p>
        </w:tc>
        <w:tc>
          <w:tcPr>
            <w:tcW w:w="2266" w:type="dxa"/>
            <w:vAlign w:val="center"/>
          </w:tcPr>
          <w:p>
            <w:pPr>
              <w:pStyle w:val="6"/>
              <w:spacing w:line="360" w:lineRule="auto"/>
              <w:jc w:val="center"/>
              <w:rPr>
                <w:sz w:val="24"/>
                <w:szCs w:val="24"/>
              </w:rPr>
            </w:pPr>
          </w:p>
        </w:tc>
        <w:tc>
          <w:tcPr>
            <w:tcW w:w="2966" w:type="dxa"/>
            <w:vAlign w:val="center"/>
          </w:tcPr>
          <w:p>
            <w:pPr>
              <w:pStyle w:val="6"/>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jc w:val="center"/>
              <w:rPr>
                <w:sz w:val="24"/>
                <w:szCs w:val="24"/>
              </w:rPr>
            </w:pPr>
          </w:p>
        </w:tc>
        <w:tc>
          <w:tcPr>
            <w:tcW w:w="2514" w:type="dxa"/>
            <w:vAlign w:val="center"/>
          </w:tcPr>
          <w:p>
            <w:pPr>
              <w:pStyle w:val="6"/>
              <w:spacing w:line="360" w:lineRule="auto"/>
              <w:jc w:val="center"/>
              <w:rPr>
                <w:sz w:val="24"/>
                <w:szCs w:val="24"/>
              </w:rPr>
            </w:pPr>
          </w:p>
        </w:tc>
        <w:tc>
          <w:tcPr>
            <w:tcW w:w="2266" w:type="dxa"/>
            <w:vAlign w:val="center"/>
          </w:tcPr>
          <w:p>
            <w:pPr>
              <w:pStyle w:val="6"/>
              <w:spacing w:line="360" w:lineRule="auto"/>
              <w:jc w:val="center"/>
              <w:rPr>
                <w:sz w:val="24"/>
                <w:szCs w:val="24"/>
              </w:rPr>
            </w:pPr>
          </w:p>
        </w:tc>
        <w:tc>
          <w:tcPr>
            <w:tcW w:w="2966" w:type="dxa"/>
            <w:vAlign w:val="center"/>
          </w:tcPr>
          <w:p>
            <w:pPr>
              <w:pStyle w:val="6"/>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jc w:val="center"/>
              <w:rPr>
                <w:sz w:val="24"/>
                <w:szCs w:val="24"/>
              </w:rPr>
            </w:pPr>
          </w:p>
        </w:tc>
        <w:tc>
          <w:tcPr>
            <w:tcW w:w="2514" w:type="dxa"/>
            <w:vAlign w:val="center"/>
          </w:tcPr>
          <w:p>
            <w:pPr>
              <w:pStyle w:val="6"/>
              <w:spacing w:line="360" w:lineRule="auto"/>
              <w:jc w:val="center"/>
              <w:rPr>
                <w:sz w:val="24"/>
                <w:szCs w:val="24"/>
              </w:rPr>
            </w:pPr>
          </w:p>
        </w:tc>
        <w:tc>
          <w:tcPr>
            <w:tcW w:w="2266" w:type="dxa"/>
            <w:vAlign w:val="center"/>
          </w:tcPr>
          <w:p>
            <w:pPr>
              <w:pStyle w:val="6"/>
              <w:spacing w:line="360" w:lineRule="auto"/>
              <w:jc w:val="center"/>
              <w:rPr>
                <w:sz w:val="24"/>
                <w:szCs w:val="24"/>
              </w:rPr>
            </w:pPr>
          </w:p>
        </w:tc>
        <w:tc>
          <w:tcPr>
            <w:tcW w:w="2966" w:type="dxa"/>
            <w:vAlign w:val="center"/>
          </w:tcPr>
          <w:p>
            <w:pPr>
              <w:pStyle w:val="6"/>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jc w:val="center"/>
              <w:rPr>
                <w:sz w:val="24"/>
                <w:szCs w:val="24"/>
              </w:rPr>
            </w:pPr>
          </w:p>
        </w:tc>
        <w:tc>
          <w:tcPr>
            <w:tcW w:w="2514" w:type="dxa"/>
            <w:vAlign w:val="center"/>
          </w:tcPr>
          <w:p>
            <w:pPr>
              <w:pStyle w:val="6"/>
              <w:spacing w:line="360" w:lineRule="auto"/>
              <w:jc w:val="center"/>
              <w:rPr>
                <w:sz w:val="24"/>
                <w:szCs w:val="24"/>
              </w:rPr>
            </w:pPr>
          </w:p>
        </w:tc>
        <w:tc>
          <w:tcPr>
            <w:tcW w:w="2266" w:type="dxa"/>
            <w:vAlign w:val="center"/>
          </w:tcPr>
          <w:p>
            <w:pPr>
              <w:pStyle w:val="6"/>
              <w:spacing w:line="360" w:lineRule="auto"/>
              <w:jc w:val="center"/>
              <w:rPr>
                <w:sz w:val="24"/>
                <w:szCs w:val="24"/>
              </w:rPr>
            </w:pPr>
          </w:p>
        </w:tc>
        <w:tc>
          <w:tcPr>
            <w:tcW w:w="2966" w:type="dxa"/>
            <w:vAlign w:val="center"/>
          </w:tcPr>
          <w:p>
            <w:pPr>
              <w:pStyle w:val="6"/>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jc w:val="center"/>
              <w:rPr>
                <w:sz w:val="24"/>
                <w:szCs w:val="24"/>
              </w:rPr>
            </w:pPr>
          </w:p>
        </w:tc>
        <w:tc>
          <w:tcPr>
            <w:tcW w:w="2514" w:type="dxa"/>
            <w:vAlign w:val="center"/>
          </w:tcPr>
          <w:p>
            <w:pPr>
              <w:pStyle w:val="6"/>
              <w:spacing w:line="360" w:lineRule="auto"/>
              <w:jc w:val="center"/>
              <w:rPr>
                <w:sz w:val="24"/>
                <w:szCs w:val="24"/>
              </w:rPr>
            </w:pPr>
          </w:p>
        </w:tc>
        <w:tc>
          <w:tcPr>
            <w:tcW w:w="2266" w:type="dxa"/>
            <w:vAlign w:val="center"/>
          </w:tcPr>
          <w:p>
            <w:pPr>
              <w:pStyle w:val="6"/>
              <w:spacing w:line="360" w:lineRule="auto"/>
              <w:jc w:val="center"/>
              <w:rPr>
                <w:sz w:val="24"/>
                <w:szCs w:val="24"/>
              </w:rPr>
            </w:pPr>
          </w:p>
        </w:tc>
        <w:tc>
          <w:tcPr>
            <w:tcW w:w="2966" w:type="dxa"/>
            <w:vAlign w:val="center"/>
          </w:tcPr>
          <w:p>
            <w:pPr>
              <w:pStyle w:val="6"/>
              <w:spacing w:line="360" w:lineRule="auto"/>
              <w:jc w:val="center"/>
              <w:rPr>
                <w:sz w:val="24"/>
                <w:szCs w:val="24"/>
              </w:rPr>
            </w:pPr>
          </w:p>
        </w:tc>
      </w:tr>
    </w:tbl>
    <w:p>
      <w:pPr>
        <w:spacing w:line="360" w:lineRule="auto"/>
        <w:ind w:firstLine="300" w:firstLineChars="100"/>
        <w:rPr>
          <w:rFonts w:ascii="宋体" w:hAnsi="宋体" w:cs="宋体"/>
          <w:color w:val="000000"/>
          <w:sz w:val="30"/>
          <w:szCs w:val="30"/>
          <w:lang w:val="zh-CN"/>
        </w:rPr>
      </w:pPr>
    </w:p>
    <w:p>
      <w:pPr>
        <w:spacing w:line="360" w:lineRule="auto"/>
        <w:ind w:firstLine="300" w:firstLineChars="100"/>
        <w:rPr>
          <w:rFonts w:ascii="宋体" w:hAnsi="宋体" w:cs="宋体"/>
          <w:color w:val="000000"/>
          <w:sz w:val="30"/>
          <w:szCs w:val="30"/>
          <w:lang w:val="zh-CN"/>
        </w:rPr>
      </w:pPr>
    </w:p>
    <w:p>
      <w:pPr>
        <w:spacing w:line="360" w:lineRule="auto"/>
        <w:ind w:firstLine="300" w:firstLineChars="100"/>
        <w:rPr>
          <w:rFonts w:ascii="宋体" w:hAnsi="宋体" w:cs="宋体"/>
          <w:color w:val="000000"/>
          <w:sz w:val="30"/>
          <w:szCs w:val="30"/>
          <w:lang w:val="zh-CN"/>
        </w:rPr>
      </w:pPr>
    </w:p>
    <w:p>
      <w:pPr>
        <w:spacing w:line="360" w:lineRule="auto"/>
        <w:ind w:firstLine="300" w:firstLineChars="100"/>
        <w:rPr>
          <w:rFonts w:ascii="宋体" w:hAnsi="宋体" w:cs="宋体"/>
          <w:color w:val="000000"/>
          <w:sz w:val="30"/>
          <w:szCs w:val="30"/>
          <w:lang w:val="zh-CN"/>
        </w:rPr>
      </w:pPr>
    </w:p>
    <w:p>
      <w:pPr>
        <w:spacing w:line="360" w:lineRule="auto"/>
        <w:ind w:firstLine="300" w:firstLineChars="100"/>
        <w:rPr>
          <w:rFonts w:ascii="宋体" w:hAnsi="宋体" w:cs="宋体"/>
          <w:color w:val="000000"/>
          <w:sz w:val="30"/>
          <w:szCs w:val="30"/>
          <w:lang w:val="zh-CN"/>
        </w:rPr>
      </w:pPr>
    </w:p>
    <w:p>
      <w:pPr>
        <w:spacing w:line="360" w:lineRule="auto"/>
        <w:ind w:firstLine="300" w:firstLineChars="100"/>
        <w:rPr>
          <w:rFonts w:ascii="宋体" w:hAnsi="宋体" w:cs="宋体"/>
          <w:color w:val="000000"/>
          <w:sz w:val="30"/>
          <w:szCs w:val="30"/>
          <w:lang w:val="zh-CN"/>
        </w:rPr>
      </w:pPr>
    </w:p>
    <w:p>
      <w:pPr>
        <w:spacing w:line="360" w:lineRule="auto"/>
        <w:ind w:firstLine="300" w:firstLineChars="100"/>
        <w:rPr>
          <w:rFonts w:ascii="宋体" w:hAnsi="宋体" w:cs="宋体"/>
          <w:color w:val="000000"/>
          <w:sz w:val="30"/>
          <w:szCs w:val="30"/>
          <w:lang w:val="zh-CN"/>
        </w:rPr>
      </w:pPr>
    </w:p>
    <w:p>
      <w:pPr>
        <w:pStyle w:val="19"/>
        <w:spacing w:line="360" w:lineRule="auto"/>
        <w:rPr>
          <w:rFonts w:ascii="宋体" w:hAnsi="宋体" w:cs="宋体"/>
          <w:color w:val="000000"/>
          <w:sz w:val="30"/>
          <w:szCs w:val="30"/>
          <w:lang w:val="zh-CN"/>
        </w:rPr>
      </w:pPr>
    </w:p>
    <w:p>
      <w:pPr>
        <w:pStyle w:val="19"/>
        <w:spacing w:line="360" w:lineRule="auto"/>
        <w:rPr>
          <w:rFonts w:ascii="宋体" w:hAnsi="宋体" w:cs="宋体"/>
          <w:color w:val="000000"/>
          <w:sz w:val="30"/>
          <w:szCs w:val="30"/>
          <w:lang w:val="zh-CN"/>
        </w:rPr>
      </w:pPr>
    </w:p>
    <w:p>
      <w:pPr>
        <w:pStyle w:val="19"/>
        <w:spacing w:line="360" w:lineRule="auto"/>
        <w:rPr>
          <w:rFonts w:ascii="宋体" w:hAnsi="宋体" w:cs="宋体"/>
          <w:color w:val="000000"/>
          <w:sz w:val="30"/>
          <w:szCs w:val="30"/>
          <w:lang w:val="zh-CN"/>
        </w:rPr>
      </w:pPr>
    </w:p>
    <w:p>
      <w:pPr>
        <w:pStyle w:val="19"/>
        <w:spacing w:line="360" w:lineRule="auto"/>
        <w:rPr>
          <w:rFonts w:ascii="宋体" w:hAnsi="宋体" w:cs="宋体"/>
          <w:color w:val="000000"/>
          <w:sz w:val="30"/>
          <w:szCs w:val="30"/>
          <w:lang w:val="zh-CN"/>
        </w:rPr>
      </w:pPr>
    </w:p>
    <w:p>
      <w:pPr>
        <w:pStyle w:val="19"/>
        <w:spacing w:line="360" w:lineRule="auto"/>
        <w:rPr>
          <w:rFonts w:ascii="宋体" w:hAnsi="宋体" w:cs="宋体"/>
          <w:color w:val="000000"/>
          <w:sz w:val="30"/>
          <w:szCs w:val="30"/>
          <w:lang w:val="zh-CN"/>
        </w:rPr>
      </w:pPr>
    </w:p>
    <w:p>
      <w:pPr>
        <w:pStyle w:val="19"/>
        <w:spacing w:line="360" w:lineRule="auto"/>
      </w:pPr>
    </w:p>
    <w:p>
      <w:pPr>
        <w:spacing w:line="360" w:lineRule="auto"/>
        <w:rPr>
          <w:rStyle w:val="34"/>
          <w:rFonts w:hint="default"/>
          <w:lang w:val="zh-CN"/>
        </w:rPr>
      </w:pPr>
      <w:bookmarkStart w:id="483" w:name="_Toc16022"/>
      <w:r>
        <w:rPr>
          <w:rStyle w:val="34"/>
          <w:rFonts w:hint="default"/>
        </w:rPr>
        <w:br w:type="page"/>
      </w:r>
      <w:r>
        <w:rPr>
          <w:rStyle w:val="34"/>
          <w:rFonts w:hint="default"/>
        </w:rPr>
        <w:t>（12）</w:t>
      </w:r>
      <w:r>
        <w:rPr>
          <w:rStyle w:val="34"/>
          <w:rFonts w:hint="default"/>
          <w:lang w:val="zh-CN"/>
        </w:rPr>
        <w:t>开标一览表（报价表）</w:t>
      </w:r>
      <w:bookmarkEnd w:id="478"/>
    </w:p>
    <w:bookmarkEnd w:id="479"/>
    <w:bookmarkEnd w:id="480"/>
    <w:bookmarkEnd w:id="483"/>
    <w:p>
      <w:pPr>
        <w:autoSpaceDE w:val="0"/>
        <w:autoSpaceDN w:val="0"/>
        <w:spacing w:line="360" w:lineRule="auto"/>
        <w:rPr>
          <w:rFonts w:ascii="宋体" w:hAnsi="宋体" w:cs="宋体"/>
          <w:b/>
          <w:bCs/>
          <w:color w:val="000000"/>
          <w:kern w:val="0"/>
          <w:sz w:val="30"/>
          <w:szCs w:val="30"/>
          <w:lang w:val="zh-CN"/>
        </w:rPr>
      </w:pPr>
    </w:p>
    <w:p>
      <w:pPr>
        <w:autoSpaceDE w:val="0"/>
        <w:autoSpaceDN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开标一览表（报价表）</w:t>
      </w:r>
    </w:p>
    <w:p>
      <w:pPr>
        <w:autoSpaceDE w:val="0"/>
        <w:autoSpaceDN w:val="0"/>
        <w:adjustRightInd w:val="0"/>
        <w:spacing w:line="360" w:lineRule="auto"/>
        <w:ind w:firstLine="482" w:firstLineChars="200"/>
        <w:rPr>
          <w:rFonts w:ascii="宋体" w:hAnsi="Cambria" w:cs="宋体"/>
          <w:b/>
          <w:bCs/>
          <w:kern w:val="0"/>
          <w:sz w:val="24"/>
          <w:szCs w:val="24"/>
          <w:lang w:val="zh-CN"/>
        </w:rPr>
      </w:pPr>
      <w:r>
        <w:rPr>
          <w:rFonts w:ascii="宋体" w:hAnsi="Cambria" w:cs="宋体"/>
          <w:b/>
          <w:bCs/>
          <w:kern w:val="0"/>
          <w:sz w:val="24"/>
          <w:szCs w:val="24"/>
          <w:lang w:val="zh-CN"/>
        </w:rPr>
        <w:t xml:space="preserve">                         </w:t>
      </w:r>
      <w:r>
        <w:rPr>
          <w:rFonts w:hint="eastAsia" w:ascii="宋体" w:hAnsi="Cambria" w:cs="宋体"/>
          <w:b/>
          <w:bCs/>
          <w:kern w:val="0"/>
          <w:sz w:val="24"/>
          <w:szCs w:val="24"/>
        </w:rPr>
        <w:t xml:space="preserve">       </w:t>
      </w:r>
      <w:r>
        <w:rPr>
          <w:rFonts w:hint="eastAsia" w:ascii="宋体" w:hAnsi="Cambria" w:cs="宋体"/>
          <w:b/>
          <w:bCs/>
          <w:kern w:val="0"/>
          <w:sz w:val="24"/>
          <w:szCs w:val="24"/>
          <w:lang w:val="en-US" w:eastAsia="zh-CN"/>
        </w:rPr>
        <w:t xml:space="preserve">           </w:t>
      </w:r>
      <w:r>
        <w:rPr>
          <w:rFonts w:hint="eastAsia" w:ascii="宋体" w:hAnsi="Cambria" w:cs="宋体"/>
          <w:b/>
          <w:bCs/>
          <w:kern w:val="0"/>
          <w:sz w:val="24"/>
          <w:szCs w:val="24"/>
        </w:rPr>
        <w:t xml:space="preserve">    </w:t>
      </w:r>
      <w:r>
        <w:rPr>
          <w:rFonts w:ascii="宋体" w:hAnsi="Cambria" w:cs="宋体"/>
          <w:b/>
          <w:bCs/>
          <w:kern w:val="0"/>
          <w:sz w:val="24"/>
          <w:szCs w:val="24"/>
          <w:lang w:val="zh-CN"/>
        </w:rPr>
        <w:t xml:space="preserve"> </w:t>
      </w:r>
      <w:r>
        <w:rPr>
          <w:rFonts w:hint="eastAsia" w:ascii="宋体" w:hAnsi="Cambria" w:cs="宋体"/>
          <w:b/>
          <w:bCs/>
          <w:kern w:val="0"/>
          <w:sz w:val="24"/>
          <w:szCs w:val="24"/>
          <w:lang w:val="zh-CN"/>
        </w:rPr>
        <w:t>单位：人民币</w:t>
      </w:r>
      <w:r>
        <w:rPr>
          <w:rFonts w:ascii="宋体" w:hAnsi="Cambria" w:cs="宋体"/>
          <w:b/>
          <w:bCs/>
          <w:kern w:val="0"/>
          <w:sz w:val="24"/>
          <w:szCs w:val="24"/>
          <w:lang w:val="zh-CN"/>
        </w:rPr>
        <w:t>(</w:t>
      </w:r>
      <w:r>
        <w:rPr>
          <w:rFonts w:hint="eastAsia" w:ascii="宋体" w:hAnsi="Cambria" w:cs="宋体"/>
          <w:b/>
          <w:bCs/>
          <w:kern w:val="0"/>
          <w:sz w:val="24"/>
          <w:szCs w:val="24"/>
          <w:lang w:val="zh-CN"/>
        </w:rPr>
        <w:t>元</w:t>
      </w:r>
      <w:r>
        <w:rPr>
          <w:rFonts w:ascii="宋体" w:hAnsi="Cambria" w:cs="宋体"/>
          <w:b/>
          <w:bCs/>
          <w:kern w:val="0"/>
          <w:sz w:val="24"/>
          <w:szCs w:val="24"/>
          <w:lang w:val="zh-CN"/>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71"/>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jc w:val="center"/>
        </w:trPr>
        <w:tc>
          <w:tcPr>
            <w:tcW w:w="2571" w:type="dxa"/>
            <w:noWrap w:val="0"/>
            <w:vAlign w:val="center"/>
          </w:tcPr>
          <w:p>
            <w:pPr>
              <w:pStyle w:val="6"/>
              <w:spacing w:line="24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投标人名称</w:t>
            </w:r>
          </w:p>
        </w:tc>
        <w:tc>
          <w:tcPr>
            <w:tcW w:w="6053" w:type="dxa"/>
            <w:noWrap w:val="0"/>
            <w:vAlign w:val="center"/>
          </w:tcPr>
          <w:p>
            <w:pPr>
              <w:pStyle w:val="6"/>
              <w:spacing w:line="360" w:lineRule="auto"/>
              <w:ind w:firstLine="0"/>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jc w:val="center"/>
        </w:trPr>
        <w:tc>
          <w:tcPr>
            <w:tcW w:w="2571" w:type="dxa"/>
            <w:noWrap w:val="0"/>
            <w:vAlign w:val="center"/>
          </w:tcPr>
          <w:p>
            <w:pPr>
              <w:pStyle w:val="6"/>
              <w:spacing w:line="24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lang w:val="zh-CN"/>
              </w:rPr>
              <w:t>投标包号</w:t>
            </w:r>
          </w:p>
        </w:tc>
        <w:tc>
          <w:tcPr>
            <w:tcW w:w="6053" w:type="dxa"/>
            <w:noWrap w:val="0"/>
            <w:vAlign w:val="center"/>
          </w:tcPr>
          <w:p>
            <w:pPr>
              <w:pStyle w:val="6"/>
              <w:spacing w:line="360" w:lineRule="auto"/>
              <w:ind w:firstLine="0"/>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3" w:hRule="atLeast"/>
          <w:jc w:val="center"/>
        </w:trPr>
        <w:tc>
          <w:tcPr>
            <w:tcW w:w="2571" w:type="dxa"/>
            <w:noWrap w:val="0"/>
            <w:vAlign w:val="center"/>
          </w:tcPr>
          <w:p>
            <w:pPr>
              <w:pStyle w:val="6"/>
              <w:spacing w:line="24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投标报价</w:t>
            </w:r>
          </w:p>
        </w:tc>
        <w:tc>
          <w:tcPr>
            <w:tcW w:w="6053"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200" w:afterLines="50" w:line="240" w:lineRule="auto"/>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大写：</w:t>
            </w:r>
          </w:p>
          <w:p>
            <w:pPr>
              <w:pStyle w:val="6"/>
              <w:keepNext w:val="0"/>
              <w:keepLines w:val="0"/>
              <w:pageBreakBefore w:val="0"/>
              <w:widowControl w:val="0"/>
              <w:kinsoku/>
              <w:wordWrap/>
              <w:overflowPunct/>
              <w:topLinePunct w:val="0"/>
              <w:bidi w:val="0"/>
              <w:adjustRightInd/>
              <w:snapToGrid/>
              <w:spacing w:after="200" w:afterLines="50" w:line="240" w:lineRule="auto"/>
              <w:ind w:firstLine="0"/>
              <w:textAlignment w:val="auto"/>
              <w:rPr>
                <w:rFonts w:hint="eastAsia" w:ascii="宋体" w:hAnsi="宋体" w:eastAsia="宋体" w:cs="宋体"/>
                <w:color w:val="000000"/>
                <w:szCs w:val="24"/>
              </w:rPr>
            </w:pPr>
            <w:r>
              <w:rPr>
                <w:rFonts w:hint="eastAsia" w:ascii="宋体" w:hAnsi="宋体" w:eastAsia="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2571" w:type="dxa"/>
            <w:noWrap w:val="0"/>
            <w:vAlign w:val="center"/>
          </w:tcPr>
          <w:p>
            <w:pPr>
              <w:pStyle w:val="6"/>
              <w:spacing w:line="24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交货时间</w:t>
            </w:r>
          </w:p>
        </w:tc>
        <w:tc>
          <w:tcPr>
            <w:tcW w:w="6053" w:type="dxa"/>
            <w:noWrap w:val="0"/>
            <w:vAlign w:val="center"/>
          </w:tcPr>
          <w:p>
            <w:pPr>
              <w:pStyle w:val="6"/>
              <w:spacing w:line="360" w:lineRule="auto"/>
              <w:ind w:firstLine="0"/>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2571" w:type="dxa"/>
            <w:noWrap w:val="0"/>
            <w:vAlign w:val="center"/>
          </w:tcPr>
          <w:p>
            <w:pPr>
              <w:pStyle w:val="6"/>
              <w:spacing w:line="240" w:lineRule="auto"/>
              <w:ind w:firstLine="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lang w:val="en-US" w:eastAsia="zh-CN"/>
              </w:rPr>
              <w:t>质保期</w:t>
            </w:r>
          </w:p>
        </w:tc>
        <w:tc>
          <w:tcPr>
            <w:tcW w:w="6053" w:type="dxa"/>
            <w:noWrap w:val="0"/>
            <w:vAlign w:val="center"/>
          </w:tcPr>
          <w:p>
            <w:pPr>
              <w:pStyle w:val="6"/>
              <w:spacing w:line="360" w:lineRule="auto"/>
              <w:ind w:firstLine="0"/>
              <w:rPr>
                <w:rFonts w:hint="eastAsia" w:ascii="宋体" w:hAnsi="宋体" w:eastAsia="宋体" w:cs="宋体"/>
                <w:color w:val="000000"/>
                <w:szCs w:val="24"/>
                <w:highlight w:val="green"/>
              </w:rPr>
            </w:pPr>
          </w:p>
        </w:tc>
      </w:tr>
    </w:tbl>
    <w:p>
      <w:pPr>
        <w:autoSpaceDE w:val="0"/>
        <w:autoSpaceDN w:val="0"/>
        <w:adjustRightInd w:val="0"/>
        <w:spacing w:line="360" w:lineRule="auto"/>
        <w:rPr>
          <w:rFonts w:ascii="宋体" w:hAnsi="Cambria" w:cs="宋体"/>
          <w:kern w:val="0"/>
          <w:sz w:val="24"/>
          <w:szCs w:val="24"/>
          <w:lang w:val="zh-CN"/>
        </w:rPr>
      </w:pPr>
      <w:r>
        <w:rPr>
          <w:rFonts w:hint="eastAsia" w:ascii="宋体" w:hAnsi="Cambria" w:cs="宋体"/>
          <w:b/>
          <w:bCs/>
          <w:kern w:val="0"/>
          <w:sz w:val="24"/>
          <w:szCs w:val="24"/>
          <w:lang w:val="zh-CN"/>
        </w:rPr>
        <w:t>注：</w:t>
      </w:r>
      <w:r>
        <w:rPr>
          <w:rFonts w:ascii="宋体" w:hAnsi="Cambria" w:cs="宋体"/>
          <w:kern w:val="0"/>
          <w:sz w:val="24"/>
          <w:szCs w:val="24"/>
          <w:lang w:val="zh-CN"/>
        </w:rPr>
        <w:t>1.</w:t>
      </w:r>
      <w:r>
        <w:rPr>
          <w:rFonts w:hint="eastAsia" w:ascii="宋体" w:hAnsi="Cambria" w:cs="宋体"/>
          <w:kern w:val="0"/>
          <w:sz w:val="24"/>
          <w:szCs w:val="24"/>
          <w:lang w:val="zh-CN"/>
        </w:rPr>
        <w:t>填写此表时不得改变表格形式。</w:t>
      </w:r>
    </w:p>
    <w:p>
      <w:pPr>
        <w:numPr>
          <w:ilvl w:val="0"/>
          <w:numId w:val="0"/>
        </w:numPr>
        <w:autoSpaceDE w:val="0"/>
        <w:autoSpaceDN w:val="0"/>
        <w:spacing w:line="360" w:lineRule="auto"/>
        <w:ind w:firstLine="480" w:firstLineChars="200"/>
        <w:rPr>
          <w:rFonts w:hint="eastAsia" w:ascii="宋体" w:hAnsi="宋体" w:eastAsia="宋体" w:cs="宋体"/>
          <w:color w:val="000000"/>
          <w:kern w:val="0"/>
          <w:highlight w:val="none"/>
          <w:lang w:val="zh-CN"/>
        </w:rPr>
      </w:pPr>
      <w:r>
        <w:rPr>
          <w:rFonts w:hint="eastAsia" w:ascii="宋体" w:hAnsi="宋体" w:cs="宋体"/>
          <w:color w:val="000000"/>
          <w:kern w:val="0"/>
          <w:highlight w:val="none"/>
          <w:lang w:val="en-US" w:eastAsia="zh-CN"/>
        </w:rPr>
        <w:t>2.</w:t>
      </w:r>
      <w:r>
        <w:rPr>
          <w:rFonts w:hint="eastAsia" w:ascii="宋体" w:hAnsi="宋体" w:eastAsia="宋体" w:cs="宋体"/>
          <w:color w:val="000000"/>
          <w:kern w:val="0"/>
          <w:highlight w:val="none"/>
          <w:lang w:val="zh-CN"/>
        </w:rPr>
        <w:t>“投标报价”为投标总价。</w:t>
      </w:r>
      <w:r>
        <w:rPr>
          <w:rFonts w:hint="eastAsia" w:ascii="宋体" w:hAnsi="宋体" w:cs="宋体"/>
          <w:color w:val="000000"/>
          <w:kern w:val="0"/>
          <w:highlight w:val="none"/>
          <w:lang w:val="en-US" w:eastAsia="zh-CN"/>
        </w:rPr>
        <w:t>投标</w:t>
      </w:r>
      <w:r>
        <w:rPr>
          <w:rFonts w:hint="eastAsia" w:ascii="宋体" w:hAnsi="宋体" w:eastAsia="宋体" w:cs="宋体"/>
          <w:color w:val="000000"/>
          <w:kern w:val="0"/>
          <w:highlight w:val="none"/>
          <w:lang w:val="zh-CN"/>
        </w:rPr>
        <w:t>总价包括：产品费、验收费、手续费、包装费、装卸费、运输费、安装调试费、保险费、售前、售中、售后服务费、税金及不可预见费等全部费用。</w:t>
      </w:r>
    </w:p>
    <w:p>
      <w:pPr>
        <w:numPr>
          <w:ilvl w:val="0"/>
          <w:numId w:val="0"/>
        </w:num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highlight w:val="none"/>
          <w:lang w:val="zh-CN"/>
        </w:rPr>
        <w:t>3.“交货时间”是指产品能够交付使用的具体时间</w:t>
      </w:r>
      <w:r>
        <w:rPr>
          <w:rFonts w:hint="eastAsia" w:ascii="宋体" w:hAnsi="宋体" w:eastAsia="宋体" w:cs="宋体"/>
          <w:color w:val="000000"/>
          <w:kern w:val="0"/>
          <w:lang w:val="zh-CN"/>
        </w:rPr>
        <w:t>（</w:t>
      </w:r>
      <w:r>
        <w:rPr>
          <w:rFonts w:hint="eastAsia" w:ascii="宋体" w:hAnsi="宋体" w:eastAsia="宋体" w:cs="宋体"/>
          <w:color w:val="000000"/>
          <w:kern w:val="0"/>
          <w:lang w:val="zh-CN" w:eastAsia="zh-CN"/>
        </w:rPr>
        <w:t>日历日</w:t>
      </w:r>
      <w:r>
        <w:rPr>
          <w:rFonts w:hint="eastAsia" w:ascii="宋体" w:hAnsi="宋体" w:eastAsia="宋体" w:cs="宋体"/>
          <w:color w:val="000000"/>
          <w:kern w:val="0"/>
          <w:lang w:val="zh-CN"/>
        </w:rPr>
        <w:t>）。</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4.投标报价不能有两个或两个以上的报价方案，</w:t>
      </w:r>
      <w:r>
        <w:rPr>
          <w:rFonts w:hint="eastAsia" w:ascii="宋体" w:hAnsi="宋体" w:eastAsia="宋体" w:cs="宋体"/>
          <w:color w:val="000000"/>
          <w:kern w:val="0"/>
        </w:rPr>
        <w:t>否则投标无效</w:t>
      </w:r>
      <w:r>
        <w:rPr>
          <w:rFonts w:hint="eastAsia" w:ascii="宋体" w:hAnsi="宋体" w:eastAsia="宋体" w:cs="宋体"/>
          <w:color w:val="000000"/>
          <w:kern w:val="0"/>
          <w:lang w:val="zh-CN"/>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w:t>
      </w:r>
    </w:p>
    <w:p>
      <w:pPr>
        <w:autoSpaceDE w:val="0"/>
        <w:autoSpaceDN w:val="0"/>
        <w:spacing w:line="360" w:lineRule="auto"/>
        <w:rPr>
          <w:rFonts w:ascii="宋体" w:hAnsi="宋体" w:cs="宋体"/>
          <w:color w:val="000000"/>
          <w:kern w:val="0"/>
        </w:rPr>
      </w:pPr>
    </w:p>
    <w:p>
      <w:pPr>
        <w:autoSpaceDE w:val="0"/>
        <w:autoSpaceDN w:val="0"/>
        <w:spacing w:line="360" w:lineRule="auto"/>
        <w:rPr>
          <w:rFonts w:ascii="宋体" w:hAnsi="宋体" w:cs="宋体"/>
          <w:color w:val="000000"/>
          <w:kern w:val="0"/>
        </w:rPr>
      </w:pPr>
    </w:p>
    <w:p>
      <w:pPr>
        <w:autoSpaceDE w:val="0"/>
        <w:autoSpaceDN w:val="0"/>
        <w:spacing w:line="360" w:lineRule="auto"/>
        <w:rPr>
          <w:rFonts w:ascii="宋体" w:hAnsi="宋体" w:cs="宋体"/>
          <w:color w:val="000000"/>
          <w:kern w:val="0"/>
        </w:rPr>
      </w:pPr>
    </w:p>
    <w:p>
      <w:pPr>
        <w:spacing w:line="360" w:lineRule="auto"/>
        <w:ind w:firstLine="482" w:firstLineChars="200"/>
        <w:jc w:val="right"/>
        <w:rPr>
          <w:rFonts w:ascii="宋体" w:hAnsi="宋体"/>
          <w:b/>
        </w:rPr>
      </w:pPr>
      <w:r>
        <w:rPr>
          <w:rFonts w:hint="eastAsia" w:ascii="宋体" w:hAnsi="宋体"/>
          <w:b/>
        </w:rPr>
        <w:t xml:space="preserve"> 投标</w:t>
      </w:r>
      <w:r>
        <w:rPr>
          <w:rFonts w:hint="eastAsia" w:ascii="宋体" w:hAnsi="宋体"/>
          <w:b/>
          <w:lang w:val="en-US" w:eastAsia="zh-CN"/>
        </w:rPr>
        <w:t>人</w:t>
      </w:r>
      <w:r>
        <w:rPr>
          <w:rFonts w:hint="eastAsia" w:ascii="宋体" w:hAnsi="宋体"/>
          <w:b/>
        </w:rPr>
        <w:t>：</w:t>
      </w:r>
      <w:r>
        <w:rPr>
          <w:rFonts w:hint="eastAsia" w:ascii="宋体" w:hAnsi="宋体"/>
          <w:b/>
          <w:lang w:val="en-US" w:eastAsia="zh-CN"/>
        </w:rPr>
        <w:t xml:space="preserve">             </w:t>
      </w:r>
      <w:r>
        <w:rPr>
          <w:rFonts w:hint="eastAsia" w:ascii="宋体" w:hAnsi="宋体"/>
          <w:b/>
        </w:rPr>
        <w:t>（公章）</w:t>
      </w:r>
    </w:p>
    <w:p>
      <w:pPr>
        <w:spacing w:line="360" w:lineRule="auto"/>
        <w:ind w:firstLine="482" w:firstLineChars="200"/>
        <w:jc w:val="right"/>
        <w:rPr>
          <w:rFonts w:ascii="宋体" w:hAnsi="宋体"/>
          <w:b/>
        </w:rPr>
      </w:pPr>
      <w:r>
        <w:rPr>
          <w:rFonts w:hint="eastAsia" w:ascii="宋体" w:hAnsi="宋体"/>
          <w:b/>
        </w:rPr>
        <w:t xml:space="preserve">        法定代表人或委托代理人：</w:t>
      </w:r>
      <w:r>
        <w:rPr>
          <w:rFonts w:hint="eastAsia" w:ascii="宋体" w:hAnsi="宋体"/>
          <w:b/>
          <w:lang w:val="en-US" w:eastAsia="zh-CN"/>
        </w:rPr>
        <w:t xml:space="preserve">   </w:t>
      </w:r>
      <w:r>
        <w:rPr>
          <w:rFonts w:hint="eastAsia" w:ascii="宋体" w:hAnsi="宋体"/>
          <w:b/>
        </w:rPr>
        <w:t>（签字或盖章）</w:t>
      </w:r>
    </w:p>
    <w:p>
      <w:pPr>
        <w:spacing w:line="360" w:lineRule="auto"/>
        <w:ind w:firstLine="482" w:firstLineChars="200"/>
        <w:jc w:val="right"/>
        <w:rPr>
          <w:rFonts w:ascii="宋体" w:hAnsi="宋体"/>
          <w:b/>
        </w:rPr>
      </w:pPr>
      <w:r>
        <w:rPr>
          <w:rFonts w:hint="eastAsia" w:ascii="宋体" w:hAnsi="宋体"/>
          <w:b/>
        </w:rPr>
        <w:t xml:space="preserve">               年  </w:t>
      </w:r>
      <w:r>
        <w:rPr>
          <w:rFonts w:hint="eastAsia" w:ascii="宋体" w:hAnsi="宋体"/>
          <w:b/>
          <w:lang w:val="en-US" w:eastAsia="zh-CN"/>
        </w:rPr>
        <w:t xml:space="preserve"> </w:t>
      </w:r>
      <w:r>
        <w:rPr>
          <w:rFonts w:hint="eastAsia" w:ascii="宋体" w:hAnsi="宋体"/>
          <w:b/>
        </w:rPr>
        <w:t xml:space="preserve"> 月 </w:t>
      </w:r>
      <w:r>
        <w:rPr>
          <w:rFonts w:hint="eastAsia" w:ascii="宋体" w:hAnsi="宋体"/>
          <w:b/>
          <w:lang w:val="en-US" w:eastAsia="zh-CN"/>
        </w:rPr>
        <w:t xml:space="preserve"> </w:t>
      </w:r>
      <w:r>
        <w:rPr>
          <w:rFonts w:hint="eastAsia" w:ascii="宋体" w:hAnsi="宋体"/>
          <w:b/>
        </w:rPr>
        <w:t xml:space="preserve"> 日</w:t>
      </w:r>
    </w:p>
    <w:p>
      <w:pPr>
        <w:pStyle w:val="20"/>
        <w:spacing w:before="0" w:after="0" w:line="360" w:lineRule="auto"/>
        <w:jc w:val="left"/>
        <w:outlineLvl w:val="1"/>
        <w:rPr>
          <w:rFonts w:ascii="宋体" w:hAnsi="宋体" w:cs="宋体"/>
          <w:b w:val="0"/>
          <w:bCs w:val="0"/>
          <w:color w:val="000000"/>
          <w:sz w:val="30"/>
          <w:szCs w:val="30"/>
          <w:lang w:val="zh-CN"/>
        </w:rPr>
      </w:pPr>
      <w:r>
        <w:rPr>
          <w:rFonts w:hint="eastAsia" w:ascii="宋体" w:hAnsi="宋体" w:cs="宋体"/>
          <w:color w:val="000000"/>
          <w:sz w:val="30"/>
          <w:szCs w:val="30"/>
          <w:lang w:val="zh-CN"/>
        </w:rPr>
        <w:br w:type="page"/>
      </w:r>
      <w:bookmarkStart w:id="484" w:name="_Toc13196"/>
      <w:bookmarkStart w:id="485" w:name="_Toc22374"/>
      <w:bookmarkStart w:id="486" w:name="_Toc18517"/>
      <w:bookmarkStart w:id="487" w:name="_Toc19205"/>
      <w:bookmarkStart w:id="488" w:name="_Toc2320"/>
      <w:bookmarkStart w:id="489" w:name="_Toc29646"/>
      <w:r>
        <w:rPr>
          <w:rStyle w:val="34"/>
          <w:rFonts w:hint="default"/>
          <w:b/>
        </w:rPr>
        <w:t>（13）</w:t>
      </w:r>
      <w:r>
        <w:rPr>
          <w:rStyle w:val="34"/>
          <w:rFonts w:hint="default"/>
          <w:b/>
          <w:lang w:val="zh-CN"/>
        </w:rPr>
        <w:t>分项报价表</w:t>
      </w:r>
      <w:bookmarkEnd w:id="481"/>
      <w:bookmarkEnd w:id="484"/>
      <w:bookmarkEnd w:id="485"/>
      <w:bookmarkEnd w:id="486"/>
      <w:bookmarkEnd w:id="487"/>
      <w:bookmarkEnd w:id="488"/>
      <w:bookmarkEnd w:id="489"/>
    </w:p>
    <w:p>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30"/>
          <w:szCs w:val="30"/>
          <w:lang w:val="zh-CN"/>
        </w:rPr>
        <w:t>分项报价表</w:t>
      </w:r>
    </w:p>
    <w:p>
      <w:pPr>
        <w:autoSpaceDE w:val="0"/>
        <w:autoSpaceDN w:val="0"/>
        <w:spacing w:line="360" w:lineRule="auto"/>
        <w:ind w:firstLine="602" w:firstLineChars="250"/>
        <w:rPr>
          <w:rFonts w:ascii="宋体" w:hAnsi="宋体" w:cs="宋体"/>
          <w:b/>
          <w:bCs/>
          <w:color w:val="000000"/>
          <w:kern w:val="0"/>
          <w:sz w:val="24"/>
          <w:szCs w:val="24"/>
        </w:rPr>
      </w:pPr>
      <w:r>
        <w:rPr>
          <w:rFonts w:hint="eastAsia" w:ascii="宋体" w:hAnsi="宋体" w:cs="宋体"/>
          <w:b/>
          <w:bCs/>
          <w:color w:val="000000"/>
          <w:kern w:val="0"/>
          <w:sz w:val="24"/>
          <w:szCs w:val="24"/>
          <w:lang w:val="zh-CN"/>
        </w:rPr>
        <w:t>投标人名称</w:t>
      </w:r>
      <w:r>
        <w:rPr>
          <w:rFonts w:hint="eastAsia" w:ascii="宋体" w:hAnsi="宋体" w:cs="宋体"/>
          <w:b/>
          <w:bCs/>
          <w:color w:val="000000"/>
          <w:kern w:val="0"/>
          <w:sz w:val="24"/>
          <w:szCs w:val="24"/>
        </w:rPr>
        <w:t xml:space="preserve">：   </w:t>
      </w:r>
    </w:p>
    <w:p>
      <w:pPr>
        <w:autoSpaceDE w:val="0"/>
        <w:autoSpaceDN w:val="0"/>
        <w:spacing w:line="360" w:lineRule="auto"/>
        <w:ind w:firstLine="602" w:firstLineChars="250"/>
        <w:rPr>
          <w:rFonts w:ascii="宋体" w:hAnsi="宋体" w:cs="宋体"/>
          <w:b/>
          <w:bCs/>
          <w:color w:val="000000"/>
          <w:kern w:val="0"/>
          <w:sz w:val="24"/>
          <w:szCs w:val="24"/>
        </w:rPr>
      </w:pPr>
      <w:r>
        <w:rPr>
          <w:rFonts w:hint="eastAsia" w:ascii="宋体" w:hAnsi="宋体" w:cs="宋体"/>
          <w:b/>
          <w:bCs/>
          <w:color w:val="000000"/>
          <w:kern w:val="0"/>
          <w:sz w:val="24"/>
          <w:szCs w:val="24"/>
        </w:rPr>
        <w:t>项目编号：</w:t>
      </w:r>
    </w:p>
    <w:p>
      <w:pPr>
        <w:autoSpaceDE w:val="0"/>
        <w:autoSpaceDN w:val="0"/>
        <w:spacing w:line="360" w:lineRule="auto"/>
        <w:ind w:firstLine="602" w:firstLineChars="250"/>
        <w:rPr>
          <w:rFonts w:ascii="宋体" w:hAnsi="宋体" w:cs="宋体"/>
          <w:b/>
          <w:bCs/>
          <w:color w:val="000000"/>
          <w:kern w:val="0"/>
          <w:sz w:val="24"/>
          <w:szCs w:val="24"/>
        </w:rPr>
      </w:pPr>
      <w:r>
        <w:rPr>
          <w:rFonts w:hint="eastAsia" w:ascii="宋体" w:hAnsi="宋体" w:cs="宋体"/>
          <w:b/>
          <w:bCs/>
          <w:color w:val="000000"/>
          <w:kern w:val="0"/>
          <w:sz w:val="24"/>
          <w:szCs w:val="24"/>
        </w:rPr>
        <w:t xml:space="preserve">投标包号：                                        </w:t>
      </w:r>
    </w:p>
    <w:tbl>
      <w:tblPr>
        <w:tblStyle w:val="22"/>
        <w:tblW w:w="9446" w:type="dxa"/>
        <w:jc w:val="center"/>
        <w:tblLayout w:type="fixed"/>
        <w:tblCellMar>
          <w:top w:w="0" w:type="dxa"/>
          <w:left w:w="28" w:type="dxa"/>
          <w:bottom w:w="0" w:type="dxa"/>
          <w:right w:w="28" w:type="dxa"/>
        </w:tblCellMar>
      </w:tblPr>
      <w:tblGrid>
        <w:gridCol w:w="628"/>
        <w:gridCol w:w="1374"/>
        <w:gridCol w:w="1500"/>
        <w:gridCol w:w="1470"/>
        <w:gridCol w:w="1110"/>
        <w:gridCol w:w="875"/>
        <w:gridCol w:w="831"/>
        <w:gridCol w:w="829"/>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序号</w:t>
            </w:r>
          </w:p>
        </w:tc>
        <w:tc>
          <w:tcPr>
            <w:tcW w:w="1374"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产品名称</w:t>
            </w:r>
          </w:p>
        </w:tc>
        <w:tc>
          <w:tcPr>
            <w:tcW w:w="1500"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品牌</w:t>
            </w:r>
          </w:p>
        </w:tc>
        <w:tc>
          <w:tcPr>
            <w:tcW w:w="1470"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规格型号</w:t>
            </w:r>
          </w:p>
        </w:tc>
        <w:tc>
          <w:tcPr>
            <w:tcW w:w="1110"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生产厂家</w:t>
            </w:r>
          </w:p>
        </w:tc>
        <w:tc>
          <w:tcPr>
            <w:tcW w:w="87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数量及单位</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单价</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sz w:val="24"/>
                <w:szCs w:val="24"/>
              </w:rPr>
            </w:pPr>
            <w:r>
              <w:rPr>
                <w:rFonts w:hint="eastAsia" w:ascii="宋体" w:hAnsi="宋体" w:cs="宋体"/>
                <w:color w:val="000000"/>
                <w:sz w:val="24"/>
                <w:szCs w:val="24"/>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1</w:t>
            </w:r>
          </w:p>
        </w:tc>
        <w:tc>
          <w:tcPr>
            <w:tcW w:w="137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4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8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sz w:val="24"/>
                <w:szCs w:val="24"/>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2</w:t>
            </w:r>
          </w:p>
        </w:tc>
        <w:tc>
          <w:tcPr>
            <w:tcW w:w="137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4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8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sz w:val="24"/>
                <w:szCs w:val="24"/>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3</w:t>
            </w:r>
          </w:p>
        </w:tc>
        <w:tc>
          <w:tcPr>
            <w:tcW w:w="137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4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8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sz w:val="24"/>
                <w:szCs w:val="24"/>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4</w:t>
            </w:r>
          </w:p>
        </w:tc>
        <w:tc>
          <w:tcPr>
            <w:tcW w:w="137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4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8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sz w:val="24"/>
                <w:szCs w:val="24"/>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w:t>
            </w:r>
          </w:p>
        </w:tc>
        <w:tc>
          <w:tcPr>
            <w:tcW w:w="137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2970"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8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sz w:val="24"/>
                <w:szCs w:val="24"/>
                <w:lang w:val="zh-CN"/>
              </w:rPr>
            </w:pPr>
          </w:p>
        </w:tc>
      </w:tr>
      <w:tr>
        <w:tblPrEx>
          <w:tblCellMar>
            <w:top w:w="0" w:type="dxa"/>
            <w:left w:w="28" w:type="dxa"/>
            <w:bottom w:w="0" w:type="dxa"/>
            <w:right w:w="28" w:type="dxa"/>
          </w:tblCellMar>
        </w:tblPrEx>
        <w:trPr>
          <w:trHeight w:val="23" w:hRule="atLeast"/>
          <w:jc w:val="center"/>
        </w:trPr>
        <w:tc>
          <w:tcPr>
            <w:tcW w:w="2002"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投标总价</w:t>
            </w:r>
          </w:p>
        </w:tc>
        <w:tc>
          <w:tcPr>
            <w:tcW w:w="6615" w:type="dxa"/>
            <w:gridSpan w:val="6"/>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大写：</w:t>
            </w:r>
          </w:p>
          <w:p>
            <w:pPr>
              <w:autoSpaceDE w:val="0"/>
              <w:autoSpaceDN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小写：</w:t>
            </w:r>
          </w:p>
        </w:tc>
        <w:tc>
          <w:tcPr>
            <w:tcW w:w="829" w:type="dxa"/>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color w:val="000000"/>
                <w:kern w:val="0"/>
                <w:sz w:val="24"/>
                <w:szCs w:val="24"/>
                <w:lang w:val="zh-CN"/>
              </w:rPr>
            </w:pPr>
          </w:p>
        </w:tc>
      </w:tr>
    </w:tbl>
    <w:p>
      <w:pPr>
        <w:autoSpaceDE w:val="0"/>
        <w:autoSpaceDN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注：</w:t>
      </w:r>
      <w:r>
        <w:rPr>
          <w:rFonts w:hint="eastAsia" w:ascii="宋体" w:hAnsi="宋体" w:cs="宋体"/>
          <w:color w:val="000000"/>
          <w:kern w:val="0"/>
          <w:sz w:val="24"/>
          <w:szCs w:val="24"/>
        </w:rPr>
        <w:t>1.</w:t>
      </w:r>
      <w:r>
        <w:rPr>
          <w:rFonts w:hint="eastAsia" w:ascii="宋体" w:hAnsi="宋体" w:cs="宋体"/>
          <w:color w:val="000000"/>
          <w:kern w:val="0"/>
          <w:sz w:val="24"/>
          <w:szCs w:val="24"/>
          <w:lang w:val="zh-CN"/>
        </w:rPr>
        <w:t>本表应依照每包采购一览表中的产品序号按顺序逐项填写，不得遗漏，</w:t>
      </w:r>
      <w:r>
        <w:rPr>
          <w:rFonts w:hint="eastAsia" w:ascii="宋体" w:hAnsi="宋体"/>
          <w:color w:val="000000"/>
          <w:sz w:val="24"/>
          <w:szCs w:val="24"/>
        </w:rPr>
        <w:t>否则</w:t>
      </w:r>
      <w:r>
        <w:rPr>
          <w:rFonts w:hint="eastAsia" w:ascii="宋体" w:hAnsi="宋体"/>
          <w:color w:val="000000"/>
          <w:kern w:val="0"/>
          <w:sz w:val="24"/>
          <w:szCs w:val="24"/>
        </w:rPr>
        <w:t>，按无效投标处理</w:t>
      </w:r>
      <w:r>
        <w:rPr>
          <w:rFonts w:hint="eastAsia" w:ascii="宋体" w:hAnsi="宋体" w:cs="宋体"/>
          <w:color w:val="000000"/>
          <w:kern w:val="0"/>
          <w:sz w:val="24"/>
          <w:szCs w:val="24"/>
          <w:lang w:val="zh-CN"/>
        </w:rPr>
        <w:t>。</w:t>
      </w:r>
    </w:p>
    <w:p>
      <w:pPr>
        <w:autoSpaceDE w:val="0"/>
        <w:autoSpaceDN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    2.</w:t>
      </w:r>
      <w:r>
        <w:rPr>
          <w:rFonts w:hint="eastAsia" w:ascii="宋体" w:hAnsi="宋体" w:cs="宋体"/>
          <w:color w:val="000000"/>
          <w:kern w:val="0"/>
          <w:sz w:val="24"/>
          <w:szCs w:val="24"/>
          <w:lang w:val="zh-CN"/>
        </w:rPr>
        <w:t>投标报价不能有两个或两个以上的报价方案。</w:t>
      </w:r>
    </w:p>
    <w:p>
      <w:pPr>
        <w:autoSpaceDE w:val="0"/>
        <w:autoSpaceDN w:val="0"/>
        <w:spacing w:line="360" w:lineRule="auto"/>
        <w:rPr>
          <w:rFonts w:ascii="宋体" w:hAnsi="宋体" w:cs="宋体"/>
          <w:color w:val="000000"/>
          <w:kern w:val="0"/>
          <w:sz w:val="24"/>
          <w:szCs w:val="24"/>
          <w:lang w:val="zh-CN"/>
        </w:rPr>
      </w:pPr>
    </w:p>
    <w:p>
      <w:pPr>
        <w:autoSpaceDE w:val="0"/>
        <w:autoSpaceDN w:val="0"/>
        <w:spacing w:line="360" w:lineRule="auto"/>
        <w:rPr>
          <w:rFonts w:ascii="宋体" w:hAnsi="宋体" w:cs="宋体"/>
          <w:color w:val="000000"/>
          <w:kern w:val="0"/>
          <w:sz w:val="24"/>
          <w:szCs w:val="24"/>
          <w:lang w:val="zh-CN"/>
        </w:rPr>
      </w:pPr>
    </w:p>
    <w:p>
      <w:pPr>
        <w:autoSpaceDE w:val="0"/>
        <w:autoSpaceDN w:val="0"/>
        <w:spacing w:line="360" w:lineRule="auto"/>
        <w:jc w:val="right"/>
        <w:rPr>
          <w:rFonts w:ascii="宋体" w:hAnsi="宋体" w:cs="宋体"/>
          <w:b/>
          <w:bCs/>
          <w:color w:val="000000"/>
          <w:kern w:val="0"/>
          <w:sz w:val="24"/>
          <w:szCs w:val="24"/>
          <w:lang w:val="zh-CN"/>
        </w:rPr>
      </w:pPr>
      <w:r>
        <w:rPr>
          <w:rFonts w:hint="eastAsia" w:ascii="宋体" w:hAnsi="宋体" w:cs="宋体"/>
          <w:b/>
          <w:bCs/>
          <w:color w:val="000000"/>
          <w:kern w:val="0"/>
          <w:sz w:val="24"/>
          <w:szCs w:val="24"/>
          <w:lang w:val="zh-CN"/>
        </w:rPr>
        <w:t xml:space="preserve">投标人：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（公章）</w:t>
      </w:r>
    </w:p>
    <w:p>
      <w:pPr>
        <w:autoSpaceDE w:val="0"/>
        <w:autoSpaceDN w:val="0"/>
        <w:spacing w:line="360" w:lineRule="auto"/>
        <w:jc w:val="right"/>
        <w:rPr>
          <w:rFonts w:ascii="宋体" w:hAnsi="宋体" w:cs="宋体"/>
          <w:b/>
          <w:bCs/>
          <w:color w:val="000000"/>
          <w:kern w:val="0"/>
          <w:sz w:val="24"/>
          <w:szCs w:val="24"/>
          <w:lang w:val="zh-CN"/>
        </w:rPr>
      </w:pPr>
      <w:r>
        <w:rPr>
          <w:rFonts w:hint="eastAsia" w:ascii="宋体" w:hAnsi="宋体" w:cs="宋体"/>
          <w:b/>
          <w:bCs/>
          <w:color w:val="000000"/>
          <w:kern w:val="0"/>
          <w:sz w:val="24"/>
          <w:szCs w:val="24"/>
          <w:lang w:val="zh-CN"/>
        </w:rPr>
        <w:t>法定代表人或委托代理人：        （签字或盖章）</w:t>
      </w:r>
    </w:p>
    <w:p>
      <w:pPr>
        <w:spacing w:line="360" w:lineRule="auto"/>
        <w:jc w:val="right"/>
        <w:rPr>
          <w:rFonts w:ascii="宋体" w:hAnsi="宋体" w:cs="宋体"/>
          <w:b/>
          <w:bCs/>
          <w:color w:val="000000"/>
          <w:kern w:val="0"/>
          <w:sz w:val="24"/>
          <w:szCs w:val="24"/>
          <w:lang w:val="zh-CN"/>
        </w:rPr>
      </w:pPr>
      <w:r>
        <w:rPr>
          <w:rFonts w:hint="eastAsia" w:ascii="宋体" w:hAnsi="宋体" w:cs="宋体"/>
          <w:b/>
          <w:bCs/>
          <w:color w:val="000000"/>
          <w:kern w:val="0"/>
          <w:sz w:val="24"/>
          <w:szCs w:val="24"/>
          <w:lang w:val="zh-CN"/>
        </w:rPr>
        <w:t xml:space="preserve">年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月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日</w:t>
      </w:r>
    </w:p>
    <w:p>
      <w:pPr>
        <w:spacing w:line="360" w:lineRule="auto"/>
        <w:jc w:val="right"/>
        <w:rPr>
          <w:rFonts w:ascii="宋体" w:hAnsi="宋体" w:cs="宋体"/>
          <w:b/>
          <w:bCs/>
          <w:color w:val="000000"/>
          <w:kern w:val="0"/>
          <w:sz w:val="24"/>
          <w:szCs w:val="24"/>
          <w:lang w:val="zh-CN"/>
        </w:rPr>
      </w:pPr>
    </w:p>
    <w:p>
      <w:pPr>
        <w:pStyle w:val="20"/>
        <w:spacing w:before="0" w:after="0" w:line="360" w:lineRule="auto"/>
        <w:jc w:val="both"/>
        <w:outlineLvl w:val="1"/>
        <w:rPr>
          <w:rFonts w:ascii="宋体" w:hAnsi="宋体" w:cs="宋体"/>
          <w:color w:val="000000"/>
          <w:sz w:val="30"/>
          <w:szCs w:val="30"/>
          <w:lang w:val="zh-CN"/>
        </w:rPr>
      </w:pPr>
      <w:r>
        <w:rPr>
          <w:rFonts w:hint="eastAsia" w:ascii="宋体" w:hAnsi="宋体" w:cs="宋体"/>
          <w:color w:val="000000"/>
          <w:sz w:val="24"/>
          <w:szCs w:val="24"/>
          <w:lang w:val="zh-CN"/>
        </w:rPr>
        <w:br w:type="page"/>
      </w:r>
      <w:bookmarkStart w:id="490" w:name="_Toc5098"/>
      <w:bookmarkStart w:id="491" w:name="_Toc7673"/>
      <w:bookmarkStart w:id="492" w:name="_Toc30716"/>
      <w:bookmarkStart w:id="493" w:name="_Toc23824"/>
      <w:bookmarkStart w:id="494" w:name="_Toc27580"/>
      <w:bookmarkStart w:id="495" w:name="_Toc27374"/>
      <w:r>
        <w:rPr>
          <w:rStyle w:val="34"/>
          <w:rFonts w:hint="default"/>
          <w:b/>
        </w:rPr>
        <w:t>（14）</w:t>
      </w:r>
      <w:r>
        <w:rPr>
          <w:rStyle w:val="34"/>
          <w:rFonts w:hint="default"/>
          <w:b/>
          <w:lang w:val="zh-CN"/>
        </w:rPr>
        <w:t>技术规格响应表</w:t>
      </w:r>
      <w:bookmarkEnd w:id="490"/>
      <w:bookmarkEnd w:id="491"/>
      <w:bookmarkEnd w:id="492"/>
      <w:bookmarkEnd w:id="493"/>
      <w:bookmarkEnd w:id="494"/>
      <w:bookmarkEnd w:id="495"/>
    </w:p>
    <w:p>
      <w:pPr>
        <w:autoSpaceDE w:val="0"/>
        <w:autoSpaceDN w:val="0"/>
        <w:spacing w:line="360" w:lineRule="auto"/>
        <w:jc w:val="center"/>
        <w:outlineLvl w:val="2"/>
        <w:rPr>
          <w:rFonts w:ascii="宋体" w:hAnsi="宋体" w:cs="宋体"/>
          <w:b/>
          <w:bCs/>
          <w:color w:val="000000"/>
          <w:kern w:val="0"/>
          <w:sz w:val="30"/>
          <w:szCs w:val="30"/>
          <w:lang w:val="zh-CN"/>
        </w:rPr>
      </w:pPr>
      <w:bookmarkStart w:id="496" w:name="_Toc8559"/>
      <w:r>
        <w:rPr>
          <w:rFonts w:hint="eastAsia" w:ascii="宋体" w:hAnsi="宋体" w:cs="宋体"/>
          <w:b/>
          <w:bCs/>
          <w:color w:val="000000"/>
          <w:kern w:val="0"/>
          <w:sz w:val="30"/>
          <w:szCs w:val="30"/>
          <w:lang w:val="zh-CN"/>
        </w:rPr>
        <w:t>技术规格响应表</w:t>
      </w:r>
      <w:bookmarkEnd w:id="496"/>
    </w:p>
    <w:p>
      <w:pPr>
        <w:autoSpaceDE w:val="0"/>
        <w:autoSpaceDN w:val="0"/>
        <w:spacing w:line="360" w:lineRule="auto"/>
        <w:rPr>
          <w:rFonts w:ascii="宋体" w:hAnsi="宋体" w:cs="宋体"/>
          <w:b/>
          <w:bCs/>
          <w:color w:val="000000"/>
          <w:kern w:val="0"/>
          <w:sz w:val="24"/>
          <w:szCs w:val="24"/>
        </w:rPr>
      </w:pPr>
      <w:r>
        <w:rPr>
          <w:rFonts w:hint="eastAsia" w:ascii="宋体" w:hAnsi="宋体" w:cs="宋体"/>
          <w:b/>
          <w:bCs/>
          <w:color w:val="000000"/>
          <w:kern w:val="0"/>
          <w:sz w:val="24"/>
          <w:szCs w:val="24"/>
          <w:lang w:val="zh-CN"/>
        </w:rPr>
        <w:t>投标人名称</w:t>
      </w:r>
      <w:r>
        <w:rPr>
          <w:rFonts w:hint="eastAsia" w:ascii="宋体" w:hAnsi="宋体" w:cs="宋体"/>
          <w:b/>
          <w:bCs/>
          <w:color w:val="000000"/>
          <w:kern w:val="0"/>
          <w:sz w:val="24"/>
          <w:szCs w:val="24"/>
        </w:rPr>
        <w:t xml:space="preserve">：                                 </w:t>
      </w:r>
    </w:p>
    <w:p>
      <w:pPr>
        <w:autoSpaceDE w:val="0"/>
        <w:autoSpaceDN w:val="0"/>
        <w:spacing w:line="360" w:lineRule="auto"/>
        <w:rPr>
          <w:rFonts w:ascii="宋体" w:hAnsi="宋体" w:cs="宋体"/>
          <w:b/>
          <w:bCs/>
          <w:color w:val="000000"/>
          <w:kern w:val="0"/>
          <w:sz w:val="24"/>
          <w:szCs w:val="24"/>
        </w:rPr>
      </w:pPr>
      <w:r>
        <w:rPr>
          <w:rFonts w:hint="eastAsia" w:ascii="宋体" w:hAnsi="宋体" w:cs="宋体"/>
          <w:b/>
          <w:bCs/>
          <w:color w:val="000000"/>
          <w:kern w:val="0"/>
          <w:sz w:val="24"/>
          <w:szCs w:val="24"/>
        </w:rPr>
        <w:t>项目编号：</w:t>
      </w:r>
    </w:p>
    <w:p>
      <w:pPr>
        <w:autoSpaceDE w:val="0"/>
        <w:autoSpaceDN w:val="0"/>
        <w:spacing w:line="360" w:lineRule="auto"/>
        <w:rPr>
          <w:rFonts w:ascii="宋体" w:hAnsi="宋体" w:cs="宋体"/>
          <w:b/>
          <w:bCs/>
          <w:color w:val="000000"/>
          <w:kern w:val="0"/>
          <w:sz w:val="24"/>
          <w:szCs w:val="24"/>
          <w:lang w:val="zh-CN"/>
        </w:rPr>
      </w:pPr>
      <w:r>
        <w:rPr>
          <w:rFonts w:hint="eastAsia" w:ascii="宋体" w:hAnsi="宋体" w:cs="宋体"/>
          <w:b/>
          <w:bCs/>
          <w:color w:val="000000"/>
          <w:kern w:val="0"/>
          <w:sz w:val="24"/>
          <w:szCs w:val="24"/>
        </w:rPr>
        <w:t xml:space="preserve">投标包号：        </w:t>
      </w:r>
    </w:p>
    <w:tbl>
      <w:tblPr>
        <w:tblStyle w:val="22"/>
        <w:tblW w:w="8617" w:type="dxa"/>
        <w:jc w:val="center"/>
        <w:tblLayout w:type="fixed"/>
        <w:tblCellMar>
          <w:top w:w="0" w:type="dxa"/>
          <w:left w:w="28" w:type="dxa"/>
          <w:bottom w:w="0" w:type="dxa"/>
          <w:right w:w="28" w:type="dxa"/>
        </w:tblCellMar>
      </w:tblPr>
      <w:tblGrid>
        <w:gridCol w:w="616"/>
        <w:gridCol w:w="1233"/>
        <w:gridCol w:w="2378"/>
        <w:gridCol w:w="1321"/>
        <w:gridCol w:w="2393"/>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技术参数及配置</w:t>
            </w: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名称</w:t>
            </w:r>
          </w:p>
        </w:tc>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sz w:val="24"/>
                <w:szCs w:val="24"/>
                <w:lang w:val="zh-CN"/>
              </w:rPr>
            </w:pPr>
          </w:p>
        </w:tc>
      </w:tr>
    </w:tbl>
    <w:p>
      <w:pPr>
        <w:autoSpaceDE w:val="0"/>
        <w:autoSpaceDN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注：1.本表应按照每包“项目概况及技术参数”中产品序号的指标逐项填写，不得遗漏，</w:t>
      </w:r>
      <w:r>
        <w:rPr>
          <w:rFonts w:hint="eastAsia" w:ascii="宋体" w:hAnsi="宋体"/>
          <w:color w:val="000000"/>
          <w:sz w:val="24"/>
          <w:szCs w:val="24"/>
        </w:rPr>
        <w:t>否则</w:t>
      </w:r>
      <w:r>
        <w:rPr>
          <w:rFonts w:hint="eastAsia" w:ascii="宋体" w:hAnsi="宋体"/>
          <w:color w:val="000000"/>
          <w:kern w:val="0"/>
          <w:sz w:val="24"/>
          <w:szCs w:val="24"/>
        </w:rPr>
        <w:t>，按无效投标处理</w:t>
      </w:r>
      <w:r>
        <w:rPr>
          <w:rFonts w:hint="eastAsia" w:ascii="宋体" w:hAnsi="宋体"/>
          <w:color w:val="000000"/>
          <w:sz w:val="24"/>
          <w:szCs w:val="24"/>
        </w:rPr>
        <w:t>。</w:t>
      </w:r>
    </w:p>
    <w:p>
      <w:pPr>
        <w:numPr>
          <w:ilvl w:val="0"/>
          <w:numId w:val="8"/>
        </w:numPr>
        <w:autoSpaceDE w:val="0"/>
        <w:autoSpaceDN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若在评标环节发现该项与投标文件中提供的证明材料的实质性响应情况不一致或直接复制招标文件“采购需求技术参数、指标”内容的，按无效投标处理。</w:t>
      </w:r>
    </w:p>
    <w:p>
      <w:pPr>
        <w:numPr>
          <w:ilvl w:val="0"/>
          <w:numId w:val="8"/>
        </w:numPr>
        <w:autoSpaceDE w:val="0"/>
        <w:autoSpaceDN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填写此表时以招标项目参数要求为基本投标要求，满足招标项目参数要求的指标需列出“</w:t>
      </w:r>
      <w:r>
        <w:rPr>
          <w:rFonts w:hint="eastAsia" w:ascii="宋体" w:hAnsi="宋体" w:cs="宋体"/>
          <w:color w:val="000000"/>
          <w:kern w:val="0"/>
          <w:sz w:val="24"/>
          <w:szCs w:val="24"/>
        </w:rPr>
        <w:t>0</w:t>
      </w:r>
      <w:r>
        <w:rPr>
          <w:rFonts w:hint="eastAsia" w:ascii="宋体" w:hAnsi="宋体" w:cs="宋体"/>
          <w:color w:val="000000"/>
          <w:kern w:val="0"/>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rPr>
        <w:t>4</w:t>
      </w:r>
      <w:r>
        <w:rPr>
          <w:rFonts w:hint="eastAsia" w:ascii="宋体" w:hAnsi="宋体" w:cs="宋体"/>
          <w:color w:val="000000"/>
          <w:kern w:val="0"/>
          <w:sz w:val="24"/>
          <w:szCs w:val="24"/>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rPr>
          <w:rFonts w:ascii="宋体" w:hAnsi="宋体" w:cs="宋体"/>
          <w:color w:val="000000"/>
          <w:kern w:val="0"/>
          <w:sz w:val="24"/>
          <w:szCs w:val="24"/>
          <w:lang w:val="zh-CN"/>
        </w:rPr>
      </w:pPr>
    </w:p>
    <w:p>
      <w:pPr>
        <w:autoSpaceDE w:val="0"/>
        <w:autoSpaceDN w:val="0"/>
        <w:spacing w:line="360" w:lineRule="auto"/>
        <w:jc w:val="right"/>
        <w:rPr>
          <w:rFonts w:ascii="宋体" w:hAnsi="宋体" w:cs="宋体"/>
          <w:b/>
          <w:bCs/>
          <w:color w:val="000000"/>
          <w:kern w:val="0"/>
          <w:sz w:val="24"/>
          <w:szCs w:val="24"/>
          <w:lang w:val="zh-CN"/>
        </w:rPr>
      </w:pPr>
      <w:r>
        <w:rPr>
          <w:rFonts w:hint="eastAsia" w:ascii="宋体" w:hAnsi="宋体" w:cs="宋体"/>
          <w:b/>
          <w:bCs/>
          <w:color w:val="000000"/>
          <w:kern w:val="0"/>
          <w:sz w:val="24"/>
          <w:szCs w:val="24"/>
          <w:lang w:val="zh-CN"/>
        </w:rPr>
        <w:t xml:space="preserve">投标人：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（公章）</w:t>
      </w:r>
    </w:p>
    <w:p>
      <w:pPr>
        <w:autoSpaceDE w:val="0"/>
        <w:autoSpaceDN w:val="0"/>
        <w:spacing w:line="360" w:lineRule="auto"/>
        <w:jc w:val="right"/>
        <w:rPr>
          <w:rFonts w:ascii="宋体" w:hAnsi="宋体" w:cs="宋体"/>
          <w:b/>
          <w:bCs/>
          <w:color w:val="000000"/>
          <w:kern w:val="0"/>
          <w:sz w:val="24"/>
          <w:szCs w:val="24"/>
          <w:lang w:val="zh-CN"/>
        </w:rPr>
      </w:pPr>
      <w:r>
        <w:rPr>
          <w:rFonts w:hint="eastAsia" w:ascii="宋体" w:hAnsi="宋体" w:cs="宋体"/>
          <w:b/>
          <w:bCs/>
          <w:color w:val="000000"/>
          <w:kern w:val="0"/>
          <w:sz w:val="24"/>
          <w:szCs w:val="24"/>
          <w:lang w:val="zh-CN"/>
        </w:rPr>
        <w:t>法定代表人或委托代理人：        （签字或盖章）</w:t>
      </w:r>
    </w:p>
    <w:p>
      <w:pPr>
        <w:autoSpaceDE w:val="0"/>
        <w:autoSpaceDN w:val="0"/>
        <w:spacing w:line="360" w:lineRule="auto"/>
        <w:ind w:firstLine="3253"/>
        <w:jc w:val="right"/>
        <w:rPr>
          <w:rFonts w:ascii="宋体" w:hAnsi="宋体" w:cs="宋体"/>
          <w:b/>
          <w:bCs/>
          <w:color w:val="000000"/>
          <w:kern w:val="0"/>
          <w:sz w:val="24"/>
          <w:szCs w:val="24"/>
          <w:lang w:val="zh-CN"/>
        </w:rPr>
      </w:pPr>
    </w:p>
    <w:p>
      <w:pPr>
        <w:autoSpaceDE w:val="0"/>
        <w:autoSpaceDN w:val="0"/>
        <w:spacing w:line="360" w:lineRule="auto"/>
        <w:ind w:firstLine="3253"/>
        <w:jc w:val="right"/>
        <w:rPr>
          <w:rFonts w:ascii="宋体" w:hAnsi="宋体" w:cs="宋体"/>
          <w:b/>
          <w:bCs/>
          <w:color w:val="000000"/>
          <w:kern w:val="0"/>
          <w:sz w:val="24"/>
          <w:szCs w:val="24"/>
          <w:lang w:val="zh-CN"/>
        </w:rPr>
      </w:pPr>
      <w:r>
        <w:rPr>
          <w:rFonts w:hint="eastAsia" w:ascii="宋体" w:hAnsi="宋体" w:cs="宋体"/>
          <w:b/>
          <w:bCs/>
          <w:color w:val="000000"/>
          <w:kern w:val="0"/>
          <w:sz w:val="24"/>
          <w:szCs w:val="24"/>
          <w:lang w:val="zh-CN"/>
        </w:rPr>
        <w:t xml:space="preserve">年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月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日</w:t>
      </w:r>
    </w:p>
    <w:p>
      <w:pPr>
        <w:pStyle w:val="4"/>
        <w:tabs>
          <w:tab w:val="left" w:pos="425"/>
        </w:tabs>
        <w:spacing w:line="360" w:lineRule="auto"/>
        <w:rPr>
          <w:rFonts w:hint="default" w:cs="宋体"/>
        </w:rPr>
      </w:pPr>
      <w:bookmarkStart w:id="497" w:name="_Toc34339322"/>
      <w:bookmarkStart w:id="498" w:name="_Toc26593"/>
      <w:bookmarkStart w:id="499" w:name="_Toc26083"/>
      <w:bookmarkStart w:id="500" w:name="_Toc14290"/>
      <w:r>
        <w:rPr>
          <w:rStyle w:val="34"/>
          <w:b/>
          <w:bCs/>
          <w:lang w:val="zh-CN"/>
        </w:rPr>
        <w:br w:type="page"/>
      </w:r>
      <w:r>
        <w:rPr>
          <w:rStyle w:val="34"/>
          <w:b/>
          <w:bCs/>
          <w:lang w:val="zh-CN"/>
        </w:rPr>
        <w:t>（</w:t>
      </w:r>
      <w:r>
        <w:rPr>
          <w:rStyle w:val="34"/>
          <w:b/>
          <w:bCs/>
        </w:rPr>
        <w:t>15</w:t>
      </w:r>
      <w:r>
        <w:rPr>
          <w:rStyle w:val="34"/>
          <w:b/>
          <w:bCs/>
          <w:lang w:val="zh-CN"/>
        </w:rPr>
        <w:t>）投标产品相关资料</w:t>
      </w:r>
      <w:bookmarkEnd w:id="497"/>
      <w:bookmarkEnd w:id="498"/>
    </w:p>
    <w:p>
      <w:pPr>
        <w:autoSpaceDE w:val="0"/>
        <w:autoSpaceDN w:val="0"/>
        <w:spacing w:line="360" w:lineRule="auto"/>
        <w:jc w:val="center"/>
        <w:outlineLvl w:val="2"/>
        <w:rPr>
          <w:rFonts w:ascii="宋体" w:hAnsi="宋体" w:cs="宋体"/>
          <w:b/>
          <w:bCs/>
          <w:color w:val="000000"/>
          <w:kern w:val="0"/>
          <w:sz w:val="30"/>
          <w:szCs w:val="30"/>
          <w:lang w:val="zh-CN" w:eastAsia="en-US"/>
        </w:rPr>
      </w:pPr>
      <w:bookmarkStart w:id="501" w:name="_Toc24316"/>
      <w:r>
        <w:rPr>
          <w:rFonts w:hint="eastAsia" w:ascii="宋体" w:hAnsi="宋体" w:cs="宋体"/>
          <w:b/>
          <w:bCs/>
          <w:color w:val="000000"/>
          <w:kern w:val="0"/>
          <w:sz w:val="30"/>
          <w:szCs w:val="30"/>
          <w:lang w:val="zh-CN" w:eastAsia="en-US"/>
        </w:rPr>
        <w:t>投标产品相关资料</w:t>
      </w:r>
      <w:bookmarkEnd w:id="501"/>
    </w:p>
    <w:p>
      <w:pPr>
        <w:pStyle w:val="37"/>
        <w:widowControl w:val="0"/>
        <w:autoSpaceDE w:val="0"/>
        <w:autoSpaceDN w:val="0"/>
        <w:adjustRightInd w:val="0"/>
        <w:spacing w:before="0" w:after="0" w:line="360" w:lineRule="auto"/>
        <w:ind w:firstLine="480" w:firstLineChars="200"/>
        <w:jc w:val="left"/>
        <w:rPr>
          <w:rFonts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根据采购项目内容，投标时提供国家认可的权威机构出具的投标产品的产品检验报告或证明技术参数响应的相关资料（或厂家公开发布的资料参数）或相关认证等资料。</w:t>
      </w:r>
    </w:p>
    <w:p>
      <w:pPr>
        <w:pStyle w:val="20"/>
        <w:spacing w:before="0" w:after="0" w:line="360" w:lineRule="auto"/>
        <w:jc w:val="left"/>
        <w:outlineLvl w:val="9"/>
        <w:rPr>
          <w:rFonts w:ascii="宋体" w:hAnsi="宋体" w:cs="宋体"/>
          <w:color w:val="000000"/>
          <w:sz w:val="24"/>
          <w:szCs w:val="24"/>
          <w:lang w:val="zh-CN"/>
        </w:rPr>
      </w:pPr>
    </w:p>
    <w:p>
      <w:pPr>
        <w:spacing w:line="360" w:lineRule="auto"/>
        <w:rPr>
          <w:rFonts w:ascii="宋体" w:hAnsi="宋体" w:cs="宋体"/>
          <w:color w:val="000000"/>
          <w:sz w:val="24"/>
          <w:szCs w:val="24"/>
          <w:lang w:val="zh-CN"/>
        </w:rPr>
      </w:pPr>
    </w:p>
    <w:p>
      <w:pPr>
        <w:spacing w:line="360" w:lineRule="auto"/>
        <w:rPr>
          <w:rFonts w:ascii="宋体" w:hAnsi="宋体" w:cs="宋体"/>
          <w:color w:val="000000"/>
          <w:lang w:val="zh-CN"/>
        </w:rPr>
      </w:pPr>
    </w:p>
    <w:p>
      <w:pPr>
        <w:spacing w:line="360" w:lineRule="auto"/>
        <w:rPr>
          <w:rFonts w:ascii="宋体" w:hAnsi="宋体" w:cs="宋体"/>
          <w:color w:val="000000"/>
          <w:lang w:val="zh-CN"/>
        </w:rPr>
      </w:pPr>
    </w:p>
    <w:p>
      <w:pPr>
        <w:spacing w:line="360" w:lineRule="auto"/>
        <w:rPr>
          <w:rFonts w:ascii="宋体" w:hAnsi="宋体" w:cs="宋体"/>
          <w:color w:val="000000"/>
          <w:lang w:val="zh-CN"/>
        </w:rPr>
      </w:pPr>
    </w:p>
    <w:p>
      <w:pPr>
        <w:spacing w:line="360" w:lineRule="auto"/>
        <w:rPr>
          <w:rFonts w:ascii="宋体" w:hAnsi="宋体" w:cs="宋体"/>
          <w:color w:val="000000"/>
          <w:lang w:val="zh-CN"/>
        </w:rPr>
      </w:pPr>
    </w:p>
    <w:p>
      <w:pPr>
        <w:spacing w:line="360" w:lineRule="auto"/>
        <w:rPr>
          <w:rFonts w:ascii="宋体" w:hAnsi="宋体" w:cs="宋体"/>
          <w:color w:val="000000"/>
          <w:lang w:val="zh-CN"/>
        </w:rPr>
      </w:pPr>
    </w:p>
    <w:p>
      <w:pPr>
        <w:spacing w:line="360" w:lineRule="auto"/>
        <w:rPr>
          <w:rFonts w:ascii="宋体" w:hAnsi="宋体" w:cs="宋体"/>
          <w:color w:val="000000"/>
          <w:lang w:val="zh-CN"/>
        </w:rPr>
      </w:pPr>
    </w:p>
    <w:p>
      <w:pPr>
        <w:spacing w:line="360" w:lineRule="auto"/>
        <w:rPr>
          <w:rFonts w:ascii="宋体" w:hAnsi="宋体" w:cs="宋体"/>
          <w:color w:val="000000"/>
          <w:lang w:val="zh-CN"/>
        </w:rPr>
      </w:pPr>
    </w:p>
    <w:p>
      <w:pPr>
        <w:spacing w:line="360" w:lineRule="auto"/>
        <w:rPr>
          <w:rFonts w:ascii="宋体" w:hAnsi="宋体" w:cs="宋体"/>
          <w:color w:val="000000"/>
          <w:lang w:val="zh-CN"/>
        </w:rPr>
      </w:pPr>
    </w:p>
    <w:p>
      <w:pPr>
        <w:spacing w:line="360" w:lineRule="auto"/>
        <w:rPr>
          <w:rFonts w:ascii="宋体" w:hAnsi="宋体" w:cs="宋体"/>
          <w:color w:val="000000"/>
          <w:lang w:val="zh-CN"/>
        </w:rPr>
      </w:pPr>
    </w:p>
    <w:p>
      <w:pPr>
        <w:spacing w:line="360" w:lineRule="auto"/>
        <w:rPr>
          <w:rFonts w:ascii="宋体" w:hAnsi="宋体" w:cs="宋体"/>
          <w:color w:val="000000"/>
          <w:lang w:val="zh-CN"/>
        </w:rPr>
      </w:pPr>
    </w:p>
    <w:p>
      <w:pPr>
        <w:spacing w:line="360" w:lineRule="auto"/>
        <w:rPr>
          <w:rFonts w:ascii="宋体" w:hAnsi="宋体" w:cs="宋体"/>
          <w:color w:val="000000"/>
          <w:lang w:val="zh-CN"/>
        </w:rPr>
      </w:pPr>
    </w:p>
    <w:p>
      <w:pPr>
        <w:spacing w:line="360" w:lineRule="auto"/>
        <w:rPr>
          <w:rFonts w:ascii="宋体" w:hAnsi="宋体" w:cs="宋体"/>
          <w:color w:val="000000"/>
          <w:lang w:val="zh-CN"/>
        </w:rPr>
      </w:pPr>
    </w:p>
    <w:p>
      <w:pPr>
        <w:spacing w:line="360" w:lineRule="auto"/>
        <w:rPr>
          <w:rFonts w:ascii="宋体" w:hAnsi="宋体" w:cs="宋体"/>
          <w:color w:val="000000"/>
          <w:lang w:val="zh-CN"/>
        </w:rPr>
      </w:pPr>
    </w:p>
    <w:p>
      <w:pPr>
        <w:spacing w:line="360" w:lineRule="auto"/>
        <w:rPr>
          <w:rFonts w:ascii="宋体" w:hAnsi="宋体" w:cs="宋体"/>
          <w:color w:val="000000"/>
          <w:lang w:val="zh-CN"/>
        </w:rPr>
      </w:pPr>
    </w:p>
    <w:p>
      <w:pPr>
        <w:spacing w:line="360" w:lineRule="auto"/>
        <w:rPr>
          <w:rFonts w:ascii="宋体" w:hAnsi="宋体" w:cs="宋体"/>
          <w:color w:val="000000"/>
          <w:lang w:val="zh-CN"/>
        </w:rPr>
      </w:pPr>
    </w:p>
    <w:p>
      <w:pPr>
        <w:spacing w:line="360" w:lineRule="auto"/>
        <w:rPr>
          <w:rFonts w:ascii="宋体" w:hAnsi="宋体" w:cs="宋体"/>
          <w:color w:val="000000"/>
          <w:lang w:val="zh-CN"/>
        </w:rPr>
      </w:pPr>
    </w:p>
    <w:p>
      <w:pPr>
        <w:spacing w:line="360" w:lineRule="auto"/>
        <w:rPr>
          <w:rFonts w:ascii="宋体" w:hAnsi="宋体" w:cs="宋体"/>
          <w:color w:val="000000"/>
          <w:lang w:val="zh-CN"/>
        </w:rPr>
      </w:pPr>
    </w:p>
    <w:p>
      <w:pPr>
        <w:spacing w:line="360" w:lineRule="auto"/>
        <w:rPr>
          <w:rFonts w:ascii="宋体" w:hAnsi="宋体" w:cs="宋体"/>
          <w:color w:val="000000"/>
          <w:lang w:val="zh-CN"/>
        </w:rPr>
      </w:pPr>
    </w:p>
    <w:p>
      <w:pPr>
        <w:spacing w:line="360" w:lineRule="auto"/>
        <w:rPr>
          <w:rFonts w:ascii="宋体" w:hAnsi="宋体" w:cs="宋体"/>
          <w:color w:val="000000"/>
          <w:lang w:val="zh-CN"/>
        </w:rPr>
      </w:pPr>
    </w:p>
    <w:p>
      <w:pPr>
        <w:pStyle w:val="4"/>
        <w:spacing w:line="360" w:lineRule="auto"/>
        <w:rPr>
          <w:rFonts w:hint="default" w:cs="宋体"/>
          <w:color w:val="000000"/>
          <w:sz w:val="30"/>
          <w:szCs w:val="30"/>
          <w:lang w:val="zh-CN"/>
        </w:rPr>
      </w:pPr>
      <w:bookmarkStart w:id="502" w:name="_Toc26906"/>
      <w:bookmarkStart w:id="503" w:name="_Toc25916"/>
      <w:bookmarkStart w:id="504" w:name="_Toc5125"/>
      <w:bookmarkStart w:id="505" w:name="_Toc14937"/>
      <w:bookmarkStart w:id="506" w:name="_Toc29877"/>
      <w:r>
        <w:br w:type="page"/>
      </w:r>
      <w:r>
        <w:t>（16）</w:t>
      </w:r>
      <w:r>
        <w:rPr>
          <w:lang w:val="zh-CN"/>
        </w:rPr>
        <w:t>投标人的类似业绩证明材料</w:t>
      </w:r>
      <w:bookmarkEnd w:id="499"/>
      <w:bookmarkEnd w:id="500"/>
      <w:bookmarkEnd w:id="502"/>
      <w:bookmarkEnd w:id="503"/>
      <w:bookmarkEnd w:id="504"/>
      <w:bookmarkEnd w:id="505"/>
      <w:bookmarkEnd w:id="506"/>
    </w:p>
    <w:p>
      <w:pPr>
        <w:autoSpaceDE w:val="0"/>
        <w:autoSpaceDN w:val="0"/>
        <w:spacing w:line="360" w:lineRule="auto"/>
        <w:jc w:val="center"/>
        <w:outlineLvl w:val="2"/>
        <w:rPr>
          <w:rFonts w:ascii="宋体" w:hAnsi="宋体" w:cs="宋体"/>
          <w:color w:val="000000"/>
          <w:kern w:val="0"/>
          <w:highlight w:val="red"/>
          <w:lang w:val="zh-CN"/>
        </w:rPr>
      </w:pPr>
      <w:bookmarkStart w:id="507" w:name="_Toc30930"/>
      <w:r>
        <w:rPr>
          <w:rFonts w:hint="eastAsia" w:ascii="宋体" w:hAnsi="宋体" w:cs="宋体"/>
          <w:b/>
          <w:bCs/>
          <w:color w:val="000000"/>
          <w:kern w:val="0"/>
          <w:sz w:val="30"/>
          <w:szCs w:val="30"/>
          <w:lang w:val="zh-CN"/>
        </w:rPr>
        <w:t>投标人的类似业绩证明材料</w:t>
      </w:r>
      <w:bookmarkEnd w:id="507"/>
    </w:p>
    <w:p>
      <w:pPr>
        <w:pStyle w:val="20"/>
        <w:spacing w:before="0" w:after="0" w:line="360" w:lineRule="auto"/>
        <w:ind w:firstLine="480" w:firstLineChars="200"/>
        <w:jc w:val="left"/>
        <w:outlineLvl w:val="1"/>
        <w:rPr>
          <w:rStyle w:val="34"/>
          <w:rFonts w:hint="default"/>
          <w:b/>
          <w:lang w:val="zh-CN"/>
        </w:rPr>
      </w:pPr>
      <w:r>
        <w:rPr>
          <w:rFonts w:hint="eastAsia" w:ascii="宋体" w:hAnsi="宋体" w:cs="宋体"/>
          <w:b w:val="0"/>
          <w:bCs w:val="0"/>
          <w:color w:val="000000"/>
          <w:sz w:val="24"/>
          <w:szCs w:val="24"/>
          <w:lang w:val="zh-CN"/>
        </w:rPr>
        <w:t>提供自2019年</w:t>
      </w:r>
      <w:r>
        <w:rPr>
          <w:rFonts w:hint="eastAsia" w:ascii="宋体" w:hAnsi="宋体" w:cs="宋体"/>
          <w:b w:val="0"/>
          <w:bCs w:val="0"/>
          <w:color w:val="000000"/>
          <w:sz w:val="24"/>
          <w:szCs w:val="24"/>
          <w:lang w:val="en-US" w:eastAsia="zh-CN"/>
        </w:rPr>
        <w:t>10</w:t>
      </w:r>
      <w:r>
        <w:rPr>
          <w:rFonts w:hint="eastAsia" w:ascii="宋体" w:hAnsi="宋体" w:cs="宋体"/>
          <w:b w:val="0"/>
          <w:bCs w:val="0"/>
          <w:color w:val="000000"/>
          <w:sz w:val="24"/>
          <w:szCs w:val="24"/>
          <w:lang w:val="zh-CN"/>
        </w:rPr>
        <w:t>月</w:t>
      </w:r>
      <w:r>
        <w:rPr>
          <w:rFonts w:hint="eastAsia" w:ascii="宋体" w:hAnsi="宋体" w:cs="宋体"/>
          <w:b w:val="0"/>
          <w:bCs w:val="0"/>
          <w:color w:val="000000"/>
          <w:sz w:val="24"/>
          <w:szCs w:val="24"/>
          <w:lang w:val="en-US" w:eastAsia="zh-CN"/>
        </w:rPr>
        <w:t>0</w:t>
      </w:r>
      <w:r>
        <w:rPr>
          <w:rFonts w:hint="eastAsia" w:ascii="宋体" w:hAnsi="宋体" w:cs="宋体"/>
          <w:b w:val="0"/>
          <w:bCs w:val="0"/>
          <w:color w:val="000000"/>
          <w:sz w:val="24"/>
          <w:szCs w:val="24"/>
          <w:lang w:val="zh-CN"/>
        </w:rPr>
        <w:t>1日以来的同类业绩证明材料（需提供中标通知书及包含合同首页、标的金额所在页、供货合同签字盖章页）。</w:t>
      </w:r>
      <w:r>
        <w:rPr>
          <w:rFonts w:hint="eastAsia" w:ascii="宋体" w:hAnsi="宋体" w:cs="宋体"/>
          <w:color w:val="000000"/>
          <w:sz w:val="24"/>
          <w:szCs w:val="24"/>
          <w:lang w:val="zh-CN"/>
        </w:rPr>
        <w:br w:type="page"/>
      </w:r>
      <w:bookmarkStart w:id="508" w:name="_Toc10010"/>
      <w:bookmarkStart w:id="509" w:name="_Toc12014"/>
      <w:bookmarkStart w:id="510" w:name="_Toc1506"/>
      <w:bookmarkStart w:id="511" w:name="_Toc6425"/>
      <w:bookmarkStart w:id="512" w:name="_Toc23227"/>
      <w:bookmarkStart w:id="513" w:name="_Toc31017"/>
      <w:bookmarkStart w:id="514" w:name="_Toc46"/>
      <w:r>
        <w:rPr>
          <w:rStyle w:val="34"/>
          <w:rFonts w:hint="default"/>
          <w:b/>
        </w:rPr>
        <w:t>（17.1）</w:t>
      </w:r>
      <w:r>
        <w:rPr>
          <w:rStyle w:val="34"/>
          <w:rFonts w:hint="default"/>
          <w:b/>
          <w:lang w:val="zh-CN"/>
        </w:rPr>
        <w:t>制造（生产）企业小型、微型企业声明函</w:t>
      </w:r>
      <w:bookmarkEnd w:id="508"/>
      <w:bookmarkEnd w:id="509"/>
      <w:bookmarkEnd w:id="510"/>
      <w:bookmarkEnd w:id="511"/>
      <w:bookmarkEnd w:id="512"/>
      <w:bookmarkEnd w:id="513"/>
      <w:bookmarkEnd w:id="514"/>
    </w:p>
    <w:p>
      <w:pPr>
        <w:spacing w:line="360" w:lineRule="auto"/>
        <w:rPr>
          <w:rFonts w:ascii="宋体" w:hAnsi="宋体" w:cs="宋体"/>
          <w:color w:val="000000"/>
          <w:sz w:val="30"/>
          <w:szCs w:val="30"/>
          <w:lang w:val="zh-CN"/>
        </w:rPr>
      </w:pPr>
    </w:p>
    <w:p>
      <w:pPr>
        <w:autoSpaceDE w:val="0"/>
        <w:autoSpaceDN w:val="0"/>
        <w:spacing w:line="360" w:lineRule="auto"/>
        <w:jc w:val="center"/>
        <w:outlineLvl w:val="2"/>
        <w:rPr>
          <w:rFonts w:ascii="宋体" w:hAnsi="宋体" w:cs="宋体"/>
          <w:b/>
          <w:bCs/>
          <w:color w:val="000000"/>
          <w:kern w:val="0"/>
          <w:sz w:val="30"/>
          <w:szCs w:val="30"/>
          <w:lang w:val="zh-CN"/>
        </w:rPr>
      </w:pPr>
      <w:bookmarkStart w:id="515" w:name="_Toc5819"/>
      <w:r>
        <w:rPr>
          <w:rFonts w:hint="eastAsia" w:ascii="宋体" w:hAnsi="宋体" w:cs="宋体"/>
          <w:b/>
          <w:bCs/>
          <w:color w:val="000000"/>
          <w:kern w:val="0"/>
          <w:sz w:val="30"/>
          <w:szCs w:val="30"/>
        </w:rPr>
        <w:t>制造（生产）企业</w:t>
      </w:r>
      <w:r>
        <w:rPr>
          <w:rFonts w:hint="eastAsia" w:ascii="宋体" w:hAnsi="宋体" w:cs="宋体"/>
          <w:b/>
          <w:bCs/>
          <w:color w:val="000000"/>
          <w:kern w:val="0"/>
          <w:sz w:val="30"/>
          <w:szCs w:val="30"/>
          <w:lang w:val="zh-CN"/>
        </w:rPr>
        <w:t>小型、微型企业声明函</w:t>
      </w:r>
      <w:bookmarkEnd w:id="515"/>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致：青海中旭工程项目管理有限公司</w:t>
      </w:r>
    </w:p>
    <w:p>
      <w:pPr>
        <w:spacing w:line="360" w:lineRule="auto"/>
        <w:ind w:firstLine="480"/>
        <w:jc w:val="left"/>
        <w:rPr>
          <w:rFonts w:hint="eastAsia"/>
          <w:color w:val="auto"/>
        </w:rPr>
      </w:pPr>
      <w:r>
        <w:rPr>
          <w:rFonts w:hint="eastAsia"/>
          <w:color w:val="auto"/>
        </w:rPr>
        <w:t>本公司郑重声明， 根据《政府采购促进中小企业发展管理办法》（财库﹝2020﹞46 号）的规定，本公司参加</w:t>
      </w:r>
      <w:r>
        <w:rPr>
          <w:rFonts w:hint="eastAsia"/>
          <w:color w:val="auto"/>
          <w:u w:val="single"/>
        </w:rPr>
        <w:t>（单位名称）</w:t>
      </w:r>
      <w:r>
        <w:rPr>
          <w:rFonts w:hint="eastAsia"/>
          <w:color w:val="auto"/>
        </w:rPr>
        <w:t xml:space="preserve"> 的</w:t>
      </w:r>
      <w:r>
        <w:rPr>
          <w:rFonts w:hint="eastAsia"/>
          <w:color w:val="auto"/>
          <w:u w:val="single"/>
        </w:rPr>
        <w:t xml:space="preserve">（项目名称） </w:t>
      </w:r>
      <w:r>
        <w:rPr>
          <w:rFonts w:hint="eastAsia"/>
          <w:color w:val="auto"/>
        </w:rPr>
        <w:t>采购</w:t>
      </w:r>
      <w:r>
        <w:rPr>
          <w:rFonts w:hint="eastAsia" w:ascii="宋体" w:hAnsi="宋体" w:eastAsia="宋体" w:cs="Times New Roman"/>
          <w:color w:val="auto"/>
        </w:rPr>
        <w:t>活动</w:t>
      </w:r>
      <w:r>
        <w:rPr>
          <w:rFonts w:hint="eastAsia"/>
          <w:color w:val="auto"/>
        </w:rPr>
        <w:t>，提供的货物全部由符合政策要求的中小企业制造。相关企业的具体情况如下：</w:t>
      </w:r>
    </w:p>
    <w:p>
      <w:pPr>
        <w:spacing w:line="360" w:lineRule="auto"/>
        <w:ind w:firstLine="480"/>
        <w:rPr>
          <w:rFonts w:hint="eastAsia"/>
          <w:color w:val="auto"/>
        </w:rPr>
      </w:pPr>
      <w:r>
        <w:rPr>
          <w:rFonts w:hint="eastAsia"/>
          <w:color w:val="auto"/>
        </w:rPr>
        <w:t xml:space="preserve">1. </w:t>
      </w:r>
      <w:r>
        <w:rPr>
          <w:rFonts w:hint="eastAsia"/>
          <w:color w:val="auto"/>
          <w:u w:val="single"/>
        </w:rPr>
        <w:t>（标的名称）</w:t>
      </w:r>
      <w:r>
        <w:rPr>
          <w:rFonts w:hint="eastAsia"/>
          <w:color w:val="auto"/>
        </w:rPr>
        <w:t xml:space="preserve"> ，属于</w:t>
      </w:r>
      <w:r>
        <w:rPr>
          <w:rFonts w:hint="eastAsia"/>
          <w:color w:val="auto"/>
          <w:u w:val="single"/>
        </w:rPr>
        <w:t xml:space="preserve">    （采购文件中明确的所属行业）     </w:t>
      </w:r>
      <w:r>
        <w:rPr>
          <w:rFonts w:hint="eastAsia"/>
          <w:color w:val="auto"/>
        </w:rPr>
        <w:t>行业； 制造商为</w:t>
      </w:r>
      <w:r>
        <w:rPr>
          <w:rFonts w:hint="eastAsia"/>
          <w:color w:val="auto"/>
          <w:u w:val="single"/>
        </w:rPr>
        <w:t>（ 企业名称）</w:t>
      </w:r>
      <w:r>
        <w:rPr>
          <w:rFonts w:hint="eastAsia"/>
          <w:color w:val="auto"/>
        </w:rPr>
        <w:t>， 从业人员</w:t>
      </w:r>
      <w:r>
        <w:rPr>
          <w:rFonts w:hint="eastAsia"/>
          <w:color w:val="auto"/>
          <w:u w:val="single"/>
        </w:rPr>
        <w:t xml:space="preserve">    </w:t>
      </w:r>
      <w:r>
        <w:rPr>
          <w:rFonts w:hint="eastAsia"/>
          <w:color w:val="auto"/>
        </w:rPr>
        <w:t>人， 营业收入为</w:t>
      </w:r>
      <w:r>
        <w:rPr>
          <w:rFonts w:hint="eastAsia"/>
          <w:color w:val="auto"/>
          <w:u w:val="single"/>
        </w:rPr>
        <w:t xml:space="preserve">     </w:t>
      </w:r>
      <w:r>
        <w:rPr>
          <w:rFonts w:hint="eastAsia"/>
          <w:color w:val="auto"/>
        </w:rPr>
        <w:t>万元， 资产总额为</w:t>
      </w:r>
      <w:r>
        <w:rPr>
          <w:rFonts w:hint="eastAsia"/>
          <w:color w:val="auto"/>
          <w:u w:val="single"/>
        </w:rPr>
        <w:t xml:space="preserve">    </w:t>
      </w:r>
      <w:r>
        <w:rPr>
          <w:rFonts w:hint="eastAsia"/>
          <w:color w:val="auto"/>
        </w:rPr>
        <w:t>万元，属于</w:t>
      </w:r>
      <w:r>
        <w:rPr>
          <w:rFonts w:hint="eastAsia"/>
          <w:color w:val="auto"/>
          <w:u w:val="single"/>
        </w:rPr>
        <w:t>（中型企业、 小型企业、 微型企业）</w:t>
      </w:r>
      <w:r>
        <w:rPr>
          <w:rFonts w:hint="eastAsia"/>
          <w:color w:val="auto"/>
        </w:rPr>
        <w:t>；</w:t>
      </w:r>
    </w:p>
    <w:p>
      <w:pPr>
        <w:spacing w:line="360" w:lineRule="auto"/>
        <w:ind w:firstLine="480"/>
        <w:rPr>
          <w:rFonts w:hint="eastAsia"/>
          <w:color w:val="auto"/>
        </w:rPr>
      </w:pPr>
      <w:r>
        <w:rPr>
          <w:rFonts w:hint="eastAsia"/>
          <w:color w:val="auto"/>
        </w:rPr>
        <w:t xml:space="preserve">2. </w:t>
      </w:r>
      <w:r>
        <w:rPr>
          <w:rFonts w:hint="eastAsia"/>
          <w:color w:val="auto"/>
          <w:u w:val="single"/>
        </w:rPr>
        <w:t xml:space="preserve">（标的名称） </w:t>
      </w:r>
      <w:r>
        <w:rPr>
          <w:rFonts w:hint="eastAsia"/>
          <w:color w:val="auto"/>
        </w:rPr>
        <w:t>，属于</w:t>
      </w:r>
      <w:r>
        <w:rPr>
          <w:rFonts w:hint="eastAsia"/>
          <w:color w:val="auto"/>
          <w:u w:val="single"/>
        </w:rPr>
        <w:t xml:space="preserve">  （采购文件中明确的所属行业）    </w:t>
      </w:r>
      <w:r>
        <w:rPr>
          <w:rFonts w:hint="eastAsia"/>
          <w:color w:val="auto"/>
        </w:rPr>
        <w:t>行业； 制造商为</w:t>
      </w:r>
      <w:r>
        <w:rPr>
          <w:rFonts w:hint="eastAsia"/>
          <w:color w:val="auto"/>
          <w:u w:val="single"/>
        </w:rPr>
        <w:t>（ 企业名称）</w:t>
      </w:r>
      <w:r>
        <w:rPr>
          <w:rFonts w:hint="eastAsia"/>
          <w:color w:val="auto"/>
        </w:rPr>
        <w:t>，从业人员</w:t>
      </w:r>
      <w:r>
        <w:rPr>
          <w:rFonts w:hint="eastAsia"/>
          <w:color w:val="auto"/>
          <w:u w:val="single"/>
        </w:rPr>
        <w:t xml:space="preserve">    </w:t>
      </w:r>
      <w:r>
        <w:rPr>
          <w:rFonts w:hint="eastAsia"/>
          <w:color w:val="auto"/>
        </w:rPr>
        <w:t>人， 营业收入为</w:t>
      </w:r>
      <w:r>
        <w:rPr>
          <w:rFonts w:hint="eastAsia"/>
          <w:color w:val="auto"/>
          <w:u w:val="single"/>
        </w:rPr>
        <w:t xml:space="preserve">    </w:t>
      </w:r>
      <w:r>
        <w:rPr>
          <w:rFonts w:hint="eastAsia"/>
          <w:color w:val="auto"/>
        </w:rPr>
        <w:t>万元， 资产总额为</w:t>
      </w:r>
      <w:r>
        <w:rPr>
          <w:rFonts w:hint="eastAsia"/>
          <w:color w:val="auto"/>
          <w:u w:val="single"/>
        </w:rPr>
        <w:t xml:space="preserve">    </w:t>
      </w:r>
      <w:r>
        <w:rPr>
          <w:rFonts w:hint="eastAsia"/>
          <w:color w:val="auto"/>
        </w:rPr>
        <w:t>万元，属于</w:t>
      </w:r>
      <w:r>
        <w:rPr>
          <w:rFonts w:hint="eastAsia"/>
          <w:color w:val="auto"/>
          <w:u w:val="single"/>
        </w:rPr>
        <w:t>（中型企业、 小型企业、 微型企业）</w:t>
      </w:r>
      <w:r>
        <w:rPr>
          <w:rFonts w:hint="eastAsia"/>
          <w:color w:val="auto"/>
        </w:rPr>
        <w:t>；</w:t>
      </w:r>
    </w:p>
    <w:p>
      <w:pPr>
        <w:spacing w:line="360" w:lineRule="auto"/>
        <w:ind w:firstLine="480"/>
        <w:rPr>
          <w:rFonts w:hint="eastAsia"/>
          <w:color w:val="auto"/>
        </w:rPr>
      </w:pPr>
      <w:r>
        <w:rPr>
          <w:rFonts w:hint="eastAsia"/>
          <w:color w:val="auto"/>
        </w:rPr>
        <w:t>……</w:t>
      </w:r>
    </w:p>
    <w:p>
      <w:pPr>
        <w:spacing w:line="360" w:lineRule="auto"/>
        <w:ind w:firstLine="480"/>
        <w:rPr>
          <w:rFonts w:hint="eastAsia"/>
          <w:color w:val="auto"/>
        </w:rPr>
      </w:pPr>
      <w:r>
        <w:rPr>
          <w:rFonts w:hint="eastAsia"/>
          <w:color w:val="auto"/>
        </w:rPr>
        <w:t>以上企业，不属于大企业的分支机构， 不存在控股股东为大企业的情形， 也不存在与大企业的负责人为同一人的情形。</w:t>
      </w:r>
    </w:p>
    <w:p>
      <w:pPr>
        <w:spacing w:line="360" w:lineRule="auto"/>
        <w:ind w:firstLine="480"/>
        <w:rPr>
          <w:rFonts w:hint="eastAsia"/>
          <w:color w:val="auto"/>
        </w:rPr>
      </w:pPr>
      <w:r>
        <w:rPr>
          <w:rFonts w:hint="eastAsia"/>
          <w:color w:val="auto"/>
        </w:rPr>
        <w:t>本企业对上述声明内容的真实性负责。 如有虚假， 将依法承担相应责任。</w:t>
      </w:r>
    </w:p>
    <w:p>
      <w:pPr>
        <w:spacing w:line="360" w:lineRule="auto"/>
        <w:ind w:firstLine="480"/>
        <w:rPr>
          <w:rFonts w:hint="eastAsia"/>
          <w:color w:val="auto"/>
        </w:rPr>
      </w:pPr>
    </w:p>
    <w:p>
      <w:pPr>
        <w:spacing w:line="360" w:lineRule="auto"/>
        <w:ind w:firstLine="0" w:firstLineChars="0"/>
        <w:rPr>
          <w:rFonts w:hint="eastAsia"/>
          <w:color w:val="auto"/>
        </w:rPr>
      </w:pPr>
      <w:r>
        <w:rPr>
          <w:rFonts w:hint="eastAsia"/>
          <w:color w:val="auto"/>
        </w:rPr>
        <w:t>注：1、从业人员、营业收入、资产总额填报上一年度数据，无上一年度数据的新成立企业可不填报。</w:t>
      </w:r>
    </w:p>
    <w:p>
      <w:pPr>
        <w:numPr>
          <w:ilvl w:val="0"/>
          <w:numId w:val="9"/>
        </w:numPr>
        <w:spacing w:line="360" w:lineRule="auto"/>
        <w:ind w:firstLine="480" w:firstLineChars="200"/>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 xml:space="preserve">中标供应商享受《政府采购促进中小企业发展管理办法》规定的中小企业扶持政策的，采购代理机构应当随中标结果公开中标供应商的《中小企业声明函》。 </w:t>
      </w:r>
    </w:p>
    <w:p>
      <w:pPr>
        <w:numPr>
          <w:ilvl w:val="0"/>
          <w:numId w:val="9"/>
        </w:numPr>
        <w:spacing w:line="360" w:lineRule="auto"/>
        <w:ind w:firstLine="480" w:firstLineChars="200"/>
        <w:rPr>
          <w:rFonts w:ascii="宋体" w:hAnsi="宋体" w:cs="宋体"/>
          <w:color w:val="000000"/>
          <w:kern w:val="0"/>
          <w:lang w:val="zh-CN"/>
        </w:rPr>
      </w:pPr>
      <w:r>
        <w:rPr>
          <w:rFonts w:hint="eastAsia" w:ascii="Times New Roman" w:hAnsi="Times New Roman" w:eastAsia="宋体" w:cs="Times New Roman"/>
          <w:color w:val="auto"/>
          <w:kern w:val="2"/>
          <w:sz w:val="24"/>
          <w:szCs w:val="24"/>
          <w:lang w:val="en-US" w:eastAsia="zh-CN" w:bidi="ar-SA"/>
        </w:rPr>
        <w:t>若无此项内容，可不提供此函。</w:t>
      </w:r>
    </w:p>
    <w:p>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djustRightInd w:val="0"/>
        <w:snapToGrid w:val="0"/>
        <w:spacing w:line="360" w:lineRule="auto"/>
        <w:ind w:left="6960" w:hanging="6960" w:hangingChars="2900"/>
        <w:rPr>
          <w:rFonts w:ascii="宋体" w:hAnsi="宋体" w:cs="宋体"/>
          <w:b/>
          <w:bCs/>
          <w:color w:val="000000"/>
          <w:kern w:val="0"/>
          <w:sz w:val="30"/>
          <w:szCs w:val="30"/>
          <w:lang w:val="zh-CN"/>
        </w:rPr>
      </w:pPr>
      <w:bookmarkStart w:id="553" w:name="_GoBack"/>
      <w:bookmarkEnd w:id="553"/>
      <w:r>
        <w:rPr>
          <w:rFonts w:hint="eastAsia" w:ascii="宋体" w:hAnsi="宋体" w:cs="宋体"/>
          <w:color w:val="000000"/>
          <w:lang w:val="zh-CN"/>
        </w:rPr>
        <w:br w:type="page"/>
      </w:r>
      <w:bookmarkStart w:id="516" w:name="_Toc15558"/>
      <w:bookmarkStart w:id="517" w:name="_Toc10775"/>
      <w:bookmarkStart w:id="518" w:name="_Toc3159"/>
      <w:bookmarkStart w:id="519" w:name="_Toc11134"/>
      <w:bookmarkStart w:id="520" w:name="_Toc8343"/>
      <w:bookmarkStart w:id="521" w:name="_Toc26473"/>
      <w:bookmarkStart w:id="522" w:name="_Toc743"/>
      <w:r>
        <w:rPr>
          <w:rStyle w:val="34"/>
          <w:rFonts w:hint="default"/>
          <w:bCs/>
          <w:lang w:val="zh-CN"/>
        </w:rPr>
        <w:t>（</w:t>
      </w:r>
      <w:r>
        <w:rPr>
          <w:rStyle w:val="34"/>
          <w:rFonts w:hint="default"/>
          <w:bCs/>
        </w:rPr>
        <w:t>17.2</w:t>
      </w:r>
      <w:r>
        <w:rPr>
          <w:rStyle w:val="34"/>
          <w:rFonts w:hint="default"/>
          <w:bCs/>
          <w:lang w:val="zh-CN"/>
        </w:rPr>
        <w:t>）</w:t>
      </w:r>
      <w:bookmarkEnd w:id="516"/>
      <w:r>
        <w:rPr>
          <w:rStyle w:val="34"/>
          <w:rFonts w:hint="default"/>
          <w:bCs/>
          <w:lang w:val="zh-CN"/>
        </w:rPr>
        <w:t>监狱企业证明资料</w:t>
      </w:r>
    </w:p>
    <w:p>
      <w:pPr>
        <w:autoSpaceDE w:val="0"/>
        <w:autoSpaceDN w:val="0"/>
        <w:spacing w:line="360" w:lineRule="auto"/>
        <w:jc w:val="center"/>
        <w:outlineLvl w:val="9"/>
        <w:rPr>
          <w:rFonts w:hint="eastAsia" w:ascii="宋体" w:hAnsi="宋体" w:cs="宋体"/>
          <w:b/>
          <w:bCs/>
          <w:color w:val="000000"/>
          <w:kern w:val="0"/>
          <w:sz w:val="30"/>
          <w:szCs w:val="30"/>
        </w:rPr>
      </w:pPr>
    </w:p>
    <w:p>
      <w:pPr>
        <w:autoSpaceDE w:val="0"/>
        <w:autoSpaceDN w:val="0"/>
        <w:spacing w:line="360" w:lineRule="auto"/>
        <w:jc w:val="center"/>
        <w:outlineLvl w:val="2"/>
        <w:rPr>
          <w:rFonts w:hint="eastAsia" w:ascii="宋体" w:hAnsi="宋体" w:cs="宋体"/>
          <w:b/>
          <w:bCs/>
          <w:color w:val="000000"/>
          <w:kern w:val="0"/>
          <w:sz w:val="30"/>
          <w:szCs w:val="30"/>
        </w:rPr>
      </w:pPr>
      <w:r>
        <w:rPr>
          <w:rFonts w:hint="eastAsia" w:ascii="宋体" w:hAnsi="宋体" w:cs="宋体"/>
          <w:b/>
          <w:bCs/>
          <w:color w:val="000000"/>
          <w:kern w:val="0"/>
          <w:sz w:val="30"/>
          <w:szCs w:val="30"/>
        </w:rPr>
        <w:t>监狱企业证明资料</w:t>
      </w:r>
    </w:p>
    <w:p>
      <w:pPr>
        <w:adjustRightInd w:val="0"/>
        <w:snapToGrid w:val="0"/>
        <w:spacing w:line="440" w:lineRule="exact"/>
        <w:ind w:left="6987" w:hanging="6987" w:hangingChars="2900"/>
        <w:rPr>
          <w:rFonts w:hint="eastAsia" w:ascii="宋体" w:hAnsi="宋体" w:cs="宋体"/>
          <w:b/>
          <w:bCs/>
          <w:color w:val="auto"/>
          <w:kern w:val="0"/>
          <w:highlight w:val="none"/>
          <w:lang w:val="zh-CN"/>
        </w:rPr>
      </w:pPr>
    </w:p>
    <w:p>
      <w:pPr>
        <w:adjustRightInd w:val="0"/>
        <w:snapToGrid w:val="0"/>
        <w:spacing w:line="440" w:lineRule="exact"/>
        <w:ind w:left="6987" w:hanging="6987" w:hangingChars="2900"/>
        <w:rPr>
          <w:rFonts w:hint="eastAsia" w:ascii="宋体" w:hAnsi="宋体" w:cs="宋体"/>
          <w:color w:val="auto"/>
          <w:sz w:val="24"/>
          <w:szCs w:val="32"/>
          <w:highlight w:val="none"/>
        </w:rPr>
      </w:pPr>
      <w:r>
        <w:rPr>
          <w:rFonts w:hint="eastAsia" w:ascii="宋体" w:hAnsi="宋体" w:cs="宋体"/>
          <w:b/>
          <w:bCs/>
          <w:color w:val="auto"/>
          <w:kern w:val="0"/>
          <w:sz w:val="24"/>
          <w:szCs w:val="32"/>
          <w:highlight w:val="none"/>
          <w:lang w:val="zh-CN"/>
        </w:rPr>
        <w:t>致：</w:t>
      </w:r>
      <w:r>
        <w:rPr>
          <w:rFonts w:hint="eastAsia" w:ascii="宋体" w:hAnsi="宋体"/>
          <w:b/>
          <w:bCs/>
          <w:color w:val="auto"/>
          <w:lang w:eastAsia="zh-CN"/>
        </w:rPr>
        <w:t>青海中旭工程项目管理有限公司</w:t>
      </w:r>
    </w:p>
    <w:p>
      <w:pPr>
        <w:adjustRightInd w:val="0"/>
        <w:snapToGrid w:val="0"/>
        <w:spacing w:line="560" w:lineRule="exact"/>
        <w:ind w:firstLine="504"/>
        <w:rPr>
          <w:rFonts w:hint="eastAsia" w:ascii="宋体" w:cs="仿宋_GB2312"/>
          <w:color w:val="auto"/>
          <w:sz w:val="24"/>
          <w:szCs w:val="32"/>
        </w:rPr>
      </w:pPr>
      <w:r>
        <w:rPr>
          <w:rFonts w:hint="eastAsia" w:ascii="宋体" w:cs="仿宋_GB2312"/>
          <w:bCs/>
          <w:color w:val="auto"/>
          <w:spacing w:val="6"/>
          <w:sz w:val="24"/>
          <w:szCs w:val="32"/>
        </w:rPr>
        <w:t>备注：</w:t>
      </w:r>
      <w:r>
        <w:rPr>
          <w:rFonts w:hint="eastAsia" w:ascii="宋体" w:cs="仿宋_GB2312"/>
          <w:color w:val="auto"/>
          <w:sz w:val="24"/>
          <w:szCs w:val="32"/>
        </w:rPr>
        <w:t>按</w:t>
      </w:r>
      <w:r>
        <w:rPr>
          <w:rFonts w:hint="eastAsia" w:ascii="宋体" w:cs="仿宋_GB2312"/>
          <w:color w:val="auto"/>
          <w:spacing w:val="6"/>
          <w:sz w:val="24"/>
          <w:szCs w:val="32"/>
        </w:rPr>
        <w:t>《</w:t>
      </w:r>
      <w:r>
        <w:rPr>
          <w:rFonts w:hint="eastAsia" w:ascii="宋体" w:cs="仿宋_GB2312"/>
          <w:color w:val="auto"/>
          <w:sz w:val="24"/>
          <w:szCs w:val="32"/>
        </w:rPr>
        <w:t>财政部 司法部关于政府采购支持监狱企业发展有关问题的通知</w:t>
      </w:r>
      <w:r>
        <w:rPr>
          <w:rFonts w:hint="eastAsia" w:ascii="宋体" w:cs="仿宋_GB2312"/>
          <w:color w:val="auto"/>
          <w:spacing w:val="6"/>
          <w:sz w:val="24"/>
          <w:szCs w:val="32"/>
        </w:rPr>
        <w:t>》</w:t>
      </w:r>
      <w:r>
        <w:rPr>
          <w:rFonts w:hint="eastAsia" w:ascii="宋体" w:cs="仿宋_GB2312"/>
          <w:color w:val="auto"/>
          <w:sz w:val="24"/>
          <w:szCs w:val="32"/>
        </w:rPr>
        <w:t>(财库〔2014〕68号)文件规定提供证明文件（复印件）。</w:t>
      </w:r>
    </w:p>
    <w:p>
      <w:pPr>
        <w:adjustRightInd w:val="0"/>
        <w:snapToGrid w:val="0"/>
        <w:spacing w:line="560" w:lineRule="exact"/>
        <w:ind w:firstLine="480"/>
        <w:rPr>
          <w:rFonts w:hint="eastAsia" w:ascii="宋体" w:cs="仿宋_GB2312"/>
          <w:color w:val="auto"/>
          <w:sz w:val="24"/>
          <w:szCs w:val="32"/>
        </w:rPr>
      </w:pPr>
    </w:p>
    <w:p>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注：若无此项内容，可不提供。</w:t>
      </w:r>
    </w:p>
    <w:p>
      <w:pPr>
        <w:adjustRightInd w:val="0"/>
        <w:snapToGrid w:val="0"/>
        <w:spacing w:line="560" w:lineRule="exact"/>
        <w:ind w:firstLine="480"/>
        <w:rPr>
          <w:rFonts w:hint="eastAsia" w:ascii="宋体" w:cs="仿宋_GB2312"/>
          <w:color w:val="auto"/>
          <w:sz w:val="24"/>
          <w:szCs w:val="32"/>
        </w:rPr>
      </w:pPr>
    </w:p>
    <w:p>
      <w:pPr>
        <w:spacing w:line="360" w:lineRule="auto"/>
        <w:ind w:right="480" w:firstLine="0" w:firstLineChars="0"/>
        <w:jc w:val="right"/>
        <w:rPr>
          <w:rFonts w:hint="eastAsia" w:ascii="宋体" w:hAnsi="宋体"/>
          <w:b/>
          <w:color w:val="auto"/>
        </w:rPr>
      </w:pPr>
      <w:r>
        <w:rPr>
          <w:rFonts w:hint="eastAsia" w:ascii="宋体" w:cs="仿宋_GB2312"/>
          <w:bCs/>
          <w:color w:val="auto"/>
          <w:sz w:val="24"/>
          <w:szCs w:val="32"/>
        </w:rPr>
        <w:t xml:space="preserve">                </w:t>
      </w:r>
      <w:r>
        <w:rPr>
          <w:rFonts w:hint="eastAsia" w:ascii="宋体" w:hAnsi="宋体"/>
          <w:b/>
          <w:color w:val="auto"/>
        </w:rPr>
        <w:t>企业名称：</w:t>
      </w:r>
      <w:r>
        <w:rPr>
          <w:rFonts w:hint="eastAsia" w:ascii="仿宋_GB2312" w:eastAsia="仿宋_GB2312" w:cs="宋体"/>
          <w:color w:val="auto"/>
          <w:kern w:val="0"/>
          <w:sz w:val="28"/>
          <w:szCs w:val="28"/>
          <w:u w:val="single"/>
        </w:rPr>
        <w:t xml:space="preserve">       </w:t>
      </w:r>
      <w:r>
        <w:rPr>
          <w:rFonts w:hint="eastAsia" w:ascii="宋体" w:hAnsi="宋体"/>
          <w:b/>
          <w:color w:val="auto"/>
        </w:rPr>
        <w:t>（公章）</w:t>
      </w:r>
    </w:p>
    <w:p>
      <w:pPr>
        <w:spacing w:line="360" w:lineRule="auto"/>
        <w:ind w:firstLine="482"/>
        <w:jc w:val="right"/>
        <w:rPr>
          <w:rFonts w:ascii="宋体" w:hAnsi="宋体"/>
          <w:b/>
          <w:color w:val="auto"/>
        </w:rPr>
      </w:pPr>
      <w:r>
        <w:rPr>
          <w:rFonts w:hint="eastAsia" w:ascii="宋体" w:hAnsi="宋体"/>
          <w:b/>
          <w:color w:val="auto"/>
        </w:rPr>
        <w:t>企业法定代表人：</w:t>
      </w:r>
      <w:r>
        <w:rPr>
          <w:rFonts w:hint="eastAsia" w:ascii="仿宋_GB2312" w:eastAsia="仿宋_GB2312" w:cs="宋体"/>
          <w:color w:val="auto"/>
          <w:kern w:val="0"/>
          <w:sz w:val="28"/>
          <w:szCs w:val="28"/>
          <w:u w:val="single"/>
        </w:rPr>
        <w:t xml:space="preserve">       </w:t>
      </w:r>
      <w:r>
        <w:rPr>
          <w:rFonts w:hint="eastAsia" w:ascii="宋体" w:hAnsi="宋体"/>
          <w:b/>
          <w:color w:val="auto"/>
        </w:rPr>
        <w:t>（签字或盖章）</w:t>
      </w:r>
    </w:p>
    <w:p>
      <w:pPr>
        <w:autoSpaceDE w:val="0"/>
        <w:autoSpaceDN w:val="0"/>
        <w:spacing w:line="360" w:lineRule="auto"/>
        <w:jc w:val="center"/>
        <w:rPr>
          <w:rFonts w:hint="eastAsia" w:ascii="宋体" w:hAnsi="宋体" w:cs="宋体"/>
          <w:b/>
          <w:bCs/>
          <w:color w:val="auto"/>
          <w:kern w:val="0"/>
          <w:highlight w:val="none"/>
          <w:lang w:val="zh-CN"/>
        </w:rPr>
      </w:pPr>
      <w:r>
        <w:rPr>
          <w:rFonts w:hint="eastAsia" w:ascii="宋体" w:hAnsi="宋体"/>
          <w:b/>
          <w:color w:val="auto"/>
          <w:lang w:val="en-US" w:eastAsia="zh-CN"/>
        </w:rPr>
        <w:t xml:space="preserve">                                                 </w:t>
      </w:r>
      <w:r>
        <w:rPr>
          <w:rFonts w:hint="eastAsia" w:ascii="宋体" w:hAnsi="宋体"/>
          <w:b/>
          <w:color w:val="auto"/>
        </w:rPr>
        <w:t>年  月  日</w:t>
      </w:r>
    </w:p>
    <w:p>
      <w:pPr>
        <w:pStyle w:val="20"/>
        <w:spacing w:before="0" w:after="0" w:line="360" w:lineRule="auto"/>
        <w:jc w:val="left"/>
        <w:outlineLvl w:val="1"/>
        <w:rPr>
          <w:rFonts w:hint="eastAsia" w:ascii="宋体" w:hAnsi="宋体" w:cs="宋体"/>
          <w:bCs w:val="0"/>
          <w:color w:val="auto"/>
          <w:sz w:val="28"/>
          <w:szCs w:val="28"/>
          <w:lang w:val="en-US" w:eastAsia="zh-CN"/>
        </w:rPr>
        <w:sectPr>
          <w:footerReference r:id="rId6" w:type="default"/>
          <w:pgSz w:w="11849" w:h="16781"/>
          <w:pgMar w:top="1440" w:right="1417" w:bottom="1440" w:left="1701" w:header="851" w:footer="992" w:gutter="0"/>
          <w:pgNumType w:fmt="decimal"/>
          <w:cols w:space="720" w:num="1"/>
          <w:docGrid w:linePitch="397" w:charSpace="0"/>
        </w:sectPr>
      </w:pPr>
    </w:p>
    <w:p>
      <w:pPr>
        <w:pStyle w:val="20"/>
        <w:spacing w:before="0" w:after="0" w:line="360" w:lineRule="auto"/>
        <w:jc w:val="left"/>
        <w:outlineLvl w:val="1"/>
        <w:rPr>
          <w:rStyle w:val="34"/>
          <w:rFonts w:hint="default"/>
          <w:b/>
        </w:rPr>
      </w:pPr>
      <w:bookmarkStart w:id="523" w:name="_Toc8794"/>
      <w:r>
        <w:rPr>
          <w:rStyle w:val="34"/>
          <w:rFonts w:hint="default"/>
          <w:b/>
          <w:lang w:val="zh-CN"/>
        </w:rPr>
        <w:t>（</w:t>
      </w:r>
      <w:r>
        <w:rPr>
          <w:rStyle w:val="34"/>
          <w:rFonts w:hint="default"/>
          <w:b/>
        </w:rPr>
        <w:t>18</w:t>
      </w:r>
      <w:r>
        <w:rPr>
          <w:rStyle w:val="34"/>
          <w:rFonts w:hint="default"/>
          <w:b/>
          <w:lang w:val="zh-CN"/>
        </w:rPr>
        <w:t>）残疾人</w:t>
      </w:r>
      <w:r>
        <w:rPr>
          <w:rStyle w:val="34"/>
          <w:rFonts w:hint="default"/>
          <w:b/>
        </w:rPr>
        <w:t>福利性单位声明函</w:t>
      </w:r>
      <w:bookmarkEnd w:id="517"/>
      <w:bookmarkEnd w:id="518"/>
      <w:bookmarkEnd w:id="519"/>
      <w:bookmarkEnd w:id="520"/>
      <w:bookmarkEnd w:id="521"/>
      <w:bookmarkEnd w:id="523"/>
    </w:p>
    <w:p>
      <w:pPr>
        <w:spacing w:line="360" w:lineRule="auto"/>
        <w:jc w:val="center"/>
        <w:rPr>
          <w:rFonts w:ascii="宋体" w:hAnsi="宋体" w:cs="宋体"/>
          <w:b/>
          <w:sz w:val="30"/>
          <w:szCs w:val="30"/>
        </w:rPr>
      </w:pPr>
      <w:bookmarkStart w:id="524" w:name="OLE_LINK14"/>
      <w:bookmarkStart w:id="525" w:name="OLE_LINK13"/>
    </w:p>
    <w:p>
      <w:pPr>
        <w:spacing w:line="360" w:lineRule="auto"/>
        <w:jc w:val="center"/>
        <w:outlineLvl w:val="2"/>
        <w:rPr>
          <w:rFonts w:ascii="宋体" w:hAnsi="宋体" w:cs="宋体"/>
          <w:b/>
          <w:sz w:val="30"/>
          <w:szCs w:val="30"/>
        </w:rPr>
      </w:pPr>
      <w:bookmarkStart w:id="526" w:name="_Toc10282"/>
      <w:r>
        <w:rPr>
          <w:rFonts w:hint="eastAsia" w:ascii="宋体" w:hAnsi="宋体" w:cs="宋体"/>
          <w:b/>
          <w:sz w:val="30"/>
          <w:szCs w:val="30"/>
        </w:rPr>
        <w:t>残疾人福利性单位声明函</w:t>
      </w:r>
      <w:bookmarkEnd w:id="526"/>
    </w:p>
    <w:bookmarkEnd w:id="524"/>
    <w:bookmarkEnd w:id="525"/>
    <w:p>
      <w:pPr>
        <w:spacing w:after="156" w:afterLines="50" w:line="360" w:lineRule="auto"/>
        <w:rPr>
          <w:rFonts w:ascii="宋体" w:hAnsi="宋体" w:cs="宋体"/>
          <w:bCs/>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致：青海中旭工程项目管理有限公司</w:t>
      </w: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r>
        <w:rPr>
          <w:rFonts w:hint="eastAsia" w:ascii="宋体" w:hAnsi="宋体" w:cs="宋体"/>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sz w:val="24"/>
          <w:szCs w:val="24"/>
          <w:u w:val="single"/>
        </w:rPr>
        <w:t xml:space="preserve">       </w:t>
      </w:r>
      <w:r>
        <w:rPr>
          <w:rFonts w:hint="eastAsia" w:ascii="宋体" w:hAnsi="宋体" w:cs="宋体"/>
          <w:sz w:val="24"/>
          <w:szCs w:val="24"/>
        </w:rPr>
        <w:t>人，安置的残疾人人数</w:t>
      </w:r>
      <w:r>
        <w:rPr>
          <w:rFonts w:hint="eastAsia" w:ascii="宋体" w:hAnsi="宋体" w:cs="宋体"/>
          <w:sz w:val="24"/>
          <w:szCs w:val="24"/>
          <w:u w:val="single"/>
        </w:rPr>
        <w:t xml:space="preserve">      </w:t>
      </w:r>
      <w:r>
        <w:rPr>
          <w:rFonts w:hint="eastAsia" w:ascii="宋体" w:hAnsi="宋体" w:cs="宋体"/>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sz w:val="24"/>
          <w:szCs w:val="24"/>
        </w:rPr>
      </w:pPr>
      <w:r>
        <w:rPr>
          <w:rFonts w:hint="eastAsia" w:ascii="宋体" w:hAnsi="宋体" w:cs="宋体"/>
          <w:sz w:val="24"/>
          <w:szCs w:val="24"/>
        </w:rPr>
        <w:t>本单位对上述声明的真实性负责。如有虚假，将依法承担相应责任。</w:t>
      </w:r>
    </w:p>
    <w:p>
      <w:pPr>
        <w:spacing w:line="360" w:lineRule="auto"/>
        <w:ind w:firstLine="480"/>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注：若无此项内容，可不提供此函。</w:t>
      </w: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p>
    <w:p>
      <w:pPr>
        <w:spacing w:line="360" w:lineRule="auto"/>
        <w:ind w:firstLine="480"/>
        <w:jc w:val="right"/>
        <w:rPr>
          <w:rFonts w:ascii="宋体" w:hAnsi="宋体" w:cs="宋体"/>
          <w:sz w:val="24"/>
          <w:szCs w:val="24"/>
        </w:rPr>
      </w:pPr>
    </w:p>
    <w:p>
      <w:pPr>
        <w:spacing w:line="360" w:lineRule="auto"/>
        <w:jc w:val="right"/>
        <w:rPr>
          <w:rFonts w:ascii="宋体" w:hAnsi="宋体" w:cs="宋体"/>
          <w:b/>
          <w:sz w:val="24"/>
          <w:szCs w:val="24"/>
        </w:rPr>
      </w:pPr>
      <w:r>
        <w:rPr>
          <w:rFonts w:hint="eastAsia" w:ascii="宋体" w:hAnsi="宋体" w:cs="宋体"/>
          <w:b/>
          <w:sz w:val="24"/>
          <w:szCs w:val="24"/>
        </w:rPr>
        <w:t xml:space="preserve">                                企业名称：</w:t>
      </w:r>
      <w:r>
        <w:rPr>
          <w:rFonts w:hint="eastAsia" w:ascii="宋体" w:hAnsi="宋体" w:cs="宋体"/>
          <w:kern w:val="0"/>
          <w:sz w:val="24"/>
          <w:szCs w:val="24"/>
          <w:u w:val="single"/>
        </w:rPr>
        <w:t xml:space="preserve">       </w:t>
      </w:r>
      <w:r>
        <w:rPr>
          <w:rFonts w:hint="eastAsia" w:ascii="宋体" w:hAnsi="宋体" w:cs="宋体"/>
          <w:b/>
          <w:sz w:val="24"/>
          <w:szCs w:val="24"/>
        </w:rPr>
        <w:t>（公章）</w:t>
      </w:r>
    </w:p>
    <w:p>
      <w:pPr>
        <w:spacing w:line="360" w:lineRule="auto"/>
        <w:ind w:firstLine="482"/>
        <w:jc w:val="right"/>
        <w:rPr>
          <w:rFonts w:ascii="宋体" w:hAnsi="宋体" w:cs="宋体"/>
          <w:b/>
          <w:sz w:val="24"/>
          <w:szCs w:val="24"/>
        </w:rPr>
      </w:pPr>
      <w:r>
        <w:rPr>
          <w:rFonts w:hint="eastAsia" w:ascii="宋体" w:hAnsi="宋体" w:cs="宋体"/>
          <w:b/>
          <w:sz w:val="24"/>
          <w:szCs w:val="24"/>
        </w:rPr>
        <w:t xml:space="preserve">       企业法定代表人：</w:t>
      </w:r>
      <w:r>
        <w:rPr>
          <w:rFonts w:hint="eastAsia" w:ascii="宋体" w:hAnsi="宋体" w:cs="宋体"/>
          <w:kern w:val="0"/>
          <w:sz w:val="24"/>
          <w:szCs w:val="24"/>
          <w:u w:val="single"/>
        </w:rPr>
        <w:t xml:space="preserve">       </w:t>
      </w:r>
      <w:r>
        <w:rPr>
          <w:rFonts w:hint="eastAsia" w:ascii="宋体" w:hAnsi="宋体" w:cs="宋体"/>
          <w:b/>
          <w:sz w:val="24"/>
          <w:szCs w:val="24"/>
        </w:rPr>
        <w:t>（签字或盖章）</w:t>
      </w:r>
    </w:p>
    <w:p>
      <w:pPr>
        <w:spacing w:line="360" w:lineRule="auto"/>
        <w:ind w:firstLine="482"/>
        <w:jc w:val="right"/>
        <w:rPr>
          <w:rFonts w:ascii="宋体" w:hAnsi="宋体" w:cs="宋体"/>
          <w:b/>
          <w:sz w:val="24"/>
          <w:szCs w:val="24"/>
        </w:rPr>
      </w:pPr>
      <w:r>
        <w:rPr>
          <w:rFonts w:hint="eastAsia" w:ascii="宋体" w:hAnsi="宋体" w:cs="宋体"/>
          <w:b/>
          <w:sz w:val="24"/>
          <w:szCs w:val="24"/>
        </w:rPr>
        <w:t xml:space="preserve">              年   月  日</w:t>
      </w:r>
    </w:p>
    <w:p>
      <w:pPr>
        <w:autoSpaceDE w:val="0"/>
        <w:autoSpaceDN w:val="0"/>
        <w:spacing w:line="360" w:lineRule="auto"/>
        <w:jc w:val="right"/>
        <w:rPr>
          <w:rFonts w:ascii="宋体" w:hAnsi="宋体" w:cs="宋体"/>
          <w:color w:val="000000"/>
          <w:sz w:val="24"/>
          <w:szCs w:val="24"/>
          <w:lang w:val="zh-CN"/>
        </w:rPr>
      </w:pPr>
    </w:p>
    <w:p>
      <w:pPr>
        <w:pStyle w:val="4"/>
        <w:spacing w:line="360" w:lineRule="auto"/>
        <w:rPr>
          <w:rFonts w:hint="default"/>
        </w:rPr>
      </w:pPr>
      <w:bookmarkStart w:id="527" w:name="_Toc20852"/>
      <w:bookmarkStart w:id="528" w:name="_Toc1772"/>
      <w:bookmarkStart w:id="529" w:name="_Toc11870"/>
      <w:bookmarkStart w:id="530" w:name="_Toc18409"/>
      <w:bookmarkStart w:id="531" w:name="_Toc2144"/>
      <w:bookmarkStart w:id="532" w:name="_Toc32045"/>
      <w:r>
        <w:rPr>
          <w:sz w:val="24"/>
          <w:szCs w:val="24"/>
        </w:rPr>
        <w:br w:type="page"/>
      </w:r>
      <w:r>
        <w:t>（19）</w:t>
      </w:r>
      <w:r>
        <w:rPr>
          <w:lang w:val="zh-CN"/>
        </w:rPr>
        <w:t>投标人认为在其他方面有必要说明的事项</w:t>
      </w:r>
      <w:bookmarkEnd w:id="522"/>
      <w:bookmarkEnd w:id="527"/>
      <w:bookmarkEnd w:id="528"/>
      <w:bookmarkEnd w:id="529"/>
      <w:bookmarkEnd w:id="530"/>
      <w:bookmarkEnd w:id="531"/>
      <w:bookmarkEnd w:id="532"/>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outlineLvl w:val="1"/>
        <w:rPr>
          <w:rFonts w:ascii="宋体" w:hAnsi="宋体" w:cs="宋体"/>
          <w:b/>
          <w:bCs/>
          <w:color w:val="000000"/>
          <w:kern w:val="0"/>
          <w:sz w:val="36"/>
          <w:szCs w:val="36"/>
          <w:lang w:val="zh-CN"/>
        </w:rPr>
      </w:pPr>
      <w:bookmarkStart w:id="533" w:name="_Toc2279_WPSOffice_Level2"/>
      <w:bookmarkStart w:id="534" w:name="_Toc25536"/>
      <w:r>
        <w:rPr>
          <w:rFonts w:hint="eastAsia" w:ascii="宋体" w:hAnsi="宋体" w:cs="宋体"/>
          <w:b/>
          <w:bCs/>
          <w:color w:val="000000"/>
          <w:kern w:val="0"/>
          <w:sz w:val="28"/>
          <w:szCs w:val="28"/>
          <w:lang w:val="zh-CN"/>
        </w:rPr>
        <w:t>投标人认为在其他方面有必要说明的事项</w:t>
      </w:r>
      <w:bookmarkEnd w:id="533"/>
      <w:bookmarkEnd w:id="534"/>
    </w:p>
    <w:p>
      <w:pPr>
        <w:spacing w:line="360" w:lineRule="auto"/>
        <w:ind w:firstLine="723"/>
        <w:jc w:val="center"/>
        <w:outlineLvl w:val="1"/>
        <w:rPr>
          <w:rFonts w:ascii="宋体" w:hAnsi="宋体"/>
          <w:b/>
          <w:color w:val="000000"/>
          <w:sz w:val="36"/>
          <w:szCs w:val="36"/>
        </w:rPr>
      </w:pPr>
      <w:bookmarkStart w:id="535" w:name="_Toc29795"/>
      <w:bookmarkStart w:id="536" w:name="_Toc22708_WPSOffice_Level2"/>
      <w:r>
        <w:rPr>
          <w:rFonts w:hint="eastAsia" w:ascii="宋体" w:hAnsi="宋体"/>
          <w:b/>
          <w:color w:val="000000"/>
          <w:sz w:val="36"/>
          <w:szCs w:val="36"/>
        </w:rPr>
        <w:t>（格式自定）</w:t>
      </w:r>
      <w:bookmarkEnd w:id="535"/>
      <w:bookmarkEnd w:id="536"/>
    </w:p>
    <w:p>
      <w:pPr>
        <w:pStyle w:val="20"/>
        <w:spacing w:before="0" w:after="0" w:line="360" w:lineRule="auto"/>
        <w:rPr>
          <w:rFonts w:ascii="宋体" w:hAnsi="宋体" w:cs="宋体"/>
          <w:color w:val="000000"/>
        </w:rPr>
      </w:pPr>
      <w:r>
        <w:rPr>
          <w:rFonts w:hint="eastAsia" w:ascii="宋体" w:hAnsi="宋体" w:cs="宋体"/>
          <w:color w:val="000000"/>
          <w:lang w:val="zh-CN"/>
        </w:rPr>
        <w:br w:type="page"/>
      </w:r>
      <w:bookmarkStart w:id="537" w:name="_Toc21970"/>
      <w:bookmarkStart w:id="538" w:name="_Toc15689"/>
      <w:bookmarkStart w:id="539" w:name="_Toc18752"/>
      <w:bookmarkStart w:id="540" w:name="_Toc19160"/>
      <w:bookmarkStart w:id="541" w:name="_Toc23916"/>
      <w:bookmarkStart w:id="542" w:name="_Toc7247"/>
      <w:bookmarkStart w:id="543" w:name="_Toc20976"/>
      <w:r>
        <w:rPr>
          <w:rFonts w:hint="eastAsia" w:ascii="宋体" w:hAnsi="宋体" w:cs="宋体"/>
          <w:color w:val="000000"/>
          <w:szCs w:val="36"/>
          <w:lang w:val="zh-CN"/>
        </w:rPr>
        <w:t>第五部分  采购项目要求及技术参数</w:t>
      </w:r>
      <w:bookmarkEnd w:id="537"/>
      <w:bookmarkEnd w:id="538"/>
      <w:bookmarkEnd w:id="539"/>
      <w:bookmarkEnd w:id="540"/>
      <w:bookmarkEnd w:id="541"/>
      <w:bookmarkEnd w:id="542"/>
      <w:bookmarkEnd w:id="543"/>
    </w:p>
    <w:p>
      <w:pPr>
        <w:spacing w:line="360" w:lineRule="auto"/>
        <w:ind w:left="120" w:leftChars="50" w:right="120" w:rightChars="50" w:firstLine="640" w:firstLineChars="200"/>
        <w:rPr>
          <w:rFonts w:ascii="宋体" w:hAnsi="宋体" w:cs="宋体"/>
          <w:color w:val="000000"/>
          <w:sz w:val="32"/>
          <w:szCs w:val="32"/>
        </w:rPr>
      </w:pPr>
    </w:p>
    <w:p>
      <w:pPr>
        <w:numPr>
          <w:ilvl w:val="0"/>
          <w:numId w:val="10"/>
        </w:numPr>
        <w:spacing w:line="360" w:lineRule="auto"/>
        <w:outlineLvl w:val="1"/>
        <w:rPr>
          <w:lang w:val="zh-CN"/>
        </w:rPr>
      </w:pPr>
      <w:bookmarkStart w:id="544" w:name="_Toc5679"/>
      <w:r>
        <w:rPr>
          <w:rFonts w:hint="eastAsia" w:ascii="宋体" w:hAnsi="宋体" w:cs="宋体"/>
          <w:b/>
          <w:bCs/>
          <w:color w:val="000000"/>
          <w:sz w:val="30"/>
          <w:szCs w:val="30"/>
          <w:lang w:val="zh-CN"/>
        </w:rPr>
        <w:t>采购项目要求</w:t>
      </w:r>
      <w:bookmarkEnd w:id="544"/>
    </w:p>
    <w:p>
      <w:pPr>
        <w:pStyle w:val="20"/>
        <w:spacing w:before="0" w:after="0" w:line="440" w:lineRule="exact"/>
        <w:jc w:val="left"/>
        <w:outlineLvl w:val="1"/>
        <w:rPr>
          <w:rFonts w:ascii="宋体" w:hAnsi="宋体" w:cs="宋体"/>
          <w:color w:val="000000"/>
          <w:lang w:val="zh-CN"/>
        </w:rPr>
      </w:pPr>
      <w:bookmarkStart w:id="545" w:name="_Toc531273369"/>
      <w:bookmarkStart w:id="546" w:name="_Toc4601"/>
      <w:bookmarkStart w:id="547" w:name="_Toc531273371"/>
      <w:bookmarkStart w:id="548" w:name="_Toc18880"/>
      <w:bookmarkStart w:id="549" w:name="_Toc2830"/>
      <w:r>
        <w:rPr>
          <w:rFonts w:hint="eastAsia" w:ascii="宋体" w:hAnsi="宋体" w:cs="宋体"/>
          <w:color w:val="000000"/>
          <w:sz w:val="28"/>
          <w:szCs w:val="28"/>
          <w:lang w:val="zh-CN"/>
        </w:rPr>
        <w:t>1.投标说明</w:t>
      </w:r>
      <w:bookmarkEnd w:id="545"/>
      <w:bookmarkEnd w:id="546"/>
    </w:p>
    <w:p>
      <w:pPr>
        <w:autoSpaceDE w:val="0"/>
        <w:autoSpaceDN w:val="0"/>
        <w:spacing w:line="440" w:lineRule="exact"/>
        <w:ind w:firstLine="48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440" w:lineRule="exact"/>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440" w:lineRule="exact"/>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440" w:lineRule="exact"/>
        <w:ind w:firstLine="480" w:firstLineChars="200"/>
        <w:rPr>
          <w:rFonts w:ascii="宋体" w:hAnsi="宋体" w:cs="宋体"/>
          <w:color w:val="000000"/>
          <w:kern w:val="0"/>
          <w:lang w:val="zh-CN"/>
        </w:rPr>
      </w:pPr>
      <w:r>
        <w:rPr>
          <w:rFonts w:hint="eastAsia" w:ascii="宋体" w:hAnsi="宋体" w:cs="宋体"/>
          <w:color w:val="000000"/>
          <w:kern w:val="0"/>
          <w:lang w:val="zh-CN"/>
        </w:rPr>
        <w:t>1.4 所投产品或其任何一部分不得侵犯专利权、著作权、商标权和工业设计权等知识产权。</w:t>
      </w:r>
    </w:p>
    <w:p>
      <w:pPr>
        <w:autoSpaceDE w:val="0"/>
        <w:autoSpaceDN w:val="0"/>
        <w:spacing w:line="440" w:lineRule="exact"/>
        <w:ind w:firstLine="48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w:t>
      </w:r>
      <w:r>
        <w:rPr>
          <w:rFonts w:hint="eastAsia" w:ascii="宋体" w:hAnsi="宋体" w:cs="宋体"/>
          <w:color w:val="000000"/>
          <w:kern w:val="0"/>
          <w:lang w:bidi="ar"/>
        </w:rPr>
        <w:t>不允许</w:t>
      </w:r>
      <w:r>
        <w:rPr>
          <w:rFonts w:hint="eastAsia" w:ascii="宋体" w:hAnsi="宋体" w:cs="宋体"/>
          <w:color w:val="000000"/>
          <w:kern w:val="0"/>
        </w:rPr>
        <w:t>。</w:t>
      </w:r>
    </w:p>
    <w:p>
      <w:pPr>
        <w:pStyle w:val="20"/>
        <w:spacing w:before="0" w:after="0" w:line="440" w:lineRule="exact"/>
        <w:jc w:val="left"/>
        <w:outlineLvl w:val="1"/>
        <w:rPr>
          <w:rFonts w:ascii="宋体" w:hAnsi="宋体" w:cs="宋体"/>
          <w:color w:val="000000"/>
          <w:lang w:val="zh-CN"/>
        </w:rPr>
      </w:pPr>
      <w:bookmarkStart w:id="550" w:name="_Toc26125"/>
      <w:bookmarkStart w:id="551" w:name="_Toc531273370"/>
      <w:r>
        <w:rPr>
          <w:rFonts w:hint="eastAsia" w:ascii="宋体" w:hAnsi="宋体" w:cs="宋体"/>
          <w:color w:val="000000"/>
          <w:sz w:val="28"/>
          <w:szCs w:val="28"/>
        </w:rPr>
        <w:t>2.</w:t>
      </w:r>
      <w:bookmarkEnd w:id="550"/>
      <w:bookmarkStart w:id="552" w:name="_Toc1475"/>
      <w:r>
        <w:rPr>
          <w:rFonts w:hint="eastAsia" w:ascii="宋体" w:hAnsi="宋体" w:cs="宋体"/>
          <w:color w:val="000000"/>
          <w:sz w:val="28"/>
          <w:szCs w:val="28"/>
          <w:lang w:val="zh-CN"/>
        </w:rPr>
        <w:t>重要指标</w:t>
      </w:r>
      <w:bookmarkEnd w:id="551"/>
      <w:bookmarkEnd w:id="552"/>
    </w:p>
    <w:p>
      <w:pPr>
        <w:autoSpaceDE w:val="0"/>
        <w:autoSpaceDN w:val="0"/>
        <w:spacing w:line="360" w:lineRule="auto"/>
        <w:ind w:firstLine="480" w:firstLineChars="200"/>
        <w:rPr>
          <w:rFonts w:ascii="宋体" w:hAnsi="宋体" w:cs="宋体"/>
          <w:kern w:val="0"/>
          <w:lang w:val="zh-CN"/>
        </w:rPr>
      </w:pPr>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kern w:val="0"/>
          <w:lang w:val="zh-CN"/>
        </w:rPr>
        <w:t>“技术参数”中用“</w:t>
      </w:r>
      <w:r>
        <w:rPr>
          <w:rFonts w:hint="eastAsia" w:ascii="宋体" w:hAnsi="宋体" w:cs="宋体"/>
          <w:kern w:val="0"/>
        </w:rPr>
        <w:t>*</w:t>
      </w:r>
      <w:r>
        <w:rPr>
          <w:rFonts w:hint="eastAsia" w:ascii="宋体" w:hAnsi="宋体" w:cs="宋体"/>
          <w:kern w:val="0"/>
          <w:lang w:val="zh-CN"/>
        </w:rPr>
        <w:t>”符号标注的属于重要技术参数、指标，必须完全响应（须提供相关证明材料）。否则，投标无效。（若未标注，无视此项）</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招标文件中凡需与原有设备、系统并机、兼容、匹配等要求的，请主动和采购人联系，取得原有设备、系统相关资料。若有招标文件未提及或变更内容的，请及时与采购人或者采购代理机构联系。</w:t>
      </w:r>
    </w:p>
    <w:p>
      <w:pPr>
        <w:autoSpaceDE w:val="0"/>
        <w:autoSpaceDN w:val="0"/>
        <w:spacing w:line="440" w:lineRule="exact"/>
        <w:ind w:firstLine="480" w:firstLineChars="200"/>
        <w:rPr>
          <w:rFonts w:ascii="宋体" w:hAnsi="宋体" w:cs="宋体"/>
          <w:color w:val="000000"/>
        </w:rPr>
      </w:pPr>
      <w:r>
        <w:rPr>
          <w:rFonts w:hint="eastAsia" w:ascii="宋体" w:hAnsi="宋体" w:cs="宋体"/>
          <w:color w:val="000000"/>
          <w:kern w:val="0"/>
        </w:rPr>
        <w:t>2</w:t>
      </w:r>
      <w:r>
        <w:rPr>
          <w:rFonts w:hint="eastAsia" w:ascii="宋体" w:hAnsi="宋体" w:cs="宋体"/>
          <w:color w:val="000000"/>
          <w:kern w:val="0"/>
          <w:lang w:val="zh-CN"/>
        </w:rPr>
        <w:t>.3</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pPr>
        <w:pStyle w:val="20"/>
        <w:spacing w:before="0" w:after="0" w:line="440" w:lineRule="exact"/>
        <w:jc w:val="left"/>
        <w:outlineLvl w:val="1"/>
        <w:rPr>
          <w:rFonts w:ascii="宋体" w:hAnsi="宋体" w:cs="宋体"/>
          <w:color w:val="000000"/>
          <w:lang w:val="zh-CN"/>
        </w:rPr>
      </w:pPr>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547"/>
      <w:bookmarkEnd w:id="548"/>
    </w:p>
    <w:p>
      <w:pPr>
        <w:autoSpaceDE w:val="0"/>
        <w:autoSpaceDN w:val="0"/>
        <w:spacing w:line="360" w:lineRule="auto"/>
        <w:ind w:firstLine="360"/>
        <w:jc w:val="left"/>
        <w:rPr>
          <w:rFonts w:hint="eastAsia" w:ascii="宋体" w:hAnsi="宋体" w:cs="宋体"/>
          <w:kern w:val="0"/>
          <w:lang w:val="zh-CN"/>
        </w:rPr>
      </w:pP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w:t>
      </w:r>
      <w:r>
        <w:rPr>
          <w:rFonts w:hint="eastAsia" w:ascii="宋体" w:hAnsi="宋体" w:cs="宋体"/>
          <w:kern w:val="0"/>
          <w:lang w:val="zh-CN"/>
        </w:rPr>
        <w:t>交货时间：</w:t>
      </w:r>
      <w:r>
        <w:rPr>
          <w:rFonts w:hint="eastAsia" w:ascii="宋体" w:hAnsi="宋体" w:cs="宋体"/>
          <w:kern w:val="0"/>
        </w:rPr>
        <w:t>政府采购合同签订生效之日起30日内交货</w:t>
      </w:r>
    </w:p>
    <w:p>
      <w:pPr>
        <w:autoSpaceDE w:val="0"/>
        <w:autoSpaceDN w:val="0"/>
        <w:spacing w:line="360" w:lineRule="auto"/>
        <w:ind w:firstLine="960" w:firstLineChars="400"/>
        <w:jc w:val="left"/>
        <w:rPr>
          <w:rFonts w:ascii="宋体" w:hAnsi="宋体" w:cs="宋体"/>
          <w:kern w:val="0"/>
          <w:lang w:val="zh-CN"/>
        </w:rPr>
      </w:pPr>
      <w:r>
        <w:rPr>
          <w:rFonts w:hint="eastAsia" w:ascii="宋体" w:hAnsi="宋体" w:cs="宋体"/>
          <w:kern w:val="0"/>
          <w:lang w:val="zh-CN"/>
        </w:rPr>
        <w:t>交货地点：</w:t>
      </w:r>
      <w:r>
        <w:rPr>
          <w:rFonts w:hint="eastAsia" w:ascii="宋体" w:hAnsi="宋体" w:cs="宋体"/>
          <w:kern w:val="0"/>
        </w:rPr>
        <w:t>青海省救灾物资储备中心（青海省西宁市湟中县多巴镇小寨村1001号）</w:t>
      </w:r>
    </w:p>
    <w:p>
      <w:pPr>
        <w:autoSpaceDE w:val="0"/>
        <w:autoSpaceDN w:val="0"/>
        <w:spacing w:line="360" w:lineRule="auto"/>
        <w:ind w:firstLine="960" w:firstLineChars="400"/>
        <w:jc w:val="left"/>
        <w:rPr>
          <w:rFonts w:ascii="宋体" w:hAnsi="宋体" w:cs="宋体"/>
          <w:kern w:val="0"/>
          <w:highlight w:val="yellow"/>
        </w:rPr>
      </w:pPr>
      <w:r>
        <w:rPr>
          <w:rFonts w:hint="eastAsia" w:ascii="宋体" w:hAnsi="宋体" w:cs="宋体"/>
          <w:kern w:val="0"/>
          <w:lang w:val="zh-CN"/>
        </w:rPr>
        <w:t>质保期：</w:t>
      </w:r>
      <w:r>
        <w:rPr>
          <w:rFonts w:hint="eastAsia" w:ascii="宋体" w:hAnsi="宋体" w:cs="宋体"/>
          <w:kern w:val="0"/>
          <w:lang w:val="en-US" w:eastAsia="zh-CN"/>
        </w:rPr>
        <w:t>三</w:t>
      </w:r>
      <w:r>
        <w:rPr>
          <w:rFonts w:hint="eastAsia" w:ascii="宋体" w:hAnsi="宋体" w:cs="宋体"/>
          <w:kern w:val="0"/>
        </w:rPr>
        <w:t>年</w:t>
      </w:r>
    </w:p>
    <w:p>
      <w:pPr>
        <w:autoSpaceDE w:val="0"/>
        <w:autoSpaceDN w:val="0"/>
        <w:spacing w:line="440" w:lineRule="exact"/>
        <w:ind w:firstLine="480" w:firstLineChars="20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.付款方式：详见“第三部分  青海省政府采购项目合同书范本”中“</w:t>
      </w:r>
      <w:r>
        <w:rPr>
          <w:rFonts w:hint="eastAsia" w:ascii="宋体" w:hAnsi="宋体" w:cs="宋体"/>
          <w:kern w:val="0"/>
          <w:lang w:val="en-US" w:eastAsia="zh-CN"/>
        </w:rPr>
        <w:t>三</w:t>
      </w:r>
      <w:r>
        <w:rPr>
          <w:rFonts w:hint="eastAsia" w:ascii="宋体" w:hAnsi="宋体" w:cs="宋体"/>
          <w:kern w:val="0"/>
          <w:lang w:val="zh-CN"/>
        </w:rPr>
        <w:t>、付款方式”的规定。</w:t>
      </w: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rPr>
          <w:rFonts w:ascii="宋体" w:hAnsi="宋体" w:cs="宋体"/>
          <w:kern w:val="0"/>
          <w:lang w:val="zh-CN"/>
        </w:rPr>
      </w:pPr>
    </w:p>
    <w:p>
      <w:pPr>
        <w:pStyle w:val="6"/>
        <w:ind w:firstLine="0"/>
        <w:rPr>
          <w:rFonts w:ascii="宋体" w:hAnsi="宋体" w:cs="宋体"/>
          <w:kern w:val="0"/>
          <w:lang w:val="zh-CN"/>
        </w:rPr>
      </w:pPr>
    </w:p>
    <w:p>
      <w:pPr>
        <w:spacing w:line="360" w:lineRule="auto"/>
        <w:ind w:left="240"/>
        <w:outlineLvl w:val="1"/>
        <w:rPr>
          <w:rFonts w:ascii="宋体" w:hAnsi="宋体" w:cs="宋体"/>
          <w:kern w:val="0"/>
          <w:lang w:val="zh-CN"/>
        </w:rPr>
      </w:pPr>
      <w:r>
        <w:rPr>
          <w:rFonts w:hint="eastAsia" w:ascii="宋体" w:hAnsi="宋体" w:cs="宋体"/>
          <w:b/>
          <w:bCs/>
          <w:color w:val="000000"/>
          <w:sz w:val="30"/>
          <w:szCs w:val="30"/>
          <w:lang w:val="zh-CN"/>
        </w:rPr>
        <w:br w:type="page"/>
      </w:r>
      <w:r>
        <w:rPr>
          <w:rFonts w:hint="eastAsia" w:ascii="宋体" w:hAnsi="宋体" w:cs="宋体"/>
          <w:b/>
          <w:bCs/>
          <w:color w:val="000000"/>
          <w:sz w:val="30"/>
          <w:szCs w:val="30"/>
          <w:lang w:val="zh-CN"/>
        </w:rPr>
        <w:t>二、项目概况及技术参数</w:t>
      </w:r>
    </w:p>
    <w:bookmarkEnd w:id="549"/>
    <w:tbl>
      <w:tblPr>
        <w:tblStyle w:val="23"/>
        <w:tblpPr w:leftFromText="180" w:rightFromText="180" w:vertAnchor="text" w:horzAnchor="page" w:tblpX="1830" w:tblpY="133"/>
        <w:tblOverlap w:val="never"/>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技术参数</w:t>
            </w:r>
          </w:p>
        </w:tc>
        <w:tc>
          <w:tcPr>
            <w:tcW w:w="7742" w:type="dxa"/>
            <w:shd w:val="clear" w:color="auto" w:fill="auto"/>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指挥保障类：</w:t>
            </w:r>
          </w:p>
          <w:p>
            <w:pPr>
              <w:pStyle w:val="7"/>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after="0" w:line="300" w:lineRule="exact"/>
              <w:ind w:leftChars="0"/>
              <w:jc w:val="left"/>
              <w:textAlignment w:val="auto"/>
              <w:rPr>
                <w:rFonts w:hint="eastAsia" w:ascii="仿宋_GB2312" w:hAnsi="仿宋_GB2312" w:eastAsia="仿宋_GB2312" w:cs="仿宋_GB2312"/>
                <w:b/>
                <w:bCs/>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1.1 单兵背囊</w:t>
            </w:r>
          </w:p>
          <w:p>
            <w:pPr>
              <w:pStyle w:val="13"/>
              <w:keepNext w:val="0"/>
              <w:keepLines w:val="0"/>
              <w:pageBreakBefore w:val="0"/>
              <w:widowControl w:val="0"/>
              <w:numPr>
                <w:ilvl w:val="0"/>
                <w:numId w:val="12"/>
              </w:numPr>
              <w:kinsoku/>
              <w:wordWrap/>
              <w:overflowPunct/>
              <w:topLinePunct w:val="0"/>
              <w:autoSpaceDE/>
              <w:autoSpaceDN/>
              <w:bidi w:val="0"/>
              <w:adjustRightInd/>
              <w:snapToGrid/>
              <w:spacing w:line="300" w:lineRule="exact"/>
              <w:ind w:left="0" w:leftChars="0" w:firstLine="0" w:firstLineChars="0"/>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救援工具模块：</w:t>
            </w:r>
            <w:r>
              <w:rPr>
                <w:rFonts w:hint="eastAsia" w:ascii="仿宋_GB2312" w:hAnsi="仿宋_GB2312" w:eastAsia="仿宋_GB2312" w:cs="仿宋_GB2312"/>
                <w:color w:val="auto"/>
                <w:kern w:val="2"/>
                <w:sz w:val="24"/>
                <w:szCs w:val="24"/>
                <w:highlight w:val="none"/>
                <w:shd w:val="clear" w:color="auto" w:fill="auto"/>
                <w:lang w:val="en-US" w:eastAsia="zh-CN" w:bidi="ar-SA"/>
              </w:rPr>
              <w:t>①</w:t>
            </w:r>
            <w:r>
              <w:rPr>
                <w:rFonts w:hint="default" w:ascii="仿宋_GB2312" w:hAnsi="仿宋_GB2312" w:eastAsia="仿宋_GB2312" w:cs="仿宋_GB2312"/>
                <w:color w:val="auto"/>
                <w:kern w:val="2"/>
                <w:sz w:val="24"/>
                <w:szCs w:val="24"/>
                <w:highlight w:val="none"/>
                <w:shd w:val="clear" w:color="auto" w:fill="auto"/>
                <w:lang w:val="en-US" w:eastAsia="zh-CN" w:bidi="ar-SA"/>
              </w:rPr>
              <w:t>多功能铲（高碳钢铲头）</w:t>
            </w:r>
            <w:r>
              <w:rPr>
                <w:rFonts w:hint="eastAsia" w:ascii="仿宋_GB2312" w:hAnsi="仿宋_GB2312" w:eastAsia="仿宋_GB2312" w:cs="仿宋_GB2312"/>
                <w:color w:val="auto"/>
                <w:kern w:val="2"/>
                <w:sz w:val="24"/>
                <w:szCs w:val="24"/>
                <w:highlight w:val="none"/>
                <w:shd w:val="clear" w:color="auto" w:fill="auto"/>
                <w:lang w:val="en-US" w:eastAsia="zh-CN" w:bidi="ar-SA"/>
              </w:rPr>
              <w:t>②</w:t>
            </w:r>
            <w:r>
              <w:rPr>
                <w:rFonts w:hint="default" w:ascii="仿宋_GB2312" w:hAnsi="仿宋_GB2312" w:eastAsia="仿宋_GB2312" w:cs="仿宋_GB2312"/>
                <w:color w:val="auto"/>
                <w:kern w:val="2"/>
                <w:sz w:val="24"/>
                <w:szCs w:val="24"/>
                <w:highlight w:val="none"/>
                <w:shd w:val="clear" w:color="auto" w:fill="auto"/>
                <w:lang w:val="en-US" w:eastAsia="zh-CN" w:bidi="ar-SA"/>
              </w:rPr>
              <w:t>多功能钳刀（功能数量: 16个(含)-20个(含) 汉道短火多功能钳子，展开主要功能：锯子，小刀，开罐器，锉刀，剪线口，螺母钳口，尖嘴钳，钢丝剪，剪刀，割钩，一字改锥，十字改锥</w:t>
            </w:r>
            <w:r>
              <w:rPr>
                <w:rFonts w:hint="eastAsia" w:ascii="仿宋_GB2312" w:hAnsi="仿宋_GB2312" w:eastAsia="仿宋_GB2312" w:cs="仿宋_GB2312"/>
                <w:color w:val="auto"/>
                <w:kern w:val="2"/>
                <w:sz w:val="24"/>
                <w:szCs w:val="24"/>
                <w:highlight w:val="none"/>
                <w:shd w:val="clear" w:color="auto" w:fill="auto"/>
                <w:lang w:val="en-US" w:eastAsia="zh-CN" w:bidi="ar-SA"/>
              </w:rPr>
              <w:t>等</w:t>
            </w:r>
            <w:r>
              <w:rPr>
                <w:rFonts w:hint="default" w:ascii="仿宋_GB2312" w:hAnsi="仿宋_GB2312" w:eastAsia="仿宋_GB2312" w:cs="仿宋_GB2312"/>
                <w:color w:val="auto"/>
                <w:kern w:val="2"/>
                <w:sz w:val="24"/>
                <w:szCs w:val="24"/>
                <w:highlight w:val="none"/>
                <w:shd w:val="clear" w:color="auto" w:fill="auto"/>
                <w:lang w:val="en-US" w:eastAsia="zh-CN" w:bidi="ar-SA"/>
              </w:rPr>
              <w:t>）</w:t>
            </w:r>
            <w:r>
              <w:rPr>
                <w:rFonts w:hint="eastAsia" w:ascii="汉仪书宋二S" w:hAnsi="汉仪书宋二S" w:eastAsia="汉仪书宋二S" w:cs="汉仪书宋二S"/>
                <w:color w:val="auto"/>
                <w:kern w:val="2"/>
                <w:sz w:val="24"/>
                <w:szCs w:val="24"/>
                <w:highlight w:val="none"/>
                <w:shd w:val="clear" w:color="auto" w:fill="auto"/>
                <w:lang w:val="en-US" w:eastAsia="zh-CN" w:bidi="ar-SA"/>
              </w:rPr>
              <w:t>③</w:t>
            </w:r>
            <w:r>
              <w:rPr>
                <w:rFonts w:hint="default" w:ascii="仿宋_GB2312" w:hAnsi="仿宋_GB2312" w:eastAsia="仿宋_GB2312" w:cs="仿宋_GB2312"/>
                <w:color w:val="auto"/>
                <w:kern w:val="2"/>
                <w:sz w:val="24"/>
                <w:szCs w:val="24"/>
                <w:highlight w:val="none"/>
                <w:shd w:val="clear" w:color="auto" w:fill="auto"/>
                <w:lang w:val="en-US" w:eastAsia="zh-CN" w:bidi="ar-SA"/>
              </w:rPr>
              <w:t>轻型安全绳（直径≥6mm，拉力≥500kg，重量≤19g/m可潜浮内芯采用高强涤纶材质）</w:t>
            </w:r>
            <w:r>
              <w:rPr>
                <w:rFonts w:hint="eastAsia" w:ascii="仿宋_GB2312" w:hAnsi="仿宋_GB2312" w:eastAsia="仿宋_GB2312" w:cs="仿宋_GB2312"/>
                <w:color w:val="auto"/>
                <w:kern w:val="2"/>
                <w:sz w:val="24"/>
                <w:szCs w:val="24"/>
                <w:highlight w:val="none"/>
                <w:shd w:val="clear" w:color="auto" w:fill="auto"/>
                <w:lang w:val="en-US" w:eastAsia="zh-CN" w:bidi="ar-SA"/>
              </w:rPr>
              <w:t>④</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头灯手电(小巧\轻便、照射距离≥43米，连续照明时间: </w:t>
            </w:r>
            <w:r>
              <w:rPr>
                <w:rFonts w:hint="eastAsia" w:ascii="仿宋_GB2312" w:hAnsi="仿宋_GB2312" w:eastAsia="仿宋_GB2312" w:cs="仿宋_GB2312"/>
                <w:color w:val="auto"/>
                <w:kern w:val="2"/>
                <w:sz w:val="24"/>
                <w:szCs w:val="24"/>
                <w:highlight w:val="none"/>
                <w:shd w:val="clear" w:color="auto" w:fill="auto"/>
                <w:lang w:val="en-US" w:eastAsia="zh-CN" w:bidi="ar-SA"/>
              </w:rPr>
              <w:t>不小于</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6小时、LED灯泡、180°广域泛光照明、红光辅助)、荧光棒（顶部钩子≤20kg，符合消防用荧光棒GA/T1428-2017第6.8条标准要求）；                                          </w:t>
            </w:r>
            <w:r>
              <w:rPr>
                <w:rFonts w:hint="eastAsia" w:ascii="仿宋_GB2312" w:hAnsi="仿宋_GB2312" w:eastAsia="仿宋_GB2312" w:cs="仿宋_GB2312"/>
                <w:color w:val="auto"/>
                <w:kern w:val="2"/>
                <w:sz w:val="24"/>
                <w:szCs w:val="24"/>
                <w:highlight w:val="none"/>
                <w:shd w:val="clear" w:color="auto" w:fill="auto"/>
                <w:lang w:val="en-US" w:eastAsia="zh-CN" w:bidi="ar-SA"/>
              </w:rPr>
              <w:t xml:space="preserve">  2、</w:t>
            </w:r>
            <w:r>
              <w:rPr>
                <w:rFonts w:hint="default" w:ascii="仿宋_GB2312" w:hAnsi="仿宋_GB2312" w:eastAsia="仿宋_GB2312" w:cs="仿宋_GB2312"/>
                <w:color w:val="auto"/>
                <w:kern w:val="2"/>
                <w:sz w:val="24"/>
                <w:szCs w:val="24"/>
                <w:highlight w:val="none"/>
                <w:shd w:val="clear" w:color="auto" w:fill="auto"/>
                <w:lang w:val="en-US" w:eastAsia="zh-CN" w:bidi="ar-SA"/>
              </w:rPr>
              <w:t>宿营携行模块 ：</w:t>
            </w:r>
            <w:r>
              <w:rPr>
                <w:rFonts w:hint="eastAsia" w:ascii="仿宋_GB2312" w:hAnsi="仿宋_GB2312" w:eastAsia="仿宋_GB2312" w:cs="仿宋_GB2312"/>
                <w:color w:val="auto"/>
                <w:kern w:val="2"/>
                <w:sz w:val="24"/>
                <w:szCs w:val="24"/>
                <w:highlight w:val="none"/>
                <w:shd w:val="clear" w:color="auto" w:fill="auto"/>
                <w:lang w:val="en-US" w:eastAsia="zh-CN" w:bidi="ar-SA"/>
              </w:rPr>
              <w:t>①</w:t>
            </w:r>
            <w:r>
              <w:rPr>
                <w:rFonts w:hint="default" w:ascii="仿宋_GB2312" w:hAnsi="仿宋_GB2312" w:eastAsia="仿宋_GB2312" w:cs="仿宋_GB2312"/>
                <w:color w:val="auto"/>
                <w:kern w:val="2"/>
                <w:sz w:val="24"/>
                <w:szCs w:val="24"/>
                <w:highlight w:val="none"/>
                <w:shd w:val="clear" w:color="auto" w:fill="auto"/>
                <w:lang w:val="en-US" w:eastAsia="zh-CN" w:bidi="ar-SA"/>
              </w:rPr>
              <w:t>背囊（采用高强阻燃尼龙面料、背负支撑杆：采用高模量碳纤维支撑杆、耐磨性：≥8000r、撕破强力：≥400N、断裂强力：≥1600N、接缝强力：≥400N、表面抗湿性：≥3级 ）</w:t>
            </w:r>
            <w:r>
              <w:rPr>
                <w:rFonts w:hint="eastAsia" w:ascii="仿宋_GB2312" w:hAnsi="仿宋_GB2312" w:eastAsia="仿宋_GB2312" w:cs="仿宋_GB2312"/>
                <w:color w:val="auto"/>
                <w:kern w:val="2"/>
                <w:sz w:val="24"/>
                <w:szCs w:val="24"/>
                <w:highlight w:val="none"/>
                <w:shd w:val="clear" w:color="auto" w:fill="auto"/>
                <w:lang w:val="en-US" w:eastAsia="zh-CN" w:bidi="ar-SA"/>
              </w:rPr>
              <w:t>②</w:t>
            </w:r>
            <w:r>
              <w:rPr>
                <w:rFonts w:hint="default" w:ascii="仿宋_GB2312" w:hAnsi="仿宋_GB2312" w:eastAsia="仿宋_GB2312" w:cs="仿宋_GB2312"/>
                <w:color w:val="auto"/>
                <w:kern w:val="2"/>
                <w:sz w:val="24"/>
                <w:szCs w:val="24"/>
                <w:highlight w:val="none"/>
                <w:shd w:val="clear" w:color="auto" w:fill="auto"/>
                <w:lang w:val="en-US" w:eastAsia="zh-CN" w:bidi="ar-SA"/>
              </w:rPr>
              <w:t>单人四季帐篷（帐篷重量≤2.6KG，帐篷结构:双层帐，适应季节: 四季帐，内帐材料: 210T透气抗撕裂涤纶外帐防水指数: 2000mm(含)-3000mm(含)，帐底防水指数: 2000mm(含)-3000mm(含），支架材质: 铝合金，外帐材质: 涤纶，帐底材质: 210T防水涂层PU）、防潮垫（尼龙TPU）</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eastAsia" w:ascii="汉仪书宋二S" w:hAnsi="汉仪书宋二S" w:eastAsia="汉仪书宋二S" w:cs="汉仪书宋二S"/>
                <w:color w:val="auto"/>
                <w:kern w:val="2"/>
                <w:sz w:val="24"/>
                <w:szCs w:val="24"/>
                <w:highlight w:val="none"/>
                <w:shd w:val="clear" w:color="auto" w:fill="auto"/>
                <w:lang w:val="en-US" w:eastAsia="zh-CN" w:bidi="ar-SA"/>
              </w:rPr>
              <w:t>③</w:t>
            </w:r>
            <w:r>
              <w:rPr>
                <w:rFonts w:hint="default" w:ascii="仿宋_GB2312" w:hAnsi="仿宋_GB2312" w:eastAsia="仿宋_GB2312" w:cs="仿宋_GB2312"/>
                <w:color w:val="auto"/>
                <w:kern w:val="2"/>
                <w:sz w:val="24"/>
                <w:szCs w:val="24"/>
                <w:highlight w:val="none"/>
                <w:shd w:val="clear" w:color="auto" w:fill="auto"/>
                <w:lang w:val="en-US" w:eastAsia="zh-CN" w:bidi="ar-SA"/>
              </w:rPr>
              <w:t>保暖被（材质：聚酯纤维，内芯：羽绒，重量：≤409g）、单兵睡袋（总重量≤700g；里料材质: 锦纶，白鸭绒≥90%）、</w:t>
            </w:r>
            <w:r>
              <w:rPr>
                <w:rFonts w:hint="eastAsia" w:ascii="仿宋_GB2312" w:hAnsi="仿宋_GB2312" w:eastAsia="仿宋_GB2312" w:cs="仿宋_GB2312"/>
                <w:color w:val="auto"/>
                <w:kern w:val="2"/>
                <w:sz w:val="24"/>
                <w:szCs w:val="24"/>
                <w:highlight w:val="none"/>
                <w:shd w:val="clear" w:color="auto" w:fill="auto"/>
                <w:lang w:val="en-US" w:eastAsia="zh-CN" w:bidi="ar-SA"/>
              </w:rPr>
              <w:t>④</w:t>
            </w:r>
            <w:r>
              <w:rPr>
                <w:rFonts w:hint="default" w:ascii="仿宋_GB2312" w:hAnsi="仿宋_GB2312" w:eastAsia="仿宋_GB2312" w:cs="仿宋_GB2312"/>
                <w:color w:val="auto"/>
                <w:kern w:val="2"/>
                <w:sz w:val="24"/>
                <w:szCs w:val="24"/>
                <w:highlight w:val="none"/>
                <w:shd w:val="clear" w:color="auto" w:fill="auto"/>
                <w:lang w:val="en-US" w:eastAsia="zh-CN" w:bidi="ar-SA"/>
              </w:rPr>
              <w:t>电热毯（功率≥50W，面料: 合成纤维，加热方式: 电热丝，适用对象: 单人</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USB接口，大尺寸发热，可水洗，方便收纳，充电宝即可供电即插即用）</w:t>
            </w:r>
            <w:r>
              <w:rPr>
                <w:rFonts w:hint="eastAsia" w:ascii="仿宋_GB2312" w:hAnsi="仿宋_GB2312" w:eastAsia="仿宋_GB2312" w:cs="仿宋_GB2312"/>
                <w:color w:val="auto"/>
                <w:kern w:val="2"/>
                <w:sz w:val="24"/>
                <w:szCs w:val="24"/>
                <w:highlight w:val="none"/>
                <w:shd w:val="clear" w:color="auto" w:fill="auto"/>
                <w:lang w:val="en-US" w:eastAsia="zh-CN" w:bidi="ar-SA"/>
              </w:rPr>
              <w:t>⑤</w:t>
            </w:r>
            <w:r>
              <w:rPr>
                <w:rFonts w:hint="default" w:ascii="仿宋_GB2312" w:hAnsi="仿宋_GB2312" w:eastAsia="仿宋_GB2312" w:cs="仿宋_GB2312"/>
                <w:color w:val="auto"/>
                <w:kern w:val="2"/>
                <w:sz w:val="24"/>
                <w:szCs w:val="24"/>
                <w:highlight w:val="none"/>
                <w:shd w:val="clear" w:color="auto" w:fill="auto"/>
                <w:lang w:val="en-US" w:eastAsia="zh-CN" w:bidi="ar-SA"/>
              </w:rPr>
              <w:t>太阳能充电板（锂聚合物电池输出功率≤18W，电池容量: ≥20000mAh，LED照明灯，户外三防应急电源，6W大功率太阳能板，隐藏式三线设计，支持5台</w:t>
            </w:r>
            <w:r>
              <w:rPr>
                <w:rFonts w:hint="eastAsia" w:ascii="仿宋_GB2312" w:hAnsi="仿宋_GB2312" w:eastAsia="仿宋_GB2312" w:cs="仿宋_GB2312"/>
                <w:color w:val="auto"/>
                <w:kern w:val="2"/>
                <w:sz w:val="24"/>
                <w:szCs w:val="24"/>
                <w:highlight w:val="none"/>
                <w:shd w:val="clear" w:color="auto" w:fill="auto"/>
                <w:lang w:val="en-US" w:eastAsia="zh-CN" w:bidi="ar-SA"/>
              </w:rPr>
              <w:t>以上</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设备同时充电）；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eastAsia" w:ascii="仿宋_GB2312" w:hAnsi="仿宋_GB2312" w:eastAsia="仿宋_GB2312" w:cs="仿宋_GB2312"/>
                <w:color w:val="auto"/>
                <w:kern w:val="2"/>
                <w:sz w:val="24"/>
                <w:szCs w:val="24"/>
                <w:highlight w:val="none"/>
                <w:shd w:val="clear" w:color="auto" w:fill="auto"/>
                <w:lang w:val="en-US" w:eastAsia="zh-CN" w:bidi="ar-SA"/>
              </w:rPr>
              <w:t>3、</w:t>
            </w:r>
            <w:r>
              <w:rPr>
                <w:rFonts w:hint="default" w:ascii="仿宋_GB2312" w:hAnsi="仿宋_GB2312" w:eastAsia="仿宋_GB2312" w:cs="仿宋_GB2312"/>
                <w:color w:val="auto"/>
                <w:kern w:val="2"/>
                <w:sz w:val="24"/>
                <w:szCs w:val="24"/>
                <w:highlight w:val="none"/>
                <w:shd w:val="clear" w:color="auto" w:fill="auto"/>
                <w:lang w:val="en-US" w:eastAsia="zh-CN" w:bidi="ar-SA"/>
              </w:rPr>
              <w:t>个人防护模块 ：</w:t>
            </w:r>
            <w:r>
              <w:rPr>
                <w:rFonts w:hint="eastAsia" w:ascii="仿宋_GB2312" w:hAnsi="仿宋_GB2312" w:eastAsia="仿宋_GB2312" w:cs="仿宋_GB2312"/>
                <w:color w:val="auto"/>
                <w:kern w:val="2"/>
                <w:sz w:val="24"/>
                <w:szCs w:val="24"/>
                <w:highlight w:val="none"/>
                <w:shd w:val="clear" w:color="auto" w:fill="auto"/>
                <w:lang w:val="en-US" w:eastAsia="zh-CN" w:bidi="ar-SA"/>
              </w:rPr>
              <w:t>①</w:t>
            </w:r>
            <w:r>
              <w:rPr>
                <w:rFonts w:hint="default" w:ascii="仿宋_GB2312" w:hAnsi="仿宋_GB2312" w:eastAsia="仿宋_GB2312" w:cs="仿宋_GB2312"/>
                <w:color w:val="auto"/>
                <w:kern w:val="2"/>
                <w:sz w:val="24"/>
                <w:szCs w:val="24"/>
                <w:highlight w:val="none"/>
                <w:shd w:val="clear" w:color="auto" w:fill="auto"/>
                <w:lang w:val="en-US" w:eastAsia="zh-CN" w:bidi="ar-SA"/>
              </w:rPr>
              <w:t>卫星定位系统（需GPS、北斗双定位、待机时间≥12小时，防护等级IP67，定位终端需获得电信设备进网许可证和3C认证证书，重力传感器、地磁传感器、距离传感器、光线传感器、加速计、电子罗盘、陀螺仪）</w:t>
            </w:r>
            <w:r>
              <w:rPr>
                <w:rFonts w:hint="eastAsia" w:ascii="仿宋_GB2312" w:hAnsi="仿宋_GB2312" w:eastAsia="仿宋_GB2312" w:cs="仿宋_GB2312"/>
                <w:color w:val="auto"/>
                <w:kern w:val="2"/>
                <w:sz w:val="24"/>
                <w:szCs w:val="24"/>
                <w:highlight w:val="none"/>
                <w:shd w:val="clear" w:color="auto" w:fill="auto"/>
                <w:lang w:val="en-US" w:eastAsia="zh-CN" w:bidi="ar-SA"/>
              </w:rPr>
              <w:t>②</w:t>
            </w:r>
            <w:r>
              <w:rPr>
                <w:rFonts w:hint="default" w:ascii="仿宋_GB2312" w:hAnsi="仿宋_GB2312" w:eastAsia="仿宋_GB2312" w:cs="仿宋_GB2312"/>
                <w:color w:val="auto"/>
                <w:kern w:val="2"/>
                <w:sz w:val="24"/>
                <w:szCs w:val="24"/>
                <w:highlight w:val="none"/>
                <w:shd w:val="clear" w:color="auto" w:fill="auto"/>
                <w:lang w:val="en-US" w:eastAsia="zh-CN" w:bidi="ar-SA"/>
              </w:rPr>
              <w:t>警示灯（电源：聚合物锂电池，控制方式：轻触数控，工作时间：灯闪＞15小时，照明＞12小时，发声强度：≥120分贝，佩戴方式：将304不锈钢夹扣夹于衣服外沿、胸前或衣襟，重力感应：通过灯位置状态切换水平、垂直方向灯亮）</w:t>
            </w:r>
            <w:r>
              <w:rPr>
                <w:rFonts w:hint="eastAsia" w:ascii="汉仪书宋二S" w:hAnsi="汉仪书宋二S" w:eastAsia="汉仪书宋二S" w:cs="汉仪书宋二S"/>
                <w:color w:val="auto"/>
                <w:kern w:val="2"/>
                <w:sz w:val="24"/>
                <w:szCs w:val="24"/>
                <w:highlight w:val="none"/>
                <w:shd w:val="clear" w:color="auto" w:fill="auto"/>
                <w:lang w:val="en-US" w:eastAsia="zh-CN" w:bidi="ar-SA"/>
              </w:rPr>
              <w:t>③</w:t>
            </w:r>
            <w:r>
              <w:rPr>
                <w:rFonts w:hint="default" w:ascii="仿宋_GB2312" w:hAnsi="仿宋_GB2312" w:eastAsia="仿宋_GB2312" w:cs="仿宋_GB2312"/>
                <w:color w:val="auto"/>
                <w:kern w:val="2"/>
                <w:sz w:val="24"/>
                <w:szCs w:val="24"/>
                <w:highlight w:val="none"/>
                <w:shd w:val="clear" w:color="auto" w:fill="auto"/>
                <w:lang w:val="en-US" w:eastAsia="zh-CN" w:bidi="ar-SA"/>
              </w:rPr>
              <w:t>防护口罩（颗粒物防护口罩 符合：GB2626-2006标准）</w:t>
            </w:r>
            <w:r>
              <w:rPr>
                <w:rFonts w:hint="eastAsia" w:ascii="仿宋_GB2312" w:hAnsi="仿宋_GB2312" w:eastAsia="仿宋_GB2312" w:cs="仿宋_GB2312"/>
                <w:color w:val="auto"/>
                <w:kern w:val="2"/>
                <w:sz w:val="24"/>
                <w:szCs w:val="24"/>
                <w:highlight w:val="none"/>
                <w:shd w:val="clear" w:color="auto" w:fill="auto"/>
                <w:lang w:val="en-US" w:eastAsia="zh-CN" w:bidi="ar-SA"/>
              </w:rPr>
              <w:t>④</w:t>
            </w:r>
            <w:r>
              <w:rPr>
                <w:rFonts w:hint="default" w:ascii="仿宋_GB2312" w:hAnsi="仿宋_GB2312" w:eastAsia="仿宋_GB2312" w:cs="仿宋_GB2312"/>
                <w:color w:val="auto"/>
                <w:kern w:val="2"/>
                <w:sz w:val="24"/>
                <w:szCs w:val="24"/>
                <w:highlight w:val="none"/>
                <w:shd w:val="clear" w:color="auto" w:fill="auto"/>
                <w:lang w:val="en-US" w:eastAsia="zh-CN" w:bidi="ar-SA"/>
              </w:rPr>
              <w:t>保暖防晒头套（材质：含聚酯纤维、尼龙、氨纶 ，防晒、吸湿排汗、呼吸通畅）</w:t>
            </w:r>
            <w:r>
              <w:rPr>
                <w:rFonts w:hint="eastAsia" w:ascii="仿宋_GB2312" w:hAnsi="仿宋_GB2312" w:eastAsia="仿宋_GB2312" w:cs="仿宋_GB2312"/>
                <w:color w:val="auto"/>
                <w:kern w:val="2"/>
                <w:sz w:val="24"/>
                <w:szCs w:val="24"/>
                <w:highlight w:val="none"/>
                <w:shd w:val="clear" w:color="auto" w:fill="auto"/>
                <w:lang w:val="en-US" w:eastAsia="zh-CN" w:bidi="ar-SA"/>
              </w:rPr>
              <w:t>⑤</w:t>
            </w:r>
            <w:r>
              <w:rPr>
                <w:rFonts w:hint="default" w:ascii="仿宋_GB2312" w:hAnsi="仿宋_GB2312" w:eastAsia="仿宋_GB2312" w:cs="仿宋_GB2312"/>
                <w:color w:val="auto"/>
                <w:kern w:val="2"/>
                <w:sz w:val="24"/>
                <w:szCs w:val="24"/>
                <w:highlight w:val="none"/>
                <w:shd w:val="clear" w:color="auto" w:fill="auto"/>
                <w:lang w:val="en-US" w:eastAsia="zh-CN" w:bidi="ar-SA"/>
              </w:rPr>
              <w:t>防毒面具（硅胶／橡胶，高强度，高回弹性特性，无毒无害有优良的着色性呼吸顺畅）</w:t>
            </w:r>
            <w:r>
              <w:rPr>
                <w:rFonts w:hint="eastAsia" w:ascii="仿宋_GB2312" w:hAnsi="仿宋_GB2312" w:eastAsia="仿宋_GB2312" w:cs="仿宋_GB2312"/>
                <w:color w:val="auto"/>
                <w:kern w:val="2"/>
                <w:sz w:val="24"/>
                <w:szCs w:val="24"/>
                <w:highlight w:val="none"/>
                <w:shd w:val="clear" w:color="auto" w:fill="auto"/>
                <w:lang w:val="en-US" w:eastAsia="zh-CN" w:bidi="ar-SA"/>
              </w:rPr>
              <w:t>⑥</w:t>
            </w:r>
            <w:r>
              <w:rPr>
                <w:rFonts w:hint="default" w:ascii="仿宋_GB2312" w:hAnsi="仿宋_GB2312" w:eastAsia="仿宋_GB2312" w:cs="仿宋_GB2312"/>
                <w:color w:val="auto"/>
                <w:kern w:val="2"/>
                <w:sz w:val="24"/>
                <w:szCs w:val="24"/>
                <w:highlight w:val="none"/>
                <w:shd w:val="clear" w:color="auto" w:fill="auto"/>
                <w:lang w:val="en-US" w:eastAsia="zh-CN" w:bidi="ar-SA"/>
              </w:rPr>
              <w:t>护目镜（</w:t>
            </w:r>
            <w:r>
              <w:rPr>
                <w:rFonts w:hint="eastAsia" w:ascii="仿宋_GB2312" w:hAnsi="仿宋_GB2312" w:eastAsia="仿宋_GB2312" w:cs="仿宋_GB2312"/>
                <w:color w:val="auto"/>
                <w:kern w:val="2"/>
                <w:sz w:val="24"/>
                <w:szCs w:val="24"/>
                <w:highlight w:val="none"/>
                <w:shd w:val="clear" w:color="auto" w:fill="auto"/>
                <w:lang w:val="en-US" w:eastAsia="zh-CN" w:bidi="ar-SA"/>
              </w:rPr>
              <w:t>黑色镜架+透明镜片，100%防护紫外线，增光，增加清晰度功能，符合清晨、黄昏、大雾、大雪、晚上等光线不好能见度差的时候使用。</w:t>
            </w:r>
            <w:r>
              <w:rPr>
                <w:rFonts w:hint="default" w:ascii="仿宋_GB2312" w:hAnsi="仿宋_GB2312" w:eastAsia="仿宋_GB2312" w:cs="仿宋_GB2312"/>
                <w:color w:val="auto"/>
                <w:kern w:val="2"/>
                <w:sz w:val="24"/>
                <w:szCs w:val="24"/>
                <w:highlight w:val="none"/>
                <w:shd w:val="clear" w:color="auto" w:fill="auto"/>
                <w:lang w:val="en-US" w:eastAsia="zh-CN" w:bidi="ar-SA"/>
              </w:rPr>
              <w:t>抗碎亚硒酸聚碳酸酯镜片，符合MIL-PRF-32432（GL）标准，符合高速和高质量冲击标准，100% UVA/UVB保护，无失真的清晰度，镜片涂层抗划伤在极端环境中，镜片涂层提供防雾保护。）</w:t>
            </w:r>
            <w:r>
              <w:rPr>
                <w:rFonts w:hint="eastAsia" w:ascii="仿宋_GB2312" w:hAnsi="仿宋_GB2312" w:eastAsia="仿宋_GB2312" w:cs="仿宋_GB2312"/>
                <w:color w:val="auto"/>
                <w:kern w:val="2"/>
                <w:sz w:val="24"/>
                <w:szCs w:val="24"/>
                <w:highlight w:val="none"/>
                <w:shd w:val="clear" w:color="auto" w:fill="auto"/>
                <w:lang w:val="en-US" w:eastAsia="zh-CN" w:bidi="ar-SA"/>
              </w:rPr>
              <w:t>⑦</w:t>
            </w:r>
            <w:r>
              <w:rPr>
                <w:rFonts w:hint="default" w:ascii="仿宋_GB2312" w:hAnsi="仿宋_GB2312" w:eastAsia="仿宋_GB2312" w:cs="仿宋_GB2312"/>
                <w:color w:val="auto"/>
                <w:kern w:val="2"/>
                <w:sz w:val="24"/>
                <w:szCs w:val="24"/>
                <w:highlight w:val="none"/>
                <w:shd w:val="clear" w:color="auto" w:fill="auto"/>
                <w:lang w:val="en-US" w:eastAsia="zh-CN" w:bidi="ar-SA"/>
              </w:rPr>
              <w:t>雨  衣（材质：100%聚酯纤维，透气率≥8000g/m2‧24hrs防水指数≥8000mm/h20）</w:t>
            </w:r>
            <w:r>
              <w:rPr>
                <w:rFonts w:hint="eastAsia" w:ascii="仿宋_GB2312" w:hAnsi="仿宋_GB2312" w:eastAsia="仿宋_GB2312" w:cs="仿宋_GB2312"/>
                <w:color w:val="auto"/>
                <w:kern w:val="2"/>
                <w:sz w:val="24"/>
                <w:szCs w:val="24"/>
                <w:highlight w:val="none"/>
                <w:shd w:val="clear" w:color="auto" w:fill="auto"/>
                <w:lang w:val="en-US" w:eastAsia="zh-CN" w:bidi="ar-SA"/>
              </w:rPr>
              <w:t>⑧</w:t>
            </w:r>
            <w:r>
              <w:rPr>
                <w:rFonts w:hint="default" w:ascii="仿宋_GB2312" w:hAnsi="仿宋_GB2312" w:eastAsia="仿宋_GB2312" w:cs="仿宋_GB2312"/>
                <w:color w:val="auto"/>
                <w:kern w:val="2"/>
                <w:sz w:val="24"/>
                <w:szCs w:val="24"/>
                <w:highlight w:val="none"/>
                <w:shd w:val="clear" w:color="auto" w:fill="auto"/>
                <w:lang w:val="en-US" w:eastAsia="zh-CN" w:bidi="ar-SA"/>
              </w:rPr>
              <w:t>防穿刺手套（防割等级：掌心3级/全手2级，握力比：≥100%）</w:t>
            </w:r>
            <w:r>
              <w:rPr>
                <w:rFonts w:hint="eastAsia" w:ascii="仿宋_GB2312" w:hAnsi="仿宋_GB2312" w:eastAsia="仿宋_GB2312" w:cs="仿宋_GB2312"/>
                <w:color w:val="auto"/>
                <w:kern w:val="2"/>
                <w:sz w:val="24"/>
                <w:szCs w:val="24"/>
                <w:highlight w:val="none"/>
                <w:shd w:val="clear" w:color="auto" w:fill="auto"/>
                <w:lang w:val="en-US" w:eastAsia="zh-CN" w:bidi="ar-SA"/>
              </w:rPr>
              <w:t>⑨</w:t>
            </w:r>
            <w:r>
              <w:rPr>
                <w:rFonts w:hint="default" w:ascii="仿宋_GB2312" w:hAnsi="仿宋_GB2312" w:eastAsia="仿宋_GB2312" w:cs="仿宋_GB2312"/>
                <w:color w:val="auto"/>
                <w:kern w:val="2"/>
                <w:sz w:val="24"/>
                <w:szCs w:val="24"/>
                <w:highlight w:val="none"/>
                <w:shd w:val="clear" w:color="auto" w:fill="auto"/>
                <w:lang w:val="en-US" w:eastAsia="zh-CN" w:bidi="ar-SA"/>
              </w:rPr>
              <w:t>抓绒阻燃保暖防护服（材质：100%芳纶续燃时间：≤2s，阴燃时间：≤2s ， 燃烧时特征：无熔融熔滴）</w:t>
            </w:r>
            <w:r>
              <w:rPr>
                <w:rFonts w:hint="eastAsia" w:ascii="仿宋_GB2312" w:hAnsi="仿宋_GB2312" w:eastAsia="仿宋_GB2312" w:cs="仿宋_GB2312"/>
                <w:color w:val="auto"/>
                <w:kern w:val="2"/>
                <w:sz w:val="24"/>
                <w:szCs w:val="24"/>
                <w:highlight w:val="none"/>
                <w:shd w:val="clear" w:color="auto" w:fill="auto"/>
                <w:lang w:val="en-US" w:eastAsia="zh-CN" w:bidi="ar-SA"/>
              </w:rPr>
              <w:t>⑩</w:t>
            </w:r>
            <w:r>
              <w:rPr>
                <w:rFonts w:hint="default" w:ascii="仿宋_GB2312" w:hAnsi="仿宋_GB2312" w:eastAsia="仿宋_GB2312" w:cs="仿宋_GB2312"/>
                <w:color w:val="auto"/>
                <w:kern w:val="2"/>
                <w:sz w:val="24"/>
                <w:szCs w:val="24"/>
                <w:highlight w:val="none"/>
                <w:shd w:val="clear" w:color="auto" w:fill="auto"/>
                <w:lang w:val="en-US" w:eastAsia="zh-CN" w:bidi="ar-SA"/>
              </w:rPr>
              <w:t>保暖鞋垫（表层：超细天鹅绒 ，加热材料：纳米碳纤维复合材料，保温层：气凝胶复合材料 ，电池材料：≥1500mAh、使用时长：4-8小时）应急腰带（钎头与钎插头扣合抗拉强力：≥10000N ，扣头环拉强力：≥15000N， 带体抗拉强力：≥15000N，单纱强力：≥2500N）、高音哨（双频设计，可三种发声）、指北针</w:t>
            </w:r>
            <w:r>
              <w:rPr>
                <w:rFonts w:hint="eastAsia" w:ascii="仿宋_GB2312" w:hAnsi="仿宋_GB2312" w:eastAsia="仿宋_GB2312" w:cs="仿宋_GB2312"/>
                <w:color w:val="auto"/>
                <w:kern w:val="2"/>
                <w:sz w:val="24"/>
                <w:szCs w:val="24"/>
                <w:highlight w:val="none"/>
                <w:shd w:val="clear" w:color="auto" w:fill="auto"/>
                <w:lang w:val="en-US" w:eastAsia="zh-CN" w:bidi="ar-SA"/>
              </w:rPr>
              <w:t>(防水、手持、精准度±0.5度、户外夜光)</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                                                  </w:t>
            </w:r>
            <w:r>
              <w:rPr>
                <w:rFonts w:hint="eastAsia" w:ascii="仿宋_GB2312" w:hAnsi="仿宋_GB2312" w:eastAsia="仿宋_GB2312" w:cs="仿宋_GB2312"/>
                <w:color w:val="auto"/>
                <w:kern w:val="2"/>
                <w:sz w:val="24"/>
                <w:szCs w:val="24"/>
                <w:highlight w:val="none"/>
                <w:shd w:val="clear" w:color="auto" w:fill="auto"/>
                <w:lang w:val="en-US" w:eastAsia="zh-CN" w:bidi="ar-SA"/>
              </w:rPr>
              <w:t>4、医用类</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抗缺氧药高原安、藿香正气水、烫伤膏、净水片、消毒碘伏棉签、免洗手抗菌凝胶、银离子酒精消毒喷剂、胶原蛋白海绵、海藻酸盐敷贴、一次性皮肤缝合器、纱布、绷带、医用高分子夹板、医用防护口罩、三角巾包扎带、急救止血绷带、人工呼吸一次性膜、腈手套、医用无纺布、胶布纸胶带、急救剪刀、保温毯、体温计、创可贴、降温贴、伤情记录卡、马克笔、双表氧气瓶（容量≥2升，材质铝合金，工作压力≥14.7Mpa，供氧可根据客人需求调高低流量，环形氧气压力表直观显示气压，不锈钢一体式氧桥接口）等物资；                                                            </w:t>
            </w:r>
            <w:r>
              <w:rPr>
                <w:rFonts w:hint="eastAsia" w:ascii="仿宋_GB2312" w:hAnsi="仿宋_GB2312" w:eastAsia="仿宋_GB2312" w:cs="仿宋_GB2312"/>
                <w:color w:val="auto"/>
                <w:kern w:val="2"/>
                <w:sz w:val="24"/>
                <w:szCs w:val="24"/>
                <w:highlight w:val="none"/>
                <w:shd w:val="clear" w:color="auto" w:fill="auto"/>
                <w:lang w:val="en-US" w:eastAsia="zh-CN" w:bidi="ar-SA"/>
              </w:rPr>
              <w:t>5、</w:t>
            </w:r>
            <w:r>
              <w:rPr>
                <w:rFonts w:hint="default" w:ascii="仿宋_GB2312" w:hAnsi="仿宋_GB2312" w:eastAsia="仿宋_GB2312" w:cs="仿宋_GB2312"/>
                <w:color w:val="auto"/>
                <w:kern w:val="2"/>
                <w:sz w:val="24"/>
                <w:szCs w:val="24"/>
                <w:highlight w:val="none"/>
                <w:shd w:val="clear" w:color="auto" w:fill="auto"/>
                <w:lang w:val="en-US" w:eastAsia="zh-CN" w:bidi="ar-SA"/>
              </w:rPr>
              <w:t>饮食保障模块 ：</w:t>
            </w:r>
            <w:r>
              <w:rPr>
                <w:rFonts w:hint="eastAsia" w:ascii="仿宋_GB2312" w:hAnsi="仿宋_GB2312" w:eastAsia="仿宋_GB2312" w:cs="仿宋_GB2312"/>
                <w:color w:val="auto"/>
                <w:kern w:val="2"/>
                <w:sz w:val="24"/>
                <w:szCs w:val="24"/>
                <w:highlight w:val="none"/>
                <w:shd w:val="clear" w:color="auto" w:fill="auto"/>
                <w:lang w:val="en-US" w:eastAsia="zh-CN" w:bidi="ar-SA"/>
              </w:rPr>
              <w:t>①</w:t>
            </w:r>
            <w:r>
              <w:rPr>
                <w:rFonts w:hint="default" w:ascii="仿宋_GB2312" w:hAnsi="仿宋_GB2312" w:eastAsia="仿宋_GB2312" w:cs="仿宋_GB2312"/>
                <w:color w:val="auto"/>
                <w:kern w:val="2"/>
                <w:sz w:val="24"/>
                <w:szCs w:val="24"/>
                <w:highlight w:val="none"/>
                <w:shd w:val="clear" w:color="auto" w:fill="auto"/>
                <w:lang w:val="en-US" w:eastAsia="zh-CN" w:bidi="ar-SA"/>
              </w:rPr>
              <w:t>餐盒水壶（折叠收纳易于携带煮饭煮水多功能可悬挂加热，符合食品安全国家标准）</w:t>
            </w:r>
            <w:r>
              <w:rPr>
                <w:rFonts w:hint="eastAsia" w:ascii="仿宋_GB2312" w:hAnsi="仿宋_GB2312" w:eastAsia="仿宋_GB2312" w:cs="仿宋_GB2312"/>
                <w:color w:val="auto"/>
                <w:kern w:val="2"/>
                <w:sz w:val="24"/>
                <w:szCs w:val="24"/>
                <w:highlight w:val="none"/>
                <w:shd w:val="clear" w:color="auto" w:fill="auto"/>
                <w:lang w:val="en-US" w:eastAsia="zh-CN" w:bidi="ar-SA"/>
              </w:rPr>
              <w:t>②</w:t>
            </w:r>
            <w:r>
              <w:rPr>
                <w:rFonts w:hint="default" w:ascii="仿宋_GB2312" w:hAnsi="仿宋_GB2312" w:eastAsia="仿宋_GB2312" w:cs="仿宋_GB2312"/>
                <w:color w:val="auto"/>
                <w:kern w:val="2"/>
                <w:sz w:val="24"/>
                <w:szCs w:val="24"/>
                <w:highlight w:val="none"/>
                <w:shd w:val="clear" w:color="auto" w:fill="auto"/>
                <w:lang w:val="en-US" w:eastAsia="zh-CN" w:bidi="ar-SA"/>
              </w:rPr>
              <w:t>钛合金叉勺（刀叉勺3件套 ，轻量化，耐酸碱，耐高温，耐低温，高强度，）</w:t>
            </w:r>
            <w:r>
              <w:rPr>
                <w:rFonts w:hint="eastAsia" w:ascii="汉仪书宋二S" w:hAnsi="汉仪书宋二S" w:eastAsia="汉仪书宋二S" w:cs="汉仪书宋二S"/>
                <w:color w:val="auto"/>
                <w:kern w:val="2"/>
                <w:sz w:val="24"/>
                <w:szCs w:val="24"/>
                <w:highlight w:val="none"/>
                <w:shd w:val="clear" w:color="auto" w:fill="auto"/>
                <w:lang w:val="en-US" w:eastAsia="zh-CN" w:bidi="ar-SA"/>
              </w:rPr>
              <w:t>③</w:t>
            </w:r>
            <w:r>
              <w:rPr>
                <w:rFonts w:hint="default" w:ascii="仿宋_GB2312" w:hAnsi="仿宋_GB2312" w:eastAsia="仿宋_GB2312" w:cs="仿宋_GB2312"/>
                <w:color w:val="auto"/>
                <w:kern w:val="2"/>
                <w:sz w:val="24"/>
                <w:szCs w:val="24"/>
                <w:highlight w:val="none"/>
                <w:shd w:val="clear" w:color="auto" w:fill="auto"/>
                <w:lang w:val="en-US" w:eastAsia="zh-CN" w:bidi="ar-SA"/>
              </w:rPr>
              <w:t>饮用水囊（水囊≥1L，材质: 无毒环保，耐压防爆，环保TPU食品级材料安全无异味）</w:t>
            </w:r>
            <w:r>
              <w:rPr>
                <w:rFonts w:hint="eastAsia" w:ascii="仿宋_GB2312" w:hAnsi="仿宋_GB2312" w:eastAsia="仿宋_GB2312" w:cs="仿宋_GB2312"/>
                <w:color w:val="auto"/>
                <w:kern w:val="2"/>
                <w:sz w:val="24"/>
                <w:szCs w:val="24"/>
                <w:highlight w:val="none"/>
                <w:shd w:val="clear" w:color="auto" w:fill="auto"/>
                <w:lang w:val="en-US" w:eastAsia="zh-CN" w:bidi="ar-SA"/>
              </w:rPr>
              <w:t>④</w:t>
            </w:r>
            <w:r>
              <w:rPr>
                <w:rFonts w:hint="default" w:ascii="仿宋_GB2312" w:hAnsi="仿宋_GB2312" w:eastAsia="仿宋_GB2312" w:cs="仿宋_GB2312"/>
                <w:color w:val="auto"/>
                <w:kern w:val="2"/>
                <w:sz w:val="24"/>
                <w:szCs w:val="24"/>
                <w:highlight w:val="none"/>
                <w:shd w:val="clear" w:color="auto" w:fill="auto"/>
                <w:lang w:val="en-US" w:eastAsia="zh-CN" w:bidi="ar-SA"/>
              </w:rPr>
              <w:t>高火炉头（钛合金气炉，蚕蛹</w:t>
            </w:r>
            <w:r>
              <w:rPr>
                <w:rFonts w:hint="eastAsia" w:ascii="仿宋_GB2312" w:hAnsi="仿宋_GB2312" w:eastAsia="仿宋_GB2312" w:cs="仿宋_GB2312"/>
                <w:color w:val="auto"/>
                <w:kern w:val="2"/>
                <w:sz w:val="24"/>
                <w:szCs w:val="24"/>
                <w:highlight w:val="none"/>
                <w:shd w:val="clear" w:color="auto" w:fill="auto"/>
                <w:lang w:val="en-US" w:eastAsia="zh-CN" w:bidi="ar-SA"/>
              </w:rPr>
              <w:t>纹</w:t>
            </w:r>
            <w:r>
              <w:rPr>
                <w:rFonts w:hint="default" w:ascii="仿宋_GB2312" w:hAnsi="仿宋_GB2312" w:eastAsia="仿宋_GB2312" w:cs="仿宋_GB2312"/>
                <w:color w:val="auto"/>
                <w:kern w:val="2"/>
                <w:sz w:val="24"/>
                <w:szCs w:val="24"/>
                <w:highlight w:val="none"/>
                <w:shd w:val="clear" w:color="auto" w:fill="auto"/>
                <w:lang w:val="en-US" w:eastAsia="zh-CN" w:bidi="ar-SA"/>
              </w:rPr>
              <w:t>不锈钢，铜，铸铝设计皮实耐用不易损坏，支架可用多重炊具，防风罩设计带有预热管设计有助于在恶劣环境下使用，重量≥98g，燃料种类: 丁烷</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功率≤2800W）</w:t>
            </w:r>
            <w:r>
              <w:rPr>
                <w:rFonts w:hint="eastAsia" w:ascii="仿宋_GB2312" w:hAnsi="仿宋_GB2312" w:eastAsia="仿宋_GB2312" w:cs="仿宋_GB2312"/>
                <w:color w:val="auto"/>
                <w:kern w:val="2"/>
                <w:sz w:val="24"/>
                <w:szCs w:val="24"/>
                <w:highlight w:val="none"/>
                <w:shd w:val="clear" w:color="auto" w:fill="auto"/>
                <w:lang w:val="en-US" w:eastAsia="zh-CN" w:bidi="ar-SA"/>
              </w:rPr>
              <w:t>⑤</w:t>
            </w:r>
            <w:r>
              <w:rPr>
                <w:rFonts w:hint="default" w:ascii="仿宋_GB2312" w:hAnsi="仿宋_GB2312" w:eastAsia="仿宋_GB2312" w:cs="仿宋_GB2312"/>
                <w:color w:val="auto"/>
                <w:kern w:val="2"/>
                <w:sz w:val="24"/>
                <w:szCs w:val="24"/>
                <w:highlight w:val="none"/>
                <w:shd w:val="clear" w:color="auto" w:fill="auto"/>
                <w:lang w:val="en-US" w:eastAsia="zh-CN" w:bidi="ar-SA"/>
              </w:rPr>
              <w:t>高压气罐（丙丁烷和异丁烷混合气体，适应用高海拔以及低温寒冷环境罐底高压缓冲设计，应对高压环境使用更安全，升级高纯度气体配方，纯蓝色火焰热量高，燃烧充分，燃烧时间长，无污染无残留）</w:t>
            </w:r>
            <w:r>
              <w:rPr>
                <w:rFonts w:hint="eastAsia" w:ascii="仿宋_GB2312" w:hAnsi="仿宋_GB2312" w:eastAsia="仿宋_GB2312" w:cs="仿宋_GB2312"/>
                <w:color w:val="auto"/>
                <w:kern w:val="2"/>
                <w:sz w:val="24"/>
                <w:szCs w:val="24"/>
                <w:highlight w:val="none"/>
                <w:shd w:val="clear" w:color="auto" w:fill="auto"/>
                <w:lang w:val="en-US" w:eastAsia="zh-CN" w:bidi="ar-SA"/>
              </w:rPr>
              <w:t>⑥</w:t>
            </w:r>
            <w:r>
              <w:rPr>
                <w:rFonts w:hint="default" w:ascii="仿宋_GB2312" w:hAnsi="仿宋_GB2312" w:eastAsia="仿宋_GB2312" w:cs="仿宋_GB2312"/>
                <w:color w:val="auto"/>
                <w:kern w:val="2"/>
                <w:sz w:val="24"/>
                <w:szCs w:val="24"/>
                <w:highlight w:val="none"/>
                <w:shd w:val="clear" w:color="auto" w:fill="auto"/>
                <w:lang w:val="en-US" w:eastAsia="zh-CN" w:bidi="ar-SA"/>
              </w:rPr>
              <w:t>净水器（超轻便携≤80g（含包装）过滤直饮，安全材质食品级塑料、可以过滤≤0.01微米，过滤后可直接饮用）</w:t>
            </w:r>
            <w:r>
              <w:rPr>
                <w:rFonts w:hint="eastAsia" w:ascii="仿宋_GB2312" w:hAnsi="仿宋_GB2312" w:eastAsia="仿宋_GB2312" w:cs="仿宋_GB2312"/>
                <w:color w:val="auto"/>
                <w:kern w:val="2"/>
                <w:sz w:val="24"/>
                <w:szCs w:val="24"/>
                <w:highlight w:val="none"/>
                <w:shd w:val="clear" w:color="auto" w:fill="auto"/>
                <w:lang w:val="en-US" w:eastAsia="zh-CN" w:bidi="ar-SA"/>
              </w:rPr>
              <w:t>⑦</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保温杯2个：规格：≥360ml；尺寸≥66*68*200mm；保温：60°以上温度保温时间不低于6小时，80°以上温度保温时间不低于1小时；内胆：304不锈钢 ；底部：采用镭射焊接工艺，不易生锈；颜色：多色可选；重量≤ 190g 。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eastAsia" w:ascii="仿宋_GB2312" w:hAnsi="仿宋_GB2312" w:eastAsia="仿宋_GB2312" w:cs="仿宋_GB2312"/>
                <w:color w:val="auto"/>
                <w:kern w:val="2"/>
                <w:sz w:val="24"/>
                <w:szCs w:val="24"/>
                <w:highlight w:val="none"/>
                <w:shd w:val="clear" w:color="auto" w:fill="auto"/>
                <w:lang w:val="en-US" w:eastAsia="zh-CN" w:bidi="ar-SA"/>
              </w:rPr>
              <w:t>6、</w:t>
            </w:r>
            <w:r>
              <w:rPr>
                <w:rFonts w:hint="default" w:ascii="仿宋_GB2312" w:hAnsi="仿宋_GB2312" w:eastAsia="仿宋_GB2312" w:cs="仿宋_GB2312"/>
                <w:color w:val="auto"/>
                <w:kern w:val="2"/>
                <w:sz w:val="24"/>
                <w:szCs w:val="24"/>
                <w:highlight w:val="none"/>
                <w:shd w:val="clear" w:color="auto" w:fill="auto"/>
                <w:lang w:val="en-US" w:eastAsia="zh-CN" w:bidi="ar-SA"/>
              </w:rPr>
              <w:t>以上物资总重≤25kg/套</w:t>
            </w:r>
            <w:r>
              <w:rPr>
                <w:rFonts w:hint="eastAsia" w:ascii="仿宋_GB2312" w:hAnsi="仿宋_GB2312" w:eastAsia="仿宋_GB2312" w:cs="仿宋_GB2312"/>
                <w:color w:val="auto"/>
                <w:kern w:val="2"/>
                <w:sz w:val="24"/>
                <w:szCs w:val="24"/>
                <w:highlight w:val="none"/>
                <w:shd w:val="clear" w:color="auto" w:fill="auto"/>
                <w:lang w:val="en-US" w:eastAsia="zh-CN" w:bidi="ar-SA"/>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1.2 充气帐篷</w:t>
            </w:r>
            <w:r>
              <w:rPr>
                <w:rFonts w:hint="default" w:ascii="仿宋_GB2312" w:hAnsi="仿宋_GB2312" w:eastAsia="仿宋_GB2312" w:cs="仿宋_GB2312"/>
                <w:b/>
                <w:bCs/>
                <w:color w:val="auto"/>
                <w:kern w:val="2"/>
                <w:sz w:val="24"/>
                <w:szCs w:val="24"/>
                <w:highlight w:val="none"/>
                <w:shd w:val="clear" w:color="auto" w:fill="auto"/>
                <w:lang w:val="en" w:eastAsia="zh-CN" w:bidi="ar-SA"/>
              </w:rPr>
              <w:t>(</w:t>
            </w:r>
            <w:r>
              <w:rPr>
                <w:rFonts w:hint="eastAsia" w:ascii="仿宋_GB2312" w:hAnsi="仿宋_GB2312" w:eastAsia="仿宋_GB2312" w:cs="仿宋_GB2312"/>
                <w:b/>
                <w:bCs/>
                <w:color w:val="auto"/>
                <w:kern w:val="2"/>
                <w:sz w:val="24"/>
                <w:szCs w:val="24"/>
                <w:highlight w:val="none"/>
                <w:shd w:val="clear" w:color="auto" w:fill="auto"/>
                <w:lang w:val="en" w:eastAsia="zh-CN" w:bidi="ar-SA"/>
              </w:rPr>
              <w:t>一）</w:t>
            </w:r>
            <w:r>
              <w:rPr>
                <w:rFonts w:hint="eastAsia" w:ascii="仿宋_GB2312" w:hAnsi="仿宋_GB2312" w:eastAsia="仿宋_GB2312" w:cs="仿宋_GB2312"/>
                <w:b/>
                <w:bCs/>
                <w:color w:val="auto"/>
                <w:kern w:val="2"/>
                <w:sz w:val="24"/>
                <w:szCs w:val="24"/>
                <w:highlight w:val="none"/>
                <w:shd w:val="clear" w:color="auto" w:fill="auto"/>
                <w:lang w:val="en-US" w:eastAsia="zh-CN" w:bidi="ar-SA"/>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1、总体尺寸≥15x8x4.1m，投影面积120㎡；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2、内部尺寸≥14.4x7.4x3.8m，内部面积106.56㎡；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3、前后门尺寸：（宽）1.9x（高）1.9m，（2扇）；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4、窗户尺寸：（高）0.6x（宽）0.75m（12扇）；</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5、气柱：灰色0.7mmPVC双面涂层夹网布；</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6、外披：涂层牛津布；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7、内衬：260T涤塔夫；</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8、地布：灰色0.4mmPVC双面涂层夹网布；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9、气柱安装阀门两组（2个充排气阀，1个安全阀）；</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10、帐篷配通风口2个，阀口2个；</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11、主体结构使用高频热合热封工艺制作；</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12、两侧底柱制作沙袋片；</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13、充气时间：8-12min；</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14、阻燃级别B115，适应温度：-50至70℃；</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15、工作压力：18~22Kpa；</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16、抗风等级：≤8级；</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17、重量：≤500Kg；</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18、包装尺寸≥1.7x1.4x1m；</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w:t>
            </w:r>
            <w:r>
              <w:rPr>
                <w:rFonts w:hint="eastAsia" w:ascii="仿宋_GB2312" w:hAnsi="仿宋_GB2312" w:eastAsia="仿宋_GB2312" w:cs="仿宋_GB2312"/>
                <w:color w:val="auto"/>
                <w:kern w:val="2"/>
                <w:sz w:val="24"/>
                <w:szCs w:val="24"/>
                <w:highlight w:val="none"/>
                <w:shd w:val="clear" w:color="auto" w:fill="auto"/>
                <w:lang w:val="en-US" w:eastAsia="zh-CN" w:bidi="ar-SA"/>
              </w:rPr>
              <w:t>9</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、印字要求：帐篷顶坡两侧居中印刷“青海应急”字样，白色印字端正清晰；在雨天使用过程中，无褪色、掉色和流淌油墨现象；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eastAsia" w:ascii="仿宋_GB2312" w:hAnsi="仿宋_GB2312" w:eastAsia="仿宋_GB2312" w:cs="仿宋_GB2312"/>
                <w:color w:val="auto"/>
                <w:kern w:val="2"/>
                <w:sz w:val="24"/>
                <w:szCs w:val="24"/>
                <w:highlight w:val="none"/>
                <w:shd w:val="clear" w:color="auto" w:fill="auto"/>
                <w:lang w:val="en-US" w:eastAsia="zh-CN" w:bidi="ar-SA"/>
              </w:rPr>
              <w:t>20</w:t>
            </w:r>
            <w:r>
              <w:rPr>
                <w:rFonts w:hint="default" w:ascii="仿宋_GB2312" w:hAnsi="仿宋_GB2312" w:eastAsia="仿宋_GB2312" w:cs="仿宋_GB2312"/>
                <w:color w:val="auto"/>
                <w:kern w:val="2"/>
                <w:sz w:val="24"/>
                <w:szCs w:val="24"/>
                <w:highlight w:val="none"/>
                <w:shd w:val="clear" w:color="auto" w:fill="auto"/>
                <w:lang w:val="en-US" w:eastAsia="zh-CN" w:bidi="ar-SA"/>
              </w:rPr>
              <w:t>、每顶帐篷配备15张桌子，30把椅子，桌布，5个秒表（桌子材料：木质，桌面尺寸：</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1.2*0.6*0.75m，桌腿：钢管，厚度：4.5CM，椅子：可折叠，桌布材质金丝绒布，颜色可选，尺寸</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30m*1m）</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1.3 充气帐篷（二）：</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1、总体尺寸：5x3x2.5m，外部肩高1.9米，投影面积15㎡；</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2、内部尺寸：4.64x2.64x2.32m，内部面积12.3㎡；</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3、前后门尺寸：1.1x1.9m（2扇）；</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4、窗户尺寸：0.75x0.6m（6扇）；</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5、气柱：灰色0.7mmPVC双面涂层夹网布；</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6、外披：红色pvc涂层牛津布（颜色可定制）；</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7、内衬：260T白色涤塔夫；</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8、地布：灰色0.4mmPVC双面涂层夹网布；</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9、气柱安装阀门一组（2个充排气阀，1个安全阀）；</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10、帐篷配阀口1个；</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11、主体结构使用高频热合热封工艺制作；</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12、充气时间：3-5min；</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13、适应温度：-50-70℃，阻燃级别B1；</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14、工作压力：18-22Kpa；</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15、防水高度：≤20cm；</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16、抗风等级：≤8级，8级大风天，立柱无明显弯曲变形；</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17、抗雪载：每平方米载荷</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10kg，每平方米积雪10cm状况下，帐篷外观无明显异常；</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18、重量：≤60Kg；</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19、提供阻燃、抗高低温、大风及雪载的检测报告。                                                                                 2</w:t>
            </w:r>
            <w:r>
              <w:rPr>
                <w:rFonts w:hint="default" w:ascii="仿宋_GB2312" w:hAnsi="仿宋_GB2312" w:eastAsia="仿宋_GB2312" w:cs="仿宋_GB2312"/>
                <w:color w:val="auto"/>
                <w:kern w:val="2"/>
                <w:sz w:val="24"/>
                <w:szCs w:val="24"/>
                <w:highlight w:val="none"/>
                <w:shd w:val="clear" w:color="auto" w:fill="auto"/>
                <w:lang w:val="en" w:eastAsia="zh-CN" w:bidi="ar-SA"/>
              </w:rPr>
              <w:t>0</w:t>
            </w:r>
            <w:r>
              <w:rPr>
                <w:rFonts w:hint="default" w:ascii="仿宋_GB2312" w:hAnsi="仿宋_GB2312" w:eastAsia="仿宋_GB2312" w:cs="仿宋_GB2312"/>
                <w:color w:val="auto"/>
                <w:kern w:val="2"/>
                <w:sz w:val="24"/>
                <w:szCs w:val="24"/>
                <w:highlight w:val="none"/>
                <w:shd w:val="clear" w:color="auto" w:fill="auto"/>
                <w:lang w:val="en-US" w:eastAsia="zh-CN" w:bidi="ar-SA"/>
              </w:rPr>
              <w:t>、充气帐篷主要用于抢险救援现场指挥部各组办公及生活使用。其中此项物资采购中必须配备一套后勤保障组所需的野外后勤保障用具包含保鲜盒20个、PE菜墩2个、后厨餐具1套、不锈钢牛奶鼎2台、不锈钢暖汤炉2台、不锈钢汤钩等各类后勤保障工具2700余件套</w:t>
            </w:r>
            <w:r>
              <w:rPr>
                <w:rFonts w:hint="eastAsia" w:ascii="仿宋_GB2312" w:hAnsi="仿宋_GB2312" w:eastAsia="仿宋_GB2312" w:cs="仿宋_GB2312"/>
                <w:color w:val="auto"/>
                <w:kern w:val="2"/>
                <w:sz w:val="24"/>
                <w:szCs w:val="24"/>
                <w:highlight w:val="none"/>
                <w:shd w:val="clear" w:color="auto" w:fill="auto"/>
                <w:lang w:val="en-US" w:eastAsia="zh-CN" w:bidi="ar-SA"/>
              </w:rPr>
              <w:t>，具体包括：1、保鲜盒：（881PC材质）10个；（882PC材质）10个；（883PC材质）5个；2、PE菜墩：（500*100食品级）2个；3、后厨餐具：1套；4、不锈钢牛奶鼎：（18LSUS304）2台；5、不锈钢暖汤炉：（13LSUS304）2台；6、不锈钢汤钩：（SUS304）2个；7、不锈钢餐盘：（1.5厚SUS304）260个；8、双层加厚白金碗：（12厘米SUS304）260个；（15厘米SUS304）260个；9、不锈钢汤勺：（SUS304）260个；10、密胺餐盘：（26.5CM含80％矿物粉）260个；11、密胺汤碗：（含80％矿物粉）260个；12、密胺面碗：（含80％矿物粉）260个；13、密胺水杯：（含80％矿物粉）260个；14、合金筷：（27厘米PPS材质）260双；15、防爆压力锅：（50L复合底）2个；（40L复合底）2个；16、特厚油缸：（10寸SUS304）6个；17、特厚钢漏：（30厘米3.0厚）2个；18、特厚密漏：（12寸双层加密）2个；19、炒勺：（12两2.0厚）3把 ；20、不锈钢调料罐：（16厘米1.0厚SUS304）50个；21、特厚码斗：（20厘米1.0厚SUS304）20个；（22厘米1.0厚SUS304）20个；22、水果刀：（27CM三合钢）1把；23、特厚钢盆：（45厘米2.0厚SUS304）5个；（38厘米2.0厚SUS304)3个；（50厘米2.0厚SUS304）4个；（60厘米2.0厚SUS304）2个；24、厨片刀：（三合钢全夹柄）4把；25、砍刀：（三合钢全夹柄）2把；26、菜墩：（500*150）2个；27、菜筐：（102食品级）15个；28、锅架：（实心）2个；29、长把水勺：（16厘米2.0厚SUS304）1个；30、垃圾桶：（240L加粗轮上挂车）4个；31、脚踏垃圾桶：（100L）4个；32、PE菜板：（600*400*35食品级）2个；33、腰斗：（大号SUS304）2个；33、菜筐：（大号食品级）10个；34、特厚汤桶：（6.0*40复合底）1个；（6.0*30复合底）2个；（6.0*50复合底）1个；35、筷子消毒机：（27CM不锈钢外壳）1台；36、绞肉机：（4L铜芯SUS304）1台；37、剪刀：（钢制）4把；38、羊毛刷：（3寸）6个；39、刨刀：（两用SUS304）10个；40、地秤：（300KG）1台；41、锅刷：（粗丝胶柄）4个；42、捞面筷：（45CM）6双；43、保温壶：（2.0LSUS304）4个；44、地刷：（40CM）4个；45、榨水车：2台；46、拖把：8个；47、套扫：6</w:t>
            </w:r>
            <w:r>
              <w:rPr>
                <w:rFonts w:hint="eastAsia" w:ascii="仿宋_GB2312" w:hAnsi="仿宋_GB2312" w:eastAsia="仿宋_GB2312" w:cs="仿宋_GB2312"/>
                <w:color w:val="auto"/>
                <w:kern w:val="2"/>
                <w:sz w:val="24"/>
                <w:szCs w:val="24"/>
                <w:highlight w:val="none"/>
                <w:shd w:val="clear" w:color="auto" w:fill="auto"/>
                <w:lang w:val="en-US" w:eastAsia="zh-CN" w:bidi="ar-SA"/>
              </w:rPr>
              <w:tab/>
            </w:r>
            <w:r>
              <w:rPr>
                <w:rFonts w:hint="eastAsia" w:ascii="仿宋_GB2312" w:hAnsi="仿宋_GB2312" w:eastAsia="仿宋_GB2312" w:cs="仿宋_GB2312"/>
                <w:color w:val="auto"/>
                <w:kern w:val="2"/>
                <w:sz w:val="24"/>
                <w:szCs w:val="24"/>
                <w:highlight w:val="none"/>
                <w:shd w:val="clear" w:color="auto" w:fill="auto"/>
                <w:lang w:val="en-US" w:eastAsia="zh-CN" w:bidi="ar-SA"/>
              </w:rPr>
              <w:t>套；48、数显自助餐炉：（600*450*220厚度2.0）10台；49、炒锅：（60CM）4个；（43CM）2个；50、剪式布菲夹：（SUS304）10个；51、不锈钢托盘：（600*400*48厚度1.2SUS304）40个（两种各20个）；52、圆形垃圾桶：（大号）6个；53、油缸：（10寸SUS304）6个；54、实心锅架：（双层）10个；55、合金筷：（27厘米PPS材质）30双；56、保鲜膜：（宽度45厘米长度500米食品级）10卷；57、微波炉：1个；58、辣缸醋壶：30套；59、圆形一次性餐盒：（1000ML食品级）1件；60、四格一次性餐盒：（150套食品级）1件；61、五格一次性餐盒：（120套食品级）1件；62、一次性筷子：（1800双）1包；63、米、面车：（800*800*650厚度1.2）</w:t>
            </w:r>
            <w:r>
              <w:rPr>
                <w:rFonts w:hint="eastAsia" w:ascii="仿宋_GB2312" w:hAnsi="仿宋_GB2312" w:eastAsia="仿宋_GB2312" w:cs="仿宋_GB2312"/>
                <w:color w:val="auto"/>
                <w:kern w:val="2"/>
                <w:sz w:val="24"/>
                <w:szCs w:val="24"/>
                <w:highlight w:val="none"/>
                <w:shd w:val="clear" w:color="auto" w:fill="auto"/>
                <w:lang w:val="en-US" w:eastAsia="zh-CN" w:bidi="ar-SA"/>
              </w:rPr>
              <w:tab/>
            </w:r>
            <w:r>
              <w:rPr>
                <w:rFonts w:hint="eastAsia" w:ascii="仿宋_GB2312" w:hAnsi="仿宋_GB2312" w:eastAsia="仿宋_GB2312" w:cs="仿宋_GB2312"/>
                <w:color w:val="auto"/>
                <w:kern w:val="2"/>
                <w:sz w:val="24"/>
                <w:szCs w:val="24"/>
                <w:highlight w:val="none"/>
                <w:shd w:val="clear" w:color="auto" w:fill="auto"/>
                <w:lang w:val="en-US" w:eastAsia="zh-CN" w:bidi="ar-SA"/>
              </w:rPr>
              <w:t>2套；64、消毒机：（热风循环双开门不锈钢面板）2台；65、开水器：（9KW带底座）2台。</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1.4 会议话筒：</w:t>
            </w:r>
          </w:p>
          <w:p>
            <w:pPr>
              <w:pStyle w:val="13"/>
              <w:keepNext w:val="0"/>
              <w:keepLines w:val="0"/>
              <w:pageBreakBefore w:val="0"/>
              <w:widowControl w:val="0"/>
              <w:numPr>
                <w:ilvl w:val="0"/>
                <w:numId w:val="13"/>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音响：频响：(</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3分贝); 70Hz—2kHz；                                                                   2、单元：低频8x1，高频 :1x1；                                                                     3、功率:≥150W，灵敏度:99dB，标称阻抗：8 ohm，覆盖角（水平Ｘ垂直）：90x50；                                                                                                                                                                                  </w:t>
            </w:r>
            <w:r>
              <w:rPr>
                <w:rFonts w:hint="eastAsia" w:ascii="仿宋_GB2312" w:hAnsi="仿宋_GB2312" w:eastAsia="仿宋_GB2312" w:cs="仿宋_GB2312"/>
                <w:color w:val="auto"/>
                <w:kern w:val="2"/>
                <w:sz w:val="24"/>
                <w:szCs w:val="24"/>
                <w:highlight w:val="none"/>
                <w:shd w:val="clear" w:color="auto" w:fill="auto"/>
                <w:lang w:val="en-US" w:eastAsia="zh-CN" w:bidi="ar-SA"/>
              </w:rPr>
              <w:t>4</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、功放：功率大小：≥200w+200w，电阻：8欧 ，重量：≤10kg ；                                         </w:t>
            </w:r>
            <w:r>
              <w:rPr>
                <w:rFonts w:hint="eastAsia" w:ascii="仿宋_GB2312" w:hAnsi="仿宋_GB2312" w:eastAsia="仿宋_GB2312" w:cs="仿宋_GB2312"/>
                <w:color w:val="auto"/>
                <w:kern w:val="2"/>
                <w:sz w:val="24"/>
                <w:szCs w:val="24"/>
                <w:highlight w:val="none"/>
                <w:shd w:val="clear" w:color="auto" w:fill="auto"/>
                <w:lang w:val="en-US" w:eastAsia="zh-CN" w:bidi="ar-SA"/>
              </w:rPr>
              <w:t>5</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、会议主机：显示方式:液晶显示屏，电源: DC12-17V，接收灵敏度: -105dBm，信噪比:&gt;90dB，工作有效距离:≥100米，功率: 6. 5W。话筒（15个）：显示方式:液晶动态显示屏；                                                                                            </w:t>
            </w:r>
            <w:r>
              <w:rPr>
                <w:rFonts w:hint="eastAsia" w:ascii="仿宋_GB2312" w:hAnsi="仿宋_GB2312" w:eastAsia="仿宋_GB2312" w:cs="仿宋_GB2312"/>
                <w:color w:val="auto"/>
                <w:kern w:val="2"/>
                <w:sz w:val="24"/>
                <w:szCs w:val="24"/>
                <w:highlight w:val="none"/>
                <w:shd w:val="clear" w:color="auto" w:fill="auto"/>
                <w:lang w:val="en-US" w:eastAsia="zh-CN" w:bidi="ar-SA"/>
              </w:rPr>
              <w:t>6</w:t>
            </w:r>
            <w:r>
              <w:rPr>
                <w:rFonts w:hint="default" w:ascii="仿宋_GB2312" w:hAnsi="仿宋_GB2312" w:eastAsia="仿宋_GB2312" w:cs="仿宋_GB2312"/>
                <w:color w:val="auto"/>
                <w:kern w:val="2"/>
                <w:sz w:val="24"/>
                <w:szCs w:val="24"/>
                <w:highlight w:val="none"/>
                <w:shd w:val="clear" w:color="auto" w:fill="auto"/>
                <w:lang w:val="en-US" w:eastAsia="zh-CN" w:bidi="ar-SA"/>
              </w:rPr>
              <w:t>、话筒咪杆:分离式电容咪芯鹅颈咪杆，电源供应: DC3V，供电模式:拨动模式开关，话筒指示灯:咪杆工作指示灯，供电方式: 2节五号电池，待机时长: 10小时；一套包括：功放1台、主机1台、话筒15个</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1.5 智能录音笔：</w:t>
            </w:r>
          </w:p>
          <w:p>
            <w:pPr>
              <w:pStyle w:val="13"/>
              <w:keepNext w:val="0"/>
              <w:keepLines w:val="0"/>
              <w:pageBreakBefore w:val="0"/>
              <w:widowControl w:val="0"/>
              <w:numPr>
                <w:ilvl w:val="0"/>
                <w:numId w:val="14"/>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电池容量：≥2.5Ah；                                                                       　　　　　　　　　　　　2、录音转文字准确率≥９８％；                                                                   　　　　　　　　　　   3、最远拾音距离：≥15米，可实现离线转写；                                                    　　　　　　　　　　　　　　　  4、存储：≥16G；                                                                    　　　　　　　　　　　　　　　　  5、可OCR拍照识别；                                                                  　　　　　　　　　　　　　　　　 6、重量：≤175g</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1.6 智慧屏：</w:t>
            </w:r>
          </w:p>
          <w:p>
            <w:pPr>
              <w:pStyle w:val="19"/>
              <w:keepNext w:val="0"/>
              <w:keepLines w:val="0"/>
              <w:widowControl/>
              <w:suppressLineNumbers w:val="0"/>
              <w:shd w:val="clear"/>
              <w:wordWrap/>
              <w:spacing w:before="0" w:beforeAutospacing="0" w:after="0" w:afterAutospacing="0"/>
              <w:ind w:left="0" w:right="0" w:firstLine="0"/>
              <w:jc w:val="left"/>
              <w:rPr>
                <w:rFonts w:hint="eastAsia" w:ascii="仿宋_GB2312" w:hAnsi="仿宋_GB2312" w:eastAsia="仿宋_GB2312" w:cs="仿宋_GB2312"/>
                <w:b w:val="0"/>
                <w:i w:val="0"/>
                <w:caps w:val="0"/>
                <w:color w:val="auto"/>
                <w:spacing w:val="0"/>
                <w:sz w:val="24"/>
                <w:szCs w:val="24"/>
                <w:shd w:val="clear" w:color="auto" w:fill="auto"/>
                <w:lang w:eastAsia="zh-CN"/>
              </w:rPr>
            </w:pPr>
            <w:r>
              <w:rPr>
                <w:rFonts w:hint="eastAsia" w:ascii="仿宋_GB2312" w:hAnsi="仿宋_GB2312" w:eastAsia="仿宋_GB2312" w:cs="仿宋_GB2312"/>
                <w:b w:val="0"/>
                <w:i w:val="0"/>
                <w:caps w:val="0"/>
                <w:color w:val="auto"/>
                <w:spacing w:val="0"/>
                <w:sz w:val="24"/>
                <w:szCs w:val="24"/>
                <w:shd w:val="clear" w:color="auto" w:fill="auto"/>
                <w:lang w:val="en-US" w:eastAsia="zh-CN"/>
              </w:rPr>
              <w:t>1、</w:t>
            </w:r>
            <w:r>
              <w:rPr>
                <w:rFonts w:hint="eastAsia" w:ascii="仿宋_GB2312" w:hAnsi="仿宋_GB2312" w:eastAsia="仿宋_GB2312" w:cs="仿宋_GB2312"/>
                <w:b w:val="0"/>
                <w:i w:val="0"/>
                <w:caps w:val="0"/>
                <w:color w:val="auto"/>
                <w:spacing w:val="0"/>
                <w:sz w:val="24"/>
                <w:szCs w:val="24"/>
                <w:shd w:val="clear" w:color="auto" w:fill="auto"/>
              </w:rPr>
              <w:t>液晶屏显示尺寸≥86英寸，显示比例16:9；分辨率≥3840*2160。</w:t>
            </w:r>
            <w:r>
              <w:rPr>
                <w:rFonts w:hint="eastAsia" w:ascii="仿宋_GB2312" w:hAnsi="仿宋_GB2312" w:eastAsia="仿宋_GB2312" w:cs="仿宋_GB2312"/>
                <w:b w:val="0"/>
                <w:i w:val="0"/>
                <w:caps w:val="0"/>
                <w:color w:val="auto"/>
                <w:spacing w:val="0"/>
                <w:sz w:val="24"/>
                <w:szCs w:val="24"/>
                <w:shd w:val="clear" w:color="auto" w:fill="auto"/>
                <w:lang w:val="en-US" w:eastAsia="zh-CN"/>
              </w:rPr>
              <w:t xml:space="preserve">                                             2</w:t>
            </w:r>
            <w:r>
              <w:rPr>
                <w:rFonts w:hint="eastAsia" w:ascii="仿宋_GB2312" w:hAnsi="仿宋_GB2312" w:eastAsia="仿宋_GB2312" w:cs="仿宋_GB2312"/>
                <w:b w:val="0"/>
                <w:i w:val="0"/>
                <w:caps w:val="0"/>
                <w:color w:val="auto"/>
                <w:spacing w:val="0"/>
                <w:sz w:val="24"/>
                <w:szCs w:val="24"/>
                <w:shd w:val="clear" w:color="auto" w:fill="auto"/>
                <w:lang w:eastAsia="zh-CN"/>
              </w:rPr>
              <w:t>、</w:t>
            </w:r>
            <w:r>
              <w:rPr>
                <w:rFonts w:hint="eastAsia" w:ascii="仿宋_GB2312" w:hAnsi="仿宋_GB2312" w:eastAsia="仿宋_GB2312" w:cs="仿宋_GB2312"/>
                <w:b w:val="0"/>
                <w:i w:val="0"/>
                <w:caps w:val="0"/>
                <w:color w:val="auto"/>
                <w:spacing w:val="0"/>
                <w:sz w:val="24"/>
                <w:szCs w:val="24"/>
                <w:shd w:val="clear" w:color="auto" w:fill="auto"/>
              </w:rPr>
              <w:t>采用红外感应技术，在双系统下均支持不少于20点触控，触摸分辨率≥32768（W）*32768（D）；触摸精度≤±1mm；触摸高度≤3mm；最小识别直径≤2mm</w:t>
            </w:r>
            <w:r>
              <w:rPr>
                <w:rFonts w:hint="eastAsia" w:ascii="仿宋_GB2312" w:hAnsi="仿宋_GB2312" w:eastAsia="仿宋_GB2312" w:cs="仿宋_GB2312"/>
                <w:b w:val="0"/>
                <w:i w:val="0"/>
                <w:caps w:val="0"/>
                <w:color w:val="auto"/>
                <w:spacing w:val="0"/>
                <w:sz w:val="24"/>
                <w:szCs w:val="24"/>
                <w:shd w:val="clear" w:color="auto" w:fill="auto"/>
                <w:lang w:eastAsia="zh-CN"/>
              </w:rPr>
              <w:t>；</w:t>
            </w:r>
          </w:p>
          <w:p>
            <w:pPr>
              <w:pStyle w:val="19"/>
              <w:keepNext w:val="0"/>
              <w:keepLines w:val="0"/>
              <w:widowControl/>
              <w:suppressLineNumbers w:val="0"/>
              <w:shd w:val="clear"/>
              <w:wordWrap/>
              <w:spacing w:before="0" w:beforeAutospacing="0" w:after="0" w:afterAutospacing="0"/>
              <w:ind w:left="0" w:right="0" w:firstLine="0"/>
              <w:jc w:val="left"/>
              <w:rPr>
                <w:rFonts w:hint="eastAsia" w:ascii="仿宋_GB2312" w:hAnsi="仿宋_GB2312" w:eastAsia="仿宋_GB2312" w:cs="仿宋_GB2312"/>
                <w:b w:val="0"/>
                <w:i w:val="0"/>
                <w:caps w:val="0"/>
                <w:color w:val="auto"/>
                <w:spacing w:val="0"/>
                <w:sz w:val="24"/>
                <w:szCs w:val="24"/>
                <w:shd w:val="clear" w:color="auto" w:fill="auto"/>
                <w:lang w:eastAsia="zh-CN"/>
              </w:rPr>
            </w:pPr>
            <w:r>
              <w:rPr>
                <w:rFonts w:hint="eastAsia" w:ascii="仿宋_GB2312" w:hAnsi="仿宋_GB2312" w:eastAsia="仿宋_GB2312" w:cs="仿宋_GB2312"/>
                <w:b w:val="0"/>
                <w:i w:val="0"/>
                <w:caps w:val="0"/>
                <w:color w:val="auto"/>
                <w:spacing w:val="0"/>
                <w:sz w:val="24"/>
                <w:szCs w:val="24"/>
                <w:shd w:val="clear" w:color="auto" w:fill="auto"/>
                <w:lang w:val="en-US" w:eastAsia="zh-CN"/>
              </w:rPr>
              <w:t>3、</w:t>
            </w:r>
            <w:r>
              <w:rPr>
                <w:rFonts w:hint="eastAsia" w:ascii="仿宋_GB2312" w:hAnsi="仿宋_GB2312" w:eastAsia="仿宋_GB2312" w:cs="仿宋_GB2312"/>
                <w:b w:val="0"/>
                <w:i w:val="0"/>
                <w:caps w:val="0"/>
                <w:color w:val="auto"/>
                <w:spacing w:val="0"/>
                <w:sz w:val="24"/>
                <w:szCs w:val="24"/>
                <w:shd w:val="clear" w:color="auto" w:fill="auto"/>
              </w:rPr>
              <w:t>屏体</w:t>
            </w:r>
            <w:r>
              <w:rPr>
                <w:rFonts w:hint="eastAsia" w:ascii="仿宋_GB2312" w:hAnsi="仿宋_GB2312" w:eastAsia="仿宋_GB2312" w:cs="仿宋_GB2312"/>
                <w:b w:val="0"/>
                <w:i w:val="0"/>
                <w:caps w:val="0"/>
                <w:color w:val="auto"/>
                <w:spacing w:val="0"/>
                <w:sz w:val="24"/>
                <w:szCs w:val="24"/>
                <w:shd w:val="clear" w:color="auto" w:fill="auto"/>
                <w:lang w:eastAsia="zh-CN"/>
              </w:rPr>
              <w:t>需</w:t>
            </w:r>
            <w:r>
              <w:rPr>
                <w:rFonts w:hint="eastAsia" w:ascii="仿宋_GB2312" w:hAnsi="仿宋_GB2312" w:eastAsia="仿宋_GB2312" w:cs="仿宋_GB2312"/>
                <w:b w:val="0"/>
                <w:i w:val="0"/>
                <w:caps w:val="0"/>
                <w:color w:val="auto"/>
                <w:spacing w:val="0"/>
                <w:sz w:val="24"/>
                <w:szCs w:val="24"/>
                <w:shd w:val="clear" w:color="auto" w:fill="auto"/>
              </w:rPr>
              <w:t>采用物理防蓝光设计</w:t>
            </w:r>
            <w:r>
              <w:rPr>
                <w:rFonts w:hint="eastAsia" w:ascii="仿宋_GB2312" w:hAnsi="仿宋_GB2312" w:eastAsia="仿宋_GB2312" w:cs="仿宋_GB2312"/>
                <w:b w:val="0"/>
                <w:i w:val="0"/>
                <w:caps w:val="0"/>
                <w:color w:val="auto"/>
                <w:spacing w:val="0"/>
                <w:sz w:val="24"/>
                <w:szCs w:val="24"/>
                <w:shd w:val="clear" w:color="auto" w:fill="auto"/>
                <w:lang w:eastAsia="zh-CN"/>
              </w:rPr>
              <w:t>；</w:t>
            </w:r>
          </w:p>
          <w:p>
            <w:pPr>
              <w:pStyle w:val="19"/>
              <w:keepNext w:val="0"/>
              <w:keepLines w:val="0"/>
              <w:widowControl/>
              <w:suppressLineNumbers w:val="0"/>
              <w:shd w:val="clear"/>
              <w:wordWrap/>
              <w:spacing w:before="0" w:beforeAutospacing="0" w:after="0" w:afterAutospacing="0"/>
              <w:ind w:left="0" w:right="0" w:firstLine="0"/>
              <w:jc w:val="left"/>
              <w:rPr>
                <w:rFonts w:hint="eastAsia" w:ascii="仿宋_GB2312" w:hAnsi="仿宋_GB2312" w:eastAsia="仿宋_GB2312" w:cs="仿宋_GB2312"/>
                <w:b w:val="0"/>
                <w:i w:val="0"/>
                <w:caps w:val="0"/>
                <w:color w:val="auto"/>
                <w:spacing w:val="0"/>
                <w:sz w:val="24"/>
                <w:szCs w:val="24"/>
                <w:shd w:val="clear" w:color="auto" w:fill="auto"/>
                <w:lang w:eastAsia="zh-CN"/>
              </w:rPr>
            </w:pPr>
            <w:r>
              <w:rPr>
                <w:rFonts w:hint="eastAsia" w:ascii="仿宋_GB2312" w:hAnsi="仿宋_GB2312" w:eastAsia="仿宋_GB2312" w:cs="仿宋_GB2312"/>
                <w:b w:val="0"/>
                <w:i w:val="0"/>
                <w:caps w:val="0"/>
                <w:color w:val="auto"/>
                <w:spacing w:val="0"/>
                <w:sz w:val="24"/>
                <w:szCs w:val="24"/>
                <w:shd w:val="clear" w:color="auto" w:fill="auto"/>
                <w:lang w:val="en-US" w:eastAsia="zh-CN"/>
              </w:rPr>
              <w:t>4</w:t>
            </w:r>
            <w:r>
              <w:rPr>
                <w:rFonts w:hint="eastAsia" w:ascii="仿宋_GB2312" w:hAnsi="仿宋_GB2312" w:eastAsia="仿宋_GB2312" w:cs="仿宋_GB2312"/>
                <w:b w:val="0"/>
                <w:i w:val="0"/>
                <w:caps w:val="0"/>
                <w:color w:val="auto"/>
                <w:spacing w:val="0"/>
                <w:sz w:val="24"/>
                <w:szCs w:val="24"/>
                <w:shd w:val="clear" w:color="auto" w:fill="auto"/>
                <w:lang w:eastAsia="zh-CN"/>
              </w:rPr>
              <w:t>、</w:t>
            </w:r>
            <w:r>
              <w:rPr>
                <w:rFonts w:hint="eastAsia" w:ascii="仿宋_GB2312" w:hAnsi="仿宋_GB2312" w:eastAsia="仿宋_GB2312" w:cs="仿宋_GB2312"/>
                <w:b w:val="0"/>
                <w:i w:val="0"/>
                <w:caps w:val="0"/>
                <w:color w:val="auto"/>
                <w:spacing w:val="0"/>
                <w:sz w:val="24"/>
                <w:szCs w:val="24"/>
                <w:shd w:val="clear" w:color="auto" w:fill="auto"/>
              </w:rPr>
              <w:t>整机后置≥2路HDMI输入接口、≥1路HDMI输出接口、≥1路MIC输入接口、≥1路MIC输出接口、≥1路RJ45接口、≥1路COM接口、≥1路USB Type-A接口、≥1路USB Type-B接口。</w:t>
            </w:r>
          </w:p>
          <w:p>
            <w:pPr>
              <w:pStyle w:val="19"/>
              <w:keepNext w:val="0"/>
              <w:keepLines w:val="0"/>
              <w:widowControl/>
              <w:suppressLineNumbers w:val="0"/>
              <w:shd w:val="clear"/>
              <w:wordWrap/>
              <w:spacing w:before="0" w:beforeAutospacing="0" w:after="0" w:afterAutospacing="0"/>
              <w:ind w:left="0" w:right="0" w:firstLine="0"/>
              <w:jc w:val="left"/>
              <w:rPr>
                <w:rFonts w:hint="eastAsia" w:ascii="仿宋_GB2312" w:hAnsi="仿宋_GB2312" w:eastAsia="仿宋_GB2312" w:cs="仿宋_GB2312"/>
                <w:b w:val="0"/>
                <w:i w:val="0"/>
                <w:caps w:val="0"/>
                <w:color w:val="auto"/>
                <w:spacing w:val="0"/>
                <w:sz w:val="24"/>
                <w:szCs w:val="24"/>
                <w:shd w:val="clear" w:color="auto" w:fill="auto"/>
                <w:lang w:eastAsia="zh-CN"/>
              </w:rPr>
            </w:pPr>
            <w:r>
              <w:rPr>
                <w:rFonts w:hint="eastAsia" w:ascii="仿宋_GB2312" w:hAnsi="仿宋_GB2312" w:eastAsia="仿宋_GB2312" w:cs="仿宋_GB2312"/>
                <w:b w:val="0"/>
                <w:i w:val="0"/>
                <w:caps w:val="0"/>
                <w:color w:val="auto"/>
                <w:spacing w:val="0"/>
                <w:sz w:val="24"/>
                <w:szCs w:val="24"/>
                <w:shd w:val="clear" w:color="auto" w:fill="auto"/>
                <w:lang w:val="en-US" w:eastAsia="zh-CN"/>
              </w:rPr>
              <w:t>5、</w:t>
            </w:r>
            <w:r>
              <w:rPr>
                <w:rFonts w:hint="eastAsia" w:ascii="仿宋_GB2312" w:hAnsi="仿宋_GB2312" w:eastAsia="仿宋_GB2312" w:cs="仿宋_GB2312"/>
                <w:b w:val="0"/>
                <w:i w:val="0"/>
                <w:caps w:val="0"/>
                <w:color w:val="auto"/>
                <w:spacing w:val="0"/>
                <w:sz w:val="24"/>
                <w:szCs w:val="24"/>
                <w:shd w:val="clear" w:color="auto" w:fill="auto"/>
              </w:rPr>
              <w:t>整机须支持Windows和Android双系统，也可根据需要设置单一windows模式</w:t>
            </w:r>
            <w:r>
              <w:rPr>
                <w:rFonts w:hint="eastAsia" w:ascii="仿宋_GB2312" w:hAnsi="仿宋_GB2312" w:eastAsia="仿宋_GB2312" w:cs="仿宋_GB2312"/>
                <w:b w:val="0"/>
                <w:i w:val="0"/>
                <w:caps w:val="0"/>
                <w:color w:val="auto"/>
                <w:spacing w:val="0"/>
                <w:sz w:val="24"/>
                <w:szCs w:val="24"/>
                <w:shd w:val="clear" w:color="auto" w:fill="auto"/>
                <w:lang w:eastAsia="zh-CN"/>
              </w:rPr>
              <w:t>；</w:t>
            </w:r>
            <w:r>
              <w:rPr>
                <w:rFonts w:hint="eastAsia" w:ascii="仿宋_GB2312" w:hAnsi="仿宋_GB2312" w:eastAsia="仿宋_GB2312" w:cs="仿宋_GB2312"/>
                <w:b w:val="0"/>
                <w:i w:val="0"/>
                <w:caps w:val="0"/>
                <w:color w:val="auto"/>
                <w:spacing w:val="0"/>
                <w:sz w:val="24"/>
                <w:szCs w:val="24"/>
                <w:shd w:val="clear" w:color="auto" w:fill="auto"/>
                <w:lang w:val="en-US" w:eastAsia="zh-CN"/>
              </w:rPr>
              <w:t>6、</w:t>
            </w:r>
            <w:r>
              <w:rPr>
                <w:rFonts w:hint="eastAsia" w:ascii="仿宋_GB2312" w:hAnsi="仿宋_GB2312" w:eastAsia="仿宋_GB2312" w:cs="仿宋_GB2312"/>
                <w:b w:val="0"/>
                <w:i w:val="0"/>
                <w:caps w:val="0"/>
                <w:color w:val="auto"/>
                <w:spacing w:val="0"/>
                <w:sz w:val="24"/>
                <w:szCs w:val="24"/>
                <w:shd w:val="clear" w:color="auto" w:fill="auto"/>
              </w:rPr>
              <w:t>设备采用多声道组合音响，提供不低于4个扬声器，且前置全频扬声器功率不低于10W，下置低音扬声器功率不低于20W。</w:t>
            </w:r>
          </w:p>
          <w:p>
            <w:pPr>
              <w:pStyle w:val="19"/>
              <w:keepNext w:val="0"/>
              <w:keepLines w:val="0"/>
              <w:widowControl/>
              <w:suppressLineNumbers w:val="0"/>
              <w:shd w:val="clear"/>
              <w:wordWrap/>
              <w:spacing w:before="0" w:beforeAutospacing="0" w:after="0" w:afterAutospacing="0"/>
              <w:ind w:left="0" w:right="0" w:firstLine="0"/>
              <w:jc w:val="left"/>
              <w:rPr>
                <w:rFonts w:hint="eastAsia" w:ascii="仿宋_GB2312" w:hAnsi="仿宋_GB2312" w:eastAsia="仿宋_GB2312" w:cs="仿宋_GB2312"/>
                <w:b w:val="0"/>
                <w:i w:val="0"/>
                <w:caps w:val="0"/>
                <w:color w:val="auto"/>
                <w:spacing w:val="0"/>
                <w:sz w:val="24"/>
                <w:szCs w:val="24"/>
                <w:shd w:val="clear" w:color="auto" w:fill="auto"/>
                <w:lang w:eastAsia="zh-CN"/>
              </w:rPr>
            </w:pPr>
            <w:r>
              <w:rPr>
                <w:rFonts w:hint="eastAsia" w:ascii="仿宋_GB2312" w:hAnsi="仿宋_GB2312" w:eastAsia="仿宋_GB2312" w:cs="仿宋_GB2312"/>
                <w:b w:val="0"/>
                <w:i w:val="0"/>
                <w:caps w:val="0"/>
                <w:color w:val="auto"/>
                <w:spacing w:val="0"/>
                <w:sz w:val="24"/>
                <w:szCs w:val="24"/>
                <w:shd w:val="clear" w:color="auto" w:fill="auto"/>
                <w:lang w:val="en-US" w:eastAsia="zh-CN"/>
              </w:rPr>
              <w:t>7、</w:t>
            </w:r>
            <w:r>
              <w:rPr>
                <w:rFonts w:hint="eastAsia" w:ascii="仿宋_GB2312" w:hAnsi="仿宋_GB2312" w:eastAsia="仿宋_GB2312" w:cs="仿宋_GB2312"/>
                <w:b w:val="0"/>
                <w:i w:val="0"/>
                <w:caps w:val="0"/>
                <w:color w:val="auto"/>
                <w:spacing w:val="0"/>
                <w:sz w:val="24"/>
                <w:szCs w:val="24"/>
                <w:shd w:val="clear" w:color="auto" w:fill="auto"/>
              </w:rPr>
              <w:t>整机须内置非独立外扩展的阵列麦克风，可用于对教室环境音频进行采集，拾音距离不低于6米</w:t>
            </w:r>
            <w:r>
              <w:rPr>
                <w:rFonts w:hint="eastAsia" w:ascii="仿宋_GB2312" w:hAnsi="仿宋_GB2312" w:eastAsia="仿宋_GB2312" w:cs="仿宋_GB2312"/>
                <w:b w:val="0"/>
                <w:i w:val="0"/>
                <w:caps w:val="0"/>
                <w:color w:val="auto"/>
                <w:spacing w:val="0"/>
                <w:sz w:val="24"/>
                <w:szCs w:val="24"/>
                <w:shd w:val="clear" w:color="auto" w:fill="auto"/>
                <w:lang w:eastAsia="zh-CN"/>
              </w:rPr>
              <w:t>；</w:t>
            </w:r>
          </w:p>
          <w:p>
            <w:pPr>
              <w:pStyle w:val="19"/>
              <w:keepNext w:val="0"/>
              <w:keepLines w:val="0"/>
              <w:widowControl/>
              <w:suppressLineNumbers w:val="0"/>
              <w:shd w:val="clear"/>
              <w:wordWrap/>
              <w:spacing w:before="0" w:beforeAutospacing="0" w:after="0" w:afterAutospacing="0"/>
              <w:ind w:left="0" w:right="0" w:firstLine="0"/>
              <w:jc w:val="left"/>
              <w:rPr>
                <w:rFonts w:hint="eastAsia" w:ascii="仿宋_GB2312" w:hAnsi="仿宋_GB2312" w:eastAsia="仿宋_GB2312" w:cs="仿宋_GB2312"/>
                <w:b w:val="0"/>
                <w:i w:val="0"/>
                <w:caps w:val="0"/>
                <w:color w:val="auto"/>
                <w:spacing w:val="0"/>
                <w:sz w:val="24"/>
                <w:szCs w:val="24"/>
                <w:shd w:val="clear" w:color="auto" w:fill="auto"/>
                <w:lang w:eastAsia="zh-CN"/>
              </w:rPr>
            </w:pPr>
            <w:r>
              <w:rPr>
                <w:rFonts w:hint="eastAsia" w:ascii="仿宋_GB2312" w:hAnsi="仿宋_GB2312" w:eastAsia="仿宋_GB2312" w:cs="仿宋_GB2312"/>
                <w:b w:val="0"/>
                <w:i w:val="0"/>
                <w:caps w:val="0"/>
                <w:color w:val="auto"/>
                <w:spacing w:val="0"/>
                <w:sz w:val="24"/>
                <w:szCs w:val="24"/>
                <w:shd w:val="clear" w:color="auto" w:fill="auto"/>
                <w:lang w:val="en-US" w:eastAsia="zh-CN"/>
              </w:rPr>
              <w:t>8、</w:t>
            </w:r>
            <w:r>
              <w:rPr>
                <w:rFonts w:hint="eastAsia" w:ascii="仿宋_GB2312" w:hAnsi="仿宋_GB2312" w:eastAsia="仿宋_GB2312" w:cs="仿宋_GB2312"/>
                <w:b w:val="0"/>
                <w:i w:val="0"/>
                <w:caps w:val="0"/>
                <w:color w:val="auto"/>
                <w:spacing w:val="0"/>
                <w:sz w:val="24"/>
                <w:szCs w:val="24"/>
                <w:shd w:val="clear" w:color="auto" w:fill="auto"/>
              </w:rPr>
              <w:t>设备须通过浪涌抗扰度、静电放电、电压波动闪烁、电快速瞬变脉冲群抗扰度、电源端子传导骚扰限值、传导抗扰度、辐射骚扰限值、辐射抗扰度等电磁兼容类测试，确保整机使用安全</w:t>
            </w:r>
            <w:r>
              <w:rPr>
                <w:rFonts w:hint="eastAsia" w:ascii="仿宋_GB2312" w:hAnsi="仿宋_GB2312" w:eastAsia="仿宋_GB2312" w:cs="仿宋_GB2312"/>
                <w:b w:val="0"/>
                <w:i w:val="0"/>
                <w:caps w:val="0"/>
                <w:color w:val="auto"/>
                <w:spacing w:val="0"/>
                <w:sz w:val="24"/>
                <w:szCs w:val="24"/>
                <w:shd w:val="clear" w:color="auto" w:fill="auto"/>
                <w:lang w:eastAsia="zh-CN"/>
              </w:rPr>
              <w:t>；’</w:t>
            </w:r>
          </w:p>
          <w:p>
            <w:pPr>
              <w:pStyle w:val="19"/>
              <w:keepNext w:val="0"/>
              <w:keepLines w:val="0"/>
              <w:widowControl/>
              <w:suppressLineNumbers w:val="0"/>
              <w:shd w:val="clear"/>
              <w:wordWrap/>
              <w:spacing w:before="0" w:beforeAutospacing="0" w:after="0" w:afterAutospacing="0"/>
              <w:ind w:left="0" w:right="0" w:firstLine="0"/>
              <w:jc w:val="left"/>
              <w:rPr>
                <w:rFonts w:hint="eastAsia" w:ascii="仿宋_GB2312" w:hAnsi="仿宋_GB2312" w:eastAsia="仿宋_GB2312" w:cs="仿宋_GB2312"/>
                <w:b w:val="0"/>
                <w:i w:val="0"/>
                <w:caps w:val="0"/>
                <w:color w:val="auto"/>
                <w:spacing w:val="0"/>
                <w:sz w:val="24"/>
                <w:szCs w:val="24"/>
                <w:shd w:val="clear" w:color="auto" w:fill="auto"/>
                <w:lang w:eastAsia="zh-CN"/>
              </w:rPr>
            </w:pPr>
            <w:r>
              <w:rPr>
                <w:rFonts w:hint="eastAsia" w:ascii="仿宋_GB2312" w:hAnsi="仿宋_GB2312" w:eastAsia="仿宋_GB2312" w:cs="仿宋_GB2312"/>
                <w:b w:val="0"/>
                <w:i w:val="0"/>
                <w:caps w:val="0"/>
                <w:color w:val="auto"/>
                <w:spacing w:val="0"/>
                <w:sz w:val="24"/>
                <w:szCs w:val="24"/>
                <w:shd w:val="clear" w:color="auto" w:fill="auto"/>
                <w:lang w:val="en-US" w:eastAsia="zh-CN"/>
              </w:rPr>
              <w:t>9、</w:t>
            </w:r>
            <w:r>
              <w:rPr>
                <w:rFonts w:hint="eastAsia" w:ascii="仿宋_GB2312" w:hAnsi="仿宋_GB2312" w:eastAsia="仿宋_GB2312" w:cs="仿宋_GB2312"/>
                <w:b w:val="0"/>
                <w:i w:val="0"/>
                <w:caps w:val="0"/>
                <w:color w:val="auto"/>
                <w:spacing w:val="0"/>
                <w:sz w:val="24"/>
                <w:szCs w:val="24"/>
                <w:shd w:val="clear" w:color="auto" w:fill="auto"/>
              </w:rPr>
              <w:t>设备须通过防火、抗震动、防腐蚀、防跌落、抗电强度、保护连接导体电阻、接触电流等环境安全类测试，确保整机使用安全</w:t>
            </w:r>
            <w:r>
              <w:rPr>
                <w:rFonts w:hint="eastAsia" w:ascii="仿宋_GB2312" w:hAnsi="仿宋_GB2312" w:eastAsia="仿宋_GB2312" w:cs="仿宋_GB2312"/>
                <w:b w:val="0"/>
                <w:i w:val="0"/>
                <w:caps w:val="0"/>
                <w:color w:val="auto"/>
                <w:spacing w:val="0"/>
                <w:sz w:val="24"/>
                <w:szCs w:val="24"/>
                <w:shd w:val="clear" w:color="auto" w:fill="auto"/>
                <w:lang w:eastAsia="zh-CN"/>
              </w:rPr>
              <w:t>；</w:t>
            </w:r>
          </w:p>
          <w:p>
            <w:pPr>
              <w:pStyle w:val="19"/>
              <w:keepNext w:val="0"/>
              <w:keepLines w:val="0"/>
              <w:widowControl/>
              <w:suppressLineNumbers w:val="0"/>
              <w:shd w:val="clear"/>
              <w:wordWrap/>
              <w:spacing w:before="0" w:beforeAutospacing="0" w:after="0" w:afterAutospacing="0"/>
              <w:ind w:left="0" w:right="0" w:firstLine="0"/>
              <w:jc w:val="left"/>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val="0"/>
                <w:i w:val="0"/>
                <w:caps w:val="0"/>
                <w:color w:val="auto"/>
                <w:spacing w:val="0"/>
                <w:sz w:val="24"/>
                <w:szCs w:val="24"/>
                <w:shd w:val="clear" w:color="auto" w:fill="auto"/>
                <w:lang w:val="en-US" w:eastAsia="zh-CN"/>
              </w:rPr>
              <w:t>10、</w:t>
            </w:r>
            <w:r>
              <w:rPr>
                <w:rFonts w:hint="eastAsia" w:ascii="仿宋_GB2312" w:hAnsi="仿宋_GB2312" w:eastAsia="仿宋_GB2312" w:cs="仿宋_GB2312"/>
                <w:b w:val="0"/>
                <w:i w:val="0"/>
                <w:caps w:val="0"/>
                <w:color w:val="auto"/>
                <w:spacing w:val="0"/>
                <w:sz w:val="24"/>
                <w:szCs w:val="24"/>
                <w:shd w:val="clear" w:color="auto" w:fill="auto"/>
              </w:rPr>
              <w:t>内置安卓系统，CPU采用四核，ROM≥64GB，RAM≥8GB，系统版本不低于9.0，支持在线升级；安卓主页面提供不少于6个应用程序。</w:t>
            </w:r>
          </w:p>
          <w:p>
            <w:pPr>
              <w:pStyle w:val="19"/>
              <w:keepNext w:val="0"/>
              <w:keepLines w:val="0"/>
              <w:widowControl/>
              <w:suppressLineNumbers w:val="0"/>
              <w:shd w:val="clear"/>
              <w:wordWrap/>
              <w:spacing w:before="0" w:beforeAutospacing="0" w:after="0" w:afterAutospacing="0"/>
              <w:ind w:left="0" w:right="0" w:firstLine="0"/>
              <w:jc w:val="left"/>
              <w:rPr>
                <w:rFonts w:hint="eastAsia" w:ascii="仿宋_GB2312" w:hAnsi="仿宋_GB2312" w:eastAsia="仿宋_GB2312" w:cs="仿宋_GB2312"/>
                <w:b w:val="0"/>
                <w:i w:val="0"/>
                <w:caps w:val="0"/>
                <w:color w:val="auto"/>
                <w:spacing w:val="0"/>
                <w:sz w:val="24"/>
                <w:szCs w:val="24"/>
                <w:shd w:val="clear" w:color="auto" w:fill="auto"/>
                <w:lang w:eastAsia="zh-CN"/>
              </w:rPr>
            </w:pPr>
            <w:r>
              <w:rPr>
                <w:rFonts w:hint="eastAsia" w:ascii="仿宋_GB2312" w:hAnsi="仿宋_GB2312" w:eastAsia="仿宋_GB2312" w:cs="仿宋_GB2312"/>
                <w:b w:val="0"/>
                <w:i w:val="0"/>
                <w:caps w:val="0"/>
                <w:color w:val="auto"/>
                <w:spacing w:val="0"/>
                <w:sz w:val="24"/>
                <w:szCs w:val="24"/>
                <w:shd w:val="clear" w:color="auto" w:fill="auto"/>
                <w:lang w:val="en-US" w:eastAsia="zh-CN"/>
              </w:rPr>
              <w:t>11、</w:t>
            </w:r>
            <w:r>
              <w:rPr>
                <w:rFonts w:hint="eastAsia" w:ascii="仿宋_GB2312" w:hAnsi="仿宋_GB2312" w:eastAsia="仿宋_GB2312" w:cs="仿宋_GB2312"/>
                <w:b w:val="0"/>
                <w:i w:val="0"/>
                <w:caps w:val="0"/>
                <w:color w:val="auto"/>
                <w:spacing w:val="0"/>
                <w:sz w:val="24"/>
                <w:szCs w:val="24"/>
                <w:shd w:val="clear" w:color="auto" w:fill="auto"/>
                <w:lang w:eastAsia="zh-CN"/>
              </w:rPr>
              <w:t>摄像头像素</w:t>
            </w:r>
            <w:r>
              <w:rPr>
                <w:rFonts w:hint="default" w:ascii="Arial" w:hAnsi="Arial" w:eastAsia="仿宋_GB2312" w:cs="Arial"/>
                <w:b w:val="0"/>
                <w:i w:val="0"/>
                <w:caps w:val="0"/>
                <w:color w:val="auto"/>
                <w:spacing w:val="0"/>
                <w:sz w:val="24"/>
                <w:szCs w:val="24"/>
                <w:shd w:val="clear" w:color="auto" w:fill="auto"/>
                <w:lang w:eastAsia="zh-CN"/>
              </w:rPr>
              <w:t>≥</w:t>
            </w:r>
            <w:r>
              <w:rPr>
                <w:rFonts w:hint="eastAsia" w:ascii="仿宋_GB2312" w:hAnsi="仿宋_GB2312" w:eastAsia="仿宋_GB2312" w:cs="仿宋_GB2312"/>
                <w:b w:val="0"/>
                <w:i w:val="0"/>
                <w:caps w:val="0"/>
                <w:color w:val="auto"/>
                <w:spacing w:val="0"/>
                <w:sz w:val="24"/>
                <w:szCs w:val="24"/>
                <w:shd w:val="clear" w:color="auto" w:fill="auto"/>
                <w:lang w:val="en-US" w:eastAsia="zh-CN"/>
              </w:rPr>
              <w:t>4800w，</w:t>
            </w:r>
            <w:r>
              <w:rPr>
                <w:rFonts w:hint="eastAsia" w:ascii="仿宋_GB2312" w:hAnsi="仿宋_GB2312" w:eastAsia="仿宋_GB2312" w:cs="仿宋_GB2312"/>
                <w:b w:val="0"/>
                <w:i w:val="0"/>
                <w:caps w:val="0"/>
                <w:color w:val="auto"/>
                <w:spacing w:val="0"/>
                <w:sz w:val="24"/>
                <w:szCs w:val="24"/>
                <w:shd w:val="clear" w:color="auto" w:fill="auto"/>
              </w:rPr>
              <w:t>须支持在无外接OPS电脑状态下，整机内置安卓应用市场，操作者可直接打开应用市场自主安装应用，应用市场内须配置不少于100个第三方应用。为保证应用市场及提供第三方应用的兼容性，所提供的应用市场须与硬件设备为同一品牌</w:t>
            </w:r>
            <w:r>
              <w:rPr>
                <w:rFonts w:hint="eastAsia" w:ascii="仿宋_GB2312" w:hAnsi="仿宋_GB2312" w:eastAsia="仿宋_GB2312" w:cs="仿宋_GB2312"/>
                <w:b w:val="0"/>
                <w:i w:val="0"/>
                <w:caps w:val="0"/>
                <w:color w:val="auto"/>
                <w:spacing w:val="0"/>
                <w:sz w:val="24"/>
                <w:szCs w:val="24"/>
                <w:shd w:val="clear" w:color="auto" w:fill="auto"/>
                <w:lang w:eastAsia="zh-CN"/>
              </w:rPr>
              <w:t>；</w:t>
            </w:r>
          </w:p>
          <w:p>
            <w:pPr>
              <w:pStyle w:val="19"/>
              <w:keepNext w:val="0"/>
              <w:keepLines w:val="0"/>
              <w:widowControl/>
              <w:suppressLineNumbers w:val="0"/>
              <w:shd w:val="clear"/>
              <w:wordWrap/>
              <w:spacing w:before="0" w:beforeAutospacing="0" w:after="0" w:afterAutospacing="0"/>
              <w:ind w:left="0" w:right="0" w:firstLine="0"/>
              <w:jc w:val="left"/>
              <w:rPr>
                <w:rFonts w:hint="eastAsia" w:ascii="仿宋_GB2312" w:hAnsi="仿宋_GB2312" w:eastAsia="仿宋_GB2312" w:cs="仿宋_GB2312"/>
                <w:b w:val="0"/>
                <w:i w:val="0"/>
                <w:caps w:val="0"/>
                <w:color w:val="auto"/>
                <w:spacing w:val="0"/>
                <w:sz w:val="24"/>
                <w:szCs w:val="24"/>
                <w:shd w:val="clear" w:color="auto" w:fill="auto"/>
                <w:lang w:eastAsia="zh-CN"/>
              </w:rPr>
            </w:pPr>
            <w:r>
              <w:rPr>
                <w:rFonts w:hint="eastAsia" w:ascii="仿宋_GB2312" w:hAnsi="仿宋_GB2312" w:eastAsia="仿宋_GB2312" w:cs="仿宋_GB2312"/>
                <w:b w:val="0"/>
                <w:i w:val="0"/>
                <w:caps w:val="0"/>
                <w:color w:val="auto"/>
                <w:spacing w:val="0"/>
                <w:sz w:val="24"/>
                <w:szCs w:val="24"/>
                <w:shd w:val="clear" w:color="auto" w:fill="auto"/>
                <w:lang w:val="en-US" w:eastAsia="zh-CN"/>
              </w:rPr>
              <w:t>12、</w:t>
            </w:r>
            <w:r>
              <w:rPr>
                <w:rFonts w:hint="eastAsia" w:ascii="仿宋_GB2312" w:hAnsi="仿宋_GB2312" w:eastAsia="仿宋_GB2312" w:cs="仿宋_GB2312"/>
                <w:b w:val="0"/>
                <w:i w:val="0"/>
                <w:caps w:val="0"/>
                <w:color w:val="auto"/>
                <w:spacing w:val="0"/>
                <w:sz w:val="24"/>
                <w:szCs w:val="24"/>
                <w:shd w:val="clear" w:color="auto" w:fill="auto"/>
              </w:rPr>
              <w:t>嵌入式Android操作系统下，内置互动白板书写完成后须支持本地保存、邮件分享、微信等主流应用扫码带走功能</w:t>
            </w:r>
            <w:r>
              <w:rPr>
                <w:rFonts w:hint="eastAsia" w:ascii="仿宋_GB2312" w:hAnsi="仿宋_GB2312" w:eastAsia="仿宋_GB2312" w:cs="仿宋_GB2312"/>
                <w:b w:val="0"/>
                <w:i w:val="0"/>
                <w:caps w:val="0"/>
                <w:color w:val="auto"/>
                <w:spacing w:val="0"/>
                <w:sz w:val="24"/>
                <w:szCs w:val="24"/>
                <w:shd w:val="clear" w:color="auto" w:fill="auto"/>
                <w:lang w:eastAsia="zh-CN"/>
              </w:rPr>
              <w:t>；</w:t>
            </w:r>
          </w:p>
          <w:p>
            <w:pPr>
              <w:pStyle w:val="19"/>
              <w:keepNext w:val="0"/>
              <w:keepLines w:val="0"/>
              <w:widowControl/>
              <w:suppressLineNumbers w:val="0"/>
              <w:shd w:val="clear"/>
              <w:wordWrap/>
              <w:spacing w:before="0" w:beforeAutospacing="0" w:after="0" w:afterAutospacing="0"/>
              <w:ind w:left="0" w:right="0" w:firstLine="0"/>
              <w:jc w:val="left"/>
              <w:rPr>
                <w:rFonts w:hint="eastAsia" w:ascii="仿宋_GB2312" w:hAnsi="仿宋_GB2312" w:eastAsia="仿宋_GB2312" w:cs="仿宋_GB2312"/>
                <w:b w:val="0"/>
                <w:i w:val="0"/>
                <w:caps w:val="0"/>
                <w:color w:val="auto"/>
                <w:spacing w:val="0"/>
                <w:sz w:val="24"/>
                <w:szCs w:val="24"/>
                <w:shd w:val="clear" w:color="auto" w:fill="auto"/>
                <w:lang w:eastAsia="zh-CN"/>
              </w:rPr>
            </w:pPr>
            <w:r>
              <w:rPr>
                <w:rFonts w:hint="eastAsia" w:ascii="仿宋_GB2312" w:hAnsi="仿宋_GB2312" w:eastAsia="仿宋_GB2312" w:cs="仿宋_GB2312"/>
                <w:b w:val="0"/>
                <w:i w:val="0"/>
                <w:caps w:val="0"/>
                <w:color w:val="auto"/>
                <w:spacing w:val="0"/>
                <w:sz w:val="24"/>
                <w:szCs w:val="24"/>
                <w:shd w:val="clear" w:color="auto" w:fill="auto"/>
                <w:lang w:val="en-US" w:eastAsia="zh-CN"/>
              </w:rPr>
              <w:t>13、</w:t>
            </w:r>
            <w:r>
              <w:rPr>
                <w:rFonts w:hint="eastAsia" w:ascii="仿宋_GB2312" w:hAnsi="仿宋_GB2312" w:eastAsia="仿宋_GB2312" w:cs="仿宋_GB2312"/>
                <w:b w:val="0"/>
                <w:i w:val="0"/>
                <w:caps w:val="0"/>
                <w:color w:val="auto"/>
                <w:spacing w:val="0"/>
                <w:sz w:val="24"/>
                <w:szCs w:val="24"/>
                <w:shd w:val="clear" w:color="auto" w:fill="auto"/>
              </w:rPr>
              <w:t>屏幕贴合方式：采用零贴合技术。钢化玻璃和液晶显示层间隙＜1mm，减小显示面板与玻璃间的偏光、散射，画面显示更加清晰通透；屏幕表面采用高品质3.2mm厚防眩光钢化玻璃，透光率不低于85%，表面硬度不低于7H。使得屏幕显示更加通透，画质更加清晰</w:t>
            </w:r>
            <w:r>
              <w:rPr>
                <w:rFonts w:hint="eastAsia" w:ascii="仿宋_GB2312" w:hAnsi="仿宋_GB2312" w:eastAsia="仿宋_GB2312" w:cs="仿宋_GB2312"/>
                <w:b w:val="0"/>
                <w:i w:val="0"/>
                <w:caps w:val="0"/>
                <w:color w:val="auto"/>
                <w:spacing w:val="0"/>
                <w:sz w:val="24"/>
                <w:szCs w:val="24"/>
                <w:shd w:val="clear" w:color="auto" w:fill="auto"/>
                <w:lang w:eastAsia="zh-CN"/>
              </w:rPr>
              <w:t>；</w:t>
            </w:r>
          </w:p>
          <w:p>
            <w:pPr>
              <w:pStyle w:val="19"/>
              <w:keepNext w:val="0"/>
              <w:keepLines w:val="0"/>
              <w:widowControl/>
              <w:suppressLineNumbers w:val="0"/>
              <w:shd w:val="clear"/>
              <w:wordWrap/>
              <w:spacing w:before="0" w:beforeAutospacing="0" w:after="0" w:afterAutospacing="0"/>
              <w:ind w:left="0" w:right="0" w:firstLine="0"/>
              <w:jc w:val="left"/>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eastAsia" w:ascii="仿宋_GB2312" w:hAnsi="仿宋_GB2312" w:eastAsia="仿宋_GB2312" w:cs="仿宋_GB2312"/>
                <w:b w:val="0"/>
                <w:i w:val="0"/>
                <w:caps w:val="0"/>
                <w:color w:val="auto"/>
                <w:spacing w:val="0"/>
                <w:sz w:val="24"/>
                <w:szCs w:val="24"/>
                <w:shd w:val="clear" w:color="auto" w:fill="auto"/>
                <w:lang w:val="en-US" w:eastAsia="zh-CN"/>
              </w:rPr>
              <w:t>14、</w:t>
            </w:r>
            <w:r>
              <w:rPr>
                <w:rFonts w:hint="eastAsia" w:ascii="仿宋_GB2312" w:hAnsi="仿宋_GB2312" w:eastAsia="仿宋_GB2312" w:cs="仿宋_GB2312"/>
                <w:color w:val="auto"/>
                <w:kern w:val="2"/>
                <w:sz w:val="24"/>
                <w:szCs w:val="24"/>
                <w:highlight w:val="none"/>
                <w:shd w:val="clear" w:color="auto" w:fill="auto"/>
                <w:lang w:val="en-US" w:eastAsia="zh-CN" w:bidi="ar-SA"/>
              </w:rPr>
              <w:t>含移动冷扎钢板移动支架。</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1.7 取暖器：</w:t>
            </w:r>
          </w:p>
          <w:p>
            <w:pPr>
              <w:pStyle w:val="13"/>
              <w:keepNext w:val="0"/>
              <w:keepLines w:val="0"/>
              <w:pageBreakBefore w:val="0"/>
              <w:widowControl w:val="0"/>
              <w:numPr>
                <w:ilvl w:val="0"/>
                <w:numId w:val="15"/>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适用面积：≥20㎡；                                                                                                                                     2、3档：1KW/1.2KW/2.2KW，24小时预约定时，镂空散热片，散热更快，终生免充油，安全系数高；                                                                                                           3、环保油漆材料，加热不产生有害气体， 倾倒自动断电，双重过热保护；                                                                                              4、重量≦12KG</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1.8 激光投影仪：</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1、变焦倍数≥1.6倍</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2、色彩数目≥10.7亿色</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3、灯泡寿命：8000(不含)-10000(含)小时</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4、标称对比度10001：1-20000：1</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5、灯泡功率≤225W</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6、光学分辨率≥1280x800dpi</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7、梯形校正范围±30度</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8、可吊装</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9、缩放比1.6：1</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10、梯形矫正垂直</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11、投放画面大小30~300英寸</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12、影片效果2D</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13、标称亮度(ANSI流明)：4000流明(含)－6000流明(不含)</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14、投影技术三片LCD技术</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1.9 单目融合微光热成像：</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1、红外：红外热成像通道：氧化钒探测器，8 um～14 um ，17um，384×288，&lt;60mK@F/1.0，30Hz；视场角：红外波段16°0.6’×12°44.4’快门：无快门自适应场景校正；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2、微光：微光成像通道：0.4  um～1.2um，2048x2048，30Hz；视场角：微光波段9°×6°30’；</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系统性能：成像模式：红外波段/微光波段/融合热像/融合伪彩/融合变焦/红外伪彩；光学变焦：4倍光学变焦画中画；智能算法：融合热点目标自动追踪；亮度/对比度：全自动、手动；图像增强：融合透雾增强；图像拍摄：有；图像存储：内置16GSD卡，可存储不小于10000幅静态图片；图像下载：USB；视频显示：支持PAL制式模拟视频；内置显示屏：720X540  LCOS；电气接口：电源、USB、模拟视频；融合成像作用距离：融合成像：1.8X0.5m；识别≤1000M；机械接口：1/4寸三角架 ，可见光探测距离 识别</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800m</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1.10 超高清视频终端：</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超高清视频会议终端，具备音视频媒体处理引擎，多种音视频接口，可适配多种类型摄像机和显示设备，满足各类型会议室集成需求。会议电视终端，1080P超高清视频；1080P内容共享；</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具备网络适应性，视频30%抗丢包，1080P 30fps最低2Mbps带宽；</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支持主流音视频接口，可灵活外接阵列麦克风，扬声器，投影仪，LCD/LED大屏显示设备等;长距离多合一接口HT-RX输入；</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4</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10英寸触控Touch；</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5</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支持POE供电，预留标准安全锁孔；</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6</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视频输入接口：1xHT-RX、2xHDMI；</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7</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视频输出接口：2×HDMI；</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8</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音频输入接</w:t>
            </w:r>
            <w:r>
              <w:rPr>
                <w:rFonts w:hint="eastAsia" w:ascii="仿宋_GB2312" w:hAnsi="仿宋_GB2312" w:eastAsia="仿宋_GB2312" w:cs="仿宋_GB2312"/>
                <w:color w:val="auto"/>
                <w:kern w:val="2"/>
                <w:sz w:val="24"/>
                <w:szCs w:val="24"/>
                <w:highlight w:val="none"/>
                <w:shd w:val="clear" w:color="auto" w:fill="auto"/>
                <w:lang w:val="en-US" w:eastAsia="zh-CN" w:bidi="ar-SA"/>
              </w:rPr>
              <w:t>口</w:t>
            </w:r>
            <w:r>
              <w:rPr>
                <w:rFonts w:hint="default" w:ascii="仿宋_GB2312" w:hAnsi="仿宋_GB2312" w:eastAsia="仿宋_GB2312" w:cs="仿宋_GB2312"/>
                <w:color w:val="auto"/>
                <w:kern w:val="2"/>
                <w:sz w:val="24"/>
                <w:szCs w:val="24"/>
                <w:highlight w:val="none"/>
                <w:shd w:val="clear" w:color="auto" w:fill="auto"/>
                <w:lang w:val="en-US" w:eastAsia="zh-CN" w:bidi="ar-SA"/>
              </w:rPr>
              <w:t>：</w:t>
            </w:r>
            <w:r>
              <w:rPr>
                <w:rFonts w:hint="eastAsia" w:ascii="仿宋_GB2312" w:hAnsi="仿宋_GB2312" w:eastAsia="仿宋_GB2312" w:cs="仿宋_GB2312"/>
                <w:color w:val="auto"/>
                <w:kern w:val="2"/>
                <w:sz w:val="24"/>
                <w:szCs w:val="24"/>
                <w:highlight w:val="none"/>
                <w:shd w:val="clear" w:color="auto" w:fill="auto"/>
                <w:lang w:val="en-US" w:eastAsia="zh-CN" w:bidi="ar-SA"/>
              </w:rPr>
              <w:t>满足甲方要求；</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eastAsia" w:ascii="仿宋_GB2312" w:hAnsi="仿宋_GB2312" w:eastAsia="仿宋_GB2312" w:cs="仿宋_GB2312"/>
                <w:color w:val="auto"/>
                <w:kern w:val="2"/>
                <w:sz w:val="24"/>
                <w:szCs w:val="24"/>
                <w:highlight w:val="none"/>
                <w:shd w:val="clear" w:color="auto" w:fill="auto"/>
                <w:lang w:val="en-US" w:eastAsia="zh-CN" w:bidi="ar-SA"/>
              </w:rPr>
              <w:t>9、</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音频输出接口：4xRCA、2xHDMI（音频输出）。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1.11 超高清摄像头：</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1.4K超高清摄像机，配套全系列高清视讯终端产品或云会议软终端产品；</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2.内置专业OSD配置界面，完全兼容匹配终端遥控器和触控Touch，可进行摄像机的独立控制。采用851万像素CMOS图像传感器；</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3、可供HDMI接口，图像输出分辨率大于4K，精确还原图像色彩，能为视频会议提供专业、真实的高清图像效果</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1.12 KVM分布式4kHDMI输入节点：</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信号接口：HDMI 输入接口≥1，1 路 HDMI 环出接口≥1，5 针凤凰端子平衡立体声输入≥1，红外接口≥4，继电器 RELAY 接口≥2，电平 I/O 接口≥4，串口 RS-232 接口≥2，串口 RS-485 接口≥1，SFP fiber 接口≥1，RJ-45 千兆网口≥1，USB AF3.0 接口≥1，USB BF2.0 接口≥1；信号指示灯：电源指示灯 ≥1，视频信号指示灯≥1，网络状态及信号传输状态灯≥ 1，恢复出厂设置按键≥1，</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1 个 OLED 显示面板（支持中英文系统信息显示，显示内容包括设备名称、设备 IP 地址，设备版本等系统信息，便于故障定位、设备维护），</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防脱落设计，供电适配器接口具备螺纹锁定装置防止脱落，HDMI 接口须具备卡扣设计或螺纹固定；</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4</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内置 POE 和本地 DC24V 双供电模式，功耗≤13W，DC24V 自带保护锁，防止电源意外脱落断电；可根据现场环境灵活选择；双线路热备份：支持 1 光 1 电双线路热备份，主线路故障时则自动切换到备用线路；</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5</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 4k@60Hz 信号输入，支持 30-60 帧实时编码处理，确保图像细节和流畅性；分辨率和帧率向下兼容；支持 HDMI2.0，支持 HDCP 协议，</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6</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输入信号预览：支持实时输入信号预览回显，支持≥128 路信号同时回显，且可设置回显画面分辨率；单节点支持多画面显示、可分发≥ 256 路；</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7</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支持高低码流同时输出，不受距离限制实现多区域互联互通；支持可变码率和定码率，码率范围 20Kbps-20Mbps；支持每路视频有主码流，辅码流，各码流分辨率、码率可调，各码流可设计为单播或组播，</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8</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支持音频处理功能：每个节点音频和视频分开独立传输；每个节点输出音频可以指定任意一路音频流，达到音视频既可同源，可不同源；每个节点内置音频输入采集模块，支持模拟音频接入、HDMI 音频加解嵌；每路音频可通过指令控制音量大小；自带混音功能，混音≥16 路。</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9</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支持视频切换：须符合 GA/T 646-2006《视频安防监控系统矩阵切换设备通用技术条件》5.2.1 视频切换功能要求。</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10</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GB28181 协议：支持《安全防范视频监控联网系统信息传输、交换、控制技术要求》</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11</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无需外加编、解码器及服务器，即可实现 IPC 接入与云台控制；</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12</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KVM 支持跨平台。</w:t>
            </w:r>
            <w:r>
              <w:rPr>
                <w:rFonts w:hint="eastAsia" w:ascii="仿宋_GB2312" w:hAnsi="仿宋_GB2312" w:eastAsia="仿宋_GB2312" w:cs="仿宋_GB2312"/>
                <w:color w:val="auto"/>
                <w:kern w:val="2"/>
                <w:sz w:val="24"/>
                <w:szCs w:val="24"/>
                <w:highlight w:val="none"/>
                <w:shd w:val="clear" w:color="auto" w:fill="auto"/>
                <w:lang w:val="en-US" w:eastAsia="zh-CN" w:bidi="ar-SA"/>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13</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支持一键控制功能：无需 KVM 服务器，系统稳定性强。支持 1 套鼠标键盘直接任意跨屏操作，控制不少于 20 个任意排列坐席屏幕，具备自定义快捷键功能，实现一键推屏，一键抓屏，无缝快速切换坐席视频信号和大屏视频信号，不黑屏、不闪屏；支持控制终端直接管理坐席信号，控制终端支持国产操作系统；</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14</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 OSD 中英文菜单界面定制功能：a、实时监测设备状态（在线、离线、视频切换状态）；b、OSD 查找功能，模糊查找，快速跳转；c、OSD 设定功能，应变坐席布局、工位调整；d、支持 KVM 远程唤醒电脑</w:t>
            </w:r>
            <w:r>
              <w:rPr>
                <w:rFonts w:hint="eastAsia" w:ascii="仿宋_GB2312" w:hAnsi="仿宋_GB2312" w:eastAsia="仿宋_GB2312" w:cs="仿宋_GB2312"/>
                <w:color w:val="auto"/>
                <w:kern w:val="2"/>
                <w:sz w:val="24"/>
                <w:szCs w:val="24"/>
                <w:highlight w:val="none"/>
                <w:shd w:val="clear" w:color="auto" w:fill="auto"/>
                <w:lang w:val="en-US" w:eastAsia="zh-CN" w:bidi="ar-SA"/>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15</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支持可视化 KVM 功能：a、可视化接管功能；b、可视化推送坐席；c 可视化推送大屏，</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16</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支持场景调用功能：a、坐席单屏场景调用功能，不少于 8 种场景，每个场景不少于 8 个信号；b、坐席单屏多画面双击跳转功能；c、坐席多屏场景调用功能，热键接管 M*N 个画面；d、多屏显卡主机一键接管功能</w:t>
            </w:r>
            <w:r>
              <w:rPr>
                <w:rFonts w:hint="eastAsia" w:ascii="仿宋_GB2312" w:hAnsi="仿宋_GB2312" w:eastAsia="仿宋_GB2312" w:cs="仿宋_GB2312"/>
                <w:color w:val="auto"/>
                <w:kern w:val="2"/>
                <w:sz w:val="24"/>
                <w:szCs w:val="24"/>
                <w:highlight w:val="none"/>
                <w:shd w:val="clear" w:color="auto" w:fill="auto"/>
                <w:lang w:val="en-US" w:eastAsia="zh-CN" w:bidi="ar-SA"/>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17</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支持多账号权限分配管理：a、分级授权功能；b、席位跟随功能；c、申请独占功能；</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18</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系统独立搭建局域网，实现完全物理隔离，保证系统信息安全；</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19</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支持业务数据保护功能；每个节点之间的业务数据通过 DES 加解密，确保无法访问获取业务数据、确保业务数据始终安全；</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20</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数据在线拷贝：支持不同坐席之间通过一套鼠标键盘即可实现数据的访问、读写、传输、拷贝</w:t>
            </w:r>
            <w:r>
              <w:rPr>
                <w:rFonts w:hint="eastAsia" w:ascii="仿宋_GB2312" w:hAnsi="仿宋_GB2312" w:eastAsia="仿宋_GB2312" w:cs="仿宋_GB2312"/>
                <w:color w:val="auto"/>
                <w:kern w:val="2"/>
                <w:sz w:val="24"/>
                <w:szCs w:val="24"/>
                <w:highlight w:val="none"/>
                <w:shd w:val="clear" w:color="auto" w:fill="auto"/>
                <w:lang w:val="en-US" w:eastAsia="zh-CN" w:bidi="ar-SA"/>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21</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坐席单屏支持多分屏显示与键鼠操作（不低于 8 分屏），且声音跟随鼠标指向切换；支持环境监测数据实时采集并生成到显示单元，</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22</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 KVM 系统生物识别功能，人脸识别登陆系统。</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23</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OSD 操作日志记录功能，可记录所有坐席过的鼠标操作过程、画面切换记录等一切操作流程，并记录储存</w:t>
            </w:r>
            <w:r>
              <w:rPr>
                <w:rFonts w:hint="eastAsia" w:ascii="仿宋_GB2312" w:hAnsi="仿宋_GB2312" w:eastAsia="仿宋_GB2312" w:cs="仿宋_GB2312"/>
                <w:color w:val="auto"/>
                <w:kern w:val="2"/>
                <w:sz w:val="24"/>
                <w:szCs w:val="24"/>
                <w:highlight w:val="none"/>
                <w:shd w:val="clear" w:color="auto" w:fill="auto"/>
                <w:lang w:val="en-US" w:eastAsia="zh-CN" w:bidi="ar-SA"/>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24</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支持对灯光、窗帘、投影机、投影幕、摄像头、会议设备、音频系统等周边环境设备进行实时控制管理及双向反馈，    无需外加设备即可实现；</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25</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支持定制化开发中央控制界面；支持对接第三方软件接口及设备接口；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26</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采用去中心化纯分布式架构，支持任意数量节点搭建系统，无需中心服务器；</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27</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具备所见即所得得可视化交互控制和显示功能，控制终端可实时预览回显所有视频信号（包括输入视频信号源、输出    视频信号源及主流 IPC 视频信号源）。支持不少于 120 路输入信号同时回显，并可自定义回显信号分辨率；</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28</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可无缝对接 LED、DID、LCD、DLP 各类主流大屏幕，可实现单路 4K 高清分辨率接入并上屏显示，可实现大屏幕开窗、关窗、平铺、替换、缩放、跨屏、漫游、移动、全屏、叠加、画中画等多种显示模式的矩阵拼接处理功能；拼接同步，肉    眼目测完全无画面撕裂</w:t>
            </w:r>
            <w:r>
              <w:rPr>
                <w:rFonts w:hint="eastAsia" w:ascii="仿宋_GB2312" w:hAnsi="仿宋_GB2312" w:eastAsia="仿宋_GB2312" w:cs="仿宋_GB2312"/>
                <w:color w:val="auto"/>
                <w:kern w:val="2"/>
                <w:sz w:val="24"/>
                <w:szCs w:val="24"/>
                <w:highlight w:val="none"/>
                <w:shd w:val="clear" w:color="auto" w:fill="auto"/>
                <w:lang w:val="en-US" w:eastAsia="zh-CN" w:bidi="ar-SA"/>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29</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节点视频接口支持自定义设置，可兼备输入输出功能</w:t>
            </w:r>
            <w:r>
              <w:rPr>
                <w:rFonts w:hint="eastAsia" w:ascii="仿宋_GB2312" w:hAnsi="仿宋_GB2312" w:eastAsia="仿宋_GB2312" w:cs="仿宋_GB2312"/>
                <w:color w:val="auto"/>
                <w:kern w:val="2"/>
                <w:sz w:val="24"/>
                <w:szCs w:val="24"/>
                <w:highlight w:val="none"/>
                <w:shd w:val="clear" w:color="auto" w:fill="auto"/>
                <w:lang w:val="en-US" w:eastAsia="zh-CN" w:bidi="ar-SA"/>
              </w:rPr>
              <w:t xml:space="preserve">；  </w:t>
            </w:r>
            <w:r>
              <w:rPr>
                <w:rFonts w:hint="default" w:ascii="仿宋_GB2312" w:hAnsi="仿宋_GB2312" w:eastAsia="仿宋_GB2312" w:cs="仿宋_GB2312"/>
                <w:color w:val="auto"/>
                <w:kern w:val="2"/>
                <w:sz w:val="24"/>
                <w:szCs w:val="24"/>
                <w:highlight w:val="none"/>
                <w:shd w:val="clear" w:color="auto" w:fill="auto"/>
                <w:lang w:val="en-US" w:eastAsia="zh-CN" w:bidi="ar-SA"/>
              </w:rPr>
              <w:t>30</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支持超高清底图（上传、轮询、预览）和超高清地图；</w:t>
            </w:r>
            <w:r>
              <w:rPr>
                <w:rFonts w:hint="eastAsia" w:ascii="仿宋_GB2312" w:hAnsi="仿宋_GB2312" w:eastAsia="仿宋_GB2312" w:cs="仿宋_GB2312"/>
                <w:color w:val="auto"/>
                <w:kern w:val="2"/>
                <w:sz w:val="24"/>
                <w:szCs w:val="24"/>
                <w:highlight w:val="none"/>
                <w:shd w:val="clear" w:color="auto" w:fill="auto"/>
                <w:lang w:val="en-US" w:eastAsia="zh-CN" w:bidi="ar-SA"/>
              </w:rPr>
              <w:t xml:space="preserve">     </w:t>
            </w:r>
            <w:r>
              <w:rPr>
                <w:rFonts w:hint="default" w:ascii="仿宋_GB2312" w:hAnsi="仿宋_GB2312" w:eastAsia="仿宋_GB2312" w:cs="仿宋_GB2312"/>
                <w:color w:val="auto"/>
                <w:kern w:val="2"/>
                <w:sz w:val="24"/>
                <w:szCs w:val="24"/>
                <w:highlight w:val="none"/>
                <w:shd w:val="clear" w:color="auto" w:fill="auto"/>
                <w:lang w:val="en-US" w:eastAsia="zh-CN" w:bidi="ar-SA"/>
              </w:rPr>
              <w:t>31</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设备集成视频管理、音频管理、中控管理、KVM 管理以及双向反馈控制等功能，无需增加服务器主机、中控主机、逻辑运算单元等设备即可实现；</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32</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同步控制功能：支持 Windows、iOS、Android 等多种操作系统同时控制，实时同步，控制准确便捷；</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33</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无需接入逻辑运算单元或服务器，单个节点可实现独立逻辑运算及控制功能。如：可分析串口输入字符串，并根据自    定义协议完成相应控制指令的输出，(需提供权威检测机构出具的检测报告复印件)</w:t>
            </w:r>
            <w:r>
              <w:rPr>
                <w:rFonts w:hint="eastAsia" w:ascii="仿宋_GB2312" w:hAnsi="仿宋_GB2312" w:eastAsia="仿宋_GB2312" w:cs="仿宋_GB2312"/>
                <w:color w:val="auto"/>
                <w:kern w:val="2"/>
                <w:sz w:val="24"/>
                <w:szCs w:val="24"/>
                <w:highlight w:val="none"/>
                <w:shd w:val="clear" w:color="auto" w:fill="auto"/>
                <w:lang w:val="en-US" w:eastAsia="zh-CN" w:bidi="ar-SA"/>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34</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预案管理：PC 管理软件可根据用户需求、习惯自由选择预案内容进行保存，内容精细到区域、区域所包含的拼接墙、音视频矩阵以及拼接墙和音视频矩阵所属的设备；保存的预案还可以在调用前进行事先预览，确保准确调用</w:t>
            </w:r>
            <w:r>
              <w:rPr>
                <w:rFonts w:hint="eastAsia" w:ascii="仿宋_GB2312" w:hAnsi="仿宋_GB2312" w:eastAsia="仿宋_GB2312" w:cs="仿宋_GB2312"/>
                <w:color w:val="auto"/>
                <w:kern w:val="2"/>
                <w:sz w:val="24"/>
                <w:szCs w:val="24"/>
                <w:highlight w:val="none"/>
                <w:shd w:val="clear" w:color="auto" w:fill="auto"/>
                <w:lang w:val="en-US" w:eastAsia="zh-CN" w:bidi="ar-SA"/>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35</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信号裁剪功能：支持视频信号源图像去黑边，裁剪，局部放大，偏移校正等功能，</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36</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支持不少于 4 路全景无缝拼接融合功能。</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37</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支持字幕、台标叠加显示，可自定义编辑设置内容、字体、大小、颜色、背景透明度等参数；</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38</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内置 WEB 服务器，可通过浏览器对每个节点进行参数配置及故障查询等功能。</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39</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可搭配录播服务器使用，无需额外的编码器，即可实现≥4 路音视频同时录制、直播、点播的使用需求；</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40</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支持一键批量修改、备份、升级设备参数；支持 Windows、Linux、Android 等控制终端同步批注，实时同步</w:t>
            </w:r>
            <w:r>
              <w:rPr>
                <w:rFonts w:hint="eastAsia" w:ascii="仿宋_GB2312" w:hAnsi="仿宋_GB2312" w:eastAsia="仿宋_GB2312" w:cs="仿宋_GB2312"/>
                <w:color w:val="auto"/>
                <w:kern w:val="2"/>
                <w:sz w:val="24"/>
                <w:szCs w:val="24"/>
                <w:highlight w:val="none"/>
                <w:shd w:val="clear" w:color="auto" w:fill="auto"/>
                <w:lang w:val="en-US" w:eastAsia="zh-CN" w:bidi="ar-SA"/>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41</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支持调节视频信号源的亮度、色彩、对比度、色调、饱和度等参数；</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42</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预案预案轮询，可选择把已设置好的预案进行轮询播放，并支持设置每个预案的轮询时长；支持超高清底图上传、轮询、预览，支持本地储存、断电保护；支持自定义视频源分组、快速搜索查询收藏、便捷调取上屏。</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1.13 KVM分布式4kLED小间距输出节点：</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1、信号接口：HDMI 输出接口≥1，5 针凤凰端子平衡立体声输入≥1，红外接口≥4，继电器 RELAY 接口≥2，电平 I/O 接口≥4，串口 RS-232 接口≥2，串口 RS-485 接口≥1，SFP fiber 接口≥1，RJ-45 千兆网口≥1，USB AF3.0 接口≥1，USB BF2.0 接口≥2；信号指示灯：电源指示灯 ≥1，视频信号指示灯≥1，网络状态及信号传输状态灯≥1，恢复出厂设置按键≥1；</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2、1 个 OLED 显示面板（支持中英文系统信息显示，显示内容包括设备名称、设备 IP 地址，设备版本等系统信息，便于故障定位、设备维护），</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3、防脱落设计，供电适配器接口具备螺纹锁定装置防止脱落，HDMI 接口须具备卡扣设计或螺纹固定；</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4、内置 POE 和本地 DC24V 双供电模式，功耗≤13W，DC24V 自带保护锁，防止电源意外脱落断电；可根据现场环境灵活选择；双线路热备份：支持 1 光 1 电双线路热备份，主线路故障时则自动切换到备用线路， (需提供有资质的第三方检测机构出具的检测报告复印件)</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5、支持 4k@60Hz 视频输出信号实时解码处理，确保图像清晰、流畅，分辨率和帧率向下兼容；支持 HDMI2.0，支持HDCP 协议；</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6、支持音频处理功能：每个节点音频和视频分开独立传输；每个节点输出音频可以指定任意一路音频流，达到音视频既可同源，可不同源；每个节点内置音频输出解嵌模块，支持模拟音频接入、HDMI 音频加解嵌；每路音频可通过指令控制音量大小；自带混音功能，混音≥16 路。</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7、支持高低码流同时输出，不受距离限制实现多区域互联互通；支持可变码率和定码率，码率范围 20Kbps-20Mbps；支持每路视频有主码流，辅码流，各码流分辨率、码率可调，各码流可设计为单播或组播；</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8、支持单屏开窗不少于 128 个；音视频信号同/异步处理切换；</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9、支持矩阵功能单路实现 4/9/16/32/64/128 画面分割功能，支持同时≥4 路 4K 解码；或者同时≥16 路 1920*1080 解码， 且显示的不同视频画面；</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10、支持单节点不小于 4K 输出分辨率拼接，支持向下兼容；</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11、支持解码 8K 信号；</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12、支持 LED 拼接，纳秒级精准同步</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13、支持 USB3.0 摄像头直接接入设备，采集视频编码传输；</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14、无需外加编、解码器及服务器，即可实现 IPC 接入与云台控制；</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15、支持视频切换：须符合 GA/T 646-2006《视频安防监控系统矩阵切换设备通用技术条件》5.2.1 视频切换功能要求。</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16、GB28181 协议：支持《安全防范视频监控联网系统信息传输、交换、控制技术要求》</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17、KVM 支持跨平台；</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18、支持一键控制功能：无需 KVM 服务器，系统稳定性强。支持 1 套鼠标键盘直接任意跨屏操作，控制不少于 20 个任意排列坐席屏幕，具备自定义快捷键功能，实现一键推屏，一键抓屏，无缝快速切换坐席视频信号和大屏视频信号，不黑屏</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不闪屏；支持控制终端直接管理坐席信号，控制终端支持国产操作系统；</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19、支持 OSD 中英文菜单界面定制功能：a、实时监测设备状态（在线、离线、视频切换状态）；b、OSD 查找功能，模糊查找，快速跳转；c、OSD 设定功能，应变坐席布局、工位调整；d、支持 KVM 远程唤醒电脑；</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20、支持可视化 KVM 功能：a、可视化接管功能；b、可视化推送坐席；c 可视化推送大屏；</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21、支持场景调用功能：a、坐席单屏场景调用功能，不少于 8 种场景，每个场景不少于 8 个信号；b、坐席单屏多画面双击跳转功能；c、坐席多屏场景调用功能，热键接管 M*N 个画面；d、多屏显卡主机一键接管功能；</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22、支持多账号权限分配管理：a、分级授权功能；b、席位跟随功能；c、申请独占功能；</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23、系统独立搭建局域网，实现完全物理隔离，保证系统信息安全；</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24、支持业务数据保护功能；每个节点之间的业务数据通过 DES 加解密，确保无法访问获取业务数据、确保业务数据始终安全；</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25、数据在线拷贝：支持不同坐席之间通过一套鼠标键盘即可实现数据的访问、读写、传输、拷贝，支持 USB3.0U 盘挂载，访问、读写、拷贝、传输；</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26、坐席单屏支持多分屏显示与键鼠操作（不低于 8 分屏），且声音跟随鼠标指向切换；支持环境监测数据实时采集并生成到显示单元；</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27、支持 KVM 系统生物识别功能，人脸识别登陆系统；采用账号密码以及生物识别双重认证方式，保障登陆安全；</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28、OSD 操作日志记录功能，可记录所有坐席过的鼠标操作过程、画面切换记录等一切操作流程，并记录储存；</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29、支持对灯光、窗帘、投影机、投影幕、摄像头、会议设备、音频系统等周边环境设备进行实时控制管理及双向反馈，无需外加设备即可实现；</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30、支持定制化开发中央控制界面；支持对接第三方软件接口及设备接口；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31、采用去中心化纯分布式架构，支持任意数量节点搭建系统，无需中心服务器；</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32、具备所见即所得得可视化交互控制和显示功能，控制终端可实时预览回显所有视频信号（包括输入视频信号源、输出视频信号源及主流 IPC 视频信号源）。支持不少于 120 路输入信号同时回显，并可自定义回显信号分辨率；</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33、可无缝对接 LED、DID、LCD、DLP 各类主流大屏幕，可实现单路 4K 高清分辨率接入并上屏显示，可实现大屏幕开窗、关窗、平铺、替换、缩放、跨屏、漫游、移动、全屏、叠加、画中画等多种显示模式的矩阵拼接处理功能；拼接同步，肉眼目测完全无画面撕裂，</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34、支持不少于 16 画面分割功能，其中 16 画面分割可实现 16 个不同的 1920*1080@60Hz 视频画面；</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35、支持超高清底图（上传、轮询、预览）和超高清地图；支持本地储存，断电保护；在不增加外部设备的情况下，支持    在拼接屏跨物理屏上显示滚动字幕（如欢迎词等），字体、大小、颜色、滚动速度可自定义；</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36、设备集成视频管理、音频管理、中控管理、KVM 管理以及双向反馈控制等功能，无需增加服务器主机、中控主机、逻辑运算单元等设备即可实现；</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37、同步控制功能：支持 Windows、iOS、Android 等多种操作系统同时控制，实时同步，控制准确便捷；</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38、无需接入逻辑运算单元或服务器，单个节点可实现独立逻辑运算及控制功能。如：可分析串口输入字符串，并根据自定义协议完成相应控制指令的输出；</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39、预案管理：PC 管理软件可根据用户需求、习惯自由选择预案内容进行保存，内容精细到区域、区域所包含的拼接墙、音视频矩阵以及拼接墙和音视频矩阵所属的设备；保存的预案还可以在调用前进行事先预览，确保准确调用；</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40、支持图像旋转，翻转，左右镜像。</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41、支持字幕、台标叠加显示，可自定义编辑设置内容、字体、大小、颜色、背景透明度等参数；</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42、内置 WEB 服务器，可通过浏览器对每个节点进行参数配置及故障查询等功能；</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43、可搭配录播服务器使用，无需额外的编码器，即可实现≥4 路音视频同时录制、直播、点播的使用需求；</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44、支持一键批量修改、备份、升级设备参数；支持 Windows、Linux、Android 等控制终端同步批注，实时同步</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45、支持调节视频信号源的亮度、色彩、对比度、色调、饱和度等参数；</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46、支持预案预案轮询，可选择把已设置好的预案进行轮询播放，并支持设置每个预案的轮询时长；支持超高清底图上传、轮询、预览，支持本地储存、断电保护；</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47、支持自定义视频源分组、快速搜索查询收藏、便捷调取上屏</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1.14 三角架：</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材质：碳纤维；</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脚架节数：4节；</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球型云台；</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商品承重≥20kg</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1.15 充电宝：</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1、额定容量</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6000mAh;</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2、电池容量</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12000mAh；</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3、产品净重≦250g；</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4、输入方式：Type-c输入</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5、USB接口数：不小于2个；</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6、输出口：支持SCP协议、QC3.0协议，最大支持60W以上</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eastAsia" w:ascii="仿宋_GB2312" w:hAnsi="仿宋_GB2312" w:eastAsia="仿宋_GB2312" w:cs="仿宋_GB2312"/>
                <w:b/>
                <w:bCs/>
                <w:color w:val="auto"/>
                <w:kern w:val="2"/>
                <w:sz w:val="24"/>
                <w:szCs w:val="24"/>
                <w:highlight w:val="none"/>
                <w:shd w:val="clear" w:color="auto" w:fill="auto"/>
                <w:lang w:val="en-US" w:eastAsia="zh-CN" w:bidi="ar-SA"/>
              </w:rPr>
              <w:t>1.16 HDMI4K数字高清线：</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HDMI4K数字高清线 长度大于15米 </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1.17 窄带图文交互系统：</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最大处理幅面：A4；</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预热时间：13.5秒或以下；</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内存：128MB；</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4</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网络功能：支持网络打印；</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5</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双面功能：手动；</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6</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接口类型：USB2.0；</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7</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打印分辨率：600×600dpi（1200×600dpi图像处理分辨率）；</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8</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复印分辨率：600×600dpi；</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9</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复印其它性能：缩放复印，分套复印，2合1复印，4合1复印，ID卡复印；</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10</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光学分辨率：600×600dpi；</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11</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扫描尺寸：最大216×356mm；</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12</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传真发送速度：约3秒/页；</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13</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传真内存：约256页；</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14</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传真其它性能：PC传真，标配电话手柄；</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15</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液晶显示屏：5行中文显示屏；</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16</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系统平台：Windows XP/Vista/7；</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eastAsia" w:ascii="仿宋_GB2312" w:hAnsi="仿宋_GB2312" w:eastAsia="仿宋_GB2312" w:cs="仿宋_GB2312"/>
                <w:color w:val="auto"/>
                <w:kern w:val="2"/>
                <w:sz w:val="24"/>
                <w:szCs w:val="24"/>
                <w:highlight w:val="none"/>
                <w:shd w:val="clear" w:color="auto" w:fill="auto"/>
                <w:lang w:val="en-US" w:eastAsia="zh-CN" w:bidi="ar-SA"/>
              </w:rPr>
              <w:t>17、</w:t>
            </w:r>
            <w:r>
              <w:rPr>
                <w:rFonts w:hint="default" w:ascii="仿宋_GB2312" w:hAnsi="仿宋_GB2312" w:eastAsia="仿宋_GB2312" w:cs="仿宋_GB2312"/>
                <w:color w:val="auto"/>
                <w:kern w:val="2"/>
                <w:sz w:val="24"/>
                <w:szCs w:val="24"/>
                <w:highlight w:val="none"/>
                <w:shd w:val="clear" w:color="auto" w:fill="auto"/>
                <w:lang w:val="en-US" w:eastAsia="zh-CN" w:bidi="ar-SA"/>
              </w:rPr>
              <w:t>随机软件：Presto， Page Manager。</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1.18 自组网图像传输系统：</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有效像素：约829万；2</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镜头结构：18片14组，采用2个非球面镜片；3</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焦距范围 (35mm等效)：约25.5mm~382.5mm；</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4</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最大光圈范围：f2.8 (广角端) / f4.5 (长焦端) ，9叶片虹膜光圈；5</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变焦倍率：光学变焦: 15x；</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6</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内置ND滤镜：ND1: 1/4、ND2: 1/16、ND3: 1/64，转塔式切换，电动驱动；7</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影像稳定系统：光学影像稳定系统，搭载强力防抖 / 动态模式；</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8</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对焦方式：全像素双核CMOS AF / AF辅助MF；9</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影像处理器平台：DIGIC DV 6；10</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视频压缩格式：MPEG-4 AVC / H.264；</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11</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MP4格式：3840×2160 25.00p，1920×1080 50.00p / 25.00p；12</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XF-AVC格式：3840×2160 25.00p，1920×1080 50.00p / 50.00i/25.00p；</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13</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图片压缩格式：JPEG 符合DCF (用于相机文件系统的设计规则)，兼容Exif 2.3版，记录分辨率: 3840×2160 / 1920×1080 / 1280×720；</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14</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音频格式：MPEG-2 AAC-LC (16 bit 2通道) / 线性PCM: 16 </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bit 4通道 / 线性PCM: 24 bit 4通道，仅XF-AVC格式；</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15</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画面效果预置：标准 / 中性 / 单色 / Wide DR / 可调整；16.红外线拍摄：支持；</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17</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Wi-Fi：支持；18</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内置存储容量 / 插槽：无 / SD存储卡 (双卡槽)；</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19</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可使用存储卡类型：SD / SDHC / SDXC存储卡，支持UHS-I标准。*MP4格式，150Mpbs码率记录时，推荐Class U3级别。*XF-AVC格式，160Mpbs码率记录时，推荐Class U3级别；</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20</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存储卡记录功能：双卡槽记录 / 自动继续记录；21.视频接口：SDI接口 / HDMI输出；</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22</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音频接口：输入1 / 输入2 / 麦克风 / 耳机；23.其它接口：USB / Remote / DC-IN / 冷靴；</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24</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液晶显示器：3.0英寸，约46万点，电容式触摸面板；25</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彩色寻像器：0.24英寸，约156万点，液晶屏；</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26</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支持电池：BP-820 / BP-828；27.电源适配器：CA-570；28</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外形尺寸 (宽×高×长)：140×216×265mm (含镜头罩，锂电池BP-820，麦克风支架和手柄单元)；</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机身重量：约1445克 (含镜头罩，麦克风支架，手柄单元，无线遥控器WL-D89，软带SC-2000,电缆，USB连接线，锂电池和存储卡)</w:t>
            </w:r>
            <w:r>
              <w:rPr>
                <w:rFonts w:hint="eastAsia" w:ascii="仿宋_GB2312" w:hAnsi="仿宋_GB2312" w:eastAsia="仿宋_GB2312" w:cs="仿宋_GB2312"/>
                <w:color w:val="auto"/>
                <w:kern w:val="2"/>
                <w:sz w:val="24"/>
                <w:szCs w:val="24"/>
                <w:highlight w:val="none"/>
                <w:shd w:val="clear" w:color="auto" w:fill="auto"/>
                <w:lang w:val="en-US" w:eastAsia="zh-CN" w:bidi="ar-SA"/>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1.19 现场指挥部移动式电子桌牌：</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7.5寸三色电子墨水屏，</w:t>
            </w:r>
            <w:r>
              <w:rPr>
                <w:rFonts w:hint="default" w:ascii="Arial" w:hAnsi="Arial" w:eastAsia="仿宋_GB2312" w:cs="Arial"/>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800*480分辨率；</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双面屏展示，内容自定义；</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黑白红3色；</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4</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自带无线传输模块；</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5</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锂电池供电，超强待机；</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6</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尺寸：约20.8cm*2.4cm*13.4cm；</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7</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可连续工作15h,待机可用一年；</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8</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发射基站支持USB模式。提供不少于2个发射基站；</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9</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支持一键导入；</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10</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支持单独添加名单；</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11</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支持模板导入导出；</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12</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距离可以覆盖150米。</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1.20 塑封机：</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颜色：白色；</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过膜尺寸：A3（325mm）；</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尺寸：约490*170*90mm；</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4</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过膜范围：70-200mic；</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5</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过塑速度：≤860mm/60s；</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6</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净重：≤3.63KG；</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eastAsia" w:ascii="仿宋_GB2312" w:hAnsi="仿宋_GB2312" w:eastAsia="仿宋_GB2312" w:cs="仿宋_GB2312"/>
                <w:color w:val="auto"/>
                <w:kern w:val="2"/>
                <w:sz w:val="24"/>
                <w:szCs w:val="24"/>
                <w:highlight w:val="none"/>
                <w:shd w:val="clear" w:color="auto" w:fill="auto"/>
                <w:lang w:val="en-US" w:eastAsia="zh-CN" w:bidi="ar-SA"/>
              </w:rPr>
              <w:t>7.</w:t>
            </w:r>
            <w:r>
              <w:rPr>
                <w:rFonts w:hint="default" w:ascii="仿宋_GB2312" w:hAnsi="仿宋_GB2312" w:eastAsia="仿宋_GB2312" w:cs="仿宋_GB2312"/>
                <w:color w:val="auto"/>
                <w:kern w:val="2"/>
                <w:sz w:val="24"/>
                <w:szCs w:val="24"/>
                <w:highlight w:val="none"/>
                <w:shd w:val="clear" w:color="auto" w:fill="auto"/>
                <w:lang w:val="en-US" w:eastAsia="zh-CN" w:bidi="ar-SA"/>
              </w:rPr>
              <w:t>适用过膜范围：70-200mic。</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1.21 自动语音指挥调度设备：</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1</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支持自动通话录音，支持通话/现场录音，支持来电留言录音；</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2</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支持电脑备份，内存</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32G，支持内存扩展；</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3</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可下载自定义铃声，支持免提/铃声大小调节；</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4</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支持放音加密；支持≥4级亮度调节。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1.22 双面升降液晶电子桌牌</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kern w:val="2"/>
                <w:sz w:val="24"/>
                <w:szCs w:val="24"/>
                <w:highlight w:val="none"/>
                <w:shd w:val="clear" w:color="auto" w:fill="auto"/>
                <w:lang w:val="en-US" w:eastAsia="zh-CN" w:bidi="ar-SA"/>
              </w:rPr>
            </w:pPr>
            <w:r>
              <w:rPr>
                <w:rFonts w:hint="eastAsia" w:ascii="仿宋_GB2312" w:hAnsi="仿宋_GB2312" w:eastAsia="仿宋_GB2312" w:cs="仿宋_GB2312"/>
                <w:b w:val="0"/>
                <w:bCs w:val="0"/>
                <w:color w:val="auto"/>
                <w:kern w:val="2"/>
                <w:sz w:val="24"/>
                <w:szCs w:val="24"/>
                <w:highlight w:val="none"/>
                <w:shd w:val="clear" w:color="auto" w:fill="auto"/>
                <w:lang w:val="en-US" w:eastAsia="zh-CN" w:bidi="ar-SA"/>
              </w:rPr>
              <w:t>1、真彩液晶屏双面≥7 寸 TFT，分辨率 ≥800*480 .清晰显示姓名/职务、单位名称/LOGO 、会徽/会标等，背景颜色、字体颜色、字号大小等均可自定义设计；背景模版可在软件库选择使用，单位或人名信息后台编辑或批量导入，支持有线联    网方式远程集中操控，统一或单独发送及修改会场布局、信息编辑收发、桌牌背光亮度调节等功能，操作简便快捷。</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kern w:val="2"/>
                <w:sz w:val="24"/>
                <w:szCs w:val="24"/>
                <w:highlight w:val="none"/>
                <w:shd w:val="clear" w:color="auto" w:fill="auto"/>
                <w:lang w:val="en-US" w:eastAsia="zh-CN" w:bidi="ar-SA"/>
              </w:rPr>
            </w:pPr>
            <w:r>
              <w:rPr>
                <w:rFonts w:hint="eastAsia" w:ascii="仿宋_GB2312" w:hAnsi="仿宋_GB2312" w:eastAsia="仿宋_GB2312" w:cs="仿宋_GB2312"/>
                <w:b w:val="0"/>
                <w:bCs w:val="0"/>
                <w:color w:val="auto"/>
                <w:kern w:val="2"/>
                <w:sz w:val="24"/>
                <w:szCs w:val="24"/>
                <w:highlight w:val="none"/>
                <w:shd w:val="clear" w:color="auto" w:fill="auto"/>
                <w:lang w:val="en-US" w:eastAsia="zh-CN" w:bidi="ar-SA"/>
              </w:rPr>
              <w:t>2、定制型液晶升降器桌面开孔尺寸不大于 220*46mm，颜色银白色。</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kern w:val="2"/>
                <w:sz w:val="24"/>
                <w:szCs w:val="24"/>
                <w:highlight w:val="none"/>
                <w:shd w:val="clear" w:color="auto" w:fill="auto"/>
                <w:lang w:val="en-US" w:eastAsia="zh-CN" w:bidi="ar-SA"/>
              </w:rPr>
            </w:pPr>
            <w:r>
              <w:rPr>
                <w:rFonts w:hint="eastAsia" w:ascii="仿宋_GB2312" w:hAnsi="仿宋_GB2312" w:eastAsia="仿宋_GB2312" w:cs="仿宋_GB2312"/>
                <w:b w:val="0"/>
                <w:bCs w:val="0"/>
                <w:color w:val="auto"/>
                <w:kern w:val="2"/>
                <w:sz w:val="24"/>
                <w:szCs w:val="24"/>
                <w:highlight w:val="none"/>
                <w:shd w:val="clear" w:color="auto" w:fill="auto"/>
                <w:lang w:val="en-US" w:eastAsia="zh-CN" w:bidi="ar-SA"/>
              </w:rPr>
              <w:t>3、息传输方式：只需一根网线将信息传入桌牌，支持两屏显示相同内容；</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kern w:val="2"/>
                <w:sz w:val="24"/>
                <w:szCs w:val="24"/>
                <w:highlight w:val="none"/>
                <w:shd w:val="clear" w:color="auto" w:fill="auto"/>
                <w:lang w:val="en-US" w:eastAsia="zh-CN" w:bidi="ar-SA"/>
              </w:rPr>
            </w:pPr>
            <w:r>
              <w:rPr>
                <w:rFonts w:hint="eastAsia" w:ascii="仿宋_GB2312" w:hAnsi="仿宋_GB2312" w:eastAsia="仿宋_GB2312" w:cs="仿宋_GB2312"/>
                <w:b w:val="0"/>
                <w:bCs w:val="0"/>
                <w:color w:val="auto"/>
                <w:kern w:val="2"/>
                <w:sz w:val="24"/>
                <w:szCs w:val="24"/>
                <w:highlight w:val="none"/>
                <w:shd w:val="clear" w:color="auto" w:fill="auto"/>
                <w:lang w:val="en-US" w:eastAsia="zh-CN" w:bidi="ar-SA"/>
              </w:rPr>
              <w:t>4、支持一根网线解决通讯和供电以及升降控制。</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1.23 口哨（小喇叭）：</w:t>
            </w:r>
          </w:p>
          <w:p>
            <w:pPr>
              <w:pStyle w:val="13"/>
              <w:keepNext w:val="0"/>
              <w:keepLines w:val="0"/>
              <w:pageBreakBefore w:val="0"/>
              <w:widowControl w:val="0"/>
              <w:numPr>
                <w:ilvl w:val="0"/>
                <w:numId w:val="16"/>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高穿透力、高频音</w:t>
            </w:r>
            <w:r>
              <w:rPr>
                <w:rFonts w:hint="eastAsia" w:ascii="仿宋_GB2312" w:hAnsi="仿宋_GB2312" w:eastAsia="仿宋_GB2312" w:cs="仿宋_GB2312"/>
                <w:color w:val="auto"/>
                <w:kern w:val="2"/>
                <w:sz w:val="24"/>
                <w:szCs w:val="24"/>
                <w:highlight w:val="none"/>
                <w:shd w:val="clear" w:color="auto" w:fill="auto"/>
                <w:lang w:val="en-US" w:eastAsia="zh-CN" w:bidi="ar-SA"/>
              </w:rPr>
              <w:t>≥</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120分贝；经久耐用，带挂绳；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1.24 反光背心：</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shd w:val="clear" w:color="auto" w:fill="auto"/>
                <w:lang w:val="en-US" w:eastAsia="zh-CN" w:bidi="ar-SA"/>
              </w:rPr>
            </w:pP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1、低弹丝布料、透气性良好；                                                                           2、绿色；                                                                                                              3、码数：具体尺寸需与甲方协商后购置；                                                                                                              4、印白色青海应急字样，字体需反光，在雨天使用过程中，无褪色、掉色和流淌油墨现象；                                                                                                                                                                </w:t>
            </w:r>
            <w:r>
              <w:rPr>
                <w:rFonts w:hint="eastAsia" w:ascii="仿宋_GB2312" w:hAnsi="仿宋_GB2312" w:eastAsia="仿宋_GB2312" w:cs="仿宋_GB2312"/>
                <w:b/>
                <w:bCs/>
                <w:color w:val="auto"/>
                <w:kern w:val="2"/>
                <w:sz w:val="24"/>
                <w:szCs w:val="24"/>
                <w:highlight w:val="none"/>
                <w:shd w:val="clear" w:color="auto" w:fill="auto"/>
                <w:lang w:val="en-US" w:eastAsia="zh-CN" w:bidi="ar-SA"/>
              </w:rPr>
              <w:t>1.25 防风镜：</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4"/>
                <w:szCs w:val="24"/>
                <w:highlight w:val="none"/>
                <w:shd w:val="clear" w:color="auto" w:fill="auto"/>
                <w:lang w:val="en-US" w:eastAsia="zh-CN" w:bidi="ar-SA"/>
              </w:rPr>
            </w:pPr>
            <w:r>
              <w:rPr>
                <w:rFonts w:hint="eastAsia" w:ascii="仿宋_GB2312" w:hAnsi="仿宋_GB2312" w:eastAsia="仿宋_GB2312" w:cs="仿宋_GB2312"/>
                <w:color w:val="auto"/>
                <w:kern w:val="2"/>
                <w:sz w:val="24"/>
                <w:szCs w:val="24"/>
                <w:highlight w:val="none"/>
                <w:shd w:val="clear" w:color="auto" w:fill="auto"/>
                <w:lang w:val="en-US" w:eastAsia="zh-CN" w:bidi="ar-SA"/>
              </w:rPr>
              <w:t xml:space="preserve">1、功能：防紫外线，偏光、遮阳； 主要用于大风、雨雪天气。                                            　　　　　　　　　　　　　　　　　　　                                                        　　　　　　　　　　　　　　   2、鼻托和腿架为防滑落硅胶材质，可以根据鼻型和脸型调整；                              　　　　　　　　　　　　　　　　　　　  3、重量≤30g。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b/>
                <w:bCs/>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1.26 救援服：</w:t>
            </w:r>
          </w:p>
          <w:p>
            <w:pPr>
              <w:pStyle w:val="19"/>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仿宋_GB2312" w:hAnsi="仿宋_GB2312" w:eastAsia="仿宋_GB2312" w:cs="仿宋_GB2312"/>
                <w:b w:val="0"/>
                <w:i w:val="0"/>
                <w:caps w:val="0"/>
                <w:color w:val="auto"/>
                <w:spacing w:val="0"/>
                <w:sz w:val="24"/>
                <w:szCs w:val="24"/>
                <w:highlight w:val="none"/>
                <w:shd w:val="clear" w:color="auto" w:fill="auto"/>
                <w:lang w:eastAsia="zh-CN"/>
              </w:rPr>
            </w:pPr>
            <w:r>
              <w:rPr>
                <w:rFonts w:hint="eastAsia" w:ascii="仿宋_GB2312" w:hAnsi="仿宋_GB2312" w:eastAsia="仿宋_GB2312" w:cs="仿宋_GB2312"/>
                <w:b w:val="0"/>
                <w:i w:val="0"/>
                <w:caps w:val="0"/>
                <w:color w:val="auto"/>
                <w:spacing w:val="0"/>
                <w:sz w:val="24"/>
                <w:szCs w:val="24"/>
                <w:highlight w:val="none"/>
                <w:shd w:val="clear" w:color="auto" w:fill="auto"/>
              </w:rPr>
              <w:t>上衣：</w:t>
            </w:r>
          </w:p>
          <w:p>
            <w:pPr>
              <w:pStyle w:val="19"/>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仿宋_GB2312" w:hAnsi="仿宋_GB2312" w:eastAsia="仿宋_GB2312" w:cs="仿宋_GB2312"/>
                <w:b w:val="0"/>
                <w:i w:val="0"/>
                <w:caps w:val="0"/>
                <w:color w:val="auto"/>
                <w:spacing w:val="0"/>
                <w:sz w:val="24"/>
                <w:szCs w:val="24"/>
                <w:highlight w:val="none"/>
                <w:shd w:val="clear" w:color="auto" w:fill="auto"/>
                <w:lang w:eastAsia="zh-CN"/>
              </w:rPr>
            </w:pPr>
            <w:r>
              <w:rPr>
                <w:rFonts w:hint="eastAsia" w:ascii="仿宋_GB2312" w:hAnsi="仿宋_GB2312" w:eastAsia="仿宋_GB2312" w:cs="仿宋_GB2312"/>
                <w:b w:val="0"/>
                <w:i w:val="0"/>
                <w:caps w:val="0"/>
                <w:color w:val="auto"/>
                <w:spacing w:val="0"/>
                <w:sz w:val="24"/>
                <w:szCs w:val="24"/>
                <w:highlight w:val="none"/>
                <w:shd w:val="clear" w:color="auto" w:fill="auto"/>
              </w:rPr>
              <w:t>1、面料：外层： 具有防泼水，防水透湿(JIS 10000/10000: 冲锋衣II级品)，抗风透湿、防静电。内胆：采用20D尼龙防钻绒面料；</w:t>
            </w:r>
          </w:p>
          <w:p>
            <w:pPr>
              <w:pStyle w:val="19"/>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仿宋_GB2312" w:hAnsi="仿宋_GB2312" w:eastAsia="仿宋_GB2312" w:cs="仿宋_GB2312"/>
                <w:b w:val="0"/>
                <w:i w:val="0"/>
                <w:caps w:val="0"/>
                <w:color w:val="auto"/>
                <w:spacing w:val="0"/>
                <w:sz w:val="24"/>
                <w:szCs w:val="24"/>
                <w:highlight w:val="none"/>
                <w:shd w:val="clear" w:color="auto" w:fill="auto"/>
                <w:lang w:eastAsia="zh-CN"/>
              </w:rPr>
            </w:pPr>
            <w:r>
              <w:rPr>
                <w:rFonts w:hint="eastAsia" w:ascii="仿宋_GB2312" w:hAnsi="仿宋_GB2312" w:eastAsia="仿宋_GB2312" w:cs="仿宋_GB2312"/>
                <w:b w:val="0"/>
                <w:i w:val="0"/>
                <w:caps w:val="0"/>
                <w:color w:val="auto"/>
                <w:spacing w:val="0"/>
                <w:sz w:val="24"/>
                <w:szCs w:val="24"/>
                <w:highlight w:val="none"/>
                <w:shd w:val="clear" w:color="auto" w:fill="auto"/>
              </w:rPr>
              <w:t>2、外套/内里印花设计，彰显品质，采用YKK拉链，耐磨顺滑；</w:t>
            </w:r>
          </w:p>
          <w:p>
            <w:pPr>
              <w:pStyle w:val="19"/>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仿宋_GB2312" w:hAnsi="仿宋_GB2312" w:eastAsia="仿宋_GB2312" w:cs="仿宋_GB2312"/>
                <w:b w:val="0"/>
                <w:i w:val="0"/>
                <w:caps w:val="0"/>
                <w:color w:val="auto"/>
                <w:spacing w:val="0"/>
                <w:sz w:val="24"/>
                <w:szCs w:val="24"/>
                <w:highlight w:val="none"/>
                <w:shd w:val="clear" w:color="auto" w:fill="auto"/>
                <w:lang w:eastAsia="zh-CN"/>
              </w:rPr>
            </w:pPr>
            <w:r>
              <w:rPr>
                <w:rFonts w:hint="eastAsia" w:ascii="仿宋_GB2312" w:hAnsi="仿宋_GB2312" w:eastAsia="仿宋_GB2312" w:cs="仿宋_GB2312"/>
                <w:b w:val="0"/>
                <w:i w:val="0"/>
                <w:caps w:val="0"/>
                <w:color w:val="auto"/>
                <w:spacing w:val="0"/>
                <w:sz w:val="24"/>
                <w:szCs w:val="24"/>
                <w:highlight w:val="none"/>
                <w:shd w:val="clear" w:color="auto" w:fill="auto"/>
              </w:rPr>
              <w:t>3、填充物：超轻羽绒（填充物：白鸭绒）内胆，填充物含量</w:t>
            </w:r>
            <w:r>
              <w:rPr>
                <w:rFonts w:hint="eastAsia" w:ascii="仿宋_GB2312" w:hAnsi="仿宋_GB2312" w:eastAsia="仿宋_GB2312" w:cs="仿宋_GB2312"/>
                <w:b w:val="0"/>
                <w:i w:val="0"/>
                <w:caps w:val="0"/>
                <w:color w:val="auto"/>
                <w:spacing w:val="0"/>
                <w:sz w:val="24"/>
                <w:szCs w:val="24"/>
                <w:highlight w:val="none"/>
                <w:shd w:val="clear" w:color="auto" w:fill="auto"/>
                <w:lang w:eastAsia="zh-CN"/>
              </w:rPr>
              <w:t>≥</w:t>
            </w:r>
            <w:r>
              <w:rPr>
                <w:rFonts w:hint="eastAsia" w:ascii="仿宋_GB2312" w:hAnsi="仿宋_GB2312" w:eastAsia="仿宋_GB2312" w:cs="仿宋_GB2312"/>
                <w:b w:val="0"/>
                <w:i w:val="0"/>
                <w:caps w:val="0"/>
                <w:color w:val="auto"/>
                <w:spacing w:val="0"/>
                <w:sz w:val="24"/>
                <w:szCs w:val="24"/>
                <w:highlight w:val="none"/>
                <w:shd w:val="clear" w:color="auto" w:fill="auto"/>
              </w:rPr>
              <w:t>90%，使衣服能有一衣三穿，更具实穿保暖性能；</w:t>
            </w:r>
          </w:p>
          <w:p>
            <w:pPr>
              <w:pStyle w:val="19"/>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仿宋_GB2312" w:hAnsi="仿宋_GB2312" w:eastAsia="仿宋_GB2312" w:cs="仿宋_GB2312"/>
                <w:b w:val="0"/>
                <w:i w:val="0"/>
                <w:caps w:val="0"/>
                <w:color w:val="auto"/>
                <w:spacing w:val="0"/>
                <w:sz w:val="24"/>
                <w:szCs w:val="24"/>
                <w:highlight w:val="none"/>
                <w:shd w:val="clear" w:color="auto" w:fill="auto"/>
                <w:lang w:eastAsia="zh-CN"/>
              </w:rPr>
            </w:pPr>
            <w:r>
              <w:rPr>
                <w:rFonts w:hint="eastAsia" w:ascii="仿宋_GB2312" w:hAnsi="仿宋_GB2312" w:eastAsia="仿宋_GB2312" w:cs="仿宋_GB2312"/>
                <w:b w:val="0"/>
                <w:i w:val="0"/>
                <w:caps w:val="0"/>
                <w:color w:val="auto"/>
                <w:spacing w:val="0"/>
                <w:sz w:val="24"/>
                <w:szCs w:val="24"/>
                <w:highlight w:val="none"/>
                <w:shd w:val="clear" w:color="auto" w:fill="auto"/>
              </w:rPr>
              <w:t>4、袖口：魔术贴袖口，防止冷风入侵；</w:t>
            </w:r>
          </w:p>
          <w:p>
            <w:pPr>
              <w:pStyle w:val="19"/>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仿宋_GB2312" w:hAnsi="仿宋_GB2312" w:eastAsia="仿宋_GB2312" w:cs="仿宋_GB2312"/>
                <w:b w:val="0"/>
                <w:i w:val="0"/>
                <w:caps w:val="0"/>
                <w:color w:val="auto"/>
                <w:spacing w:val="0"/>
                <w:sz w:val="24"/>
                <w:szCs w:val="24"/>
                <w:highlight w:val="none"/>
                <w:shd w:val="clear" w:color="auto" w:fill="auto"/>
                <w:lang w:eastAsia="zh-CN"/>
              </w:rPr>
            </w:pPr>
            <w:r>
              <w:rPr>
                <w:rFonts w:hint="eastAsia" w:ascii="仿宋_GB2312" w:hAnsi="仿宋_GB2312" w:eastAsia="仿宋_GB2312" w:cs="仿宋_GB2312"/>
                <w:b w:val="0"/>
                <w:i w:val="0"/>
                <w:caps w:val="0"/>
                <w:color w:val="auto"/>
                <w:spacing w:val="0"/>
                <w:sz w:val="24"/>
                <w:szCs w:val="24"/>
                <w:highlight w:val="none"/>
                <w:shd w:val="clear" w:color="auto" w:fill="auto"/>
              </w:rPr>
              <w:t>5、侧袋：拉链式侧袋，可随身置物；</w:t>
            </w:r>
          </w:p>
          <w:p>
            <w:pPr>
              <w:pStyle w:val="19"/>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仿宋_GB2312" w:hAnsi="仿宋_GB2312" w:eastAsia="仿宋_GB2312" w:cs="仿宋_GB2312"/>
                <w:b w:val="0"/>
                <w:i w:val="0"/>
                <w:caps w:val="0"/>
                <w:color w:val="auto"/>
                <w:spacing w:val="0"/>
                <w:sz w:val="24"/>
                <w:szCs w:val="24"/>
                <w:highlight w:val="none"/>
                <w:shd w:val="clear" w:color="auto" w:fill="auto"/>
                <w:lang w:eastAsia="zh-CN"/>
              </w:rPr>
            </w:pPr>
            <w:r>
              <w:rPr>
                <w:rFonts w:hint="eastAsia" w:ascii="仿宋_GB2312" w:hAnsi="仿宋_GB2312" w:eastAsia="仿宋_GB2312" w:cs="仿宋_GB2312"/>
                <w:b w:val="0"/>
                <w:i w:val="0"/>
                <w:caps w:val="0"/>
                <w:color w:val="auto"/>
                <w:spacing w:val="0"/>
                <w:sz w:val="24"/>
                <w:szCs w:val="24"/>
                <w:highlight w:val="none"/>
                <w:shd w:val="clear" w:color="auto" w:fill="auto"/>
              </w:rPr>
              <w:t>裤子：</w:t>
            </w:r>
          </w:p>
          <w:p>
            <w:pPr>
              <w:pStyle w:val="19"/>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仿宋_GB2312" w:hAnsi="仿宋_GB2312" w:eastAsia="仿宋_GB2312" w:cs="仿宋_GB2312"/>
                <w:b w:val="0"/>
                <w:i w:val="0"/>
                <w:caps w:val="0"/>
                <w:color w:val="auto"/>
                <w:spacing w:val="0"/>
                <w:sz w:val="24"/>
                <w:szCs w:val="24"/>
                <w:highlight w:val="none"/>
                <w:shd w:val="clear" w:color="auto" w:fill="auto"/>
                <w:lang w:eastAsia="zh-CN"/>
              </w:rPr>
            </w:pPr>
            <w:r>
              <w:rPr>
                <w:rFonts w:hint="eastAsia" w:ascii="仿宋_GB2312" w:hAnsi="仿宋_GB2312" w:eastAsia="仿宋_GB2312" w:cs="仿宋_GB2312"/>
                <w:b w:val="0"/>
                <w:i w:val="0"/>
                <w:caps w:val="0"/>
                <w:color w:val="auto"/>
                <w:spacing w:val="0"/>
                <w:sz w:val="24"/>
                <w:szCs w:val="24"/>
                <w:highlight w:val="none"/>
                <w:shd w:val="clear" w:color="auto" w:fill="auto"/>
              </w:rPr>
              <w:t>1、面料：外层：使用弹力梭织面料增加舒适度，耐磨。内胆聚酯纤维四向高弹表布复合优质摇粒绒，具备防风保暖效果，材料防泼水，透气，保暖；</w:t>
            </w:r>
          </w:p>
          <w:p>
            <w:pPr>
              <w:pStyle w:val="19"/>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仿宋_GB2312" w:hAnsi="仿宋_GB2312" w:eastAsia="仿宋_GB2312" w:cs="仿宋_GB2312"/>
                <w:b w:val="0"/>
                <w:i w:val="0"/>
                <w:caps w:val="0"/>
                <w:color w:val="auto"/>
                <w:spacing w:val="0"/>
                <w:sz w:val="24"/>
                <w:szCs w:val="24"/>
                <w:highlight w:val="none"/>
                <w:shd w:val="clear" w:color="auto" w:fill="auto"/>
                <w:lang w:eastAsia="zh-CN"/>
              </w:rPr>
            </w:pPr>
            <w:r>
              <w:rPr>
                <w:rFonts w:hint="eastAsia" w:ascii="仿宋_GB2312" w:hAnsi="仿宋_GB2312" w:eastAsia="仿宋_GB2312" w:cs="仿宋_GB2312"/>
                <w:b w:val="0"/>
                <w:i w:val="0"/>
                <w:caps w:val="0"/>
                <w:color w:val="auto"/>
                <w:spacing w:val="0"/>
                <w:sz w:val="24"/>
                <w:szCs w:val="24"/>
                <w:highlight w:val="none"/>
                <w:shd w:val="clear" w:color="auto" w:fill="auto"/>
              </w:rPr>
              <w:t>2、后腰设计：后腰弧腰设计蹲下不会露腰，侧腰松紧设计增加围度收缩量；</w:t>
            </w:r>
          </w:p>
          <w:p>
            <w:pPr>
              <w:pStyle w:val="19"/>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eastAsia" w:ascii="仿宋_GB2312" w:hAnsi="仿宋_GB2312" w:eastAsia="仿宋_GB2312" w:cs="仿宋_GB2312"/>
                <w:b w:val="0"/>
                <w:i w:val="0"/>
                <w:caps w:val="0"/>
                <w:color w:val="auto"/>
                <w:spacing w:val="0"/>
                <w:sz w:val="24"/>
                <w:szCs w:val="24"/>
                <w:highlight w:val="none"/>
                <w:shd w:val="clear" w:color="auto" w:fill="auto"/>
              </w:rPr>
              <w:t>3、袋口logo字体印花，彰显品质，采用YKK拉链，耐磨顺滑；</w:t>
            </w:r>
            <w:r>
              <w:rPr>
                <w:rFonts w:hint="eastAsia" w:ascii="仿宋_GB2312" w:hAnsi="仿宋_GB2312" w:eastAsia="仿宋_GB2312" w:cs="仿宋_GB2312"/>
                <w:color w:val="auto"/>
                <w:kern w:val="2"/>
                <w:sz w:val="24"/>
                <w:szCs w:val="24"/>
                <w:highlight w:val="none"/>
                <w:shd w:val="clear" w:color="auto" w:fill="auto"/>
                <w:lang w:val="en-US" w:eastAsia="zh-CN" w:bidi="ar-SA"/>
              </w:rPr>
              <w:t xml:space="preserve">                                                                                                                                       4、风格：连帽、纯色， 购置前具体尺寸及颜色需与甲方协商；                                                                                       5、左胸前有粘贴式青海应急字样。 </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                                                                                                                                                                       </w:t>
            </w:r>
            <w:r>
              <w:rPr>
                <w:rFonts w:hint="eastAsia" w:ascii="仿宋_GB2312" w:hAnsi="仿宋_GB2312" w:eastAsia="仿宋_GB2312" w:cs="仿宋_GB2312"/>
                <w:b/>
                <w:bCs/>
                <w:color w:val="auto"/>
                <w:kern w:val="2"/>
                <w:sz w:val="24"/>
                <w:szCs w:val="24"/>
                <w:highlight w:val="none"/>
                <w:shd w:val="clear" w:color="auto" w:fill="auto"/>
                <w:lang w:val="en-US" w:eastAsia="zh-CN" w:bidi="ar-SA"/>
              </w:rPr>
              <w:t>1.27 救援鞋：</w:t>
            </w:r>
          </w:p>
          <w:p>
            <w:pPr>
              <w:pStyle w:val="19"/>
              <w:keepNext w:val="0"/>
              <w:keepLines w:val="0"/>
              <w:pageBreakBefore w:val="0"/>
              <w:widowControl/>
              <w:numPr>
                <w:ilvl w:val="0"/>
                <w:numId w:val="17"/>
              </w:numPr>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仿宋_GB2312" w:hAnsi="仿宋_GB2312" w:eastAsia="仿宋_GB2312" w:cs="仿宋_GB2312"/>
                <w:color w:val="auto"/>
                <w:kern w:val="2"/>
                <w:sz w:val="24"/>
                <w:szCs w:val="24"/>
                <w:highlight w:val="none"/>
                <w:shd w:val="clear" w:color="auto" w:fill="auto"/>
                <w:lang w:val="en-US" w:eastAsia="zh-CN" w:bidi="ar-SA"/>
              </w:rPr>
            </w:pPr>
            <w:r>
              <w:rPr>
                <w:rFonts w:hint="eastAsia" w:ascii="仿宋_GB2312" w:hAnsi="仿宋_GB2312" w:eastAsia="仿宋_GB2312" w:cs="仿宋_GB2312"/>
                <w:color w:val="auto"/>
                <w:kern w:val="2"/>
                <w:sz w:val="24"/>
                <w:szCs w:val="24"/>
                <w:highlight w:val="none"/>
                <w:shd w:val="clear" w:color="auto" w:fill="auto"/>
                <w:lang w:val="en-US" w:eastAsia="zh-CN" w:bidi="ar-SA"/>
              </w:rPr>
              <w:t>防静电、防滑、防砸、防刺；</w:t>
            </w:r>
          </w:p>
          <w:p>
            <w:pPr>
              <w:pStyle w:val="19"/>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300" w:lineRule="exact"/>
              <w:ind w:leftChars="0" w:right="0" w:rightChars="0"/>
              <w:jc w:val="left"/>
              <w:textAlignment w:val="auto"/>
              <w:rPr>
                <w:rFonts w:hint="eastAsia" w:ascii="仿宋_GB2312" w:hAnsi="仿宋_GB2312" w:eastAsia="仿宋_GB2312" w:cs="仿宋_GB2312"/>
                <w:b w:val="0"/>
                <w:i w:val="0"/>
                <w:caps w:val="0"/>
                <w:color w:val="auto"/>
                <w:spacing w:val="0"/>
                <w:sz w:val="24"/>
                <w:szCs w:val="24"/>
                <w:highlight w:val="none"/>
                <w:shd w:val="clear" w:color="auto" w:fill="auto"/>
                <w:lang w:eastAsia="zh-CN"/>
              </w:rPr>
            </w:pPr>
            <w:r>
              <w:rPr>
                <w:rFonts w:hint="eastAsia" w:ascii="仿宋_GB2312" w:hAnsi="仿宋_GB2312" w:eastAsia="仿宋_GB2312" w:cs="仿宋_GB2312"/>
                <w:b w:val="0"/>
                <w:i w:val="0"/>
                <w:caps w:val="0"/>
                <w:color w:val="auto"/>
                <w:spacing w:val="0"/>
                <w:sz w:val="24"/>
                <w:szCs w:val="24"/>
                <w:highlight w:val="none"/>
                <w:shd w:val="clear" w:color="auto" w:fill="auto"/>
                <w:lang w:val="en-US" w:eastAsia="zh-CN"/>
              </w:rPr>
              <w:t>2、</w:t>
            </w:r>
            <w:r>
              <w:rPr>
                <w:rFonts w:hint="eastAsia" w:ascii="仿宋_GB2312" w:hAnsi="仿宋_GB2312" w:eastAsia="仿宋_GB2312" w:cs="仿宋_GB2312"/>
                <w:b w:val="0"/>
                <w:i w:val="0"/>
                <w:caps w:val="0"/>
                <w:color w:val="auto"/>
                <w:spacing w:val="0"/>
                <w:sz w:val="24"/>
                <w:szCs w:val="24"/>
                <w:highlight w:val="none"/>
                <w:shd w:val="clear" w:color="auto" w:fill="auto"/>
              </w:rPr>
              <w:t>正鞋面软革：黑色，厚度（1.8~2.0）mm</w:t>
            </w:r>
          </w:p>
          <w:p>
            <w:pPr>
              <w:pStyle w:val="19"/>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300" w:lineRule="exact"/>
              <w:ind w:leftChars="0" w:right="0" w:rightChars="0"/>
              <w:jc w:val="left"/>
              <w:textAlignment w:val="auto"/>
              <w:rPr>
                <w:rFonts w:hint="eastAsia" w:ascii="仿宋_GB2312" w:hAnsi="仿宋_GB2312" w:eastAsia="仿宋_GB2312" w:cs="仿宋_GB2312"/>
                <w:b w:val="0"/>
                <w:i w:val="0"/>
                <w:caps w:val="0"/>
                <w:color w:val="auto"/>
                <w:spacing w:val="0"/>
                <w:sz w:val="24"/>
                <w:szCs w:val="24"/>
                <w:highlight w:val="none"/>
                <w:shd w:val="clear" w:color="auto" w:fill="auto"/>
              </w:rPr>
            </w:pPr>
            <w:r>
              <w:rPr>
                <w:rFonts w:hint="eastAsia" w:ascii="仿宋_GB2312" w:hAnsi="仿宋_GB2312" w:eastAsia="仿宋_GB2312" w:cs="仿宋_GB2312"/>
                <w:b w:val="0"/>
                <w:i w:val="0"/>
                <w:caps w:val="0"/>
                <w:color w:val="auto"/>
                <w:spacing w:val="0"/>
                <w:sz w:val="24"/>
                <w:szCs w:val="24"/>
                <w:highlight w:val="none"/>
                <w:shd w:val="clear" w:color="auto" w:fill="auto"/>
                <w:lang w:val="en-US" w:eastAsia="zh-CN"/>
              </w:rPr>
              <w:t>3</w:t>
            </w:r>
            <w:r>
              <w:rPr>
                <w:rFonts w:hint="eastAsia" w:ascii="仿宋_GB2312" w:hAnsi="仿宋_GB2312" w:eastAsia="仿宋_GB2312" w:cs="仿宋_GB2312"/>
                <w:b w:val="0"/>
                <w:i w:val="0"/>
                <w:caps w:val="0"/>
                <w:color w:val="auto"/>
                <w:spacing w:val="0"/>
                <w:sz w:val="24"/>
                <w:szCs w:val="24"/>
                <w:highlight w:val="none"/>
                <w:shd w:val="clear" w:color="auto" w:fill="auto"/>
              </w:rPr>
              <w:t>、内革：由三层高强涤纶长丝织物，聚丙烯和无纺布复合成型</w:t>
            </w:r>
          </w:p>
          <w:p>
            <w:pPr>
              <w:pStyle w:val="19"/>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300" w:lineRule="exact"/>
              <w:ind w:leftChars="0" w:right="0" w:rightChars="0"/>
              <w:jc w:val="left"/>
              <w:textAlignment w:val="auto"/>
              <w:rPr>
                <w:rFonts w:hint="default" w:ascii="仿宋_GB2312" w:hAnsi="仿宋_GB2312" w:eastAsia="仿宋_GB2312" w:cs="仿宋_GB2312"/>
                <w:color w:val="auto"/>
                <w:kern w:val="2"/>
                <w:sz w:val="24"/>
                <w:szCs w:val="24"/>
                <w:highlight w:val="none"/>
                <w:shd w:val="clear" w:color="auto" w:fill="auto"/>
                <w:lang w:val="en-US" w:eastAsia="zh-CN" w:bidi="ar-SA"/>
              </w:rPr>
            </w:pPr>
            <w:r>
              <w:rPr>
                <w:rFonts w:hint="eastAsia" w:ascii="仿宋_GB2312" w:hAnsi="仿宋_GB2312" w:eastAsia="仿宋_GB2312" w:cs="仿宋_GB2312"/>
                <w:b w:val="0"/>
                <w:i w:val="0"/>
                <w:caps w:val="0"/>
                <w:color w:val="auto"/>
                <w:spacing w:val="0"/>
                <w:sz w:val="24"/>
                <w:szCs w:val="24"/>
                <w:highlight w:val="none"/>
                <w:shd w:val="clear" w:color="auto" w:fill="auto"/>
                <w:lang w:val="en-US" w:eastAsia="zh-CN"/>
              </w:rPr>
              <w:t>4</w:t>
            </w:r>
            <w:r>
              <w:rPr>
                <w:rFonts w:hint="eastAsia" w:ascii="仿宋_GB2312" w:hAnsi="仿宋_GB2312" w:eastAsia="仿宋_GB2312" w:cs="仿宋_GB2312"/>
                <w:b w:val="0"/>
                <w:i w:val="0"/>
                <w:caps w:val="0"/>
                <w:color w:val="auto"/>
                <w:spacing w:val="0"/>
                <w:sz w:val="24"/>
                <w:szCs w:val="24"/>
                <w:highlight w:val="none"/>
                <w:shd w:val="clear" w:color="auto" w:fill="auto"/>
              </w:rPr>
              <w:t>、鞋底：黑色聚醚型聚安酯，注射成型；黑色，橡胶，模压成型</w:t>
            </w:r>
            <w:r>
              <w:rPr>
                <w:rFonts w:hint="default" w:ascii="仿宋_GB2312" w:hAnsi="仿宋_GB2312" w:eastAsia="仿宋_GB2312" w:cs="仿宋_GB2312"/>
                <w:color w:val="auto"/>
                <w:kern w:val="2"/>
                <w:sz w:val="24"/>
                <w:szCs w:val="24"/>
                <w:highlight w:val="none"/>
                <w:shd w:val="clear" w:color="auto" w:fill="auto"/>
                <w:lang w:val="en-US" w:eastAsia="zh-CN" w:bidi="ar-SA"/>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1.28 厕所：</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i w:val="0"/>
                <w:caps w:val="0"/>
                <w:color w:val="auto"/>
                <w:spacing w:val="0"/>
                <w:kern w:val="0"/>
                <w:sz w:val="24"/>
                <w:szCs w:val="24"/>
                <w:shd w:val="clear" w:fill="FFFFFF"/>
                <w:lang w:val="en-US" w:eastAsia="zh-CN" w:bidi="ar"/>
              </w:rPr>
            </w:pPr>
            <w:r>
              <w:rPr>
                <w:rFonts w:hint="eastAsia" w:ascii="仿宋_GB2312" w:hAnsi="仿宋_GB2312" w:eastAsia="仿宋_GB2312" w:cs="仿宋_GB2312"/>
                <w:b w:val="0"/>
                <w:bCs w:val="0"/>
                <w:color w:val="auto"/>
                <w:kern w:val="2"/>
                <w:sz w:val="24"/>
                <w:szCs w:val="24"/>
                <w:highlight w:val="none"/>
                <w:shd w:val="clear" w:color="auto" w:fill="auto"/>
                <w:lang w:val="en-US" w:eastAsia="zh-CN" w:bidi="ar-SA"/>
              </w:rPr>
              <w:t>1、</w:t>
            </w:r>
            <w:r>
              <w:rPr>
                <w:rFonts w:hint="eastAsia" w:ascii="仿宋_GB2312" w:hAnsi="仿宋_GB2312" w:eastAsia="仿宋_GB2312" w:cs="仿宋_GB2312"/>
                <w:b w:val="0"/>
                <w:bCs w:val="0"/>
                <w:i w:val="0"/>
                <w:caps w:val="0"/>
                <w:color w:val="auto"/>
                <w:spacing w:val="0"/>
                <w:kern w:val="0"/>
                <w:sz w:val="24"/>
                <w:szCs w:val="24"/>
                <w:shd w:val="clear" w:fill="FFFFFF"/>
                <w:lang w:val="en-US" w:eastAsia="zh-CN" w:bidi="ar"/>
              </w:rPr>
              <w:t>塑料移动厕所，储存式一体，蓝色；</w:t>
            </w:r>
          </w:p>
          <w:p>
            <w:pPr>
              <w:pStyle w:val="26"/>
              <w:keepNext w:val="0"/>
              <w:keepLines w:val="0"/>
              <w:pageBreakBefore w:val="0"/>
              <w:numPr>
                <w:ilvl w:val="1"/>
                <w:numId w:val="0"/>
              </w:numPr>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i w:val="0"/>
                <w:caps w:val="0"/>
                <w:color w:val="auto"/>
                <w:spacing w:val="0"/>
                <w:kern w:val="0"/>
                <w:sz w:val="24"/>
                <w:szCs w:val="24"/>
                <w:shd w:val="clear" w:fill="FFFFFF"/>
                <w:lang w:val="en-US" w:eastAsia="zh-CN" w:bidi="ar"/>
              </w:rPr>
            </w:pPr>
            <w:r>
              <w:rPr>
                <w:rFonts w:hint="eastAsia" w:ascii="仿宋_GB2312" w:hAnsi="仿宋_GB2312" w:eastAsia="仿宋_GB2312" w:cs="仿宋_GB2312"/>
                <w:b w:val="0"/>
                <w:bCs w:val="0"/>
                <w:i w:val="0"/>
                <w:caps w:val="0"/>
                <w:color w:val="auto"/>
                <w:spacing w:val="0"/>
                <w:kern w:val="0"/>
                <w:sz w:val="24"/>
                <w:szCs w:val="24"/>
                <w:shd w:val="clear" w:fill="FFFFFF"/>
                <w:lang w:val="en-US" w:eastAsia="zh-CN" w:bidi="ar"/>
              </w:rPr>
              <w:t>2、蹲便器、自带储水箱≥120L，污水箱≥380L;</w:t>
            </w:r>
          </w:p>
          <w:p>
            <w:pPr>
              <w:pStyle w:val="10"/>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b w:val="0"/>
                <w:bCs w:val="0"/>
                <w:i w:val="0"/>
                <w:caps w:val="0"/>
                <w:color w:val="auto"/>
                <w:spacing w:val="0"/>
                <w:kern w:val="0"/>
                <w:sz w:val="24"/>
                <w:szCs w:val="24"/>
                <w:shd w:val="clear" w:fill="FFFFFF"/>
                <w:lang w:val="en-US" w:eastAsia="zh-CN" w:bidi="ar"/>
              </w:rPr>
            </w:pPr>
            <w:r>
              <w:rPr>
                <w:rFonts w:hint="eastAsia" w:ascii="仿宋_GB2312" w:hAnsi="仿宋_GB2312" w:eastAsia="仿宋_GB2312" w:cs="仿宋_GB2312"/>
                <w:b w:val="0"/>
                <w:bCs w:val="0"/>
                <w:i w:val="0"/>
                <w:caps w:val="0"/>
                <w:color w:val="auto"/>
                <w:spacing w:val="0"/>
                <w:kern w:val="0"/>
                <w:sz w:val="24"/>
                <w:szCs w:val="24"/>
                <w:shd w:val="clear" w:fill="FFFFFF"/>
                <w:lang w:val="en-US" w:eastAsia="zh-CN" w:bidi="ar"/>
              </w:rPr>
              <w:t>3、主材料：HDPE；含排污管、指示牌、镜子</w:t>
            </w:r>
          </w:p>
          <w:p>
            <w:pPr>
              <w:keepNext w:val="0"/>
              <w:keepLines w:val="0"/>
              <w:pageBreakBefore w:val="0"/>
              <w:kinsoku/>
              <w:wordWrap/>
              <w:overflowPunct/>
              <w:topLinePunct w:val="0"/>
              <w:autoSpaceDE/>
              <w:autoSpaceDN/>
              <w:bidi w:val="0"/>
              <w:adjustRightInd/>
              <w:snapToGrid/>
              <w:spacing w:line="300" w:lineRule="exact"/>
              <w:textAlignment w:val="auto"/>
              <w:rPr>
                <w:rFonts w:hint="default"/>
                <w:color w:val="auto"/>
                <w:lang w:val="en-US"/>
              </w:rPr>
            </w:pPr>
            <w:r>
              <w:rPr>
                <w:rFonts w:hint="eastAsia" w:ascii="仿宋_GB2312" w:hAnsi="仿宋_GB2312" w:eastAsia="仿宋_GB2312" w:cs="仿宋_GB2312"/>
                <w:b w:val="0"/>
                <w:bCs w:val="0"/>
                <w:i w:val="0"/>
                <w:caps w:val="0"/>
                <w:color w:val="auto"/>
                <w:spacing w:val="0"/>
                <w:kern w:val="0"/>
                <w:sz w:val="24"/>
                <w:szCs w:val="24"/>
                <w:shd w:val="clear" w:fill="FFFFFF"/>
                <w:lang w:val="en-US" w:eastAsia="zh-CN" w:bidi="ar"/>
              </w:rPr>
              <w:t>4、重量≥90KG，尺寸：门板厚度≥30mm，长宽高1.15m*1.15m*2.35m</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color w:val="auto"/>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shd w:val="clear" w:color="auto" w:fill="auto"/>
                <w:vertAlign w:val="baseline"/>
                <w:lang w:val="en-US" w:eastAsia="zh-CN"/>
              </w:rPr>
            </w:pPr>
          </w:p>
        </w:tc>
        <w:tc>
          <w:tcPr>
            <w:tcW w:w="7742" w:type="dxa"/>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jc w:val="left"/>
              <w:textAlignment w:val="auto"/>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b/>
                <w:bCs/>
                <w:color w:val="auto"/>
                <w:kern w:val="2"/>
                <w:sz w:val="24"/>
                <w:szCs w:val="24"/>
                <w:shd w:val="clear" w:color="auto" w:fill="auto"/>
                <w:lang w:val="en-US" w:eastAsia="zh-CN" w:bidi="ar-SA"/>
              </w:rPr>
              <w:t>2.照明保障类：</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 xml:space="preserve">2.1 </w:t>
            </w:r>
            <w:r>
              <w:rPr>
                <w:rFonts w:hint="eastAsia" w:ascii="仿宋_GB2312" w:hAnsi="仿宋_GB2312" w:eastAsia="仿宋_GB2312" w:cs="仿宋_GB2312"/>
                <w:i w:val="0"/>
                <w:color w:val="auto"/>
                <w:kern w:val="0"/>
                <w:sz w:val="24"/>
                <w:szCs w:val="24"/>
                <w:highlight w:val="none"/>
                <w:u w:val="none"/>
                <w:lang w:val="en-US" w:eastAsia="zh-CN" w:bidi="ar"/>
              </w:rPr>
              <w:t>移动升降照明灯</w:t>
            </w:r>
            <w:r>
              <w:rPr>
                <w:rFonts w:hint="eastAsia" w:ascii="仿宋_GB2312" w:hAnsi="仿宋_GB2312" w:eastAsia="仿宋_GB2312" w:cs="仿宋_GB2312"/>
                <w:b/>
                <w:bCs/>
                <w:color w:val="auto"/>
                <w:kern w:val="2"/>
                <w:sz w:val="24"/>
                <w:szCs w:val="24"/>
                <w:highlight w:val="none"/>
                <w:lang w:val="en-US" w:eastAsia="zh-CN" w:bidi="ar-SA"/>
              </w:rPr>
              <w:t>：</w:t>
            </w:r>
          </w:p>
          <w:p>
            <w:pPr>
              <w:numPr>
                <w:ilvl w:val="0"/>
                <w:numId w:val="0"/>
              </w:numPr>
              <w:jc w:val="both"/>
              <w:rPr>
                <w:rFonts w:hint="eastAsia" w:ascii="仿宋_GB2312" w:hAnsi="仿宋_GB2312" w:eastAsia="仿宋_GB2312" w:cs="仿宋_GB2312"/>
                <w:i w:val="0"/>
                <w:color w:val="auto"/>
                <w:sz w:val="24"/>
                <w:szCs w:val="24"/>
                <w:highlight w:val="none"/>
                <w:u w:val="none"/>
                <w:lang w:eastAsia="zh-CN"/>
              </w:rPr>
            </w:pPr>
            <w:r>
              <w:rPr>
                <w:rFonts w:hint="eastAsia" w:ascii="仿宋_GB2312" w:hAnsi="仿宋_GB2312" w:eastAsia="仿宋_GB2312" w:cs="仿宋_GB2312"/>
                <w:i w:val="0"/>
                <w:color w:val="auto"/>
                <w:sz w:val="24"/>
                <w:szCs w:val="24"/>
                <w:highlight w:val="none"/>
                <w:u w:val="none"/>
                <w:lang w:val="en-US" w:eastAsia="zh-CN"/>
              </w:rPr>
              <w:t>1、</w:t>
            </w:r>
            <w:r>
              <w:rPr>
                <w:rFonts w:hint="eastAsia" w:ascii="仿宋_GB2312" w:hAnsi="仿宋_GB2312" w:eastAsia="仿宋_GB2312" w:cs="仿宋_GB2312"/>
                <w:i w:val="0"/>
                <w:color w:val="auto"/>
                <w:sz w:val="24"/>
                <w:szCs w:val="24"/>
                <w:highlight w:val="none"/>
                <w:u w:val="none"/>
              </w:rPr>
              <w:t>灯具的升降杆、电池、灯头、摄像云台，采用一体化设计，电池内置，可快速折叠。三灯头折叠设计，即可360 °环照，亦可单向投光照明</w:t>
            </w:r>
            <w:r>
              <w:rPr>
                <w:rFonts w:hint="eastAsia" w:ascii="仿宋_GB2312" w:hAnsi="仿宋_GB2312" w:eastAsia="仿宋_GB2312" w:cs="仿宋_GB2312"/>
                <w:i w:val="0"/>
                <w:color w:val="auto"/>
                <w:sz w:val="24"/>
                <w:szCs w:val="24"/>
                <w:highlight w:val="none"/>
                <w:u w:val="none"/>
                <w:lang w:eastAsia="zh-CN"/>
              </w:rPr>
              <w:t>；</w:t>
            </w:r>
          </w:p>
          <w:p>
            <w:pPr>
              <w:numPr>
                <w:ilvl w:val="0"/>
                <w:numId w:val="0"/>
              </w:numPr>
              <w:ind w:leftChars="0"/>
              <w:jc w:val="both"/>
              <w:rPr>
                <w:rFonts w:hint="eastAsia" w:ascii="仿宋_GB2312" w:hAnsi="仿宋_GB2312" w:eastAsia="仿宋_GB2312" w:cs="仿宋_GB2312"/>
                <w:i w:val="0"/>
                <w:color w:val="auto"/>
                <w:sz w:val="24"/>
                <w:szCs w:val="24"/>
                <w:highlight w:val="none"/>
                <w:u w:val="none"/>
                <w:lang w:eastAsia="zh-CN"/>
              </w:rPr>
            </w:pPr>
            <w:r>
              <w:rPr>
                <w:rFonts w:hint="eastAsia" w:ascii="仿宋_GB2312" w:hAnsi="仿宋_GB2312" w:eastAsia="仿宋_GB2312" w:cs="仿宋_GB2312"/>
                <w:i w:val="0"/>
                <w:color w:val="auto"/>
                <w:sz w:val="24"/>
                <w:szCs w:val="24"/>
                <w:highlight w:val="none"/>
                <w:u w:val="none"/>
                <w:lang w:val="en-US" w:eastAsia="zh-CN"/>
              </w:rPr>
              <w:t>2、</w:t>
            </w:r>
            <w:r>
              <w:rPr>
                <w:rFonts w:hint="eastAsia" w:ascii="仿宋_GB2312" w:hAnsi="仿宋_GB2312" w:eastAsia="仿宋_GB2312" w:cs="仿宋_GB2312"/>
                <w:i w:val="0"/>
                <w:color w:val="auto"/>
                <w:sz w:val="24"/>
                <w:szCs w:val="24"/>
                <w:highlight w:val="none"/>
                <w:u w:val="none"/>
              </w:rPr>
              <w:t>最大升起高度2.3米，最小收缩高度1.45米，方便收纳、携带</w:t>
            </w:r>
            <w:r>
              <w:rPr>
                <w:rFonts w:hint="eastAsia" w:ascii="仿宋_GB2312" w:hAnsi="仿宋_GB2312" w:eastAsia="仿宋_GB2312" w:cs="仿宋_GB2312"/>
                <w:i w:val="0"/>
                <w:color w:val="auto"/>
                <w:sz w:val="24"/>
                <w:szCs w:val="24"/>
                <w:highlight w:val="none"/>
                <w:u w:val="none"/>
                <w:lang w:eastAsia="zh-CN"/>
              </w:rPr>
              <w:t>；</w:t>
            </w:r>
          </w:p>
          <w:p>
            <w:pPr>
              <w:numPr>
                <w:ilvl w:val="0"/>
                <w:numId w:val="0"/>
              </w:numPr>
              <w:ind w:leftChars="0"/>
              <w:jc w:val="both"/>
              <w:rPr>
                <w:rFonts w:hint="eastAsia" w:ascii="仿宋_GB2312" w:hAnsi="仿宋_GB2312" w:eastAsia="仿宋_GB2312" w:cs="仿宋_GB2312"/>
                <w:i w:val="0"/>
                <w:color w:val="auto"/>
                <w:sz w:val="24"/>
                <w:szCs w:val="24"/>
                <w:highlight w:val="none"/>
                <w:u w:val="none"/>
                <w:lang w:eastAsia="zh-CN"/>
              </w:rPr>
            </w:pPr>
            <w:r>
              <w:rPr>
                <w:rFonts w:hint="eastAsia" w:ascii="仿宋_GB2312" w:hAnsi="仿宋_GB2312" w:eastAsia="仿宋_GB2312" w:cs="仿宋_GB2312"/>
                <w:i w:val="0"/>
                <w:color w:val="auto"/>
                <w:sz w:val="24"/>
                <w:szCs w:val="24"/>
                <w:highlight w:val="none"/>
                <w:u w:val="none"/>
              </w:rPr>
              <w:t>3、额定功率≥35W；光源：LED；光通量≥4000lm；额定电压≥DC18V；(需在检验报告中体现)</w:t>
            </w:r>
            <w:r>
              <w:rPr>
                <w:rFonts w:hint="eastAsia" w:ascii="仿宋_GB2312" w:hAnsi="仿宋_GB2312" w:eastAsia="仿宋_GB2312" w:cs="仿宋_GB2312"/>
                <w:i w:val="0"/>
                <w:color w:val="auto"/>
                <w:sz w:val="24"/>
                <w:szCs w:val="24"/>
                <w:highlight w:val="none"/>
                <w:u w:val="none"/>
                <w:lang w:eastAsia="zh-CN"/>
              </w:rPr>
              <w:t>；</w:t>
            </w:r>
          </w:p>
          <w:p>
            <w:pPr>
              <w:numPr>
                <w:ilvl w:val="0"/>
                <w:numId w:val="0"/>
              </w:numPr>
              <w:ind w:leftChars="0"/>
              <w:jc w:val="both"/>
              <w:rPr>
                <w:rFonts w:hint="eastAsia" w:ascii="仿宋_GB2312" w:hAnsi="仿宋_GB2312" w:eastAsia="仿宋_GB2312" w:cs="仿宋_GB2312"/>
                <w:i w:val="0"/>
                <w:color w:val="auto"/>
                <w:sz w:val="24"/>
                <w:szCs w:val="24"/>
                <w:highlight w:val="none"/>
                <w:u w:val="none"/>
                <w:lang w:eastAsia="zh-CN"/>
              </w:rPr>
            </w:pPr>
            <w:r>
              <w:rPr>
                <w:rFonts w:hint="eastAsia" w:ascii="仿宋_GB2312" w:hAnsi="仿宋_GB2312" w:eastAsia="仿宋_GB2312" w:cs="仿宋_GB2312"/>
                <w:i w:val="0"/>
                <w:color w:val="auto"/>
                <w:sz w:val="24"/>
                <w:szCs w:val="24"/>
                <w:highlight w:val="none"/>
                <w:u w:val="none"/>
              </w:rPr>
              <w:t>4、 充电时间≤6h，摄像+照明连续工作时间≥6 h(需在检验报告中体现)</w:t>
            </w:r>
            <w:r>
              <w:rPr>
                <w:rFonts w:hint="eastAsia" w:ascii="仿宋_GB2312" w:hAnsi="仿宋_GB2312" w:eastAsia="仿宋_GB2312" w:cs="仿宋_GB2312"/>
                <w:i w:val="0"/>
                <w:color w:val="auto"/>
                <w:sz w:val="24"/>
                <w:szCs w:val="24"/>
                <w:highlight w:val="none"/>
                <w:u w:val="none"/>
                <w:lang w:eastAsia="zh-CN"/>
              </w:rPr>
              <w:t>；</w:t>
            </w:r>
          </w:p>
          <w:p>
            <w:pPr>
              <w:numPr>
                <w:ilvl w:val="0"/>
                <w:numId w:val="0"/>
              </w:numPr>
              <w:jc w:val="both"/>
              <w:rPr>
                <w:rFonts w:hint="eastAsia" w:ascii="仿宋_GB2312" w:hAnsi="仿宋_GB2312" w:eastAsia="仿宋_GB2312" w:cs="仿宋_GB2312"/>
                <w:i w:val="0"/>
                <w:color w:val="auto"/>
                <w:sz w:val="24"/>
                <w:szCs w:val="24"/>
                <w:highlight w:val="none"/>
                <w:u w:val="none"/>
                <w:lang w:eastAsia="zh-CN"/>
              </w:rPr>
            </w:pPr>
            <w:r>
              <w:rPr>
                <w:rFonts w:hint="eastAsia" w:ascii="仿宋_GB2312" w:hAnsi="仿宋_GB2312" w:eastAsia="仿宋_GB2312" w:cs="仿宋_GB2312"/>
                <w:i w:val="0"/>
                <w:color w:val="auto"/>
                <w:sz w:val="24"/>
                <w:szCs w:val="24"/>
                <w:highlight w:val="none"/>
                <w:u w:val="none"/>
                <w:lang w:val="en-US" w:eastAsia="zh-CN"/>
              </w:rPr>
              <w:t>5、</w:t>
            </w:r>
            <w:r>
              <w:rPr>
                <w:rFonts w:hint="eastAsia" w:ascii="仿宋_GB2312" w:hAnsi="仿宋_GB2312" w:eastAsia="仿宋_GB2312" w:cs="仿宋_GB2312"/>
                <w:i w:val="0"/>
                <w:color w:val="auto"/>
                <w:sz w:val="24"/>
                <w:szCs w:val="24"/>
                <w:highlight w:val="none"/>
                <w:u w:val="none"/>
              </w:rPr>
              <w:t>配置有摄像云台，采用星光级10倍光学变焦摄像头，满足昼夜的细节拍摄， 监控指挥需求</w:t>
            </w:r>
            <w:r>
              <w:rPr>
                <w:rFonts w:hint="eastAsia" w:ascii="仿宋_GB2312" w:hAnsi="仿宋_GB2312" w:eastAsia="仿宋_GB2312" w:cs="仿宋_GB2312"/>
                <w:i w:val="0"/>
                <w:color w:val="auto"/>
                <w:sz w:val="24"/>
                <w:szCs w:val="24"/>
                <w:highlight w:val="none"/>
                <w:u w:val="none"/>
                <w:lang w:eastAsia="zh-CN"/>
              </w:rPr>
              <w:t>；</w:t>
            </w:r>
          </w:p>
          <w:p>
            <w:pPr>
              <w:numPr>
                <w:ilvl w:val="0"/>
                <w:numId w:val="0"/>
              </w:numPr>
              <w:ind w:leftChars="0"/>
              <w:jc w:val="both"/>
              <w:rPr>
                <w:rFonts w:hint="eastAsia" w:ascii="仿宋_GB2312" w:hAnsi="仿宋_GB2312" w:eastAsia="仿宋_GB2312" w:cs="仿宋_GB2312"/>
                <w:i w:val="0"/>
                <w:color w:val="auto"/>
                <w:sz w:val="24"/>
                <w:szCs w:val="24"/>
                <w:highlight w:val="none"/>
                <w:u w:val="none"/>
                <w:lang w:eastAsia="zh-CN"/>
              </w:rPr>
            </w:pPr>
            <w:r>
              <w:rPr>
                <w:rFonts w:hint="eastAsia" w:ascii="仿宋_GB2312" w:hAnsi="仿宋_GB2312" w:eastAsia="仿宋_GB2312" w:cs="仿宋_GB2312"/>
                <w:i w:val="0"/>
                <w:color w:val="auto"/>
                <w:sz w:val="24"/>
                <w:szCs w:val="24"/>
                <w:highlight w:val="none"/>
                <w:u w:val="none"/>
                <w:lang w:val="en-US" w:eastAsia="zh-CN"/>
              </w:rPr>
              <w:t>6、</w:t>
            </w:r>
            <w:r>
              <w:rPr>
                <w:rFonts w:hint="eastAsia" w:ascii="仿宋_GB2312" w:hAnsi="仿宋_GB2312" w:eastAsia="仿宋_GB2312" w:cs="仿宋_GB2312"/>
                <w:i w:val="0"/>
                <w:color w:val="auto"/>
                <w:sz w:val="24"/>
                <w:szCs w:val="24"/>
                <w:highlight w:val="none"/>
                <w:u w:val="none"/>
              </w:rPr>
              <w:t>可通过 4G/WIFI传输接入管理平台，实现实时监控，文件上传等功能</w:t>
            </w:r>
            <w:r>
              <w:rPr>
                <w:rFonts w:hint="eastAsia" w:ascii="仿宋_GB2312" w:hAnsi="仿宋_GB2312" w:eastAsia="仿宋_GB2312" w:cs="仿宋_GB2312"/>
                <w:i w:val="0"/>
                <w:color w:val="auto"/>
                <w:sz w:val="24"/>
                <w:szCs w:val="24"/>
                <w:highlight w:val="none"/>
                <w:u w:val="none"/>
                <w:lang w:eastAsia="zh-CN"/>
              </w:rPr>
              <w:t>；</w:t>
            </w:r>
          </w:p>
          <w:p>
            <w:pPr>
              <w:numPr>
                <w:ilvl w:val="0"/>
                <w:numId w:val="0"/>
              </w:numPr>
              <w:ind w:leftChars="0"/>
              <w:jc w:val="both"/>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rPr>
              <w:t>7、灯具采用专业密封结构设计，防护为IP66，符合GB/T 4208-2017标准，满足户外长期可靠使用</w:t>
            </w:r>
            <w:r>
              <w:rPr>
                <w:rFonts w:hint="eastAsia" w:ascii="仿宋_GB2312" w:hAnsi="仿宋_GB2312" w:eastAsia="仿宋_GB2312" w:cs="仿宋_GB2312"/>
                <w:i w:val="0"/>
                <w:color w:val="auto"/>
                <w:sz w:val="24"/>
                <w:szCs w:val="24"/>
                <w:highlight w:val="none"/>
                <w:u w:val="none"/>
                <w:lang w:eastAsia="zh-CN"/>
              </w:rPr>
              <w:t>；</w:t>
            </w:r>
            <w:r>
              <w:rPr>
                <w:rFonts w:hint="eastAsia" w:ascii="仿宋_GB2312" w:hAnsi="仿宋_GB2312" w:eastAsia="仿宋_GB2312" w:cs="仿宋_GB2312"/>
                <w:i w:val="0"/>
                <w:color w:val="auto"/>
                <w:sz w:val="24"/>
                <w:szCs w:val="24"/>
                <w:highlight w:val="none"/>
                <w:u w:val="none"/>
              </w:rPr>
              <w:t>(需在检验报告中体现)</w:t>
            </w:r>
          </w:p>
          <w:p>
            <w:pPr>
              <w:numPr>
                <w:ilvl w:val="0"/>
                <w:numId w:val="0"/>
              </w:numPr>
              <w:ind w:leftChars="0"/>
              <w:jc w:val="both"/>
              <w:rPr>
                <w:rFonts w:hint="eastAsia" w:ascii="仿宋_GB2312" w:hAnsi="仿宋_GB2312" w:eastAsia="仿宋_GB2312" w:cs="仿宋_GB2312"/>
                <w:i w:val="0"/>
                <w:color w:val="auto"/>
                <w:sz w:val="24"/>
                <w:szCs w:val="24"/>
                <w:highlight w:val="none"/>
                <w:u w:val="none"/>
                <w:lang w:eastAsia="zh-CN"/>
              </w:rPr>
            </w:pPr>
            <w:r>
              <w:rPr>
                <w:rFonts w:hint="eastAsia" w:ascii="仿宋_GB2312" w:hAnsi="仿宋_GB2312" w:eastAsia="仿宋_GB2312" w:cs="仿宋_GB2312"/>
                <w:i w:val="0"/>
                <w:color w:val="auto"/>
                <w:sz w:val="24"/>
                <w:szCs w:val="24"/>
                <w:highlight w:val="none"/>
                <w:u w:val="none"/>
                <w:lang w:val="en-US" w:eastAsia="zh-CN"/>
              </w:rPr>
              <w:t>8、</w:t>
            </w:r>
            <w:r>
              <w:rPr>
                <w:rFonts w:hint="eastAsia" w:ascii="仿宋_GB2312" w:hAnsi="仿宋_GB2312" w:eastAsia="仿宋_GB2312" w:cs="仿宋_GB2312"/>
                <w:i w:val="0"/>
                <w:color w:val="auto"/>
                <w:sz w:val="24"/>
                <w:szCs w:val="24"/>
                <w:highlight w:val="none"/>
                <w:u w:val="none"/>
              </w:rPr>
              <w:t>灯具外壳采用高强度工程塑料，内外均有加强筋设计，保证灯具在-20°低温环境下正常工作</w:t>
            </w:r>
            <w:r>
              <w:rPr>
                <w:rFonts w:hint="eastAsia" w:ascii="仿宋_GB2312" w:hAnsi="仿宋_GB2312" w:eastAsia="仿宋_GB2312" w:cs="仿宋_GB2312"/>
                <w:i w:val="0"/>
                <w:color w:val="auto"/>
                <w:sz w:val="24"/>
                <w:szCs w:val="24"/>
                <w:highlight w:val="none"/>
                <w:u w:val="none"/>
                <w:lang w:eastAsia="zh-CN"/>
              </w:rPr>
              <w:t>；</w:t>
            </w:r>
          </w:p>
          <w:p>
            <w:pPr>
              <w:numPr>
                <w:ilvl w:val="0"/>
                <w:numId w:val="0"/>
              </w:numPr>
              <w:ind w:leftChars="0"/>
              <w:jc w:val="both"/>
              <w:rPr>
                <w:rFonts w:hint="eastAsia" w:ascii="仿宋_GB2312" w:hAnsi="仿宋_GB2312" w:eastAsia="仿宋_GB2312" w:cs="仿宋_GB2312"/>
                <w:i w:val="0"/>
                <w:color w:val="auto"/>
                <w:sz w:val="24"/>
                <w:szCs w:val="24"/>
                <w:highlight w:val="none"/>
                <w:u w:val="none"/>
                <w:lang w:eastAsia="zh-CN"/>
              </w:rPr>
            </w:pPr>
            <w:r>
              <w:rPr>
                <w:rFonts w:hint="eastAsia" w:ascii="仿宋_GB2312" w:hAnsi="仿宋_GB2312" w:eastAsia="仿宋_GB2312" w:cs="仿宋_GB2312"/>
                <w:i w:val="0"/>
                <w:color w:val="auto"/>
                <w:sz w:val="24"/>
                <w:szCs w:val="24"/>
                <w:highlight w:val="none"/>
                <w:u w:val="none"/>
              </w:rPr>
              <w:t>9、整灯重量≤6Kg</w:t>
            </w:r>
            <w:r>
              <w:rPr>
                <w:rFonts w:hint="eastAsia" w:ascii="仿宋_GB2312" w:hAnsi="仿宋_GB2312" w:eastAsia="仿宋_GB2312" w:cs="仿宋_GB2312"/>
                <w:i w:val="0"/>
                <w:color w:val="auto"/>
                <w:sz w:val="24"/>
                <w:szCs w:val="24"/>
                <w:highlight w:val="none"/>
                <w:u w:val="none"/>
                <w:lang w:eastAsia="zh-CN"/>
              </w:rPr>
              <w:t>；</w:t>
            </w:r>
            <w:r>
              <w:rPr>
                <w:rFonts w:hint="eastAsia" w:ascii="仿宋_GB2312" w:hAnsi="仿宋_GB2312" w:eastAsia="仿宋_GB2312" w:cs="仿宋_GB2312"/>
                <w:i w:val="0"/>
                <w:color w:val="auto"/>
                <w:sz w:val="24"/>
                <w:szCs w:val="24"/>
                <w:highlight w:val="none"/>
                <w:u w:val="none"/>
              </w:rPr>
              <w:t>(需在检验报告中体现)</w:t>
            </w:r>
          </w:p>
          <w:p>
            <w:pPr>
              <w:numPr>
                <w:ilvl w:val="0"/>
                <w:numId w:val="0"/>
              </w:numPr>
              <w:ind w:leftChars="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color w:val="auto"/>
                <w:sz w:val="24"/>
                <w:szCs w:val="24"/>
                <w:highlight w:val="none"/>
                <w:u w:val="none"/>
              </w:rPr>
              <w:t>10、摄像云台采用</w:t>
            </w:r>
            <w:r>
              <w:rPr>
                <w:rFonts w:hint="eastAsia" w:ascii="仿宋_GB2312" w:hAnsi="仿宋_GB2312" w:eastAsia="仿宋_GB2312" w:cs="仿宋_GB2312"/>
                <w:i w:val="0"/>
                <w:color w:val="auto"/>
                <w:sz w:val="24"/>
                <w:szCs w:val="24"/>
                <w:highlight w:val="none"/>
                <w:u w:val="none"/>
                <w:lang w:val="en-US" w:eastAsia="zh-CN"/>
              </w:rPr>
              <w:t>4</w:t>
            </w:r>
            <w:r>
              <w:rPr>
                <w:rFonts w:hint="eastAsia" w:ascii="仿宋_GB2312" w:hAnsi="仿宋_GB2312" w:eastAsia="仿宋_GB2312" w:cs="仿宋_GB2312"/>
                <w:i w:val="0"/>
                <w:color w:val="auto"/>
                <w:sz w:val="24"/>
                <w:szCs w:val="24"/>
                <w:highlight w:val="none"/>
                <w:u w:val="none"/>
              </w:rPr>
              <w:t>G /wifi的传输模式；具有北斗+GPS双定位功能，灯具在空旷地方打开GPS功能，60秒内可搜索到的卫星信号，空旷地误差10米范围内；同时支持256G的存储空间</w:t>
            </w:r>
            <w:r>
              <w:rPr>
                <w:rFonts w:hint="eastAsia" w:ascii="仿宋_GB2312" w:hAnsi="仿宋_GB2312" w:eastAsia="仿宋_GB2312" w:cs="仿宋_GB2312"/>
                <w:i w:val="0"/>
                <w:color w:val="auto"/>
                <w:sz w:val="24"/>
                <w:szCs w:val="24"/>
                <w:highlight w:val="none"/>
                <w:u w:val="none"/>
                <w:lang w:eastAsia="zh-CN"/>
              </w:rPr>
              <w:t>；</w:t>
            </w:r>
            <w:r>
              <w:rPr>
                <w:rFonts w:hint="eastAsia" w:ascii="仿宋_GB2312" w:hAnsi="仿宋_GB2312" w:eastAsia="仿宋_GB2312" w:cs="仿宋_GB2312"/>
                <w:i w:val="0"/>
                <w:color w:val="auto"/>
                <w:sz w:val="24"/>
                <w:szCs w:val="24"/>
                <w:highlight w:val="none"/>
                <w:u w:val="none"/>
              </w:rPr>
              <w:t>11、单向投光照明10米处中心照度：≥5lx</w:t>
            </w:r>
            <w:r>
              <w:rPr>
                <w:rFonts w:hint="eastAsia" w:ascii="仿宋_GB2312" w:hAnsi="仿宋_GB2312" w:eastAsia="仿宋_GB2312" w:cs="仿宋_GB2312"/>
                <w:i w:val="0"/>
                <w:color w:val="auto"/>
                <w:sz w:val="24"/>
                <w:szCs w:val="24"/>
                <w:highlight w:val="none"/>
                <w:u w:val="none"/>
                <w:lang w:eastAsia="zh-CN"/>
              </w:rPr>
              <w:t>；</w:t>
            </w:r>
            <w:r>
              <w:rPr>
                <w:rFonts w:hint="eastAsia" w:ascii="仿宋_GB2312" w:hAnsi="仿宋_GB2312" w:eastAsia="仿宋_GB2312" w:cs="仿宋_GB2312"/>
                <w:i w:val="0"/>
                <w:color w:val="auto"/>
                <w:sz w:val="24"/>
                <w:szCs w:val="24"/>
                <w:highlight w:val="none"/>
                <w:u w:val="none"/>
              </w:rPr>
              <w:t>（需在检验报告中体现）</w:t>
            </w:r>
            <w:r>
              <w:rPr>
                <w:rFonts w:hint="eastAsia" w:ascii="仿宋_GB2312" w:hAnsi="仿宋_GB2312" w:eastAsia="仿宋_GB2312" w:cs="仿宋_GB2312"/>
                <w:color w:val="auto"/>
                <w:kern w:val="2"/>
                <w:sz w:val="24"/>
                <w:szCs w:val="24"/>
                <w:highlight w:val="none"/>
                <w:lang w:val="en-US" w:eastAsia="zh-CN" w:bidi="ar-SA"/>
              </w:rPr>
              <w:t xml:space="preserve">  </w:t>
            </w:r>
            <w:r>
              <w:rPr>
                <w:rFonts w:hint="eastAsia" w:ascii="仿宋_GB2312" w:hAnsi="仿宋_GB2312" w:eastAsia="仿宋_GB2312" w:cs="仿宋_GB2312"/>
                <w:color w:val="auto"/>
                <w:kern w:val="2"/>
                <w:sz w:val="24"/>
                <w:szCs w:val="24"/>
                <w:lang w:val="en-US" w:eastAsia="zh-CN" w:bidi="ar-SA"/>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2"/>
                <w:sz w:val="24"/>
                <w:szCs w:val="24"/>
                <w:lang w:val="en-US" w:eastAsia="zh-CN" w:bidi="ar-SA"/>
              </w:rPr>
              <w:t>2.2 指挥帐篷照明灯：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1、光源：功率≥2*50W；</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2、照度：5m处最大初始照度≥7000lx，10米中心照度≥2000lx，配红蓝双色交替闪烁警示灯，为现场作业人员提供定位及安全警示保护，可视距离1KM；</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3、电池容量：≥34Ah，聚泛光同时开启100%亮度下连续照明时间≥8h，充电时间≤8h；</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4、升降高度≥1.7米；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 xml:space="preserve">5、重量≤23kg ；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2"/>
                <w:sz w:val="24"/>
                <w:szCs w:val="24"/>
                <w:lang w:val="en-US" w:eastAsia="zh-CN" w:bidi="ar-SA"/>
              </w:rPr>
              <w:t>2.3 双面警示灯：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 xml:space="preserve">1、额定电压：≥3.7V；                                                                          2、额定容量：≥1.2Ah；                                                                                3、可视距离：≥1500ｍ；                                                                                          4、连续工作时间：≥12ｈ（长亮），充电时间≤7h；                                                                                      5、结构：长柄型（带电池）；                                                                                                                                                                              6、闪烁频率：1.5±0.5Hz；                                                                                  7、重量：≤800g；                                                                                          8、防护等级：≥IP65；                                                    　　　　　　　　　   9、长亮和频闪可任意切换；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2"/>
                <w:sz w:val="24"/>
                <w:szCs w:val="24"/>
                <w:lang w:val="en-US" w:eastAsia="zh-CN" w:bidi="ar-SA"/>
              </w:rPr>
              <w:t>2.4 远程方位灯：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 xml:space="preserve">1、光源：LED，额定电压：3.7V；                                                                               2、平均使用寿命：10万小时，额定容量：≥1.7Ah ；                                                                   3、闪烁频率：1.5±0.5Hz；工作电流：120mA，连续放电时间：常亮≥12h，频闪≥25h，电池使用寿命：1000次循环，充电时间：4-6h；                                                                              4、防护等级：IP65，重量≤0.25kg；                                                                                                                                                               5、佩戴方式：可卡扣、可磁力吸附；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2"/>
                <w:sz w:val="24"/>
                <w:szCs w:val="24"/>
                <w:lang w:val="en-US" w:eastAsia="zh-CN" w:bidi="ar-SA"/>
              </w:rPr>
              <w:t>2.5 全景照明灯：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1、灯具采用本安、胶封、增安复合型防爆结构设计，可在1、2区易燃易爆气体环境中安全使用；</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2、灯具可实现手机控制，便于远距离操控，可实现灯光、警示灯的开启及关闭，同时可实现灯光的调光、电量信息查看等，控制距离≥30m；</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3、灯具采用三灯头设计，可实现单向照明或环照照明；</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4、灯具具备红蓝警示灯，且可单独开启或关闭；</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5、灯具具有电量显示屏；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6、光源功率≥170W；</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7、防护等级≥IP66；</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8、最大升起高度</w:t>
            </w:r>
            <w:r>
              <w:rPr>
                <w:rFonts w:hint="eastAsia" w:ascii="仿宋_GB2312" w:hAnsi="仿宋_GB2312" w:eastAsia="仿宋_GB2312" w:cs="仿宋_GB2312"/>
                <w:b/>
                <w:bCs/>
                <w:color w:val="auto"/>
                <w:kern w:val="2"/>
                <w:sz w:val="24"/>
                <w:szCs w:val="24"/>
                <w:lang w:val="en-US" w:eastAsia="zh-CN" w:bidi="ar-SA"/>
              </w:rPr>
              <w:t>≥3m；</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9、重量≤15KG；</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10、工作状态：强光：≥6h；工作光：≥9h；弱光：≥12h；</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 xml:space="preserve">11、充电时间≤6h；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2"/>
                <w:sz w:val="24"/>
                <w:szCs w:val="24"/>
                <w:lang w:val="en-US" w:eastAsia="zh-CN" w:bidi="ar-SA"/>
              </w:rPr>
              <w:t>2.6 防爆便携式探照灯：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 xml:space="preserve">1、防爆类型：隔爆型防爆等级，防爆标志为：Exd II C T6 Gb；                                                                    2、光源：LED，光源寿命：≥100000h，额定功率：≥5W，照度：5米处强光平均值≥2000lx，弱光平均值≥1200lx；                                                                                               3、额定电压：≥7V，额定容量：≥5Ah；                                                                         4、放电时间：强光≥5小时,工作光≥10小时，充电时间：≤5h；                                                          5、产品功能：具有工作光、强光、SOS紧急呼救功能，三短三长三短国际通用报警模式；                                                                                          6、防护等级：满足最新国标，IP66/IP68,可水下30米救援，使用环境温度：-25°C至+55°C，磁力开关；                                                                                               7、重量：≤0.8KG，灯具配备背带，方便携带；                                                                                                  </w:t>
            </w:r>
            <w:r>
              <w:rPr>
                <w:rFonts w:hint="eastAsia" w:ascii="仿宋_GB2312" w:hAnsi="仿宋_GB2312" w:eastAsia="仿宋_GB2312" w:cs="仿宋_GB2312"/>
                <w:b/>
                <w:bCs/>
                <w:color w:val="auto"/>
                <w:kern w:val="2"/>
                <w:sz w:val="24"/>
                <w:szCs w:val="24"/>
                <w:lang w:val="en-US" w:eastAsia="zh-CN" w:bidi="ar-SA"/>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2"/>
                <w:sz w:val="24"/>
                <w:szCs w:val="24"/>
                <w:lang w:val="en-US" w:eastAsia="zh-CN" w:bidi="ar-SA"/>
              </w:rPr>
              <w:t>2.7 防爆便携移动灯：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1、防爆类型：隔爆，增安，本安，胶封复合型防爆等级，防爆标志为：Ex d e ib mb IIC T6 Gb；                            　　　　　　　　　　　　　　　　　　　　　　　　　　　　　　　　　　　　　　　2、额定功率：≥50W，光通量≥3500lm，6米处中心照度≥1000lx；                                                                                                3、额定电压：≥20V，电池容量：≥10Ah；                                                               4、放电时间：强光≥9h,工作光≥15h，充电时间：≤7h；                                                   5、产品功能:具备聚光、泛光、及聚泛光全开模式，灯头背后有红蓝警示灯，灯体表面具备电量显示功能；                                                                                                   6、防护等级：≥IP66，使用环境温度: -20°C至 +60°C；                                                                                                           7、</w:t>
            </w:r>
            <w:r>
              <w:rPr>
                <w:rFonts w:hint="eastAsia" w:ascii="仿宋_GB2312" w:hAnsi="仿宋_GB2312" w:eastAsia="仿宋_GB2312" w:cs="仿宋_GB2312"/>
                <w:b w:val="0"/>
                <w:bCs w:val="0"/>
                <w:color w:val="0000FF"/>
                <w:kern w:val="2"/>
                <w:sz w:val="24"/>
                <w:szCs w:val="24"/>
                <w:highlight w:val="none"/>
                <w:lang w:val="en-US" w:eastAsia="zh-CN" w:bidi="ar-SA"/>
              </w:rPr>
              <w:t>升起高度：≥1.2米，</w:t>
            </w:r>
            <w:r>
              <w:rPr>
                <w:rFonts w:hint="eastAsia" w:ascii="仿宋_GB2312" w:hAnsi="仿宋_GB2312" w:eastAsia="仿宋_GB2312" w:cs="仿宋_GB2312"/>
                <w:b w:val="0"/>
                <w:bCs w:val="0"/>
                <w:color w:val="auto"/>
                <w:kern w:val="2"/>
                <w:sz w:val="24"/>
                <w:szCs w:val="24"/>
                <w:highlight w:val="none"/>
                <w:lang w:val="en-US" w:eastAsia="zh-CN" w:bidi="ar-SA"/>
              </w:rPr>
              <w:t>重量：</w:t>
            </w:r>
            <w:r>
              <w:rPr>
                <w:rFonts w:hint="eastAsia" w:ascii="仿宋_GB2312" w:hAnsi="仿宋_GB2312" w:eastAsia="仿宋_GB2312" w:cs="仿宋_GB2312"/>
                <w:b w:val="0"/>
                <w:bCs w:val="0"/>
                <w:color w:val="auto"/>
                <w:kern w:val="2"/>
                <w:sz w:val="24"/>
                <w:szCs w:val="24"/>
                <w:lang w:val="en-US" w:eastAsia="zh-CN" w:bidi="ar-SA"/>
              </w:rPr>
              <w:t xml:space="preserve">≤7Kg；　　　　　　　　　　　　　　　　　　　　　　　　　　   　　　　                      </w:t>
            </w:r>
            <w:r>
              <w:rPr>
                <w:rFonts w:hint="eastAsia" w:ascii="仿宋_GB2312" w:hAnsi="仿宋_GB2312" w:eastAsia="仿宋_GB2312" w:cs="仿宋_GB2312"/>
                <w:b/>
                <w:bCs/>
                <w:color w:val="auto"/>
                <w:kern w:val="2"/>
                <w:sz w:val="24"/>
                <w:szCs w:val="24"/>
                <w:lang w:val="en-US" w:eastAsia="zh-CN" w:bidi="ar-SA"/>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2"/>
                <w:sz w:val="24"/>
                <w:szCs w:val="24"/>
                <w:lang w:val="en-US" w:eastAsia="zh-CN" w:bidi="ar-SA"/>
              </w:rPr>
              <w:t>2.8 便携式移动照明灯组：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 xml:space="preserve">1、光源：LED光源，额定功率≥3×200W，光通量≥3×20000lm；                                                          2、采用一体化设计，无需装卸，一键升降，任意高度可停，最大升起高度≥4.5m；                                       3、灯具配备≥2KW发电机供电，也可实现外接市电供电，在无外部电源情况下灯具内部电池组可提供应急照明，照明时间≥1h；                                                                                           4、灯具内置控制面板、LCD显示屏、支持蓝牙、无线喊话、 U盘播放音频、录音功能、大功率喇叭、可用于现场指挥；                                                                                               5、配备≥10 寸行走轮，自带高度可调节支脚增加稳定性；                                                  6、同时具备输出接口≥4 个，可为手机、布控球等小型设备进行供电；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 xml:space="preserve">7、防护等级：≥IP65，重量≤75kg；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2"/>
                <w:sz w:val="24"/>
                <w:szCs w:val="24"/>
                <w:lang w:val="en-US" w:eastAsia="zh-CN" w:bidi="ar-SA"/>
              </w:rPr>
              <w:t>2.9 防爆微型头灯：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1、防爆等级：本安型防爆等级，可在各种易燃易爆场所安全工作；</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2、光源(LED):额定电压:≥ 3.7V，额定容量: ≥2Ah；</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3、放电时间: ≥15h（工作光）/≥7h（强光）；充电时间:≦6.5h；</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4、灯头调节：通过伸缩调节聚泛光，照射角度可调节；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5、外壳材质：采用进口防弹胶，抗强力冲击，防水、防尘，绝缘、耐腐蚀性能好，可在各种恶劣环境下安全可靠使用；</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6、外壳防护等级: ≥IP65；</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 xml:space="preserve">7、重量: ≤110g；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2"/>
                <w:sz w:val="24"/>
                <w:szCs w:val="24"/>
                <w:lang w:val="en-US" w:eastAsia="zh-CN" w:bidi="ar-SA"/>
              </w:rPr>
              <w:t>2.10 便携式搜索照明灯：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1、材质：采用高强度铝合金，透明件采用≥12mm优质钢化玻璃；</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2、防护等级：灯具的外壳防护等级≥IP66/IP68；</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3、防爆等级：隔爆和本安型双防爆设计；</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4、攻击头及尾部警示：灯头采用八菱攻击头设计，在救援中可用破拆工具使用。灯具尾部设计高穿透性、高可视性能的方位灯；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5、光源：大功率聚光LED，功率≥10W，且为聚光封装，灯具强光光通量≥800lm；</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6、照度：5米处灯具中心强光照度≥5000lx；</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7、工作时间：强光≥5h，工作光≥10h；</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8、充电时间：快充模式：≤2h，正常模式：≤3h，快充模式可实现充电15min，强光工作≥1h的效果；</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9、重量：≤1.39kg（不含电池和附件）；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 xml:space="preserve">10、电池：电压≥20V，电池容量≤3Ah；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
                <w:bCs/>
                <w:color w:val="auto"/>
                <w:kern w:val="2"/>
                <w:sz w:val="24"/>
                <w:szCs w:val="24"/>
                <w:lang w:val="en-US" w:eastAsia="zh-CN" w:bidi="ar-SA"/>
              </w:rPr>
              <w:t>2.11 照明灯塔：</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1、光源类型：LED光源，额定功率：≥1700W，防护等级：IP65，转动角度（水平）；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0-360，转动角度（竖直）：0-135；</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2、灯头的照射方式：环照＋直射，环照实现泛光照明，直射实现聚光照明；</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3、控制方式：控制面板和遥控器均能实现灯具俯仰翻转、灯具开闭功能；</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4、具有给控制面板照明的可磁力吸附折叠灯，升起高度≥0.4m；</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5、折叠灯蓝光危害分类符合RG0；</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6、升降控制方式:电动+遥控，升起高度≥7.5m；</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7、采用发电机、市电和UPS电源供电，发电机输出功率、电压/频率：5kW, 230V/50HZ，燃油类型：汽油92#，油箱容积：≥24L，注满油连续使用时间：≥12h；</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8、配置5KW  UPS电源：a实现设备全静音工作，b可以给其他设备供电，c具有联机扩展功能；</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9、抗风等级：≥8级，重量≤480kg；</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10、具有供电和充电功能：≥6个AC220V输出、≥1个AC12V输出、≥7个AC5V输出接口；</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11、设备主体配备4个红蓝警示灯，可在夜晚50米处肉眼可见；</w:t>
            </w:r>
          </w:p>
          <w:p>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highlight w:val="none"/>
                <w:shd w:val="clear" w:color="auto" w:fill="auto"/>
                <w:lang w:val="en-US" w:eastAsia="zh-CN" w:bidi="ar-SA"/>
              </w:rPr>
              <w:t xml:space="preserve">12、具有播音功能：正常喊话50米处≥40dB；   </w:t>
            </w:r>
            <w:r>
              <w:rPr>
                <w:rFonts w:hint="eastAsia" w:ascii="仿宋_GB2312" w:hAnsi="仿宋_GB2312" w:eastAsia="仿宋_GB2312" w:cs="仿宋_GB2312"/>
                <w:color w:val="auto"/>
                <w:kern w:val="2"/>
                <w:sz w:val="24"/>
                <w:szCs w:val="24"/>
                <w:lang w:val="en-US" w:eastAsia="zh-CN" w:bidi="ar-SA"/>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
                <w:bCs/>
                <w:color w:val="auto"/>
                <w:kern w:val="2"/>
                <w:sz w:val="24"/>
                <w:szCs w:val="24"/>
                <w:lang w:val="en-US" w:eastAsia="zh-CN" w:bidi="ar-SA"/>
              </w:rPr>
              <w:t>2.12 便携式发电机：</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 xml:space="preserve">1、电压:≥380V、额定功率≥15kW ；                                              　　　　　　　　　　　　　　　　　　    2、持续工作时间≥12小时,最低燃油消耗率(g/kw.h)≤394 ；                            　　　　　　　　　　　　　　     3、电压调节方式:自动调节、燃油:92#及以上汽油；                           　　　　　　　　　　　　　　 4、电力输出:三相 三孔防脱插座≥2组；                                         　　　　　　　　　　　　　　　　   5、油箱容量≥45L；                                                      　　　　　　　　　　　　　　　　　　　  6、噪音水平：7米处≤80dBA；国内外知名品牌。                                                       　　　　　　　　　　　　　　　　                                                                                    </w:t>
            </w:r>
            <w:r>
              <w:rPr>
                <w:rFonts w:hint="eastAsia" w:ascii="仿宋_GB2312" w:hAnsi="仿宋_GB2312" w:eastAsia="仿宋_GB2312" w:cs="仿宋_GB2312"/>
                <w:b/>
                <w:bCs/>
                <w:color w:val="auto"/>
                <w:kern w:val="2"/>
                <w:sz w:val="24"/>
                <w:szCs w:val="24"/>
                <w:lang w:val="en-US" w:eastAsia="zh-CN" w:bidi="ar-SA"/>
              </w:rPr>
              <w:t>2.13 发电机组：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 xml:space="preserve">1、额定电压：≥380V；                                                                                                 2、额定功率：≥20KW；                                                                                                3、启动方式：电启动；                                                                                                    4、油箱容量≥40L；                                                                                                 5、净重≦220kg。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Chars="0"/>
              <w:jc w:val="left"/>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2"/>
                <w:sz w:val="24"/>
                <w:szCs w:val="24"/>
                <w:lang w:val="en-US" w:eastAsia="zh-CN" w:bidi="ar-SA"/>
              </w:rPr>
              <w:t>2.14 移动电源：</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jc w:val="left"/>
              <w:textAlignment w:val="auto"/>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kern w:val="2"/>
                <w:sz w:val="24"/>
                <w:szCs w:val="24"/>
                <w:lang w:val="en-US" w:eastAsia="zh-CN" w:bidi="ar-SA"/>
              </w:rPr>
              <w:t>1、容量：≥50000毫安；                                                                             2、最大输出功率:≥135W；                                                                                         3、充电输入：16.8V/2.5A；                                                                                          4、产品重量≤1.5kg；                                                                                                5、充电时间≥5小时。</w:t>
            </w:r>
            <w:r>
              <w:rPr>
                <w:rFonts w:hint="eastAsia" w:ascii="仿宋_GB2312" w:hAnsi="仿宋_GB2312" w:eastAsia="仿宋_GB2312" w:cs="仿宋_GB2312"/>
                <w:color w:val="auto"/>
                <w:kern w:val="2"/>
                <w:sz w:val="24"/>
                <w:szCs w:val="24"/>
                <w:shd w:val="clear" w:color="auto" w:fill="auto"/>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sz w:val="24"/>
                <w:szCs w:val="24"/>
                <w:shd w:val="clear" w:color="auto" w:fill="auto"/>
                <w:vertAlign w:val="baseline"/>
                <w:lang w:val="en-US" w:eastAsia="zh-CN"/>
              </w:rPr>
            </w:pPr>
          </w:p>
        </w:tc>
        <w:tc>
          <w:tcPr>
            <w:tcW w:w="7742"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eastAsia" w:ascii="仿宋_GB2312" w:hAnsi="仿宋_GB2312" w:eastAsia="仿宋_GB2312" w:cs="仿宋_GB2312"/>
                <w:b/>
                <w:bCs/>
                <w:color w:val="auto"/>
                <w:kern w:val="2"/>
                <w:sz w:val="24"/>
                <w:szCs w:val="24"/>
                <w:shd w:val="clear" w:color="auto" w:fill="auto"/>
                <w:lang w:val="en-US" w:eastAsia="zh-CN" w:bidi="ar-SA"/>
              </w:rPr>
            </w:pPr>
            <w:r>
              <w:rPr>
                <w:rFonts w:hint="eastAsia" w:ascii="仿宋_GB2312" w:hAnsi="仿宋_GB2312" w:eastAsia="仿宋_GB2312" w:cs="仿宋_GB2312"/>
                <w:b/>
                <w:bCs/>
                <w:color w:val="auto"/>
                <w:kern w:val="2"/>
                <w:sz w:val="24"/>
                <w:szCs w:val="24"/>
                <w:shd w:val="clear" w:color="auto" w:fill="auto"/>
                <w:lang w:val="en-US" w:eastAsia="zh-CN" w:bidi="ar-SA"/>
              </w:rPr>
              <w:t>3.抢险救援类：</w:t>
            </w:r>
          </w:p>
          <w:p>
            <w:pPr>
              <w:pStyle w:val="12"/>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left"/>
              <w:textAlignment w:val="auto"/>
              <w:rPr>
                <w:rFonts w:hint="eastAsia" w:ascii="仿宋_GB2312" w:hAnsi="仿宋_GB2312" w:eastAsia="仿宋_GB2312" w:cs="仿宋_GB2312"/>
                <w:b/>
                <w:bCs/>
                <w:color w:val="auto"/>
                <w:sz w:val="24"/>
                <w:szCs w:val="24"/>
                <w:highlight w:val="none"/>
                <w:shd w:val="clear" w:color="auto" w:fill="auto"/>
                <w:vertAlign w:val="baseline"/>
                <w:lang w:val="en-US" w:eastAsia="zh-CN"/>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 xml:space="preserve">3.1 </w:t>
            </w:r>
            <w:r>
              <w:rPr>
                <w:rFonts w:hint="eastAsia" w:ascii="仿宋_GB2312" w:hAnsi="仿宋_GB2312" w:eastAsia="仿宋_GB2312" w:cs="仿宋_GB2312"/>
                <w:b/>
                <w:bCs/>
                <w:color w:val="auto"/>
                <w:sz w:val="24"/>
                <w:szCs w:val="24"/>
                <w:highlight w:val="none"/>
                <w:shd w:val="clear" w:color="auto" w:fill="auto"/>
                <w:vertAlign w:val="baseline"/>
                <w:lang w:val="en-US" w:eastAsia="zh-CN"/>
              </w:rPr>
              <w:t>氧气呼吸器校验仪：</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highlight w:val="none"/>
                <w:shd w:val="clear" w:color="auto" w:fill="auto"/>
                <w:vertAlign w:val="baseline"/>
                <w:lang w:val="en-US" w:eastAsia="zh-CN"/>
              </w:rPr>
            </w:pPr>
            <w:r>
              <w:rPr>
                <w:rFonts w:hint="eastAsia" w:ascii="仿宋_GB2312" w:hAnsi="仿宋_GB2312" w:eastAsia="仿宋_GB2312" w:cs="仿宋_GB2312"/>
                <w:b w:val="0"/>
                <w:bCs w:val="0"/>
                <w:color w:val="auto"/>
                <w:sz w:val="24"/>
                <w:szCs w:val="24"/>
                <w:highlight w:val="none"/>
                <w:shd w:val="clear" w:color="auto" w:fill="auto"/>
                <w:vertAlign w:val="baseline"/>
                <w:lang w:val="en-US" w:eastAsia="zh-CN"/>
              </w:rPr>
              <w:t xml:space="preserve">1、压力测定测量范围：-980-0-+1180 ；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highlight w:val="none"/>
                <w:shd w:val="clear" w:color="auto" w:fill="auto"/>
                <w:vertAlign w:val="baseline"/>
                <w:lang w:val="en-US" w:eastAsia="zh-CN"/>
              </w:rPr>
            </w:pPr>
            <w:r>
              <w:rPr>
                <w:rFonts w:hint="eastAsia" w:ascii="仿宋_GB2312" w:hAnsi="仿宋_GB2312" w:eastAsia="仿宋_GB2312" w:cs="仿宋_GB2312"/>
                <w:b w:val="0"/>
                <w:bCs w:val="0"/>
                <w:color w:val="auto"/>
                <w:sz w:val="24"/>
                <w:szCs w:val="24"/>
                <w:highlight w:val="none"/>
                <w:shd w:val="clear" w:color="auto" w:fill="auto"/>
                <w:vertAlign w:val="baseline"/>
                <w:lang w:val="en-US" w:eastAsia="zh-CN"/>
              </w:rPr>
              <w:t xml:space="preserve">2、流量检测测量范围：大流量计：100L/min；小流量计：2L/min   精度：2.5级   测量比：1:10 ；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highlight w:val="none"/>
                <w:shd w:val="clear" w:color="auto" w:fill="auto"/>
                <w:vertAlign w:val="baseline"/>
                <w:lang w:val="en-US" w:eastAsia="zh-CN"/>
              </w:rPr>
            </w:pPr>
            <w:r>
              <w:rPr>
                <w:rFonts w:hint="eastAsia" w:ascii="仿宋_GB2312" w:hAnsi="仿宋_GB2312" w:eastAsia="仿宋_GB2312" w:cs="仿宋_GB2312"/>
                <w:b w:val="0"/>
                <w:bCs w:val="0"/>
                <w:color w:val="auto"/>
                <w:sz w:val="24"/>
                <w:szCs w:val="24"/>
                <w:highlight w:val="none"/>
                <w:shd w:val="clear" w:color="auto" w:fill="auto"/>
                <w:vertAlign w:val="baseline"/>
                <w:lang w:val="en-US" w:eastAsia="zh-CN"/>
              </w:rPr>
              <w:t xml:space="preserve">3、泵供气流量：12L/min；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highlight w:val="none"/>
                <w:shd w:val="clear" w:color="auto" w:fill="auto"/>
                <w:vertAlign w:val="baseline"/>
                <w:lang w:val="en-US" w:eastAsia="zh-CN"/>
              </w:rPr>
              <w:t>4、供气流量：0-60L/min。</w:t>
            </w: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3.2 自动苏生器</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1、能连续地把新鲜的氧气自动输入被抢救人员的肺内，又能自动将肺内的气体抽除，达到心肺复苏的目的;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2、可吸除被抢救人员呼吸道内的分泌物或异物，可供呼吸机能并未麻痹的伤员吸氧，可外接气源长时间连续工作;</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3、体积小、重量轻、便于携带、操作简单、性能可靠;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4、氧气瓶工作压力大于20MPa;</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5、氧气瓶容积大于1L;</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6、自动肺调整范围 12L/min～26L/min;</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7、充气压力: (1.96~2.54) kPa， 抽气压力: - (1. 47~1.96) kPa自主呼吸供气量: &gt;15L/min;</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8、吸痰引射压力值 ≤-60kPa。</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3.3 正压式消防空气呼吸器：</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1、符合国家XF 124-2013《正压式消防空气呼吸器》标准；                                         　　　　　　　　　　　　　　   2、气瓶：1个，压力≥25 MPa时，正常使用时间≥60min。气瓶容量≥6L，工作压力30MPa，最大储气量2040L，使用环境温度-30℃～+60℃；                                  　　　　　　　　　　　　　　　　　　　　　　　　　　　 3、供气阀：体积小，自动开启吸气装置，能确保供气充足，节约用气；                             　　　　　　　　　　　　　　　　　    4、面罩：面窗为全视野面窗，面罩能自动除雾，吸气阻力≤500Pa；                    　　　　　　　　　　　　　　　　　　　 5、背架：为高强度的非金属材料制成；                                               　　　　　　　　　　　　　　　　　 6、减压阀：输出压力0.6～0.9 MPa，减压阀输出端具有他救接口；                          　　　　　　　　　　　　　　　　 7、安全阀：开启压力0.8～1.2 MPa；                                                   　　　　　　　　　　　　　　　　　　　 8、压力平视显示装置：采用无线连接，不妨碍佩戴者的视线和头部的转动，无论头部是否摆动，佩戴者都可看到LED的工作状态。低压状态下的工作时间＞2h，具备防爆功能；                                                                           9、气动报警器及指针式压力表：气瓶报警压力（5.5±0.5）MPa，连续声响时间≥15s，间歇声响时间≥60s，发声声级≥90dB；                                             　　　　　　　　　　　　　　　　　　　　　　　　　　　　10、整机重量：≤11kg。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3.4 紧急逃生呼吸器：</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1、供气流量≥38L/min，具备碳纤维气瓶，容积≥3L；                                        　　　　　　　　　　　　　　　　　　　　　　　　　 2、工作压力≥20mpa，整机重量≤3.2KG，环境温度-15-+60℃；                                                        3、外形尺寸520mm-340mm-135mm。</w:t>
            </w:r>
            <w:r>
              <w:rPr>
                <w:rFonts w:hint="eastAsia" w:ascii="仿宋_GB2312" w:hAnsi="仿宋_GB2312" w:eastAsia="仿宋_GB2312" w:cs="仿宋_GB2312"/>
                <w:b/>
                <w:bCs/>
                <w:color w:val="auto"/>
                <w:sz w:val="24"/>
                <w:szCs w:val="24"/>
                <w:shd w:val="clear" w:color="auto" w:fill="auto"/>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3.5 电动送风长管呼吸器</w:t>
            </w:r>
            <w:r>
              <w:rPr>
                <w:rFonts w:hint="eastAsia" w:ascii="仿宋_GB2312" w:hAnsi="仿宋_GB2312" w:eastAsia="仿宋_GB2312" w:cs="仿宋_GB2312"/>
                <w:b w:val="0"/>
                <w:bCs w:val="0"/>
                <w:color w:val="auto"/>
                <w:sz w:val="24"/>
                <w:szCs w:val="24"/>
                <w:shd w:val="clear" w:color="auto" w:fill="auto"/>
                <w:vertAlign w:val="baseli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1、风机风量≥190L/min，面罩风量≥30L/min,工作电源220V（可充电），同时能够具备4人使用;                                                                                                                                      2、面罩为屏球形防护罩，长管PC材质，作业环境温度-30℃—60℃，最高耐受温度≥120℃。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3.6 应急救援三脚架：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1、具备三脚架监控;驱动;通话;供氧;通风等要求；                                                                     2、能够进行小口径救援；                                                                                       3、高强度铝合金;额定载荷：≤1.6KN；                                                                          4、钢索长度：≥30m；                                                                                         5、闭拢长度：≥2.2m，工作高度：≥3m。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3.7 高扬程矿用污水泵：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1、流量:5至650立方米/小时，扬程:2至1500米;                                                        2、功率:3至410kW(可根据需要;更换四或者六级电机);                                                                 3、转速:2900 rpm(二级转速电机)，能满足井下高杨程使用。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3.8 氧气充填泵：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1、充气压力≥30MPa;                                                                              2、吸入条件下的排气量≥3L/min;                                                                                  3、压缩级数：&gt;2级，压缩最大压缩比≤8;                                                                      4、电动机功率≤2.5KW。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3.9 汽油机水泵：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1、入水口径/出水口径：80mm;                                                                      2、总扬程 ≥30M ，吸水扬程≥7M，流量≥980L/min；                                                        3、油箱容量：≥4.5L，噪音水平：≤75dB。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3.10 混凝土破碎设备：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破碎能力≥10t/h，进料粒度≥200mm，电机功率：&gt;220kw。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3.11 钻攻铣小型一体机：</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1、最大钻孔直径≥32mm、最大攻丝直径 铸件/钢件≥M16/M12；                                                   2、最大端铣直径≥60mm 、最大立铣直径≥16mm；                                                                      3、主轴中心至立柱表面距离≥200mm  主轴端至工作台面距离≥400Mm 主轴端至底座台面距离≥500mm；                                                                                    4、电压380v，功率≥1000w。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3.12 凿岩机：</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1、孔径32-50mm;钻孔深度&gt;9m;钻孔速度250-300rpm；                                               2、工作油压15-17Mpa;打击油流量30-35l/min；                                                            3、冲击能量55-60J;冲击频率55-60Hz;扭钜力50-55Nm；                                                              4、功率11kw以上; 灰尘冲洗消耗的水或空气压力0.3－5Mpa/0.5-0.7Mpa之间;灰尘冲洗空气消耗量要&gt;16.5L/s。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3.13 移动式排烟机：</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1、具备风速≥18.5m/s、风量≥9000m3/h；                                                                                2、采用汽油发动机为动力、外形尺寸≥400*650*850（mm)。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3.14 泥浆泵：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1、流量≥200m³，扬程≥15米，最大通过颗粒≥15mm；                                                                                  2、出水口径≥120mm ，并配备配套电机。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3.15 起重气垫套件：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1、工作压力≥0.8MPA;支撑高度150-600mm；                                                           2、套件包含一拖二气管及脚踏充气泵（含气管）；                                                              3、起重吨位10T/20T/30T/40T；                                                                                               4、具备抗静电、抗裂、耐磨、抗油、抗老化等性能。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3.16 坑道小型空气输送机：</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功率≥500W ，风量≥2500m³/h，总质量≤20KG。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3.17 液压渣浆泵：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1、排浆量≥10m³/H;扬程≥10m;吸入口径≥60mm;排出口径≥30mm；                                                                          2、电压:220V;功率≥15kw。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3.18 手动泵：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1、额定工作压力≥70MPa;高压/低压额定输出流量≥5ml/次、12ml/次;低压输出压力≥5-10MPa；                                                                                              2、液压油油箱容积≥1.5L。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3.19 帽式包容泄压型堵漏工具：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1、球柱面外径：≥1000mm;结合面积：570mm×570mm；                                                                  2、障碍物高度及直径：≤h250mm×Φ280mm;系统压力≤2Mpa;工作温度：≤80℃;载体材质：橡胶。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3.20 双级顶杆：</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额定工作压力≥72MPa;撑顶力范围≥84-223KN;作业范围≥540-1270mm;撑顶行程≥740mm。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3.21 单级顶杆：</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额定工作压力≥72MPa;撑顶力≥100KN;作业范围≥560-970mm;撑顶行程≥400mm。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3.22 全自动高效数控钢筋调直断丝机：</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工作电压220V/380V，高速调直机（变频电箱）0-85米。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3.23 柴油平板夯：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动力功率：柴油机≥6P，爬坡能力≥15°，行走速度4-20/min，夯板面积≥45*50。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3.24 液压起重器：</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额定起重重量≥15T、 最初起升高度≤50MM 、最大起升高度≥200MM。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3.25 蛇眼生命探测仪：</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1、采用≥7英寸彩色液晶显示，可通过菜单栏按键调整视频图像的亮度、色度、对比度；内置存储模块≥32GB，菜单栏按键可以对可视图像进行拍照、录像，主机支持中英文切换；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2、主机支持录音功能，录音时长≥4分钟，可循环播放，减轻了现场救援人员长时间喊话负担；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3、支持wifi、热点、4G三种传输方式；有网无网均可将现场音频视频无线传输至智能终端，方便现场指挥；使用远程图传方式，可传输几千公里不受距离限制，同时支持10部以上智能终端同时在线查看；</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4、配有四种专用探头：</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   （4.1） 360度语音对讲旋转探头：探头内置补光灯，可在黑暗环境下使用，最大直径42mm，通过主机按键可控制探头360度水平旋转及180度俯仰翻转；内置麦克风及喇叭，可双向对讲；</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   （4.2） 双镜头语音对讲探头：具有正面和侧面两个方向同时探测功能，两路画面可同时在主机分屏显示，也可切换至任意画面。探头直径40MM，探头具有夜视功能，可在黑暗条件下自动感光，开启红外灯。另外同时内置6颗高亮LED灯 ，可在黑暗时进行补光或者作为手电筒使用。探头前端具有激光；</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   （4.3） 潜水探头：防护等级IP68，连接线缆≥20米，探头通过按键可控制360度自由旋转，可设置旋转速度，并对指定区域探测，可在主机屏幕上显示旋转角度，内置12颗高亮LED灯，LED灯开关可调；</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   （4.4）蛇眼探头：最大外径10mm，长度5m，可用于管道及更狭窄的缝隙探测使用；内置4颗LED灯，可控制LED灯开关及亮度调节，探头可防水，适合雨中、潮湿、浅水探测使用；</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5、超轻型手持探杆：伸展长度≥2.2m；可弯曲角度≥180度；</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6、主机采用锂电池供电，一次充电工作时长≥6小时。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3.26 测风仪：</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1、矿井通风多参数检测仪，风速测量范围 （0.4-45.0）m/s,风量范围：风量测量范围 CMM 0～999,900 m3/min，风速精确度 ±3%；                                                                                        2、温度范围：0-40℃;                                                                             3、过载能力：≤500%FS;                                                                                4、分辨率： 0.1℃, 0.3m/s；                                                                             5、防爆标志 Exib  I Mb。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3.27 红外热像仪：</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1、温度范围：-20至400℃；</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2、具有Exib I Mb；防护等级：≥IP54；</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3、3.5英寸全视角TFT屏幕显示；</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4、</w:t>
            </w:r>
            <w:r>
              <w:rPr>
                <w:rFonts w:hint="eastAsia" w:ascii="仿宋_GB2312" w:hAnsi="仿宋_GB2312" w:eastAsia="仿宋_GB2312" w:cs="仿宋_GB2312"/>
                <w:b w:val="0"/>
                <w:bCs w:val="0"/>
                <w:color w:val="0000FF"/>
                <w:sz w:val="24"/>
                <w:szCs w:val="24"/>
                <w:shd w:val="clear" w:color="auto" w:fill="auto"/>
                <w:vertAlign w:val="baseline"/>
                <w:lang w:val="en-US" w:eastAsia="zh-CN"/>
              </w:rPr>
              <w:t>像素不低于40万像素</w:t>
            </w:r>
            <w:r>
              <w:rPr>
                <w:rFonts w:hint="eastAsia" w:ascii="仿宋_GB2312" w:hAnsi="仿宋_GB2312" w:eastAsia="仿宋_GB2312" w:cs="仿宋_GB2312"/>
                <w:b w:val="0"/>
                <w:bCs w:val="0"/>
                <w:color w:val="auto"/>
                <w:sz w:val="24"/>
                <w:szCs w:val="24"/>
                <w:shd w:val="clear" w:color="auto" w:fill="auto"/>
                <w:vertAlign w:val="baseline"/>
                <w:lang w:val="en-US" w:eastAsia="zh-CN"/>
              </w:rPr>
              <w:t>，红外图像分辨率不低于220×160；</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5、镜头特性：视场角/最小焦距27°×35°/0.5m；</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6、调色板(色标)11种调色板可选（包括铁红，彩虹，冷色，黑白，黑白反转等）；</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7、精度±2℃或±2%（读数范围），取大值；</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8、存储卡内置存储器，存储容量&gt;2000幅；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9、可通过USB数据线连接电脑，导出和查看图片。                                                                                                                                               </w:t>
            </w:r>
            <w:r>
              <w:rPr>
                <w:rFonts w:hint="eastAsia" w:ascii="仿宋_GB2312" w:hAnsi="仿宋_GB2312" w:eastAsia="仿宋_GB2312" w:cs="仿宋_GB2312"/>
                <w:b/>
                <w:bCs/>
                <w:color w:val="auto"/>
                <w:sz w:val="24"/>
                <w:szCs w:val="24"/>
                <w:shd w:val="clear" w:color="auto" w:fill="auto"/>
                <w:vertAlign w:val="baseline"/>
                <w:lang w:val="en-US" w:eastAsia="zh-CN"/>
              </w:rPr>
              <w:t>3.28 探水钻机：</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Chars="0"/>
              <w:jc w:val="left"/>
              <w:textAlignment w:val="auto"/>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b w:val="0"/>
                <w:bCs w:val="0"/>
                <w:color w:val="auto"/>
                <w:sz w:val="24"/>
                <w:szCs w:val="24"/>
                <w:shd w:val="clear" w:color="auto" w:fill="auto"/>
                <w:vertAlign w:val="baseline"/>
                <w:lang w:val="en-US" w:eastAsia="zh-CN"/>
              </w:rPr>
              <w:t xml:space="preserve">1、系统额定压力8MP、系统流量12L/min。供水压力0.6-1.2（MPa）;                                                                     2、可施工长度≥300米、钻孔直接≥75mm包含主机、水泵和钻杆。                                                                         </w:t>
            </w:r>
          </w:p>
        </w:tc>
      </w:tr>
    </w:tbl>
    <w:p>
      <w:pPr>
        <w:rPr>
          <w:rFonts w:hint="eastAsia"/>
          <w:lang w:val="zh-CN"/>
        </w:rPr>
      </w:pPr>
    </w:p>
    <w:p>
      <w:pPr>
        <w:bidi w:val="0"/>
        <w:rPr>
          <w:rFonts w:hint="eastAsia" w:ascii="Times New Roman" w:hAnsi="Times New Roman" w:eastAsia="宋体" w:cs="Times New Roman"/>
          <w:kern w:val="2"/>
          <w:sz w:val="24"/>
          <w:szCs w:val="24"/>
          <w:lang w:val="zh-CN" w:eastAsia="zh-CN" w:bidi="ar-SA"/>
        </w:rPr>
      </w:pPr>
    </w:p>
    <w:p>
      <w:pPr>
        <w:tabs>
          <w:tab w:val="left" w:pos="723"/>
        </w:tabs>
        <w:bidi w:val="0"/>
        <w:jc w:val="left"/>
        <w:rPr>
          <w:rFonts w:hint="eastAsia"/>
          <w:lang w:val="zh-CN" w:eastAsia="zh-CN"/>
        </w:rPr>
      </w:pPr>
      <w:r>
        <w:rPr>
          <w:rFonts w:hint="eastAsia"/>
          <w:lang w:val="zh-CN" w:eastAsia="zh-CN"/>
        </w:rPr>
        <w:tab/>
      </w:r>
    </w:p>
    <w:p>
      <w:pPr>
        <w:rPr>
          <w:rFonts w:hint="eastAsia"/>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汉仪书宋二S">
    <w:altName w:val="宋体"/>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5"/>
      </w:rPr>
    </w:pPr>
    <w:r>
      <w:fldChar w:fldCharType="begin"/>
    </w:r>
    <w:r>
      <w:rPr>
        <w:rStyle w:val="25"/>
      </w:rPr>
      <w:instrText xml:space="preserve">PAGE  </w:instrText>
    </w:r>
    <w:r>
      <w:fldChar w:fldCharType="end"/>
    </w:r>
  </w:p>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62</w:t>
                    </w:r>
                    <w:r>
                      <w:fldChar w:fldCharType="end"/>
                    </w:r>
                  </w:p>
                </w:txbxContent>
              </v:textbox>
            </v:shape>
          </w:pict>
        </mc:Fallback>
      </mc:AlternateContent>
    </w:r>
  </w:p>
  <w:p>
    <w:pPr>
      <w:pStyle w:val="17"/>
      <w:tabs>
        <w:tab w:val="center" w:pos="4535"/>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楷体" w:hAnsi="楷体" w:eastAsia="楷体"/>
        <w:b/>
        <w:sz w:val="21"/>
        <w:szCs w:val="21"/>
      </w:rPr>
    </w:pPr>
  </w:p>
  <w:p>
    <w:pPr>
      <w:pStyle w:val="18"/>
    </w:pPr>
    <w:r>
      <w:rPr>
        <w:rFonts w:hint="eastAsia" w:ascii="楷体" w:hAnsi="楷体" w:eastAsia="楷体"/>
        <w:b/>
        <w:sz w:val="21"/>
        <w:szCs w:val="21"/>
      </w:rPr>
      <w:drawing>
        <wp:inline distT="0" distB="0" distL="114300" distR="114300">
          <wp:extent cx="390525" cy="396875"/>
          <wp:effectExtent l="0" t="0" r="9525" b="3175"/>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pic:cNvPicPr>
                </pic:nvPicPr>
                <pic:blipFill>
                  <a:blip r:embed="rId1"/>
                  <a:stretch>
                    <a:fillRect/>
                  </a:stretch>
                </pic:blipFill>
                <pic:spPr>
                  <a:xfrm>
                    <a:off x="0" y="0"/>
                    <a:ext cx="390525" cy="396875"/>
                  </a:xfrm>
                  <a:prstGeom prst="rect">
                    <a:avLst/>
                  </a:prstGeom>
                  <a:noFill/>
                  <a:ln>
                    <a:noFill/>
                  </a:ln>
                </pic:spPr>
              </pic:pic>
            </a:graphicData>
          </a:graphic>
        </wp:inline>
      </w:drawing>
    </w:r>
    <w:r>
      <w:rPr>
        <w:rFonts w:hint="eastAsia" w:ascii="楷体" w:hAnsi="楷体" w:eastAsia="楷体"/>
        <w:b/>
        <w:sz w:val="21"/>
        <w:szCs w:val="21"/>
      </w:rPr>
      <w:t xml:space="preserve">                                            青海中旭工程项目管理有限公司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楷体" w:hAnsi="楷体" w:eastAsia="楷体"/>
        <w:b/>
        <w:sz w:val="21"/>
        <w:szCs w:val="21"/>
      </w:rPr>
      <w:drawing>
        <wp:inline distT="0" distB="0" distL="114300" distR="114300">
          <wp:extent cx="413385" cy="408940"/>
          <wp:effectExtent l="0" t="0" r="5715" b="1016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413385" cy="408940"/>
                  </a:xfrm>
                  <a:prstGeom prst="rect">
                    <a:avLst/>
                  </a:prstGeom>
                  <a:noFill/>
                  <a:ln>
                    <a:noFill/>
                  </a:ln>
                </pic:spPr>
              </pic:pic>
            </a:graphicData>
          </a:graphic>
        </wp:inline>
      </w:drawing>
    </w:r>
    <w:r>
      <w:rPr>
        <w:rFonts w:hint="eastAsia" w:ascii="楷体" w:hAnsi="楷体" w:eastAsia="楷体"/>
        <w:b/>
        <w:sz w:val="21"/>
        <w:szCs w:val="21"/>
      </w:rPr>
      <w:t xml:space="preserve">                                            青海中旭工程项目管理有限公司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DF770"/>
    <w:multiLevelType w:val="singleLevel"/>
    <w:tmpl w:val="892DF770"/>
    <w:lvl w:ilvl="0" w:tentative="0">
      <w:start w:val="1"/>
      <w:numFmt w:val="decimal"/>
      <w:suff w:val="nothing"/>
      <w:lvlText w:val="%1、"/>
      <w:lvlJc w:val="left"/>
    </w:lvl>
  </w:abstractNum>
  <w:abstractNum w:abstractNumId="1">
    <w:nsid w:val="8E930099"/>
    <w:multiLevelType w:val="singleLevel"/>
    <w:tmpl w:val="8E930099"/>
    <w:lvl w:ilvl="0" w:tentative="0">
      <w:start w:val="1"/>
      <w:numFmt w:val="decimal"/>
      <w:suff w:val="nothing"/>
      <w:lvlText w:val="%1、"/>
      <w:lvlJc w:val="left"/>
    </w:lvl>
  </w:abstractNum>
  <w:abstractNum w:abstractNumId="2">
    <w:nsid w:val="92BC57C6"/>
    <w:multiLevelType w:val="singleLevel"/>
    <w:tmpl w:val="92BC57C6"/>
    <w:lvl w:ilvl="0" w:tentative="0">
      <w:start w:val="2"/>
      <w:numFmt w:val="decimal"/>
      <w:suff w:val="nothing"/>
      <w:lvlText w:val="%1、"/>
      <w:lvlJc w:val="left"/>
    </w:lvl>
  </w:abstractNum>
  <w:abstractNum w:abstractNumId="3">
    <w:nsid w:val="BD7F08C9"/>
    <w:multiLevelType w:val="singleLevel"/>
    <w:tmpl w:val="BD7F08C9"/>
    <w:lvl w:ilvl="0" w:tentative="0">
      <w:start w:val="1"/>
      <w:numFmt w:val="decimal"/>
      <w:lvlText w:val="%1."/>
      <w:lvlJc w:val="left"/>
      <w:pPr>
        <w:tabs>
          <w:tab w:val="left" w:pos="312"/>
        </w:tabs>
      </w:pPr>
    </w:lvl>
  </w:abstractNum>
  <w:abstractNum w:abstractNumId="4">
    <w:nsid w:val="BF18B941"/>
    <w:multiLevelType w:val="singleLevel"/>
    <w:tmpl w:val="BF18B941"/>
    <w:lvl w:ilvl="0" w:tentative="0">
      <w:start w:val="1"/>
      <w:numFmt w:val="decimal"/>
      <w:suff w:val="nothing"/>
      <w:lvlText w:val="%1、"/>
      <w:lvlJc w:val="left"/>
    </w:lvl>
  </w:abstractNum>
  <w:abstractNum w:abstractNumId="5">
    <w:nsid w:val="F3F24AD6"/>
    <w:multiLevelType w:val="singleLevel"/>
    <w:tmpl w:val="F3F24AD6"/>
    <w:lvl w:ilvl="0" w:tentative="0">
      <w:start w:val="1"/>
      <w:numFmt w:val="decimal"/>
      <w:suff w:val="nothing"/>
      <w:lvlText w:val="%1、"/>
      <w:lvlJc w:val="left"/>
    </w:lvl>
  </w:abstractNum>
  <w:abstractNum w:abstractNumId="6">
    <w:nsid w:val="00000001"/>
    <w:multiLevelType w:val="multilevel"/>
    <w:tmpl w:val="00000001"/>
    <w:lvl w:ilvl="0" w:tentative="0">
      <w:start w:val="27"/>
      <w:numFmt w:val="decimal"/>
      <w:suff w:val="space"/>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2"/>
    <w:multiLevelType w:val="singleLevel"/>
    <w:tmpl w:val="00000002"/>
    <w:lvl w:ilvl="0" w:tentative="0">
      <w:start w:val="1"/>
      <w:numFmt w:val="chineseCounting"/>
      <w:suff w:val="nothing"/>
      <w:lvlText w:val="%1、"/>
      <w:lvlJc w:val="left"/>
      <w:pPr>
        <w:ind w:left="240"/>
      </w:pPr>
      <w:rPr>
        <w:rFonts w:hint="eastAsia"/>
      </w:rPr>
    </w:lvl>
  </w:abstractNum>
  <w:abstractNum w:abstractNumId="8">
    <w:nsid w:val="00000003"/>
    <w:multiLevelType w:val="multilevel"/>
    <w:tmpl w:val="00000003"/>
    <w:lvl w:ilvl="0" w:tentative="0">
      <w:start w:val="2"/>
      <w:numFmt w:val="decimal"/>
      <w:suff w:val="nothing"/>
      <w:lvlText w:val="%1."/>
      <w:lvlJc w:val="left"/>
    </w:lvl>
    <w:lvl w:ilvl="1" w:tentative="0">
      <w:start w:val="3"/>
      <w:numFmt w:val="decimal"/>
      <w:isLgl/>
      <w:lvlText w:val="%1.%2."/>
      <w:lvlJc w:val="left"/>
      <w:pPr>
        <w:ind w:left="1442" w:hanging="960"/>
      </w:pPr>
      <w:rPr>
        <w:rFonts w:hint="default"/>
      </w:rPr>
    </w:lvl>
    <w:lvl w:ilvl="2" w:tentative="0">
      <w:start w:val="1"/>
      <w:numFmt w:val="decimal"/>
      <w:isLgl/>
      <w:lvlText w:val="%1.%2.%3."/>
      <w:lvlJc w:val="left"/>
      <w:pPr>
        <w:ind w:left="2044" w:hanging="1080"/>
      </w:pPr>
      <w:rPr>
        <w:rFonts w:hint="default"/>
      </w:rPr>
    </w:lvl>
    <w:lvl w:ilvl="3" w:tentative="0">
      <w:start w:val="1"/>
      <w:numFmt w:val="decimal"/>
      <w:isLgl/>
      <w:lvlText w:val="%1.%2.%3.%4."/>
      <w:lvlJc w:val="left"/>
      <w:pPr>
        <w:ind w:left="2526" w:hanging="1080"/>
      </w:pPr>
      <w:rPr>
        <w:rFonts w:hint="default"/>
      </w:rPr>
    </w:lvl>
    <w:lvl w:ilvl="4" w:tentative="0">
      <w:start w:val="1"/>
      <w:numFmt w:val="decimal"/>
      <w:isLgl/>
      <w:lvlText w:val="%1.%2.%3.%4.%5."/>
      <w:lvlJc w:val="left"/>
      <w:pPr>
        <w:ind w:left="3368" w:hanging="1440"/>
      </w:pPr>
      <w:rPr>
        <w:rFonts w:hint="default"/>
      </w:rPr>
    </w:lvl>
    <w:lvl w:ilvl="5" w:tentative="0">
      <w:start w:val="1"/>
      <w:numFmt w:val="decimal"/>
      <w:isLgl/>
      <w:lvlText w:val="%1.%2.%3.%4.%5.%6."/>
      <w:lvlJc w:val="left"/>
      <w:pPr>
        <w:ind w:left="4210" w:hanging="1800"/>
      </w:pPr>
      <w:rPr>
        <w:rFonts w:hint="default"/>
      </w:rPr>
    </w:lvl>
    <w:lvl w:ilvl="6" w:tentative="0">
      <w:start w:val="1"/>
      <w:numFmt w:val="decimal"/>
      <w:isLgl/>
      <w:lvlText w:val="%1.%2.%3.%4.%5.%6.%7."/>
      <w:lvlJc w:val="left"/>
      <w:pPr>
        <w:ind w:left="4692" w:hanging="1800"/>
      </w:pPr>
      <w:rPr>
        <w:rFonts w:hint="default"/>
      </w:rPr>
    </w:lvl>
    <w:lvl w:ilvl="7" w:tentative="0">
      <w:start w:val="1"/>
      <w:numFmt w:val="decimal"/>
      <w:isLgl/>
      <w:lvlText w:val="%1.%2.%3.%4.%5.%6.%7.%8."/>
      <w:lvlJc w:val="left"/>
      <w:pPr>
        <w:ind w:left="5534" w:hanging="2160"/>
      </w:pPr>
      <w:rPr>
        <w:rFonts w:hint="default"/>
      </w:rPr>
    </w:lvl>
    <w:lvl w:ilvl="8" w:tentative="0">
      <w:start w:val="1"/>
      <w:numFmt w:val="decimal"/>
      <w:isLgl/>
      <w:lvlText w:val="%1.%2.%3.%4.%5.%6.%7.%8.%9."/>
      <w:lvlJc w:val="left"/>
      <w:pPr>
        <w:ind w:left="6376" w:hanging="2520"/>
      </w:pPr>
      <w:rPr>
        <w:rFonts w:hint="default"/>
      </w:rPr>
    </w:lvl>
  </w:abstractNum>
  <w:abstractNum w:abstractNumId="9">
    <w:nsid w:val="00000004"/>
    <w:multiLevelType w:val="multilevel"/>
    <w:tmpl w:val="00000004"/>
    <w:lvl w:ilvl="0" w:tentative="0">
      <w:start w:val="1"/>
      <w:numFmt w:val="decimal"/>
      <w:pStyle w:val="27"/>
      <w:suff w:val="nothing"/>
      <w:lvlText w:val="（%1）"/>
      <w:lvlJc w:val="left"/>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00000005"/>
    <w:multiLevelType w:val="singleLevel"/>
    <w:tmpl w:val="00000005"/>
    <w:lvl w:ilvl="0" w:tentative="0">
      <w:start w:val="1"/>
      <w:numFmt w:val="decimal"/>
      <w:lvlText w:val="(%1)"/>
      <w:lvlJc w:val="left"/>
      <w:pPr>
        <w:tabs>
          <w:tab w:val="left" w:pos="312"/>
        </w:tabs>
      </w:pPr>
    </w:lvl>
  </w:abstractNum>
  <w:abstractNum w:abstractNumId="11">
    <w:nsid w:val="00000006"/>
    <w:multiLevelType w:val="singleLevel"/>
    <w:tmpl w:val="00000006"/>
    <w:lvl w:ilvl="0" w:tentative="0">
      <w:start w:val="1"/>
      <w:numFmt w:val="decimal"/>
      <w:suff w:val="nothing"/>
      <w:lvlText w:val="（%1）"/>
      <w:lvlJc w:val="left"/>
    </w:lvl>
  </w:abstractNum>
  <w:abstractNum w:abstractNumId="12">
    <w:nsid w:val="00000007"/>
    <w:multiLevelType w:val="singleLevel"/>
    <w:tmpl w:val="00000007"/>
    <w:lvl w:ilvl="0" w:tentative="0">
      <w:start w:val="1"/>
      <w:numFmt w:val="decimal"/>
      <w:suff w:val="nothing"/>
      <w:lvlText w:val="（%1）"/>
      <w:lvlJc w:val="left"/>
    </w:lvl>
  </w:abstractNum>
  <w:abstractNum w:abstractNumId="13">
    <w:nsid w:val="0000001B"/>
    <w:multiLevelType w:val="multilevel"/>
    <w:tmpl w:val="0000001B"/>
    <w:lvl w:ilvl="0" w:tentative="0">
      <w:start w:val="1"/>
      <w:numFmt w:val="decimal"/>
      <w:lvlText w:val="（%1）"/>
      <w:lvlJc w:val="left"/>
      <w:pPr>
        <w:ind w:left="987" w:hanging="420"/>
      </w:pPr>
      <w:rPr>
        <w:rFonts w:hint="eastAsia"/>
      </w:rPr>
    </w:lvl>
    <w:lvl w:ilvl="1" w:tentative="0">
      <w:start w:val="1"/>
      <w:numFmt w:val="lowerLetter"/>
      <w:pStyle w:val="26"/>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
      <w:suff w:val="nothing"/>
      <w:lvlText w:val="%1.%2　"/>
      <w:lvlJc w:val="left"/>
      <w:pPr>
        <w:ind w:left="52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57540211"/>
    <w:multiLevelType w:val="singleLevel"/>
    <w:tmpl w:val="57540211"/>
    <w:lvl w:ilvl="0" w:tentative="0">
      <w:start w:val="1"/>
      <w:numFmt w:val="decimal"/>
      <w:suff w:val="nothing"/>
      <w:lvlText w:val="%1、"/>
      <w:lvlJc w:val="left"/>
    </w:lvl>
  </w:abstractNum>
  <w:abstractNum w:abstractNumId="16">
    <w:nsid w:val="72948CFB"/>
    <w:multiLevelType w:val="singleLevel"/>
    <w:tmpl w:val="72948CFB"/>
    <w:lvl w:ilvl="0" w:tentative="0">
      <w:start w:val="1"/>
      <w:numFmt w:val="decimal"/>
      <w:suff w:val="nothing"/>
      <w:lvlText w:val="%1、"/>
      <w:lvlJc w:val="left"/>
    </w:lvl>
  </w:abstractNum>
  <w:num w:numId="1">
    <w:abstractNumId w:val="14"/>
  </w:num>
  <w:num w:numId="2">
    <w:abstractNumId w:val="13"/>
  </w:num>
  <w:num w:numId="3">
    <w:abstractNumId w:val="9"/>
  </w:num>
  <w:num w:numId="4">
    <w:abstractNumId w:val="10"/>
  </w:num>
  <w:num w:numId="5">
    <w:abstractNumId w:val="11"/>
  </w:num>
  <w:num w:numId="6">
    <w:abstractNumId w:val="12"/>
  </w:num>
  <w:num w:numId="7">
    <w:abstractNumId w:val="6"/>
  </w:num>
  <w:num w:numId="8">
    <w:abstractNumId w:val="8"/>
  </w:num>
  <w:num w:numId="9">
    <w:abstractNumId w:val="2"/>
  </w:num>
  <w:num w:numId="10">
    <w:abstractNumId w:val="7"/>
  </w:num>
  <w:num w:numId="11">
    <w:abstractNumId w:val="3"/>
  </w:num>
  <w:num w:numId="12">
    <w:abstractNumId w:val="16"/>
  </w:num>
  <w:num w:numId="13">
    <w:abstractNumId w:val="5"/>
  </w:num>
  <w:num w:numId="14">
    <w:abstractNumId w:val="1"/>
  </w:num>
  <w:num w:numId="15">
    <w:abstractNumId w:val="0"/>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YmM3MWY1MGYwOWJkMzg1YjE3MGI4NDJlYzdkNTIifQ=="/>
  </w:docVars>
  <w:rsids>
    <w:rsidRoot w:val="490C612D"/>
    <w:rsid w:val="00013E63"/>
    <w:rsid w:val="001E3E5E"/>
    <w:rsid w:val="003B08FB"/>
    <w:rsid w:val="00486F73"/>
    <w:rsid w:val="00597335"/>
    <w:rsid w:val="0069647F"/>
    <w:rsid w:val="00A30C0E"/>
    <w:rsid w:val="00AA160D"/>
    <w:rsid w:val="00B01C38"/>
    <w:rsid w:val="00B137EE"/>
    <w:rsid w:val="00B7646B"/>
    <w:rsid w:val="00C8797B"/>
    <w:rsid w:val="00CC69E8"/>
    <w:rsid w:val="00CD40FD"/>
    <w:rsid w:val="00D50A44"/>
    <w:rsid w:val="00D53E02"/>
    <w:rsid w:val="00DA0DCE"/>
    <w:rsid w:val="00E003DB"/>
    <w:rsid w:val="00EA07F0"/>
    <w:rsid w:val="00EE2003"/>
    <w:rsid w:val="00F43DB4"/>
    <w:rsid w:val="00FC70B7"/>
    <w:rsid w:val="02262D39"/>
    <w:rsid w:val="03595555"/>
    <w:rsid w:val="048D6171"/>
    <w:rsid w:val="051F632A"/>
    <w:rsid w:val="079923C4"/>
    <w:rsid w:val="08FF58EC"/>
    <w:rsid w:val="09864BCA"/>
    <w:rsid w:val="0E3E5A73"/>
    <w:rsid w:val="0EB80FA8"/>
    <w:rsid w:val="0F403A6D"/>
    <w:rsid w:val="0F543075"/>
    <w:rsid w:val="120E3FC0"/>
    <w:rsid w:val="13DA623E"/>
    <w:rsid w:val="147A0D7B"/>
    <w:rsid w:val="166E7112"/>
    <w:rsid w:val="16921052"/>
    <w:rsid w:val="16B014D8"/>
    <w:rsid w:val="17163A31"/>
    <w:rsid w:val="174C7453"/>
    <w:rsid w:val="1C3135BB"/>
    <w:rsid w:val="1E9235CB"/>
    <w:rsid w:val="1ED25D22"/>
    <w:rsid w:val="20A420AE"/>
    <w:rsid w:val="20A57BD4"/>
    <w:rsid w:val="210E3E14"/>
    <w:rsid w:val="22C04851"/>
    <w:rsid w:val="243C25FD"/>
    <w:rsid w:val="24635DDC"/>
    <w:rsid w:val="25165D15"/>
    <w:rsid w:val="25A4223A"/>
    <w:rsid w:val="25E04EFE"/>
    <w:rsid w:val="274943C6"/>
    <w:rsid w:val="28123DA1"/>
    <w:rsid w:val="2EB55486"/>
    <w:rsid w:val="31D9148B"/>
    <w:rsid w:val="32BB2D9B"/>
    <w:rsid w:val="338F26C9"/>
    <w:rsid w:val="33E74334"/>
    <w:rsid w:val="34A55F9D"/>
    <w:rsid w:val="34AE6BFF"/>
    <w:rsid w:val="34B70CB1"/>
    <w:rsid w:val="35B46497"/>
    <w:rsid w:val="370E607B"/>
    <w:rsid w:val="37F94635"/>
    <w:rsid w:val="389414AC"/>
    <w:rsid w:val="3AFB362F"/>
    <w:rsid w:val="3B705E6A"/>
    <w:rsid w:val="3C6F77B6"/>
    <w:rsid w:val="3D995F73"/>
    <w:rsid w:val="3EE17BD1"/>
    <w:rsid w:val="3EEF6792"/>
    <w:rsid w:val="3FA00368"/>
    <w:rsid w:val="433B01F8"/>
    <w:rsid w:val="45A22529"/>
    <w:rsid w:val="48CE566A"/>
    <w:rsid w:val="490C612D"/>
    <w:rsid w:val="4B101F6A"/>
    <w:rsid w:val="4B257098"/>
    <w:rsid w:val="4D227D33"/>
    <w:rsid w:val="4EA74993"/>
    <w:rsid w:val="508D58E3"/>
    <w:rsid w:val="52AD6DAD"/>
    <w:rsid w:val="52F11DEC"/>
    <w:rsid w:val="53F325E8"/>
    <w:rsid w:val="576429ED"/>
    <w:rsid w:val="596671F9"/>
    <w:rsid w:val="59DB7BE7"/>
    <w:rsid w:val="5A026F22"/>
    <w:rsid w:val="5C07233E"/>
    <w:rsid w:val="5DD5494D"/>
    <w:rsid w:val="5DE80B25"/>
    <w:rsid w:val="5E68756F"/>
    <w:rsid w:val="60BE1B28"/>
    <w:rsid w:val="63A64DC2"/>
    <w:rsid w:val="63AB3CE6"/>
    <w:rsid w:val="640079D5"/>
    <w:rsid w:val="69E026B4"/>
    <w:rsid w:val="6A8B6AC0"/>
    <w:rsid w:val="6C692464"/>
    <w:rsid w:val="6CED5810"/>
    <w:rsid w:val="6CF71469"/>
    <w:rsid w:val="6D22312D"/>
    <w:rsid w:val="6E096679"/>
    <w:rsid w:val="70293003"/>
    <w:rsid w:val="719C5A56"/>
    <w:rsid w:val="727E23B0"/>
    <w:rsid w:val="72E17BC5"/>
    <w:rsid w:val="7343262D"/>
    <w:rsid w:val="75DC7221"/>
    <w:rsid w:val="7840713B"/>
    <w:rsid w:val="79DD6C0C"/>
    <w:rsid w:val="7F286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1"/>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99"/>
    <w:pPr>
      <w:keepNext/>
      <w:keepLines/>
      <w:spacing w:line="576" w:lineRule="auto"/>
      <w:jc w:val="center"/>
      <w:outlineLvl w:val="0"/>
    </w:pPr>
    <w:rPr>
      <w:b/>
      <w:kern w:val="44"/>
      <w:sz w:val="44"/>
      <w:szCs w:val="20"/>
    </w:rPr>
  </w:style>
  <w:style w:type="paragraph" w:styleId="2">
    <w:name w:val="heading 2"/>
    <w:basedOn w:val="1"/>
    <w:next w:val="1"/>
    <w:link w:val="36"/>
    <w:qFormat/>
    <w:uiPriority w:val="0"/>
    <w:pPr>
      <w:keepNext/>
      <w:keepLines/>
      <w:spacing w:before="260" w:after="260" w:line="415" w:lineRule="auto"/>
      <w:outlineLvl w:val="1"/>
    </w:pPr>
    <w:rPr>
      <w:rFonts w:ascii="Cambria" w:hAnsi="Cambria"/>
      <w:b/>
      <w:bCs/>
      <w:kern w:val="0"/>
      <w:sz w:val="32"/>
      <w:szCs w:val="32"/>
    </w:rPr>
  </w:style>
  <w:style w:type="paragraph" w:styleId="4">
    <w:name w:val="heading 3"/>
    <w:basedOn w:val="1"/>
    <w:next w:val="1"/>
    <w:link w:val="34"/>
    <w:qFormat/>
    <w:uiPriority w:val="0"/>
    <w:pPr>
      <w:spacing w:beforeAutospacing="1" w:afterAutospacing="1"/>
      <w:jc w:val="left"/>
      <w:outlineLvl w:val="2"/>
    </w:pPr>
    <w:rPr>
      <w:rFonts w:hint="eastAsia" w:ascii="宋体" w:hAnsi="宋体"/>
      <w:b/>
      <w:kern w:val="0"/>
      <w:sz w:val="27"/>
      <w:szCs w:val="27"/>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semiHidden/>
    <w:qFormat/>
    <w:uiPriority w:val="0"/>
    <w:pPr>
      <w:ind w:left="420" w:leftChars="200"/>
    </w:pPr>
  </w:style>
  <w:style w:type="paragraph" w:styleId="6">
    <w:name w:val="Normal Indent"/>
    <w:basedOn w:val="1"/>
    <w:qFormat/>
    <w:uiPriority w:val="0"/>
    <w:pPr>
      <w:ind w:firstLine="420"/>
    </w:pPr>
    <w:rPr>
      <w:szCs w:val="20"/>
    </w:rPr>
  </w:style>
  <w:style w:type="paragraph" w:styleId="7">
    <w:name w:val="Body Text"/>
    <w:basedOn w:val="1"/>
    <w:next w:val="8"/>
    <w:qFormat/>
    <w:uiPriority w:val="0"/>
    <w:pPr>
      <w:spacing w:after="120"/>
    </w:pPr>
  </w:style>
  <w:style w:type="paragraph" w:customStyle="1" w:styleId="8">
    <w:name w:val="一级条标题"/>
    <w:basedOn w:val="9"/>
    <w:next w:val="10"/>
    <w:qFormat/>
    <w:uiPriority w:val="0"/>
    <w:pPr>
      <w:numPr>
        <w:ilvl w:val="1"/>
        <w:numId w:val="1"/>
      </w:numPr>
      <w:spacing w:beforeLines="50" w:afterLines="50"/>
      <w:outlineLvl w:val="2"/>
    </w:pPr>
    <w:rPr>
      <w:szCs w:val="21"/>
    </w:rPr>
  </w:style>
  <w:style w:type="paragraph" w:customStyle="1" w:styleId="9">
    <w:name w:val="章标题"/>
    <w:next w:val="10"/>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0">
    <w:name w:val="段"/>
    <w:basedOn w:val="11"/>
    <w:next w:val="1"/>
    <w:qFormat/>
    <w:uiPriority w:val="0"/>
    <w:pPr>
      <w:autoSpaceDE w:val="0"/>
      <w:autoSpaceDN w:val="0"/>
      <w:spacing w:line="360" w:lineRule="auto"/>
      <w:ind w:firstLine="200" w:firstLineChars="200"/>
      <w:jc w:val="both"/>
    </w:pPr>
    <w:rPr>
      <w:rFonts w:ascii="宋体" w:hAnsi="Times New Roman" w:eastAsia="Times New Roman" w:cs="Times New Roman"/>
      <w:sz w:val="21"/>
      <w:szCs w:val="22"/>
      <w:lang w:val="en-US" w:eastAsia="zh-CN" w:bidi="ar-SA"/>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Body Text Indent"/>
    <w:basedOn w:val="1"/>
    <w:next w:val="1"/>
    <w:qFormat/>
    <w:uiPriority w:val="0"/>
    <w:pPr>
      <w:spacing w:after="120"/>
      <w:ind w:left="420" w:leftChars="200"/>
    </w:pPr>
    <w:rPr>
      <w:sz w:val="21"/>
    </w:rPr>
  </w:style>
  <w:style w:type="paragraph" w:styleId="13">
    <w:name w:val="Plain Text"/>
    <w:basedOn w:val="1"/>
    <w:qFormat/>
    <w:uiPriority w:val="0"/>
    <w:rPr>
      <w:rFonts w:ascii="宋体" w:hAnsi="Courier New" w:cs="Courier New"/>
      <w:szCs w:val="21"/>
    </w:rPr>
  </w:style>
  <w:style w:type="paragraph" w:styleId="14">
    <w:name w:val="Date"/>
    <w:basedOn w:val="1"/>
    <w:next w:val="1"/>
    <w:link w:val="40"/>
    <w:qFormat/>
    <w:uiPriority w:val="0"/>
    <w:pPr>
      <w:ind w:left="100" w:leftChars="2500"/>
    </w:pPr>
  </w:style>
  <w:style w:type="paragraph" w:styleId="15">
    <w:name w:val="Body Text Indent 2"/>
    <w:basedOn w:val="1"/>
    <w:next w:val="16"/>
    <w:qFormat/>
    <w:uiPriority w:val="0"/>
    <w:pPr>
      <w:spacing w:after="120" w:line="480" w:lineRule="auto"/>
      <w:ind w:left="420" w:leftChars="200"/>
    </w:pPr>
  </w:style>
  <w:style w:type="paragraph" w:customStyle="1" w:styleId="16">
    <w:name w:val="样式1"/>
    <w:basedOn w:val="1"/>
    <w:qFormat/>
    <w:uiPriority w:val="0"/>
    <w:rPr>
      <w:rFonts w:eastAsia="仿宋_GB2312"/>
      <w:sz w:val="32"/>
    </w:rPr>
  </w:style>
  <w:style w:type="paragraph" w:styleId="17">
    <w:name w:val="footer"/>
    <w:basedOn w:val="1"/>
    <w:link w:val="39"/>
    <w:qFormat/>
    <w:uiPriority w:val="99"/>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 w:val="21"/>
      <w:szCs w:val="21"/>
    </w:rPr>
  </w:style>
  <w:style w:type="paragraph" w:styleId="20">
    <w:name w:val="Title"/>
    <w:basedOn w:val="1"/>
    <w:next w:val="1"/>
    <w:link w:val="33"/>
    <w:qFormat/>
    <w:uiPriority w:val="0"/>
    <w:pPr>
      <w:spacing w:before="240" w:after="60"/>
      <w:jc w:val="center"/>
      <w:outlineLvl w:val="0"/>
    </w:pPr>
    <w:rPr>
      <w:rFonts w:ascii="Cambria" w:hAnsi="Cambria"/>
      <w:b/>
      <w:bCs/>
      <w:kern w:val="0"/>
      <w:sz w:val="36"/>
      <w:szCs w:val="32"/>
    </w:rPr>
  </w:style>
  <w:style w:type="paragraph" w:styleId="21">
    <w:name w:val="Body Text First Indent"/>
    <w:basedOn w:val="7"/>
    <w:next w:val="1"/>
    <w:qFormat/>
    <w:uiPriority w:val="0"/>
    <w:pPr>
      <w:tabs>
        <w:tab w:val="left" w:pos="360"/>
      </w:tabs>
      <w:ind w:firstLine="420" w:firstLineChars="100"/>
    </w:pPr>
    <w:rPr>
      <w:kern w:val="2"/>
      <w:sz w:val="21"/>
      <w:szCs w:val="24"/>
      <w:lang w:val="en-US" w:eastAsia="zh-CN"/>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paragraph" w:customStyle="1" w:styleId="26">
    <w:name w:val="引言二级条标题"/>
    <w:basedOn w:val="27"/>
    <w:next w:val="10"/>
    <w:qFormat/>
    <w:uiPriority w:val="0"/>
    <w:pPr>
      <w:numPr>
        <w:ilvl w:val="1"/>
        <w:numId w:val="2"/>
      </w:numPr>
      <w:tabs>
        <w:tab w:val="left" w:pos="360"/>
        <w:tab w:val="left" w:pos="1200"/>
      </w:tabs>
    </w:pPr>
    <w:rPr>
      <w:b w:val="0"/>
    </w:rPr>
  </w:style>
  <w:style w:type="paragraph" w:customStyle="1" w:styleId="27">
    <w:name w:val="引言一级条标题"/>
    <w:basedOn w:val="1"/>
    <w:next w:val="10"/>
    <w:qFormat/>
    <w:uiPriority w:val="0"/>
    <w:pPr>
      <w:widowControl/>
      <w:numPr>
        <w:ilvl w:val="0"/>
        <w:numId w:val="3"/>
      </w:numPr>
    </w:pPr>
    <w:rPr>
      <w:rFonts w:eastAsia="黑体"/>
      <w:b/>
      <w:szCs w:val="20"/>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WPSOffice手动目录 3"/>
    <w:qFormat/>
    <w:uiPriority w:val="0"/>
    <w:pPr>
      <w:ind w:left="400" w:leftChars="400"/>
    </w:pPr>
    <w:rPr>
      <w:rFonts w:ascii="Calibri" w:hAnsi="Calibri" w:eastAsia="宋体" w:cs="宋体"/>
      <w:lang w:val="en-US" w:eastAsia="zh-CN" w:bidi="ar-SA"/>
    </w:rPr>
  </w:style>
  <w:style w:type="paragraph" w:customStyle="1" w:styleId="30">
    <w:name w:val="WPSOffice手动目录 2"/>
    <w:qFormat/>
    <w:uiPriority w:val="0"/>
    <w:pPr>
      <w:ind w:left="200" w:leftChars="200"/>
    </w:pPr>
    <w:rPr>
      <w:rFonts w:ascii="Calibri" w:hAnsi="Calibri" w:eastAsia="宋体" w:cs="宋体"/>
      <w:lang w:val="en-US" w:eastAsia="zh-CN" w:bidi="ar-SA"/>
    </w:rPr>
  </w:style>
  <w:style w:type="character" w:customStyle="1" w:styleId="31">
    <w:name w:val="标题 1 字符"/>
    <w:basedOn w:val="24"/>
    <w:link w:val="3"/>
    <w:qFormat/>
    <w:uiPriority w:val="99"/>
    <w:rPr>
      <w:b/>
      <w:kern w:val="44"/>
      <w:sz w:val="44"/>
      <w:szCs w:val="20"/>
    </w:rPr>
  </w:style>
  <w:style w:type="paragraph" w:customStyle="1" w:styleId="32">
    <w:name w:val="正文（正式）"/>
    <w:basedOn w:val="1"/>
    <w:qFormat/>
    <w:uiPriority w:val="0"/>
    <w:pPr>
      <w:adjustRightInd w:val="0"/>
      <w:snapToGrid w:val="0"/>
      <w:spacing w:line="312" w:lineRule="auto"/>
      <w:ind w:firstLine="200" w:firstLineChars="200"/>
    </w:pPr>
    <w:rPr>
      <w:bCs/>
      <w:szCs w:val="28"/>
    </w:rPr>
  </w:style>
  <w:style w:type="character" w:customStyle="1" w:styleId="33">
    <w:name w:val="标题 字符"/>
    <w:link w:val="20"/>
    <w:qFormat/>
    <w:uiPriority w:val="0"/>
    <w:rPr>
      <w:rFonts w:ascii="Cambria" w:hAnsi="Cambria"/>
      <w:b/>
      <w:bCs/>
      <w:kern w:val="0"/>
      <w:sz w:val="36"/>
      <w:szCs w:val="32"/>
    </w:rPr>
  </w:style>
  <w:style w:type="character" w:customStyle="1" w:styleId="34">
    <w:name w:val="标题 3 字符"/>
    <w:link w:val="4"/>
    <w:qFormat/>
    <w:uiPriority w:val="0"/>
    <w:rPr>
      <w:rFonts w:hint="eastAsia" w:ascii="宋体" w:hAnsi="宋体"/>
      <w:b/>
      <w:kern w:val="0"/>
      <w:sz w:val="27"/>
      <w:szCs w:val="27"/>
    </w:rPr>
  </w:style>
  <w:style w:type="paragraph" w:customStyle="1" w:styleId="35">
    <w:name w:val="_Style 29"/>
    <w:basedOn w:val="1"/>
    <w:qFormat/>
    <w:uiPriority w:val="0"/>
    <w:pPr>
      <w:ind w:firstLine="420" w:firstLineChars="200"/>
    </w:pPr>
    <w:rPr>
      <w:rFonts w:eastAsia="Times New Roman"/>
    </w:rPr>
  </w:style>
  <w:style w:type="character" w:customStyle="1" w:styleId="36">
    <w:name w:val="标题 2 字符"/>
    <w:link w:val="2"/>
    <w:qFormat/>
    <w:uiPriority w:val="0"/>
    <w:rPr>
      <w:rFonts w:ascii="Cambria" w:hAnsi="Cambria"/>
      <w:b/>
      <w:bCs/>
      <w:kern w:val="0"/>
      <w:sz w:val="32"/>
      <w:szCs w:val="32"/>
    </w:rPr>
  </w:style>
  <w:style w:type="paragraph" w:customStyle="1" w:styleId="37">
    <w:name w:val="Normal_64"/>
    <w:qFormat/>
    <w:uiPriority w:val="0"/>
    <w:pPr>
      <w:spacing w:before="120" w:after="240"/>
      <w:jc w:val="both"/>
    </w:pPr>
    <w:rPr>
      <w:rFonts w:ascii="Calibri" w:hAnsi="Calibri" w:eastAsia="Calibri" w:cs="Times New Roman"/>
      <w:sz w:val="22"/>
      <w:szCs w:val="22"/>
      <w:lang w:val="ru-RU" w:eastAsia="en-US" w:bidi="ar-SA"/>
    </w:rPr>
  </w:style>
  <w:style w:type="paragraph" w:customStyle="1" w:styleId="38">
    <w:name w:val="Normal_4"/>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39">
    <w:name w:val="页脚 字符"/>
    <w:basedOn w:val="24"/>
    <w:link w:val="17"/>
    <w:qFormat/>
    <w:uiPriority w:val="99"/>
    <w:rPr>
      <w:kern w:val="2"/>
      <w:sz w:val="18"/>
      <w:szCs w:val="24"/>
    </w:rPr>
  </w:style>
  <w:style w:type="character" w:customStyle="1" w:styleId="40">
    <w:name w:val="日期 字符"/>
    <w:basedOn w:val="24"/>
    <w:link w:val="14"/>
    <w:qFormat/>
    <w:uiPriority w:val="0"/>
    <w:rPr>
      <w:kern w:val="2"/>
      <w:sz w:val="24"/>
      <w:szCs w:val="24"/>
    </w:rPr>
  </w:style>
  <w:style w:type="character" w:customStyle="1" w:styleId="41">
    <w:name w:val="NormalCharacter"/>
    <w:link w:val="1"/>
    <w:semiHidden/>
    <w:qFormat/>
    <w:uiPriority w:val="0"/>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47697</Words>
  <Characters>53115</Characters>
  <Lines>71</Lines>
  <Paragraphs>74</Paragraphs>
  <TotalTime>70</TotalTime>
  <ScaleCrop>false</ScaleCrop>
  <LinksUpToDate>false</LinksUpToDate>
  <CharactersWithSpaces>71504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2022-02-12T03:28:00Z</dcterms:created>
  <dc:creator>Administrator</dc:creator>
  <cp:lastModifiedBy>凌夜</cp:lastModifiedBy>
  <dcterms:modified xsi:type="dcterms:W3CDTF">2022-10-11T10:01:06Z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E34C467333BA4B3E905341ED194BE820</vt:lpwstr>
  </property>
</Properties>
</file>