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1" w:firstLineChars="450"/>
        <w:rPr>
          <w:rFonts w:ascii="方正行楷简体" w:hAnsi="新宋体" w:eastAsia="方正行楷简体" w:cs="华文行楷"/>
          <w:b/>
          <w:sz w:val="52"/>
          <w:szCs w:val="52"/>
          <w:highlight w:val="none"/>
          <w:lang w:val="zh-CN"/>
        </w:rPr>
      </w:pPr>
      <w:r>
        <w:rPr>
          <w:rFonts w:ascii="方正行楷简体" w:hAnsi="新宋体" w:eastAsia="方正行楷简体" w:cs="华文行楷"/>
          <w:b/>
          <w:sz w:val="52"/>
          <w:szCs w:val="52"/>
          <w:highlight w:val="none"/>
          <w:lang w:val="zh-CN"/>
        </w:rPr>
        <w:t xml:space="preserve"> </w:t>
      </w:r>
    </w:p>
    <w:p>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hint="eastAsia" w:ascii="方正行楷简体" w:hAnsi="新宋体" w:eastAsia="方正行楷简体" w:cs="华文行楷"/>
          <w:b/>
          <w:sz w:val="52"/>
          <w:szCs w:val="52"/>
          <w:highlight w:val="none"/>
          <w:lang w:val="zh-CN"/>
        </w:rPr>
        <w:t>青海省政府采购</w:t>
      </w:r>
    </w:p>
    <w:p>
      <w:pPr>
        <w:autoSpaceDE w:val="0"/>
        <w:autoSpaceDN w:val="0"/>
        <w:adjustRightInd w:val="0"/>
        <w:spacing w:line="360" w:lineRule="auto"/>
        <w:rPr>
          <w:rFonts w:ascii="方正楷体_GBK" w:hAnsi="宋体" w:eastAsia="方正楷体_GBK" w:cs="华文中宋"/>
          <w:b/>
          <w:sz w:val="36"/>
          <w:szCs w:val="36"/>
          <w:highlight w:val="none"/>
        </w:rPr>
      </w:pPr>
    </w:p>
    <w:p>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pPr>
        <w:adjustRightInd w:val="0"/>
        <w:spacing w:line="360" w:lineRule="auto"/>
        <w:textAlignment w:val="baseline"/>
        <w:rPr>
          <w:rFonts w:ascii="仿宋_GB2312" w:hAnsi="宋体" w:eastAsia="仿宋_GB2312"/>
          <w:b/>
          <w:sz w:val="36"/>
          <w:szCs w:val="36"/>
          <w:highlight w:val="none"/>
        </w:rPr>
      </w:pPr>
    </w:p>
    <w:p>
      <w:pPr>
        <w:adjustRightInd w:val="0"/>
        <w:spacing w:line="360" w:lineRule="auto"/>
        <w:ind w:left="3248" w:leftChars="342"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青海浩驰磋商（服务）2024-045号（第二次）</w:t>
      </w:r>
    </w:p>
    <w:p>
      <w:pPr>
        <w:adjustRightInd w:val="0"/>
        <w:spacing w:line="360" w:lineRule="auto"/>
        <w:ind w:left="3248" w:leftChars="342" w:right="-248"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2024年西宁市残疾人“师带徒”培训项目（第二次）</w:t>
      </w:r>
    </w:p>
    <w:p>
      <w:pPr>
        <w:adjustRightInd w:val="0"/>
        <w:spacing w:line="360" w:lineRule="auto"/>
        <w:ind w:left="2641" w:leftChars="397" w:right="-248" w:rightChars="-118" w:hanging="1807" w:hangingChars="500"/>
        <w:textAlignment w:val="baseline"/>
        <w:rPr>
          <w:b/>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西宁市残疾人联合会</w:t>
      </w:r>
    </w:p>
    <w:p>
      <w:pPr>
        <w:adjustRightInd w:val="0"/>
        <w:spacing w:line="360" w:lineRule="auto"/>
        <w:textAlignment w:val="baseline"/>
        <w:rPr>
          <w:b/>
          <w:highlight w:val="none"/>
        </w:rPr>
      </w:pPr>
    </w:p>
    <w:p>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pPr>
        <w:adjustRightInd w:val="0"/>
        <w:spacing w:line="360" w:lineRule="auto"/>
        <w:jc w:val="center"/>
        <w:textAlignment w:val="baseline"/>
        <w:rPr>
          <w:highlight w:val="none"/>
        </w:rPr>
      </w:pPr>
      <w:r>
        <w:rPr>
          <w:rFonts w:hint="eastAsia" w:ascii="宋体" w:hAnsi="宋体"/>
          <w:b/>
          <w:sz w:val="32"/>
          <w:szCs w:val="32"/>
          <w:highlight w:val="none"/>
          <w:lang w:eastAsia="zh-CN"/>
        </w:rPr>
        <w:t>202</w:t>
      </w:r>
      <w:r>
        <w:rPr>
          <w:rFonts w:hint="eastAsia" w:ascii="宋体" w:hAnsi="宋体"/>
          <w:b/>
          <w:sz w:val="32"/>
          <w:szCs w:val="32"/>
          <w:highlight w:val="none"/>
          <w:lang w:val="en-US" w:eastAsia="zh-CN"/>
        </w:rPr>
        <w:t>4</w:t>
      </w:r>
      <w:r>
        <w:rPr>
          <w:rFonts w:hint="eastAsia" w:ascii="宋体" w:hAnsi="宋体"/>
          <w:b/>
          <w:sz w:val="32"/>
          <w:szCs w:val="32"/>
          <w:highlight w:val="none"/>
          <w:lang w:eastAsia="zh-CN"/>
        </w:rPr>
        <w:t>年</w:t>
      </w:r>
      <w:r>
        <w:rPr>
          <w:rFonts w:hint="eastAsia" w:ascii="宋体" w:hAnsi="宋体"/>
          <w:b/>
          <w:sz w:val="32"/>
          <w:szCs w:val="32"/>
          <w:highlight w:val="none"/>
          <w:lang w:val="en-US" w:eastAsia="zh-CN"/>
        </w:rPr>
        <w:t>5</w:t>
      </w:r>
      <w:r>
        <w:rPr>
          <w:rFonts w:hint="eastAsia" w:ascii="宋体" w:hAnsi="宋体"/>
          <w:b/>
          <w:sz w:val="32"/>
          <w:szCs w:val="32"/>
          <w:highlight w:val="none"/>
          <w:lang w:eastAsia="zh-CN"/>
        </w:rPr>
        <w:t>月</w:t>
      </w:r>
      <w:r>
        <w:rPr>
          <w:rFonts w:ascii="宋体"/>
          <w:b/>
          <w:sz w:val="40"/>
          <w:szCs w:val="30"/>
          <w:highlight w:val="none"/>
        </w:rPr>
        <w:br w:type="page"/>
      </w:r>
    </w:p>
    <w:p>
      <w:pPr>
        <w:jc w:val="center"/>
        <w:rPr>
          <w:highlight w:val="none"/>
        </w:rPr>
      </w:pPr>
      <w:r>
        <w:rPr>
          <w:rFonts w:hint="eastAsia" w:ascii="宋体" w:hAnsi="宋体"/>
          <w:highlight w:val="none"/>
        </w:rPr>
        <w:t>目录</w:t>
      </w:r>
    </w:p>
    <w:p>
      <w:pPr>
        <w:pStyle w:val="17"/>
        <w:tabs>
          <w:tab w:val="right" w:leader="dot" w:pos="8787"/>
        </w:tabs>
        <w:rPr>
          <w:rFonts w:hint="eastAsia" w:ascii="宋体" w:hAnsi="宋体" w:eastAsia="宋体" w:cs="宋体"/>
          <w:b w:val="0"/>
          <w:bCs w:val="0"/>
          <w:i w:val="0"/>
          <w:iCs w:val="0"/>
          <w:sz w:val="24"/>
          <w:szCs w:val="24"/>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_Toc5362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第一部分  投标人须知前附表</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_Toc5362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_Toc12580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28"/>
          <w:sz w:val="24"/>
          <w:szCs w:val="24"/>
          <w:highlight w:val="none"/>
        </w:rPr>
        <w:t>第二部分  投标人须知</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_Toc12580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_Toc11038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一、说  明</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_Toc11038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_Toc15856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1.适用范围</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_Toc15856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_Toc32235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2.采购方式、合格的投标人</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_Toc32235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_Toc9360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3.磋商费用</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_Toc9360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_Toc19727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二、磋商文件说明</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_Toc19727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_Toc19898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4.磋商文件的构成</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_Toc19898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_Toc12015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5.磋商文件的质疑</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_Toc12015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_Toc11422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6.磋商文件的澄清、修改</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_Toc11422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_Toc11991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三、磋商响应文件的编制</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_Toc11991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_Toc22731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7.磋商响应文件的语言及度量衡单位</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_Toc22731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_Toc8644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8.磋商报价及币种</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_Toc8644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_Toc10314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9.磋商保证金</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_Toc10314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_Toc3731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10.磋商有效期</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_Toc3731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kern w:val="0"/>
          <w:sz w:val="24"/>
          <w:szCs w:val="24"/>
          <w:highlight w:val="none"/>
        </w:rPr>
      </w:pPr>
      <w:r>
        <w:rPr>
          <w:rFonts w:hint="eastAsia" w:ascii="宋体" w:hAnsi="宋体" w:eastAsia="宋体" w:cs="宋体"/>
          <w:b w:val="0"/>
          <w:bCs w:val="0"/>
          <w:i w:val="0"/>
          <w:iCs w:val="0"/>
          <w:kern w:val="0"/>
          <w:sz w:val="24"/>
          <w:szCs w:val="24"/>
          <w:highlight w:val="none"/>
        </w:rPr>
        <w:fldChar w:fldCharType="begin"/>
      </w:r>
      <w:r>
        <w:rPr>
          <w:rFonts w:hint="eastAsia" w:ascii="宋体" w:hAnsi="宋体" w:eastAsia="宋体" w:cs="宋体"/>
          <w:b w:val="0"/>
          <w:bCs w:val="0"/>
          <w:i w:val="0"/>
          <w:iCs w:val="0"/>
          <w:kern w:val="0"/>
          <w:sz w:val="24"/>
          <w:szCs w:val="24"/>
          <w:highlight w:val="none"/>
        </w:rPr>
        <w:instrText xml:space="preserve"> HYPERLINK \l _Toc21402 </w:instrText>
      </w:r>
      <w:r>
        <w:rPr>
          <w:rFonts w:hint="eastAsia" w:ascii="宋体" w:hAnsi="宋体" w:eastAsia="宋体" w:cs="宋体"/>
          <w:b w:val="0"/>
          <w:bCs w:val="0"/>
          <w:i w:val="0"/>
          <w:iCs w:val="0"/>
          <w:kern w:val="0"/>
          <w:sz w:val="24"/>
          <w:szCs w:val="24"/>
          <w:highlight w:val="none"/>
        </w:rPr>
        <w:fldChar w:fldCharType="separate"/>
      </w:r>
      <w:r>
        <w:rPr>
          <w:rFonts w:hint="eastAsia" w:ascii="宋体" w:hAnsi="宋体" w:eastAsia="宋体" w:cs="宋体"/>
          <w:b w:val="0"/>
          <w:bCs w:val="0"/>
          <w:i w:val="0"/>
          <w:iCs w:val="0"/>
          <w:kern w:val="0"/>
          <w:sz w:val="24"/>
          <w:szCs w:val="24"/>
          <w:highlight w:val="none"/>
          <w:lang w:val="zh-CN"/>
        </w:rPr>
        <w:t>11.磋商响应文件构成</w:t>
      </w:r>
      <w:r>
        <w:rPr>
          <w:rFonts w:hint="eastAsia" w:ascii="宋体" w:hAnsi="宋体" w:eastAsia="宋体" w:cs="宋体"/>
          <w:b w:val="0"/>
          <w:bCs w:val="0"/>
          <w:i w:val="0"/>
          <w:iCs w:val="0"/>
          <w:kern w:val="0"/>
          <w:sz w:val="24"/>
          <w:szCs w:val="24"/>
          <w:highlight w:val="none"/>
        </w:rPr>
        <w:tab/>
      </w:r>
      <w:r>
        <w:rPr>
          <w:rFonts w:hint="eastAsia" w:ascii="宋体" w:hAnsi="宋体" w:eastAsia="宋体" w:cs="宋体"/>
          <w:b w:val="0"/>
          <w:bCs w:val="0"/>
          <w:i w:val="0"/>
          <w:iCs w:val="0"/>
          <w:kern w:val="0"/>
          <w:sz w:val="24"/>
          <w:szCs w:val="24"/>
          <w:highlight w:val="none"/>
        </w:rPr>
        <w:fldChar w:fldCharType="begin"/>
      </w:r>
      <w:r>
        <w:rPr>
          <w:rFonts w:hint="eastAsia" w:ascii="宋体" w:hAnsi="宋体" w:eastAsia="宋体" w:cs="宋体"/>
          <w:b w:val="0"/>
          <w:bCs w:val="0"/>
          <w:i w:val="0"/>
          <w:iCs w:val="0"/>
          <w:kern w:val="0"/>
          <w:sz w:val="24"/>
          <w:szCs w:val="24"/>
          <w:highlight w:val="none"/>
        </w:rPr>
        <w:instrText xml:space="preserve"> PAGEREF _Toc21402 \h </w:instrText>
      </w:r>
      <w:r>
        <w:rPr>
          <w:rFonts w:hint="eastAsia" w:ascii="宋体" w:hAnsi="宋体" w:eastAsia="宋体" w:cs="宋体"/>
          <w:b w:val="0"/>
          <w:bCs w:val="0"/>
          <w:i w:val="0"/>
          <w:iCs w:val="0"/>
          <w:kern w:val="0"/>
          <w:sz w:val="24"/>
          <w:szCs w:val="24"/>
          <w:highlight w:val="none"/>
        </w:rPr>
        <w:fldChar w:fldCharType="separate"/>
      </w:r>
      <w:r>
        <w:rPr>
          <w:rFonts w:hint="eastAsia" w:ascii="宋体" w:hAnsi="宋体" w:eastAsia="宋体" w:cs="宋体"/>
          <w:b w:val="0"/>
          <w:bCs w:val="0"/>
          <w:i w:val="0"/>
          <w:iCs w:val="0"/>
          <w:kern w:val="0"/>
          <w:sz w:val="24"/>
          <w:szCs w:val="24"/>
          <w:highlight w:val="none"/>
        </w:rPr>
        <w:t>8</w:t>
      </w:r>
      <w:r>
        <w:rPr>
          <w:rFonts w:hint="eastAsia" w:ascii="宋体" w:hAnsi="宋体" w:eastAsia="宋体" w:cs="宋体"/>
          <w:b w:val="0"/>
          <w:bCs w:val="0"/>
          <w:i w:val="0"/>
          <w:iCs w:val="0"/>
          <w:kern w:val="0"/>
          <w:sz w:val="24"/>
          <w:szCs w:val="24"/>
          <w:highlight w:val="none"/>
        </w:rPr>
        <w:fldChar w:fldCharType="end"/>
      </w:r>
      <w:r>
        <w:rPr>
          <w:rFonts w:hint="eastAsia" w:ascii="宋体" w:hAnsi="宋体" w:eastAsia="宋体" w:cs="宋体"/>
          <w:b w:val="0"/>
          <w:bCs w:val="0"/>
          <w:i w:val="0"/>
          <w:iCs w:val="0"/>
          <w:kern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_Toc11411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_Toc14953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12.响应文件编制要求</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_Toc14953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_Toc21459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四、磋商响应文件的递交</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_Toc21459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_Toc22338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13.响应文件的密封和标记</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_Toc22338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_Toc21660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14.递交磋商响应文件程序</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_Toc21660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_Toc8588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五、资格审查程序及方法</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_Toc8588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_Toc6131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15. 资格审查程序</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_Toc6131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_Toc22662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16.资格审查不通过的情形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_Toc22662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_Toc14631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六、磋商程序及方法</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_Toc14631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_Toc18215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17.磋商小组</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_Toc18215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11</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_Toc2217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18.磋商工作程序</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_Toc2217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11</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_Toc20498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19.答疑的方式和情形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_Toc20498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12</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_Toc10942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20.评审办法</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_Toc10942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_Toc18931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七、成交办法</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_Toc18931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_Toc22746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21.推荐并确定成交供应商</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_Toc22746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_Toc14339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22.成交通知</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_Toc14339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_Toc17049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八、授予合同</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_Toc17049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_Toc1936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23.签订合同</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_Toc1936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_Toc13234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九、串通投标的认定及处理办法</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_Toc13234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_Toc682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24.串通投标的情形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_Toc682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_Toc3674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十、磋商活动终止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_Toc3674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2"/>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_Toc26991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25. 终止情形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_Toc26991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_Toc26099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十一、 处罚</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_Toc26099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_Toc28301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26.处罚情形</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_Toc28301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_Toc9211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0"/>
          <w:sz w:val="24"/>
          <w:szCs w:val="24"/>
          <w:highlight w:val="none"/>
        </w:rPr>
        <w:t>十二、其他</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_Toc9211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19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_Toc30959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28"/>
          <w:sz w:val="24"/>
          <w:szCs w:val="24"/>
          <w:highlight w:val="none"/>
        </w:rPr>
        <w:t>第三部分  青海省政府采购项目合同书范本</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_Toc30959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20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_Toc12804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28"/>
          <w:sz w:val="24"/>
          <w:szCs w:val="24"/>
          <w:highlight w:val="none"/>
        </w:rPr>
        <w:t>第四部分  磋商响应文件格式</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_Toc12804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_Toc32454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28"/>
          <w:sz w:val="24"/>
          <w:szCs w:val="24"/>
          <w:highlight w:val="none"/>
        </w:rPr>
        <w:t>磋商响应文件的组成</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_Toc32454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_Toc32624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附件1：磋商函</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_Toc32624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35</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_Toc1554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附件2：法定代表人证明书</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_Toc1554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_Toc24577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附件3：法定代表人授权书</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_Toc24577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_Toc12707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附件4：供应商承诺函</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_Toc12707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_Toc25502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附件5：供应商诚信承诺书</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_Toc25502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39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_Toc18809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附件6：供应商资格证明</w:t>
      </w:r>
      <w:r>
        <w:rPr>
          <w:rFonts w:hint="eastAsia" w:ascii="宋体" w:hAnsi="宋体" w:eastAsia="宋体" w:cs="宋体"/>
          <w:b w:val="0"/>
          <w:bCs w:val="0"/>
          <w:i w:val="0"/>
          <w:iCs w:val="0"/>
          <w:sz w:val="24"/>
          <w:szCs w:val="24"/>
          <w:highlight w:val="none"/>
          <w:lang w:eastAsia="zh-CN"/>
        </w:rPr>
        <w:t>材料</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_Toc18809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_Toc4915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附件7：财务状况、缴纳税收和社会保障资金证明</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_Toc4915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41</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_Toc14354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附件8：无重大违法记录声明</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_Toc14354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42</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_Toc10116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lang w:val="en-US" w:eastAsia="zh-CN"/>
        </w:rPr>
        <w:t>附件9：</w:t>
      </w:r>
      <w:r>
        <w:rPr>
          <w:rFonts w:hint="eastAsia" w:ascii="宋体" w:hAnsi="宋体" w:eastAsia="宋体" w:cs="宋体"/>
          <w:b w:val="0"/>
          <w:bCs w:val="0"/>
          <w:i w:val="0"/>
          <w:iCs w:val="0"/>
          <w:sz w:val="24"/>
          <w:szCs w:val="24"/>
          <w:highlight w:val="none"/>
          <w:lang w:val="zh-CN" w:eastAsia="zh-CN"/>
        </w:rPr>
        <w:t>具备履行合同所必需的设备和专业技术能力的证明材料</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_Toc10116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_Toc21106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w:t>
      </w:r>
      <w:r>
        <w:rPr>
          <w:rFonts w:hint="eastAsia" w:ascii="宋体" w:hAnsi="宋体" w:eastAsia="宋体" w:cs="宋体"/>
          <w:b w:val="0"/>
          <w:bCs w:val="0"/>
          <w:i w:val="0"/>
          <w:iCs w:val="0"/>
          <w:sz w:val="24"/>
          <w:szCs w:val="24"/>
          <w:highlight w:val="none"/>
          <w:lang w:val="en-US" w:eastAsia="zh-CN"/>
        </w:rPr>
        <w:t>10</w:t>
      </w:r>
      <w:r>
        <w:rPr>
          <w:rFonts w:hint="eastAsia" w:ascii="宋体" w:hAnsi="宋体" w:eastAsia="宋体" w:cs="宋体"/>
          <w:b w:val="0"/>
          <w:bCs w:val="0"/>
          <w:i w:val="0"/>
          <w:iCs w:val="0"/>
          <w:sz w:val="24"/>
          <w:szCs w:val="24"/>
          <w:highlight w:val="none"/>
        </w:rPr>
        <w:t>：竞争性磋商首次报价表</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_Toc21106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45</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_Toc27526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rPr>
        <w:t>：服务响应表</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_Toc27526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46</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_Toc415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rPr>
        <w:t>：其他资格证明材料</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_Toc415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47</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_Toc20106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3</w:t>
      </w:r>
      <w:r>
        <w:rPr>
          <w:rFonts w:hint="eastAsia" w:ascii="宋体" w:hAnsi="宋体" w:eastAsia="宋体" w:cs="宋体"/>
          <w:b w:val="0"/>
          <w:bCs w:val="0"/>
          <w:i w:val="0"/>
          <w:iCs w:val="0"/>
          <w:sz w:val="24"/>
          <w:szCs w:val="24"/>
          <w:highlight w:val="none"/>
        </w:rPr>
        <w:t>：服务方案</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_Toc20106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48</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_Toc24724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4</w:t>
      </w:r>
      <w:r>
        <w:rPr>
          <w:rFonts w:hint="eastAsia" w:ascii="宋体" w:hAnsi="宋体" w:eastAsia="宋体" w:cs="宋体"/>
          <w:b w:val="0"/>
          <w:bCs w:val="0"/>
          <w:i w:val="0"/>
          <w:iCs w:val="0"/>
          <w:sz w:val="24"/>
          <w:szCs w:val="24"/>
          <w:highlight w:val="none"/>
        </w:rPr>
        <w:t>：供应商类似业绩证明材料</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_Toc24724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49</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_Toc3267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rPr>
        <w:t>：中小企业声明函</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_Toc3267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50</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_Toc15166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6</w:t>
      </w:r>
      <w:r>
        <w:rPr>
          <w:rFonts w:hint="eastAsia" w:ascii="宋体" w:hAnsi="宋体" w:eastAsia="宋体" w:cs="宋体"/>
          <w:b w:val="0"/>
          <w:bCs w:val="0"/>
          <w:i w:val="0"/>
          <w:iCs w:val="0"/>
          <w:sz w:val="24"/>
          <w:szCs w:val="24"/>
          <w:highlight w:val="none"/>
        </w:rPr>
        <w:t>：残疾人福利性单位声明函</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_Toc15166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51</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_Toc18665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7</w:t>
      </w:r>
      <w:r>
        <w:rPr>
          <w:rFonts w:hint="eastAsia" w:ascii="宋体" w:hAnsi="宋体" w:eastAsia="宋体" w:cs="宋体"/>
          <w:b w:val="0"/>
          <w:bCs w:val="0"/>
          <w:i w:val="0"/>
          <w:iCs w:val="0"/>
          <w:sz w:val="24"/>
          <w:szCs w:val="24"/>
          <w:highlight w:val="none"/>
        </w:rPr>
        <w:t>：从业人员声明函</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_Toc18665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52</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20"/>
        <w:tabs>
          <w:tab w:val="right" w:leader="dot" w:pos="8787"/>
          <w:tab w:val="clear" w:pos="877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_Toc32262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附件1</w:t>
      </w:r>
      <w:r>
        <w:rPr>
          <w:rFonts w:hint="eastAsia" w:ascii="宋体" w:hAnsi="宋体" w:eastAsia="宋体" w:cs="宋体"/>
          <w:b w:val="0"/>
          <w:bCs w:val="0"/>
          <w:i w:val="0"/>
          <w:iCs w:val="0"/>
          <w:sz w:val="24"/>
          <w:szCs w:val="24"/>
          <w:highlight w:val="none"/>
          <w:lang w:val="en-US" w:eastAsia="zh-CN"/>
        </w:rPr>
        <w:t>8</w:t>
      </w:r>
      <w:r>
        <w:rPr>
          <w:rFonts w:hint="eastAsia" w:ascii="宋体" w:hAnsi="宋体" w:eastAsia="宋体" w:cs="宋体"/>
          <w:b w:val="0"/>
          <w:bCs w:val="0"/>
          <w:i w:val="0"/>
          <w:iCs w:val="0"/>
          <w:sz w:val="24"/>
          <w:szCs w:val="24"/>
          <w:highlight w:val="none"/>
        </w:rPr>
        <w:t>：供应商认为在其他方面有必要说明的事项</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_Toc32262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53</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rFonts w:hint="eastAsia" w:ascii="宋体" w:hAnsi="宋体" w:eastAsia="宋体" w:cs="宋体"/>
          <w:b w:val="0"/>
          <w:bCs w:val="0"/>
          <w:i w:val="0"/>
          <w:iCs w:val="0"/>
          <w:sz w:val="24"/>
          <w:szCs w:val="24"/>
          <w:highlight w:val="none"/>
        </w:rPr>
      </w:pP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HYPERLINK \l _Toc2055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kern w:val="28"/>
          <w:sz w:val="24"/>
          <w:szCs w:val="24"/>
          <w:highlight w:val="none"/>
        </w:rPr>
        <w:t>第五部分  磋商及采购项目内容要求</w:t>
      </w:r>
      <w:r>
        <w:rPr>
          <w:rFonts w:hint="eastAsia" w:ascii="宋体" w:hAnsi="宋体" w:eastAsia="宋体" w:cs="宋体"/>
          <w:b w:val="0"/>
          <w:bCs w:val="0"/>
          <w:i w:val="0"/>
          <w:iCs w:val="0"/>
          <w:sz w:val="24"/>
          <w:szCs w:val="24"/>
          <w:highlight w:val="none"/>
        </w:rPr>
        <w:tab/>
      </w:r>
      <w:r>
        <w:rPr>
          <w:rFonts w:hint="eastAsia" w:ascii="宋体" w:hAnsi="宋体" w:eastAsia="宋体" w:cs="宋体"/>
          <w:b w:val="0"/>
          <w:bCs w:val="0"/>
          <w:i w:val="0"/>
          <w:iCs w:val="0"/>
          <w:sz w:val="24"/>
          <w:szCs w:val="24"/>
          <w:highlight w:val="none"/>
        </w:rPr>
        <w:fldChar w:fldCharType="begin"/>
      </w:r>
      <w:r>
        <w:rPr>
          <w:rFonts w:hint="eastAsia" w:ascii="宋体" w:hAnsi="宋体" w:eastAsia="宋体" w:cs="宋体"/>
          <w:b w:val="0"/>
          <w:bCs w:val="0"/>
          <w:i w:val="0"/>
          <w:iCs w:val="0"/>
          <w:sz w:val="24"/>
          <w:szCs w:val="24"/>
          <w:highlight w:val="none"/>
        </w:rPr>
        <w:instrText xml:space="preserve"> PAGEREF _Toc2055 \h </w:instrText>
      </w:r>
      <w:r>
        <w:rPr>
          <w:rFonts w:hint="eastAsia" w:ascii="宋体" w:hAnsi="宋体" w:eastAsia="宋体" w:cs="宋体"/>
          <w:b w:val="0"/>
          <w:bCs w:val="0"/>
          <w:i w:val="0"/>
          <w:iCs w:val="0"/>
          <w:sz w:val="24"/>
          <w:szCs w:val="24"/>
          <w:highlight w:val="none"/>
        </w:rPr>
        <w:fldChar w:fldCharType="separate"/>
      </w:r>
      <w:r>
        <w:rPr>
          <w:rFonts w:hint="eastAsia" w:ascii="宋体" w:hAnsi="宋体" w:eastAsia="宋体" w:cs="宋体"/>
          <w:b w:val="0"/>
          <w:bCs w:val="0"/>
          <w:i w:val="0"/>
          <w:iCs w:val="0"/>
          <w:sz w:val="24"/>
          <w:szCs w:val="24"/>
          <w:highlight w:val="none"/>
        </w:rPr>
        <w:t>55</w:t>
      </w:r>
      <w:r>
        <w:rPr>
          <w:rFonts w:hint="eastAsia" w:ascii="宋体" w:hAnsi="宋体" w:eastAsia="宋体" w:cs="宋体"/>
          <w:b w:val="0"/>
          <w:bCs w:val="0"/>
          <w:i w:val="0"/>
          <w:iCs w:val="0"/>
          <w:sz w:val="24"/>
          <w:szCs w:val="24"/>
          <w:highlight w:val="none"/>
        </w:rPr>
        <w:fldChar w:fldCharType="end"/>
      </w:r>
      <w:r>
        <w:rPr>
          <w:rFonts w:hint="eastAsia" w:ascii="宋体" w:hAnsi="宋体" w:eastAsia="宋体" w:cs="宋体"/>
          <w:b w:val="0"/>
          <w:bCs w:val="0"/>
          <w:i w:val="0"/>
          <w:iCs w:val="0"/>
          <w:sz w:val="24"/>
          <w:szCs w:val="24"/>
          <w:highlight w:val="none"/>
        </w:rPr>
        <w:fldChar w:fldCharType="end"/>
      </w:r>
    </w:p>
    <w:p>
      <w:pPr>
        <w:pStyle w:val="17"/>
        <w:tabs>
          <w:tab w:val="right" w:leader="dot" w:pos="8787"/>
        </w:tabs>
        <w:rPr>
          <w:highlight w:val="none"/>
        </w:rPr>
      </w:pPr>
    </w:p>
    <w:p>
      <w:pPr>
        <w:pStyle w:val="17"/>
        <w:tabs>
          <w:tab w:val="right" w:leader="dot" w:pos="8787"/>
        </w:tabs>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highlight w:val="none"/>
        </w:rPr>
        <w:fldChar w:fldCharType="end"/>
      </w:r>
    </w:p>
    <w:p>
      <w:pPr>
        <w:pStyle w:val="2"/>
        <w:rPr>
          <w:highlight w:val="none"/>
        </w:rPr>
      </w:pPr>
      <w:bookmarkStart w:id="0" w:name="_Toc496626191"/>
      <w:bookmarkStart w:id="1" w:name="_Toc5362"/>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2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2096" w:type="dxa"/>
            <w:vAlign w:val="center"/>
          </w:tcPr>
          <w:p>
            <w:pPr>
              <w:widowControl/>
              <w:rPr>
                <w:rFonts w:ascii="宋体" w:hAnsi="宋体" w:cs="宋体"/>
                <w:kern w:val="0"/>
                <w:sz w:val="24"/>
                <w:highlight w:val="none"/>
                <w:lang w:val="zh-CN"/>
              </w:rPr>
            </w:pPr>
            <w:r>
              <w:rPr>
                <w:rFonts w:hint="eastAsia" w:ascii="宋体" w:hAnsi="宋体" w:cs="宋体"/>
                <w:kern w:val="0"/>
                <w:sz w:val="24"/>
                <w:highlight w:val="none"/>
                <w:lang w:val="zh-CN"/>
              </w:rPr>
              <w:t>采购项目名称</w:t>
            </w:r>
          </w:p>
        </w:tc>
        <w:tc>
          <w:tcPr>
            <w:tcW w:w="6423" w:type="dxa"/>
            <w:vAlign w:val="center"/>
          </w:tcPr>
          <w:p>
            <w:pPr>
              <w:widowControl/>
              <w:rPr>
                <w:rFonts w:ascii="宋体" w:hAnsi="宋体" w:cs="宋体"/>
                <w:kern w:val="0"/>
                <w:sz w:val="24"/>
                <w:highlight w:val="none"/>
                <w:lang w:val="zh-CN"/>
              </w:rPr>
            </w:pPr>
            <w:r>
              <w:rPr>
                <w:rFonts w:hint="eastAsia" w:ascii="宋体" w:hAnsi="宋体" w:cs="宋体"/>
                <w:kern w:val="0"/>
                <w:sz w:val="24"/>
                <w:highlight w:val="none"/>
                <w:lang w:val="zh-CN"/>
              </w:rPr>
              <w:t>2024年西宁市残疾人“师带徒”培训项目（第二次）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采购项目编号</w:t>
            </w:r>
          </w:p>
        </w:tc>
        <w:tc>
          <w:tcPr>
            <w:tcW w:w="6423" w:type="dxa"/>
            <w:vAlign w:val="center"/>
          </w:tcPr>
          <w:p>
            <w:pPr>
              <w:widowControl/>
              <w:rPr>
                <w:rFonts w:hint="eastAsia" w:ascii="宋体" w:eastAsia="宋体" w:cs="宋体"/>
                <w:kern w:val="0"/>
                <w:sz w:val="24"/>
                <w:highlight w:val="none"/>
                <w:lang w:eastAsia="zh-CN"/>
              </w:rPr>
            </w:pPr>
            <w:r>
              <w:rPr>
                <w:rFonts w:hint="eastAsia" w:ascii="宋体" w:cs="宋体"/>
                <w:kern w:val="0"/>
                <w:sz w:val="24"/>
                <w:highlight w:val="none"/>
                <w:lang w:eastAsia="zh-CN"/>
              </w:rPr>
              <w:t>青海浩驰磋商（服务）2024-045号（第二次）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采购方式</w:t>
            </w:r>
          </w:p>
        </w:tc>
        <w:tc>
          <w:tcPr>
            <w:tcW w:w="6423" w:type="dxa"/>
            <w:vAlign w:val="center"/>
          </w:tcPr>
          <w:p>
            <w:pPr>
              <w:widowControl/>
              <w:rPr>
                <w:rFonts w:ascii="宋体" w:cs="宋体"/>
                <w:kern w:val="0"/>
                <w:sz w:val="24"/>
                <w:highlight w:val="none"/>
              </w:rPr>
            </w:pPr>
            <w:r>
              <w:rPr>
                <w:rFonts w:hint="eastAsia" w:ascii="宋体" w:hAnsi="宋体" w:cs="宋体"/>
                <w:kern w:val="0"/>
                <w:sz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采购预算额度</w:t>
            </w:r>
          </w:p>
        </w:tc>
        <w:tc>
          <w:tcPr>
            <w:tcW w:w="6423" w:type="dxa"/>
            <w:vAlign w:val="center"/>
          </w:tcPr>
          <w:p>
            <w:pPr>
              <w:widowControl/>
              <w:rPr>
                <w:rFonts w:ascii="宋体" w:cs="宋体"/>
                <w:kern w:val="0"/>
                <w:sz w:val="24"/>
                <w:highlight w:val="none"/>
              </w:rPr>
            </w:pPr>
            <w:r>
              <w:rPr>
                <w:rFonts w:hint="eastAsia" w:ascii="宋体" w:cs="宋体"/>
                <w:kern w:val="0"/>
                <w:sz w:val="24"/>
                <w:highlight w:val="none"/>
                <w:lang w:val="en-US" w:eastAsia="zh-CN"/>
              </w:rPr>
              <w:t>64.8</w:t>
            </w:r>
            <w:r>
              <w:rPr>
                <w:rFonts w:hint="eastAsia" w:ascii="宋体" w:cs="宋体"/>
                <w:kern w:val="0"/>
                <w:sz w:val="24"/>
                <w:highlight w:val="none"/>
              </w:rPr>
              <w:t>万元（包1：45.36万元、包3:19.44万元）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项目分包个数</w:t>
            </w:r>
          </w:p>
        </w:tc>
        <w:tc>
          <w:tcPr>
            <w:tcW w:w="6423" w:type="dxa"/>
            <w:vAlign w:val="center"/>
          </w:tcPr>
          <w:p>
            <w:pPr>
              <w:widowControl/>
              <w:rPr>
                <w:rFonts w:ascii="宋体" w:cs="宋体"/>
                <w:kern w:val="0"/>
                <w:sz w:val="24"/>
                <w:highlight w:val="none"/>
              </w:rPr>
            </w:pPr>
            <w:r>
              <w:rPr>
                <w:rFonts w:hint="eastAsia" w:ascii="宋体" w:hAnsi="宋体" w:cs="宋体"/>
                <w:kern w:val="0"/>
                <w:sz w:val="24"/>
                <w:highlight w:val="none"/>
                <w:lang w:val="en-US" w:eastAsia="zh-CN"/>
              </w:rPr>
              <w:t>分两个</w:t>
            </w:r>
            <w:r>
              <w:rPr>
                <w:rFonts w:hint="eastAsia" w:ascii="宋体" w:hAnsi="宋体" w:cs="宋体"/>
                <w:kern w:val="0"/>
                <w:sz w:val="24"/>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采购要求</w:t>
            </w:r>
          </w:p>
        </w:tc>
        <w:tc>
          <w:tcPr>
            <w:tcW w:w="6423" w:type="dxa"/>
            <w:vAlign w:val="center"/>
          </w:tcPr>
          <w:p>
            <w:pPr>
              <w:pStyle w:val="46"/>
              <w:spacing w:before="156" w:after="156" w:line="240" w:lineRule="auto"/>
              <w:jc w:val="both"/>
              <w:rPr>
                <w:kern w:val="16"/>
                <w:sz w:val="24"/>
                <w:szCs w:val="24"/>
                <w:highlight w:val="none"/>
                <w:lang w:eastAsia="zh-CN"/>
              </w:rPr>
            </w:pPr>
            <w:r>
              <w:rPr>
                <w:rFonts w:hint="eastAsia"/>
                <w:kern w:val="16"/>
                <w:sz w:val="24"/>
                <w:szCs w:val="24"/>
                <w:highlight w:val="none"/>
                <w:lang w:eastAsia="zh-CN"/>
              </w:rPr>
              <w:t>具体</w:t>
            </w:r>
            <w:r>
              <w:rPr>
                <w:rFonts w:hint="eastAsia"/>
                <w:b w:val="0"/>
                <w:bCs w:val="0"/>
                <w:kern w:val="16"/>
                <w:sz w:val="24"/>
                <w:szCs w:val="24"/>
                <w:highlight w:val="none"/>
                <w:lang w:eastAsia="zh-CN"/>
              </w:rPr>
              <w:t>要求详</w:t>
            </w:r>
            <w:r>
              <w:rPr>
                <w:rFonts w:hint="eastAsia"/>
                <w:kern w:val="16"/>
                <w:sz w:val="24"/>
                <w:szCs w:val="24"/>
                <w:highlight w:val="none"/>
                <w:lang w:eastAsia="zh-CN"/>
              </w:rPr>
              <w:t>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供应商资格条件</w:t>
            </w:r>
          </w:p>
        </w:tc>
        <w:tc>
          <w:tcPr>
            <w:tcW w:w="6423" w:type="dxa"/>
            <w:vAlign w:val="center"/>
          </w:tcPr>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(1) 符合《政府采购法》第22条条件，并提供下列材料：</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&lt;1&gt;投标人的营业执照等证明文件，自然人的身份证明。</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&lt;2&gt;财务状况报告，依法缴纳税收和社会保障资金的相关材料。</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&lt;3&gt;具备履行合同所必需的设备和专业技术能力的证明材料。</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&lt;4&gt;参加政府采购活动前3年内在经营活动中没有重大违法记录的书面声明。</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&lt;5&gt;具备法律、行政法规规定的其他条件的证明材料。</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rFonts w:hint="eastAsia" w:ascii="宋体" w:hAnsi="宋体" w:eastAsia="宋体" w:cs="宋体"/>
                <w:kern w:val="16"/>
                <w:sz w:val="24"/>
                <w:szCs w:val="24"/>
                <w:highlight w:val="none"/>
                <w:lang w:val="zh-CN" w:eastAsia="zh-CN" w:bidi="ar-SA"/>
              </w:rPr>
            </w:pPr>
            <w:r>
              <w:rPr>
                <w:rFonts w:hint="eastAsia" w:ascii="宋体" w:hAnsi="宋体" w:eastAsia="宋体" w:cs="宋体"/>
                <w:kern w:val="16"/>
                <w:sz w:val="24"/>
                <w:szCs w:val="24"/>
                <w:highlight w:val="none"/>
                <w:lang w:val="zh-CN" w:eastAsia="zh-CN" w:bidi="ar-SA"/>
              </w:rPr>
              <w:t>(4) 本项目不接受投标人以联合体方式进行投标；</w:t>
            </w:r>
          </w:p>
          <w:p>
            <w:pPr>
              <w:autoSpaceDE w:val="0"/>
              <w:autoSpaceDN w:val="0"/>
              <w:spacing w:line="360" w:lineRule="auto"/>
              <w:ind w:firstLine="0" w:firstLineChars="0"/>
              <w:rPr>
                <w:rFonts w:hint="default" w:ascii="宋体" w:hAnsi="宋体" w:eastAsia="宋体" w:cs="宋体"/>
                <w:kern w:val="16"/>
                <w:sz w:val="24"/>
                <w:szCs w:val="24"/>
                <w:highlight w:val="none"/>
                <w:lang w:val="en-US" w:eastAsia="zh-CN" w:bidi="ar-SA"/>
              </w:rPr>
            </w:pPr>
            <w:r>
              <w:rPr>
                <w:rFonts w:hint="eastAsia" w:ascii="宋体" w:hAnsi="宋体" w:eastAsia="宋体" w:cs="宋体"/>
                <w:kern w:val="16"/>
                <w:sz w:val="24"/>
                <w:szCs w:val="24"/>
                <w:highlight w:val="none"/>
                <w:lang w:val="zh-CN" w:eastAsia="zh-CN" w:bidi="ar-SA"/>
              </w:rPr>
              <w:t>(5)</w:t>
            </w:r>
            <w:r>
              <w:rPr>
                <w:rFonts w:hint="eastAsia" w:ascii="宋体" w:hAnsi="宋体" w:eastAsia="宋体" w:cs="宋体"/>
                <w:kern w:val="16"/>
                <w:sz w:val="24"/>
                <w:szCs w:val="24"/>
                <w:highlight w:val="none"/>
                <w:lang w:val="en-US" w:eastAsia="zh-CN" w:bidi="ar-SA"/>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公告发布时间</w:t>
            </w:r>
          </w:p>
        </w:tc>
        <w:tc>
          <w:tcPr>
            <w:tcW w:w="6423" w:type="dxa"/>
            <w:vAlign w:val="center"/>
          </w:tcPr>
          <w:p>
            <w:pPr>
              <w:widowControl/>
              <w:rPr>
                <w:rFonts w:ascii="宋体" w:cs="宋体"/>
                <w:kern w:val="0"/>
                <w:sz w:val="24"/>
                <w:highlight w:val="none"/>
              </w:rPr>
            </w:pP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6423" w:type="dxa"/>
            <w:vAlign w:val="center"/>
          </w:tcPr>
          <w:p>
            <w:pPr>
              <w:widowControl/>
              <w:rPr>
                <w:rFonts w:ascii="宋体" w:cs="宋体"/>
                <w:kern w:val="0"/>
                <w:sz w:val="24"/>
                <w:highlight w:val="none"/>
              </w:rPr>
            </w:pP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日起，至</w:t>
            </w: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96" w:type="dxa"/>
            <w:vAlign w:val="center"/>
          </w:tcPr>
          <w:p>
            <w:pPr>
              <w:widowControl/>
              <w:rPr>
                <w:rFonts w:ascii="宋体" w:cs="宋体"/>
                <w:kern w:val="0"/>
                <w:sz w:val="24"/>
                <w:highlight w:val="none"/>
              </w:rPr>
            </w:pPr>
            <w:r>
              <w:rPr>
                <w:rFonts w:hint="eastAsia" w:ascii="宋体" w:hAnsi="宋体" w:cs="宋体"/>
                <w:sz w:val="24"/>
                <w:highlight w:val="none"/>
              </w:rPr>
              <w:t>磋商文件发售方式</w:t>
            </w:r>
          </w:p>
        </w:tc>
        <w:tc>
          <w:tcPr>
            <w:tcW w:w="6423" w:type="dxa"/>
            <w:vAlign w:val="center"/>
          </w:tcPr>
          <w:p>
            <w:pPr>
              <w:autoSpaceDE w:val="0"/>
              <w:autoSpaceDN w:val="0"/>
              <w:rPr>
                <w:rFonts w:ascii="宋体" w:cs="宋体"/>
                <w:kern w:val="0"/>
                <w:sz w:val="24"/>
                <w:highlight w:val="none"/>
              </w:rPr>
            </w:pPr>
            <w:r>
              <w:rPr>
                <w:rFonts w:hint="eastAsia" w:ascii="宋体" w:hAnsi="宋体" w:cs="宋体"/>
                <w:b/>
                <w:bCs/>
                <w:kern w:val="0"/>
                <w:sz w:val="24"/>
                <w:highlight w:val="none"/>
                <w:lang w:val="zh-CN"/>
              </w:rPr>
              <w:t>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lang w:eastAsia="zh-CN"/>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096" w:type="dxa"/>
            <w:vAlign w:val="center"/>
          </w:tcPr>
          <w:p>
            <w:pPr>
              <w:widowControl/>
              <w:rPr>
                <w:rFonts w:ascii="宋体" w:cs="宋体"/>
                <w:kern w:val="0"/>
                <w:sz w:val="24"/>
                <w:highlight w:val="none"/>
              </w:rPr>
            </w:pPr>
            <w:r>
              <w:rPr>
                <w:rFonts w:hint="eastAsia" w:ascii="宋体" w:hAnsi="宋体" w:cs="宋体"/>
                <w:sz w:val="24"/>
                <w:highlight w:val="none"/>
              </w:rPr>
              <w:t>磋商文件售价</w:t>
            </w:r>
          </w:p>
        </w:tc>
        <w:tc>
          <w:tcPr>
            <w:tcW w:w="6423" w:type="dxa"/>
            <w:vAlign w:val="center"/>
          </w:tcPr>
          <w:p>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磋商文件发售地点</w:t>
            </w:r>
          </w:p>
        </w:tc>
        <w:tc>
          <w:tcPr>
            <w:tcW w:w="6423" w:type="dxa"/>
            <w:vAlign w:val="center"/>
          </w:tcPr>
          <w:p>
            <w:pPr>
              <w:autoSpaceDE w:val="0"/>
              <w:autoSpaceDN w:val="0"/>
              <w:spacing w:line="240" w:lineRule="auto"/>
              <w:rPr>
                <w:rFonts w:hint="eastAsia" w:ascii="宋体" w:cs="宋体"/>
                <w:b/>
                <w:bCs/>
                <w:kern w:val="0"/>
                <w:sz w:val="24"/>
                <w:szCs w:val="24"/>
                <w:highlight w:val="none"/>
                <w:lang w:val="zh-CN"/>
              </w:rPr>
            </w:pPr>
            <w:r>
              <w:rPr>
                <w:rFonts w:hint="eastAsia" w:ascii="宋体" w:cs="宋体"/>
                <w:b/>
                <w:bCs/>
                <w:kern w:val="0"/>
                <w:sz w:val="24"/>
                <w:szCs w:val="24"/>
                <w:highlight w:val="none"/>
                <w:lang w:val="zh-CN"/>
              </w:rPr>
              <w:t xml:space="preserve">政采云平台线上获取 </w:t>
            </w:r>
          </w:p>
          <w:p>
            <w:pP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联系地址：青海省西宁市城西区西关大街130号1号楼13</w:t>
            </w:r>
            <w:r>
              <w:rPr>
                <w:rFonts w:hint="eastAsia" w:ascii="宋体" w:hAnsi="宋体" w:cs="宋体"/>
                <w:color w:val="auto"/>
                <w:kern w:val="0"/>
                <w:sz w:val="24"/>
                <w:szCs w:val="24"/>
                <w:highlight w:val="none"/>
                <w:lang w:val="en-US" w:eastAsia="zh-CN"/>
              </w:rPr>
              <w:t>B</w:t>
            </w:r>
            <w:r>
              <w:rPr>
                <w:rFonts w:hint="eastAsia" w:ascii="宋体" w:hAnsi="宋体" w:cs="宋体"/>
                <w:color w:val="auto"/>
                <w:kern w:val="0"/>
                <w:sz w:val="24"/>
                <w:szCs w:val="24"/>
                <w:highlight w:val="none"/>
                <w:lang w:val="zh-CN"/>
              </w:rPr>
              <w:t>-11334室</w:t>
            </w:r>
          </w:p>
          <w:p>
            <w:pP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标书购买联系人：祁先生</w:t>
            </w:r>
          </w:p>
          <w:p>
            <w:pPr>
              <w:widowControl/>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联系电话：15500502874</w:t>
            </w:r>
          </w:p>
          <w:p>
            <w:pPr>
              <w:widowControl/>
              <w:rPr>
                <w:rFonts w:ascii="宋体" w:cs="宋体"/>
                <w:kern w:val="0"/>
                <w:sz w:val="24"/>
                <w:highlight w:val="none"/>
                <w:lang w:val="zh-CN"/>
              </w:rPr>
            </w:pPr>
            <w:r>
              <w:rPr>
                <w:rFonts w:hint="eastAsia" w:ascii="宋体" w:hAnsi="宋体" w:cs="宋体"/>
                <w:color w:val="auto"/>
                <w:kern w:val="0"/>
                <w:sz w:val="24"/>
                <w:szCs w:val="24"/>
                <w:highlight w:val="none"/>
                <w:lang w:val="zh-CN"/>
              </w:rPr>
              <w:t>电子邮箱：qhhczb11@163.com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96" w:type="dxa"/>
            <w:vAlign w:val="center"/>
          </w:tcPr>
          <w:p>
            <w:pPr>
              <w:widowControl/>
              <w:rPr>
                <w:rFonts w:ascii="宋体" w:cs="宋体"/>
                <w:sz w:val="24"/>
                <w:highlight w:val="none"/>
              </w:rPr>
            </w:pPr>
            <w:r>
              <w:rPr>
                <w:rFonts w:hint="eastAsia" w:ascii="宋体" w:hAnsi="宋体" w:cs="宋体"/>
                <w:sz w:val="24"/>
                <w:highlight w:val="none"/>
              </w:rPr>
              <w:t>磋商保证金</w:t>
            </w:r>
          </w:p>
        </w:tc>
        <w:tc>
          <w:tcPr>
            <w:tcW w:w="6423" w:type="dxa"/>
            <w:vAlign w:val="center"/>
          </w:tcPr>
          <w:p>
            <w:pPr>
              <w:autoSpaceDE w:val="0"/>
              <w:autoSpaceDN w:val="0"/>
              <w:rPr>
                <w:highlight w:val="none"/>
              </w:rPr>
            </w:pPr>
            <w:r>
              <w:rPr>
                <w:rFonts w:hint="eastAsia" w:ascii="宋体" w:hAnsi="宋体" w:cs="宋体"/>
                <w:kern w:val="0"/>
                <w:sz w:val="24"/>
                <w:highlight w:val="none"/>
                <w:lang w:val="zh-CN"/>
              </w:rPr>
              <w:t>免缴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6423" w:type="dxa"/>
            <w:vAlign w:val="center"/>
          </w:tcPr>
          <w:p>
            <w:pPr>
              <w:widowControl/>
              <w:rPr>
                <w:sz w:val="24"/>
                <w:highlight w:val="none"/>
              </w:rPr>
            </w:pPr>
            <w:r>
              <w:rPr>
                <w:rFonts w:hint="eastAsia"/>
                <w:sz w:val="24"/>
                <w:highlight w:val="none"/>
                <w:lang w:eastAsia="zh-CN"/>
              </w:rPr>
              <w:t>202</w:t>
            </w:r>
            <w:r>
              <w:rPr>
                <w:rFonts w:hint="eastAsia"/>
                <w:sz w:val="24"/>
                <w:highlight w:val="none"/>
                <w:lang w:val="en-US" w:eastAsia="zh-CN"/>
              </w:rPr>
              <w:t>4</w:t>
            </w:r>
            <w:r>
              <w:rPr>
                <w:rFonts w:hint="eastAsia"/>
                <w:sz w:val="24"/>
                <w:highlight w:val="none"/>
                <w:lang w:eastAsia="zh-CN"/>
              </w:rPr>
              <w:t>年</w:t>
            </w:r>
            <w:r>
              <w:rPr>
                <w:rFonts w:hint="eastAsia"/>
                <w:sz w:val="24"/>
                <w:highlight w:val="none"/>
                <w:lang w:val="en-US" w:eastAsia="zh-CN"/>
              </w:rPr>
              <w:t>05</w:t>
            </w:r>
            <w:r>
              <w:rPr>
                <w:rFonts w:hint="eastAsia"/>
                <w:sz w:val="24"/>
                <w:highlight w:val="none"/>
                <w:lang w:eastAsia="zh-CN"/>
              </w:rPr>
              <w:t>月</w:t>
            </w:r>
            <w:r>
              <w:rPr>
                <w:rFonts w:hint="eastAsia"/>
                <w:sz w:val="24"/>
                <w:highlight w:val="none"/>
                <w:lang w:val="en-US" w:eastAsia="zh-CN"/>
              </w:rPr>
              <w:t xml:space="preserve">31 </w:t>
            </w:r>
            <w:r>
              <w:rPr>
                <w:rFonts w:hint="eastAsia"/>
                <w:sz w:val="24"/>
                <w:highlight w:val="none"/>
              </w:rPr>
              <w:t>日</w:t>
            </w:r>
            <w:r>
              <w:rPr>
                <w:rFonts w:hint="eastAsia"/>
                <w:sz w:val="24"/>
                <w:highlight w:val="none"/>
                <w:lang w:val="en-US" w:eastAsia="zh-CN"/>
              </w:rPr>
              <w:t xml:space="preserve"> 下午14</w:t>
            </w:r>
            <w:r>
              <w:rPr>
                <w:rFonts w:hint="eastAsia"/>
                <w:sz w:val="24"/>
                <w:highlight w:val="none"/>
              </w:rPr>
              <w:t>:</w:t>
            </w:r>
            <w:r>
              <w:rPr>
                <w:rFonts w:hint="eastAsia"/>
                <w:sz w:val="24"/>
                <w:highlight w:val="none"/>
                <w:lang w:val="en-US" w:eastAsia="zh-CN"/>
              </w:rPr>
              <w:t>3</w:t>
            </w:r>
            <w:r>
              <w:rPr>
                <w:rFonts w:hint="eastAsia"/>
                <w:sz w:val="24"/>
                <w:highlight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磋商时间</w:t>
            </w:r>
          </w:p>
        </w:tc>
        <w:tc>
          <w:tcPr>
            <w:tcW w:w="6423" w:type="dxa"/>
            <w:vAlign w:val="center"/>
          </w:tcPr>
          <w:p>
            <w:pPr>
              <w:widowControl/>
              <w:rPr>
                <w:rFonts w:ascii="宋体" w:cs="宋体"/>
                <w:kern w:val="0"/>
                <w:sz w:val="24"/>
                <w:highlight w:val="none"/>
              </w:rPr>
            </w:pPr>
            <w:r>
              <w:rPr>
                <w:rFonts w:hint="eastAsia"/>
                <w:sz w:val="24"/>
                <w:highlight w:val="none"/>
                <w:lang w:eastAsia="zh-CN"/>
              </w:rPr>
              <w:t>202</w:t>
            </w:r>
            <w:r>
              <w:rPr>
                <w:rFonts w:hint="eastAsia"/>
                <w:sz w:val="24"/>
                <w:highlight w:val="none"/>
                <w:lang w:val="en-US" w:eastAsia="zh-CN"/>
              </w:rPr>
              <w:t>4</w:t>
            </w:r>
            <w:r>
              <w:rPr>
                <w:rFonts w:hint="eastAsia"/>
                <w:sz w:val="24"/>
                <w:highlight w:val="none"/>
                <w:lang w:eastAsia="zh-CN"/>
              </w:rPr>
              <w:t>年</w:t>
            </w:r>
            <w:r>
              <w:rPr>
                <w:rFonts w:hint="eastAsia"/>
                <w:sz w:val="24"/>
                <w:highlight w:val="none"/>
                <w:lang w:val="en-US" w:eastAsia="zh-CN"/>
              </w:rPr>
              <w:t>05</w:t>
            </w:r>
            <w:r>
              <w:rPr>
                <w:rFonts w:hint="eastAsia"/>
                <w:sz w:val="24"/>
                <w:highlight w:val="none"/>
                <w:lang w:eastAsia="zh-CN"/>
              </w:rPr>
              <w:t>月</w:t>
            </w:r>
            <w:r>
              <w:rPr>
                <w:rFonts w:hint="eastAsia"/>
                <w:sz w:val="24"/>
                <w:highlight w:val="none"/>
                <w:lang w:val="en-US" w:eastAsia="zh-CN"/>
              </w:rPr>
              <w:t xml:space="preserve">31 </w:t>
            </w:r>
            <w:r>
              <w:rPr>
                <w:rFonts w:hint="eastAsia"/>
                <w:sz w:val="24"/>
                <w:highlight w:val="none"/>
              </w:rPr>
              <w:t>日</w:t>
            </w:r>
            <w:r>
              <w:rPr>
                <w:rFonts w:hint="eastAsia"/>
                <w:sz w:val="24"/>
                <w:highlight w:val="none"/>
                <w:lang w:val="en-US" w:eastAsia="zh-CN"/>
              </w:rPr>
              <w:t xml:space="preserve"> 下午14</w:t>
            </w:r>
            <w:r>
              <w:rPr>
                <w:sz w:val="24"/>
                <w:highlight w:val="none"/>
              </w:rPr>
              <w:t>:</w:t>
            </w:r>
            <w:r>
              <w:rPr>
                <w:rFonts w:hint="eastAsia"/>
                <w:sz w:val="24"/>
                <w:highlight w:val="none"/>
                <w:lang w:val="en-US" w:eastAsia="zh-CN"/>
              </w:rPr>
              <w:t>3</w:t>
            </w:r>
            <w:r>
              <w:rPr>
                <w:sz w:val="24"/>
                <w:highlight w:val="none"/>
              </w:rPr>
              <w:t>0</w:t>
            </w:r>
            <w:r>
              <w:rPr>
                <w:rFonts w:hint="eastAsia"/>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6423" w:type="dxa"/>
            <w:vAlign w:val="center"/>
          </w:tcPr>
          <w:p>
            <w:pPr>
              <w:widowControl/>
              <w:rPr>
                <w:sz w:val="24"/>
                <w:highlight w:val="none"/>
              </w:rPr>
            </w:pPr>
            <w:r>
              <w:rPr>
                <w:rFonts w:hint="eastAsia"/>
                <w:sz w:val="24"/>
                <w:highlight w:val="none"/>
              </w:rPr>
              <w:t>青海浩驰招标代理有限公司</w:t>
            </w:r>
          </w:p>
          <w:p>
            <w:pPr>
              <w:pStyle w:val="13"/>
              <w:rPr>
                <w:rFonts w:hint="eastAsia"/>
                <w:sz w:val="24"/>
                <w:highlight w:val="none"/>
              </w:rPr>
            </w:pPr>
            <w:r>
              <w:rPr>
                <w:rFonts w:hint="eastAsia"/>
                <w:sz w:val="24"/>
                <w:highlight w:val="none"/>
              </w:rPr>
              <w:t>地址：青海省西宁市城西区西关大街130号1号楼13</w:t>
            </w:r>
            <w:r>
              <w:rPr>
                <w:rFonts w:hint="eastAsia"/>
                <w:sz w:val="24"/>
                <w:highlight w:val="none"/>
                <w:lang w:val="en-US" w:eastAsia="zh-CN"/>
              </w:rPr>
              <w:t>A</w:t>
            </w:r>
            <w:r>
              <w:rPr>
                <w:rFonts w:hint="eastAsia"/>
                <w:sz w:val="24"/>
                <w:highlight w:val="none"/>
              </w:rPr>
              <w:t>-1133</w:t>
            </w:r>
            <w:r>
              <w:rPr>
                <w:rFonts w:hint="eastAsia"/>
                <w:sz w:val="24"/>
                <w:highlight w:val="none"/>
                <w:lang w:val="en-US" w:eastAsia="zh-CN"/>
              </w:rPr>
              <w:t>3</w:t>
            </w:r>
            <w:r>
              <w:rPr>
                <w:rFonts w:hint="eastAsia"/>
                <w:sz w:val="24"/>
                <w:highlight w:val="none"/>
              </w:rPr>
              <w:t>室</w:t>
            </w:r>
          </w:p>
          <w:p>
            <w:pPr>
              <w:pStyle w:val="13"/>
              <w:rPr>
                <w:sz w:val="24"/>
                <w:szCs w:val="24"/>
                <w:highlight w:val="none"/>
              </w:rPr>
            </w:pPr>
            <w:r>
              <w:rPr>
                <w:rFonts w:hint="eastAsia" w:hAnsi="宋体" w:cs="宋体"/>
                <w:b/>
                <w:bCs/>
                <w:color w:val="000000"/>
                <w:kern w:val="0"/>
                <w:sz w:val="24"/>
                <w:szCs w:val="24"/>
                <w:highlight w:val="none"/>
                <w:lang w:val="zh-CN"/>
              </w:rPr>
              <w:t>加密电子响应文件</w:t>
            </w:r>
            <w:r>
              <w:rPr>
                <w:rFonts w:hint="eastAsia" w:hAnsi="宋体" w:cs="宋体"/>
                <w:b/>
                <w:bCs/>
                <w:color w:val="000000"/>
                <w:kern w:val="0"/>
                <w:sz w:val="24"/>
                <w:szCs w:val="24"/>
                <w:highlight w:val="none"/>
              </w:rPr>
              <w:t>1份务必在开标截止前上传至电子开评标系统并进行线上签到，在规定的时间内进行解密。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96" w:type="dxa"/>
            <w:vAlign w:val="center"/>
          </w:tcPr>
          <w:p>
            <w:pPr>
              <w:widowControl/>
              <w:rPr>
                <w:rFonts w:ascii="宋体"/>
                <w:sz w:val="24"/>
                <w:highlight w:val="none"/>
              </w:rPr>
            </w:pPr>
            <w:r>
              <w:rPr>
                <w:rFonts w:hint="eastAsia" w:ascii="宋体" w:hAnsi="宋体"/>
                <w:sz w:val="24"/>
                <w:highlight w:val="none"/>
              </w:rPr>
              <w:t>磋商响应文件格式及编制要求</w:t>
            </w:r>
          </w:p>
        </w:tc>
        <w:tc>
          <w:tcPr>
            <w:tcW w:w="6423" w:type="dxa"/>
            <w:vAlign w:val="center"/>
          </w:tcPr>
          <w:p>
            <w:pPr>
              <w:widowControl/>
              <w:spacing w:line="320" w:lineRule="exact"/>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pPr>
              <w:widowControl/>
              <w:rPr>
                <w:rFonts w:ascii="宋体"/>
                <w:sz w:val="24"/>
                <w:highlight w:val="none"/>
              </w:rPr>
            </w:pPr>
            <w:r>
              <w:rPr>
                <w:rFonts w:hint="eastAsia" w:ascii="宋体" w:hAnsi="宋体"/>
                <w:sz w:val="24"/>
                <w:highlight w:val="none"/>
              </w:rPr>
              <w:t>按照磋商文件及线上响应文件格式要求制作电子响应文件并上传至政采云评标系统。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widowControl/>
              <w:rPr>
                <w:rFonts w:ascii="宋体"/>
                <w:sz w:val="24"/>
                <w:highlight w:val="none"/>
              </w:rPr>
            </w:pPr>
            <w:r>
              <w:rPr>
                <w:rFonts w:hint="eastAsia" w:ascii="宋体" w:hAnsi="宋体"/>
                <w:sz w:val="24"/>
                <w:highlight w:val="none"/>
              </w:rPr>
              <w:t>递交磋商响应文件程序</w:t>
            </w:r>
          </w:p>
        </w:tc>
        <w:tc>
          <w:tcPr>
            <w:tcW w:w="6423" w:type="dxa"/>
            <w:vAlign w:val="center"/>
          </w:tcPr>
          <w:p>
            <w:pPr>
              <w:widowControl/>
              <w:rPr>
                <w:rFonts w:ascii="宋体" w:cs="宋体"/>
                <w:sz w:val="24"/>
                <w:highlight w:val="none"/>
              </w:rPr>
            </w:pPr>
            <w:r>
              <w:rPr>
                <w:rFonts w:hint="eastAsia" w:ascii="宋体" w:hAnsi="宋体" w:cs="宋体"/>
                <w:sz w:val="24"/>
                <w:highlight w:val="none"/>
              </w:rPr>
              <w:t>供应商应当在磋商文件要求的截止时间前，将</w:t>
            </w:r>
            <w:r>
              <w:rPr>
                <w:rFonts w:hint="eastAsia" w:hAnsi="宋体" w:cs="宋体"/>
                <w:b/>
                <w:bCs/>
                <w:color w:val="000000"/>
                <w:kern w:val="0"/>
                <w:sz w:val="24"/>
                <w:highlight w:val="none"/>
                <w:lang w:val="zh-CN"/>
              </w:rPr>
              <w:t>加密电子投标文件</w:t>
            </w:r>
            <w:r>
              <w:rPr>
                <w:rFonts w:hint="eastAsia" w:hAnsi="宋体" w:cs="宋体"/>
                <w:b/>
                <w:bCs/>
                <w:color w:val="000000"/>
                <w:kern w:val="0"/>
                <w:sz w:val="24"/>
                <w:highlight w:val="none"/>
              </w:rPr>
              <w:t>1份务必在开标截止前上传至电子开评标系统并进行线上签到。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6423" w:type="dxa"/>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采用网上答疑。磋商供应商须提供准确的联系方式（手机和固定电话），应在规定的时间内进行答疑澄清，如在规定的时间内联系无果或未按时答疑的，视同放弃答疑。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96" w:type="dxa"/>
            <w:vAlign w:val="center"/>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6423" w:type="dxa"/>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收取对象：中标人</w:t>
            </w:r>
          </w:p>
          <w:p>
            <w:pPr>
              <w:autoSpaceDE w:val="0"/>
              <w:autoSpaceDN w:val="0"/>
              <w:adjustRightInd w:val="0"/>
              <w:jc w:val="left"/>
              <w:rPr>
                <w:rFonts w:hint="default" w:ascii="宋体" w:hAnsi="宋体" w:cs="宋体"/>
                <w:kern w:val="0"/>
                <w:sz w:val="24"/>
                <w:highlight w:val="none"/>
                <w:lang w:val="en-US" w:eastAsia="zh-CN"/>
              </w:rPr>
            </w:pPr>
            <w:r>
              <w:rPr>
                <w:rFonts w:hint="eastAsia" w:ascii="宋体" w:hAnsi="宋体" w:cs="宋体"/>
                <w:kern w:val="0"/>
                <w:sz w:val="24"/>
                <w:highlight w:val="none"/>
                <w:lang w:val="zh-CN"/>
              </w:rPr>
              <w:t>收取金额：</w:t>
            </w:r>
            <w:r>
              <w:rPr>
                <w:rFonts w:hint="eastAsia" w:ascii="宋体" w:hAnsi="宋体" w:cs="宋体"/>
                <w:kern w:val="0"/>
                <w:sz w:val="24"/>
                <w:highlight w:val="none"/>
                <w:lang w:val="en-US" w:eastAsia="zh-CN"/>
              </w:rPr>
              <w:t>按中标金额1.5%收取</w:t>
            </w:r>
          </w:p>
          <w:p>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账户：青海浩驰招标代理有限公司  </w:t>
            </w:r>
          </w:p>
          <w:p>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开户行：兴业银行股份有限公司西宁分行   </w:t>
            </w:r>
          </w:p>
          <w:p>
            <w:pPr>
              <w:autoSpaceDE w:val="0"/>
              <w:autoSpaceDN w:val="0"/>
              <w:adjustRightInd w:val="0"/>
              <w:jc w:val="left"/>
              <w:rPr>
                <w:rFonts w:hint="eastAsia" w:ascii="宋体" w:hAnsi="宋体" w:cs="宋体"/>
                <w:kern w:val="0"/>
                <w:sz w:val="24"/>
                <w:highlight w:val="none"/>
                <w:lang w:val="en-US" w:eastAsia="zh-CN"/>
              </w:rPr>
            </w:pPr>
            <w:r>
              <w:rPr>
                <w:rFonts w:hint="eastAsia" w:ascii="宋体" w:hAnsi="宋体" w:cs="宋体"/>
                <w:kern w:val="0"/>
                <w:sz w:val="24"/>
                <w:highlight w:val="none"/>
                <w:lang w:val="zh-CN"/>
              </w:rPr>
              <w:t>帐号：632010100100197890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96" w:type="dxa"/>
            <w:vAlign w:val="center"/>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6423" w:type="dxa"/>
            <w:vAlign w:val="center"/>
          </w:tcPr>
          <w:p>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96" w:type="dxa"/>
            <w:vAlign w:val="center"/>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6423" w:type="dxa"/>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96" w:type="dxa"/>
            <w:vAlign w:val="center"/>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6423" w:type="dxa"/>
          </w:tcPr>
          <w:p>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096" w:type="dxa"/>
            <w:vAlign w:val="center"/>
          </w:tcPr>
          <w:p>
            <w:pPr>
              <w:widowControl/>
              <w:rPr>
                <w:rFonts w:ascii="宋体" w:cs="宋体"/>
                <w:kern w:val="0"/>
                <w:sz w:val="24"/>
                <w:highlight w:val="none"/>
              </w:rPr>
            </w:pPr>
            <w:r>
              <w:rPr>
                <w:rFonts w:hint="eastAsia" w:ascii="宋体" w:hAnsi="宋体" w:cs="宋体"/>
                <w:kern w:val="0"/>
                <w:sz w:val="24"/>
                <w:highlight w:val="none"/>
              </w:rPr>
              <w:t>采购单位及联系人</w:t>
            </w:r>
          </w:p>
        </w:tc>
        <w:tc>
          <w:tcPr>
            <w:tcW w:w="6423" w:type="dxa"/>
            <w:vAlign w:val="center"/>
          </w:tcPr>
          <w:p>
            <w:pPr>
              <w:autoSpaceDE w:val="0"/>
              <w:autoSpaceDN w:val="0"/>
              <w:adjustRightInd w:val="0"/>
              <w:spacing w:line="240" w:lineRule="auto"/>
              <w:jc w:val="left"/>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采购人：西宁市残疾人联合会</w:t>
            </w:r>
          </w:p>
          <w:p>
            <w:pPr>
              <w:autoSpaceDE w:val="0"/>
              <w:autoSpaceDN w:val="0"/>
              <w:adjustRightInd w:val="0"/>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联系人：</w:t>
            </w:r>
            <w:r>
              <w:rPr>
                <w:rFonts w:hint="eastAsia" w:ascii="宋体" w:hAnsi="宋体" w:cs="宋体"/>
                <w:color w:val="auto"/>
                <w:kern w:val="0"/>
                <w:sz w:val="24"/>
                <w:szCs w:val="24"/>
                <w:highlight w:val="none"/>
                <w:lang w:val="en-US" w:eastAsia="zh-CN"/>
              </w:rPr>
              <w:t>孔老师、杨老师</w:t>
            </w:r>
          </w:p>
          <w:p>
            <w:pPr>
              <w:autoSpaceDE w:val="0"/>
              <w:autoSpaceDN w:val="0"/>
              <w:adjustRightInd w:val="0"/>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电</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话：</w:t>
            </w:r>
            <w:r>
              <w:rPr>
                <w:rFonts w:hint="eastAsia" w:ascii="宋体" w:hAnsi="宋体" w:cs="宋体"/>
                <w:color w:val="auto"/>
                <w:kern w:val="0"/>
                <w:sz w:val="24"/>
                <w:szCs w:val="24"/>
                <w:highlight w:val="none"/>
                <w:lang w:val="en-US" w:eastAsia="zh-CN"/>
              </w:rPr>
              <w:t>0971-6163831</w:t>
            </w:r>
          </w:p>
          <w:p>
            <w:pPr>
              <w:autoSpaceDE w:val="0"/>
              <w:autoSpaceDN w:val="0"/>
              <w:adjustRightInd w:val="0"/>
              <w:jc w:val="left"/>
              <w:rPr>
                <w:rFonts w:ascii="宋体" w:cs="宋体"/>
                <w:kern w:val="0"/>
                <w:sz w:val="24"/>
                <w:highlight w:val="none"/>
              </w:rPr>
            </w:pPr>
            <w:r>
              <w:rPr>
                <w:rFonts w:hint="eastAsia" w:ascii="宋体" w:hAnsi="宋体" w:cs="宋体"/>
                <w:color w:val="auto"/>
                <w:kern w:val="0"/>
                <w:sz w:val="24"/>
                <w:szCs w:val="24"/>
                <w:highlight w:val="none"/>
                <w:lang w:val="zh-CN"/>
              </w:rPr>
              <w:t>联系地址：西宁市城北区海湖大道体育公园向北100米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096" w:type="dxa"/>
            <w:vAlign w:val="center"/>
          </w:tcPr>
          <w:p>
            <w:pPr>
              <w:widowControl/>
              <w:rPr>
                <w:rFonts w:ascii="宋体" w:cs="宋体"/>
                <w:kern w:val="0"/>
                <w:sz w:val="24"/>
                <w:highlight w:val="none"/>
              </w:rPr>
            </w:pPr>
            <w:r>
              <w:rPr>
                <w:rFonts w:hint="eastAsia" w:ascii="宋体" w:hAnsi="宋体" w:cs="宋体"/>
                <w:sz w:val="24"/>
                <w:highlight w:val="none"/>
              </w:rPr>
              <w:t>采购代理机构及联系人电话</w:t>
            </w:r>
          </w:p>
        </w:tc>
        <w:tc>
          <w:tcPr>
            <w:tcW w:w="6423" w:type="dxa"/>
            <w:vAlign w:val="center"/>
          </w:tcPr>
          <w:p>
            <w:pPr>
              <w:autoSpaceDE w:val="0"/>
              <w:autoSpaceDN w:val="0"/>
              <w:spacing w:line="240" w:lineRule="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青海浩驰招标代理有限公司</w:t>
            </w:r>
          </w:p>
          <w:p>
            <w:pPr>
              <w:autoSpaceDE w:val="0"/>
              <w:autoSpaceDN w:val="0"/>
              <w:spacing w:line="240" w:lineRule="auto"/>
              <w:rPr>
                <w:rFonts w:asci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联系人：祁先生</w:t>
            </w:r>
          </w:p>
          <w:p>
            <w:pPr>
              <w:widowControl/>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联系电话：15500502874</w:t>
            </w:r>
          </w:p>
          <w:p>
            <w:pPr>
              <w:widowControl/>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电子邮箱：</w:t>
            </w:r>
            <w:r>
              <w:rPr>
                <w:rFonts w:hint="eastAsia" w:ascii="宋体" w:hAnsi="宋体" w:cs="宋体"/>
                <w:color w:val="auto"/>
                <w:kern w:val="0"/>
                <w:sz w:val="24"/>
                <w:szCs w:val="24"/>
                <w:highlight w:val="none"/>
                <w:lang w:val="zh-CN"/>
              </w:rPr>
              <w:fldChar w:fldCharType="begin"/>
            </w:r>
            <w:r>
              <w:rPr>
                <w:rFonts w:hint="eastAsia" w:ascii="宋体" w:hAnsi="宋体" w:cs="宋体"/>
                <w:color w:val="auto"/>
                <w:kern w:val="0"/>
                <w:sz w:val="24"/>
                <w:szCs w:val="24"/>
                <w:highlight w:val="none"/>
                <w:lang w:val="zh-CN"/>
              </w:rPr>
              <w:instrText xml:space="preserve"> HYPERLINK "mailto:qhhczb11@163.com" </w:instrText>
            </w:r>
            <w:r>
              <w:rPr>
                <w:rFonts w:hint="eastAsia" w:ascii="宋体" w:hAnsi="宋体" w:cs="宋体"/>
                <w:color w:val="auto"/>
                <w:kern w:val="0"/>
                <w:sz w:val="24"/>
                <w:szCs w:val="24"/>
                <w:highlight w:val="none"/>
                <w:lang w:val="zh-CN"/>
              </w:rPr>
              <w:fldChar w:fldCharType="separate"/>
            </w:r>
            <w:r>
              <w:rPr>
                <w:rStyle w:val="32"/>
                <w:rFonts w:hint="eastAsia" w:ascii="宋体" w:hAnsi="宋体" w:cs="宋体"/>
                <w:kern w:val="0"/>
                <w:sz w:val="24"/>
                <w:szCs w:val="24"/>
                <w:highlight w:val="none"/>
                <w:lang w:val="zh-CN"/>
              </w:rPr>
              <w:t>qhhczb11@163.com</w:t>
            </w:r>
            <w:r>
              <w:rPr>
                <w:rFonts w:hint="eastAsia" w:ascii="宋体" w:hAnsi="宋体" w:cs="宋体"/>
                <w:color w:val="auto"/>
                <w:kern w:val="0"/>
                <w:sz w:val="24"/>
                <w:szCs w:val="24"/>
                <w:highlight w:val="none"/>
                <w:lang w:val="zh-CN"/>
              </w:rPr>
              <w:fldChar w:fldCharType="end"/>
            </w:r>
          </w:p>
          <w:p>
            <w:pPr>
              <w:widowControl/>
              <w:rPr>
                <w:rFonts w:ascii="宋体" w:cs="宋体"/>
                <w:kern w:val="0"/>
                <w:sz w:val="24"/>
                <w:highlight w:val="none"/>
              </w:rPr>
            </w:pPr>
            <w:r>
              <w:rPr>
                <w:rFonts w:hint="eastAsia" w:ascii="宋体" w:hAnsi="宋体" w:cs="宋体"/>
                <w:color w:val="auto"/>
                <w:kern w:val="0"/>
                <w:sz w:val="24"/>
                <w:szCs w:val="24"/>
                <w:highlight w:val="none"/>
                <w:lang w:val="zh-CN"/>
              </w:rPr>
              <w:t>联系地址：青海省西宁市城西区西关大街130号1号楼13B-11334室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96" w:type="dxa"/>
            <w:vAlign w:val="center"/>
          </w:tcPr>
          <w:p>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6423" w:type="dxa"/>
            <w:vAlign w:val="center"/>
          </w:tcPr>
          <w:p>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ascii="宋体" w:hAnsi="宋体" w:cs="宋体"/>
                <w:b/>
                <w:bCs/>
                <w:kern w:val="0"/>
                <w:sz w:val="24"/>
                <w:highlight w:val="none"/>
                <w:lang w:val="en-US" w:eastAsia="zh-CN"/>
              </w:rPr>
              <w:t>95763</w:t>
            </w:r>
            <w:r>
              <w:rPr>
                <w:rFonts w:hint="eastAsia" w:ascii="宋体" w:hAnsi="宋体" w:cs="宋体"/>
                <w:b/>
                <w:bCs/>
                <w:kern w:val="0"/>
                <w:sz w:val="24"/>
                <w:highlight w:val="none"/>
                <w:lang w:val="zh-CN"/>
              </w:rPr>
              <w:t>。</w:t>
            </w:r>
          </w:p>
          <w:p>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w:t>
            </w:r>
            <w:r>
              <w:rPr>
                <w:rFonts w:hint="eastAsia" w:ascii="宋体" w:hAnsi="宋体" w:cs="宋体"/>
                <w:b/>
                <w:bCs/>
                <w:kern w:val="0"/>
                <w:sz w:val="24"/>
                <w:highlight w:val="none"/>
                <w:lang w:val="en-US" w:eastAsia="zh-CN"/>
              </w:rPr>
              <w:t>95763</w:t>
            </w:r>
            <w:r>
              <w:rPr>
                <w:rFonts w:hint="eastAsia" w:ascii="宋体" w:hAnsi="宋体" w:cs="宋体"/>
                <w:b/>
                <w:bCs/>
                <w:kern w:val="0"/>
                <w:sz w:val="24"/>
                <w:highlight w:val="none"/>
                <w:lang w:val="zh-CN"/>
              </w:rPr>
              <w:t>。</w:t>
            </w:r>
          </w:p>
          <w:p>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pPr>
              <w:autoSpaceDE w:val="0"/>
              <w:autoSpaceDN w:val="0"/>
              <w:adjustRightInd w:val="0"/>
              <w:spacing w:line="320" w:lineRule="exact"/>
              <w:jc w:val="left"/>
              <w:rPr>
                <w:sz w:val="24"/>
                <w:szCs w:val="24"/>
                <w:highlight w:val="none"/>
              </w:rPr>
            </w:pPr>
            <w:r>
              <w:rPr>
                <w:rFonts w:hint="eastAsia" w:ascii="宋体" w:cs="宋体"/>
                <w:b/>
                <w:bCs/>
                <w:kern w:val="0"/>
                <w:sz w:val="24"/>
                <w:highlight w:val="none"/>
                <w:lang w:val="zh-CN"/>
              </w:rPr>
              <w:t>青海政府采购网</w:t>
            </w:r>
            <w:r>
              <w:rPr>
                <w:rFonts w:hint="eastAsia" w:ascii="宋体" w:cs="宋体"/>
                <w:b/>
                <w:bCs/>
                <w:kern w:val="0"/>
                <w:sz w:val="24"/>
                <w:highlight w:val="none"/>
              </w:rPr>
              <w:t>（http://www.ccgp-qinghai.gov.cn/home.html）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96" w:type="dxa"/>
            <w:vAlign w:val="center"/>
          </w:tcPr>
          <w:p>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6423" w:type="dxa"/>
            <w:vAlign w:val="center"/>
          </w:tcPr>
          <w:p>
            <w:pPr>
              <w:autoSpaceDE w:val="0"/>
              <w:autoSpaceDN w:val="0"/>
              <w:spacing w:line="240" w:lineRule="auto"/>
              <w:rPr>
                <w:rFonts w:ascii="宋体" w:cs="宋体"/>
                <w:color w:val="auto"/>
                <w:kern w:val="0"/>
                <w:sz w:val="24"/>
                <w:szCs w:val="24"/>
                <w:highlight w:val="none"/>
              </w:rPr>
            </w:pPr>
            <w:r>
              <w:rPr>
                <w:rFonts w:hint="eastAsia" w:ascii="宋体" w:cs="宋体"/>
                <w:kern w:val="0"/>
                <w:sz w:val="24"/>
                <w:highlight w:val="none"/>
              </w:rPr>
              <w:t>监督单位：</w:t>
            </w:r>
            <w:r>
              <w:rPr>
                <w:rFonts w:hint="eastAsia" w:ascii="宋体" w:hAnsi="宋体" w:cs="宋体"/>
                <w:color w:val="auto"/>
                <w:kern w:val="0"/>
                <w:sz w:val="24"/>
                <w:szCs w:val="24"/>
                <w:highlight w:val="none"/>
                <w:lang w:eastAsia="zh-CN"/>
              </w:rPr>
              <w:t>西宁市财政局</w:t>
            </w:r>
            <w:r>
              <w:rPr>
                <w:rFonts w:ascii="宋体" w:hAnsi="宋体" w:cs="宋体"/>
                <w:color w:val="auto"/>
                <w:kern w:val="0"/>
                <w:sz w:val="24"/>
                <w:szCs w:val="24"/>
                <w:highlight w:val="none"/>
              </w:rPr>
              <w:t xml:space="preserve">   </w:t>
            </w:r>
          </w:p>
          <w:p>
            <w:pPr>
              <w:autoSpaceDE w:val="0"/>
              <w:autoSpaceDN w:val="0"/>
              <w:rPr>
                <w:rFonts w:ascii="宋体" w:cs="宋体"/>
                <w:kern w:val="0"/>
                <w:sz w:val="24"/>
                <w:highlight w:val="none"/>
              </w:rPr>
            </w:pP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0971-6</w:t>
            </w:r>
            <w:r>
              <w:rPr>
                <w:rFonts w:hint="eastAsia" w:ascii="宋体" w:hAnsi="宋体" w:cs="宋体"/>
                <w:color w:val="auto"/>
                <w:kern w:val="0"/>
                <w:sz w:val="24"/>
                <w:szCs w:val="24"/>
                <w:highlight w:val="none"/>
                <w:lang w:val="en-US" w:eastAsia="zh-CN"/>
              </w:rPr>
              <w:t>304026</w:t>
            </w:r>
          </w:p>
        </w:tc>
      </w:tr>
    </w:tbl>
    <w:p>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496626192"/>
      <w:bookmarkStart w:id="5" w:name="_Toc12580"/>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pPr>
        <w:widowControl/>
        <w:spacing w:before="624" w:beforeLines="200" w:after="624" w:afterLines="200"/>
        <w:jc w:val="center"/>
        <w:outlineLvl w:val="1"/>
        <w:rPr>
          <w:rFonts w:ascii="宋体"/>
          <w:b/>
          <w:bCs/>
          <w:kern w:val="0"/>
          <w:sz w:val="36"/>
          <w:szCs w:val="36"/>
          <w:highlight w:val="none"/>
        </w:rPr>
      </w:pPr>
      <w:bookmarkStart w:id="7" w:name="_Toc376936728"/>
      <w:bookmarkStart w:id="8" w:name="_Toc11038"/>
      <w:bookmarkStart w:id="9" w:name="_Toc49662619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pPr>
        <w:widowControl/>
        <w:spacing w:before="100" w:beforeAutospacing="1" w:after="100" w:afterAutospacing="1"/>
        <w:ind w:firstLine="542"/>
        <w:jc w:val="left"/>
        <w:outlineLvl w:val="2"/>
        <w:rPr>
          <w:rFonts w:ascii="宋体"/>
          <w:b/>
          <w:bCs/>
          <w:kern w:val="0"/>
          <w:sz w:val="27"/>
          <w:szCs w:val="27"/>
          <w:highlight w:val="none"/>
        </w:rPr>
      </w:pPr>
      <w:bookmarkStart w:id="10" w:name="_Toc376936729"/>
      <w:bookmarkStart w:id="11" w:name="_Toc15856"/>
      <w:bookmarkStart w:id="12" w:name="_Toc496626194"/>
      <w:bookmarkStart w:id="13" w:name="_Toc325725998"/>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pPr>
        <w:widowControl/>
        <w:spacing w:before="100" w:beforeAutospacing="1" w:after="100" w:afterAutospacing="1"/>
        <w:ind w:firstLine="542"/>
        <w:jc w:val="left"/>
        <w:outlineLvl w:val="2"/>
        <w:rPr>
          <w:rFonts w:ascii="宋体"/>
          <w:b/>
          <w:bCs/>
          <w:kern w:val="0"/>
          <w:sz w:val="27"/>
          <w:szCs w:val="27"/>
          <w:highlight w:val="none"/>
        </w:rPr>
      </w:pPr>
      <w:bookmarkStart w:id="14" w:name="_Toc325725999"/>
      <w:bookmarkStart w:id="15" w:name="_Toc496626195"/>
      <w:bookmarkStart w:id="16" w:name="_Toc376936730"/>
      <w:bookmarkStart w:id="17" w:name="_Toc32235"/>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pPr>
        <w:widowControl/>
        <w:spacing w:before="100" w:beforeAutospacing="1" w:after="100" w:afterAutospacing="1"/>
        <w:ind w:firstLine="542"/>
        <w:jc w:val="left"/>
        <w:outlineLvl w:val="2"/>
        <w:rPr>
          <w:rFonts w:ascii="宋体"/>
          <w:b/>
          <w:bCs/>
          <w:kern w:val="0"/>
          <w:sz w:val="27"/>
          <w:szCs w:val="27"/>
          <w:highlight w:val="none"/>
        </w:rPr>
      </w:pPr>
      <w:bookmarkStart w:id="18" w:name="_Toc376936731"/>
      <w:bookmarkStart w:id="19" w:name="_Toc325726000"/>
      <w:bookmarkStart w:id="20" w:name="_Toc496626196"/>
      <w:bookmarkStart w:id="21" w:name="_Toc9360"/>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pPr>
        <w:widowControl/>
        <w:spacing w:before="624" w:beforeLines="200" w:after="624" w:afterLines="200"/>
        <w:jc w:val="center"/>
        <w:outlineLvl w:val="1"/>
        <w:rPr>
          <w:rFonts w:ascii="宋体"/>
          <w:b/>
          <w:bCs/>
          <w:kern w:val="0"/>
          <w:sz w:val="36"/>
          <w:szCs w:val="36"/>
          <w:highlight w:val="none"/>
        </w:rPr>
      </w:pPr>
      <w:bookmarkStart w:id="22" w:name="_Toc325726001"/>
      <w:bookmarkStart w:id="23" w:name="_Toc376936732"/>
      <w:bookmarkStart w:id="24" w:name="_Toc19727"/>
      <w:bookmarkStart w:id="25" w:name="_Toc496626197"/>
      <w:r>
        <w:rPr>
          <w:rFonts w:hint="eastAsia" w:ascii="宋体" w:hAnsi="宋体"/>
          <w:b/>
          <w:bCs/>
          <w:kern w:val="0"/>
          <w:sz w:val="36"/>
          <w:szCs w:val="36"/>
          <w:highlight w:val="none"/>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kern w:val="0"/>
          <w:sz w:val="27"/>
          <w:szCs w:val="27"/>
          <w:highlight w:val="none"/>
        </w:rPr>
      </w:pPr>
      <w:bookmarkStart w:id="26" w:name="_Toc19898"/>
      <w:bookmarkStart w:id="27" w:name="_Toc496626198"/>
      <w:bookmarkStart w:id="28" w:name="_Toc376936733"/>
      <w:bookmarkStart w:id="29" w:name="_Toc325726002"/>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12015"/>
      <w:bookmarkStart w:id="33" w:name="_Toc496626199"/>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pPr>
        <w:spacing w:line="360" w:lineRule="auto"/>
        <w:ind w:firstLine="480"/>
        <w:rPr>
          <w:rFonts w:ascii="宋体"/>
          <w:highlight w:val="none"/>
        </w:rPr>
      </w:pPr>
      <w:bookmarkStart w:id="34" w:name="_Toc376936735"/>
      <w:bookmarkStart w:id="35"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11422"/>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日前，在青海政府采购信息网上发布公告；不足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624" w:beforeLines="200" w:after="624" w:afterLines="200"/>
        <w:jc w:val="center"/>
        <w:outlineLvl w:val="1"/>
        <w:rPr>
          <w:rFonts w:ascii="宋体"/>
          <w:b/>
          <w:bCs/>
          <w:kern w:val="0"/>
          <w:sz w:val="36"/>
          <w:szCs w:val="36"/>
          <w:highlight w:val="none"/>
        </w:rPr>
      </w:pPr>
      <w:bookmarkStart w:id="38" w:name="_Toc325726005"/>
      <w:bookmarkStart w:id="39" w:name="_Toc376936736"/>
      <w:bookmarkStart w:id="40" w:name="_Toc11991"/>
      <w:bookmarkStart w:id="41" w:name="_Toc496626201"/>
      <w:r>
        <w:rPr>
          <w:rFonts w:hint="eastAsia" w:ascii="宋体" w:hAnsi="宋体"/>
          <w:b/>
          <w:bCs/>
          <w:kern w:val="0"/>
          <w:sz w:val="36"/>
          <w:szCs w:val="36"/>
          <w:highlight w:val="none"/>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kern w:val="0"/>
          <w:sz w:val="27"/>
          <w:szCs w:val="27"/>
          <w:highlight w:val="none"/>
        </w:rPr>
      </w:pPr>
      <w:bookmarkStart w:id="42" w:name="_Toc376936737"/>
      <w:bookmarkStart w:id="43" w:name="_Toc22731"/>
      <w:bookmarkStart w:id="44" w:name="_Toc325726006"/>
      <w:bookmarkStart w:id="45" w:name="_Toc496626202"/>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kern w:val="0"/>
          <w:sz w:val="27"/>
          <w:szCs w:val="27"/>
          <w:highlight w:val="none"/>
        </w:rPr>
      </w:pPr>
      <w:bookmarkStart w:id="46" w:name="_Toc376936738"/>
      <w:bookmarkStart w:id="47" w:name="_Toc325726007"/>
      <w:bookmarkStart w:id="48" w:name="_Toc496626203"/>
      <w:bookmarkStart w:id="49" w:name="_Toc8644"/>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pPr>
        <w:spacing w:line="360" w:lineRule="auto"/>
        <w:ind w:firstLine="480"/>
        <w:rPr>
          <w:rFonts w:hint="eastAsia" w:ascii="宋体" w:hAnsi="宋体" w:cs="宋体"/>
          <w:kern w:val="0"/>
          <w:highlight w:val="none"/>
          <w:lang w:val="zh-CN"/>
        </w:rPr>
      </w:pPr>
      <w:r>
        <w:rPr>
          <w:rFonts w:ascii="宋体" w:hAnsi="宋体"/>
          <w:highlight w:val="none"/>
        </w:rPr>
        <w:t>8.l</w:t>
      </w:r>
      <w:r>
        <w:rPr>
          <w:rFonts w:hint="eastAsia" w:ascii="宋体" w:hAnsi="宋体" w:cs="宋体"/>
          <w:kern w:val="0"/>
          <w:highlight w:val="none"/>
          <w:lang w:val="zh-CN"/>
        </w:rPr>
        <w:t>磋商报价为投标总价。投标报价必须</w:t>
      </w:r>
      <w:r>
        <w:rPr>
          <w:rFonts w:hint="eastAsia" w:ascii="宋体" w:hAnsi="宋体" w:cs="宋体"/>
          <w:kern w:val="0"/>
          <w:highlight w:val="none"/>
          <w:lang w:val="en-US" w:eastAsia="zh-CN"/>
        </w:rPr>
        <w:t>:</w:t>
      </w:r>
      <w:r>
        <w:rPr>
          <w:rFonts w:hint="eastAsia" w:ascii="宋体" w:hAnsi="宋体" w:cs="宋体"/>
          <w:kern w:val="0"/>
          <w:highlight w:val="none"/>
          <w:lang w:val="zh-CN"/>
        </w:rPr>
        <w:t>包括服务费、人员工资、管理费、验收费、手续费、保险费、培训费、招标代理费及服务过程中包含的不可预见等全部费用。</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pPr>
        <w:widowControl/>
        <w:spacing w:before="100" w:beforeAutospacing="1" w:after="100" w:afterAutospacing="1"/>
        <w:ind w:firstLine="542"/>
        <w:jc w:val="left"/>
        <w:outlineLvl w:val="2"/>
        <w:rPr>
          <w:rFonts w:ascii="宋体"/>
          <w:b/>
          <w:bCs/>
          <w:kern w:val="0"/>
          <w:sz w:val="27"/>
          <w:szCs w:val="27"/>
          <w:highlight w:val="none"/>
        </w:rPr>
      </w:pPr>
      <w:bookmarkStart w:id="50" w:name="_Toc10314"/>
      <w:bookmarkStart w:id="51" w:name="_Toc376936743"/>
      <w:bookmarkStart w:id="52" w:name="_Toc325726012"/>
      <w:bookmarkStart w:id="53" w:name="_Toc496626204"/>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pPr>
        <w:autoSpaceDE w:val="0"/>
        <w:autoSpaceDN w:val="0"/>
        <w:adjustRightInd w:val="0"/>
        <w:spacing w:line="360" w:lineRule="auto"/>
        <w:ind w:firstLine="464" w:firstLineChars="221"/>
        <w:rPr>
          <w:rFonts w:ascii="宋体" w:cs="宋体"/>
          <w:highlight w:val="none"/>
          <w:lang w:val="zh-CN"/>
        </w:rPr>
      </w:pPr>
      <w:r>
        <w:rPr>
          <w:rFonts w:hint="eastAsia" w:ascii="宋体" w:hAnsi="宋体" w:cs="宋体"/>
          <w:highlight w:val="none"/>
          <w:lang w:val="en-US" w:eastAsia="zh-CN"/>
        </w:rPr>
        <w:t>免缴</w:t>
      </w:r>
      <w:r>
        <w:rPr>
          <w:rFonts w:hint="eastAsia" w:ascii="宋体" w:hAnsi="宋体" w:cs="宋体"/>
          <w:highlight w:val="none"/>
          <w:lang w:val="zh-CN"/>
        </w:rPr>
        <w:t>。</w:t>
      </w:r>
    </w:p>
    <w:p>
      <w:pPr>
        <w:widowControl/>
        <w:spacing w:before="100" w:beforeAutospacing="1" w:after="100" w:afterAutospacing="1"/>
        <w:ind w:firstLine="542"/>
        <w:jc w:val="left"/>
        <w:outlineLvl w:val="2"/>
        <w:rPr>
          <w:rFonts w:ascii="宋体"/>
          <w:b/>
          <w:bCs/>
          <w:kern w:val="0"/>
          <w:sz w:val="27"/>
          <w:szCs w:val="27"/>
          <w:highlight w:val="none"/>
        </w:rPr>
      </w:pPr>
      <w:bookmarkStart w:id="54" w:name="_Toc325726013"/>
      <w:bookmarkStart w:id="55" w:name="_Toc376936744"/>
      <w:bookmarkStart w:id="56" w:name="_Toc3731"/>
      <w:bookmarkStart w:id="57" w:name="_Toc496626205"/>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pPr>
        <w:pStyle w:val="24"/>
        <w:spacing w:line="360" w:lineRule="auto"/>
        <w:jc w:val="left"/>
        <w:rPr>
          <w:rFonts w:ascii="宋体" w:cs="宋体"/>
          <w:highlight w:val="none"/>
          <w:lang w:val="zh-CN"/>
        </w:rPr>
      </w:pPr>
      <w:bookmarkStart w:id="58" w:name="_Toc21402"/>
      <w:bookmarkStart w:id="59" w:name="_Toc515908182"/>
      <w:bookmarkStart w:id="60" w:name="_Toc496626207"/>
      <w:bookmarkStart w:id="61" w:name="_Toc373392580"/>
      <w:bookmarkStart w:id="62" w:name="_Toc412617729"/>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投标人应提交相关证明材料，作为其参加投标和中标后有能力履行合同的证明。编写的磋商响应文件须包括以下内容（格式见磋商文件第四部分）：</w:t>
      </w:r>
    </w:p>
    <w:p>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磋商响应文件（上册）（资格审查）</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pPr>
        <w:pStyle w:val="13"/>
        <w:rPr>
          <w:rFonts w:hint="default" w:eastAsia="宋体"/>
          <w:highlight w:val="none"/>
          <w:lang w:val="en-US" w:eastAsia="zh-CN"/>
        </w:rPr>
      </w:pPr>
      <w:r>
        <w:rPr>
          <w:rFonts w:hint="eastAsia" w:hAnsi="宋体" w:cs="宋体"/>
          <w:kern w:val="0"/>
          <w:highlight w:val="none"/>
          <w:lang w:val="en-US" w:eastAsia="zh-CN"/>
        </w:rPr>
        <w:t xml:space="preserve">    （9）</w:t>
      </w:r>
      <w:r>
        <w:rPr>
          <w:rFonts w:hint="eastAsia" w:ascii="宋体" w:hAnsi="宋体" w:eastAsia="宋体" w:cs="宋体"/>
          <w:kern w:val="0"/>
          <w:sz w:val="21"/>
          <w:szCs w:val="24"/>
          <w:highlight w:val="none"/>
          <w:lang w:val="zh-CN" w:eastAsia="zh-CN" w:bidi="ar-SA"/>
        </w:rPr>
        <w:t>具备履行合同所必需的设备和专业技术能力的证明材料</w:t>
      </w:r>
    </w:p>
    <w:p>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磋商响应文件（下册）（符合性审查）</w:t>
      </w:r>
    </w:p>
    <w:p>
      <w:pPr>
        <w:numPr>
          <w:ilvl w:val="0"/>
          <w:numId w:val="0"/>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10）</w:t>
      </w:r>
      <w:r>
        <w:rPr>
          <w:rFonts w:hint="eastAsia" w:ascii="宋体" w:hAnsi="宋体" w:cs="宋体"/>
          <w:kern w:val="0"/>
          <w:highlight w:val="none"/>
          <w:lang w:val="zh-CN"/>
        </w:rPr>
        <w:t>竞争性磋商首次报价表</w:t>
      </w:r>
    </w:p>
    <w:p>
      <w:pPr>
        <w:pStyle w:val="13"/>
        <w:spacing w:line="360" w:lineRule="auto"/>
        <w:ind w:firstLine="420" w:firstLineChars="200"/>
        <w:rPr>
          <w:highlight w:val="none"/>
          <w:lang w:val="zh-CN"/>
        </w:rPr>
      </w:pPr>
      <w:r>
        <w:rPr>
          <w:rFonts w:hint="eastAsia" w:hAnsi="宋体" w:cs="宋体"/>
          <w:kern w:val="0"/>
          <w:highlight w:val="none"/>
          <w:lang w:val="zh-CN"/>
        </w:rPr>
        <w:t>（</w:t>
      </w:r>
      <w:r>
        <w:rPr>
          <w:rFonts w:hAnsi="宋体" w:cs="宋体"/>
          <w:kern w:val="0"/>
          <w:highlight w:val="none"/>
        </w:rPr>
        <w:t>1</w:t>
      </w:r>
      <w:r>
        <w:rPr>
          <w:rFonts w:hint="eastAsia" w:hAnsi="宋体" w:cs="宋体"/>
          <w:kern w:val="0"/>
          <w:highlight w:val="none"/>
          <w:lang w:val="en-US" w:eastAsia="zh-CN"/>
        </w:rPr>
        <w:t>1</w:t>
      </w:r>
      <w:r>
        <w:rPr>
          <w:rFonts w:hint="eastAsia" w:hAnsi="宋体" w:cs="宋体"/>
          <w:kern w:val="0"/>
          <w:highlight w:val="none"/>
          <w:lang w:val="zh-CN"/>
        </w:rPr>
        <w:t>）</w:t>
      </w:r>
      <w:r>
        <w:rPr>
          <w:rFonts w:hint="eastAsia" w:hAnsi="宋体" w:cs="宋体"/>
          <w:kern w:val="0"/>
          <w:highlight w:val="none"/>
        </w:rPr>
        <w:t>服务响应表</w:t>
      </w:r>
    </w:p>
    <w:p>
      <w:pPr>
        <w:pStyle w:val="13"/>
        <w:spacing w:line="360" w:lineRule="auto"/>
        <w:ind w:firstLine="420" w:firstLineChars="200"/>
        <w:rPr>
          <w:highlight w:val="none"/>
          <w:lang w:val="zh-CN"/>
        </w:rPr>
      </w:pPr>
      <w:r>
        <w:rPr>
          <w:rFonts w:hint="eastAsia" w:hAnsi="宋体" w:cs="宋体"/>
          <w:kern w:val="0"/>
          <w:highlight w:val="none"/>
          <w:lang w:val="zh-CN"/>
        </w:rPr>
        <w:t>（</w:t>
      </w:r>
      <w:r>
        <w:rPr>
          <w:rFonts w:hAnsi="宋体" w:cs="宋体"/>
          <w:kern w:val="0"/>
          <w:highlight w:val="none"/>
        </w:rPr>
        <w:t>1</w:t>
      </w:r>
      <w:r>
        <w:rPr>
          <w:rFonts w:hint="eastAsia" w:hAnsi="宋体" w:cs="宋体"/>
          <w:kern w:val="0"/>
          <w:highlight w:val="none"/>
          <w:lang w:val="en-US" w:eastAsia="zh-CN"/>
        </w:rPr>
        <w:t>2</w:t>
      </w:r>
      <w:r>
        <w:rPr>
          <w:rFonts w:hint="eastAsia" w:hAnsi="宋体" w:cs="宋体"/>
          <w:kern w:val="0"/>
          <w:highlight w:val="none"/>
          <w:lang w:val="zh-CN"/>
        </w:rPr>
        <w:t>）</w:t>
      </w:r>
      <w:r>
        <w:rPr>
          <w:rFonts w:hint="eastAsia" w:hAnsi="宋体" w:cs="宋体"/>
          <w:kern w:val="0"/>
          <w:highlight w:val="none"/>
        </w:rPr>
        <w:t>其他资格证明材料</w:t>
      </w:r>
    </w:p>
    <w:p>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lang w:val="en-US" w:eastAsia="zh-CN"/>
        </w:rPr>
        <w:t>3</w:t>
      </w:r>
      <w:r>
        <w:rPr>
          <w:rFonts w:hint="eastAsia" w:ascii="宋体" w:hAnsi="宋体" w:cs="宋体"/>
          <w:kern w:val="0"/>
          <w:highlight w:val="none"/>
          <w:lang w:val="zh-CN"/>
        </w:rPr>
        <w:t>）服务方案</w:t>
      </w:r>
    </w:p>
    <w:p>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lang w:val="en-US" w:eastAsia="zh-CN"/>
        </w:rPr>
        <w:t>4</w:t>
      </w:r>
      <w:r>
        <w:rPr>
          <w:rFonts w:hint="eastAsia" w:ascii="宋体" w:hAnsi="宋体" w:cs="宋体"/>
          <w:kern w:val="0"/>
          <w:highlight w:val="none"/>
          <w:lang w:val="zh-CN"/>
        </w:rPr>
        <w:t>）供应商类似业绩料证明材</w:t>
      </w:r>
    </w:p>
    <w:p>
      <w:pPr>
        <w:widowControl/>
        <w:snapToGrid w:val="0"/>
        <w:spacing w:line="360" w:lineRule="auto"/>
        <w:ind w:firstLine="420" w:firstLineChars="200"/>
        <w:outlineLvl w:val="1"/>
        <w:rPr>
          <w:rFonts w:hint="eastAsia" w:ascii="宋体" w:hAnsi="宋体" w:cs="宋体"/>
          <w:kern w:val="0"/>
          <w:highlight w:val="none"/>
          <w:lang w:val="zh-CN"/>
        </w:rPr>
      </w:pPr>
      <w:bookmarkStart w:id="63" w:name="_Toc11411"/>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lang w:val="en-US" w:eastAsia="zh-CN"/>
        </w:rPr>
        <w:t>5</w:t>
      </w:r>
      <w:r>
        <w:rPr>
          <w:rFonts w:hint="eastAsia" w:ascii="宋体" w:hAnsi="宋体" w:cs="宋体"/>
          <w:kern w:val="0"/>
          <w:highlight w:val="none"/>
          <w:lang w:val="zh-CN"/>
        </w:rPr>
        <w:t>）中小企业声明函</w:t>
      </w:r>
      <w:bookmarkEnd w:id="63"/>
    </w:p>
    <w:p>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w:t>
      </w:r>
      <w:r>
        <w:rPr>
          <w:rFonts w:hint="eastAsia" w:ascii="宋体" w:hAnsi="宋体" w:cs="宋体"/>
          <w:kern w:val="0"/>
          <w:highlight w:val="none"/>
          <w:lang w:val="zh-CN"/>
        </w:rPr>
        <w:t>残疾人福利性单位声明函</w:t>
      </w:r>
    </w:p>
    <w:p>
      <w:pPr>
        <w:autoSpaceDE w:val="0"/>
        <w:autoSpaceDN w:val="0"/>
        <w:spacing w:line="360" w:lineRule="auto"/>
        <w:ind w:firstLine="420" w:firstLineChars="200"/>
        <w:rPr>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）从业人员声明函</w:t>
      </w:r>
    </w:p>
    <w:p>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lang w:val="en-US" w:eastAsia="zh-CN"/>
        </w:rPr>
        <w:t>8</w:t>
      </w:r>
      <w:r>
        <w:rPr>
          <w:rFonts w:hint="eastAsia" w:ascii="宋体" w:hAnsi="宋体" w:cs="宋体"/>
          <w:kern w:val="0"/>
          <w:highlight w:val="none"/>
          <w:lang w:val="zh-CN"/>
        </w:rPr>
        <w:t>）供应商认为在其他方面有必要说明的事项</w:t>
      </w:r>
    </w:p>
    <w:p>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b/>
          <w:bCs/>
          <w:kern w:val="0"/>
          <w:sz w:val="27"/>
          <w:szCs w:val="27"/>
          <w:highlight w:val="none"/>
        </w:rPr>
      </w:pPr>
      <w:bookmarkStart w:id="64" w:name="_Toc9679"/>
      <w:bookmarkStart w:id="65" w:name="_Toc14953"/>
      <w:bookmarkStart w:id="66" w:name="_Toc496626208"/>
      <w:bookmarkStart w:id="67" w:name="_Toc412617730"/>
      <w:bookmarkStart w:id="68" w:name="_Toc376936748"/>
      <w:bookmarkStart w:id="69" w:name="_Toc371090029"/>
      <w:r>
        <w:rPr>
          <w:rFonts w:ascii="宋体" w:hAnsi="宋体" w:cs="宋体"/>
          <w:b/>
          <w:bCs/>
          <w:kern w:val="0"/>
          <w:sz w:val="27"/>
          <w:szCs w:val="27"/>
          <w:highlight w:val="none"/>
        </w:rPr>
        <w:t>12.</w:t>
      </w:r>
      <w:bookmarkEnd w:id="64"/>
      <w:r>
        <w:rPr>
          <w:rFonts w:hint="eastAsia" w:ascii="宋体" w:hAnsi="宋体" w:cs="宋体"/>
          <w:b/>
          <w:bCs/>
          <w:kern w:val="0"/>
          <w:sz w:val="27"/>
          <w:szCs w:val="27"/>
          <w:highlight w:val="none"/>
        </w:rPr>
        <w:t>响应文件编制要求</w:t>
      </w:r>
      <w:bookmarkEnd w:id="65"/>
    </w:p>
    <w:p>
      <w:pPr>
        <w:pStyle w:val="13"/>
        <w:ind w:firstLine="480"/>
        <w:rPr>
          <w:rFonts w:hAnsi="宋体"/>
          <w:highlight w:val="none"/>
        </w:rPr>
      </w:pPr>
      <w:r>
        <w:rPr>
          <w:rFonts w:hint="eastAsia" w:hAnsi="宋体"/>
          <w:highlight w:val="none"/>
        </w:rPr>
        <w:t>12.1磋商响应文件格式及编制要求：详见第一部分投标人须知前附表“磋商响应文件格式及编制要求”。</w:t>
      </w:r>
    </w:p>
    <w:p>
      <w:pPr>
        <w:pStyle w:val="13"/>
        <w:ind w:firstLine="480"/>
        <w:rPr>
          <w:rFonts w:hAnsi="宋体"/>
          <w:highlight w:val="none"/>
        </w:rPr>
      </w:pPr>
      <w:r>
        <w:rPr>
          <w:rFonts w:hint="eastAsia" w:hAnsi="宋体"/>
          <w:highlight w:val="none"/>
        </w:rPr>
        <w:t>12.2 供应商须在“法定代表人授权书”中提供被授权人（委托代理人）准确的联系方式。</w:t>
      </w:r>
    </w:p>
    <w:p>
      <w:pPr>
        <w:widowControl/>
        <w:spacing w:before="624" w:beforeLines="200" w:after="624" w:afterLines="200"/>
        <w:jc w:val="center"/>
        <w:outlineLvl w:val="1"/>
        <w:rPr>
          <w:rFonts w:ascii="宋体"/>
          <w:b/>
          <w:bCs/>
          <w:kern w:val="0"/>
          <w:sz w:val="36"/>
          <w:szCs w:val="36"/>
          <w:highlight w:val="none"/>
        </w:rPr>
      </w:pPr>
      <w:bookmarkStart w:id="70" w:name="_Toc21459"/>
      <w:r>
        <w:rPr>
          <w:rFonts w:hint="eastAsia" w:ascii="宋体" w:hAnsi="宋体"/>
          <w:b/>
          <w:bCs/>
          <w:kern w:val="0"/>
          <w:sz w:val="36"/>
          <w:szCs w:val="36"/>
          <w:highlight w:val="none"/>
        </w:rPr>
        <w:t>四、磋商响应文件的递交</w:t>
      </w:r>
      <w:bookmarkEnd w:id="66"/>
      <w:bookmarkEnd w:id="67"/>
      <w:bookmarkEnd w:id="70"/>
    </w:p>
    <w:bookmarkEnd w:id="68"/>
    <w:bookmarkEnd w:id="69"/>
    <w:p>
      <w:pPr>
        <w:widowControl/>
        <w:spacing w:before="100" w:beforeAutospacing="1" w:after="100" w:afterAutospacing="1"/>
        <w:ind w:firstLine="542"/>
        <w:jc w:val="left"/>
        <w:outlineLvl w:val="2"/>
        <w:rPr>
          <w:rFonts w:ascii="宋体" w:cs="宋体"/>
          <w:b/>
          <w:bCs/>
          <w:kern w:val="0"/>
          <w:sz w:val="27"/>
          <w:szCs w:val="27"/>
          <w:highlight w:val="none"/>
        </w:rPr>
      </w:pPr>
      <w:bookmarkStart w:id="71" w:name="_Toc22338"/>
      <w:bookmarkStart w:id="72" w:name="_Toc412617731"/>
      <w:bookmarkStart w:id="73" w:name="_Toc325726016"/>
      <w:bookmarkStart w:id="74" w:name="_Toc12087"/>
      <w:bookmarkStart w:id="75" w:name="_Toc373392582"/>
      <w:bookmarkStart w:id="76" w:name="_Toc325726017"/>
      <w:bookmarkStart w:id="77" w:name="_Toc412617732"/>
      <w:bookmarkStart w:id="78" w:name="_Toc373392583"/>
      <w:bookmarkStart w:id="79" w:name="_Toc496626210"/>
      <w:bookmarkStart w:id="80" w:name="_Toc376936749"/>
      <w:bookmarkStart w:id="81" w:name="_Toc37109003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1"/>
      <w:bookmarkEnd w:id="72"/>
      <w:bookmarkEnd w:id="73"/>
      <w:bookmarkEnd w:id="74"/>
      <w:bookmarkEnd w:id="75"/>
    </w:p>
    <w:p>
      <w:pPr>
        <w:pStyle w:val="13"/>
        <w:spacing w:line="360" w:lineRule="auto"/>
        <w:ind w:firstLine="480"/>
        <w:rPr>
          <w:rFonts w:hAnsi="宋体"/>
          <w:highlight w:val="none"/>
        </w:rPr>
      </w:pPr>
      <w:r>
        <w:rPr>
          <w:rFonts w:hint="eastAsia" w:hAnsi="宋体"/>
          <w:highlight w:val="none"/>
        </w:rPr>
        <w:t>13.1磋商响应文件根据磋商文件和线上响应文件格式进行编制，并根据要求进行签字盖章,并将加密响应文件上传至政采云投标客户端。</w:t>
      </w:r>
    </w:p>
    <w:p>
      <w:pPr>
        <w:widowControl/>
        <w:spacing w:before="100" w:beforeAutospacing="1" w:after="100" w:afterAutospacing="1"/>
        <w:ind w:firstLine="542"/>
        <w:jc w:val="left"/>
        <w:outlineLvl w:val="2"/>
        <w:rPr>
          <w:rFonts w:ascii="宋体"/>
          <w:b/>
          <w:bCs/>
          <w:kern w:val="0"/>
          <w:sz w:val="27"/>
          <w:szCs w:val="27"/>
          <w:highlight w:val="none"/>
        </w:rPr>
      </w:pPr>
      <w:bookmarkStart w:id="82" w:name="_Toc21660"/>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6"/>
      <w:bookmarkEnd w:id="77"/>
      <w:bookmarkEnd w:id="78"/>
      <w:r>
        <w:rPr>
          <w:rFonts w:hint="eastAsia" w:ascii="宋体" w:hAnsi="宋体"/>
          <w:b/>
          <w:bCs/>
          <w:kern w:val="0"/>
          <w:sz w:val="27"/>
          <w:szCs w:val="27"/>
          <w:highlight w:val="none"/>
        </w:rPr>
        <w:t>程序</w:t>
      </w:r>
      <w:bookmarkEnd w:id="79"/>
      <w:bookmarkEnd w:id="82"/>
    </w:p>
    <w:bookmarkEnd w:id="80"/>
    <w:bookmarkEnd w:id="81"/>
    <w:p>
      <w:pPr>
        <w:pStyle w:val="13"/>
        <w:spacing w:line="360" w:lineRule="auto"/>
        <w:ind w:firstLine="480"/>
        <w:rPr>
          <w:rFonts w:hAnsi="宋体"/>
          <w:highlight w:val="none"/>
        </w:rPr>
      </w:pPr>
      <w:bookmarkStart w:id="83" w:name="_Toc325726019"/>
      <w:bookmarkStart w:id="84" w:name="_Toc376936750"/>
      <w:bookmarkStart w:id="85" w:name="_Toc496626211"/>
      <w:r>
        <w:rPr>
          <w:rFonts w:hAnsi="宋体"/>
          <w:highlight w:val="none"/>
        </w:rPr>
        <w:t>14.1</w:t>
      </w:r>
      <w:r>
        <w:rPr>
          <w:rFonts w:hint="eastAsia" w:hAnsi="宋体"/>
          <w:highlight w:val="none"/>
        </w:rPr>
        <w:t>递交磋商响应文件程序：详见第一部分投标人须知前附表“递交磋商响应文件程序”。</w:t>
      </w:r>
    </w:p>
    <w:p>
      <w:pPr>
        <w:pStyle w:val="13"/>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13"/>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pPr>
        <w:widowControl/>
        <w:spacing w:before="624" w:beforeLines="200" w:after="624" w:afterLines="200"/>
        <w:jc w:val="center"/>
        <w:outlineLvl w:val="1"/>
        <w:rPr>
          <w:rFonts w:ascii="宋体"/>
          <w:b/>
          <w:bCs/>
          <w:kern w:val="0"/>
          <w:sz w:val="36"/>
          <w:szCs w:val="36"/>
          <w:highlight w:val="none"/>
        </w:rPr>
      </w:pPr>
      <w:bookmarkStart w:id="86" w:name="_Toc8588"/>
      <w:r>
        <w:rPr>
          <w:rFonts w:hint="eastAsia" w:ascii="宋体" w:hAnsi="宋体"/>
          <w:b/>
          <w:bCs/>
          <w:kern w:val="0"/>
          <w:sz w:val="36"/>
          <w:szCs w:val="36"/>
          <w:highlight w:val="none"/>
        </w:rPr>
        <w:t>五、</w:t>
      </w:r>
      <w:bookmarkEnd w:id="83"/>
      <w:bookmarkEnd w:id="84"/>
      <w:r>
        <w:rPr>
          <w:rFonts w:hint="eastAsia" w:ascii="宋体" w:hAnsi="宋体"/>
          <w:b/>
          <w:bCs/>
          <w:kern w:val="0"/>
          <w:sz w:val="36"/>
          <w:szCs w:val="36"/>
          <w:highlight w:val="none"/>
        </w:rPr>
        <w:t>资格审查程序及方法</w:t>
      </w:r>
      <w:bookmarkEnd w:id="85"/>
      <w:bookmarkEnd w:id="86"/>
    </w:p>
    <w:p>
      <w:pPr>
        <w:widowControl/>
        <w:spacing w:before="100" w:beforeAutospacing="1" w:after="100" w:afterAutospacing="1"/>
        <w:ind w:firstLine="542"/>
        <w:jc w:val="left"/>
        <w:outlineLvl w:val="2"/>
        <w:rPr>
          <w:rFonts w:ascii="宋体"/>
          <w:b/>
          <w:bCs/>
          <w:kern w:val="0"/>
          <w:sz w:val="27"/>
          <w:szCs w:val="27"/>
          <w:highlight w:val="none"/>
        </w:rPr>
      </w:pPr>
      <w:bookmarkStart w:id="87" w:name="_Toc496004007"/>
      <w:bookmarkStart w:id="88" w:name="_Toc6131"/>
      <w:bookmarkStart w:id="89" w:name="_Toc496626212"/>
      <w:bookmarkStart w:id="90" w:name="_Toc496189551"/>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7"/>
      <w:bookmarkEnd w:id="88"/>
      <w:bookmarkEnd w:id="89"/>
      <w:bookmarkEnd w:id="90"/>
    </w:p>
    <w:p>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pPr>
        <w:widowControl/>
        <w:spacing w:before="100" w:beforeAutospacing="1" w:after="100" w:afterAutospacing="1"/>
        <w:ind w:firstLine="542"/>
        <w:jc w:val="left"/>
        <w:outlineLvl w:val="2"/>
        <w:rPr>
          <w:rFonts w:ascii="宋体"/>
          <w:b/>
          <w:bCs/>
          <w:kern w:val="0"/>
          <w:sz w:val="27"/>
          <w:szCs w:val="27"/>
          <w:highlight w:val="none"/>
        </w:rPr>
      </w:pPr>
      <w:bookmarkStart w:id="91" w:name="_Toc22662"/>
      <w:bookmarkStart w:id="92" w:name="_Toc496189552"/>
      <w:bookmarkStart w:id="93" w:name="_Toc496626213"/>
      <w:bookmarkStart w:id="94" w:name="_Toc496004008"/>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1"/>
      <w:bookmarkEnd w:id="92"/>
      <w:bookmarkEnd w:id="93"/>
      <w:bookmarkEnd w:id="94"/>
    </w:p>
    <w:p>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）要求提供相关资料的；</w:t>
      </w:r>
    </w:p>
    <w:p>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pPr>
        <w:widowControl/>
        <w:spacing w:before="624" w:beforeLines="200" w:after="624" w:afterLines="200"/>
        <w:jc w:val="center"/>
        <w:outlineLvl w:val="1"/>
        <w:rPr>
          <w:rFonts w:ascii="宋体"/>
          <w:b/>
          <w:bCs/>
          <w:kern w:val="0"/>
          <w:sz w:val="36"/>
          <w:szCs w:val="36"/>
          <w:highlight w:val="none"/>
        </w:rPr>
      </w:pPr>
      <w:bookmarkStart w:id="95" w:name="_Toc496626214"/>
      <w:bookmarkStart w:id="96" w:name="_Toc14631"/>
      <w:bookmarkStart w:id="97" w:name="_Toc325726021"/>
      <w:bookmarkStart w:id="98" w:name="_Toc376936752"/>
      <w:r>
        <w:rPr>
          <w:rFonts w:hint="eastAsia" w:ascii="宋体" w:hAnsi="宋体"/>
          <w:b/>
          <w:bCs/>
          <w:kern w:val="0"/>
          <w:sz w:val="36"/>
          <w:szCs w:val="36"/>
          <w:highlight w:val="none"/>
        </w:rPr>
        <w:t>六、磋商程序及方法</w:t>
      </w:r>
      <w:bookmarkEnd w:id="95"/>
      <w:bookmarkEnd w:id="96"/>
      <w:bookmarkEnd w:id="97"/>
      <w:bookmarkEnd w:id="98"/>
    </w:p>
    <w:p>
      <w:pPr>
        <w:widowControl/>
        <w:spacing w:before="100" w:beforeAutospacing="1" w:after="100" w:afterAutospacing="1"/>
        <w:ind w:firstLine="542"/>
        <w:jc w:val="left"/>
        <w:outlineLvl w:val="2"/>
        <w:rPr>
          <w:rFonts w:ascii="宋体"/>
          <w:b/>
          <w:bCs/>
          <w:kern w:val="0"/>
          <w:sz w:val="27"/>
          <w:szCs w:val="27"/>
          <w:highlight w:val="none"/>
        </w:rPr>
      </w:pPr>
      <w:bookmarkStart w:id="99" w:name="_Toc18215"/>
      <w:bookmarkStart w:id="100" w:name="_Toc376936753"/>
      <w:bookmarkStart w:id="101" w:name="_Toc496626215"/>
      <w:bookmarkStart w:id="102" w:name="_Toc325726022"/>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9"/>
      <w:bookmarkEnd w:id="100"/>
      <w:bookmarkEnd w:id="101"/>
      <w:bookmarkEnd w:id="102"/>
    </w:p>
    <w:p>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kern w:val="0"/>
          <w:sz w:val="27"/>
          <w:szCs w:val="27"/>
          <w:highlight w:val="none"/>
        </w:rPr>
      </w:pPr>
      <w:bookmarkStart w:id="103" w:name="_Toc2217"/>
      <w:bookmarkStart w:id="104" w:name="_Toc325726023"/>
      <w:bookmarkStart w:id="105" w:name="_Toc496626216"/>
      <w:bookmarkStart w:id="106" w:name="_Toc376936754"/>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3"/>
      <w:bookmarkEnd w:id="104"/>
      <w:bookmarkEnd w:id="105"/>
      <w:bookmarkEnd w:id="106"/>
    </w:p>
    <w:p>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w:t>
      </w:r>
      <w:r>
        <w:rPr>
          <w:rFonts w:hint="eastAsia" w:ascii="宋体" w:hAnsi="宋体"/>
          <w:highlight w:val="none"/>
          <w:lang w:val="en-US" w:eastAsia="zh-CN"/>
        </w:rPr>
        <w:t>10</w:t>
      </w:r>
      <w:r>
        <w:rPr>
          <w:rFonts w:hint="eastAsia" w:ascii="宋体" w:hAnsi="宋体"/>
          <w:highlight w:val="none"/>
        </w:rPr>
        <w:t>）要求提供相关资料的；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kern w:val="0"/>
          <w:sz w:val="27"/>
          <w:szCs w:val="27"/>
          <w:highlight w:val="none"/>
        </w:rPr>
      </w:pPr>
      <w:bookmarkStart w:id="107" w:name="_Toc20498"/>
      <w:bookmarkStart w:id="108" w:name="_Toc496626217"/>
      <w:bookmarkStart w:id="109" w:name="_Toc496004012"/>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7"/>
      <w:bookmarkEnd w:id="108"/>
      <w:bookmarkEnd w:id="109"/>
    </w:p>
    <w:p>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pPr>
        <w:widowControl/>
        <w:spacing w:before="100" w:beforeAutospacing="1" w:after="100" w:afterAutospacing="1"/>
        <w:ind w:firstLine="542"/>
        <w:jc w:val="left"/>
        <w:outlineLvl w:val="2"/>
        <w:rPr>
          <w:rFonts w:ascii="宋体"/>
          <w:b/>
          <w:bCs/>
          <w:kern w:val="0"/>
          <w:sz w:val="27"/>
          <w:szCs w:val="27"/>
          <w:highlight w:val="none"/>
        </w:rPr>
      </w:pPr>
      <w:bookmarkStart w:id="110" w:name="_Toc376936755"/>
      <w:bookmarkStart w:id="111" w:name="_Toc325726024"/>
      <w:bookmarkStart w:id="112" w:name="_Toc496626218"/>
      <w:bookmarkStart w:id="113" w:name="_Toc10942"/>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10"/>
      <w:bookmarkEnd w:id="111"/>
      <w:bookmarkEnd w:id="112"/>
      <w:bookmarkEnd w:id="113"/>
    </w:p>
    <w:p>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hint="eastAsia" w:ascii="宋体" w:hAnsi="宋体"/>
          <w:highlight w:val="none"/>
        </w:rPr>
      </w:pPr>
      <w:r>
        <w:rPr>
          <w:rFonts w:hint="eastAsia" w:ascii="宋体" w:hAnsi="宋体"/>
          <w:highlight w:val="none"/>
        </w:rPr>
        <w:t>评审标准和分值分配：</w:t>
      </w:r>
      <w:bookmarkStart w:id="114" w:name="_Toc376936756"/>
      <w:bookmarkStart w:id="115" w:name="_Toc325726025"/>
      <w:bookmarkStart w:id="116" w:name="_Toc496626219"/>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36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78"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项目</w:t>
            </w: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满分分值</w:t>
            </w:r>
          </w:p>
        </w:tc>
        <w:tc>
          <w:tcPr>
            <w:tcW w:w="6095"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8"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报价分</w:t>
            </w:r>
          </w:p>
          <w:p>
            <w:pPr>
              <w:spacing w:line="240" w:lineRule="auto"/>
              <w:jc w:val="center"/>
              <w:rPr>
                <w:rFonts w:hint="eastAsia" w:asciiTheme="minorEastAsia" w:hAnsiTheme="minorEastAsia" w:eastAsiaTheme="minorEastAsia" w:cstheme="minorEastAsia"/>
                <w:sz w:val="21"/>
                <w:szCs w:val="21"/>
                <w:highlight w:val="none"/>
                <w:lang w:val="zh-CN"/>
              </w:rPr>
            </w:pP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8"/>
                <w:szCs w:val="28"/>
                <w:highlight w:val="none"/>
                <w:lang w:val="en-US" w:eastAsia="zh-CN"/>
              </w:rPr>
              <w:t>本项目不进行报价评审。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78"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企业</w:t>
            </w:r>
            <w:r>
              <w:rPr>
                <w:rFonts w:hint="eastAsia" w:asciiTheme="minorEastAsia" w:hAnsiTheme="minorEastAsia" w:eastAsiaTheme="minorEastAsia" w:cstheme="minorEastAsia"/>
                <w:sz w:val="21"/>
                <w:szCs w:val="21"/>
                <w:highlight w:val="none"/>
                <w:lang w:val="zh-CN" w:eastAsia="zh-CN"/>
              </w:rPr>
              <w:t>业绩（</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lang w:val="zh-CN" w:eastAsia="zh-CN"/>
              </w:rPr>
              <w:t>分）</w:t>
            </w: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lang w:val="zh-CN"/>
              </w:rPr>
              <w:t>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提供自20</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年1月1日以来的类似项目业绩，（需提供合同复印件）每个得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分，最多得</w:t>
            </w: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8" w:type="dxa"/>
            <w:vMerge w:val="restart"/>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eastAsia="zh-CN"/>
              </w:rPr>
              <w:t>人员配置</w:t>
            </w:r>
            <w:r>
              <w:rPr>
                <w:rFonts w:hint="eastAsia" w:asciiTheme="minorEastAsia" w:hAnsiTheme="minorEastAsia" w:eastAsiaTheme="minorEastAsia" w:cstheme="minorEastAsia"/>
                <w:sz w:val="21"/>
                <w:szCs w:val="21"/>
                <w:highlight w:val="none"/>
                <w:lang w:val="en-US" w:eastAsia="zh-CN"/>
              </w:rPr>
              <w:t>及实施方案（91分）</w:t>
            </w: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lang w:val="zh-CN"/>
              </w:rPr>
              <w:t>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zh-CN"/>
              </w:rPr>
              <w:t>服务方案：磋商小组根据服务方案的合理性、科学性、可实施性等诸多方面打分，内容切实可行、针对性强、与项目要求匹配度高的，得20分，内容切实可行、针对性一般、与项目要求匹配度好的，得15分，内容完善、与项目要求匹配度一般的，得10分，内容完善、与项目要求匹配度差的，得5分，没有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078" w:type="dxa"/>
            <w:vMerge w:val="continue"/>
            <w:noWrap/>
            <w:vAlign w:val="center"/>
          </w:tcPr>
          <w:p>
            <w:pPr>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zh-CN" w:eastAsia="zh-CN"/>
              </w:rPr>
              <w:t>人员配置：</w:t>
            </w:r>
            <w:r>
              <w:rPr>
                <w:rFonts w:hint="eastAsia" w:asciiTheme="minorEastAsia" w:hAnsiTheme="minorEastAsia" w:eastAsiaTheme="minorEastAsia" w:cstheme="minorEastAsia"/>
                <w:sz w:val="21"/>
                <w:szCs w:val="21"/>
                <w:highlight w:val="none"/>
                <w:lang w:val="en-US" w:eastAsia="zh-CN"/>
              </w:rPr>
              <w:t>(5分)</w:t>
            </w:r>
          </w:p>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供应商拟配备项目实施过程中的组织人员及后勤人员等，提供的人员岗位职责及分工明确、合理，且人员配备完全满足采购需求的得5分，提供的人员岗位职责及分工较明确、合理，且人员配备基本满足采购需求的得3分，人员分工模糊不清、职责分工相互交叉不明确的得1分，未提供的不得分。</w:t>
            </w:r>
          </w:p>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2、拟在本项目投入的师资力量(10分)</w:t>
            </w:r>
          </w:p>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供应商拟配备与采购服务内容要求相关专业在职或兼职教师(具有初、中级及以上专业技术职称或职业资格证书)，师资人员在5人及以上的得10分,3-4人(含)得6分，2人(含)以下的2分，未提供的不得分。(须提供相关证书、身份证、学历证及劳动合同或聘用合同复印件)</w:t>
            </w:r>
          </w:p>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3、质量管理方案：质量管理方案内容全面，质量目标明确，编制措施明确具体，切实可行。</w:t>
            </w:r>
            <w:r>
              <w:rPr>
                <w:rFonts w:hint="eastAsia" w:asciiTheme="minorEastAsia" w:hAnsiTheme="minorEastAsia" w:eastAsiaTheme="minorEastAsia" w:cstheme="minorEastAsia"/>
                <w:sz w:val="21"/>
                <w:szCs w:val="21"/>
                <w:highlight w:val="none"/>
                <w:lang w:val="zh-CN" w:eastAsia="zh-CN"/>
              </w:rPr>
              <w:t>方案内容全面清晰，具有很强的科学性，合理性和针对性的得</w:t>
            </w:r>
            <w:r>
              <w:rPr>
                <w:rFonts w:hint="eastAsia" w:asciiTheme="minorEastAsia" w:hAnsiTheme="minorEastAsia" w:eastAsiaTheme="minorEastAsia" w:cstheme="minorEastAsia"/>
                <w:sz w:val="21"/>
                <w:szCs w:val="21"/>
                <w:highlight w:val="none"/>
                <w:lang w:val="en-US" w:eastAsia="zh-CN"/>
              </w:rPr>
              <w:t>15分，方案内容较为全面，具有较强</w:t>
            </w:r>
            <w:r>
              <w:rPr>
                <w:rFonts w:hint="eastAsia" w:asciiTheme="minorEastAsia" w:hAnsiTheme="minorEastAsia" w:eastAsiaTheme="minorEastAsia" w:cstheme="minorEastAsia"/>
                <w:sz w:val="21"/>
                <w:szCs w:val="21"/>
                <w:highlight w:val="none"/>
                <w:lang w:val="zh-CN" w:eastAsia="zh-CN"/>
              </w:rPr>
              <w:t>科学性，合理性和针对性的得</w:t>
            </w:r>
            <w:r>
              <w:rPr>
                <w:rFonts w:hint="eastAsia" w:asciiTheme="minorEastAsia" w:hAnsiTheme="minorEastAsia" w:eastAsiaTheme="minorEastAsia" w:cstheme="minorEastAsia"/>
                <w:sz w:val="21"/>
                <w:szCs w:val="21"/>
                <w:highlight w:val="none"/>
                <w:lang w:val="en-US" w:eastAsia="zh-CN"/>
              </w:rPr>
              <w:t>11分；方案内容一般，具有一定的科学性、合理性和针对性</w:t>
            </w:r>
            <w:r>
              <w:rPr>
                <w:rFonts w:hint="eastAsia" w:asciiTheme="minorEastAsia" w:hAnsiTheme="minorEastAsia" w:eastAsiaTheme="minorEastAsia" w:cstheme="minorEastAsia"/>
                <w:sz w:val="21"/>
                <w:szCs w:val="21"/>
                <w:highlight w:val="none"/>
                <w:lang w:val="zh-CN" w:eastAsia="zh-CN"/>
              </w:rPr>
              <w:t>的得</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zh-CN" w:eastAsia="zh-CN"/>
              </w:rPr>
              <w:t>分，方案不够全面清晰的得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CN" w:eastAsia="zh-CN"/>
              </w:rPr>
              <w:t>分</w:t>
            </w:r>
            <w:r>
              <w:rPr>
                <w:rFonts w:hint="eastAsia" w:asciiTheme="minorEastAsia" w:hAnsiTheme="minorEastAsia" w:eastAsiaTheme="minorEastAsia" w:cstheme="minorEastAsia"/>
                <w:sz w:val="21"/>
                <w:szCs w:val="21"/>
                <w:highlight w:val="none"/>
                <w:lang w:val="en-US" w:eastAsia="zh-CN"/>
              </w:rPr>
              <w:t>；不提供不得分</w:t>
            </w:r>
            <w:r>
              <w:rPr>
                <w:rFonts w:hint="eastAsia" w:asciiTheme="minorEastAsia" w:hAnsiTheme="minorEastAsia" w:eastAsiaTheme="minorEastAsia" w:cstheme="minorEastAsia"/>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78" w:type="dxa"/>
            <w:vMerge w:val="continue"/>
            <w:noWrap/>
            <w:vAlign w:val="center"/>
          </w:tcPr>
          <w:p>
            <w:pPr>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服务进度安排：进度安排合理、内容齐全，具有很强的科学性和合理性的得</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分，进度安排及内容较为全面，具有较强</w:t>
            </w:r>
            <w:r>
              <w:rPr>
                <w:rFonts w:hint="eastAsia" w:asciiTheme="minorEastAsia" w:hAnsiTheme="minorEastAsia" w:eastAsiaTheme="minorEastAsia" w:cstheme="minorEastAsia"/>
                <w:sz w:val="21"/>
                <w:szCs w:val="21"/>
                <w:highlight w:val="none"/>
                <w:lang w:val="zh-CN"/>
              </w:rPr>
              <w:t>科学性和合理性的得</w:t>
            </w: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分；进度安排及内容一般，具有一定的科学性、合理性</w:t>
            </w:r>
            <w:r>
              <w:rPr>
                <w:rFonts w:hint="eastAsia" w:asciiTheme="minorEastAsia" w:hAnsiTheme="minorEastAsia" w:eastAsiaTheme="minorEastAsia" w:cstheme="minorEastAsia"/>
                <w:sz w:val="21"/>
                <w:szCs w:val="21"/>
                <w:highlight w:val="none"/>
                <w:lang w:val="zh-CN"/>
              </w:rPr>
              <w:t>的得</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zh-CN"/>
              </w:rPr>
              <w:t>分，进度安排及内容不够全面的得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zh-CN"/>
              </w:rPr>
              <w:t>分</w:t>
            </w:r>
            <w:r>
              <w:rPr>
                <w:rFonts w:hint="eastAsia" w:asciiTheme="minorEastAsia" w:hAnsiTheme="minorEastAsia" w:eastAsiaTheme="minorEastAsia" w:cstheme="minorEastAsia"/>
                <w:sz w:val="21"/>
                <w:szCs w:val="21"/>
                <w:highlight w:val="none"/>
              </w:rPr>
              <w:t>；不提供不得分</w:t>
            </w:r>
            <w:r>
              <w:rPr>
                <w:rFonts w:hint="eastAsia" w:asciiTheme="minorEastAsia" w:hAnsiTheme="minorEastAsia" w:eastAsiaTheme="minorEastAsia" w:cstheme="minorEastAsia"/>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8" w:type="dxa"/>
            <w:vMerge w:val="continue"/>
            <w:noWrap/>
            <w:vAlign w:val="center"/>
          </w:tcPr>
          <w:p>
            <w:pPr>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服务措施及售后服务</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在所有有效的</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中，依据各</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针对该项目制定的服务措施及售后服务承诺科学性、合理、可操作性等进行横向比较。</w:t>
            </w:r>
            <w:r>
              <w:rPr>
                <w:rFonts w:hint="eastAsia" w:asciiTheme="minorEastAsia" w:hAnsiTheme="minorEastAsia" w:eastAsiaTheme="minorEastAsia" w:cstheme="minorEastAsia"/>
                <w:sz w:val="21"/>
                <w:szCs w:val="21"/>
                <w:highlight w:val="none"/>
                <w:lang w:val="en-US" w:eastAsia="zh-CN"/>
              </w:rPr>
              <w:t>方案科学、合理、可操作性强的得15分，方案科学，合理、可操作性较强的得11分，方案较合理、可操作性一般</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方案欠缺、可操作性差</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78" w:type="dxa"/>
            <w:vMerge w:val="continue"/>
            <w:noWrap/>
            <w:vAlign w:val="center"/>
          </w:tcPr>
          <w:p>
            <w:pPr>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p>
        </w:tc>
        <w:tc>
          <w:tcPr>
            <w:tcW w:w="1364" w:type="dxa"/>
            <w:noWrap/>
            <w:vAlign w:val="center"/>
          </w:tcPr>
          <w:p>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11分</w:t>
            </w:r>
          </w:p>
        </w:tc>
        <w:tc>
          <w:tcPr>
            <w:tcW w:w="6095" w:type="dxa"/>
            <w:noWrap/>
            <w:vAlign w:val="center"/>
          </w:tcPr>
          <w:p>
            <w:pPr>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培训</w:t>
            </w:r>
            <w:r>
              <w:rPr>
                <w:rFonts w:hint="eastAsia" w:asciiTheme="minorEastAsia" w:hAnsiTheme="minorEastAsia" w:eastAsiaTheme="minorEastAsia" w:cstheme="minorEastAsia"/>
                <w:sz w:val="21"/>
                <w:szCs w:val="21"/>
                <w:highlight w:val="none"/>
                <w:lang w:val="en-US" w:eastAsia="zh-CN"/>
              </w:rPr>
              <w:t>方案：针对用户提供专业化培训，根据所提供的培训方案的详细程度进行比较。培训方案完全针对本项目且内容详细、专业的得11分；培训方案针对性强，可行性强的得8分；培训方案针对性强但内容一般的得5分；方案及内容混乱，没有针对性的得1分；差的或未提供的不得分。</w:t>
            </w:r>
          </w:p>
        </w:tc>
      </w:tr>
    </w:tbl>
    <w:p>
      <w:pPr>
        <w:pStyle w:val="13"/>
        <w:rPr>
          <w:highlight w:val="none"/>
        </w:rPr>
      </w:pPr>
    </w:p>
    <w:p>
      <w:pPr>
        <w:widowControl/>
        <w:spacing w:before="624" w:beforeLines="200" w:after="624" w:afterLines="200"/>
        <w:jc w:val="center"/>
        <w:outlineLvl w:val="1"/>
        <w:rPr>
          <w:rFonts w:ascii="宋体"/>
          <w:b/>
          <w:bCs/>
          <w:kern w:val="0"/>
          <w:sz w:val="36"/>
          <w:szCs w:val="36"/>
          <w:highlight w:val="none"/>
        </w:rPr>
      </w:pPr>
      <w:bookmarkStart w:id="117" w:name="_Toc18931"/>
      <w:r>
        <w:rPr>
          <w:rFonts w:hint="eastAsia" w:ascii="宋体" w:hAnsi="宋体"/>
          <w:b/>
          <w:bCs/>
          <w:kern w:val="0"/>
          <w:sz w:val="36"/>
          <w:szCs w:val="36"/>
          <w:highlight w:val="none"/>
        </w:rPr>
        <w:t>七、</w:t>
      </w:r>
      <w:bookmarkEnd w:id="114"/>
      <w:bookmarkEnd w:id="115"/>
      <w:r>
        <w:rPr>
          <w:rFonts w:hint="eastAsia" w:ascii="宋体" w:hAnsi="宋体"/>
          <w:b/>
          <w:bCs/>
          <w:kern w:val="0"/>
          <w:sz w:val="36"/>
          <w:szCs w:val="36"/>
          <w:highlight w:val="none"/>
        </w:rPr>
        <w:t>成交办法</w:t>
      </w:r>
      <w:bookmarkEnd w:id="116"/>
      <w:bookmarkEnd w:id="117"/>
    </w:p>
    <w:p>
      <w:pPr>
        <w:widowControl/>
        <w:spacing w:before="100" w:beforeAutospacing="1" w:after="100" w:afterAutospacing="1"/>
        <w:ind w:firstLine="542"/>
        <w:jc w:val="left"/>
        <w:outlineLvl w:val="2"/>
        <w:rPr>
          <w:rFonts w:ascii="宋体"/>
          <w:b/>
          <w:bCs/>
          <w:kern w:val="0"/>
          <w:sz w:val="27"/>
          <w:szCs w:val="27"/>
          <w:highlight w:val="none"/>
        </w:rPr>
      </w:pPr>
      <w:bookmarkStart w:id="118" w:name="_Toc325726026"/>
      <w:bookmarkStart w:id="119" w:name="_Toc376936757"/>
      <w:bookmarkStart w:id="120" w:name="_Toc22746"/>
      <w:bookmarkStart w:id="121"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8"/>
      <w:bookmarkEnd w:id="119"/>
      <w:r>
        <w:rPr>
          <w:rFonts w:hint="eastAsia" w:ascii="宋体" w:hAnsi="宋体"/>
          <w:b/>
          <w:bCs/>
          <w:kern w:val="0"/>
          <w:sz w:val="27"/>
          <w:szCs w:val="27"/>
          <w:highlight w:val="none"/>
        </w:rPr>
        <w:t>供应商</w:t>
      </w:r>
      <w:bookmarkEnd w:id="120"/>
      <w:bookmarkEnd w:id="121"/>
    </w:p>
    <w:p>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2" w:name="_Toc325726027"/>
    </w:p>
    <w:p>
      <w:pPr>
        <w:widowControl/>
        <w:spacing w:before="100" w:beforeAutospacing="1" w:after="100" w:afterAutospacing="1"/>
        <w:ind w:firstLine="542"/>
        <w:jc w:val="left"/>
        <w:outlineLvl w:val="2"/>
        <w:rPr>
          <w:rFonts w:ascii="宋体"/>
          <w:b/>
          <w:bCs/>
          <w:kern w:val="0"/>
          <w:sz w:val="27"/>
          <w:szCs w:val="27"/>
          <w:highlight w:val="none"/>
        </w:rPr>
      </w:pPr>
      <w:bookmarkStart w:id="123" w:name="_Toc496626221"/>
      <w:bookmarkStart w:id="124" w:name="_Toc325726028"/>
      <w:bookmarkStart w:id="125" w:name="_Toc376936759"/>
      <w:bookmarkStart w:id="126" w:name="_Toc14339"/>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3"/>
      <w:bookmarkEnd w:id="124"/>
      <w:bookmarkEnd w:id="125"/>
      <w:bookmarkEnd w:id="126"/>
    </w:p>
    <w:p>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hint="eastAsia" w:ascii="宋体" w:hAnsi="宋体"/>
          <w:b/>
          <w:bCs/>
          <w:kern w:val="0"/>
          <w:sz w:val="36"/>
          <w:szCs w:val="36"/>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bookmarkStart w:id="127" w:name="_Toc496626222"/>
      <w:bookmarkStart w:id="128" w:name="_Toc376936758"/>
    </w:p>
    <w:p>
      <w:pPr>
        <w:widowControl/>
        <w:spacing w:before="624" w:beforeLines="200" w:after="624" w:afterLines="200"/>
        <w:jc w:val="center"/>
        <w:outlineLvl w:val="1"/>
        <w:rPr>
          <w:rFonts w:ascii="宋体"/>
          <w:b/>
          <w:bCs/>
          <w:kern w:val="0"/>
          <w:sz w:val="36"/>
          <w:szCs w:val="36"/>
          <w:highlight w:val="none"/>
        </w:rPr>
      </w:pPr>
      <w:bookmarkStart w:id="129" w:name="_Toc17049"/>
      <w:r>
        <w:rPr>
          <w:rFonts w:hint="eastAsia" w:ascii="宋体" w:hAnsi="宋体"/>
          <w:b/>
          <w:bCs/>
          <w:kern w:val="0"/>
          <w:sz w:val="36"/>
          <w:szCs w:val="36"/>
          <w:highlight w:val="none"/>
        </w:rPr>
        <w:t>八、授予合同</w:t>
      </w:r>
      <w:bookmarkEnd w:id="122"/>
      <w:bookmarkEnd w:id="127"/>
      <w:bookmarkEnd w:id="128"/>
      <w:bookmarkEnd w:id="129"/>
    </w:p>
    <w:p>
      <w:pPr>
        <w:widowControl/>
        <w:spacing w:before="100" w:beforeAutospacing="1" w:after="100" w:afterAutospacing="1"/>
        <w:ind w:firstLine="542"/>
        <w:jc w:val="left"/>
        <w:outlineLvl w:val="2"/>
        <w:rPr>
          <w:rFonts w:ascii="宋体"/>
          <w:b/>
          <w:bCs/>
          <w:kern w:val="0"/>
          <w:sz w:val="27"/>
          <w:szCs w:val="27"/>
          <w:highlight w:val="none"/>
        </w:rPr>
      </w:pPr>
      <w:bookmarkStart w:id="130" w:name="_Toc325726029"/>
      <w:bookmarkStart w:id="131" w:name="_Toc376936760"/>
      <w:bookmarkStart w:id="132" w:name="_Toc1936"/>
      <w:bookmarkStart w:id="133" w:name="_Toc496626223"/>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30"/>
      <w:bookmarkEnd w:id="131"/>
      <w:bookmarkEnd w:id="132"/>
      <w:bookmarkEnd w:id="133"/>
    </w:p>
    <w:p>
      <w:pPr>
        <w:spacing w:line="360" w:lineRule="auto"/>
        <w:ind w:firstLine="480"/>
        <w:jc w:val="left"/>
        <w:rPr>
          <w:rFonts w:ascii="宋体"/>
          <w:highlight w:val="none"/>
        </w:rPr>
      </w:pPr>
      <w:bookmarkStart w:id="134" w:name="_Toc376936761"/>
      <w:bookmarkStart w:id="135"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个工作日内，将采购合同在青海政府采购信息网上公告，但政府采购合同中涉及国家秘密、商业秘密的内容除外。</w:t>
      </w:r>
    </w:p>
    <w:p>
      <w:pPr>
        <w:widowControl/>
        <w:spacing w:before="624" w:beforeLines="200" w:after="624" w:afterLines="200"/>
        <w:jc w:val="center"/>
        <w:outlineLvl w:val="1"/>
        <w:rPr>
          <w:rFonts w:ascii="宋体"/>
          <w:b/>
          <w:bCs/>
          <w:kern w:val="0"/>
          <w:sz w:val="36"/>
          <w:szCs w:val="36"/>
          <w:highlight w:val="none"/>
        </w:rPr>
      </w:pPr>
      <w:bookmarkStart w:id="136" w:name="_Toc13234"/>
      <w:bookmarkStart w:id="137" w:name="_Toc496626224"/>
      <w:r>
        <w:rPr>
          <w:rFonts w:hint="eastAsia" w:ascii="宋体" w:hAnsi="宋体"/>
          <w:b/>
          <w:bCs/>
          <w:kern w:val="0"/>
          <w:sz w:val="36"/>
          <w:szCs w:val="36"/>
          <w:highlight w:val="none"/>
        </w:rPr>
        <w:t>九、串通投标的认定及处理办法</w:t>
      </w:r>
      <w:bookmarkEnd w:id="136"/>
      <w:bookmarkEnd w:id="137"/>
    </w:p>
    <w:p>
      <w:pPr>
        <w:widowControl/>
        <w:spacing w:before="100" w:beforeAutospacing="1" w:after="100" w:afterAutospacing="1"/>
        <w:ind w:firstLine="542"/>
        <w:jc w:val="left"/>
        <w:outlineLvl w:val="2"/>
        <w:rPr>
          <w:rFonts w:ascii="宋体"/>
          <w:b/>
          <w:bCs/>
          <w:kern w:val="0"/>
          <w:sz w:val="27"/>
          <w:szCs w:val="27"/>
          <w:highlight w:val="none"/>
        </w:rPr>
      </w:pPr>
      <w:bookmarkStart w:id="138" w:name="_Toc496626225"/>
      <w:bookmarkStart w:id="139" w:name="_Toc496189563"/>
      <w:bookmarkStart w:id="140" w:name="_Toc496004020"/>
      <w:bookmarkStart w:id="141" w:name="_Toc682"/>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8"/>
      <w:bookmarkEnd w:id="139"/>
      <w:bookmarkEnd w:id="140"/>
      <w:bookmarkEnd w:id="141"/>
    </w:p>
    <w:p>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pPr>
        <w:widowControl/>
        <w:spacing w:before="624" w:beforeLines="200" w:after="624" w:afterLines="200"/>
        <w:jc w:val="center"/>
        <w:outlineLvl w:val="1"/>
        <w:rPr>
          <w:rFonts w:ascii="宋体"/>
          <w:b/>
          <w:bCs/>
          <w:kern w:val="0"/>
          <w:sz w:val="36"/>
          <w:szCs w:val="36"/>
          <w:highlight w:val="none"/>
        </w:rPr>
      </w:pPr>
      <w:bookmarkStart w:id="142" w:name="_Toc496626226"/>
      <w:bookmarkStart w:id="143" w:name="_Toc3674"/>
      <w:r>
        <w:rPr>
          <w:rFonts w:hint="eastAsia" w:ascii="宋体" w:hAnsi="宋体"/>
          <w:b/>
          <w:bCs/>
          <w:kern w:val="0"/>
          <w:sz w:val="36"/>
          <w:szCs w:val="36"/>
          <w:highlight w:val="none"/>
        </w:rPr>
        <w:t>十、</w:t>
      </w:r>
      <w:bookmarkEnd w:id="134"/>
      <w:bookmarkEnd w:id="135"/>
      <w:r>
        <w:rPr>
          <w:rFonts w:hint="eastAsia" w:ascii="宋体" w:hAnsi="宋体"/>
          <w:b/>
          <w:bCs/>
          <w:kern w:val="0"/>
          <w:sz w:val="36"/>
          <w:szCs w:val="36"/>
          <w:highlight w:val="none"/>
        </w:rPr>
        <w:t>磋商活动终止</w:t>
      </w:r>
      <w:bookmarkEnd w:id="142"/>
      <w:bookmarkEnd w:id="143"/>
    </w:p>
    <w:p>
      <w:pPr>
        <w:widowControl/>
        <w:spacing w:before="100" w:beforeAutospacing="1" w:after="100" w:afterAutospacing="1"/>
        <w:ind w:firstLine="542"/>
        <w:jc w:val="left"/>
        <w:outlineLvl w:val="2"/>
        <w:rPr>
          <w:rFonts w:ascii="宋体"/>
          <w:b/>
          <w:bCs/>
          <w:kern w:val="0"/>
          <w:sz w:val="27"/>
          <w:szCs w:val="27"/>
          <w:highlight w:val="none"/>
        </w:rPr>
      </w:pPr>
      <w:bookmarkStart w:id="144" w:name="_Toc496626227"/>
      <w:bookmarkStart w:id="145" w:name="_Toc26991"/>
      <w:bookmarkStart w:id="146" w:name="_Toc325726031"/>
      <w:bookmarkStart w:id="147"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4"/>
      <w:bookmarkEnd w:id="145"/>
    </w:p>
    <w:p>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6"/>
      <w:bookmarkEnd w:id="147"/>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8" w:name="_Toc325726032"/>
    </w:p>
    <w:p>
      <w:pPr>
        <w:widowControl/>
        <w:numPr>
          <w:ilvl w:val="0"/>
          <w:numId w:val="3"/>
        </w:numPr>
        <w:spacing w:before="624" w:beforeLines="200" w:after="624" w:afterLines="200"/>
        <w:jc w:val="center"/>
        <w:outlineLvl w:val="1"/>
        <w:rPr>
          <w:rFonts w:ascii="宋体" w:hAnsi="宋体"/>
          <w:b/>
          <w:bCs/>
          <w:kern w:val="0"/>
          <w:sz w:val="36"/>
          <w:szCs w:val="36"/>
          <w:highlight w:val="none"/>
        </w:rPr>
      </w:pPr>
      <w:bookmarkStart w:id="149" w:name="_Toc26099"/>
      <w:bookmarkStart w:id="150" w:name="_Toc376936763"/>
      <w:bookmarkStart w:id="151" w:name="_Toc496626228"/>
      <w:r>
        <w:rPr>
          <w:rFonts w:hint="eastAsia" w:ascii="宋体" w:hAnsi="宋体"/>
          <w:b/>
          <w:bCs/>
          <w:kern w:val="0"/>
          <w:sz w:val="36"/>
          <w:szCs w:val="36"/>
          <w:highlight w:val="none"/>
        </w:rPr>
        <w:t>处罚</w:t>
      </w:r>
      <w:bookmarkEnd w:id="148"/>
      <w:bookmarkEnd w:id="149"/>
      <w:bookmarkEnd w:id="150"/>
      <w:bookmarkEnd w:id="151"/>
      <w:bookmarkStart w:id="152" w:name="_Toc376936764"/>
      <w:bookmarkStart w:id="153" w:name="_Toc325726033"/>
      <w:bookmarkStart w:id="154" w:name="_Toc496626229"/>
    </w:p>
    <w:p>
      <w:pPr>
        <w:widowControl/>
        <w:spacing w:before="624" w:beforeLines="200" w:after="624" w:afterLines="200"/>
        <w:ind w:firstLine="271" w:firstLineChars="100"/>
        <w:outlineLvl w:val="1"/>
        <w:rPr>
          <w:rFonts w:ascii="宋体"/>
          <w:b/>
          <w:bCs/>
          <w:kern w:val="0"/>
          <w:sz w:val="27"/>
          <w:szCs w:val="27"/>
          <w:highlight w:val="none"/>
        </w:rPr>
      </w:pPr>
      <w:bookmarkStart w:id="155" w:name="_Toc28301"/>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2"/>
      <w:bookmarkEnd w:id="153"/>
      <w:bookmarkEnd w:id="154"/>
      <w:bookmarkEnd w:id="155"/>
    </w:p>
    <w:p>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pPr>
        <w:spacing w:line="360" w:lineRule="auto"/>
        <w:ind w:firstLine="384" w:firstLineChars="183"/>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pPr>
        <w:widowControl/>
        <w:spacing w:before="624" w:beforeLines="200" w:after="624" w:afterLines="200"/>
        <w:jc w:val="center"/>
        <w:outlineLvl w:val="1"/>
        <w:rPr>
          <w:rFonts w:ascii="宋体"/>
          <w:b/>
          <w:bCs/>
          <w:kern w:val="0"/>
          <w:sz w:val="36"/>
          <w:szCs w:val="36"/>
          <w:highlight w:val="none"/>
        </w:rPr>
      </w:pPr>
      <w:bookmarkStart w:id="156" w:name="_Toc496626230"/>
      <w:bookmarkStart w:id="157" w:name="_Toc325726034"/>
      <w:bookmarkStart w:id="158" w:name="_Toc9211"/>
      <w:bookmarkStart w:id="159" w:name="_Toc376936765"/>
      <w:r>
        <w:rPr>
          <w:rFonts w:hint="eastAsia" w:ascii="宋体" w:hAnsi="宋体"/>
          <w:b/>
          <w:bCs/>
          <w:kern w:val="0"/>
          <w:sz w:val="36"/>
          <w:szCs w:val="36"/>
          <w:highlight w:val="none"/>
        </w:rPr>
        <w:t>十二、其他</w:t>
      </w:r>
      <w:bookmarkEnd w:id="156"/>
      <w:bookmarkEnd w:id="157"/>
      <w:bookmarkEnd w:id="158"/>
      <w:bookmarkEnd w:id="159"/>
    </w:p>
    <w:p>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w:t>
      </w:r>
      <w:r>
        <w:rPr>
          <w:rFonts w:hint="eastAsia" w:ascii="宋体" w:hAnsi="宋体"/>
          <w:highlight w:val="none"/>
          <w:lang w:eastAsia="zh-CN"/>
        </w:rPr>
        <w:t>民法典</w:t>
      </w:r>
      <w:r>
        <w:rPr>
          <w:rFonts w:hint="eastAsia" w:ascii="宋体" w:hAnsi="宋体"/>
          <w:highlight w:val="none"/>
        </w:rPr>
        <w:t>》、《中华人民共和国政府采购法实施条例》、《政府采购竞争性磋商采购方式管理暂行办法》等法律法规的有关条款执行。</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keepNext/>
        <w:keepLines/>
        <w:widowControl/>
        <w:snapToGrid w:val="0"/>
        <w:spacing w:line="400" w:lineRule="atLeast"/>
        <w:jc w:val="center"/>
        <w:outlineLvl w:val="0"/>
        <w:rPr>
          <w:rFonts w:ascii="宋体"/>
          <w:b/>
          <w:kern w:val="28"/>
          <w:sz w:val="36"/>
          <w:szCs w:val="20"/>
          <w:highlight w:val="none"/>
        </w:rPr>
      </w:pPr>
      <w:bookmarkStart w:id="160" w:name="_Toc376936766"/>
      <w:bookmarkStart w:id="161" w:name="_Toc30959"/>
      <w:bookmarkStart w:id="162"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60"/>
      <w:r>
        <w:rPr>
          <w:rFonts w:hint="eastAsia" w:ascii="宋体"/>
          <w:b/>
          <w:kern w:val="28"/>
          <w:sz w:val="36"/>
          <w:szCs w:val="20"/>
          <w:highlight w:val="none"/>
        </w:rPr>
        <w:t>青海省政府采购项目合同书范本</w:t>
      </w:r>
      <w:bookmarkEnd w:id="161"/>
    </w:p>
    <w:p>
      <w:pPr>
        <w:keepNext/>
        <w:keepLines/>
        <w:widowControl/>
        <w:snapToGrid w:val="0"/>
        <w:spacing w:line="400" w:lineRule="atLeast"/>
        <w:jc w:val="center"/>
        <w:outlineLvl w:val="0"/>
        <w:rPr>
          <w:rFonts w:ascii="宋体"/>
          <w:b/>
          <w:kern w:val="28"/>
          <w:sz w:val="36"/>
          <w:szCs w:val="20"/>
          <w:highlight w:val="none"/>
        </w:rPr>
      </w:pPr>
      <w:bookmarkStart w:id="163" w:name="_Toc12685"/>
      <w:bookmarkStart w:id="164" w:name="_Toc2511"/>
      <w:r>
        <w:rPr>
          <w:rFonts w:hint="eastAsia" w:ascii="宋体"/>
          <w:b/>
          <w:kern w:val="28"/>
          <w:sz w:val="36"/>
          <w:szCs w:val="20"/>
          <w:highlight w:val="none"/>
        </w:rPr>
        <w:t>（服务类）</w:t>
      </w:r>
      <w:bookmarkEnd w:id="162"/>
      <w:bookmarkEnd w:id="163"/>
      <w:bookmarkEnd w:id="164"/>
    </w:p>
    <w:p>
      <w:pPr>
        <w:ind w:firstLine="480"/>
        <w:rPr>
          <w:highlight w:val="none"/>
        </w:rPr>
      </w:pPr>
    </w:p>
    <w:p>
      <w:pPr>
        <w:ind w:firstLine="480"/>
        <w:rPr>
          <w:highlight w:val="none"/>
        </w:rPr>
      </w:pPr>
      <w:bookmarkStart w:id="165" w:name="_Toc373954603"/>
      <w:bookmarkStart w:id="166" w:name="_Toc375576842"/>
      <w:bookmarkStart w:id="167" w:name="_Toc373936315"/>
    </w:p>
    <w:p>
      <w:pPr>
        <w:ind w:firstLine="480"/>
        <w:rPr>
          <w:highlight w:val="none"/>
        </w:rPr>
      </w:pPr>
    </w:p>
    <w:p>
      <w:pPr>
        <w:ind w:firstLine="480"/>
        <w:rPr>
          <w:highlight w:val="none"/>
        </w:rPr>
      </w:pPr>
    </w:p>
    <w:p>
      <w:pPr>
        <w:pStyle w:val="2"/>
        <w:ind w:firstLine="1378" w:firstLineChars="286"/>
        <w:jc w:val="both"/>
        <w:rPr>
          <w:sz w:val="48"/>
          <w:szCs w:val="48"/>
          <w:highlight w:val="none"/>
        </w:rPr>
      </w:pPr>
    </w:p>
    <w:p>
      <w:pPr>
        <w:rPr>
          <w:highlight w:val="none"/>
        </w:rPr>
      </w:pPr>
    </w:p>
    <w:p>
      <w:pPr>
        <w:pStyle w:val="2"/>
        <w:ind w:firstLine="1378" w:firstLineChars="286"/>
        <w:jc w:val="both"/>
        <w:rPr>
          <w:sz w:val="48"/>
          <w:szCs w:val="48"/>
          <w:highlight w:val="none"/>
        </w:rPr>
      </w:pPr>
    </w:p>
    <w:p>
      <w:pPr>
        <w:pStyle w:val="2"/>
        <w:ind w:firstLine="1378" w:firstLineChars="286"/>
        <w:jc w:val="both"/>
        <w:rPr>
          <w:sz w:val="48"/>
          <w:szCs w:val="48"/>
          <w:highlight w:val="none"/>
        </w:rPr>
      </w:pPr>
      <w:bookmarkStart w:id="168" w:name="_Toc27125"/>
      <w:bookmarkStart w:id="169" w:name="_Toc496626232"/>
      <w:bookmarkStart w:id="170" w:name="_Toc23471"/>
      <w:r>
        <w:rPr>
          <w:rFonts w:hint="eastAsia"/>
          <w:sz w:val="48"/>
          <w:szCs w:val="48"/>
          <w:highlight w:val="none"/>
        </w:rPr>
        <w:t>青海省政府采购项目合同</w:t>
      </w:r>
      <w:bookmarkEnd w:id="165"/>
      <w:bookmarkEnd w:id="166"/>
      <w:bookmarkEnd w:id="167"/>
      <w:r>
        <w:rPr>
          <w:rFonts w:hint="eastAsia"/>
          <w:sz w:val="48"/>
          <w:szCs w:val="48"/>
          <w:highlight w:val="none"/>
        </w:rPr>
        <w:t>书</w:t>
      </w:r>
      <w:bookmarkEnd w:id="168"/>
      <w:bookmarkEnd w:id="169"/>
      <w:bookmarkEnd w:id="170"/>
    </w:p>
    <w:p>
      <w:pPr>
        <w:ind w:firstLine="480"/>
        <w:rPr>
          <w:highlight w:val="none"/>
        </w:rPr>
      </w:pPr>
    </w:p>
    <w:p>
      <w:pPr>
        <w:ind w:firstLine="480"/>
        <w:rPr>
          <w:highlight w:val="none"/>
        </w:rPr>
      </w:pPr>
    </w:p>
    <w:p>
      <w:pPr>
        <w:ind w:firstLine="480"/>
        <w:rPr>
          <w:highlight w:val="none"/>
        </w:rPr>
      </w:pPr>
    </w:p>
    <w:p>
      <w:pPr>
        <w:pStyle w:val="13"/>
        <w:rPr>
          <w:highlight w:val="none"/>
        </w:rPr>
      </w:pPr>
    </w:p>
    <w:p>
      <w:pPr>
        <w:pStyle w:val="13"/>
        <w:rPr>
          <w:highlight w:val="none"/>
        </w:rPr>
      </w:pPr>
    </w:p>
    <w:p>
      <w:pPr>
        <w:rPr>
          <w:highlight w:val="none"/>
        </w:rPr>
      </w:pPr>
    </w:p>
    <w:p>
      <w:pPr>
        <w:ind w:firstLine="480"/>
        <w:rPr>
          <w:highlight w:val="none"/>
        </w:rPr>
      </w:pPr>
    </w:p>
    <w:p>
      <w:pPr>
        <w:spacing w:line="360" w:lineRule="auto"/>
        <w:ind w:left="2709" w:leftChars="286" w:hanging="2108" w:hangingChars="700"/>
        <w:rPr>
          <w:rFonts w:hint="default" w:eastAsia="宋体"/>
          <w:b/>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eastAsia="zh-CN"/>
        </w:rPr>
        <w:t>2024年西宁市残疾人“师带徒”培训项目（第二次）</w:t>
      </w:r>
      <w:r>
        <w:rPr>
          <w:rFonts w:hint="eastAsia"/>
          <w:b/>
          <w:sz w:val="30"/>
          <w:szCs w:val="30"/>
          <w:highlight w:val="none"/>
          <w:u w:val="single"/>
          <w:lang w:val="en-US" w:eastAsia="zh-CN"/>
        </w:rPr>
        <w:t xml:space="preserve">            </w:t>
      </w:r>
    </w:p>
    <w:p>
      <w:pPr>
        <w:spacing w:line="360" w:lineRule="auto"/>
        <w:ind w:left="2709" w:leftChars="286" w:hanging="2108" w:hangingChars="700"/>
        <w:rPr>
          <w:b/>
          <w:sz w:val="30"/>
          <w:szCs w:val="30"/>
          <w:highlight w:val="none"/>
          <w:u w:val="single"/>
        </w:rPr>
      </w:pPr>
      <w:r>
        <w:rPr>
          <w:rFonts w:hint="eastAsia"/>
          <w:b/>
          <w:sz w:val="30"/>
          <w:szCs w:val="30"/>
          <w:highlight w:val="none"/>
        </w:rPr>
        <w:t>采购项目编号：</w:t>
      </w:r>
      <w:r>
        <w:rPr>
          <w:rFonts w:hint="eastAsia" w:ascii="宋体" w:hAnsi="宋体" w:cs="宋体"/>
          <w:b/>
          <w:bCs/>
          <w:kern w:val="0"/>
          <w:sz w:val="30"/>
          <w:szCs w:val="30"/>
          <w:highlight w:val="none"/>
          <w:u w:val="single"/>
          <w:lang w:val="zh-CN"/>
        </w:rPr>
        <w:t>青海浩驰磋商（服务）2024-045号（第二次）</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rPr>
        <w:t xml:space="preserve">                                             </w:t>
      </w:r>
    </w:p>
    <w:p>
      <w:pPr>
        <w:spacing w:line="360" w:lineRule="auto"/>
        <w:ind w:firstLine="602"/>
        <w:rPr>
          <w:b/>
          <w:sz w:val="30"/>
          <w:szCs w:val="30"/>
          <w:highlight w:val="none"/>
          <w:u w:val="single"/>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rPr>
        <w:t>QHHC</w:t>
      </w:r>
      <w:r>
        <w:rPr>
          <w:b/>
          <w:sz w:val="30"/>
          <w:szCs w:val="30"/>
          <w:highlight w:val="none"/>
          <w:u w:val="single"/>
        </w:rPr>
        <w:t>-202</w:t>
      </w:r>
      <w:r>
        <w:rPr>
          <w:rFonts w:hint="eastAsia"/>
          <w:b/>
          <w:sz w:val="30"/>
          <w:szCs w:val="30"/>
          <w:highlight w:val="none"/>
          <w:u w:val="single"/>
          <w:lang w:val="en-US" w:eastAsia="zh-CN"/>
        </w:rPr>
        <w:t>4</w:t>
      </w:r>
      <w:r>
        <w:rPr>
          <w:b/>
          <w:sz w:val="30"/>
          <w:szCs w:val="30"/>
          <w:highlight w:val="none"/>
          <w:u w:val="single"/>
        </w:rPr>
        <w:t>-</w:t>
      </w:r>
      <w:r>
        <w:rPr>
          <w:rFonts w:hint="eastAsia"/>
          <w:b/>
          <w:sz w:val="30"/>
          <w:szCs w:val="30"/>
          <w:highlight w:val="none"/>
          <w:u w:val="single"/>
          <w:lang w:val="en-US" w:eastAsia="zh-CN"/>
        </w:rPr>
        <w:t>045</w:t>
      </w:r>
      <w:r>
        <w:rPr>
          <w:rFonts w:hint="eastAsia"/>
          <w:b/>
          <w:sz w:val="30"/>
          <w:szCs w:val="30"/>
          <w:highlight w:val="none"/>
          <w:u w:val="single"/>
        </w:rPr>
        <w:t>号</w:t>
      </w:r>
      <w:r>
        <w:rPr>
          <w:b/>
          <w:sz w:val="30"/>
          <w:szCs w:val="30"/>
          <w:highlight w:val="none"/>
          <w:u w:val="single"/>
        </w:rPr>
        <w:t xml:space="preserve">       </w:t>
      </w:r>
      <w:r>
        <w:rPr>
          <w:rFonts w:hint="eastAsia"/>
          <w:b/>
          <w:sz w:val="30"/>
          <w:szCs w:val="30"/>
          <w:highlight w:val="none"/>
          <w:u w:val="single"/>
          <w:lang w:val="en-US" w:eastAsia="zh-CN"/>
        </w:rPr>
        <w:t xml:space="preserve">     </w:t>
      </w:r>
    </w:p>
    <w:p>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rPr>
        <w:t xml:space="preserve">                                     </w:t>
      </w:r>
    </w:p>
    <w:p>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pPr>
        <w:spacing w:line="360" w:lineRule="auto"/>
        <w:ind w:firstLine="602"/>
        <w:rPr>
          <w:rFonts w:asci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lang w:val="en-US" w:eastAsia="zh-CN"/>
        </w:rPr>
        <w:t xml:space="preserve">  </w:t>
      </w:r>
      <w:r>
        <w:rPr>
          <w:b/>
          <w:sz w:val="30"/>
          <w:szCs w:val="30"/>
          <w:highlight w:val="none"/>
          <w:u w:val="single"/>
        </w:rPr>
        <w:t xml:space="preserve">      </w:t>
      </w:r>
      <w:bookmarkStart w:id="171" w:name="_Toc325726036"/>
      <w:bookmarkStart w:id="172" w:name="_Toc376936767"/>
    </w:p>
    <w:p>
      <w:pPr>
        <w:pStyle w:val="13"/>
        <w:rPr>
          <w:rFonts w:hAnsi="宋体"/>
          <w:b/>
          <w:bCs/>
          <w:highlight w:val="none"/>
        </w:rPr>
      </w:pPr>
    </w:p>
    <w:p>
      <w:pPr>
        <w:pStyle w:val="13"/>
        <w:rPr>
          <w:rFonts w:hAnsi="宋体"/>
          <w:b/>
          <w:bCs/>
          <w:highlight w:val="none"/>
        </w:rPr>
      </w:pPr>
    </w:p>
    <w:p>
      <w:pPr>
        <w:pStyle w:val="13"/>
        <w:rPr>
          <w:rFonts w:hAnsi="宋体"/>
          <w:b/>
          <w:bCs/>
          <w:highlight w:val="none"/>
        </w:rPr>
      </w:pPr>
    </w:p>
    <w:p>
      <w:pPr>
        <w:pStyle w:val="13"/>
        <w:rPr>
          <w:rFonts w:hAnsi="宋体"/>
          <w:b/>
          <w:bCs/>
          <w:highlight w:val="none"/>
        </w:rPr>
      </w:pPr>
    </w:p>
    <w:p>
      <w:pPr>
        <w:pStyle w:val="13"/>
        <w:rPr>
          <w:rFonts w:hAnsi="宋体"/>
          <w:b/>
          <w:bCs/>
          <w:highlight w:val="none"/>
        </w:rPr>
      </w:pPr>
    </w:p>
    <w:p>
      <w:pPr>
        <w:spacing w:line="360" w:lineRule="auto"/>
        <w:ind w:firstLine="422" w:firstLineChars="200"/>
        <w:rPr>
          <w:rFonts w:ascii="宋体"/>
          <w:b/>
          <w:bCs/>
          <w:highlight w:val="none"/>
        </w:rPr>
      </w:pPr>
      <w:r>
        <w:rPr>
          <w:rFonts w:hint="eastAsia" w:ascii="宋体" w:hAnsi="宋体"/>
          <w:b/>
          <w:bCs/>
          <w:highlight w:val="none"/>
        </w:rPr>
        <w:t>采</w:t>
      </w:r>
      <w:r>
        <w:rPr>
          <w:rFonts w:ascii="宋体" w:hAnsi="宋体"/>
          <w:b/>
          <w:bCs/>
          <w:highlight w:val="none"/>
        </w:rPr>
        <w:t xml:space="preserve"> </w:t>
      </w:r>
      <w:r>
        <w:rPr>
          <w:rFonts w:hint="eastAsia" w:ascii="宋体" w:hAnsi="宋体"/>
          <w:b/>
          <w:bCs/>
          <w:highlight w:val="none"/>
        </w:rPr>
        <w:t>购</w:t>
      </w:r>
      <w:r>
        <w:rPr>
          <w:rFonts w:ascii="宋体" w:hAnsi="宋体"/>
          <w:b/>
          <w:bCs/>
          <w:highlight w:val="none"/>
        </w:rPr>
        <w:t xml:space="preserve"> </w:t>
      </w:r>
      <w:r>
        <w:rPr>
          <w:rFonts w:hint="eastAsia" w:ascii="宋体" w:hAnsi="宋体"/>
          <w:b/>
          <w:bCs/>
          <w:highlight w:val="none"/>
        </w:rPr>
        <w:t>人（以下简称甲方）：</w:t>
      </w:r>
      <w:r>
        <w:rPr>
          <w:rFonts w:ascii="宋体" w:hAnsi="宋体"/>
          <w:b/>
          <w:bCs/>
          <w:highlight w:val="none"/>
        </w:rPr>
        <w:t xml:space="preserve"> </w:t>
      </w:r>
    </w:p>
    <w:p>
      <w:pPr>
        <w:spacing w:line="360" w:lineRule="auto"/>
        <w:ind w:firstLine="482"/>
        <w:rPr>
          <w:rFonts w:ascii="宋体"/>
          <w:bCs/>
          <w:highlight w:val="none"/>
        </w:rPr>
      </w:pPr>
      <w:r>
        <w:rPr>
          <w:rFonts w:hint="eastAsia" w:ascii="宋体" w:hAnsi="宋体"/>
          <w:b/>
          <w:bCs/>
          <w:highlight w:val="none"/>
        </w:rPr>
        <w:t>供</w:t>
      </w:r>
      <w:r>
        <w:rPr>
          <w:rFonts w:ascii="宋体" w:hAnsi="宋体"/>
          <w:b/>
          <w:bCs/>
          <w:highlight w:val="none"/>
        </w:rPr>
        <w:t xml:space="preserve"> </w:t>
      </w:r>
      <w:r>
        <w:rPr>
          <w:rFonts w:hint="eastAsia" w:ascii="宋体" w:hAnsi="宋体"/>
          <w:b/>
          <w:bCs/>
          <w:highlight w:val="none"/>
        </w:rPr>
        <w:t>应</w:t>
      </w:r>
      <w:r>
        <w:rPr>
          <w:rFonts w:ascii="宋体" w:hAnsi="宋体"/>
          <w:b/>
          <w:bCs/>
          <w:highlight w:val="none"/>
        </w:rPr>
        <w:t xml:space="preserve"> </w:t>
      </w:r>
      <w:r>
        <w:rPr>
          <w:rFonts w:hint="eastAsia" w:ascii="宋体" w:hAnsi="宋体"/>
          <w:b/>
          <w:bCs/>
          <w:highlight w:val="none"/>
        </w:rPr>
        <w:t>商（以下简称乙方）：</w:t>
      </w:r>
    </w:p>
    <w:p>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4</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w:t>
      </w:r>
      <w:r>
        <w:rPr>
          <w:rFonts w:ascii="宋体" w:hAnsi="宋体"/>
          <w:bCs/>
          <w:highlight w:val="none"/>
          <w:u w:val="single"/>
        </w:rPr>
        <w:t xml:space="preserve">             </w:t>
      </w:r>
      <w:r>
        <w:rPr>
          <w:rFonts w:hint="eastAsia" w:ascii="宋体" w:hAnsi="宋体"/>
          <w:bCs/>
          <w:highlight w:val="none"/>
        </w:rPr>
        <w:t>项目（</w:t>
      </w:r>
      <w:r>
        <w:rPr>
          <w:rFonts w:hint="eastAsia" w:ascii="宋体" w:hAnsi="宋体"/>
          <w:bCs/>
          <w:highlight w:val="none"/>
          <w:lang w:eastAsia="zh-CN"/>
        </w:rPr>
        <w:t>青海浩驰磋商（服务）2024-045号（第二次）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rPr>
        <w:t>的</w:t>
      </w:r>
      <w:r>
        <w:rPr>
          <w:rFonts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pPr>
        <w:autoSpaceDE w:val="0"/>
        <w:autoSpaceDN w:val="0"/>
        <w:spacing w:line="360" w:lineRule="auto"/>
        <w:rPr>
          <w:rFonts w:hint="eastAsia" w:ascii="宋体" w:hAnsi="宋体" w:cs="宋体"/>
          <w:color w:val="000000"/>
          <w:kern w:val="0"/>
          <w:highlight w:val="none"/>
          <w:lang w:val="zh-CN"/>
        </w:rPr>
      </w:pPr>
      <w:r>
        <w:rPr>
          <w:rFonts w:hint="eastAsia" w:ascii="宋体" w:hAnsi="Calibri" w:cs="宋体"/>
          <w:kern w:val="0"/>
          <w:highlight w:val="none"/>
          <w:lang w:val="zh-CN"/>
        </w:rPr>
        <w:t>一、</w:t>
      </w:r>
      <w:r>
        <w:rPr>
          <w:rFonts w:hint="eastAsia" w:ascii="宋体" w:hAnsi="宋体" w:cs="宋体"/>
          <w:color w:val="000000"/>
          <w:kern w:val="0"/>
          <w:highlight w:val="none"/>
          <w:lang w:val="zh-CN"/>
        </w:rPr>
        <w:t>签订本政府采购合同的依据：</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1.招标文件；</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2.招标文件的澄清、变更公告；</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3.中标人提交的投标文件；</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4.招标文件中规定的政府采购合同通用条款；</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5.中标通知书、分项报价表；</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6.履约保证金缴费证明（如有）；</w:t>
      </w:r>
    </w:p>
    <w:p>
      <w:pPr>
        <w:autoSpaceDE w:val="0"/>
        <w:autoSpaceDN w:val="0"/>
        <w:spacing w:line="360" w:lineRule="exact"/>
        <w:ind w:firstLine="360"/>
        <w:jc w:val="left"/>
        <w:rPr>
          <w:rFonts w:ascii="宋体" w:hAnsi="宋体"/>
          <w:color w:val="000000"/>
          <w:highlight w:val="none"/>
        </w:rPr>
      </w:pPr>
      <w:r>
        <w:rPr>
          <w:rFonts w:hint="eastAsia" w:ascii="宋体" w:hAnsi="宋体"/>
          <w:color w:val="000000"/>
          <w:highlight w:val="none"/>
        </w:rPr>
        <w:t>二、服务质量保证</w:t>
      </w:r>
    </w:p>
    <w:p>
      <w:pPr>
        <w:spacing w:line="360" w:lineRule="auto"/>
        <w:ind w:firstLine="420" w:firstLineChars="200"/>
        <w:rPr>
          <w:rFonts w:ascii="宋体" w:hAnsi="宋体"/>
          <w:bCs/>
          <w:color w:val="000000"/>
          <w:highlight w:val="none"/>
        </w:rPr>
      </w:pPr>
      <w:r>
        <w:rPr>
          <w:rFonts w:hint="eastAsia" w:ascii="宋体" w:hAnsi="宋体"/>
          <w:bCs/>
          <w:color w:val="000000"/>
          <w:highlight w:val="none"/>
        </w:rPr>
        <w:t>1、乙方所提供的服务质量必须与招标文件、投标报价文件和承诺相一致。</w:t>
      </w:r>
    </w:p>
    <w:p>
      <w:pPr>
        <w:spacing w:line="360" w:lineRule="auto"/>
        <w:ind w:firstLine="420" w:firstLineChars="200"/>
        <w:rPr>
          <w:rFonts w:hint="eastAsia" w:ascii="宋体" w:hAnsi="宋体"/>
          <w:bCs/>
          <w:color w:val="000000"/>
          <w:highlight w:val="none"/>
        </w:rPr>
      </w:pPr>
      <w:r>
        <w:rPr>
          <w:rFonts w:hint="eastAsia" w:ascii="宋体" w:hAnsi="宋体"/>
          <w:bCs/>
          <w:color w:val="000000"/>
          <w:highlight w:val="none"/>
        </w:rPr>
        <w:t>2、乙方应保证所提供服务不会侵犯任何第三方的专利权、商标权或其他权利。</w:t>
      </w:r>
    </w:p>
    <w:p>
      <w:pPr>
        <w:spacing w:line="360" w:lineRule="auto"/>
        <w:rPr>
          <w:rFonts w:ascii="宋体" w:hAnsi="宋体"/>
          <w:color w:val="000000"/>
          <w:highlight w:val="none"/>
        </w:rPr>
      </w:pPr>
      <w:r>
        <w:rPr>
          <w:rFonts w:hint="eastAsia" w:ascii="宋体" w:hAnsi="宋体"/>
          <w:color w:val="000000"/>
          <w:highlight w:val="none"/>
        </w:rPr>
        <w:t>三、合同的变更、终止与转让</w:t>
      </w:r>
    </w:p>
    <w:p>
      <w:pPr>
        <w:spacing w:line="360" w:lineRule="auto"/>
        <w:ind w:firstLine="420" w:firstLineChars="200"/>
        <w:rPr>
          <w:rFonts w:ascii="宋体" w:hAnsi="宋体"/>
          <w:color w:val="000000"/>
          <w:highlight w:val="none"/>
        </w:rPr>
      </w:pPr>
      <w:r>
        <w:rPr>
          <w:rFonts w:hint="eastAsia" w:ascii="宋体" w:hAnsi="宋体"/>
          <w:color w:val="000000"/>
          <w:highlight w:val="none"/>
        </w:rPr>
        <w:t>1、除《中华人民共和国政府采购法》第50条规定的情形外，本合同一经签订，甲乙双方不得擅自变更、中止或终止。</w:t>
      </w:r>
    </w:p>
    <w:p>
      <w:pPr>
        <w:spacing w:line="360" w:lineRule="auto"/>
        <w:ind w:firstLine="420" w:firstLineChars="200"/>
        <w:rPr>
          <w:rFonts w:ascii="宋体" w:hAnsi="宋体"/>
          <w:color w:val="000000"/>
          <w:highlight w:val="none"/>
        </w:rPr>
      </w:pPr>
      <w:r>
        <w:rPr>
          <w:rFonts w:hint="eastAsia" w:ascii="宋体" w:hAnsi="宋体"/>
          <w:color w:val="000000"/>
          <w:highlight w:val="none"/>
        </w:rPr>
        <w:t>2、乙方不得擅自转让其应履行的合同义务。</w:t>
      </w:r>
    </w:p>
    <w:p>
      <w:pPr>
        <w:spacing w:line="360" w:lineRule="auto"/>
        <w:ind w:firstLine="420" w:firstLineChars="200"/>
        <w:rPr>
          <w:rFonts w:ascii="宋体" w:hAnsi="宋体"/>
          <w:color w:val="000000"/>
          <w:highlight w:val="none"/>
        </w:rPr>
      </w:pPr>
      <w:r>
        <w:rPr>
          <w:rFonts w:hint="eastAsia" w:ascii="宋体" w:hAnsi="宋体"/>
          <w:color w:val="000000"/>
          <w:highlight w:val="none"/>
        </w:rPr>
        <w:t>3、</w:t>
      </w:r>
      <w:r>
        <w:rPr>
          <w:rFonts w:hint="eastAsia" w:ascii="宋体" w:hAnsi="宋体" w:cs="宋体"/>
          <w:color w:val="000000"/>
          <w:highlight w:val="none"/>
        </w:rPr>
        <w:t>任何对合同条款的变更或修改均须双方签订合同修改书。</w:t>
      </w:r>
    </w:p>
    <w:p>
      <w:pPr>
        <w:snapToGrid w:val="0"/>
        <w:spacing w:before="163" w:beforeLines="50" w:line="360" w:lineRule="auto"/>
        <w:textAlignment w:val="baseline"/>
        <w:rPr>
          <w:rFonts w:ascii="宋体" w:hAnsi="宋体" w:cs="宋体"/>
          <w:color w:val="000000"/>
          <w:highlight w:val="none"/>
        </w:rPr>
      </w:pPr>
      <w:r>
        <w:rPr>
          <w:rFonts w:hint="eastAsia" w:ascii="宋体" w:hAnsi="宋体" w:cs="宋体"/>
          <w:color w:val="000000"/>
          <w:highlight w:val="none"/>
        </w:rPr>
        <w:t>四、合同有效期限</w:t>
      </w:r>
    </w:p>
    <w:p>
      <w:pPr>
        <w:snapToGrid w:val="0"/>
        <w:spacing w:line="360" w:lineRule="auto"/>
        <w:ind w:firstLine="420" w:firstLineChars="200"/>
        <w:textAlignment w:val="baseline"/>
        <w:rPr>
          <w:rFonts w:hint="eastAsia" w:eastAsia="宋体"/>
          <w:highlight w:val="none"/>
          <w:u w:val="single"/>
          <w:lang w:eastAsia="zh-CN"/>
        </w:rPr>
      </w:pPr>
      <w:r>
        <w:rPr>
          <w:rFonts w:hint="eastAsia" w:hAnsi="宋体" w:cs="宋体"/>
          <w:highlight w:val="none"/>
        </w:rPr>
        <w:t>1、</w:t>
      </w:r>
      <w:r>
        <w:rPr>
          <w:rFonts w:hint="eastAsia"/>
          <w:highlight w:val="none"/>
        </w:rPr>
        <w:t>服务期限：</w:t>
      </w:r>
      <w:r>
        <w:rPr>
          <w:rFonts w:hint="eastAsia"/>
          <w:highlight w:val="none"/>
          <w:u w:val="single"/>
        </w:rPr>
        <w:t>培训工作于2024年8月底前全面结束。9月15日前向采购方报送最终审核版培训资料</w:t>
      </w:r>
      <w:r>
        <w:rPr>
          <w:rFonts w:hint="eastAsia"/>
          <w:highlight w:val="none"/>
          <w:u w:val="single"/>
          <w:lang w:eastAsia="zh-CN"/>
        </w:rPr>
        <w:t>。</w:t>
      </w:r>
    </w:p>
    <w:p>
      <w:pPr>
        <w:snapToGrid w:val="0"/>
        <w:spacing w:line="360" w:lineRule="auto"/>
        <w:ind w:firstLine="420" w:firstLineChars="200"/>
        <w:textAlignment w:val="baseline"/>
        <w:rPr>
          <w:rFonts w:ascii="宋体" w:hAnsi="宋体" w:cs="宋体"/>
          <w:highlight w:val="none"/>
        </w:rPr>
      </w:pPr>
      <w:r>
        <w:rPr>
          <w:rFonts w:hint="eastAsia" w:ascii="宋体" w:hAnsi="宋体" w:cs="宋体"/>
          <w:highlight w:val="none"/>
        </w:rPr>
        <w:t>2、服务地点：</w:t>
      </w:r>
      <w:r>
        <w:rPr>
          <w:rFonts w:hint="eastAsia" w:ascii="宋体" w:hAnsi="宋体" w:cs="宋体"/>
          <w:highlight w:val="none"/>
          <w:u w:val="single"/>
          <w:lang w:val="en-US" w:eastAsia="zh-CN"/>
        </w:rPr>
        <w:t xml:space="preserve"> 甲方指定地点 </w:t>
      </w:r>
      <w:r>
        <w:rPr>
          <w:rFonts w:hint="eastAsia" w:ascii="宋体" w:hAnsi="宋体" w:cs="宋体"/>
          <w:highlight w:val="none"/>
        </w:rPr>
        <w:t>。</w:t>
      </w:r>
    </w:p>
    <w:p>
      <w:pPr>
        <w:autoSpaceDE w:val="0"/>
        <w:autoSpaceDN w:val="0"/>
        <w:spacing w:line="360" w:lineRule="auto"/>
        <w:ind w:firstLine="420" w:firstLineChars="200"/>
        <w:rPr>
          <w:rFonts w:hint="eastAsia"/>
          <w:highlight w:val="none"/>
        </w:rPr>
      </w:pPr>
      <w:r>
        <w:rPr>
          <w:rFonts w:ascii="宋体" w:hAnsi="宋体" w:cs="宋体"/>
          <w:highlight w:val="none"/>
        </w:rPr>
        <w:t>3</w:t>
      </w:r>
      <w:r>
        <w:rPr>
          <w:rFonts w:hint="eastAsia" w:ascii="宋体" w:hAnsi="宋体" w:cs="宋体"/>
          <w:highlight w:val="none"/>
        </w:rPr>
        <w:t>、付款方式:</w:t>
      </w:r>
      <w:r>
        <w:rPr>
          <w:rFonts w:hint="eastAsia"/>
          <w:highlight w:val="none"/>
        </w:rPr>
        <w:t xml:space="preserve"> </w:t>
      </w:r>
      <w:r>
        <w:rPr>
          <w:rFonts w:hint="eastAsia"/>
          <w:highlight w:val="none"/>
          <w:u w:val="single"/>
        </w:rPr>
        <w:t>合同签订后，甲方向乙方支付合同总价款的60%作为预付款，按甲方要求保质保量完成所有培训内容后，支付剩余合同总价款的40%</w:t>
      </w:r>
      <w:r>
        <w:rPr>
          <w:rFonts w:hint="eastAsia"/>
          <w:highlight w:val="none"/>
        </w:rPr>
        <w:t>。</w:t>
      </w:r>
    </w:p>
    <w:p>
      <w:pPr>
        <w:autoSpaceDE w:val="0"/>
        <w:autoSpaceDN w:val="0"/>
        <w:spacing w:line="360" w:lineRule="auto"/>
        <w:ind w:firstLine="420" w:firstLineChars="200"/>
        <w:rPr>
          <w:rFonts w:ascii="宋体" w:hAnsi="Calibri" w:cs="宋体"/>
          <w:color w:val="FF0000"/>
          <w:highlight w:val="none"/>
          <w:lang w:val="zh-CN"/>
        </w:rPr>
      </w:pPr>
      <w:r>
        <w:rPr>
          <w:rFonts w:hint="eastAsia" w:ascii="宋体" w:hAnsi="宋体" w:cs="宋体"/>
          <w:highlight w:val="none"/>
        </w:rPr>
        <w:t>4、履约验收：中标后，甲乙双方另行约定。</w:t>
      </w:r>
    </w:p>
    <w:p>
      <w:pPr>
        <w:snapToGrid w:val="0"/>
        <w:spacing w:before="163" w:beforeLines="50" w:line="360" w:lineRule="auto"/>
        <w:textAlignment w:val="baseline"/>
        <w:rPr>
          <w:rFonts w:ascii="宋体" w:hAnsi="宋体" w:cs="宋体"/>
          <w:color w:val="000000"/>
          <w:highlight w:val="none"/>
        </w:rPr>
      </w:pPr>
      <w:r>
        <w:rPr>
          <w:rFonts w:hint="eastAsia" w:ascii="宋体" w:hAnsi="宋体" w:cs="宋体"/>
          <w:color w:val="000000"/>
          <w:highlight w:val="none"/>
        </w:rPr>
        <w:t>五、 乙方履约延误</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乙方应按照合同约定的时间交货和提供服务。</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3. 除了不可抗力外，除非延期是根据合同规定取得甲方同意而不收取误期赔偿费之外，乙方延误交货和提供服务，将按合同规定承担误期赔偿费。</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4. 由甲方从未付的合同款项中扣除误期赔偿费，或向乙方提出索赔。</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pPr>
        <w:snapToGrid w:val="0"/>
        <w:spacing w:before="163" w:beforeLines="50" w:line="360" w:lineRule="auto"/>
        <w:ind w:firstLine="210" w:firstLineChars="100"/>
        <w:textAlignment w:val="baseline"/>
        <w:rPr>
          <w:rFonts w:ascii="宋体" w:hAnsi="宋体" w:cs="宋体"/>
          <w:color w:val="000000"/>
          <w:highlight w:val="none"/>
        </w:rPr>
      </w:pPr>
      <w:r>
        <w:rPr>
          <w:rFonts w:hint="eastAsia" w:ascii="宋体" w:hAnsi="宋体" w:cs="宋体"/>
          <w:color w:val="000000"/>
          <w:highlight w:val="none"/>
        </w:rPr>
        <w:t>六、违约责任</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在甲方对乙方违约而采取的任何补救措施不能实施的情况下，甲方可向乙方发出书面违约通知书，提出暂停、终止部分或全部合同：</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1.1 乙方未能在合同规定的限期或甲方根据合同规定同意延长的限期内提供部分或全部货物；</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1.2 乙方未能履行合同规定的其它任何义务。</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甲方根据规定，终止了全部或部分合同，甲方可以依其认为适当的条件和方法购买与未交货物类似的货物，乙方应承担甲方购买类似货物的所有费用。</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七、不可抗力</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“不可抗力”指战争、严重火灾、洪水、台风、地震等无法控制，不可预见的事件。</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乙方因不可抗力而导致合同实施延误或不能履行合同义务的话，不承担误期赔偿或终止合同的责任。</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八、破产终止合同</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如果乙方破产或无清偿能力，甲方可在任何时候以书面形式通知乙方，提出终止合同而不给乙方补偿。</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该终止合同将不损害或影响甲方已经采取或将要采取的任何行动或补救措施的权力。</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九、腐败终止合同</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如果乙方在合同的竞争和实施过程中有腐败和欺诈行为，则不能在甲方今后的项目采购中参加投标或在一段时间内不能参加投标。</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十、其他情况的终止合同</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乙方在执行合同的过程中出现经营状况严重恶化或发生重大生产事故而难以完成履约的，以及出现其他对履行合同有直接影响的情况，甲方可以提出终止合同而不给予乙方任何补偿。</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十一、争端的解决</w:t>
      </w:r>
    </w:p>
    <w:p>
      <w:pPr>
        <w:numPr>
          <w:ilvl w:val="0"/>
          <w:numId w:val="4"/>
        </w:numPr>
        <w:snapToGrid w:val="0"/>
        <w:spacing w:line="360" w:lineRule="auto"/>
        <w:textAlignment w:val="baseline"/>
        <w:rPr>
          <w:rFonts w:ascii="宋体" w:hAnsi="宋体" w:cs="宋体"/>
          <w:color w:val="000000"/>
          <w:highlight w:val="none"/>
        </w:rPr>
      </w:pPr>
      <w:r>
        <w:rPr>
          <w:rFonts w:hint="eastAsia" w:ascii="宋体" w:hAnsi="宋体" w:cs="宋体"/>
          <w:color w:val="000000"/>
          <w:highlight w:val="none"/>
        </w:rPr>
        <w:t>与合同有关的一切争端应通过双方友好协商解决。</w:t>
      </w:r>
    </w:p>
    <w:p>
      <w:pPr>
        <w:numPr>
          <w:ilvl w:val="0"/>
          <w:numId w:val="4"/>
        </w:numPr>
        <w:snapToGrid w:val="0"/>
        <w:spacing w:line="360" w:lineRule="auto"/>
        <w:textAlignment w:val="baseline"/>
        <w:rPr>
          <w:rFonts w:ascii="宋体" w:hAnsi="宋体" w:cs="宋体"/>
          <w:color w:val="000000"/>
          <w:highlight w:val="none"/>
        </w:rPr>
      </w:pPr>
      <w:r>
        <w:rPr>
          <w:rFonts w:hint="eastAsia" w:ascii="宋体" w:hAnsi="宋体" w:cs="宋体"/>
          <w:color w:val="000000"/>
          <w:highlight w:val="none"/>
        </w:rPr>
        <w:t>如果友好协商开始后15天还不能解决，争端应提交甲方所在地仲裁机构仲裁。</w:t>
      </w:r>
    </w:p>
    <w:p>
      <w:pPr>
        <w:numPr>
          <w:ilvl w:val="0"/>
          <w:numId w:val="4"/>
        </w:numPr>
        <w:snapToGrid w:val="0"/>
        <w:spacing w:line="360" w:lineRule="auto"/>
        <w:textAlignment w:val="baseline"/>
        <w:rPr>
          <w:rFonts w:ascii="宋体" w:hAnsi="宋体" w:cs="宋体"/>
          <w:color w:val="000000"/>
          <w:highlight w:val="none"/>
        </w:rPr>
      </w:pPr>
      <w:r>
        <w:rPr>
          <w:rFonts w:hint="eastAsia" w:ascii="宋体" w:hAnsi="宋体" w:cs="宋体"/>
          <w:color w:val="000000"/>
          <w:highlight w:val="none"/>
        </w:rPr>
        <w:t>在仲裁期间，除正在仲裁的部分外，本合同其它部分应继续进行</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十二、 合同语言</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1. 本合同语言为中文。</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2. 双方交换的与合同有关的信件和其他文件应用合同语言书写。</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二十三、适用法律</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本合同应按照中华人民共和国的法律进行解释。</w:t>
      </w:r>
    </w:p>
    <w:p>
      <w:pPr>
        <w:snapToGrid w:val="0"/>
        <w:spacing w:before="163" w:beforeLines="50"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二十四、税    费</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合同货物及服务的所有税费均已包含于合同价中，甲方不再另行支付。</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二十五、合同生效</w:t>
      </w:r>
    </w:p>
    <w:p>
      <w:pPr>
        <w:snapToGrid w:val="0"/>
        <w:spacing w:line="360" w:lineRule="auto"/>
        <w:ind w:firstLine="420" w:firstLineChars="200"/>
        <w:textAlignment w:val="baseline"/>
        <w:rPr>
          <w:rFonts w:ascii="宋体" w:hAnsi="宋体" w:cs="宋体"/>
          <w:color w:val="000000"/>
          <w:highlight w:val="none"/>
        </w:rPr>
      </w:pPr>
      <w:r>
        <w:rPr>
          <w:rFonts w:hint="eastAsia" w:ascii="宋体" w:hAnsi="宋体" w:cs="宋体"/>
          <w:color w:val="000000"/>
          <w:highlight w:val="none"/>
        </w:rPr>
        <w:t>本合同经双方授权代表签字盖章后生效。</w:t>
      </w:r>
    </w:p>
    <w:p>
      <w:pPr>
        <w:autoSpaceDE w:val="0"/>
        <w:autoSpaceDN w:val="0"/>
        <w:adjustRightInd w:val="0"/>
        <w:spacing w:line="360" w:lineRule="auto"/>
        <w:ind w:firstLine="480"/>
        <w:rPr>
          <w:rFonts w:hint="eastAsia" w:ascii="宋体" w:hAnsi="宋体" w:cs="宋体"/>
          <w:sz w:val="24"/>
          <w:szCs w:val="24"/>
          <w:highlight w:val="none"/>
          <w:lang w:val="zh-CN"/>
        </w:rPr>
      </w:pP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甲方（盖章）：                         乙方（盖章）：</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法定代表人或委托代理人：               法定代表人或委托代理人：</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                                   开户银行：</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联系电话：                             账号：</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                                   联系电话：</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签约时间：        年    月    日</w:t>
      </w:r>
    </w:p>
    <w:p>
      <w:pPr>
        <w:autoSpaceDE w:val="0"/>
        <w:autoSpaceDN w:val="0"/>
        <w:adjustRightInd w:val="0"/>
        <w:spacing w:line="360" w:lineRule="auto"/>
        <w:rPr>
          <w:rFonts w:hint="eastAsia" w:ascii="宋体" w:hAnsi="宋体" w:cs="宋体"/>
          <w:sz w:val="24"/>
          <w:szCs w:val="24"/>
          <w:highlight w:val="none"/>
          <w:lang w:val="zh-CN"/>
        </w:rPr>
      </w:pP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负责人或经办人：</w:t>
      </w:r>
    </w:p>
    <w:p>
      <w:pPr>
        <w:snapToGrid w:val="0"/>
        <w:spacing w:line="360" w:lineRule="auto"/>
        <w:ind w:firstLine="420" w:firstLineChars="200"/>
        <w:textAlignment w:val="baseline"/>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合同备案时间：        年    月   日</w:t>
      </w:r>
    </w:p>
    <w:p>
      <w:pPr>
        <w:ind w:firstLine="2891" w:firstLineChars="800"/>
        <w:jc w:val="both"/>
        <w:rPr>
          <w:rFonts w:ascii="宋体"/>
          <w:b/>
          <w:sz w:val="36"/>
          <w:szCs w:val="36"/>
          <w:highlight w:val="none"/>
        </w:rPr>
      </w:pPr>
      <w:r>
        <w:rPr>
          <w:rFonts w:hint="eastAsia" w:ascii="宋体" w:hAnsi="宋体"/>
          <w:b/>
          <w:sz w:val="36"/>
          <w:szCs w:val="36"/>
          <w:highlight w:val="none"/>
        </w:rPr>
        <w:t>合同通用条款</w:t>
      </w:r>
    </w:p>
    <w:p>
      <w:pPr>
        <w:spacing w:line="360" w:lineRule="auto"/>
        <w:ind w:firstLine="480"/>
        <w:rPr>
          <w:rFonts w:ascii="宋体"/>
          <w:highlight w:val="none"/>
        </w:rPr>
      </w:pPr>
    </w:p>
    <w:p>
      <w:pPr>
        <w:spacing w:line="360" w:lineRule="auto"/>
        <w:ind w:firstLine="480"/>
        <w:rPr>
          <w:rFonts w:ascii="宋体"/>
          <w:highlight w:val="none"/>
        </w:rPr>
      </w:pPr>
      <w:r>
        <w:rPr>
          <w:rFonts w:hint="eastAsia" w:ascii="宋体" w:hAnsi="宋体"/>
          <w:highlight w:val="none"/>
        </w:rPr>
        <w:t>根据《中华人民共和国</w:t>
      </w:r>
      <w:r>
        <w:rPr>
          <w:rFonts w:hint="eastAsia" w:ascii="宋体" w:hAnsi="宋体"/>
          <w:highlight w:val="none"/>
          <w:lang w:eastAsia="zh-CN"/>
        </w:rPr>
        <w:t>民法典</w:t>
      </w:r>
      <w:r>
        <w:rPr>
          <w:rFonts w:hint="eastAsia" w:ascii="宋体" w:hAnsi="宋体"/>
          <w:highlight w:val="none"/>
        </w:rPr>
        <w:t>》、《中华人民共和国政府采购法》的规定，合同双方经协商达成一致，自愿订立本合同，遵循公平原则明确双方的权利、义务，确保双方诚实守信地履行合同。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pPr>
        <w:spacing w:line="360" w:lineRule="auto"/>
        <w:ind w:firstLine="480"/>
        <w:rPr>
          <w:rFonts w:ascii="宋体"/>
          <w:highlight w:val="none"/>
        </w:rPr>
      </w:pPr>
      <w:r>
        <w:rPr>
          <w:rFonts w:hint="eastAsia" w:ascii="宋体" w:hAnsi="宋体"/>
          <w:highlight w:val="none"/>
        </w:rPr>
        <w:t>本合同中的下列术语应解释为：</w:t>
      </w:r>
    </w:p>
    <w:p>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pPr>
        <w:spacing w:line="360" w:lineRule="auto"/>
        <w:ind w:firstLine="480"/>
        <w:rPr>
          <w:rFonts w:ascii="宋体"/>
          <w:highlight w:val="none"/>
        </w:rPr>
      </w:pPr>
      <w:r>
        <w:rPr>
          <w:rFonts w:hint="eastAsia" w:ascii="宋体" w:hAnsi="宋体"/>
          <w:highlight w:val="none"/>
        </w:rPr>
        <w:t>与本合同有关的一切税费均由乙方承担。</w:t>
      </w:r>
    </w:p>
    <w:p>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pPr>
        <w:spacing w:line="360" w:lineRule="auto"/>
        <w:ind w:firstLine="480"/>
        <w:rPr>
          <w:rFonts w:ascii="宋体"/>
          <w:highlight w:val="none"/>
        </w:rPr>
      </w:pPr>
      <w:r>
        <w:rPr>
          <w:rFonts w:hint="eastAsia" w:ascii="宋体" w:hAnsi="宋体"/>
          <w:highlight w:val="none"/>
        </w:rPr>
        <w:t>本合同按照中华人民共和国的相关法律进行解释。</w:t>
      </w:r>
    </w:p>
    <w:p>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pPr>
        <w:keepNext/>
        <w:keepLines/>
        <w:widowControl/>
        <w:snapToGrid w:val="0"/>
        <w:spacing w:line="400" w:lineRule="atLeast"/>
        <w:ind w:firstLine="2187" w:firstLineChars="605"/>
        <w:outlineLvl w:val="0"/>
        <w:rPr>
          <w:rFonts w:ascii="宋体"/>
          <w:b/>
          <w:kern w:val="28"/>
          <w:sz w:val="36"/>
          <w:szCs w:val="20"/>
          <w:highlight w:val="none"/>
        </w:rPr>
      </w:pPr>
      <w:bookmarkStart w:id="173" w:name="_Toc12804"/>
      <w:bookmarkStart w:id="174" w:name="_Toc496004028"/>
      <w:bookmarkStart w:id="175" w:name="_Toc49662623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3"/>
      <w:bookmarkEnd w:id="174"/>
      <w:bookmarkEnd w:id="175"/>
    </w:p>
    <w:p>
      <w:pPr>
        <w:keepNext/>
        <w:keepLines/>
        <w:widowControl/>
        <w:snapToGrid w:val="0"/>
        <w:spacing w:line="400" w:lineRule="atLeast"/>
        <w:outlineLvl w:val="0"/>
        <w:rPr>
          <w:rFonts w:ascii="宋体"/>
          <w:b/>
          <w:kern w:val="28"/>
          <w:sz w:val="36"/>
          <w:szCs w:val="20"/>
          <w:highlight w:val="none"/>
        </w:rPr>
      </w:pPr>
    </w:p>
    <w:p>
      <w:pPr>
        <w:keepNext/>
        <w:keepLines/>
        <w:widowControl/>
        <w:snapToGrid w:val="0"/>
        <w:spacing w:line="400" w:lineRule="atLeast"/>
        <w:jc w:val="center"/>
        <w:outlineLvl w:val="0"/>
        <w:rPr>
          <w:rFonts w:ascii="宋体"/>
          <w:b/>
          <w:kern w:val="28"/>
          <w:sz w:val="36"/>
          <w:szCs w:val="20"/>
          <w:highlight w:val="none"/>
        </w:rPr>
      </w:pPr>
      <w:bookmarkStart w:id="176" w:name="_Toc496004029"/>
      <w:bookmarkStart w:id="177" w:name="_Toc32454"/>
      <w:bookmarkStart w:id="178" w:name="_Toc496626234"/>
      <w:r>
        <w:rPr>
          <w:rFonts w:hint="eastAsia" w:ascii="宋体"/>
          <w:b/>
          <w:kern w:val="28"/>
          <w:sz w:val="36"/>
          <w:szCs w:val="20"/>
          <w:highlight w:val="none"/>
        </w:rPr>
        <w:t>磋商响应文件的组成</w:t>
      </w:r>
      <w:bookmarkEnd w:id="176"/>
      <w:bookmarkEnd w:id="177"/>
      <w:bookmarkEnd w:id="178"/>
    </w:p>
    <w:p>
      <w:pPr>
        <w:spacing w:line="500" w:lineRule="exact"/>
        <w:ind w:firstLine="480"/>
        <w:rPr>
          <w:rFonts w:ascii="宋体"/>
          <w:highlight w:val="none"/>
        </w:rPr>
      </w:pPr>
      <w:r>
        <w:rPr>
          <w:rFonts w:hint="eastAsia" w:ascii="宋体" w:hAnsi="宋体"/>
          <w:highlight w:val="none"/>
        </w:rPr>
        <w:t>（一）资格审查文件</w:t>
      </w:r>
    </w:p>
    <w:p>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pPr>
        <w:spacing w:line="500" w:lineRule="exact"/>
        <w:ind w:firstLine="480"/>
        <w:rPr>
          <w:rFonts w:hint="eastAsia"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pPr>
        <w:spacing w:line="500" w:lineRule="exact"/>
        <w:ind w:firstLine="480"/>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9、</w:t>
      </w:r>
      <w:r>
        <w:rPr>
          <w:rFonts w:hint="eastAsia" w:ascii="宋体" w:hAnsi="宋体" w:eastAsia="宋体" w:cs="Times New Roman"/>
          <w:highlight w:val="none"/>
          <w:lang w:val="zh-CN" w:eastAsia="zh-CN"/>
        </w:rPr>
        <w:t>具备履行合同所必需的设备和专业技术能力的证明材料</w:t>
      </w:r>
      <w:r>
        <w:rPr>
          <w:rFonts w:hint="eastAsia" w:ascii="宋体" w:hAnsi="宋体" w:eastAsia="宋体" w:cs="Times New Roman"/>
          <w:highlight w:val="none"/>
          <w:lang w:val="en-US" w:eastAsia="zh-CN"/>
        </w:rPr>
        <w:t>……（附件9）</w:t>
      </w:r>
    </w:p>
    <w:p>
      <w:pPr>
        <w:pStyle w:val="13"/>
        <w:ind w:firstLine="420"/>
        <w:rPr>
          <w:rFonts w:hint="eastAsia" w:ascii="宋体" w:hAnsi="宋体"/>
          <w:highlight w:val="none"/>
        </w:rPr>
      </w:pPr>
    </w:p>
    <w:p>
      <w:pPr>
        <w:pStyle w:val="13"/>
        <w:ind w:firstLine="420"/>
        <w:rPr>
          <w:rFonts w:ascii="宋体"/>
          <w:highlight w:val="none"/>
        </w:rPr>
      </w:pPr>
      <w:r>
        <w:rPr>
          <w:rFonts w:hint="eastAsia" w:ascii="宋体" w:hAnsi="宋体"/>
          <w:highlight w:val="none"/>
        </w:rPr>
        <w:t>（二）符合性审查文件</w:t>
      </w:r>
    </w:p>
    <w:p>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w:t>
      </w:r>
      <w:r>
        <w:rPr>
          <w:rFonts w:hint="eastAsia" w:ascii="宋体" w:hAnsi="宋体"/>
          <w:highlight w:val="none"/>
          <w:lang w:val="en-US" w:eastAsia="zh-CN"/>
        </w:rPr>
        <w:t>10</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2</w:t>
      </w:r>
      <w:r>
        <w:rPr>
          <w:rFonts w:hint="eastAsia" w:ascii="宋体" w:hAnsi="宋体"/>
          <w:highlight w:val="none"/>
        </w:rPr>
        <w:t>、服务响应表………………………………………………………（附件</w:t>
      </w: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3</w:t>
      </w:r>
      <w:r>
        <w:rPr>
          <w:rFonts w:hint="eastAsia" w:ascii="宋体" w:hAnsi="宋体"/>
          <w:highlight w:val="none"/>
        </w:rPr>
        <w:t>、其他资格证明材料………………………………………………（附件</w:t>
      </w:r>
      <w:r>
        <w:rPr>
          <w:rFonts w:ascii="宋体" w:hAnsi="宋体"/>
          <w:highlight w:val="none"/>
        </w:rPr>
        <w:t>1</w:t>
      </w:r>
      <w:r>
        <w:rPr>
          <w:rFonts w:hint="eastAsia" w:ascii="宋体" w:hAnsi="宋体"/>
          <w:highlight w:val="none"/>
          <w:lang w:val="en-US" w:eastAsia="zh-CN"/>
        </w:rPr>
        <w:t>2</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4</w:t>
      </w:r>
      <w:r>
        <w:rPr>
          <w:rFonts w:hint="eastAsia" w:ascii="宋体" w:hAnsi="宋体"/>
          <w:highlight w:val="none"/>
        </w:rPr>
        <w:t>、服务方案…………………………………………………………（附件</w:t>
      </w:r>
      <w:r>
        <w:rPr>
          <w:rFonts w:ascii="宋体" w:hAnsi="宋体"/>
          <w:highlight w:val="none"/>
        </w:rPr>
        <w:t>1</w:t>
      </w:r>
      <w:r>
        <w:rPr>
          <w:rFonts w:hint="eastAsia" w:ascii="宋体" w:hAnsi="宋体"/>
          <w:highlight w:val="none"/>
          <w:lang w:val="en-US" w:eastAsia="zh-CN"/>
        </w:rPr>
        <w:t>3</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5</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lang w:val="en-US" w:eastAsia="zh-CN"/>
        </w:rPr>
        <w:t>4</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6</w:t>
      </w:r>
      <w:r>
        <w:rPr>
          <w:rFonts w:hint="eastAsia" w:ascii="宋体" w:hAnsi="宋体"/>
          <w:highlight w:val="none"/>
        </w:rPr>
        <w:t>、中小企业声明函…………………………………………………（附件</w:t>
      </w:r>
      <w:r>
        <w:rPr>
          <w:rFonts w:ascii="宋体" w:hAnsi="宋体"/>
          <w:highlight w:val="none"/>
        </w:rPr>
        <w:t>1</w:t>
      </w:r>
      <w:r>
        <w:rPr>
          <w:rFonts w:hint="eastAsia" w:ascii="宋体" w:hAnsi="宋体"/>
          <w:highlight w:val="none"/>
          <w:lang w:val="en-US" w:eastAsia="zh-CN"/>
        </w:rPr>
        <w:t>5</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7</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lang w:val="en-US" w:eastAsia="zh-CN"/>
        </w:rPr>
        <w:t>6</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8</w:t>
      </w:r>
      <w:r>
        <w:rPr>
          <w:rFonts w:hint="eastAsia" w:ascii="宋体" w:hAnsi="宋体"/>
          <w:highlight w:val="none"/>
        </w:rPr>
        <w:t>、从业人员声明函…………………………………………………（附件</w:t>
      </w:r>
      <w:r>
        <w:rPr>
          <w:rFonts w:ascii="宋体" w:hAnsi="宋体"/>
          <w:highlight w:val="none"/>
        </w:rPr>
        <w:t>1</w:t>
      </w:r>
      <w:r>
        <w:rPr>
          <w:rFonts w:hint="eastAsia" w:ascii="宋体" w:hAnsi="宋体"/>
          <w:highlight w:val="none"/>
          <w:lang w:val="en-US" w:eastAsia="zh-CN"/>
        </w:rPr>
        <w:t>7</w:t>
      </w:r>
      <w:r>
        <w:rPr>
          <w:rFonts w:hint="eastAsia" w:ascii="宋体" w:hAnsi="宋体"/>
          <w:highlight w:val="none"/>
        </w:rPr>
        <w:t>）</w:t>
      </w:r>
    </w:p>
    <w:p>
      <w:pPr>
        <w:spacing w:line="500" w:lineRule="exact"/>
        <w:ind w:firstLine="480"/>
        <w:rPr>
          <w:rFonts w:ascii="宋体"/>
          <w:highlight w:val="none"/>
        </w:rPr>
      </w:pPr>
      <w:r>
        <w:rPr>
          <w:rFonts w:hint="eastAsia" w:ascii="宋体" w:hAnsi="宋体"/>
          <w:highlight w:val="none"/>
          <w:lang w:val="en-US" w:eastAsia="zh-CN"/>
        </w:rPr>
        <w:t>9</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lang w:val="en-US" w:eastAsia="zh-CN"/>
        </w:rPr>
        <w:t>8</w:t>
      </w:r>
      <w:r>
        <w:rPr>
          <w:rFonts w:hint="eastAsia" w:ascii="宋体" w:hAnsi="宋体"/>
          <w:highlight w:val="none"/>
        </w:rPr>
        <w:t>）</w:t>
      </w:r>
    </w:p>
    <w:p>
      <w:pPr>
        <w:ind w:firstLine="174" w:firstLineChars="83"/>
        <w:rPr>
          <w:b/>
          <w:highlight w:val="none"/>
        </w:rPr>
      </w:pPr>
      <w:r>
        <w:rPr>
          <w:rFonts w:hAnsi="宋体"/>
          <w:highlight w:val="none"/>
        </w:rPr>
        <w:br w:type="page"/>
      </w:r>
      <w:bookmarkEnd w:id="171"/>
      <w:bookmarkEnd w:id="172"/>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b/>
          <w:szCs w:val="21"/>
          <w:highlight w:val="none"/>
        </w:rPr>
      </w:pPr>
    </w:p>
    <w:p>
      <w:pPr>
        <w:spacing w:line="360" w:lineRule="auto"/>
        <w:ind w:firstLine="2364" w:firstLineChars="327"/>
        <w:rPr>
          <w:rFonts w:ascii="宋体"/>
          <w:b/>
          <w:sz w:val="72"/>
          <w:szCs w:val="72"/>
          <w:highlight w:val="none"/>
        </w:rPr>
      </w:pPr>
    </w:p>
    <w:p>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pPr>
        <w:spacing w:line="360" w:lineRule="auto"/>
        <w:ind w:firstLine="689" w:firstLineChars="327"/>
        <w:rPr>
          <w:rFonts w:ascii="宋体"/>
          <w:b/>
          <w:highlight w:val="none"/>
        </w:rPr>
      </w:pPr>
    </w:p>
    <w:p>
      <w:pPr>
        <w:adjustRightInd w:val="0"/>
        <w:spacing w:line="360" w:lineRule="auto"/>
        <w:textAlignment w:val="baseline"/>
        <w:rPr>
          <w:rFonts w:ascii="宋体"/>
          <w:b/>
          <w:bCs/>
          <w:sz w:val="32"/>
          <w:highlight w:val="none"/>
        </w:rPr>
      </w:pPr>
    </w:p>
    <w:p>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青海浩驰磋商（服务）2024-045号（第二次）</w:t>
      </w:r>
    </w:p>
    <w:p>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2024年西宁市残疾人“师带徒”培训项目（第二次）</w:t>
      </w:r>
    </w:p>
    <w:p>
      <w:pPr>
        <w:adjustRightInd w:val="0"/>
        <w:spacing w:line="360" w:lineRule="auto"/>
        <w:ind w:left="2512" w:right="-248" w:rightChars="-118" w:hanging="2512" w:hangingChars="695"/>
        <w:textAlignment w:val="baseline"/>
        <w:rPr>
          <w:rFonts w:hint="default" w:ascii="宋体" w:hAnsi="宋体"/>
          <w:b/>
          <w:sz w:val="36"/>
          <w:szCs w:val="36"/>
          <w:highlight w:val="none"/>
          <w:lang w:val="en-US" w:eastAsia="zh-CN"/>
        </w:rPr>
      </w:pPr>
      <w:r>
        <w:rPr>
          <w:rFonts w:hint="eastAsia" w:ascii="宋体" w:hAnsi="宋体"/>
          <w:b/>
          <w:sz w:val="36"/>
          <w:szCs w:val="36"/>
          <w:highlight w:val="none"/>
          <w:lang w:val="en-US" w:eastAsia="zh-CN"/>
        </w:rPr>
        <w:t>采购项目包号:</w:t>
      </w: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right="-248" w:rightChars="-118"/>
        <w:textAlignment w:val="baseline"/>
        <w:rPr>
          <w:rFonts w:ascii="宋体"/>
          <w:b/>
          <w:bCs/>
          <w:sz w:val="36"/>
          <w:szCs w:val="36"/>
          <w:highlight w:val="none"/>
        </w:rPr>
      </w:pPr>
    </w:p>
    <w:p>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9" w:name="_Toc496626235"/>
      <w:bookmarkStart w:id="180" w:name="_Toc32624"/>
      <w:r>
        <w:rPr>
          <w:rFonts w:hint="eastAsia" w:ascii="宋体"/>
          <w:b/>
          <w:sz w:val="28"/>
          <w:szCs w:val="28"/>
          <w:highlight w:val="none"/>
        </w:rPr>
        <w:t>附件</w:t>
      </w:r>
      <w:bookmarkStart w:id="181" w:name="_Toc325726037"/>
      <w:bookmarkStart w:id="182" w:name="_Toc376936768"/>
      <w:r>
        <w:rPr>
          <w:rFonts w:ascii="宋体"/>
          <w:b/>
          <w:sz w:val="28"/>
          <w:szCs w:val="28"/>
          <w:highlight w:val="none"/>
        </w:rPr>
        <w:t>1</w:t>
      </w:r>
      <w:r>
        <w:rPr>
          <w:rFonts w:hint="eastAsia" w:ascii="宋体"/>
          <w:b/>
          <w:sz w:val="28"/>
          <w:szCs w:val="28"/>
          <w:highlight w:val="none"/>
        </w:rPr>
        <w:t>：磋商函</w:t>
      </w:r>
      <w:bookmarkEnd w:id="179"/>
      <w:bookmarkEnd w:id="180"/>
      <w:bookmarkEnd w:id="181"/>
      <w:bookmarkEnd w:id="182"/>
    </w:p>
    <w:p>
      <w:pPr>
        <w:ind w:firstLine="3813" w:firstLineChars="1055"/>
        <w:rPr>
          <w:rFonts w:ascii="宋体"/>
          <w:b/>
          <w:sz w:val="36"/>
          <w:szCs w:val="36"/>
          <w:highlight w:val="none"/>
        </w:rPr>
      </w:pPr>
    </w:p>
    <w:p>
      <w:pPr>
        <w:ind w:firstLine="3813" w:firstLineChars="1055"/>
        <w:rPr>
          <w:rFonts w:ascii="宋体"/>
          <w:b/>
          <w:sz w:val="36"/>
          <w:szCs w:val="36"/>
          <w:highlight w:val="none"/>
        </w:rPr>
      </w:pPr>
      <w:r>
        <w:rPr>
          <w:rFonts w:hint="eastAsia" w:ascii="宋体" w:hAnsi="宋体"/>
          <w:b/>
          <w:sz w:val="36"/>
          <w:szCs w:val="36"/>
          <w:highlight w:val="none"/>
        </w:rPr>
        <w:t>磋商函</w:t>
      </w:r>
    </w:p>
    <w:p>
      <w:pPr>
        <w:adjustRightInd w:val="0"/>
        <w:textAlignment w:val="baseline"/>
        <w:rPr>
          <w:rFonts w:ascii="宋体"/>
          <w:b/>
          <w:highlight w:val="none"/>
        </w:rPr>
      </w:pPr>
    </w:p>
    <w:p>
      <w:pPr>
        <w:adjustRightInd w:val="0"/>
        <w:textAlignment w:val="baseline"/>
        <w:rPr>
          <w:rFonts w:ascii="宋体"/>
          <w:b/>
          <w:highlight w:val="none"/>
        </w:rPr>
      </w:pPr>
      <w:r>
        <w:rPr>
          <w:rFonts w:hint="eastAsia" w:ascii="宋体" w:hAnsi="宋体"/>
          <w:b/>
          <w:highlight w:val="none"/>
        </w:rPr>
        <w:t>致：青海浩驰招标代理有限公司</w:t>
      </w:r>
    </w:p>
    <w:p>
      <w:pPr>
        <w:adjustRightInd w:val="0"/>
        <w:ind w:firstLine="480"/>
        <w:textAlignment w:val="baseline"/>
        <w:rPr>
          <w:rFonts w:ascii="宋体"/>
          <w:highlight w:val="none"/>
        </w:rPr>
      </w:pPr>
    </w:p>
    <w:p>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青海浩驰磋商（服务）2024-045号（第二次）</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pPr>
        <w:adjustRightInd w:val="0"/>
        <w:ind w:firstLine="480"/>
        <w:textAlignment w:val="baseline"/>
        <w:rPr>
          <w:rFonts w:ascii="宋体"/>
          <w:highlight w:val="none"/>
        </w:rPr>
      </w:pPr>
    </w:p>
    <w:p>
      <w:pPr>
        <w:ind w:firstLine="480"/>
        <w:jc w:val="center"/>
        <w:rPr>
          <w:rFonts w:ascii="宋体"/>
          <w:highlight w:val="none"/>
        </w:rPr>
      </w:pPr>
    </w:p>
    <w:p>
      <w:pPr>
        <w:ind w:firstLine="480"/>
        <w:jc w:val="center"/>
        <w:rPr>
          <w:rFonts w:ascii="宋体"/>
          <w:highlight w:val="none"/>
        </w:rPr>
      </w:pPr>
    </w:p>
    <w:p>
      <w:pPr>
        <w:ind w:firstLine="560"/>
        <w:jc w:val="center"/>
        <w:rPr>
          <w:rFonts w:ascii="宋体"/>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textAlignment w:val="baseline"/>
        <w:rPr>
          <w:rFonts w:ascii="仿宋_GB2312" w:hAnsi="宋体" w:eastAsia="仿宋_GB2312"/>
          <w:sz w:val="28"/>
          <w:szCs w:val="28"/>
          <w:highlight w:val="none"/>
        </w:rPr>
      </w:pPr>
    </w:p>
    <w:p>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pPr>
        <w:ind w:firstLine="482"/>
        <w:jc w:val="center"/>
        <w:rPr>
          <w:rFonts w:ascii="宋体"/>
          <w:b/>
          <w:highlight w:val="none"/>
        </w:rPr>
      </w:pPr>
    </w:p>
    <w:p>
      <w:pPr>
        <w:ind w:firstLine="482"/>
        <w:jc w:val="center"/>
        <w:rPr>
          <w:rFonts w:ascii="宋体"/>
          <w:b/>
          <w:highlight w:val="none"/>
        </w:rPr>
      </w:pPr>
    </w:p>
    <w:p>
      <w:pPr>
        <w:widowControl/>
        <w:snapToGrid w:val="0"/>
        <w:spacing w:line="360" w:lineRule="auto"/>
        <w:outlineLvl w:val="1"/>
        <w:rPr>
          <w:rFonts w:ascii="宋体"/>
          <w:b/>
          <w:sz w:val="28"/>
          <w:szCs w:val="28"/>
          <w:highlight w:val="none"/>
        </w:rPr>
      </w:pPr>
      <w:bookmarkStart w:id="183" w:name="_Toc496626236"/>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84" w:name="_Toc1554"/>
      <w:r>
        <w:rPr>
          <w:rFonts w:hint="eastAsia" w:ascii="宋体"/>
          <w:b/>
          <w:sz w:val="28"/>
          <w:szCs w:val="28"/>
          <w:highlight w:val="none"/>
        </w:rPr>
        <w:t>附件</w:t>
      </w:r>
      <w:bookmarkStart w:id="185" w:name="_Toc376936774"/>
      <w:bookmarkStart w:id="186" w:name="_Toc325726043"/>
      <w:bookmarkStart w:id="187" w:name="_Toc325726042"/>
      <w:bookmarkStart w:id="188" w:name="_Toc376936773"/>
      <w:r>
        <w:rPr>
          <w:rFonts w:ascii="宋体"/>
          <w:b/>
          <w:sz w:val="28"/>
          <w:szCs w:val="28"/>
          <w:highlight w:val="none"/>
        </w:rPr>
        <w:t>2</w:t>
      </w:r>
      <w:r>
        <w:rPr>
          <w:rFonts w:hint="eastAsia" w:ascii="宋体"/>
          <w:b/>
          <w:sz w:val="28"/>
          <w:szCs w:val="28"/>
          <w:highlight w:val="none"/>
        </w:rPr>
        <w:t>：法定代表人证明书</w:t>
      </w:r>
      <w:bookmarkEnd w:id="183"/>
      <w:bookmarkEnd w:id="184"/>
      <w:bookmarkEnd w:id="185"/>
      <w:bookmarkEnd w:id="186"/>
    </w:p>
    <w:p>
      <w:pPr>
        <w:ind w:firstLine="723"/>
        <w:jc w:val="center"/>
        <w:rPr>
          <w:rFonts w:ascii="宋体"/>
          <w:b/>
          <w:bCs/>
          <w:sz w:val="36"/>
          <w:szCs w:val="36"/>
          <w:highlight w:val="none"/>
        </w:rPr>
      </w:pPr>
    </w:p>
    <w:p>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pPr>
        <w:rPr>
          <w:rFonts w:ascii="宋体"/>
          <w:b/>
          <w:bCs/>
          <w:highlight w:val="none"/>
        </w:rPr>
      </w:pPr>
    </w:p>
    <w:p>
      <w:pPr>
        <w:rPr>
          <w:rFonts w:ascii="宋体"/>
          <w:b/>
          <w:bCs/>
          <w:highlight w:val="none"/>
        </w:rPr>
      </w:pPr>
      <w:r>
        <w:rPr>
          <w:rFonts w:hint="eastAsia" w:ascii="宋体" w:hAnsi="宋体"/>
          <w:b/>
          <w:bCs/>
          <w:highlight w:val="none"/>
        </w:rPr>
        <w:t>致：青海浩驰招标代理有限公司</w:t>
      </w: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pPr>
        <w:autoSpaceDE w:val="0"/>
        <w:autoSpaceDN w:val="0"/>
        <w:adjustRightInd w:val="0"/>
        <w:ind w:firstLine="480"/>
        <w:jc w:val="left"/>
        <w:rPr>
          <w:rFonts w:ascii="宋体"/>
          <w:highlight w:val="none"/>
        </w:rPr>
      </w:pPr>
    </w:p>
    <w:p>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ind w:firstLine="480"/>
        <w:jc w:val="left"/>
        <w:rPr>
          <w:rFonts w:ascii="宋体" w:cs="宋体"/>
          <w:kern w:val="0"/>
          <w:highlight w:val="none"/>
        </w:rPr>
      </w:pPr>
    </w:p>
    <w:p>
      <w:pPr>
        <w:autoSpaceDE w:val="0"/>
        <w:autoSpaceDN w:val="0"/>
        <w:adjustRightInd w:val="0"/>
        <w:jc w:val="left"/>
        <w:rPr>
          <w:rFonts w:ascii="宋体" w:cs="宋体"/>
          <w:kern w:val="0"/>
          <w:highlight w:val="none"/>
        </w:rPr>
      </w:pPr>
    </w:p>
    <w:p>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7"/>
    <w:bookmarkEnd w:id="188"/>
    <w:p>
      <w:pPr>
        <w:rPr>
          <w:rFonts w:ascii="宋体"/>
          <w:b/>
          <w:bCs/>
          <w:highlight w:val="none"/>
        </w:rPr>
      </w:pPr>
    </w:p>
    <w:p>
      <w:pPr>
        <w:rPr>
          <w:rFonts w:ascii="宋体"/>
          <w:b/>
          <w:bCs/>
          <w:highlight w:val="none"/>
        </w:rPr>
      </w:pPr>
    </w:p>
    <w:p>
      <w:pPr>
        <w:widowControl/>
        <w:snapToGrid w:val="0"/>
        <w:spacing w:line="360" w:lineRule="auto"/>
        <w:outlineLvl w:val="1"/>
        <w:rPr>
          <w:rFonts w:ascii="宋体"/>
          <w:b/>
          <w:sz w:val="28"/>
          <w:szCs w:val="28"/>
          <w:highlight w:val="none"/>
        </w:rPr>
      </w:pPr>
      <w:bookmarkStart w:id="189" w:name="_Toc324756736"/>
      <w:bookmarkStart w:id="190" w:name="_Toc201287639"/>
      <w:bookmarkStart w:id="191" w:name="_Toc496626237"/>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2" w:name="_Toc24577"/>
      <w:r>
        <w:rPr>
          <w:rFonts w:hint="eastAsia" w:ascii="宋体"/>
          <w:b/>
          <w:sz w:val="28"/>
          <w:szCs w:val="28"/>
          <w:highlight w:val="none"/>
        </w:rPr>
        <w:t>附件</w:t>
      </w:r>
      <w:bookmarkEnd w:id="189"/>
      <w:bookmarkEnd w:id="190"/>
      <w:r>
        <w:rPr>
          <w:rFonts w:ascii="宋体"/>
          <w:b/>
          <w:sz w:val="28"/>
          <w:szCs w:val="28"/>
          <w:highlight w:val="none"/>
        </w:rPr>
        <w:t>3</w:t>
      </w:r>
      <w:r>
        <w:rPr>
          <w:rFonts w:hint="eastAsia" w:ascii="宋体"/>
          <w:b/>
          <w:sz w:val="28"/>
          <w:szCs w:val="28"/>
          <w:highlight w:val="none"/>
        </w:rPr>
        <w:t>：法定代表人授权书</w:t>
      </w:r>
      <w:bookmarkEnd w:id="191"/>
      <w:bookmarkEnd w:id="192"/>
    </w:p>
    <w:p>
      <w:pPr>
        <w:ind w:firstLine="3813" w:firstLineChars="105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法定代表人授权书</w:t>
      </w:r>
    </w:p>
    <w:p>
      <w:pPr>
        <w:ind w:firstLine="173" w:firstLineChars="82"/>
        <w:rPr>
          <w:rFonts w:ascii="宋体"/>
          <w:b/>
          <w:bCs/>
          <w:highlight w:val="none"/>
        </w:rPr>
      </w:pPr>
    </w:p>
    <w:p>
      <w:pPr>
        <w:ind w:firstLine="173" w:firstLineChars="82"/>
        <w:rPr>
          <w:rFonts w:ascii="宋体"/>
          <w:b/>
          <w:bCs/>
          <w:highlight w:val="none"/>
        </w:rPr>
      </w:pPr>
      <w:r>
        <w:rPr>
          <w:rFonts w:hint="eastAsia" w:ascii="宋体" w:hAnsi="宋体"/>
          <w:b/>
          <w:bCs/>
          <w:highlight w:val="none"/>
        </w:rPr>
        <w:t>致：青海浩驰招标代理有限公司</w:t>
      </w:r>
    </w:p>
    <w:p>
      <w:pPr>
        <w:ind w:firstLine="480"/>
        <w:rPr>
          <w:rFonts w:ascii="宋体"/>
          <w:highlight w:val="none"/>
          <w:u w:val="single"/>
        </w:rPr>
      </w:pPr>
    </w:p>
    <w:p>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pPr>
        <w:spacing w:line="360" w:lineRule="auto"/>
        <w:ind w:firstLine="480"/>
        <w:rPr>
          <w:rFonts w:ascii="宋体"/>
          <w:highlight w:val="none"/>
        </w:rPr>
      </w:pPr>
      <w:r>
        <w:rPr>
          <w:rFonts w:hint="eastAsia" w:ascii="宋体" w:hAnsi="宋体"/>
          <w:highlight w:val="none"/>
        </w:rPr>
        <w:t>我单位对被授权人的签名负全部责任。</w:t>
      </w:r>
    </w:p>
    <w:p>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pPr>
        <w:ind w:firstLine="480"/>
        <w:rPr>
          <w:rFonts w:ascii="宋体"/>
          <w:highlight w:val="none"/>
        </w:rPr>
      </w:pPr>
    </w:p>
    <w:p>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pPr>
        <w:ind w:firstLine="480"/>
        <w:rPr>
          <w:rFonts w:ascii="宋体"/>
          <w:highlight w:val="none"/>
        </w:rPr>
      </w:pPr>
    </w:p>
    <w:p>
      <w:pPr>
        <w:rPr>
          <w:rFonts w:ascii="宋体"/>
          <w:highlight w:val="none"/>
        </w:rPr>
      </w:pPr>
    </w:p>
    <w:p>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pPr>
        <w:ind w:firstLine="480"/>
        <w:jc w:val="center"/>
        <w:rPr>
          <w:rFonts w:ascii="宋体"/>
          <w:highlight w:val="none"/>
        </w:rPr>
      </w:pPr>
    </w:p>
    <w:p>
      <w:pPr>
        <w:ind w:firstLine="480"/>
        <w:rPr>
          <w:rFonts w:ascii="宋体"/>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ind w:firstLine="480"/>
        <w:rPr>
          <w:rFonts w:ascii="宋体"/>
          <w:highlight w:val="none"/>
        </w:rPr>
      </w:pPr>
    </w:p>
    <w:p>
      <w:pPr>
        <w:rPr>
          <w:rFonts w:ascii="宋体"/>
          <w:highlight w:val="none"/>
        </w:rPr>
      </w:pPr>
    </w:p>
    <w:p>
      <w:pPr>
        <w:rPr>
          <w:rFonts w:ascii="宋体"/>
          <w:highlight w:val="none"/>
        </w:rPr>
      </w:pPr>
    </w:p>
    <w:p>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bCs/>
          <w:sz w:val="28"/>
          <w:szCs w:val="28"/>
          <w:highlight w:val="none"/>
        </w:rPr>
      </w:pPr>
    </w:p>
    <w:p>
      <w:pPr>
        <w:widowControl/>
        <w:snapToGrid w:val="0"/>
        <w:spacing w:line="360" w:lineRule="auto"/>
        <w:outlineLvl w:val="1"/>
        <w:rPr>
          <w:rFonts w:ascii="宋体"/>
          <w:b/>
          <w:sz w:val="28"/>
          <w:szCs w:val="28"/>
          <w:highlight w:val="none"/>
        </w:rPr>
      </w:pPr>
      <w:bookmarkStart w:id="193" w:name="_Toc496626238"/>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4" w:name="_Toc12707"/>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3"/>
      <w:bookmarkEnd w:id="194"/>
    </w:p>
    <w:p>
      <w:pPr>
        <w:ind w:firstLine="723"/>
        <w:jc w:val="center"/>
        <w:rPr>
          <w:rFonts w:ascii="宋体"/>
          <w:b/>
          <w:bCs/>
          <w:sz w:val="36"/>
          <w:szCs w:val="36"/>
          <w:highlight w:val="none"/>
        </w:rPr>
      </w:pPr>
    </w:p>
    <w:p>
      <w:pPr>
        <w:ind w:firstLine="3253" w:firstLineChars="900"/>
        <w:rPr>
          <w:rFonts w:ascii="宋体"/>
          <w:b/>
          <w:bCs/>
          <w:sz w:val="36"/>
          <w:szCs w:val="36"/>
          <w:highlight w:val="none"/>
        </w:rPr>
      </w:pPr>
      <w:r>
        <w:rPr>
          <w:rFonts w:hint="eastAsia" w:ascii="宋体" w:hAnsi="宋体"/>
          <w:b/>
          <w:bCs/>
          <w:sz w:val="36"/>
          <w:szCs w:val="36"/>
          <w:highlight w:val="none"/>
        </w:rPr>
        <w:t>供应商承诺函</w:t>
      </w:r>
    </w:p>
    <w:p>
      <w:pPr>
        <w:rPr>
          <w:rFonts w:ascii="宋体"/>
          <w:b/>
          <w:bCs/>
          <w:highlight w:val="none"/>
        </w:rPr>
      </w:pPr>
    </w:p>
    <w:p>
      <w:pPr>
        <w:rPr>
          <w:rFonts w:ascii="宋体"/>
          <w:b/>
          <w:bCs/>
          <w:highlight w:val="none"/>
        </w:rPr>
      </w:pPr>
      <w:r>
        <w:rPr>
          <w:rFonts w:hint="eastAsia" w:ascii="宋体" w:hAnsi="宋体"/>
          <w:b/>
          <w:bCs/>
          <w:highlight w:val="none"/>
        </w:rPr>
        <w:t>致：青海浩驰招标代理有限公司</w:t>
      </w:r>
    </w:p>
    <w:p>
      <w:pPr>
        <w:ind w:firstLine="480"/>
        <w:rPr>
          <w:rFonts w:ascii="宋体"/>
          <w:highlight w:val="none"/>
        </w:rPr>
      </w:pPr>
      <w:r>
        <w:rPr>
          <w:rFonts w:hint="eastAsia" w:ascii="宋体" w:hAnsi="宋体"/>
          <w:highlight w:val="none"/>
        </w:rPr>
        <w:t>关于贵方</w:t>
      </w:r>
      <w:r>
        <w:rPr>
          <w:rFonts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青海浩驰磋商（服务）2024-045号（第二次）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80"/>
        <w:rPr>
          <w:rFonts w:ascii="宋体"/>
          <w:highlight w:val="none"/>
        </w:rPr>
      </w:pPr>
    </w:p>
    <w:p>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widowControl/>
        <w:snapToGrid w:val="0"/>
        <w:spacing w:line="360" w:lineRule="auto"/>
        <w:outlineLvl w:val="1"/>
        <w:rPr>
          <w:rFonts w:ascii="宋体"/>
          <w:b/>
          <w:sz w:val="28"/>
          <w:szCs w:val="28"/>
          <w:highlight w:val="none"/>
        </w:rPr>
      </w:pPr>
      <w:bookmarkStart w:id="195" w:name="_Toc496626239"/>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196" w:name="_Toc25502"/>
      <w:r>
        <w:rPr>
          <w:rFonts w:hint="eastAsia" w:ascii="宋体"/>
          <w:b/>
          <w:sz w:val="28"/>
          <w:szCs w:val="28"/>
          <w:highlight w:val="none"/>
        </w:rPr>
        <w:t>附件</w:t>
      </w:r>
      <w:bookmarkStart w:id="197" w:name="_Toc376936779"/>
      <w:bookmarkStart w:id="198" w:name="_Toc365019584"/>
      <w:bookmarkStart w:id="199" w:name="_Toc351475542"/>
      <w:r>
        <w:rPr>
          <w:rFonts w:ascii="宋体"/>
          <w:b/>
          <w:sz w:val="28"/>
          <w:szCs w:val="28"/>
          <w:highlight w:val="none"/>
        </w:rPr>
        <w:t>5</w:t>
      </w:r>
      <w:r>
        <w:rPr>
          <w:rFonts w:hint="eastAsia" w:ascii="宋体"/>
          <w:b/>
          <w:sz w:val="28"/>
          <w:szCs w:val="28"/>
          <w:highlight w:val="none"/>
        </w:rPr>
        <w:t>：供应商诚信承诺书</w:t>
      </w:r>
      <w:bookmarkEnd w:id="195"/>
      <w:bookmarkEnd w:id="196"/>
      <w:bookmarkEnd w:id="197"/>
      <w:bookmarkEnd w:id="198"/>
      <w:bookmarkEnd w:id="199"/>
    </w:p>
    <w:p>
      <w:pPr>
        <w:widowControl/>
        <w:snapToGrid w:val="0"/>
        <w:spacing w:line="360" w:lineRule="auto"/>
        <w:outlineLvl w:val="1"/>
        <w:rPr>
          <w:rFonts w:ascii="宋体"/>
          <w:b/>
          <w:sz w:val="28"/>
          <w:szCs w:val="28"/>
          <w:highlight w:val="none"/>
        </w:rPr>
      </w:pPr>
    </w:p>
    <w:p>
      <w:pPr>
        <w:ind w:firstLine="2729" w:firstLineChars="755"/>
        <w:rPr>
          <w:rFonts w:ascii="宋体"/>
          <w:b/>
          <w:sz w:val="36"/>
          <w:szCs w:val="36"/>
          <w:highlight w:val="none"/>
        </w:rPr>
      </w:pPr>
      <w:r>
        <w:rPr>
          <w:rFonts w:hint="eastAsia" w:ascii="宋体" w:hAnsi="宋体"/>
          <w:b/>
          <w:sz w:val="36"/>
          <w:szCs w:val="36"/>
          <w:highlight w:val="none"/>
        </w:rPr>
        <w:t>供应商诚信承诺书</w:t>
      </w:r>
    </w:p>
    <w:p>
      <w:pPr>
        <w:ind w:firstLine="2729" w:firstLineChars="755"/>
        <w:rPr>
          <w:rFonts w:ascii="宋体"/>
          <w:b/>
          <w:sz w:val="36"/>
          <w:szCs w:val="36"/>
          <w:highlight w:val="none"/>
        </w:rPr>
      </w:pPr>
    </w:p>
    <w:p>
      <w:pPr>
        <w:spacing w:after="156" w:afterLines="50"/>
        <w:rPr>
          <w:rFonts w:ascii="宋体"/>
          <w:b/>
          <w:bCs/>
          <w:highlight w:val="none"/>
        </w:rPr>
      </w:pPr>
      <w:r>
        <w:rPr>
          <w:rFonts w:hint="eastAsia" w:ascii="宋体" w:hAnsi="宋体"/>
          <w:b/>
          <w:bCs/>
          <w:highlight w:val="none"/>
        </w:rPr>
        <w:t>致：青海浩驰招标代理有限公司</w:t>
      </w:r>
    </w:p>
    <w:p>
      <w:pPr>
        <w:ind w:firstLine="480"/>
        <w:rPr>
          <w:rFonts w:ascii="宋体"/>
          <w:highlight w:val="none"/>
        </w:rPr>
      </w:pPr>
      <w:r>
        <w:rPr>
          <w:rFonts w:hint="eastAsia" w:ascii="宋体" w:hAnsi="宋体"/>
          <w:highlight w:val="none"/>
        </w:rPr>
        <w:t>为了诚实、客观、有序地参与青海省政府采购活动，愿就以下内容作出承诺：</w:t>
      </w:r>
    </w:p>
    <w:p>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pPr>
        <w:ind w:firstLine="480"/>
        <w:rPr>
          <w:rFonts w:ascii="宋体"/>
          <w:highlight w:val="none"/>
        </w:rPr>
      </w:pPr>
      <w:r>
        <w:rPr>
          <w:rFonts w:hint="eastAsia" w:ascii="宋体" w:hAnsi="宋体"/>
          <w:highlight w:val="none"/>
        </w:rPr>
        <w:t>四、依法参加政府采购活动，不围标、串标，维护市场秩序，不提供“三无”产品、以次充好。</w:t>
      </w:r>
    </w:p>
    <w:p>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pPr>
        <w:ind w:firstLine="480"/>
        <w:rPr>
          <w:rFonts w:ascii="宋体"/>
          <w:highlight w:val="none"/>
        </w:rPr>
      </w:pPr>
      <w:r>
        <w:rPr>
          <w:rFonts w:hint="eastAsia" w:ascii="宋体" w:hAnsi="宋体"/>
          <w:highlight w:val="none"/>
        </w:rPr>
        <w:t>本承诺是采购项目磋商响应文件的组成部分。</w:t>
      </w:r>
    </w:p>
    <w:p>
      <w:pPr>
        <w:spacing w:before="312" w:beforeLines="100"/>
        <w:jc w:val="left"/>
        <w:rPr>
          <w:rFonts w:ascii="宋体"/>
          <w:highlight w:val="none"/>
        </w:rPr>
      </w:pPr>
    </w:p>
    <w:p>
      <w:pPr>
        <w:spacing w:line="360" w:lineRule="auto"/>
        <w:ind w:firstLine="3268" w:firstLineChars="1550"/>
        <w:rPr>
          <w:rFonts w:ascii="宋体"/>
          <w:b/>
          <w:highlight w:val="none"/>
        </w:rPr>
      </w:pPr>
    </w:p>
    <w:p>
      <w:pPr>
        <w:spacing w:line="360" w:lineRule="auto"/>
        <w:ind w:firstLine="3268" w:firstLineChars="1550"/>
        <w:rPr>
          <w:rFonts w:ascii="宋体"/>
          <w:b/>
          <w:highlight w:val="none"/>
        </w:rPr>
      </w:pPr>
    </w:p>
    <w:p>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bCs/>
          <w:sz w:val="28"/>
          <w:szCs w:val="28"/>
          <w:highlight w:val="none"/>
        </w:rPr>
      </w:pPr>
    </w:p>
    <w:p>
      <w:pPr>
        <w:widowControl/>
        <w:snapToGrid w:val="0"/>
        <w:spacing w:line="360" w:lineRule="auto"/>
        <w:outlineLvl w:val="1"/>
        <w:rPr>
          <w:rFonts w:ascii="宋体"/>
          <w:b/>
          <w:bCs/>
          <w:sz w:val="28"/>
          <w:szCs w:val="28"/>
          <w:highlight w:val="none"/>
        </w:rPr>
      </w:pPr>
    </w:p>
    <w:p>
      <w:pPr>
        <w:pStyle w:val="9"/>
        <w:rPr>
          <w:highlight w:val="none"/>
        </w:rPr>
      </w:pPr>
    </w:p>
    <w:p>
      <w:pPr>
        <w:widowControl/>
        <w:snapToGrid w:val="0"/>
        <w:spacing w:line="360" w:lineRule="auto"/>
        <w:outlineLvl w:val="1"/>
        <w:rPr>
          <w:rFonts w:ascii="宋体"/>
          <w:b/>
          <w:sz w:val="28"/>
          <w:szCs w:val="28"/>
          <w:highlight w:val="none"/>
        </w:rPr>
      </w:pPr>
      <w:bookmarkStart w:id="200" w:name="_Toc496626240"/>
    </w:p>
    <w:p>
      <w:pPr>
        <w:pStyle w:val="22"/>
        <w:rPr>
          <w:highlight w:val="none"/>
        </w:rPr>
      </w:pPr>
    </w:p>
    <w:p>
      <w:pPr>
        <w:widowControl/>
        <w:snapToGrid w:val="0"/>
        <w:spacing w:line="360" w:lineRule="auto"/>
        <w:outlineLvl w:val="1"/>
        <w:rPr>
          <w:rFonts w:hint="eastAsia" w:ascii="宋体" w:eastAsia="宋体"/>
          <w:b/>
          <w:sz w:val="28"/>
          <w:szCs w:val="28"/>
          <w:highlight w:val="none"/>
          <w:lang w:eastAsia="zh-CN"/>
        </w:rPr>
      </w:pPr>
      <w:bookmarkStart w:id="201" w:name="_Toc18809"/>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w:t>
      </w:r>
      <w:bookmarkEnd w:id="200"/>
      <w:r>
        <w:rPr>
          <w:rFonts w:hint="eastAsia" w:ascii="宋体"/>
          <w:b/>
          <w:sz w:val="28"/>
          <w:szCs w:val="28"/>
          <w:highlight w:val="none"/>
          <w:lang w:eastAsia="zh-CN"/>
        </w:rPr>
        <w:t>材料</w:t>
      </w:r>
      <w:bookmarkEnd w:id="201"/>
    </w:p>
    <w:p>
      <w:pPr>
        <w:widowControl/>
        <w:snapToGrid w:val="0"/>
        <w:spacing w:line="360" w:lineRule="auto"/>
        <w:outlineLvl w:val="1"/>
        <w:rPr>
          <w:rFonts w:ascii="宋体"/>
          <w:b/>
          <w:sz w:val="28"/>
          <w:szCs w:val="28"/>
          <w:highlight w:val="none"/>
        </w:rPr>
      </w:pPr>
    </w:p>
    <w:p>
      <w:pPr>
        <w:ind w:firstLine="3090" w:firstLineChars="855"/>
        <w:rPr>
          <w:rFonts w:hint="eastAsia" w:ascii="宋体" w:eastAsia="宋体"/>
          <w:b/>
          <w:sz w:val="36"/>
          <w:szCs w:val="36"/>
          <w:highlight w:val="none"/>
          <w:lang w:eastAsia="zh-CN"/>
        </w:rPr>
      </w:pPr>
      <w:bookmarkStart w:id="202" w:name="_Toc482176311"/>
      <w:bookmarkStart w:id="203" w:name="_Toc455574903"/>
      <w:bookmarkStart w:id="204" w:name="_Toc492284572"/>
      <w:bookmarkStart w:id="205" w:name="_Toc465259557"/>
      <w:bookmarkStart w:id="206" w:name="_Toc450574560"/>
      <w:bookmarkStart w:id="207" w:name="_Toc469410485"/>
      <w:bookmarkStart w:id="208" w:name="_Toc444158184"/>
      <w:bookmarkStart w:id="209" w:name="_Toc451264359"/>
      <w:bookmarkStart w:id="210" w:name="_Toc441229743"/>
      <w:bookmarkStart w:id="211" w:name="_Toc451333907"/>
      <w:bookmarkStart w:id="212" w:name="_Toc490122951"/>
      <w:bookmarkStart w:id="213" w:name="_Toc475526729"/>
      <w:bookmarkStart w:id="214" w:name="_Toc491781021"/>
      <w:r>
        <w:rPr>
          <w:rFonts w:hint="eastAsia" w:ascii="宋体" w:hAnsi="宋体"/>
          <w:b/>
          <w:sz w:val="36"/>
          <w:szCs w:val="36"/>
          <w:highlight w:val="none"/>
        </w:rPr>
        <w:t>供应商资格证明</w:t>
      </w:r>
      <w:r>
        <w:rPr>
          <w:rFonts w:hint="eastAsia" w:ascii="宋体" w:hAnsi="宋体"/>
          <w:b/>
          <w:sz w:val="36"/>
          <w:szCs w:val="36"/>
          <w:highlight w:val="none"/>
          <w:lang w:eastAsia="zh-CN"/>
        </w:rPr>
        <w:t>材料</w:t>
      </w:r>
    </w:p>
    <w:p>
      <w:pPr>
        <w:ind w:firstLine="3090" w:firstLineChars="855"/>
        <w:rPr>
          <w:rFonts w:ascii="宋体"/>
          <w:b/>
          <w:sz w:val="36"/>
          <w:szCs w:val="36"/>
          <w:highlight w:val="none"/>
        </w:rPr>
      </w:pPr>
    </w:p>
    <w:bookmarkEnd w:id="202"/>
    <w:bookmarkEnd w:id="203"/>
    <w:bookmarkEnd w:id="204"/>
    <w:bookmarkEnd w:id="205"/>
    <w:bookmarkEnd w:id="206"/>
    <w:bookmarkEnd w:id="207"/>
    <w:bookmarkEnd w:id="208"/>
    <w:bookmarkEnd w:id="209"/>
    <w:bookmarkEnd w:id="210"/>
    <w:bookmarkEnd w:id="211"/>
    <w:bookmarkEnd w:id="212"/>
    <w:bookmarkEnd w:id="213"/>
    <w:bookmarkEnd w:id="214"/>
    <w:p>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pStyle w:val="13"/>
        <w:rPr>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bookmarkStart w:id="215" w:name="_Toc496626241"/>
    </w:p>
    <w:p>
      <w:pPr>
        <w:pStyle w:val="9"/>
        <w:rPr>
          <w:highlight w:val="none"/>
        </w:rPr>
      </w:pPr>
    </w:p>
    <w:p>
      <w:pPr>
        <w:widowControl/>
        <w:snapToGrid w:val="0"/>
        <w:spacing w:line="360" w:lineRule="auto"/>
        <w:outlineLvl w:val="1"/>
        <w:rPr>
          <w:rFonts w:ascii="宋体"/>
          <w:b/>
          <w:sz w:val="28"/>
          <w:szCs w:val="28"/>
          <w:highlight w:val="none"/>
        </w:rPr>
      </w:pPr>
    </w:p>
    <w:p>
      <w:pPr>
        <w:pStyle w:val="22"/>
        <w:rPr>
          <w:b/>
          <w:sz w:val="28"/>
          <w:szCs w:val="28"/>
          <w:highlight w:val="none"/>
        </w:rPr>
      </w:pPr>
    </w:p>
    <w:p>
      <w:pPr>
        <w:widowControl/>
        <w:snapToGrid w:val="0"/>
        <w:spacing w:line="360" w:lineRule="auto"/>
        <w:outlineLvl w:val="1"/>
        <w:rPr>
          <w:rFonts w:ascii="宋体"/>
          <w:b/>
          <w:sz w:val="28"/>
          <w:szCs w:val="28"/>
          <w:highlight w:val="none"/>
        </w:rPr>
      </w:pPr>
      <w:bookmarkStart w:id="216" w:name="_Toc4915"/>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5"/>
      <w:bookmarkEnd w:id="216"/>
    </w:p>
    <w:p>
      <w:pPr>
        <w:autoSpaceDE w:val="0"/>
        <w:autoSpaceDN w:val="0"/>
        <w:adjustRightInd w:val="0"/>
        <w:ind w:firstLine="904" w:firstLineChars="250"/>
        <w:jc w:val="center"/>
        <w:rPr>
          <w:rFonts w:ascii="宋体"/>
          <w:b/>
          <w:sz w:val="36"/>
          <w:szCs w:val="36"/>
          <w:highlight w:val="none"/>
        </w:rPr>
      </w:pPr>
    </w:p>
    <w:p>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pPr>
        <w:autoSpaceDE w:val="0"/>
        <w:autoSpaceDN w:val="0"/>
        <w:adjustRightInd w:val="0"/>
        <w:ind w:firstLine="904" w:firstLineChars="250"/>
        <w:rPr>
          <w:rFonts w:ascii="宋体"/>
          <w:b/>
          <w:sz w:val="36"/>
          <w:szCs w:val="36"/>
          <w:highlight w:val="none"/>
        </w:rPr>
      </w:pPr>
    </w:p>
    <w:p>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1</w:t>
      </w:r>
      <w:r>
        <w:rPr>
          <w:rFonts w:hint="eastAsia" w:ascii="宋体" w:hAnsi="宋体"/>
          <w:highlight w:val="none"/>
        </w:rPr>
        <w:t>年度或</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2</w:t>
      </w:r>
      <w:r>
        <w:rPr>
          <w:rFonts w:hint="eastAsia" w:ascii="宋体" w:hAnsi="宋体"/>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w:t>
      </w:r>
      <w:r>
        <w:rPr>
          <w:rFonts w:hint="eastAsia" w:ascii="宋体" w:hAnsi="宋体"/>
          <w:highlight w:val="none"/>
          <w:lang w:val="en-US" w:eastAsia="zh-CN"/>
        </w:rPr>
        <w:t>23</w:t>
      </w:r>
      <w:r>
        <w:rPr>
          <w:rFonts w:hint="eastAsia" w:ascii="宋体" w:hAnsi="宋体"/>
          <w:highlight w:val="none"/>
        </w:rPr>
        <w:t>年</w:t>
      </w:r>
      <w:r>
        <w:rPr>
          <w:rFonts w:hint="eastAsia" w:ascii="宋体" w:hAnsi="宋体"/>
          <w:highlight w:val="none"/>
          <w:lang w:val="en-US" w:eastAsia="zh-CN"/>
        </w:rPr>
        <w:t>10</w:t>
      </w:r>
      <w:r>
        <w:rPr>
          <w:rFonts w:hint="eastAsia" w:ascii="宋体" w:hAnsi="宋体"/>
          <w:highlight w:val="none"/>
        </w:rPr>
        <w:t>月至今任意</w:t>
      </w:r>
      <w:r>
        <w:rPr>
          <w:rFonts w:hint="eastAsia" w:ascii="宋体" w:hAnsi="宋体"/>
          <w:highlight w:val="none"/>
          <w:lang w:val="en-US" w:eastAsia="zh-CN"/>
        </w:rPr>
        <w:t>一</w:t>
      </w:r>
      <w:r>
        <w:rPr>
          <w:rFonts w:hint="eastAsia" w:ascii="宋体" w:hAnsi="宋体"/>
          <w:highlight w:val="none"/>
        </w:rPr>
        <w:t>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ighlight w:val="none"/>
        </w:rPr>
      </w:pPr>
    </w:p>
    <w:p>
      <w:pPr>
        <w:tabs>
          <w:tab w:val="left" w:pos="168"/>
        </w:tabs>
        <w:adjustRightInd w:val="0"/>
        <w:ind w:firstLine="480"/>
        <w:textAlignment w:val="baseline"/>
        <w:rPr>
          <w:rFonts w:ascii="宋体"/>
          <w:highlight w:val="none"/>
        </w:rPr>
      </w:pPr>
    </w:p>
    <w:p>
      <w:pPr>
        <w:tabs>
          <w:tab w:val="left" w:pos="168"/>
        </w:tabs>
        <w:adjustRightInd w:val="0"/>
        <w:ind w:firstLine="480"/>
        <w:textAlignment w:val="baseline"/>
        <w:rPr>
          <w:rFonts w:ascii="宋体"/>
          <w:highlight w:val="none"/>
        </w:rPr>
      </w:pPr>
    </w:p>
    <w:p>
      <w:pPr>
        <w:widowControl/>
        <w:snapToGrid w:val="0"/>
        <w:spacing w:line="360" w:lineRule="auto"/>
        <w:outlineLvl w:val="1"/>
        <w:rPr>
          <w:rFonts w:ascii="宋体"/>
          <w:b/>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rPr>
          <w:rFonts w:ascii="宋体"/>
          <w:b/>
          <w:bCs/>
          <w:sz w:val="28"/>
          <w:szCs w:val="28"/>
          <w:highlight w:val="none"/>
        </w:rPr>
      </w:pPr>
    </w:p>
    <w:p>
      <w:pPr>
        <w:pStyle w:val="13"/>
        <w:rPr>
          <w:b/>
          <w:bCs/>
          <w:sz w:val="28"/>
          <w:szCs w:val="28"/>
          <w:highlight w:val="none"/>
        </w:rPr>
      </w:pPr>
    </w:p>
    <w:p>
      <w:pPr>
        <w:pStyle w:val="13"/>
        <w:rPr>
          <w:b/>
          <w:bCs/>
          <w:sz w:val="28"/>
          <w:szCs w:val="28"/>
          <w:highlight w:val="none"/>
        </w:rPr>
      </w:pPr>
    </w:p>
    <w:p>
      <w:pPr>
        <w:pStyle w:val="13"/>
        <w:rPr>
          <w:b/>
          <w:bCs/>
          <w:sz w:val="28"/>
          <w:szCs w:val="28"/>
          <w:highlight w:val="none"/>
        </w:rPr>
      </w:pPr>
    </w:p>
    <w:p>
      <w:pPr>
        <w:pStyle w:val="13"/>
        <w:rPr>
          <w:highlight w:val="none"/>
        </w:rPr>
      </w:pPr>
    </w:p>
    <w:p>
      <w:pPr>
        <w:pStyle w:val="13"/>
        <w:rPr>
          <w:highlight w:val="none"/>
        </w:rPr>
      </w:pPr>
    </w:p>
    <w:p>
      <w:pPr>
        <w:widowControl/>
        <w:snapToGrid w:val="0"/>
        <w:spacing w:line="360" w:lineRule="auto"/>
        <w:outlineLvl w:val="1"/>
        <w:rPr>
          <w:rFonts w:ascii="宋体"/>
          <w:b/>
          <w:sz w:val="28"/>
          <w:szCs w:val="28"/>
          <w:highlight w:val="none"/>
        </w:rPr>
      </w:pPr>
      <w:bookmarkStart w:id="217" w:name="_Toc14354"/>
      <w:bookmarkStart w:id="218" w:name="_Toc496626242"/>
      <w:bookmarkStart w:id="219"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7"/>
      <w:bookmarkEnd w:id="218"/>
    </w:p>
    <w:p>
      <w:pPr>
        <w:ind w:firstLine="2909" w:firstLineChars="80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无重大违法记录声明</w:t>
      </w:r>
    </w:p>
    <w:p>
      <w:pPr>
        <w:tabs>
          <w:tab w:val="left" w:pos="168"/>
        </w:tabs>
        <w:adjustRightInd w:val="0"/>
        <w:ind w:firstLine="2530" w:firstLineChars="700"/>
        <w:textAlignment w:val="baseline"/>
        <w:rPr>
          <w:rFonts w:ascii="宋体"/>
          <w:b/>
          <w:sz w:val="36"/>
          <w:szCs w:val="36"/>
          <w:highlight w:val="none"/>
        </w:rPr>
      </w:pPr>
    </w:p>
    <w:p>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p>
      <w:pPr>
        <w:rPr>
          <w:rFonts w:ascii="宋体"/>
          <w:highlight w:val="none"/>
        </w:rPr>
      </w:pPr>
      <w:r>
        <w:rPr>
          <w:rFonts w:ascii="宋体"/>
          <w:b/>
          <w:sz w:val="28"/>
          <w:szCs w:val="28"/>
          <w:highlight w:val="none"/>
        </w:rPr>
        <w:br w:type="page"/>
      </w:r>
    </w:p>
    <w:bookmarkEnd w:id="219"/>
    <w:p>
      <w:pPr>
        <w:pStyle w:val="24"/>
        <w:spacing w:before="0" w:after="0" w:line="360" w:lineRule="auto"/>
        <w:ind w:left="0" w:leftChars="0" w:firstLine="0" w:firstLineChars="0"/>
        <w:jc w:val="left"/>
        <w:outlineLvl w:val="1"/>
        <w:rPr>
          <w:rFonts w:hint="eastAsia" w:ascii="宋体" w:hAnsi="Times New Roman" w:eastAsia="宋体" w:cs="Times New Roman"/>
          <w:b/>
          <w:bCs w:val="0"/>
          <w:kern w:val="2"/>
          <w:sz w:val="28"/>
          <w:szCs w:val="28"/>
          <w:highlight w:val="none"/>
          <w:lang w:val="en-US" w:eastAsia="zh-CN" w:bidi="ar-SA"/>
        </w:rPr>
      </w:pPr>
      <w:bookmarkStart w:id="220" w:name="_Toc10116"/>
      <w:bookmarkStart w:id="221" w:name="_Toc28726"/>
      <w:r>
        <w:rPr>
          <w:rFonts w:hint="eastAsia" w:ascii="宋体" w:hAnsi="Times New Roman" w:eastAsia="宋体" w:cs="Times New Roman"/>
          <w:b/>
          <w:bCs w:val="0"/>
          <w:kern w:val="2"/>
          <w:sz w:val="28"/>
          <w:szCs w:val="28"/>
          <w:highlight w:val="none"/>
          <w:lang w:val="en-US" w:eastAsia="zh-CN" w:bidi="ar-SA"/>
        </w:rPr>
        <w:t>附件9：</w:t>
      </w:r>
      <w:r>
        <w:rPr>
          <w:rFonts w:hint="eastAsia" w:ascii="宋体" w:hAnsi="Times New Roman" w:eastAsia="宋体" w:cs="Times New Roman"/>
          <w:b/>
          <w:bCs w:val="0"/>
          <w:kern w:val="2"/>
          <w:sz w:val="28"/>
          <w:szCs w:val="28"/>
          <w:highlight w:val="none"/>
          <w:lang w:val="zh-CN" w:eastAsia="zh-CN" w:bidi="ar-SA"/>
        </w:rPr>
        <w:t>具备履行合同所必需的设备和专业技术能力的证明材料</w:t>
      </w:r>
      <w:bookmarkEnd w:id="220"/>
    </w:p>
    <w:p>
      <w:pPr>
        <w:autoSpaceDE w:val="0"/>
        <w:autoSpaceDN w:val="0"/>
        <w:spacing w:line="360" w:lineRule="auto"/>
        <w:rPr>
          <w:rFonts w:ascii="宋体" w:hAnsi="宋体" w:cs="宋体"/>
          <w:kern w:val="0"/>
          <w:sz w:val="28"/>
          <w:szCs w:val="28"/>
          <w:highlight w:val="none"/>
          <w:lang w:val="zh-CN"/>
        </w:rPr>
      </w:pPr>
    </w:p>
    <w:p>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pPr>
        <w:autoSpaceDE w:val="0"/>
        <w:autoSpaceDN w:val="0"/>
        <w:spacing w:line="360" w:lineRule="auto"/>
        <w:ind w:firstLine="480"/>
        <w:rPr>
          <w:rFonts w:ascii="宋体" w:hAnsi="宋体" w:cs="宋体"/>
          <w:kern w:val="0"/>
          <w:highlight w:val="none"/>
          <w:lang w:val="zh-CN"/>
        </w:rPr>
      </w:pPr>
    </w:p>
    <w:p>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pStyle w:val="9"/>
        <w:rPr>
          <w:rFonts w:hint="eastAsia"/>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rFonts w:hint="eastAsia"/>
          <w:b/>
          <w:highlight w:val="none"/>
        </w:rPr>
      </w:pPr>
    </w:p>
    <w:p>
      <w:pPr>
        <w:ind w:firstLine="175" w:firstLineChars="83"/>
        <w:rPr>
          <w:b/>
          <w:highlight w:val="none"/>
        </w:rPr>
      </w:pPr>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b/>
          <w:szCs w:val="21"/>
          <w:highlight w:val="none"/>
        </w:rPr>
      </w:pPr>
    </w:p>
    <w:p>
      <w:pPr>
        <w:spacing w:line="360" w:lineRule="auto"/>
        <w:ind w:firstLine="2364" w:firstLineChars="327"/>
        <w:rPr>
          <w:rFonts w:ascii="宋体"/>
          <w:b/>
          <w:sz w:val="72"/>
          <w:szCs w:val="72"/>
          <w:highlight w:val="none"/>
        </w:rPr>
      </w:pPr>
    </w:p>
    <w:p>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pPr>
        <w:spacing w:line="360" w:lineRule="auto"/>
        <w:ind w:firstLine="689" w:firstLineChars="327"/>
        <w:rPr>
          <w:rFonts w:ascii="宋体"/>
          <w:b/>
          <w:highlight w:val="none"/>
        </w:rPr>
      </w:pPr>
    </w:p>
    <w:p>
      <w:pPr>
        <w:adjustRightInd w:val="0"/>
        <w:spacing w:line="360" w:lineRule="auto"/>
        <w:textAlignment w:val="baseline"/>
        <w:rPr>
          <w:rFonts w:ascii="宋体"/>
          <w:b/>
          <w:bCs/>
          <w:sz w:val="32"/>
          <w:highlight w:val="none"/>
        </w:rPr>
      </w:pPr>
    </w:p>
    <w:p>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青海浩驰磋商（服务）2024-045号（第二次）</w:t>
      </w:r>
    </w:p>
    <w:p>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2024年西宁市残疾人“师带徒”培训项目（第二次）</w:t>
      </w:r>
    </w:p>
    <w:p>
      <w:pPr>
        <w:adjustRightInd w:val="0"/>
        <w:spacing w:line="360" w:lineRule="auto"/>
        <w:ind w:left="2512" w:right="-248" w:rightChars="-118" w:hanging="2512" w:hangingChars="695"/>
        <w:textAlignment w:val="baseline"/>
        <w:rPr>
          <w:rFonts w:hint="default" w:ascii="宋体" w:hAnsi="宋体"/>
          <w:b/>
          <w:sz w:val="36"/>
          <w:szCs w:val="36"/>
          <w:highlight w:val="none"/>
          <w:lang w:val="en-US" w:eastAsia="zh-CN"/>
        </w:rPr>
      </w:pPr>
      <w:r>
        <w:rPr>
          <w:rFonts w:hint="eastAsia" w:ascii="宋体" w:hAnsi="宋体"/>
          <w:b/>
          <w:sz w:val="36"/>
          <w:szCs w:val="36"/>
          <w:highlight w:val="none"/>
          <w:lang w:val="en-US" w:eastAsia="zh-CN"/>
        </w:rPr>
        <w:t>采购项目包号:</w:t>
      </w:r>
    </w:p>
    <w:p>
      <w:pPr>
        <w:adjustRightInd w:val="0"/>
        <w:spacing w:line="360" w:lineRule="auto"/>
        <w:ind w:right="-248" w:rightChars="-118"/>
        <w:textAlignment w:val="baseline"/>
        <w:rPr>
          <w:rFonts w:ascii="宋体"/>
          <w:b/>
          <w:bCs/>
          <w:sz w:val="36"/>
          <w:szCs w:val="36"/>
          <w:highlight w:val="none"/>
        </w:rPr>
      </w:pPr>
    </w:p>
    <w:p>
      <w:pPr>
        <w:pStyle w:val="13"/>
        <w:rPr>
          <w:highlight w:val="none"/>
        </w:rPr>
      </w:pPr>
    </w:p>
    <w:p>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2" w:name="_Toc21106"/>
      <w:bookmarkStart w:id="223" w:name="_Toc496626244"/>
      <w:r>
        <w:rPr>
          <w:rFonts w:hint="eastAsia" w:ascii="宋体"/>
          <w:b/>
          <w:sz w:val="28"/>
          <w:szCs w:val="28"/>
          <w:highlight w:val="none"/>
        </w:rPr>
        <w:t>附件</w:t>
      </w:r>
      <w:bookmarkStart w:id="224" w:name="_Toc325726038"/>
      <w:bookmarkStart w:id="225" w:name="_Toc376936769"/>
      <w:r>
        <w:rPr>
          <w:rFonts w:hint="eastAsia" w:ascii="宋体"/>
          <w:b/>
          <w:sz w:val="28"/>
          <w:szCs w:val="28"/>
          <w:highlight w:val="none"/>
          <w:lang w:val="en-US" w:eastAsia="zh-CN"/>
        </w:rPr>
        <w:t>10</w:t>
      </w:r>
      <w:r>
        <w:rPr>
          <w:rFonts w:hint="eastAsia" w:ascii="宋体"/>
          <w:b/>
          <w:sz w:val="28"/>
          <w:szCs w:val="28"/>
          <w:highlight w:val="none"/>
        </w:rPr>
        <w:t>：</w:t>
      </w:r>
      <w:bookmarkEnd w:id="224"/>
      <w:bookmarkEnd w:id="225"/>
      <w:r>
        <w:rPr>
          <w:rFonts w:hint="eastAsia" w:ascii="宋体"/>
          <w:b/>
          <w:sz w:val="28"/>
          <w:szCs w:val="28"/>
          <w:highlight w:val="none"/>
        </w:rPr>
        <w:t>竞争性磋商首次报价表</w:t>
      </w:r>
      <w:bookmarkEnd w:id="222"/>
      <w:bookmarkEnd w:id="223"/>
    </w:p>
    <w:p>
      <w:pPr>
        <w:widowControl/>
        <w:snapToGrid w:val="0"/>
        <w:spacing w:line="360" w:lineRule="auto"/>
        <w:jc w:val="center"/>
        <w:outlineLvl w:val="1"/>
        <w:rPr>
          <w:rFonts w:ascii="宋体"/>
          <w:b/>
          <w:sz w:val="36"/>
          <w:szCs w:val="36"/>
          <w:highlight w:val="none"/>
        </w:rPr>
      </w:pPr>
    </w:p>
    <w:p>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pPr>
        <w:ind w:firstLine="2711" w:firstLineChars="750"/>
        <w:rPr>
          <w:rFonts w:ascii="宋体"/>
          <w:b/>
          <w:sz w:val="36"/>
          <w:szCs w:val="36"/>
          <w:highlight w:val="none"/>
        </w:rPr>
      </w:pPr>
    </w:p>
    <w:p>
      <w:pPr>
        <w:rPr>
          <w:rFonts w:ascii="宋体" w:hAnsi="宋体"/>
          <w:b/>
          <w:highlight w:val="none"/>
        </w:rPr>
      </w:pPr>
      <w:r>
        <w:rPr>
          <w:rFonts w:hint="eastAsia" w:ascii="宋体" w:hAnsi="宋体"/>
          <w:b/>
          <w:highlight w:val="none"/>
        </w:rPr>
        <w:t>供应商名称：</w:t>
      </w:r>
      <w:r>
        <w:rPr>
          <w:rFonts w:ascii="宋体" w:hAnsi="宋体"/>
          <w:b/>
          <w:highlight w:val="none"/>
        </w:rPr>
        <w:t xml:space="preserve">   </w:t>
      </w:r>
    </w:p>
    <w:p>
      <w:pPr>
        <w:ind w:left="2951" w:hanging="2951" w:hangingChars="1400"/>
        <w:rPr>
          <w:rFonts w:ascii="宋体"/>
          <w:b/>
          <w:highlight w:val="none"/>
        </w:rPr>
      </w:pPr>
      <w:r>
        <w:rPr>
          <w:rFonts w:hint="eastAsia" w:ascii="宋体" w:hAnsi="宋体"/>
          <w:b/>
          <w:highlight w:val="none"/>
          <w:lang w:val="en-US" w:eastAsia="zh-CN"/>
        </w:rPr>
        <w:t xml:space="preserve">                                                  </w:t>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7"/>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kern w:val="0"/>
                <w:highlight w:val="none"/>
                <w:lang w:eastAsia="zh-CN"/>
              </w:rPr>
            </w:pPr>
            <w:r>
              <w:rPr>
                <w:rFonts w:hint="eastAsia" w:ascii="宋体" w:cs="宋体"/>
                <w:kern w:val="0"/>
                <w:highlight w:val="none"/>
                <w:lang w:eastAsia="zh-CN"/>
              </w:rPr>
              <w:t>2024年西宁市残疾人“师带徒”培训项目（第二次）</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青海浩驰磋商（服务）2024-045号（第二次）</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default" w:ascii="宋体" w:eastAsia="宋体" w:cs="宋体"/>
                <w:kern w:val="0"/>
                <w:highlight w:val="none"/>
                <w:u w:val="single"/>
                <w:lang w:val="en-US" w:eastAsia="zh-CN"/>
              </w:rPr>
            </w:pPr>
            <w:r>
              <w:rPr>
                <w:rFonts w:hint="eastAsia" w:ascii="宋体" w:cs="宋体"/>
                <w:b/>
                <w:bCs/>
                <w:kern w:val="0"/>
                <w:sz w:val="24"/>
                <w:szCs w:val="24"/>
                <w:highlight w:val="none"/>
                <w:lang w:val="en-US" w:eastAsia="zh-CN"/>
              </w:rPr>
              <w:t>包1：</w:t>
            </w:r>
            <w:r>
              <w:rPr>
                <w:rFonts w:hint="eastAsia" w:ascii="宋体" w:cs="宋体"/>
                <w:b/>
                <w:bCs/>
                <w:kern w:val="0"/>
                <w:sz w:val="24"/>
                <w:szCs w:val="24"/>
                <w:highlight w:val="none"/>
                <w:lang w:val="zh-CN"/>
              </w:rPr>
              <w:t>4536</w:t>
            </w:r>
            <w:r>
              <w:rPr>
                <w:rFonts w:hint="eastAsia" w:ascii="宋体" w:cs="宋体"/>
                <w:b/>
                <w:bCs/>
                <w:kern w:val="0"/>
                <w:sz w:val="24"/>
                <w:szCs w:val="24"/>
                <w:highlight w:val="none"/>
                <w:lang w:val="en-US" w:eastAsia="zh-CN"/>
              </w:rPr>
              <w:t>00元；  包3：194400元</w:t>
            </w: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cs="宋体"/>
                <w:kern w:val="0"/>
                <w:highlight w:val="none"/>
                <w:lang w:val="zh-CN"/>
              </w:rPr>
              <w:t>培训工作于2024年8月底前全面结束。9月15日前向采购方报送最终审核版培训资料。</w:t>
            </w: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highlight w:val="none"/>
                <w:lang w:val="zh-CN"/>
              </w:rPr>
            </w:pPr>
          </w:p>
        </w:tc>
      </w:tr>
    </w:tbl>
    <w:p>
      <w:pPr>
        <w:rPr>
          <w:rFonts w:ascii="宋体"/>
          <w:b/>
          <w:highlight w:val="none"/>
        </w:rPr>
      </w:pPr>
      <w:r>
        <w:rPr>
          <w:rFonts w:ascii="宋体"/>
          <w:highlight w:val="none"/>
        </w:rPr>
        <w:tab/>
      </w:r>
      <w:r>
        <w:rPr>
          <w:rFonts w:ascii="宋体" w:hAnsi="宋体"/>
          <w:highlight w:val="none"/>
        </w:rPr>
        <w:t xml:space="preserve">                        </w:t>
      </w:r>
    </w:p>
    <w:p>
      <w:pPr>
        <w:adjustRightInd w:val="0"/>
        <w:spacing w:line="360" w:lineRule="auto"/>
        <w:ind w:firstLine="373" w:firstLineChars="177"/>
        <w:textAlignment w:val="baseline"/>
        <w:rPr>
          <w:rFonts w:hint="eastAsia" w:ascii="宋体" w:hAns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pPr>
        <w:adjustRightInd w:val="0"/>
        <w:spacing w:line="360" w:lineRule="auto"/>
        <w:ind w:firstLine="843" w:firstLineChars="300"/>
        <w:textAlignment w:val="baseline"/>
        <w:rPr>
          <w:rFonts w:hint="eastAsia" w:ascii="宋体" w:hAnsi="宋体"/>
          <w:b/>
          <w:bCs/>
          <w:sz w:val="28"/>
          <w:szCs w:val="28"/>
          <w:highlight w:val="none"/>
        </w:rPr>
      </w:pPr>
      <w:r>
        <w:rPr>
          <w:rFonts w:hint="eastAsia" w:ascii="宋体" w:hAnsi="宋体"/>
          <w:b/>
          <w:bCs/>
          <w:sz w:val="28"/>
          <w:szCs w:val="28"/>
          <w:highlight w:val="none"/>
          <w:lang w:val="en-US" w:eastAsia="zh-CN"/>
        </w:rPr>
        <w:t>2、本项目不进行报价评审，首次报价与最终报价需与预算金额一致。</w:t>
      </w:r>
    </w:p>
    <w:p>
      <w:pPr>
        <w:autoSpaceDE w:val="0"/>
        <w:autoSpaceDN w:val="0"/>
        <w:spacing w:line="360" w:lineRule="auto"/>
        <w:ind w:firstLine="840" w:firstLineChars="400"/>
        <w:rPr>
          <w:rFonts w:asci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、“投标报价”为投标总价。必须包括：</w:t>
      </w:r>
      <w:r>
        <w:rPr>
          <w:rFonts w:hint="eastAsia" w:ascii="宋体" w:hAnsi="宋体"/>
          <w:highlight w:val="none"/>
        </w:rPr>
        <w:t>服务费、人员工资、管理费、验收费、手续费、保险费、培训费、招标代理费及服务过程中包含的不可预见等全部费用</w:t>
      </w:r>
      <w:r>
        <w:rPr>
          <w:rFonts w:hint="eastAsia" w:ascii="宋体" w:hAnsi="宋体" w:cs="宋体"/>
          <w:kern w:val="0"/>
          <w:highlight w:val="none"/>
          <w:lang w:val="zh-CN"/>
        </w:rPr>
        <w:t>。</w:t>
      </w:r>
    </w:p>
    <w:p>
      <w:pPr>
        <w:adjustRightInd w:val="0"/>
        <w:spacing w:line="360" w:lineRule="auto"/>
        <w:ind w:firstLine="791" w:firstLineChars="377"/>
        <w:textAlignment w:val="baseline"/>
        <w:rPr>
          <w:rFonts w:ascii="宋体"/>
          <w:highlight w:val="none"/>
        </w:rPr>
      </w:pPr>
      <w:r>
        <w:rPr>
          <w:rFonts w:hint="eastAsia" w:ascii="宋体" w:hAnsi="宋体"/>
          <w:highlight w:val="none"/>
          <w:lang w:val="en-US" w:eastAsia="zh-CN"/>
        </w:rPr>
        <w:t>4</w:t>
      </w:r>
      <w:r>
        <w:rPr>
          <w:rFonts w:hint="eastAsia" w:ascii="宋体" w:hAnsi="宋体"/>
          <w:highlight w:val="none"/>
        </w:rPr>
        <w:t>、“</w:t>
      </w:r>
      <w:r>
        <w:rPr>
          <w:rFonts w:hint="eastAsia" w:ascii="宋体" w:hAnsi="宋体"/>
          <w:highlight w:val="none"/>
          <w:lang w:val="zh-CN"/>
        </w:rPr>
        <w:t>服务期</w:t>
      </w:r>
      <w:r>
        <w:rPr>
          <w:rFonts w:hint="eastAsia" w:ascii="宋体" w:hAnsi="宋体"/>
          <w:highlight w:val="none"/>
        </w:rPr>
        <w:t>”是指产品能够交付使用的具体时间。</w:t>
      </w:r>
    </w:p>
    <w:p>
      <w:pPr>
        <w:adjustRightInd w:val="0"/>
        <w:textAlignment w:val="baseline"/>
        <w:rPr>
          <w:rFonts w:ascii="宋体"/>
          <w:highlight w:val="none"/>
        </w:rPr>
      </w:pPr>
    </w:p>
    <w:p>
      <w:pPr>
        <w:adjustRightInd w:val="0"/>
        <w:textAlignment w:val="baseline"/>
        <w:rPr>
          <w:rFonts w:ascii="宋体"/>
          <w:highlight w:val="none"/>
        </w:rPr>
      </w:pPr>
    </w:p>
    <w:p>
      <w:pPr>
        <w:rPr>
          <w:rFonts w:ascii="宋体"/>
          <w:highlight w:val="none"/>
        </w:rPr>
      </w:pPr>
    </w:p>
    <w:p>
      <w:pPr>
        <w:ind w:firstLine="2215" w:firstLineChars="1055"/>
        <w:rPr>
          <w:rFonts w:ascii="宋体"/>
          <w:highlight w:val="none"/>
        </w:rPr>
      </w:pP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rPr>
          <w:rFonts w:ascii="宋体"/>
          <w:b/>
          <w:highlight w:val="none"/>
        </w:rPr>
      </w:pPr>
    </w:p>
    <w:p>
      <w:pPr>
        <w:widowControl/>
        <w:snapToGrid w:val="0"/>
        <w:spacing w:line="360" w:lineRule="auto"/>
        <w:outlineLvl w:val="1"/>
        <w:rPr>
          <w:rFonts w:ascii="宋体"/>
          <w:b/>
          <w:sz w:val="28"/>
          <w:szCs w:val="28"/>
          <w:highlight w:val="none"/>
        </w:rPr>
      </w:pPr>
      <w:bookmarkStart w:id="226" w:name="_Toc427748095"/>
      <w:bookmarkStart w:id="227" w:name="_Toc496626246"/>
      <w:bookmarkStart w:id="228" w:name="_Toc27526"/>
      <w:r>
        <w:rPr>
          <w:rFonts w:hint="eastAsia" w:ascii="宋体"/>
          <w:b/>
          <w:sz w:val="28"/>
          <w:szCs w:val="28"/>
          <w:highlight w:val="none"/>
        </w:rPr>
        <w:t>附件</w:t>
      </w:r>
      <w:bookmarkStart w:id="229" w:name="_Toc325726040"/>
      <w:bookmarkStart w:id="230" w:name="_Toc376936771"/>
      <w:r>
        <w:rPr>
          <w:rFonts w:ascii="宋体"/>
          <w:b/>
          <w:sz w:val="28"/>
          <w:szCs w:val="28"/>
          <w:highlight w:val="none"/>
        </w:rPr>
        <w:t>1</w:t>
      </w:r>
      <w:r>
        <w:rPr>
          <w:rFonts w:hint="eastAsia" w:ascii="宋体"/>
          <w:b/>
          <w:sz w:val="28"/>
          <w:szCs w:val="28"/>
          <w:highlight w:val="none"/>
          <w:lang w:val="en-US" w:eastAsia="zh-CN"/>
        </w:rPr>
        <w:t>1</w:t>
      </w:r>
      <w:r>
        <w:rPr>
          <w:rFonts w:hint="eastAsia" w:ascii="宋体"/>
          <w:b/>
          <w:sz w:val="28"/>
          <w:szCs w:val="28"/>
          <w:highlight w:val="none"/>
        </w:rPr>
        <w:t>：服务响应表</w:t>
      </w:r>
      <w:bookmarkEnd w:id="226"/>
      <w:bookmarkEnd w:id="227"/>
      <w:bookmarkEnd w:id="228"/>
      <w:bookmarkEnd w:id="229"/>
      <w:bookmarkEnd w:id="230"/>
    </w:p>
    <w:p>
      <w:pPr>
        <w:jc w:val="center"/>
        <w:rPr>
          <w:rFonts w:ascii="宋体"/>
          <w:b/>
          <w:sz w:val="36"/>
          <w:szCs w:val="36"/>
          <w:highlight w:val="none"/>
        </w:rPr>
      </w:pPr>
    </w:p>
    <w:p>
      <w:pPr>
        <w:jc w:val="center"/>
        <w:rPr>
          <w:rFonts w:ascii="宋体" w:cs="宋体"/>
          <w:b/>
          <w:sz w:val="36"/>
          <w:szCs w:val="36"/>
          <w:highlight w:val="none"/>
        </w:rPr>
      </w:pPr>
      <w:r>
        <w:rPr>
          <w:rFonts w:hint="eastAsia" w:ascii="宋体" w:hAnsi="宋体" w:cs="宋体"/>
          <w:b/>
          <w:sz w:val="36"/>
          <w:szCs w:val="36"/>
          <w:highlight w:val="none"/>
        </w:rPr>
        <w:t>服务响应表</w:t>
      </w:r>
    </w:p>
    <w:p>
      <w:pPr>
        <w:rPr>
          <w:rFonts w:hint="eastAsia" w:ascii="宋体" w:hAns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p>
      <w:pPr>
        <w:rPr>
          <w:rFonts w:ascii="宋体" w:cs="宋体"/>
          <w:b/>
          <w:highlight w:val="none"/>
        </w:rPr>
      </w:pPr>
      <w:r>
        <w:rPr>
          <w:rFonts w:hint="eastAsia" w:ascii="宋体" w:hAnsi="宋体" w:cs="宋体"/>
          <w:b/>
          <w:highlight w:val="none"/>
          <w:lang w:val="en-US" w:eastAsia="zh-CN"/>
        </w:rPr>
        <w:t>包     号：</w:t>
      </w:r>
      <w:r>
        <w:rPr>
          <w:rFonts w:hint="eastAsia" w:ascii="宋体" w:hAnsi="宋体" w:cs="宋体"/>
          <w:b/>
          <w:highlight w:val="none"/>
        </w:rPr>
        <w:t xml:space="preserve">                                                         </w:t>
      </w:r>
    </w:p>
    <w:tbl>
      <w:tblPr>
        <w:tblStyle w:val="27"/>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708"/>
        <w:gridCol w:w="3621"/>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2"/>
          </w:tcPr>
          <w:p>
            <w:pPr>
              <w:spacing w:before="40" w:after="40"/>
              <w:ind w:firstLine="105" w:firstLineChars="50"/>
              <w:jc w:val="center"/>
              <w:rPr>
                <w:rFonts w:ascii="宋体" w:cs="宋体"/>
                <w:highlight w:val="none"/>
              </w:rPr>
            </w:pPr>
            <w:r>
              <w:rPr>
                <w:rFonts w:hint="eastAsia" w:ascii="宋体" w:hAnsi="宋体" w:cs="宋体"/>
                <w:highlight w:val="none"/>
              </w:rPr>
              <w:t>采购需求服务内容</w:t>
            </w:r>
          </w:p>
        </w:tc>
        <w:tc>
          <w:tcPr>
            <w:tcW w:w="4329" w:type="dxa"/>
            <w:gridSpan w:val="2"/>
          </w:tcPr>
          <w:p>
            <w:pPr>
              <w:spacing w:before="40" w:after="40"/>
              <w:ind w:firstLine="480"/>
              <w:jc w:val="center"/>
              <w:rPr>
                <w:rFonts w:ascii="宋体" w:cs="宋体"/>
                <w:highlight w:val="none"/>
              </w:rPr>
            </w:pPr>
            <w:r>
              <w:rPr>
                <w:rFonts w:hint="eastAsia" w:ascii="宋体" w:hAnsi="宋体" w:cs="宋体"/>
                <w:highlight w:val="none"/>
              </w:rPr>
              <w:t>投标服务内容</w:t>
            </w:r>
          </w:p>
        </w:tc>
        <w:tc>
          <w:tcPr>
            <w:tcW w:w="695" w:type="dxa"/>
            <w:vAlign w:val="center"/>
          </w:tcPr>
          <w:p>
            <w:pPr>
              <w:spacing w:before="40" w:after="40"/>
              <w:jc w:val="center"/>
              <w:rPr>
                <w:rFonts w:ascii="宋体" w:cs="宋体"/>
                <w:highlight w:val="none"/>
              </w:rPr>
            </w:pPr>
            <w:r>
              <w:rPr>
                <w:rFonts w:hint="eastAsia" w:ascii="宋体" w:hAnsi="宋体" w:cs="宋体"/>
                <w:highlight w:val="none"/>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highlight w:val="none"/>
              </w:rPr>
            </w:pPr>
            <w:r>
              <w:rPr>
                <w:rFonts w:hint="eastAsia" w:ascii="宋体" w:hAnsi="宋体" w:cs="宋体"/>
                <w:highlight w:val="none"/>
              </w:rPr>
              <w:t>序号</w:t>
            </w:r>
          </w:p>
        </w:tc>
        <w:tc>
          <w:tcPr>
            <w:tcW w:w="851" w:type="dxa"/>
            <w:vAlign w:val="center"/>
          </w:tcPr>
          <w:p>
            <w:pPr>
              <w:spacing w:before="40" w:after="40"/>
              <w:ind w:firstLine="174" w:firstLineChars="83"/>
              <w:rPr>
                <w:rFonts w:ascii="宋体" w:cs="宋体"/>
                <w:highlight w:val="none"/>
              </w:rPr>
            </w:pPr>
            <w:r>
              <w:rPr>
                <w:rFonts w:hint="eastAsia" w:ascii="宋体" w:hAnsi="宋体" w:cs="宋体"/>
                <w:highlight w:val="none"/>
              </w:rPr>
              <w:t>名称</w:t>
            </w:r>
          </w:p>
        </w:tc>
        <w:tc>
          <w:tcPr>
            <w:tcW w:w="2410" w:type="dxa"/>
            <w:vAlign w:val="center"/>
          </w:tcPr>
          <w:p>
            <w:pPr>
              <w:spacing w:before="40" w:after="40"/>
              <w:jc w:val="center"/>
              <w:rPr>
                <w:rFonts w:ascii="宋体" w:cs="宋体"/>
                <w:highlight w:val="none"/>
              </w:rPr>
            </w:pPr>
            <w:r>
              <w:rPr>
                <w:rFonts w:hint="eastAsia" w:ascii="宋体" w:cs="宋体"/>
                <w:highlight w:val="none"/>
              </w:rPr>
              <w:t>内容</w:t>
            </w:r>
          </w:p>
        </w:tc>
        <w:tc>
          <w:tcPr>
            <w:tcW w:w="708" w:type="dxa"/>
            <w:vAlign w:val="center"/>
          </w:tcPr>
          <w:p>
            <w:pPr>
              <w:spacing w:before="40" w:after="40"/>
              <w:ind w:firstLine="105" w:firstLineChars="50"/>
              <w:rPr>
                <w:rFonts w:ascii="宋体" w:cs="宋体"/>
                <w:highlight w:val="none"/>
              </w:rPr>
            </w:pPr>
            <w:r>
              <w:rPr>
                <w:rFonts w:hint="eastAsia" w:ascii="宋体" w:hAnsi="宋体" w:cs="宋体"/>
                <w:highlight w:val="none"/>
              </w:rPr>
              <w:t>名称</w:t>
            </w:r>
          </w:p>
        </w:tc>
        <w:tc>
          <w:tcPr>
            <w:tcW w:w="3621" w:type="dxa"/>
            <w:vAlign w:val="center"/>
          </w:tcPr>
          <w:p>
            <w:pPr>
              <w:spacing w:before="40" w:after="40"/>
              <w:ind w:left="94"/>
              <w:jc w:val="center"/>
              <w:rPr>
                <w:rFonts w:ascii="宋体" w:cs="宋体"/>
                <w:highlight w:val="none"/>
              </w:rPr>
            </w:pPr>
            <w:r>
              <w:rPr>
                <w:rFonts w:hint="eastAsia" w:ascii="宋体" w:cs="宋体"/>
                <w:highlight w:val="none"/>
              </w:rPr>
              <w:t>响应内容</w:t>
            </w:r>
          </w:p>
        </w:tc>
        <w:tc>
          <w:tcPr>
            <w:tcW w:w="695" w:type="dxa"/>
          </w:tcPr>
          <w:p>
            <w:pPr>
              <w:spacing w:before="40" w:after="40"/>
              <w:ind w:firstLine="480"/>
              <w:jc w:val="center"/>
              <w:rPr>
                <w:rFonts w:ascii="宋体" w:cs="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pPr>
              <w:spacing w:before="40" w:after="40"/>
              <w:ind w:firstLine="480"/>
              <w:jc w:val="center"/>
              <w:rPr>
                <w:rFonts w:ascii="宋体" w:cs="宋体"/>
                <w:highlight w:val="none"/>
              </w:rPr>
            </w:pPr>
          </w:p>
        </w:tc>
        <w:tc>
          <w:tcPr>
            <w:tcW w:w="2410" w:type="dxa"/>
          </w:tcPr>
          <w:p>
            <w:pPr>
              <w:spacing w:before="40" w:after="40"/>
              <w:ind w:firstLine="480"/>
              <w:jc w:val="center"/>
              <w:rPr>
                <w:rFonts w:ascii="宋体" w:cs="宋体"/>
                <w:highlight w:val="none"/>
              </w:rPr>
            </w:pPr>
          </w:p>
        </w:tc>
        <w:tc>
          <w:tcPr>
            <w:tcW w:w="708" w:type="dxa"/>
          </w:tcPr>
          <w:p>
            <w:pPr>
              <w:spacing w:before="40" w:after="40"/>
              <w:ind w:firstLine="480"/>
              <w:jc w:val="center"/>
              <w:rPr>
                <w:rFonts w:ascii="宋体" w:cs="宋体"/>
                <w:highlight w:val="none"/>
              </w:rPr>
            </w:pPr>
          </w:p>
        </w:tc>
        <w:tc>
          <w:tcPr>
            <w:tcW w:w="3621" w:type="dxa"/>
          </w:tcPr>
          <w:p>
            <w:pPr>
              <w:spacing w:before="40" w:after="40"/>
              <w:ind w:firstLine="480"/>
              <w:jc w:val="center"/>
              <w:rPr>
                <w:rFonts w:ascii="宋体" w:cs="宋体"/>
                <w:highlight w:val="none"/>
              </w:rPr>
            </w:pPr>
          </w:p>
        </w:tc>
        <w:tc>
          <w:tcPr>
            <w:tcW w:w="695" w:type="dxa"/>
          </w:tcPr>
          <w:p>
            <w:pPr>
              <w:spacing w:before="40" w:after="40"/>
              <w:ind w:firstLine="480"/>
              <w:jc w:val="center"/>
              <w:rPr>
                <w:rFonts w:ascii="宋体" w:cs="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pPr>
              <w:spacing w:before="40" w:after="40"/>
              <w:ind w:firstLine="480"/>
              <w:jc w:val="center"/>
              <w:rPr>
                <w:rFonts w:ascii="宋体" w:cs="宋体"/>
                <w:highlight w:val="none"/>
              </w:rPr>
            </w:pPr>
          </w:p>
        </w:tc>
        <w:tc>
          <w:tcPr>
            <w:tcW w:w="2410" w:type="dxa"/>
          </w:tcPr>
          <w:p>
            <w:pPr>
              <w:spacing w:before="40" w:after="40"/>
              <w:ind w:firstLine="480"/>
              <w:jc w:val="center"/>
              <w:rPr>
                <w:rFonts w:ascii="宋体" w:cs="宋体"/>
                <w:highlight w:val="none"/>
              </w:rPr>
            </w:pPr>
          </w:p>
        </w:tc>
        <w:tc>
          <w:tcPr>
            <w:tcW w:w="708" w:type="dxa"/>
          </w:tcPr>
          <w:p>
            <w:pPr>
              <w:spacing w:before="40" w:after="40"/>
              <w:ind w:firstLine="480"/>
              <w:jc w:val="center"/>
              <w:rPr>
                <w:rFonts w:ascii="宋体" w:cs="宋体"/>
                <w:highlight w:val="none"/>
              </w:rPr>
            </w:pPr>
          </w:p>
        </w:tc>
        <w:tc>
          <w:tcPr>
            <w:tcW w:w="3621" w:type="dxa"/>
          </w:tcPr>
          <w:p>
            <w:pPr>
              <w:spacing w:before="40" w:after="40"/>
              <w:ind w:firstLine="480"/>
              <w:jc w:val="center"/>
              <w:rPr>
                <w:rFonts w:ascii="宋体" w:cs="宋体"/>
                <w:highlight w:val="none"/>
              </w:rPr>
            </w:pPr>
          </w:p>
        </w:tc>
        <w:tc>
          <w:tcPr>
            <w:tcW w:w="695" w:type="dxa"/>
          </w:tcPr>
          <w:p>
            <w:pPr>
              <w:spacing w:before="40" w:after="40"/>
              <w:ind w:firstLine="480"/>
              <w:jc w:val="center"/>
              <w:rPr>
                <w:rFonts w:ascii="宋体" w:cs="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pPr>
              <w:spacing w:before="40" w:after="40"/>
              <w:ind w:firstLine="480"/>
              <w:jc w:val="center"/>
              <w:rPr>
                <w:rFonts w:ascii="宋体" w:cs="宋体"/>
                <w:highlight w:val="none"/>
              </w:rPr>
            </w:pPr>
          </w:p>
        </w:tc>
        <w:tc>
          <w:tcPr>
            <w:tcW w:w="2410" w:type="dxa"/>
          </w:tcPr>
          <w:p>
            <w:pPr>
              <w:spacing w:before="40" w:after="40"/>
              <w:ind w:firstLine="480"/>
              <w:jc w:val="center"/>
              <w:rPr>
                <w:rFonts w:ascii="宋体" w:cs="宋体"/>
                <w:highlight w:val="none"/>
              </w:rPr>
            </w:pPr>
          </w:p>
        </w:tc>
        <w:tc>
          <w:tcPr>
            <w:tcW w:w="708" w:type="dxa"/>
          </w:tcPr>
          <w:p>
            <w:pPr>
              <w:spacing w:before="40" w:after="40"/>
              <w:ind w:firstLine="480"/>
              <w:jc w:val="center"/>
              <w:rPr>
                <w:rFonts w:ascii="宋体" w:cs="宋体"/>
                <w:highlight w:val="none"/>
              </w:rPr>
            </w:pPr>
          </w:p>
        </w:tc>
        <w:tc>
          <w:tcPr>
            <w:tcW w:w="3621" w:type="dxa"/>
          </w:tcPr>
          <w:p>
            <w:pPr>
              <w:spacing w:before="40" w:after="40"/>
              <w:ind w:firstLine="480"/>
              <w:jc w:val="center"/>
              <w:rPr>
                <w:rFonts w:ascii="宋体" w:cs="宋体"/>
                <w:highlight w:val="none"/>
              </w:rPr>
            </w:pPr>
          </w:p>
        </w:tc>
        <w:tc>
          <w:tcPr>
            <w:tcW w:w="695" w:type="dxa"/>
          </w:tcPr>
          <w:p>
            <w:pPr>
              <w:spacing w:before="40" w:after="40"/>
              <w:ind w:firstLine="480"/>
              <w:jc w:val="center"/>
              <w:rPr>
                <w:rFonts w:ascii="宋体" w:cs="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pPr>
              <w:spacing w:before="40" w:after="40"/>
              <w:ind w:firstLine="480"/>
              <w:jc w:val="center"/>
              <w:rPr>
                <w:rFonts w:ascii="宋体" w:cs="宋体"/>
                <w:highlight w:val="none"/>
              </w:rPr>
            </w:pPr>
          </w:p>
        </w:tc>
        <w:tc>
          <w:tcPr>
            <w:tcW w:w="2410" w:type="dxa"/>
          </w:tcPr>
          <w:p>
            <w:pPr>
              <w:spacing w:before="40" w:after="40"/>
              <w:ind w:firstLine="480"/>
              <w:jc w:val="center"/>
              <w:rPr>
                <w:rFonts w:ascii="宋体" w:cs="宋体"/>
                <w:highlight w:val="none"/>
              </w:rPr>
            </w:pPr>
          </w:p>
        </w:tc>
        <w:tc>
          <w:tcPr>
            <w:tcW w:w="708" w:type="dxa"/>
          </w:tcPr>
          <w:p>
            <w:pPr>
              <w:spacing w:before="40" w:after="40"/>
              <w:ind w:firstLine="480"/>
              <w:jc w:val="center"/>
              <w:rPr>
                <w:rFonts w:ascii="宋体" w:cs="宋体"/>
                <w:highlight w:val="none"/>
              </w:rPr>
            </w:pPr>
          </w:p>
        </w:tc>
        <w:tc>
          <w:tcPr>
            <w:tcW w:w="3621" w:type="dxa"/>
          </w:tcPr>
          <w:p>
            <w:pPr>
              <w:spacing w:before="40" w:after="40"/>
              <w:ind w:firstLine="480"/>
              <w:jc w:val="center"/>
              <w:rPr>
                <w:rFonts w:ascii="宋体" w:cs="宋体"/>
                <w:highlight w:val="none"/>
              </w:rPr>
            </w:pPr>
          </w:p>
        </w:tc>
        <w:tc>
          <w:tcPr>
            <w:tcW w:w="695" w:type="dxa"/>
          </w:tcPr>
          <w:p>
            <w:pPr>
              <w:spacing w:before="40" w:after="40"/>
              <w:ind w:firstLine="480"/>
              <w:jc w:val="center"/>
              <w:rPr>
                <w:rFonts w:ascii="宋体" w:cs="宋体"/>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pPr>
              <w:spacing w:before="40" w:after="40"/>
              <w:ind w:firstLine="480"/>
              <w:jc w:val="center"/>
              <w:rPr>
                <w:rFonts w:ascii="宋体" w:cs="宋体"/>
                <w:highlight w:val="none"/>
              </w:rPr>
            </w:pPr>
          </w:p>
        </w:tc>
        <w:tc>
          <w:tcPr>
            <w:tcW w:w="2410" w:type="dxa"/>
          </w:tcPr>
          <w:p>
            <w:pPr>
              <w:spacing w:before="40" w:after="40"/>
              <w:ind w:firstLine="480"/>
              <w:jc w:val="center"/>
              <w:rPr>
                <w:rFonts w:ascii="宋体" w:cs="宋体"/>
                <w:highlight w:val="none"/>
              </w:rPr>
            </w:pPr>
          </w:p>
        </w:tc>
        <w:tc>
          <w:tcPr>
            <w:tcW w:w="708" w:type="dxa"/>
          </w:tcPr>
          <w:p>
            <w:pPr>
              <w:spacing w:before="40" w:after="40"/>
              <w:ind w:firstLine="480"/>
              <w:jc w:val="center"/>
              <w:rPr>
                <w:rFonts w:ascii="宋体" w:cs="宋体"/>
                <w:highlight w:val="none"/>
              </w:rPr>
            </w:pPr>
          </w:p>
        </w:tc>
        <w:tc>
          <w:tcPr>
            <w:tcW w:w="3621" w:type="dxa"/>
          </w:tcPr>
          <w:p>
            <w:pPr>
              <w:spacing w:before="40" w:after="40"/>
              <w:ind w:firstLine="480"/>
              <w:jc w:val="center"/>
              <w:rPr>
                <w:rFonts w:ascii="宋体" w:cs="宋体"/>
                <w:highlight w:val="none"/>
              </w:rPr>
            </w:pPr>
          </w:p>
        </w:tc>
        <w:tc>
          <w:tcPr>
            <w:tcW w:w="695" w:type="dxa"/>
          </w:tcPr>
          <w:p>
            <w:pPr>
              <w:spacing w:before="40" w:after="40"/>
              <w:ind w:firstLine="480"/>
              <w:jc w:val="center"/>
              <w:rPr>
                <w:rFonts w:ascii="宋体" w:cs="宋体"/>
                <w:highlight w:val="none"/>
              </w:rPr>
            </w:pPr>
          </w:p>
        </w:tc>
      </w:tr>
    </w:tbl>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p>
    <w:p>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pPr>
        <w:widowControl/>
        <w:snapToGrid w:val="0"/>
        <w:spacing w:line="360" w:lineRule="auto"/>
        <w:outlineLvl w:val="1"/>
        <w:rPr>
          <w:rFonts w:ascii="宋体"/>
          <w:b/>
          <w:sz w:val="28"/>
          <w:szCs w:val="28"/>
          <w:highlight w:val="none"/>
        </w:rPr>
        <w:sectPr>
          <w:footerReference r:id="rId9" w:type="default"/>
          <w:pgSz w:w="11906" w:h="16838"/>
          <w:pgMar w:top="1440" w:right="1800" w:bottom="1440" w:left="1800" w:header="851" w:footer="992" w:gutter="0"/>
          <w:cols w:space="425" w:num="1"/>
          <w:docGrid w:type="lines" w:linePitch="312" w:charSpace="0"/>
        </w:sectPr>
      </w:pPr>
    </w:p>
    <w:p>
      <w:pPr>
        <w:widowControl/>
        <w:snapToGrid w:val="0"/>
        <w:spacing w:line="360" w:lineRule="auto"/>
        <w:outlineLvl w:val="1"/>
        <w:rPr>
          <w:rFonts w:ascii="宋体"/>
          <w:b/>
          <w:sz w:val="28"/>
          <w:szCs w:val="28"/>
          <w:highlight w:val="none"/>
        </w:rPr>
      </w:pPr>
      <w:bookmarkStart w:id="231" w:name="_Toc496626247"/>
      <w:bookmarkStart w:id="232" w:name="_Toc415"/>
      <w:bookmarkStart w:id="233" w:name="_Toc49600404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：其他资格证明材料</w:t>
      </w:r>
      <w:bookmarkEnd w:id="231"/>
      <w:bookmarkEnd w:id="232"/>
      <w:bookmarkEnd w:id="233"/>
    </w:p>
    <w:p>
      <w:pPr>
        <w:ind w:firstLine="2909" w:firstLineChars="805"/>
        <w:rPr>
          <w:rFonts w:ascii="宋体"/>
          <w:b/>
          <w:sz w:val="36"/>
          <w:szCs w:val="36"/>
          <w:highlight w:val="none"/>
        </w:rPr>
      </w:pPr>
    </w:p>
    <w:p>
      <w:pPr>
        <w:ind w:firstLine="2909" w:firstLineChars="805"/>
        <w:rPr>
          <w:rFonts w:ascii="宋体"/>
          <w:b/>
          <w:sz w:val="36"/>
          <w:szCs w:val="36"/>
          <w:highlight w:val="none"/>
        </w:rPr>
      </w:pPr>
      <w:r>
        <w:rPr>
          <w:rFonts w:hint="eastAsia" w:ascii="宋体" w:hAnsi="宋体"/>
          <w:b/>
          <w:sz w:val="36"/>
          <w:szCs w:val="36"/>
          <w:highlight w:val="none"/>
        </w:rPr>
        <w:t>其他资格证明材料</w:t>
      </w:r>
    </w:p>
    <w:p>
      <w:pPr>
        <w:ind w:firstLine="480"/>
        <w:rPr>
          <w:rFonts w:ascii="宋体"/>
          <w:bCs/>
          <w:highlight w:val="none"/>
        </w:rPr>
      </w:pPr>
    </w:p>
    <w:p>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4" w:name="_Toc496626248"/>
      <w:bookmarkStart w:id="235" w:name="_Toc496004042"/>
      <w:bookmarkStart w:id="236" w:name="_Toc20106"/>
      <w:r>
        <w:rPr>
          <w:rFonts w:hint="eastAsia" w:ascii="宋体"/>
          <w:b/>
          <w:sz w:val="28"/>
          <w:szCs w:val="28"/>
          <w:highlight w:val="none"/>
        </w:rPr>
        <w:t>附件</w:t>
      </w:r>
      <w:bookmarkStart w:id="237" w:name="_Toc376936780"/>
      <w:bookmarkStart w:id="238" w:name="_Toc365019586"/>
      <w:bookmarkStart w:id="239" w:name="_Toc325726045"/>
      <w:r>
        <w:rPr>
          <w:rFonts w:hint="eastAsia" w:ascii="宋体"/>
          <w:b/>
          <w:sz w:val="28"/>
          <w:szCs w:val="28"/>
          <w:highlight w:val="none"/>
        </w:rPr>
        <w:t>1</w:t>
      </w:r>
      <w:r>
        <w:rPr>
          <w:rFonts w:hint="eastAsia" w:ascii="宋体"/>
          <w:b/>
          <w:sz w:val="28"/>
          <w:szCs w:val="28"/>
          <w:highlight w:val="none"/>
          <w:lang w:val="en-US" w:eastAsia="zh-CN"/>
        </w:rPr>
        <w:t>3</w:t>
      </w:r>
      <w:r>
        <w:rPr>
          <w:rFonts w:hint="eastAsia" w:ascii="宋体"/>
          <w:b/>
          <w:sz w:val="28"/>
          <w:szCs w:val="28"/>
          <w:highlight w:val="none"/>
        </w:rPr>
        <w:t>：</w:t>
      </w:r>
      <w:bookmarkEnd w:id="234"/>
      <w:bookmarkEnd w:id="235"/>
      <w:r>
        <w:rPr>
          <w:rFonts w:hint="eastAsia" w:ascii="宋体"/>
          <w:b/>
          <w:sz w:val="28"/>
          <w:szCs w:val="28"/>
          <w:highlight w:val="none"/>
        </w:rPr>
        <w:t>服务方案</w:t>
      </w:r>
      <w:bookmarkEnd w:id="236"/>
    </w:p>
    <w:p>
      <w:pPr>
        <w:ind w:firstLine="2909" w:firstLineChars="805"/>
        <w:rPr>
          <w:rFonts w:ascii="宋体"/>
          <w:b/>
          <w:sz w:val="36"/>
          <w:szCs w:val="36"/>
          <w:highlight w:val="none"/>
        </w:rPr>
      </w:pPr>
    </w:p>
    <w:p>
      <w:pPr>
        <w:ind w:firstLine="708" w:firstLineChars="196"/>
        <w:jc w:val="center"/>
        <w:rPr>
          <w:rFonts w:ascii="宋体"/>
          <w:bCs/>
          <w:highlight w:val="none"/>
        </w:rPr>
      </w:pPr>
      <w:r>
        <w:rPr>
          <w:rFonts w:hint="eastAsia" w:ascii="宋体" w:hAnsi="宋体"/>
          <w:b/>
          <w:sz w:val="36"/>
          <w:szCs w:val="36"/>
          <w:highlight w:val="none"/>
        </w:rPr>
        <w:t>服务方案</w:t>
      </w:r>
    </w:p>
    <w:p>
      <w:pPr>
        <w:rPr>
          <w:rFonts w:ascii="宋体"/>
          <w:bCs/>
          <w:highlight w:val="none"/>
        </w:rPr>
      </w:pPr>
      <w:r>
        <w:rPr>
          <w:rFonts w:hint="eastAsia" w:ascii="宋体" w:hAnsi="宋体"/>
          <w:bCs/>
          <w:highlight w:val="none"/>
        </w:rPr>
        <w:t>根据采购项目内容，供应商编制项目实施方案。</w:t>
      </w:r>
    </w:p>
    <w:bookmarkEnd w:id="237"/>
    <w:bookmarkEnd w:id="238"/>
    <w:bookmarkEnd w:id="239"/>
    <w:p>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0" w:name="_Toc24724"/>
      <w:bookmarkStart w:id="241" w:name="_Toc49662624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4</w:t>
      </w:r>
      <w:r>
        <w:rPr>
          <w:rFonts w:hint="eastAsia" w:ascii="宋体"/>
          <w:b/>
          <w:sz w:val="28"/>
          <w:szCs w:val="28"/>
          <w:highlight w:val="none"/>
        </w:rPr>
        <w:t>：供应商类似业绩证明材料</w:t>
      </w:r>
      <w:bookmarkEnd w:id="221"/>
      <w:bookmarkEnd w:id="240"/>
      <w:bookmarkEnd w:id="241"/>
    </w:p>
    <w:p>
      <w:pPr>
        <w:ind w:firstLine="2909" w:firstLineChars="805"/>
        <w:rPr>
          <w:rFonts w:ascii="宋体"/>
          <w:b/>
          <w:sz w:val="36"/>
          <w:szCs w:val="36"/>
          <w:highlight w:val="none"/>
        </w:rPr>
      </w:pPr>
    </w:p>
    <w:p>
      <w:pPr>
        <w:jc w:val="center"/>
        <w:rPr>
          <w:rFonts w:ascii="宋体"/>
          <w:b/>
          <w:sz w:val="36"/>
          <w:szCs w:val="36"/>
          <w:highlight w:val="none"/>
        </w:rPr>
      </w:pPr>
      <w:r>
        <w:rPr>
          <w:rFonts w:hint="eastAsia" w:ascii="宋体" w:hAnsi="宋体"/>
          <w:b/>
          <w:sz w:val="36"/>
          <w:szCs w:val="36"/>
          <w:highlight w:val="none"/>
        </w:rPr>
        <w:t>供应商类似业绩证明材料</w:t>
      </w:r>
    </w:p>
    <w:p>
      <w:pPr>
        <w:tabs>
          <w:tab w:val="left" w:pos="168"/>
        </w:tabs>
        <w:adjustRightInd w:val="0"/>
        <w:ind w:firstLine="2530" w:firstLineChars="700"/>
        <w:textAlignment w:val="baseline"/>
        <w:rPr>
          <w:rFonts w:ascii="宋体"/>
          <w:b/>
          <w:sz w:val="36"/>
          <w:szCs w:val="36"/>
          <w:highlight w:val="none"/>
        </w:rPr>
      </w:pPr>
    </w:p>
    <w:p>
      <w:pPr>
        <w:tabs>
          <w:tab w:val="left" w:pos="168"/>
        </w:tabs>
        <w:adjustRightInd w:val="0"/>
        <w:ind w:firstLine="480"/>
        <w:textAlignment w:val="baseline"/>
        <w:rPr>
          <w:rFonts w:ascii="宋体"/>
          <w:highlight w:val="none"/>
        </w:rPr>
      </w:pPr>
      <w:r>
        <w:rPr>
          <w:rFonts w:hint="eastAsia" w:ascii="宋体" w:hAnsi="宋体"/>
          <w:highlight w:val="none"/>
        </w:rPr>
        <w:t>提供自</w:t>
      </w:r>
      <w:r>
        <w:rPr>
          <w:rFonts w:hint="eastAsia" w:ascii="宋体" w:hAnsi="宋体"/>
          <w:highlight w:val="none"/>
          <w:lang w:val="en-US" w:eastAsia="zh-CN"/>
        </w:rPr>
        <w:t>2021</w:t>
      </w:r>
      <w:r>
        <w:rPr>
          <w:rFonts w:hint="eastAsia" w:ascii="宋体" w:hAnsi="宋体"/>
          <w:highlight w:val="none"/>
        </w:rPr>
        <w:t>年</w:t>
      </w:r>
      <w:r>
        <w:rPr>
          <w:rFonts w:hint="eastAsia" w:ascii="宋体" w:hAnsi="宋体"/>
          <w:highlight w:val="none"/>
          <w:lang w:val="en-US" w:eastAsia="zh-CN"/>
        </w:rPr>
        <w:t>1月1日</w:t>
      </w:r>
      <w:r>
        <w:rPr>
          <w:rFonts w:hint="eastAsia" w:ascii="宋体" w:hAnsi="宋体"/>
          <w:highlight w:val="none"/>
        </w:rPr>
        <w:t>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outlineLvl w:val="1"/>
        <w:rPr>
          <w:rFonts w:ascii="宋体"/>
          <w:b/>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color w:val="auto"/>
          <w:sz w:val="36"/>
          <w:szCs w:val="36"/>
          <w:highlight w:val="none"/>
        </w:rPr>
      </w:pPr>
      <w:bookmarkStart w:id="242" w:name="_Toc496626250"/>
      <w:bookmarkStart w:id="243" w:name="_Toc496004044"/>
      <w:bookmarkStart w:id="244" w:name="_Toc3267"/>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5</w:t>
      </w:r>
      <w:r>
        <w:rPr>
          <w:rFonts w:hint="eastAsia" w:ascii="宋体"/>
          <w:b/>
          <w:sz w:val="28"/>
          <w:szCs w:val="28"/>
          <w:highlight w:val="none"/>
        </w:rPr>
        <w:t>：</w:t>
      </w:r>
      <w:bookmarkEnd w:id="242"/>
      <w:bookmarkEnd w:id="243"/>
      <w:bookmarkStart w:id="245" w:name="_Toc496004045"/>
      <w:bookmarkStart w:id="246" w:name="_Toc496626251"/>
      <w:r>
        <w:rPr>
          <w:rFonts w:hint="eastAsia" w:ascii="宋体"/>
          <w:b/>
          <w:color w:val="auto"/>
          <w:sz w:val="28"/>
          <w:szCs w:val="28"/>
          <w:highlight w:val="none"/>
        </w:rPr>
        <w:t>中小企业声明函</w:t>
      </w:r>
      <w:bookmarkEnd w:id="244"/>
    </w:p>
    <w:p>
      <w:pPr>
        <w:widowControl/>
        <w:spacing w:beforeAutospacing="1" w:afterAutospacing="1" w:line="435" w:lineRule="atLeast"/>
        <w:jc w:val="center"/>
        <w:rPr>
          <w:rFonts w:ascii="Arial" w:hAnsi="Arial" w:cs="Arial"/>
          <w:color w:val="auto"/>
          <w:szCs w:val="21"/>
          <w:highlight w:val="none"/>
        </w:rPr>
      </w:pPr>
      <w:r>
        <w:rPr>
          <w:rStyle w:val="30"/>
          <w:rFonts w:hint="eastAsia" w:ascii="宋体" w:hAnsi="宋体" w:cs="宋体"/>
          <w:color w:val="auto"/>
          <w:kern w:val="0"/>
          <w:sz w:val="28"/>
          <w:szCs w:val="28"/>
          <w:highlight w:val="none"/>
          <w:shd w:val="clear" w:color="auto" w:fill="FFFFFF"/>
          <w:lang w:bidi="ar"/>
        </w:rPr>
        <w:t>中小企业声明函（服务）</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shd w:val="clear" w:color="auto" w:fill="FFFFFF"/>
          <w:lang w:bidi="ar"/>
        </w:rPr>
        <w:t>    （单位名称）</w:t>
      </w:r>
      <w:r>
        <w:rPr>
          <w:rFonts w:hint="eastAsia" w:ascii="宋体" w:hAnsi="宋体" w:cs="宋体"/>
          <w:color w:val="auto"/>
          <w:kern w:val="0"/>
          <w:sz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u w:val="single"/>
          <w:shd w:val="clear" w:color="auto" w:fill="FFFFFF"/>
          <w:lang w:bidi="ar"/>
        </w:rPr>
        <w:t>1.   （标的名称）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val="en-US" w:eastAsia="zh-CN" w:bidi="ar"/>
        </w:rPr>
        <w:t>其他未列明行业</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；承建（承接）企业为</w:t>
      </w:r>
      <w:r>
        <w:rPr>
          <w:rFonts w:hint="eastAsia" w:ascii="宋体" w:hAnsi="宋体" w:cs="宋体"/>
          <w:color w:val="auto"/>
          <w:kern w:val="0"/>
          <w:sz w:val="24"/>
          <w:highlight w:val="none"/>
          <w:u w:val="single"/>
          <w:shd w:val="clear" w:color="auto" w:fill="FFFFFF"/>
          <w:lang w:bidi="ar"/>
        </w:rPr>
        <w:t>    （企业名称）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     （中型企业、小型企业、微型企业）</w:t>
      </w:r>
      <w:r>
        <w:rPr>
          <w:rFonts w:hint="eastAsia" w:ascii="宋体" w:hAnsi="宋体" w:cs="宋体"/>
          <w:color w:val="auto"/>
          <w:kern w:val="0"/>
          <w:sz w:val="24"/>
          <w:highlight w:val="none"/>
          <w:shd w:val="clear" w:color="auto" w:fill="FFFFFF"/>
          <w:lang w:bidi="ar"/>
        </w:rPr>
        <w:t>；</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     （标的名称）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val="en-US" w:eastAsia="zh-CN" w:bidi="ar"/>
        </w:rPr>
        <w:t>其他未列明行业</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       （企业名称）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w:t>
      </w:r>
      <w:r>
        <w:rPr>
          <w:rFonts w:hint="eastAsia" w:ascii="宋体" w:hAnsi="宋体" w:cs="宋体"/>
          <w:color w:val="auto"/>
          <w:kern w:val="0"/>
          <w:sz w:val="24"/>
          <w:highlight w:val="none"/>
          <w:shd w:val="clear" w:color="auto" w:fill="FFFFFF"/>
          <w:vertAlign w:val="superscript"/>
          <w:lang w:bidi="ar"/>
        </w:rPr>
        <w:t>1</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     （中型企业、小型企业、微型企业）</w:t>
      </w:r>
      <w:r>
        <w:rPr>
          <w:rFonts w:hint="eastAsia" w:ascii="宋体" w:hAnsi="宋体" w:cs="宋体"/>
          <w:color w:val="auto"/>
          <w:kern w:val="0"/>
          <w:sz w:val="24"/>
          <w:highlight w:val="none"/>
          <w:shd w:val="clear" w:color="auto" w:fill="FFFFFF"/>
          <w:lang w:bidi="ar"/>
        </w:rPr>
        <w:t>；</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pPr>
        <w:widowControl/>
        <w:spacing w:beforeAutospacing="1" w:afterAutospacing="1" w:line="435" w:lineRule="atLeast"/>
        <w:ind w:firstLine="480"/>
        <w:jc w:val="left"/>
        <w:rPr>
          <w:rFonts w:ascii="Arial" w:hAnsi="Arial" w:cs="Arial"/>
          <w:color w:val="auto"/>
          <w:szCs w:val="21"/>
          <w:highlight w:val="none"/>
        </w:rPr>
      </w:pPr>
    </w:p>
    <w:p>
      <w:pPr>
        <w:widowControl/>
        <w:spacing w:beforeAutospacing="1"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pPr>
        <w:widowControl/>
        <w:spacing w:beforeAutospacing="1" w:afterAutospacing="1" w:line="435" w:lineRule="atLeast"/>
        <w:jc w:val="center"/>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 xml:space="preserve">                       日 期：</w:t>
      </w:r>
    </w:p>
    <w:p>
      <w:pPr>
        <w:widowControl/>
        <w:snapToGrid w:val="0"/>
        <w:spacing w:line="360" w:lineRule="auto"/>
        <w:outlineLvl w:val="1"/>
        <w:rPr>
          <w:rFonts w:hint="eastAsia" w:ascii="宋体"/>
          <w:b/>
          <w:sz w:val="28"/>
          <w:szCs w:val="28"/>
          <w:highlight w:val="none"/>
        </w:rPr>
      </w:pPr>
    </w:p>
    <w:p>
      <w:pPr>
        <w:widowControl/>
        <w:snapToGrid w:val="0"/>
        <w:spacing w:line="360" w:lineRule="auto"/>
        <w:outlineLvl w:val="1"/>
        <w:rPr>
          <w:rFonts w:hint="eastAsia" w:ascii="宋体"/>
          <w:b/>
          <w:sz w:val="28"/>
          <w:szCs w:val="28"/>
          <w:highlight w:val="none"/>
        </w:rPr>
      </w:pPr>
    </w:p>
    <w:p>
      <w:pPr>
        <w:widowControl/>
        <w:snapToGrid w:val="0"/>
        <w:spacing w:line="360" w:lineRule="auto"/>
        <w:outlineLvl w:val="1"/>
        <w:rPr>
          <w:rFonts w:ascii="宋体"/>
          <w:b/>
          <w:sz w:val="28"/>
          <w:szCs w:val="28"/>
          <w:highlight w:val="none"/>
        </w:rPr>
      </w:pPr>
      <w:bookmarkStart w:id="247" w:name="_Toc1516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：残疾人福利性单位声明函</w:t>
      </w:r>
      <w:bookmarkEnd w:id="245"/>
      <w:bookmarkEnd w:id="246"/>
      <w:bookmarkEnd w:id="247"/>
    </w:p>
    <w:p>
      <w:pPr>
        <w:jc w:val="center"/>
        <w:rPr>
          <w:rFonts w:ascii="宋体"/>
          <w:b/>
          <w:sz w:val="36"/>
          <w:szCs w:val="36"/>
          <w:highlight w:val="none"/>
        </w:rPr>
      </w:pPr>
      <w:bookmarkStart w:id="248" w:name="OLE_LINK14"/>
      <w:bookmarkStart w:id="249" w:name="OLE_LINK13"/>
    </w:p>
    <w:p>
      <w:pPr>
        <w:jc w:val="center"/>
        <w:rPr>
          <w:rFonts w:ascii="宋体"/>
          <w:b/>
          <w:sz w:val="36"/>
          <w:szCs w:val="36"/>
          <w:highlight w:val="none"/>
        </w:rPr>
      </w:pPr>
      <w:r>
        <w:rPr>
          <w:rFonts w:hint="eastAsia" w:ascii="宋体" w:hAnsi="宋体"/>
          <w:b/>
          <w:sz w:val="36"/>
          <w:szCs w:val="36"/>
          <w:highlight w:val="none"/>
        </w:rPr>
        <w:t>残疾人福利性单位声明函</w:t>
      </w:r>
    </w:p>
    <w:bookmarkEnd w:id="248"/>
    <w:bookmarkEnd w:id="249"/>
    <w:p>
      <w:pPr>
        <w:spacing w:after="156" w:afterLines="50"/>
        <w:rPr>
          <w:rFonts w:ascii="宋体"/>
          <w:bCs/>
          <w:highlight w:val="none"/>
        </w:rPr>
      </w:pPr>
    </w:p>
    <w:p>
      <w:pPr>
        <w:spacing w:after="156" w:afterLines="50"/>
        <w:rPr>
          <w:rFonts w:ascii="宋体"/>
          <w:b/>
          <w:bCs/>
          <w:highlight w:val="none"/>
        </w:rPr>
      </w:pPr>
      <w:r>
        <w:rPr>
          <w:rFonts w:hint="eastAsia" w:ascii="宋体" w:hAnsi="宋体"/>
          <w:b/>
          <w:bCs/>
          <w:highlight w:val="none"/>
        </w:rPr>
        <w:t>致：青海浩驰招标代理有限公司</w:t>
      </w:r>
    </w:p>
    <w:p>
      <w:pPr>
        <w:spacing w:line="360" w:lineRule="auto"/>
        <w:ind w:firstLine="480"/>
        <w:rPr>
          <w:highlight w:val="none"/>
        </w:rPr>
      </w:pPr>
    </w:p>
    <w:p>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pPr>
        <w:spacing w:line="360" w:lineRule="auto"/>
        <w:ind w:firstLine="480"/>
        <w:rPr>
          <w:highlight w:val="none"/>
        </w:rPr>
      </w:pPr>
      <w:r>
        <w:rPr>
          <w:rFonts w:hint="eastAsia"/>
          <w:highlight w:val="none"/>
        </w:rPr>
        <w:t>本公司对上述声明的真实性负责。如有虚假，将依法承担相应责任。</w:t>
      </w:r>
    </w:p>
    <w:p>
      <w:pPr>
        <w:spacing w:line="360" w:lineRule="auto"/>
        <w:ind w:firstLine="480"/>
        <w:rPr>
          <w:highlight w:val="none"/>
        </w:rPr>
      </w:pPr>
    </w:p>
    <w:p>
      <w:pPr>
        <w:spacing w:line="360" w:lineRule="auto"/>
        <w:rPr>
          <w:highlight w:val="none"/>
        </w:rPr>
      </w:pPr>
      <w:r>
        <w:rPr>
          <w:rFonts w:hint="eastAsia"/>
          <w:highlight w:val="none"/>
        </w:rPr>
        <w:t>注：</w:t>
      </w:r>
      <w:r>
        <w:rPr>
          <w:rFonts w:hint="eastAsia" w:ascii="宋体" w:hAnsi="宋体"/>
          <w:highlight w:val="none"/>
        </w:rPr>
        <w:t>若无此项内容，可不提供此函。</w:t>
      </w: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ind w:firstLine="480"/>
        <w:rPr>
          <w:highlight w:val="none"/>
        </w:rPr>
      </w:pPr>
    </w:p>
    <w:p>
      <w:pPr>
        <w:spacing w:line="360" w:lineRule="auto"/>
        <w:rPr>
          <w:highlight w:val="none"/>
        </w:rPr>
      </w:pPr>
    </w:p>
    <w:p>
      <w:pPr>
        <w:spacing w:line="360" w:lineRule="auto"/>
        <w:rPr>
          <w:highlight w:val="none"/>
        </w:rPr>
      </w:pPr>
    </w:p>
    <w:p>
      <w:pPr>
        <w:spacing w:line="360" w:lineRule="auto"/>
        <w:ind w:firstLine="480"/>
        <w:rPr>
          <w:highlight w:val="none"/>
        </w:rPr>
      </w:pPr>
    </w:p>
    <w:p>
      <w:pPr>
        <w:spacing w:line="360" w:lineRule="auto"/>
        <w:ind w:firstLine="480"/>
        <w:rPr>
          <w:highlight w:val="none"/>
        </w:rPr>
      </w:pPr>
    </w:p>
    <w:p>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0" w:name="_Toc496626252"/>
      <w:bookmarkStart w:id="251" w:name="_Toc496004046"/>
      <w:bookmarkStart w:id="252" w:name="_Toc416363470"/>
    </w:p>
    <w:p>
      <w:pPr>
        <w:pStyle w:val="13"/>
        <w:rPr>
          <w:highlight w:val="none"/>
        </w:rPr>
      </w:pPr>
    </w:p>
    <w:p>
      <w:pPr>
        <w:widowControl/>
        <w:snapToGrid w:val="0"/>
        <w:spacing w:line="360" w:lineRule="auto"/>
        <w:outlineLvl w:val="1"/>
        <w:rPr>
          <w:rFonts w:ascii="宋体"/>
          <w:b/>
          <w:sz w:val="28"/>
          <w:szCs w:val="28"/>
          <w:highlight w:val="none"/>
        </w:rPr>
      </w:pPr>
      <w:bookmarkStart w:id="253" w:name="_Toc1866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7</w:t>
      </w:r>
      <w:r>
        <w:rPr>
          <w:rFonts w:hint="eastAsia" w:ascii="宋体"/>
          <w:b/>
          <w:sz w:val="28"/>
          <w:szCs w:val="28"/>
          <w:highlight w:val="none"/>
        </w:rPr>
        <w:t>：</w:t>
      </w:r>
      <w:bookmarkEnd w:id="250"/>
      <w:bookmarkEnd w:id="251"/>
      <w:r>
        <w:rPr>
          <w:rFonts w:hint="eastAsia" w:ascii="宋体"/>
          <w:b/>
          <w:sz w:val="28"/>
          <w:szCs w:val="28"/>
          <w:highlight w:val="none"/>
        </w:rPr>
        <w:t>从业人员声明函</w:t>
      </w:r>
      <w:bookmarkEnd w:id="253"/>
    </w:p>
    <w:p>
      <w:pPr>
        <w:ind w:firstLine="723"/>
        <w:jc w:val="center"/>
        <w:rPr>
          <w:rFonts w:ascii="宋体"/>
          <w:b/>
          <w:sz w:val="36"/>
          <w:szCs w:val="36"/>
          <w:highlight w:val="none"/>
        </w:rPr>
      </w:pPr>
      <w:r>
        <w:rPr>
          <w:rFonts w:ascii="宋体" w:hAnsi="宋体"/>
          <w:b/>
          <w:sz w:val="36"/>
          <w:szCs w:val="36"/>
          <w:highlight w:val="none"/>
        </w:rPr>
        <w:t xml:space="preserve">  </w:t>
      </w:r>
    </w:p>
    <w:p>
      <w:pPr>
        <w:adjustRightInd w:val="0"/>
        <w:snapToGrid w:val="0"/>
        <w:spacing w:line="440" w:lineRule="exact"/>
        <w:ind w:left="8152" w:hanging="8152" w:hangingChars="2900"/>
        <w:jc w:val="center"/>
        <w:rPr>
          <w:rFonts w:ascii="宋体" w:cs="宋体"/>
          <w:b/>
          <w:highlight w:val="none"/>
        </w:rPr>
      </w:pPr>
      <w:bookmarkStart w:id="254" w:name="_Toc496004047"/>
      <w:bookmarkStart w:id="255" w:name="_Toc496626253"/>
      <w:r>
        <w:rPr>
          <w:rFonts w:hint="eastAsia" w:ascii="宋体" w:hAnsi="宋体" w:cs="宋体"/>
          <w:b/>
          <w:sz w:val="28"/>
          <w:szCs w:val="28"/>
          <w:highlight w:val="none"/>
        </w:rPr>
        <w:t>从业人员声明函</w:t>
      </w:r>
    </w:p>
    <w:p>
      <w:pPr>
        <w:adjustRightInd w:val="0"/>
        <w:snapToGrid w:val="0"/>
        <w:spacing w:line="440" w:lineRule="exact"/>
        <w:ind w:left="6114" w:hanging="6114" w:hangingChars="2900"/>
        <w:rPr>
          <w:rFonts w:ascii="宋体" w:cs="宋体"/>
          <w:b/>
          <w:bCs/>
          <w:kern w:val="0"/>
          <w:highlight w:val="none"/>
          <w:lang w:val="zh-CN"/>
        </w:rPr>
      </w:pPr>
    </w:p>
    <w:p>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致：青海浩驰招标代理有限公司</w:t>
      </w:r>
    </w:p>
    <w:p>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p>
    <w:p>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56" w:name="_Toc3226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8</w:t>
      </w:r>
      <w:r>
        <w:rPr>
          <w:rFonts w:hint="eastAsia" w:ascii="宋体"/>
          <w:b/>
          <w:sz w:val="28"/>
          <w:szCs w:val="28"/>
          <w:highlight w:val="none"/>
        </w:rPr>
        <w:t>：供应商认为在其他方面有必要说明的事项</w:t>
      </w:r>
      <w:bookmarkEnd w:id="254"/>
      <w:bookmarkEnd w:id="255"/>
      <w:bookmarkEnd w:id="256"/>
    </w:p>
    <w:p>
      <w:pPr>
        <w:ind w:firstLine="723"/>
        <w:jc w:val="center"/>
        <w:rPr>
          <w:rFonts w:ascii="宋体"/>
          <w:b/>
          <w:sz w:val="36"/>
          <w:szCs w:val="36"/>
          <w:highlight w:val="none"/>
        </w:rPr>
      </w:pPr>
    </w:p>
    <w:p>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pPr>
        <w:ind w:firstLine="723"/>
        <w:jc w:val="center"/>
        <w:rPr>
          <w:rFonts w:ascii="宋体"/>
          <w:b/>
          <w:sz w:val="36"/>
          <w:szCs w:val="36"/>
          <w:highlight w:val="none"/>
        </w:rPr>
      </w:pPr>
      <w:r>
        <w:rPr>
          <w:rFonts w:hint="eastAsia" w:ascii="宋体" w:hAnsi="宋体"/>
          <w:b/>
          <w:sz w:val="36"/>
          <w:szCs w:val="36"/>
          <w:highlight w:val="none"/>
        </w:rPr>
        <w:t>（格式自定）</w:t>
      </w:r>
    </w:p>
    <w:p>
      <w:pPr>
        <w:widowControl/>
        <w:snapToGrid w:val="0"/>
        <w:spacing w:line="360" w:lineRule="auto"/>
        <w:outlineLvl w:val="1"/>
        <w:rPr>
          <w:rFonts w:ascii="宋体"/>
          <w:b/>
          <w:highlight w:val="none"/>
        </w:rPr>
      </w:pPr>
    </w:p>
    <w:p>
      <w:pPr>
        <w:widowControl/>
        <w:snapToGrid w:val="0"/>
        <w:spacing w:line="360" w:lineRule="auto"/>
        <w:outlineLvl w:val="1"/>
        <w:rPr>
          <w:rFonts w:ascii="宋体"/>
          <w:b/>
          <w:bCs/>
          <w:highlight w:val="none"/>
        </w:rPr>
      </w:pPr>
      <w:r>
        <w:rPr>
          <w:rFonts w:ascii="宋体"/>
          <w:b/>
          <w:highlight w:val="none"/>
        </w:rPr>
        <w:br w:type="page"/>
      </w:r>
      <w:bookmarkEnd w:id="252"/>
    </w:p>
    <w:p>
      <w:pPr>
        <w:keepNext/>
        <w:keepLines/>
        <w:widowControl/>
        <w:snapToGrid w:val="0"/>
        <w:spacing w:line="240" w:lineRule="atLeast"/>
        <w:jc w:val="center"/>
        <w:outlineLvl w:val="0"/>
        <w:rPr>
          <w:rFonts w:ascii="宋体"/>
          <w:b/>
          <w:kern w:val="28"/>
          <w:sz w:val="36"/>
          <w:szCs w:val="20"/>
          <w:highlight w:val="none"/>
        </w:rPr>
      </w:pPr>
      <w:bookmarkStart w:id="257" w:name="_Toc376936782"/>
      <w:bookmarkStart w:id="258" w:name="_Toc2055"/>
      <w:bookmarkStart w:id="259" w:name="_Toc496626254"/>
      <w:bookmarkStart w:id="260" w:name="_Toc325726051"/>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7"/>
      <w:bookmarkEnd w:id="258"/>
      <w:bookmarkEnd w:id="259"/>
      <w:bookmarkEnd w:id="260"/>
    </w:p>
    <w:p>
      <w:pPr>
        <w:widowControl/>
        <w:spacing w:before="624" w:beforeLines="200" w:after="624" w:afterLines="200" w:line="240" w:lineRule="atLeast"/>
        <w:jc w:val="center"/>
        <w:outlineLvl w:val="1"/>
        <w:rPr>
          <w:rFonts w:ascii="宋体"/>
          <w:b/>
          <w:bCs/>
          <w:kern w:val="0"/>
          <w:sz w:val="36"/>
          <w:szCs w:val="36"/>
          <w:highlight w:val="none"/>
        </w:rPr>
      </w:pPr>
      <w:bookmarkStart w:id="261" w:name="_Toc325726052"/>
      <w:bookmarkStart w:id="262" w:name="_Toc496626255"/>
      <w:bookmarkStart w:id="263" w:name="_Toc376936783"/>
      <w:bookmarkStart w:id="264" w:name="_Toc23203"/>
      <w:bookmarkStart w:id="265" w:name="_Toc25789"/>
      <w:bookmarkStart w:id="266" w:name="_Toc25322"/>
      <w:r>
        <w:rPr>
          <w:rFonts w:hint="eastAsia" w:ascii="宋体" w:hAnsi="宋体"/>
          <w:b/>
          <w:bCs/>
          <w:kern w:val="0"/>
          <w:sz w:val="36"/>
          <w:szCs w:val="36"/>
          <w:highlight w:val="none"/>
        </w:rPr>
        <w:t>一、磋商要求</w:t>
      </w:r>
      <w:bookmarkEnd w:id="261"/>
      <w:bookmarkEnd w:id="262"/>
      <w:bookmarkEnd w:id="263"/>
      <w:bookmarkEnd w:id="264"/>
      <w:bookmarkEnd w:id="265"/>
      <w:bookmarkEnd w:id="266"/>
      <w:bookmarkStart w:id="267" w:name="_Toc325726053"/>
      <w:bookmarkStart w:id="268" w:name="_Toc496626256"/>
      <w:bookmarkStart w:id="269" w:name="_Toc376936784"/>
      <w:bookmarkStart w:id="270" w:name="_Toc2073"/>
    </w:p>
    <w:bookmarkEnd w:id="267"/>
    <w:bookmarkEnd w:id="268"/>
    <w:bookmarkEnd w:id="269"/>
    <w:bookmarkEnd w:id="270"/>
    <w:p>
      <w:pPr>
        <w:pStyle w:val="24"/>
        <w:spacing w:line="360" w:lineRule="auto"/>
        <w:jc w:val="left"/>
        <w:outlineLvl w:val="1"/>
        <w:rPr>
          <w:rFonts w:ascii="宋体" w:cs="宋体"/>
          <w:highlight w:val="none"/>
          <w:lang w:val="zh-CN"/>
        </w:rPr>
      </w:pPr>
      <w:bookmarkStart w:id="271" w:name="_Toc20332"/>
      <w:bookmarkStart w:id="272" w:name="_Toc4601"/>
      <w:bookmarkStart w:id="273" w:name="_Toc16678"/>
      <w:bookmarkStart w:id="274" w:name="_Toc14246"/>
      <w:bookmarkStart w:id="275" w:name="_Toc18620"/>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bookmarkEnd w:id="275"/>
    </w:p>
    <w:p>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hint="eastAsia"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pPr>
        <w:pStyle w:val="24"/>
        <w:spacing w:line="360" w:lineRule="auto"/>
        <w:jc w:val="left"/>
        <w:outlineLvl w:val="1"/>
        <w:rPr>
          <w:rFonts w:ascii="宋体" w:cs="宋体"/>
          <w:highlight w:val="none"/>
          <w:lang w:val="zh-CN"/>
        </w:rPr>
      </w:pPr>
      <w:bookmarkStart w:id="276" w:name="_Toc26125"/>
      <w:bookmarkStart w:id="277" w:name="_Toc20545"/>
      <w:bookmarkStart w:id="278" w:name="_Toc8251"/>
      <w:bookmarkStart w:id="279" w:name="_Toc25360"/>
      <w:bookmarkStart w:id="280" w:name="_Toc4773"/>
      <w:r>
        <w:rPr>
          <w:rFonts w:ascii="宋体" w:hAnsi="宋体" w:cs="宋体"/>
          <w:sz w:val="28"/>
          <w:szCs w:val="28"/>
          <w:highlight w:val="none"/>
        </w:rPr>
        <w:t>2.</w:t>
      </w:r>
      <w:bookmarkEnd w:id="276"/>
      <w:bookmarkStart w:id="281" w:name="_Toc1475"/>
      <w:r>
        <w:rPr>
          <w:rFonts w:hint="eastAsia" w:ascii="宋体" w:hAnsi="宋体" w:cs="宋体"/>
          <w:sz w:val="28"/>
          <w:szCs w:val="28"/>
          <w:highlight w:val="none"/>
          <w:lang w:val="zh-CN"/>
        </w:rPr>
        <w:t>重要指标</w:t>
      </w:r>
      <w:bookmarkEnd w:id="277"/>
      <w:bookmarkEnd w:id="278"/>
      <w:bookmarkEnd w:id="279"/>
      <w:bookmarkEnd w:id="280"/>
      <w:bookmarkEnd w:id="281"/>
    </w:p>
    <w:p>
      <w:pPr>
        <w:autoSpaceDE w:val="0"/>
        <w:autoSpaceDN w:val="0"/>
        <w:spacing w:line="360" w:lineRule="auto"/>
        <w:ind w:firstLine="420" w:firstLineChars="200"/>
        <w:rPr>
          <w:rFonts w:ascii="宋体" w:cs="宋体"/>
          <w:kern w:val="0"/>
          <w:highlight w:val="none"/>
          <w:lang w:val="zh-CN"/>
        </w:rPr>
      </w:pPr>
      <w:bookmarkStart w:id="282"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pPr>
        <w:pStyle w:val="24"/>
        <w:spacing w:line="360" w:lineRule="auto"/>
        <w:jc w:val="left"/>
        <w:outlineLvl w:val="1"/>
        <w:rPr>
          <w:rFonts w:ascii="宋体" w:cs="宋体"/>
          <w:highlight w:val="none"/>
          <w:lang w:val="zh-CN"/>
        </w:rPr>
      </w:pPr>
      <w:bookmarkStart w:id="283" w:name="_Toc11220"/>
      <w:bookmarkStart w:id="284" w:name="_Toc16744"/>
      <w:bookmarkStart w:id="285" w:name="_Toc20674"/>
      <w:bookmarkStart w:id="286" w:name="_Toc31092"/>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2"/>
      <w:bookmarkEnd w:id="283"/>
      <w:bookmarkEnd w:id="284"/>
      <w:bookmarkEnd w:id="285"/>
      <w:bookmarkEnd w:id="286"/>
    </w:p>
    <w:p>
      <w:pPr>
        <w:keepNext/>
        <w:keepLines/>
        <w:widowControl/>
        <w:snapToGrid w:val="0"/>
        <w:spacing w:line="400" w:lineRule="atLeast"/>
        <w:ind w:firstLine="480"/>
        <w:outlineLvl w:val="0"/>
        <w:rPr>
          <w:rFonts w:hint="eastAsia" w:ascii="宋体" w:hAnsi="宋体" w:cs="宋体"/>
          <w:highlight w:val="none"/>
          <w:lang w:val="en-US" w:eastAsia="zh-CN"/>
        </w:rPr>
      </w:pPr>
      <w:bookmarkStart w:id="287" w:name="_Toc20386"/>
      <w:bookmarkStart w:id="288" w:name="_Toc408994193"/>
      <w:bookmarkStart w:id="289" w:name="_Toc11170"/>
      <w:bookmarkStart w:id="290" w:name="_Toc412645684"/>
      <w:bookmarkStart w:id="291" w:name="_Toc28542"/>
      <w:bookmarkStart w:id="292" w:name="_Toc16013"/>
      <w:bookmarkStart w:id="293" w:name="_Toc28320"/>
      <w:r>
        <w:rPr>
          <w:rFonts w:hint="eastAsia" w:ascii="宋体" w:hAnsi="宋体" w:cs="宋体"/>
          <w:highlight w:val="none"/>
          <w:lang w:val="en-US" w:eastAsia="zh-CN"/>
        </w:rPr>
        <w:t>服务期：</w:t>
      </w:r>
      <w:bookmarkEnd w:id="287"/>
      <w:bookmarkEnd w:id="288"/>
      <w:bookmarkEnd w:id="289"/>
      <w:bookmarkEnd w:id="290"/>
      <w:bookmarkEnd w:id="291"/>
      <w:bookmarkEnd w:id="292"/>
      <w:bookmarkEnd w:id="293"/>
      <w:bookmarkStart w:id="294" w:name="_Toc5288"/>
      <w:bookmarkStart w:id="295" w:name="_Toc9533"/>
      <w:bookmarkStart w:id="296" w:name="_Toc4163"/>
      <w:bookmarkStart w:id="297" w:name="_Toc27995"/>
      <w:bookmarkStart w:id="298" w:name="_Toc27020"/>
      <w:r>
        <w:rPr>
          <w:rFonts w:hint="eastAsia" w:ascii="宋体" w:hAnsi="宋体" w:cs="宋体"/>
          <w:highlight w:val="none"/>
          <w:lang w:val="en-US" w:eastAsia="zh-CN"/>
        </w:rPr>
        <w:t>培训工作于2024年8月底前全面结束。9月15日前向采购方报送最终审核版培训资料</w:t>
      </w:r>
    </w:p>
    <w:p>
      <w:pPr>
        <w:keepNext/>
        <w:keepLines/>
        <w:widowControl/>
        <w:snapToGrid w:val="0"/>
        <w:spacing w:line="400" w:lineRule="atLeast"/>
        <w:ind w:firstLine="480"/>
        <w:outlineLvl w:val="0"/>
        <w:rPr>
          <w:rFonts w:hint="default" w:ascii="宋体" w:hAnsi="宋体" w:cs="宋体"/>
          <w:highlight w:val="none"/>
          <w:lang w:val="en-US" w:eastAsia="zh-CN"/>
        </w:rPr>
      </w:pPr>
      <w:r>
        <w:rPr>
          <w:rFonts w:hint="eastAsia" w:ascii="宋体" w:hAnsi="宋体" w:cs="宋体"/>
          <w:highlight w:val="none"/>
          <w:lang w:val="en-US" w:eastAsia="zh-CN"/>
        </w:rPr>
        <w:t>服务地点：</w:t>
      </w:r>
      <w:bookmarkEnd w:id="294"/>
      <w:bookmarkEnd w:id="295"/>
      <w:bookmarkEnd w:id="296"/>
      <w:r>
        <w:rPr>
          <w:rFonts w:hint="eastAsia" w:ascii="宋体" w:hAnsi="宋体" w:cs="宋体"/>
          <w:highlight w:val="none"/>
          <w:lang w:val="en-US" w:eastAsia="zh-CN"/>
        </w:rPr>
        <w:t>甲方指定地点</w:t>
      </w:r>
      <w:bookmarkEnd w:id="297"/>
      <w:bookmarkEnd w:id="298"/>
    </w:p>
    <w:p>
      <w:pPr>
        <w:keepNext w:val="0"/>
        <w:keepLines w:val="0"/>
        <w:pageBreakBefore w:val="0"/>
        <w:widowControl/>
        <w:numPr>
          <w:ilvl w:val="0"/>
          <w:numId w:val="5"/>
        </w:numPr>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outlineLvl w:val="1"/>
        <w:rPr>
          <w:rFonts w:hint="eastAsia" w:ascii="宋体" w:hAnsi="宋体"/>
          <w:b/>
          <w:bCs/>
          <w:kern w:val="0"/>
          <w:sz w:val="36"/>
          <w:szCs w:val="36"/>
          <w:highlight w:val="none"/>
        </w:rPr>
      </w:pPr>
      <w:r>
        <w:rPr>
          <w:rFonts w:hint="eastAsia" w:ascii="宋体" w:hAnsi="宋体"/>
          <w:b/>
          <w:bCs/>
          <w:kern w:val="0"/>
          <w:sz w:val="36"/>
          <w:szCs w:val="36"/>
          <w:highlight w:val="none"/>
          <w:lang w:val="en-US" w:eastAsia="zh-CN"/>
        </w:rPr>
        <w:t>项目</w:t>
      </w:r>
      <w:r>
        <w:rPr>
          <w:rFonts w:hint="eastAsia" w:ascii="宋体" w:hAnsi="宋体"/>
          <w:b/>
          <w:bCs/>
          <w:kern w:val="0"/>
          <w:sz w:val="36"/>
          <w:szCs w:val="36"/>
          <w:highlight w:val="none"/>
        </w:rPr>
        <w:t>概况及培训要求</w:t>
      </w:r>
    </w:p>
    <w:p>
      <w:pPr>
        <w:keepNext w:val="0"/>
        <w:keepLines w:val="0"/>
        <w:pageBreakBefore w:val="0"/>
        <w:widowControl/>
        <w:shd w:val="clear" w:color="auto" w:fill="FFFFFF"/>
        <w:kinsoku/>
        <w:wordWrap/>
        <w:overflowPunct/>
        <w:topLinePunct w:val="0"/>
        <w:autoSpaceDE/>
        <w:autoSpaceDN/>
        <w:bidi w:val="0"/>
        <w:adjustRightInd/>
        <w:snapToGrid/>
        <w:spacing w:after="136" w:line="576" w:lineRule="exact"/>
        <w:ind w:firstLine="420" w:firstLineChars="200"/>
        <w:textAlignment w:val="auto"/>
        <w:outlineLvl w:val="9"/>
        <w:rPr>
          <w:rFonts w:hint="eastAsia" w:asciiTheme="minorEastAsia" w:hAnsiTheme="minorEastAsia" w:eastAsiaTheme="minorEastAsia" w:cstheme="minorEastAsia"/>
          <w:snapToGrid w:val="0"/>
          <w:color w:val="333333"/>
          <w:kern w:val="0"/>
          <w:sz w:val="21"/>
          <w:szCs w:val="21"/>
          <w:highlight w:val="none"/>
        </w:rPr>
      </w:pPr>
      <w:r>
        <w:rPr>
          <w:rFonts w:hint="eastAsia" w:asciiTheme="minorEastAsia" w:hAnsiTheme="minorEastAsia" w:eastAsiaTheme="minorEastAsia" w:cstheme="minorEastAsia"/>
          <w:snapToGrid w:val="0"/>
          <w:color w:val="333333"/>
          <w:kern w:val="0"/>
          <w:sz w:val="21"/>
          <w:szCs w:val="21"/>
          <w:highlight w:val="none"/>
        </w:rPr>
        <w:t>一、实施地区及对象</w:t>
      </w:r>
    </w:p>
    <w:p>
      <w:pPr>
        <w:keepNext w:val="0"/>
        <w:keepLines w:val="0"/>
        <w:pageBreakBefore w:val="0"/>
        <w:widowControl/>
        <w:kinsoku/>
        <w:wordWrap/>
        <w:overflowPunct/>
        <w:topLinePunct w:val="0"/>
        <w:autoSpaceDE/>
        <w:autoSpaceDN/>
        <w:bidi w:val="0"/>
        <w:adjustRightInd/>
        <w:snapToGrid/>
        <w:spacing w:line="576" w:lineRule="exact"/>
        <w:ind w:firstLine="420" w:firstLineChars="200"/>
        <w:textAlignment w:val="auto"/>
        <w:outlineLvl w:val="9"/>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在全市范围内开展残疾人“师带徒”培训，培训对象需符合</w:t>
      </w:r>
      <w:r>
        <w:rPr>
          <w:rFonts w:hint="eastAsia" w:asciiTheme="minorEastAsia" w:hAnsiTheme="minorEastAsia" w:eastAsiaTheme="minorEastAsia" w:cstheme="minorEastAsia"/>
          <w:snapToGrid w:val="0"/>
          <w:kern w:val="0"/>
          <w:sz w:val="21"/>
          <w:szCs w:val="21"/>
          <w:highlight w:val="none"/>
          <w:lang w:eastAsia="zh-CN"/>
        </w:rPr>
        <w:t>以</w:t>
      </w:r>
      <w:r>
        <w:rPr>
          <w:rFonts w:hint="eastAsia" w:asciiTheme="minorEastAsia" w:hAnsiTheme="minorEastAsia" w:eastAsiaTheme="minorEastAsia" w:cstheme="minorEastAsia"/>
          <w:snapToGrid w:val="0"/>
          <w:kern w:val="0"/>
          <w:sz w:val="21"/>
          <w:szCs w:val="21"/>
          <w:highlight w:val="none"/>
        </w:rPr>
        <w:t>下条件：</w:t>
      </w:r>
    </w:p>
    <w:p>
      <w:pPr>
        <w:keepNext w:val="0"/>
        <w:keepLines w:val="0"/>
        <w:pageBreakBefore w:val="0"/>
        <w:widowControl/>
        <w:kinsoku/>
        <w:wordWrap/>
        <w:overflowPunct/>
        <w:topLinePunct w:val="0"/>
        <w:autoSpaceDE/>
        <w:autoSpaceDN/>
        <w:bidi w:val="0"/>
        <w:adjustRightInd/>
        <w:snapToGrid/>
        <w:spacing w:line="576" w:lineRule="exact"/>
        <w:ind w:firstLine="420" w:firstLineChars="200"/>
        <w:textAlignment w:val="auto"/>
        <w:outlineLvl w:val="9"/>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对就业年龄段持证残疾人中有劳动能力和意愿且具备接受培训的条件和能力的，</w:t>
      </w:r>
      <w:r>
        <w:rPr>
          <w:rFonts w:hint="eastAsia" w:asciiTheme="minorEastAsia" w:hAnsiTheme="minorEastAsia" w:eastAsiaTheme="minorEastAsia" w:cstheme="minorEastAsia"/>
          <w:snapToGrid w:val="0"/>
          <w:kern w:val="0"/>
          <w:sz w:val="21"/>
          <w:szCs w:val="21"/>
          <w:highlight w:val="none"/>
          <w:lang w:eastAsia="zh-CN"/>
        </w:rPr>
        <w:t>以</w:t>
      </w:r>
      <w:r>
        <w:rPr>
          <w:rFonts w:hint="eastAsia" w:asciiTheme="minorEastAsia" w:hAnsiTheme="minorEastAsia" w:eastAsiaTheme="minorEastAsia" w:cstheme="minorEastAsia"/>
          <w:snapToGrid w:val="0"/>
          <w:kern w:val="0"/>
          <w:sz w:val="21"/>
          <w:szCs w:val="21"/>
          <w:highlight w:val="none"/>
        </w:rPr>
        <w:t>有一定相关技能基础的残疾人为重点，以实际操作技能训练和职业素质培养为主，以达到技能提升和上岗要求为目标，组织开展“师带徒”培训。</w:t>
      </w:r>
    </w:p>
    <w:p>
      <w:pPr>
        <w:keepNext w:val="0"/>
        <w:keepLines w:val="0"/>
        <w:pageBreakBefore w:val="0"/>
        <w:widowControl/>
        <w:shd w:val="clear" w:color="auto" w:fill="FFFFFF"/>
        <w:kinsoku/>
        <w:wordWrap/>
        <w:overflowPunct/>
        <w:topLinePunct w:val="0"/>
        <w:autoSpaceDE/>
        <w:autoSpaceDN/>
        <w:bidi w:val="0"/>
        <w:adjustRightInd/>
        <w:snapToGrid/>
        <w:spacing w:after="136" w:line="576" w:lineRule="exact"/>
        <w:ind w:firstLine="420" w:firstLineChars="200"/>
        <w:textAlignment w:val="auto"/>
        <w:outlineLvl w:val="9"/>
        <w:rPr>
          <w:rFonts w:hint="eastAsia" w:asciiTheme="minorEastAsia" w:hAnsiTheme="minorEastAsia" w:eastAsiaTheme="minorEastAsia" w:cstheme="minorEastAsia"/>
          <w:snapToGrid w:val="0"/>
          <w:color w:val="333333"/>
          <w:kern w:val="0"/>
          <w:sz w:val="21"/>
          <w:szCs w:val="21"/>
          <w:highlight w:val="none"/>
        </w:rPr>
      </w:pPr>
      <w:r>
        <w:rPr>
          <w:rFonts w:hint="eastAsia" w:asciiTheme="minorEastAsia" w:hAnsiTheme="minorEastAsia" w:eastAsiaTheme="minorEastAsia" w:cstheme="minorEastAsia"/>
          <w:snapToGrid w:val="0"/>
          <w:color w:val="333333"/>
          <w:kern w:val="0"/>
          <w:sz w:val="21"/>
          <w:szCs w:val="21"/>
          <w:highlight w:val="none"/>
          <w:lang w:val="en-US" w:eastAsia="zh-CN"/>
        </w:rPr>
        <w:t>二</w:t>
      </w:r>
      <w:r>
        <w:rPr>
          <w:rFonts w:hint="eastAsia" w:asciiTheme="minorEastAsia" w:hAnsiTheme="minorEastAsia" w:eastAsiaTheme="minorEastAsia" w:cstheme="minorEastAsia"/>
          <w:snapToGrid w:val="0"/>
          <w:color w:val="333333"/>
          <w:kern w:val="0"/>
          <w:sz w:val="21"/>
          <w:szCs w:val="21"/>
          <w:highlight w:val="none"/>
        </w:rPr>
        <w:t>、实施要求</w:t>
      </w:r>
    </w:p>
    <w:p>
      <w:pPr>
        <w:keepNext w:val="0"/>
        <w:keepLines w:val="0"/>
        <w:pageBreakBefore w:val="0"/>
        <w:kinsoku/>
        <w:wordWrap/>
        <w:overflowPunct/>
        <w:topLinePunct w:val="0"/>
        <w:autoSpaceDE/>
        <w:autoSpaceDN/>
        <w:bidi w:val="0"/>
        <w:adjustRightInd/>
        <w:snapToGrid/>
        <w:spacing w:line="576" w:lineRule="exact"/>
        <w:ind w:firstLine="420" w:firstLineChars="200"/>
        <w:textAlignment w:val="auto"/>
        <w:outlineLvl w:val="9"/>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1.结合培训工作特色，以提升残疾人技能，促进残疾人就业为宗旨，充分考虑培训内容是否能与实现就业相衔接，开展“师带徒”培训，比例为1:</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（即1名师傅带</w:t>
      </w:r>
      <w:r>
        <w:rPr>
          <w:rFonts w:hint="eastAsia" w:asciiTheme="minorEastAsia" w:hAnsiTheme="minorEastAsia" w:eastAsiaTheme="minorEastAsia" w:cstheme="minorEastAsia"/>
          <w:snapToGrid w:val="0"/>
          <w:kern w:val="0"/>
          <w:sz w:val="21"/>
          <w:szCs w:val="21"/>
          <w:highlight w:val="none"/>
          <w:lang w:val="en-US" w:eastAsia="zh-CN"/>
        </w:rPr>
        <w:t>3</w:t>
      </w:r>
      <w:r>
        <w:rPr>
          <w:rFonts w:hint="eastAsia" w:asciiTheme="minorEastAsia" w:hAnsiTheme="minorEastAsia" w:eastAsiaTheme="minorEastAsia" w:cstheme="minorEastAsia"/>
          <w:snapToGrid w:val="0"/>
          <w:kern w:val="0"/>
          <w:sz w:val="21"/>
          <w:szCs w:val="21"/>
          <w:highlight w:val="none"/>
        </w:rPr>
        <w:t>名徒弟），师傅须具有相关专业技术职称、职业资格证书或相关等级证书。</w:t>
      </w:r>
    </w:p>
    <w:p>
      <w:pPr>
        <w:spacing w:line="520" w:lineRule="exact"/>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2、培训班以“理论主讲+实操教学”为主要教学方式，每天培训课时不得少于8个课时。每期培训班实操教学不少于总学时的70%，职业素质培训学时不少于总课时的10%。</w:t>
      </w:r>
    </w:p>
    <w:p>
      <w:pPr>
        <w:spacing w:line="520" w:lineRule="exact"/>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3、培训班</w:t>
      </w:r>
      <w:r>
        <w:rPr>
          <w:rFonts w:hint="eastAsia" w:asciiTheme="minorEastAsia" w:hAnsiTheme="minorEastAsia" w:eastAsiaTheme="minorEastAsia" w:cstheme="minorEastAsia"/>
          <w:snapToGrid w:val="0"/>
          <w:kern w:val="0"/>
          <w:sz w:val="21"/>
          <w:szCs w:val="21"/>
          <w:highlight w:val="none"/>
          <w:lang w:eastAsia="zh-CN"/>
        </w:rPr>
        <w:t>须</w:t>
      </w:r>
      <w:r>
        <w:rPr>
          <w:rFonts w:hint="eastAsia" w:asciiTheme="minorEastAsia" w:hAnsiTheme="minorEastAsia" w:eastAsiaTheme="minorEastAsia" w:cstheme="minorEastAsia"/>
          <w:snapToGrid w:val="0"/>
          <w:kern w:val="0"/>
          <w:sz w:val="21"/>
          <w:szCs w:val="21"/>
          <w:highlight w:val="none"/>
        </w:rPr>
        <w:t>制发学员手册、提供服务指南，明确班级管理制度、课程安排、考勤纪律等。须购买学员人身意外保险，同时提供现场教学所必须的残疾人辅助器具。</w:t>
      </w:r>
    </w:p>
    <w:p>
      <w:pPr>
        <w:spacing w:line="520" w:lineRule="exact"/>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4、承办方发布招生简章并做好培训学员筛选报名工作，报各培训地所在残联审核报备，建立学员培训档案。培训班全部结束后15个工作日以内向主办方提交以下档案资料（纸质版一式三份，即一正两副；电子档案一份）</w:t>
      </w:r>
      <w:r>
        <w:rPr>
          <w:rFonts w:hint="eastAsia" w:asciiTheme="minorEastAsia" w:hAnsiTheme="minorEastAsia" w:eastAsiaTheme="minorEastAsia" w:cstheme="minorEastAsia"/>
          <w:sz w:val="21"/>
          <w:szCs w:val="21"/>
          <w:highlight w:val="none"/>
        </w:rPr>
        <w:t>，内容包括：</w:t>
      </w:r>
      <w:r>
        <w:rPr>
          <w:rFonts w:hint="eastAsia" w:asciiTheme="minorEastAsia" w:hAnsiTheme="minorEastAsia" w:eastAsiaTheme="minorEastAsia" w:cstheme="minorEastAsia"/>
          <w:snapToGrid w:val="0"/>
          <w:kern w:val="0"/>
          <w:sz w:val="21"/>
          <w:szCs w:val="21"/>
          <w:highlight w:val="none"/>
        </w:rPr>
        <w:t>培训人员花名册、</w:t>
      </w:r>
      <w:r>
        <w:rPr>
          <w:rFonts w:hint="eastAsia" w:asciiTheme="minorEastAsia" w:hAnsiTheme="minorEastAsia" w:eastAsiaTheme="minorEastAsia" w:cstheme="minorEastAsia"/>
          <w:sz w:val="21"/>
          <w:szCs w:val="21"/>
          <w:highlight w:val="none"/>
        </w:rPr>
        <w:t>学员报名登记表、</w:t>
      </w:r>
      <w:r>
        <w:rPr>
          <w:rFonts w:hint="eastAsia" w:asciiTheme="minorEastAsia" w:hAnsiTheme="minorEastAsia" w:eastAsiaTheme="minorEastAsia" w:cstheme="minorEastAsia"/>
          <w:snapToGrid w:val="0"/>
          <w:kern w:val="0"/>
          <w:sz w:val="21"/>
          <w:szCs w:val="21"/>
          <w:highlight w:val="none"/>
        </w:rPr>
        <w:t>学员培训情况登记表、</w:t>
      </w:r>
      <w:r>
        <w:rPr>
          <w:rFonts w:hint="eastAsia" w:asciiTheme="minorEastAsia" w:hAnsiTheme="minorEastAsia" w:eastAsiaTheme="minorEastAsia" w:cstheme="minorEastAsia"/>
          <w:sz w:val="21"/>
          <w:szCs w:val="21"/>
          <w:highlight w:val="none"/>
        </w:rPr>
        <w:t>培训课程表、授课教师表（含职称、专业技术等级证书、职业资格证书等）、培训班开班审批表、学员考勤表、结业考试成绩表（含理论和实操两部分）、</w:t>
      </w:r>
      <w:r>
        <w:rPr>
          <w:rFonts w:hint="eastAsia" w:asciiTheme="minorEastAsia" w:hAnsiTheme="minorEastAsia" w:eastAsiaTheme="minorEastAsia" w:cstheme="minorEastAsia"/>
          <w:snapToGrid w:val="0"/>
          <w:kern w:val="0"/>
          <w:sz w:val="21"/>
          <w:szCs w:val="21"/>
          <w:highlight w:val="none"/>
        </w:rPr>
        <w:t>信息简报、总结、</w:t>
      </w:r>
      <w:r>
        <w:rPr>
          <w:rFonts w:hint="eastAsia" w:asciiTheme="minorEastAsia" w:hAnsiTheme="minorEastAsia" w:eastAsiaTheme="minorEastAsia" w:cstheme="minorEastAsia"/>
          <w:sz w:val="21"/>
          <w:szCs w:val="21"/>
          <w:highlight w:val="none"/>
        </w:rPr>
        <w:t>培训教案及电子课件、学员合影和授课影像资料（照片、视频，</w:t>
      </w:r>
      <w:r>
        <w:rPr>
          <w:rFonts w:hint="eastAsia" w:asciiTheme="minorEastAsia" w:hAnsiTheme="minorEastAsia" w:eastAsiaTheme="minorEastAsia" w:cstheme="minorEastAsia"/>
          <w:snapToGrid w:val="0"/>
          <w:kern w:val="0"/>
          <w:sz w:val="21"/>
          <w:szCs w:val="21"/>
          <w:highlight w:val="none"/>
        </w:rPr>
        <w:t>分辨率300dpi以上</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napToGrid w:val="0"/>
          <w:kern w:val="0"/>
          <w:sz w:val="21"/>
          <w:szCs w:val="21"/>
          <w:highlight w:val="none"/>
        </w:rPr>
        <w:t>实现培训要素全程可追溯。</w:t>
      </w:r>
    </w:p>
    <w:p>
      <w:pPr>
        <w:spacing w:line="520" w:lineRule="exact"/>
        <w:ind w:firstLine="420" w:firstLineChars="200"/>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rPr>
        <w:t>5、培训过程中，承办方不得向参加培训人员收取任何费用，培训结束后，由主办方现场开展满意度测评，培训人员满意度要达到90%以上。培训结束后，新增就业、再就业率要达到培训总人数的</w:t>
      </w:r>
      <w:r>
        <w:rPr>
          <w:rFonts w:hint="eastAsia" w:asciiTheme="minorEastAsia" w:hAnsiTheme="minorEastAsia" w:eastAsiaTheme="minorEastAsia" w:cstheme="minorEastAsia"/>
          <w:snapToGrid w:val="0"/>
          <w:kern w:val="0"/>
          <w:sz w:val="21"/>
          <w:szCs w:val="21"/>
          <w:highlight w:val="none"/>
          <w:lang w:val="en-US" w:eastAsia="zh-CN"/>
        </w:rPr>
        <w:t>5</w:t>
      </w:r>
      <w:r>
        <w:rPr>
          <w:rFonts w:hint="eastAsia" w:asciiTheme="minorEastAsia" w:hAnsiTheme="minorEastAsia" w:eastAsiaTheme="minorEastAsia" w:cstheme="minorEastAsia"/>
          <w:snapToGrid w:val="0"/>
          <w:kern w:val="0"/>
          <w:sz w:val="21"/>
          <w:szCs w:val="21"/>
          <w:highlight w:val="none"/>
        </w:rPr>
        <w:t>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napToGrid w:val="0"/>
          <w:kern w:val="0"/>
          <w:sz w:val="21"/>
          <w:szCs w:val="21"/>
          <w:highlight w:val="none"/>
        </w:rPr>
        <w:t xml:space="preserve"> </w:t>
      </w:r>
    </w:p>
    <w:p>
      <w:pPr>
        <w:spacing w:line="52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项目组织实施过程中，由主办方组织开展中期评估、不定期抽查，项目实施结束后开展绩效评价及项目资金专项审计，评价结果录入全国残疾人职业培训管理服务系统，评价结果不合格的培训机构今后将不再列入全市残疾人培训机构目录。</w:t>
      </w:r>
    </w:p>
    <w:p>
      <w:pPr>
        <w:spacing w:line="52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三、实施内容和期限</w:t>
      </w:r>
    </w:p>
    <w:p>
      <w:pPr>
        <w:spacing w:line="52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培训总人数75人次，共设3个培训工种， 培训工作于2024年8月底前全面结束。9月15日前向采购方报送最终审核版培训资料。</w:t>
      </w:r>
      <w:bookmarkStart w:id="299" w:name="_GoBack"/>
      <w:bookmarkEnd w:id="299"/>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846"/>
        <w:gridCol w:w="205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Theme="minorEastAsia" w:hAnsiTheme="minorEastAsia" w:eastAsiaTheme="minorEastAsia" w:cstheme="minorEastAsia"/>
                <w:snapToGrid w:val="0"/>
                <w:kern w:val="0"/>
                <w:sz w:val="21"/>
                <w:szCs w:val="21"/>
                <w:highlight w:val="none"/>
                <w:vertAlign w:val="baseline"/>
                <w:lang w:val="en-US" w:eastAsia="zh-CN"/>
              </w:rPr>
            </w:pPr>
            <w:r>
              <w:rPr>
                <w:rFonts w:hint="eastAsia" w:asciiTheme="minorEastAsia" w:hAnsiTheme="minorEastAsia" w:eastAsiaTheme="minorEastAsia" w:cstheme="minorEastAsia"/>
                <w:snapToGrid w:val="0"/>
                <w:kern w:val="0"/>
                <w:sz w:val="21"/>
                <w:szCs w:val="21"/>
                <w:highlight w:val="none"/>
                <w:vertAlign w:val="baseline"/>
                <w:lang w:val="en-US" w:eastAsia="zh-CN"/>
              </w:rPr>
              <w:t>包号</w:t>
            </w:r>
          </w:p>
        </w:tc>
        <w:tc>
          <w:tcPr>
            <w:tcW w:w="38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工种名称</w:t>
            </w:r>
          </w:p>
        </w:tc>
        <w:tc>
          <w:tcPr>
            <w:tcW w:w="20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培训课时</w:t>
            </w:r>
          </w:p>
        </w:tc>
        <w:tc>
          <w:tcPr>
            <w:tcW w:w="171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restart"/>
            <w:vAlign w:val="center"/>
          </w:tcPr>
          <w:p>
            <w:pPr>
              <w:spacing w:line="360" w:lineRule="auto"/>
              <w:jc w:val="center"/>
              <w:rPr>
                <w:rFonts w:hint="eastAsia" w:asciiTheme="minorEastAsia" w:hAnsiTheme="minorEastAsia" w:eastAsiaTheme="minorEastAsia" w:cstheme="minorEastAsia"/>
                <w:snapToGrid w:val="0"/>
                <w:kern w:val="0"/>
                <w:sz w:val="21"/>
                <w:szCs w:val="21"/>
                <w:highlight w:val="none"/>
                <w:vertAlign w:val="baseline"/>
                <w:lang w:val="en-US" w:eastAsia="zh-CN"/>
              </w:rPr>
            </w:pPr>
            <w:r>
              <w:rPr>
                <w:rFonts w:hint="eastAsia" w:asciiTheme="minorEastAsia" w:hAnsiTheme="minorEastAsia" w:eastAsiaTheme="minorEastAsia" w:cstheme="minorEastAsia"/>
                <w:snapToGrid w:val="0"/>
                <w:kern w:val="0"/>
                <w:sz w:val="21"/>
                <w:szCs w:val="21"/>
                <w:highlight w:val="none"/>
                <w:vertAlign w:val="baseline"/>
                <w:lang w:val="en-US" w:eastAsia="zh-CN"/>
              </w:rPr>
              <w:t>包1</w:t>
            </w:r>
          </w:p>
        </w:tc>
        <w:tc>
          <w:tcPr>
            <w:tcW w:w="38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美发“师带徒”初级班</w:t>
            </w:r>
          </w:p>
        </w:tc>
        <w:tc>
          <w:tcPr>
            <w:tcW w:w="20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240</w:t>
            </w:r>
          </w:p>
        </w:tc>
        <w:tc>
          <w:tcPr>
            <w:tcW w:w="171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Merge w:val="continue"/>
            <w:vAlign w:val="center"/>
          </w:tcPr>
          <w:p>
            <w:pPr>
              <w:spacing w:line="360" w:lineRule="auto"/>
              <w:jc w:val="center"/>
              <w:rPr>
                <w:rFonts w:hint="eastAsia" w:asciiTheme="minorEastAsia" w:hAnsiTheme="minorEastAsia" w:eastAsiaTheme="minorEastAsia" w:cstheme="minorEastAsia"/>
                <w:snapToGrid w:val="0"/>
                <w:kern w:val="0"/>
                <w:sz w:val="21"/>
                <w:szCs w:val="21"/>
                <w:highlight w:val="none"/>
                <w:vertAlign w:val="baseline"/>
                <w:lang w:val="en-US" w:eastAsia="zh-CN"/>
              </w:rPr>
            </w:pPr>
          </w:p>
        </w:tc>
        <w:tc>
          <w:tcPr>
            <w:tcW w:w="38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美发“师带徒”提升班</w:t>
            </w:r>
          </w:p>
        </w:tc>
        <w:tc>
          <w:tcPr>
            <w:tcW w:w="20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240</w:t>
            </w:r>
          </w:p>
        </w:tc>
        <w:tc>
          <w:tcPr>
            <w:tcW w:w="171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Theme="minorEastAsia" w:hAnsiTheme="minorEastAsia" w:eastAsiaTheme="minorEastAsia" w:cstheme="minorEastAsia"/>
                <w:snapToGrid w:val="0"/>
                <w:kern w:val="0"/>
                <w:sz w:val="21"/>
                <w:szCs w:val="21"/>
                <w:highlight w:val="none"/>
                <w:vertAlign w:val="baseline"/>
                <w:lang w:val="en-US" w:eastAsia="zh-CN"/>
              </w:rPr>
            </w:pPr>
            <w:r>
              <w:rPr>
                <w:rFonts w:hint="eastAsia" w:asciiTheme="minorEastAsia" w:hAnsiTheme="minorEastAsia" w:eastAsiaTheme="minorEastAsia" w:cstheme="minorEastAsia"/>
                <w:snapToGrid w:val="0"/>
                <w:kern w:val="0"/>
                <w:sz w:val="21"/>
                <w:szCs w:val="21"/>
                <w:highlight w:val="none"/>
                <w:vertAlign w:val="baseline"/>
                <w:lang w:val="en-US" w:eastAsia="zh-CN"/>
              </w:rPr>
              <w:t>包3</w:t>
            </w:r>
          </w:p>
        </w:tc>
        <w:tc>
          <w:tcPr>
            <w:tcW w:w="384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eastAsia="zh-CN"/>
              </w:rPr>
              <w:t>盲按“师带徒”</w:t>
            </w:r>
          </w:p>
        </w:tc>
        <w:tc>
          <w:tcPr>
            <w:tcW w:w="205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240</w:t>
            </w:r>
          </w:p>
        </w:tc>
        <w:tc>
          <w:tcPr>
            <w:tcW w:w="171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15</w:t>
            </w:r>
          </w:p>
        </w:tc>
      </w:tr>
    </w:tbl>
    <w:p>
      <w:pPr>
        <w:pStyle w:val="13"/>
        <w:spacing w:line="240" w:lineRule="auto"/>
        <w:ind w:firstLine="472" w:firstLineChars="197"/>
        <w:rPr>
          <w:rFonts w:hint="eastAsia" w:ascii="宋体" w:hAnsi="宋体" w:eastAsia="宋体" w:cs="宋体"/>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y="1"/>
      <w:ind w:firstLine="360"/>
      <w:rPr>
        <w:rStyle w:val="31"/>
      </w:rPr>
    </w:pPr>
    <w:r>
      <w:rPr>
        <w:rStyle w:val="31"/>
      </w:rPr>
      <w:fldChar w:fldCharType="begin"/>
    </w:r>
    <w:r>
      <w:rPr>
        <w:rStyle w:val="31"/>
      </w:rPr>
      <w:instrText xml:space="preserve">PAGE  </w:instrText>
    </w:r>
    <w:r>
      <w:rPr>
        <w:rStyle w:val="31"/>
      </w:rPr>
      <w:fldChar w:fldCharType="separate"/>
    </w:r>
    <w:r>
      <w:rPr>
        <w:rStyle w:val="31"/>
      </w:rPr>
      <w:t>64</w:t>
    </w:r>
    <w:r>
      <w:rPr>
        <w:rStyle w:val="31"/>
      </w:rPr>
      <w:fldChar w:fldCharType="end"/>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9857740</wp:posOffset>
              </wp:positionV>
              <wp:extent cx="245110" cy="19685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245110" cy="196850"/>
                      </a:xfrm>
                      <a:prstGeom prst="rect">
                        <a:avLst/>
                      </a:prstGeom>
                      <a:noFill/>
                      <a:ln>
                        <a:noFill/>
                      </a:ln>
                    </wps:spPr>
                    <wps:txbx>
                      <w:txbxContent>
                        <w:p>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21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76.2pt;height:15.5pt;width:19.3pt;mso-position-horizontal-relative:page;mso-position-vertical-relative:page;z-index:-251657216;mso-width-relative:page;mso-height-relative:page;" filled="f" stroked="f" coordsize="21600,21600" o:gfxdata="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qYSb2wAAAA0BAAAPAAAAAAAAAAEAIAAAACIAAABkcnMvZG93bnJldi54bWxQ&#10;SwECFAAUAAAACACHTuJARNZRCrsBAABzAwAADgAAAAAAAAABACAAAAAqAQAAZHJzL2Uyb0RvYy54&#10;bWxQSwUGAAAAAAYABgBZAQAAVwUAAAAA&#10;">
              <v:fill on="f" focussize="0,0"/>
              <v:stroke on="f"/>
              <v:imagedata o:title=""/>
              <o:lock v:ext="edit" aspectratio="f"/>
              <v:textbox inset="0mm,0mm,0mm,0mm">
                <w:txbxContent>
                  <w:p>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6"/>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w:t>
    </w:r>
    <w:r>
      <w:rPr>
        <w:rFonts w:hint="eastAsia" w:ascii="仿宋_GB2312" w:eastAsia="仿宋_GB2312"/>
        <w:b/>
        <w:sz w:val="24"/>
        <w:u w:val="single"/>
        <w:lang w:eastAsia="zh-CN"/>
      </w:rPr>
      <w:t>青海浩驰磋商（服务）2024-045号（第二次）</w:t>
    </w:r>
    <w:r>
      <w:rPr>
        <w:rFonts w:hint="eastAsia" w:ascii="仿宋_GB2312" w:eastAsia="仿宋_GB2312"/>
        <w:b/>
        <w:sz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6"/>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rPr>
      <w:t xml:space="preserve">     </w:t>
    </w:r>
    <w:r>
      <w:rPr>
        <w:rFonts w:hint="eastAsia" w:ascii="仿宋_GB2312" w:eastAsia="仿宋_GB2312"/>
        <w:b/>
        <w:iCs/>
        <w:sz w:val="24"/>
        <w:u w:val="single"/>
        <w:lang w:eastAsia="zh-CN"/>
      </w:rPr>
      <w:t>青海浩驰磋商（服务）2024-045号（第二次）</w:t>
    </w:r>
  </w:p>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0000003"/>
    <w:multiLevelType w:val="multilevel"/>
    <w:tmpl w:val="00000003"/>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B7C03D6"/>
    <w:multiLevelType w:val="singleLevel"/>
    <w:tmpl w:val="0B7C03D6"/>
    <w:lvl w:ilvl="0" w:tentative="0">
      <w:start w:val="11"/>
      <w:numFmt w:val="chineseCounting"/>
      <w:suff w:val="nothing"/>
      <w:lvlText w:val="%1、"/>
      <w:lvlJc w:val="left"/>
      <w:rPr>
        <w:rFonts w:hint="eastAsia"/>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6FD20397"/>
    <w:multiLevelType w:val="singleLevel"/>
    <w:tmpl w:val="6FD20397"/>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TkzMDQ2Njk0YTYyOGZmODY3MWQ4ZTY4MTRlZGUifQ=="/>
  </w:docVars>
  <w:rsids>
    <w:rsidRoot w:val="268F17CA"/>
    <w:rsid w:val="000340F4"/>
    <w:rsid w:val="0006109E"/>
    <w:rsid w:val="000F0DF4"/>
    <w:rsid w:val="00101367"/>
    <w:rsid w:val="0017147C"/>
    <w:rsid w:val="001D4405"/>
    <w:rsid w:val="001F73BB"/>
    <w:rsid w:val="00263898"/>
    <w:rsid w:val="002A0207"/>
    <w:rsid w:val="002C47E1"/>
    <w:rsid w:val="00371A5A"/>
    <w:rsid w:val="003D65AE"/>
    <w:rsid w:val="003E4D62"/>
    <w:rsid w:val="003E690E"/>
    <w:rsid w:val="00560C8D"/>
    <w:rsid w:val="0058758B"/>
    <w:rsid w:val="005D4732"/>
    <w:rsid w:val="00632F62"/>
    <w:rsid w:val="00681326"/>
    <w:rsid w:val="006F01DB"/>
    <w:rsid w:val="007E5615"/>
    <w:rsid w:val="0085390E"/>
    <w:rsid w:val="008A7E08"/>
    <w:rsid w:val="008B430F"/>
    <w:rsid w:val="008D4EE8"/>
    <w:rsid w:val="00914E34"/>
    <w:rsid w:val="009C2568"/>
    <w:rsid w:val="00A2142F"/>
    <w:rsid w:val="00A35999"/>
    <w:rsid w:val="00AB4038"/>
    <w:rsid w:val="00BA6A16"/>
    <w:rsid w:val="00C2274B"/>
    <w:rsid w:val="00C26129"/>
    <w:rsid w:val="00C47AE6"/>
    <w:rsid w:val="00D34240"/>
    <w:rsid w:val="00D60E93"/>
    <w:rsid w:val="00DD0B14"/>
    <w:rsid w:val="00DE36B0"/>
    <w:rsid w:val="00DF4225"/>
    <w:rsid w:val="00E55843"/>
    <w:rsid w:val="00E86A09"/>
    <w:rsid w:val="00ED1F39"/>
    <w:rsid w:val="00F70DE9"/>
    <w:rsid w:val="00FA7B2F"/>
    <w:rsid w:val="00FD18C4"/>
    <w:rsid w:val="01284C10"/>
    <w:rsid w:val="01503362"/>
    <w:rsid w:val="017442FA"/>
    <w:rsid w:val="019329D2"/>
    <w:rsid w:val="01A61D51"/>
    <w:rsid w:val="01AF5332"/>
    <w:rsid w:val="01B20283"/>
    <w:rsid w:val="01E52B54"/>
    <w:rsid w:val="022134C4"/>
    <w:rsid w:val="02AD1803"/>
    <w:rsid w:val="02EE06D0"/>
    <w:rsid w:val="02F079B0"/>
    <w:rsid w:val="03070CEC"/>
    <w:rsid w:val="03837F53"/>
    <w:rsid w:val="03C47BAD"/>
    <w:rsid w:val="03EF5EB9"/>
    <w:rsid w:val="03FB660C"/>
    <w:rsid w:val="04001B35"/>
    <w:rsid w:val="040D0E35"/>
    <w:rsid w:val="043A7E49"/>
    <w:rsid w:val="045E2D23"/>
    <w:rsid w:val="04E15802"/>
    <w:rsid w:val="04F73278"/>
    <w:rsid w:val="05023D42"/>
    <w:rsid w:val="053C7FC0"/>
    <w:rsid w:val="0546627C"/>
    <w:rsid w:val="05707171"/>
    <w:rsid w:val="057A4137"/>
    <w:rsid w:val="059C797B"/>
    <w:rsid w:val="05A57877"/>
    <w:rsid w:val="05A827C4"/>
    <w:rsid w:val="05BB6691"/>
    <w:rsid w:val="05E44887"/>
    <w:rsid w:val="06110369"/>
    <w:rsid w:val="061439B5"/>
    <w:rsid w:val="061614DB"/>
    <w:rsid w:val="063D40C6"/>
    <w:rsid w:val="065F10D4"/>
    <w:rsid w:val="0680104B"/>
    <w:rsid w:val="069939D7"/>
    <w:rsid w:val="06AD084E"/>
    <w:rsid w:val="06F762A4"/>
    <w:rsid w:val="075C3866"/>
    <w:rsid w:val="07702F67"/>
    <w:rsid w:val="078B414B"/>
    <w:rsid w:val="07D105F2"/>
    <w:rsid w:val="07DF0702"/>
    <w:rsid w:val="07E8334B"/>
    <w:rsid w:val="08365982"/>
    <w:rsid w:val="0850082E"/>
    <w:rsid w:val="08665F5F"/>
    <w:rsid w:val="09002112"/>
    <w:rsid w:val="091C13C7"/>
    <w:rsid w:val="09365083"/>
    <w:rsid w:val="09C401AC"/>
    <w:rsid w:val="09C52395"/>
    <w:rsid w:val="09E0252C"/>
    <w:rsid w:val="0A286C24"/>
    <w:rsid w:val="0A6F38B0"/>
    <w:rsid w:val="0A8435D2"/>
    <w:rsid w:val="0AE72069"/>
    <w:rsid w:val="0AF42E98"/>
    <w:rsid w:val="0B062F91"/>
    <w:rsid w:val="0B4D5952"/>
    <w:rsid w:val="0B554541"/>
    <w:rsid w:val="0B59281A"/>
    <w:rsid w:val="0B751E6B"/>
    <w:rsid w:val="0B9D2952"/>
    <w:rsid w:val="0BA53A2D"/>
    <w:rsid w:val="0BB608BA"/>
    <w:rsid w:val="0BBD3CC4"/>
    <w:rsid w:val="0BC457E2"/>
    <w:rsid w:val="0BDD3F4F"/>
    <w:rsid w:val="0BDF05C2"/>
    <w:rsid w:val="0BE105E0"/>
    <w:rsid w:val="0BE847A8"/>
    <w:rsid w:val="0BEE4EC9"/>
    <w:rsid w:val="0C2D757F"/>
    <w:rsid w:val="0C444224"/>
    <w:rsid w:val="0C6A07D3"/>
    <w:rsid w:val="0C6D4572"/>
    <w:rsid w:val="0C9E37ED"/>
    <w:rsid w:val="0CCF14C0"/>
    <w:rsid w:val="0CD93263"/>
    <w:rsid w:val="0CE46D40"/>
    <w:rsid w:val="0CEE7C1A"/>
    <w:rsid w:val="0D161F30"/>
    <w:rsid w:val="0D381A81"/>
    <w:rsid w:val="0D6916FC"/>
    <w:rsid w:val="0DA74D71"/>
    <w:rsid w:val="0DB90FCB"/>
    <w:rsid w:val="0DBE3532"/>
    <w:rsid w:val="0DD316A0"/>
    <w:rsid w:val="0E08610B"/>
    <w:rsid w:val="0E0D41AB"/>
    <w:rsid w:val="0E18072F"/>
    <w:rsid w:val="0E4145C9"/>
    <w:rsid w:val="0E484B44"/>
    <w:rsid w:val="0E7F061F"/>
    <w:rsid w:val="0E87566C"/>
    <w:rsid w:val="0EA27458"/>
    <w:rsid w:val="0EAB6CBA"/>
    <w:rsid w:val="0ED84941"/>
    <w:rsid w:val="0EE4486D"/>
    <w:rsid w:val="0EEF563B"/>
    <w:rsid w:val="0F006AEC"/>
    <w:rsid w:val="0F0B5180"/>
    <w:rsid w:val="0F2C1D70"/>
    <w:rsid w:val="0F5B7E4C"/>
    <w:rsid w:val="0F651E8C"/>
    <w:rsid w:val="0FE349C9"/>
    <w:rsid w:val="0FFB0467"/>
    <w:rsid w:val="10015EDC"/>
    <w:rsid w:val="104D01F0"/>
    <w:rsid w:val="10A1053B"/>
    <w:rsid w:val="10B77D5F"/>
    <w:rsid w:val="111F64CC"/>
    <w:rsid w:val="115C1FDD"/>
    <w:rsid w:val="115C29DA"/>
    <w:rsid w:val="115C78BF"/>
    <w:rsid w:val="11D20D72"/>
    <w:rsid w:val="11EA4393"/>
    <w:rsid w:val="12411FD6"/>
    <w:rsid w:val="129D103D"/>
    <w:rsid w:val="12C050BC"/>
    <w:rsid w:val="12C73EF9"/>
    <w:rsid w:val="12D42D15"/>
    <w:rsid w:val="12DE2ED6"/>
    <w:rsid w:val="12DE5D0A"/>
    <w:rsid w:val="12DF41F2"/>
    <w:rsid w:val="12F42BA4"/>
    <w:rsid w:val="13CC3CD0"/>
    <w:rsid w:val="13F866C4"/>
    <w:rsid w:val="13FC4DD4"/>
    <w:rsid w:val="1461070D"/>
    <w:rsid w:val="149B0123"/>
    <w:rsid w:val="14A253B9"/>
    <w:rsid w:val="15296F69"/>
    <w:rsid w:val="15681BA3"/>
    <w:rsid w:val="158D540D"/>
    <w:rsid w:val="158E0DC9"/>
    <w:rsid w:val="159E0850"/>
    <w:rsid w:val="160A6DC7"/>
    <w:rsid w:val="166C5148"/>
    <w:rsid w:val="16B415E1"/>
    <w:rsid w:val="16BB69BF"/>
    <w:rsid w:val="16F43E00"/>
    <w:rsid w:val="17066DEB"/>
    <w:rsid w:val="170A0BE8"/>
    <w:rsid w:val="17213684"/>
    <w:rsid w:val="17221785"/>
    <w:rsid w:val="17AF1E38"/>
    <w:rsid w:val="17FA16AF"/>
    <w:rsid w:val="180B3C96"/>
    <w:rsid w:val="1816350A"/>
    <w:rsid w:val="181A637C"/>
    <w:rsid w:val="182C7CE5"/>
    <w:rsid w:val="18E3288B"/>
    <w:rsid w:val="19AE4BDB"/>
    <w:rsid w:val="1A290DBB"/>
    <w:rsid w:val="1A345395"/>
    <w:rsid w:val="1A5F3850"/>
    <w:rsid w:val="1AAD791E"/>
    <w:rsid w:val="1ABF1CEA"/>
    <w:rsid w:val="1AD07737"/>
    <w:rsid w:val="1AF51BB0"/>
    <w:rsid w:val="1B0260DE"/>
    <w:rsid w:val="1B08013E"/>
    <w:rsid w:val="1B28788F"/>
    <w:rsid w:val="1B491A7D"/>
    <w:rsid w:val="1BFB0A50"/>
    <w:rsid w:val="1C07728B"/>
    <w:rsid w:val="1C252021"/>
    <w:rsid w:val="1C3D7EE7"/>
    <w:rsid w:val="1C3E6DE4"/>
    <w:rsid w:val="1C823A83"/>
    <w:rsid w:val="1C851087"/>
    <w:rsid w:val="1C8B411E"/>
    <w:rsid w:val="1CA94A00"/>
    <w:rsid w:val="1CB358ED"/>
    <w:rsid w:val="1CBC1FFC"/>
    <w:rsid w:val="1D133BAC"/>
    <w:rsid w:val="1D786FD8"/>
    <w:rsid w:val="1D7D370E"/>
    <w:rsid w:val="1D9F0C47"/>
    <w:rsid w:val="1DD40047"/>
    <w:rsid w:val="1DF30F5E"/>
    <w:rsid w:val="1E4C7D38"/>
    <w:rsid w:val="1EB91129"/>
    <w:rsid w:val="1EF21C1A"/>
    <w:rsid w:val="1F39155E"/>
    <w:rsid w:val="1F6031E5"/>
    <w:rsid w:val="1F6471DB"/>
    <w:rsid w:val="1F78690B"/>
    <w:rsid w:val="1FC77035"/>
    <w:rsid w:val="1FEE7E1B"/>
    <w:rsid w:val="202B19E9"/>
    <w:rsid w:val="205F2C65"/>
    <w:rsid w:val="20681AEE"/>
    <w:rsid w:val="20CF69FF"/>
    <w:rsid w:val="210823A6"/>
    <w:rsid w:val="213C5454"/>
    <w:rsid w:val="21507F48"/>
    <w:rsid w:val="21684092"/>
    <w:rsid w:val="218029E1"/>
    <w:rsid w:val="21A13788"/>
    <w:rsid w:val="21F901D7"/>
    <w:rsid w:val="221F5B56"/>
    <w:rsid w:val="223E5BEA"/>
    <w:rsid w:val="229402E8"/>
    <w:rsid w:val="22AB1BF2"/>
    <w:rsid w:val="23121255"/>
    <w:rsid w:val="23264FFC"/>
    <w:rsid w:val="23627AB6"/>
    <w:rsid w:val="2369313B"/>
    <w:rsid w:val="236D1CCB"/>
    <w:rsid w:val="23842664"/>
    <w:rsid w:val="23D50E2B"/>
    <w:rsid w:val="23F1506F"/>
    <w:rsid w:val="241B64CA"/>
    <w:rsid w:val="24207C9D"/>
    <w:rsid w:val="24443260"/>
    <w:rsid w:val="245153D6"/>
    <w:rsid w:val="24756635"/>
    <w:rsid w:val="248F5DD5"/>
    <w:rsid w:val="25494622"/>
    <w:rsid w:val="257D04CF"/>
    <w:rsid w:val="25813A83"/>
    <w:rsid w:val="25861DB0"/>
    <w:rsid w:val="258E424F"/>
    <w:rsid w:val="26185C40"/>
    <w:rsid w:val="26291256"/>
    <w:rsid w:val="26506ACD"/>
    <w:rsid w:val="265A3AA2"/>
    <w:rsid w:val="26760048"/>
    <w:rsid w:val="26816E90"/>
    <w:rsid w:val="2685028B"/>
    <w:rsid w:val="268F17CA"/>
    <w:rsid w:val="26A02529"/>
    <w:rsid w:val="26A36964"/>
    <w:rsid w:val="26CA2C53"/>
    <w:rsid w:val="26DE5BEE"/>
    <w:rsid w:val="26F57DA5"/>
    <w:rsid w:val="26F92CBD"/>
    <w:rsid w:val="273D2434"/>
    <w:rsid w:val="2772209C"/>
    <w:rsid w:val="27A26F17"/>
    <w:rsid w:val="280D584F"/>
    <w:rsid w:val="285D7463"/>
    <w:rsid w:val="28760CC7"/>
    <w:rsid w:val="28BB3519"/>
    <w:rsid w:val="28BE1833"/>
    <w:rsid w:val="28C87BA2"/>
    <w:rsid w:val="28CD79CD"/>
    <w:rsid w:val="2903434C"/>
    <w:rsid w:val="29AC5B2F"/>
    <w:rsid w:val="29AE18A7"/>
    <w:rsid w:val="29B64C00"/>
    <w:rsid w:val="29C7367D"/>
    <w:rsid w:val="29F64FFC"/>
    <w:rsid w:val="2A0F103A"/>
    <w:rsid w:val="2A137E7D"/>
    <w:rsid w:val="2A7255C8"/>
    <w:rsid w:val="2AC63C33"/>
    <w:rsid w:val="2AD90BA6"/>
    <w:rsid w:val="2B6378E1"/>
    <w:rsid w:val="2B6668BA"/>
    <w:rsid w:val="2B984D3A"/>
    <w:rsid w:val="2BA44D6C"/>
    <w:rsid w:val="2BAF1BAA"/>
    <w:rsid w:val="2BB1742D"/>
    <w:rsid w:val="2C502E0C"/>
    <w:rsid w:val="2C82573A"/>
    <w:rsid w:val="2C976EAA"/>
    <w:rsid w:val="2C9C6D28"/>
    <w:rsid w:val="2CB17203"/>
    <w:rsid w:val="2CE33060"/>
    <w:rsid w:val="2D126ABA"/>
    <w:rsid w:val="2D597D7C"/>
    <w:rsid w:val="2DCF595A"/>
    <w:rsid w:val="2E474DD9"/>
    <w:rsid w:val="2E8D60D7"/>
    <w:rsid w:val="2EA361F4"/>
    <w:rsid w:val="2ED309E0"/>
    <w:rsid w:val="2EED4C20"/>
    <w:rsid w:val="2F3740ED"/>
    <w:rsid w:val="2F7E7F6E"/>
    <w:rsid w:val="2FA37F49"/>
    <w:rsid w:val="2FE3518C"/>
    <w:rsid w:val="2FFC28E1"/>
    <w:rsid w:val="300D348D"/>
    <w:rsid w:val="301631A3"/>
    <w:rsid w:val="301B63C6"/>
    <w:rsid w:val="303D2C55"/>
    <w:rsid w:val="304A335E"/>
    <w:rsid w:val="30523D71"/>
    <w:rsid w:val="305E62B4"/>
    <w:rsid w:val="307A4B5B"/>
    <w:rsid w:val="307D6477"/>
    <w:rsid w:val="30FD36C3"/>
    <w:rsid w:val="30FE52FB"/>
    <w:rsid w:val="31025B91"/>
    <w:rsid w:val="314047C3"/>
    <w:rsid w:val="31B25CAD"/>
    <w:rsid w:val="31F6761E"/>
    <w:rsid w:val="32017CDC"/>
    <w:rsid w:val="32696CB3"/>
    <w:rsid w:val="327D2660"/>
    <w:rsid w:val="329F0927"/>
    <w:rsid w:val="32C51A10"/>
    <w:rsid w:val="3327702B"/>
    <w:rsid w:val="333C1E46"/>
    <w:rsid w:val="334129FB"/>
    <w:rsid w:val="33416FC8"/>
    <w:rsid w:val="335A4114"/>
    <w:rsid w:val="336035CC"/>
    <w:rsid w:val="339A4C4A"/>
    <w:rsid w:val="33D339B9"/>
    <w:rsid w:val="33E762D2"/>
    <w:rsid w:val="33E9780D"/>
    <w:rsid w:val="340B294D"/>
    <w:rsid w:val="342C61EA"/>
    <w:rsid w:val="343C7F3B"/>
    <w:rsid w:val="345B5839"/>
    <w:rsid w:val="349D0E96"/>
    <w:rsid w:val="34B013D3"/>
    <w:rsid w:val="34BB7EFD"/>
    <w:rsid w:val="34D92F01"/>
    <w:rsid w:val="35136CA3"/>
    <w:rsid w:val="359F6DD5"/>
    <w:rsid w:val="35FD4C2E"/>
    <w:rsid w:val="36734541"/>
    <w:rsid w:val="36A858D0"/>
    <w:rsid w:val="36CD29EA"/>
    <w:rsid w:val="36F56D67"/>
    <w:rsid w:val="36FF7BE6"/>
    <w:rsid w:val="379A790F"/>
    <w:rsid w:val="37A470E2"/>
    <w:rsid w:val="37C9358B"/>
    <w:rsid w:val="37D22284"/>
    <w:rsid w:val="37EC35B9"/>
    <w:rsid w:val="38037262"/>
    <w:rsid w:val="38514BAD"/>
    <w:rsid w:val="389322E0"/>
    <w:rsid w:val="38A247B6"/>
    <w:rsid w:val="390414E4"/>
    <w:rsid w:val="391767DF"/>
    <w:rsid w:val="39316051"/>
    <w:rsid w:val="39BA23A1"/>
    <w:rsid w:val="39C86892"/>
    <w:rsid w:val="3A163D53"/>
    <w:rsid w:val="3A172C17"/>
    <w:rsid w:val="3A1F234D"/>
    <w:rsid w:val="3A46254E"/>
    <w:rsid w:val="3A7C154E"/>
    <w:rsid w:val="3A9C5448"/>
    <w:rsid w:val="3A9F7424"/>
    <w:rsid w:val="3AEA24FA"/>
    <w:rsid w:val="3B1B0D67"/>
    <w:rsid w:val="3B4208AB"/>
    <w:rsid w:val="3B6C3BE9"/>
    <w:rsid w:val="3B7D557D"/>
    <w:rsid w:val="3BD02642"/>
    <w:rsid w:val="3BD234B4"/>
    <w:rsid w:val="3BE745C4"/>
    <w:rsid w:val="3BF03690"/>
    <w:rsid w:val="3C2D636B"/>
    <w:rsid w:val="3C4574F5"/>
    <w:rsid w:val="3C4D4F50"/>
    <w:rsid w:val="3C5C5800"/>
    <w:rsid w:val="3C781121"/>
    <w:rsid w:val="3C8327B4"/>
    <w:rsid w:val="3CB53394"/>
    <w:rsid w:val="3CBF344A"/>
    <w:rsid w:val="3D112A60"/>
    <w:rsid w:val="3D5B0204"/>
    <w:rsid w:val="3D900CDD"/>
    <w:rsid w:val="3DB53D72"/>
    <w:rsid w:val="3E021D6A"/>
    <w:rsid w:val="3E10092B"/>
    <w:rsid w:val="3E2837AF"/>
    <w:rsid w:val="3E2B7513"/>
    <w:rsid w:val="3F0C5071"/>
    <w:rsid w:val="3F311094"/>
    <w:rsid w:val="3F4F46E3"/>
    <w:rsid w:val="3F867930"/>
    <w:rsid w:val="401610DE"/>
    <w:rsid w:val="401D4260"/>
    <w:rsid w:val="403448A1"/>
    <w:rsid w:val="40A53295"/>
    <w:rsid w:val="40A65AC6"/>
    <w:rsid w:val="40AA0BC3"/>
    <w:rsid w:val="40DA16DC"/>
    <w:rsid w:val="4108336A"/>
    <w:rsid w:val="4112061E"/>
    <w:rsid w:val="41303B7B"/>
    <w:rsid w:val="414C6F51"/>
    <w:rsid w:val="4158794C"/>
    <w:rsid w:val="41594439"/>
    <w:rsid w:val="415C2130"/>
    <w:rsid w:val="41764F49"/>
    <w:rsid w:val="41965C68"/>
    <w:rsid w:val="41A236EE"/>
    <w:rsid w:val="41B20784"/>
    <w:rsid w:val="41B721A5"/>
    <w:rsid w:val="42335659"/>
    <w:rsid w:val="42535BB1"/>
    <w:rsid w:val="42C6780A"/>
    <w:rsid w:val="430F719D"/>
    <w:rsid w:val="4315253F"/>
    <w:rsid w:val="431A5C44"/>
    <w:rsid w:val="433D4662"/>
    <w:rsid w:val="433F136A"/>
    <w:rsid w:val="4349562C"/>
    <w:rsid w:val="43A11867"/>
    <w:rsid w:val="441B6520"/>
    <w:rsid w:val="4436483A"/>
    <w:rsid w:val="44885526"/>
    <w:rsid w:val="44934204"/>
    <w:rsid w:val="44A26055"/>
    <w:rsid w:val="44DF4BB3"/>
    <w:rsid w:val="44F543D6"/>
    <w:rsid w:val="45164A60"/>
    <w:rsid w:val="45A656D1"/>
    <w:rsid w:val="4632068F"/>
    <w:rsid w:val="46333408"/>
    <w:rsid w:val="463C6034"/>
    <w:rsid w:val="465A0BBB"/>
    <w:rsid w:val="46C44060"/>
    <w:rsid w:val="46FC4313"/>
    <w:rsid w:val="473470C7"/>
    <w:rsid w:val="47554DC2"/>
    <w:rsid w:val="47613FA5"/>
    <w:rsid w:val="47663CE2"/>
    <w:rsid w:val="47787E77"/>
    <w:rsid w:val="477D1502"/>
    <w:rsid w:val="47841A42"/>
    <w:rsid w:val="47872516"/>
    <w:rsid w:val="47972A1D"/>
    <w:rsid w:val="47E75A39"/>
    <w:rsid w:val="47F210A1"/>
    <w:rsid w:val="483671E0"/>
    <w:rsid w:val="48533E45"/>
    <w:rsid w:val="48783354"/>
    <w:rsid w:val="487C3048"/>
    <w:rsid w:val="48945CB4"/>
    <w:rsid w:val="48B723D6"/>
    <w:rsid w:val="48CA1AA6"/>
    <w:rsid w:val="48D77032"/>
    <w:rsid w:val="48FD1AAC"/>
    <w:rsid w:val="493D38D3"/>
    <w:rsid w:val="495522C6"/>
    <w:rsid w:val="49754ACC"/>
    <w:rsid w:val="497A134E"/>
    <w:rsid w:val="49DA5504"/>
    <w:rsid w:val="49EE483C"/>
    <w:rsid w:val="4A024288"/>
    <w:rsid w:val="4A1F66C1"/>
    <w:rsid w:val="4A54394D"/>
    <w:rsid w:val="4A6061F8"/>
    <w:rsid w:val="4A65539B"/>
    <w:rsid w:val="4A767D37"/>
    <w:rsid w:val="4A7E6C1C"/>
    <w:rsid w:val="4AAF6A0A"/>
    <w:rsid w:val="4B090BDC"/>
    <w:rsid w:val="4B1A77A2"/>
    <w:rsid w:val="4B3A3E5B"/>
    <w:rsid w:val="4B3A761F"/>
    <w:rsid w:val="4B8332FB"/>
    <w:rsid w:val="4B912D8D"/>
    <w:rsid w:val="4BBE2525"/>
    <w:rsid w:val="4BC36FDC"/>
    <w:rsid w:val="4BF36C44"/>
    <w:rsid w:val="4C4E03AC"/>
    <w:rsid w:val="4C5365B2"/>
    <w:rsid w:val="4C99526A"/>
    <w:rsid w:val="4CA54934"/>
    <w:rsid w:val="4CEC0189"/>
    <w:rsid w:val="4D422183"/>
    <w:rsid w:val="4D5E565F"/>
    <w:rsid w:val="4D6042A5"/>
    <w:rsid w:val="4D820A70"/>
    <w:rsid w:val="4DDF3E76"/>
    <w:rsid w:val="4E0538DC"/>
    <w:rsid w:val="4E367BC3"/>
    <w:rsid w:val="4E4624E4"/>
    <w:rsid w:val="4E544C58"/>
    <w:rsid w:val="4E784351"/>
    <w:rsid w:val="4E9543AB"/>
    <w:rsid w:val="4EE32BDD"/>
    <w:rsid w:val="4EF64B4C"/>
    <w:rsid w:val="4F0A6CD0"/>
    <w:rsid w:val="4F9F365D"/>
    <w:rsid w:val="4FD31C97"/>
    <w:rsid w:val="4FEC1A6E"/>
    <w:rsid w:val="5087599F"/>
    <w:rsid w:val="50B23AFB"/>
    <w:rsid w:val="50C51DCA"/>
    <w:rsid w:val="50FC1938"/>
    <w:rsid w:val="51080CA1"/>
    <w:rsid w:val="510870B1"/>
    <w:rsid w:val="511F5313"/>
    <w:rsid w:val="515C0F39"/>
    <w:rsid w:val="51713037"/>
    <w:rsid w:val="517C11A5"/>
    <w:rsid w:val="519E57E5"/>
    <w:rsid w:val="51A13D6E"/>
    <w:rsid w:val="51A2723F"/>
    <w:rsid w:val="51FC0A11"/>
    <w:rsid w:val="523E5542"/>
    <w:rsid w:val="524B02E8"/>
    <w:rsid w:val="52790B0F"/>
    <w:rsid w:val="52945136"/>
    <w:rsid w:val="5302488E"/>
    <w:rsid w:val="532E58C0"/>
    <w:rsid w:val="53456FDE"/>
    <w:rsid w:val="53482EDA"/>
    <w:rsid w:val="53852DC9"/>
    <w:rsid w:val="538D4B13"/>
    <w:rsid w:val="53AF163E"/>
    <w:rsid w:val="53BA6E30"/>
    <w:rsid w:val="53C82F4E"/>
    <w:rsid w:val="540549C1"/>
    <w:rsid w:val="549332C4"/>
    <w:rsid w:val="549C410D"/>
    <w:rsid w:val="54CF69F2"/>
    <w:rsid w:val="54FE3807"/>
    <w:rsid w:val="553C29B5"/>
    <w:rsid w:val="553D0765"/>
    <w:rsid w:val="55425416"/>
    <w:rsid w:val="558E2409"/>
    <w:rsid w:val="55946974"/>
    <w:rsid w:val="55D21BBD"/>
    <w:rsid w:val="561065E3"/>
    <w:rsid w:val="561C2EE1"/>
    <w:rsid w:val="56892BD1"/>
    <w:rsid w:val="570A0E75"/>
    <w:rsid w:val="572B4110"/>
    <w:rsid w:val="57A744B3"/>
    <w:rsid w:val="58093FC9"/>
    <w:rsid w:val="581D7EAE"/>
    <w:rsid w:val="5878114F"/>
    <w:rsid w:val="58AB2894"/>
    <w:rsid w:val="596811C3"/>
    <w:rsid w:val="59C72A58"/>
    <w:rsid w:val="5A5B1C19"/>
    <w:rsid w:val="5A5D5F45"/>
    <w:rsid w:val="5AEB4202"/>
    <w:rsid w:val="5B050E1F"/>
    <w:rsid w:val="5B076DC2"/>
    <w:rsid w:val="5B35018D"/>
    <w:rsid w:val="5B4E4122"/>
    <w:rsid w:val="5BA34735"/>
    <w:rsid w:val="5BB8579B"/>
    <w:rsid w:val="5C361105"/>
    <w:rsid w:val="5C6A5252"/>
    <w:rsid w:val="5C6C03B4"/>
    <w:rsid w:val="5C78171D"/>
    <w:rsid w:val="5D115E7F"/>
    <w:rsid w:val="5D5F0727"/>
    <w:rsid w:val="5D6C6EE5"/>
    <w:rsid w:val="5DD65C7B"/>
    <w:rsid w:val="5E021BE6"/>
    <w:rsid w:val="5E0B12EA"/>
    <w:rsid w:val="5E1B6804"/>
    <w:rsid w:val="5E6F6EE3"/>
    <w:rsid w:val="5EB427B5"/>
    <w:rsid w:val="5EF463B9"/>
    <w:rsid w:val="5EF930F3"/>
    <w:rsid w:val="5FB753BE"/>
    <w:rsid w:val="5FCC33BE"/>
    <w:rsid w:val="5FFF76CF"/>
    <w:rsid w:val="602B6AA7"/>
    <w:rsid w:val="60355A78"/>
    <w:rsid w:val="604E3101"/>
    <w:rsid w:val="607D5C68"/>
    <w:rsid w:val="60B44CEE"/>
    <w:rsid w:val="60E20F4D"/>
    <w:rsid w:val="612C03D7"/>
    <w:rsid w:val="613B3E0B"/>
    <w:rsid w:val="613E0337"/>
    <w:rsid w:val="615A329B"/>
    <w:rsid w:val="61B803CE"/>
    <w:rsid w:val="62426280"/>
    <w:rsid w:val="626340F9"/>
    <w:rsid w:val="62724E61"/>
    <w:rsid w:val="62872A99"/>
    <w:rsid w:val="62B249B9"/>
    <w:rsid w:val="62FC7DA5"/>
    <w:rsid w:val="63315412"/>
    <w:rsid w:val="63715118"/>
    <w:rsid w:val="63911785"/>
    <w:rsid w:val="63A04625"/>
    <w:rsid w:val="63E14484"/>
    <w:rsid w:val="63E83E49"/>
    <w:rsid w:val="64036E96"/>
    <w:rsid w:val="643D0C4C"/>
    <w:rsid w:val="64625EBC"/>
    <w:rsid w:val="64837EDA"/>
    <w:rsid w:val="64F102BF"/>
    <w:rsid w:val="64F1485A"/>
    <w:rsid w:val="654D1777"/>
    <w:rsid w:val="65847385"/>
    <w:rsid w:val="658729D1"/>
    <w:rsid w:val="65D010C8"/>
    <w:rsid w:val="65DA25DC"/>
    <w:rsid w:val="65F40397"/>
    <w:rsid w:val="66220DFA"/>
    <w:rsid w:val="663D12E2"/>
    <w:rsid w:val="66C20165"/>
    <w:rsid w:val="66E47901"/>
    <w:rsid w:val="66F67E0E"/>
    <w:rsid w:val="670E33AA"/>
    <w:rsid w:val="67332E10"/>
    <w:rsid w:val="6739352D"/>
    <w:rsid w:val="67580ADF"/>
    <w:rsid w:val="67712125"/>
    <w:rsid w:val="67DB53F8"/>
    <w:rsid w:val="67FA392E"/>
    <w:rsid w:val="683A01CF"/>
    <w:rsid w:val="685B3AD8"/>
    <w:rsid w:val="68737A43"/>
    <w:rsid w:val="687B27F8"/>
    <w:rsid w:val="68C24ECD"/>
    <w:rsid w:val="68CD5B3A"/>
    <w:rsid w:val="68E63152"/>
    <w:rsid w:val="690A7BA1"/>
    <w:rsid w:val="695157D0"/>
    <w:rsid w:val="696F20FA"/>
    <w:rsid w:val="69C93490"/>
    <w:rsid w:val="69D361E5"/>
    <w:rsid w:val="69F10D61"/>
    <w:rsid w:val="6A107439"/>
    <w:rsid w:val="6A6042B5"/>
    <w:rsid w:val="6A8366E0"/>
    <w:rsid w:val="6AF512CD"/>
    <w:rsid w:val="6B435C90"/>
    <w:rsid w:val="6BA76336"/>
    <w:rsid w:val="6BAE30A6"/>
    <w:rsid w:val="6BBB1626"/>
    <w:rsid w:val="6BFF7765"/>
    <w:rsid w:val="6C021003"/>
    <w:rsid w:val="6C3601D3"/>
    <w:rsid w:val="6C9E6F7E"/>
    <w:rsid w:val="6CAF40F8"/>
    <w:rsid w:val="6CC95681"/>
    <w:rsid w:val="6CDD3319"/>
    <w:rsid w:val="6CE52678"/>
    <w:rsid w:val="6CEC1F75"/>
    <w:rsid w:val="6D0B345C"/>
    <w:rsid w:val="6D132A0B"/>
    <w:rsid w:val="6D16193B"/>
    <w:rsid w:val="6D3C2870"/>
    <w:rsid w:val="6D611FFE"/>
    <w:rsid w:val="6DA92CB2"/>
    <w:rsid w:val="6E073A29"/>
    <w:rsid w:val="6E2D7E97"/>
    <w:rsid w:val="6E4B13D6"/>
    <w:rsid w:val="6EAA0D8B"/>
    <w:rsid w:val="6EBB0AD1"/>
    <w:rsid w:val="6EBC0B36"/>
    <w:rsid w:val="6EEB2223"/>
    <w:rsid w:val="6EED083D"/>
    <w:rsid w:val="6F2474E3"/>
    <w:rsid w:val="6F28280D"/>
    <w:rsid w:val="6F285E67"/>
    <w:rsid w:val="6F340B83"/>
    <w:rsid w:val="6F5C4ECE"/>
    <w:rsid w:val="6F6541CD"/>
    <w:rsid w:val="6F6760E8"/>
    <w:rsid w:val="6F6967BC"/>
    <w:rsid w:val="6F97070D"/>
    <w:rsid w:val="6F9E025C"/>
    <w:rsid w:val="6FA5183E"/>
    <w:rsid w:val="6FB3005E"/>
    <w:rsid w:val="6FC147F6"/>
    <w:rsid w:val="6FED37B7"/>
    <w:rsid w:val="70157226"/>
    <w:rsid w:val="70877D29"/>
    <w:rsid w:val="70A703CB"/>
    <w:rsid w:val="71104C10"/>
    <w:rsid w:val="712323A4"/>
    <w:rsid w:val="712E63F7"/>
    <w:rsid w:val="71573B9F"/>
    <w:rsid w:val="7181015E"/>
    <w:rsid w:val="71A14E1B"/>
    <w:rsid w:val="71C4646A"/>
    <w:rsid w:val="71EF5B86"/>
    <w:rsid w:val="72590E11"/>
    <w:rsid w:val="72656A1F"/>
    <w:rsid w:val="72867446"/>
    <w:rsid w:val="72EF7AC4"/>
    <w:rsid w:val="736138BF"/>
    <w:rsid w:val="739C3AEB"/>
    <w:rsid w:val="73ED3498"/>
    <w:rsid w:val="73F065F6"/>
    <w:rsid w:val="73F550D4"/>
    <w:rsid w:val="74081181"/>
    <w:rsid w:val="742003C3"/>
    <w:rsid w:val="74315C67"/>
    <w:rsid w:val="743261FE"/>
    <w:rsid w:val="74411B79"/>
    <w:rsid w:val="744C3764"/>
    <w:rsid w:val="745C7069"/>
    <w:rsid w:val="747661D6"/>
    <w:rsid w:val="752B612F"/>
    <w:rsid w:val="75527D89"/>
    <w:rsid w:val="75774810"/>
    <w:rsid w:val="75893E82"/>
    <w:rsid w:val="75CD1E11"/>
    <w:rsid w:val="7601347A"/>
    <w:rsid w:val="76337903"/>
    <w:rsid w:val="76384E76"/>
    <w:rsid w:val="76636B42"/>
    <w:rsid w:val="767E1BCE"/>
    <w:rsid w:val="76BE25BE"/>
    <w:rsid w:val="76E2215D"/>
    <w:rsid w:val="76EA4B6F"/>
    <w:rsid w:val="76F762BB"/>
    <w:rsid w:val="77024615"/>
    <w:rsid w:val="771816DB"/>
    <w:rsid w:val="77815A40"/>
    <w:rsid w:val="77AD340F"/>
    <w:rsid w:val="77CA0AC0"/>
    <w:rsid w:val="781F6A99"/>
    <w:rsid w:val="785900EE"/>
    <w:rsid w:val="787577B6"/>
    <w:rsid w:val="78766A39"/>
    <w:rsid w:val="790939D1"/>
    <w:rsid w:val="79444D45"/>
    <w:rsid w:val="796535FC"/>
    <w:rsid w:val="79C97604"/>
    <w:rsid w:val="79DC10E6"/>
    <w:rsid w:val="79F469CC"/>
    <w:rsid w:val="7A28702C"/>
    <w:rsid w:val="7A402C18"/>
    <w:rsid w:val="7A570B53"/>
    <w:rsid w:val="7ABC3C1D"/>
    <w:rsid w:val="7ABF218C"/>
    <w:rsid w:val="7AC10E8C"/>
    <w:rsid w:val="7B4955E4"/>
    <w:rsid w:val="7B4A03A9"/>
    <w:rsid w:val="7B667ABD"/>
    <w:rsid w:val="7B68091A"/>
    <w:rsid w:val="7BA9149B"/>
    <w:rsid w:val="7BAE6AB2"/>
    <w:rsid w:val="7BF24BF0"/>
    <w:rsid w:val="7BFE3A89"/>
    <w:rsid w:val="7C0040DA"/>
    <w:rsid w:val="7C6653CB"/>
    <w:rsid w:val="7C730A93"/>
    <w:rsid w:val="7C9117F6"/>
    <w:rsid w:val="7CB9448F"/>
    <w:rsid w:val="7D4025FE"/>
    <w:rsid w:val="7EAF0B77"/>
    <w:rsid w:val="7EC56CB6"/>
    <w:rsid w:val="7EE40B9B"/>
    <w:rsid w:val="7F5060EC"/>
    <w:rsid w:val="7FA501CC"/>
    <w:rsid w:val="7FB87EFF"/>
    <w:rsid w:val="7FBE6679"/>
    <w:rsid w:val="7FC328B2"/>
    <w:rsid w:val="7FCA3C53"/>
    <w:rsid w:val="7FD74CE1"/>
    <w:rsid w:val="7FD7726C"/>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4"/>
    <w:autoRedefine/>
    <w:unhideWhenUsed/>
    <w:qFormat/>
    <w:locked/>
    <w:uiPriority w:val="0"/>
    <w:pPr>
      <w:keepNext/>
      <w:keepLines/>
      <w:spacing w:before="260" w:after="260" w:line="416" w:lineRule="auto"/>
      <w:outlineLvl w:val="1"/>
    </w:pPr>
    <w:rPr>
      <w:rFonts w:ascii="Cambria" w:hAnsi="Cambria"/>
      <w:b/>
      <w:bCs/>
      <w:sz w:val="32"/>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4">
    <w:name w:val="Í¼±íÕýÎÄ"/>
    <w:basedOn w:val="1"/>
    <w:next w:val="5"/>
    <w:autoRedefine/>
    <w:qFormat/>
    <w:uiPriority w:val="0"/>
    <w:pPr>
      <w:ind w:firstLine="420" w:firstLineChars="200"/>
    </w:pPr>
    <w:rPr>
      <w:sz w:val="24"/>
      <w:szCs w:val="20"/>
    </w:rPr>
  </w:style>
  <w:style w:type="paragraph" w:styleId="5">
    <w:name w:val="Normal Indent"/>
    <w:basedOn w:val="1"/>
    <w:autoRedefine/>
    <w:qFormat/>
    <w:locked/>
    <w:uiPriority w:val="0"/>
    <w:pPr>
      <w:ind w:firstLine="420" w:firstLineChars="200"/>
    </w:pPr>
  </w:style>
  <w:style w:type="paragraph" w:styleId="6">
    <w:name w:val="index 5"/>
    <w:basedOn w:val="1"/>
    <w:next w:val="1"/>
    <w:autoRedefine/>
    <w:semiHidden/>
    <w:qFormat/>
    <w:locked/>
    <w:uiPriority w:val="0"/>
    <w:pPr>
      <w:ind w:left="800" w:leftChars="800"/>
    </w:pPr>
    <w:rPr>
      <w:szCs w:val="20"/>
    </w:rPr>
  </w:style>
  <w:style w:type="paragraph" w:styleId="7">
    <w:name w:val="toa heading"/>
    <w:basedOn w:val="1"/>
    <w:next w:val="1"/>
    <w:autoRedefine/>
    <w:semiHidden/>
    <w:qFormat/>
    <w:locked/>
    <w:uiPriority w:val="0"/>
    <w:pPr>
      <w:spacing w:before="120"/>
    </w:pPr>
    <w:rPr>
      <w:rFonts w:ascii="Arial" w:hAnsi="Arial" w:cs="Arial"/>
      <w:sz w:val="24"/>
    </w:rPr>
  </w:style>
  <w:style w:type="paragraph" w:styleId="8">
    <w:name w:val="annotation text"/>
    <w:basedOn w:val="1"/>
    <w:link w:val="52"/>
    <w:autoRedefine/>
    <w:qFormat/>
    <w:locked/>
    <w:uiPriority w:val="0"/>
    <w:rPr>
      <w:szCs w:val="20"/>
    </w:rPr>
  </w:style>
  <w:style w:type="paragraph" w:styleId="9">
    <w:name w:val="Body Text"/>
    <w:basedOn w:val="1"/>
    <w:next w:val="10"/>
    <w:link w:val="40"/>
    <w:autoRedefine/>
    <w:qFormat/>
    <w:uiPriority w:val="99"/>
    <w:pPr>
      <w:spacing w:after="120"/>
    </w:pPr>
    <w:rPr>
      <w:rFonts w:ascii="Calibri" w:hAnsi="Calibri"/>
    </w:rPr>
  </w:style>
  <w:style w:type="paragraph" w:styleId="10">
    <w:name w:val="Body Text First Indent"/>
    <w:basedOn w:val="1"/>
    <w:autoRedefine/>
    <w:unhideWhenUsed/>
    <w:qFormat/>
    <w:locked/>
    <w:uiPriority w:val="99"/>
    <w:pPr>
      <w:spacing w:line="360" w:lineRule="auto"/>
    </w:pPr>
    <w:rPr>
      <w:rFonts w:cs="Times New Roman"/>
      <w:sz w:val="21"/>
    </w:rPr>
  </w:style>
  <w:style w:type="paragraph" w:styleId="11">
    <w:name w:val="Body Text Indent"/>
    <w:basedOn w:val="1"/>
    <w:autoRedefine/>
    <w:unhideWhenUsed/>
    <w:qFormat/>
    <w:locked/>
    <w:uiPriority w:val="99"/>
    <w:pPr>
      <w:spacing w:after="120"/>
      <w:ind w:left="420" w:leftChars="200"/>
    </w:pPr>
  </w:style>
  <w:style w:type="paragraph" w:styleId="12">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3">
    <w:name w:val="Plain Text"/>
    <w:basedOn w:val="1"/>
    <w:link w:val="39"/>
    <w:autoRedefine/>
    <w:qFormat/>
    <w:uiPriority w:val="99"/>
    <w:rPr>
      <w:rFonts w:ascii="宋体" w:hAnsi="Courier New"/>
      <w:szCs w:val="20"/>
    </w:rPr>
  </w:style>
  <w:style w:type="paragraph" w:styleId="14">
    <w:name w:val="Balloon Text"/>
    <w:basedOn w:val="1"/>
    <w:link w:val="51"/>
    <w:autoRedefine/>
    <w:semiHidden/>
    <w:unhideWhenUsed/>
    <w:qFormat/>
    <w:locked/>
    <w:uiPriority w:val="99"/>
    <w:rPr>
      <w:sz w:val="18"/>
      <w:szCs w:val="18"/>
    </w:rPr>
  </w:style>
  <w:style w:type="paragraph" w:styleId="15">
    <w:name w:val="footer"/>
    <w:basedOn w:val="1"/>
    <w:link w:val="41"/>
    <w:autoRedefine/>
    <w:qFormat/>
    <w:uiPriority w:val="99"/>
    <w:pPr>
      <w:tabs>
        <w:tab w:val="center" w:pos="4153"/>
        <w:tab w:val="right" w:pos="8306"/>
      </w:tabs>
      <w:snapToGrid w:val="0"/>
      <w:jc w:val="left"/>
    </w:pPr>
    <w:rPr>
      <w:sz w:val="18"/>
    </w:rPr>
  </w:style>
  <w:style w:type="paragraph" w:styleId="16">
    <w:name w:val="header"/>
    <w:basedOn w:val="1"/>
    <w:next w:val="9"/>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99"/>
    <w:pPr>
      <w:jc w:val="left"/>
    </w:pPr>
    <w:rPr>
      <w:b/>
      <w:bCs/>
      <w:caps/>
      <w:sz w:val="20"/>
      <w:szCs w:val="20"/>
    </w:rPr>
  </w:style>
  <w:style w:type="paragraph" w:styleId="18">
    <w:name w:val="Subtitle"/>
    <w:basedOn w:val="1"/>
    <w:next w:val="1"/>
    <w:link w:val="43"/>
    <w:autoRedefine/>
    <w:qFormat/>
    <w:uiPriority w:val="99"/>
    <w:pPr>
      <w:spacing w:before="240" w:after="60" w:line="312" w:lineRule="auto"/>
      <w:jc w:val="center"/>
      <w:outlineLvl w:val="1"/>
    </w:pPr>
    <w:rPr>
      <w:rFonts w:ascii="Cambria" w:hAnsi="Cambria"/>
      <w:b/>
      <w:bCs/>
      <w:kern w:val="28"/>
      <w:sz w:val="32"/>
      <w:szCs w:val="32"/>
    </w:rPr>
  </w:style>
  <w:style w:type="paragraph" w:styleId="19">
    <w:name w:val="footnote text"/>
    <w:basedOn w:val="1"/>
    <w:next w:val="6"/>
    <w:autoRedefine/>
    <w:qFormat/>
    <w:locked/>
    <w:uiPriority w:val="0"/>
    <w:pPr>
      <w:numPr>
        <w:ilvl w:val="0"/>
        <w:numId w:val="1"/>
      </w:numPr>
      <w:tabs>
        <w:tab w:val="clear" w:pos="1200"/>
      </w:tabs>
      <w:snapToGrid w:val="0"/>
      <w:ind w:left="0" w:firstLine="0"/>
      <w:jc w:val="left"/>
    </w:pPr>
    <w:rPr>
      <w:sz w:val="18"/>
      <w:szCs w:val="18"/>
    </w:rPr>
  </w:style>
  <w:style w:type="paragraph" w:styleId="20">
    <w:name w:val="toc 2"/>
    <w:basedOn w:val="1"/>
    <w:next w:val="1"/>
    <w:autoRedefine/>
    <w:qFormat/>
    <w:uiPriority w:val="99"/>
    <w:pPr>
      <w:tabs>
        <w:tab w:val="right" w:leader="dot" w:pos="8777"/>
      </w:tabs>
      <w:ind w:firstLine="566" w:firstLineChars="236"/>
      <w:jc w:val="left"/>
    </w:pPr>
    <w:rPr>
      <w:smallCaps/>
      <w:sz w:val="20"/>
      <w:szCs w:val="20"/>
    </w:rPr>
  </w:style>
  <w:style w:type="paragraph" w:styleId="21">
    <w:name w:val="Body Text 2"/>
    <w:basedOn w:val="1"/>
    <w:autoRedefine/>
    <w:qFormat/>
    <w:locked/>
    <w:uiPriority w:val="0"/>
    <w:pPr>
      <w:spacing w:after="120" w:line="480" w:lineRule="auto"/>
    </w:pPr>
  </w:style>
  <w:style w:type="paragraph" w:styleId="22">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pPr>
      <w:spacing w:before="100" w:beforeAutospacing="1" w:after="100" w:afterAutospacing="1"/>
      <w:jc w:val="left"/>
    </w:pPr>
    <w:rPr>
      <w:kern w:val="0"/>
    </w:rPr>
  </w:style>
  <w:style w:type="paragraph" w:styleId="24">
    <w:name w:val="Title"/>
    <w:basedOn w:val="1"/>
    <w:next w:val="1"/>
    <w:link w:val="44"/>
    <w:autoRedefine/>
    <w:qFormat/>
    <w:uiPriority w:val="99"/>
    <w:pPr>
      <w:jc w:val="center"/>
      <w:outlineLvl w:val="0"/>
    </w:pPr>
    <w:rPr>
      <w:rFonts w:ascii="Cambria" w:hAnsi="Cambria"/>
      <w:b/>
      <w:bCs/>
      <w:sz w:val="36"/>
      <w:szCs w:val="32"/>
    </w:rPr>
  </w:style>
  <w:style w:type="paragraph" w:styleId="25">
    <w:name w:val="annotation subject"/>
    <w:basedOn w:val="8"/>
    <w:next w:val="8"/>
    <w:link w:val="53"/>
    <w:autoRedefine/>
    <w:semiHidden/>
    <w:unhideWhenUsed/>
    <w:qFormat/>
    <w:locked/>
    <w:uiPriority w:val="99"/>
    <w:pPr>
      <w:jc w:val="left"/>
    </w:pPr>
    <w:rPr>
      <w:b/>
      <w:bCs/>
      <w:szCs w:val="24"/>
    </w:rPr>
  </w:style>
  <w:style w:type="paragraph" w:styleId="26">
    <w:name w:val="Body Text First Indent 2"/>
    <w:basedOn w:val="11"/>
    <w:autoRedefine/>
    <w:unhideWhenUsed/>
    <w:qFormat/>
    <w:locked/>
    <w:uiPriority w:val="99"/>
    <w:pPr>
      <w:ind w:firstLine="420"/>
    </w:p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locked/>
    <w:uiPriority w:val="22"/>
    <w:rPr>
      <w:b/>
    </w:rPr>
  </w:style>
  <w:style w:type="character" w:styleId="31">
    <w:name w:val="page number"/>
    <w:basedOn w:val="29"/>
    <w:autoRedefine/>
    <w:qFormat/>
    <w:uiPriority w:val="99"/>
    <w:rPr>
      <w:rFonts w:cs="Times New Roman"/>
    </w:rPr>
  </w:style>
  <w:style w:type="character" w:styleId="32">
    <w:name w:val="Hyperlink"/>
    <w:basedOn w:val="29"/>
    <w:autoRedefine/>
    <w:semiHidden/>
    <w:unhideWhenUsed/>
    <w:qFormat/>
    <w:locked/>
    <w:uiPriority w:val="99"/>
    <w:rPr>
      <w:color w:val="0000FF"/>
      <w:u w:val="single"/>
    </w:rPr>
  </w:style>
  <w:style w:type="character" w:styleId="33">
    <w:name w:val="annotation reference"/>
    <w:basedOn w:val="29"/>
    <w:autoRedefine/>
    <w:semiHidden/>
    <w:unhideWhenUsed/>
    <w:qFormat/>
    <w:locked/>
    <w:uiPriority w:val="99"/>
    <w:rPr>
      <w:sz w:val="21"/>
      <w:szCs w:val="21"/>
    </w:rPr>
  </w:style>
  <w:style w:type="paragraph" w:customStyle="1" w:styleId="34">
    <w:name w:val="一级条标题"/>
    <w:basedOn w:val="35"/>
    <w:next w:val="36"/>
    <w:autoRedefine/>
    <w:qFormat/>
    <w:uiPriority w:val="99"/>
    <w:pPr>
      <w:spacing w:line="240" w:lineRule="auto"/>
      <w:ind w:left="420"/>
      <w:outlineLvl w:val="2"/>
    </w:pPr>
  </w:style>
  <w:style w:type="paragraph" w:customStyle="1" w:styleId="35">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7">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标题 1 Char"/>
    <w:basedOn w:val="29"/>
    <w:link w:val="2"/>
    <w:autoRedefine/>
    <w:qFormat/>
    <w:locked/>
    <w:uiPriority w:val="99"/>
    <w:rPr>
      <w:rFonts w:cs="Times New Roman"/>
      <w:b/>
      <w:bCs/>
      <w:kern w:val="44"/>
      <w:sz w:val="44"/>
      <w:szCs w:val="44"/>
    </w:rPr>
  </w:style>
  <w:style w:type="character" w:customStyle="1" w:styleId="39">
    <w:name w:val="纯文本 Char"/>
    <w:basedOn w:val="29"/>
    <w:link w:val="13"/>
    <w:autoRedefine/>
    <w:semiHidden/>
    <w:qFormat/>
    <w:locked/>
    <w:uiPriority w:val="99"/>
    <w:rPr>
      <w:rFonts w:ascii="宋体" w:hAnsi="Courier New" w:cs="Courier New"/>
      <w:sz w:val="21"/>
      <w:szCs w:val="21"/>
    </w:rPr>
  </w:style>
  <w:style w:type="character" w:customStyle="1" w:styleId="40">
    <w:name w:val="正文文本 Char"/>
    <w:basedOn w:val="29"/>
    <w:link w:val="9"/>
    <w:autoRedefine/>
    <w:semiHidden/>
    <w:qFormat/>
    <w:locked/>
    <w:uiPriority w:val="99"/>
    <w:rPr>
      <w:rFonts w:cs="Times New Roman"/>
      <w:sz w:val="24"/>
      <w:szCs w:val="24"/>
    </w:rPr>
  </w:style>
  <w:style w:type="character" w:customStyle="1" w:styleId="41">
    <w:name w:val="页脚 Char"/>
    <w:basedOn w:val="29"/>
    <w:link w:val="15"/>
    <w:autoRedefine/>
    <w:semiHidden/>
    <w:qFormat/>
    <w:locked/>
    <w:uiPriority w:val="99"/>
    <w:rPr>
      <w:rFonts w:cs="Times New Roman"/>
      <w:sz w:val="18"/>
      <w:szCs w:val="18"/>
    </w:rPr>
  </w:style>
  <w:style w:type="character" w:customStyle="1" w:styleId="42">
    <w:name w:val="页眉 Char"/>
    <w:basedOn w:val="29"/>
    <w:link w:val="16"/>
    <w:autoRedefine/>
    <w:semiHidden/>
    <w:qFormat/>
    <w:locked/>
    <w:uiPriority w:val="99"/>
    <w:rPr>
      <w:rFonts w:cs="Times New Roman"/>
      <w:sz w:val="18"/>
      <w:szCs w:val="18"/>
    </w:rPr>
  </w:style>
  <w:style w:type="character" w:customStyle="1" w:styleId="43">
    <w:name w:val="副标题 Char"/>
    <w:basedOn w:val="29"/>
    <w:link w:val="18"/>
    <w:autoRedefine/>
    <w:qFormat/>
    <w:locked/>
    <w:uiPriority w:val="99"/>
    <w:rPr>
      <w:rFonts w:ascii="Cambria" w:hAnsi="Cambria" w:cs="Times New Roman"/>
      <w:b/>
      <w:bCs/>
      <w:kern w:val="28"/>
      <w:sz w:val="32"/>
      <w:szCs w:val="32"/>
    </w:rPr>
  </w:style>
  <w:style w:type="character" w:customStyle="1" w:styleId="44">
    <w:name w:val="标题 Char"/>
    <w:basedOn w:val="29"/>
    <w:link w:val="24"/>
    <w:autoRedefine/>
    <w:qFormat/>
    <w:locked/>
    <w:uiPriority w:val="99"/>
    <w:rPr>
      <w:rFonts w:ascii="Cambria" w:hAnsi="Cambria" w:cs="Times New Roman"/>
      <w:b/>
      <w:bCs/>
      <w:sz w:val="32"/>
      <w:szCs w:val="32"/>
    </w:rPr>
  </w:style>
  <w:style w:type="paragraph" w:customStyle="1" w:styleId="45">
    <w:name w:val="TOC 标题1"/>
    <w:basedOn w:val="2"/>
    <w:next w:val="1"/>
    <w:autoRedefine/>
    <w:qFormat/>
    <w:uiPriority w:val="99"/>
    <w:pPr>
      <w:spacing w:before="480" w:line="276" w:lineRule="auto"/>
      <w:outlineLvl w:val="9"/>
    </w:pPr>
    <w:rPr>
      <w:rFonts w:ascii="仿宋" w:hAnsi="仿宋" w:eastAsia="仿宋"/>
      <w:color w:val="000000"/>
      <w:kern w:val="0"/>
      <w:sz w:val="32"/>
      <w:szCs w:val="32"/>
    </w:rPr>
  </w:style>
  <w:style w:type="paragraph" w:customStyle="1" w:styleId="46">
    <w:name w:val="Char"/>
    <w:basedOn w:val="1"/>
    <w:autoRedefine/>
    <w:qFormat/>
    <w:uiPriority w:val="99"/>
    <w:pPr>
      <w:widowControl/>
      <w:spacing w:line="240" w:lineRule="exact"/>
      <w:jc w:val="left"/>
    </w:pPr>
    <w:rPr>
      <w:rFonts w:ascii="Verdana" w:hAnsi="Verdana"/>
      <w:kern w:val="0"/>
      <w:szCs w:val="20"/>
      <w:lang w:eastAsia="en-US"/>
    </w:rPr>
  </w:style>
  <w:style w:type="paragraph" w:styleId="47">
    <w:name w:val="List Paragraph"/>
    <w:basedOn w:val="1"/>
    <w:autoRedefine/>
    <w:qFormat/>
    <w:uiPriority w:val="99"/>
    <w:pPr>
      <w:ind w:firstLine="420" w:firstLineChars="200"/>
    </w:pPr>
  </w:style>
  <w:style w:type="paragraph" w:styleId="4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NormalCharacter"/>
    <w:autoRedefine/>
    <w:qFormat/>
    <w:uiPriority w:val="0"/>
    <w:rPr>
      <w:rFonts w:ascii="Times New Roman" w:hAnsi="Times New Roman" w:eastAsia="宋体"/>
    </w:rPr>
  </w:style>
  <w:style w:type="table" w:customStyle="1" w:styleId="50">
    <w:name w:val="Table Normal"/>
    <w:autoRedefine/>
    <w:semiHidden/>
    <w:unhideWhenUsed/>
    <w:qFormat/>
    <w:uiPriority w:val="0"/>
    <w:tblPr>
      <w:tblCellMar>
        <w:top w:w="0" w:type="dxa"/>
        <w:left w:w="0" w:type="dxa"/>
        <w:bottom w:w="0" w:type="dxa"/>
        <w:right w:w="0" w:type="dxa"/>
      </w:tblCellMar>
    </w:tblPr>
  </w:style>
  <w:style w:type="character" w:customStyle="1" w:styleId="51">
    <w:name w:val="批注框文本 Char"/>
    <w:basedOn w:val="29"/>
    <w:link w:val="14"/>
    <w:autoRedefine/>
    <w:semiHidden/>
    <w:qFormat/>
    <w:uiPriority w:val="99"/>
    <w:rPr>
      <w:kern w:val="2"/>
      <w:sz w:val="18"/>
      <w:szCs w:val="18"/>
    </w:rPr>
  </w:style>
  <w:style w:type="character" w:customStyle="1" w:styleId="52">
    <w:name w:val="批注文字 Char"/>
    <w:basedOn w:val="29"/>
    <w:link w:val="8"/>
    <w:autoRedefine/>
    <w:qFormat/>
    <w:uiPriority w:val="0"/>
    <w:rPr>
      <w:kern w:val="2"/>
      <w:sz w:val="21"/>
    </w:rPr>
  </w:style>
  <w:style w:type="character" w:customStyle="1" w:styleId="53">
    <w:name w:val="批注主题 Char"/>
    <w:basedOn w:val="52"/>
    <w:link w:val="25"/>
    <w:autoRedefine/>
    <w:semiHidden/>
    <w:qFormat/>
    <w:uiPriority w:val="99"/>
    <w:rPr>
      <w:b/>
      <w:bCs/>
      <w:kern w:val="2"/>
      <w:sz w:val="21"/>
      <w:szCs w:val="24"/>
    </w:rPr>
  </w:style>
  <w:style w:type="paragraph" w:customStyle="1" w:styleId="54">
    <w:name w:val="封面标准名称"/>
    <w:next w:val="7"/>
    <w:autoRedefine/>
    <w:qFormat/>
    <w:uiPriority w:val="0"/>
    <w:pPr>
      <w:widowControl w:val="0"/>
      <w:spacing w:line="680" w:lineRule="exact"/>
      <w:jc w:val="center"/>
      <w:textAlignment w:val="center"/>
    </w:pPr>
    <w:rPr>
      <w:rFonts w:ascii="黑体" w:hAnsi="Calibri"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24419</Words>
  <Characters>25798</Characters>
  <Lines>470</Lines>
  <Paragraphs>132</Paragraphs>
  <TotalTime>5</TotalTime>
  <ScaleCrop>false</ScaleCrop>
  <LinksUpToDate>false</LinksUpToDate>
  <CharactersWithSpaces>27438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2022-07-06T00:29:00Z</dcterms:created>
  <dc:creator>Summer </dc:creator>
  <cp:lastModifiedBy>°C</cp:lastModifiedBy>
  <cp:lastPrinted>2021-10-20T11:16:00Z</cp:lastPrinted>
  <dcterms:modified xsi:type="dcterms:W3CDTF">2024-05-17T05:44:32Z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7B26CA4F1D4C4A499E59619EBB3F84F5_13</vt:lpwstr>
  </property>
</Properties>
</file>