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8D2DC">
      <w:pPr>
        <w:adjustRightInd w:val="0"/>
        <w:spacing w:line="360" w:lineRule="auto"/>
        <w:jc w:val="center"/>
        <w:textAlignment w:val="baseline"/>
        <w:rPr>
          <w:rFonts w:ascii="宋体" w:hAnsi="宋体"/>
          <w:b/>
          <w:sz w:val="48"/>
          <w:szCs w:val="48"/>
        </w:rPr>
      </w:pPr>
    </w:p>
    <w:p w14:paraId="515BD415">
      <w:pPr>
        <w:pStyle w:val="30"/>
        <w:spacing w:before="0" w:after="0" w:line="360" w:lineRule="auto"/>
        <w:jc w:val="center"/>
        <w:rPr>
          <w:rFonts w:ascii="宋体" w:hAnsi="宋体"/>
          <w:sz w:val="96"/>
        </w:rPr>
      </w:pPr>
      <w:bookmarkStart w:id="0" w:name="_Toc449568588"/>
      <w:r>
        <w:rPr>
          <w:rFonts w:hint="eastAsia" w:ascii="宋体" w:hAnsi="宋体"/>
          <w:sz w:val="84"/>
          <w:szCs w:val="84"/>
        </w:rPr>
        <w:t>竞争性磋商文件</w:t>
      </w:r>
      <w:bookmarkEnd w:id="0"/>
    </w:p>
    <w:p w14:paraId="41EB0CA9">
      <w:pPr>
        <w:adjustRightInd w:val="0"/>
        <w:spacing w:line="360" w:lineRule="auto"/>
        <w:textAlignment w:val="baseline"/>
        <w:rPr>
          <w:rFonts w:ascii="宋体" w:hAnsi="宋体"/>
          <w:sz w:val="36"/>
          <w:szCs w:val="36"/>
        </w:rPr>
      </w:pPr>
    </w:p>
    <w:p w14:paraId="0EACFA91">
      <w:pPr>
        <w:pStyle w:val="56"/>
        <w:rPr>
          <w:rFonts w:ascii="宋体" w:hAnsi="宋体"/>
          <w:sz w:val="36"/>
          <w:szCs w:val="36"/>
        </w:rPr>
      </w:pPr>
    </w:p>
    <w:p w14:paraId="73E162B5">
      <w:pPr>
        <w:rPr>
          <w:rFonts w:ascii="宋体" w:hAnsi="宋体"/>
          <w:sz w:val="36"/>
          <w:szCs w:val="36"/>
        </w:rPr>
      </w:pPr>
    </w:p>
    <w:p w14:paraId="6A23F9F5">
      <w:pPr>
        <w:pStyle w:val="56"/>
      </w:pPr>
    </w:p>
    <w:p w14:paraId="1B424AAF">
      <w:pPr>
        <w:adjustRightInd w:val="0"/>
        <w:spacing w:line="360" w:lineRule="auto"/>
        <w:jc w:val="center"/>
        <w:textAlignment w:val="baseline"/>
        <w:rPr>
          <w:rFonts w:ascii="宋体" w:hAnsi="宋体"/>
          <w:sz w:val="36"/>
          <w:szCs w:val="36"/>
        </w:rPr>
      </w:pPr>
    </w:p>
    <w:p w14:paraId="008F451E">
      <w:pPr>
        <w:widowControl/>
        <w:adjustRightInd w:val="0"/>
        <w:snapToGrid w:val="0"/>
        <w:spacing w:line="480" w:lineRule="auto"/>
        <w:ind w:left="2566" w:leftChars="304" w:hanging="1928" w:hangingChars="600"/>
        <w:jc w:val="left"/>
        <w:textAlignment w:val="baseline"/>
        <w:rPr>
          <w:rFonts w:hint="eastAsia" w:ascii="宋体" w:hAnsi="宋体" w:cs="Arial"/>
          <w:b/>
          <w:kern w:val="0"/>
          <w:sz w:val="32"/>
          <w:szCs w:val="32"/>
          <w:lang w:eastAsia="zh-CN"/>
        </w:rPr>
      </w:pPr>
      <w:r>
        <w:rPr>
          <w:rFonts w:hint="eastAsia" w:ascii="宋体" w:hAnsi="宋体" w:cs="Arial"/>
          <w:b/>
          <w:kern w:val="0"/>
          <w:sz w:val="32"/>
          <w:szCs w:val="32"/>
        </w:rPr>
        <w:t>采购项目名称：</w:t>
      </w:r>
      <w:r>
        <w:rPr>
          <w:rFonts w:hint="eastAsia" w:ascii="宋体" w:hAnsi="宋体" w:cs="Arial"/>
          <w:b/>
          <w:kern w:val="0"/>
          <w:sz w:val="32"/>
          <w:szCs w:val="32"/>
          <w:lang w:eastAsia="zh-CN"/>
        </w:rPr>
        <w:t>2025年西宁市湟中区职业教育中心“双优计划”“建设”（数字智慧校园建设）项目</w:t>
      </w:r>
    </w:p>
    <w:p w14:paraId="6925E108">
      <w:pPr>
        <w:widowControl/>
        <w:adjustRightInd w:val="0"/>
        <w:snapToGrid w:val="0"/>
        <w:spacing w:line="480" w:lineRule="auto"/>
        <w:ind w:firstLine="643" w:firstLineChars="200"/>
        <w:jc w:val="left"/>
        <w:textAlignment w:val="baseline"/>
        <w:rPr>
          <w:rFonts w:hint="default" w:ascii="宋体" w:hAnsi="宋体" w:cs="Arial"/>
          <w:b/>
          <w:kern w:val="0"/>
          <w:sz w:val="32"/>
          <w:szCs w:val="32"/>
          <w:lang w:val="en-US" w:eastAsia="zh-CN"/>
        </w:rPr>
      </w:pPr>
      <w:r>
        <w:rPr>
          <w:rFonts w:hint="eastAsia" w:ascii="宋体" w:hAnsi="宋体" w:cs="Arial"/>
          <w:b/>
          <w:kern w:val="0"/>
          <w:sz w:val="32"/>
          <w:szCs w:val="32"/>
        </w:rPr>
        <w:t>采购项目编号：</w:t>
      </w:r>
      <w:r>
        <w:rPr>
          <w:rFonts w:hint="eastAsia" w:ascii="宋体" w:hAnsi="宋体" w:cs="Arial"/>
          <w:b/>
          <w:kern w:val="0"/>
          <w:sz w:val="32"/>
          <w:szCs w:val="32"/>
          <w:lang w:eastAsia="zh-CN"/>
        </w:rPr>
        <w:t>青海丰研竞磋（货物）2025-00</w:t>
      </w:r>
      <w:r>
        <w:rPr>
          <w:rFonts w:hint="eastAsia" w:ascii="宋体" w:hAnsi="宋体" w:cs="Arial"/>
          <w:b/>
          <w:kern w:val="0"/>
          <w:sz w:val="32"/>
          <w:szCs w:val="32"/>
          <w:lang w:val="en-US" w:eastAsia="zh-CN"/>
        </w:rPr>
        <w:t>7号</w:t>
      </w:r>
    </w:p>
    <w:p w14:paraId="68F2A9E3">
      <w:pPr>
        <w:widowControl/>
        <w:adjustRightInd w:val="0"/>
        <w:snapToGrid w:val="0"/>
        <w:spacing w:line="480" w:lineRule="auto"/>
        <w:ind w:firstLine="643" w:firstLineChars="200"/>
        <w:jc w:val="left"/>
        <w:textAlignment w:val="baseline"/>
        <w:rPr>
          <w:rFonts w:hint="eastAsia" w:ascii="宋体" w:hAnsi="宋体" w:cs="Arial"/>
          <w:b/>
          <w:kern w:val="0"/>
          <w:sz w:val="32"/>
          <w:szCs w:val="32"/>
          <w:lang w:eastAsia="zh-CN"/>
        </w:rPr>
      </w:pPr>
      <w:r>
        <w:rPr>
          <w:rFonts w:hint="eastAsia" w:ascii="宋体" w:hAnsi="宋体" w:cs="Arial"/>
          <w:b/>
          <w:kern w:val="0"/>
          <w:sz w:val="32"/>
          <w:szCs w:val="32"/>
        </w:rPr>
        <w:t>采  购 单 位</w:t>
      </w:r>
      <w:r>
        <w:rPr>
          <w:rFonts w:hint="eastAsia" w:ascii="宋体" w:hAnsi="宋体"/>
          <w:sz w:val="32"/>
          <w:szCs w:val="32"/>
        </w:rPr>
        <w:t>：</w:t>
      </w:r>
      <w:r>
        <w:rPr>
          <w:rFonts w:hint="eastAsia" w:ascii="宋体" w:hAnsi="宋体" w:cs="Arial"/>
          <w:b/>
          <w:kern w:val="0"/>
          <w:sz w:val="32"/>
          <w:szCs w:val="32"/>
          <w:lang w:eastAsia="zh-CN"/>
        </w:rPr>
        <w:t>西宁市湟中区职业教育中心</w:t>
      </w:r>
    </w:p>
    <w:p w14:paraId="078B8D4C">
      <w:pPr>
        <w:widowControl/>
        <w:adjustRightInd w:val="0"/>
        <w:snapToGrid w:val="0"/>
        <w:spacing w:line="480" w:lineRule="auto"/>
        <w:ind w:firstLine="643" w:firstLineChars="200"/>
        <w:jc w:val="left"/>
        <w:textAlignment w:val="baseline"/>
        <w:rPr>
          <w:rFonts w:hint="eastAsia" w:ascii="宋体" w:hAnsi="宋体" w:eastAsia="宋体"/>
          <w:b/>
          <w:bCs/>
          <w:sz w:val="32"/>
          <w:szCs w:val="32"/>
          <w:lang w:eastAsia="zh-CN"/>
        </w:rPr>
      </w:pPr>
      <w:r>
        <w:rPr>
          <w:rFonts w:ascii="宋体" w:hAnsi="宋体"/>
          <w:b/>
          <w:bCs/>
          <w:sz w:val="32"/>
          <w:szCs w:val="32"/>
        </w:rPr>
        <w:t>采购代理机构</w:t>
      </w:r>
      <w:r>
        <w:rPr>
          <w:rFonts w:hint="eastAsia" w:ascii="宋体" w:hAnsi="宋体"/>
          <w:b/>
          <w:bCs/>
          <w:sz w:val="32"/>
          <w:szCs w:val="32"/>
        </w:rPr>
        <w:t>：</w:t>
      </w:r>
      <w:r>
        <w:rPr>
          <w:rFonts w:hint="eastAsia" w:ascii="宋体" w:hAnsi="宋体"/>
          <w:b/>
          <w:bCs/>
          <w:sz w:val="32"/>
          <w:szCs w:val="32"/>
          <w:lang w:eastAsia="zh-CN"/>
        </w:rPr>
        <w:t>青海丰研工程咨询有限公司</w:t>
      </w:r>
    </w:p>
    <w:p w14:paraId="3F2BA0E6">
      <w:pPr>
        <w:rPr>
          <w:rFonts w:ascii="宋体" w:hAnsi="宋体"/>
          <w:b/>
          <w:bCs/>
          <w:sz w:val="32"/>
          <w:szCs w:val="32"/>
        </w:rPr>
      </w:pPr>
    </w:p>
    <w:p w14:paraId="04878E0B">
      <w:pPr>
        <w:pStyle w:val="56"/>
        <w:ind w:left="0" w:leftChars="0" w:firstLine="0" w:firstLineChars="0"/>
        <w:rPr>
          <w:rFonts w:ascii="宋体" w:hAnsi="宋体"/>
          <w:b/>
          <w:bCs/>
          <w:sz w:val="32"/>
          <w:szCs w:val="32"/>
        </w:rPr>
      </w:pPr>
    </w:p>
    <w:p w14:paraId="0D700142"/>
    <w:p w14:paraId="360F678E">
      <w:pPr>
        <w:spacing w:line="360" w:lineRule="auto"/>
        <w:jc w:val="center"/>
        <w:rPr>
          <w:rFonts w:hint="eastAsia" w:ascii="宋体" w:hAnsi="宋体" w:eastAsia="宋体"/>
          <w:lang w:eastAsia="zh-CN"/>
        </w:rPr>
      </w:pPr>
      <w:r>
        <w:rPr>
          <w:rFonts w:hint="eastAsia" w:ascii="宋体" w:hAnsi="宋体"/>
          <w:b/>
          <w:bCs/>
          <w:sz w:val="32"/>
          <w:szCs w:val="32"/>
          <w:lang w:eastAsia="zh-CN"/>
        </w:rPr>
        <w:t>2025年</w:t>
      </w:r>
      <w:r>
        <w:rPr>
          <w:rFonts w:hint="eastAsia" w:ascii="宋体" w:hAnsi="宋体"/>
          <w:b/>
          <w:bCs/>
          <w:sz w:val="32"/>
          <w:szCs w:val="32"/>
          <w:lang w:val="en-US" w:eastAsia="zh-CN"/>
        </w:rPr>
        <w:t>6</w:t>
      </w:r>
      <w:r>
        <w:rPr>
          <w:rFonts w:hint="eastAsia" w:ascii="宋体" w:hAnsi="宋体"/>
          <w:b/>
          <w:bCs/>
          <w:sz w:val="32"/>
          <w:szCs w:val="32"/>
          <w:lang w:eastAsia="zh-CN"/>
        </w:rPr>
        <w:t>月</w:t>
      </w:r>
    </w:p>
    <w:p w14:paraId="526585F5">
      <w:pPr>
        <w:bidi w:val="0"/>
        <w:jc w:val="center"/>
        <w:rPr>
          <w:rFonts w:ascii="宋体" w:hAnsi="宋体"/>
          <w:b/>
          <w:sz w:val="44"/>
          <w:szCs w:val="44"/>
        </w:rPr>
      </w:pPr>
      <w:r>
        <w:rPr>
          <w:rFonts w:ascii="宋体" w:hAnsi="宋体"/>
        </w:rPr>
        <w:br w:type="page"/>
      </w:r>
      <w:r>
        <w:rPr>
          <w:rFonts w:ascii="宋体" w:hAnsi="宋体"/>
          <w:b/>
          <w:sz w:val="44"/>
          <w:szCs w:val="44"/>
        </w:rPr>
        <w:t>目</w:t>
      </w:r>
      <w:r>
        <w:rPr>
          <w:rFonts w:hint="eastAsia" w:ascii="宋体" w:hAnsi="宋体"/>
          <w:b/>
          <w:sz w:val="44"/>
          <w:szCs w:val="44"/>
        </w:rPr>
        <w:t xml:space="preserve"> </w:t>
      </w:r>
      <w:r>
        <w:rPr>
          <w:rFonts w:ascii="宋体" w:hAnsi="宋体"/>
          <w:b/>
          <w:sz w:val="44"/>
          <w:szCs w:val="44"/>
        </w:rPr>
        <w:t>录</w:t>
      </w:r>
    </w:p>
    <w:p w14:paraId="0FD8B033">
      <w:pPr>
        <w:pStyle w:val="11"/>
      </w:pPr>
    </w:p>
    <w:p w14:paraId="18554BFB">
      <w:pPr>
        <w:pStyle w:val="23"/>
        <w:spacing w:line="600" w:lineRule="auto"/>
        <w:jc w:val="center"/>
        <w:rPr>
          <w:rFonts w:asciiTheme="minorHAnsi" w:hAnsiTheme="minorHAnsi" w:eastAsiaTheme="minorEastAsia" w:cstheme="minorBidi"/>
          <w:sz w:val="28"/>
          <w:szCs w:val="28"/>
        </w:rPr>
      </w:pPr>
      <w:r>
        <w:rPr>
          <w:rFonts w:ascii="宋体" w:hAnsi="宋体"/>
          <w:sz w:val="24"/>
        </w:rPr>
        <w:fldChar w:fldCharType="begin"/>
      </w:r>
      <w:r>
        <w:rPr>
          <w:rFonts w:ascii="宋体" w:hAnsi="宋体"/>
          <w:sz w:val="24"/>
        </w:rPr>
        <w:instrText xml:space="preserve"> TOC \h \z \t "标题 1,1,标题 2,1,标题 3,1,标题 4,1,标题 5,1,标题 6,1,标题 7,1,副标题,1" </w:instrText>
      </w:r>
      <w:r>
        <w:rPr>
          <w:rFonts w:ascii="宋体" w:hAnsi="宋体"/>
          <w:sz w:val="24"/>
        </w:rPr>
        <w:fldChar w:fldCharType="separate"/>
      </w:r>
      <w:r>
        <w:rPr>
          <w:sz w:val="28"/>
          <w:szCs w:val="28"/>
        </w:rPr>
        <w:fldChar w:fldCharType="begin"/>
      </w:r>
      <w:r>
        <w:rPr>
          <w:sz w:val="28"/>
          <w:szCs w:val="28"/>
        </w:rPr>
        <w:instrText xml:space="preserve"> HYPERLINK \l "_Toc1575293" </w:instrText>
      </w:r>
      <w:r>
        <w:rPr>
          <w:sz w:val="28"/>
          <w:szCs w:val="28"/>
        </w:rPr>
        <w:fldChar w:fldCharType="separate"/>
      </w:r>
      <w:r>
        <w:rPr>
          <w:rStyle w:val="45"/>
          <w:rFonts w:hint="eastAsia" w:ascii="宋体" w:hAnsi="宋体"/>
          <w:sz w:val="28"/>
          <w:szCs w:val="28"/>
        </w:rPr>
        <w:t>第一部分磋商邀请</w:t>
      </w:r>
      <w:r>
        <w:rPr>
          <w:sz w:val="28"/>
          <w:szCs w:val="28"/>
        </w:rPr>
        <w:tab/>
      </w:r>
      <w:r>
        <w:rPr>
          <w:sz w:val="28"/>
          <w:szCs w:val="28"/>
        </w:rPr>
        <w:fldChar w:fldCharType="begin"/>
      </w:r>
      <w:r>
        <w:rPr>
          <w:sz w:val="28"/>
          <w:szCs w:val="28"/>
        </w:rPr>
        <w:instrText xml:space="preserve"> PAGEREF _Toc1575293 \h </w:instrText>
      </w:r>
      <w:r>
        <w:rPr>
          <w:sz w:val="28"/>
          <w:szCs w:val="28"/>
        </w:rPr>
        <w:fldChar w:fldCharType="separate"/>
      </w:r>
      <w:r>
        <w:rPr>
          <w:sz w:val="28"/>
          <w:szCs w:val="28"/>
        </w:rPr>
        <w:t>2</w:t>
      </w:r>
      <w:r>
        <w:rPr>
          <w:sz w:val="28"/>
          <w:szCs w:val="28"/>
        </w:rPr>
        <w:fldChar w:fldCharType="end"/>
      </w:r>
      <w:r>
        <w:rPr>
          <w:sz w:val="28"/>
          <w:szCs w:val="28"/>
        </w:rPr>
        <w:fldChar w:fldCharType="end"/>
      </w:r>
    </w:p>
    <w:p w14:paraId="28E47F74">
      <w:pPr>
        <w:pStyle w:val="23"/>
        <w:spacing w:line="600" w:lineRule="auto"/>
        <w:jc w:val="center"/>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"_Toc1575294" </w:instrText>
      </w:r>
      <w:r>
        <w:rPr>
          <w:sz w:val="28"/>
          <w:szCs w:val="28"/>
        </w:rPr>
        <w:fldChar w:fldCharType="separate"/>
      </w:r>
      <w:r>
        <w:rPr>
          <w:rStyle w:val="45"/>
          <w:rFonts w:hint="eastAsia" w:ascii="宋体" w:hAnsi="宋体"/>
          <w:sz w:val="28"/>
          <w:szCs w:val="28"/>
        </w:rPr>
        <w:t>第二部分磋商供应商须知前附表</w:t>
      </w:r>
      <w:r>
        <w:rPr>
          <w:sz w:val="28"/>
          <w:szCs w:val="28"/>
        </w:rPr>
        <w:tab/>
      </w:r>
      <w:r>
        <w:rPr>
          <w:sz w:val="28"/>
          <w:szCs w:val="28"/>
        </w:rPr>
        <w:fldChar w:fldCharType="begin"/>
      </w:r>
      <w:r>
        <w:rPr>
          <w:sz w:val="28"/>
          <w:szCs w:val="28"/>
        </w:rPr>
        <w:instrText xml:space="preserve"> PAGEREF _Toc1575294 \h </w:instrText>
      </w:r>
      <w:r>
        <w:rPr>
          <w:sz w:val="28"/>
          <w:szCs w:val="28"/>
        </w:rPr>
        <w:fldChar w:fldCharType="separate"/>
      </w:r>
      <w:r>
        <w:rPr>
          <w:sz w:val="28"/>
          <w:szCs w:val="28"/>
        </w:rPr>
        <w:t>6</w:t>
      </w:r>
      <w:r>
        <w:rPr>
          <w:sz w:val="28"/>
          <w:szCs w:val="28"/>
        </w:rPr>
        <w:fldChar w:fldCharType="end"/>
      </w:r>
      <w:r>
        <w:rPr>
          <w:sz w:val="28"/>
          <w:szCs w:val="28"/>
        </w:rPr>
        <w:fldChar w:fldCharType="end"/>
      </w:r>
    </w:p>
    <w:p w14:paraId="50B4BF1A">
      <w:pPr>
        <w:pStyle w:val="23"/>
        <w:spacing w:line="600" w:lineRule="auto"/>
        <w:jc w:val="center"/>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"_Toc1575295" </w:instrText>
      </w:r>
      <w:r>
        <w:rPr>
          <w:sz w:val="28"/>
          <w:szCs w:val="28"/>
        </w:rPr>
        <w:fldChar w:fldCharType="separate"/>
      </w:r>
      <w:r>
        <w:rPr>
          <w:rStyle w:val="45"/>
          <w:rFonts w:hint="eastAsia" w:ascii="宋体" w:hAnsi="宋体"/>
          <w:sz w:val="28"/>
          <w:szCs w:val="28"/>
        </w:rPr>
        <w:t>第三部分磋商供应商须知</w:t>
      </w:r>
      <w:r>
        <w:rPr>
          <w:sz w:val="28"/>
          <w:szCs w:val="28"/>
        </w:rPr>
        <w:tab/>
      </w:r>
      <w:r>
        <w:rPr>
          <w:sz w:val="28"/>
          <w:szCs w:val="28"/>
        </w:rPr>
        <w:fldChar w:fldCharType="begin"/>
      </w:r>
      <w:r>
        <w:rPr>
          <w:sz w:val="28"/>
          <w:szCs w:val="28"/>
        </w:rPr>
        <w:instrText xml:space="preserve"> PAGEREF _Toc1575295 \h </w:instrText>
      </w:r>
      <w:r>
        <w:rPr>
          <w:sz w:val="28"/>
          <w:szCs w:val="28"/>
        </w:rPr>
        <w:fldChar w:fldCharType="separate"/>
      </w:r>
      <w:r>
        <w:rPr>
          <w:sz w:val="28"/>
          <w:szCs w:val="28"/>
        </w:rPr>
        <w:t>9</w:t>
      </w:r>
      <w:r>
        <w:rPr>
          <w:sz w:val="28"/>
          <w:szCs w:val="28"/>
        </w:rPr>
        <w:fldChar w:fldCharType="end"/>
      </w:r>
      <w:r>
        <w:rPr>
          <w:sz w:val="28"/>
          <w:szCs w:val="28"/>
        </w:rPr>
        <w:fldChar w:fldCharType="end"/>
      </w:r>
    </w:p>
    <w:p w14:paraId="5D9EB2DC">
      <w:pPr>
        <w:pStyle w:val="23"/>
        <w:spacing w:line="600" w:lineRule="auto"/>
        <w:jc w:val="center"/>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"_Toc1575330" </w:instrText>
      </w:r>
      <w:r>
        <w:rPr>
          <w:sz w:val="28"/>
          <w:szCs w:val="28"/>
        </w:rPr>
        <w:fldChar w:fldCharType="separate"/>
      </w:r>
      <w:r>
        <w:rPr>
          <w:rStyle w:val="45"/>
          <w:rFonts w:hint="eastAsia" w:ascii="宋体" w:hAnsi="宋体"/>
          <w:sz w:val="28"/>
          <w:szCs w:val="28"/>
        </w:rPr>
        <w:t>第四部分青海省政府采购合同文本样式</w:t>
      </w:r>
      <w:r>
        <w:rPr>
          <w:sz w:val="28"/>
          <w:szCs w:val="28"/>
        </w:rPr>
        <w:tab/>
      </w:r>
      <w:r>
        <w:rPr>
          <w:sz w:val="28"/>
          <w:szCs w:val="28"/>
        </w:rPr>
        <w:fldChar w:fldCharType="begin"/>
      </w:r>
      <w:r>
        <w:rPr>
          <w:sz w:val="28"/>
          <w:szCs w:val="28"/>
        </w:rPr>
        <w:instrText xml:space="preserve"> PAGEREF _Toc1575330 \h </w:instrText>
      </w:r>
      <w:r>
        <w:rPr>
          <w:sz w:val="28"/>
          <w:szCs w:val="28"/>
        </w:rPr>
        <w:fldChar w:fldCharType="separate"/>
      </w:r>
      <w:r>
        <w:rPr>
          <w:sz w:val="28"/>
          <w:szCs w:val="28"/>
        </w:rPr>
        <w:t>24</w:t>
      </w:r>
      <w:r>
        <w:rPr>
          <w:sz w:val="28"/>
          <w:szCs w:val="28"/>
        </w:rPr>
        <w:fldChar w:fldCharType="end"/>
      </w:r>
      <w:r>
        <w:rPr>
          <w:sz w:val="28"/>
          <w:szCs w:val="28"/>
        </w:rPr>
        <w:fldChar w:fldCharType="end"/>
      </w:r>
    </w:p>
    <w:p w14:paraId="1AFDC341">
      <w:pPr>
        <w:pStyle w:val="23"/>
        <w:spacing w:line="600" w:lineRule="auto"/>
        <w:jc w:val="center"/>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"_Toc1575331" </w:instrText>
      </w:r>
      <w:r>
        <w:rPr>
          <w:sz w:val="28"/>
          <w:szCs w:val="28"/>
        </w:rPr>
        <w:fldChar w:fldCharType="separate"/>
      </w:r>
      <w:r>
        <w:rPr>
          <w:rStyle w:val="45"/>
          <w:rFonts w:hint="eastAsia" w:ascii="宋体" w:hAnsi="宋体"/>
          <w:sz w:val="28"/>
          <w:szCs w:val="28"/>
        </w:rPr>
        <w:t>第五部分磋商响应文件格式</w:t>
      </w:r>
      <w:r>
        <w:rPr>
          <w:sz w:val="28"/>
          <w:szCs w:val="28"/>
        </w:rPr>
        <w:tab/>
      </w:r>
      <w:r>
        <w:rPr>
          <w:sz w:val="28"/>
          <w:szCs w:val="28"/>
        </w:rPr>
        <w:fldChar w:fldCharType="begin"/>
      </w:r>
      <w:r>
        <w:rPr>
          <w:sz w:val="28"/>
          <w:szCs w:val="28"/>
        </w:rPr>
        <w:instrText xml:space="preserve"> PAGEREF _Toc1575331 \h </w:instrText>
      </w:r>
      <w:r>
        <w:rPr>
          <w:sz w:val="28"/>
          <w:szCs w:val="28"/>
        </w:rPr>
        <w:fldChar w:fldCharType="separate"/>
      </w:r>
      <w:r>
        <w:rPr>
          <w:sz w:val="28"/>
          <w:szCs w:val="28"/>
        </w:rPr>
        <w:t>36</w:t>
      </w:r>
      <w:r>
        <w:rPr>
          <w:sz w:val="28"/>
          <w:szCs w:val="28"/>
        </w:rPr>
        <w:fldChar w:fldCharType="end"/>
      </w:r>
      <w:r>
        <w:rPr>
          <w:sz w:val="28"/>
          <w:szCs w:val="28"/>
        </w:rPr>
        <w:fldChar w:fldCharType="end"/>
      </w:r>
    </w:p>
    <w:p w14:paraId="234305FD">
      <w:pPr>
        <w:pStyle w:val="23"/>
        <w:spacing w:line="600" w:lineRule="auto"/>
        <w:jc w:val="center"/>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"_Toc1575356" </w:instrText>
      </w:r>
      <w:r>
        <w:rPr>
          <w:sz w:val="28"/>
          <w:szCs w:val="28"/>
        </w:rPr>
        <w:fldChar w:fldCharType="separate"/>
      </w:r>
      <w:r>
        <w:rPr>
          <w:rStyle w:val="45"/>
          <w:rFonts w:hint="eastAsia" w:ascii="宋体" w:hAnsi="宋体"/>
          <w:sz w:val="28"/>
          <w:szCs w:val="28"/>
        </w:rPr>
        <w:t>第六部分采购项目要求及技术参数</w:t>
      </w:r>
      <w:r>
        <w:rPr>
          <w:sz w:val="28"/>
          <w:szCs w:val="28"/>
        </w:rPr>
        <w:tab/>
      </w:r>
      <w:r>
        <w:rPr>
          <w:sz w:val="28"/>
          <w:szCs w:val="28"/>
        </w:rPr>
        <w:fldChar w:fldCharType="begin"/>
      </w:r>
      <w:r>
        <w:rPr>
          <w:sz w:val="28"/>
          <w:szCs w:val="28"/>
        </w:rPr>
        <w:instrText xml:space="preserve"> PAGEREF _Toc1575356 \h </w:instrText>
      </w:r>
      <w:r>
        <w:rPr>
          <w:sz w:val="28"/>
          <w:szCs w:val="28"/>
        </w:rPr>
        <w:fldChar w:fldCharType="separate"/>
      </w:r>
      <w:r>
        <w:rPr>
          <w:sz w:val="28"/>
          <w:szCs w:val="28"/>
        </w:rPr>
        <w:t>61</w:t>
      </w:r>
      <w:r>
        <w:rPr>
          <w:sz w:val="28"/>
          <w:szCs w:val="28"/>
        </w:rPr>
        <w:fldChar w:fldCharType="end"/>
      </w:r>
      <w:r>
        <w:rPr>
          <w:sz w:val="28"/>
          <w:szCs w:val="28"/>
        </w:rPr>
        <w:fldChar w:fldCharType="end"/>
      </w:r>
    </w:p>
    <w:p w14:paraId="732019B3">
      <w:pPr>
        <w:pStyle w:val="23"/>
        <w:jc w:val="center"/>
        <w:rPr>
          <w:rFonts w:asciiTheme="minorHAnsi" w:hAnsiTheme="minorHAnsi" w:eastAsiaTheme="minorEastAsia" w:cstheme="minorBidi"/>
          <w:szCs w:val="22"/>
        </w:rPr>
      </w:pPr>
    </w:p>
    <w:p w14:paraId="78C3AEDE">
      <w:pPr>
        <w:pStyle w:val="23"/>
        <w:spacing w:line="360" w:lineRule="auto"/>
        <w:jc w:val="both"/>
        <w:rPr>
          <w:rFonts w:ascii="宋体" w:hAnsi="宋体"/>
          <w:bCs/>
          <w:sz w:val="24"/>
        </w:rPr>
      </w:pPr>
      <w:r>
        <w:rPr>
          <w:rFonts w:ascii="宋体" w:hAnsi="宋体"/>
          <w:bCs/>
          <w:sz w:val="24"/>
        </w:rPr>
        <w:fldChar w:fldCharType="end"/>
      </w:r>
    </w:p>
    <w:p w14:paraId="0BA50832">
      <w:pPr>
        <w:pStyle w:val="24"/>
        <w:spacing w:before="0" w:after="0" w:line="360" w:lineRule="auto"/>
        <w:rPr>
          <w:rFonts w:ascii="宋体" w:hAnsi="宋体"/>
          <w:sz w:val="48"/>
        </w:rPr>
      </w:pPr>
      <w:bookmarkStart w:id="1" w:name="_Toc1575293"/>
      <w:bookmarkStart w:id="2" w:name="_Toc444715732"/>
      <w:bookmarkStart w:id="3" w:name="_Hlk503427406"/>
    </w:p>
    <w:p w14:paraId="7BCEBE63">
      <w:pPr>
        <w:pStyle w:val="24"/>
        <w:spacing w:before="0" w:after="0" w:line="360" w:lineRule="auto"/>
        <w:rPr>
          <w:rFonts w:hint="eastAsia" w:ascii="宋体" w:hAnsi="宋体"/>
          <w:sz w:val="48"/>
        </w:rPr>
      </w:pPr>
    </w:p>
    <w:p w14:paraId="691E1AB3">
      <w:pPr>
        <w:pStyle w:val="24"/>
        <w:spacing w:before="0" w:after="0" w:line="360" w:lineRule="auto"/>
        <w:rPr>
          <w:rFonts w:hint="eastAsia" w:ascii="宋体" w:hAnsi="宋体"/>
          <w:sz w:val="48"/>
        </w:rPr>
      </w:pPr>
    </w:p>
    <w:p w14:paraId="05753C72">
      <w:pPr>
        <w:pStyle w:val="24"/>
        <w:spacing w:before="0" w:after="0" w:line="360" w:lineRule="auto"/>
        <w:rPr>
          <w:rFonts w:hint="eastAsia" w:ascii="宋体" w:hAnsi="宋体"/>
          <w:sz w:val="48"/>
        </w:rPr>
      </w:pPr>
    </w:p>
    <w:p w14:paraId="5748D4D1">
      <w:pPr>
        <w:pStyle w:val="24"/>
        <w:spacing w:before="0" w:after="0" w:line="360" w:lineRule="auto"/>
        <w:rPr>
          <w:rFonts w:hint="eastAsia" w:ascii="宋体" w:hAnsi="宋体"/>
          <w:sz w:val="48"/>
        </w:rPr>
      </w:pPr>
    </w:p>
    <w:p w14:paraId="73FCA6DD">
      <w:pPr>
        <w:pStyle w:val="24"/>
        <w:spacing w:before="0" w:after="0" w:line="360" w:lineRule="auto"/>
        <w:rPr>
          <w:rFonts w:hint="eastAsia" w:ascii="宋体" w:hAnsi="宋体"/>
          <w:sz w:val="48"/>
        </w:rPr>
      </w:pPr>
    </w:p>
    <w:p w14:paraId="06372FF4">
      <w:pPr>
        <w:pStyle w:val="24"/>
        <w:spacing w:before="0" w:after="0" w:line="360" w:lineRule="auto"/>
        <w:rPr>
          <w:rFonts w:hint="eastAsia" w:ascii="宋体" w:hAnsi="宋体"/>
          <w:sz w:val="48"/>
        </w:rPr>
      </w:pPr>
    </w:p>
    <w:p w14:paraId="23011CCC">
      <w:pPr>
        <w:pStyle w:val="24"/>
        <w:spacing w:before="0" w:after="0" w:line="360" w:lineRule="auto"/>
        <w:rPr>
          <w:rFonts w:hint="eastAsia" w:ascii="宋体" w:hAnsi="宋体"/>
          <w:sz w:val="36"/>
          <w:szCs w:val="22"/>
        </w:rPr>
        <w:sectPr>
          <w:headerReference r:id="rId4" w:type="first"/>
          <w:headerReference r:id="rId3" w:type="default"/>
          <w:pgSz w:w="11906" w:h="16838"/>
          <w:pgMar w:top="1440" w:right="1077" w:bottom="1440" w:left="1077" w:header="851" w:footer="992" w:gutter="0"/>
          <w:pgNumType w:start="0"/>
          <w:cols w:space="720" w:num="1"/>
          <w:titlePg/>
          <w:docGrid w:linePitch="312" w:charSpace="0"/>
        </w:sectPr>
      </w:pPr>
    </w:p>
    <w:p w14:paraId="7909051C">
      <w:pPr>
        <w:pStyle w:val="24"/>
        <w:spacing w:before="0" w:after="0" w:line="360" w:lineRule="auto"/>
        <w:rPr>
          <w:rFonts w:ascii="宋体" w:hAnsi="宋体"/>
          <w:sz w:val="36"/>
          <w:szCs w:val="22"/>
        </w:rPr>
      </w:pPr>
      <w:r>
        <w:rPr>
          <w:rFonts w:hint="eastAsia" w:ascii="宋体" w:hAnsi="宋体"/>
          <w:sz w:val="36"/>
          <w:szCs w:val="22"/>
        </w:rPr>
        <w:t>第一部分磋商邀请</w:t>
      </w:r>
      <w:bookmarkEnd w:id="1"/>
      <w:bookmarkEnd w:id="2"/>
    </w:p>
    <w:p w14:paraId="6BB2135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color w:val="auto"/>
          <w:sz w:val="32"/>
          <w:szCs w:val="32"/>
        </w:rPr>
      </w:pPr>
      <w:bookmarkStart w:id="4" w:name="_Hlk503427571"/>
      <w:r>
        <w:rPr>
          <w:rFonts w:hint="eastAsia" w:ascii="宋体" w:hAnsi="宋体" w:cs="宋体"/>
          <w:b/>
          <w:color w:val="auto"/>
          <w:sz w:val="32"/>
          <w:szCs w:val="32"/>
          <w:lang w:val="zh-CN"/>
        </w:rPr>
        <w:t>2025年西宁市湟中区职业教育中心“双优计划”“建设”（数字智慧校园建设）项目</w:t>
      </w:r>
      <w:r>
        <w:rPr>
          <w:rFonts w:hint="eastAsia" w:ascii="宋体" w:hAnsi="宋体" w:cs="宋体"/>
          <w:b/>
          <w:color w:val="auto"/>
          <w:sz w:val="32"/>
          <w:szCs w:val="32"/>
        </w:rPr>
        <w:t>竞争性磋商公告</w:t>
      </w:r>
    </w:p>
    <w:p w14:paraId="16C89BF5">
      <w:pPr>
        <w:pStyle w:val="32"/>
        <w:rPr>
          <w:rFonts w:hint="eastAsia"/>
        </w:rPr>
      </w:pPr>
    </w:p>
    <w:p w14:paraId="1D40E5C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cs="宋体"/>
          <w:b/>
          <w:bCs/>
          <w:color w:val="auto"/>
          <w:sz w:val="24"/>
        </w:rPr>
      </w:pPr>
      <w:r>
        <w:rPr>
          <w:rFonts w:hint="eastAsia" w:ascii="宋体" w:hAnsi="宋体" w:cs="宋体"/>
          <w:b/>
          <w:bCs/>
          <w:color w:val="auto"/>
          <w:sz w:val="24"/>
        </w:rPr>
        <w:t>项目概况</w:t>
      </w:r>
    </w:p>
    <w:p w14:paraId="3CF6171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u w:val="single"/>
          <w:lang w:val="zh-CN"/>
        </w:rPr>
        <w:t>（</w:t>
      </w:r>
      <w:r>
        <w:rPr>
          <w:rFonts w:hint="eastAsia" w:ascii="宋体" w:hAnsi="宋体" w:cs="宋体"/>
          <w:color w:val="auto"/>
          <w:sz w:val="24"/>
          <w:u w:val="single"/>
          <w:lang w:val="zh-CN" w:eastAsia="zh-CN"/>
        </w:rPr>
        <w:t>2025年西宁市湟中区职业教育中心“双优计划”“建设”（数字智慧校园建设）项目</w:t>
      </w:r>
      <w:r>
        <w:rPr>
          <w:rFonts w:hint="eastAsia" w:ascii="宋体" w:hAnsi="宋体" w:cs="宋体"/>
          <w:color w:val="auto"/>
          <w:sz w:val="24"/>
          <w:u w:val="single"/>
          <w:lang w:val="zh-CN"/>
        </w:rPr>
        <w:t>）</w:t>
      </w:r>
      <w:r>
        <w:rPr>
          <w:rFonts w:hint="eastAsia" w:ascii="宋体" w:hAnsi="宋体" w:cs="宋体"/>
          <w:color w:val="auto"/>
          <w:sz w:val="24"/>
        </w:rPr>
        <w:t>采购项目的潜在供应商应在线上获取通过政采云平台（www.zcygov.cn）获取采购文件，并于</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04</w:t>
      </w:r>
      <w:r>
        <w:rPr>
          <w:rFonts w:hint="eastAsia" w:ascii="宋体" w:hAnsi="宋体" w:cs="宋体"/>
          <w:color w:val="auto"/>
          <w:sz w:val="24"/>
          <w:highlight w:val="none"/>
          <w:lang w:eastAsia="zh-CN"/>
        </w:rPr>
        <w:t>日上午09时00分（北京时间）</w:t>
      </w:r>
      <w:r>
        <w:rPr>
          <w:rFonts w:hint="eastAsia" w:ascii="宋体" w:hAnsi="宋体" w:cs="宋体"/>
          <w:color w:val="auto"/>
          <w:sz w:val="24"/>
          <w:highlight w:val="none"/>
        </w:rPr>
        <w:t>前递交响应文件。</w:t>
      </w:r>
    </w:p>
    <w:p w14:paraId="65F427A3">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highlight w:val="none"/>
        </w:rPr>
      </w:pPr>
      <w:bookmarkStart w:id="5" w:name="_Toc6352"/>
      <w:bookmarkStart w:id="6" w:name="_Toc35393621"/>
      <w:bookmarkStart w:id="7" w:name="_Toc28359002"/>
      <w:bookmarkStart w:id="8" w:name="_Toc4576"/>
      <w:bookmarkStart w:id="9" w:name="_Toc8609"/>
      <w:bookmarkStart w:id="10" w:name="_Toc22251"/>
      <w:bookmarkStart w:id="11" w:name="_Toc35393790"/>
      <w:bookmarkStart w:id="12" w:name="_Toc27050"/>
      <w:bookmarkStart w:id="13" w:name="_Toc28359079"/>
      <w:bookmarkStart w:id="14" w:name="_Hlk24379207"/>
      <w:r>
        <w:rPr>
          <w:rFonts w:hint="eastAsia" w:ascii="宋体" w:hAnsi="宋体" w:cs="宋体"/>
          <w:b/>
          <w:bCs/>
          <w:color w:val="auto"/>
          <w:sz w:val="24"/>
          <w:highlight w:val="none"/>
        </w:rPr>
        <w:t>一、项目基本情况</w:t>
      </w:r>
      <w:bookmarkEnd w:id="5"/>
      <w:bookmarkEnd w:id="6"/>
      <w:bookmarkEnd w:id="7"/>
      <w:bookmarkEnd w:id="8"/>
      <w:bookmarkEnd w:id="9"/>
      <w:bookmarkEnd w:id="10"/>
      <w:bookmarkEnd w:id="11"/>
      <w:bookmarkEnd w:id="12"/>
      <w:bookmarkEnd w:id="13"/>
    </w:p>
    <w:p w14:paraId="4DCD7EE0">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default" w:ascii="宋体" w:hAnsi="宋体" w:cs="宋体"/>
          <w:b w:val="0"/>
          <w:bCs w:val="0"/>
          <w:color w:val="auto"/>
          <w:sz w:val="24"/>
          <w:highlight w:val="none"/>
          <w:lang w:val="en-US" w:eastAsia="zh-CN"/>
        </w:rPr>
      </w:pPr>
      <w:r>
        <w:rPr>
          <w:rFonts w:hint="eastAsia" w:ascii="宋体" w:hAnsi="宋体" w:cs="宋体"/>
          <w:b/>
          <w:bCs/>
          <w:color w:val="auto"/>
          <w:sz w:val="24"/>
          <w:highlight w:val="none"/>
        </w:rPr>
        <w:t>项目编号：</w:t>
      </w:r>
      <w:r>
        <w:rPr>
          <w:rFonts w:hint="eastAsia" w:ascii="宋体" w:hAnsi="宋体" w:cs="宋体"/>
          <w:b w:val="0"/>
          <w:bCs w:val="0"/>
          <w:color w:val="auto"/>
          <w:sz w:val="24"/>
          <w:highlight w:val="none"/>
          <w:lang w:eastAsia="zh-CN"/>
        </w:rPr>
        <w:t>青海丰研竞磋（货物）2025-00</w:t>
      </w:r>
      <w:r>
        <w:rPr>
          <w:rFonts w:hint="eastAsia" w:ascii="宋体" w:hAnsi="宋体" w:cs="宋体"/>
          <w:b w:val="0"/>
          <w:bCs w:val="0"/>
          <w:color w:val="auto"/>
          <w:sz w:val="24"/>
          <w:highlight w:val="none"/>
          <w:lang w:val="en-US" w:eastAsia="zh-CN"/>
        </w:rPr>
        <w:t>7号</w:t>
      </w:r>
    </w:p>
    <w:p w14:paraId="18BAB1B5">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cs="宋体"/>
          <w:color w:val="auto"/>
          <w:sz w:val="24"/>
          <w:highlight w:val="none"/>
          <w:u w:val="none"/>
          <w:lang w:val="zh-CN"/>
        </w:rPr>
      </w:pPr>
      <w:r>
        <w:rPr>
          <w:rFonts w:hint="eastAsia" w:ascii="宋体" w:hAnsi="宋体" w:cs="宋体"/>
          <w:b/>
          <w:bCs/>
          <w:color w:val="auto"/>
          <w:sz w:val="24"/>
          <w:highlight w:val="none"/>
          <w:u w:val="none"/>
        </w:rPr>
        <w:t>项目名称：</w:t>
      </w:r>
      <w:r>
        <w:rPr>
          <w:rFonts w:hint="eastAsia" w:ascii="宋体" w:hAnsi="宋体" w:cs="宋体"/>
          <w:color w:val="auto"/>
          <w:sz w:val="24"/>
          <w:highlight w:val="none"/>
          <w:u w:val="none"/>
          <w:lang w:val="zh-CN"/>
        </w:rPr>
        <w:t>2025年西宁市湟中区职业教育中心“双优计划”“建设”（数字智慧校园建设）项目</w:t>
      </w:r>
    </w:p>
    <w:p w14:paraId="15AEA2D4">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cs="宋体"/>
          <w:color w:val="auto"/>
          <w:sz w:val="24"/>
          <w:szCs w:val="24"/>
          <w:highlight w:val="none"/>
          <w:u w:val="none"/>
        </w:rPr>
      </w:pPr>
      <w:r>
        <w:rPr>
          <w:rFonts w:hint="eastAsia" w:ascii="宋体" w:hAnsi="宋体" w:cs="宋体"/>
          <w:b/>
          <w:bCs/>
          <w:color w:val="auto"/>
          <w:sz w:val="24"/>
          <w:szCs w:val="24"/>
          <w:highlight w:val="none"/>
          <w:u w:val="none"/>
        </w:rPr>
        <w:t>采购方式：</w:t>
      </w:r>
      <w:r>
        <w:rPr>
          <w:rFonts w:hint="eastAsia" w:ascii="宋体" w:hAnsi="宋体" w:cs="宋体"/>
          <w:color w:val="auto"/>
          <w:sz w:val="24"/>
          <w:szCs w:val="24"/>
          <w:highlight w:val="none"/>
          <w:u w:val="none"/>
        </w:rPr>
        <w:t>竞争性磋商</w:t>
      </w:r>
    </w:p>
    <w:bookmarkEnd w:id="14"/>
    <w:p w14:paraId="54433BF7">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cs="宋体"/>
          <w:color w:val="auto"/>
          <w:sz w:val="24"/>
          <w:highlight w:val="none"/>
          <w:u w:val="none"/>
          <w:lang w:val="en-US"/>
        </w:rPr>
      </w:pPr>
      <w:r>
        <w:rPr>
          <w:rFonts w:hint="eastAsia" w:ascii="宋体" w:hAnsi="宋体" w:cs="宋体"/>
          <w:b/>
          <w:bCs/>
          <w:color w:val="auto"/>
          <w:sz w:val="24"/>
          <w:highlight w:val="none"/>
          <w:u w:val="none"/>
        </w:rPr>
        <w:t>预算金额：</w:t>
      </w:r>
      <w:r>
        <w:rPr>
          <w:rFonts w:hint="eastAsia" w:ascii="宋体" w:hAnsi="宋体" w:cs="宋体"/>
          <w:color w:val="auto"/>
          <w:sz w:val="24"/>
          <w:highlight w:val="none"/>
          <w:u w:val="none"/>
          <w:lang w:val="en-US" w:eastAsia="zh-CN"/>
        </w:rPr>
        <w:t>2360000.00元</w:t>
      </w:r>
    </w:p>
    <w:p w14:paraId="6A779FBE">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rPr>
      </w:pPr>
      <w:r>
        <w:rPr>
          <w:rFonts w:hint="eastAsia" w:ascii="宋体" w:hAnsi="宋体" w:cs="宋体"/>
          <w:b/>
          <w:bCs/>
          <w:color w:val="auto"/>
          <w:sz w:val="24"/>
        </w:rPr>
        <w:t>最高限价（如有）：</w:t>
      </w:r>
      <w:r>
        <w:rPr>
          <w:rFonts w:hint="eastAsia" w:ascii="宋体" w:hAnsi="宋体" w:cs="宋体"/>
          <w:color w:val="auto"/>
          <w:sz w:val="24"/>
          <w:u w:val="none"/>
        </w:rPr>
        <w:t>/</w:t>
      </w:r>
    </w:p>
    <w:p w14:paraId="0605DD2A">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cs="宋体"/>
          <w:color w:val="auto"/>
          <w:sz w:val="24"/>
          <w:highlight w:val="yellow"/>
          <w:u w:val="none"/>
          <w:lang w:val="en-US" w:eastAsia="zh-CN"/>
        </w:rPr>
      </w:pPr>
      <w:r>
        <w:rPr>
          <w:rFonts w:hint="eastAsia" w:ascii="宋体" w:hAnsi="宋体" w:cs="宋体"/>
          <w:b/>
          <w:bCs/>
          <w:color w:val="auto"/>
          <w:sz w:val="24"/>
          <w:highlight w:val="none"/>
        </w:rPr>
        <w:t>合同</w:t>
      </w:r>
      <w:r>
        <w:rPr>
          <w:rFonts w:hint="eastAsia" w:ascii="宋体" w:hAnsi="宋体" w:cs="宋体"/>
          <w:b/>
          <w:bCs/>
          <w:color w:val="auto"/>
          <w:sz w:val="24"/>
          <w:highlight w:val="none"/>
          <w:lang w:val="en-US" w:eastAsia="zh-CN"/>
        </w:rPr>
        <w:t>履约</w:t>
      </w:r>
      <w:r>
        <w:rPr>
          <w:rFonts w:hint="eastAsia" w:ascii="宋体" w:hAnsi="宋体" w:cs="宋体"/>
          <w:b/>
          <w:bCs/>
          <w:color w:val="auto"/>
          <w:sz w:val="24"/>
          <w:highlight w:val="none"/>
        </w:rPr>
        <w:t>期限</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自合同签订之日起30个日历日</w:t>
      </w:r>
      <w:r>
        <w:rPr>
          <w:rFonts w:hint="eastAsia" w:ascii="宋体" w:hAnsi="宋体" w:cs="宋体"/>
          <w:b w:val="0"/>
          <w:bCs w:val="0"/>
          <w:color w:val="auto"/>
          <w:sz w:val="24"/>
          <w:highlight w:val="none"/>
          <w:u w:val="none"/>
          <w:lang w:val="en-US" w:eastAsia="zh-CN"/>
        </w:rPr>
        <w:t>。</w:t>
      </w:r>
    </w:p>
    <w:p w14:paraId="3855B44B">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color w:val="auto"/>
          <w:sz w:val="24"/>
        </w:rPr>
      </w:pPr>
      <w:r>
        <w:rPr>
          <w:rFonts w:hint="eastAsia" w:ascii="宋体" w:hAnsi="宋体" w:cs="宋体"/>
          <w:b/>
          <w:bCs/>
          <w:color w:val="auto"/>
          <w:sz w:val="24"/>
        </w:rPr>
        <w:t>本项目不接受联合体投标。</w:t>
      </w:r>
    </w:p>
    <w:p w14:paraId="5576F271">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bookmarkStart w:id="15" w:name="_Toc2854"/>
      <w:bookmarkStart w:id="16" w:name="_Toc29515"/>
      <w:bookmarkStart w:id="17" w:name="_Toc25034"/>
      <w:bookmarkStart w:id="18" w:name="_Toc31044"/>
      <w:bookmarkStart w:id="19" w:name="_Toc28359003"/>
      <w:bookmarkStart w:id="20" w:name="_Toc28359080"/>
      <w:bookmarkStart w:id="21" w:name="_Toc35393791"/>
      <w:bookmarkStart w:id="22" w:name="_Toc18625"/>
      <w:bookmarkStart w:id="23" w:name="_Toc35393622"/>
      <w:r>
        <w:rPr>
          <w:rFonts w:hint="eastAsia" w:ascii="宋体" w:hAnsi="宋体" w:cs="宋体"/>
          <w:b/>
          <w:bCs/>
          <w:color w:val="auto"/>
          <w:sz w:val="24"/>
        </w:rPr>
        <w:t>二、申请人的资格要求：</w:t>
      </w:r>
      <w:bookmarkEnd w:id="15"/>
      <w:bookmarkEnd w:id="16"/>
      <w:bookmarkEnd w:id="17"/>
      <w:bookmarkEnd w:id="18"/>
      <w:bookmarkEnd w:id="19"/>
      <w:bookmarkEnd w:id="20"/>
      <w:bookmarkEnd w:id="21"/>
      <w:bookmarkEnd w:id="22"/>
      <w:bookmarkEnd w:id="23"/>
    </w:p>
    <w:p w14:paraId="62CB4313">
      <w:pPr>
        <w:pStyle w:val="71"/>
        <w:autoSpaceDE w:val="0"/>
        <w:autoSpaceDN w:val="0"/>
        <w:adjustRightInd w:val="0"/>
        <w:spacing w:line="360" w:lineRule="auto"/>
        <w:ind w:firstLine="240" w:firstLineChars="100"/>
        <w:contextualSpacing/>
        <w:rPr>
          <w:rFonts w:ascii="宋体" w:hAnsi="Cambria" w:cs="宋体"/>
          <w:kern w:val="0"/>
          <w:sz w:val="24"/>
          <w:lang w:val="zh-CN"/>
        </w:rPr>
      </w:pPr>
      <w:bookmarkStart w:id="24" w:name="_Toc27458"/>
      <w:bookmarkStart w:id="25" w:name="_Toc35393623"/>
      <w:bookmarkStart w:id="26" w:name="_Toc28359004"/>
      <w:bookmarkStart w:id="27" w:name="_Toc10138"/>
      <w:bookmarkStart w:id="28" w:name="_Toc18348"/>
      <w:bookmarkStart w:id="29" w:name="_Toc35393792"/>
      <w:bookmarkStart w:id="30" w:name="_Toc28359081"/>
      <w:bookmarkStart w:id="31" w:name="_Toc6195"/>
      <w:bookmarkStart w:id="32" w:name="_Toc17750"/>
      <w:r>
        <w:rPr>
          <w:rFonts w:hint="eastAsia" w:ascii="宋体" w:hAnsi="Cambria" w:cs="宋体"/>
          <w:kern w:val="0"/>
          <w:sz w:val="24"/>
          <w:lang w:val="en-US" w:eastAsia="zh-CN"/>
        </w:rPr>
        <w:t>1、</w:t>
      </w:r>
      <w:r>
        <w:rPr>
          <w:rFonts w:hint="eastAsia" w:ascii="宋体" w:hAnsi="Cambria" w:cs="宋体"/>
          <w:kern w:val="0"/>
          <w:sz w:val="24"/>
          <w:lang w:val="zh-CN"/>
        </w:rPr>
        <w:t>符合《政府采购法》第22条规定，并提供下列材料：</w:t>
      </w:r>
    </w:p>
    <w:p w14:paraId="0E6E2CE1">
      <w:pPr>
        <w:pStyle w:val="71"/>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1）供应商的营业执照等证明文件，自然人的身份证明。</w:t>
      </w:r>
    </w:p>
    <w:p w14:paraId="45EFDA4B">
      <w:pPr>
        <w:pStyle w:val="71"/>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2）财务状况报告，依法缴纳税收和社会保障资金的相关材料。</w:t>
      </w:r>
    </w:p>
    <w:p w14:paraId="08DDD03A">
      <w:pPr>
        <w:pStyle w:val="71"/>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3）具备履行合同所必需的设备和专业技术能力的证明材料。</w:t>
      </w:r>
    </w:p>
    <w:p w14:paraId="5BCCA440">
      <w:pPr>
        <w:pStyle w:val="71"/>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4）参加政府采购活动前3年内在经营活动中没有重大违法记录的书面声明。</w:t>
      </w:r>
    </w:p>
    <w:p w14:paraId="4F8CE7DE">
      <w:pPr>
        <w:pStyle w:val="71"/>
        <w:autoSpaceDE w:val="0"/>
        <w:autoSpaceDN w:val="0"/>
        <w:adjustRightInd w:val="0"/>
        <w:spacing w:line="360" w:lineRule="auto"/>
        <w:ind w:firstLine="480" w:firstLineChars="200"/>
        <w:contextualSpacing/>
        <w:rPr>
          <w:rFonts w:hint="eastAsia" w:ascii="宋体" w:hAnsi="Cambria" w:cs="宋体"/>
          <w:kern w:val="0"/>
          <w:sz w:val="24"/>
          <w:lang w:val="zh-CN"/>
        </w:rPr>
      </w:pPr>
      <w:r>
        <w:rPr>
          <w:rFonts w:hint="eastAsia" w:ascii="宋体" w:hAnsi="Cambria" w:cs="宋体"/>
          <w:kern w:val="0"/>
          <w:sz w:val="24"/>
          <w:lang w:val="zh-CN"/>
        </w:rPr>
        <w:t>5）具备法律、行政法规规定的其他条件的证明材料。</w:t>
      </w:r>
    </w:p>
    <w:p w14:paraId="2B8B2B41">
      <w:pPr>
        <w:pStyle w:val="71"/>
        <w:autoSpaceDE w:val="0"/>
        <w:autoSpaceDN w:val="0"/>
        <w:adjustRightInd w:val="0"/>
        <w:spacing w:line="360" w:lineRule="auto"/>
        <w:ind w:left="0" w:leftChars="0" w:firstLine="240" w:firstLineChars="100"/>
        <w:contextualSpacing/>
        <w:rPr>
          <w:rFonts w:hint="eastAsia" w:ascii="宋体" w:hAnsi="Cambria" w:eastAsia="宋体" w:cs="宋体"/>
          <w:kern w:val="0"/>
          <w:sz w:val="24"/>
          <w:lang w:val="en-US" w:eastAsia="zh-CN"/>
        </w:rPr>
      </w:pPr>
      <w:r>
        <w:rPr>
          <w:rFonts w:hint="eastAsia" w:ascii="宋体" w:hAnsi="Cambria" w:cs="宋体"/>
          <w:kern w:val="0"/>
          <w:sz w:val="24"/>
          <w:lang w:val="en-US" w:eastAsia="zh-CN"/>
        </w:rPr>
        <w:t>2、落实政府采购政策需满足的资格要求：本项目专门面向中小微企业采购（监狱企业、残疾人福利性单位视同小型、微型企业）。</w:t>
      </w:r>
    </w:p>
    <w:p w14:paraId="590669B8">
      <w:pPr>
        <w:pStyle w:val="71"/>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en-US" w:eastAsia="zh-CN"/>
        </w:rPr>
        <w:t>3、</w:t>
      </w:r>
      <w:r>
        <w:rPr>
          <w:rFonts w:hint="eastAsia" w:ascii="宋体" w:hAnsi="Cambria" w:cs="宋体"/>
          <w:kern w:val="0"/>
          <w:sz w:val="24"/>
          <w:lang w:val="zh-CN"/>
        </w:rPr>
        <w:t>单位负责人为同一人或者存在直接控股、管理关系的不同供应商，不得参加同一合同项下的政府采购活动。否则，皆取消磋商资格。</w:t>
      </w:r>
    </w:p>
    <w:p w14:paraId="6B95903D">
      <w:pPr>
        <w:pStyle w:val="71"/>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en-US" w:eastAsia="zh-CN"/>
        </w:rPr>
        <w:t>4、</w:t>
      </w:r>
      <w:r>
        <w:rPr>
          <w:rFonts w:hint="eastAsia" w:ascii="宋体" w:hAnsi="Cambria" w:cs="宋体"/>
          <w:kern w:val="0"/>
          <w:sz w:val="24"/>
          <w:lang w:val="zh-CN"/>
        </w:rPr>
        <w:t>为本采购项目提供整体设计、规范编制或者项目管理、监理、检测等服务的供应商，不得再参加该采购项目的其他采购活动。</w:t>
      </w:r>
    </w:p>
    <w:p w14:paraId="1E681B17">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outlineLvl w:val="1"/>
        <w:rPr>
          <w:rFonts w:hint="eastAsia" w:ascii="宋体" w:hAnsi="Cambria" w:eastAsia="宋体" w:cs="宋体"/>
          <w:kern w:val="0"/>
          <w:sz w:val="24"/>
          <w:szCs w:val="22"/>
          <w:lang w:val="zh-CN" w:eastAsia="zh-CN" w:bidi="ar-SA"/>
        </w:rPr>
      </w:pPr>
      <w:r>
        <w:rPr>
          <w:rFonts w:hint="eastAsia" w:ascii="宋体" w:hAnsi="Cambria" w:cs="宋体"/>
          <w:kern w:val="0"/>
          <w:sz w:val="24"/>
          <w:lang w:val="en-US" w:eastAsia="zh-CN"/>
        </w:rPr>
        <w:t>5、</w:t>
      </w:r>
      <w:r>
        <w:rPr>
          <w:rFonts w:hint="eastAsia" w:ascii="宋体" w:hAnsi="Cambria" w:eastAsia="宋体" w:cs="宋体"/>
          <w:kern w:val="0"/>
          <w:sz w:val="24"/>
          <w:szCs w:val="22"/>
          <w:lang w:val="zh-CN" w:eastAsia="zh-CN" w:bidi="ar-SA"/>
        </w:rPr>
        <w:t>经信用中国（www.creditchina.gov.cn）、中国政府采购网（www.ccgp.gov.cn）渠道查询后，列入失信被执行人、重大税收违法案件当事人名单、政府采购严重违法失信行为记录名单的，取消投标资格。（提供“信用中国”、“中国政府采购网”网站查询截图，时间为投标截止时间前</w:t>
      </w:r>
      <w:r>
        <w:rPr>
          <w:rFonts w:hint="eastAsia" w:ascii="宋体" w:hAnsi="Cambria" w:cs="宋体"/>
          <w:kern w:val="0"/>
          <w:sz w:val="24"/>
          <w:szCs w:val="22"/>
          <w:lang w:val="en-US" w:eastAsia="zh-CN" w:bidi="ar-SA"/>
        </w:rPr>
        <w:t>1</w:t>
      </w:r>
      <w:r>
        <w:rPr>
          <w:rFonts w:hint="eastAsia" w:ascii="宋体" w:hAnsi="Cambria" w:eastAsia="宋体" w:cs="宋体"/>
          <w:kern w:val="0"/>
          <w:sz w:val="24"/>
          <w:szCs w:val="22"/>
          <w:lang w:val="en-US" w:eastAsia="zh-CN" w:bidi="ar-SA"/>
        </w:rPr>
        <w:t>0</w:t>
      </w:r>
      <w:r>
        <w:rPr>
          <w:rFonts w:hint="eastAsia" w:ascii="宋体" w:hAnsi="Cambria" w:eastAsia="宋体" w:cs="宋体"/>
          <w:kern w:val="0"/>
          <w:sz w:val="24"/>
          <w:szCs w:val="22"/>
          <w:lang w:val="zh-CN" w:eastAsia="zh-CN" w:bidi="ar-SA"/>
        </w:rPr>
        <w:t>天内）。</w:t>
      </w:r>
    </w:p>
    <w:p w14:paraId="76581EAF">
      <w:pPr>
        <w:pStyle w:val="71"/>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en-US" w:eastAsia="zh-CN"/>
        </w:rPr>
        <w:t>6、</w:t>
      </w:r>
      <w:r>
        <w:rPr>
          <w:rFonts w:hint="eastAsia" w:ascii="宋体" w:hAnsi="Cambria" w:cs="宋体"/>
          <w:kern w:val="0"/>
          <w:sz w:val="24"/>
          <w:lang w:val="zh-CN"/>
        </w:rPr>
        <w:t>本项目不接受以联合体方式进行投标。</w:t>
      </w:r>
    </w:p>
    <w:p w14:paraId="5DCEA18D">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r>
        <w:rPr>
          <w:rFonts w:hint="eastAsia" w:ascii="宋体" w:hAnsi="宋体" w:cs="宋体"/>
          <w:b/>
          <w:bCs/>
          <w:color w:val="auto"/>
          <w:sz w:val="24"/>
        </w:rPr>
        <w:t>三、获取采购文件</w:t>
      </w:r>
      <w:bookmarkEnd w:id="24"/>
      <w:bookmarkEnd w:id="25"/>
      <w:bookmarkEnd w:id="26"/>
      <w:bookmarkEnd w:id="27"/>
      <w:bookmarkEnd w:id="28"/>
      <w:bookmarkEnd w:id="29"/>
      <w:bookmarkEnd w:id="30"/>
      <w:bookmarkEnd w:id="31"/>
      <w:bookmarkEnd w:id="32"/>
    </w:p>
    <w:p w14:paraId="4CF277CB">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highlight w:val="none"/>
          <w:u w:val="none"/>
        </w:rPr>
      </w:pPr>
      <w:r>
        <w:rPr>
          <w:rFonts w:hint="eastAsia" w:ascii="宋体" w:hAnsi="宋体" w:cs="宋体"/>
          <w:b/>
          <w:bCs/>
          <w:color w:val="auto"/>
          <w:sz w:val="24"/>
          <w:u w:val="none"/>
        </w:rPr>
        <w:t>时间：</w:t>
      </w:r>
      <w:r>
        <w:rPr>
          <w:rFonts w:hint="eastAsia" w:ascii="宋体" w:hAnsi="宋体" w:cs="宋体"/>
          <w:b w:val="0"/>
          <w:bCs w:val="0"/>
          <w:sz w:val="24"/>
          <w:szCs w:val="24"/>
          <w:highlight w:val="none"/>
          <w:u w:val="none"/>
          <w:lang w:eastAsia="zh-CN"/>
        </w:rPr>
        <w:t>202</w:t>
      </w:r>
      <w:r>
        <w:rPr>
          <w:rFonts w:hint="eastAsia" w:ascii="宋体" w:hAnsi="宋体" w:cs="宋体"/>
          <w:b w:val="0"/>
          <w:bCs w:val="0"/>
          <w:sz w:val="24"/>
          <w:szCs w:val="24"/>
          <w:highlight w:val="none"/>
          <w:u w:val="none"/>
          <w:lang w:val="en-US" w:eastAsia="zh-CN"/>
        </w:rPr>
        <w:t>5</w:t>
      </w:r>
      <w:r>
        <w:rPr>
          <w:rFonts w:hint="eastAsia" w:ascii="宋体" w:hAnsi="宋体" w:cs="宋体"/>
          <w:b w:val="0"/>
          <w:bCs w:val="0"/>
          <w:sz w:val="24"/>
          <w:szCs w:val="24"/>
          <w:highlight w:val="none"/>
          <w:u w:val="none"/>
          <w:lang w:eastAsia="zh-CN"/>
        </w:rPr>
        <w:t>年</w:t>
      </w:r>
      <w:r>
        <w:rPr>
          <w:rFonts w:hint="eastAsia" w:ascii="宋体" w:hAnsi="宋体" w:cs="宋体"/>
          <w:b w:val="0"/>
          <w:bCs w:val="0"/>
          <w:sz w:val="24"/>
          <w:szCs w:val="24"/>
          <w:highlight w:val="none"/>
          <w:u w:val="none"/>
          <w:lang w:val="en-US" w:eastAsia="zh-CN"/>
        </w:rPr>
        <w:t>06</w:t>
      </w:r>
      <w:r>
        <w:rPr>
          <w:rFonts w:hint="eastAsia" w:ascii="宋体" w:hAnsi="宋体" w:cs="宋体"/>
          <w:b w:val="0"/>
          <w:bCs w:val="0"/>
          <w:sz w:val="24"/>
          <w:szCs w:val="24"/>
          <w:highlight w:val="none"/>
          <w:u w:val="none"/>
          <w:lang w:eastAsia="zh-CN"/>
        </w:rPr>
        <w:t>月</w:t>
      </w:r>
      <w:r>
        <w:rPr>
          <w:rFonts w:hint="eastAsia" w:ascii="宋体" w:hAnsi="宋体" w:cs="宋体"/>
          <w:b w:val="0"/>
          <w:bCs w:val="0"/>
          <w:sz w:val="24"/>
          <w:szCs w:val="24"/>
          <w:highlight w:val="none"/>
          <w:u w:val="none"/>
          <w:lang w:val="en-US" w:eastAsia="zh-CN"/>
        </w:rPr>
        <w:t>24</w:t>
      </w:r>
      <w:r>
        <w:rPr>
          <w:rFonts w:hint="eastAsia" w:ascii="宋体" w:hAnsi="宋体" w:cs="宋体"/>
          <w:b w:val="0"/>
          <w:bCs w:val="0"/>
          <w:sz w:val="24"/>
          <w:szCs w:val="24"/>
          <w:highlight w:val="none"/>
          <w:u w:val="none"/>
          <w:lang w:eastAsia="zh-CN"/>
        </w:rPr>
        <w:t>日至202</w:t>
      </w:r>
      <w:r>
        <w:rPr>
          <w:rFonts w:hint="eastAsia" w:ascii="宋体" w:hAnsi="宋体" w:cs="宋体"/>
          <w:b w:val="0"/>
          <w:bCs w:val="0"/>
          <w:sz w:val="24"/>
          <w:szCs w:val="24"/>
          <w:highlight w:val="none"/>
          <w:u w:val="none"/>
          <w:lang w:val="en-US" w:eastAsia="zh-CN"/>
        </w:rPr>
        <w:t>5</w:t>
      </w:r>
      <w:r>
        <w:rPr>
          <w:rFonts w:hint="eastAsia" w:ascii="宋体" w:hAnsi="宋体" w:cs="宋体"/>
          <w:b w:val="0"/>
          <w:bCs w:val="0"/>
          <w:sz w:val="24"/>
          <w:szCs w:val="24"/>
          <w:highlight w:val="none"/>
          <w:u w:val="none"/>
          <w:lang w:eastAsia="zh-CN"/>
        </w:rPr>
        <w:t>年</w:t>
      </w:r>
      <w:r>
        <w:rPr>
          <w:rFonts w:hint="eastAsia" w:ascii="宋体" w:hAnsi="宋体" w:cs="宋体"/>
          <w:b w:val="0"/>
          <w:bCs w:val="0"/>
          <w:sz w:val="24"/>
          <w:szCs w:val="24"/>
          <w:highlight w:val="none"/>
          <w:u w:val="none"/>
          <w:lang w:val="en-US" w:eastAsia="zh-CN"/>
        </w:rPr>
        <w:t>07</w:t>
      </w:r>
      <w:r>
        <w:rPr>
          <w:rFonts w:hint="eastAsia" w:ascii="宋体" w:hAnsi="宋体" w:cs="宋体"/>
          <w:b w:val="0"/>
          <w:bCs w:val="0"/>
          <w:sz w:val="24"/>
          <w:szCs w:val="24"/>
          <w:highlight w:val="none"/>
          <w:u w:val="none"/>
          <w:lang w:eastAsia="zh-CN"/>
        </w:rPr>
        <w:t>月</w:t>
      </w:r>
      <w:r>
        <w:rPr>
          <w:rFonts w:hint="eastAsia" w:ascii="宋体" w:hAnsi="宋体" w:cs="宋体"/>
          <w:b w:val="0"/>
          <w:bCs w:val="0"/>
          <w:sz w:val="24"/>
          <w:szCs w:val="24"/>
          <w:highlight w:val="none"/>
          <w:u w:val="none"/>
          <w:lang w:val="en-US" w:eastAsia="zh-CN"/>
        </w:rPr>
        <w:t>01</w:t>
      </w:r>
      <w:r>
        <w:rPr>
          <w:rFonts w:hint="eastAsia" w:ascii="宋体" w:hAnsi="宋体" w:cs="宋体"/>
          <w:b w:val="0"/>
          <w:bCs w:val="0"/>
          <w:sz w:val="24"/>
          <w:szCs w:val="24"/>
          <w:highlight w:val="none"/>
          <w:u w:val="none"/>
          <w:lang w:eastAsia="zh-CN"/>
        </w:rPr>
        <w:t>日</w:t>
      </w:r>
      <w:r>
        <w:rPr>
          <w:rFonts w:hint="eastAsia" w:ascii="宋体" w:hAnsi="宋体" w:cs="宋体"/>
          <w:color w:val="auto"/>
          <w:sz w:val="24"/>
          <w:highlight w:val="none"/>
          <w:u w:val="none"/>
          <w:lang w:val="zh-CN"/>
        </w:rPr>
        <w:t>，每天</w:t>
      </w:r>
      <w:r>
        <w:rPr>
          <w:rFonts w:hint="eastAsia" w:ascii="宋体" w:hAnsi="宋体" w:cs="宋体"/>
          <w:color w:val="auto"/>
          <w:sz w:val="24"/>
          <w:highlight w:val="none"/>
          <w:u w:val="none"/>
          <w:lang w:val="en-US" w:eastAsia="zh-CN"/>
        </w:rPr>
        <w:t>00</w:t>
      </w:r>
      <w:r>
        <w:rPr>
          <w:rFonts w:hint="eastAsia" w:ascii="宋体" w:hAnsi="宋体" w:cs="宋体"/>
          <w:color w:val="auto"/>
          <w:sz w:val="24"/>
          <w:highlight w:val="none"/>
          <w:u w:val="none"/>
          <w:lang w:val="zh-CN"/>
        </w:rPr>
        <w:t>:</w:t>
      </w:r>
      <w:r>
        <w:rPr>
          <w:rFonts w:hint="eastAsia" w:ascii="宋体" w:hAnsi="宋体" w:cs="宋体"/>
          <w:color w:val="auto"/>
          <w:sz w:val="24"/>
          <w:highlight w:val="none"/>
          <w:u w:val="none"/>
          <w:lang w:val="en-US" w:eastAsia="zh-CN"/>
        </w:rPr>
        <w:t>0</w:t>
      </w:r>
      <w:r>
        <w:rPr>
          <w:rFonts w:hint="eastAsia" w:ascii="宋体" w:hAnsi="宋体" w:cs="宋体"/>
          <w:color w:val="auto"/>
          <w:sz w:val="24"/>
          <w:highlight w:val="none"/>
          <w:u w:val="none"/>
          <w:lang w:val="zh-CN"/>
        </w:rPr>
        <w:t>0</w:t>
      </w:r>
      <w:r>
        <w:rPr>
          <w:rFonts w:hint="eastAsia" w:ascii="宋体" w:hAnsi="宋体" w:cs="宋体"/>
          <w:color w:val="auto"/>
          <w:sz w:val="24"/>
          <w:highlight w:val="none"/>
          <w:u w:val="none"/>
        </w:rPr>
        <w:t>时</w:t>
      </w:r>
      <w:r>
        <w:rPr>
          <w:rFonts w:hint="eastAsia" w:ascii="宋体" w:hAnsi="宋体" w:cs="宋体"/>
          <w:color w:val="auto"/>
          <w:sz w:val="24"/>
          <w:highlight w:val="none"/>
          <w:u w:val="none"/>
          <w:lang w:val="zh-CN"/>
        </w:rPr>
        <w:t>至2</w:t>
      </w:r>
      <w:r>
        <w:rPr>
          <w:rFonts w:hint="eastAsia" w:ascii="宋体" w:hAnsi="宋体" w:cs="宋体"/>
          <w:color w:val="auto"/>
          <w:sz w:val="24"/>
          <w:highlight w:val="none"/>
          <w:u w:val="none"/>
          <w:lang w:val="en-US" w:eastAsia="zh-CN"/>
        </w:rPr>
        <w:t>3</w:t>
      </w:r>
      <w:r>
        <w:rPr>
          <w:rFonts w:hint="eastAsia" w:ascii="宋体" w:hAnsi="宋体" w:cs="宋体"/>
          <w:color w:val="auto"/>
          <w:sz w:val="24"/>
          <w:highlight w:val="none"/>
          <w:u w:val="none"/>
          <w:lang w:val="zh-CN"/>
        </w:rPr>
        <w:t>:</w:t>
      </w:r>
      <w:r>
        <w:rPr>
          <w:rFonts w:hint="eastAsia" w:ascii="宋体" w:hAnsi="宋体" w:cs="宋体"/>
          <w:color w:val="auto"/>
          <w:sz w:val="24"/>
          <w:highlight w:val="none"/>
          <w:u w:val="none"/>
          <w:lang w:val="en-US" w:eastAsia="zh-CN"/>
        </w:rPr>
        <w:t>59</w:t>
      </w:r>
      <w:r>
        <w:rPr>
          <w:rFonts w:hint="eastAsia" w:ascii="宋体" w:hAnsi="宋体" w:cs="宋体"/>
          <w:color w:val="auto"/>
          <w:sz w:val="24"/>
          <w:highlight w:val="none"/>
          <w:u w:val="none"/>
        </w:rPr>
        <w:t>时(法定节</w:t>
      </w:r>
    </w:p>
    <w:p w14:paraId="5EC7BB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假日除外)</w:t>
      </w:r>
    </w:p>
    <w:p w14:paraId="20E76CA9">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地点：</w:t>
      </w:r>
      <w:r>
        <w:rPr>
          <w:rFonts w:hint="eastAsia" w:ascii="宋体" w:hAnsi="宋体" w:cs="宋体"/>
          <w:color w:val="auto"/>
          <w:sz w:val="24"/>
          <w:u w:val="none"/>
        </w:rPr>
        <w:t>线上获取通过政采云平台（ www.zcygov.cn）获取</w:t>
      </w:r>
    </w:p>
    <w:p w14:paraId="51FD7EB5">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方式：</w:t>
      </w:r>
      <w:r>
        <w:rPr>
          <w:rFonts w:hint="eastAsia" w:ascii="宋体" w:hAnsi="宋体" w:cs="宋体"/>
          <w:color w:val="auto"/>
          <w:sz w:val="24"/>
          <w:u w:val="none"/>
        </w:rPr>
        <w:t>供应商登录政采云平台https://www.zcygov.cn/在线申请获取采购文件（进入“项目采购”应用，在获取采购文件菜单中选择项目，申请获取采购文件）</w:t>
      </w:r>
    </w:p>
    <w:p w14:paraId="6EFA5138">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lang w:val="zh-CN"/>
        </w:rPr>
      </w:pPr>
      <w:r>
        <w:rPr>
          <w:rFonts w:hint="eastAsia" w:ascii="宋体" w:hAnsi="宋体" w:cs="宋体"/>
          <w:b/>
          <w:bCs/>
          <w:color w:val="auto"/>
          <w:sz w:val="24"/>
          <w:u w:val="none"/>
          <w:lang w:val="zh-CN"/>
        </w:rPr>
        <w:t>售价：</w:t>
      </w:r>
      <w:r>
        <w:rPr>
          <w:rFonts w:hint="eastAsia" w:ascii="宋体" w:hAnsi="宋体" w:cs="宋体"/>
          <w:color w:val="auto"/>
          <w:sz w:val="24"/>
          <w:u w:val="none"/>
        </w:rPr>
        <w:t>0</w:t>
      </w:r>
      <w:r>
        <w:rPr>
          <w:rFonts w:hint="eastAsia" w:ascii="宋体" w:hAnsi="宋体" w:cs="宋体"/>
          <w:color w:val="auto"/>
          <w:sz w:val="24"/>
          <w:u w:val="none"/>
          <w:lang w:val="zh-CN"/>
        </w:rPr>
        <w:t>元（</w:t>
      </w:r>
      <w:r>
        <w:rPr>
          <w:rFonts w:hint="eastAsia" w:ascii="宋体" w:hAnsi="宋体" w:cs="宋体"/>
          <w:color w:val="auto"/>
          <w:sz w:val="24"/>
          <w:u w:val="none"/>
          <w:lang w:val="en-US" w:eastAsia="zh-CN"/>
        </w:rPr>
        <w:t>磋商</w:t>
      </w:r>
      <w:r>
        <w:rPr>
          <w:rFonts w:hint="eastAsia" w:ascii="宋体" w:hAnsi="宋体" w:cs="宋体"/>
          <w:color w:val="auto"/>
          <w:sz w:val="24"/>
          <w:u w:val="none"/>
          <w:lang w:val="zh-CN"/>
        </w:rPr>
        <w:t>资格不能转让）</w:t>
      </w:r>
    </w:p>
    <w:p w14:paraId="12ABE0B5">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u w:val="none"/>
        </w:rPr>
      </w:pPr>
      <w:bookmarkStart w:id="33" w:name="_Toc35393793"/>
      <w:bookmarkStart w:id="34" w:name="_Toc35393624"/>
      <w:bookmarkStart w:id="35" w:name="_Toc28359005"/>
      <w:bookmarkStart w:id="36" w:name="_Toc28359082"/>
      <w:bookmarkStart w:id="37" w:name="_Toc13059"/>
      <w:bookmarkStart w:id="38" w:name="_Toc29703"/>
      <w:bookmarkStart w:id="39" w:name="_Toc24601"/>
      <w:bookmarkStart w:id="40" w:name="_Toc4607"/>
      <w:bookmarkStart w:id="41" w:name="_Toc24699"/>
      <w:r>
        <w:rPr>
          <w:rFonts w:hint="eastAsia" w:ascii="宋体" w:hAnsi="宋体" w:cs="宋体"/>
          <w:b/>
          <w:bCs/>
          <w:color w:val="auto"/>
          <w:sz w:val="24"/>
          <w:u w:val="none"/>
          <w:lang w:val="zh-CN"/>
        </w:rPr>
        <w:t>四、</w:t>
      </w:r>
      <w:bookmarkEnd w:id="33"/>
      <w:bookmarkEnd w:id="34"/>
      <w:bookmarkEnd w:id="35"/>
      <w:bookmarkEnd w:id="36"/>
      <w:bookmarkEnd w:id="37"/>
      <w:bookmarkEnd w:id="38"/>
      <w:bookmarkEnd w:id="39"/>
      <w:r>
        <w:rPr>
          <w:rFonts w:hint="eastAsia" w:ascii="宋体" w:hAnsi="宋体" w:cs="宋体"/>
          <w:b/>
          <w:bCs/>
          <w:color w:val="auto"/>
          <w:sz w:val="24"/>
          <w:u w:val="none"/>
          <w:lang w:val="zh-CN"/>
        </w:rPr>
        <w:t>响应文件的提交</w:t>
      </w:r>
      <w:bookmarkEnd w:id="40"/>
      <w:bookmarkEnd w:id="41"/>
    </w:p>
    <w:p w14:paraId="0C3E3D60">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highlight w:val="none"/>
          <w:u w:val="none"/>
        </w:rPr>
      </w:pPr>
      <w:r>
        <w:rPr>
          <w:rFonts w:hint="eastAsia" w:ascii="宋体" w:hAnsi="宋体" w:cs="宋体"/>
          <w:b/>
          <w:bCs/>
          <w:color w:val="auto"/>
          <w:sz w:val="24"/>
          <w:u w:val="none"/>
        </w:rPr>
        <w:t>截止时间</w:t>
      </w:r>
      <w:r>
        <w:rPr>
          <w:rFonts w:hint="eastAsia" w:ascii="宋体" w:hAnsi="宋体" w:cs="宋体"/>
          <w:b/>
          <w:bCs/>
          <w:color w:val="auto"/>
          <w:sz w:val="24"/>
          <w:highlight w:val="none"/>
          <w:u w:val="none"/>
        </w:rPr>
        <w:t>：</w:t>
      </w:r>
      <w:r>
        <w:rPr>
          <w:rFonts w:hint="eastAsia" w:ascii="宋体" w:hAnsi="宋体" w:cs="宋体"/>
          <w:color w:val="auto"/>
          <w:sz w:val="24"/>
          <w:highlight w:val="none"/>
          <w:u w:val="none"/>
          <w:lang w:eastAsia="zh-CN"/>
        </w:rPr>
        <w:t>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lang w:eastAsia="zh-CN"/>
        </w:rPr>
        <w:t>年0</w:t>
      </w:r>
      <w:r>
        <w:rPr>
          <w:rFonts w:hint="eastAsia" w:ascii="宋体" w:hAnsi="宋体" w:cs="宋体"/>
          <w:color w:val="auto"/>
          <w:sz w:val="24"/>
          <w:highlight w:val="none"/>
          <w:u w:val="none"/>
          <w:lang w:val="en-US" w:eastAsia="zh-CN"/>
        </w:rPr>
        <w:t>7</w:t>
      </w:r>
      <w:r>
        <w:rPr>
          <w:rFonts w:hint="eastAsia" w:ascii="宋体" w:hAnsi="宋体" w:cs="宋体"/>
          <w:color w:val="auto"/>
          <w:sz w:val="24"/>
          <w:highlight w:val="none"/>
          <w:u w:val="none"/>
          <w:lang w:eastAsia="zh-CN"/>
        </w:rPr>
        <w:t>月</w:t>
      </w:r>
      <w:r>
        <w:rPr>
          <w:rFonts w:hint="eastAsia" w:ascii="宋体" w:hAnsi="宋体" w:cs="宋体"/>
          <w:color w:val="auto"/>
          <w:sz w:val="24"/>
          <w:highlight w:val="none"/>
          <w:u w:val="none"/>
          <w:lang w:val="en-US" w:eastAsia="zh-CN"/>
        </w:rPr>
        <w:t>04</w:t>
      </w:r>
      <w:r>
        <w:rPr>
          <w:rFonts w:hint="eastAsia" w:ascii="宋体" w:hAnsi="宋体" w:cs="宋体"/>
          <w:color w:val="auto"/>
          <w:sz w:val="24"/>
          <w:highlight w:val="none"/>
          <w:u w:val="none"/>
          <w:lang w:eastAsia="zh-CN"/>
        </w:rPr>
        <w:t>日上午09时00分（北京时间）</w:t>
      </w:r>
    </w:p>
    <w:p w14:paraId="60BA4CA2">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highlight w:val="none"/>
          <w:u w:val="none"/>
        </w:rPr>
      </w:pPr>
      <w:r>
        <w:rPr>
          <w:rFonts w:hint="eastAsia" w:ascii="宋体" w:hAnsi="宋体" w:cs="宋体"/>
          <w:b/>
          <w:bCs/>
          <w:color w:val="auto"/>
          <w:sz w:val="24"/>
          <w:highlight w:val="none"/>
          <w:u w:val="none"/>
        </w:rPr>
        <w:t>地点：</w:t>
      </w:r>
      <w:r>
        <w:rPr>
          <w:rFonts w:hint="eastAsia" w:ascii="宋体" w:hAnsi="宋体" w:cs="宋体"/>
          <w:color w:val="auto"/>
          <w:sz w:val="24"/>
          <w:highlight w:val="none"/>
          <w:u w:val="none"/>
          <w:lang w:val="zh-CN"/>
        </w:rPr>
        <w:t>政采云平台</w:t>
      </w:r>
      <w:r>
        <w:rPr>
          <w:rFonts w:hint="eastAsia" w:ascii="宋体" w:hAnsi="宋体" w:cs="宋体"/>
          <w:color w:val="auto"/>
          <w:sz w:val="24"/>
          <w:highlight w:val="none"/>
          <w:u w:val="none"/>
        </w:rPr>
        <w:t>（https://www.zcygov.cn/）</w:t>
      </w:r>
    </w:p>
    <w:p w14:paraId="6B33362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b/>
          <w:bCs/>
          <w:color w:val="auto"/>
          <w:kern w:val="2"/>
          <w:highlight w:val="none"/>
          <w:u w:val="none"/>
        </w:rPr>
      </w:pPr>
      <w:bookmarkStart w:id="42" w:name="_Toc7260"/>
      <w:bookmarkStart w:id="43" w:name="_Toc24901"/>
      <w:bookmarkStart w:id="44" w:name="_Toc28597"/>
      <w:bookmarkStart w:id="45" w:name="_Toc35393626"/>
      <w:bookmarkStart w:id="46" w:name="_Toc35393795"/>
      <w:r>
        <w:rPr>
          <w:rFonts w:hint="eastAsia"/>
          <w:b/>
          <w:bCs/>
          <w:color w:val="auto"/>
          <w:kern w:val="2"/>
          <w:highlight w:val="none"/>
          <w:u w:val="none"/>
        </w:rPr>
        <w:t>五、响应文件开启</w:t>
      </w:r>
    </w:p>
    <w:p w14:paraId="4EE0581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cs="宋体"/>
          <w:color w:val="auto"/>
          <w:highlight w:val="none"/>
          <w:u w:val="none"/>
        </w:rPr>
      </w:pPr>
      <w:r>
        <w:rPr>
          <w:rFonts w:hint="eastAsia" w:ascii="宋体" w:hAnsi="宋体" w:cs="宋体"/>
          <w:b/>
          <w:bCs/>
          <w:color w:val="auto"/>
          <w:highlight w:val="none"/>
          <w:u w:val="none"/>
        </w:rPr>
        <w:t>开启时间：</w:t>
      </w:r>
      <w:r>
        <w:rPr>
          <w:rFonts w:hint="eastAsia" w:ascii="宋体" w:hAnsi="宋体" w:cs="宋体"/>
          <w:color w:val="auto"/>
          <w:sz w:val="24"/>
          <w:highlight w:val="none"/>
          <w:u w:val="none"/>
          <w:lang w:eastAsia="zh-CN"/>
        </w:rPr>
        <w:t>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lang w:eastAsia="zh-CN"/>
        </w:rPr>
        <w:t>年0</w:t>
      </w:r>
      <w:r>
        <w:rPr>
          <w:rFonts w:hint="eastAsia" w:cs="宋体"/>
          <w:color w:val="auto"/>
          <w:sz w:val="24"/>
          <w:highlight w:val="none"/>
          <w:u w:val="none"/>
          <w:lang w:val="en-US" w:eastAsia="zh-CN"/>
        </w:rPr>
        <w:t>7</w:t>
      </w:r>
      <w:r>
        <w:rPr>
          <w:rFonts w:hint="eastAsia" w:ascii="宋体" w:hAnsi="宋体" w:cs="宋体"/>
          <w:color w:val="auto"/>
          <w:sz w:val="24"/>
          <w:highlight w:val="none"/>
          <w:u w:val="none"/>
          <w:lang w:eastAsia="zh-CN"/>
        </w:rPr>
        <w:t>月</w:t>
      </w:r>
      <w:r>
        <w:rPr>
          <w:rFonts w:hint="eastAsia" w:cs="宋体"/>
          <w:color w:val="auto"/>
          <w:sz w:val="24"/>
          <w:highlight w:val="none"/>
          <w:u w:val="none"/>
          <w:lang w:val="en-US" w:eastAsia="zh-CN"/>
        </w:rPr>
        <w:t>04</w:t>
      </w:r>
      <w:r>
        <w:rPr>
          <w:rFonts w:hint="eastAsia" w:ascii="宋体" w:hAnsi="宋体" w:cs="宋体"/>
          <w:color w:val="auto"/>
          <w:sz w:val="24"/>
          <w:highlight w:val="none"/>
          <w:u w:val="none"/>
          <w:lang w:eastAsia="zh-CN"/>
        </w:rPr>
        <w:t>日上午09时00分（</w:t>
      </w:r>
      <w:r>
        <w:rPr>
          <w:rFonts w:hint="eastAsia" w:cs="宋体"/>
          <w:color w:val="auto"/>
          <w:highlight w:val="none"/>
          <w:u w:val="none"/>
          <w:lang w:eastAsia="zh-CN"/>
        </w:rPr>
        <w:t>（北京时间）</w:t>
      </w:r>
    </w:p>
    <w:p w14:paraId="25E65A45">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b/>
          <w:bCs/>
          <w:color w:val="auto"/>
          <w:highlight w:val="none"/>
          <w:u w:val="none"/>
        </w:rPr>
      </w:pPr>
      <w:r>
        <w:rPr>
          <w:rFonts w:hint="eastAsia" w:ascii="宋体" w:hAnsi="宋体" w:cs="宋体"/>
          <w:b/>
          <w:bCs/>
          <w:color w:val="auto"/>
          <w:sz w:val="24"/>
          <w:highlight w:val="none"/>
          <w:u w:val="none"/>
        </w:rPr>
        <w:t>地点：</w:t>
      </w:r>
      <w:r>
        <w:rPr>
          <w:rFonts w:hint="eastAsia" w:ascii="宋体" w:hAnsi="宋体" w:cs="宋体"/>
          <w:color w:val="auto"/>
          <w:sz w:val="24"/>
          <w:highlight w:val="none"/>
          <w:u w:val="none"/>
          <w:lang w:val="zh-CN"/>
        </w:rPr>
        <w:t>政采云平台</w:t>
      </w:r>
      <w:r>
        <w:rPr>
          <w:rFonts w:hint="eastAsia" w:ascii="宋体" w:hAnsi="宋体" w:cs="宋体"/>
          <w:color w:val="auto"/>
          <w:sz w:val="24"/>
          <w:highlight w:val="none"/>
          <w:u w:val="none"/>
        </w:rPr>
        <w:t>（https://www.zcygov.cn/）</w:t>
      </w:r>
    </w:p>
    <w:p w14:paraId="65C0B02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outlineLvl w:val="1"/>
        <w:rPr>
          <w:rFonts w:hint="eastAsia" w:ascii="宋体" w:hAnsi="宋体" w:cs="宋体"/>
          <w:b/>
          <w:bCs/>
          <w:color w:val="auto"/>
          <w:highlight w:val="none"/>
        </w:rPr>
      </w:pPr>
      <w:bookmarkStart w:id="47" w:name="_Toc2039"/>
      <w:bookmarkStart w:id="48" w:name="_Toc18313"/>
      <w:r>
        <w:rPr>
          <w:rFonts w:hint="eastAsia" w:ascii="宋体" w:hAnsi="宋体" w:cs="宋体"/>
          <w:b/>
          <w:bCs/>
          <w:color w:val="auto"/>
          <w:highlight w:val="none"/>
        </w:rPr>
        <w:t>六、公告期限</w:t>
      </w:r>
      <w:bookmarkEnd w:id="42"/>
      <w:bookmarkEnd w:id="43"/>
      <w:bookmarkEnd w:id="44"/>
      <w:bookmarkEnd w:id="47"/>
      <w:bookmarkEnd w:id="48"/>
    </w:p>
    <w:p w14:paraId="22A00EC7">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cs="宋体"/>
          <w:color w:val="auto"/>
        </w:rPr>
      </w:pPr>
      <w:r>
        <w:rPr>
          <w:rFonts w:hint="eastAsia" w:ascii="宋体" w:hAnsi="宋体" w:cs="宋体"/>
          <w:color w:val="auto"/>
        </w:rPr>
        <w:t>自本公告发布之日起5个工作日。</w:t>
      </w:r>
    </w:p>
    <w:p w14:paraId="0285D9C6">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cs="宋体"/>
          <w:color w:val="auto"/>
          <w:kern w:val="0"/>
          <w:sz w:val="24"/>
          <w:szCs w:val="24"/>
          <w:lang w:bidi="ar"/>
        </w:rPr>
      </w:pPr>
      <w:bookmarkStart w:id="49" w:name="_Toc26803"/>
      <w:bookmarkStart w:id="50" w:name="_Toc11490"/>
      <w:bookmarkStart w:id="51" w:name="_Toc26651"/>
      <w:bookmarkStart w:id="52" w:name="_Toc2752"/>
      <w:bookmarkStart w:id="53" w:name="_Toc14683"/>
      <w:r>
        <w:rPr>
          <w:rFonts w:hint="eastAsia" w:ascii="宋体" w:hAnsi="宋体" w:cs="宋体"/>
          <w:b/>
          <w:bCs/>
          <w:color w:val="auto"/>
          <w:sz w:val="24"/>
        </w:rPr>
        <w:t>七、其他补充事宜</w:t>
      </w:r>
      <w:bookmarkEnd w:id="45"/>
      <w:bookmarkEnd w:id="46"/>
      <w:bookmarkEnd w:id="49"/>
      <w:bookmarkEnd w:id="50"/>
      <w:bookmarkEnd w:id="51"/>
      <w:bookmarkEnd w:id="52"/>
      <w:bookmarkEnd w:id="53"/>
      <w:r>
        <w:rPr>
          <w:rFonts w:hint="eastAsia" w:ascii="宋体" w:hAnsi="宋体" w:cs="宋体"/>
          <w:color w:val="auto"/>
          <w:kern w:val="0"/>
          <w:sz w:val="24"/>
          <w:szCs w:val="24"/>
          <w:lang w:val="en-US" w:eastAsia="zh-CN" w:bidi="ar"/>
        </w:rPr>
        <w:t>。</w:t>
      </w:r>
    </w:p>
    <w:p w14:paraId="4A228336">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bidi="ar"/>
        </w:rPr>
      </w:pPr>
      <w:r>
        <w:rPr>
          <w:rFonts w:hint="eastAsia" w:ascii="宋体" w:hAnsi="宋体" w:cs="宋体"/>
          <w:color w:val="auto"/>
          <w:kern w:val="0"/>
          <w:sz w:val="24"/>
          <w:szCs w:val="24"/>
          <w:lang w:val="en-US" w:eastAsia="zh-CN" w:bidi="ar"/>
        </w:rPr>
        <w:t>1</w:t>
      </w:r>
      <w:r>
        <w:rPr>
          <w:rFonts w:hint="eastAsia" w:ascii="宋体" w:hAnsi="宋体" w:cs="宋体"/>
          <w:color w:val="auto"/>
          <w:kern w:val="0"/>
          <w:sz w:val="24"/>
          <w:szCs w:val="24"/>
          <w:lang w:bidi="ar"/>
        </w:rPr>
        <w:t>、</w:t>
      </w:r>
      <w:r>
        <w:rPr>
          <w:rFonts w:hint="eastAsia" w:ascii="宋体" w:hAnsi="宋体" w:cs="宋体"/>
          <w:color w:val="auto"/>
          <w:kern w:val="0"/>
          <w:sz w:val="24"/>
          <w:szCs w:val="24"/>
          <w:lang w:val="zh-CN" w:bidi="ar"/>
        </w:rPr>
        <w:t>本公告在《青海</w:t>
      </w:r>
      <w:r>
        <w:rPr>
          <w:rFonts w:hint="eastAsia" w:ascii="宋体" w:hAnsi="宋体" w:cs="宋体"/>
          <w:color w:val="auto"/>
          <w:kern w:val="0"/>
          <w:sz w:val="24"/>
          <w:szCs w:val="24"/>
          <w:lang w:val="en-US" w:eastAsia="zh-CN" w:bidi="ar"/>
        </w:rPr>
        <w:t>省</w:t>
      </w:r>
      <w:r>
        <w:rPr>
          <w:rFonts w:hint="eastAsia" w:ascii="宋体" w:hAnsi="宋体" w:cs="宋体"/>
          <w:color w:val="auto"/>
          <w:kern w:val="0"/>
          <w:sz w:val="24"/>
          <w:szCs w:val="24"/>
          <w:lang w:val="zh-CN" w:bidi="ar"/>
        </w:rPr>
        <w:t>政府采购网》上发布；</w:t>
      </w:r>
    </w:p>
    <w:p w14:paraId="0CE0FF26">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val="zh-CN" w:bidi="ar"/>
        </w:rPr>
      </w:pPr>
      <w:r>
        <w:rPr>
          <w:rFonts w:hint="eastAsia" w:ascii="宋体" w:hAnsi="宋体" w:cs="宋体"/>
          <w:color w:val="auto"/>
          <w:kern w:val="0"/>
          <w:sz w:val="24"/>
          <w:szCs w:val="24"/>
          <w:lang w:val="en-US" w:eastAsia="zh-CN" w:bidi="ar"/>
        </w:rPr>
        <w:t>2</w:t>
      </w:r>
      <w:r>
        <w:rPr>
          <w:rFonts w:hint="eastAsia" w:ascii="宋体" w:hAnsi="宋体" w:cs="宋体"/>
          <w:color w:val="auto"/>
          <w:kern w:val="0"/>
          <w:sz w:val="24"/>
          <w:szCs w:val="24"/>
          <w:lang w:bidi="ar"/>
        </w:rPr>
        <w:t>、</w:t>
      </w:r>
      <w:r>
        <w:rPr>
          <w:rFonts w:hint="eastAsia" w:ascii="宋体" w:hAnsi="宋体" w:cs="宋体"/>
          <w:color w:val="auto"/>
          <w:kern w:val="0"/>
          <w:sz w:val="24"/>
          <w:szCs w:val="24"/>
          <w:lang w:val="zh-CN" w:bidi="ar"/>
        </w:rPr>
        <w:t>本次</w:t>
      </w:r>
      <w:r>
        <w:rPr>
          <w:rFonts w:hint="eastAsia" w:ascii="宋体" w:hAnsi="宋体" w:cs="宋体"/>
          <w:color w:val="auto"/>
          <w:kern w:val="0"/>
          <w:sz w:val="24"/>
          <w:szCs w:val="24"/>
          <w:lang w:bidi="ar"/>
        </w:rPr>
        <w:t>采购</w:t>
      </w:r>
      <w:r>
        <w:rPr>
          <w:rFonts w:hint="eastAsia" w:ascii="宋体" w:hAnsi="宋体" w:cs="宋体"/>
          <w:color w:val="auto"/>
          <w:kern w:val="0"/>
          <w:sz w:val="24"/>
          <w:szCs w:val="24"/>
          <w:lang w:val="zh-CN" w:bidi="ar"/>
        </w:rPr>
        <w:t>采用线上提交响应文件的方式进行采购，线上</w:t>
      </w:r>
      <w:r>
        <w:rPr>
          <w:rFonts w:hint="eastAsia" w:ascii="宋体" w:hAnsi="宋体" w:cs="宋体"/>
          <w:color w:val="auto"/>
          <w:kern w:val="0"/>
          <w:sz w:val="24"/>
          <w:szCs w:val="24"/>
          <w:lang w:bidi="ar"/>
        </w:rPr>
        <w:t>电子版响应</w:t>
      </w:r>
      <w:r>
        <w:rPr>
          <w:rFonts w:hint="eastAsia" w:ascii="宋体" w:hAnsi="宋体" w:cs="宋体"/>
          <w:color w:val="auto"/>
          <w:kern w:val="0"/>
          <w:sz w:val="24"/>
          <w:szCs w:val="24"/>
          <w:lang w:val="zh-CN" w:bidi="ar"/>
        </w:rPr>
        <w:t>文件须在</w:t>
      </w:r>
      <w:r>
        <w:rPr>
          <w:rFonts w:hint="eastAsia" w:ascii="宋体" w:hAnsi="宋体" w:cs="宋体"/>
          <w:color w:val="auto"/>
          <w:kern w:val="0"/>
          <w:sz w:val="24"/>
          <w:szCs w:val="24"/>
          <w:lang w:bidi="ar"/>
        </w:rPr>
        <w:t>响应</w:t>
      </w:r>
      <w:r>
        <w:rPr>
          <w:rFonts w:hint="eastAsia" w:ascii="宋体" w:hAnsi="宋体" w:cs="宋体"/>
          <w:color w:val="auto"/>
          <w:kern w:val="0"/>
          <w:sz w:val="24"/>
          <w:szCs w:val="24"/>
          <w:lang w:val="zh-CN" w:bidi="ar"/>
        </w:rPr>
        <w:t>文件递交截止时间前上传政采云平台；</w:t>
      </w:r>
    </w:p>
    <w:p w14:paraId="0D528FB0">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sz w:val="24"/>
          <w:szCs w:val="24"/>
        </w:rPr>
      </w:pPr>
      <w:r>
        <w:rPr>
          <w:rFonts w:hint="eastAsia" w:ascii="宋体" w:hAnsi="宋体" w:cs="宋体"/>
          <w:color w:val="auto"/>
          <w:kern w:val="0"/>
          <w:sz w:val="24"/>
          <w:szCs w:val="24"/>
          <w:lang w:val="en-US" w:eastAsia="zh-CN" w:bidi="ar"/>
        </w:rPr>
        <w:t>3</w:t>
      </w:r>
      <w:r>
        <w:rPr>
          <w:rFonts w:hint="eastAsia" w:ascii="宋体" w:hAnsi="宋体" w:cs="宋体"/>
          <w:color w:val="auto"/>
          <w:kern w:val="0"/>
          <w:sz w:val="24"/>
          <w:szCs w:val="24"/>
          <w:lang w:bidi="ar"/>
        </w:rPr>
        <w:t>、</w:t>
      </w:r>
      <w:r>
        <w:rPr>
          <w:rFonts w:hint="eastAsia" w:ascii="宋体" w:hAnsi="宋体" w:cs="宋体"/>
          <w:color w:val="auto"/>
          <w:kern w:val="0"/>
          <w:sz w:val="24"/>
          <w:szCs w:val="24"/>
          <w:lang w:val="zh-CN" w:bidi="ar"/>
        </w:rPr>
        <w:t>若对项目采购电子交易系统操作有疑问，可登录政采云（https://www.zcygov.cn/），点击右侧咨询小采，获取采小蜜智能服务管家帮助，或拨打政采云服务</w:t>
      </w:r>
      <w:r>
        <w:rPr>
          <w:rFonts w:hint="eastAsia" w:ascii="宋体" w:hAnsi="宋体" w:cs="宋体"/>
          <w:color w:val="auto"/>
          <w:kern w:val="0"/>
          <w:sz w:val="24"/>
          <w:szCs w:val="24"/>
          <w:lang w:bidi="ar"/>
        </w:rPr>
        <w:t>热线</w:t>
      </w:r>
      <w:r>
        <w:rPr>
          <w:rFonts w:hint="eastAsia" w:ascii="宋体" w:hAnsi="宋体" w:cs="宋体"/>
          <w:color w:val="auto"/>
          <w:kern w:val="0"/>
          <w:sz w:val="24"/>
          <w:szCs w:val="24"/>
          <w:lang w:val="en-US" w:eastAsia="zh-CN" w:bidi="ar"/>
        </w:rPr>
        <w:t>95763</w:t>
      </w:r>
      <w:r>
        <w:rPr>
          <w:rFonts w:hint="eastAsia" w:ascii="宋体" w:hAnsi="宋体" w:cs="宋体"/>
          <w:color w:val="auto"/>
          <w:kern w:val="0"/>
          <w:sz w:val="24"/>
          <w:szCs w:val="24"/>
          <w:lang w:val="zh-CN" w:bidi="ar"/>
        </w:rPr>
        <w:t>获取热线服务帮助。CA问题联系电话（人工）；400-087-8198。</w:t>
      </w:r>
    </w:p>
    <w:p w14:paraId="02A7BE08">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val="zh-CN" w:bidi="ar"/>
        </w:rPr>
      </w:pPr>
      <w:r>
        <w:rPr>
          <w:rFonts w:hint="eastAsia" w:ascii="宋体" w:hAnsi="宋体" w:cs="宋体"/>
          <w:color w:val="auto"/>
          <w:kern w:val="0"/>
          <w:sz w:val="24"/>
          <w:szCs w:val="24"/>
          <w:lang w:val="en-US" w:eastAsia="zh-CN" w:bidi="ar"/>
        </w:rPr>
        <w:t>4</w:t>
      </w:r>
      <w:r>
        <w:rPr>
          <w:rFonts w:hint="eastAsia" w:ascii="宋体" w:hAnsi="宋体" w:cs="宋体"/>
          <w:color w:val="auto"/>
          <w:kern w:val="0"/>
          <w:sz w:val="24"/>
          <w:szCs w:val="24"/>
          <w:lang w:val="zh-CN" w:bidi="ar"/>
        </w:rPr>
        <w:t>、磋商供应商解密和磋商报价时必须由e签宝注册人办理，在固定电脑设备前登陆等待解密和磋商最终报价。</w:t>
      </w:r>
    </w:p>
    <w:p w14:paraId="5F61B958">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lang w:val="zh-CN"/>
        </w:rPr>
      </w:pPr>
      <w:bookmarkStart w:id="54" w:name="_Toc1249"/>
      <w:bookmarkStart w:id="55" w:name="_Toc35393627"/>
      <w:bookmarkStart w:id="56" w:name="_Toc22544"/>
      <w:bookmarkStart w:id="57" w:name="_Toc12783"/>
      <w:bookmarkStart w:id="58" w:name="_Toc35393796"/>
      <w:bookmarkStart w:id="59" w:name="_Toc28359008"/>
      <w:bookmarkStart w:id="60" w:name="_Toc15107"/>
      <w:bookmarkStart w:id="61" w:name="_Toc16079"/>
      <w:bookmarkStart w:id="62" w:name="_Toc28359085"/>
    </w:p>
    <w:p w14:paraId="0C2BD835">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lang w:val="zh-CN"/>
        </w:rPr>
      </w:pPr>
    </w:p>
    <w:p w14:paraId="2B37FB92">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lang w:val="zh-CN"/>
        </w:rPr>
      </w:pPr>
      <w:r>
        <w:rPr>
          <w:rFonts w:hint="eastAsia" w:ascii="宋体" w:hAnsi="宋体" w:cs="宋体"/>
          <w:b/>
          <w:bCs/>
          <w:color w:val="auto"/>
          <w:sz w:val="24"/>
          <w:lang w:val="zh-CN"/>
        </w:rPr>
        <w:t>八、对本次采购提出询问，请按以下方式联系</w:t>
      </w:r>
      <w:bookmarkEnd w:id="54"/>
      <w:bookmarkEnd w:id="55"/>
      <w:bookmarkEnd w:id="56"/>
      <w:bookmarkEnd w:id="57"/>
      <w:bookmarkEnd w:id="58"/>
      <w:bookmarkEnd w:id="59"/>
      <w:bookmarkEnd w:id="60"/>
      <w:bookmarkEnd w:id="61"/>
      <w:bookmarkEnd w:id="62"/>
    </w:p>
    <w:p w14:paraId="4402D18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1.采购人信息</w:t>
      </w:r>
    </w:p>
    <w:p w14:paraId="2B165B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lang w:val="zh-CN"/>
        </w:rPr>
        <w:t>名 称：</w:t>
      </w:r>
      <w:r>
        <w:rPr>
          <w:rFonts w:hint="eastAsia" w:ascii="宋体" w:hAnsi="宋体" w:cs="宋体"/>
          <w:sz w:val="24"/>
          <w:szCs w:val="24"/>
          <w:u w:val="none"/>
          <w:lang w:val="en-US" w:eastAsia="zh-CN"/>
        </w:rPr>
        <w:t xml:space="preserve">西宁市湟中区职业教育中心    </w:t>
      </w:r>
      <w:r>
        <w:rPr>
          <w:rFonts w:hint="eastAsia" w:ascii="宋体" w:hAnsi="宋体" w:eastAsia="宋体" w:cs="宋体"/>
          <w:sz w:val="24"/>
          <w:szCs w:val="24"/>
          <w:u w:val="none"/>
          <w:lang w:val="zh-CN"/>
        </w:rPr>
        <w:t>地址：</w:t>
      </w:r>
      <w:r>
        <w:rPr>
          <w:rFonts w:hint="eastAsia" w:ascii="宋体" w:hAnsi="宋体" w:cs="宋体"/>
          <w:sz w:val="24"/>
          <w:szCs w:val="24"/>
          <w:u w:val="none"/>
          <w:lang w:val="en-US" w:eastAsia="zh-CN"/>
        </w:rPr>
        <w:t>西宁市湟中区羊圈村</w:t>
      </w:r>
    </w:p>
    <w:p w14:paraId="4FB631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yellow"/>
          <w:u w:val="single"/>
          <w:lang w:val="en-US" w:eastAsia="zh-CN"/>
        </w:rPr>
      </w:pPr>
      <w:r>
        <w:rPr>
          <w:rFonts w:hint="eastAsia" w:ascii="宋体" w:hAnsi="宋体" w:eastAsia="宋体" w:cs="宋体"/>
          <w:color w:val="auto"/>
          <w:sz w:val="24"/>
          <w:szCs w:val="24"/>
          <w:highlight w:val="none"/>
          <w:lang w:val="zh-CN"/>
        </w:rPr>
        <w:t>项目联系人（询问）：</w:t>
      </w:r>
      <w:r>
        <w:rPr>
          <w:rFonts w:hint="eastAsia" w:ascii="宋体" w:hAnsi="宋体" w:cs="宋体"/>
          <w:color w:val="auto"/>
          <w:sz w:val="24"/>
          <w:szCs w:val="24"/>
          <w:highlight w:val="none"/>
          <w:lang w:val="en-US" w:eastAsia="zh-CN"/>
        </w:rPr>
        <w:t>马先生</w:t>
      </w:r>
    </w:p>
    <w:p w14:paraId="70C81874">
      <w:pPr>
        <w:keepNext w:val="0"/>
        <w:keepLines w:val="0"/>
        <w:widowControl/>
        <w:suppressLineNumbers w:val="0"/>
        <w:ind w:firstLine="480" w:firstLineChars="200"/>
        <w:jc w:val="left"/>
        <w:rPr>
          <w:rFonts w:hint="default" w:ascii="宋体" w:hAnsi="宋体" w:cs="宋体"/>
          <w:color w:val="auto"/>
          <w:sz w:val="24"/>
          <w:szCs w:val="24"/>
          <w:highlight w:val="none"/>
          <w:lang w:val="en-US"/>
        </w:rPr>
      </w:pPr>
      <w:r>
        <w:rPr>
          <w:rFonts w:hint="eastAsia" w:ascii="宋体" w:hAnsi="宋体" w:eastAsia="宋体" w:cs="宋体"/>
          <w:color w:val="auto"/>
          <w:sz w:val="24"/>
          <w:szCs w:val="24"/>
          <w:highlight w:val="none"/>
          <w:lang w:val="zh-CN"/>
        </w:rPr>
        <w:t>项目联系方式（询问）</w:t>
      </w:r>
      <w:bookmarkStart w:id="63" w:name="_Toc28359086"/>
      <w:bookmarkStart w:id="64" w:name="_Toc28359009"/>
      <w:r>
        <w:rPr>
          <w:rFonts w:hint="eastAsia" w:ascii="宋体" w:hAnsi="宋体" w:cs="宋体"/>
          <w:color w:val="auto"/>
          <w:sz w:val="24"/>
          <w:szCs w:val="24"/>
          <w:highlight w:val="none"/>
          <w:lang w:val="zh-CN"/>
        </w:rPr>
        <w:t>：</w:t>
      </w:r>
      <w:r>
        <w:rPr>
          <w:rFonts w:hint="eastAsia" w:ascii="宋体" w:hAnsi="宋体" w:cs="宋体"/>
          <w:color w:val="404040" w:themeColor="text1" w:themeTint="BF"/>
          <w:sz w:val="24"/>
          <w:szCs w:val="24"/>
          <w:highlight w:val="none"/>
          <w:lang w:val="en-US" w:eastAsia="zh-CN"/>
          <w14:textFill>
            <w14:solidFill>
              <w14:schemeClr w14:val="tx1">
                <w14:lumMod w14:val="75000"/>
                <w14:lumOff w14:val="25000"/>
              </w14:schemeClr>
            </w14:solidFill>
          </w14:textFill>
        </w:rPr>
        <w:t>13997015886</w:t>
      </w:r>
    </w:p>
    <w:p w14:paraId="427D7D3B">
      <w:pPr>
        <w:keepNext w:val="0"/>
        <w:keepLines w:val="0"/>
        <w:widowControl/>
        <w:suppressLineNumbers w:val="0"/>
        <w:ind w:firstLine="420" w:firstLineChars="200"/>
        <w:jc w:val="left"/>
        <w:rPr>
          <w:highlight w:val="none"/>
        </w:rPr>
      </w:pPr>
    </w:p>
    <w:p w14:paraId="3AB871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yellow"/>
          <w:lang w:val="zh-CN"/>
        </w:rPr>
      </w:pPr>
    </w:p>
    <w:p w14:paraId="79024E3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2.采购代理机构信息</w:t>
      </w:r>
      <w:bookmarkEnd w:id="63"/>
      <w:bookmarkEnd w:id="64"/>
    </w:p>
    <w:p w14:paraId="6E9795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zh-CN"/>
        </w:rPr>
        <w:t>名称：</w:t>
      </w:r>
      <w:r>
        <w:rPr>
          <w:rFonts w:hint="eastAsia" w:ascii="宋体" w:hAnsi="宋体" w:cs="宋体"/>
          <w:sz w:val="24"/>
          <w:szCs w:val="24"/>
          <w:u w:val="none"/>
          <w:lang w:val="en-US" w:eastAsia="zh-CN"/>
        </w:rPr>
        <w:t>青海丰研工程咨询有限公司</w:t>
      </w:r>
    </w:p>
    <w:p w14:paraId="5CE3CE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sz w:val="24"/>
          <w:szCs w:val="24"/>
          <w:lang w:val="zh-CN"/>
        </w:rPr>
        <w:t>地址：</w:t>
      </w:r>
      <w:r>
        <w:rPr>
          <w:rFonts w:hint="eastAsia" w:cs="宋体"/>
          <w:sz w:val="24"/>
          <w:szCs w:val="24"/>
          <w:lang w:val="zh-CN"/>
        </w:rPr>
        <w:t>青海省西宁市城中区</w:t>
      </w:r>
      <w:r>
        <w:rPr>
          <w:rFonts w:hint="eastAsia" w:cs="宋体"/>
          <w:sz w:val="24"/>
          <w:szCs w:val="24"/>
          <w:lang w:val="en-US" w:eastAsia="zh-CN"/>
        </w:rPr>
        <w:t>红星天铂一期西区</w:t>
      </w:r>
      <w:r>
        <w:rPr>
          <w:rFonts w:hint="eastAsia" w:cs="宋体"/>
          <w:sz w:val="24"/>
          <w:szCs w:val="24"/>
          <w:lang w:val="zh-CN"/>
        </w:rPr>
        <w:t>14号楼7层1072室</w:t>
      </w:r>
    </w:p>
    <w:p w14:paraId="6F9811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u w:val="none"/>
          <w:lang w:val="en-US" w:eastAsia="zh-CN"/>
        </w:rPr>
      </w:pPr>
      <w:r>
        <w:rPr>
          <w:rFonts w:hint="eastAsia" w:ascii="宋体" w:hAnsi="宋体" w:cs="宋体"/>
          <w:sz w:val="24"/>
          <w:szCs w:val="24"/>
          <w:lang w:val="en-US" w:eastAsia="zh-CN"/>
        </w:rPr>
        <w:t>联系方式</w:t>
      </w:r>
      <w:r>
        <w:rPr>
          <w:rFonts w:hint="eastAsia" w:ascii="宋体" w:hAnsi="宋体" w:eastAsia="宋体" w:cs="宋体"/>
          <w:sz w:val="24"/>
          <w:szCs w:val="24"/>
          <w:lang w:val="zh-CN"/>
        </w:rPr>
        <w:t>：0971-</w:t>
      </w:r>
      <w:r>
        <w:rPr>
          <w:rFonts w:hint="eastAsia" w:ascii="宋体" w:hAnsi="宋体" w:cs="宋体"/>
          <w:sz w:val="24"/>
          <w:szCs w:val="24"/>
          <w:lang w:val="en-US" w:eastAsia="zh-CN"/>
        </w:rPr>
        <w:t>5138779</w:t>
      </w:r>
    </w:p>
    <w:p w14:paraId="620FC421">
      <w:pPr>
        <w:spacing w:line="400" w:lineRule="exact"/>
        <w:ind w:firstLine="480" w:firstLineChars="200"/>
        <w:jc w:val="right"/>
        <w:rPr>
          <w:color w:val="auto"/>
          <w:highlight w:val="none"/>
        </w:rPr>
      </w:pP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日</w:t>
      </w:r>
    </w:p>
    <w:p w14:paraId="76E63792">
      <w:pPr>
        <w:adjustRightInd w:val="0"/>
        <w:spacing w:line="360" w:lineRule="auto"/>
        <w:jc w:val="right"/>
        <w:textAlignment w:val="baseline"/>
        <w:rPr>
          <w:rFonts w:ascii="宋体" w:hAnsi="宋体"/>
          <w:sz w:val="24"/>
        </w:rPr>
      </w:pPr>
    </w:p>
    <w:bookmarkEnd w:id="3"/>
    <w:bookmarkEnd w:id="4"/>
    <w:p w14:paraId="3B8F81B0">
      <w:pPr>
        <w:pStyle w:val="24"/>
        <w:spacing w:before="0" w:after="0" w:line="360" w:lineRule="auto"/>
        <w:rPr>
          <w:rFonts w:ascii="宋体" w:hAnsi="宋体"/>
          <w:sz w:val="36"/>
          <w:szCs w:val="36"/>
          <w:lang w:val="zh-CN"/>
        </w:rPr>
      </w:pPr>
      <w:bookmarkStart w:id="251" w:name="_GoBack"/>
      <w:bookmarkEnd w:id="251"/>
      <w:r>
        <w:rPr>
          <w:rFonts w:ascii="宋体" w:hAnsi="宋体"/>
          <w:sz w:val="24"/>
        </w:rPr>
        <w:br w:type="page"/>
      </w:r>
      <w:bookmarkStart w:id="65" w:name="_Toc444715733"/>
      <w:bookmarkStart w:id="66" w:name="_Toc1575294"/>
      <w:r>
        <w:rPr>
          <w:rFonts w:hint="eastAsia" w:ascii="宋体" w:hAnsi="宋体"/>
          <w:sz w:val="36"/>
          <w:szCs w:val="36"/>
        </w:rPr>
        <w:t>第二部分</w:t>
      </w:r>
      <w:r>
        <w:rPr>
          <w:rFonts w:hint="eastAsia" w:ascii="宋体" w:hAnsi="宋体"/>
          <w:sz w:val="36"/>
          <w:szCs w:val="36"/>
          <w:lang w:val="en-US" w:eastAsia="zh-CN"/>
        </w:rPr>
        <w:t xml:space="preserve">  </w:t>
      </w:r>
      <w:r>
        <w:rPr>
          <w:rFonts w:hint="eastAsia" w:ascii="宋体" w:hAnsi="宋体"/>
          <w:sz w:val="36"/>
          <w:szCs w:val="36"/>
        </w:rPr>
        <w:t>磋商供应商须知前附表</w:t>
      </w:r>
      <w:bookmarkEnd w:id="65"/>
      <w:bookmarkEnd w:id="66"/>
    </w:p>
    <w:tbl>
      <w:tblPr>
        <w:tblStyle w:val="34"/>
        <w:tblW w:w="10433" w:type="dxa"/>
        <w:jc w:val="center"/>
        <w:shd w:val="clear" w:color="auto" w:fill="auto"/>
        <w:tblLayout w:type="fixed"/>
        <w:tblCellMar>
          <w:top w:w="0" w:type="dxa"/>
          <w:left w:w="57" w:type="dxa"/>
          <w:bottom w:w="0" w:type="dxa"/>
          <w:right w:w="57" w:type="dxa"/>
        </w:tblCellMar>
      </w:tblPr>
      <w:tblGrid>
        <w:gridCol w:w="653"/>
        <w:gridCol w:w="2098"/>
        <w:gridCol w:w="7682"/>
      </w:tblGrid>
      <w:tr w14:paraId="1727CA2B">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BCEC55">
            <w:pPr>
              <w:autoSpaceDE w:val="0"/>
              <w:autoSpaceDN w:val="0"/>
              <w:spacing w:line="360" w:lineRule="auto"/>
              <w:jc w:val="center"/>
              <w:rPr>
                <w:rFonts w:ascii="宋体" w:hAnsi="宋体" w:cs="宋体"/>
                <w:color w:val="auto"/>
                <w:kern w:val="0"/>
                <w:sz w:val="24"/>
                <w:highlight w:val="none"/>
                <w:lang w:val="zh-CN"/>
              </w:rPr>
            </w:pPr>
            <w:r>
              <w:rPr>
                <w:rFonts w:hint="eastAsia" w:ascii="宋体" w:hAnsi="宋体" w:cs="宋体"/>
                <w:bCs/>
                <w:color w:val="auto"/>
                <w:kern w:val="0"/>
                <w:sz w:val="24"/>
                <w:highlight w:val="none"/>
                <w:lang w:val="zh-CN"/>
              </w:rPr>
              <w:t>序号</w:t>
            </w:r>
          </w:p>
        </w:tc>
        <w:tc>
          <w:tcPr>
            <w:tcW w:w="978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2D11C3D">
            <w:pPr>
              <w:autoSpaceDE w:val="0"/>
              <w:autoSpaceDN w:val="0"/>
              <w:spacing w:line="360" w:lineRule="auto"/>
              <w:jc w:val="center"/>
              <w:rPr>
                <w:rFonts w:ascii="宋体" w:hAnsi="宋体" w:cs="宋体"/>
                <w:color w:val="auto"/>
                <w:kern w:val="0"/>
                <w:sz w:val="24"/>
                <w:highlight w:val="none"/>
                <w:lang w:val="zh-CN"/>
              </w:rPr>
            </w:pPr>
            <w:r>
              <w:rPr>
                <w:rFonts w:hint="eastAsia" w:ascii="宋体" w:hAnsi="宋体" w:cs="宋体"/>
                <w:bCs/>
                <w:color w:val="auto"/>
                <w:kern w:val="0"/>
                <w:sz w:val="24"/>
                <w:highlight w:val="none"/>
                <w:lang w:val="zh-CN"/>
              </w:rPr>
              <w:t>内容</w:t>
            </w:r>
          </w:p>
        </w:tc>
      </w:tr>
      <w:tr w14:paraId="3FC10D67">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CA2666">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tcPr>
          <w:p w14:paraId="69B075DE">
            <w:pPr>
              <w:pStyle w:val="124"/>
              <w:spacing w:before="2" w:line="360" w:lineRule="auto"/>
              <w:jc w:val="left"/>
              <w:rPr>
                <w:bCs/>
                <w:color w:val="auto"/>
                <w:kern w:val="0"/>
                <w:sz w:val="24"/>
                <w:highlight w:val="none"/>
              </w:rPr>
            </w:pPr>
            <w:r>
              <w:rPr>
                <w:color w:val="auto"/>
                <w:sz w:val="24"/>
                <w:highlight w:val="none"/>
              </w:rPr>
              <w:t>采购项目名称</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7DEA62">
            <w:pPr>
              <w:spacing w:line="360" w:lineRule="auto"/>
              <w:ind w:left="2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eastAsia="zh-CN"/>
              </w:rPr>
              <w:t>2025年西宁市湟中区职业教育中心“双优计划”“建设”（数字智慧校园建设）项目</w:t>
            </w:r>
          </w:p>
        </w:tc>
      </w:tr>
      <w:tr w14:paraId="1496CEDE">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E24BCD">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A58AB4">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采购项目编号</w:t>
            </w:r>
          </w:p>
        </w:tc>
        <w:tc>
          <w:tcPr>
            <w:tcW w:w="7682" w:type="dxa"/>
            <w:tcBorders>
              <w:top w:val="single" w:color="000000" w:sz="6" w:space="0"/>
              <w:left w:val="single" w:color="000000" w:sz="6" w:space="0"/>
              <w:bottom w:val="single" w:color="000000" w:sz="6" w:space="0"/>
              <w:right w:val="single" w:color="000000" w:sz="6" w:space="0"/>
            </w:tcBorders>
            <w:shd w:val="clear" w:color="auto" w:fill="auto"/>
          </w:tcPr>
          <w:p w14:paraId="342038E9">
            <w:pPr>
              <w:autoSpaceDE w:val="0"/>
              <w:autoSpaceDN w:val="0"/>
              <w:spacing w:line="360" w:lineRule="auto"/>
              <w:jc w:val="left"/>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zh-CN"/>
              </w:rPr>
              <w:t>青海丰研竞磋（货物）2025-0</w:t>
            </w:r>
            <w:r>
              <w:rPr>
                <w:rFonts w:hint="eastAsia" w:ascii="宋体" w:hAnsi="宋体" w:cs="宋体"/>
                <w:bCs/>
                <w:color w:val="auto"/>
                <w:kern w:val="0"/>
                <w:sz w:val="24"/>
                <w:highlight w:val="none"/>
                <w:lang w:val="en-US" w:eastAsia="zh-CN"/>
              </w:rPr>
              <w:t>07号</w:t>
            </w:r>
          </w:p>
        </w:tc>
      </w:tr>
      <w:tr w14:paraId="21E44AC3">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0F94B2">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54B9D0">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采购单位</w:t>
            </w:r>
          </w:p>
        </w:tc>
        <w:tc>
          <w:tcPr>
            <w:tcW w:w="7682" w:type="dxa"/>
            <w:tcBorders>
              <w:top w:val="single" w:color="000000" w:sz="6" w:space="0"/>
              <w:left w:val="single" w:color="000000" w:sz="6" w:space="0"/>
              <w:bottom w:val="single" w:color="000000" w:sz="6" w:space="0"/>
              <w:right w:val="single" w:color="000000" w:sz="6" w:space="0"/>
            </w:tcBorders>
            <w:shd w:val="clear" w:color="auto" w:fill="auto"/>
          </w:tcPr>
          <w:p w14:paraId="1DACFFD5">
            <w:pPr>
              <w:autoSpaceDE w:val="0"/>
              <w:autoSpaceDN w:val="0"/>
              <w:spacing w:line="360" w:lineRule="auto"/>
              <w:jc w:val="left"/>
              <w:rPr>
                <w:rFonts w:hint="eastAsia" w:ascii="宋体" w:hAnsi="宋体" w:eastAsia="宋体" w:cs="宋体"/>
                <w:bCs/>
                <w:color w:val="auto"/>
                <w:kern w:val="0"/>
                <w:sz w:val="24"/>
                <w:highlight w:val="none"/>
                <w:lang w:val="zh-CN" w:eastAsia="zh-CN"/>
              </w:rPr>
            </w:pPr>
            <w:r>
              <w:rPr>
                <w:rFonts w:hint="eastAsia"/>
                <w:color w:val="auto"/>
                <w:sz w:val="24"/>
                <w:highlight w:val="none"/>
                <w:lang w:eastAsia="zh-CN"/>
              </w:rPr>
              <w:t>西宁市湟中区职业教育中心</w:t>
            </w:r>
          </w:p>
        </w:tc>
      </w:tr>
      <w:tr w14:paraId="6D37AB55">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B81574">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6B88FC">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采购代理机构</w:t>
            </w:r>
          </w:p>
        </w:tc>
        <w:tc>
          <w:tcPr>
            <w:tcW w:w="7682" w:type="dxa"/>
            <w:tcBorders>
              <w:top w:val="single" w:color="000000" w:sz="6" w:space="0"/>
              <w:left w:val="single" w:color="000000" w:sz="6" w:space="0"/>
              <w:bottom w:val="single" w:color="000000" w:sz="6" w:space="0"/>
              <w:right w:val="single" w:color="000000" w:sz="6" w:space="0"/>
            </w:tcBorders>
            <w:shd w:val="clear" w:color="auto" w:fill="auto"/>
          </w:tcPr>
          <w:p w14:paraId="5BCD2B7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青海丰研工程咨询有限公司</w:t>
            </w:r>
          </w:p>
        </w:tc>
      </w:tr>
      <w:tr w14:paraId="35D05CCD">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EE4ADA">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7D284E">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采购方式</w:t>
            </w:r>
          </w:p>
        </w:tc>
        <w:tc>
          <w:tcPr>
            <w:tcW w:w="7682" w:type="dxa"/>
            <w:tcBorders>
              <w:top w:val="single" w:color="000000" w:sz="6" w:space="0"/>
              <w:left w:val="single" w:color="000000" w:sz="6" w:space="0"/>
              <w:bottom w:val="single" w:color="000000" w:sz="6" w:space="0"/>
              <w:right w:val="single" w:color="000000" w:sz="6" w:space="0"/>
            </w:tcBorders>
            <w:shd w:val="clear" w:color="auto" w:fill="auto"/>
          </w:tcPr>
          <w:p w14:paraId="3C193C9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竞争性磋商</w:t>
            </w:r>
          </w:p>
        </w:tc>
      </w:tr>
      <w:tr w14:paraId="331A10AC">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8812EB">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213006">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评分办法</w:t>
            </w:r>
          </w:p>
        </w:tc>
        <w:tc>
          <w:tcPr>
            <w:tcW w:w="7682" w:type="dxa"/>
            <w:tcBorders>
              <w:top w:val="single" w:color="000000" w:sz="6" w:space="0"/>
              <w:left w:val="single" w:color="000000" w:sz="6" w:space="0"/>
              <w:bottom w:val="single" w:color="000000" w:sz="6" w:space="0"/>
              <w:right w:val="single" w:color="000000" w:sz="6" w:space="0"/>
            </w:tcBorders>
            <w:shd w:val="clear" w:color="auto" w:fill="auto"/>
          </w:tcPr>
          <w:p w14:paraId="58767AEF">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综合评分法</w:t>
            </w:r>
          </w:p>
        </w:tc>
      </w:tr>
      <w:tr w14:paraId="54B64EBB">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032DF6">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87E730">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采购预算控制额度</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86276E">
            <w:pPr>
              <w:spacing w:line="360" w:lineRule="auto"/>
              <w:rPr>
                <w:rFonts w:ascii="宋体" w:hAnsi="宋体" w:cs="宋体"/>
                <w:color w:val="auto"/>
                <w:kern w:val="0"/>
                <w:sz w:val="24"/>
                <w:highlight w:val="none"/>
                <w:lang w:val="zh-CN"/>
              </w:rPr>
            </w:pPr>
            <w:r>
              <w:rPr>
                <w:rFonts w:hint="eastAsia" w:ascii="宋体" w:hAnsi="宋体"/>
                <w:color w:val="auto"/>
                <w:kern w:val="0"/>
                <w:sz w:val="24"/>
                <w:highlight w:val="none"/>
              </w:rPr>
              <w:t>人民币</w:t>
            </w:r>
            <w:r>
              <w:rPr>
                <w:rFonts w:hint="eastAsia" w:ascii="宋体" w:hAnsi="宋体"/>
                <w:color w:val="auto"/>
                <w:kern w:val="0"/>
                <w:sz w:val="24"/>
                <w:highlight w:val="none"/>
                <w:lang w:val="en-US" w:eastAsia="zh-CN"/>
              </w:rPr>
              <w:t>2360000.00元</w:t>
            </w:r>
          </w:p>
        </w:tc>
      </w:tr>
      <w:tr w14:paraId="64E4035F">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CAC892">
            <w:pPr>
              <w:autoSpaceDE w:val="0"/>
              <w:autoSpaceDN w:val="0"/>
              <w:spacing w:line="360" w:lineRule="auto"/>
              <w:jc w:val="left"/>
              <w:rPr>
                <w:rFonts w:hint="eastAsia"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AE672E">
            <w:pPr>
              <w:autoSpaceDE w:val="0"/>
              <w:autoSpaceDN w:val="0"/>
              <w:spacing w:line="360" w:lineRule="auto"/>
              <w:jc w:val="left"/>
              <w:rPr>
                <w:rFonts w:hint="eastAsia" w:ascii="宋体" w:hAnsi="宋体" w:cs="宋体"/>
                <w:bCs/>
                <w:color w:val="auto"/>
                <w:kern w:val="0"/>
                <w:sz w:val="24"/>
                <w:highlight w:val="none"/>
                <w:lang w:val="zh-CN" w:eastAsia="zh-CN"/>
              </w:rPr>
            </w:pPr>
            <w:r>
              <w:rPr>
                <w:rFonts w:hint="eastAsia" w:ascii="宋体" w:hAnsi="宋体" w:cs="宋体"/>
                <w:bCs/>
                <w:color w:val="auto"/>
                <w:kern w:val="0"/>
                <w:sz w:val="24"/>
                <w:highlight w:val="none"/>
                <w:lang w:val="zh-CN" w:eastAsia="zh-CN"/>
              </w:rPr>
              <w:t>项目分包个数</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221529">
            <w:pPr>
              <w:autoSpaceDE w:val="0"/>
              <w:autoSpaceDN w:val="0"/>
              <w:spacing w:line="360" w:lineRule="auto"/>
              <w:jc w:val="left"/>
              <w:rPr>
                <w:rFonts w:hint="default" w:ascii="宋体" w:hAnsi="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w:t>
            </w:r>
          </w:p>
        </w:tc>
      </w:tr>
      <w:tr w14:paraId="2632BE72">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098D05">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4291FF">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采购要求</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1B70AF">
            <w:pPr>
              <w:autoSpaceDE w:val="0"/>
              <w:autoSpaceDN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详见磋商文件“第六部分 采购项目要求及技术参数”</w:t>
            </w:r>
          </w:p>
        </w:tc>
      </w:tr>
      <w:tr w14:paraId="3A0AD6A0">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4CE727">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E70E26">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color w:val="auto"/>
                <w:sz w:val="24"/>
                <w:highlight w:val="none"/>
              </w:rPr>
              <w:t>磋商供应商</w:t>
            </w:r>
            <w:r>
              <w:rPr>
                <w:rFonts w:hint="eastAsia" w:ascii="宋体" w:hAnsi="宋体" w:cs="宋体"/>
                <w:bCs/>
                <w:color w:val="auto"/>
                <w:kern w:val="0"/>
                <w:sz w:val="24"/>
                <w:highlight w:val="none"/>
                <w:lang w:val="zh-CN"/>
              </w:rPr>
              <w:t>资格条件</w:t>
            </w:r>
          </w:p>
        </w:tc>
        <w:tc>
          <w:tcPr>
            <w:tcW w:w="7682" w:type="dxa"/>
            <w:tcBorders>
              <w:top w:val="single" w:color="000000" w:sz="6" w:space="0"/>
              <w:left w:val="single" w:color="000000" w:sz="6" w:space="0"/>
              <w:bottom w:val="single" w:color="000000" w:sz="6" w:space="0"/>
              <w:right w:val="single" w:color="000000" w:sz="6" w:space="0"/>
            </w:tcBorders>
            <w:shd w:val="clear" w:color="auto" w:fill="auto"/>
          </w:tcPr>
          <w:p w14:paraId="6FF236A7">
            <w:pPr>
              <w:pStyle w:val="71"/>
              <w:autoSpaceDE w:val="0"/>
              <w:autoSpaceDN w:val="0"/>
              <w:adjustRightInd w:val="0"/>
              <w:spacing w:line="360" w:lineRule="auto"/>
              <w:ind w:left="0" w:leftChars="0" w:firstLine="0" w:firstLineChars="0"/>
              <w:contextualSpacing/>
              <w:rPr>
                <w:rFonts w:ascii="宋体" w:hAnsi="宋体"/>
                <w:color w:val="auto"/>
                <w:kern w:val="0"/>
                <w:sz w:val="24"/>
                <w:highlight w:val="none"/>
                <w:lang w:val="zh-CN"/>
              </w:rPr>
            </w:pPr>
            <w:r>
              <w:rPr>
                <w:rFonts w:hint="eastAsia" w:ascii="宋体" w:hAnsi="宋体"/>
                <w:color w:val="auto"/>
                <w:kern w:val="0"/>
                <w:sz w:val="24"/>
                <w:highlight w:val="none"/>
                <w:lang w:val="en-US" w:eastAsia="zh-CN"/>
              </w:rPr>
              <w:t>1、</w:t>
            </w:r>
            <w:r>
              <w:rPr>
                <w:rFonts w:hint="eastAsia" w:ascii="宋体" w:hAnsi="宋体"/>
                <w:color w:val="auto"/>
                <w:kern w:val="0"/>
                <w:sz w:val="24"/>
                <w:highlight w:val="none"/>
                <w:lang w:val="zh-CN"/>
              </w:rPr>
              <w:t>符合《政府采购法》第22条规定，并提供下列材料：</w:t>
            </w:r>
          </w:p>
          <w:p w14:paraId="3F5C8793">
            <w:pPr>
              <w:pStyle w:val="71"/>
              <w:autoSpaceDE w:val="0"/>
              <w:autoSpaceDN w:val="0"/>
              <w:adjustRightInd w:val="0"/>
              <w:spacing w:line="360" w:lineRule="auto"/>
              <w:ind w:left="0" w:leftChars="0" w:firstLine="0" w:firstLineChars="0"/>
              <w:contextualSpacing/>
              <w:rPr>
                <w:rFonts w:ascii="宋体" w:hAnsi="宋体"/>
                <w:color w:val="auto"/>
                <w:kern w:val="0"/>
                <w:sz w:val="24"/>
                <w:highlight w:val="none"/>
                <w:lang w:val="zh-CN"/>
              </w:rPr>
            </w:pPr>
            <w:r>
              <w:rPr>
                <w:rFonts w:hint="eastAsia" w:ascii="宋体" w:hAnsi="宋体"/>
                <w:color w:val="auto"/>
                <w:kern w:val="0"/>
                <w:sz w:val="24"/>
                <w:highlight w:val="none"/>
                <w:lang w:val="zh-CN"/>
              </w:rPr>
              <w:t>1）供应商的营业执照等证明文件，自然人的身份证明。</w:t>
            </w:r>
          </w:p>
          <w:p w14:paraId="0B52F725">
            <w:pPr>
              <w:pStyle w:val="71"/>
              <w:autoSpaceDE w:val="0"/>
              <w:autoSpaceDN w:val="0"/>
              <w:adjustRightInd w:val="0"/>
              <w:spacing w:line="360" w:lineRule="auto"/>
              <w:ind w:left="0" w:leftChars="0" w:firstLine="0" w:firstLineChars="0"/>
              <w:contextualSpacing/>
              <w:rPr>
                <w:rFonts w:ascii="宋体" w:hAnsi="宋体"/>
                <w:color w:val="auto"/>
                <w:kern w:val="0"/>
                <w:sz w:val="24"/>
                <w:highlight w:val="none"/>
                <w:lang w:val="zh-CN"/>
              </w:rPr>
            </w:pPr>
            <w:r>
              <w:rPr>
                <w:rFonts w:hint="eastAsia" w:ascii="宋体" w:hAnsi="宋体"/>
                <w:color w:val="auto"/>
                <w:kern w:val="0"/>
                <w:sz w:val="24"/>
                <w:highlight w:val="none"/>
                <w:lang w:val="zh-CN"/>
              </w:rPr>
              <w:t>2）财务状况报告，依法缴纳税收和社会保障资金的相关材料。</w:t>
            </w:r>
          </w:p>
          <w:p w14:paraId="2F77FA5D">
            <w:pPr>
              <w:pStyle w:val="71"/>
              <w:autoSpaceDE w:val="0"/>
              <w:autoSpaceDN w:val="0"/>
              <w:adjustRightInd w:val="0"/>
              <w:spacing w:line="360" w:lineRule="auto"/>
              <w:ind w:left="0" w:leftChars="0" w:firstLine="0" w:firstLineChars="0"/>
              <w:contextualSpacing/>
              <w:rPr>
                <w:rFonts w:ascii="宋体" w:hAnsi="宋体"/>
                <w:color w:val="auto"/>
                <w:kern w:val="0"/>
                <w:sz w:val="24"/>
                <w:highlight w:val="none"/>
                <w:lang w:val="zh-CN"/>
              </w:rPr>
            </w:pPr>
            <w:r>
              <w:rPr>
                <w:rFonts w:hint="eastAsia" w:ascii="宋体" w:hAnsi="宋体"/>
                <w:color w:val="auto"/>
                <w:kern w:val="0"/>
                <w:sz w:val="24"/>
                <w:highlight w:val="none"/>
                <w:lang w:val="zh-CN"/>
              </w:rPr>
              <w:t>3）具备履行合同所必需的设备和专业技术能力的证明材料。</w:t>
            </w:r>
          </w:p>
          <w:p w14:paraId="3CA05D1B">
            <w:pPr>
              <w:pStyle w:val="71"/>
              <w:autoSpaceDE w:val="0"/>
              <w:autoSpaceDN w:val="0"/>
              <w:adjustRightInd w:val="0"/>
              <w:spacing w:line="360" w:lineRule="auto"/>
              <w:ind w:left="0" w:leftChars="0" w:firstLine="0" w:firstLineChars="0"/>
              <w:contextualSpacing/>
              <w:rPr>
                <w:rFonts w:ascii="宋体" w:hAnsi="宋体"/>
                <w:color w:val="auto"/>
                <w:kern w:val="0"/>
                <w:sz w:val="24"/>
                <w:highlight w:val="none"/>
                <w:lang w:val="zh-CN"/>
              </w:rPr>
            </w:pPr>
            <w:r>
              <w:rPr>
                <w:rFonts w:hint="eastAsia" w:ascii="宋体" w:hAnsi="宋体"/>
                <w:color w:val="auto"/>
                <w:kern w:val="0"/>
                <w:sz w:val="24"/>
                <w:highlight w:val="none"/>
                <w:lang w:val="zh-CN"/>
              </w:rPr>
              <w:t>4）参加政府采购活动前3年内在经营活动中没有重大违法记录的书面声明。</w:t>
            </w:r>
          </w:p>
          <w:p w14:paraId="3CA3FA2F">
            <w:pPr>
              <w:pStyle w:val="71"/>
              <w:autoSpaceDE w:val="0"/>
              <w:autoSpaceDN w:val="0"/>
              <w:adjustRightInd w:val="0"/>
              <w:spacing w:line="360" w:lineRule="auto"/>
              <w:ind w:left="0" w:leftChars="0" w:firstLine="0" w:firstLineChars="0"/>
              <w:contextualSpacing/>
              <w:rPr>
                <w:rFonts w:hint="eastAsia" w:ascii="宋体" w:hAnsi="宋体"/>
                <w:color w:val="auto"/>
                <w:kern w:val="0"/>
                <w:sz w:val="24"/>
                <w:highlight w:val="none"/>
                <w:lang w:val="zh-CN"/>
              </w:rPr>
            </w:pPr>
            <w:r>
              <w:rPr>
                <w:rFonts w:hint="eastAsia" w:ascii="宋体" w:hAnsi="宋体"/>
                <w:color w:val="auto"/>
                <w:kern w:val="0"/>
                <w:sz w:val="24"/>
                <w:highlight w:val="none"/>
                <w:lang w:val="zh-CN"/>
              </w:rPr>
              <w:t>5）具备法律、行政法规规定的其他条件的证明材料。</w:t>
            </w:r>
          </w:p>
          <w:p w14:paraId="03669A79">
            <w:pPr>
              <w:pStyle w:val="71"/>
              <w:autoSpaceDE w:val="0"/>
              <w:autoSpaceDN w:val="0"/>
              <w:adjustRightInd w:val="0"/>
              <w:spacing w:line="360" w:lineRule="auto"/>
              <w:ind w:left="0" w:leftChars="0" w:firstLine="0" w:firstLineChars="0"/>
              <w:contextualSpacing/>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2、落实政府采购政策需满足的资格要求：本项目专门面向中小微企业采购（监狱企业、残疾人福利性单位视同小型、微型企业）。</w:t>
            </w:r>
          </w:p>
          <w:p w14:paraId="75D94C7B">
            <w:pPr>
              <w:pStyle w:val="71"/>
              <w:autoSpaceDE w:val="0"/>
              <w:autoSpaceDN w:val="0"/>
              <w:adjustRightInd w:val="0"/>
              <w:spacing w:line="360" w:lineRule="auto"/>
              <w:ind w:left="0" w:leftChars="0" w:firstLine="0" w:firstLineChars="0"/>
              <w:contextualSpacing/>
              <w:rPr>
                <w:rFonts w:ascii="宋体" w:hAnsi="宋体"/>
                <w:color w:val="auto"/>
                <w:kern w:val="0"/>
                <w:sz w:val="24"/>
                <w:highlight w:val="none"/>
                <w:lang w:val="zh-CN"/>
              </w:rPr>
            </w:pPr>
            <w:r>
              <w:rPr>
                <w:rFonts w:hint="eastAsia" w:ascii="宋体" w:hAnsi="宋体"/>
                <w:color w:val="auto"/>
                <w:kern w:val="0"/>
                <w:sz w:val="24"/>
                <w:highlight w:val="none"/>
                <w:lang w:val="en-US" w:eastAsia="zh-CN"/>
              </w:rPr>
              <w:t>3、</w:t>
            </w:r>
            <w:r>
              <w:rPr>
                <w:rFonts w:hint="eastAsia" w:ascii="宋体" w:hAnsi="宋体"/>
                <w:color w:val="auto"/>
                <w:kern w:val="0"/>
                <w:sz w:val="24"/>
                <w:highlight w:val="none"/>
                <w:lang w:val="zh-CN"/>
              </w:rPr>
              <w:t>单位负责人为同一人或者存在直接控股、管理关系的不同供应商，不得参加同一合同项下的政府采购活动。否则，皆取消磋商资格。</w:t>
            </w:r>
          </w:p>
          <w:p w14:paraId="7BC49806">
            <w:pPr>
              <w:pStyle w:val="71"/>
              <w:autoSpaceDE w:val="0"/>
              <w:autoSpaceDN w:val="0"/>
              <w:adjustRightInd w:val="0"/>
              <w:spacing w:line="360" w:lineRule="auto"/>
              <w:ind w:left="0" w:leftChars="0" w:firstLine="0" w:firstLineChars="0"/>
              <w:contextualSpacing/>
              <w:rPr>
                <w:rFonts w:ascii="宋体" w:hAnsi="宋体"/>
                <w:color w:val="auto"/>
                <w:kern w:val="0"/>
                <w:sz w:val="24"/>
                <w:highlight w:val="none"/>
                <w:lang w:val="zh-CN"/>
              </w:rPr>
            </w:pPr>
            <w:r>
              <w:rPr>
                <w:rFonts w:hint="eastAsia" w:ascii="宋体" w:hAnsi="宋体"/>
                <w:color w:val="auto"/>
                <w:kern w:val="0"/>
                <w:sz w:val="24"/>
                <w:highlight w:val="none"/>
                <w:lang w:val="en-US" w:eastAsia="zh-CN"/>
              </w:rPr>
              <w:t>4、</w:t>
            </w:r>
            <w:r>
              <w:rPr>
                <w:rFonts w:hint="eastAsia" w:ascii="宋体" w:hAnsi="宋体"/>
                <w:color w:val="auto"/>
                <w:kern w:val="0"/>
                <w:sz w:val="24"/>
                <w:highlight w:val="none"/>
                <w:lang w:val="zh-CN"/>
              </w:rPr>
              <w:t>为本采购项目提供整体设计、规范编制或者项目管理、监理、检测等服务的供应商，不得再参加该采购项目的其他采购活动。</w:t>
            </w:r>
          </w:p>
          <w:p w14:paraId="67B8B924">
            <w:pPr>
              <w:pStyle w:val="71"/>
              <w:autoSpaceDE w:val="0"/>
              <w:autoSpaceDN w:val="0"/>
              <w:adjustRightInd w:val="0"/>
              <w:spacing w:line="360" w:lineRule="auto"/>
              <w:ind w:left="0" w:leftChars="0" w:firstLine="0" w:firstLineChars="0"/>
              <w:contextualSpacing/>
              <w:rPr>
                <w:rFonts w:hint="eastAsia" w:ascii="宋体" w:hAnsi="宋体"/>
                <w:color w:val="auto"/>
                <w:kern w:val="0"/>
                <w:sz w:val="24"/>
                <w:highlight w:val="none"/>
                <w:lang w:val="zh-CN" w:eastAsia="zh-CN"/>
              </w:rPr>
            </w:pPr>
            <w:r>
              <w:rPr>
                <w:rFonts w:hint="eastAsia" w:ascii="宋体" w:hAnsi="宋体"/>
                <w:color w:val="auto"/>
                <w:kern w:val="0"/>
                <w:sz w:val="24"/>
                <w:highlight w:val="none"/>
                <w:lang w:val="en-US" w:eastAsia="zh-CN"/>
              </w:rPr>
              <w:t>5、</w:t>
            </w:r>
            <w:r>
              <w:rPr>
                <w:rFonts w:hint="eastAsia" w:ascii="宋体" w:hAnsi="宋体"/>
                <w:color w:val="auto"/>
                <w:kern w:val="0"/>
                <w:sz w:val="24"/>
                <w:highlight w:val="none"/>
                <w:lang w:val="zh-CN" w:eastAsia="zh-CN"/>
              </w:rPr>
              <w:t>经信用中国（www.creditchina.gov.cn）、中国政府采购网（www.ccgp.gov.cn）渠道查询后，列入失信被执行人、重大税收违法案件当事人名单、政府采购严重违法失信行为记录名单的，取消投标资格。（提供“信用中国”、“中国政府采购网”网站查询截图，时间为投标截止时间前</w:t>
            </w:r>
            <w:r>
              <w:rPr>
                <w:rFonts w:hint="eastAsia" w:ascii="宋体" w:hAnsi="宋体"/>
                <w:color w:val="auto"/>
                <w:kern w:val="0"/>
                <w:sz w:val="24"/>
                <w:highlight w:val="none"/>
                <w:lang w:val="en-US" w:eastAsia="zh-CN"/>
              </w:rPr>
              <w:t>10</w:t>
            </w:r>
            <w:r>
              <w:rPr>
                <w:rFonts w:hint="eastAsia" w:ascii="宋体" w:hAnsi="宋体"/>
                <w:color w:val="auto"/>
                <w:kern w:val="0"/>
                <w:sz w:val="24"/>
                <w:highlight w:val="none"/>
                <w:lang w:val="zh-CN" w:eastAsia="zh-CN"/>
              </w:rPr>
              <w:t>天内）。</w:t>
            </w:r>
          </w:p>
          <w:p w14:paraId="677DAC8E">
            <w:pPr>
              <w:pStyle w:val="71"/>
              <w:autoSpaceDE w:val="0"/>
              <w:autoSpaceDN w:val="0"/>
              <w:adjustRightInd w:val="0"/>
              <w:spacing w:line="360" w:lineRule="auto"/>
              <w:ind w:left="0" w:leftChars="0" w:firstLine="0" w:firstLineChars="0"/>
              <w:contextualSpacing/>
              <w:rPr>
                <w:rFonts w:ascii="宋体" w:hAnsi="宋体"/>
                <w:color w:val="auto"/>
                <w:kern w:val="0"/>
                <w:sz w:val="24"/>
                <w:highlight w:val="none"/>
              </w:rPr>
            </w:pPr>
            <w:r>
              <w:rPr>
                <w:rFonts w:hint="eastAsia" w:ascii="宋体" w:hAnsi="宋体"/>
                <w:color w:val="auto"/>
                <w:kern w:val="0"/>
                <w:sz w:val="24"/>
                <w:highlight w:val="none"/>
                <w:lang w:val="en-US" w:eastAsia="zh-CN"/>
              </w:rPr>
              <w:t>6、</w:t>
            </w:r>
            <w:r>
              <w:rPr>
                <w:rFonts w:hint="eastAsia" w:ascii="宋体" w:hAnsi="宋体"/>
                <w:color w:val="auto"/>
                <w:kern w:val="0"/>
                <w:sz w:val="24"/>
                <w:highlight w:val="none"/>
                <w:lang w:val="zh-CN"/>
              </w:rPr>
              <w:t>本项目不接受以联合体方式进行投标。</w:t>
            </w:r>
          </w:p>
        </w:tc>
      </w:tr>
      <w:tr w14:paraId="6A507C07">
        <w:tblPrEx>
          <w:shd w:val="clear" w:color="auto" w:fill="auto"/>
          <w:tblCellMar>
            <w:top w:w="0" w:type="dxa"/>
            <w:left w:w="57" w:type="dxa"/>
            <w:bottom w:w="0" w:type="dxa"/>
            <w:right w:w="57" w:type="dxa"/>
          </w:tblCellMar>
        </w:tblPrEx>
        <w:trPr>
          <w:trHeight w:val="552" w:hRule="atLeast"/>
          <w:jc w:val="center"/>
        </w:trPr>
        <w:tc>
          <w:tcPr>
            <w:tcW w:w="653" w:type="dxa"/>
            <w:tcBorders>
              <w:top w:val="single" w:color="000000" w:sz="6" w:space="0"/>
              <w:left w:val="single" w:color="000000" w:sz="6" w:space="0"/>
              <w:right w:val="single" w:color="000000" w:sz="6" w:space="0"/>
            </w:tcBorders>
            <w:shd w:val="clear" w:color="auto" w:fill="auto"/>
            <w:vAlign w:val="center"/>
          </w:tcPr>
          <w:p w14:paraId="5464C892">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rPr>
            </w:pPr>
          </w:p>
        </w:tc>
        <w:tc>
          <w:tcPr>
            <w:tcW w:w="2098" w:type="dxa"/>
            <w:tcBorders>
              <w:top w:val="single" w:color="000000" w:sz="6" w:space="0"/>
              <w:left w:val="single" w:color="000000" w:sz="6" w:space="0"/>
              <w:right w:val="single" w:color="000000" w:sz="6" w:space="0"/>
            </w:tcBorders>
            <w:shd w:val="clear" w:color="auto" w:fill="auto"/>
            <w:vAlign w:val="center"/>
          </w:tcPr>
          <w:p w14:paraId="5F921DFA">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磋商保证金</w:t>
            </w:r>
          </w:p>
        </w:tc>
        <w:tc>
          <w:tcPr>
            <w:tcW w:w="7682" w:type="dxa"/>
            <w:tcBorders>
              <w:top w:val="single" w:color="000000" w:sz="6" w:space="0"/>
              <w:left w:val="single" w:color="000000" w:sz="6" w:space="0"/>
              <w:right w:val="single" w:color="000000" w:sz="6" w:space="0"/>
            </w:tcBorders>
            <w:shd w:val="clear" w:color="auto" w:fill="auto"/>
          </w:tcPr>
          <w:p w14:paraId="69E03C11">
            <w:pPr>
              <w:pStyle w:val="62"/>
              <w:spacing w:line="360" w:lineRule="auto"/>
              <w:rPr>
                <w:rFonts w:ascii="宋体" w:hAnsi="宋体" w:cs="宋体"/>
                <w:bCs/>
                <w:color w:val="auto"/>
                <w:kern w:val="0"/>
                <w:sz w:val="24"/>
                <w:highlight w:val="none"/>
                <w:lang w:val="zh-CN"/>
              </w:rPr>
            </w:pPr>
            <w:bookmarkStart w:id="67" w:name="_Toc421873478"/>
            <w:bookmarkStart w:id="68" w:name="_Toc444762753"/>
            <w:bookmarkStart w:id="69" w:name="_Toc435175539"/>
            <w:bookmarkStart w:id="70" w:name="_Toc435176391"/>
            <w:r>
              <w:rPr>
                <w:rFonts w:ascii="宋体" w:hAnsi="宋体" w:cs="宋体"/>
                <w:bCs/>
                <w:color w:val="auto"/>
                <w:kern w:val="0"/>
                <w:sz w:val="24"/>
                <w:highlight w:val="none"/>
                <w:lang w:val="zh-CN"/>
              </w:rPr>
              <w:t>各磋商供应商须在磋商响应文件递交截止时间前，缴纳磋商保证金（</w:t>
            </w:r>
            <w:r>
              <w:rPr>
                <w:rFonts w:hint="eastAsia" w:ascii="宋体" w:hAnsi="宋体" w:cs="宋体"/>
                <w:bCs/>
                <w:color w:val="auto"/>
                <w:kern w:val="0"/>
                <w:sz w:val="24"/>
                <w:highlight w:val="none"/>
                <w:lang w:val="zh-CN"/>
              </w:rPr>
              <w:t>磋商</w:t>
            </w:r>
            <w:r>
              <w:rPr>
                <w:rFonts w:ascii="宋体" w:hAnsi="宋体" w:cs="宋体"/>
                <w:bCs/>
                <w:color w:val="auto"/>
                <w:kern w:val="0"/>
                <w:sz w:val="24"/>
                <w:highlight w:val="none"/>
                <w:lang w:val="zh-CN"/>
              </w:rPr>
              <w:t>保证金应当从其基本账户汇出</w:t>
            </w:r>
            <w:bookmarkEnd w:id="67"/>
            <w:r>
              <w:rPr>
                <w:rFonts w:ascii="宋体" w:hAnsi="宋体" w:cs="宋体"/>
                <w:bCs/>
                <w:color w:val="auto"/>
                <w:kern w:val="0"/>
                <w:sz w:val="24"/>
                <w:highlight w:val="none"/>
                <w:lang w:val="zh-CN"/>
              </w:rPr>
              <w:t>，磋商响应文件中须附</w:t>
            </w:r>
            <w:r>
              <w:rPr>
                <w:rFonts w:hint="eastAsia" w:ascii="宋体" w:hAnsi="宋体" w:cs="宋体"/>
                <w:bCs/>
                <w:color w:val="auto"/>
                <w:kern w:val="0"/>
                <w:sz w:val="24"/>
                <w:highlight w:val="none"/>
                <w:lang w:val="zh-CN"/>
              </w:rPr>
              <w:t>企业</w:t>
            </w:r>
            <w:r>
              <w:rPr>
                <w:rFonts w:ascii="宋体" w:hAnsi="宋体" w:cs="宋体"/>
                <w:bCs/>
                <w:color w:val="auto"/>
                <w:kern w:val="0"/>
                <w:sz w:val="24"/>
                <w:highlight w:val="none"/>
                <w:lang w:val="zh-CN"/>
              </w:rPr>
              <w:t>基本账户开户许可证并加盖磋商企业公章）</w:t>
            </w:r>
            <w:bookmarkEnd w:id="68"/>
            <w:bookmarkEnd w:id="69"/>
            <w:bookmarkEnd w:id="70"/>
          </w:p>
          <w:p w14:paraId="1EDB21EA">
            <w:pPr>
              <w:pStyle w:val="62"/>
              <w:spacing w:line="360" w:lineRule="auto"/>
              <w:rPr>
                <w:rFonts w:hint="default" w:ascii="宋体" w:hAnsi="宋体" w:eastAsia="宋体" w:cs="宋体"/>
                <w:b/>
                <w:bCs w:val="0"/>
                <w:color w:val="auto"/>
                <w:kern w:val="0"/>
                <w:sz w:val="24"/>
                <w:highlight w:val="none"/>
                <w:lang w:val="en-US" w:eastAsia="zh-CN"/>
              </w:rPr>
            </w:pPr>
            <w:r>
              <w:rPr>
                <w:rFonts w:hint="eastAsia" w:ascii="宋体" w:hAnsi="宋体" w:cs="宋体"/>
                <w:b/>
                <w:bCs w:val="0"/>
                <w:color w:val="auto"/>
                <w:kern w:val="0"/>
                <w:sz w:val="24"/>
                <w:highlight w:val="none"/>
                <w:lang w:val="zh-CN"/>
              </w:rPr>
              <w:t>磋商</w:t>
            </w:r>
            <w:r>
              <w:rPr>
                <w:rFonts w:ascii="宋体" w:hAnsi="宋体" w:cs="宋体"/>
                <w:b/>
                <w:bCs w:val="0"/>
                <w:color w:val="auto"/>
                <w:kern w:val="0"/>
                <w:sz w:val="24"/>
                <w:highlight w:val="none"/>
                <w:lang w:val="zh-CN"/>
              </w:rPr>
              <w:t>保证金金额：</w:t>
            </w:r>
            <w:r>
              <w:rPr>
                <w:rFonts w:hint="eastAsia" w:ascii="宋体" w:hAnsi="宋体" w:cs="宋体"/>
                <w:b/>
                <w:bCs w:val="0"/>
                <w:color w:val="auto"/>
                <w:kern w:val="0"/>
                <w:sz w:val="24"/>
                <w:highlight w:val="none"/>
                <w:lang w:val="en-US" w:eastAsia="zh-CN"/>
              </w:rPr>
              <w:t>本项目不需要缴纳保证金</w:t>
            </w:r>
          </w:p>
          <w:p w14:paraId="2DD6FC93">
            <w:pPr>
              <w:pStyle w:val="62"/>
              <w:spacing w:line="360" w:lineRule="auto"/>
              <w:rPr>
                <w:rFonts w:hint="eastAsia" w:ascii="宋体" w:hAnsi="宋体" w:cs="宋体"/>
                <w:bCs/>
                <w:color w:val="auto"/>
                <w:kern w:val="0"/>
                <w:sz w:val="24"/>
                <w:highlight w:val="none"/>
                <w:lang w:val="en-US" w:eastAsia="zh-CN"/>
              </w:rPr>
            </w:pPr>
            <w:r>
              <w:rPr>
                <w:rFonts w:hint="eastAsia" w:ascii="宋体" w:hAnsi="宋体" w:cs="宋体"/>
                <w:bCs/>
                <w:color w:val="auto"/>
                <w:kern w:val="0"/>
                <w:sz w:val="24"/>
                <w:highlight w:val="none"/>
                <w:lang w:val="zh-CN"/>
              </w:rPr>
              <w:t>户  名：</w:t>
            </w:r>
            <w:r>
              <w:rPr>
                <w:rFonts w:hint="eastAsia" w:ascii="宋体" w:hAnsi="宋体" w:cs="宋体"/>
                <w:bCs/>
                <w:color w:val="auto"/>
                <w:kern w:val="0"/>
                <w:sz w:val="24"/>
                <w:highlight w:val="none"/>
                <w:lang w:val="en-US" w:eastAsia="zh-CN"/>
              </w:rPr>
              <w:t>/</w:t>
            </w:r>
          </w:p>
          <w:p w14:paraId="51DF3831">
            <w:pPr>
              <w:pStyle w:val="62"/>
              <w:spacing w:line="360" w:lineRule="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帐  号：</w:t>
            </w:r>
            <w:r>
              <w:rPr>
                <w:rFonts w:hint="eastAsia" w:ascii="宋体" w:hAnsi="宋体" w:cs="宋体"/>
                <w:color w:val="auto"/>
                <w:sz w:val="24"/>
                <w:szCs w:val="24"/>
                <w:highlight w:val="none"/>
                <w:lang w:val="en-US" w:eastAsia="zh-CN"/>
              </w:rPr>
              <w:t>/</w:t>
            </w:r>
          </w:p>
          <w:p w14:paraId="6D6D0FCD">
            <w:pPr>
              <w:pStyle w:val="62"/>
              <w:spacing w:line="360" w:lineRule="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开户行：</w:t>
            </w:r>
            <w:r>
              <w:rPr>
                <w:rFonts w:hint="eastAsia" w:ascii="宋体" w:hAnsi="宋体" w:cs="宋体"/>
                <w:color w:val="auto"/>
                <w:sz w:val="24"/>
                <w:szCs w:val="24"/>
                <w:highlight w:val="none"/>
                <w:lang w:val="en-US" w:eastAsia="zh-CN"/>
              </w:rPr>
              <w:t>/</w:t>
            </w:r>
          </w:p>
          <w:p w14:paraId="3C6DE9B1">
            <w:pPr>
              <w:pStyle w:val="62"/>
              <w:spacing w:line="360" w:lineRule="auto"/>
              <w:rPr>
                <w:rFonts w:hint="default" w:ascii="宋体" w:hAnsi="宋体" w:cs="宋体"/>
                <w:bCs/>
                <w:color w:val="auto"/>
                <w:kern w:val="0"/>
                <w:sz w:val="24"/>
                <w:highlight w:val="none"/>
                <w:lang w:val="en-US"/>
              </w:rPr>
            </w:pPr>
            <w:r>
              <w:rPr>
                <w:rFonts w:hint="eastAsia" w:ascii="宋体" w:hAnsi="宋体" w:cs="宋体"/>
                <w:bCs/>
                <w:color w:val="auto"/>
                <w:kern w:val="0"/>
                <w:sz w:val="24"/>
                <w:highlight w:val="none"/>
              </w:rPr>
              <w:t>款项用途：</w:t>
            </w:r>
            <w:r>
              <w:rPr>
                <w:rFonts w:hint="eastAsia" w:ascii="宋体" w:hAnsi="宋体" w:cs="宋体"/>
                <w:bCs/>
                <w:color w:val="auto"/>
                <w:kern w:val="0"/>
                <w:sz w:val="24"/>
                <w:highlight w:val="none"/>
                <w:lang w:val="en-US" w:eastAsia="zh-CN"/>
              </w:rPr>
              <w:t>/</w:t>
            </w:r>
          </w:p>
          <w:p w14:paraId="667A2C92">
            <w:pPr>
              <w:pStyle w:val="62"/>
              <w:spacing w:line="360" w:lineRule="auto"/>
              <w:rPr>
                <w:rFonts w:ascii="宋体" w:hAnsi="宋体" w:cs="宋体"/>
                <w:color w:val="auto"/>
                <w:kern w:val="0"/>
                <w:highlight w:val="none"/>
                <w:lang w:val="zh-CN"/>
              </w:rPr>
            </w:pPr>
            <w:r>
              <w:rPr>
                <w:rFonts w:hint="eastAsia" w:ascii="宋体" w:hAnsi="宋体" w:cs="宋体"/>
                <w:bCs/>
                <w:color w:val="auto"/>
                <w:kern w:val="0"/>
                <w:sz w:val="24"/>
                <w:highlight w:val="none"/>
                <w:lang w:val="zh-CN"/>
              </w:rPr>
              <w:t>缴费时间：磋商截止时间前提交到以上指定帐户。以银行到账时间为准。</w:t>
            </w:r>
          </w:p>
        </w:tc>
      </w:tr>
      <w:tr w14:paraId="003C9E63">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323211">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E72CA7">
            <w:pPr>
              <w:autoSpaceDE w:val="0"/>
              <w:autoSpaceDN w:val="0"/>
              <w:spacing w:line="360" w:lineRule="auto"/>
              <w:jc w:val="left"/>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交货期</w:t>
            </w:r>
          </w:p>
        </w:tc>
        <w:tc>
          <w:tcPr>
            <w:tcW w:w="7682" w:type="dxa"/>
            <w:tcBorders>
              <w:top w:val="single" w:color="000000" w:sz="6" w:space="0"/>
              <w:left w:val="single" w:color="000000" w:sz="6" w:space="0"/>
              <w:bottom w:val="single" w:color="000000" w:sz="6" w:space="0"/>
              <w:right w:val="single" w:color="000000" w:sz="6" w:space="0"/>
            </w:tcBorders>
            <w:shd w:val="clear" w:color="auto" w:fill="auto"/>
          </w:tcPr>
          <w:p w14:paraId="4BA57DF0">
            <w:pPr>
              <w:autoSpaceDE w:val="0"/>
              <w:autoSpaceDN w:val="0"/>
              <w:spacing w:line="360" w:lineRule="auto"/>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自合同签订之日起90个日历日</w:t>
            </w:r>
          </w:p>
        </w:tc>
      </w:tr>
      <w:tr w14:paraId="0389B963">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C131E4">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47FBA5">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递交响应文件方式</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484277">
            <w:pPr>
              <w:keepNext w:val="0"/>
              <w:keepLines w:val="0"/>
              <w:pageBreakBefore w:val="0"/>
              <w:widowControl w:val="0"/>
              <w:kinsoku/>
              <w:wordWrap/>
              <w:overflowPunct/>
              <w:topLinePunct w:val="0"/>
              <w:bidi w:val="0"/>
              <w:snapToGrid/>
              <w:spacing w:line="440" w:lineRule="exact"/>
              <w:textAlignment w:val="auto"/>
              <w:rPr>
                <w:rFonts w:hint="eastAsia" w:ascii="宋体" w:hAnsi="宋体" w:cs="宋体"/>
                <w:b w:val="0"/>
                <w:bCs w:val="0"/>
                <w:color w:val="auto"/>
                <w:sz w:val="24"/>
                <w:highlight w:val="none"/>
                <w:lang w:val="zh-CN"/>
              </w:rPr>
            </w:pPr>
            <w:r>
              <w:rPr>
                <w:rFonts w:hint="eastAsia" w:ascii="宋体" w:hAnsi="宋体" w:cs="宋体"/>
                <w:b w:val="0"/>
                <w:bCs w:val="0"/>
                <w:color w:val="auto"/>
                <w:sz w:val="24"/>
                <w:highlight w:val="none"/>
                <w:lang w:val="zh-CN"/>
              </w:rPr>
              <w:t>线上递交</w:t>
            </w:r>
          </w:p>
          <w:p w14:paraId="03C67FA3">
            <w:pPr>
              <w:keepNext w:val="0"/>
              <w:keepLines w:val="0"/>
              <w:pageBreakBefore w:val="0"/>
              <w:widowControl w:val="0"/>
              <w:kinsoku/>
              <w:wordWrap/>
              <w:overflowPunct/>
              <w:topLinePunct w:val="0"/>
              <w:bidi w:val="0"/>
              <w:snapToGrid/>
              <w:spacing w:line="440" w:lineRule="exact"/>
              <w:textAlignment w:val="auto"/>
              <w:rPr>
                <w:rFonts w:hAnsi="宋体" w:cs="宋体"/>
                <w:b w:val="0"/>
                <w:bCs w:val="0"/>
                <w:color w:val="auto"/>
                <w:sz w:val="24"/>
                <w:highlight w:val="none"/>
                <w:lang w:val="zh-CN"/>
              </w:rPr>
            </w:pPr>
            <w:r>
              <w:rPr>
                <w:rFonts w:hint="eastAsia" w:ascii="宋体" w:hAnsi="宋体" w:cs="宋体"/>
                <w:b w:val="0"/>
                <w:bCs w:val="0"/>
                <w:color w:val="auto"/>
                <w:sz w:val="24"/>
                <w:highlight w:val="none"/>
                <w:lang w:val="zh-CN"/>
              </w:rPr>
              <w:t>本项目在政采云平台（https://www.zcygov.cn/）上提交电子响应文件，逾期未完成提交的，将视为放弃此次投标活动。</w:t>
            </w:r>
          </w:p>
        </w:tc>
      </w:tr>
      <w:tr w14:paraId="48743E67">
        <w:tblPrEx>
          <w:shd w:val="clear" w:color="auto" w:fill="auto"/>
          <w:tblCellMar>
            <w:top w:w="0" w:type="dxa"/>
            <w:left w:w="57" w:type="dxa"/>
            <w:bottom w:w="0" w:type="dxa"/>
            <w:right w:w="57" w:type="dxa"/>
          </w:tblCellMar>
        </w:tblPrEx>
        <w:trPr>
          <w:trHeight w:val="892"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5528AE">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7DC684">
            <w:pPr>
              <w:keepNext w:val="0"/>
              <w:keepLines w:val="0"/>
              <w:pageBreakBefore w:val="0"/>
              <w:widowControl w:val="0"/>
              <w:kinsoku/>
              <w:wordWrap/>
              <w:overflowPunct/>
              <w:topLinePunct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rPr>
              <w:t>提交响应文件截止时间</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6181C1">
            <w:pPr>
              <w:keepNext w:val="0"/>
              <w:keepLines w:val="0"/>
              <w:pageBreakBefore w:val="0"/>
              <w:widowControl w:val="0"/>
              <w:kinsoku/>
              <w:wordWrap/>
              <w:overflowPunct/>
              <w:topLinePunct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eastAsia="zh-CN"/>
              </w:rPr>
              <w:t>202</w:t>
            </w:r>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lang w:eastAsia="zh-CN"/>
              </w:rPr>
              <w:t>年0</w:t>
            </w:r>
            <w:r>
              <w:rPr>
                <w:rFonts w:hint="eastAsia" w:ascii="宋体" w:hAnsi="宋体" w:cs="宋体"/>
                <w:b w:val="0"/>
                <w:bCs w:val="0"/>
                <w:color w:val="auto"/>
                <w:sz w:val="24"/>
                <w:highlight w:val="none"/>
                <w:lang w:val="en-US" w:eastAsia="zh-CN"/>
              </w:rPr>
              <w:t>7</w:t>
            </w:r>
            <w:r>
              <w:rPr>
                <w:rFonts w:hint="eastAsia" w:ascii="宋体" w:hAnsi="宋体" w:cs="宋体"/>
                <w:b w:val="0"/>
                <w:bCs w:val="0"/>
                <w:color w:val="auto"/>
                <w:sz w:val="24"/>
                <w:highlight w:val="none"/>
                <w:lang w:eastAsia="zh-CN"/>
              </w:rPr>
              <w:t>月</w:t>
            </w:r>
            <w:r>
              <w:rPr>
                <w:rFonts w:hint="eastAsia" w:ascii="宋体" w:hAnsi="宋体" w:cs="宋体"/>
                <w:b w:val="0"/>
                <w:bCs w:val="0"/>
                <w:color w:val="auto"/>
                <w:sz w:val="24"/>
                <w:highlight w:val="none"/>
                <w:lang w:val="en-US" w:eastAsia="zh-CN"/>
              </w:rPr>
              <w:t>04</w:t>
            </w:r>
            <w:r>
              <w:rPr>
                <w:rFonts w:hint="eastAsia" w:ascii="宋体" w:hAnsi="宋体" w:cs="宋体"/>
                <w:b w:val="0"/>
                <w:bCs w:val="0"/>
                <w:color w:val="auto"/>
                <w:sz w:val="24"/>
                <w:highlight w:val="none"/>
                <w:lang w:eastAsia="zh-CN"/>
              </w:rPr>
              <w:t>日上午09时00分（北京时间）</w:t>
            </w:r>
          </w:p>
        </w:tc>
      </w:tr>
      <w:tr w14:paraId="15F7788A">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D3F6E1">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00842C">
            <w:pPr>
              <w:keepNext w:val="0"/>
              <w:keepLines w:val="0"/>
              <w:pageBreakBefore w:val="0"/>
              <w:widowControl w:val="0"/>
              <w:kinsoku/>
              <w:wordWrap/>
              <w:overflowPunct/>
              <w:topLinePunct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rPr>
              <w:t>响应文件开启时间</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9DFF50">
            <w:pPr>
              <w:keepNext w:val="0"/>
              <w:keepLines w:val="0"/>
              <w:pageBreakBefore w:val="0"/>
              <w:widowControl w:val="0"/>
              <w:kinsoku/>
              <w:wordWrap/>
              <w:overflowPunct/>
              <w:topLinePunct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eastAsia="zh-CN"/>
              </w:rPr>
              <w:t>202</w:t>
            </w:r>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lang w:eastAsia="zh-CN"/>
              </w:rPr>
              <w:t>年0</w:t>
            </w:r>
            <w:r>
              <w:rPr>
                <w:rFonts w:hint="eastAsia" w:ascii="宋体" w:hAnsi="宋体" w:cs="宋体"/>
                <w:b w:val="0"/>
                <w:bCs w:val="0"/>
                <w:color w:val="auto"/>
                <w:sz w:val="24"/>
                <w:highlight w:val="none"/>
                <w:lang w:val="en-US" w:eastAsia="zh-CN"/>
              </w:rPr>
              <w:t>7</w:t>
            </w:r>
            <w:r>
              <w:rPr>
                <w:rFonts w:hint="eastAsia" w:ascii="宋体" w:hAnsi="宋体" w:cs="宋体"/>
                <w:b w:val="0"/>
                <w:bCs w:val="0"/>
                <w:color w:val="auto"/>
                <w:sz w:val="24"/>
                <w:highlight w:val="none"/>
                <w:lang w:eastAsia="zh-CN"/>
              </w:rPr>
              <w:t>月</w:t>
            </w:r>
            <w:r>
              <w:rPr>
                <w:rFonts w:hint="eastAsia" w:ascii="宋体" w:hAnsi="宋体" w:cs="宋体"/>
                <w:b w:val="0"/>
                <w:bCs w:val="0"/>
                <w:color w:val="auto"/>
                <w:sz w:val="24"/>
                <w:highlight w:val="none"/>
                <w:lang w:val="en-US" w:eastAsia="zh-CN"/>
              </w:rPr>
              <w:t>04</w:t>
            </w:r>
            <w:r>
              <w:rPr>
                <w:rFonts w:hint="eastAsia" w:ascii="宋体" w:hAnsi="宋体" w:cs="宋体"/>
                <w:b w:val="0"/>
                <w:bCs w:val="0"/>
                <w:color w:val="auto"/>
                <w:sz w:val="24"/>
                <w:highlight w:val="none"/>
                <w:lang w:eastAsia="zh-CN"/>
              </w:rPr>
              <w:t>日上午09时00分（北京时间）</w:t>
            </w:r>
          </w:p>
        </w:tc>
      </w:tr>
      <w:tr w14:paraId="3CEDBAF9">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05A4D7">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282F5E">
            <w:pPr>
              <w:keepNext w:val="0"/>
              <w:keepLines w:val="0"/>
              <w:pageBreakBefore w:val="0"/>
              <w:widowControl w:val="0"/>
              <w:kinsoku/>
              <w:wordWrap/>
              <w:overflowPunct/>
              <w:topLinePunct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rPr>
              <w:t>提交响应文件地点</w:t>
            </w:r>
          </w:p>
        </w:tc>
        <w:tc>
          <w:tcPr>
            <w:tcW w:w="7682"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88B9831">
            <w:pPr>
              <w:keepNext w:val="0"/>
              <w:keepLines w:val="0"/>
              <w:pageBreakBefore w:val="0"/>
              <w:widowControl w:val="0"/>
              <w:kinsoku/>
              <w:wordWrap/>
              <w:overflowPunct/>
              <w:topLinePunct w:val="0"/>
              <w:bidi w:val="0"/>
              <w:snapToGrid/>
              <w:spacing w:line="440" w:lineRule="exact"/>
              <w:jc w:val="left"/>
              <w:textAlignment w:val="auto"/>
              <w:rPr>
                <w:rFonts w:hint="eastAsia" w:ascii="宋体" w:hAnsi="宋体" w:eastAsia="宋体"/>
                <w:b w:val="0"/>
                <w:bCs w:val="0"/>
                <w:color w:val="auto"/>
                <w:kern w:val="0"/>
                <w:sz w:val="24"/>
                <w:highlight w:val="none"/>
                <w:lang w:eastAsia="zh-CN"/>
              </w:rPr>
            </w:pPr>
            <w:r>
              <w:rPr>
                <w:rFonts w:hint="eastAsia" w:ascii="宋体" w:hAnsi="宋体" w:cs="宋体"/>
                <w:b w:val="0"/>
                <w:bCs w:val="0"/>
                <w:color w:val="auto"/>
                <w:sz w:val="24"/>
                <w:highlight w:val="none"/>
                <w:lang w:val="zh-CN"/>
              </w:rPr>
              <w:t>政采云平台</w:t>
            </w:r>
            <w:r>
              <w:rPr>
                <w:rFonts w:hint="eastAsia" w:ascii="宋体" w:hAnsi="宋体" w:cs="宋体"/>
                <w:b w:val="0"/>
                <w:bCs w:val="0"/>
                <w:color w:val="auto"/>
                <w:sz w:val="24"/>
                <w:highlight w:val="none"/>
              </w:rPr>
              <w:t>（https://www.zcygov.cn/）</w:t>
            </w:r>
          </w:p>
        </w:tc>
      </w:tr>
      <w:tr w14:paraId="5713DA71">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17DA8B">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DAAF8E">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答疑澄清方式</w:t>
            </w:r>
          </w:p>
        </w:tc>
        <w:tc>
          <w:tcPr>
            <w:tcW w:w="7682" w:type="dxa"/>
            <w:tcBorders>
              <w:top w:val="outset" w:color="000000" w:sz="6" w:space="0"/>
              <w:left w:val="outset" w:color="000000" w:sz="6" w:space="0"/>
              <w:bottom w:val="outset" w:color="000000" w:sz="6" w:space="0"/>
              <w:right w:val="outset" w:color="000000" w:sz="6" w:space="0"/>
            </w:tcBorders>
            <w:shd w:val="clear" w:color="auto" w:fill="auto"/>
            <w:vAlign w:val="top"/>
          </w:tcPr>
          <w:p w14:paraId="130E778E">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b w:val="0"/>
                <w:bCs w:val="0"/>
                <w:color w:val="auto"/>
                <w:sz w:val="24"/>
                <w:highlight w:val="none"/>
              </w:rPr>
            </w:pPr>
            <w:r>
              <w:rPr>
                <w:rFonts w:hint="eastAsia"/>
                <w:b w:val="0"/>
                <w:bCs w:val="0"/>
                <w:color w:val="auto"/>
                <w:sz w:val="24"/>
                <w:highlight w:val="none"/>
              </w:rPr>
              <w:t>线上答疑</w:t>
            </w:r>
          </w:p>
          <w:p w14:paraId="2C18E983">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ascii="宋体" w:hAnsi="宋体" w:eastAsia="宋体"/>
                <w:b w:val="0"/>
                <w:bCs w:val="0"/>
                <w:color w:val="auto"/>
                <w:kern w:val="0"/>
                <w:sz w:val="24"/>
                <w:highlight w:val="none"/>
                <w:lang w:eastAsia="zh-CN"/>
              </w:rPr>
            </w:pPr>
            <w:r>
              <w:rPr>
                <w:rFonts w:hint="eastAsia" w:ascii="宋体" w:hAnsi="宋体" w:eastAsia="宋体" w:cs="宋体"/>
                <w:b w:val="0"/>
                <w:bCs w:val="0"/>
                <w:color w:val="auto"/>
                <w:sz w:val="24"/>
                <w:highlight w:val="none"/>
              </w:rPr>
              <w:t>磋商小组根据投标情况确定答疑时间，答疑或澄清在</w:t>
            </w:r>
            <w:r>
              <w:rPr>
                <w:rFonts w:hint="eastAsia" w:ascii="宋体" w:hAnsi="宋体" w:eastAsia="宋体" w:cs="宋体"/>
                <w:b w:val="0"/>
                <w:bCs w:val="0"/>
                <w:color w:val="auto"/>
                <w:sz w:val="24"/>
                <w:highlight w:val="none"/>
                <w:lang w:eastAsia="zh-CN"/>
              </w:rPr>
              <w:t>政采云平台（https://www.zcygov.cn/）</w:t>
            </w:r>
            <w:r>
              <w:rPr>
                <w:rFonts w:hint="eastAsia" w:ascii="宋体" w:hAnsi="宋体" w:eastAsia="宋体" w:cs="宋体"/>
                <w:b w:val="0"/>
                <w:bCs w:val="0"/>
                <w:color w:val="auto"/>
                <w:sz w:val="24"/>
                <w:highlight w:val="none"/>
              </w:rPr>
              <w:t>上进行，供应商可在</w:t>
            </w:r>
            <w:r>
              <w:rPr>
                <w:rFonts w:hint="eastAsia" w:ascii="宋体" w:hAnsi="宋体" w:eastAsia="宋体" w:cs="宋体"/>
                <w:b w:val="0"/>
                <w:bCs w:val="0"/>
                <w:color w:val="auto"/>
                <w:sz w:val="24"/>
                <w:highlight w:val="none"/>
                <w:lang w:eastAsia="zh-CN"/>
              </w:rPr>
              <w:t>政采云平台（https://www.zcygov.cn/）</w:t>
            </w:r>
            <w:r>
              <w:rPr>
                <w:rFonts w:hint="eastAsia" w:ascii="宋体" w:hAnsi="宋体" w:eastAsia="宋体" w:cs="宋体"/>
                <w:b w:val="0"/>
                <w:bCs w:val="0"/>
                <w:color w:val="auto"/>
                <w:sz w:val="24"/>
                <w:highlight w:val="none"/>
              </w:rPr>
              <w:t>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w:t>
            </w:r>
            <w:r>
              <w:rPr>
                <w:rFonts w:hint="eastAsia" w:ascii="宋体" w:hAnsi="宋体" w:eastAsia="宋体" w:cs="宋体"/>
                <w:b w:val="0"/>
                <w:bCs w:val="0"/>
                <w:color w:val="auto"/>
                <w:sz w:val="24"/>
                <w:highlight w:val="none"/>
                <w:lang w:val="en-US" w:eastAsia="zh-CN"/>
              </w:rPr>
              <w:t>在</w:t>
            </w:r>
            <w:r>
              <w:rPr>
                <w:rFonts w:hint="eastAsia" w:ascii="宋体" w:hAnsi="宋体" w:eastAsia="宋体" w:cs="宋体"/>
                <w:b w:val="0"/>
                <w:bCs w:val="0"/>
                <w:color w:val="auto"/>
                <w:sz w:val="24"/>
                <w:highlight w:val="none"/>
                <w:lang w:eastAsia="zh-CN"/>
              </w:rPr>
              <w:t>政采云平台（https://www.zcygov.cn/）</w:t>
            </w:r>
            <w:r>
              <w:rPr>
                <w:rFonts w:hint="eastAsia" w:ascii="宋体" w:hAnsi="宋体" w:eastAsia="宋体" w:cs="宋体"/>
                <w:b w:val="0"/>
                <w:bCs w:val="0"/>
                <w:color w:val="auto"/>
                <w:sz w:val="24"/>
                <w:highlight w:val="none"/>
              </w:rPr>
              <w:t>上答疑者，视同放弃答疑。</w:t>
            </w:r>
          </w:p>
        </w:tc>
      </w:tr>
      <w:tr w14:paraId="66F2AE4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831593">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8AF57D">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代理服务费收取</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top"/>
          </w:tcPr>
          <w:p w14:paraId="78DD45A0">
            <w:pPr>
              <w:keepNext w:val="0"/>
              <w:keepLines w:val="0"/>
              <w:pageBreakBefore w:val="0"/>
              <w:widowControl w:val="0"/>
              <w:kinsoku/>
              <w:wordWrap/>
              <w:overflowPunct/>
              <w:topLinePunct w:val="0"/>
              <w:autoSpaceDE w:val="0"/>
              <w:autoSpaceDN w:val="0"/>
              <w:bidi w:val="0"/>
              <w:snapToGrid/>
              <w:spacing w:line="440" w:lineRule="exact"/>
              <w:textAlignment w:val="auto"/>
              <w:rPr>
                <w:rFonts w:hint="default" w:ascii="宋体" w:hAnsi="宋体" w:eastAsia="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按照国家发展改革委文件（会计计价字〔2002〕1980号文件、计价〔2002〕10号等文件）计价向采购人一次性收取23056.00元。</w:t>
            </w:r>
          </w:p>
        </w:tc>
      </w:tr>
      <w:tr w14:paraId="687F65D8">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C28481">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C3FEB0">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合同签订有效期</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top"/>
          </w:tcPr>
          <w:p w14:paraId="2EE7DDBA">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自成交通知书发出之日起</w:t>
            </w:r>
            <w:r>
              <w:rPr>
                <w:rFonts w:hint="eastAsia" w:ascii="宋体" w:hAnsi="宋体" w:cs="宋体"/>
                <w:b w:val="0"/>
                <w:bCs w:val="0"/>
                <w:color w:val="auto"/>
                <w:sz w:val="24"/>
                <w:highlight w:val="none"/>
              </w:rPr>
              <w:t>30</w:t>
            </w:r>
            <w:r>
              <w:rPr>
                <w:rFonts w:hint="eastAsia" w:ascii="宋体" w:hAnsi="宋体" w:cs="宋体"/>
                <w:b w:val="0"/>
                <w:bCs w:val="0"/>
                <w:color w:val="auto"/>
                <w:sz w:val="24"/>
                <w:highlight w:val="none"/>
                <w:lang w:val="zh-CN"/>
              </w:rPr>
              <w:t>日内与采购人签订合同</w:t>
            </w:r>
          </w:p>
        </w:tc>
      </w:tr>
      <w:tr w14:paraId="3720A23C">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819A44">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25B228">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政府采购合同备案</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top"/>
          </w:tcPr>
          <w:p w14:paraId="4BB99F09">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ascii="宋体" w:hAnsi="宋体" w:cs="宋体"/>
                <w:b w:val="0"/>
                <w:bCs w:val="0"/>
                <w:color w:val="auto"/>
                <w:sz w:val="24"/>
                <w:highlight w:val="none"/>
                <w:lang w:val="zh-CN"/>
              </w:rPr>
            </w:pPr>
            <w:r>
              <w:rPr>
                <w:rFonts w:hint="eastAsia" w:ascii="宋体" w:hAnsi="宋体" w:cs="宋体"/>
                <w:b w:val="0"/>
                <w:bCs w:val="0"/>
                <w:color w:val="auto"/>
                <w:sz w:val="24"/>
                <w:highlight w:val="none"/>
                <w:lang w:val="zh-CN"/>
              </w:rPr>
              <w:t>采购合同全数返回采购代理机构鉴证，盖章。</w:t>
            </w:r>
          </w:p>
          <w:p w14:paraId="56C465C3">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采购代理机构留存</w:t>
            </w:r>
            <w:r>
              <w:rPr>
                <w:rFonts w:hint="eastAsia" w:ascii="宋体" w:hAnsi="宋体" w:cs="宋体"/>
                <w:b w:val="0"/>
                <w:bCs w:val="0"/>
                <w:color w:val="auto"/>
                <w:sz w:val="24"/>
                <w:highlight w:val="none"/>
                <w:lang w:val="en-US" w:eastAsia="zh-CN"/>
              </w:rPr>
              <w:t>贰</w:t>
            </w:r>
            <w:r>
              <w:rPr>
                <w:rFonts w:hint="eastAsia" w:ascii="宋体" w:hAnsi="宋体" w:cs="宋体"/>
                <w:b w:val="0"/>
                <w:bCs w:val="0"/>
                <w:color w:val="auto"/>
                <w:sz w:val="24"/>
                <w:highlight w:val="none"/>
                <w:lang w:val="zh-CN"/>
              </w:rPr>
              <w:t>份原件备案。</w:t>
            </w:r>
          </w:p>
        </w:tc>
      </w:tr>
      <w:tr w14:paraId="0C340124">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D9FB73">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339E21">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rPr>
              <w:t>磋商有效期</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top"/>
          </w:tcPr>
          <w:p w14:paraId="5AF9D55F">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default" w:ascii="宋体" w:hAnsi="宋体" w:eastAsia="宋体" w:cs="宋体"/>
                <w:b w:val="0"/>
                <w:bCs w:val="0"/>
                <w:color w:val="auto"/>
                <w:kern w:val="0"/>
                <w:sz w:val="24"/>
                <w:highlight w:val="yellow"/>
                <w:lang w:val="en-US" w:eastAsia="zh-CN"/>
              </w:rPr>
            </w:pPr>
            <w:r>
              <w:rPr>
                <w:rFonts w:hint="eastAsia" w:ascii="宋体" w:hAnsi="宋体" w:cs="宋体"/>
                <w:b w:val="0"/>
                <w:bCs w:val="0"/>
                <w:color w:val="auto"/>
                <w:sz w:val="24"/>
                <w:highlight w:val="none"/>
              </w:rPr>
              <w:t>磋商有效期为自磋商开始之日起60</w:t>
            </w:r>
            <w:r>
              <w:rPr>
                <w:rFonts w:hint="eastAsia" w:ascii="宋体" w:hAnsi="宋体" w:cs="宋体"/>
                <w:b w:val="0"/>
                <w:bCs w:val="0"/>
                <w:color w:val="auto"/>
                <w:sz w:val="24"/>
                <w:highlight w:val="none"/>
                <w:lang w:val="en-US" w:eastAsia="zh-CN"/>
              </w:rPr>
              <w:t>个日历日</w:t>
            </w:r>
          </w:p>
        </w:tc>
      </w:tr>
      <w:tr w14:paraId="543B6714">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44E365">
            <w:pPr>
              <w:numPr>
                <w:ilvl w:val="0"/>
                <w:numId w:val="2"/>
              </w:numPr>
              <w:autoSpaceDE w:val="0"/>
              <w:autoSpaceDN w:val="0"/>
              <w:spacing w:line="360" w:lineRule="auto"/>
              <w:ind w:left="210" w:leftChars="0" w:firstLineChars="0"/>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41A66B">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其他事项</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top"/>
          </w:tcPr>
          <w:p w14:paraId="50533CAF">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lang w:val="en-US" w:eastAsia="zh-CN"/>
              </w:rPr>
              <w:t>1</w:t>
            </w:r>
            <w:r>
              <w:rPr>
                <w:rFonts w:hint="eastAsia" w:ascii="宋体" w:hAnsi="宋体" w:cs="宋体"/>
                <w:b w:val="0"/>
                <w:bCs w:val="0"/>
                <w:color w:val="auto"/>
                <w:kern w:val="0"/>
                <w:sz w:val="24"/>
                <w:highlight w:val="none"/>
              </w:rPr>
              <w:t>、</w:t>
            </w:r>
            <w:r>
              <w:rPr>
                <w:rFonts w:hint="eastAsia" w:ascii="宋体" w:hAnsi="宋体" w:cs="宋体"/>
                <w:b w:val="0"/>
                <w:bCs w:val="0"/>
                <w:color w:val="auto"/>
                <w:kern w:val="0"/>
                <w:sz w:val="24"/>
                <w:highlight w:val="none"/>
                <w:lang w:val="zh-CN"/>
              </w:rPr>
              <w:t>本公告在《青海</w:t>
            </w:r>
            <w:r>
              <w:rPr>
                <w:rFonts w:hint="eastAsia" w:ascii="宋体" w:hAnsi="宋体" w:cs="宋体"/>
                <w:b w:val="0"/>
                <w:bCs w:val="0"/>
                <w:color w:val="auto"/>
                <w:kern w:val="0"/>
                <w:sz w:val="24"/>
                <w:highlight w:val="none"/>
                <w:lang w:val="en-US" w:eastAsia="zh-CN"/>
              </w:rPr>
              <w:t>省</w:t>
            </w:r>
            <w:r>
              <w:rPr>
                <w:rFonts w:hint="eastAsia" w:ascii="宋体" w:hAnsi="宋体" w:cs="宋体"/>
                <w:b w:val="0"/>
                <w:bCs w:val="0"/>
                <w:color w:val="auto"/>
                <w:kern w:val="0"/>
                <w:sz w:val="24"/>
                <w:highlight w:val="none"/>
                <w:lang w:val="zh-CN"/>
              </w:rPr>
              <w:t>政府采购网》上发布；</w:t>
            </w:r>
          </w:p>
          <w:p w14:paraId="6983A7D2">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highlight w:val="none"/>
                <w:lang w:val="zh-CN"/>
              </w:rPr>
            </w:pPr>
            <w:r>
              <w:rPr>
                <w:rFonts w:hint="eastAsia" w:ascii="宋体" w:hAnsi="宋体" w:cs="宋体"/>
                <w:b w:val="0"/>
                <w:bCs w:val="0"/>
                <w:color w:val="auto"/>
                <w:kern w:val="0"/>
                <w:sz w:val="24"/>
                <w:highlight w:val="none"/>
                <w:lang w:val="en-US" w:eastAsia="zh-CN"/>
              </w:rPr>
              <w:t>2</w:t>
            </w:r>
            <w:r>
              <w:rPr>
                <w:rFonts w:hint="eastAsia" w:ascii="宋体" w:hAnsi="宋体" w:cs="宋体"/>
                <w:b w:val="0"/>
                <w:bCs w:val="0"/>
                <w:color w:val="auto"/>
                <w:kern w:val="0"/>
                <w:sz w:val="24"/>
                <w:highlight w:val="none"/>
              </w:rPr>
              <w:t>、</w:t>
            </w:r>
            <w:r>
              <w:rPr>
                <w:rFonts w:hint="eastAsia" w:ascii="宋体" w:hAnsi="宋体" w:cs="宋体"/>
                <w:b w:val="0"/>
                <w:bCs w:val="0"/>
                <w:color w:val="auto"/>
                <w:kern w:val="0"/>
                <w:sz w:val="24"/>
                <w:highlight w:val="none"/>
                <w:lang w:val="zh-CN"/>
              </w:rPr>
              <w:t>本次</w:t>
            </w:r>
            <w:r>
              <w:rPr>
                <w:rFonts w:hint="eastAsia" w:ascii="宋体" w:hAnsi="宋体" w:cs="宋体"/>
                <w:b w:val="0"/>
                <w:bCs w:val="0"/>
                <w:color w:val="auto"/>
                <w:kern w:val="0"/>
                <w:sz w:val="24"/>
                <w:highlight w:val="none"/>
              </w:rPr>
              <w:t>采购</w:t>
            </w:r>
            <w:r>
              <w:rPr>
                <w:rFonts w:hint="eastAsia" w:ascii="宋体" w:hAnsi="宋体" w:cs="宋体"/>
                <w:b w:val="0"/>
                <w:bCs w:val="0"/>
                <w:color w:val="auto"/>
                <w:kern w:val="0"/>
                <w:sz w:val="24"/>
                <w:highlight w:val="none"/>
                <w:lang w:val="zh-CN"/>
              </w:rPr>
              <w:t>采用线上提交响应文件的方式进行采购，线上</w:t>
            </w:r>
            <w:r>
              <w:rPr>
                <w:rFonts w:hint="eastAsia" w:ascii="宋体" w:hAnsi="宋体" w:cs="宋体"/>
                <w:b w:val="0"/>
                <w:bCs w:val="0"/>
                <w:color w:val="auto"/>
                <w:kern w:val="0"/>
                <w:sz w:val="24"/>
                <w:highlight w:val="none"/>
              </w:rPr>
              <w:t>电子版响应</w:t>
            </w:r>
            <w:r>
              <w:rPr>
                <w:rFonts w:hint="eastAsia" w:ascii="宋体" w:hAnsi="宋体" w:cs="宋体"/>
                <w:b w:val="0"/>
                <w:bCs w:val="0"/>
                <w:color w:val="auto"/>
                <w:kern w:val="0"/>
                <w:sz w:val="24"/>
                <w:highlight w:val="none"/>
                <w:lang w:val="zh-CN"/>
              </w:rPr>
              <w:t>文件须在</w:t>
            </w:r>
            <w:r>
              <w:rPr>
                <w:rFonts w:hint="eastAsia" w:ascii="宋体" w:hAnsi="宋体" w:cs="宋体"/>
                <w:b w:val="0"/>
                <w:bCs w:val="0"/>
                <w:color w:val="auto"/>
                <w:kern w:val="0"/>
                <w:sz w:val="24"/>
                <w:highlight w:val="none"/>
              </w:rPr>
              <w:t>响应</w:t>
            </w:r>
            <w:r>
              <w:rPr>
                <w:rFonts w:hint="eastAsia" w:ascii="宋体" w:hAnsi="宋体" w:cs="宋体"/>
                <w:b w:val="0"/>
                <w:bCs w:val="0"/>
                <w:color w:val="auto"/>
                <w:kern w:val="0"/>
                <w:sz w:val="24"/>
                <w:highlight w:val="none"/>
                <w:lang w:val="zh-CN"/>
              </w:rPr>
              <w:t>文件递交截止时间前上传政采云平台；</w:t>
            </w:r>
          </w:p>
          <w:p w14:paraId="195B77B6">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lang w:val="en-US" w:eastAsia="zh-CN"/>
              </w:rPr>
              <w:t>3</w:t>
            </w:r>
            <w:r>
              <w:rPr>
                <w:rFonts w:hint="eastAsia" w:ascii="宋体" w:hAnsi="宋体" w:cs="宋体"/>
                <w:b w:val="0"/>
                <w:bCs w:val="0"/>
                <w:color w:val="auto"/>
                <w:kern w:val="0"/>
                <w:sz w:val="24"/>
                <w:highlight w:val="none"/>
              </w:rPr>
              <w:t>、</w:t>
            </w:r>
            <w:r>
              <w:rPr>
                <w:rFonts w:hint="eastAsia" w:ascii="宋体" w:hAnsi="宋体" w:cs="宋体"/>
                <w:b w:val="0"/>
                <w:bCs w:val="0"/>
                <w:color w:val="auto"/>
                <w:kern w:val="0"/>
                <w:sz w:val="24"/>
                <w:highlight w:val="none"/>
                <w:lang w:val="zh-CN"/>
              </w:rPr>
              <w:t>若对项目采购电子交易系统操作有疑问，可登录政采云（https://www.zcygov.cn/），点击右侧咨询小采，获取采小蜜智能服务管家帮助，或拨打政采云服务</w:t>
            </w:r>
            <w:r>
              <w:rPr>
                <w:rFonts w:hint="eastAsia" w:ascii="宋体" w:hAnsi="宋体" w:cs="宋体"/>
                <w:b w:val="0"/>
                <w:bCs w:val="0"/>
                <w:color w:val="auto"/>
                <w:kern w:val="0"/>
                <w:sz w:val="24"/>
                <w:highlight w:val="none"/>
              </w:rPr>
              <w:t>热线</w:t>
            </w:r>
            <w:r>
              <w:rPr>
                <w:rFonts w:hint="eastAsia" w:ascii="宋体" w:hAnsi="宋体" w:cs="宋体"/>
                <w:b w:val="0"/>
                <w:bCs w:val="0"/>
                <w:color w:val="auto"/>
                <w:kern w:val="0"/>
                <w:sz w:val="24"/>
                <w:highlight w:val="none"/>
                <w:lang w:val="en-US" w:eastAsia="zh-CN"/>
              </w:rPr>
              <w:t>95763</w:t>
            </w:r>
            <w:r>
              <w:rPr>
                <w:rFonts w:hint="eastAsia" w:ascii="宋体" w:hAnsi="宋体" w:cs="宋体"/>
                <w:b w:val="0"/>
                <w:bCs w:val="0"/>
                <w:color w:val="auto"/>
                <w:kern w:val="0"/>
                <w:sz w:val="24"/>
                <w:highlight w:val="none"/>
                <w:lang w:val="zh-CN"/>
              </w:rPr>
              <w:t>获取热线服务帮助。 CA问题联系电话（人工）；400-087-8198。</w:t>
            </w:r>
          </w:p>
          <w:p w14:paraId="5CC33030">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cs="Arial"/>
                <w:b w:val="0"/>
                <w:bCs w:val="0"/>
                <w:color w:val="auto"/>
                <w:sz w:val="24"/>
                <w:highlight w:val="none"/>
              </w:rPr>
            </w:pPr>
            <w:r>
              <w:rPr>
                <w:rFonts w:hint="eastAsia" w:ascii="宋体" w:hAnsi="宋体" w:cs="宋体"/>
                <w:b w:val="0"/>
                <w:bCs w:val="0"/>
                <w:color w:val="auto"/>
                <w:kern w:val="0"/>
                <w:sz w:val="24"/>
                <w:highlight w:val="none"/>
                <w:lang w:val="en-US" w:eastAsia="zh-CN"/>
              </w:rPr>
              <w:t>4</w:t>
            </w:r>
            <w:r>
              <w:rPr>
                <w:rFonts w:hint="eastAsia" w:ascii="宋体" w:hAnsi="宋体" w:cs="宋体"/>
                <w:b w:val="0"/>
                <w:bCs w:val="0"/>
                <w:color w:val="auto"/>
                <w:kern w:val="0"/>
                <w:sz w:val="24"/>
                <w:highlight w:val="none"/>
                <w:lang w:val="zh-CN"/>
              </w:rPr>
              <w:t>、磋商供应商解密和磋商报价时必须由e签宝注册人办理，在固定电脑设备前登陆等待解密和磋商最终报价。</w:t>
            </w:r>
          </w:p>
        </w:tc>
      </w:tr>
    </w:tbl>
    <w:p w14:paraId="2EF356A3">
      <w:pPr>
        <w:pStyle w:val="24"/>
        <w:spacing w:before="0" w:after="0" w:line="360" w:lineRule="auto"/>
        <w:rPr>
          <w:rFonts w:ascii="宋体" w:hAnsi="宋体"/>
          <w:sz w:val="36"/>
          <w:szCs w:val="36"/>
          <w:lang w:val="zh-CN"/>
        </w:rPr>
      </w:pPr>
      <w:r>
        <w:rPr>
          <w:rFonts w:ascii="宋体" w:hAnsi="宋体"/>
          <w:b w:val="0"/>
          <w:sz w:val="44"/>
        </w:rPr>
        <w:br w:type="page"/>
      </w:r>
      <w:bookmarkStart w:id="71" w:name="_Toc1575295"/>
      <w:bookmarkStart w:id="72" w:name="_Toc444715734"/>
      <w:r>
        <w:rPr>
          <w:rFonts w:hint="eastAsia" w:ascii="宋体" w:hAnsi="宋体"/>
          <w:sz w:val="36"/>
          <w:szCs w:val="36"/>
        </w:rPr>
        <w:t>第三部分</w:t>
      </w:r>
      <w:r>
        <w:rPr>
          <w:rFonts w:hint="eastAsia" w:ascii="宋体" w:hAnsi="宋体"/>
          <w:sz w:val="36"/>
          <w:szCs w:val="36"/>
          <w:lang w:val="en-US" w:eastAsia="zh-CN"/>
        </w:rPr>
        <w:t xml:space="preserve"> </w:t>
      </w:r>
      <w:r>
        <w:rPr>
          <w:rFonts w:hint="eastAsia" w:ascii="宋体" w:hAnsi="宋体"/>
          <w:sz w:val="36"/>
          <w:szCs w:val="36"/>
        </w:rPr>
        <w:t>磋商供应商须知</w:t>
      </w:r>
      <w:bookmarkEnd w:id="71"/>
      <w:bookmarkEnd w:id="72"/>
    </w:p>
    <w:p w14:paraId="06E8AB74">
      <w:pPr>
        <w:pStyle w:val="4"/>
        <w:jc w:val="center"/>
        <w:rPr>
          <w:rFonts w:hAnsi="宋体"/>
          <w:b/>
          <w:sz w:val="32"/>
          <w:szCs w:val="21"/>
        </w:rPr>
      </w:pPr>
      <w:bookmarkStart w:id="73" w:name="_Toc1575296"/>
      <w:r>
        <w:rPr>
          <w:rFonts w:hint="eastAsia" w:hAnsi="宋体"/>
          <w:b/>
          <w:sz w:val="32"/>
          <w:szCs w:val="21"/>
        </w:rPr>
        <w:t>说明</w:t>
      </w:r>
      <w:bookmarkEnd w:id="73"/>
    </w:p>
    <w:p w14:paraId="4895C6A9">
      <w:pPr>
        <w:pStyle w:val="5"/>
        <w:numPr>
          <w:ilvl w:val="0"/>
          <w:numId w:val="3"/>
        </w:numPr>
        <w:spacing w:before="0" w:after="0" w:line="360" w:lineRule="auto"/>
        <w:rPr>
          <w:rFonts w:ascii="宋体" w:hAnsi="宋体"/>
          <w:b w:val="0"/>
        </w:rPr>
      </w:pPr>
      <w:bookmarkStart w:id="74" w:name="_Toc459377860"/>
      <w:bookmarkStart w:id="75" w:name="_Toc1575297"/>
      <w:bookmarkStart w:id="76" w:name="_Toc488691479"/>
      <w:bookmarkStart w:id="77" w:name="_Toc446427794"/>
      <w:bookmarkStart w:id="78" w:name="_Toc495570969"/>
      <w:r>
        <w:rPr>
          <w:rFonts w:ascii="宋体" w:hAnsi="宋体"/>
          <w:b w:val="0"/>
        </w:rPr>
        <w:t>磋商内容及要求</w:t>
      </w:r>
      <w:bookmarkEnd w:id="74"/>
      <w:bookmarkEnd w:id="75"/>
      <w:bookmarkEnd w:id="76"/>
      <w:bookmarkEnd w:id="77"/>
      <w:bookmarkEnd w:id="78"/>
    </w:p>
    <w:p w14:paraId="4329303F">
      <w:pPr>
        <w:pStyle w:val="17"/>
        <w:spacing w:line="360" w:lineRule="auto"/>
        <w:ind w:firstLine="480" w:firstLineChars="200"/>
        <w:rPr>
          <w:rFonts w:hAnsi="宋体"/>
          <w:sz w:val="24"/>
          <w:szCs w:val="28"/>
        </w:rPr>
      </w:pPr>
      <w:r>
        <w:rPr>
          <w:rFonts w:hint="eastAsia" w:hAnsi="宋体"/>
          <w:sz w:val="24"/>
          <w:szCs w:val="28"/>
        </w:rPr>
        <w:t>本次采购依据采购单位的采购计划，仅适用于本竞争性磋商文件（以下简称“磋商文件”）中所叙述的项目。</w:t>
      </w:r>
    </w:p>
    <w:p w14:paraId="6DCBD524">
      <w:pPr>
        <w:pStyle w:val="5"/>
        <w:numPr>
          <w:ilvl w:val="0"/>
          <w:numId w:val="3"/>
        </w:numPr>
        <w:spacing w:before="0" w:after="0" w:line="360" w:lineRule="auto"/>
        <w:rPr>
          <w:rFonts w:ascii="宋体" w:hAnsi="宋体"/>
          <w:b w:val="0"/>
        </w:rPr>
      </w:pPr>
      <w:bookmarkStart w:id="79" w:name="_Toc1575298"/>
      <w:bookmarkStart w:id="80" w:name="_Toc488673614"/>
      <w:r>
        <w:rPr>
          <w:rFonts w:hint="eastAsia" w:ascii="宋体" w:hAnsi="宋体"/>
          <w:b w:val="0"/>
        </w:rPr>
        <w:t>采购方式、合格的磋商供应商</w:t>
      </w:r>
      <w:bookmarkEnd w:id="79"/>
      <w:bookmarkEnd w:id="80"/>
    </w:p>
    <w:p w14:paraId="3900B480">
      <w:pPr>
        <w:pStyle w:val="17"/>
        <w:numPr>
          <w:ilvl w:val="1"/>
          <w:numId w:val="4"/>
        </w:numPr>
        <w:spacing w:line="360" w:lineRule="auto"/>
        <w:rPr>
          <w:rFonts w:hAnsi="宋体"/>
          <w:sz w:val="24"/>
          <w:szCs w:val="28"/>
        </w:rPr>
      </w:pPr>
      <w:r>
        <w:rPr>
          <w:rFonts w:hint="eastAsia" w:hAnsi="宋体"/>
          <w:sz w:val="24"/>
          <w:szCs w:val="28"/>
        </w:rPr>
        <w:t>本次磋商采取竞争性磋商方式；</w:t>
      </w:r>
    </w:p>
    <w:p w14:paraId="6ECCFCA2">
      <w:pPr>
        <w:pStyle w:val="17"/>
        <w:numPr>
          <w:ilvl w:val="1"/>
          <w:numId w:val="4"/>
        </w:numPr>
        <w:spacing w:line="360" w:lineRule="auto"/>
        <w:rPr>
          <w:rFonts w:hAnsi="宋体"/>
          <w:sz w:val="24"/>
          <w:szCs w:val="28"/>
        </w:rPr>
      </w:pPr>
      <w:r>
        <w:rPr>
          <w:rFonts w:hAnsi="宋体" w:cs="Arial"/>
          <w:sz w:val="24"/>
          <w:szCs w:val="24"/>
        </w:rPr>
        <w:t>合格的磋商供应商：</w:t>
      </w:r>
    </w:p>
    <w:p w14:paraId="281905F1">
      <w:pPr>
        <w:pStyle w:val="71"/>
        <w:autoSpaceDE w:val="0"/>
        <w:autoSpaceDN w:val="0"/>
        <w:adjustRightInd w:val="0"/>
        <w:spacing w:line="360" w:lineRule="auto"/>
        <w:ind w:firstLine="240" w:firstLineChars="100"/>
        <w:contextualSpacing/>
        <w:rPr>
          <w:rFonts w:hint="eastAsia" w:ascii="宋体" w:hAnsi="Cambria" w:cs="宋体"/>
          <w:kern w:val="0"/>
          <w:sz w:val="24"/>
          <w:lang w:val="zh-CN"/>
        </w:rPr>
      </w:pPr>
      <w:bookmarkStart w:id="81" w:name="_Toc1575299"/>
      <w:bookmarkStart w:id="82" w:name="_Toc488673615"/>
      <w:r>
        <w:rPr>
          <w:rFonts w:hint="eastAsia" w:ascii="宋体" w:hAnsi="Cambria" w:cs="宋体"/>
          <w:kern w:val="0"/>
          <w:sz w:val="24"/>
          <w:lang w:val="zh-CN"/>
        </w:rPr>
        <w:t>1、符合《政府采购法》第22条规定，并提供下列材料：</w:t>
      </w:r>
    </w:p>
    <w:p w14:paraId="1D1C95A0">
      <w:pPr>
        <w:pStyle w:val="71"/>
        <w:autoSpaceDE w:val="0"/>
        <w:autoSpaceDN w:val="0"/>
        <w:adjustRightInd w:val="0"/>
        <w:spacing w:line="360" w:lineRule="auto"/>
        <w:ind w:firstLine="240" w:firstLineChars="100"/>
        <w:contextualSpacing/>
        <w:rPr>
          <w:rFonts w:hint="eastAsia" w:ascii="宋体" w:hAnsi="Cambria" w:cs="宋体"/>
          <w:kern w:val="0"/>
          <w:sz w:val="24"/>
          <w:lang w:val="zh-CN"/>
        </w:rPr>
      </w:pPr>
      <w:r>
        <w:rPr>
          <w:rFonts w:hint="eastAsia" w:ascii="宋体" w:hAnsi="Cambria" w:cs="宋体"/>
          <w:kern w:val="0"/>
          <w:sz w:val="24"/>
          <w:lang w:val="zh-CN"/>
        </w:rPr>
        <w:t>1）供应商的营业执照等证明文件，自然人的身份证明。</w:t>
      </w:r>
    </w:p>
    <w:p w14:paraId="0C9BC2B7">
      <w:pPr>
        <w:pStyle w:val="71"/>
        <w:autoSpaceDE w:val="0"/>
        <w:autoSpaceDN w:val="0"/>
        <w:adjustRightInd w:val="0"/>
        <w:spacing w:line="360" w:lineRule="auto"/>
        <w:ind w:firstLine="240" w:firstLineChars="100"/>
        <w:contextualSpacing/>
        <w:rPr>
          <w:rFonts w:hint="eastAsia" w:ascii="宋体" w:hAnsi="Cambria" w:cs="宋体"/>
          <w:kern w:val="0"/>
          <w:sz w:val="24"/>
          <w:lang w:val="zh-CN"/>
        </w:rPr>
      </w:pPr>
      <w:r>
        <w:rPr>
          <w:rFonts w:hint="eastAsia" w:ascii="宋体" w:hAnsi="Cambria" w:cs="宋体"/>
          <w:kern w:val="0"/>
          <w:sz w:val="24"/>
          <w:lang w:val="zh-CN"/>
        </w:rPr>
        <w:t>2）财务状况报告，依法缴纳税收和社会保障资金的相关材料。</w:t>
      </w:r>
    </w:p>
    <w:p w14:paraId="79F51AD0">
      <w:pPr>
        <w:pStyle w:val="71"/>
        <w:autoSpaceDE w:val="0"/>
        <w:autoSpaceDN w:val="0"/>
        <w:adjustRightInd w:val="0"/>
        <w:spacing w:line="360" w:lineRule="auto"/>
        <w:ind w:firstLine="240" w:firstLineChars="100"/>
        <w:contextualSpacing/>
        <w:rPr>
          <w:rFonts w:hint="eastAsia" w:ascii="宋体" w:hAnsi="Cambria" w:cs="宋体"/>
          <w:kern w:val="0"/>
          <w:sz w:val="24"/>
          <w:lang w:val="zh-CN"/>
        </w:rPr>
      </w:pPr>
      <w:r>
        <w:rPr>
          <w:rFonts w:hint="eastAsia" w:ascii="宋体" w:hAnsi="Cambria" w:cs="宋体"/>
          <w:kern w:val="0"/>
          <w:sz w:val="24"/>
          <w:lang w:val="zh-CN"/>
        </w:rPr>
        <w:t>3）具备履行合同所必需的设备和专业技术能力的证明材料。</w:t>
      </w:r>
    </w:p>
    <w:p w14:paraId="65E166CE">
      <w:pPr>
        <w:pStyle w:val="71"/>
        <w:autoSpaceDE w:val="0"/>
        <w:autoSpaceDN w:val="0"/>
        <w:adjustRightInd w:val="0"/>
        <w:spacing w:line="360" w:lineRule="auto"/>
        <w:ind w:firstLine="240" w:firstLineChars="100"/>
        <w:contextualSpacing/>
        <w:rPr>
          <w:rFonts w:hint="eastAsia" w:ascii="宋体" w:hAnsi="Cambria" w:cs="宋体"/>
          <w:kern w:val="0"/>
          <w:sz w:val="24"/>
          <w:lang w:val="zh-CN"/>
        </w:rPr>
      </w:pPr>
      <w:r>
        <w:rPr>
          <w:rFonts w:hint="eastAsia" w:ascii="宋体" w:hAnsi="Cambria" w:cs="宋体"/>
          <w:kern w:val="0"/>
          <w:sz w:val="24"/>
          <w:lang w:val="zh-CN"/>
        </w:rPr>
        <w:t>4）参加政府采购活动前3年内在经营活动中没有重大违法记录的书面声明。</w:t>
      </w:r>
    </w:p>
    <w:p w14:paraId="081CB09E">
      <w:pPr>
        <w:pStyle w:val="71"/>
        <w:autoSpaceDE w:val="0"/>
        <w:autoSpaceDN w:val="0"/>
        <w:adjustRightInd w:val="0"/>
        <w:spacing w:line="360" w:lineRule="auto"/>
        <w:ind w:firstLine="240" w:firstLineChars="100"/>
        <w:contextualSpacing/>
        <w:rPr>
          <w:rFonts w:hint="eastAsia" w:ascii="宋体" w:hAnsi="Cambria" w:cs="宋体"/>
          <w:kern w:val="0"/>
          <w:sz w:val="24"/>
          <w:lang w:val="zh-CN"/>
        </w:rPr>
      </w:pPr>
      <w:r>
        <w:rPr>
          <w:rFonts w:hint="eastAsia" w:ascii="宋体" w:hAnsi="Cambria" w:cs="宋体"/>
          <w:kern w:val="0"/>
          <w:sz w:val="24"/>
          <w:lang w:val="zh-CN"/>
        </w:rPr>
        <w:t>5）具备法律、行政法规规定的其他条件的证明材料。</w:t>
      </w:r>
    </w:p>
    <w:p w14:paraId="5AD12096">
      <w:pPr>
        <w:pStyle w:val="71"/>
        <w:autoSpaceDE w:val="0"/>
        <w:autoSpaceDN w:val="0"/>
        <w:adjustRightInd w:val="0"/>
        <w:spacing w:line="360" w:lineRule="auto"/>
        <w:ind w:firstLine="240" w:firstLineChars="100"/>
        <w:contextualSpacing/>
        <w:rPr>
          <w:rFonts w:hint="eastAsia" w:ascii="宋体" w:hAnsi="Cambria" w:cs="宋体"/>
          <w:kern w:val="0"/>
          <w:sz w:val="24"/>
          <w:lang w:val="zh-CN"/>
        </w:rPr>
      </w:pPr>
      <w:r>
        <w:rPr>
          <w:rFonts w:hint="eastAsia" w:ascii="宋体" w:hAnsi="Cambria" w:cs="宋体"/>
          <w:kern w:val="0"/>
          <w:sz w:val="24"/>
          <w:lang w:val="zh-CN"/>
        </w:rPr>
        <w:t>2、落实政府采购政策需满足的资格要求：本项目专门面向中小微企业采购（监狱企业、残疾人福利性单位视同小型、微型企业）。</w:t>
      </w:r>
    </w:p>
    <w:p w14:paraId="3A15659F">
      <w:pPr>
        <w:pStyle w:val="71"/>
        <w:autoSpaceDE w:val="0"/>
        <w:autoSpaceDN w:val="0"/>
        <w:adjustRightInd w:val="0"/>
        <w:spacing w:line="360" w:lineRule="auto"/>
        <w:ind w:firstLine="240" w:firstLineChars="100"/>
        <w:contextualSpacing/>
        <w:rPr>
          <w:rFonts w:hint="eastAsia" w:ascii="宋体" w:hAnsi="Cambria" w:cs="宋体"/>
          <w:kern w:val="0"/>
          <w:sz w:val="24"/>
          <w:lang w:val="zh-CN"/>
        </w:rPr>
      </w:pPr>
      <w:r>
        <w:rPr>
          <w:rFonts w:hint="eastAsia" w:ascii="宋体" w:hAnsi="Cambria" w:cs="宋体"/>
          <w:kern w:val="0"/>
          <w:sz w:val="24"/>
          <w:lang w:val="zh-CN"/>
        </w:rPr>
        <w:t>3、单位负责人为同一人或者存在直接控股、管理关系的不同供应商，不得参加同一合同项下的政府采购活动。否则，皆取消磋商资格。</w:t>
      </w:r>
    </w:p>
    <w:p w14:paraId="5C5F952A">
      <w:pPr>
        <w:pStyle w:val="71"/>
        <w:autoSpaceDE w:val="0"/>
        <w:autoSpaceDN w:val="0"/>
        <w:adjustRightInd w:val="0"/>
        <w:spacing w:line="360" w:lineRule="auto"/>
        <w:ind w:firstLine="240" w:firstLineChars="100"/>
        <w:contextualSpacing/>
        <w:rPr>
          <w:rFonts w:hint="eastAsia" w:ascii="宋体" w:hAnsi="Cambria" w:cs="宋体"/>
          <w:kern w:val="0"/>
          <w:sz w:val="24"/>
          <w:lang w:val="zh-CN"/>
        </w:rPr>
      </w:pPr>
      <w:r>
        <w:rPr>
          <w:rFonts w:hint="eastAsia" w:ascii="宋体" w:hAnsi="Cambria" w:cs="宋体"/>
          <w:kern w:val="0"/>
          <w:sz w:val="24"/>
          <w:lang w:val="zh-CN"/>
        </w:rPr>
        <w:t>4、为本采购项目提供整体设计、规范编制或者项目管理、监理、检测等服务的供应商，不得再参加该采购项目的其他采购活动。</w:t>
      </w:r>
    </w:p>
    <w:p w14:paraId="4B6A6A51">
      <w:pPr>
        <w:pStyle w:val="71"/>
        <w:autoSpaceDE w:val="0"/>
        <w:autoSpaceDN w:val="0"/>
        <w:adjustRightInd w:val="0"/>
        <w:spacing w:line="360" w:lineRule="auto"/>
        <w:ind w:firstLine="240" w:firstLineChars="100"/>
        <w:contextualSpacing/>
        <w:rPr>
          <w:rFonts w:hint="eastAsia" w:ascii="宋体" w:hAnsi="Cambria" w:cs="宋体"/>
          <w:kern w:val="0"/>
          <w:sz w:val="24"/>
          <w:lang w:val="zh-CN"/>
        </w:rPr>
      </w:pPr>
      <w:r>
        <w:rPr>
          <w:rFonts w:hint="eastAsia" w:ascii="宋体" w:hAnsi="Cambria" w:cs="宋体"/>
          <w:kern w:val="0"/>
          <w:sz w:val="24"/>
          <w:lang w:val="zh-CN"/>
        </w:rPr>
        <w:t>5、经信用中国（www.creditchina.gov.cn）、中国政府采购网（www.ccgp.gov.cn）渠道查询后，列入失信被执行人、重大税收违法案件当事人名单、政府采购严重违法失信行为记录名单的，取消投标资格。（提供“信用中国”、“中国政府采购网”网站查询截图，时间为投标截止时间前10天内）。</w:t>
      </w:r>
    </w:p>
    <w:p w14:paraId="437714BF">
      <w:pPr>
        <w:pStyle w:val="71"/>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zh-CN"/>
        </w:rPr>
        <w:t>6、本项目不接受以联合体方式进行投标。</w:t>
      </w:r>
    </w:p>
    <w:p w14:paraId="62451D93">
      <w:pPr>
        <w:pStyle w:val="5"/>
        <w:numPr>
          <w:ilvl w:val="0"/>
          <w:numId w:val="3"/>
        </w:numPr>
        <w:spacing w:before="0" w:after="0" w:line="360" w:lineRule="auto"/>
        <w:rPr>
          <w:rFonts w:ascii="宋体" w:hAnsi="宋体"/>
          <w:b w:val="0"/>
        </w:rPr>
      </w:pPr>
      <w:r>
        <w:rPr>
          <w:rFonts w:hint="eastAsia" w:ascii="宋体" w:hAnsi="宋体"/>
          <w:b w:val="0"/>
        </w:rPr>
        <w:t>磋商费用</w:t>
      </w:r>
      <w:bookmarkEnd w:id="81"/>
      <w:bookmarkEnd w:id="82"/>
    </w:p>
    <w:p w14:paraId="5DD5EDCA">
      <w:pPr>
        <w:pStyle w:val="17"/>
        <w:spacing w:line="360" w:lineRule="auto"/>
        <w:ind w:firstLine="480" w:firstLineChars="200"/>
        <w:rPr>
          <w:rFonts w:hAnsi="宋体"/>
          <w:b/>
          <w:sz w:val="24"/>
          <w:szCs w:val="28"/>
        </w:rPr>
      </w:pPr>
      <w:r>
        <w:rPr>
          <w:rFonts w:hint="eastAsia" w:hAnsi="宋体"/>
          <w:sz w:val="24"/>
          <w:szCs w:val="28"/>
        </w:rPr>
        <w:t>磋商供应商应自愿承担与参加本次磋商有关的费用。采购代理机构对磋商供应商发生的费用不承担任何责任。</w:t>
      </w:r>
    </w:p>
    <w:p w14:paraId="388D3A40">
      <w:pPr>
        <w:pStyle w:val="4"/>
        <w:pBdr>
          <w:top w:val="none" w:color="auto" w:sz="0" w:space="1"/>
          <w:left w:val="none" w:color="auto" w:sz="0" w:space="4"/>
          <w:bottom w:val="none" w:color="auto" w:sz="0" w:space="1"/>
          <w:right w:val="none" w:color="auto" w:sz="0" w:space="4"/>
        </w:pBdr>
        <w:jc w:val="center"/>
        <w:rPr>
          <w:rFonts w:hAnsi="宋体"/>
          <w:b/>
          <w:sz w:val="32"/>
          <w:szCs w:val="21"/>
        </w:rPr>
      </w:pPr>
      <w:bookmarkStart w:id="83" w:name="_Toc1575300"/>
      <w:r>
        <w:rPr>
          <w:rFonts w:hint="eastAsia" w:hAnsi="宋体"/>
          <w:b/>
          <w:sz w:val="32"/>
          <w:szCs w:val="21"/>
        </w:rPr>
        <w:t>磋商文件说明</w:t>
      </w:r>
      <w:bookmarkEnd w:id="83"/>
    </w:p>
    <w:p w14:paraId="375C7A74">
      <w:pPr>
        <w:pStyle w:val="5"/>
        <w:numPr>
          <w:ilvl w:val="0"/>
          <w:numId w:val="3"/>
        </w:numPr>
        <w:spacing w:before="0" w:after="0" w:line="360" w:lineRule="auto"/>
        <w:rPr>
          <w:rFonts w:ascii="宋体" w:hAnsi="宋体"/>
          <w:b w:val="0"/>
        </w:rPr>
      </w:pPr>
      <w:bookmarkStart w:id="84" w:name="_Toc488673617"/>
      <w:bookmarkStart w:id="85" w:name="_Toc1575301"/>
      <w:r>
        <w:rPr>
          <w:rFonts w:hint="eastAsia" w:ascii="宋体" w:hAnsi="宋体"/>
          <w:b w:val="0"/>
        </w:rPr>
        <w:t>磋商文件的构成</w:t>
      </w:r>
      <w:bookmarkEnd w:id="84"/>
      <w:bookmarkEnd w:id="85"/>
    </w:p>
    <w:p w14:paraId="525AD084">
      <w:pPr>
        <w:pStyle w:val="17"/>
        <w:numPr>
          <w:ilvl w:val="1"/>
          <w:numId w:val="5"/>
        </w:numPr>
        <w:spacing w:line="360" w:lineRule="auto"/>
        <w:rPr>
          <w:rFonts w:hAnsi="宋体"/>
          <w:sz w:val="24"/>
          <w:szCs w:val="28"/>
        </w:rPr>
      </w:pPr>
      <w:r>
        <w:rPr>
          <w:rFonts w:hint="eastAsia" w:hAnsi="宋体"/>
          <w:sz w:val="24"/>
          <w:szCs w:val="28"/>
        </w:rPr>
        <w:t>磋商文件包括：</w:t>
      </w:r>
    </w:p>
    <w:p w14:paraId="5228AD9C">
      <w:pPr>
        <w:pStyle w:val="17"/>
        <w:numPr>
          <w:ilvl w:val="0"/>
          <w:numId w:val="6"/>
        </w:numPr>
        <w:spacing w:line="360" w:lineRule="auto"/>
        <w:rPr>
          <w:rFonts w:hAnsi="宋体" w:cs="Arial"/>
          <w:sz w:val="24"/>
          <w:szCs w:val="24"/>
        </w:rPr>
      </w:pPr>
      <w:r>
        <w:rPr>
          <w:rFonts w:hint="eastAsia" w:hAnsi="宋体" w:cs="Arial"/>
          <w:sz w:val="24"/>
          <w:szCs w:val="24"/>
        </w:rPr>
        <w:t>磋商邀请；</w:t>
      </w:r>
    </w:p>
    <w:p w14:paraId="62F43B51">
      <w:pPr>
        <w:pStyle w:val="17"/>
        <w:numPr>
          <w:ilvl w:val="0"/>
          <w:numId w:val="6"/>
        </w:numPr>
        <w:spacing w:line="360" w:lineRule="auto"/>
        <w:rPr>
          <w:rFonts w:hAnsi="宋体" w:cs="Arial"/>
          <w:sz w:val="24"/>
          <w:szCs w:val="24"/>
        </w:rPr>
      </w:pPr>
      <w:r>
        <w:rPr>
          <w:rFonts w:hint="eastAsia" w:hAnsi="宋体" w:cs="Arial"/>
          <w:sz w:val="24"/>
          <w:szCs w:val="24"/>
        </w:rPr>
        <w:t>磋商供应商须知前附表；</w:t>
      </w:r>
    </w:p>
    <w:p w14:paraId="3A1482D9">
      <w:pPr>
        <w:pStyle w:val="17"/>
        <w:numPr>
          <w:ilvl w:val="0"/>
          <w:numId w:val="6"/>
        </w:numPr>
        <w:spacing w:line="360" w:lineRule="auto"/>
        <w:rPr>
          <w:rFonts w:hAnsi="宋体" w:cs="Arial"/>
          <w:sz w:val="24"/>
          <w:szCs w:val="24"/>
        </w:rPr>
      </w:pPr>
      <w:r>
        <w:rPr>
          <w:rFonts w:hint="eastAsia" w:hAnsi="宋体" w:cs="Arial"/>
          <w:sz w:val="24"/>
          <w:szCs w:val="24"/>
        </w:rPr>
        <w:t>磋商供应商须知；</w:t>
      </w:r>
    </w:p>
    <w:p w14:paraId="17807CBC">
      <w:pPr>
        <w:pStyle w:val="17"/>
        <w:numPr>
          <w:ilvl w:val="0"/>
          <w:numId w:val="6"/>
        </w:numPr>
        <w:spacing w:line="360" w:lineRule="auto"/>
        <w:rPr>
          <w:rFonts w:hAnsi="宋体" w:cs="Arial"/>
          <w:sz w:val="24"/>
          <w:szCs w:val="24"/>
        </w:rPr>
      </w:pPr>
      <w:r>
        <w:rPr>
          <w:rFonts w:hint="eastAsia" w:hAnsi="宋体" w:cs="Arial"/>
          <w:sz w:val="24"/>
          <w:szCs w:val="24"/>
        </w:rPr>
        <w:t>青海省政府采购合同文本样式；</w:t>
      </w:r>
    </w:p>
    <w:p w14:paraId="1C0049C9">
      <w:pPr>
        <w:pStyle w:val="17"/>
        <w:numPr>
          <w:ilvl w:val="0"/>
          <w:numId w:val="6"/>
        </w:numPr>
        <w:spacing w:line="360" w:lineRule="auto"/>
        <w:rPr>
          <w:rFonts w:hAnsi="宋体" w:cs="Arial"/>
          <w:sz w:val="24"/>
          <w:szCs w:val="24"/>
        </w:rPr>
      </w:pPr>
      <w:r>
        <w:rPr>
          <w:rFonts w:hint="eastAsia" w:hAnsi="宋体" w:cs="Arial"/>
          <w:sz w:val="24"/>
          <w:szCs w:val="24"/>
        </w:rPr>
        <w:t>磋商响应文件格式；</w:t>
      </w:r>
    </w:p>
    <w:p w14:paraId="741B2060">
      <w:pPr>
        <w:pStyle w:val="17"/>
        <w:numPr>
          <w:ilvl w:val="0"/>
          <w:numId w:val="6"/>
        </w:numPr>
        <w:spacing w:line="360" w:lineRule="auto"/>
        <w:rPr>
          <w:rFonts w:hAnsi="宋体" w:cs="Arial"/>
          <w:sz w:val="24"/>
          <w:szCs w:val="24"/>
        </w:rPr>
      </w:pPr>
      <w:r>
        <w:rPr>
          <w:rFonts w:hint="eastAsia" w:hAnsi="宋体" w:cs="Arial"/>
          <w:sz w:val="24"/>
          <w:szCs w:val="24"/>
        </w:rPr>
        <w:t>采购项目要求及技术参数；</w:t>
      </w:r>
    </w:p>
    <w:p w14:paraId="6150306A">
      <w:pPr>
        <w:pStyle w:val="17"/>
        <w:numPr>
          <w:ilvl w:val="0"/>
          <w:numId w:val="6"/>
        </w:numPr>
        <w:spacing w:line="360" w:lineRule="auto"/>
        <w:rPr>
          <w:rFonts w:hAnsi="宋体" w:cs="Arial"/>
          <w:sz w:val="24"/>
          <w:szCs w:val="24"/>
        </w:rPr>
      </w:pPr>
      <w:r>
        <w:rPr>
          <w:rFonts w:hint="eastAsia" w:hAnsi="宋体" w:cs="Arial"/>
          <w:sz w:val="24"/>
          <w:szCs w:val="24"/>
        </w:rPr>
        <w:t>采购过程中发生的澄清、变更和补充文件；</w:t>
      </w:r>
    </w:p>
    <w:p w14:paraId="41CC250A">
      <w:pPr>
        <w:pStyle w:val="17"/>
        <w:numPr>
          <w:ilvl w:val="1"/>
          <w:numId w:val="5"/>
        </w:numPr>
        <w:spacing w:line="360" w:lineRule="auto"/>
        <w:rPr>
          <w:rFonts w:hAnsi="宋体"/>
          <w:sz w:val="24"/>
          <w:szCs w:val="28"/>
        </w:rPr>
      </w:pPr>
      <w:r>
        <w:rPr>
          <w:rFonts w:hint="eastAsia" w:hAnsi="宋体"/>
          <w:sz w:val="24"/>
          <w:szCs w:val="28"/>
        </w:rPr>
        <w:t>磋商供应商应认真阅读磋商文件中列示的事项、格式、条款和要求等内容。如果磋商供应商未按磋商文件要求提交全部资料，或者对磋商文件未作出实质性响应的，根据相关法规要求，此类磋商将被拒绝（视为无效磋商）。</w:t>
      </w:r>
    </w:p>
    <w:p w14:paraId="22E17456">
      <w:pPr>
        <w:pStyle w:val="5"/>
        <w:numPr>
          <w:ilvl w:val="0"/>
          <w:numId w:val="3"/>
        </w:numPr>
        <w:spacing w:before="0" w:after="0" w:line="360" w:lineRule="auto"/>
        <w:rPr>
          <w:rFonts w:ascii="宋体" w:hAnsi="宋体"/>
          <w:b w:val="0"/>
        </w:rPr>
      </w:pPr>
      <w:bookmarkStart w:id="86" w:name="_Toc1575302"/>
      <w:bookmarkStart w:id="87" w:name="_Toc488673618"/>
      <w:r>
        <w:rPr>
          <w:rFonts w:hint="eastAsia" w:ascii="宋体" w:hAnsi="宋体"/>
          <w:b w:val="0"/>
        </w:rPr>
        <w:t>磋商文件、磋商活动和中标结果的质疑</w:t>
      </w:r>
      <w:bookmarkEnd w:id="86"/>
      <w:bookmarkEnd w:id="87"/>
    </w:p>
    <w:p w14:paraId="566EBF38">
      <w:pPr>
        <w:pStyle w:val="17"/>
        <w:numPr>
          <w:ilvl w:val="1"/>
          <w:numId w:val="7"/>
        </w:numPr>
        <w:spacing w:line="360" w:lineRule="auto"/>
        <w:rPr>
          <w:rFonts w:hAnsi="宋体"/>
          <w:sz w:val="24"/>
          <w:szCs w:val="28"/>
        </w:rPr>
      </w:pPr>
      <w:r>
        <w:rPr>
          <w:rFonts w:hint="eastAsia" w:hAnsi="宋体"/>
          <w:sz w:val="24"/>
          <w:szCs w:val="28"/>
        </w:rPr>
        <w:t>参加磋商的磋商供应商认为磋商文件、磋商活动和中标、成交结果使自己的权益受到损害的，可以在知道或者应知其权益受到损害之日起7个工作日内以书面形式（如信件、传真等）向采购单位或者采购代理机构提出质疑，不接受匿名质疑。潜在供应商已依法获取其可质疑的磋商文件的，可以对该文件提出质疑，对磋商文件提出质疑的，应当在获取磋商文件或者磋商文件公告期限届满之日起7个工作日内提出。供应商须在法定质疑期内一次性提出针对同一采购程序环节的质疑。采购人或采购代理机构在收到书面质疑函后7个工作日内作出答复。</w:t>
      </w:r>
    </w:p>
    <w:p w14:paraId="2FDC355F">
      <w:pPr>
        <w:pStyle w:val="17"/>
        <w:numPr>
          <w:ilvl w:val="1"/>
          <w:numId w:val="7"/>
        </w:numPr>
        <w:spacing w:line="360" w:lineRule="auto"/>
        <w:rPr>
          <w:rFonts w:hAnsi="宋体"/>
          <w:sz w:val="24"/>
          <w:szCs w:val="28"/>
        </w:rPr>
      </w:pPr>
      <w:r>
        <w:rPr>
          <w:rFonts w:hint="eastAsia" w:hAnsi="宋体"/>
          <w:sz w:val="24"/>
          <w:szCs w:val="28"/>
        </w:rPr>
        <w:t>参与采购活动的磋商人对评审过程或者结果提出质疑的，采购人或采购代理机构可以组织原评审委员会协助处理质疑事项，并依据评审委员会出具的意见进行答复。质疑事项处理完成后，采购人或采购代理机构应按照规定填写《青海省政府采购磋商人质疑处理情况表》，并在15日内报同级政府采购监督管理部门备案。</w:t>
      </w:r>
    </w:p>
    <w:p w14:paraId="6E04CDAF">
      <w:pPr>
        <w:pStyle w:val="17"/>
        <w:numPr>
          <w:ilvl w:val="1"/>
          <w:numId w:val="7"/>
        </w:numPr>
        <w:spacing w:line="360" w:lineRule="auto"/>
        <w:rPr>
          <w:rFonts w:hAnsi="宋体"/>
          <w:sz w:val="24"/>
          <w:szCs w:val="28"/>
        </w:rPr>
      </w:pPr>
      <w:r>
        <w:rPr>
          <w:rFonts w:hint="eastAsia" w:hAnsi="宋体"/>
          <w:sz w:val="24"/>
          <w:szCs w:val="28"/>
        </w:rPr>
        <w:t>质疑时效期间的计算</w:t>
      </w:r>
    </w:p>
    <w:p w14:paraId="2F9D7D4B">
      <w:pPr>
        <w:pStyle w:val="17"/>
        <w:numPr>
          <w:ilvl w:val="0"/>
          <w:numId w:val="8"/>
        </w:numPr>
        <w:spacing w:line="360" w:lineRule="auto"/>
        <w:rPr>
          <w:rFonts w:hAnsi="宋体" w:cs="Arial"/>
          <w:sz w:val="24"/>
          <w:szCs w:val="24"/>
        </w:rPr>
      </w:pPr>
      <w:r>
        <w:rPr>
          <w:rFonts w:hint="eastAsia" w:hAnsi="宋体" w:cs="Arial"/>
          <w:sz w:val="24"/>
          <w:szCs w:val="24"/>
        </w:rPr>
        <w:t>对可以质疑的磋商文件提出质疑的，为收到磋商文件之日或磋商文件公告期限届满之日；</w:t>
      </w:r>
    </w:p>
    <w:p w14:paraId="6CD3739A">
      <w:pPr>
        <w:pStyle w:val="17"/>
        <w:numPr>
          <w:ilvl w:val="0"/>
          <w:numId w:val="8"/>
        </w:numPr>
        <w:spacing w:line="360" w:lineRule="auto"/>
        <w:rPr>
          <w:rFonts w:hAnsi="宋体" w:cs="Arial"/>
          <w:sz w:val="24"/>
          <w:szCs w:val="24"/>
        </w:rPr>
      </w:pPr>
      <w:r>
        <w:rPr>
          <w:rFonts w:hint="eastAsia" w:hAnsi="宋体" w:cs="Arial"/>
          <w:sz w:val="24"/>
          <w:szCs w:val="24"/>
        </w:rPr>
        <w:t>对磋商过程提出质疑的，为磋商程序各环节结束之日；</w:t>
      </w:r>
    </w:p>
    <w:p w14:paraId="5DCAD708">
      <w:pPr>
        <w:pStyle w:val="17"/>
        <w:numPr>
          <w:ilvl w:val="0"/>
          <w:numId w:val="8"/>
        </w:numPr>
        <w:spacing w:line="360" w:lineRule="auto"/>
        <w:rPr>
          <w:rFonts w:hAnsi="宋体" w:cs="Arial"/>
          <w:sz w:val="24"/>
          <w:szCs w:val="24"/>
        </w:rPr>
      </w:pPr>
      <w:r>
        <w:rPr>
          <w:rFonts w:hint="eastAsia" w:hAnsi="宋体" w:cs="Arial"/>
          <w:sz w:val="24"/>
          <w:szCs w:val="24"/>
        </w:rPr>
        <w:t>对中标结果提出质疑的，为中标公告期限届满之日。</w:t>
      </w:r>
    </w:p>
    <w:p w14:paraId="11FD38FF">
      <w:pPr>
        <w:pStyle w:val="5"/>
        <w:numPr>
          <w:ilvl w:val="0"/>
          <w:numId w:val="3"/>
        </w:numPr>
        <w:spacing w:before="0" w:after="0" w:line="360" w:lineRule="auto"/>
        <w:rPr>
          <w:rFonts w:ascii="宋体" w:hAnsi="宋体"/>
          <w:b w:val="0"/>
        </w:rPr>
      </w:pPr>
      <w:bookmarkStart w:id="88" w:name="_Toc488673619"/>
      <w:bookmarkStart w:id="89" w:name="_Toc1575303"/>
      <w:r>
        <w:rPr>
          <w:rFonts w:hint="eastAsia" w:ascii="宋体" w:hAnsi="宋体"/>
          <w:b w:val="0"/>
        </w:rPr>
        <w:t>磋商文件的修改</w:t>
      </w:r>
      <w:bookmarkEnd w:id="88"/>
      <w:bookmarkEnd w:id="89"/>
    </w:p>
    <w:p w14:paraId="68427C57">
      <w:pPr>
        <w:pStyle w:val="17"/>
        <w:numPr>
          <w:ilvl w:val="1"/>
          <w:numId w:val="9"/>
        </w:numPr>
        <w:spacing w:line="360" w:lineRule="auto"/>
        <w:rPr>
          <w:rFonts w:hAnsi="宋体"/>
          <w:sz w:val="24"/>
          <w:szCs w:val="28"/>
        </w:rPr>
      </w:pPr>
      <w:r>
        <w:rPr>
          <w:rFonts w:hint="eastAsia" w:hAnsi="宋体"/>
          <w:sz w:val="24"/>
          <w:szCs w:val="28"/>
        </w:rPr>
        <w:t>在磋商截止期前，采购单位或采购代理机构可对磋商文件进行必要的修改或者澄清；</w:t>
      </w:r>
    </w:p>
    <w:p w14:paraId="2596FE1C">
      <w:pPr>
        <w:pStyle w:val="17"/>
        <w:numPr>
          <w:ilvl w:val="1"/>
          <w:numId w:val="9"/>
        </w:numPr>
        <w:spacing w:line="360" w:lineRule="auto"/>
        <w:rPr>
          <w:rFonts w:hAnsi="宋体"/>
          <w:sz w:val="24"/>
          <w:szCs w:val="28"/>
        </w:rPr>
      </w:pPr>
      <w:r>
        <w:rPr>
          <w:rFonts w:hint="eastAsia" w:hAnsi="宋体"/>
          <w:sz w:val="24"/>
          <w:szCs w:val="28"/>
        </w:rPr>
        <w:t>采购代理机构对已发出的磋商文件进行必要的澄清或者修改的，澄清或者修改的内容可能影响磋商响应文件编制的，在磋商文件要求提交磋商响应文件截止时间</w:t>
      </w:r>
      <w:r>
        <w:rPr>
          <w:rFonts w:hAnsi="宋体"/>
          <w:sz w:val="24"/>
          <w:szCs w:val="28"/>
        </w:rPr>
        <w:t>5</w:t>
      </w:r>
      <w:r>
        <w:rPr>
          <w:rFonts w:hint="eastAsia" w:hAnsi="宋体"/>
          <w:sz w:val="24"/>
          <w:szCs w:val="28"/>
        </w:rPr>
        <w:t>日前，发布本次磋商公告的网站上发布变更公告。不足</w:t>
      </w:r>
      <w:r>
        <w:rPr>
          <w:rFonts w:hAnsi="宋体"/>
          <w:sz w:val="24"/>
          <w:szCs w:val="28"/>
        </w:rPr>
        <w:t>5</w:t>
      </w:r>
      <w:r>
        <w:rPr>
          <w:rFonts w:hint="eastAsia" w:hAnsi="宋体"/>
          <w:sz w:val="24"/>
          <w:szCs w:val="28"/>
        </w:rPr>
        <w:t>日的，顺延提交磋商响应文件的截止时间。该澄清或者修改的内容为磋商文件的组成部分；</w:t>
      </w:r>
    </w:p>
    <w:p w14:paraId="2C18AF86">
      <w:pPr>
        <w:pStyle w:val="17"/>
        <w:numPr>
          <w:ilvl w:val="1"/>
          <w:numId w:val="9"/>
        </w:numPr>
        <w:spacing w:line="360" w:lineRule="auto"/>
        <w:rPr>
          <w:rFonts w:hAnsi="宋体"/>
          <w:sz w:val="24"/>
          <w:szCs w:val="28"/>
        </w:rPr>
      </w:pPr>
      <w:r>
        <w:rPr>
          <w:rFonts w:hint="eastAsia" w:hAnsi="宋体"/>
          <w:sz w:val="24"/>
          <w:szCs w:val="28"/>
        </w:rPr>
        <w:t>在磋商截止时间前，采购单位或采购代理机构可以视采购具体情况，延长磋商截止时间和磋商时间，并在磋商文件要求提交磋商响应文件的截止时间3日前，将变更时间以书面形式通知所有购买了磋商文件的潜在磋商供应商，同时在发布本次磋商公告的网站发布变更公告。</w:t>
      </w:r>
    </w:p>
    <w:p w14:paraId="100C6C3C">
      <w:pPr>
        <w:pStyle w:val="4"/>
        <w:jc w:val="center"/>
        <w:rPr>
          <w:rFonts w:hAnsi="宋体"/>
          <w:b/>
          <w:sz w:val="32"/>
          <w:szCs w:val="21"/>
        </w:rPr>
      </w:pPr>
      <w:bookmarkStart w:id="90" w:name="_Toc1575304"/>
      <w:r>
        <w:rPr>
          <w:rFonts w:hint="eastAsia" w:hAnsi="宋体"/>
          <w:b/>
          <w:sz w:val="32"/>
          <w:szCs w:val="21"/>
        </w:rPr>
        <w:t>磋商响应文件的编写</w:t>
      </w:r>
      <w:bookmarkEnd w:id="90"/>
    </w:p>
    <w:p w14:paraId="1FFEA187">
      <w:pPr>
        <w:pStyle w:val="5"/>
        <w:numPr>
          <w:ilvl w:val="0"/>
          <w:numId w:val="3"/>
        </w:numPr>
        <w:spacing w:before="0" w:after="0" w:line="360" w:lineRule="auto"/>
        <w:rPr>
          <w:rFonts w:ascii="宋体" w:hAnsi="宋体"/>
          <w:b w:val="0"/>
        </w:rPr>
      </w:pPr>
      <w:bookmarkStart w:id="91" w:name="_Toc1575305"/>
      <w:bookmarkStart w:id="92" w:name="_Toc488673621"/>
      <w:r>
        <w:rPr>
          <w:rFonts w:hint="eastAsia" w:ascii="宋体" w:hAnsi="宋体"/>
          <w:b w:val="0"/>
        </w:rPr>
        <w:t>磋商响应文件的语言及度量衡单位</w:t>
      </w:r>
      <w:bookmarkEnd w:id="91"/>
      <w:bookmarkEnd w:id="92"/>
    </w:p>
    <w:p w14:paraId="79D1C920">
      <w:pPr>
        <w:pStyle w:val="17"/>
        <w:numPr>
          <w:ilvl w:val="1"/>
          <w:numId w:val="10"/>
        </w:numPr>
        <w:spacing w:line="360" w:lineRule="auto"/>
        <w:rPr>
          <w:rFonts w:hAnsi="宋体"/>
          <w:sz w:val="24"/>
          <w:szCs w:val="28"/>
        </w:rPr>
      </w:pPr>
      <w:r>
        <w:rPr>
          <w:rFonts w:hint="eastAsia" w:hAnsi="宋体"/>
          <w:sz w:val="24"/>
          <w:szCs w:val="28"/>
        </w:rPr>
        <w:t>磋商供应商提交的磋商响应文件以及磋商供应商与采购代理机构就此磋商发生的所有来往函电均应使用简体中文；</w:t>
      </w:r>
    </w:p>
    <w:p w14:paraId="4A9DB89F">
      <w:pPr>
        <w:pStyle w:val="17"/>
        <w:numPr>
          <w:ilvl w:val="1"/>
          <w:numId w:val="10"/>
        </w:numPr>
        <w:spacing w:line="360" w:lineRule="auto"/>
        <w:rPr>
          <w:rFonts w:hAnsi="宋体"/>
          <w:sz w:val="24"/>
          <w:szCs w:val="28"/>
        </w:rPr>
      </w:pPr>
      <w:r>
        <w:rPr>
          <w:rFonts w:hint="eastAsia" w:hAnsi="宋体"/>
          <w:sz w:val="24"/>
          <w:szCs w:val="28"/>
        </w:rPr>
        <w:t>除磋商文件中另有规定外，磋商文件所使用的度量衡单位，均须采用国家法定计量单位；</w:t>
      </w:r>
    </w:p>
    <w:p w14:paraId="3AE0FBF1">
      <w:pPr>
        <w:pStyle w:val="17"/>
        <w:numPr>
          <w:ilvl w:val="1"/>
          <w:numId w:val="10"/>
        </w:numPr>
        <w:spacing w:line="360" w:lineRule="auto"/>
        <w:rPr>
          <w:rFonts w:hAnsi="宋体"/>
          <w:sz w:val="24"/>
          <w:szCs w:val="28"/>
        </w:rPr>
      </w:pPr>
      <w:r>
        <w:rPr>
          <w:rFonts w:hint="eastAsia" w:hAnsi="宋体"/>
          <w:sz w:val="24"/>
          <w:szCs w:val="28"/>
        </w:rPr>
        <w:t>附有外文资料的须翻译成中文，并加盖磋商供应商公章，如果翻译的中文资料与外文资料出现差异与矛盾时，以中文为准，其准确性由磋商供应商负责。</w:t>
      </w:r>
    </w:p>
    <w:p w14:paraId="156D92B0">
      <w:pPr>
        <w:pStyle w:val="5"/>
        <w:numPr>
          <w:ilvl w:val="0"/>
          <w:numId w:val="3"/>
        </w:numPr>
        <w:spacing w:before="0" w:after="0" w:line="360" w:lineRule="auto"/>
        <w:rPr>
          <w:rFonts w:ascii="宋体" w:hAnsi="宋体"/>
          <w:b w:val="0"/>
        </w:rPr>
      </w:pPr>
      <w:bookmarkStart w:id="93" w:name="_Toc1575306"/>
      <w:bookmarkStart w:id="94" w:name="_Toc488673622"/>
      <w:r>
        <w:rPr>
          <w:rFonts w:hint="eastAsia" w:ascii="宋体" w:hAnsi="宋体"/>
          <w:b w:val="0"/>
        </w:rPr>
        <w:t>磋商报价及币种</w:t>
      </w:r>
      <w:bookmarkEnd w:id="93"/>
      <w:bookmarkEnd w:id="94"/>
    </w:p>
    <w:p w14:paraId="7C724CAD">
      <w:pPr>
        <w:pStyle w:val="17"/>
        <w:numPr>
          <w:ilvl w:val="1"/>
          <w:numId w:val="11"/>
        </w:numPr>
        <w:spacing w:line="360" w:lineRule="auto"/>
        <w:rPr>
          <w:rFonts w:hAnsi="宋体"/>
          <w:sz w:val="24"/>
          <w:szCs w:val="28"/>
        </w:rPr>
      </w:pPr>
      <w:r>
        <w:rPr>
          <w:rFonts w:hint="eastAsia" w:hAnsi="宋体"/>
          <w:sz w:val="24"/>
          <w:szCs w:val="28"/>
        </w:rPr>
        <w:t>磋商报价为磋商总价。磋商报价必须包括：</w:t>
      </w:r>
      <w:bookmarkStart w:id="95" w:name="_Hlk497466989"/>
      <w:r>
        <w:rPr>
          <w:rFonts w:hint="eastAsia" w:hAnsi="宋体"/>
          <w:sz w:val="24"/>
          <w:szCs w:val="28"/>
          <w:lang w:val="zh-CN"/>
        </w:rPr>
        <w:t>产品费、验收费、手续费、包装费、运输费、售前、售中、售后服务费、招标代理费、税金及不可预见费等全部费用。</w:t>
      </w:r>
      <w:r>
        <w:rPr>
          <w:rFonts w:hint="eastAsia" w:hAnsi="宋体"/>
          <w:sz w:val="24"/>
          <w:szCs w:val="28"/>
        </w:rPr>
        <w:t>（说明：具体内容应根据项目特点实事求是的填写）</w:t>
      </w:r>
      <w:bookmarkEnd w:id="95"/>
    </w:p>
    <w:p w14:paraId="52253698">
      <w:pPr>
        <w:pStyle w:val="17"/>
        <w:numPr>
          <w:ilvl w:val="1"/>
          <w:numId w:val="11"/>
        </w:numPr>
        <w:spacing w:line="360" w:lineRule="auto"/>
        <w:rPr>
          <w:rFonts w:hAnsi="宋体"/>
          <w:sz w:val="24"/>
          <w:szCs w:val="28"/>
        </w:rPr>
      </w:pPr>
      <w:r>
        <w:rPr>
          <w:rFonts w:hint="eastAsia" w:hAnsi="宋体"/>
          <w:sz w:val="24"/>
          <w:szCs w:val="28"/>
        </w:rPr>
        <w:t>磋商报价应注明有效期，有效期应与磋商有效期一致；</w:t>
      </w:r>
    </w:p>
    <w:p w14:paraId="4F27971E">
      <w:pPr>
        <w:pStyle w:val="17"/>
        <w:numPr>
          <w:ilvl w:val="1"/>
          <w:numId w:val="11"/>
        </w:numPr>
        <w:spacing w:line="360" w:lineRule="auto"/>
        <w:rPr>
          <w:rFonts w:hAnsi="宋体"/>
          <w:sz w:val="24"/>
          <w:szCs w:val="28"/>
        </w:rPr>
      </w:pPr>
      <w:r>
        <w:rPr>
          <w:rFonts w:hint="eastAsia" w:hAnsi="宋体"/>
          <w:sz w:val="24"/>
          <w:szCs w:val="28"/>
        </w:rPr>
        <w:t>磋商供应商应根据磋商文件规定的格式完整填写所有内容，并保证所提供的全部资料真实可靠，自愿承担相应责任；</w:t>
      </w:r>
    </w:p>
    <w:p w14:paraId="54A1C75A">
      <w:pPr>
        <w:pStyle w:val="17"/>
        <w:numPr>
          <w:ilvl w:val="1"/>
          <w:numId w:val="11"/>
        </w:numPr>
        <w:spacing w:line="360" w:lineRule="auto"/>
        <w:rPr>
          <w:rFonts w:hAnsi="宋体"/>
          <w:sz w:val="24"/>
          <w:szCs w:val="28"/>
        </w:rPr>
      </w:pPr>
      <w:r>
        <w:rPr>
          <w:rFonts w:hint="eastAsia" w:hAnsi="宋体"/>
          <w:sz w:val="24"/>
          <w:szCs w:val="28"/>
        </w:rPr>
        <w:t>磋商报价为闭口价，即中标后在合同有效期内价格不变；</w:t>
      </w:r>
    </w:p>
    <w:p w14:paraId="32F2FEE0">
      <w:pPr>
        <w:pStyle w:val="17"/>
        <w:numPr>
          <w:ilvl w:val="1"/>
          <w:numId w:val="11"/>
        </w:numPr>
        <w:spacing w:line="360" w:lineRule="auto"/>
        <w:rPr>
          <w:rFonts w:hAnsi="宋体"/>
          <w:sz w:val="24"/>
          <w:szCs w:val="28"/>
        </w:rPr>
      </w:pPr>
      <w:r>
        <w:rPr>
          <w:rFonts w:hint="eastAsia" w:hAnsi="宋体"/>
          <w:sz w:val="24"/>
          <w:szCs w:val="28"/>
        </w:rPr>
        <w:t>磋商币种为人民币。</w:t>
      </w:r>
    </w:p>
    <w:p w14:paraId="57A1E446">
      <w:pPr>
        <w:pStyle w:val="5"/>
        <w:numPr>
          <w:ilvl w:val="0"/>
          <w:numId w:val="3"/>
        </w:numPr>
        <w:spacing w:before="0" w:after="0" w:line="360" w:lineRule="auto"/>
        <w:rPr>
          <w:rFonts w:ascii="宋体" w:hAnsi="宋体"/>
          <w:b w:val="0"/>
        </w:rPr>
      </w:pPr>
      <w:bookmarkStart w:id="96" w:name="_Toc1575307"/>
      <w:bookmarkStart w:id="97" w:name="_Toc488673623"/>
      <w:r>
        <w:rPr>
          <w:rFonts w:hint="eastAsia" w:ascii="宋体" w:hAnsi="宋体"/>
          <w:b w:val="0"/>
        </w:rPr>
        <w:t>磋商保证金</w:t>
      </w:r>
      <w:bookmarkEnd w:id="96"/>
      <w:bookmarkEnd w:id="97"/>
    </w:p>
    <w:p w14:paraId="1AF87184">
      <w:pPr>
        <w:pStyle w:val="17"/>
        <w:numPr>
          <w:ilvl w:val="1"/>
          <w:numId w:val="12"/>
        </w:numPr>
        <w:spacing w:line="360" w:lineRule="auto"/>
        <w:rPr>
          <w:rFonts w:hAnsi="宋体"/>
          <w:sz w:val="24"/>
          <w:szCs w:val="28"/>
        </w:rPr>
      </w:pPr>
      <w:r>
        <w:rPr>
          <w:rFonts w:hint="eastAsia" w:hAnsi="宋体"/>
          <w:sz w:val="24"/>
          <w:szCs w:val="28"/>
        </w:rPr>
        <w:t>磋商供应商应将磋商保证金缴纳证明作为磋商响应文件的内容一并提供。缴纳的磋商保证金用于因磋商供应商的行为使本次磋商活动受到损失的抵项；</w:t>
      </w:r>
    </w:p>
    <w:p w14:paraId="5DB6B789">
      <w:pPr>
        <w:pStyle w:val="17"/>
        <w:numPr>
          <w:ilvl w:val="1"/>
          <w:numId w:val="12"/>
        </w:numPr>
        <w:spacing w:line="360" w:lineRule="auto"/>
        <w:rPr>
          <w:rFonts w:hAnsi="宋体"/>
          <w:sz w:val="24"/>
          <w:szCs w:val="28"/>
        </w:rPr>
      </w:pPr>
      <w:r>
        <w:rPr>
          <w:rFonts w:hint="eastAsia" w:hAnsi="宋体"/>
          <w:sz w:val="24"/>
          <w:szCs w:val="28"/>
        </w:rPr>
        <w:t>磋商人须在投标截止期前按以下要求交纳投标保证金：</w:t>
      </w:r>
    </w:p>
    <w:p w14:paraId="6B39692E">
      <w:pPr>
        <w:pStyle w:val="17"/>
        <w:spacing w:line="360" w:lineRule="auto"/>
        <w:ind w:firstLine="480" w:firstLineChars="200"/>
        <w:rPr>
          <w:rFonts w:hint="default" w:hAnsi="宋体" w:eastAsia="宋体"/>
          <w:sz w:val="24"/>
          <w:szCs w:val="24"/>
          <w:lang w:val="en-US" w:eastAsia="zh-CN"/>
        </w:rPr>
      </w:pPr>
      <w:r>
        <w:rPr>
          <w:rFonts w:hint="eastAsia" w:hAnsi="宋体"/>
          <w:sz w:val="24"/>
          <w:szCs w:val="24"/>
          <w:lang w:val="en-US" w:eastAsia="zh-CN"/>
        </w:rPr>
        <w:t>本项目不需要缴纳保证金。</w:t>
      </w:r>
    </w:p>
    <w:p w14:paraId="213DF837">
      <w:pPr>
        <w:pStyle w:val="17"/>
        <w:numPr>
          <w:ilvl w:val="1"/>
          <w:numId w:val="12"/>
        </w:numPr>
        <w:spacing w:line="360" w:lineRule="auto"/>
        <w:rPr>
          <w:rFonts w:hAnsi="宋体"/>
          <w:sz w:val="24"/>
          <w:szCs w:val="28"/>
        </w:rPr>
      </w:pPr>
      <w:r>
        <w:rPr>
          <w:rFonts w:hint="eastAsia" w:hAnsi="宋体"/>
          <w:sz w:val="24"/>
          <w:szCs w:val="28"/>
        </w:rPr>
        <w:t>磋商供应商应在磋商截止时间前将磋商保证金缴纳到采购代理机构账户，以银行到账时间为准；</w:t>
      </w:r>
    </w:p>
    <w:p w14:paraId="472EDE17">
      <w:pPr>
        <w:pStyle w:val="17"/>
        <w:numPr>
          <w:ilvl w:val="1"/>
          <w:numId w:val="12"/>
        </w:numPr>
        <w:spacing w:line="360" w:lineRule="auto"/>
        <w:rPr>
          <w:rFonts w:hAnsi="宋体"/>
          <w:sz w:val="24"/>
          <w:szCs w:val="28"/>
        </w:rPr>
      </w:pPr>
      <w:r>
        <w:rPr>
          <w:rFonts w:hint="eastAsia" w:hAnsi="宋体"/>
          <w:sz w:val="24"/>
          <w:szCs w:val="28"/>
        </w:rPr>
        <w:t>磋商保证金应当以电汇、支票、汇票、本票或者金融机构、担保机构出具的保函等非现金形式提交，通过银行转账的，必须从磋商供应商基本账户直接汇（转）入采购代理机构指定账户；</w:t>
      </w:r>
    </w:p>
    <w:p w14:paraId="29C4D230">
      <w:pPr>
        <w:pStyle w:val="17"/>
        <w:numPr>
          <w:ilvl w:val="1"/>
          <w:numId w:val="12"/>
        </w:numPr>
        <w:spacing w:line="360" w:lineRule="auto"/>
        <w:rPr>
          <w:rFonts w:hAnsi="宋体"/>
          <w:sz w:val="24"/>
          <w:szCs w:val="28"/>
        </w:rPr>
      </w:pPr>
      <w:r>
        <w:rPr>
          <w:rFonts w:hint="eastAsia" w:hAnsi="宋体"/>
          <w:sz w:val="24"/>
          <w:szCs w:val="28"/>
        </w:rPr>
        <w:t>未按磋商文件要求在规定时间前交纳规定数额磋商保证金的磋商将被拒绝；</w:t>
      </w:r>
    </w:p>
    <w:p w14:paraId="5D5FEC89">
      <w:pPr>
        <w:pStyle w:val="17"/>
        <w:numPr>
          <w:ilvl w:val="1"/>
          <w:numId w:val="12"/>
        </w:numPr>
        <w:spacing w:line="360" w:lineRule="auto"/>
        <w:rPr>
          <w:rFonts w:hAnsi="宋体"/>
          <w:sz w:val="24"/>
          <w:szCs w:val="28"/>
        </w:rPr>
      </w:pPr>
      <w:r>
        <w:rPr>
          <w:rFonts w:hint="eastAsia" w:hAnsi="宋体"/>
          <w:sz w:val="24"/>
          <w:szCs w:val="28"/>
        </w:rPr>
        <w:t>未中标磋商供应商的磋商保证金自中标通知书发出之日起5个工作日内全额无息退还（不退现金）；中标磋商供应商的磋商保证金，自政府采购合同签订之日起5个工作日内全额无息退还（不退现金）；</w:t>
      </w:r>
    </w:p>
    <w:p w14:paraId="1EC3A9CA">
      <w:pPr>
        <w:pStyle w:val="17"/>
        <w:numPr>
          <w:ilvl w:val="1"/>
          <w:numId w:val="12"/>
        </w:numPr>
        <w:spacing w:line="360" w:lineRule="auto"/>
        <w:rPr>
          <w:rFonts w:hAnsi="宋体"/>
          <w:sz w:val="24"/>
          <w:szCs w:val="28"/>
        </w:rPr>
      </w:pPr>
      <w:r>
        <w:rPr>
          <w:rFonts w:hint="eastAsia" w:hAnsi="宋体"/>
          <w:sz w:val="24"/>
          <w:szCs w:val="28"/>
        </w:rPr>
        <w:t>下列任何情况发生时，磋商保证金将不予退还：</w:t>
      </w:r>
    </w:p>
    <w:p w14:paraId="6D17DDD5">
      <w:pPr>
        <w:pStyle w:val="17"/>
        <w:numPr>
          <w:ilvl w:val="0"/>
          <w:numId w:val="13"/>
        </w:numPr>
        <w:spacing w:line="360" w:lineRule="auto"/>
        <w:rPr>
          <w:rFonts w:hAnsi="宋体" w:cs="Arial"/>
          <w:sz w:val="24"/>
          <w:szCs w:val="24"/>
        </w:rPr>
      </w:pPr>
      <w:r>
        <w:rPr>
          <w:rFonts w:hint="eastAsia" w:hAnsi="宋体" w:cs="Arial"/>
          <w:sz w:val="24"/>
          <w:szCs w:val="24"/>
        </w:rPr>
        <w:t>磋商供应商在递交磋商响应文件的截止时间前未到达现场并且没有以书面形式如信函、传真等告知采购代理机构要撤其磋商的；</w:t>
      </w:r>
    </w:p>
    <w:p w14:paraId="48A72825">
      <w:pPr>
        <w:pStyle w:val="17"/>
        <w:numPr>
          <w:ilvl w:val="0"/>
          <w:numId w:val="13"/>
        </w:numPr>
        <w:spacing w:line="360" w:lineRule="auto"/>
        <w:rPr>
          <w:rFonts w:hAnsi="宋体" w:cs="Arial"/>
          <w:sz w:val="24"/>
          <w:szCs w:val="24"/>
        </w:rPr>
      </w:pPr>
      <w:r>
        <w:rPr>
          <w:rFonts w:hint="eastAsia" w:hAnsi="宋体" w:cs="Arial"/>
          <w:sz w:val="24"/>
          <w:szCs w:val="24"/>
        </w:rPr>
        <w:t>中标磋商供应商在规定期限内未能按规定签订合同或未按规定缴纳中标服务费；</w:t>
      </w:r>
    </w:p>
    <w:p w14:paraId="096A9BF4">
      <w:pPr>
        <w:pStyle w:val="17"/>
        <w:numPr>
          <w:ilvl w:val="0"/>
          <w:numId w:val="13"/>
        </w:numPr>
        <w:spacing w:line="360" w:lineRule="auto"/>
        <w:rPr>
          <w:rFonts w:hAnsi="宋体" w:cs="Arial"/>
          <w:sz w:val="24"/>
          <w:szCs w:val="24"/>
        </w:rPr>
      </w:pPr>
      <w:r>
        <w:rPr>
          <w:rFonts w:hint="eastAsia" w:hAnsi="宋体" w:cs="Arial"/>
          <w:sz w:val="24"/>
          <w:szCs w:val="24"/>
        </w:rPr>
        <w:t>提供虚假材料谋取中标的；</w:t>
      </w:r>
    </w:p>
    <w:p w14:paraId="34B86928">
      <w:pPr>
        <w:pStyle w:val="17"/>
        <w:numPr>
          <w:ilvl w:val="0"/>
          <w:numId w:val="13"/>
        </w:numPr>
        <w:spacing w:line="360" w:lineRule="auto"/>
        <w:rPr>
          <w:rFonts w:hAnsi="宋体" w:cs="Arial"/>
          <w:sz w:val="24"/>
          <w:szCs w:val="24"/>
        </w:rPr>
      </w:pPr>
      <w:r>
        <w:rPr>
          <w:rFonts w:hint="eastAsia" w:hAnsi="宋体" w:cs="Arial"/>
          <w:sz w:val="24"/>
          <w:szCs w:val="24"/>
        </w:rPr>
        <w:t>将中标项目转让给他人，或者在磋商响应文件中未说明，将中标项目分包给他人的；</w:t>
      </w:r>
    </w:p>
    <w:p w14:paraId="0BE9BAD9">
      <w:pPr>
        <w:pStyle w:val="17"/>
        <w:numPr>
          <w:ilvl w:val="0"/>
          <w:numId w:val="13"/>
        </w:numPr>
        <w:spacing w:line="360" w:lineRule="auto"/>
        <w:rPr>
          <w:rFonts w:hAnsi="宋体" w:cs="Arial"/>
          <w:sz w:val="24"/>
          <w:szCs w:val="24"/>
        </w:rPr>
      </w:pPr>
      <w:r>
        <w:rPr>
          <w:rFonts w:hint="eastAsia" w:hAnsi="宋体" w:cs="Arial"/>
          <w:sz w:val="24"/>
          <w:szCs w:val="24"/>
        </w:rPr>
        <w:t>拒绝履行合同义务的；</w:t>
      </w:r>
    </w:p>
    <w:p w14:paraId="405200A0">
      <w:pPr>
        <w:pStyle w:val="17"/>
        <w:numPr>
          <w:ilvl w:val="0"/>
          <w:numId w:val="13"/>
        </w:numPr>
        <w:spacing w:line="360" w:lineRule="auto"/>
        <w:rPr>
          <w:rFonts w:hAnsi="宋体" w:cs="Arial"/>
          <w:sz w:val="24"/>
          <w:szCs w:val="24"/>
        </w:rPr>
      </w:pPr>
      <w:r>
        <w:rPr>
          <w:rFonts w:hint="eastAsia" w:hAnsi="宋体" w:cs="Arial"/>
          <w:sz w:val="24"/>
          <w:szCs w:val="24"/>
        </w:rPr>
        <w:t>法律、法规规定的其他情形。</w:t>
      </w:r>
    </w:p>
    <w:p w14:paraId="56DD08F7">
      <w:pPr>
        <w:pStyle w:val="5"/>
        <w:numPr>
          <w:ilvl w:val="0"/>
          <w:numId w:val="3"/>
        </w:numPr>
        <w:spacing w:before="0" w:after="0" w:line="360" w:lineRule="auto"/>
        <w:rPr>
          <w:rFonts w:ascii="宋体" w:hAnsi="宋体"/>
          <w:b w:val="0"/>
        </w:rPr>
      </w:pPr>
      <w:bookmarkStart w:id="98" w:name="_Toc1575308"/>
      <w:bookmarkStart w:id="99" w:name="_Toc488673624"/>
      <w:r>
        <w:rPr>
          <w:rFonts w:ascii="宋体" w:hAnsi="宋体"/>
          <w:b w:val="0"/>
        </w:rPr>
        <w:t>磋商有效期</w:t>
      </w:r>
      <w:bookmarkEnd w:id="98"/>
      <w:bookmarkEnd w:id="99"/>
    </w:p>
    <w:p w14:paraId="11C82B76">
      <w:pPr>
        <w:pStyle w:val="17"/>
        <w:spacing w:line="360" w:lineRule="auto"/>
        <w:ind w:firstLine="480" w:firstLineChars="200"/>
        <w:rPr>
          <w:rFonts w:hAnsi="宋体"/>
          <w:b/>
          <w:sz w:val="24"/>
          <w:szCs w:val="28"/>
        </w:rPr>
      </w:pPr>
      <w:r>
        <w:rPr>
          <w:rFonts w:hAnsi="宋体" w:cs="Arial"/>
          <w:sz w:val="24"/>
          <w:szCs w:val="24"/>
        </w:rPr>
        <w:t>本次磋商有效期为自</w:t>
      </w:r>
      <w:r>
        <w:rPr>
          <w:rFonts w:hint="eastAsia" w:hAnsi="宋体" w:cs="Arial"/>
          <w:sz w:val="24"/>
          <w:szCs w:val="24"/>
        </w:rPr>
        <w:t>磋商</w:t>
      </w:r>
      <w:r>
        <w:rPr>
          <w:rFonts w:hAnsi="宋体" w:cs="Arial"/>
          <w:sz w:val="24"/>
          <w:szCs w:val="24"/>
        </w:rPr>
        <w:t>之日起</w:t>
      </w:r>
      <w:r>
        <w:rPr>
          <w:rFonts w:hint="eastAsia" w:hAnsi="宋体" w:cs="Arial"/>
          <w:sz w:val="24"/>
          <w:szCs w:val="24"/>
        </w:rPr>
        <w:t>60</w:t>
      </w:r>
      <w:r>
        <w:rPr>
          <w:rFonts w:hAnsi="宋体" w:cs="Arial"/>
          <w:sz w:val="24"/>
          <w:szCs w:val="24"/>
        </w:rPr>
        <w:t>个日历日</w:t>
      </w:r>
      <w:r>
        <w:rPr>
          <w:rFonts w:hint="eastAsia" w:hAnsi="宋体" w:cs="Arial"/>
          <w:sz w:val="24"/>
          <w:szCs w:val="24"/>
        </w:rPr>
        <w:t>。</w:t>
      </w:r>
    </w:p>
    <w:p w14:paraId="470303E8">
      <w:pPr>
        <w:pStyle w:val="5"/>
        <w:numPr>
          <w:ilvl w:val="0"/>
          <w:numId w:val="3"/>
        </w:numPr>
        <w:spacing w:before="0" w:after="0" w:line="360" w:lineRule="auto"/>
        <w:rPr>
          <w:rFonts w:ascii="宋体" w:hAnsi="宋体"/>
          <w:b w:val="0"/>
        </w:rPr>
      </w:pPr>
      <w:bookmarkStart w:id="100" w:name="_Toc488673625"/>
      <w:bookmarkStart w:id="101" w:name="_Toc1575309"/>
      <w:r>
        <w:rPr>
          <w:rFonts w:hint="eastAsia" w:ascii="宋体" w:hAnsi="宋体"/>
          <w:b w:val="0"/>
        </w:rPr>
        <w:t>磋商响应文件的构成</w:t>
      </w:r>
      <w:bookmarkEnd w:id="100"/>
      <w:bookmarkEnd w:id="101"/>
    </w:p>
    <w:p w14:paraId="42F0EC31">
      <w:pPr>
        <w:pStyle w:val="17"/>
        <w:spacing w:line="360" w:lineRule="auto"/>
        <w:ind w:firstLine="600" w:firstLineChars="250"/>
        <w:rPr>
          <w:rFonts w:hAnsi="宋体"/>
          <w:sz w:val="24"/>
          <w:szCs w:val="28"/>
        </w:rPr>
      </w:pPr>
      <w:r>
        <w:rPr>
          <w:rFonts w:hint="eastAsia" w:hAnsi="宋体"/>
          <w:sz w:val="24"/>
          <w:szCs w:val="28"/>
        </w:rPr>
        <w:t>磋商供应商应提交相关证明材料，作为其参加磋商和中标后有能力履行合同的证明。编写的磋商响应文件须包括以下内容（格式见磋商文件“第五部分 磋商响应文件格式”）：</w:t>
      </w:r>
    </w:p>
    <w:p w14:paraId="64E7331D">
      <w:pPr>
        <w:autoSpaceDE w:val="0"/>
        <w:autoSpaceDN w:val="0"/>
        <w:spacing w:line="360" w:lineRule="auto"/>
        <w:ind w:left="426"/>
        <w:rPr>
          <w:rFonts w:hint="eastAsia"/>
          <w:kern w:val="0"/>
          <w:sz w:val="24"/>
          <w:lang w:val="zh-CN"/>
        </w:rPr>
      </w:pPr>
    </w:p>
    <w:p w14:paraId="0D1C4404">
      <w:pPr>
        <w:autoSpaceDE w:val="0"/>
        <w:autoSpaceDN w:val="0"/>
        <w:spacing w:line="360" w:lineRule="auto"/>
        <w:ind w:left="426"/>
        <w:rPr>
          <w:kern w:val="0"/>
          <w:sz w:val="24"/>
          <w:lang w:val="zh-CN"/>
        </w:rPr>
      </w:pPr>
      <w:r>
        <w:rPr>
          <w:rFonts w:hint="eastAsia"/>
          <w:kern w:val="0"/>
          <w:sz w:val="24"/>
          <w:lang w:val="zh-CN"/>
        </w:rPr>
        <w:t>11.1 磋商响应</w:t>
      </w:r>
      <w:r>
        <w:rPr>
          <w:kern w:val="0"/>
          <w:sz w:val="24"/>
          <w:lang w:val="zh-CN"/>
        </w:rPr>
        <w:t>文件（上册）（资格审查）</w:t>
      </w:r>
    </w:p>
    <w:p w14:paraId="0DDEA640">
      <w:pPr>
        <w:autoSpaceDE w:val="0"/>
        <w:autoSpaceDN w:val="0"/>
        <w:spacing w:line="360" w:lineRule="auto"/>
        <w:ind w:firstLine="480" w:firstLineChars="200"/>
        <w:rPr>
          <w:kern w:val="0"/>
          <w:sz w:val="24"/>
          <w:lang w:val="zh-CN"/>
        </w:rPr>
      </w:pPr>
      <w:r>
        <w:rPr>
          <w:kern w:val="0"/>
          <w:sz w:val="24"/>
          <w:lang w:val="zh-CN"/>
        </w:rPr>
        <w:t>一、</w:t>
      </w:r>
      <w:r>
        <w:rPr>
          <w:rFonts w:hint="eastAsia"/>
          <w:kern w:val="0"/>
          <w:sz w:val="24"/>
          <w:lang w:val="zh-CN"/>
        </w:rPr>
        <w:t>磋商响应</w:t>
      </w:r>
      <w:r>
        <w:rPr>
          <w:kern w:val="0"/>
          <w:sz w:val="24"/>
          <w:lang w:val="zh-CN"/>
        </w:rPr>
        <w:t>文件封面（上册）</w:t>
      </w:r>
    </w:p>
    <w:p w14:paraId="23F6DF93">
      <w:pPr>
        <w:autoSpaceDE w:val="0"/>
        <w:autoSpaceDN w:val="0"/>
        <w:spacing w:line="360" w:lineRule="auto"/>
        <w:ind w:firstLine="480" w:firstLineChars="200"/>
        <w:rPr>
          <w:sz w:val="24"/>
        </w:rPr>
      </w:pPr>
      <w:r>
        <w:rPr>
          <w:kern w:val="0"/>
          <w:sz w:val="24"/>
          <w:lang w:val="zh-CN"/>
        </w:rPr>
        <w:t>二、</w:t>
      </w:r>
      <w:r>
        <w:rPr>
          <w:rFonts w:hint="eastAsia"/>
          <w:kern w:val="0"/>
          <w:sz w:val="24"/>
          <w:lang w:val="zh-CN"/>
        </w:rPr>
        <w:t>磋商响应</w:t>
      </w:r>
      <w:r>
        <w:rPr>
          <w:kern w:val="0"/>
          <w:sz w:val="24"/>
          <w:lang w:val="zh-CN"/>
        </w:rPr>
        <w:t>文件目录（上册）</w:t>
      </w:r>
    </w:p>
    <w:p w14:paraId="1570102D">
      <w:pPr>
        <w:pStyle w:val="17"/>
        <w:numPr>
          <w:ilvl w:val="0"/>
          <w:numId w:val="14"/>
        </w:numPr>
        <w:spacing w:line="360" w:lineRule="auto"/>
        <w:rPr>
          <w:rFonts w:hAnsi="宋体" w:cs="Arial"/>
          <w:sz w:val="24"/>
          <w:szCs w:val="24"/>
        </w:rPr>
      </w:pPr>
      <w:r>
        <w:rPr>
          <w:rFonts w:hint="eastAsia" w:hAnsi="宋体" w:cs="Arial"/>
          <w:sz w:val="24"/>
          <w:szCs w:val="24"/>
        </w:rPr>
        <w:t>磋商函；</w:t>
      </w:r>
    </w:p>
    <w:p w14:paraId="23102AB2">
      <w:pPr>
        <w:pStyle w:val="17"/>
        <w:numPr>
          <w:ilvl w:val="0"/>
          <w:numId w:val="14"/>
        </w:numPr>
        <w:spacing w:line="360" w:lineRule="auto"/>
        <w:rPr>
          <w:rFonts w:hAnsi="宋体" w:cs="Arial"/>
          <w:sz w:val="24"/>
          <w:szCs w:val="24"/>
        </w:rPr>
      </w:pPr>
      <w:r>
        <w:rPr>
          <w:rFonts w:hint="eastAsia" w:hAnsi="宋体" w:cs="Arial"/>
          <w:sz w:val="24"/>
          <w:szCs w:val="24"/>
        </w:rPr>
        <w:t>法定代表人证明书；</w:t>
      </w:r>
    </w:p>
    <w:p w14:paraId="48D930C6">
      <w:pPr>
        <w:pStyle w:val="17"/>
        <w:numPr>
          <w:ilvl w:val="0"/>
          <w:numId w:val="14"/>
        </w:numPr>
        <w:spacing w:line="360" w:lineRule="auto"/>
        <w:rPr>
          <w:rFonts w:hAnsi="宋体" w:cs="Arial"/>
          <w:sz w:val="24"/>
          <w:szCs w:val="24"/>
        </w:rPr>
      </w:pPr>
      <w:r>
        <w:rPr>
          <w:rFonts w:hint="eastAsia" w:hAnsi="宋体" w:cs="Arial"/>
          <w:sz w:val="24"/>
          <w:szCs w:val="24"/>
        </w:rPr>
        <w:t>法定代表人授权书；</w:t>
      </w:r>
    </w:p>
    <w:p w14:paraId="18353516">
      <w:pPr>
        <w:pStyle w:val="17"/>
        <w:numPr>
          <w:ilvl w:val="0"/>
          <w:numId w:val="14"/>
        </w:numPr>
        <w:spacing w:line="360" w:lineRule="auto"/>
        <w:rPr>
          <w:rFonts w:hAnsi="宋体" w:cs="Arial"/>
          <w:sz w:val="24"/>
          <w:szCs w:val="24"/>
        </w:rPr>
      </w:pPr>
      <w:r>
        <w:rPr>
          <w:rFonts w:hint="eastAsia" w:hAnsi="宋体" w:cs="Arial"/>
          <w:sz w:val="24"/>
          <w:szCs w:val="24"/>
        </w:rPr>
        <w:t>磋商供应商承诺书；</w:t>
      </w:r>
    </w:p>
    <w:p w14:paraId="61B5A2DD">
      <w:pPr>
        <w:pStyle w:val="17"/>
        <w:numPr>
          <w:ilvl w:val="0"/>
          <w:numId w:val="14"/>
        </w:numPr>
        <w:spacing w:line="360" w:lineRule="auto"/>
        <w:rPr>
          <w:rFonts w:hAnsi="宋体" w:cs="Arial"/>
          <w:sz w:val="24"/>
          <w:szCs w:val="24"/>
        </w:rPr>
      </w:pPr>
      <w:r>
        <w:rPr>
          <w:rFonts w:hint="eastAsia" w:hAnsi="宋体" w:cs="Arial"/>
          <w:sz w:val="24"/>
          <w:szCs w:val="24"/>
        </w:rPr>
        <w:t>供应商诚信承诺书；</w:t>
      </w:r>
    </w:p>
    <w:p w14:paraId="4A4C79BD">
      <w:pPr>
        <w:pStyle w:val="17"/>
        <w:numPr>
          <w:ilvl w:val="0"/>
          <w:numId w:val="14"/>
        </w:numPr>
        <w:spacing w:line="360" w:lineRule="auto"/>
        <w:rPr>
          <w:rFonts w:hAnsi="宋体" w:cs="Arial"/>
          <w:sz w:val="24"/>
          <w:szCs w:val="24"/>
        </w:rPr>
      </w:pPr>
      <w:r>
        <w:rPr>
          <w:rFonts w:hint="eastAsia" w:hAnsi="宋体" w:cs="Arial"/>
          <w:sz w:val="24"/>
          <w:szCs w:val="24"/>
        </w:rPr>
        <w:t>资格证明材料；</w:t>
      </w:r>
    </w:p>
    <w:p w14:paraId="04947CE0">
      <w:pPr>
        <w:pStyle w:val="17"/>
        <w:numPr>
          <w:ilvl w:val="0"/>
          <w:numId w:val="14"/>
        </w:numPr>
        <w:spacing w:line="360" w:lineRule="auto"/>
        <w:rPr>
          <w:rFonts w:hAnsi="宋体" w:cs="Arial"/>
          <w:sz w:val="24"/>
          <w:szCs w:val="24"/>
        </w:rPr>
      </w:pPr>
      <w:r>
        <w:rPr>
          <w:rFonts w:hint="eastAsia" w:hAnsi="宋体" w:cs="Arial"/>
          <w:sz w:val="24"/>
          <w:szCs w:val="24"/>
        </w:rPr>
        <w:t>财务状况、缴纳税收和社会保障资金证明；</w:t>
      </w:r>
    </w:p>
    <w:p w14:paraId="0191796F">
      <w:pPr>
        <w:pStyle w:val="17"/>
        <w:numPr>
          <w:ilvl w:val="0"/>
          <w:numId w:val="14"/>
        </w:numPr>
        <w:spacing w:line="360" w:lineRule="auto"/>
        <w:rPr>
          <w:rFonts w:hAnsi="宋体" w:cs="Arial"/>
          <w:sz w:val="24"/>
          <w:szCs w:val="24"/>
        </w:rPr>
      </w:pPr>
      <w:r>
        <w:rPr>
          <w:rFonts w:hint="eastAsia" w:hAnsi="宋体" w:cs="Arial"/>
          <w:sz w:val="24"/>
          <w:szCs w:val="24"/>
        </w:rPr>
        <w:t>具备履行合同所必须的设备和专业技术能力证明；</w:t>
      </w:r>
    </w:p>
    <w:p w14:paraId="44AB77D6">
      <w:pPr>
        <w:pStyle w:val="17"/>
        <w:numPr>
          <w:ilvl w:val="0"/>
          <w:numId w:val="14"/>
        </w:numPr>
        <w:spacing w:line="360" w:lineRule="auto"/>
        <w:rPr>
          <w:rFonts w:hAnsi="宋体" w:cs="Arial"/>
          <w:sz w:val="24"/>
          <w:szCs w:val="24"/>
        </w:rPr>
      </w:pPr>
      <w:r>
        <w:rPr>
          <w:rFonts w:hint="eastAsia" w:hAnsi="宋体" w:cs="Arial"/>
          <w:sz w:val="24"/>
          <w:szCs w:val="24"/>
        </w:rPr>
        <w:t>磋商保证金证明；</w:t>
      </w:r>
    </w:p>
    <w:p w14:paraId="1B42B45F">
      <w:pPr>
        <w:pStyle w:val="17"/>
        <w:numPr>
          <w:ilvl w:val="0"/>
          <w:numId w:val="14"/>
        </w:numPr>
        <w:spacing w:line="360" w:lineRule="auto"/>
        <w:rPr>
          <w:rFonts w:hAnsi="宋体" w:cs="Arial"/>
          <w:sz w:val="24"/>
          <w:szCs w:val="24"/>
        </w:rPr>
      </w:pPr>
      <w:r>
        <w:rPr>
          <w:rFonts w:hint="eastAsia" w:hAnsi="宋体" w:cs="Arial"/>
          <w:sz w:val="24"/>
          <w:szCs w:val="24"/>
        </w:rPr>
        <w:t>无重大违法记录声明；</w:t>
      </w:r>
    </w:p>
    <w:p w14:paraId="05E5D607">
      <w:pPr>
        <w:autoSpaceDE w:val="0"/>
        <w:autoSpaceDN w:val="0"/>
        <w:spacing w:line="360" w:lineRule="auto"/>
        <w:ind w:left="425"/>
        <w:rPr>
          <w:kern w:val="0"/>
          <w:sz w:val="24"/>
          <w:lang w:val="zh-CN"/>
        </w:rPr>
      </w:pPr>
      <w:r>
        <w:rPr>
          <w:rFonts w:hint="eastAsia"/>
          <w:kern w:val="0"/>
          <w:sz w:val="24"/>
          <w:lang w:val="zh-CN"/>
        </w:rPr>
        <w:t>11.2磋商响应</w:t>
      </w:r>
      <w:r>
        <w:rPr>
          <w:kern w:val="0"/>
          <w:sz w:val="24"/>
          <w:lang w:val="zh-CN"/>
        </w:rPr>
        <w:t>文件（下册）</w:t>
      </w:r>
    </w:p>
    <w:p w14:paraId="0BADB8EB">
      <w:pPr>
        <w:autoSpaceDE w:val="0"/>
        <w:autoSpaceDN w:val="0"/>
        <w:spacing w:line="360" w:lineRule="auto"/>
        <w:ind w:firstLine="480" w:firstLineChars="200"/>
        <w:rPr>
          <w:kern w:val="0"/>
          <w:sz w:val="24"/>
          <w:lang w:val="zh-CN"/>
        </w:rPr>
      </w:pPr>
      <w:r>
        <w:rPr>
          <w:kern w:val="0"/>
          <w:sz w:val="24"/>
          <w:lang w:val="zh-CN"/>
        </w:rPr>
        <w:t>三、</w:t>
      </w:r>
      <w:r>
        <w:rPr>
          <w:rFonts w:hint="eastAsia"/>
          <w:kern w:val="0"/>
          <w:sz w:val="24"/>
          <w:lang w:val="zh-CN"/>
        </w:rPr>
        <w:t>磋商响应</w:t>
      </w:r>
      <w:r>
        <w:rPr>
          <w:kern w:val="0"/>
          <w:sz w:val="24"/>
          <w:lang w:val="zh-CN"/>
        </w:rPr>
        <w:t>文件封面（</w:t>
      </w:r>
      <w:r>
        <w:rPr>
          <w:kern w:val="0"/>
          <w:sz w:val="24"/>
        </w:rPr>
        <w:t>下</w:t>
      </w:r>
      <w:r>
        <w:rPr>
          <w:kern w:val="0"/>
          <w:sz w:val="24"/>
          <w:lang w:val="zh-CN"/>
        </w:rPr>
        <w:t>册）</w:t>
      </w:r>
    </w:p>
    <w:p w14:paraId="4B5CD737">
      <w:pPr>
        <w:autoSpaceDE w:val="0"/>
        <w:autoSpaceDN w:val="0"/>
        <w:spacing w:line="360" w:lineRule="auto"/>
        <w:ind w:firstLine="480" w:firstLineChars="200"/>
        <w:rPr>
          <w:kern w:val="0"/>
          <w:sz w:val="24"/>
          <w:lang w:val="zh-CN"/>
        </w:rPr>
      </w:pPr>
      <w:r>
        <w:rPr>
          <w:kern w:val="0"/>
          <w:sz w:val="24"/>
          <w:lang w:val="zh-CN"/>
        </w:rPr>
        <w:t>四、</w:t>
      </w:r>
      <w:r>
        <w:rPr>
          <w:rFonts w:hint="eastAsia"/>
          <w:kern w:val="0"/>
          <w:sz w:val="24"/>
          <w:lang w:val="zh-CN"/>
        </w:rPr>
        <w:t>磋商响应</w:t>
      </w:r>
      <w:r>
        <w:rPr>
          <w:kern w:val="0"/>
          <w:sz w:val="24"/>
          <w:lang w:val="zh-CN"/>
        </w:rPr>
        <w:t>文件目录（</w:t>
      </w:r>
      <w:r>
        <w:rPr>
          <w:kern w:val="0"/>
          <w:sz w:val="24"/>
        </w:rPr>
        <w:t>下</w:t>
      </w:r>
      <w:r>
        <w:rPr>
          <w:kern w:val="0"/>
          <w:sz w:val="24"/>
          <w:lang w:val="zh-CN"/>
        </w:rPr>
        <w:t>册）</w:t>
      </w:r>
    </w:p>
    <w:p w14:paraId="23308AD6">
      <w:pPr>
        <w:pStyle w:val="17"/>
        <w:numPr>
          <w:ilvl w:val="0"/>
          <w:numId w:val="14"/>
        </w:numPr>
        <w:spacing w:line="360" w:lineRule="auto"/>
        <w:rPr>
          <w:rFonts w:hAnsi="宋体" w:cs="Arial"/>
          <w:sz w:val="24"/>
          <w:szCs w:val="24"/>
        </w:rPr>
      </w:pPr>
      <w:r>
        <w:rPr>
          <w:rFonts w:hint="eastAsia" w:hAnsi="宋体" w:cs="Arial"/>
          <w:sz w:val="24"/>
          <w:szCs w:val="24"/>
        </w:rPr>
        <w:t>评分对照表</w:t>
      </w:r>
    </w:p>
    <w:p w14:paraId="1D300B25">
      <w:pPr>
        <w:pStyle w:val="17"/>
        <w:numPr>
          <w:ilvl w:val="0"/>
          <w:numId w:val="14"/>
        </w:numPr>
        <w:spacing w:line="360" w:lineRule="auto"/>
        <w:rPr>
          <w:rFonts w:hAnsi="宋体" w:cs="Arial"/>
          <w:sz w:val="24"/>
          <w:szCs w:val="24"/>
        </w:rPr>
      </w:pPr>
      <w:r>
        <w:rPr>
          <w:rFonts w:hint="eastAsia" w:hAnsi="宋体" w:cs="Arial"/>
          <w:sz w:val="24"/>
          <w:szCs w:val="24"/>
        </w:rPr>
        <w:t>竞争性磋商首次报价表；</w:t>
      </w:r>
    </w:p>
    <w:p w14:paraId="2D96C1E5">
      <w:pPr>
        <w:pStyle w:val="17"/>
        <w:numPr>
          <w:ilvl w:val="0"/>
          <w:numId w:val="14"/>
        </w:numPr>
        <w:spacing w:line="360" w:lineRule="auto"/>
        <w:rPr>
          <w:rFonts w:hAnsi="宋体" w:cs="Arial"/>
          <w:sz w:val="24"/>
          <w:szCs w:val="24"/>
        </w:rPr>
      </w:pPr>
      <w:r>
        <w:rPr>
          <w:rFonts w:hAnsi="宋体" w:cs="Arial"/>
          <w:sz w:val="24"/>
          <w:szCs w:val="24"/>
        </w:rPr>
        <w:t>分项报价表</w:t>
      </w:r>
      <w:r>
        <w:rPr>
          <w:rFonts w:hint="eastAsia" w:hAnsi="宋体" w:cs="Arial"/>
          <w:sz w:val="24"/>
          <w:szCs w:val="24"/>
        </w:rPr>
        <w:t>；</w:t>
      </w:r>
    </w:p>
    <w:p w14:paraId="6AF2FA14">
      <w:pPr>
        <w:pStyle w:val="17"/>
        <w:numPr>
          <w:ilvl w:val="0"/>
          <w:numId w:val="14"/>
        </w:numPr>
        <w:spacing w:line="360" w:lineRule="auto"/>
        <w:rPr>
          <w:rFonts w:hAnsi="宋体" w:cs="Arial"/>
          <w:sz w:val="24"/>
          <w:szCs w:val="24"/>
        </w:rPr>
      </w:pPr>
      <w:r>
        <w:rPr>
          <w:rFonts w:hint="eastAsia" w:hAnsi="宋体" w:cs="Arial"/>
          <w:sz w:val="24"/>
          <w:szCs w:val="24"/>
        </w:rPr>
        <w:t>技术规格响应表；</w:t>
      </w:r>
    </w:p>
    <w:p w14:paraId="792B2611">
      <w:pPr>
        <w:pStyle w:val="17"/>
        <w:numPr>
          <w:ilvl w:val="0"/>
          <w:numId w:val="14"/>
        </w:numPr>
        <w:spacing w:line="360" w:lineRule="auto"/>
        <w:rPr>
          <w:rFonts w:hAnsi="宋体" w:cs="Arial"/>
          <w:sz w:val="24"/>
          <w:szCs w:val="24"/>
        </w:rPr>
      </w:pPr>
      <w:r>
        <w:rPr>
          <w:rFonts w:hint="eastAsia" w:hAnsi="宋体" w:cs="Arial"/>
          <w:sz w:val="24"/>
          <w:szCs w:val="24"/>
        </w:rPr>
        <w:t>磋商产品相关资料；</w:t>
      </w:r>
    </w:p>
    <w:p w14:paraId="0E0A7AF8">
      <w:pPr>
        <w:pStyle w:val="17"/>
        <w:numPr>
          <w:ilvl w:val="0"/>
          <w:numId w:val="14"/>
        </w:numPr>
        <w:spacing w:line="360" w:lineRule="auto"/>
        <w:rPr>
          <w:rFonts w:hAnsi="宋体" w:cs="Arial"/>
          <w:sz w:val="24"/>
          <w:szCs w:val="24"/>
        </w:rPr>
      </w:pPr>
      <w:r>
        <w:rPr>
          <w:rFonts w:hint="eastAsia" w:hAnsi="宋体" w:cs="Arial"/>
          <w:sz w:val="24"/>
          <w:szCs w:val="24"/>
        </w:rPr>
        <w:t>磋商供应商的类似业绩证明材料；</w:t>
      </w:r>
    </w:p>
    <w:p w14:paraId="556B12AE">
      <w:pPr>
        <w:pStyle w:val="17"/>
        <w:numPr>
          <w:ilvl w:val="0"/>
          <w:numId w:val="14"/>
        </w:numPr>
        <w:spacing w:line="360" w:lineRule="auto"/>
        <w:rPr>
          <w:rFonts w:hAnsi="宋体" w:cs="Arial"/>
          <w:sz w:val="24"/>
          <w:szCs w:val="24"/>
        </w:rPr>
      </w:pPr>
      <w:r>
        <w:rPr>
          <w:rFonts w:hint="eastAsia" w:hAnsi="宋体" w:cs="Arial"/>
          <w:sz w:val="24"/>
          <w:szCs w:val="24"/>
          <w:lang w:val="en-US" w:eastAsia="zh-CN"/>
        </w:rPr>
        <w:t>中小</w:t>
      </w:r>
      <w:r>
        <w:rPr>
          <w:rFonts w:hint="eastAsia" w:hAnsi="宋体" w:cs="Arial"/>
          <w:sz w:val="24"/>
          <w:szCs w:val="24"/>
        </w:rPr>
        <w:t>企业声明函；</w:t>
      </w:r>
    </w:p>
    <w:p w14:paraId="3B09F200">
      <w:pPr>
        <w:pStyle w:val="17"/>
        <w:numPr>
          <w:ilvl w:val="0"/>
          <w:numId w:val="14"/>
        </w:numPr>
        <w:spacing w:line="360" w:lineRule="auto"/>
        <w:rPr>
          <w:rFonts w:hAnsi="宋体" w:cs="Arial"/>
          <w:sz w:val="24"/>
          <w:szCs w:val="24"/>
        </w:rPr>
      </w:pPr>
      <w:r>
        <w:rPr>
          <w:rFonts w:hint="eastAsia" w:hAnsi="宋体" w:cs="Arial"/>
          <w:sz w:val="24"/>
          <w:szCs w:val="24"/>
        </w:rPr>
        <w:t>残疾人福利性单位声明函</w:t>
      </w:r>
    </w:p>
    <w:p w14:paraId="7A087612">
      <w:pPr>
        <w:pStyle w:val="17"/>
        <w:numPr>
          <w:ilvl w:val="0"/>
          <w:numId w:val="14"/>
        </w:numPr>
        <w:spacing w:line="360" w:lineRule="auto"/>
        <w:rPr>
          <w:rFonts w:hAnsi="宋体" w:cs="Arial"/>
          <w:sz w:val="24"/>
          <w:szCs w:val="24"/>
        </w:rPr>
      </w:pPr>
      <w:r>
        <w:rPr>
          <w:rFonts w:hint="eastAsia" w:hAnsi="宋体" w:cs="Arial"/>
          <w:sz w:val="24"/>
          <w:szCs w:val="24"/>
        </w:rPr>
        <w:t>磋商供应商认为在其他方面有必要说明的事项；</w:t>
      </w:r>
    </w:p>
    <w:p w14:paraId="5ECD2798">
      <w:pPr>
        <w:pStyle w:val="17"/>
        <w:numPr>
          <w:ilvl w:val="0"/>
          <w:numId w:val="14"/>
        </w:numPr>
        <w:spacing w:line="360" w:lineRule="auto"/>
        <w:rPr>
          <w:rFonts w:hAnsi="宋体" w:cs="Arial"/>
          <w:sz w:val="24"/>
          <w:szCs w:val="24"/>
        </w:rPr>
      </w:pPr>
      <w:r>
        <w:rPr>
          <w:rFonts w:hAnsi="宋体" w:cs="Arial"/>
          <w:sz w:val="24"/>
          <w:szCs w:val="24"/>
        </w:rPr>
        <w:t>磋商最终报价表</w:t>
      </w:r>
      <w:r>
        <w:rPr>
          <w:rFonts w:hint="eastAsia" w:hAnsi="宋体" w:cs="Arial"/>
          <w:sz w:val="24"/>
          <w:szCs w:val="24"/>
        </w:rPr>
        <w:t>。</w:t>
      </w:r>
    </w:p>
    <w:p w14:paraId="0CCB9F6A">
      <w:pPr>
        <w:pStyle w:val="17"/>
        <w:spacing w:line="360" w:lineRule="auto"/>
        <w:ind w:left="845"/>
        <w:rPr>
          <w:rFonts w:hint="eastAsia" w:hAnsi="宋体" w:cs="Arial"/>
          <w:sz w:val="24"/>
          <w:szCs w:val="24"/>
        </w:rPr>
      </w:pPr>
      <w:r>
        <w:rPr>
          <w:rFonts w:hint="eastAsia" w:hAnsi="宋体" w:cs="Arial"/>
          <w:sz w:val="24"/>
          <w:szCs w:val="24"/>
        </w:rPr>
        <w:t>注：磋商人须按上述内容、顺序和第11项“磋商响应文件格式及编制要求”格式编制磋商响应文件</w:t>
      </w:r>
      <w:r>
        <w:rPr>
          <w:rFonts w:hint="eastAsia" w:hAnsi="宋体" w:cs="Arial"/>
          <w:sz w:val="24"/>
          <w:szCs w:val="24"/>
          <w:lang w:val="zh-CN"/>
        </w:rPr>
        <w:t>并上传至政采云平台（https://www.zcygov.cn/）</w:t>
      </w:r>
      <w:r>
        <w:rPr>
          <w:rFonts w:hint="eastAsia" w:hAnsi="宋体" w:cs="Arial"/>
          <w:sz w:val="24"/>
          <w:szCs w:val="24"/>
        </w:rPr>
        <w:t>。</w:t>
      </w:r>
    </w:p>
    <w:p w14:paraId="241F8588">
      <w:pPr>
        <w:pStyle w:val="5"/>
        <w:numPr>
          <w:ilvl w:val="0"/>
          <w:numId w:val="3"/>
        </w:numPr>
        <w:spacing w:before="0" w:after="0" w:line="360" w:lineRule="auto"/>
        <w:rPr>
          <w:rFonts w:ascii="宋体" w:hAnsi="宋体"/>
          <w:b w:val="0"/>
        </w:rPr>
      </w:pPr>
      <w:bookmarkStart w:id="102" w:name="_Toc488673626"/>
      <w:bookmarkStart w:id="103" w:name="_Toc1575310"/>
      <w:r>
        <w:rPr>
          <w:rFonts w:hint="eastAsia" w:ascii="宋体" w:hAnsi="宋体"/>
          <w:b w:val="0"/>
        </w:rPr>
        <w:t>磋商响应文件</w:t>
      </w:r>
      <w:r>
        <w:rPr>
          <w:rFonts w:hint="eastAsia" w:ascii="宋体" w:hAnsi="宋体"/>
          <w:b w:val="0"/>
          <w:lang w:val="en-US" w:eastAsia="zh-CN"/>
        </w:rPr>
        <w:t>的格式及</w:t>
      </w:r>
      <w:r>
        <w:rPr>
          <w:rFonts w:hint="eastAsia" w:ascii="宋体" w:hAnsi="宋体"/>
          <w:b w:val="0"/>
        </w:rPr>
        <w:t>编制要求</w:t>
      </w:r>
      <w:bookmarkEnd w:id="102"/>
      <w:bookmarkEnd w:id="103"/>
    </w:p>
    <w:p w14:paraId="6E0A605A">
      <w:pPr>
        <w:spacing w:line="360" w:lineRule="auto"/>
        <w:ind w:firstLine="240" w:firstLineChars="100"/>
        <w:rPr>
          <w:rFonts w:hint="eastAsia" w:ascii="宋体" w:hAnsi="宋体" w:cs="宋体"/>
          <w:color w:val="auto"/>
          <w:sz w:val="24"/>
        </w:rPr>
      </w:pPr>
      <w:r>
        <w:rPr>
          <w:rFonts w:hint="eastAsia" w:ascii="宋体" w:hAnsi="宋体" w:cs="宋体"/>
          <w:color w:val="auto"/>
          <w:sz w:val="24"/>
        </w:rPr>
        <w:t>12.1磋商响应文件格式及编制要求：</w:t>
      </w:r>
    </w:p>
    <w:p w14:paraId="56FCF2EB">
      <w:pPr>
        <w:spacing w:line="360" w:lineRule="auto"/>
        <w:ind w:firstLine="480" w:firstLineChars="200"/>
        <w:rPr>
          <w:rFonts w:hint="eastAsia" w:ascii="宋体" w:hAnsi="宋体" w:cs="宋体"/>
          <w:color w:val="auto"/>
          <w:sz w:val="24"/>
        </w:rPr>
      </w:pPr>
      <w:r>
        <w:rPr>
          <w:rFonts w:hint="eastAsia" w:ascii="宋体" w:hAnsi="宋体" w:cs="宋体"/>
          <w:color w:val="auto"/>
          <w:sz w:val="24"/>
        </w:rPr>
        <w:t>12.1.1磋商响应文件编制格式为word系统签章保存后转换为pdf格式上传，格式须按磋商响应文件第</w:t>
      </w:r>
      <w:r>
        <w:rPr>
          <w:rFonts w:hint="eastAsia" w:ascii="宋体" w:hAnsi="宋体" w:cs="宋体"/>
          <w:color w:val="auto"/>
          <w:sz w:val="24"/>
          <w:lang w:val="en-US" w:eastAsia="zh-CN"/>
        </w:rPr>
        <w:t>五</w:t>
      </w:r>
      <w:r>
        <w:rPr>
          <w:rFonts w:hint="eastAsia" w:ascii="宋体" w:hAnsi="宋体" w:cs="宋体"/>
          <w:color w:val="auto"/>
          <w:sz w:val="24"/>
        </w:rPr>
        <w:t>部分“磋商响应文件格式”要求制作。</w:t>
      </w:r>
    </w:p>
    <w:p w14:paraId="4E417B48">
      <w:pPr>
        <w:spacing w:line="360" w:lineRule="auto"/>
        <w:ind w:firstLine="480" w:firstLineChars="200"/>
        <w:rPr>
          <w:rFonts w:hint="eastAsia" w:ascii="宋体" w:hAnsi="宋体" w:cs="宋体"/>
          <w:color w:val="auto"/>
          <w:sz w:val="24"/>
        </w:rPr>
      </w:pPr>
      <w:r>
        <w:rPr>
          <w:rFonts w:hint="eastAsia" w:ascii="宋体" w:hAnsi="宋体" w:cs="宋体"/>
          <w:color w:val="auto"/>
          <w:sz w:val="24"/>
        </w:rPr>
        <w:t>12.1.2磋商响应文件中的扫描或复印件内容应清晰可辨，且要求正向放置。</w:t>
      </w:r>
    </w:p>
    <w:p w14:paraId="44AEFAFD">
      <w:pPr>
        <w:spacing w:line="360" w:lineRule="auto"/>
        <w:ind w:firstLine="480" w:firstLineChars="200"/>
        <w:rPr>
          <w:rFonts w:hint="eastAsia" w:ascii="宋体" w:hAnsi="宋体" w:cs="宋体"/>
          <w:color w:val="auto"/>
          <w:sz w:val="24"/>
        </w:rPr>
      </w:pPr>
      <w:r>
        <w:rPr>
          <w:rFonts w:hint="eastAsia" w:ascii="宋体" w:hAnsi="宋体" w:cs="宋体"/>
          <w:color w:val="auto"/>
          <w:sz w:val="24"/>
        </w:rPr>
        <w:t>12.1.3磋商响应文件要求签字、盖章的地方必须由供应商的法定代表人或委托代理人按要求签字、盖章。</w:t>
      </w:r>
    </w:p>
    <w:p w14:paraId="34A7A0CC">
      <w:pPr>
        <w:spacing w:line="360" w:lineRule="auto"/>
        <w:ind w:firstLine="480" w:firstLineChars="200"/>
        <w:rPr>
          <w:rFonts w:hint="eastAsia" w:ascii="宋体" w:hAnsi="宋体" w:cs="宋体"/>
          <w:color w:val="auto"/>
          <w:sz w:val="24"/>
        </w:rPr>
      </w:pPr>
      <w:r>
        <w:rPr>
          <w:rFonts w:hint="eastAsia" w:ascii="宋体" w:hAnsi="宋体" w:cs="宋体"/>
          <w:color w:val="auto"/>
          <w:sz w:val="24"/>
        </w:rPr>
        <w:t>12.1.4上传的磋商响应文件不得超过</w:t>
      </w:r>
      <w:r>
        <w:rPr>
          <w:rFonts w:hint="eastAsia" w:ascii="宋体" w:hAnsi="宋体" w:cs="宋体"/>
          <w:color w:val="auto"/>
          <w:sz w:val="24"/>
          <w:lang w:val="en-US" w:eastAsia="zh-CN"/>
        </w:rPr>
        <w:t>政采云平台要求的大小</w:t>
      </w:r>
      <w:r>
        <w:rPr>
          <w:rFonts w:hint="eastAsia" w:ascii="宋体" w:hAnsi="宋体" w:cs="宋体"/>
          <w:color w:val="auto"/>
          <w:sz w:val="24"/>
        </w:rPr>
        <w:t>。</w:t>
      </w:r>
    </w:p>
    <w:p w14:paraId="050769F9">
      <w:pPr>
        <w:spacing w:line="360" w:lineRule="auto"/>
        <w:ind w:firstLine="480" w:firstLineChars="200"/>
        <w:rPr>
          <w:rFonts w:hint="eastAsia" w:ascii="宋体" w:hAnsi="宋体" w:cs="宋体"/>
          <w:color w:val="auto"/>
          <w:sz w:val="24"/>
        </w:rPr>
      </w:pPr>
      <w:r>
        <w:rPr>
          <w:rFonts w:hint="eastAsia" w:ascii="宋体" w:hAnsi="宋体" w:cs="宋体"/>
          <w:color w:val="auto"/>
          <w:sz w:val="24"/>
        </w:rPr>
        <w:t>12.1.5供应商应在提交磋商响应文件截止时间前上传磋商响应文件。因目录格式不准确、不能索引定位到内容、文件过大、未提交全部文件内容或文件内容错误、上传效果差等原因导致无法评审的，有可能判定为无效投标。</w:t>
      </w:r>
    </w:p>
    <w:p w14:paraId="1A56AE5D">
      <w:pPr>
        <w:spacing w:line="360" w:lineRule="auto"/>
        <w:ind w:firstLine="480" w:firstLineChars="200"/>
        <w:rPr>
          <w:rFonts w:hint="eastAsia" w:ascii="宋体" w:hAnsi="宋体" w:cs="宋体"/>
          <w:color w:val="auto"/>
          <w:sz w:val="24"/>
        </w:rPr>
      </w:pPr>
      <w:r>
        <w:rPr>
          <w:rFonts w:hint="eastAsia" w:ascii="宋体" w:hAnsi="宋体" w:cs="宋体"/>
          <w:color w:val="auto"/>
          <w:sz w:val="24"/>
        </w:rPr>
        <w:t>12.2磋商响应文件编制要求：按照投标人须知11.1项规定的磋商响应文件构成及格式</w:t>
      </w:r>
      <w:r>
        <w:rPr>
          <w:rFonts w:hint="eastAsia" w:ascii="宋体" w:hAnsi="宋体" w:cs="宋体"/>
          <w:color w:val="auto"/>
          <w:sz w:val="24"/>
          <w:lang w:val="en-US" w:eastAsia="zh-CN"/>
        </w:rPr>
        <w:t>编制，并</w:t>
      </w:r>
      <w:r>
        <w:rPr>
          <w:rFonts w:hint="eastAsia" w:ascii="宋体" w:hAnsi="宋体" w:cs="宋体"/>
          <w:color w:val="auto"/>
          <w:sz w:val="24"/>
        </w:rPr>
        <w:t>上传至</w:t>
      </w:r>
      <w:r>
        <w:rPr>
          <w:rFonts w:hint="eastAsia" w:ascii="宋体" w:hAnsi="宋体" w:cs="宋体"/>
          <w:color w:val="auto"/>
          <w:sz w:val="24"/>
          <w:lang w:eastAsia="zh-CN"/>
        </w:rPr>
        <w:t>政采云平台（https://www.zcygov.cn/）</w:t>
      </w:r>
      <w:r>
        <w:rPr>
          <w:rFonts w:hint="eastAsia" w:ascii="宋体" w:hAnsi="宋体" w:cs="宋体"/>
          <w:color w:val="auto"/>
          <w:sz w:val="24"/>
        </w:rPr>
        <w:t>上。</w:t>
      </w:r>
    </w:p>
    <w:p w14:paraId="3245CA1B">
      <w:pPr>
        <w:spacing w:line="360" w:lineRule="auto"/>
        <w:ind w:firstLine="480" w:firstLineChars="200"/>
        <w:rPr>
          <w:rFonts w:hint="eastAsia"/>
          <w:color w:val="auto"/>
        </w:rPr>
      </w:pPr>
      <w:r>
        <w:rPr>
          <w:rFonts w:hint="eastAsia" w:ascii="宋体" w:hAnsi="宋体" w:cs="宋体"/>
          <w:color w:val="auto"/>
          <w:sz w:val="24"/>
        </w:rPr>
        <w:t>12.3供应商须在“法定代表人授权书”中提供被授权人（委托代理人）准确的联系方式</w:t>
      </w:r>
      <w:r>
        <w:rPr>
          <w:rFonts w:hint="eastAsia" w:ascii="宋体" w:hAnsi="宋体" w:cs="宋体"/>
          <w:color w:val="auto"/>
          <w:sz w:val="24"/>
          <w:lang w:val="zh-CN"/>
        </w:rPr>
        <w:t>（手机或固定电话）</w:t>
      </w:r>
      <w:r>
        <w:rPr>
          <w:rFonts w:hint="eastAsia" w:ascii="宋体" w:hAnsi="宋体" w:cs="宋体"/>
          <w:color w:val="auto"/>
          <w:sz w:val="24"/>
        </w:rPr>
        <w:t>。</w:t>
      </w:r>
    </w:p>
    <w:p w14:paraId="03A78004">
      <w:pPr>
        <w:widowControl/>
        <w:jc w:val="center"/>
        <w:outlineLvl w:val="1"/>
        <w:rPr>
          <w:rFonts w:ascii="宋体" w:hAnsi="宋体"/>
          <w:b/>
          <w:bCs/>
          <w:color w:val="auto"/>
          <w:kern w:val="0"/>
          <w:sz w:val="32"/>
          <w:szCs w:val="32"/>
        </w:rPr>
      </w:pPr>
      <w:bookmarkStart w:id="104" w:name="_Toc28078162"/>
      <w:bookmarkStart w:id="105" w:name="_Toc21349"/>
      <w:bookmarkStart w:id="106" w:name="_Toc27211"/>
      <w:bookmarkStart w:id="107" w:name="_Toc14261"/>
      <w:bookmarkStart w:id="108" w:name="_Toc9147"/>
      <w:bookmarkStart w:id="109" w:name="_Toc376936750"/>
      <w:bookmarkStart w:id="110" w:name="_Toc325726019"/>
      <w:bookmarkStart w:id="111" w:name="_Toc5644"/>
      <w:r>
        <w:rPr>
          <w:rFonts w:hint="eastAsia" w:ascii="宋体" w:hAnsi="宋体"/>
          <w:b/>
          <w:bCs/>
          <w:color w:val="auto"/>
          <w:kern w:val="0"/>
          <w:sz w:val="32"/>
          <w:szCs w:val="32"/>
        </w:rPr>
        <w:t>四、网上投标</w:t>
      </w:r>
      <w:bookmarkEnd w:id="104"/>
      <w:bookmarkEnd w:id="105"/>
    </w:p>
    <w:p w14:paraId="6936F8F9">
      <w:pPr>
        <w:spacing w:line="360" w:lineRule="auto"/>
        <w:rPr>
          <w:rFonts w:hint="eastAsia" w:ascii="宋体" w:hAnsi="宋体" w:cs="宋体"/>
          <w:b/>
          <w:bCs/>
          <w:color w:val="auto"/>
          <w:sz w:val="24"/>
        </w:rPr>
      </w:pPr>
      <w:bookmarkStart w:id="112" w:name="_Toc325726016"/>
      <w:bookmarkStart w:id="113" w:name="_Toc412617731"/>
      <w:bookmarkStart w:id="114" w:name="_Toc373392582"/>
      <w:bookmarkStart w:id="115" w:name="_Toc28078163"/>
      <w:r>
        <w:rPr>
          <w:rFonts w:hint="eastAsia" w:ascii="宋体" w:hAnsi="宋体" w:cs="宋体"/>
          <w:b/>
          <w:bCs/>
          <w:color w:val="auto"/>
          <w:sz w:val="24"/>
        </w:rPr>
        <w:t>13.</w:t>
      </w:r>
      <w:bookmarkEnd w:id="112"/>
      <w:bookmarkEnd w:id="113"/>
      <w:bookmarkEnd w:id="114"/>
      <w:r>
        <w:rPr>
          <w:rFonts w:hint="eastAsia" w:ascii="宋体" w:hAnsi="宋体" w:cs="宋体"/>
          <w:b/>
          <w:bCs/>
          <w:color w:val="auto"/>
          <w:sz w:val="24"/>
        </w:rPr>
        <w:t>网上投标</w:t>
      </w:r>
      <w:bookmarkEnd w:id="115"/>
    </w:p>
    <w:p w14:paraId="4F937A2A">
      <w:pPr>
        <w:spacing w:line="360" w:lineRule="auto"/>
        <w:rPr>
          <w:rFonts w:hint="eastAsia" w:ascii="宋体" w:hAnsi="宋体" w:cs="宋体"/>
          <w:color w:val="auto"/>
          <w:sz w:val="24"/>
        </w:rPr>
      </w:pPr>
      <w:r>
        <w:rPr>
          <w:rFonts w:hint="eastAsia" w:ascii="宋体" w:hAnsi="宋体" w:cs="宋体"/>
          <w:color w:val="auto"/>
          <w:sz w:val="24"/>
        </w:rPr>
        <w:t>13.1供应商应在</w:t>
      </w:r>
      <w:r>
        <w:rPr>
          <w:rFonts w:hint="eastAsia" w:ascii="宋体" w:hAnsi="宋体" w:cs="宋体"/>
          <w:color w:val="auto"/>
          <w:sz w:val="24"/>
          <w:lang w:eastAsia="zh-CN"/>
        </w:rPr>
        <w:t>政采云平台（https://www.zcygov.cn/）</w:t>
      </w:r>
      <w:r>
        <w:rPr>
          <w:rFonts w:hint="eastAsia" w:ascii="宋体" w:hAnsi="宋体" w:cs="宋体"/>
          <w:color w:val="auto"/>
          <w:sz w:val="24"/>
        </w:rPr>
        <w:t>上报价并上传电子磋商响应文件。</w:t>
      </w:r>
    </w:p>
    <w:p w14:paraId="69607313">
      <w:pPr>
        <w:spacing w:line="360" w:lineRule="auto"/>
        <w:rPr>
          <w:rFonts w:hint="eastAsia" w:ascii="宋体" w:hAnsi="宋体" w:cs="宋体"/>
          <w:color w:val="auto"/>
          <w:sz w:val="24"/>
        </w:rPr>
      </w:pPr>
      <w:r>
        <w:rPr>
          <w:rFonts w:hint="eastAsia" w:ascii="宋体" w:hAnsi="宋体" w:cs="宋体"/>
          <w:color w:val="auto"/>
          <w:sz w:val="24"/>
        </w:rPr>
        <w:t>13.2供应商应按包报价。</w:t>
      </w:r>
    </w:p>
    <w:p w14:paraId="40E257AF">
      <w:pPr>
        <w:spacing w:line="360" w:lineRule="auto"/>
        <w:rPr>
          <w:rFonts w:hint="eastAsia" w:ascii="宋体" w:hAnsi="宋体" w:cs="宋体"/>
          <w:color w:val="auto"/>
          <w:sz w:val="24"/>
          <w:lang w:val="zh-CN"/>
        </w:rPr>
      </w:pPr>
      <w:r>
        <w:rPr>
          <w:rFonts w:hint="eastAsia" w:ascii="宋体" w:hAnsi="宋体" w:cs="宋体"/>
          <w:color w:val="auto"/>
          <w:sz w:val="24"/>
        </w:rPr>
        <w:t>13.3 开标时的“竞争性磋商首次报价表”由各供应商网上报价生成。</w:t>
      </w:r>
    </w:p>
    <w:bookmarkEnd w:id="106"/>
    <w:bookmarkEnd w:id="107"/>
    <w:p w14:paraId="4ED2B9A7">
      <w:pPr>
        <w:widowControl/>
        <w:spacing w:before="100" w:beforeAutospacing="1" w:after="100" w:afterAutospacing="1"/>
        <w:jc w:val="left"/>
        <w:outlineLvl w:val="2"/>
        <w:rPr>
          <w:rFonts w:ascii="宋体" w:hAnsi="宋体"/>
          <w:b/>
          <w:bCs/>
          <w:color w:val="auto"/>
          <w:kern w:val="0"/>
          <w:sz w:val="27"/>
          <w:szCs w:val="27"/>
        </w:rPr>
      </w:pPr>
      <w:bookmarkStart w:id="116" w:name="_Toc26106"/>
      <w:bookmarkStart w:id="117" w:name="_Toc28078164"/>
      <w:bookmarkStart w:id="118" w:name="_Toc1747"/>
      <w:bookmarkStart w:id="119" w:name="_Toc6310"/>
      <w:r>
        <w:rPr>
          <w:rFonts w:hint="eastAsia" w:ascii="宋体" w:hAnsi="宋体"/>
          <w:b/>
          <w:bCs/>
          <w:color w:val="auto"/>
          <w:kern w:val="0"/>
          <w:sz w:val="27"/>
          <w:szCs w:val="27"/>
        </w:rPr>
        <w:t>14.</w:t>
      </w:r>
      <w:r>
        <w:rPr>
          <w:rFonts w:hint="eastAsia"/>
          <w:color w:val="auto"/>
        </w:rPr>
        <w:t xml:space="preserve"> </w:t>
      </w:r>
      <w:r>
        <w:rPr>
          <w:rFonts w:hint="eastAsia" w:ascii="宋体" w:hAnsi="宋体"/>
          <w:b/>
          <w:bCs/>
          <w:color w:val="auto"/>
          <w:kern w:val="0"/>
          <w:sz w:val="27"/>
          <w:szCs w:val="27"/>
        </w:rPr>
        <w:t>提交首次磋商响应文件截止时间</w:t>
      </w:r>
      <w:bookmarkEnd w:id="116"/>
      <w:bookmarkEnd w:id="117"/>
    </w:p>
    <w:p w14:paraId="6AED8A9C">
      <w:pPr>
        <w:spacing w:line="360" w:lineRule="auto"/>
        <w:rPr>
          <w:rFonts w:hint="eastAsia" w:ascii="宋体" w:hAnsi="宋体" w:cs="宋体"/>
          <w:color w:val="auto"/>
          <w:sz w:val="24"/>
        </w:rPr>
      </w:pPr>
      <w:r>
        <w:rPr>
          <w:rFonts w:hint="eastAsia" w:ascii="宋体" w:hAnsi="宋体" w:cs="宋体"/>
          <w:color w:val="auto"/>
          <w:sz w:val="24"/>
        </w:rPr>
        <w:t>14.1若采购代理机构推迟提交首次磋商响应文件截止时间，采购人、采购代理机构和供应商受提交首次磋商响应文件截止时间约束的所有权利和义务均延长至新的提交首次磋商响应文件截止时间。</w:t>
      </w:r>
    </w:p>
    <w:p w14:paraId="142FCD49">
      <w:pPr>
        <w:spacing w:line="360" w:lineRule="auto"/>
        <w:rPr>
          <w:rFonts w:hint="eastAsia" w:ascii="宋体" w:hAnsi="宋体" w:cs="宋体"/>
          <w:color w:val="auto"/>
          <w:sz w:val="24"/>
        </w:rPr>
      </w:pPr>
      <w:r>
        <w:rPr>
          <w:rFonts w:hint="eastAsia" w:ascii="宋体" w:hAnsi="宋体" w:cs="宋体"/>
          <w:color w:val="auto"/>
          <w:sz w:val="24"/>
        </w:rPr>
        <w:t>14.2采购人、采购代理机构按照“供应商须知”第6条规定，通过修改磋商文件延长提交首次磋商响应文件截止时间，在此情况下，采购人、采购代理机构、供应商受提交首次磋商响应文件截止时间制约的所有权利和义务均延长至新的截止日期。</w:t>
      </w:r>
    </w:p>
    <w:p w14:paraId="6DE2B221">
      <w:pPr>
        <w:widowControl/>
        <w:spacing w:line="360" w:lineRule="auto"/>
        <w:jc w:val="left"/>
        <w:outlineLvl w:val="2"/>
        <w:rPr>
          <w:rFonts w:hint="eastAsia" w:ascii="宋体" w:hAnsi="宋体" w:cs="宋体"/>
          <w:b/>
          <w:bCs/>
          <w:color w:val="auto"/>
          <w:sz w:val="24"/>
        </w:rPr>
      </w:pPr>
      <w:bookmarkStart w:id="120" w:name="_Toc23054"/>
      <w:r>
        <w:rPr>
          <w:rFonts w:hint="eastAsia" w:ascii="宋体" w:hAnsi="宋体" w:cs="宋体"/>
          <w:b/>
          <w:bCs/>
          <w:color w:val="auto"/>
          <w:sz w:val="24"/>
        </w:rPr>
        <w:t>15.响应文件的撤回</w:t>
      </w:r>
      <w:bookmarkEnd w:id="118"/>
      <w:bookmarkEnd w:id="119"/>
      <w:bookmarkEnd w:id="120"/>
    </w:p>
    <w:p w14:paraId="1DDCB4C2">
      <w:pPr>
        <w:pStyle w:val="17"/>
        <w:spacing w:line="360" w:lineRule="auto"/>
        <w:ind w:firstLine="480" w:firstLineChars="200"/>
        <w:rPr>
          <w:rFonts w:hint="eastAsia" w:hAnsi="宋体" w:cs="宋体"/>
          <w:color w:val="auto"/>
          <w:sz w:val="24"/>
          <w:szCs w:val="24"/>
          <w:lang w:val="zh-CN"/>
        </w:rPr>
      </w:pPr>
      <w:r>
        <w:rPr>
          <w:rFonts w:hint="eastAsia" w:hAnsi="宋体" w:cs="宋体"/>
          <w:color w:val="auto"/>
          <w:sz w:val="24"/>
          <w:szCs w:val="24"/>
          <w:lang w:val="zh-CN"/>
        </w:rPr>
        <w:t>允许供应商在提交最后报价之前声明撤回响应文件，但提交最后报价之后不得撤回其磋商，否则其磋商保证金将不予退还。</w:t>
      </w:r>
    </w:p>
    <w:bookmarkEnd w:id="108"/>
    <w:bookmarkEnd w:id="109"/>
    <w:bookmarkEnd w:id="110"/>
    <w:bookmarkEnd w:id="111"/>
    <w:p w14:paraId="0A2B24A8">
      <w:pPr>
        <w:widowControl/>
        <w:spacing w:line="360" w:lineRule="auto"/>
        <w:jc w:val="center"/>
        <w:outlineLvl w:val="1"/>
        <w:rPr>
          <w:rFonts w:hint="eastAsia" w:ascii="宋体" w:hAnsi="宋体"/>
          <w:b/>
          <w:bCs/>
          <w:color w:val="auto"/>
          <w:kern w:val="0"/>
          <w:sz w:val="32"/>
          <w:szCs w:val="32"/>
        </w:rPr>
      </w:pPr>
      <w:bookmarkStart w:id="121" w:name="_Toc28078165"/>
      <w:bookmarkStart w:id="122" w:name="_Toc416183208"/>
      <w:bookmarkStart w:id="123" w:name="_Toc28362"/>
      <w:bookmarkStart w:id="124" w:name="_Toc510171138"/>
      <w:bookmarkStart w:id="125" w:name="_Toc19030"/>
      <w:bookmarkStart w:id="126" w:name="_Toc325726021"/>
      <w:bookmarkStart w:id="127" w:name="_Toc376936752"/>
      <w:bookmarkStart w:id="128" w:name="_Toc30309"/>
      <w:bookmarkStart w:id="129" w:name="_Toc18107"/>
    </w:p>
    <w:p w14:paraId="56F441CD">
      <w:pPr>
        <w:widowControl/>
        <w:spacing w:line="360" w:lineRule="auto"/>
        <w:jc w:val="center"/>
        <w:outlineLvl w:val="1"/>
        <w:rPr>
          <w:rFonts w:hint="eastAsia" w:ascii="宋体" w:hAnsi="宋体"/>
          <w:b/>
          <w:bCs/>
          <w:color w:val="auto"/>
          <w:kern w:val="0"/>
          <w:sz w:val="32"/>
          <w:szCs w:val="32"/>
        </w:rPr>
      </w:pPr>
      <w:r>
        <w:rPr>
          <w:rFonts w:hint="eastAsia" w:ascii="宋体" w:hAnsi="宋体"/>
          <w:b/>
          <w:bCs/>
          <w:color w:val="auto"/>
          <w:kern w:val="0"/>
          <w:sz w:val="32"/>
          <w:szCs w:val="32"/>
        </w:rPr>
        <w:t>五、开标</w:t>
      </w:r>
      <w:bookmarkEnd w:id="121"/>
      <w:bookmarkEnd w:id="122"/>
      <w:bookmarkEnd w:id="123"/>
      <w:bookmarkEnd w:id="124"/>
    </w:p>
    <w:p w14:paraId="77EB98B0">
      <w:pPr>
        <w:widowControl/>
        <w:spacing w:line="360" w:lineRule="auto"/>
        <w:jc w:val="left"/>
        <w:outlineLvl w:val="2"/>
        <w:rPr>
          <w:rFonts w:hint="eastAsia" w:ascii="宋体" w:hAnsi="宋体"/>
          <w:b/>
          <w:bCs/>
          <w:color w:val="auto"/>
          <w:kern w:val="0"/>
          <w:sz w:val="27"/>
          <w:szCs w:val="27"/>
        </w:rPr>
      </w:pPr>
      <w:bookmarkStart w:id="130" w:name="_Toc325726020"/>
      <w:bookmarkStart w:id="131" w:name="_Toc28078166"/>
      <w:bookmarkStart w:id="132" w:name="_Toc16475"/>
      <w:bookmarkStart w:id="133" w:name="_Toc376936751"/>
      <w:bookmarkStart w:id="134" w:name="_Toc510171139"/>
      <w:bookmarkStart w:id="135" w:name="_Toc416183209"/>
      <w:r>
        <w:rPr>
          <w:rFonts w:hint="eastAsia" w:ascii="宋体" w:hAnsi="宋体"/>
          <w:b/>
          <w:bCs/>
          <w:color w:val="auto"/>
          <w:kern w:val="0"/>
          <w:sz w:val="27"/>
          <w:szCs w:val="27"/>
        </w:rPr>
        <w:t>16.开标</w:t>
      </w:r>
      <w:bookmarkEnd w:id="130"/>
      <w:bookmarkEnd w:id="131"/>
      <w:bookmarkEnd w:id="132"/>
      <w:bookmarkEnd w:id="133"/>
      <w:bookmarkEnd w:id="134"/>
      <w:bookmarkEnd w:id="135"/>
    </w:p>
    <w:p w14:paraId="3C461AAA">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6</w:t>
      </w:r>
      <w:r>
        <w:rPr>
          <w:rFonts w:hint="eastAsia" w:ascii="宋体" w:hAnsi="宋体" w:cs="宋体"/>
          <w:color w:val="auto"/>
          <w:sz w:val="24"/>
          <w:lang w:val="zh-CN"/>
        </w:rPr>
        <w:t>.1采购人、采购代理机构在政采云平台（https://www.zcygov.cn/）上组织磋商活动，时间和地点以本磋商文件中确定的为准。</w:t>
      </w:r>
    </w:p>
    <w:p w14:paraId="29FC153A">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6</w:t>
      </w:r>
      <w:r>
        <w:rPr>
          <w:rFonts w:hint="eastAsia" w:ascii="宋体" w:hAnsi="宋体" w:cs="宋体"/>
          <w:color w:val="auto"/>
          <w:sz w:val="24"/>
          <w:lang w:val="zh-CN"/>
        </w:rPr>
        <w:t>.2开标后，供应商在政采云平台（https://www.zcygov.cn/）上报价与磋商响应文件内容不一致的，以网上报价为准。若拒绝接受，其投标无效。</w:t>
      </w:r>
    </w:p>
    <w:p w14:paraId="0C3CACF4">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6</w:t>
      </w:r>
      <w:r>
        <w:rPr>
          <w:rFonts w:hint="eastAsia" w:ascii="宋体" w:hAnsi="宋体" w:cs="宋体"/>
          <w:color w:val="auto"/>
          <w:sz w:val="24"/>
          <w:lang w:val="zh-CN"/>
        </w:rPr>
        <w:t>.3磋商工作由采购代理机构组织，采购人、采购管理、纪检监察等有关方面代表可根据采购项目的具体情况列席，并对开标过程签字确认。</w:t>
      </w:r>
    </w:p>
    <w:p w14:paraId="2C6614C5">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cs="宋体"/>
          <w:color w:val="auto"/>
          <w:sz w:val="24"/>
          <w:lang w:val="zh-CN"/>
        </w:rPr>
      </w:pPr>
      <w:r>
        <w:rPr>
          <w:rFonts w:hint="eastAsia" w:ascii="宋体" w:hAnsi="宋体" w:eastAsia="宋体" w:cs="宋体"/>
          <w:b w:val="0"/>
          <w:bCs w:val="0"/>
          <w:color w:val="auto"/>
          <w:kern w:val="2"/>
          <w:sz w:val="24"/>
          <w:szCs w:val="24"/>
          <w:lang w:val="zh-CN" w:eastAsia="zh-CN" w:bidi="ar-SA"/>
        </w:rPr>
        <w:t>1</w:t>
      </w:r>
      <w:r>
        <w:rPr>
          <w:rFonts w:hint="eastAsia" w:ascii="宋体" w:hAnsi="宋体" w:eastAsia="宋体" w:cs="宋体"/>
          <w:b w:val="0"/>
          <w:bCs w:val="0"/>
          <w:color w:val="auto"/>
          <w:kern w:val="2"/>
          <w:sz w:val="24"/>
          <w:szCs w:val="24"/>
          <w:lang w:val="en-US" w:eastAsia="zh-CN" w:bidi="ar-SA"/>
        </w:rPr>
        <w:t>6</w:t>
      </w:r>
      <w:r>
        <w:rPr>
          <w:rFonts w:hint="eastAsia" w:ascii="宋体" w:hAnsi="宋体" w:eastAsia="宋体" w:cs="宋体"/>
          <w:b w:val="0"/>
          <w:bCs w:val="0"/>
          <w:color w:val="auto"/>
          <w:kern w:val="2"/>
          <w:sz w:val="24"/>
          <w:szCs w:val="24"/>
          <w:lang w:val="zh-CN" w:eastAsia="zh-CN" w:bidi="ar-SA"/>
        </w:rPr>
        <w:t>.4 开标后供应商必须在规定的时间内解密文件；因供应商输入密码错误、未及时更新系统、未能按时完成解密、</w:t>
      </w:r>
      <w:r>
        <w:rPr>
          <w:rFonts w:hint="eastAsia" w:ascii="宋体" w:hAnsi="宋体" w:eastAsia="宋体" w:cs="宋体"/>
          <w:b w:val="0"/>
          <w:bCs w:val="0"/>
          <w:color w:val="auto"/>
          <w:kern w:val="2"/>
          <w:sz w:val="24"/>
          <w:szCs w:val="24"/>
          <w:lang w:val="en-US" w:eastAsia="zh-CN" w:bidi="ar-SA"/>
        </w:rPr>
        <w:t>因</w:t>
      </w:r>
      <w:r>
        <w:rPr>
          <w:rFonts w:hint="eastAsia" w:ascii="宋体" w:hAnsi="宋体" w:eastAsia="宋体" w:cs="宋体"/>
          <w:b w:val="0"/>
          <w:bCs w:val="0"/>
          <w:color w:val="auto"/>
          <w:kern w:val="2"/>
          <w:sz w:val="24"/>
          <w:szCs w:val="24"/>
          <w:lang w:val="zh-CN" w:eastAsia="zh-CN" w:bidi="ar-SA"/>
        </w:rPr>
        <w:t>填写，盖章不规范</w:t>
      </w:r>
      <w:r>
        <w:rPr>
          <w:rFonts w:hint="eastAsia" w:ascii="宋体" w:hAnsi="宋体" w:eastAsia="宋体" w:cs="宋体"/>
          <w:b w:val="0"/>
          <w:bCs w:val="0"/>
          <w:color w:val="auto"/>
          <w:kern w:val="2"/>
          <w:sz w:val="24"/>
          <w:szCs w:val="24"/>
          <w:lang w:val="en-US" w:eastAsia="zh-CN" w:bidi="ar-SA"/>
        </w:rPr>
        <w:t>等</w:t>
      </w:r>
      <w:r>
        <w:rPr>
          <w:rFonts w:hint="eastAsia" w:ascii="宋体" w:hAnsi="宋体" w:eastAsia="宋体" w:cs="宋体"/>
          <w:b w:val="0"/>
          <w:bCs w:val="0"/>
          <w:color w:val="auto"/>
          <w:kern w:val="2"/>
          <w:sz w:val="24"/>
          <w:szCs w:val="24"/>
          <w:lang w:val="zh-CN" w:eastAsia="zh-CN" w:bidi="ar-SA"/>
        </w:rPr>
        <w:t>导致无法</w:t>
      </w:r>
      <w:r>
        <w:rPr>
          <w:rFonts w:hint="eastAsia" w:ascii="宋体" w:hAnsi="宋体" w:eastAsia="宋体" w:cs="宋体"/>
          <w:b w:val="0"/>
          <w:bCs w:val="0"/>
          <w:color w:val="auto"/>
          <w:kern w:val="2"/>
          <w:sz w:val="24"/>
          <w:szCs w:val="24"/>
          <w:lang w:val="en-US" w:eastAsia="zh-CN" w:bidi="ar-SA"/>
        </w:rPr>
        <w:t>解密</w:t>
      </w:r>
      <w:r>
        <w:rPr>
          <w:rFonts w:hint="eastAsia" w:ascii="宋体" w:hAnsi="宋体" w:eastAsia="宋体" w:cs="宋体"/>
          <w:b w:val="0"/>
          <w:bCs w:val="0"/>
          <w:color w:val="auto"/>
          <w:kern w:val="2"/>
          <w:sz w:val="24"/>
          <w:szCs w:val="24"/>
          <w:lang w:val="zh-CN" w:eastAsia="zh-CN" w:bidi="ar-SA"/>
        </w:rPr>
        <w:t>、或上传的磋商响应文件损坏无法正常打开的，将会被视为</w:t>
      </w:r>
      <w:r>
        <w:rPr>
          <w:rFonts w:hint="eastAsia" w:ascii="宋体" w:hAnsi="宋体" w:eastAsia="宋体" w:cs="宋体"/>
          <w:b w:val="0"/>
          <w:bCs w:val="0"/>
          <w:color w:val="auto"/>
          <w:kern w:val="2"/>
          <w:sz w:val="24"/>
          <w:szCs w:val="24"/>
          <w:lang w:val="en-US" w:eastAsia="zh-CN" w:bidi="ar-SA"/>
        </w:rPr>
        <w:t>无效</w:t>
      </w:r>
      <w:r>
        <w:rPr>
          <w:rFonts w:hint="eastAsia" w:ascii="宋体" w:hAnsi="宋体" w:eastAsia="宋体" w:cs="宋体"/>
          <w:b w:val="0"/>
          <w:bCs w:val="0"/>
          <w:color w:val="auto"/>
          <w:kern w:val="2"/>
          <w:sz w:val="24"/>
          <w:szCs w:val="24"/>
          <w:lang w:val="zh-CN" w:eastAsia="zh-CN" w:bidi="ar-SA"/>
        </w:rPr>
        <w:t>投标。</w:t>
      </w:r>
    </w:p>
    <w:p w14:paraId="0457B261">
      <w:pPr>
        <w:widowControl/>
        <w:spacing w:line="360" w:lineRule="auto"/>
        <w:jc w:val="center"/>
        <w:outlineLvl w:val="1"/>
        <w:rPr>
          <w:rFonts w:hint="eastAsia" w:ascii="宋体" w:hAnsi="宋体" w:eastAsia="宋体" w:cs="Times New Roman"/>
          <w:b/>
          <w:bCs/>
          <w:color w:val="auto"/>
          <w:kern w:val="0"/>
          <w:sz w:val="32"/>
          <w:szCs w:val="32"/>
        </w:rPr>
      </w:pPr>
      <w:bookmarkStart w:id="136" w:name="_Toc28078167"/>
      <w:bookmarkStart w:id="137" w:name="_Toc13386"/>
      <w:r>
        <w:rPr>
          <w:rFonts w:hint="eastAsia" w:ascii="宋体" w:hAnsi="宋体" w:eastAsia="宋体" w:cs="Times New Roman"/>
          <w:b/>
          <w:bCs/>
          <w:color w:val="auto"/>
          <w:kern w:val="0"/>
          <w:sz w:val="32"/>
          <w:szCs w:val="32"/>
        </w:rPr>
        <w:t>六、资格审查程序及方法</w:t>
      </w:r>
      <w:bookmarkEnd w:id="136"/>
      <w:bookmarkEnd w:id="137"/>
    </w:p>
    <w:p w14:paraId="6B11EA18">
      <w:pPr>
        <w:spacing w:line="360" w:lineRule="auto"/>
        <w:rPr>
          <w:rFonts w:hint="eastAsia" w:ascii="宋体" w:hAnsi="宋体" w:cs="宋体"/>
          <w:b/>
          <w:bCs/>
          <w:color w:val="auto"/>
          <w:sz w:val="24"/>
          <w:lang w:val="zh-CN"/>
        </w:rPr>
      </w:pPr>
      <w:bookmarkStart w:id="138" w:name="_Toc28078168"/>
      <w:bookmarkStart w:id="139" w:name="_Toc496004007"/>
      <w:bookmarkStart w:id="140" w:name="_Toc496189551"/>
      <w:r>
        <w:rPr>
          <w:rFonts w:hint="eastAsia" w:ascii="宋体" w:hAnsi="宋体" w:cs="宋体"/>
          <w:b/>
          <w:bCs/>
          <w:color w:val="auto"/>
          <w:sz w:val="24"/>
          <w:lang w:val="zh-CN"/>
        </w:rPr>
        <w:t>1</w:t>
      </w:r>
      <w:r>
        <w:rPr>
          <w:rFonts w:hint="eastAsia" w:ascii="宋体" w:hAnsi="宋体" w:cs="宋体"/>
          <w:b/>
          <w:bCs/>
          <w:color w:val="auto"/>
          <w:sz w:val="24"/>
        </w:rPr>
        <w:t>7</w:t>
      </w:r>
      <w:r>
        <w:rPr>
          <w:rFonts w:hint="eastAsia" w:ascii="宋体" w:hAnsi="宋体" w:cs="宋体"/>
          <w:b/>
          <w:bCs/>
          <w:color w:val="auto"/>
          <w:sz w:val="24"/>
          <w:lang w:val="zh-CN"/>
        </w:rPr>
        <w:t>. 资格审查程序</w:t>
      </w:r>
      <w:bookmarkEnd w:id="138"/>
      <w:bookmarkEnd w:id="139"/>
      <w:bookmarkEnd w:id="140"/>
    </w:p>
    <w:p w14:paraId="03E7406B">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7</w:t>
      </w:r>
      <w:r>
        <w:rPr>
          <w:rFonts w:hint="eastAsia" w:ascii="宋体" w:hAnsi="宋体" w:cs="宋体"/>
          <w:color w:val="auto"/>
          <w:sz w:val="24"/>
          <w:lang w:val="zh-CN"/>
        </w:rPr>
        <w:t>.1提交首次磋商响应文件截止时间后，由磋商小组依法对供应商的资格进行审查。</w:t>
      </w:r>
    </w:p>
    <w:p w14:paraId="6E5144BB">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7</w:t>
      </w:r>
      <w:r>
        <w:rPr>
          <w:rFonts w:hint="eastAsia" w:ascii="宋体" w:hAnsi="宋体" w:cs="宋体"/>
          <w:color w:val="auto"/>
          <w:sz w:val="24"/>
          <w:lang w:val="zh-CN"/>
        </w:rPr>
        <w:t>.2 供应商数量不满足相关规定的，不得评审。</w:t>
      </w:r>
    </w:p>
    <w:p w14:paraId="196ED210">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default" w:ascii="宋体" w:hAnsi="宋体" w:cs="宋体"/>
          <w:b/>
          <w:bCs/>
          <w:color w:val="auto"/>
          <w:kern w:val="2"/>
          <w:sz w:val="24"/>
          <w:szCs w:val="24"/>
          <w:lang w:val="en-US" w:eastAsia="zh-CN" w:bidi="ar-SA"/>
        </w:rPr>
      </w:pPr>
      <w:bookmarkStart w:id="141" w:name="_Toc28078169"/>
      <w:bookmarkStart w:id="142" w:name="_Toc496004008"/>
      <w:bookmarkStart w:id="143" w:name="_Toc496189552"/>
      <w:r>
        <w:rPr>
          <w:rFonts w:hint="eastAsia" w:ascii="宋体" w:hAnsi="宋体" w:cs="宋体"/>
          <w:b/>
          <w:bCs/>
          <w:color w:val="auto"/>
          <w:kern w:val="2"/>
          <w:sz w:val="24"/>
          <w:szCs w:val="24"/>
          <w:lang w:val="zh-CN" w:eastAsia="zh-CN" w:bidi="ar-SA"/>
        </w:rPr>
        <w:t>1</w:t>
      </w:r>
      <w:r>
        <w:rPr>
          <w:rFonts w:hint="eastAsia" w:ascii="宋体" w:hAnsi="宋体" w:cs="宋体"/>
          <w:b/>
          <w:bCs/>
          <w:color w:val="auto"/>
          <w:kern w:val="2"/>
          <w:sz w:val="24"/>
          <w:szCs w:val="24"/>
          <w:lang w:val="en-US" w:eastAsia="zh-CN" w:bidi="ar-SA"/>
        </w:rPr>
        <w:t>8</w:t>
      </w:r>
      <w:r>
        <w:rPr>
          <w:rFonts w:hint="eastAsia" w:ascii="宋体" w:hAnsi="宋体" w:cs="宋体"/>
          <w:b/>
          <w:bCs/>
          <w:color w:val="auto"/>
          <w:kern w:val="2"/>
          <w:sz w:val="24"/>
          <w:szCs w:val="24"/>
          <w:lang w:val="zh-CN" w:eastAsia="zh-CN" w:bidi="ar-SA"/>
        </w:rPr>
        <w:t>.资格审查</w:t>
      </w:r>
      <w:bookmarkEnd w:id="141"/>
      <w:bookmarkEnd w:id="142"/>
      <w:bookmarkEnd w:id="143"/>
      <w:r>
        <w:rPr>
          <w:rFonts w:hint="eastAsia" w:ascii="宋体" w:hAnsi="宋体" w:cs="宋体"/>
          <w:b/>
          <w:bCs/>
          <w:color w:val="auto"/>
          <w:kern w:val="2"/>
          <w:sz w:val="24"/>
          <w:szCs w:val="24"/>
          <w:lang w:val="zh-CN" w:eastAsia="zh-CN" w:bidi="ar-SA"/>
        </w:rPr>
        <w:t>内容。</w:t>
      </w:r>
      <w:r>
        <w:rPr>
          <w:rFonts w:hint="eastAsia" w:ascii="宋体" w:hAnsi="宋体" w:cs="宋体"/>
          <w:b/>
          <w:bCs/>
          <w:color w:val="auto"/>
          <w:kern w:val="2"/>
          <w:sz w:val="24"/>
          <w:szCs w:val="24"/>
          <w:lang w:val="en-US" w:eastAsia="zh-CN" w:bidi="ar-SA"/>
        </w:rPr>
        <w:t>资格审查时，存在下列情况之一的，按无效投标处理：</w:t>
      </w:r>
    </w:p>
    <w:p w14:paraId="42206F4E">
      <w:pPr>
        <w:keepNext w:val="0"/>
        <w:keepLines w:val="0"/>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cs="宋体"/>
          <w:b w:val="0"/>
          <w:bCs w:val="0"/>
          <w:color w:val="auto"/>
          <w:kern w:val="2"/>
          <w:sz w:val="24"/>
          <w:szCs w:val="24"/>
          <w:lang w:val="zh-CN" w:eastAsia="zh-CN" w:bidi="ar-SA"/>
        </w:rPr>
      </w:pPr>
      <w:r>
        <w:rPr>
          <w:rFonts w:hint="eastAsia" w:ascii="宋体" w:hAnsi="宋体" w:cs="宋体"/>
          <w:b w:val="0"/>
          <w:bCs w:val="0"/>
          <w:color w:val="auto"/>
          <w:kern w:val="2"/>
          <w:sz w:val="24"/>
          <w:szCs w:val="24"/>
          <w:lang w:val="zh-CN" w:eastAsia="zh-CN" w:bidi="ar-SA"/>
        </w:rPr>
        <w:t>1</w:t>
      </w:r>
      <w:r>
        <w:rPr>
          <w:rFonts w:hint="eastAsia" w:ascii="宋体" w:hAnsi="宋体" w:cs="宋体"/>
          <w:b w:val="0"/>
          <w:bCs w:val="0"/>
          <w:color w:val="auto"/>
          <w:kern w:val="2"/>
          <w:sz w:val="24"/>
          <w:szCs w:val="24"/>
          <w:lang w:val="en-US" w:eastAsia="zh-CN" w:bidi="ar-SA"/>
        </w:rPr>
        <w:t>8</w:t>
      </w:r>
      <w:r>
        <w:rPr>
          <w:rFonts w:hint="eastAsia" w:ascii="宋体" w:hAnsi="宋体" w:cs="宋体"/>
          <w:b w:val="0"/>
          <w:bCs w:val="0"/>
          <w:color w:val="auto"/>
          <w:kern w:val="2"/>
          <w:sz w:val="24"/>
          <w:szCs w:val="24"/>
          <w:lang w:val="zh-CN" w:eastAsia="zh-CN" w:bidi="ar-SA"/>
        </w:rPr>
        <w:t xml:space="preserve">.1 </w:t>
      </w:r>
      <w:r>
        <w:rPr>
          <w:rFonts w:hint="eastAsia" w:ascii="宋体" w:hAnsi="宋体" w:cs="宋体"/>
          <w:b w:val="0"/>
          <w:bCs w:val="0"/>
          <w:color w:val="auto"/>
          <w:kern w:val="2"/>
          <w:sz w:val="24"/>
          <w:szCs w:val="24"/>
          <w:lang w:val="en-US" w:eastAsia="zh-CN" w:bidi="ar-SA"/>
        </w:rPr>
        <w:t>不</w:t>
      </w:r>
      <w:r>
        <w:rPr>
          <w:rFonts w:hint="eastAsia" w:ascii="宋体" w:hAnsi="宋体" w:cs="宋体"/>
          <w:b w:val="0"/>
          <w:bCs w:val="0"/>
          <w:color w:val="auto"/>
          <w:kern w:val="2"/>
          <w:sz w:val="24"/>
          <w:szCs w:val="24"/>
          <w:lang w:val="zh-CN" w:eastAsia="zh-CN" w:bidi="ar-SA"/>
        </w:rPr>
        <w:t>符合磋商文件第二部分投标人须知前附表“供应商资格条件”的；</w:t>
      </w:r>
    </w:p>
    <w:p w14:paraId="7EB69B0B">
      <w:pPr>
        <w:keepNext w:val="0"/>
        <w:keepLines w:val="0"/>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cs="宋体"/>
          <w:b w:val="0"/>
          <w:bCs w:val="0"/>
          <w:color w:val="auto"/>
          <w:kern w:val="2"/>
          <w:sz w:val="24"/>
          <w:szCs w:val="24"/>
          <w:lang w:val="zh-CN" w:eastAsia="zh-CN" w:bidi="ar-SA"/>
        </w:rPr>
      </w:pPr>
      <w:r>
        <w:rPr>
          <w:rFonts w:hint="eastAsia" w:ascii="宋体" w:hAnsi="宋体" w:cs="宋体"/>
          <w:b w:val="0"/>
          <w:bCs w:val="0"/>
          <w:color w:val="auto"/>
          <w:kern w:val="2"/>
          <w:sz w:val="24"/>
          <w:szCs w:val="24"/>
          <w:lang w:val="zh-CN" w:eastAsia="zh-CN" w:bidi="ar-SA"/>
        </w:rPr>
        <w:t>1</w:t>
      </w:r>
      <w:r>
        <w:rPr>
          <w:rFonts w:hint="eastAsia" w:ascii="宋体" w:hAnsi="宋体" w:cs="宋体"/>
          <w:b w:val="0"/>
          <w:bCs w:val="0"/>
          <w:color w:val="auto"/>
          <w:kern w:val="2"/>
          <w:sz w:val="24"/>
          <w:szCs w:val="24"/>
          <w:lang w:val="en-US" w:eastAsia="zh-CN" w:bidi="ar-SA"/>
        </w:rPr>
        <w:t>8</w:t>
      </w:r>
      <w:r>
        <w:rPr>
          <w:rFonts w:hint="eastAsia" w:ascii="宋体" w:hAnsi="宋体" w:cs="宋体"/>
          <w:b w:val="0"/>
          <w:bCs w:val="0"/>
          <w:color w:val="auto"/>
          <w:kern w:val="2"/>
          <w:sz w:val="24"/>
          <w:szCs w:val="24"/>
          <w:lang w:val="zh-CN" w:eastAsia="zh-CN" w:bidi="ar-SA"/>
        </w:rPr>
        <w:t xml:space="preserve">.2 </w:t>
      </w:r>
      <w:r>
        <w:rPr>
          <w:rFonts w:hint="eastAsia" w:ascii="宋体" w:hAnsi="宋体" w:cs="宋体"/>
          <w:b w:val="0"/>
          <w:bCs w:val="0"/>
          <w:color w:val="auto"/>
          <w:kern w:val="2"/>
          <w:sz w:val="24"/>
          <w:szCs w:val="24"/>
          <w:lang w:val="en-US" w:eastAsia="zh-CN" w:bidi="ar-SA"/>
        </w:rPr>
        <w:t>未</w:t>
      </w:r>
      <w:r>
        <w:rPr>
          <w:rFonts w:hint="eastAsia" w:ascii="宋体" w:hAnsi="宋体" w:cs="宋体"/>
          <w:b w:val="0"/>
          <w:bCs w:val="0"/>
          <w:color w:val="auto"/>
          <w:kern w:val="2"/>
          <w:sz w:val="24"/>
          <w:szCs w:val="24"/>
          <w:lang w:val="zh-CN" w:eastAsia="zh-CN" w:bidi="ar-SA"/>
        </w:rPr>
        <w:t>按第1</w:t>
      </w:r>
      <w:r>
        <w:rPr>
          <w:rFonts w:hint="eastAsia" w:ascii="宋体" w:hAnsi="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zh-CN" w:eastAsia="zh-CN" w:bidi="ar-SA"/>
        </w:rPr>
        <w:t>.1款（1）-（</w:t>
      </w:r>
      <w:r>
        <w:rPr>
          <w:rFonts w:hint="eastAsia" w:ascii="宋体" w:hAnsi="宋体" w:cs="宋体"/>
          <w:b w:val="0"/>
          <w:bCs w:val="0"/>
          <w:color w:val="auto"/>
          <w:kern w:val="2"/>
          <w:sz w:val="24"/>
          <w:szCs w:val="24"/>
          <w:lang w:val="en-US" w:eastAsia="zh-CN" w:bidi="ar-SA"/>
        </w:rPr>
        <w:t>10</w:t>
      </w:r>
      <w:r>
        <w:rPr>
          <w:rFonts w:hint="eastAsia" w:ascii="宋体" w:hAnsi="宋体" w:cs="宋体"/>
          <w:b w:val="0"/>
          <w:bCs w:val="0"/>
          <w:color w:val="auto"/>
          <w:kern w:val="2"/>
          <w:sz w:val="24"/>
          <w:szCs w:val="24"/>
          <w:lang w:val="zh-CN" w:eastAsia="zh-CN" w:bidi="ar-SA"/>
        </w:rPr>
        <w:t>）要求提供相关资料的；</w:t>
      </w:r>
    </w:p>
    <w:p w14:paraId="6ABFCA0F">
      <w:pPr>
        <w:keepNext w:val="0"/>
        <w:keepLines w:val="0"/>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cs="宋体"/>
          <w:b w:val="0"/>
          <w:bCs w:val="0"/>
          <w:color w:val="auto"/>
          <w:kern w:val="2"/>
          <w:sz w:val="24"/>
          <w:szCs w:val="24"/>
          <w:lang w:val="zh-CN" w:eastAsia="zh-CN" w:bidi="ar-SA"/>
        </w:rPr>
      </w:pPr>
      <w:r>
        <w:rPr>
          <w:rFonts w:hint="eastAsia" w:ascii="宋体" w:hAnsi="宋体" w:cs="宋体"/>
          <w:b w:val="0"/>
          <w:bCs w:val="0"/>
          <w:color w:val="auto"/>
          <w:kern w:val="2"/>
          <w:sz w:val="24"/>
          <w:szCs w:val="24"/>
          <w:lang w:val="zh-CN" w:eastAsia="zh-CN" w:bidi="ar-SA"/>
        </w:rPr>
        <w:t>1</w:t>
      </w:r>
      <w:r>
        <w:rPr>
          <w:rFonts w:hint="eastAsia" w:ascii="宋体" w:hAnsi="宋体" w:cs="宋体"/>
          <w:b w:val="0"/>
          <w:bCs w:val="0"/>
          <w:color w:val="auto"/>
          <w:kern w:val="2"/>
          <w:sz w:val="24"/>
          <w:szCs w:val="24"/>
          <w:lang w:val="en-US" w:eastAsia="zh-CN" w:bidi="ar-SA"/>
        </w:rPr>
        <w:t>8</w:t>
      </w:r>
      <w:r>
        <w:rPr>
          <w:rFonts w:hint="eastAsia" w:ascii="宋体" w:hAnsi="宋体" w:cs="宋体"/>
          <w:b w:val="0"/>
          <w:bCs w:val="0"/>
          <w:color w:val="auto"/>
          <w:kern w:val="2"/>
          <w:sz w:val="24"/>
          <w:szCs w:val="24"/>
          <w:lang w:val="zh-CN" w:eastAsia="zh-CN" w:bidi="ar-SA"/>
        </w:rPr>
        <w:t xml:space="preserve">.3 </w:t>
      </w:r>
      <w:r>
        <w:rPr>
          <w:rFonts w:hint="eastAsia" w:ascii="宋体" w:hAnsi="宋体" w:cs="宋体"/>
          <w:b w:val="0"/>
          <w:bCs w:val="0"/>
          <w:color w:val="auto"/>
          <w:kern w:val="2"/>
          <w:sz w:val="24"/>
          <w:szCs w:val="24"/>
          <w:lang w:val="en-US" w:eastAsia="zh-CN" w:bidi="ar-SA"/>
        </w:rPr>
        <w:t>未</w:t>
      </w:r>
      <w:r>
        <w:rPr>
          <w:rFonts w:hint="eastAsia" w:ascii="宋体" w:hAnsi="宋体" w:cs="宋体"/>
          <w:b w:val="0"/>
          <w:bCs w:val="0"/>
          <w:color w:val="auto"/>
          <w:kern w:val="2"/>
          <w:sz w:val="24"/>
          <w:szCs w:val="24"/>
          <w:lang w:val="zh-CN" w:eastAsia="zh-CN" w:bidi="ar-SA"/>
        </w:rPr>
        <w:t>按磋商文件规定和要求签字、盖章的；</w:t>
      </w:r>
    </w:p>
    <w:p w14:paraId="6817DA8D">
      <w:pPr>
        <w:spacing w:line="360" w:lineRule="auto"/>
        <w:ind w:firstLine="480"/>
        <w:rPr>
          <w:rFonts w:hint="eastAsia" w:ascii="宋体" w:hAnsi="宋体" w:cs="宋体"/>
          <w:b w:val="0"/>
          <w:bCs w:val="0"/>
          <w:color w:val="auto"/>
          <w:sz w:val="24"/>
          <w:lang w:val="zh-CN"/>
        </w:rPr>
      </w:pPr>
      <w:r>
        <w:rPr>
          <w:rFonts w:hint="eastAsia" w:ascii="宋体" w:hAnsi="宋体" w:cs="宋体"/>
          <w:b w:val="0"/>
          <w:bCs w:val="0"/>
          <w:color w:val="auto"/>
          <w:kern w:val="2"/>
          <w:sz w:val="24"/>
          <w:szCs w:val="24"/>
          <w:lang w:val="zh-CN" w:eastAsia="zh-CN" w:bidi="ar-SA"/>
        </w:rPr>
        <w:t>1</w:t>
      </w:r>
      <w:r>
        <w:rPr>
          <w:rFonts w:hint="eastAsia" w:ascii="宋体" w:hAnsi="宋体" w:cs="宋体"/>
          <w:b w:val="0"/>
          <w:bCs w:val="0"/>
          <w:color w:val="auto"/>
          <w:kern w:val="2"/>
          <w:sz w:val="24"/>
          <w:szCs w:val="24"/>
          <w:lang w:val="en-US" w:eastAsia="zh-CN" w:bidi="ar-SA"/>
        </w:rPr>
        <w:t>8</w:t>
      </w:r>
      <w:r>
        <w:rPr>
          <w:rFonts w:hint="eastAsia" w:ascii="宋体" w:hAnsi="宋体" w:cs="宋体"/>
          <w:b w:val="0"/>
          <w:bCs w:val="0"/>
          <w:color w:val="auto"/>
          <w:kern w:val="2"/>
          <w:sz w:val="24"/>
          <w:szCs w:val="24"/>
          <w:lang w:val="zh-CN" w:eastAsia="zh-CN" w:bidi="ar-SA"/>
        </w:rPr>
        <w:t>.4 擅自修改磋商文件规定的磋商响应文件格式以及编制要求的</w:t>
      </w:r>
      <w:r>
        <w:rPr>
          <w:rFonts w:hint="eastAsia" w:ascii="宋体" w:hAnsi="宋体" w:cs="宋体"/>
          <w:b w:val="0"/>
          <w:bCs w:val="0"/>
          <w:color w:val="auto"/>
          <w:sz w:val="24"/>
          <w:lang w:val="zh-CN"/>
        </w:rPr>
        <w:t>。</w:t>
      </w:r>
    </w:p>
    <w:bookmarkEnd w:id="125"/>
    <w:bookmarkEnd w:id="126"/>
    <w:bookmarkEnd w:id="127"/>
    <w:bookmarkEnd w:id="128"/>
    <w:bookmarkEnd w:id="129"/>
    <w:p w14:paraId="1F4AEF7B">
      <w:pPr>
        <w:widowControl/>
        <w:jc w:val="center"/>
        <w:outlineLvl w:val="1"/>
        <w:rPr>
          <w:rFonts w:hint="eastAsia" w:ascii="宋体" w:hAnsi="宋体"/>
          <w:b/>
          <w:bCs/>
          <w:color w:val="auto"/>
          <w:kern w:val="0"/>
          <w:sz w:val="32"/>
          <w:szCs w:val="32"/>
        </w:rPr>
      </w:pPr>
      <w:bookmarkStart w:id="144" w:name="_Toc5834"/>
      <w:bookmarkStart w:id="145" w:name="_Toc28078170"/>
      <w:bookmarkStart w:id="146" w:name="_Toc14694"/>
      <w:bookmarkStart w:id="147" w:name="_Toc325726023"/>
      <w:bookmarkStart w:id="148" w:name="_Toc376936754"/>
      <w:bookmarkStart w:id="149" w:name="_Toc10790"/>
      <w:bookmarkStart w:id="150" w:name="_Toc27086"/>
      <w:r>
        <w:rPr>
          <w:rFonts w:hint="eastAsia" w:ascii="宋体" w:hAnsi="宋体"/>
          <w:b/>
          <w:bCs/>
          <w:color w:val="auto"/>
          <w:kern w:val="0"/>
          <w:sz w:val="32"/>
          <w:szCs w:val="32"/>
        </w:rPr>
        <w:t>七、磋商程序及方法</w:t>
      </w:r>
      <w:bookmarkEnd w:id="144"/>
      <w:bookmarkEnd w:id="145"/>
    </w:p>
    <w:p w14:paraId="24178C78">
      <w:pPr>
        <w:widowControl/>
        <w:spacing w:line="360" w:lineRule="auto"/>
        <w:jc w:val="left"/>
        <w:outlineLvl w:val="2"/>
        <w:rPr>
          <w:rFonts w:hint="eastAsia" w:ascii="宋体" w:hAnsi="宋体"/>
          <w:b/>
          <w:bCs/>
          <w:color w:val="auto"/>
          <w:kern w:val="0"/>
          <w:sz w:val="24"/>
        </w:rPr>
      </w:pPr>
      <w:bookmarkStart w:id="151" w:name="_Toc3021"/>
      <w:bookmarkStart w:id="152" w:name="_Toc376936753"/>
      <w:bookmarkStart w:id="153" w:name="_Toc28078171"/>
      <w:bookmarkStart w:id="154" w:name="_Toc325726022"/>
      <w:r>
        <w:rPr>
          <w:rFonts w:hint="eastAsia" w:ascii="宋体" w:hAnsi="宋体"/>
          <w:b/>
          <w:bCs/>
          <w:color w:val="auto"/>
          <w:kern w:val="0"/>
          <w:sz w:val="24"/>
        </w:rPr>
        <w:t>19.磋商小组</w:t>
      </w:r>
      <w:bookmarkEnd w:id="151"/>
      <w:bookmarkEnd w:id="152"/>
      <w:bookmarkEnd w:id="153"/>
      <w:bookmarkEnd w:id="154"/>
    </w:p>
    <w:p w14:paraId="7C86F647">
      <w:pPr>
        <w:spacing w:line="360" w:lineRule="auto"/>
        <w:ind w:firstLine="480"/>
        <w:jc w:val="left"/>
        <w:rPr>
          <w:rFonts w:hint="eastAsia" w:ascii="宋体" w:hAnsi="宋体"/>
          <w:color w:val="auto"/>
          <w:sz w:val="24"/>
        </w:rPr>
      </w:pPr>
      <w:r>
        <w:rPr>
          <w:rFonts w:hint="eastAsia" w:ascii="宋体" w:hAnsi="宋体"/>
          <w:color w:val="auto"/>
          <w:sz w:val="24"/>
        </w:rPr>
        <w:t>19.1 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6DF9E2D7">
      <w:pPr>
        <w:spacing w:line="360" w:lineRule="auto"/>
        <w:ind w:firstLine="480"/>
        <w:jc w:val="left"/>
        <w:rPr>
          <w:rFonts w:hint="eastAsia" w:ascii="宋体" w:hAnsi="宋体"/>
          <w:color w:val="auto"/>
          <w:sz w:val="24"/>
        </w:rPr>
      </w:pPr>
      <w:r>
        <w:rPr>
          <w:rFonts w:hint="eastAsia" w:ascii="宋体" w:hAnsi="宋体"/>
          <w:color w:val="auto"/>
          <w:sz w:val="24"/>
        </w:rPr>
        <w:t>19.2磋商由采购代理机构负责组织，具体磋商事务由依法组建的磋商小组负责，并独立履行下列职责：</w:t>
      </w:r>
    </w:p>
    <w:p w14:paraId="6F3FF9C5">
      <w:pPr>
        <w:spacing w:line="360" w:lineRule="auto"/>
        <w:ind w:firstLine="480"/>
        <w:jc w:val="left"/>
        <w:rPr>
          <w:rFonts w:hint="eastAsia" w:ascii="宋体" w:hAnsi="宋体"/>
          <w:color w:val="auto"/>
          <w:sz w:val="24"/>
        </w:rPr>
      </w:pPr>
      <w:r>
        <w:rPr>
          <w:rFonts w:hint="eastAsia" w:ascii="宋体" w:hAnsi="宋体"/>
          <w:color w:val="auto"/>
          <w:sz w:val="24"/>
        </w:rPr>
        <w:t>（1）审查通过资格条件供应商的磋商响应文件，并作出评价；</w:t>
      </w:r>
    </w:p>
    <w:p w14:paraId="56A9D23B">
      <w:pPr>
        <w:spacing w:line="360" w:lineRule="auto"/>
        <w:ind w:firstLine="480"/>
        <w:jc w:val="left"/>
        <w:rPr>
          <w:rFonts w:hint="eastAsia" w:ascii="宋体" w:hAnsi="宋体"/>
          <w:color w:val="auto"/>
          <w:sz w:val="24"/>
        </w:rPr>
      </w:pPr>
      <w:r>
        <w:rPr>
          <w:rFonts w:hint="eastAsia" w:ascii="宋体" w:hAnsi="宋体"/>
          <w:color w:val="auto"/>
          <w:sz w:val="24"/>
        </w:rPr>
        <w:t>（2）要求供应商对解释或澄清其磋商响应文件；</w:t>
      </w:r>
    </w:p>
    <w:p w14:paraId="5D17F097">
      <w:pPr>
        <w:spacing w:line="360" w:lineRule="auto"/>
        <w:ind w:firstLine="480"/>
        <w:jc w:val="left"/>
        <w:rPr>
          <w:rFonts w:hint="eastAsia" w:ascii="宋体" w:hAnsi="宋体"/>
          <w:color w:val="auto"/>
          <w:sz w:val="24"/>
        </w:rPr>
      </w:pPr>
      <w:r>
        <w:rPr>
          <w:rFonts w:hint="eastAsia" w:ascii="宋体" w:hAnsi="宋体"/>
          <w:color w:val="auto"/>
          <w:sz w:val="24"/>
        </w:rPr>
        <w:t>（3）推荐预成交候选供应商；</w:t>
      </w:r>
    </w:p>
    <w:p w14:paraId="52D841EC">
      <w:pPr>
        <w:spacing w:line="360" w:lineRule="auto"/>
        <w:ind w:firstLine="480"/>
        <w:jc w:val="left"/>
        <w:rPr>
          <w:rFonts w:hint="eastAsia" w:ascii="宋体" w:hAnsi="宋体"/>
          <w:color w:val="auto"/>
          <w:sz w:val="24"/>
        </w:rPr>
      </w:pPr>
      <w:r>
        <w:rPr>
          <w:rFonts w:hint="eastAsia" w:ascii="宋体" w:hAnsi="宋体"/>
          <w:color w:val="auto"/>
          <w:sz w:val="24"/>
        </w:rPr>
        <w:t>（4）对非法干预评标工作的人员和机构进行举报或投诉。</w:t>
      </w:r>
    </w:p>
    <w:p w14:paraId="6BCC5A11">
      <w:pPr>
        <w:spacing w:line="360" w:lineRule="auto"/>
        <w:ind w:firstLine="480"/>
        <w:jc w:val="left"/>
        <w:rPr>
          <w:rFonts w:hint="eastAsia" w:ascii="宋体" w:hAnsi="宋体"/>
          <w:color w:val="auto"/>
          <w:sz w:val="24"/>
        </w:rPr>
      </w:pPr>
      <w:r>
        <w:rPr>
          <w:rFonts w:hint="eastAsia" w:ascii="宋体" w:hAnsi="宋体"/>
          <w:color w:val="auto"/>
          <w:sz w:val="24"/>
        </w:rPr>
        <w:t>17.3磋商小组应遵守并履行下列义务：</w:t>
      </w:r>
    </w:p>
    <w:p w14:paraId="27DCFFA6">
      <w:pPr>
        <w:spacing w:line="360" w:lineRule="auto"/>
        <w:ind w:firstLine="480"/>
        <w:jc w:val="left"/>
        <w:rPr>
          <w:rFonts w:hint="eastAsia" w:ascii="宋体" w:hAnsi="宋体"/>
          <w:color w:val="auto"/>
          <w:sz w:val="24"/>
        </w:rPr>
      </w:pPr>
      <w:r>
        <w:rPr>
          <w:rFonts w:hint="eastAsia" w:ascii="宋体" w:hAnsi="宋体"/>
          <w:color w:val="auto"/>
          <w:sz w:val="24"/>
        </w:rPr>
        <w:t>（1）遵纪守法，客观、公正、廉洁地履行职责；</w:t>
      </w:r>
    </w:p>
    <w:p w14:paraId="4E8CE25E">
      <w:pPr>
        <w:spacing w:line="360" w:lineRule="auto"/>
        <w:ind w:firstLine="480"/>
        <w:jc w:val="left"/>
        <w:rPr>
          <w:rFonts w:hint="eastAsia" w:ascii="宋体" w:hAnsi="宋体"/>
          <w:color w:val="auto"/>
          <w:sz w:val="24"/>
        </w:rPr>
      </w:pPr>
      <w:r>
        <w:rPr>
          <w:rFonts w:hint="eastAsia" w:ascii="宋体" w:hAnsi="宋体"/>
          <w:color w:val="auto"/>
          <w:sz w:val="24"/>
        </w:rPr>
        <w:t>（2）按照磋商文件规定的评审方法和评审标准进行评审，对评审意见承担磋商小组成员责任；</w:t>
      </w:r>
    </w:p>
    <w:p w14:paraId="448B6B1C">
      <w:pPr>
        <w:spacing w:line="360" w:lineRule="auto"/>
        <w:ind w:firstLine="480"/>
        <w:jc w:val="left"/>
        <w:rPr>
          <w:rFonts w:hint="eastAsia" w:ascii="宋体" w:hAnsi="宋体"/>
          <w:color w:val="auto"/>
          <w:sz w:val="24"/>
        </w:rPr>
      </w:pPr>
      <w:r>
        <w:rPr>
          <w:rFonts w:hint="eastAsia" w:ascii="宋体" w:hAnsi="宋体"/>
          <w:color w:val="auto"/>
          <w:sz w:val="24"/>
        </w:rPr>
        <w:t>（3）对磋商响应文件、磋商情况和磋商中获悉的商业秘密保密；</w:t>
      </w:r>
    </w:p>
    <w:p w14:paraId="5F75188E">
      <w:pPr>
        <w:spacing w:line="360" w:lineRule="auto"/>
        <w:ind w:firstLine="480"/>
        <w:jc w:val="left"/>
        <w:rPr>
          <w:rFonts w:hint="eastAsia" w:ascii="宋体" w:hAnsi="宋体"/>
          <w:color w:val="auto"/>
          <w:sz w:val="24"/>
        </w:rPr>
      </w:pPr>
      <w:r>
        <w:rPr>
          <w:rFonts w:hint="eastAsia" w:ascii="宋体" w:hAnsi="宋体"/>
          <w:color w:val="auto"/>
          <w:sz w:val="24"/>
        </w:rPr>
        <w:t>（4）参与磋商报告的起草；</w:t>
      </w:r>
    </w:p>
    <w:p w14:paraId="7524B0CC">
      <w:pPr>
        <w:spacing w:line="360" w:lineRule="auto"/>
        <w:ind w:firstLine="480"/>
        <w:jc w:val="left"/>
        <w:rPr>
          <w:rFonts w:hint="eastAsia" w:ascii="宋体" w:hAnsi="宋体"/>
          <w:color w:val="auto"/>
          <w:sz w:val="24"/>
        </w:rPr>
      </w:pPr>
      <w:r>
        <w:rPr>
          <w:rFonts w:hint="eastAsia" w:ascii="宋体" w:hAnsi="宋体"/>
          <w:color w:val="auto"/>
          <w:sz w:val="24"/>
        </w:rPr>
        <w:t>（5）解答供应商及有关方面的质疑；</w:t>
      </w:r>
    </w:p>
    <w:p w14:paraId="38FB8470">
      <w:pPr>
        <w:spacing w:line="360" w:lineRule="auto"/>
        <w:ind w:firstLine="480"/>
        <w:jc w:val="left"/>
        <w:rPr>
          <w:rFonts w:hint="eastAsia" w:ascii="宋体" w:hAnsi="宋体"/>
          <w:color w:val="auto"/>
          <w:sz w:val="24"/>
        </w:rPr>
      </w:pPr>
      <w:r>
        <w:rPr>
          <w:rFonts w:hint="eastAsia" w:ascii="宋体" w:hAnsi="宋体"/>
          <w:color w:val="auto"/>
          <w:sz w:val="24"/>
        </w:rPr>
        <w:t>（6）配合监管部门进行投诉处理工作。</w:t>
      </w:r>
    </w:p>
    <w:p w14:paraId="48857FCC">
      <w:pPr>
        <w:spacing w:line="360" w:lineRule="auto"/>
        <w:ind w:firstLine="480"/>
        <w:jc w:val="left"/>
        <w:rPr>
          <w:rFonts w:hint="eastAsia" w:ascii="宋体" w:hAnsi="宋体"/>
          <w:color w:val="auto"/>
          <w:sz w:val="24"/>
        </w:rPr>
      </w:pPr>
      <w:r>
        <w:rPr>
          <w:rFonts w:hint="eastAsia" w:ascii="宋体" w:hAnsi="宋体"/>
          <w:color w:val="auto"/>
          <w:sz w:val="24"/>
        </w:rPr>
        <w:t>19.4磋商工作在有关部门的监督和严格保密的情况下依法进行，任何单位和个人不得非法干预、影响磋商工作和磋商结果。</w:t>
      </w:r>
    </w:p>
    <w:p w14:paraId="2606BFF8">
      <w:pPr>
        <w:spacing w:line="360" w:lineRule="auto"/>
        <w:ind w:firstLine="480"/>
        <w:jc w:val="left"/>
        <w:rPr>
          <w:rFonts w:hint="eastAsia" w:ascii="宋体" w:hAnsi="宋体"/>
          <w:color w:val="auto"/>
          <w:sz w:val="24"/>
        </w:rPr>
      </w:pPr>
      <w:r>
        <w:rPr>
          <w:rFonts w:hint="eastAsia" w:ascii="宋体" w:hAnsi="宋体"/>
          <w:color w:val="auto"/>
          <w:sz w:val="24"/>
        </w:rPr>
        <w:t>19.5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0F9CFF9">
      <w:pPr>
        <w:autoSpaceDE w:val="0"/>
        <w:autoSpaceDN w:val="0"/>
        <w:adjustRightInd w:val="0"/>
        <w:spacing w:line="360" w:lineRule="auto"/>
        <w:ind w:firstLine="480"/>
        <w:jc w:val="left"/>
        <w:rPr>
          <w:rFonts w:hint="eastAsia" w:ascii="宋体" w:hAnsi="宋体"/>
          <w:color w:val="auto"/>
          <w:sz w:val="24"/>
        </w:rPr>
      </w:pPr>
      <w:r>
        <w:rPr>
          <w:rFonts w:hint="eastAsia" w:ascii="宋体" w:hAnsi="宋体" w:cs="宋体"/>
          <w:color w:val="auto"/>
          <w:sz w:val="24"/>
        </w:rPr>
        <w:t>19.6 磋商小组发现磋商文件存在歧义、重大缺陷导致评标工作无法进行，或者磋商文件内容违反国家有关强制性规定的，应当停止评标工作，与采购人、采购代理机构沟通并作书面记录。采购人、采购代理机构确认后，应当修改磋商文件，重新组织采购活动。</w:t>
      </w:r>
    </w:p>
    <w:p w14:paraId="2A08B45E">
      <w:pPr>
        <w:widowControl/>
        <w:spacing w:line="360" w:lineRule="auto"/>
        <w:jc w:val="left"/>
        <w:outlineLvl w:val="2"/>
        <w:rPr>
          <w:rFonts w:hint="eastAsia" w:ascii="宋体" w:hAnsi="宋体"/>
          <w:b/>
          <w:bCs/>
          <w:color w:val="auto"/>
          <w:kern w:val="0"/>
          <w:sz w:val="24"/>
        </w:rPr>
      </w:pPr>
      <w:bookmarkStart w:id="155" w:name="_Toc28078172"/>
      <w:bookmarkStart w:id="156" w:name="_Toc4333"/>
      <w:r>
        <w:rPr>
          <w:rFonts w:hint="eastAsia" w:ascii="宋体" w:hAnsi="宋体"/>
          <w:b/>
          <w:bCs/>
          <w:color w:val="auto"/>
          <w:kern w:val="0"/>
          <w:sz w:val="24"/>
        </w:rPr>
        <w:t>20.磋商工作程序</w:t>
      </w:r>
      <w:bookmarkEnd w:id="155"/>
      <w:bookmarkEnd w:id="156"/>
    </w:p>
    <w:p w14:paraId="4E8887B6">
      <w:pPr>
        <w:spacing w:line="360" w:lineRule="auto"/>
        <w:ind w:firstLine="480"/>
        <w:jc w:val="left"/>
        <w:rPr>
          <w:rFonts w:hint="eastAsia" w:ascii="宋体" w:hAnsi="宋体"/>
          <w:color w:val="auto"/>
          <w:sz w:val="24"/>
        </w:rPr>
      </w:pPr>
      <w:r>
        <w:rPr>
          <w:rFonts w:hint="eastAsia" w:ascii="宋体" w:hAnsi="Courier New"/>
          <w:color w:val="auto"/>
          <w:sz w:val="24"/>
        </w:rPr>
        <w:t>20.1</w:t>
      </w:r>
      <w:r>
        <w:rPr>
          <w:rFonts w:hint="eastAsia" w:ascii="宋体" w:hAnsi="宋体"/>
          <w:color w:val="auto"/>
          <w:sz w:val="24"/>
        </w:rPr>
        <w:t>进入磋商阶段后，由磋商小组独立开展评审工作，负责审议所有通过资格条件供应商的磋商响应文件，并对磋商文件进行评审、评分。</w:t>
      </w:r>
    </w:p>
    <w:p w14:paraId="252B8D59">
      <w:pPr>
        <w:spacing w:line="360" w:lineRule="auto"/>
        <w:ind w:firstLine="241" w:firstLineChars="100"/>
        <w:jc w:val="left"/>
        <w:rPr>
          <w:rFonts w:hint="eastAsia" w:ascii="宋体" w:hAnsi="宋体"/>
          <w:b/>
          <w:bCs/>
          <w:color w:val="auto"/>
          <w:sz w:val="24"/>
        </w:rPr>
      </w:pPr>
      <w:r>
        <w:rPr>
          <w:rFonts w:hint="eastAsia" w:ascii="宋体" w:hAnsi="宋体"/>
          <w:b/>
          <w:bCs/>
          <w:color w:val="auto"/>
          <w:sz w:val="24"/>
        </w:rPr>
        <w:t>20.2符合性审查时，存在下列情况之一的，按无效投标处理：</w:t>
      </w:r>
    </w:p>
    <w:p w14:paraId="2CB33609">
      <w:pPr>
        <w:spacing w:line="360" w:lineRule="auto"/>
        <w:jc w:val="left"/>
        <w:rPr>
          <w:rFonts w:hint="eastAsia" w:ascii="宋体" w:hAnsi="宋体"/>
          <w:b w:val="0"/>
          <w:bCs w:val="0"/>
          <w:color w:val="auto"/>
          <w:sz w:val="24"/>
        </w:rPr>
      </w:pPr>
      <w:r>
        <w:rPr>
          <w:rFonts w:hint="eastAsia" w:ascii="宋体" w:hAnsi="宋体"/>
          <w:b w:val="0"/>
          <w:bCs w:val="0"/>
          <w:color w:val="auto"/>
          <w:sz w:val="24"/>
        </w:rPr>
        <w:t>（1）</w:t>
      </w:r>
      <w:r>
        <w:rPr>
          <w:rFonts w:hint="eastAsia" w:ascii="宋体" w:hAnsi="宋体"/>
          <w:b w:val="0"/>
          <w:bCs w:val="0"/>
          <w:color w:val="auto"/>
          <w:sz w:val="24"/>
          <w:lang w:val="en-US" w:eastAsia="zh-CN"/>
        </w:rPr>
        <w:t>交货</w:t>
      </w:r>
      <w:r>
        <w:rPr>
          <w:rFonts w:hint="eastAsia" w:ascii="宋体" w:hAnsi="宋体"/>
          <w:b w:val="0"/>
          <w:bCs w:val="0"/>
          <w:color w:val="auto"/>
          <w:sz w:val="24"/>
        </w:rPr>
        <w:t>期</w:t>
      </w:r>
      <w:r>
        <w:rPr>
          <w:rFonts w:hint="eastAsia" w:ascii="宋体" w:hAnsi="宋体"/>
          <w:b w:val="0"/>
          <w:bCs w:val="0"/>
          <w:color w:val="auto"/>
          <w:sz w:val="24"/>
          <w:lang w:eastAsia="zh-CN"/>
        </w:rPr>
        <w:t>、磋商</w:t>
      </w:r>
      <w:r>
        <w:rPr>
          <w:rFonts w:hint="eastAsia" w:ascii="宋体" w:hAnsi="宋体"/>
          <w:b w:val="0"/>
          <w:bCs w:val="0"/>
          <w:color w:val="auto"/>
          <w:sz w:val="24"/>
        </w:rPr>
        <w:t>有效期不能满足磋商文件要求的；</w:t>
      </w:r>
    </w:p>
    <w:p w14:paraId="1E359CFA">
      <w:pPr>
        <w:spacing w:line="360" w:lineRule="auto"/>
        <w:jc w:val="left"/>
        <w:rPr>
          <w:rFonts w:hint="eastAsia" w:ascii="宋体" w:hAnsi="宋体"/>
          <w:b w:val="0"/>
          <w:bCs w:val="0"/>
          <w:color w:val="auto"/>
          <w:sz w:val="24"/>
        </w:rPr>
      </w:pPr>
      <w:r>
        <w:rPr>
          <w:rFonts w:hint="eastAsia" w:ascii="宋体" w:hAnsi="宋体"/>
          <w:b w:val="0"/>
          <w:bCs w:val="0"/>
          <w:color w:val="auto"/>
          <w:sz w:val="24"/>
        </w:rPr>
        <w:t>（2）</w:t>
      </w:r>
      <w:r>
        <w:rPr>
          <w:rFonts w:hint="eastAsia" w:ascii="宋体" w:hAnsi="宋体" w:cs="宋体"/>
          <w:b w:val="0"/>
          <w:bCs w:val="0"/>
          <w:color w:val="auto"/>
          <w:kern w:val="2"/>
          <w:sz w:val="24"/>
          <w:szCs w:val="24"/>
          <w:lang w:val="en-US" w:eastAsia="zh-CN" w:bidi="ar-SA"/>
        </w:rPr>
        <w:t>未</w:t>
      </w:r>
      <w:r>
        <w:rPr>
          <w:rFonts w:hint="eastAsia" w:ascii="宋体" w:hAnsi="宋体" w:cs="宋体"/>
          <w:b w:val="0"/>
          <w:bCs w:val="0"/>
          <w:color w:val="auto"/>
          <w:kern w:val="2"/>
          <w:sz w:val="24"/>
          <w:szCs w:val="24"/>
          <w:lang w:val="zh-CN" w:eastAsia="zh-CN" w:bidi="ar-SA"/>
        </w:rPr>
        <w:t>按第1</w:t>
      </w:r>
      <w:r>
        <w:rPr>
          <w:rFonts w:hint="eastAsia" w:ascii="宋体" w:hAnsi="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zh-CN" w:eastAsia="zh-CN" w:bidi="ar-SA"/>
        </w:rPr>
        <w:t>.</w:t>
      </w:r>
      <w:r>
        <w:rPr>
          <w:rFonts w:hint="eastAsia" w:ascii="宋体" w:hAnsi="宋体" w:cs="宋体"/>
          <w:b w:val="0"/>
          <w:bCs w:val="0"/>
          <w:color w:val="auto"/>
          <w:kern w:val="2"/>
          <w:sz w:val="24"/>
          <w:szCs w:val="24"/>
          <w:lang w:val="en-US" w:eastAsia="zh-CN" w:bidi="ar-SA"/>
        </w:rPr>
        <w:t>2</w:t>
      </w:r>
      <w:r>
        <w:rPr>
          <w:rFonts w:hint="eastAsia" w:ascii="宋体" w:hAnsi="宋体" w:cs="宋体"/>
          <w:b w:val="0"/>
          <w:bCs w:val="0"/>
          <w:color w:val="auto"/>
          <w:kern w:val="2"/>
          <w:sz w:val="24"/>
          <w:szCs w:val="24"/>
          <w:lang w:val="zh-CN" w:eastAsia="zh-CN" w:bidi="ar-SA"/>
        </w:rPr>
        <w:t>款（1</w:t>
      </w:r>
      <w:r>
        <w:rPr>
          <w:rFonts w:hint="eastAsia" w:ascii="宋体" w:hAnsi="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zh-CN" w:eastAsia="zh-CN" w:bidi="ar-SA"/>
        </w:rPr>
        <w:t>）-（</w:t>
      </w:r>
      <w:r>
        <w:rPr>
          <w:rFonts w:hint="eastAsia" w:ascii="宋体" w:hAnsi="宋体" w:cs="宋体"/>
          <w:b w:val="0"/>
          <w:bCs w:val="0"/>
          <w:color w:val="auto"/>
          <w:kern w:val="2"/>
          <w:sz w:val="24"/>
          <w:szCs w:val="24"/>
          <w:lang w:val="en-US" w:eastAsia="zh-CN" w:bidi="ar-SA"/>
        </w:rPr>
        <w:t>20</w:t>
      </w:r>
      <w:r>
        <w:rPr>
          <w:rFonts w:hint="eastAsia" w:ascii="宋体" w:hAnsi="宋体" w:cs="宋体"/>
          <w:b w:val="0"/>
          <w:bCs w:val="0"/>
          <w:color w:val="auto"/>
          <w:kern w:val="2"/>
          <w:sz w:val="24"/>
          <w:szCs w:val="24"/>
          <w:lang w:val="zh-CN" w:eastAsia="zh-CN" w:bidi="ar-SA"/>
        </w:rPr>
        <w:t>）要求提供相关资料的；</w:t>
      </w:r>
    </w:p>
    <w:p w14:paraId="783C0D8E">
      <w:pPr>
        <w:spacing w:line="360" w:lineRule="auto"/>
        <w:jc w:val="left"/>
        <w:rPr>
          <w:rFonts w:hint="eastAsia" w:ascii="宋体" w:hAnsi="宋体"/>
          <w:b w:val="0"/>
          <w:bCs w:val="0"/>
          <w:color w:val="auto"/>
          <w:sz w:val="24"/>
        </w:rPr>
      </w:pPr>
      <w:r>
        <w:rPr>
          <w:rFonts w:hint="eastAsia"/>
          <w:sz w:val="24"/>
          <w:lang w:eastAsia="zh-CN"/>
        </w:rPr>
        <w:t>（</w:t>
      </w:r>
      <w:r>
        <w:rPr>
          <w:rFonts w:hint="eastAsia"/>
          <w:sz w:val="24"/>
          <w:lang w:val="en-US" w:eastAsia="zh-CN"/>
        </w:rPr>
        <w:t>3</w:t>
      </w:r>
      <w:r>
        <w:rPr>
          <w:rFonts w:hint="eastAsia"/>
          <w:sz w:val="24"/>
          <w:lang w:eastAsia="zh-CN"/>
        </w:rPr>
        <w:t>）</w:t>
      </w:r>
      <w:r>
        <w:rPr>
          <w:rFonts w:hint="eastAsia"/>
          <w:sz w:val="24"/>
        </w:rPr>
        <w:t>磋商</w:t>
      </w:r>
      <w:r>
        <w:rPr>
          <w:sz w:val="24"/>
        </w:rPr>
        <w:t>项目的技术规格、技术标准明显不符合采购项目要求的</w:t>
      </w:r>
      <w:r>
        <w:rPr>
          <w:rFonts w:hint="eastAsia" w:ascii="宋体" w:hAnsi="宋体"/>
          <w:b w:val="0"/>
          <w:bCs w:val="0"/>
          <w:color w:val="auto"/>
          <w:sz w:val="24"/>
        </w:rPr>
        <w:t>；</w:t>
      </w:r>
    </w:p>
    <w:p w14:paraId="32391792">
      <w:pPr>
        <w:spacing w:line="360" w:lineRule="auto"/>
        <w:jc w:val="left"/>
        <w:rPr>
          <w:rFonts w:hint="eastAsia" w:ascii="宋体" w:hAnsi="宋体"/>
          <w:b w:val="0"/>
          <w:bCs w:val="0"/>
          <w:color w:val="auto"/>
          <w:sz w:val="24"/>
        </w:rPr>
      </w:pPr>
      <w:r>
        <w:rPr>
          <w:rFonts w:hint="eastAsia" w:ascii="宋体" w:hAnsi="宋体"/>
          <w:b w:val="0"/>
          <w:bCs w:val="0"/>
          <w:color w:val="auto"/>
          <w:sz w:val="24"/>
        </w:rPr>
        <w:t>（</w:t>
      </w:r>
      <w:r>
        <w:rPr>
          <w:rFonts w:hint="eastAsia" w:ascii="宋体" w:hAnsi="宋体"/>
          <w:b w:val="0"/>
          <w:bCs w:val="0"/>
          <w:color w:val="auto"/>
          <w:sz w:val="24"/>
          <w:lang w:val="en-US" w:eastAsia="zh-CN"/>
        </w:rPr>
        <w:t>4</w:t>
      </w:r>
      <w:r>
        <w:rPr>
          <w:rFonts w:hint="eastAsia" w:ascii="宋体" w:hAnsi="宋体"/>
          <w:b w:val="0"/>
          <w:bCs w:val="0"/>
          <w:color w:val="auto"/>
          <w:sz w:val="24"/>
        </w:rPr>
        <w:t>）供应商网上最后磋商报价出现两个或两个以上报价方案的；</w:t>
      </w:r>
    </w:p>
    <w:p w14:paraId="535065B2">
      <w:pPr>
        <w:keepNext w:val="0"/>
        <w:keepLines w:val="0"/>
        <w:pageBreakBefore w:val="0"/>
        <w:kinsoku/>
        <w:wordWrap/>
        <w:overflowPunct/>
        <w:topLinePunct w:val="0"/>
        <w:bidi w:val="0"/>
        <w:snapToGrid/>
        <w:spacing w:beforeAutospacing="0" w:afterAutospacing="0" w:line="360"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磋商</w:t>
      </w:r>
      <w:r>
        <w:rPr>
          <w:rFonts w:hint="eastAsia" w:ascii="宋体" w:hAnsi="宋体" w:eastAsia="宋体" w:cs="宋体"/>
          <w:b w:val="0"/>
          <w:bCs w:val="0"/>
          <w:color w:val="auto"/>
          <w:sz w:val="24"/>
          <w:szCs w:val="24"/>
        </w:rPr>
        <w:t>报价超过磋商文件规定的采购预算额度</w:t>
      </w:r>
      <w:r>
        <w:rPr>
          <w:rFonts w:hint="eastAsia" w:ascii="宋体" w:hAnsi="宋体" w:eastAsia="宋体" w:cs="宋体"/>
          <w:b w:val="0"/>
          <w:bCs w:val="0"/>
          <w:color w:val="auto"/>
          <w:sz w:val="24"/>
          <w:szCs w:val="24"/>
          <w:lang w:val="en-US" w:eastAsia="zh-CN"/>
        </w:rPr>
        <w:t>或最高投标限价或存在20.3的情形的</w:t>
      </w:r>
      <w:r>
        <w:rPr>
          <w:rFonts w:hint="eastAsia" w:ascii="宋体" w:hAnsi="宋体" w:eastAsia="宋体" w:cs="宋体"/>
          <w:b w:val="0"/>
          <w:bCs w:val="0"/>
          <w:color w:val="auto"/>
          <w:sz w:val="24"/>
          <w:szCs w:val="24"/>
        </w:rPr>
        <w:t>；</w:t>
      </w:r>
    </w:p>
    <w:p w14:paraId="10693F02">
      <w:pPr>
        <w:spacing w:line="360" w:lineRule="auto"/>
        <w:jc w:val="left"/>
        <w:rPr>
          <w:rFonts w:hint="eastAsia" w:ascii="宋体" w:hAnsi="宋体"/>
          <w:b w:val="0"/>
          <w:bCs w:val="0"/>
          <w:color w:val="auto"/>
          <w:sz w:val="24"/>
        </w:rPr>
      </w:pPr>
      <w:r>
        <w:rPr>
          <w:rFonts w:hint="eastAsia" w:ascii="宋体" w:hAnsi="宋体"/>
          <w:b w:val="0"/>
          <w:bCs w:val="0"/>
          <w:color w:val="auto"/>
          <w:sz w:val="24"/>
        </w:rPr>
        <w:t>（</w:t>
      </w:r>
      <w:r>
        <w:rPr>
          <w:rFonts w:hint="eastAsia" w:ascii="宋体" w:hAnsi="宋体"/>
          <w:b w:val="0"/>
          <w:bCs w:val="0"/>
          <w:color w:val="auto"/>
          <w:sz w:val="24"/>
          <w:lang w:val="en-US" w:eastAsia="zh-CN"/>
        </w:rPr>
        <w:t>6</w:t>
      </w:r>
      <w:r>
        <w:rPr>
          <w:rFonts w:hint="eastAsia" w:ascii="宋体" w:hAnsi="宋体"/>
          <w:b w:val="0"/>
          <w:bCs w:val="0"/>
          <w:color w:val="auto"/>
          <w:sz w:val="24"/>
        </w:rPr>
        <w:t>）磋商响应文件含有采购人不能接受的附加条件的；</w:t>
      </w:r>
    </w:p>
    <w:p w14:paraId="78AB5944">
      <w:pPr>
        <w:spacing w:line="360" w:lineRule="auto"/>
        <w:jc w:val="left"/>
        <w:rPr>
          <w:rFonts w:hint="eastAsia" w:ascii="宋体" w:hAnsi="宋体"/>
          <w:b w:val="0"/>
          <w:bCs w:val="0"/>
          <w:color w:val="auto"/>
          <w:sz w:val="24"/>
        </w:rPr>
      </w:pPr>
      <w:r>
        <w:rPr>
          <w:rFonts w:hint="eastAsia" w:ascii="宋体" w:hAnsi="宋体"/>
          <w:b w:val="0"/>
          <w:bCs w:val="0"/>
          <w:color w:val="auto"/>
          <w:sz w:val="24"/>
        </w:rPr>
        <w:t>（</w:t>
      </w:r>
      <w:r>
        <w:rPr>
          <w:rFonts w:hint="eastAsia" w:ascii="宋体" w:hAnsi="宋体"/>
          <w:b w:val="0"/>
          <w:bCs w:val="0"/>
          <w:color w:val="auto"/>
          <w:sz w:val="24"/>
          <w:lang w:val="en-US" w:eastAsia="zh-CN"/>
        </w:rPr>
        <w:t>7</w:t>
      </w:r>
      <w:r>
        <w:rPr>
          <w:rFonts w:hint="eastAsia" w:ascii="宋体" w:hAnsi="宋体"/>
          <w:b w:val="0"/>
          <w:bCs w:val="0"/>
          <w:color w:val="auto"/>
          <w:sz w:val="24"/>
        </w:rPr>
        <w:t>）磋商小组认为应按无效投标处理的其他情况；</w:t>
      </w:r>
    </w:p>
    <w:p w14:paraId="5A555D97">
      <w:pPr>
        <w:spacing w:line="360" w:lineRule="auto"/>
        <w:jc w:val="left"/>
        <w:rPr>
          <w:rFonts w:hint="eastAsia" w:ascii="宋体" w:hAnsi="宋体"/>
          <w:b w:val="0"/>
          <w:bCs w:val="0"/>
          <w:color w:val="auto"/>
          <w:sz w:val="24"/>
        </w:rPr>
      </w:pPr>
      <w:r>
        <w:rPr>
          <w:rFonts w:hint="eastAsia" w:ascii="宋体" w:hAnsi="宋体"/>
          <w:b w:val="0"/>
          <w:bCs w:val="0"/>
          <w:color w:val="auto"/>
          <w:sz w:val="24"/>
        </w:rPr>
        <w:t>（</w:t>
      </w:r>
      <w:r>
        <w:rPr>
          <w:rFonts w:hint="eastAsia" w:ascii="宋体" w:hAnsi="宋体"/>
          <w:b w:val="0"/>
          <w:bCs w:val="0"/>
          <w:color w:val="auto"/>
          <w:sz w:val="24"/>
          <w:lang w:val="en-US" w:eastAsia="zh-CN"/>
        </w:rPr>
        <w:t>8</w:t>
      </w:r>
      <w:r>
        <w:rPr>
          <w:rFonts w:hint="eastAsia" w:ascii="宋体" w:hAnsi="宋体"/>
          <w:b w:val="0"/>
          <w:bCs w:val="0"/>
          <w:color w:val="auto"/>
          <w:sz w:val="24"/>
        </w:rPr>
        <w:t>）法律、法规规定的其他情形。</w:t>
      </w:r>
    </w:p>
    <w:p w14:paraId="601B47E2">
      <w:pPr>
        <w:spacing w:line="360" w:lineRule="auto"/>
        <w:ind w:firstLine="480"/>
        <w:jc w:val="left"/>
        <w:rPr>
          <w:rFonts w:hint="eastAsia" w:ascii="宋体" w:hAnsi="宋体"/>
          <w:color w:val="auto"/>
          <w:sz w:val="24"/>
        </w:rPr>
      </w:pPr>
      <w:r>
        <w:rPr>
          <w:rFonts w:hint="eastAsia" w:ascii="宋体" w:hAnsi="宋体"/>
          <w:color w:val="auto"/>
          <w:sz w:val="24"/>
        </w:rPr>
        <w:t>20.3 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投标处理。</w:t>
      </w:r>
    </w:p>
    <w:p w14:paraId="01B7D717">
      <w:pPr>
        <w:spacing w:line="360" w:lineRule="auto"/>
        <w:ind w:firstLine="480"/>
        <w:jc w:val="left"/>
        <w:rPr>
          <w:rFonts w:hint="eastAsia" w:ascii="宋体" w:hAnsi="宋体"/>
          <w:color w:val="auto"/>
          <w:sz w:val="24"/>
        </w:rPr>
      </w:pPr>
      <w:r>
        <w:rPr>
          <w:rFonts w:hint="eastAsia" w:ascii="宋体" w:hAnsi="宋体"/>
          <w:color w:val="auto"/>
          <w:sz w:val="24"/>
        </w:rPr>
        <w:t xml:space="preserve">20.4 </w:t>
      </w:r>
      <w:r>
        <w:rPr>
          <w:rFonts w:hint="eastAsia" w:ascii="宋体" w:hAnsi="宋体" w:cs="宋体"/>
          <w:color w:val="auto"/>
          <w:sz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通知所有参加磋商的供应商，并在</w:t>
      </w:r>
      <w:r>
        <w:rPr>
          <w:rFonts w:hint="eastAsia" w:ascii="宋体" w:hAnsi="宋体" w:cs="宋体"/>
          <w:color w:val="auto"/>
          <w:sz w:val="24"/>
          <w:lang w:eastAsia="zh-CN"/>
        </w:rPr>
        <w:t>政采云平台（https://www.zcygov.cn/）</w:t>
      </w:r>
      <w:r>
        <w:rPr>
          <w:rFonts w:hint="eastAsia" w:ascii="宋体" w:hAnsi="宋体" w:cs="宋体"/>
          <w:color w:val="auto"/>
          <w:sz w:val="24"/>
        </w:rPr>
        <w:t>以“评审问题澄清函”形式发布。供应商应当按照磋商文件的变动情况和磋商小组的要求在</w:t>
      </w:r>
      <w:r>
        <w:rPr>
          <w:rFonts w:hint="eastAsia" w:ascii="宋体" w:hAnsi="宋体" w:cs="宋体"/>
          <w:color w:val="auto"/>
          <w:sz w:val="24"/>
          <w:lang w:eastAsia="zh-CN"/>
        </w:rPr>
        <w:t>政采云平台（https://www.zcygov.cn/）</w:t>
      </w:r>
      <w:r>
        <w:rPr>
          <w:rFonts w:hint="eastAsia" w:ascii="宋体" w:hAnsi="宋体" w:cs="宋体"/>
          <w:color w:val="auto"/>
          <w:sz w:val="24"/>
        </w:rPr>
        <w:t xml:space="preserve">上按规定时间作出响应。                                                                                                                                                                                                                                                                                                                                                                                                                                                                                                                                                                                                                                                                                                                                                                                                                                                                                                                                                                                                                                                                                                                                                                                                                                                                                                                                                                                                                                                                                                                                                                                                                                                                                                                                                                                                                                                                                                                                                                                                                                                                                                                                                                                                                                                                                                                                                                                                                                                                                                                                                                                                                                                                                                                                                                                                                                                                                                                                                                                                                                                                                                                                                                                                                                                                                                                                                                                                                                                                                                                                                                                                                                                                                                                                                                                                                                                                                                                                                                                                                                                                                                                                                                                                     </w:t>
      </w:r>
      <w:r>
        <w:rPr>
          <w:rFonts w:hint="eastAsia" w:ascii="宋体" w:hAnsi="宋体" w:cs="宋体"/>
          <w:color w:val="auto"/>
          <w:sz w:val="24"/>
        </w:rPr>
        <w:t xml:space="preserve">                                                                                                                                                                                                                                                                                                                                                                                                                                                                                                                                                                                                                                                                                                                                                                                                                                                                                                                                                                                                                                                                                                                                                                                                                                                                                                                                                                                                                                                                                                                                                                                                                                                                                                                                                                                                                                                                                                                                                                                                                                                                                                                                                                                                                                                                                                                                                                                                                                                                        </w:t>
      </w:r>
    </w:p>
    <w:p w14:paraId="505A4616">
      <w:pPr>
        <w:widowControl/>
        <w:spacing w:line="360" w:lineRule="auto"/>
        <w:jc w:val="left"/>
        <w:outlineLvl w:val="2"/>
        <w:rPr>
          <w:rFonts w:hint="eastAsia" w:ascii="宋体" w:hAnsi="宋体"/>
          <w:b/>
          <w:bCs/>
          <w:color w:val="auto"/>
          <w:kern w:val="0"/>
          <w:sz w:val="24"/>
        </w:rPr>
      </w:pPr>
      <w:bookmarkStart w:id="157" w:name="_Toc28078173"/>
      <w:bookmarkStart w:id="158" w:name="_Toc496004012"/>
      <w:bookmarkStart w:id="159" w:name="_Toc26628"/>
      <w:r>
        <w:rPr>
          <w:rFonts w:hint="eastAsia" w:ascii="宋体" w:hAnsi="宋体"/>
          <w:b/>
          <w:bCs/>
          <w:color w:val="auto"/>
          <w:kern w:val="0"/>
          <w:sz w:val="24"/>
        </w:rPr>
        <w:t>21.答疑的方式和情形</w:t>
      </w:r>
      <w:bookmarkEnd w:id="157"/>
      <w:bookmarkEnd w:id="158"/>
      <w:bookmarkEnd w:id="159"/>
    </w:p>
    <w:p w14:paraId="5E4F29B3">
      <w:pPr>
        <w:spacing w:line="360" w:lineRule="auto"/>
        <w:ind w:firstLine="480"/>
        <w:jc w:val="left"/>
        <w:rPr>
          <w:rFonts w:hint="eastAsia" w:ascii="宋体" w:hAnsi="宋体"/>
          <w:color w:val="auto"/>
          <w:sz w:val="24"/>
        </w:rPr>
      </w:pPr>
      <w:r>
        <w:rPr>
          <w:rFonts w:hint="eastAsia" w:ascii="宋体" w:hAnsi="宋体"/>
          <w:color w:val="auto"/>
          <w:sz w:val="24"/>
        </w:rPr>
        <w:t>21.1答疑方式：详见第一部分投标人须知前附表“答疑方式”。</w:t>
      </w:r>
    </w:p>
    <w:p w14:paraId="71A77BF0">
      <w:pPr>
        <w:spacing w:line="360" w:lineRule="auto"/>
        <w:ind w:firstLine="480"/>
        <w:jc w:val="left"/>
        <w:rPr>
          <w:rFonts w:hint="eastAsia" w:ascii="宋体" w:hAnsi="宋体"/>
          <w:color w:val="auto"/>
          <w:sz w:val="24"/>
        </w:rPr>
      </w:pPr>
      <w:r>
        <w:rPr>
          <w:rFonts w:hint="eastAsia" w:ascii="宋体" w:hAnsi="宋体"/>
          <w:color w:val="auto"/>
          <w:sz w:val="24"/>
        </w:rPr>
        <w:t>21.2 磋商小组在对磋商响应文件的有效性、完整性和响应程度进行审查时，可以要求供应商对响应文件中含义不明确、同类问题表述不一致</w:t>
      </w:r>
      <w:r>
        <w:rPr>
          <w:color w:val="auto"/>
          <w:sz w:val="24"/>
        </w:rPr>
        <w:t>、大写金额与小写金额不一致、总价金额与单价汇总金额不一致</w:t>
      </w:r>
      <w:r>
        <w:rPr>
          <w:rFonts w:hint="eastAsia" w:ascii="宋体" w:hAnsi="宋体"/>
          <w:color w:val="auto"/>
          <w:sz w:val="24"/>
        </w:rPr>
        <w:t>或者有明显文字和计算错误的内容等作出必要的澄清、说明或者更正。供应商的澄清、说明或者更正不得超出磋商响应文件的范围或者改变响应文件的实质性内容，并作为磋商响应文件的组成部分。</w:t>
      </w:r>
    </w:p>
    <w:p w14:paraId="62779721">
      <w:pPr>
        <w:spacing w:line="360" w:lineRule="auto"/>
        <w:ind w:firstLine="480"/>
        <w:jc w:val="left"/>
        <w:rPr>
          <w:rFonts w:hint="eastAsia" w:ascii="宋体" w:hAnsi="宋体"/>
          <w:color w:val="auto"/>
          <w:sz w:val="24"/>
        </w:rPr>
      </w:pPr>
      <w:r>
        <w:rPr>
          <w:rFonts w:hint="eastAsia" w:ascii="宋体" w:hAnsi="宋体"/>
          <w:color w:val="auto"/>
          <w:sz w:val="24"/>
        </w:rPr>
        <w:t>21.3 答疑期间，供应商存在以下情况的，澄清、说明或者更正的内容将不予接受，磋商小组将按照磋商文件的要求对现有的资料做出评审意见：</w:t>
      </w:r>
    </w:p>
    <w:p w14:paraId="6C19670B">
      <w:pPr>
        <w:spacing w:line="360" w:lineRule="auto"/>
        <w:ind w:firstLine="480"/>
        <w:jc w:val="left"/>
        <w:rPr>
          <w:rFonts w:hint="eastAsia" w:ascii="宋体" w:hAnsi="宋体"/>
          <w:color w:val="auto"/>
          <w:sz w:val="24"/>
        </w:rPr>
      </w:pPr>
      <w:r>
        <w:rPr>
          <w:rFonts w:hint="eastAsia" w:ascii="宋体" w:hAnsi="宋体"/>
          <w:color w:val="auto"/>
          <w:sz w:val="24"/>
        </w:rPr>
        <w:t>（1）拒绝或在规定的时间内未做出澄清、说明或者更正；</w:t>
      </w:r>
    </w:p>
    <w:p w14:paraId="67BD2F67">
      <w:pPr>
        <w:spacing w:line="360" w:lineRule="auto"/>
        <w:ind w:firstLine="480"/>
        <w:jc w:val="left"/>
        <w:rPr>
          <w:rFonts w:hint="eastAsia" w:ascii="宋体" w:hAnsi="宋体"/>
          <w:color w:val="auto"/>
          <w:sz w:val="24"/>
        </w:rPr>
      </w:pPr>
      <w:r>
        <w:rPr>
          <w:rFonts w:hint="eastAsia" w:ascii="宋体" w:hAnsi="宋体"/>
          <w:color w:val="auto"/>
          <w:sz w:val="24"/>
        </w:rPr>
        <w:t>（2）</w:t>
      </w:r>
      <w:r>
        <w:rPr>
          <w:rFonts w:hint="eastAsia" w:ascii="Arial" w:hAnsi="Arial" w:cs="Arial"/>
          <w:color w:val="auto"/>
          <w:kern w:val="0"/>
          <w:sz w:val="24"/>
        </w:rPr>
        <w:t>供应商</w:t>
      </w:r>
      <w:r>
        <w:rPr>
          <w:rFonts w:ascii="Arial" w:hAnsi="Arial" w:cs="Arial"/>
          <w:color w:val="auto"/>
          <w:kern w:val="0"/>
          <w:sz w:val="24"/>
        </w:rPr>
        <w:t>的澄清、说明或者</w:t>
      </w:r>
      <w:r>
        <w:rPr>
          <w:rFonts w:hint="eastAsia" w:ascii="Arial" w:hAnsi="Arial" w:cs="Arial"/>
          <w:color w:val="auto"/>
          <w:kern w:val="0"/>
          <w:sz w:val="24"/>
        </w:rPr>
        <w:t>更正</w:t>
      </w:r>
      <w:r>
        <w:rPr>
          <w:rFonts w:hint="eastAsia" w:ascii="宋体" w:hAnsi="宋体"/>
          <w:color w:val="auto"/>
          <w:sz w:val="24"/>
        </w:rPr>
        <w:t>超出磋商响应文件的范围或者改变磋商响应文件的实质性内容；</w:t>
      </w:r>
    </w:p>
    <w:p w14:paraId="399F9945">
      <w:pPr>
        <w:spacing w:line="360" w:lineRule="auto"/>
        <w:ind w:firstLine="480"/>
        <w:jc w:val="left"/>
        <w:rPr>
          <w:rFonts w:hint="eastAsia" w:ascii="宋体" w:hAnsi="宋体"/>
          <w:color w:val="auto"/>
          <w:sz w:val="24"/>
        </w:rPr>
      </w:pPr>
      <w:r>
        <w:rPr>
          <w:rFonts w:hint="eastAsia" w:ascii="宋体" w:hAnsi="宋体"/>
          <w:color w:val="auto"/>
          <w:sz w:val="24"/>
        </w:rPr>
        <w:t>（3）澄清、说明或者更正的内容仍不能说明问题的；</w:t>
      </w:r>
    </w:p>
    <w:p w14:paraId="3CB5A813">
      <w:pPr>
        <w:spacing w:line="360" w:lineRule="auto"/>
        <w:ind w:firstLine="480"/>
        <w:jc w:val="left"/>
        <w:rPr>
          <w:rFonts w:hint="eastAsia" w:ascii="宋体" w:hAnsi="宋体"/>
          <w:color w:val="auto"/>
          <w:sz w:val="24"/>
        </w:rPr>
      </w:pPr>
      <w:r>
        <w:rPr>
          <w:rFonts w:hint="eastAsia" w:ascii="宋体" w:hAnsi="宋体"/>
          <w:color w:val="auto"/>
          <w:sz w:val="24"/>
        </w:rPr>
        <w:t>（4）供应商</w:t>
      </w:r>
      <w:r>
        <w:rPr>
          <w:rFonts w:ascii="宋体" w:hAnsi="宋体"/>
          <w:color w:val="auto"/>
          <w:sz w:val="24"/>
        </w:rPr>
        <w:t>主动提出的</w:t>
      </w:r>
      <w:r>
        <w:rPr>
          <w:rFonts w:hint="eastAsia" w:ascii="宋体" w:hAnsi="宋体"/>
          <w:color w:val="auto"/>
          <w:sz w:val="24"/>
        </w:rPr>
        <w:t>澄清、说明或者更正的内容；</w:t>
      </w:r>
    </w:p>
    <w:p w14:paraId="254F427A">
      <w:pPr>
        <w:tabs>
          <w:tab w:val="left" w:pos="8787"/>
        </w:tabs>
        <w:spacing w:line="360" w:lineRule="auto"/>
        <w:ind w:firstLine="480"/>
        <w:jc w:val="left"/>
        <w:rPr>
          <w:rFonts w:hint="eastAsia" w:ascii="宋体" w:hAnsi="宋体"/>
          <w:color w:val="auto"/>
          <w:sz w:val="24"/>
        </w:rPr>
      </w:pPr>
      <w:r>
        <w:rPr>
          <w:rFonts w:hint="eastAsia" w:ascii="宋体" w:hAnsi="宋体"/>
          <w:color w:val="auto"/>
          <w:sz w:val="24"/>
        </w:rPr>
        <w:t>（5）磋商小组认为应不予接受的其他情况</w:t>
      </w:r>
    </w:p>
    <w:bookmarkEnd w:id="146"/>
    <w:bookmarkEnd w:id="147"/>
    <w:bookmarkEnd w:id="148"/>
    <w:bookmarkEnd w:id="149"/>
    <w:bookmarkEnd w:id="150"/>
    <w:p w14:paraId="69961644">
      <w:pPr>
        <w:keepNext w:val="0"/>
        <w:keepLines w:val="0"/>
        <w:pageBreakBefore w:val="0"/>
        <w:kinsoku/>
        <w:wordWrap/>
        <w:overflowPunct/>
        <w:topLinePunct w:val="0"/>
        <w:bidi w:val="0"/>
        <w:snapToGrid/>
        <w:spacing w:beforeAutospacing="0" w:afterAutospacing="0" w:line="360" w:lineRule="auto"/>
        <w:ind w:firstLine="480"/>
        <w:textAlignment w:val="auto"/>
        <w:rPr>
          <w:rFonts w:hint="default" w:ascii="宋体" w:hAnsi="宋体"/>
          <w:color w:val="auto"/>
          <w:sz w:val="24"/>
          <w:szCs w:val="24"/>
          <w:lang w:val="en-US"/>
        </w:rPr>
      </w:pPr>
      <w:bookmarkStart w:id="160" w:name="_Toc7083446"/>
      <w:r>
        <w:rPr>
          <w:rFonts w:hint="eastAsia" w:ascii="宋体" w:hAnsi="宋体"/>
          <w:color w:val="auto"/>
          <w:sz w:val="24"/>
          <w:szCs w:val="24"/>
          <w:lang w:val="en-US" w:eastAsia="zh-CN"/>
        </w:rPr>
        <w:t>21</w:t>
      </w:r>
      <w:r>
        <w:rPr>
          <w:rFonts w:hint="eastAsia" w:ascii="宋体" w:hAnsi="宋体"/>
          <w:color w:val="auto"/>
          <w:sz w:val="24"/>
          <w:szCs w:val="24"/>
        </w:rPr>
        <w:t>.4答疑结束后，磋商小组确定满足相关规定数量的合格供应商，在</w:t>
      </w:r>
      <w:r>
        <w:rPr>
          <w:rFonts w:hint="eastAsia" w:ascii="宋体" w:hAnsi="宋体"/>
          <w:color w:val="auto"/>
          <w:sz w:val="24"/>
          <w:szCs w:val="24"/>
          <w:lang w:eastAsia="zh-CN"/>
        </w:rPr>
        <w:t>政采云平台（https://www.zcygov.cn/）</w:t>
      </w:r>
      <w:r>
        <w:rPr>
          <w:rFonts w:hint="eastAsia" w:ascii="宋体" w:hAnsi="宋体"/>
          <w:color w:val="auto"/>
          <w:sz w:val="24"/>
          <w:szCs w:val="24"/>
        </w:rPr>
        <w:t>上按规定的时间</w:t>
      </w:r>
      <w:r>
        <w:rPr>
          <w:rFonts w:hint="eastAsia" w:ascii="宋体" w:hAnsi="宋体"/>
          <w:color w:val="auto"/>
          <w:sz w:val="24"/>
          <w:szCs w:val="24"/>
          <w:lang w:eastAsia="zh-CN"/>
        </w:rPr>
        <w:t>（</w:t>
      </w:r>
      <w:r>
        <w:rPr>
          <w:rFonts w:hint="eastAsia" w:ascii="宋体" w:hAnsi="宋体"/>
          <w:color w:val="auto"/>
          <w:sz w:val="24"/>
          <w:szCs w:val="24"/>
          <w:lang w:val="en-US" w:eastAsia="zh-CN"/>
        </w:rPr>
        <w:t>30分钟</w:t>
      </w:r>
      <w:r>
        <w:rPr>
          <w:rFonts w:hint="eastAsia" w:ascii="宋体" w:hAnsi="宋体"/>
          <w:color w:val="auto"/>
          <w:sz w:val="24"/>
          <w:szCs w:val="24"/>
          <w:lang w:eastAsia="zh-CN"/>
        </w:rPr>
        <w:t>）</w:t>
      </w:r>
      <w:r>
        <w:rPr>
          <w:rFonts w:hint="eastAsia" w:ascii="宋体" w:hAnsi="宋体"/>
          <w:color w:val="auto"/>
          <w:sz w:val="24"/>
          <w:szCs w:val="24"/>
        </w:rPr>
        <w:t>填写最后报价。如果在规定的时间内</w:t>
      </w:r>
      <w:r>
        <w:rPr>
          <w:rFonts w:hint="eastAsia" w:ascii="宋体" w:hAnsi="宋体"/>
          <w:color w:val="auto"/>
          <w:sz w:val="24"/>
          <w:szCs w:val="24"/>
          <w:lang w:eastAsia="zh-CN"/>
        </w:rPr>
        <w:t>未提交的视为放弃最终报价</w:t>
      </w:r>
      <w:bookmarkEnd w:id="160"/>
      <w:r>
        <w:rPr>
          <w:rFonts w:hint="eastAsia" w:ascii="宋体" w:hAnsi="宋体"/>
          <w:color w:val="auto"/>
          <w:sz w:val="24"/>
          <w:szCs w:val="24"/>
          <w:lang w:val="en-US" w:eastAsia="zh-CN"/>
        </w:rPr>
        <w:t>,系统将不再对其进行最终评审。</w:t>
      </w:r>
    </w:p>
    <w:p w14:paraId="4DD5C939">
      <w:pPr>
        <w:widowControl/>
        <w:spacing w:line="360" w:lineRule="auto"/>
        <w:ind w:firstLine="480" w:firstLineChars="200"/>
        <w:jc w:val="left"/>
        <w:outlineLvl w:val="2"/>
        <w:rPr>
          <w:rFonts w:hint="eastAsia" w:ascii="宋体" w:hAnsi="宋体"/>
          <w:color w:val="auto"/>
          <w:kern w:val="2"/>
          <w:sz w:val="24"/>
          <w:szCs w:val="24"/>
          <w:highlight w:val="yellow"/>
          <w:lang w:val="en-US" w:eastAsia="zh-CN" w:bidi="ar-SA"/>
        </w:rPr>
      </w:pPr>
      <w:bookmarkStart w:id="161" w:name="_Toc13959"/>
      <w:r>
        <w:rPr>
          <w:rFonts w:hint="eastAsia" w:ascii="宋体" w:hAnsi="宋体"/>
          <w:color w:val="auto"/>
          <w:kern w:val="2"/>
          <w:sz w:val="24"/>
          <w:szCs w:val="24"/>
          <w:highlight w:val="none"/>
          <w:lang w:val="en-US" w:eastAsia="zh-CN" w:bidi="ar-SA"/>
        </w:rPr>
        <w:t>21.5最终报价结束后，由代理机构在政采云平台（https://www.zcygov.cn/）上开启报价签字，各供应商签字完毕后方可退出政采云平台（https://www.zcygov.cn/）。</w:t>
      </w:r>
      <w:bookmarkEnd w:id="161"/>
    </w:p>
    <w:p w14:paraId="7A5D52FC">
      <w:pPr>
        <w:widowControl/>
        <w:spacing w:line="360" w:lineRule="auto"/>
        <w:jc w:val="left"/>
        <w:outlineLvl w:val="2"/>
      </w:pPr>
      <w:bookmarkStart w:id="162" w:name="_Toc31256"/>
      <w:r>
        <w:rPr>
          <w:rFonts w:hint="eastAsia" w:ascii="宋体" w:hAnsi="宋体"/>
          <w:b/>
          <w:bCs/>
          <w:color w:val="auto"/>
          <w:kern w:val="0"/>
          <w:sz w:val="24"/>
        </w:rPr>
        <w:t>22.评审办法</w:t>
      </w:r>
      <w:bookmarkEnd w:id="162"/>
    </w:p>
    <w:p w14:paraId="1AA3CDA8">
      <w:pPr>
        <w:spacing w:line="360" w:lineRule="auto"/>
        <w:ind w:firstLine="480"/>
        <w:rPr>
          <w:rFonts w:ascii="宋体" w:hAnsi="宋体" w:cs="宋体"/>
          <w:color w:val="000000"/>
          <w:sz w:val="24"/>
          <w:szCs w:val="24"/>
          <w:lang w:val="zh-CN"/>
        </w:rPr>
      </w:pPr>
      <w:r>
        <w:rPr>
          <w:rFonts w:hint="eastAsia" w:ascii="宋体" w:hAnsi="宋体"/>
          <w:color w:val="auto"/>
          <w:sz w:val="24"/>
        </w:rPr>
        <w:t>22.1</w:t>
      </w:r>
      <w:r>
        <w:rPr>
          <w:rFonts w:hint="eastAsia" w:ascii="宋体" w:hAnsi="宋体"/>
          <w:color w:val="000000"/>
          <w:kern w:val="2"/>
          <w:sz w:val="24"/>
          <w:szCs w:val="24"/>
          <w:lang w:val="zh-CN"/>
        </w:rPr>
        <w:t>本次综合评分的主要因素是：投标报价、</w:t>
      </w:r>
      <w:r>
        <w:rPr>
          <w:rFonts w:hint="eastAsia" w:ascii="宋体" w:hAnsi="宋体"/>
          <w:color w:val="000000"/>
          <w:kern w:val="2"/>
          <w:sz w:val="24"/>
          <w:szCs w:val="24"/>
          <w:lang w:val="en-US" w:eastAsia="zh-CN"/>
        </w:rPr>
        <w:t>技术水平</w:t>
      </w:r>
      <w:r>
        <w:rPr>
          <w:rFonts w:hint="eastAsia" w:ascii="宋体" w:hAnsi="宋体"/>
          <w:color w:val="000000"/>
          <w:kern w:val="2"/>
          <w:sz w:val="24"/>
          <w:szCs w:val="24"/>
          <w:lang w:val="zh-CN"/>
        </w:rPr>
        <w:t>、</w:t>
      </w:r>
      <w:r>
        <w:rPr>
          <w:rFonts w:hint="eastAsia" w:ascii="宋体" w:hAnsi="宋体"/>
          <w:color w:val="000000"/>
          <w:kern w:val="2"/>
          <w:sz w:val="24"/>
          <w:szCs w:val="24"/>
          <w:lang w:val="en-US" w:eastAsia="zh-CN"/>
        </w:rPr>
        <w:t>履约能力</w:t>
      </w:r>
      <w:r>
        <w:rPr>
          <w:rFonts w:hint="eastAsia" w:ascii="宋体" w:hAnsi="宋体"/>
          <w:color w:val="000000"/>
          <w:kern w:val="2"/>
          <w:sz w:val="24"/>
          <w:szCs w:val="24"/>
          <w:lang w:val="zh-CN"/>
        </w:rPr>
        <w:t>、</w:t>
      </w:r>
      <w:r>
        <w:rPr>
          <w:rFonts w:hint="eastAsia" w:ascii="宋体" w:hAnsi="宋体"/>
          <w:color w:val="000000"/>
          <w:kern w:val="2"/>
          <w:sz w:val="24"/>
          <w:szCs w:val="24"/>
          <w:lang w:val="en-US" w:eastAsia="zh-CN"/>
        </w:rPr>
        <w:t>售后服务</w:t>
      </w:r>
      <w:r>
        <w:rPr>
          <w:rFonts w:hint="eastAsia" w:ascii="宋体" w:hAnsi="宋体"/>
          <w:color w:val="000000"/>
          <w:kern w:val="2"/>
          <w:sz w:val="24"/>
          <w:szCs w:val="24"/>
          <w:lang w:val="zh-CN"/>
        </w:rPr>
        <w:t>。</w:t>
      </w:r>
    </w:p>
    <w:p w14:paraId="169065D4">
      <w:pPr>
        <w:spacing w:line="360" w:lineRule="auto"/>
        <w:ind w:firstLine="480"/>
        <w:rPr>
          <w:rFonts w:ascii="宋体" w:hAnsi="宋体" w:cs="宋体"/>
          <w:color w:val="000000"/>
          <w:sz w:val="24"/>
          <w:szCs w:val="24"/>
          <w:lang w:val="zh-CN"/>
        </w:rPr>
      </w:pPr>
      <w:r>
        <w:rPr>
          <w:rFonts w:hint="eastAsia" w:ascii="宋体" w:hAnsi="宋体" w:cs="宋体"/>
          <w:color w:val="000000"/>
          <w:sz w:val="24"/>
          <w:szCs w:val="24"/>
          <w:lang w:val="zh-CN"/>
        </w:rPr>
        <w:t>根据《政府采购促进中小企业发展暂行办法》，属小型、微型企业制造的货物（产品），投标人须提供该制造（生产）企业出具的《小型、微型企业声明函》，并由投标人加盖公章，其划型标准严格按照国家工信部、国家统计局、国家发改委、财政部出台的《中小企业划型标准规定》（工信部联企业[2011]300号）执行。投标人提供的《小型、微型企业声明函》资料必须真实，否则，按照有关规定予以处理。</w:t>
      </w:r>
    </w:p>
    <w:p w14:paraId="7F283A4B">
      <w:pPr>
        <w:spacing w:line="360" w:lineRule="auto"/>
        <w:ind w:firstLine="480"/>
        <w:rPr>
          <w:rFonts w:hint="eastAsia" w:ascii="宋体" w:hAnsi="宋体" w:cs="宋体"/>
          <w:color w:val="auto"/>
          <w:sz w:val="24"/>
          <w:szCs w:val="24"/>
        </w:rPr>
      </w:pPr>
      <w:r>
        <w:rPr>
          <w:rFonts w:hint="eastAsia" w:ascii="宋体" w:hAnsi="宋体" w:cs="宋体"/>
          <w:color w:val="000000"/>
          <w:sz w:val="24"/>
          <w:szCs w:val="24"/>
        </w:rPr>
        <w:t>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满分为100分。</w:t>
      </w:r>
    </w:p>
    <w:p w14:paraId="476BD44E">
      <w:pPr>
        <w:pStyle w:val="17"/>
        <w:numPr>
          <w:ilvl w:val="0"/>
          <w:numId w:val="0"/>
        </w:numPr>
        <w:spacing w:line="360" w:lineRule="auto"/>
        <w:ind w:left="141" w:leftChars="0" w:firstLine="240" w:firstLineChars="100"/>
        <w:jc w:val="left"/>
        <w:rPr>
          <w:rFonts w:hAnsi="宋体"/>
          <w:b/>
          <w:sz w:val="24"/>
        </w:rPr>
      </w:pPr>
      <w:r>
        <w:rPr>
          <w:rFonts w:hint="eastAsia" w:hAnsi="宋体" w:cs="Arial"/>
          <w:sz w:val="24"/>
          <w:szCs w:val="24"/>
          <w:lang w:val="en-US" w:eastAsia="zh-CN"/>
        </w:rPr>
        <w:t>22.2</w:t>
      </w:r>
      <w:r>
        <w:rPr>
          <w:rFonts w:hAnsi="宋体" w:cs="Arial"/>
          <w:sz w:val="24"/>
          <w:szCs w:val="24"/>
        </w:rPr>
        <w:t>评审标准和分值分配</w:t>
      </w:r>
      <w:r>
        <w:rPr>
          <w:rFonts w:hint="eastAsia" w:hAnsi="宋体" w:cs="Arial"/>
          <w:sz w:val="24"/>
          <w:szCs w:val="24"/>
        </w:rPr>
        <w:t>：</w:t>
      </w:r>
      <w:bookmarkStart w:id="163" w:name="_Hlk497723873"/>
    </w:p>
    <w:tbl>
      <w:tblPr>
        <w:tblStyle w:val="34"/>
        <w:tblpPr w:leftFromText="180" w:rightFromText="180" w:vertAnchor="text" w:horzAnchor="page" w:tblpXSpec="center" w:tblpY="783"/>
        <w:tblOverlap w:val="never"/>
        <w:tblW w:w="9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43"/>
        <w:gridCol w:w="1842"/>
        <w:gridCol w:w="851"/>
        <w:gridCol w:w="6033"/>
      </w:tblGrid>
      <w:tr w14:paraId="6BF4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jc w:val="center"/>
        </w:trPr>
        <w:tc>
          <w:tcPr>
            <w:tcW w:w="1243" w:type="dxa"/>
            <w:shd w:val="clear" w:color="auto" w:fill="auto"/>
            <w:noWrap w:val="0"/>
            <w:vAlign w:val="center"/>
          </w:tcPr>
          <w:p w14:paraId="41AA2190">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类别</w:t>
            </w:r>
          </w:p>
        </w:tc>
        <w:tc>
          <w:tcPr>
            <w:tcW w:w="1842" w:type="dxa"/>
            <w:shd w:val="clear" w:color="auto" w:fill="auto"/>
            <w:noWrap w:val="0"/>
            <w:vAlign w:val="center"/>
          </w:tcPr>
          <w:p w14:paraId="57098A21">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项目</w:t>
            </w:r>
          </w:p>
        </w:tc>
        <w:tc>
          <w:tcPr>
            <w:tcW w:w="851" w:type="dxa"/>
            <w:shd w:val="clear" w:color="auto" w:fill="auto"/>
            <w:noWrap w:val="0"/>
            <w:vAlign w:val="center"/>
          </w:tcPr>
          <w:p w14:paraId="36300B49">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满分分值</w:t>
            </w:r>
          </w:p>
        </w:tc>
        <w:tc>
          <w:tcPr>
            <w:tcW w:w="6033" w:type="dxa"/>
            <w:shd w:val="clear" w:color="auto" w:fill="auto"/>
            <w:noWrap w:val="0"/>
            <w:vAlign w:val="center"/>
          </w:tcPr>
          <w:p w14:paraId="25A09CA6">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评审标准</w:t>
            </w:r>
          </w:p>
        </w:tc>
      </w:tr>
      <w:tr w14:paraId="4E27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1" w:hRule="atLeast"/>
          <w:jc w:val="center"/>
        </w:trPr>
        <w:tc>
          <w:tcPr>
            <w:tcW w:w="1243" w:type="dxa"/>
            <w:shd w:val="clear" w:color="auto" w:fill="auto"/>
            <w:noWrap w:val="0"/>
            <w:vAlign w:val="center"/>
          </w:tcPr>
          <w:p w14:paraId="3007419F">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投标报价（30分）</w:t>
            </w:r>
          </w:p>
        </w:tc>
        <w:tc>
          <w:tcPr>
            <w:tcW w:w="1842" w:type="dxa"/>
            <w:shd w:val="clear" w:color="auto" w:fill="auto"/>
            <w:noWrap w:val="0"/>
            <w:vAlign w:val="center"/>
          </w:tcPr>
          <w:p w14:paraId="6920517D">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报价分</w:t>
            </w:r>
          </w:p>
          <w:p w14:paraId="21FDC0CA">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p>
        </w:tc>
        <w:tc>
          <w:tcPr>
            <w:tcW w:w="851" w:type="dxa"/>
            <w:shd w:val="clear" w:color="auto" w:fill="auto"/>
            <w:noWrap w:val="0"/>
            <w:vAlign w:val="center"/>
          </w:tcPr>
          <w:p w14:paraId="3508EA19">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30</w:t>
            </w:r>
          </w:p>
        </w:tc>
        <w:tc>
          <w:tcPr>
            <w:tcW w:w="6033" w:type="dxa"/>
            <w:shd w:val="clear" w:color="auto" w:fill="auto"/>
            <w:noWrap w:val="0"/>
            <w:vAlign w:val="center"/>
          </w:tcPr>
          <w:p w14:paraId="5F507A49">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满足招标文件要求且响应价格最低的响应报价为投标基准价，其价格分为满分。其他供应商的价格分统一按照下列公式计算：磋商报价得分=(投标基准价／最后磋商报价)*30%*100（四舍五入后保留小数点后两位）。</w:t>
            </w:r>
          </w:p>
          <w:p w14:paraId="3C6165CC">
            <w:pPr>
              <w:autoSpaceDE w:val="0"/>
              <w:autoSpaceDN w:val="0"/>
              <w:spacing w:line="240" w:lineRule="auto"/>
              <w:jc w:val="center"/>
              <w:rPr>
                <w:rFonts w:hint="eastAsia" w:ascii="宋体" w:hAnsi="宋体" w:eastAsia="宋体" w:cs="宋体"/>
                <w:b/>
                <w:bCs/>
                <w:color w:val="auto"/>
                <w:kern w:val="2"/>
                <w:sz w:val="24"/>
                <w:szCs w:val="24"/>
                <w:highlight w:val="none"/>
                <w:vertAlign w:val="baseline"/>
                <w:lang w:val="zh-CN" w:eastAsia="zh-CN" w:bidi="ar-SA"/>
              </w:rPr>
            </w:pPr>
            <w:r>
              <w:rPr>
                <w:rFonts w:hint="eastAsia" w:ascii="宋体" w:hAnsi="宋体" w:eastAsia="宋体" w:cs="宋体"/>
                <w:b/>
                <w:bCs/>
                <w:color w:val="auto"/>
                <w:kern w:val="2"/>
                <w:sz w:val="24"/>
                <w:szCs w:val="24"/>
                <w:highlight w:val="none"/>
                <w:vertAlign w:val="baseline"/>
                <w:lang w:val="zh-CN" w:eastAsia="zh-CN" w:bidi="ar-SA"/>
              </w:rPr>
              <w:t>注：1、根据《政府采购促进中小企业发展管理办法》（财库〔2020〕46号）和《财政部关于进一步加大政府采购支持中小企业力度的通知》（财库〔2022〕19号）的规定，对于经主管预算单位统筹后未预留份额专门面向中小企业采购的采购项目，以及预留份额项目中的非预留部分采购包，对符合规定的小微企业报价给予10%的扣除，用扣除后的价格参加评审。</w:t>
            </w:r>
          </w:p>
          <w:p w14:paraId="1617D31C">
            <w:pPr>
              <w:autoSpaceDE w:val="0"/>
              <w:autoSpaceDN w:val="0"/>
              <w:spacing w:line="240" w:lineRule="auto"/>
              <w:jc w:val="center"/>
              <w:rPr>
                <w:rFonts w:hint="eastAsia" w:ascii="宋体" w:hAnsi="宋体" w:eastAsia="宋体" w:cs="宋体"/>
                <w:b/>
                <w:bCs/>
                <w:color w:val="auto"/>
                <w:kern w:val="2"/>
                <w:sz w:val="24"/>
                <w:szCs w:val="24"/>
                <w:highlight w:val="none"/>
                <w:vertAlign w:val="baseline"/>
                <w:lang w:val="zh-CN" w:eastAsia="zh-CN" w:bidi="ar-SA"/>
              </w:rPr>
            </w:pPr>
            <w:r>
              <w:rPr>
                <w:rFonts w:hint="eastAsia" w:ascii="宋体" w:hAnsi="宋体" w:eastAsia="宋体" w:cs="宋体"/>
                <w:b/>
                <w:bCs/>
                <w:color w:val="auto"/>
                <w:kern w:val="2"/>
                <w:sz w:val="24"/>
                <w:szCs w:val="24"/>
                <w:highlight w:val="none"/>
                <w:vertAlign w:val="baseline"/>
                <w:lang w:val="zh-CN" w:eastAsia="zh-CN" w:bidi="ar-SA"/>
              </w:rPr>
              <w:t>2、残疾人福利性单位属于小型、微型企业的，不重复享受政策。</w:t>
            </w:r>
          </w:p>
          <w:p w14:paraId="541A3E10">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bCs/>
                <w:color w:val="auto"/>
                <w:kern w:val="2"/>
                <w:sz w:val="24"/>
                <w:szCs w:val="24"/>
                <w:highlight w:val="none"/>
                <w:vertAlign w:val="baseline"/>
                <w:lang w:val="zh-CN" w:eastAsia="zh-CN" w:bidi="ar-SA"/>
              </w:rPr>
              <w:t>3、根据《关于促进残疾人就业政府采购政策的通知》（财库[2017]141号），残疾人福利性单位视同小型、微型企业，监狱企业视同小微企业。参加政府采购活动的监狱企业提供由省级以上监狱管理局、戒毒管理局(含新疆生产建设兵团)出具的属于监狱企业的证明文件，未提供的，视为放弃享受小微企业价格扣除优惠政策。</w:t>
            </w:r>
          </w:p>
        </w:tc>
      </w:tr>
      <w:tr w14:paraId="13D3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0" w:hRule="atLeast"/>
          <w:jc w:val="center"/>
        </w:trPr>
        <w:tc>
          <w:tcPr>
            <w:tcW w:w="1243" w:type="dxa"/>
            <w:vMerge w:val="restart"/>
            <w:shd w:val="clear" w:color="auto" w:fill="auto"/>
            <w:noWrap w:val="0"/>
            <w:vAlign w:val="center"/>
          </w:tcPr>
          <w:p w14:paraId="7D5C7FF5">
            <w:pPr>
              <w:autoSpaceDE w:val="0"/>
              <w:autoSpaceDN w:val="0"/>
              <w:spacing w:line="240" w:lineRule="auto"/>
              <w:jc w:val="center"/>
              <w:rPr>
                <w:rFonts w:hint="default"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zh-CN" w:eastAsia="zh-CN" w:bidi="ar-SA"/>
              </w:rPr>
              <w:t>技术</w:t>
            </w:r>
            <w:r>
              <w:rPr>
                <w:rFonts w:hint="eastAsia" w:ascii="宋体" w:hAnsi="宋体" w:cs="宋体"/>
                <w:b w:val="0"/>
                <w:bCs w:val="0"/>
                <w:color w:val="auto"/>
                <w:kern w:val="2"/>
                <w:sz w:val="24"/>
                <w:szCs w:val="24"/>
                <w:highlight w:val="none"/>
                <w:vertAlign w:val="baseline"/>
                <w:lang w:val="en-US" w:eastAsia="zh-CN" w:bidi="ar-SA"/>
              </w:rPr>
              <w:t>部分</w:t>
            </w:r>
          </w:p>
          <w:p w14:paraId="60B3F163">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en-US" w:eastAsia="zh-CN" w:bidi="ar-SA"/>
              </w:rPr>
              <w:t>（</w:t>
            </w:r>
            <w:r>
              <w:rPr>
                <w:rFonts w:hint="eastAsia" w:ascii="宋体" w:hAnsi="宋体" w:cs="宋体"/>
                <w:b w:val="0"/>
                <w:bCs w:val="0"/>
                <w:color w:val="auto"/>
                <w:kern w:val="2"/>
                <w:sz w:val="24"/>
                <w:szCs w:val="24"/>
                <w:highlight w:val="none"/>
                <w:vertAlign w:val="baseline"/>
                <w:lang w:val="en-US" w:eastAsia="zh-CN" w:bidi="ar-SA"/>
              </w:rPr>
              <w:t>38</w:t>
            </w:r>
            <w:r>
              <w:rPr>
                <w:rFonts w:hint="eastAsia" w:ascii="宋体" w:hAnsi="宋体" w:eastAsia="宋体" w:cs="宋体"/>
                <w:b w:val="0"/>
                <w:bCs w:val="0"/>
                <w:color w:val="auto"/>
                <w:kern w:val="2"/>
                <w:sz w:val="24"/>
                <w:szCs w:val="24"/>
                <w:highlight w:val="none"/>
                <w:vertAlign w:val="baseline"/>
                <w:lang w:val="zh-CN" w:eastAsia="zh-CN" w:bidi="ar-SA"/>
              </w:rPr>
              <w:t>分）</w:t>
            </w:r>
          </w:p>
        </w:tc>
        <w:tc>
          <w:tcPr>
            <w:tcW w:w="1842" w:type="dxa"/>
            <w:shd w:val="clear" w:color="auto" w:fill="auto"/>
            <w:noWrap w:val="0"/>
            <w:vAlign w:val="center"/>
          </w:tcPr>
          <w:p w14:paraId="5790437F">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业绩情况</w:t>
            </w:r>
          </w:p>
        </w:tc>
        <w:tc>
          <w:tcPr>
            <w:tcW w:w="851" w:type="dxa"/>
            <w:shd w:val="clear" w:color="auto" w:fill="auto"/>
            <w:noWrap w:val="0"/>
            <w:vAlign w:val="center"/>
          </w:tcPr>
          <w:p w14:paraId="70AC9A5C">
            <w:pPr>
              <w:autoSpaceDE w:val="0"/>
              <w:autoSpaceDN w:val="0"/>
              <w:spacing w:line="240" w:lineRule="auto"/>
              <w:jc w:val="center"/>
              <w:rPr>
                <w:rFonts w:hint="default"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10</w:t>
            </w:r>
          </w:p>
        </w:tc>
        <w:tc>
          <w:tcPr>
            <w:tcW w:w="6033" w:type="dxa"/>
            <w:shd w:val="clear" w:color="auto" w:fill="auto"/>
            <w:noWrap w:val="0"/>
            <w:vAlign w:val="center"/>
          </w:tcPr>
          <w:p w14:paraId="25544B28">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提供自20</w:t>
            </w:r>
            <w:r>
              <w:rPr>
                <w:rFonts w:hint="eastAsia" w:ascii="宋体" w:hAnsi="宋体" w:eastAsia="宋体" w:cs="宋体"/>
                <w:b w:val="0"/>
                <w:bCs w:val="0"/>
                <w:color w:val="auto"/>
                <w:kern w:val="2"/>
                <w:sz w:val="24"/>
                <w:szCs w:val="24"/>
                <w:highlight w:val="none"/>
                <w:vertAlign w:val="baseline"/>
                <w:lang w:val="en-US" w:eastAsia="zh-CN" w:bidi="ar-SA"/>
              </w:rPr>
              <w:t>22</w:t>
            </w:r>
            <w:r>
              <w:rPr>
                <w:rFonts w:hint="eastAsia" w:ascii="宋体" w:hAnsi="宋体" w:eastAsia="宋体" w:cs="宋体"/>
                <w:b w:val="0"/>
                <w:bCs w:val="0"/>
                <w:color w:val="auto"/>
                <w:kern w:val="2"/>
                <w:sz w:val="24"/>
                <w:szCs w:val="24"/>
                <w:highlight w:val="none"/>
                <w:vertAlign w:val="baseline"/>
                <w:lang w:val="zh-CN" w:eastAsia="zh-CN" w:bidi="ar-SA"/>
              </w:rPr>
              <w:t>年以来的类似业绩证明材料，每提供一个得2分，最高得</w:t>
            </w:r>
            <w:r>
              <w:rPr>
                <w:rFonts w:hint="eastAsia" w:ascii="宋体" w:hAnsi="宋体" w:eastAsia="宋体" w:cs="宋体"/>
                <w:b w:val="0"/>
                <w:bCs w:val="0"/>
                <w:color w:val="auto"/>
                <w:kern w:val="2"/>
                <w:sz w:val="24"/>
                <w:szCs w:val="24"/>
                <w:highlight w:val="none"/>
                <w:vertAlign w:val="baseline"/>
                <w:lang w:val="en-US" w:eastAsia="zh-CN" w:bidi="ar-SA"/>
              </w:rPr>
              <w:t>10</w:t>
            </w:r>
            <w:r>
              <w:rPr>
                <w:rFonts w:hint="eastAsia" w:ascii="宋体" w:hAnsi="宋体" w:eastAsia="宋体" w:cs="宋体"/>
                <w:b w:val="0"/>
                <w:bCs w:val="0"/>
                <w:color w:val="auto"/>
                <w:kern w:val="2"/>
                <w:sz w:val="24"/>
                <w:szCs w:val="24"/>
                <w:highlight w:val="none"/>
                <w:vertAlign w:val="baseline"/>
                <w:lang w:val="zh-CN" w:eastAsia="zh-CN" w:bidi="ar-SA"/>
              </w:rPr>
              <w:t>分；未提供或其他情况的不得分。（需提供</w:t>
            </w:r>
            <w:r>
              <w:rPr>
                <w:rFonts w:hint="eastAsia" w:ascii="宋体" w:hAnsi="宋体" w:eastAsia="宋体" w:cs="宋体"/>
                <w:b w:val="0"/>
                <w:bCs w:val="0"/>
                <w:color w:val="auto"/>
                <w:kern w:val="2"/>
                <w:sz w:val="24"/>
                <w:szCs w:val="24"/>
                <w:highlight w:val="none"/>
                <w:vertAlign w:val="baseline"/>
                <w:lang w:val="en-US" w:eastAsia="zh-CN" w:bidi="ar-SA"/>
              </w:rPr>
              <w:t>合同复印件</w:t>
            </w:r>
            <w:r>
              <w:rPr>
                <w:rFonts w:hint="eastAsia" w:ascii="宋体" w:hAnsi="宋体" w:eastAsia="宋体" w:cs="宋体"/>
                <w:b w:val="0"/>
                <w:bCs w:val="0"/>
                <w:color w:val="auto"/>
                <w:kern w:val="2"/>
                <w:sz w:val="24"/>
                <w:szCs w:val="24"/>
                <w:highlight w:val="none"/>
                <w:vertAlign w:val="baseline"/>
                <w:lang w:val="zh-CN" w:eastAsia="zh-CN" w:bidi="ar-SA"/>
              </w:rPr>
              <w:t>包含合同首页、标的及金额所在页、供货合同签字盖章页的扫描（或复印）件。）</w:t>
            </w:r>
          </w:p>
        </w:tc>
      </w:tr>
      <w:tr w14:paraId="54E4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25" w:hRule="atLeast"/>
          <w:jc w:val="center"/>
        </w:trPr>
        <w:tc>
          <w:tcPr>
            <w:tcW w:w="1243" w:type="dxa"/>
            <w:vMerge w:val="continue"/>
            <w:shd w:val="clear" w:color="auto" w:fill="auto"/>
            <w:noWrap w:val="0"/>
            <w:vAlign w:val="center"/>
          </w:tcPr>
          <w:p w14:paraId="4EB01944">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p>
        </w:tc>
        <w:tc>
          <w:tcPr>
            <w:tcW w:w="1842" w:type="dxa"/>
            <w:shd w:val="clear" w:color="auto" w:fill="auto"/>
            <w:noWrap w:val="0"/>
            <w:vAlign w:val="center"/>
          </w:tcPr>
          <w:p w14:paraId="39E10856">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技术参数要求</w:t>
            </w:r>
          </w:p>
        </w:tc>
        <w:tc>
          <w:tcPr>
            <w:tcW w:w="851" w:type="dxa"/>
            <w:shd w:val="clear" w:color="auto" w:fill="auto"/>
            <w:noWrap w:val="0"/>
            <w:vAlign w:val="center"/>
          </w:tcPr>
          <w:p w14:paraId="2818D6CF">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en-US" w:eastAsia="zh-CN" w:bidi="ar-SA"/>
              </w:rPr>
              <w:t>20</w:t>
            </w:r>
          </w:p>
        </w:tc>
        <w:tc>
          <w:tcPr>
            <w:tcW w:w="6033" w:type="dxa"/>
            <w:shd w:val="clear" w:color="auto" w:fill="auto"/>
            <w:noWrap w:val="0"/>
            <w:vAlign w:val="center"/>
          </w:tcPr>
          <w:p w14:paraId="69984FA3">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投标产品技术参数要求和配置完全满足招标文件要求的得</w:t>
            </w:r>
            <w:r>
              <w:rPr>
                <w:rFonts w:hint="eastAsia" w:ascii="宋体" w:hAnsi="宋体" w:eastAsia="宋体" w:cs="宋体"/>
                <w:b w:val="0"/>
                <w:bCs w:val="0"/>
                <w:color w:val="auto"/>
                <w:kern w:val="2"/>
                <w:sz w:val="24"/>
                <w:szCs w:val="24"/>
                <w:highlight w:val="none"/>
                <w:vertAlign w:val="baseline"/>
                <w:lang w:val="en-US" w:eastAsia="zh-CN" w:bidi="ar-SA"/>
              </w:rPr>
              <w:t>20</w:t>
            </w:r>
            <w:r>
              <w:rPr>
                <w:rFonts w:hint="eastAsia" w:ascii="宋体" w:hAnsi="宋体" w:eastAsia="宋体" w:cs="宋体"/>
                <w:b w:val="0"/>
                <w:bCs w:val="0"/>
                <w:color w:val="auto"/>
                <w:kern w:val="2"/>
                <w:sz w:val="24"/>
                <w:szCs w:val="24"/>
                <w:highlight w:val="none"/>
                <w:vertAlign w:val="baseline"/>
                <w:lang w:val="zh-CN" w:eastAsia="zh-CN" w:bidi="ar-SA"/>
              </w:rPr>
              <w:t>分；每有一项负偏离扣</w:t>
            </w:r>
            <w:r>
              <w:rPr>
                <w:rFonts w:hint="eastAsia" w:ascii="宋体" w:hAnsi="宋体" w:eastAsia="宋体" w:cs="宋体"/>
                <w:b w:val="0"/>
                <w:bCs w:val="0"/>
                <w:color w:val="auto"/>
                <w:kern w:val="2"/>
                <w:sz w:val="24"/>
                <w:szCs w:val="24"/>
                <w:highlight w:val="none"/>
                <w:vertAlign w:val="baseline"/>
                <w:lang w:val="en-US" w:eastAsia="zh-CN" w:bidi="ar-SA"/>
              </w:rPr>
              <w:t>4</w:t>
            </w:r>
            <w:r>
              <w:rPr>
                <w:rFonts w:hint="eastAsia" w:ascii="宋体" w:hAnsi="宋体" w:eastAsia="宋体" w:cs="宋体"/>
                <w:b w:val="0"/>
                <w:bCs w:val="0"/>
                <w:color w:val="auto"/>
                <w:kern w:val="2"/>
                <w:sz w:val="24"/>
                <w:szCs w:val="24"/>
                <w:highlight w:val="none"/>
                <w:vertAlign w:val="baseline"/>
                <w:lang w:val="zh-CN" w:eastAsia="zh-CN" w:bidi="ar-SA"/>
              </w:rPr>
              <w:t>分，直至扣完为止。</w:t>
            </w:r>
          </w:p>
          <w:p w14:paraId="2E2C2578">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注：此项评分以生产厂商出具的证明文件或产品彩页或检测报告等为依据。</w:t>
            </w:r>
          </w:p>
        </w:tc>
      </w:tr>
      <w:tr w14:paraId="791C4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72" w:hRule="atLeast"/>
          <w:jc w:val="center"/>
        </w:trPr>
        <w:tc>
          <w:tcPr>
            <w:tcW w:w="1243" w:type="dxa"/>
            <w:vMerge w:val="continue"/>
            <w:shd w:val="clear" w:color="auto" w:fill="auto"/>
            <w:noWrap w:val="0"/>
            <w:vAlign w:val="center"/>
          </w:tcPr>
          <w:p w14:paraId="6C0099DB">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p>
        </w:tc>
        <w:tc>
          <w:tcPr>
            <w:tcW w:w="1842" w:type="dxa"/>
            <w:shd w:val="clear" w:color="auto" w:fill="auto"/>
            <w:noWrap w:val="0"/>
            <w:vAlign w:val="center"/>
          </w:tcPr>
          <w:p w14:paraId="3428EB85">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产品质量保障</w:t>
            </w:r>
          </w:p>
        </w:tc>
        <w:tc>
          <w:tcPr>
            <w:tcW w:w="851" w:type="dxa"/>
            <w:shd w:val="clear" w:color="auto" w:fill="auto"/>
            <w:noWrap w:val="0"/>
            <w:vAlign w:val="center"/>
          </w:tcPr>
          <w:p w14:paraId="0A3EA03D">
            <w:pPr>
              <w:autoSpaceDE w:val="0"/>
              <w:autoSpaceDN w:val="0"/>
              <w:spacing w:line="240" w:lineRule="auto"/>
              <w:jc w:val="center"/>
              <w:rPr>
                <w:rFonts w:hint="default"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2</w:t>
            </w:r>
          </w:p>
        </w:tc>
        <w:tc>
          <w:tcPr>
            <w:tcW w:w="6033" w:type="dxa"/>
            <w:shd w:val="clear" w:color="auto" w:fill="auto"/>
            <w:noWrap w:val="0"/>
            <w:vAlign w:val="center"/>
          </w:tcPr>
          <w:p w14:paraId="59E99630">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为保证产品质量，设备制造商须具备完善的供应链管理能力，提供ISO28000供应链安全管理体系认证证书、全国认证认可信息公共服务平台查询链接及截图并加盖原厂公章;满足得2分，不满足不得分。</w:t>
            </w:r>
          </w:p>
        </w:tc>
      </w:tr>
      <w:tr w14:paraId="6057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243" w:type="dxa"/>
            <w:vMerge w:val="continue"/>
            <w:shd w:val="clear" w:color="auto" w:fill="auto"/>
            <w:noWrap w:val="0"/>
            <w:vAlign w:val="center"/>
          </w:tcPr>
          <w:p w14:paraId="185A526F">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p>
        </w:tc>
        <w:tc>
          <w:tcPr>
            <w:tcW w:w="1842" w:type="dxa"/>
            <w:shd w:val="clear" w:color="auto" w:fill="auto"/>
            <w:noWrap w:val="0"/>
            <w:vAlign w:val="center"/>
          </w:tcPr>
          <w:p w14:paraId="16B126DA">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环保</w:t>
            </w:r>
          </w:p>
        </w:tc>
        <w:tc>
          <w:tcPr>
            <w:tcW w:w="851" w:type="dxa"/>
            <w:shd w:val="clear" w:color="auto" w:fill="auto"/>
            <w:noWrap w:val="0"/>
            <w:vAlign w:val="center"/>
          </w:tcPr>
          <w:p w14:paraId="4F61C3A2">
            <w:pPr>
              <w:autoSpaceDE w:val="0"/>
              <w:autoSpaceDN w:val="0"/>
              <w:spacing w:line="240" w:lineRule="auto"/>
              <w:jc w:val="center"/>
              <w:rPr>
                <w:rFonts w:hint="default"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2</w:t>
            </w:r>
          </w:p>
        </w:tc>
        <w:tc>
          <w:tcPr>
            <w:tcW w:w="6033" w:type="dxa"/>
            <w:shd w:val="clear" w:color="auto" w:fill="auto"/>
            <w:noWrap w:val="0"/>
            <w:vAlign w:val="center"/>
          </w:tcPr>
          <w:p w14:paraId="6B6C1422">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为了响应国家节约能源的政策，设备制造商须具备ISO50001国际认证证书;提供证书复印件、全国认证认可信息公共服务平台查询链接及截图并加盖原厂公章;满足得2分；不满足不得分。</w:t>
            </w:r>
          </w:p>
        </w:tc>
      </w:tr>
      <w:tr w14:paraId="621AE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243" w:type="dxa"/>
            <w:vMerge w:val="continue"/>
            <w:shd w:val="clear" w:color="auto" w:fill="auto"/>
            <w:noWrap w:val="0"/>
            <w:vAlign w:val="center"/>
          </w:tcPr>
          <w:p w14:paraId="357E240E">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p>
        </w:tc>
        <w:tc>
          <w:tcPr>
            <w:tcW w:w="1842" w:type="dxa"/>
            <w:shd w:val="clear" w:color="auto" w:fill="auto"/>
            <w:noWrap w:val="0"/>
            <w:vAlign w:val="center"/>
          </w:tcPr>
          <w:p w14:paraId="5D200AE6">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知识产权</w:t>
            </w:r>
          </w:p>
        </w:tc>
        <w:tc>
          <w:tcPr>
            <w:tcW w:w="851" w:type="dxa"/>
            <w:shd w:val="clear" w:color="auto" w:fill="auto"/>
            <w:noWrap w:val="0"/>
            <w:vAlign w:val="center"/>
          </w:tcPr>
          <w:p w14:paraId="71870AE3">
            <w:pPr>
              <w:autoSpaceDE w:val="0"/>
              <w:autoSpaceDN w:val="0"/>
              <w:spacing w:line="240" w:lineRule="auto"/>
              <w:jc w:val="center"/>
              <w:rPr>
                <w:rFonts w:hint="default"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4</w:t>
            </w:r>
          </w:p>
        </w:tc>
        <w:tc>
          <w:tcPr>
            <w:tcW w:w="6033" w:type="dxa"/>
            <w:shd w:val="clear" w:color="auto" w:fill="auto"/>
            <w:noWrap w:val="0"/>
            <w:vAlign w:val="center"/>
          </w:tcPr>
          <w:p w14:paraId="6DCE2550">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zh-CN" w:eastAsia="zh-CN" w:bidi="ar-SA"/>
              </w:rPr>
              <w:t>网络设备生产厂商需具备完善的知识产权管理体系。能够全面保护、并系统管理知识产权，支撑企业的技术创新能力。提供知识产权管理体系认证证书，全国认证认可信息公共服务平台查询链接及截图并加盖原厂公章;满足得4分，不满足不得分。</w:t>
            </w:r>
          </w:p>
        </w:tc>
      </w:tr>
      <w:tr w14:paraId="280B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243" w:type="dxa"/>
            <w:shd w:val="clear" w:color="auto" w:fill="auto"/>
            <w:noWrap w:val="0"/>
            <w:vAlign w:val="center"/>
          </w:tcPr>
          <w:p w14:paraId="136F952E">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en-US" w:eastAsia="zh-CN" w:bidi="ar-SA"/>
              </w:rPr>
              <w:t>售后服务（32分）</w:t>
            </w:r>
          </w:p>
        </w:tc>
        <w:tc>
          <w:tcPr>
            <w:tcW w:w="1842" w:type="dxa"/>
            <w:shd w:val="clear" w:color="auto" w:fill="auto"/>
            <w:noWrap w:val="0"/>
            <w:vAlign w:val="center"/>
          </w:tcPr>
          <w:p w14:paraId="4AD53346">
            <w:pPr>
              <w:autoSpaceDE w:val="0"/>
              <w:autoSpaceDN w:val="0"/>
              <w:spacing w:line="240" w:lineRule="auto"/>
              <w:jc w:val="center"/>
              <w:rPr>
                <w:rFonts w:hint="default"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项目管理及实施方案、售后服务方案</w:t>
            </w:r>
          </w:p>
        </w:tc>
        <w:tc>
          <w:tcPr>
            <w:tcW w:w="851" w:type="dxa"/>
            <w:shd w:val="clear" w:color="auto" w:fill="auto"/>
            <w:noWrap w:val="0"/>
            <w:vAlign w:val="center"/>
          </w:tcPr>
          <w:p w14:paraId="5D73ACF9">
            <w:pPr>
              <w:autoSpaceDE w:val="0"/>
              <w:autoSpaceDN w:val="0"/>
              <w:spacing w:line="240" w:lineRule="auto"/>
              <w:jc w:val="center"/>
              <w:rPr>
                <w:rFonts w:hint="default"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32</w:t>
            </w:r>
          </w:p>
        </w:tc>
        <w:tc>
          <w:tcPr>
            <w:tcW w:w="6033" w:type="dxa"/>
            <w:shd w:val="clear" w:color="auto" w:fill="auto"/>
            <w:noWrap w:val="0"/>
            <w:vAlign w:val="center"/>
          </w:tcPr>
          <w:p w14:paraId="34FE7F2F">
            <w:pPr>
              <w:pStyle w:val="2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1、项目管理及实施方案（18分）：供应商根据本项目设置了项目管理机构，并具有科学、具体的项目管理措施，包括但不限于以下内容：①项目的实施计划及总体安排；②供货方案；③管理机构人员配备；④项目进度保障措施；⑤</w:t>
            </w:r>
            <w:r>
              <w:rPr>
                <w:rFonts w:hint="eastAsia" w:ascii="宋体" w:hAnsi="宋体" w:eastAsia="宋体" w:cs="宋体"/>
                <w:b w:val="0"/>
                <w:bCs w:val="0"/>
                <w:color w:val="auto"/>
                <w:kern w:val="2"/>
                <w:sz w:val="24"/>
                <w:szCs w:val="24"/>
                <w:highlight w:val="none"/>
                <w:vertAlign w:val="baseline"/>
                <w:lang w:val="zh-CN" w:eastAsia="zh-CN" w:bidi="ar-SA"/>
              </w:rPr>
              <w:t>质量控制及保证措施；</w:t>
            </w:r>
            <w:r>
              <w:rPr>
                <w:rFonts w:hint="eastAsia" w:ascii="宋体" w:hAnsi="宋体" w:eastAsia="宋体" w:cs="宋体"/>
                <w:b w:val="0"/>
                <w:bCs w:val="0"/>
                <w:color w:val="auto"/>
                <w:kern w:val="2"/>
                <w:sz w:val="24"/>
                <w:szCs w:val="24"/>
                <w:highlight w:val="none"/>
                <w:vertAlign w:val="baseline"/>
                <w:lang w:val="en-US" w:eastAsia="zh-CN" w:bidi="ar-SA"/>
              </w:rPr>
              <w:t>⑥包装及安装方案等。完整提供以上6项内容完全符合本项目实际需求及项目情况的得18分，方案中每有一项缺失扣3分，方案内容要素中每存在一处缺陷扣1分，扣完为止。</w:t>
            </w:r>
          </w:p>
          <w:p w14:paraId="60366A4C">
            <w:pPr>
              <w:pStyle w:val="2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（注：缺陷是指：存在项目名称错误、地点区域错误、内容与本项目需求无关、方案内容矛盾或表述前后不一致、仅有框架或标题、适用的标准（方法）错误、明显复制其他项目内容等情况中的任意一种情形。）</w:t>
            </w:r>
          </w:p>
          <w:p w14:paraId="6CF058E3">
            <w:pPr>
              <w:pStyle w:val="2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2、售后服务方案（14分）：</w:t>
            </w:r>
            <w:r>
              <w:rPr>
                <w:rFonts w:hint="eastAsia" w:ascii="宋体" w:hAnsi="宋体" w:eastAsia="宋体" w:cs="宋体"/>
                <w:b w:val="0"/>
                <w:bCs w:val="0"/>
                <w:color w:val="auto"/>
                <w:kern w:val="2"/>
                <w:sz w:val="24"/>
                <w:szCs w:val="24"/>
                <w:highlight w:val="none"/>
                <w:vertAlign w:val="baseline"/>
                <w:lang w:val="zh-CN" w:eastAsia="zh-CN" w:bidi="ar-SA"/>
              </w:rPr>
              <w:t>针对该项目须有完善的售后服务体系包含：①售后服务机构和人员；②</w:t>
            </w:r>
            <w:r>
              <w:rPr>
                <w:rFonts w:hint="eastAsia" w:ascii="宋体" w:hAnsi="宋体" w:eastAsia="宋体" w:cs="宋体"/>
                <w:b w:val="0"/>
                <w:bCs w:val="0"/>
                <w:color w:val="auto"/>
                <w:kern w:val="2"/>
                <w:sz w:val="24"/>
                <w:szCs w:val="24"/>
                <w:highlight w:val="none"/>
                <w:vertAlign w:val="baseline"/>
                <w:lang w:val="en-US" w:eastAsia="zh-CN" w:bidi="ar-SA"/>
              </w:rPr>
              <w:t>售后服务内容及体系；</w:t>
            </w:r>
            <w:r>
              <w:rPr>
                <w:rFonts w:hint="eastAsia" w:ascii="宋体" w:hAnsi="宋体" w:eastAsia="宋体" w:cs="宋体"/>
                <w:b w:val="0"/>
                <w:bCs w:val="0"/>
                <w:color w:val="auto"/>
                <w:kern w:val="2"/>
                <w:sz w:val="24"/>
                <w:szCs w:val="24"/>
                <w:highlight w:val="none"/>
                <w:vertAlign w:val="baseline"/>
                <w:lang w:val="zh-CN" w:eastAsia="zh-CN" w:bidi="ar-SA"/>
              </w:rPr>
              <w:t>③售后服务响应时间；④售后服务方式和特色；</w:t>
            </w:r>
            <w:r>
              <w:rPr>
                <w:rFonts w:hint="eastAsia" w:ascii="宋体" w:hAnsi="宋体" w:eastAsia="宋体" w:cs="宋体"/>
                <w:b w:val="0"/>
                <w:bCs w:val="0"/>
                <w:color w:val="auto"/>
                <w:kern w:val="2"/>
                <w:sz w:val="24"/>
                <w:szCs w:val="24"/>
                <w:highlight w:val="none"/>
                <w:vertAlign w:val="baseline"/>
                <w:lang w:val="en-US" w:eastAsia="zh-CN" w:bidi="ar-SA"/>
              </w:rPr>
              <w:t>⑤售后服务承诺；⑥培训方案；⑦售后服务保障措施</w:t>
            </w:r>
            <w:r>
              <w:rPr>
                <w:rFonts w:hint="eastAsia" w:ascii="宋体" w:hAnsi="宋体" w:eastAsia="宋体" w:cs="宋体"/>
                <w:b w:val="0"/>
                <w:bCs w:val="0"/>
                <w:color w:val="auto"/>
                <w:kern w:val="2"/>
                <w:sz w:val="24"/>
                <w:szCs w:val="24"/>
                <w:highlight w:val="none"/>
                <w:vertAlign w:val="baseline"/>
                <w:lang w:val="zh-CN" w:eastAsia="zh-CN" w:bidi="ar-SA"/>
              </w:rPr>
              <w:t>。</w:t>
            </w:r>
            <w:r>
              <w:rPr>
                <w:rFonts w:hint="eastAsia" w:ascii="宋体" w:hAnsi="宋体" w:eastAsia="宋体" w:cs="宋体"/>
                <w:b w:val="0"/>
                <w:bCs w:val="0"/>
                <w:color w:val="auto"/>
                <w:kern w:val="2"/>
                <w:sz w:val="24"/>
                <w:szCs w:val="24"/>
                <w:highlight w:val="none"/>
                <w:vertAlign w:val="baseline"/>
                <w:lang w:val="en-US" w:eastAsia="zh-CN" w:bidi="ar-SA"/>
              </w:rPr>
              <w:t>完整提供以上6项内容完全符合本项目实际需求及项目情况的得14分，方案中每有一项缺失扣2分，方案内容要素中每存在一处缺陷扣1分，扣完为止。</w:t>
            </w:r>
          </w:p>
          <w:p w14:paraId="5F33BC67">
            <w:pPr>
              <w:autoSpaceDE w:val="0"/>
              <w:autoSpaceDN w:val="0"/>
              <w:spacing w:line="240" w:lineRule="auto"/>
              <w:jc w:val="center"/>
              <w:rPr>
                <w:rFonts w:hint="eastAsia" w:ascii="宋体" w:hAnsi="宋体" w:eastAsia="宋体" w:cs="宋体"/>
                <w:b w:val="0"/>
                <w:bCs w:val="0"/>
                <w:color w:val="auto"/>
                <w:kern w:val="2"/>
                <w:sz w:val="24"/>
                <w:szCs w:val="24"/>
                <w:highlight w:val="none"/>
                <w:vertAlign w:val="baseline"/>
                <w:lang w:val="zh-CN" w:eastAsia="zh-CN" w:bidi="ar-SA"/>
              </w:rPr>
            </w:pPr>
            <w:r>
              <w:rPr>
                <w:rFonts w:hint="eastAsia" w:ascii="宋体" w:hAnsi="宋体" w:eastAsia="宋体" w:cs="宋体"/>
                <w:b w:val="0"/>
                <w:bCs w:val="0"/>
                <w:color w:val="auto"/>
                <w:kern w:val="2"/>
                <w:sz w:val="24"/>
                <w:szCs w:val="24"/>
                <w:highlight w:val="none"/>
                <w:vertAlign w:val="baseline"/>
                <w:lang w:val="en-US" w:eastAsia="zh-CN" w:bidi="ar-SA"/>
              </w:rPr>
              <w:t>（注：缺陷是指：存在项目名称错误、地点区域错误、内容与本项目需求无关、方案内容矛盾或表述前后不一致、仅有框架或标题、适用的标准（方法）错误、明显复制其他项目内容等情况中的任意一种情形。）</w:t>
            </w:r>
          </w:p>
        </w:tc>
      </w:tr>
    </w:tbl>
    <w:p w14:paraId="7ED1500F">
      <w:pPr>
        <w:pStyle w:val="33"/>
        <w:ind w:left="0" w:leftChars="0" w:firstLine="0" w:firstLineChars="0"/>
        <w:rPr>
          <w:rFonts w:hint="eastAsia"/>
          <w:lang w:val="en-US" w:eastAsia="zh-CN"/>
        </w:rPr>
      </w:pPr>
    </w:p>
    <w:bookmarkEnd w:id="163"/>
    <w:p w14:paraId="56BEBAA3">
      <w:pPr>
        <w:keepNext/>
        <w:pageBreakBefore/>
        <w:widowControl/>
        <w:spacing w:line="360" w:lineRule="auto"/>
        <w:jc w:val="center"/>
        <w:outlineLvl w:val="1"/>
        <w:rPr>
          <w:rFonts w:hAnsi="宋体"/>
          <w:b/>
          <w:sz w:val="32"/>
          <w:szCs w:val="32"/>
        </w:rPr>
      </w:pPr>
      <w:bookmarkStart w:id="164" w:name="_Toc325726025"/>
      <w:bookmarkStart w:id="165" w:name="_Toc376936756"/>
      <w:bookmarkStart w:id="166" w:name="_Toc6689"/>
      <w:bookmarkStart w:id="167" w:name="_Toc25290"/>
      <w:bookmarkStart w:id="168" w:name="_Toc2506"/>
      <w:bookmarkStart w:id="169" w:name="_Toc7357"/>
      <w:r>
        <w:rPr>
          <w:rFonts w:hint="eastAsia" w:ascii="宋体" w:hAnsi="宋体" w:cs="宋体"/>
          <w:b/>
          <w:bCs/>
          <w:color w:val="auto"/>
          <w:sz w:val="32"/>
          <w:szCs w:val="32"/>
          <w:lang w:val="en-US" w:eastAsia="zh-CN"/>
        </w:rPr>
        <w:t>八</w:t>
      </w:r>
      <w:r>
        <w:rPr>
          <w:rFonts w:hint="eastAsia" w:ascii="宋体" w:hAnsi="宋体" w:cs="宋体"/>
          <w:b/>
          <w:bCs/>
          <w:color w:val="auto"/>
          <w:sz w:val="32"/>
          <w:szCs w:val="32"/>
        </w:rPr>
        <w:t>、</w:t>
      </w:r>
      <w:bookmarkEnd w:id="164"/>
      <w:bookmarkEnd w:id="165"/>
      <w:r>
        <w:rPr>
          <w:rFonts w:hint="eastAsia" w:ascii="宋体" w:hAnsi="宋体" w:cs="宋体"/>
          <w:b/>
          <w:bCs/>
          <w:color w:val="auto"/>
          <w:sz w:val="32"/>
          <w:szCs w:val="32"/>
        </w:rPr>
        <w:t>确定成交供应商</w:t>
      </w:r>
      <w:bookmarkEnd w:id="166"/>
      <w:bookmarkEnd w:id="167"/>
      <w:bookmarkEnd w:id="168"/>
      <w:bookmarkEnd w:id="169"/>
    </w:p>
    <w:p w14:paraId="29305A61">
      <w:pPr>
        <w:pStyle w:val="5"/>
        <w:numPr>
          <w:ilvl w:val="0"/>
          <w:numId w:val="0"/>
        </w:numPr>
        <w:spacing w:before="0" w:after="0" w:line="360" w:lineRule="auto"/>
        <w:ind w:leftChars="0"/>
        <w:rPr>
          <w:rFonts w:ascii="宋体" w:hAnsi="宋体"/>
          <w:b w:val="0"/>
        </w:rPr>
      </w:pPr>
      <w:bookmarkStart w:id="170" w:name="_Toc1575322"/>
      <w:bookmarkStart w:id="171" w:name="_Toc488673637"/>
      <w:r>
        <w:rPr>
          <w:rFonts w:hint="eastAsia" w:ascii="宋体" w:hAnsi="宋体"/>
          <w:b w:val="0"/>
          <w:lang w:val="en-US" w:eastAsia="zh-CN"/>
        </w:rPr>
        <w:t>23.</w:t>
      </w:r>
      <w:r>
        <w:rPr>
          <w:rFonts w:hint="eastAsia" w:ascii="宋体" w:hAnsi="宋体"/>
          <w:b w:val="0"/>
        </w:rPr>
        <w:t>推荐并确定中标磋商供应商</w:t>
      </w:r>
      <w:bookmarkEnd w:id="170"/>
      <w:bookmarkEnd w:id="171"/>
    </w:p>
    <w:p w14:paraId="3E401969">
      <w:pPr>
        <w:pStyle w:val="17"/>
        <w:numPr>
          <w:ilvl w:val="0"/>
          <w:numId w:val="0"/>
        </w:numPr>
        <w:spacing w:line="360" w:lineRule="auto"/>
        <w:ind w:left="141" w:leftChars="0" w:firstLine="241" w:firstLineChars="100"/>
        <w:jc w:val="left"/>
        <w:rPr>
          <w:rFonts w:hAnsi="宋体"/>
          <w:sz w:val="24"/>
          <w:szCs w:val="24"/>
        </w:rPr>
      </w:pPr>
      <w:r>
        <w:rPr>
          <w:rFonts w:hint="eastAsia" w:hAnsi="宋体" w:cs="宋体"/>
          <w:b/>
          <w:bCs/>
          <w:sz w:val="24"/>
          <w:szCs w:val="24"/>
          <w:lang w:val="en-US" w:eastAsia="zh-CN"/>
        </w:rPr>
        <w:t>23.1</w:t>
      </w:r>
      <w:r>
        <w:rPr>
          <w:rFonts w:hint="eastAsia" w:hAnsi="宋体" w:cs="宋体"/>
          <w:b/>
          <w:bCs/>
          <w:sz w:val="24"/>
          <w:szCs w:val="24"/>
        </w:rPr>
        <w:t>采用综合评分法的，</w:t>
      </w:r>
      <w:r>
        <w:rPr>
          <w:rFonts w:hint="eastAsia" w:hAnsi="宋体" w:cs="宋体"/>
          <w:sz w:val="24"/>
          <w:szCs w:val="24"/>
          <w:shd w:val="clear" w:color="auto" w:fill="FFFFFF"/>
        </w:rPr>
        <w:t>评标结果按评审后得分由高到低顺序排列。得分相同的，按投标报价由低到高顺序排列。得分且投标报价相同的并列。磋商响应文件满足磋商文件全部实质性要求，且按照评审因素的量化指标评审得分最高的磋商人为排名第一的中标候选人。</w:t>
      </w:r>
    </w:p>
    <w:p w14:paraId="05DC4E9B">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23.2</w:t>
      </w:r>
      <w:r>
        <w:rPr>
          <w:rFonts w:hint="eastAsia" w:hAnsi="宋体"/>
          <w:sz w:val="24"/>
          <w:szCs w:val="28"/>
        </w:rPr>
        <w:t>中标磋商供应商因不可抗力或自身原因不能履行合同时，采购单位可以按照评审报告推荐的预中标候选磋商供应商名单排序，确定下一候选磋商供应商为中标磋商供应商，也可重新开展政府采购活动。</w:t>
      </w:r>
    </w:p>
    <w:p w14:paraId="3D7B06D6">
      <w:pPr>
        <w:pStyle w:val="17"/>
        <w:numPr>
          <w:ilvl w:val="0"/>
          <w:numId w:val="0"/>
        </w:numPr>
        <w:spacing w:line="360" w:lineRule="auto"/>
        <w:ind w:left="141" w:leftChars="0" w:firstLine="240" w:firstLineChars="100"/>
        <w:jc w:val="left"/>
        <w:rPr>
          <w:rFonts w:hAnsi="宋体"/>
          <w:sz w:val="24"/>
          <w:szCs w:val="24"/>
        </w:rPr>
      </w:pPr>
      <w:r>
        <w:rPr>
          <w:rFonts w:hint="eastAsia" w:hAnsi="宋体" w:cs="宋体"/>
          <w:sz w:val="24"/>
          <w:szCs w:val="24"/>
          <w:shd w:val="clear" w:color="auto" w:fill="FFFFFF"/>
          <w:lang w:val="en-US" w:eastAsia="zh-CN"/>
        </w:rPr>
        <w:t>23.3</w:t>
      </w:r>
      <w:r>
        <w:rPr>
          <w:rFonts w:hint="eastAsia" w:hAnsi="宋体" w:cs="宋体"/>
          <w:sz w:val="24"/>
          <w:szCs w:val="24"/>
          <w:shd w:val="clear" w:color="auto" w:fill="FFFFFF"/>
        </w:rPr>
        <w:t>评标结果汇总完成后，除下列情形外，任何人不得修改评标结果：</w:t>
      </w:r>
    </w:p>
    <w:p w14:paraId="50B50C69">
      <w:pPr>
        <w:pStyle w:val="17"/>
        <w:numPr>
          <w:ilvl w:val="0"/>
          <w:numId w:val="15"/>
        </w:numPr>
        <w:spacing w:line="360" w:lineRule="auto"/>
        <w:jc w:val="left"/>
        <w:rPr>
          <w:rFonts w:hAnsi="宋体"/>
          <w:sz w:val="24"/>
          <w:szCs w:val="24"/>
        </w:rPr>
      </w:pPr>
      <w:r>
        <w:rPr>
          <w:rFonts w:hint="eastAsia" w:hAnsi="宋体" w:cs="宋体"/>
          <w:sz w:val="24"/>
          <w:szCs w:val="24"/>
          <w:shd w:val="clear" w:color="auto" w:fill="FFFFFF"/>
        </w:rPr>
        <w:t>分值汇总计算错误的；</w:t>
      </w:r>
    </w:p>
    <w:p w14:paraId="681A92E0">
      <w:pPr>
        <w:pStyle w:val="17"/>
        <w:numPr>
          <w:ilvl w:val="0"/>
          <w:numId w:val="15"/>
        </w:numPr>
        <w:spacing w:line="360" w:lineRule="auto"/>
        <w:jc w:val="left"/>
        <w:rPr>
          <w:rFonts w:hAnsi="宋体"/>
          <w:sz w:val="24"/>
          <w:szCs w:val="24"/>
        </w:rPr>
      </w:pPr>
      <w:r>
        <w:rPr>
          <w:rFonts w:hint="eastAsia" w:hAnsi="宋体" w:cs="宋体"/>
          <w:sz w:val="24"/>
          <w:szCs w:val="24"/>
          <w:shd w:val="clear" w:color="auto" w:fill="FFFFFF"/>
        </w:rPr>
        <w:t>分项评分超出评分标准范围的；</w:t>
      </w:r>
    </w:p>
    <w:p w14:paraId="677D1D1F">
      <w:pPr>
        <w:pStyle w:val="17"/>
        <w:numPr>
          <w:ilvl w:val="0"/>
          <w:numId w:val="15"/>
        </w:numPr>
        <w:spacing w:line="360" w:lineRule="auto"/>
        <w:jc w:val="left"/>
        <w:rPr>
          <w:rFonts w:hAnsi="宋体"/>
          <w:sz w:val="24"/>
          <w:szCs w:val="24"/>
        </w:rPr>
      </w:pPr>
      <w:r>
        <w:rPr>
          <w:rFonts w:hint="eastAsia" w:hAnsi="宋体" w:cs="宋体"/>
          <w:sz w:val="24"/>
          <w:szCs w:val="24"/>
          <w:shd w:val="clear" w:color="auto" w:fill="FFFFFF"/>
        </w:rPr>
        <w:t>评标委员会成员对客观评审因素评分不一致的；</w:t>
      </w:r>
    </w:p>
    <w:p w14:paraId="08861E62">
      <w:pPr>
        <w:pStyle w:val="17"/>
        <w:numPr>
          <w:ilvl w:val="0"/>
          <w:numId w:val="15"/>
        </w:numPr>
        <w:spacing w:line="360" w:lineRule="auto"/>
        <w:jc w:val="left"/>
        <w:rPr>
          <w:rFonts w:hAnsi="宋体"/>
          <w:sz w:val="24"/>
          <w:szCs w:val="24"/>
        </w:rPr>
      </w:pPr>
      <w:r>
        <w:rPr>
          <w:rFonts w:hint="eastAsia" w:hAnsi="宋体" w:cs="宋体"/>
          <w:sz w:val="24"/>
          <w:szCs w:val="24"/>
          <w:shd w:val="clear" w:color="auto" w:fill="FFFFFF"/>
        </w:rPr>
        <w:t>经评标委员会认定评分畸高、畸低的。</w:t>
      </w:r>
    </w:p>
    <w:p w14:paraId="7FD4BD27">
      <w:pPr>
        <w:autoSpaceDE w:val="0"/>
        <w:autoSpaceDN w:val="0"/>
        <w:spacing w:line="360" w:lineRule="auto"/>
        <w:ind w:left="1042" w:leftChars="496" w:firstLine="480" w:firstLineChars="200"/>
        <w:rPr>
          <w:rFonts w:ascii="宋体" w:hAnsi="宋体" w:cs="宋体"/>
          <w:sz w:val="24"/>
          <w:shd w:val="clear" w:color="auto" w:fill="FFFFFF"/>
        </w:rPr>
      </w:pPr>
      <w:r>
        <w:rPr>
          <w:rFonts w:hint="eastAsia" w:ascii="宋体" w:hAnsi="宋体" w:cs="宋体"/>
          <w:sz w:val="24"/>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9898172">
      <w:pPr>
        <w:pStyle w:val="17"/>
        <w:spacing w:line="360" w:lineRule="auto"/>
        <w:ind w:left="1042" w:leftChars="496" w:firstLine="480" w:firstLineChars="200"/>
        <w:jc w:val="left"/>
        <w:rPr>
          <w:rFonts w:hAnsi="宋体"/>
          <w:sz w:val="24"/>
          <w:szCs w:val="24"/>
        </w:rPr>
      </w:pPr>
      <w:r>
        <w:rPr>
          <w:rFonts w:hint="eastAsia" w:hAnsi="宋体" w:cs="宋体"/>
          <w:sz w:val="24"/>
          <w:szCs w:val="24"/>
          <w:shd w:val="clear" w:color="auto" w:fill="FFFFFF"/>
        </w:rPr>
        <w:t>磋商人对以上情形提出质疑的，采购人或者采购代理机构可以组织原评标委员会进行重新评审，重新评审改变评标结果的，应当书面报告本级财政部门。</w:t>
      </w:r>
    </w:p>
    <w:p w14:paraId="0D22168E">
      <w:pPr>
        <w:pStyle w:val="5"/>
        <w:numPr>
          <w:ilvl w:val="0"/>
          <w:numId w:val="0"/>
        </w:numPr>
        <w:spacing w:before="0" w:after="0" w:line="360" w:lineRule="auto"/>
        <w:ind w:leftChars="0"/>
        <w:rPr>
          <w:rFonts w:ascii="宋体" w:hAnsi="宋体"/>
          <w:b w:val="0"/>
        </w:rPr>
      </w:pPr>
      <w:bookmarkStart w:id="172" w:name="_Toc488673638"/>
      <w:bookmarkStart w:id="173" w:name="_Toc1575323"/>
      <w:r>
        <w:rPr>
          <w:rFonts w:hint="eastAsia" w:ascii="宋体" w:hAnsi="宋体"/>
          <w:b w:val="0"/>
          <w:lang w:val="en-US" w:eastAsia="zh-CN"/>
        </w:rPr>
        <w:t>24.</w:t>
      </w:r>
      <w:r>
        <w:rPr>
          <w:rFonts w:hint="eastAsia" w:ascii="宋体" w:hAnsi="宋体"/>
          <w:b w:val="0"/>
        </w:rPr>
        <w:t>中标通知</w:t>
      </w:r>
      <w:bookmarkEnd w:id="172"/>
      <w:bookmarkEnd w:id="173"/>
    </w:p>
    <w:p w14:paraId="02E71B05">
      <w:pPr>
        <w:pStyle w:val="17"/>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24.1</w:t>
      </w:r>
      <w:r>
        <w:rPr>
          <w:rFonts w:hint="eastAsia" w:hAnsi="宋体" w:cs="宋体"/>
          <w:sz w:val="24"/>
          <w:szCs w:val="24"/>
        </w:rPr>
        <w:t>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磋商文件规定的方式确定中标人；磋商文件未规定的，采取随机抽取的方式确定。</w:t>
      </w:r>
    </w:p>
    <w:p w14:paraId="330592C7">
      <w:pPr>
        <w:pStyle w:val="17"/>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24.2</w:t>
      </w:r>
      <w:r>
        <w:rPr>
          <w:rFonts w:hint="eastAsia" w:hAnsi="宋体" w:cs="宋体"/>
          <w:sz w:val="24"/>
          <w:szCs w:val="24"/>
        </w:rPr>
        <w:t>采购人在收到评标报告5个工作日内未按评标报告推荐的中标候选人顺序确定中标人，又不能说明合法理由的，视同按评标报告推荐的顺序确定排名第一的中标候选人为中标人。</w:t>
      </w:r>
    </w:p>
    <w:p w14:paraId="5449BDCE">
      <w:pPr>
        <w:pStyle w:val="17"/>
        <w:numPr>
          <w:ilvl w:val="0"/>
          <w:numId w:val="0"/>
        </w:numPr>
        <w:spacing w:line="360" w:lineRule="auto"/>
        <w:ind w:left="141" w:leftChars="0" w:firstLine="240" w:firstLineChars="100"/>
        <w:jc w:val="left"/>
        <w:rPr>
          <w:rFonts w:hAnsi="宋体"/>
          <w:b/>
          <w:bCs/>
          <w:sz w:val="32"/>
        </w:rPr>
      </w:pPr>
      <w:r>
        <w:rPr>
          <w:rFonts w:hint="eastAsia" w:hAnsi="宋体"/>
          <w:sz w:val="24"/>
          <w:szCs w:val="28"/>
          <w:lang w:val="en-US" w:eastAsia="zh-CN"/>
        </w:rPr>
        <w:t>24.3</w:t>
      </w:r>
      <w:r>
        <w:rPr>
          <w:rFonts w:hint="eastAsia" w:hAnsi="宋体"/>
          <w:sz w:val="24"/>
          <w:szCs w:val="28"/>
        </w:rPr>
        <w:t>采购代理机构自中标磋商供应商确定之日起2个工作日内发出《中标通知书》，并在发布本次磋商公告的网站上发布中标结果公告。</w:t>
      </w:r>
    </w:p>
    <w:p w14:paraId="08ECF6E9">
      <w:pPr>
        <w:pStyle w:val="17"/>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24.4</w:t>
      </w:r>
      <w:r>
        <w:rPr>
          <w:rFonts w:hint="eastAsia" w:hAnsi="宋体" w:cs="宋体"/>
          <w:sz w:val="24"/>
          <w:szCs w:val="24"/>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32B1F6AF">
      <w:pPr>
        <w:pStyle w:val="17"/>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24.5</w:t>
      </w:r>
      <w:r>
        <w:rPr>
          <w:rFonts w:hint="eastAsia" w:hAnsi="宋体" w:cs="宋体"/>
          <w:sz w:val="24"/>
          <w:szCs w:val="24"/>
        </w:rPr>
        <w:t>中标公告期限为1个工作日。</w:t>
      </w:r>
    </w:p>
    <w:p w14:paraId="1539E1D5">
      <w:pPr>
        <w:pStyle w:val="17"/>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24.6</w:t>
      </w:r>
      <w:r>
        <w:rPr>
          <w:rFonts w:hint="eastAsia" w:hAnsi="宋体" w:cs="宋体"/>
          <w:sz w:val="24"/>
          <w:szCs w:val="24"/>
        </w:rPr>
        <w:t>在公告中标结果的同时，</w:t>
      </w:r>
      <w:r>
        <w:rPr>
          <w:rFonts w:hint="eastAsia" w:hAnsi="宋体" w:cs="宋体"/>
          <w:sz w:val="24"/>
          <w:szCs w:val="24"/>
          <w:shd w:val="clear" w:color="auto" w:fill="FFFFFF"/>
        </w:rPr>
        <w:t>采购人或者采购代理机构</w:t>
      </w:r>
      <w:r>
        <w:rPr>
          <w:rFonts w:hint="eastAsia" w:hAnsi="宋体" w:cs="宋体"/>
          <w:sz w:val="24"/>
          <w:szCs w:val="24"/>
        </w:rPr>
        <w:t>应当向中标人发出中标通知书；采用综合评分法评审的，还应当告知未中标人本人的评审得分与排序。</w:t>
      </w:r>
    </w:p>
    <w:p w14:paraId="48C86362">
      <w:pPr>
        <w:pStyle w:val="17"/>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24.7</w:t>
      </w:r>
      <w:r>
        <w:rPr>
          <w:rFonts w:hint="eastAsia" w:hAnsi="宋体" w:cs="宋体"/>
          <w:sz w:val="24"/>
          <w:szCs w:val="24"/>
        </w:rPr>
        <w:t>中标通知书发出后，采购人不得违法改变中标结果，中标人无正当理由不得放弃中标。</w:t>
      </w:r>
    </w:p>
    <w:p w14:paraId="61974DAE">
      <w:pPr>
        <w:pStyle w:val="17"/>
        <w:numPr>
          <w:ilvl w:val="0"/>
          <w:numId w:val="0"/>
        </w:numPr>
        <w:spacing w:line="360" w:lineRule="auto"/>
        <w:ind w:left="141" w:leftChars="0" w:firstLine="240" w:firstLineChars="100"/>
        <w:jc w:val="left"/>
        <w:rPr>
          <w:rFonts w:hAnsi="宋体"/>
          <w:b/>
          <w:bCs/>
          <w:sz w:val="32"/>
        </w:rPr>
      </w:pPr>
      <w:r>
        <w:rPr>
          <w:rFonts w:hint="eastAsia" w:hAnsi="宋体"/>
          <w:sz w:val="24"/>
          <w:szCs w:val="28"/>
          <w:lang w:val="en-US" w:eastAsia="zh-CN"/>
        </w:rPr>
        <w:t>24.8</w:t>
      </w:r>
      <w:r>
        <w:rPr>
          <w:rFonts w:hint="eastAsia" w:hAnsi="宋体"/>
          <w:sz w:val="24"/>
          <w:szCs w:val="28"/>
        </w:rPr>
        <w:t>《中标通知书》对采购单位和中标磋商供应商具有同等效力，《中标通知书》发出后，采购单位改变中标结果的，或者中标磋商供应商无正当理由放弃中标项目的，依法承担法律责任。</w:t>
      </w:r>
    </w:p>
    <w:p w14:paraId="4A6C1F9E">
      <w:pPr>
        <w:pStyle w:val="4"/>
        <w:numPr>
          <w:ilvl w:val="2"/>
          <w:numId w:val="0"/>
        </w:numPr>
        <w:ind w:leftChars="0"/>
        <w:jc w:val="center"/>
        <w:rPr>
          <w:rFonts w:hint="eastAsia" w:ascii="宋体" w:hAnsi="宋体" w:eastAsia="宋体" w:cs="宋体"/>
          <w:b/>
          <w:bCs/>
          <w:color w:val="auto"/>
          <w:kern w:val="2"/>
          <w:sz w:val="32"/>
          <w:szCs w:val="32"/>
          <w:lang w:val="en-US" w:eastAsia="zh-CN" w:bidi="ar-SA"/>
        </w:rPr>
      </w:pPr>
      <w:bookmarkStart w:id="174" w:name="_Toc1575324"/>
      <w:r>
        <w:rPr>
          <w:rFonts w:hint="eastAsia" w:ascii="宋体" w:hAnsi="宋体" w:eastAsia="宋体" w:cs="宋体"/>
          <w:b/>
          <w:bCs/>
          <w:color w:val="auto"/>
          <w:kern w:val="2"/>
          <w:sz w:val="32"/>
          <w:szCs w:val="32"/>
          <w:lang w:val="en-US" w:eastAsia="zh-CN" w:bidi="ar-SA"/>
        </w:rPr>
        <w:t>九、授予合同</w:t>
      </w:r>
      <w:bookmarkEnd w:id="174"/>
    </w:p>
    <w:p w14:paraId="6C8DD3EB">
      <w:pPr>
        <w:pStyle w:val="5"/>
        <w:numPr>
          <w:ilvl w:val="0"/>
          <w:numId w:val="0"/>
        </w:numPr>
        <w:spacing w:before="0" w:after="0" w:line="360" w:lineRule="auto"/>
        <w:ind w:leftChars="0"/>
        <w:rPr>
          <w:rFonts w:ascii="宋体" w:hAnsi="宋体"/>
          <w:b w:val="0"/>
        </w:rPr>
      </w:pPr>
      <w:bookmarkStart w:id="175" w:name="_Toc488673640"/>
      <w:bookmarkStart w:id="176" w:name="_Toc1575325"/>
      <w:r>
        <w:rPr>
          <w:rFonts w:hint="eastAsia" w:ascii="宋体" w:hAnsi="宋体"/>
          <w:b w:val="0"/>
          <w:lang w:val="en-US" w:eastAsia="zh-CN"/>
        </w:rPr>
        <w:t>25.</w:t>
      </w:r>
      <w:r>
        <w:rPr>
          <w:rFonts w:hint="eastAsia" w:ascii="宋体" w:hAnsi="宋体"/>
          <w:b w:val="0"/>
        </w:rPr>
        <w:t>签订合同</w:t>
      </w:r>
      <w:bookmarkEnd w:id="175"/>
      <w:bookmarkEnd w:id="176"/>
    </w:p>
    <w:p w14:paraId="38FFA9D3">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25.1</w:t>
      </w:r>
      <w:r>
        <w:rPr>
          <w:rFonts w:hint="eastAsia" w:hAnsi="宋体"/>
          <w:sz w:val="24"/>
          <w:szCs w:val="28"/>
        </w:rPr>
        <w:t>采购单位与中标磋商供应商双方应当自《中标通知书》发出之日起30日内，签订采购合同，送采购代理机构审核并备案；</w:t>
      </w:r>
    </w:p>
    <w:p w14:paraId="6C6A7516">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25.2</w:t>
      </w:r>
      <w:r>
        <w:rPr>
          <w:rFonts w:hint="eastAsia" w:hAnsi="宋体"/>
          <w:sz w:val="24"/>
          <w:szCs w:val="28"/>
        </w:rPr>
        <w:t>中标磋商供应商在法定期限内无正当理由拒签合同的，按违约处理。同时，采购代理机构和采购单位可依评标排序重新确定中标磋商供应商，并协调双方签订采购合同，或重新组织采购活动；</w:t>
      </w:r>
    </w:p>
    <w:p w14:paraId="5D247CC7">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25.3</w:t>
      </w:r>
      <w:r>
        <w:rPr>
          <w:rFonts w:hint="eastAsia" w:hAnsi="宋体"/>
          <w:sz w:val="24"/>
          <w:szCs w:val="28"/>
        </w:rPr>
        <w:t>采购单位不得向中标供应商提出任何不合理的要求作为订立合同的条件，采购单位和中标供应商不得私下订立背离合同实质性内容的协议；</w:t>
      </w:r>
    </w:p>
    <w:p w14:paraId="25076D7C">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25.4</w:t>
      </w:r>
      <w:r>
        <w:rPr>
          <w:rFonts w:hint="eastAsia" w:hAnsi="宋体"/>
          <w:sz w:val="24"/>
          <w:szCs w:val="28"/>
        </w:rPr>
        <w:t>磋商文件、中标磋商供应商的磋商响应文件、《中标通知书》及其澄清、说明文件、承诺等，均为签订采购合同的依据，作为采购合同的组成部分；</w:t>
      </w:r>
    </w:p>
    <w:p w14:paraId="44A856FF">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25.5</w:t>
      </w:r>
      <w:r>
        <w:rPr>
          <w:rFonts w:hint="eastAsia" w:hAnsi="宋体"/>
          <w:sz w:val="24"/>
          <w:szCs w:val="28"/>
        </w:rPr>
        <w:t>采购人与中标人应当根据合同的约定依法履行合同义务。政府采购合同的履行、违约责任和解决争议的方法等适用《中华人民共和国合同法》。</w:t>
      </w:r>
    </w:p>
    <w:p w14:paraId="4EF4D364">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25.6</w:t>
      </w:r>
      <w:r>
        <w:rPr>
          <w:rFonts w:hint="eastAsia" w:hAnsi="宋体"/>
          <w:sz w:val="24"/>
          <w:szCs w:val="28"/>
        </w:rPr>
        <w:t>采购人应当及时对采购项目进行验收。采购人可以邀请参加本项目的其他磋商人或者第三方机构参与验收。参与验收的磋商人或者第三方机构的意见作为验收书的参考资料一并存档。</w:t>
      </w:r>
    </w:p>
    <w:p w14:paraId="1571350A">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25.7</w:t>
      </w:r>
      <w:r>
        <w:rPr>
          <w:rFonts w:hint="eastAsia" w:hAnsi="宋体"/>
          <w:sz w:val="24"/>
          <w:szCs w:val="28"/>
        </w:rPr>
        <w:t>采购人应当加强对中标人的履约管理，并按照采购合同约定，及时向中标人支付采购资金。对于中标人违反采购合同约定的行为，采购人应当及时处理，依法追究其违约责任。</w:t>
      </w:r>
    </w:p>
    <w:p w14:paraId="33C1F4AC">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25.8</w:t>
      </w:r>
      <w:r>
        <w:rPr>
          <w:rFonts w:hint="eastAsia" w:hAnsi="宋体"/>
          <w:sz w:val="24"/>
          <w:szCs w:val="28"/>
        </w:rPr>
        <w:t>采购合同签订之日起2个工作日内，由采购单位将采购合同在青海政府采购网上公告，但采购合同中涉及国家秘密、商业秘密的内容除外。</w:t>
      </w:r>
    </w:p>
    <w:p w14:paraId="5A06B08A">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28.9</w:t>
      </w:r>
      <w:r>
        <w:rPr>
          <w:rFonts w:hint="eastAsia" w:hAnsi="宋体"/>
          <w:sz w:val="24"/>
          <w:szCs w:val="28"/>
        </w:rPr>
        <w:t>采购人、采购代理机构应当建立真实完整的招标采购档案，妥善保存每项采购活动的磋商文件。</w:t>
      </w:r>
    </w:p>
    <w:p w14:paraId="4D099F5F">
      <w:pPr>
        <w:pStyle w:val="4"/>
        <w:numPr>
          <w:ilvl w:val="2"/>
          <w:numId w:val="0"/>
        </w:numPr>
        <w:ind w:leftChars="0"/>
        <w:jc w:val="center"/>
        <w:rPr>
          <w:rFonts w:hint="eastAsia" w:ascii="宋体" w:hAnsi="宋体" w:eastAsia="宋体" w:cs="宋体"/>
          <w:b/>
          <w:bCs/>
          <w:color w:val="auto"/>
          <w:kern w:val="2"/>
          <w:sz w:val="32"/>
          <w:szCs w:val="32"/>
          <w:lang w:val="en-US" w:eastAsia="zh-CN" w:bidi="ar-SA"/>
        </w:rPr>
      </w:pPr>
      <w:bookmarkStart w:id="177" w:name="_Toc1575326"/>
      <w:r>
        <w:rPr>
          <w:rFonts w:hint="eastAsia" w:ascii="宋体" w:hAnsi="宋体" w:eastAsia="宋体" w:cs="宋体"/>
          <w:b/>
          <w:bCs/>
          <w:color w:val="auto"/>
          <w:kern w:val="2"/>
          <w:sz w:val="32"/>
          <w:szCs w:val="32"/>
          <w:lang w:val="en-US" w:eastAsia="zh-CN" w:bidi="ar-SA"/>
        </w:rPr>
        <w:t>十、废标条款</w:t>
      </w:r>
      <w:bookmarkEnd w:id="177"/>
    </w:p>
    <w:p w14:paraId="2960DEE1">
      <w:pPr>
        <w:pStyle w:val="5"/>
        <w:numPr>
          <w:ilvl w:val="0"/>
          <w:numId w:val="0"/>
        </w:numPr>
        <w:spacing w:before="0" w:after="0" w:line="360" w:lineRule="auto"/>
        <w:ind w:leftChars="0"/>
        <w:rPr>
          <w:rFonts w:ascii="宋体" w:hAnsi="宋体"/>
          <w:b w:val="0"/>
        </w:rPr>
      </w:pPr>
      <w:bookmarkStart w:id="178" w:name="_Toc488673642"/>
      <w:bookmarkStart w:id="179" w:name="_Toc1575327"/>
      <w:r>
        <w:rPr>
          <w:rFonts w:hint="eastAsia" w:ascii="宋体" w:hAnsi="宋体"/>
          <w:b w:val="0"/>
          <w:lang w:val="en-US" w:eastAsia="zh-CN"/>
        </w:rPr>
        <w:t>29.</w:t>
      </w:r>
      <w:r>
        <w:rPr>
          <w:rFonts w:hint="eastAsia" w:ascii="宋体" w:hAnsi="宋体"/>
          <w:b w:val="0"/>
        </w:rPr>
        <w:t>废标情形</w:t>
      </w:r>
      <w:bookmarkEnd w:id="178"/>
      <w:bookmarkEnd w:id="179"/>
    </w:p>
    <w:p w14:paraId="208675B8">
      <w:pPr>
        <w:pStyle w:val="17"/>
        <w:numPr>
          <w:ilvl w:val="0"/>
          <w:numId w:val="0"/>
        </w:numPr>
        <w:spacing w:line="360" w:lineRule="auto"/>
        <w:ind w:firstLine="240" w:firstLineChars="100"/>
        <w:jc w:val="left"/>
        <w:rPr>
          <w:rFonts w:hAnsi="宋体"/>
          <w:sz w:val="24"/>
          <w:szCs w:val="28"/>
        </w:rPr>
      </w:pPr>
      <w:r>
        <w:rPr>
          <w:rFonts w:hint="eastAsia" w:hAnsi="宋体" w:cs="Arial"/>
          <w:sz w:val="24"/>
          <w:szCs w:val="24"/>
          <w:lang w:val="en-US" w:eastAsia="zh-CN"/>
        </w:rPr>
        <w:t>29.1</w:t>
      </w:r>
      <w:r>
        <w:rPr>
          <w:rFonts w:hAnsi="宋体" w:cs="Arial"/>
          <w:sz w:val="24"/>
          <w:szCs w:val="24"/>
        </w:rPr>
        <w:t>在磋商采购中，出现下列情形之一的，应予废标</w:t>
      </w:r>
      <w:r>
        <w:rPr>
          <w:rFonts w:hint="eastAsia" w:hAnsi="宋体" w:cs="Arial"/>
          <w:sz w:val="24"/>
          <w:szCs w:val="24"/>
        </w:rPr>
        <w:t>：</w:t>
      </w:r>
    </w:p>
    <w:p w14:paraId="3D5541E4">
      <w:pPr>
        <w:pStyle w:val="17"/>
        <w:numPr>
          <w:ilvl w:val="0"/>
          <w:numId w:val="16"/>
        </w:numPr>
        <w:spacing w:line="360" w:lineRule="auto"/>
        <w:rPr>
          <w:rFonts w:hAnsi="宋体" w:cs="Arial"/>
          <w:sz w:val="24"/>
          <w:szCs w:val="24"/>
        </w:rPr>
      </w:pPr>
      <w:r>
        <w:rPr>
          <w:rFonts w:hint="eastAsia" w:hAnsi="宋体" w:cs="Arial"/>
          <w:sz w:val="24"/>
          <w:szCs w:val="24"/>
        </w:rPr>
        <w:t>符合磋商条件的磋商供应商或者对磋商文件作出实质性响应的磋商供应商不足三家的；</w:t>
      </w:r>
    </w:p>
    <w:p w14:paraId="7584F359">
      <w:pPr>
        <w:pStyle w:val="17"/>
        <w:numPr>
          <w:ilvl w:val="0"/>
          <w:numId w:val="16"/>
        </w:numPr>
        <w:spacing w:line="360" w:lineRule="auto"/>
        <w:rPr>
          <w:rFonts w:hAnsi="宋体" w:cs="Arial"/>
          <w:sz w:val="24"/>
          <w:szCs w:val="24"/>
        </w:rPr>
      </w:pPr>
      <w:r>
        <w:rPr>
          <w:rFonts w:hint="eastAsia" w:hAnsi="宋体" w:cs="Arial"/>
          <w:sz w:val="24"/>
          <w:szCs w:val="24"/>
        </w:rPr>
        <w:t>出现影响采购活动正常推进的违法、违规行为的；</w:t>
      </w:r>
    </w:p>
    <w:p w14:paraId="1A803177">
      <w:pPr>
        <w:pStyle w:val="17"/>
        <w:numPr>
          <w:ilvl w:val="0"/>
          <w:numId w:val="16"/>
        </w:numPr>
        <w:spacing w:line="360" w:lineRule="auto"/>
        <w:rPr>
          <w:rFonts w:hAnsi="宋体" w:cs="Arial"/>
          <w:sz w:val="24"/>
          <w:szCs w:val="24"/>
        </w:rPr>
      </w:pPr>
      <w:r>
        <w:rPr>
          <w:rFonts w:hint="eastAsia" w:hAnsi="宋体" w:cs="Arial"/>
          <w:sz w:val="24"/>
          <w:szCs w:val="24"/>
        </w:rPr>
        <w:t>磋商供应商的报价均超出采购预算额度，采购单位不能支付的；</w:t>
      </w:r>
    </w:p>
    <w:p w14:paraId="3E83ECD2">
      <w:pPr>
        <w:pStyle w:val="17"/>
        <w:numPr>
          <w:ilvl w:val="0"/>
          <w:numId w:val="16"/>
        </w:numPr>
        <w:spacing w:line="360" w:lineRule="auto"/>
        <w:rPr>
          <w:rFonts w:hAnsi="宋体" w:cs="Arial"/>
          <w:sz w:val="24"/>
          <w:szCs w:val="24"/>
        </w:rPr>
      </w:pPr>
      <w:r>
        <w:rPr>
          <w:rFonts w:hint="eastAsia" w:hAnsi="宋体" w:cs="Arial"/>
          <w:sz w:val="24"/>
          <w:szCs w:val="24"/>
        </w:rPr>
        <w:t>因重大变故，采购任务取消的。</w:t>
      </w:r>
    </w:p>
    <w:p w14:paraId="3E105306">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29.2</w:t>
      </w:r>
      <w:r>
        <w:rPr>
          <w:rFonts w:hint="eastAsia" w:hAnsi="宋体"/>
          <w:sz w:val="24"/>
          <w:szCs w:val="28"/>
        </w:rPr>
        <w:t>废标后，由采购代理机构发布废标公告。</w:t>
      </w:r>
    </w:p>
    <w:p w14:paraId="203D2A58">
      <w:pPr>
        <w:pStyle w:val="4"/>
        <w:numPr>
          <w:ilvl w:val="2"/>
          <w:numId w:val="0"/>
        </w:numPr>
        <w:ind w:leftChars="0"/>
        <w:jc w:val="center"/>
        <w:rPr>
          <w:rFonts w:hint="eastAsia" w:ascii="宋体" w:hAnsi="宋体" w:eastAsia="宋体" w:cs="宋体"/>
          <w:b/>
          <w:bCs/>
          <w:color w:val="auto"/>
          <w:kern w:val="2"/>
          <w:sz w:val="32"/>
          <w:szCs w:val="32"/>
          <w:lang w:val="en-US" w:eastAsia="zh-CN" w:bidi="ar-SA"/>
        </w:rPr>
      </w:pPr>
      <w:bookmarkStart w:id="180" w:name="_Toc1575328"/>
      <w:r>
        <w:rPr>
          <w:rFonts w:hint="eastAsia" w:ascii="宋体" w:hAnsi="宋体" w:eastAsia="宋体" w:cs="宋体"/>
          <w:b/>
          <w:bCs/>
          <w:color w:val="auto"/>
          <w:kern w:val="2"/>
          <w:sz w:val="32"/>
          <w:szCs w:val="32"/>
          <w:lang w:val="en-US" w:eastAsia="zh-CN" w:bidi="ar-SA"/>
        </w:rPr>
        <w:t>十一、其他</w:t>
      </w:r>
      <w:bookmarkEnd w:id="180"/>
    </w:p>
    <w:p w14:paraId="52160259">
      <w:pPr>
        <w:pStyle w:val="5"/>
        <w:numPr>
          <w:ilvl w:val="0"/>
          <w:numId w:val="0"/>
        </w:numPr>
        <w:spacing w:before="0" w:after="0" w:line="360" w:lineRule="auto"/>
        <w:ind w:leftChars="0"/>
        <w:rPr>
          <w:rFonts w:ascii="宋体" w:hAnsi="宋体"/>
          <w:b w:val="0"/>
        </w:rPr>
      </w:pPr>
      <w:bookmarkStart w:id="181" w:name="_Toc488673644"/>
      <w:bookmarkStart w:id="182" w:name="_Toc1575329"/>
      <w:r>
        <w:rPr>
          <w:rFonts w:hint="eastAsia" w:ascii="宋体" w:hAnsi="宋体"/>
          <w:b w:val="0"/>
          <w:lang w:val="en-US" w:eastAsia="zh-CN"/>
        </w:rPr>
        <w:t>30.</w:t>
      </w:r>
      <w:r>
        <w:rPr>
          <w:rFonts w:hint="eastAsia" w:ascii="宋体" w:hAnsi="宋体"/>
          <w:b w:val="0"/>
        </w:rPr>
        <w:t>串标情形</w:t>
      </w:r>
      <w:bookmarkEnd w:id="181"/>
      <w:bookmarkEnd w:id="182"/>
    </w:p>
    <w:p w14:paraId="7C5BB3D4">
      <w:pPr>
        <w:pStyle w:val="17"/>
        <w:numPr>
          <w:ilvl w:val="0"/>
          <w:numId w:val="0"/>
        </w:numPr>
        <w:spacing w:line="360" w:lineRule="auto"/>
        <w:ind w:firstLine="240" w:firstLineChars="100"/>
        <w:jc w:val="left"/>
        <w:rPr>
          <w:rFonts w:hAnsi="宋体"/>
          <w:sz w:val="24"/>
          <w:szCs w:val="28"/>
        </w:rPr>
      </w:pPr>
      <w:r>
        <w:rPr>
          <w:rFonts w:hint="eastAsia" w:hAnsi="宋体"/>
          <w:sz w:val="24"/>
          <w:szCs w:val="28"/>
          <w:lang w:val="en-US" w:eastAsia="zh-CN"/>
        </w:rPr>
        <w:t>30.1</w:t>
      </w:r>
      <w:r>
        <w:rPr>
          <w:rFonts w:hint="eastAsia" w:hAnsi="宋体"/>
          <w:sz w:val="24"/>
          <w:szCs w:val="28"/>
        </w:rPr>
        <w:t>磋商人应当遵循公平竞争的原则，不得恶意串通，不得妨碍其他磋商人的竞争行为，不得损害采购人或者其他磋商人的合法权益</w:t>
      </w:r>
      <w:r>
        <w:rPr>
          <w:rFonts w:hint="eastAsia" w:hAnsi="宋体" w:cs="宋体"/>
        </w:rPr>
        <w:t>。</w:t>
      </w:r>
    </w:p>
    <w:p w14:paraId="14FDCC07">
      <w:pPr>
        <w:pStyle w:val="17"/>
        <w:spacing w:line="360" w:lineRule="auto"/>
        <w:ind w:firstLine="480" w:firstLineChars="200"/>
        <w:jc w:val="left"/>
        <w:rPr>
          <w:rFonts w:hAnsi="宋体" w:cs="宋体"/>
        </w:rPr>
      </w:pPr>
      <w:r>
        <w:rPr>
          <w:rFonts w:hint="eastAsia" w:hAnsi="宋体"/>
          <w:sz w:val="24"/>
          <w:szCs w:val="28"/>
        </w:rPr>
        <w:t>在评标过程中发现磋商人有上述情形的，评标委员会应当认定其投标无效，并书面报告本级财政部门</w:t>
      </w:r>
      <w:r>
        <w:rPr>
          <w:rFonts w:hint="eastAsia" w:hAnsi="宋体" w:cs="宋体"/>
        </w:rPr>
        <w:t>。</w:t>
      </w:r>
    </w:p>
    <w:p w14:paraId="7F122CF1">
      <w:pPr>
        <w:pStyle w:val="17"/>
        <w:numPr>
          <w:ilvl w:val="0"/>
          <w:numId w:val="0"/>
        </w:numPr>
        <w:spacing w:line="360" w:lineRule="auto"/>
        <w:ind w:firstLine="240" w:firstLineChars="100"/>
        <w:jc w:val="left"/>
        <w:rPr>
          <w:rFonts w:hAnsi="宋体"/>
          <w:sz w:val="24"/>
          <w:szCs w:val="28"/>
        </w:rPr>
      </w:pPr>
      <w:r>
        <w:rPr>
          <w:rFonts w:hint="eastAsia" w:hAnsi="宋体"/>
          <w:sz w:val="24"/>
          <w:szCs w:val="28"/>
          <w:lang w:val="en-US" w:eastAsia="zh-CN"/>
        </w:rPr>
        <w:t>30.2</w:t>
      </w:r>
      <w:r>
        <w:rPr>
          <w:rFonts w:hint="eastAsia" w:hAnsi="宋体"/>
          <w:sz w:val="24"/>
          <w:szCs w:val="28"/>
        </w:rPr>
        <w:t>有下列情形之一的，视为磋商人串通投标，其投标无效：</w:t>
      </w:r>
    </w:p>
    <w:p w14:paraId="0F2C361D">
      <w:pPr>
        <w:pStyle w:val="17"/>
        <w:numPr>
          <w:ilvl w:val="0"/>
          <w:numId w:val="17"/>
        </w:numPr>
        <w:spacing w:line="360" w:lineRule="auto"/>
        <w:jc w:val="left"/>
        <w:rPr>
          <w:rFonts w:hAnsi="宋体"/>
          <w:sz w:val="24"/>
          <w:szCs w:val="24"/>
        </w:rPr>
      </w:pPr>
      <w:r>
        <w:rPr>
          <w:rFonts w:hint="eastAsia" w:hAnsi="宋体" w:cs="宋体"/>
          <w:sz w:val="24"/>
          <w:szCs w:val="24"/>
        </w:rPr>
        <w:t>不同磋商人的磋商响应文件由同一单位或者个人编制；</w:t>
      </w:r>
    </w:p>
    <w:p w14:paraId="45B5BD40">
      <w:pPr>
        <w:pStyle w:val="17"/>
        <w:numPr>
          <w:ilvl w:val="0"/>
          <w:numId w:val="17"/>
        </w:numPr>
        <w:spacing w:line="360" w:lineRule="auto"/>
        <w:jc w:val="left"/>
        <w:rPr>
          <w:rFonts w:hAnsi="宋体"/>
          <w:sz w:val="24"/>
          <w:szCs w:val="24"/>
        </w:rPr>
      </w:pPr>
      <w:r>
        <w:rPr>
          <w:rFonts w:hint="eastAsia" w:hAnsi="宋体" w:cs="宋体"/>
          <w:sz w:val="24"/>
          <w:szCs w:val="24"/>
        </w:rPr>
        <w:t>不同磋商人委托同一单位或者个人办理投标事宜；</w:t>
      </w:r>
    </w:p>
    <w:p w14:paraId="3113A585">
      <w:pPr>
        <w:pStyle w:val="17"/>
        <w:numPr>
          <w:ilvl w:val="0"/>
          <w:numId w:val="17"/>
        </w:numPr>
        <w:spacing w:line="360" w:lineRule="auto"/>
        <w:jc w:val="left"/>
        <w:rPr>
          <w:rFonts w:hAnsi="宋体"/>
          <w:sz w:val="24"/>
          <w:szCs w:val="24"/>
        </w:rPr>
      </w:pPr>
      <w:r>
        <w:rPr>
          <w:rFonts w:hint="eastAsia" w:hAnsi="宋体" w:cs="宋体"/>
          <w:sz w:val="24"/>
          <w:szCs w:val="24"/>
        </w:rPr>
        <w:t>不同磋商人的磋商响应文件载明的项目管理成员或者联系人员为同一人；</w:t>
      </w:r>
    </w:p>
    <w:p w14:paraId="3638E654">
      <w:pPr>
        <w:pStyle w:val="17"/>
        <w:numPr>
          <w:ilvl w:val="0"/>
          <w:numId w:val="17"/>
        </w:numPr>
        <w:spacing w:line="360" w:lineRule="auto"/>
        <w:jc w:val="left"/>
        <w:rPr>
          <w:rFonts w:hAnsi="宋体"/>
          <w:sz w:val="24"/>
          <w:szCs w:val="24"/>
        </w:rPr>
      </w:pPr>
      <w:r>
        <w:rPr>
          <w:rFonts w:hint="eastAsia" w:hAnsi="宋体" w:cs="宋体"/>
          <w:sz w:val="24"/>
          <w:szCs w:val="24"/>
        </w:rPr>
        <w:t>不同磋商人的磋商响应文件异常一致或者投标报价呈规律性差异；</w:t>
      </w:r>
    </w:p>
    <w:p w14:paraId="3623822B">
      <w:pPr>
        <w:pStyle w:val="17"/>
        <w:numPr>
          <w:ilvl w:val="0"/>
          <w:numId w:val="17"/>
        </w:numPr>
        <w:spacing w:line="360" w:lineRule="auto"/>
        <w:jc w:val="left"/>
        <w:rPr>
          <w:rFonts w:hAnsi="宋体"/>
          <w:sz w:val="24"/>
          <w:szCs w:val="24"/>
        </w:rPr>
      </w:pPr>
      <w:r>
        <w:rPr>
          <w:rFonts w:hint="eastAsia" w:hAnsi="宋体" w:cs="宋体"/>
          <w:sz w:val="24"/>
          <w:szCs w:val="24"/>
        </w:rPr>
        <w:t>不同磋商人的磋商响应文件相互混装；</w:t>
      </w:r>
    </w:p>
    <w:p w14:paraId="09FD18EB">
      <w:pPr>
        <w:pStyle w:val="17"/>
        <w:numPr>
          <w:ilvl w:val="0"/>
          <w:numId w:val="17"/>
        </w:numPr>
        <w:spacing w:line="360" w:lineRule="auto"/>
        <w:jc w:val="left"/>
        <w:rPr>
          <w:rFonts w:hAnsi="宋体"/>
          <w:sz w:val="24"/>
          <w:szCs w:val="24"/>
        </w:rPr>
      </w:pPr>
      <w:r>
        <w:rPr>
          <w:rFonts w:hint="eastAsia" w:hAnsi="宋体" w:cs="宋体"/>
          <w:sz w:val="24"/>
          <w:szCs w:val="24"/>
        </w:rPr>
        <w:t>不同磋商人的投标保证金从同一单位或者个人的账户转出。</w:t>
      </w:r>
    </w:p>
    <w:p w14:paraId="5B724C68">
      <w:pPr>
        <w:pStyle w:val="17"/>
        <w:numPr>
          <w:ilvl w:val="0"/>
          <w:numId w:val="0"/>
        </w:numPr>
        <w:spacing w:line="360" w:lineRule="auto"/>
        <w:ind w:firstLine="240" w:firstLineChars="100"/>
        <w:jc w:val="left"/>
        <w:rPr>
          <w:rFonts w:hAnsi="宋体"/>
          <w:sz w:val="24"/>
          <w:szCs w:val="28"/>
        </w:rPr>
      </w:pPr>
      <w:r>
        <w:rPr>
          <w:rFonts w:hint="eastAsia" w:hAnsi="宋体"/>
          <w:sz w:val="24"/>
          <w:szCs w:val="28"/>
          <w:lang w:val="en-US" w:eastAsia="zh-CN"/>
        </w:rPr>
        <w:t>30.3</w:t>
      </w:r>
      <w:r>
        <w:rPr>
          <w:rFonts w:hint="eastAsia" w:hAnsi="宋体"/>
          <w:sz w:val="24"/>
          <w:szCs w:val="28"/>
        </w:rPr>
        <w:t>其他未尽事宜，按照《中华人民共和国政府采购法》、《中华人民共和国合同法》、《中华人民共和国政府采购法实施条例》、《政府采购竞争性磋商采购方式管理暂行办法》等法律法规的有关条款执行。</w:t>
      </w:r>
    </w:p>
    <w:p w14:paraId="07E01C9C">
      <w:pPr>
        <w:pStyle w:val="24"/>
        <w:spacing w:before="0" w:after="0" w:line="360" w:lineRule="auto"/>
        <w:rPr>
          <w:rFonts w:ascii="宋体" w:hAnsi="宋体"/>
          <w:sz w:val="36"/>
          <w:szCs w:val="36"/>
        </w:rPr>
      </w:pPr>
      <w:r>
        <w:rPr>
          <w:rFonts w:hAnsi="宋体"/>
          <w:sz w:val="24"/>
          <w:szCs w:val="28"/>
        </w:rPr>
        <w:br w:type="page"/>
      </w:r>
      <w:bookmarkStart w:id="183" w:name="_Toc1575330"/>
      <w:r>
        <w:rPr>
          <w:rFonts w:hint="eastAsia" w:ascii="宋体" w:hAnsi="宋体"/>
          <w:sz w:val="36"/>
          <w:szCs w:val="36"/>
        </w:rPr>
        <w:t>第四部分</w:t>
      </w:r>
      <w:r>
        <w:rPr>
          <w:rFonts w:hint="eastAsia" w:ascii="宋体" w:hAnsi="宋体"/>
          <w:sz w:val="36"/>
          <w:szCs w:val="36"/>
          <w:lang w:val="en-US" w:eastAsia="zh-CN"/>
        </w:rPr>
        <w:t xml:space="preserve">  </w:t>
      </w:r>
      <w:r>
        <w:rPr>
          <w:rFonts w:hint="eastAsia" w:ascii="宋体" w:hAnsi="宋体"/>
          <w:sz w:val="36"/>
          <w:szCs w:val="36"/>
        </w:rPr>
        <w:t>青海省政府采购合同文本样式</w:t>
      </w:r>
      <w:bookmarkEnd w:id="183"/>
    </w:p>
    <w:p w14:paraId="7467AAAC">
      <w:pPr>
        <w:pStyle w:val="17"/>
        <w:spacing w:line="360" w:lineRule="auto"/>
        <w:ind w:firstLine="1124" w:firstLineChars="200"/>
        <w:jc w:val="left"/>
        <w:rPr>
          <w:rFonts w:hAnsi="宋体"/>
          <w:b/>
          <w:sz w:val="56"/>
          <w:szCs w:val="72"/>
        </w:rPr>
      </w:pPr>
    </w:p>
    <w:p w14:paraId="3A4A25BA">
      <w:pPr>
        <w:spacing w:line="360" w:lineRule="auto"/>
        <w:jc w:val="center"/>
        <w:rPr>
          <w:rFonts w:ascii="宋体" w:hAnsi="宋体"/>
          <w:b/>
          <w:spacing w:val="120"/>
          <w:sz w:val="56"/>
          <w:szCs w:val="72"/>
        </w:rPr>
      </w:pPr>
    </w:p>
    <w:p w14:paraId="0A27AE60">
      <w:pPr>
        <w:spacing w:line="360" w:lineRule="auto"/>
        <w:jc w:val="center"/>
        <w:rPr>
          <w:rFonts w:ascii="宋体" w:hAnsi="宋体"/>
          <w:b/>
          <w:spacing w:val="120"/>
          <w:sz w:val="56"/>
          <w:szCs w:val="72"/>
        </w:rPr>
      </w:pPr>
    </w:p>
    <w:p w14:paraId="65FC88AF">
      <w:pPr>
        <w:spacing w:line="360" w:lineRule="auto"/>
        <w:jc w:val="center"/>
        <w:rPr>
          <w:rFonts w:ascii="宋体" w:hAnsi="宋体"/>
          <w:b/>
          <w:spacing w:val="120"/>
          <w:sz w:val="56"/>
          <w:szCs w:val="72"/>
        </w:rPr>
      </w:pPr>
    </w:p>
    <w:p w14:paraId="70D1916B">
      <w:pPr>
        <w:spacing w:line="360" w:lineRule="auto"/>
        <w:jc w:val="center"/>
        <w:rPr>
          <w:rFonts w:ascii="宋体" w:hAnsi="宋体"/>
          <w:b/>
          <w:bCs/>
          <w:sz w:val="72"/>
          <w:szCs w:val="50"/>
          <w:lang w:val="zh-CN"/>
        </w:rPr>
      </w:pPr>
      <w:r>
        <w:rPr>
          <w:rFonts w:hint="eastAsia" w:ascii="宋体" w:hAnsi="宋体"/>
          <w:b/>
          <w:bCs/>
          <w:sz w:val="72"/>
          <w:szCs w:val="50"/>
          <w:lang w:val="zh-CN"/>
        </w:rPr>
        <w:t>青海省政府采购合同书</w:t>
      </w:r>
    </w:p>
    <w:p w14:paraId="2721A559">
      <w:pPr>
        <w:spacing w:line="360" w:lineRule="auto"/>
        <w:rPr>
          <w:rFonts w:ascii="宋体" w:hAnsi="宋体"/>
          <w:b/>
          <w:sz w:val="56"/>
          <w:szCs w:val="72"/>
        </w:rPr>
      </w:pPr>
    </w:p>
    <w:p w14:paraId="48FE03EE">
      <w:pPr>
        <w:spacing w:line="360" w:lineRule="auto"/>
        <w:rPr>
          <w:rFonts w:ascii="宋体" w:hAnsi="宋体"/>
          <w:b/>
          <w:sz w:val="56"/>
          <w:szCs w:val="72"/>
        </w:rPr>
      </w:pPr>
    </w:p>
    <w:p w14:paraId="2467A2BF">
      <w:pPr>
        <w:spacing w:line="360" w:lineRule="auto"/>
        <w:rPr>
          <w:rFonts w:ascii="宋体" w:hAnsi="宋体"/>
          <w:b/>
          <w:sz w:val="24"/>
          <w:szCs w:val="28"/>
        </w:rPr>
      </w:pPr>
    </w:p>
    <w:p w14:paraId="0213283C">
      <w:pPr>
        <w:spacing w:line="360" w:lineRule="auto"/>
        <w:ind w:left="2405" w:leftChars="342" w:hanging="1687" w:hangingChars="700"/>
        <w:rPr>
          <w:rFonts w:hint="eastAsia" w:ascii="宋体" w:hAnsi="宋体"/>
          <w:b/>
          <w:sz w:val="24"/>
          <w:szCs w:val="28"/>
          <w:u w:val="single"/>
          <w:lang w:eastAsia="zh-CN"/>
        </w:rPr>
      </w:pPr>
      <w:r>
        <w:rPr>
          <w:rFonts w:hint="eastAsia" w:ascii="宋体" w:hAnsi="宋体"/>
          <w:b/>
          <w:sz w:val="24"/>
          <w:szCs w:val="28"/>
        </w:rPr>
        <w:t>采购项目名称：</w:t>
      </w:r>
      <w:r>
        <w:rPr>
          <w:rFonts w:hint="eastAsia" w:ascii="宋体" w:hAnsi="宋体"/>
          <w:b/>
          <w:sz w:val="24"/>
          <w:szCs w:val="28"/>
          <w:u w:val="single"/>
          <w:lang w:eastAsia="zh-CN"/>
        </w:rPr>
        <w:t>2025年西宁市湟中区职业教育中心“双优计划”“建设”（数字智慧校园建设）项目</w:t>
      </w:r>
    </w:p>
    <w:p w14:paraId="0FC949B8">
      <w:pPr>
        <w:spacing w:line="360" w:lineRule="auto"/>
        <w:ind w:firstLine="723" w:firstLineChars="300"/>
        <w:rPr>
          <w:rFonts w:ascii="宋体" w:hAnsi="宋体"/>
          <w:b/>
          <w:sz w:val="24"/>
          <w:szCs w:val="28"/>
          <w:u w:val="single"/>
        </w:rPr>
      </w:pPr>
      <w:r>
        <w:rPr>
          <w:rFonts w:ascii="宋体" w:hAnsi="宋体"/>
          <w:b/>
          <w:sz w:val="24"/>
          <w:szCs w:val="28"/>
        </w:rPr>
        <w:t>采购项目编号</w:t>
      </w:r>
      <w:r>
        <w:rPr>
          <w:rFonts w:hint="eastAsia" w:ascii="宋体" w:hAnsi="宋体"/>
          <w:b/>
          <w:sz w:val="24"/>
          <w:szCs w:val="28"/>
        </w:rPr>
        <w:t>：</w:t>
      </w:r>
      <w:r>
        <w:rPr>
          <w:rFonts w:hint="eastAsia" w:ascii="宋体" w:hAnsi="宋体"/>
          <w:b/>
          <w:sz w:val="24"/>
          <w:szCs w:val="28"/>
          <w:u w:val="single"/>
          <w:lang w:eastAsia="zh-CN"/>
        </w:rPr>
        <w:t>青海丰研竞磋（货物）2025-00</w:t>
      </w:r>
      <w:r>
        <w:rPr>
          <w:rFonts w:hint="eastAsia" w:ascii="宋体" w:hAnsi="宋体"/>
          <w:b/>
          <w:sz w:val="24"/>
          <w:szCs w:val="28"/>
          <w:u w:val="single"/>
          <w:lang w:val="en-US" w:eastAsia="zh-CN"/>
        </w:rPr>
        <w:t>7号</w:t>
      </w:r>
      <w:r>
        <w:rPr>
          <w:rFonts w:hint="eastAsia" w:ascii="宋体" w:hAnsi="宋体"/>
          <w:b/>
          <w:sz w:val="24"/>
          <w:szCs w:val="28"/>
          <w:u w:val="single"/>
        </w:rPr>
        <w:t xml:space="preserve">                 </w:t>
      </w:r>
    </w:p>
    <w:p w14:paraId="5AAF78DF">
      <w:pPr>
        <w:spacing w:line="360" w:lineRule="auto"/>
        <w:ind w:firstLine="723" w:firstLineChars="300"/>
        <w:rPr>
          <w:rFonts w:ascii="宋体" w:hAnsi="宋体"/>
          <w:b/>
          <w:sz w:val="24"/>
          <w:szCs w:val="28"/>
          <w:u w:val="single"/>
        </w:rPr>
      </w:pPr>
      <w:r>
        <w:rPr>
          <w:rFonts w:ascii="宋体" w:hAnsi="宋体"/>
          <w:b/>
          <w:sz w:val="24"/>
          <w:szCs w:val="28"/>
        </w:rPr>
        <w:t>采购合同编号</w:t>
      </w:r>
      <w:r>
        <w:rPr>
          <w:rFonts w:hint="eastAsia" w:ascii="宋体" w:hAnsi="宋体"/>
          <w:b/>
          <w:sz w:val="24"/>
          <w:szCs w:val="28"/>
        </w:rPr>
        <w:t>：</w:t>
      </w:r>
      <w:r>
        <w:rPr>
          <w:rFonts w:hint="eastAsia" w:ascii="宋体" w:hAnsi="宋体"/>
          <w:b/>
          <w:sz w:val="24"/>
          <w:szCs w:val="28"/>
          <w:u w:val="single"/>
          <w:lang w:val="en-US" w:eastAsia="zh-CN"/>
        </w:rPr>
        <w:t>QHFY</w:t>
      </w:r>
      <w:r>
        <w:rPr>
          <w:rFonts w:hint="eastAsia" w:ascii="宋体" w:hAnsi="宋体"/>
          <w:b/>
          <w:sz w:val="24"/>
          <w:szCs w:val="28"/>
          <w:u w:val="single"/>
        </w:rPr>
        <w:t>-20</w:t>
      </w:r>
      <w:r>
        <w:rPr>
          <w:rFonts w:hint="eastAsia" w:ascii="宋体" w:hAnsi="宋体" w:eastAsia="宋体" w:cs="Times New Roman"/>
          <w:b/>
          <w:sz w:val="24"/>
          <w:szCs w:val="28"/>
          <w:u w:val="single"/>
          <w:lang w:eastAsia="zh-CN"/>
        </w:rPr>
        <w:t>2</w:t>
      </w:r>
      <w:r>
        <w:rPr>
          <w:rFonts w:hint="eastAsia" w:ascii="宋体" w:hAnsi="宋体" w:cs="Times New Roman"/>
          <w:b/>
          <w:sz w:val="24"/>
          <w:szCs w:val="28"/>
          <w:u w:val="single"/>
          <w:lang w:val="en-US" w:eastAsia="zh-CN"/>
        </w:rPr>
        <w:t>5</w:t>
      </w:r>
      <w:r>
        <w:rPr>
          <w:rFonts w:hint="eastAsia" w:ascii="宋体" w:hAnsi="宋体" w:eastAsia="宋体" w:cs="Times New Roman"/>
          <w:b/>
          <w:sz w:val="24"/>
          <w:szCs w:val="28"/>
          <w:u w:val="single"/>
          <w:lang w:eastAsia="zh-CN"/>
        </w:rPr>
        <w:t>-0</w:t>
      </w:r>
      <w:r>
        <w:rPr>
          <w:rFonts w:hint="eastAsia" w:ascii="宋体" w:hAnsi="宋体" w:cs="Times New Roman"/>
          <w:b/>
          <w:sz w:val="24"/>
          <w:szCs w:val="28"/>
          <w:u w:val="single"/>
          <w:lang w:val="en-US" w:eastAsia="zh-CN"/>
        </w:rPr>
        <w:t>07</w:t>
      </w:r>
      <w:r>
        <w:rPr>
          <w:rFonts w:hint="eastAsia" w:ascii="宋体" w:hAnsi="宋体"/>
          <w:b/>
          <w:sz w:val="24"/>
          <w:szCs w:val="28"/>
          <w:u w:val="single"/>
        </w:rPr>
        <w:t xml:space="preserve">                        </w:t>
      </w:r>
    </w:p>
    <w:p w14:paraId="2AE0113B">
      <w:pPr>
        <w:spacing w:line="360" w:lineRule="auto"/>
        <w:ind w:firstLine="723" w:firstLineChars="300"/>
        <w:rPr>
          <w:rFonts w:ascii="宋体" w:hAnsi="宋体"/>
          <w:b/>
          <w:sz w:val="24"/>
          <w:szCs w:val="28"/>
          <w:u w:val="single"/>
        </w:rPr>
      </w:pPr>
      <w:r>
        <w:rPr>
          <w:rFonts w:ascii="宋体" w:hAnsi="宋体"/>
          <w:b/>
          <w:sz w:val="24"/>
          <w:szCs w:val="28"/>
        </w:rPr>
        <w:t>合同金额</w:t>
      </w:r>
      <w:r>
        <w:rPr>
          <w:rFonts w:hint="eastAsia" w:ascii="宋体" w:hAnsi="宋体"/>
          <w:b/>
          <w:sz w:val="24"/>
          <w:szCs w:val="28"/>
        </w:rPr>
        <w:t>（</w:t>
      </w:r>
      <w:r>
        <w:rPr>
          <w:rFonts w:ascii="宋体" w:hAnsi="宋体"/>
          <w:b/>
          <w:sz w:val="24"/>
          <w:szCs w:val="28"/>
        </w:rPr>
        <w:t>人民币</w:t>
      </w:r>
      <w:r>
        <w:rPr>
          <w:rFonts w:hint="eastAsia" w:ascii="宋体" w:hAnsi="宋体"/>
          <w:b/>
          <w:sz w:val="24"/>
          <w:szCs w:val="28"/>
        </w:rPr>
        <w:t>）：</w:t>
      </w:r>
      <w:r>
        <w:rPr>
          <w:rFonts w:hint="eastAsia" w:ascii="宋体" w:hAnsi="宋体"/>
          <w:b/>
          <w:sz w:val="24"/>
          <w:szCs w:val="28"/>
          <w:u w:val="single"/>
        </w:rPr>
        <w:t xml:space="preserve">                                              </w:t>
      </w:r>
    </w:p>
    <w:p w14:paraId="2E6CBA74">
      <w:pPr>
        <w:spacing w:line="360" w:lineRule="auto"/>
        <w:ind w:firstLine="723" w:firstLineChars="300"/>
        <w:rPr>
          <w:rFonts w:ascii="宋体" w:hAnsi="宋体"/>
          <w:b/>
          <w:sz w:val="24"/>
          <w:szCs w:val="28"/>
          <w:u w:val="single"/>
        </w:rPr>
      </w:pPr>
      <w:r>
        <w:rPr>
          <w:rFonts w:hint="eastAsia" w:ascii="宋体" w:hAnsi="宋体"/>
          <w:b/>
          <w:sz w:val="24"/>
          <w:szCs w:val="28"/>
        </w:rPr>
        <w:t>采购单位（</w:t>
      </w:r>
      <w:r>
        <w:rPr>
          <w:rFonts w:ascii="宋体" w:hAnsi="宋体"/>
          <w:b/>
          <w:sz w:val="24"/>
          <w:szCs w:val="28"/>
        </w:rPr>
        <w:t>甲方</w:t>
      </w:r>
      <w:r>
        <w:rPr>
          <w:rFonts w:hint="eastAsia" w:ascii="宋体" w:hAnsi="宋体"/>
          <w:b/>
          <w:sz w:val="24"/>
          <w:szCs w:val="28"/>
        </w:rPr>
        <w:t>）：</w:t>
      </w:r>
      <w:r>
        <w:rPr>
          <w:rFonts w:hint="eastAsia" w:ascii="宋体" w:hAnsi="宋体"/>
          <w:b/>
          <w:sz w:val="24"/>
          <w:szCs w:val="28"/>
          <w:u w:val="single"/>
        </w:rPr>
        <w:t xml:space="preserve">                                        （盖章）</w:t>
      </w:r>
    </w:p>
    <w:p w14:paraId="2155DAB3">
      <w:pPr>
        <w:spacing w:line="360" w:lineRule="auto"/>
        <w:ind w:firstLine="723" w:firstLineChars="300"/>
        <w:rPr>
          <w:rFonts w:ascii="宋体" w:hAnsi="宋体"/>
          <w:b/>
          <w:sz w:val="24"/>
          <w:szCs w:val="28"/>
          <w:u w:val="single"/>
        </w:rPr>
      </w:pPr>
      <w:r>
        <w:rPr>
          <w:rFonts w:hint="eastAsia" w:ascii="宋体" w:hAnsi="宋体"/>
          <w:b/>
          <w:sz w:val="24"/>
          <w:szCs w:val="28"/>
        </w:rPr>
        <w:t>成交</w:t>
      </w:r>
      <w:r>
        <w:rPr>
          <w:rFonts w:ascii="宋体" w:hAnsi="宋体"/>
          <w:b/>
          <w:sz w:val="24"/>
          <w:szCs w:val="28"/>
        </w:rPr>
        <w:t>供应商</w:t>
      </w:r>
      <w:r>
        <w:rPr>
          <w:rFonts w:hint="eastAsia" w:ascii="宋体" w:hAnsi="宋体"/>
          <w:b/>
          <w:sz w:val="24"/>
          <w:szCs w:val="28"/>
        </w:rPr>
        <w:t>（</w:t>
      </w:r>
      <w:r>
        <w:rPr>
          <w:rFonts w:ascii="宋体" w:hAnsi="宋体"/>
          <w:b/>
          <w:sz w:val="24"/>
          <w:szCs w:val="28"/>
        </w:rPr>
        <w:t>乙方</w:t>
      </w:r>
      <w:r>
        <w:rPr>
          <w:rFonts w:hint="eastAsia" w:ascii="宋体" w:hAnsi="宋体"/>
          <w:b/>
          <w:sz w:val="24"/>
          <w:szCs w:val="28"/>
        </w:rPr>
        <w:t xml:space="preserve">）： </w:t>
      </w:r>
      <w:r>
        <w:rPr>
          <w:rFonts w:hint="eastAsia" w:ascii="宋体" w:hAnsi="宋体"/>
          <w:b/>
          <w:sz w:val="24"/>
          <w:szCs w:val="28"/>
          <w:u w:val="single"/>
        </w:rPr>
        <w:t xml:space="preserve">                                 （盖章）</w:t>
      </w:r>
    </w:p>
    <w:p w14:paraId="7E95A266">
      <w:pPr>
        <w:spacing w:line="360" w:lineRule="auto"/>
        <w:ind w:firstLine="723" w:firstLineChars="300"/>
        <w:rPr>
          <w:rFonts w:ascii="宋体" w:hAnsi="宋体"/>
          <w:b/>
          <w:sz w:val="24"/>
          <w:szCs w:val="28"/>
          <w:u w:val="single"/>
        </w:rPr>
      </w:pPr>
      <w:r>
        <w:rPr>
          <w:rFonts w:ascii="宋体" w:hAnsi="宋体"/>
          <w:b/>
          <w:sz w:val="24"/>
          <w:szCs w:val="28"/>
        </w:rPr>
        <w:t>采购日期</w:t>
      </w:r>
      <w:r>
        <w:rPr>
          <w:rFonts w:hint="eastAsia" w:ascii="宋体" w:hAnsi="宋体"/>
          <w:b/>
          <w:sz w:val="24"/>
          <w:szCs w:val="28"/>
        </w:rPr>
        <w:t>：</w:t>
      </w:r>
      <w:r>
        <w:rPr>
          <w:rFonts w:hint="eastAsia" w:ascii="宋体" w:hAnsi="宋体"/>
          <w:b/>
          <w:sz w:val="24"/>
          <w:szCs w:val="28"/>
          <w:u w:val="single"/>
        </w:rPr>
        <w:t xml:space="preserve">                                                        </w:t>
      </w:r>
    </w:p>
    <w:p w14:paraId="02A6EAF7">
      <w:pPr>
        <w:spacing w:line="360" w:lineRule="auto"/>
        <w:rPr>
          <w:rFonts w:ascii="宋体" w:hAnsi="宋体" w:cs="宋体"/>
          <w:b/>
          <w:sz w:val="24"/>
        </w:rPr>
      </w:pPr>
      <w:r>
        <w:rPr>
          <w:rFonts w:ascii="宋体" w:hAnsi="宋体"/>
          <w:sz w:val="28"/>
          <w:szCs w:val="28"/>
          <w:u w:val="single"/>
        </w:rPr>
        <w:br w:type="page"/>
      </w:r>
      <w:r>
        <w:rPr>
          <w:rFonts w:hint="eastAsia" w:ascii="宋体" w:hAnsi="宋体" w:cs="宋体"/>
          <w:b/>
          <w:sz w:val="24"/>
        </w:rPr>
        <w:t>采购单位（以下简称甲方）：</w:t>
      </w:r>
    </w:p>
    <w:p w14:paraId="06F81F6A">
      <w:pPr>
        <w:spacing w:line="360" w:lineRule="auto"/>
        <w:rPr>
          <w:rFonts w:ascii="宋体" w:hAnsi="宋体" w:cs="宋体"/>
          <w:b/>
          <w:sz w:val="24"/>
        </w:rPr>
      </w:pPr>
      <w:r>
        <w:rPr>
          <w:rFonts w:hint="eastAsia" w:ascii="宋体" w:hAnsi="宋体" w:cs="宋体"/>
          <w:b/>
          <w:sz w:val="24"/>
        </w:rPr>
        <w:t>成交</w:t>
      </w:r>
      <w:r>
        <w:rPr>
          <w:rFonts w:ascii="宋体" w:hAnsi="宋体" w:cs="宋体"/>
          <w:b/>
          <w:sz w:val="24"/>
        </w:rPr>
        <w:t>供应商</w:t>
      </w:r>
      <w:r>
        <w:rPr>
          <w:rFonts w:hint="eastAsia" w:ascii="宋体" w:hAnsi="宋体" w:cs="宋体"/>
          <w:b/>
          <w:sz w:val="24"/>
        </w:rPr>
        <w:t>（</w:t>
      </w:r>
      <w:r>
        <w:rPr>
          <w:rFonts w:ascii="宋体" w:hAnsi="宋体" w:cs="宋体"/>
          <w:b/>
          <w:sz w:val="24"/>
        </w:rPr>
        <w:t>以下简称乙方</w:t>
      </w:r>
      <w:r>
        <w:rPr>
          <w:rFonts w:hint="eastAsia" w:ascii="宋体" w:hAnsi="宋体" w:cs="宋体"/>
          <w:b/>
          <w:sz w:val="24"/>
        </w:rPr>
        <w:t>）：</w:t>
      </w:r>
    </w:p>
    <w:p w14:paraId="1FCFBC3D">
      <w:pPr>
        <w:spacing w:line="360" w:lineRule="auto"/>
        <w:ind w:firstLine="480" w:firstLineChars="200"/>
        <w:rPr>
          <w:rFonts w:ascii="宋体" w:hAnsi="宋体" w:cs="宋体"/>
          <w:sz w:val="24"/>
        </w:rPr>
      </w:pPr>
      <w:r>
        <w:rPr>
          <w:rFonts w:hint="eastAsia" w:ascii="宋体" w:hAnsi="宋体" w:cs="宋体"/>
          <w:sz w:val="24"/>
        </w:rPr>
        <w:t>甲、乙双方根据</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lang w:val="en-US" w:eastAsia="zh-CN"/>
        </w:rPr>
        <w:t>2025年西宁市湟中区职业教育中心“双优计划”“建设”（数字智慧校园建设）项目</w:t>
      </w:r>
      <w:r>
        <w:rPr>
          <w:rFonts w:hint="eastAsia" w:ascii="宋体" w:hAnsi="宋体" w:cs="宋体"/>
          <w:sz w:val="24"/>
        </w:rPr>
        <w:t>（</w:t>
      </w:r>
      <w:r>
        <w:rPr>
          <w:rFonts w:hint="eastAsia" w:ascii="宋体" w:hAnsi="宋体" w:cs="宋体"/>
          <w:sz w:val="24"/>
          <w:lang w:eastAsia="zh-CN"/>
        </w:rPr>
        <w:t>青海丰研竞磋（货物）2025-00</w:t>
      </w:r>
      <w:r>
        <w:rPr>
          <w:rFonts w:hint="eastAsia" w:ascii="宋体" w:hAnsi="宋体" w:cs="宋体"/>
          <w:sz w:val="24"/>
          <w:lang w:val="en-US" w:eastAsia="zh-CN"/>
        </w:rPr>
        <w:t>7号</w:t>
      </w:r>
      <w:r>
        <w:rPr>
          <w:rFonts w:hint="eastAsia" w:ascii="宋体" w:hAnsi="宋体" w:cs="宋体"/>
          <w:sz w:val="24"/>
        </w:rPr>
        <w:t>）的磋商文件要求和采购代理机构出具的《成交通知书》，并经双方协商一致，签订本合同协议书。</w:t>
      </w:r>
    </w:p>
    <w:p w14:paraId="2F86090F">
      <w:pPr>
        <w:spacing w:line="360" w:lineRule="auto"/>
        <w:rPr>
          <w:rFonts w:ascii="宋体" w:hAnsi="宋体" w:cs="宋体"/>
          <w:b/>
          <w:sz w:val="24"/>
        </w:rPr>
      </w:pPr>
      <w:r>
        <w:rPr>
          <w:rFonts w:ascii="宋体" w:hAnsi="宋体" w:cs="宋体"/>
          <w:b/>
          <w:sz w:val="24"/>
        </w:rPr>
        <w:t>一</w:t>
      </w:r>
      <w:r>
        <w:rPr>
          <w:rFonts w:hint="eastAsia" w:ascii="宋体" w:hAnsi="宋体" w:cs="宋体"/>
          <w:b/>
          <w:sz w:val="24"/>
        </w:rPr>
        <w:t>、签订本政府采购合同的依据</w:t>
      </w:r>
    </w:p>
    <w:p w14:paraId="032E7502">
      <w:pPr>
        <w:spacing w:line="360" w:lineRule="auto"/>
        <w:ind w:firstLine="480" w:firstLineChars="200"/>
        <w:rPr>
          <w:rFonts w:ascii="宋体" w:hAnsi="宋体" w:cs="宋体"/>
          <w:sz w:val="24"/>
        </w:rPr>
      </w:pPr>
      <w:r>
        <w:rPr>
          <w:rFonts w:hint="eastAsia" w:ascii="宋体" w:hAnsi="宋体" w:cs="宋体"/>
          <w:sz w:val="24"/>
        </w:rPr>
        <w:t>本政府采购合同所附下列文件是构成本政府采购合同不可分割的部分：</w:t>
      </w:r>
    </w:p>
    <w:p w14:paraId="020CC67F">
      <w:pPr>
        <w:spacing w:line="360" w:lineRule="auto"/>
        <w:rPr>
          <w:rFonts w:ascii="宋体" w:hAnsi="宋体" w:cs="宋体"/>
          <w:sz w:val="24"/>
        </w:rPr>
      </w:pPr>
      <w:r>
        <w:rPr>
          <w:rFonts w:hint="eastAsia" w:ascii="宋体" w:hAnsi="宋体" w:cs="宋体"/>
          <w:sz w:val="24"/>
        </w:rPr>
        <w:t>1．磋商文件；</w:t>
      </w:r>
    </w:p>
    <w:p w14:paraId="132C546F">
      <w:pPr>
        <w:spacing w:line="360" w:lineRule="auto"/>
        <w:rPr>
          <w:rFonts w:ascii="宋体" w:hAnsi="宋体" w:cs="宋体"/>
          <w:sz w:val="24"/>
        </w:rPr>
      </w:pPr>
      <w:r>
        <w:rPr>
          <w:rFonts w:hint="eastAsia" w:ascii="宋体" w:hAnsi="宋体" w:cs="宋体"/>
          <w:sz w:val="24"/>
        </w:rPr>
        <w:t>2．磋商文件的更正、变更公告；</w:t>
      </w:r>
    </w:p>
    <w:p w14:paraId="44F0346E">
      <w:pPr>
        <w:spacing w:line="360" w:lineRule="auto"/>
        <w:rPr>
          <w:rFonts w:ascii="宋体" w:hAnsi="宋体" w:cs="宋体"/>
          <w:sz w:val="24"/>
        </w:rPr>
      </w:pPr>
      <w:r>
        <w:rPr>
          <w:rFonts w:hint="eastAsia" w:ascii="宋体" w:hAnsi="宋体" w:cs="宋体"/>
          <w:sz w:val="24"/>
        </w:rPr>
        <w:t>3．中标磋商供应商提交的磋商响应文件；</w:t>
      </w:r>
    </w:p>
    <w:p w14:paraId="5E199D49">
      <w:pPr>
        <w:spacing w:line="360" w:lineRule="auto"/>
        <w:rPr>
          <w:rFonts w:ascii="宋体" w:hAnsi="宋体" w:cs="宋体"/>
          <w:sz w:val="24"/>
        </w:rPr>
      </w:pPr>
      <w:r>
        <w:rPr>
          <w:rFonts w:hint="eastAsia" w:ascii="宋体" w:hAnsi="宋体" w:cs="宋体"/>
          <w:sz w:val="24"/>
        </w:rPr>
        <w:t>4．磋商文件中规定的政府采购合同通用条款；</w:t>
      </w:r>
    </w:p>
    <w:p w14:paraId="3DB1484A">
      <w:pPr>
        <w:spacing w:line="360" w:lineRule="auto"/>
        <w:rPr>
          <w:rFonts w:ascii="宋体" w:hAnsi="宋体" w:cs="宋体"/>
          <w:sz w:val="24"/>
        </w:rPr>
      </w:pPr>
      <w:r>
        <w:rPr>
          <w:rFonts w:hint="eastAsia" w:ascii="宋体" w:hAnsi="宋体" w:cs="宋体"/>
          <w:sz w:val="24"/>
        </w:rPr>
        <w:t>5．成交通知书；</w:t>
      </w:r>
    </w:p>
    <w:p w14:paraId="570C0B8F">
      <w:pPr>
        <w:spacing w:line="360" w:lineRule="auto"/>
        <w:rPr>
          <w:rFonts w:ascii="宋体" w:hAnsi="宋体" w:cs="宋体"/>
          <w:sz w:val="24"/>
        </w:rPr>
      </w:pPr>
      <w:r>
        <w:rPr>
          <w:rFonts w:hint="eastAsia" w:ascii="宋体" w:hAnsi="宋体" w:cs="宋体"/>
          <w:sz w:val="24"/>
        </w:rPr>
        <w:t>6. 履约保证金缴纳证明。</w:t>
      </w:r>
    </w:p>
    <w:p w14:paraId="26D15930">
      <w:pPr>
        <w:spacing w:line="360" w:lineRule="auto"/>
        <w:rPr>
          <w:rFonts w:ascii="宋体" w:hAnsi="宋体"/>
          <w:b/>
          <w:sz w:val="24"/>
        </w:rPr>
      </w:pPr>
      <w:r>
        <w:rPr>
          <w:rFonts w:hint="eastAsia" w:ascii="宋体" w:hAnsi="宋体"/>
          <w:b/>
          <w:sz w:val="24"/>
        </w:rPr>
        <w:t xml:space="preserve">二、合同标的及金额                                          </w:t>
      </w:r>
      <w:r>
        <w:rPr>
          <w:rFonts w:hint="eastAsia" w:ascii="宋体" w:hAnsi="宋体"/>
          <w:sz w:val="24"/>
        </w:rPr>
        <w:t>单位：    元</w:t>
      </w:r>
    </w:p>
    <w:tbl>
      <w:tblPr>
        <w:tblStyle w:val="34"/>
        <w:tblW w:w="9644" w:type="dxa"/>
        <w:tblInd w:w="103" w:type="dxa"/>
        <w:shd w:val="clear" w:color="auto" w:fill="auto"/>
        <w:tblLayout w:type="fixed"/>
        <w:tblCellMar>
          <w:top w:w="0" w:type="dxa"/>
          <w:left w:w="108" w:type="dxa"/>
          <w:bottom w:w="0" w:type="dxa"/>
          <w:right w:w="108" w:type="dxa"/>
        </w:tblCellMar>
      </w:tblPr>
      <w:tblGrid>
        <w:gridCol w:w="1265"/>
        <w:gridCol w:w="1260"/>
        <w:gridCol w:w="1308"/>
        <w:gridCol w:w="708"/>
        <w:gridCol w:w="1560"/>
        <w:gridCol w:w="1417"/>
        <w:gridCol w:w="2126"/>
      </w:tblGrid>
      <w:tr w14:paraId="0B3C2E7C">
        <w:tblPrEx>
          <w:shd w:val="clear" w:color="auto" w:fill="auto"/>
          <w:tblCellMar>
            <w:top w:w="0" w:type="dxa"/>
            <w:left w:w="108" w:type="dxa"/>
            <w:bottom w:w="0" w:type="dxa"/>
            <w:right w:w="108" w:type="dxa"/>
          </w:tblCellMar>
        </w:tblPrEx>
        <w:trPr>
          <w:trHeight w:val="757" w:hRule="atLeast"/>
        </w:trPr>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08B3906C">
            <w:pPr>
              <w:spacing w:line="360" w:lineRule="auto"/>
              <w:jc w:val="center"/>
              <w:rPr>
                <w:rFonts w:ascii="宋体" w:hAnsi="宋体"/>
                <w:sz w:val="24"/>
              </w:rPr>
            </w:pPr>
            <w:r>
              <w:rPr>
                <w:rFonts w:hint="eastAsia" w:ascii="宋体" w:hAnsi="宋体"/>
                <w:sz w:val="24"/>
              </w:rPr>
              <w:t>序号</w:t>
            </w:r>
          </w:p>
        </w:tc>
        <w:tc>
          <w:tcPr>
            <w:tcW w:w="1260" w:type="dxa"/>
            <w:tcBorders>
              <w:top w:val="single" w:color="auto" w:sz="4" w:space="0"/>
              <w:left w:val="nil"/>
              <w:bottom w:val="single" w:color="auto" w:sz="4" w:space="0"/>
              <w:right w:val="single" w:color="auto" w:sz="4" w:space="0"/>
            </w:tcBorders>
            <w:shd w:val="clear" w:color="auto" w:fill="auto"/>
            <w:vAlign w:val="center"/>
          </w:tcPr>
          <w:p w14:paraId="6AF24E71">
            <w:pPr>
              <w:spacing w:line="360" w:lineRule="auto"/>
              <w:jc w:val="center"/>
              <w:rPr>
                <w:rFonts w:ascii="宋体" w:hAnsi="宋体"/>
                <w:sz w:val="24"/>
              </w:rPr>
            </w:pPr>
            <w:r>
              <w:rPr>
                <w:rFonts w:hint="eastAsia" w:ascii="宋体" w:hAnsi="宋体"/>
                <w:sz w:val="24"/>
              </w:rPr>
              <w:t>标的名称</w:t>
            </w:r>
          </w:p>
        </w:tc>
        <w:tc>
          <w:tcPr>
            <w:tcW w:w="1308" w:type="dxa"/>
            <w:tcBorders>
              <w:top w:val="single" w:color="auto" w:sz="4" w:space="0"/>
              <w:left w:val="nil"/>
              <w:bottom w:val="single" w:color="auto" w:sz="4" w:space="0"/>
              <w:right w:val="single" w:color="auto" w:sz="4" w:space="0"/>
            </w:tcBorders>
            <w:shd w:val="clear" w:color="auto" w:fill="auto"/>
            <w:vAlign w:val="center"/>
          </w:tcPr>
          <w:p w14:paraId="293A1BAA">
            <w:pPr>
              <w:spacing w:line="360" w:lineRule="auto"/>
              <w:jc w:val="center"/>
              <w:rPr>
                <w:rFonts w:ascii="宋体" w:hAnsi="宋体"/>
                <w:sz w:val="24"/>
              </w:rPr>
            </w:pPr>
            <w:r>
              <w:rPr>
                <w:rFonts w:hint="eastAsia" w:ascii="宋体" w:hAnsi="宋体"/>
                <w:sz w:val="24"/>
              </w:rPr>
              <w:t>型号规格</w:t>
            </w:r>
          </w:p>
        </w:tc>
        <w:tc>
          <w:tcPr>
            <w:tcW w:w="708" w:type="dxa"/>
            <w:tcBorders>
              <w:top w:val="single" w:color="auto" w:sz="4" w:space="0"/>
              <w:left w:val="nil"/>
              <w:bottom w:val="single" w:color="auto" w:sz="4" w:space="0"/>
              <w:right w:val="single" w:color="auto" w:sz="4" w:space="0"/>
            </w:tcBorders>
            <w:shd w:val="clear" w:color="auto" w:fill="auto"/>
            <w:vAlign w:val="center"/>
          </w:tcPr>
          <w:p w14:paraId="15C4F3DF">
            <w:pPr>
              <w:spacing w:line="360" w:lineRule="auto"/>
              <w:jc w:val="center"/>
              <w:rPr>
                <w:rFonts w:ascii="宋体" w:hAnsi="宋体"/>
                <w:sz w:val="24"/>
              </w:rPr>
            </w:pPr>
            <w:r>
              <w:rPr>
                <w:rFonts w:hint="eastAsia" w:ascii="宋体" w:hAnsi="宋体"/>
                <w:sz w:val="24"/>
              </w:rPr>
              <w:t>数量</w:t>
            </w:r>
          </w:p>
        </w:tc>
        <w:tc>
          <w:tcPr>
            <w:tcW w:w="1560" w:type="dxa"/>
            <w:tcBorders>
              <w:top w:val="single" w:color="auto" w:sz="4" w:space="0"/>
              <w:left w:val="nil"/>
              <w:bottom w:val="single" w:color="auto" w:sz="4" w:space="0"/>
              <w:right w:val="single" w:color="auto" w:sz="4" w:space="0"/>
            </w:tcBorders>
            <w:shd w:val="clear" w:color="auto" w:fill="auto"/>
            <w:vAlign w:val="center"/>
          </w:tcPr>
          <w:p w14:paraId="6B8E28FF">
            <w:pPr>
              <w:spacing w:line="360" w:lineRule="auto"/>
              <w:jc w:val="center"/>
              <w:rPr>
                <w:rFonts w:ascii="宋体" w:hAnsi="宋体"/>
                <w:sz w:val="24"/>
              </w:rPr>
            </w:pPr>
            <w:r>
              <w:rPr>
                <w:rFonts w:hint="eastAsia" w:ascii="宋体" w:hAnsi="宋体"/>
                <w:sz w:val="24"/>
              </w:rPr>
              <w:t>单价</w:t>
            </w:r>
          </w:p>
        </w:tc>
        <w:tc>
          <w:tcPr>
            <w:tcW w:w="1417" w:type="dxa"/>
            <w:tcBorders>
              <w:top w:val="single" w:color="auto" w:sz="4" w:space="0"/>
              <w:left w:val="nil"/>
              <w:bottom w:val="single" w:color="auto" w:sz="4" w:space="0"/>
              <w:right w:val="single" w:color="auto" w:sz="4" w:space="0"/>
            </w:tcBorders>
            <w:shd w:val="clear" w:color="auto" w:fill="auto"/>
            <w:vAlign w:val="center"/>
          </w:tcPr>
          <w:p w14:paraId="17E9838D">
            <w:pPr>
              <w:spacing w:line="360" w:lineRule="auto"/>
              <w:jc w:val="center"/>
              <w:rPr>
                <w:rFonts w:ascii="宋体" w:hAnsi="宋体"/>
                <w:sz w:val="24"/>
              </w:rPr>
            </w:pPr>
            <w:r>
              <w:rPr>
                <w:rFonts w:hint="eastAsia" w:ascii="宋体" w:hAnsi="宋体"/>
                <w:sz w:val="24"/>
              </w:rPr>
              <w:t>总价</w:t>
            </w:r>
          </w:p>
        </w:tc>
        <w:tc>
          <w:tcPr>
            <w:tcW w:w="2126" w:type="dxa"/>
            <w:tcBorders>
              <w:top w:val="single" w:color="auto" w:sz="4" w:space="0"/>
              <w:left w:val="nil"/>
              <w:bottom w:val="single" w:color="auto" w:sz="4" w:space="0"/>
              <w:right w:val="single" w:color="auto" w:sz="4" w:space="0"/>
            </w:tcBorders>
            <w:shd w:val="clear" w:color="auto" w:fill="auto"/>
            <w:vAlign w:val="center"/>
          </w:tcPr>
          <w:p w14:paraId="09BE798D">
            <w:pPr>
              <w:spacing w:line="360" w:lineRule="auto"/>
              <w:jc w:val="center"/>
              <w:rPr>
                <w:rFonts w:ascii="宋体" w:hAnsi="宋体"/>
                <w:sz w:val="24"/>
              </w:rPr>
            </w:pPr>
            <w:r>
              <w:rPr>
                <w:rFonts w:hint="eastAsia" w:ascii="宋体" w:hAnsi="宋体"/>
                <w:sz w:val="24"/>
              </w:rPr>
              <w:t>备注</w:t>
            </w:r>
          </w:p>
        </w:tc>
      </w:tr>
      <w:tr w14:paraId="3FDCD5B9">
        <w:tblPrEx>
          <w:shd w:val="clear" w:color="auto" w:fill="auto"/>
          <w:tblCellMar>
            <w:top w:w="0" w:type="dxa"/>
            <w:left w:w="108" w:type="dxa"/>
            <w:bottom w:w="0" w:type="dxa"/>
            <w:right w:w="108" w:type="dxa"/>
          </w:tblCellMar>
        </w:tblPrEx>
        <w:trPr>
          <w:trHeight w:val="564" w:hRule="atLeast"/>
        </w:trPr>
        <w:tc>
          <w:tcPr>
            <w:tcW w:w="1265" w:type="dxa"/>
            <w:tcBorders>
              <w:top w:val="nil"/>
              <w:left w:val="single" w:color="auto" w:sz="4" w:space="0"/>
              <w:bottom w:val="single" w:color="auto" w:sz="4" w:space="0"/>
              <w:right w:val="single" w:color="auto" w:sz="4" w:space="0"/>
            </w:tcBorders>
            <w:shd w:val="clear" w:color="auto" w:fill="auto"/>
            <w:vAlign w:val="center"/>
          </w:tcPr>
          <w:p w14:paraId="1895EDFB">
            <w:pPr>
              <w:spacing w:line="360" w:lineRule="auto"/>
              <w:jc w:val="center"/>
              <w:rPr>
                <w:rFonts w:ascii="宋体" w:hAnsi="宋体"/>
                <w:sz w:val="24"/>
              </w:rPr>
            </w:pPr>
            <w:r>
              <w:rPr>
                <w:rFonts w:hint="eastAsia" w:ascii="宋体" w:hAnsi="宋体"/>
                <w:sz w:val="24"/>
              </w:rPr>
              <w:t>1</w:t>
            </w:r>
          </w:p>
        </w:tc>
        <w:tc>
          <w:tcPr>
            <w:tcW w:w="1260" w:type="dxa"/>
            <w:tcBorders>
              <w:top w:val="nil"/>
              <w:left w:val="nil"/>
              <w:bottom w:val="single" w:color="auto" w:sz="4" w:space="0"/>
              <w:right w:val="single" w:color="auto" w:sz="4" w:space="0"/>
            </w:tcBorders>
            <w:shd w:val="clear" w:color="auto" w:fill="auto"/>
            <w:vAlign w:val="center"/>
          </w:tcPr>
          <w:p w14:paraId="015D2555">
            <w:pPr>
              <w:spacing w:line="360" w:lineRule="auto"/>
              <w:jc w:val="center"/>
              <w:rPr>
                <w:rFonts w:ascii="宋体" w:hAnsi="宋体"/>
                <w:sz w:val="24"/>
              </w:rPr>
            </w:pPr>
          </w:p>
        </w:tc>
        <w:tc>
          <w:tcPr>
            <w:tcW w:w="1308" w:type="dxa"/>
            <w:tcBorders>
              <w:top w:val="nil"/>
              <w:left w:val="nil"/>
              <w:bottom w:val="single" w:color="auto" w:sz="4" w:space="0"/>
              <w:right w:val="single" w:color="auto" w:sz="4" w:space="0"/>
            </w:tcBorders>
            <w:shd w:val="clear" w:color="auto" w:fill="auto"/>
            <w:vAlign w:val="center"/>
          </w:tcPr>
          <w:p w14:paraId="636EA935">
            <w:pPr>
              <w:spacing w:line="360" w:lineRule="auto"/>
              <w:jc w:val="center"/>
              <w:rPr>
                <w:rFonts w:ascii="宋体" w:hAnsi="宋体"/>
                <w:sz w:val="24"/>
              </w:rPr>
            </w:pPr>
          </w:p>
        </w:tc>
        <w:tc>
          <w:tcPr>
            <w:tcW w:w="708" w:type="dxa"/>
            <w:tcBorders>
              <w:top w:val="nil"/>
              <w:left w:val="nil"/>
              <w:bottom w:val="single" w:color="auto" w:sz="4" w:space="0"/>
              <w:right w:val="single" w:color="auto" w:sz="4" w:space="0"/>
            </w:tcBorders>
            <w:shd w:val="clear" w:color="auto" w:fill="auto"/>
            <w:vAlign w:val="center"/>
          </w:tcPr>
          <w:p w14:paraId="721DB3D1">
            <w:pPr>
              <w:spacing w:line="360" w:lineRule="auto"/>
              <w:jc w:val="center"/>
              <w:rPr>
                <w:rFonts w:ascii="宋体" w:hAnsi="宋体"/>
                <w:sz w:val="24"/>
              </w:rPr>
            </w:pPr>
          </w:p>
        </w:tc>
        <w:tc>
          <w:tcPr>
            <w:tcW w:w="1560" w:type="dxa"/>
            <w:tcBorders>
              <w:top w:val="nil"/>
              <w:left w:val="nil"/>
              <w:bottom w:val="single" w:color="auto" w:sz="4" w:space="0"/>
              <w:right w:val="single" w:color="auto" w:sz="4" w:space="0"/>
            </w:tcBorders>
            <w:shd w:val="clear" w:color="auto" w:fill="auto"/>
            <w:vAlign w:val="center"/>
          </w:tcPr>
          <w:p w14:paraId="518EC9D1">
            <w:pPr>
              <w:spacing w:line="360" w:lineRule="auto"/>
              <w:jc w:val="center"/>
              <w:rPr>
                <w:rFonts w:ascii="宋体" w:hAnsi="宋体"/>
                <w:sz w:val="24"/>
              </w:rPr>
            </w:pPr>
          </w:p>
        </w:tc>
        <w:tc>
          <w:tcPr>
            <w:tcW w:w="1417" w:type="dxa"/>
            <w:tcBorders>
              <w:top w:val="nil"/>
              <w:left w:val="nil"/>
              <w:bottom w:val="single" w:color="auto" w:sz="4" w:space="0"/>
              <w:right w:val="nil"/>
            </w:tcBorders>
            <w:shd w:val="clear" w:color="auto" w:fill="auto"/>
            <w:vAlign w:val="center"/>
          </w:tcPr>
          <w:p w14:paraId="59CCD757">
            <w:pPr>
              <w:spacing w:line="360" w:lineRule="auto"/>
              <w:jc w:val="center"/>
              <w:rPr>
                <w:rFonts w:ascii="宋体" w:hAnsi="宋体"/>
                <w:sz w:val="24"/>
              </w:rPr>
            </w:pPr>
          </w:p>
        </w:tc>
        <w:tc>
          <w:tcPr>
            <w:tcW w:w="2126" w:type="dxa"/>
            <w:tcBorders>
              <w:top w:val="nil"/>
              <w:left w:val="single" w:color="auto" w:sz="4" w:space="0"/>
              <w:bottom w:val="single" w:color="auto" w:sz="4" w:space="0"/>
              <w:right w:val="single" w:color="auto" w:sz="4" w:space="0"/>
            </w:tcBorders>
            <w:shd w:val="clear" w:color="auto" w:fill="auto"/>
            <w:vAlign w:val="center"/>
          </w:tcPr>
          <w:p w14:paraId="08BA6A99">
            <w:pPr>
              <w:spacing w:line="360" w:lineRule="auto"/>
              <w:jc w:val="center"/>
              <w:rPr>
                <w:rFonts w:ascii="宋体" w:hAnsi="宋体"/>
                <w:sz w:val="24"/>
              </w:rPr>
            </w:pPr>
          </w:p>
        </w:tc>
      </w:tr>
      <w:tr w14:paraId="3343C2E6">
        <w:tblPrEx>
          <w:shd w:val="clear" w:color="auto" w:fill="auto"/>
          <w:tblCellMar>
            <w:top w:w="0" w:type="dxa"/>
            <w:left w:w="108" w:type="dxa"/>
            <w:bottom w:w="0" w:type="dxa"/>
            <w:right w:w="108" w:type="dxa"/>
          </w:tblCellMar>
        </w:tblPrEx>
        <w:trPr>
          <w:trHeight w:val="702" w:hRule="atLeast"/>
        </w:trPr>
        <w:tc>
          <w:tcPr>
            <w:tcW w:w="1265" w:type="dxa"/>
            <w:tcBorders>
              <w:top w:val="nil"/>
              <w:left w:val="single" w:color="auto" w:sz="4" w:space="0"/>
              <w:bottom w:val="single" w:color="auto" w:sz="4" w:space="0"/>
              <w:right w:val="single" w:color="auto" w:sz="4" w:space="0"/>
            </w:tcBorders>
            <w:shd w:val="clear" w:color="auto" w:fill="auto"/>
            <w:vAlign w:val="center"/>
          </w:tcPr>
          <w:p w14:paraId="5DCAD52E">
            <w:pPr>
              <w:spacing w:line="360" w:lineRule="auto"/>
              <w:jc w:val="center"/>
              <w:rPr>
                <w:rFonts w:ascii="宋体" w:hAnsi="宋体"/>
                <w:sz w:val="24"/>
              </w:rPr>
            </w:pPr>
            <w:r>
              <w:rPr>
                <w:rFonts w:hint="eastAsia" w:ascii="宋体" w:hAnsi="宋体"/>
                <w:sz w:val="24"/>
              </w:rPr>
              <w:t>2</w:t>
            </w:r>
          </w:p>
        </w:tc>
        <w:tc>
          <w:tcPr>
            <w:tcW w:w="1260" w:type="dxa"/>
            <w:tcBorders>
              <w:top w:val="nil"/>
              <w:left w:val="nil"/>
              <w:bottom w:val="single" w:color="auto" w:sz="4" w:space="0"/>
              <w:right w:val="single" w:color="auto" w:sz="4" w:space="0"/>
            </w:tcBorders>
            <w:shd w:val="clear" w:color="auto" w:fill="auto"/>
            <w:vAlign w:val="center"/>
          </w:tcPr>
          <w:p w14:paraId="745B3639">
            <w:pPr>
              <w:spacing w:line="360" w:lineRule="auto"/>
              <w:jc w:val="center"/>
              <w:rPr>
                <w:rFonts w:ascii="宋体" w:hAnsi="宋体"/>
                <w:sz w:val="24"/>
              </w:rPr>
            </w:pPr>
          </w:p>
        </w:tc>
        <w:tc>
          <w:tcPr>
            <w:tcW w:w="1308" w:type="dxa"/>
            <w:tcBorders>
              <w:top w:val="nil"/>
              <w:left w:val="nil"/>
              <w:bottom w:val="single" w:color="auto" w:sz="4" w:space="0"/>
              <w:right w:val="single" w:color="auto" w:sz="4" w:space="0"/>
            </w:tcBorders>
            <w:shd w:val="clear" w:color="auto" w:fill="auto"/>
            <w:vAlign w:val="center"/>
          </w:tcPr>
          <w:p w14:paraId="5A57BEE5">
            <w:pPr>
              <w:spacing w:line="360" w:lineRule="auto"/>
              <w:jc w:val="center"/>
              <w:rPr>
                <w:rFonts w:ascii="宋体" w:hAnsi="宋体"/>
                <w:sz w:val="24"/>
              </w:rPr>
            </w:pPr>
          </w:p>
        </w:tc>
        <w:tc>
          <w:tcPr>
            <w:tcW w:w="708" w:type="dxa"/>
            <w:tcBorders>
              <w:top w:val="single" w:color="auto" w:sz="4" w:space="0"/>
              <w:left w:val="nil"/>
              <w:bottom w:val="single" w:color="auto" w:sz="4" w:space="0"/>
              <w:right w:val="single" w:color="auto" w:sz="4" w:space="0"/>
            </w:tcBorders>
            <w:shd w:val="clear" w:color="auto" w:fill="auto"/>
            <w:vAlign w:val="center"/>
          </w:tcPr>
          <w:p w14:paraId="0E5B778B">
            <w:pPr>
              <w:spacing w:line="360" w:lineRule="auto"/>
              <w:jc w:val="center"/>
              <w:rPr>
                <w:rFonts w:ascii="宋体" w:hAnsi="宋体"/>
                <w:sz w:val="24"/>
              </w:rPr>
            </w:pPr>
          </w:p>
        </w:tc>
        <w:tc>
          <w:tcPr>
            <w:tcW w:w="1560" w:type="dxa"/>
            <w:tcBorders>
              <w:top w:val="nil"/>
              <w:left w:val="nil"/>
              <w:bottom w:val="single" w:color="auto" w:sz="4" w:space="0"/>
              <w:right w:val="single" w:color="auto" w:sz="4" w:space="0"/>
            </w:tcBorders>
            <w:shd w:val="clear" w:color="auto" w:fill="auto"/>
            <w:vAlign w:val="center"/>
          </w:tcPr>
          <w:p w14:paraId="65436BAA">
            <w:pPr>
              <w:spacing w:line="360" w:lineRule="auto"/>
              <w:jc w:val="center"/>
              <w:rPr>
                <w:rFonts w:ascii="宋体" w:hAnsi="宋体"/>
                <w:sz w:val="24"/>
              </w:rPr>
            </w:pPr>
          </w:p>
        </w:tc>
        <w:tc>
          <w:tcPr>
            <w:tcW w:w="1417" w:type="dxa"/>
            <w:tcBorders>
              <w:top w:val="nil"/>
              <w:left w:val="nil"/>
              <w:bottom w:val="single" w:color="auto" w:sz="4" w:space="0"/>
              <w:right w:val="nil"/>
            </w:tcBorders>
            <w:shd w:val="clear" w:color="auto" w:fill="auto"/>
            <w:vAlign w:val="center"/>
          </w:tcPr>
          <w:p w14:paraId="3F9A6A0E">
            <w:pPr>
              <w:spacing w:line="360" w:lineRule="auto"/>
              <w:jc w:val="center"/>
              <w:rPr>
                <w:rFonts w:ascii="宋体" w:hAnsi="宋体"/>
                <w:sz w:val="24"/>
              </w:rPr>
            </w:pPr>
          </w:p>
        </w:tc>
        <w:tc>
          <w:tcPr>
            <w:tcW w:w="2126" w:type="dxa"/>
            <w:tcBorders>
              <w:top w:val="nil"/>
              <w:left w:val="single" w:color="auto" w:sz="4" w:space="0"/>
              <w:bottom w:val="single" w:color="auto" w:sz="4" w:space="0"/>
              <w:right w:val="single" w:color="auto" w:sz="4" w:space="0"/>
            </w:tcBorders>
            <w:shd w:val="clear" w:color="auto" w:fill="auto"/>
            <w:vAlign w:val="center"/>
          </w:tcPr>
          <w:p w14:paraId="5AB27692">
            <w:pPr>
              <w:spacing w:line="360" w:lineRule="auto"/>
              <w:jc w:val="center"/>
              <w:rPr>
                <w:rFonts w:ascii="宋体" w:hAnsi="宋体"/>
                <w:sz w:val="24"/>
              </w:rPr>
            </w:pPr>
          </w:p>
        </w:tc>
      </w:tr>
      <w:tr w14:paraId="0684D643">
        <w:tblPrEx>
          <w:shd w:val="clear" w:color="auto" w:fill="auto"/>
          <w:tblCellMar>
            <w:top w:w="0" w:type="dxa"/>
            <w:left w:w="108" w:type="dxa"/>
            <w:bottom w:w="0" w:type="dxa"/>
            <w:right w:w="108" w:type="dxa"/>
          </w:tblCellMar>
        </w:tblPrEx>
        <w:trPr>
          <w:trHeight w:val="702" w:hRule="atLeast"/>
        </w:trPr>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49DC368B">
            <w:pPr>
              <w:spacing w:line="360" w:lineRule="auto"/>
              <w:jc w:val="center"/>
              <w:rPr>
                <w:rFonts w:ascii="宋体" w:hAnsi="宋体"/>
                <w:sz w:val="24"/>
              </w:rPr>
            </w:pPr>
            <w:r>
              <w:rPr>
                <w:rFonts w:hint="eastAsia" w:ascii="宋体" w:hAnsi="宋体"/>
                <w:sz w:val="24"/>
              </w:rPr>
              <w:t>…</w:t>
            </w:r>
          </w:p>
        </w:tc>
        <w:tc>
          <w:tcPr>
            <w:tcW w:w="1260" w:type="dxa"/>
            <w:tcBorders>
              <w:top w:val="single" w:color="auto" w:sz="4" w:space="0"/>
              <w:left w:val="nil"/>
              <w:bottom w:val="single" w:color="auto" w:sz="4" w:space="0"/>
              <w:right w:val="single" w:color="auto" w:sz="4" w:space="0"/>
            </w:tcBorders>
            <w:shd w:val="clear" w:color="auto" w:fill="auto"/>
            <w:vAlign w:val="center"/>
          </w:tcPr>
          <w:p w14:paraId="3DF33AC8">
            <w:pPr>
              <w:spacing w:line="360" w:lineRule="auto"/>
              <w:jc w:val="center"/>
              <w:rPr>
                <w:rFonts w:ascii="宋体" w:hAnsi="宋体"/>
                <w:sz w:val="24"/>
              </w:rPr>
            </w:pPr>
          </w:p>
        </w:tc>
        <w:tc>
          <w:tcPr>
            <w:tcW w:w="1308" w:type="dxa"/>
            <w:tcBorders>
              <w:top w:val="single" w:color="auto" w:sz="4" w:space="0"/>
              <w:left w:val="nil"/>
              <w:bottom w:val="single" w:color="auto" w:sz="4" w:space="0"/>
              <w:right w:val="single" w:color="auto" w:sz="4" w:space="0"/>
            </w:tcBorders>
            <w:shd w:val="clear" w:color="auto" w:fill="auto"/>
            <w:vAlign w:val="center"/>
          </w:tcPr>
          <w:p w14:paraId="6D91AF56">
            <w:pPr>
              <w:spacing w:line="360" w:lineRule="auto"/>
              <w:jc w:val="center"/>
              <w:rPr>
                <w:rFonts w:ascii="宋体" w:hAnsi="宋体"/>
                <w:sz w:val="24"/>
              </w:rPr>
            </w:pPr>
          </w:p>
        </w:tc>
        <w:tc>
          <w:tcPr>
            <w:tcW w:w="708" w:type="dxa"/>
            <w:tcBorders>
              <w:top w:val="single" w:color="auto" w:sz="4" w:space="0"/>
              <w:left w:val="nil"/>
              <w:bottom w:val="single" w:color="auto" w:sz="4" w:space="0"/>
              <w:right w:val="single" w:color="auto" w:sz="4" w:space="0"/>
            </w:tcBorders>
            <w:shd w:val="clear" w:color="auto" w:fill="auto"/>
            <w:vAlign w:val="center"/>
          </w:tcPr>
          <w:p w14:paraId="0E07C228">
            <w:pPr>
              <w:spacing w:line="360" w:lineRule="auto"/>
              <w:jc w:val="center"/>
              <w:rPr>
                <w:rFonts w:ascii="宋体" w:hAnsi="宋体"/>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14:paraId="11039C5B">
            <w:pPr>
              <w:spacing w:line="360" w:lineRule="auto"/>
              <w:jc w:val="center"/>
              <w:rPr>
                <w:rFonts w:ascii="宋体" w:hAnsi="宋体"/>
                <w:sz w:val="24"/>
              </w:rPr>
            </w:pPr>
          </w:p>
        </w:tc>
        <w:tc>
          <w:tcPr>
            <w:tcW w:w="1417" w:type="dxa"/>
            <w:tcBorders>
              <w:top w:val="single" w:color="auto" w:sz="4" w:space="0"/>
              <w:left w:val="nil"/>
              <w:bottom w:val="single" w:color="auto" w:sz="4" w:space="0"/>
              <w:right w:val="nil"/>
            </w:tcBorders>
            <w:shd w:val="clear" w:color="auto" w:fill="auto"/>
            <w:vAlign w:val="center"/>
          </w:tcPr>
          <w:p w14:paraId="18554D1C">
            <w:pPr>
              <w:spacing w:line="360" w:lineRule="auto"/>
              <w:jc w:val="center"/>
              <w:rPr>
                <w:rFonts w:ascii="宋体" w:hAnsi="宋体"/>
                <w:sz w:val="24"/>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509A6764">
            <w:pPr>
              <w:spacing w:line="360" w:lineRule="auto"/>
              <w:jc w:val="center"/>
              <w:rPr>
                <w:rFonts w:ascii="宋体" w:hAnsi="宋体"/>
                <w:sz w:val="24"/>
              </w:rPr>
            </w:pPr>
          </w:p>
        </w:tc>
      </w:tr>
    </w:tbl>
    <w:p w14:paraId="73DCF94C">
      <w:pPr>
        <w:spacing w:line="360" w:lineRule="auto"/>
        <w:ind w:firstLine="480" w:firstLineChars="200"/>
        <w:rPr>
          <w:rFonts w:ascii="宋体" w:hAnsi="宋体"/>
          <w:sz w:val="24"/>
        </w:rPr>
      </w:pPr>
      <w:r>
        <w:rPr>
          <w:rFonts w:hint="eastAsia" w:ascii="宋体" w:hAnsi="宋体"/>
          <w:sz w:val="24"/>
        </w:rPr>
        <w:t>根据上述政府采购合同文件要求，本政府采购合同的总金额为人民币（大写</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元。</w:t>
      </w:r>
    </w:p>
    <w:p w14:paraId="3C396B1B">
      <w:pPr>
        <w:spacing w:line="360" w:lineRule="auto"/>
        <w:ind w:firstLine="480" w:firstLineChars="200"/>
        <w:rPr>
          <w:rFonts w:ascii="宋体" w:hAnsi="宋体"/>
          <w:sz w:val="24"/>
        </w:rPr>
      </w:pPr>
      <w:r>
        <w:rPr>
          <w:rFonts w:hint="eastAsia" w:ascii="宋体" w:hAnsi="宋体"/>
          <w:sz w:val="24"/>
        </w:rPr>
        <w:t>本合同以人民币进行结算，合同总价包括：</w:t>
      </w:r>
      <w:r>
        <w:rPr>
          <w:rFonts w:hint="eastAsia" w:hAnsi="宋体"/>
          <w:sz w:val="24"/>
          <w:szCs w:val="28"/>
          <w:lang w:val="zh-CN"/>
        </w:rPr>
        <w:t>产品费、验收费、手续费、包装费、运输费、售前、售中、售后服务费、招标代理费、税金及不可预见费等全部费用。</w:t>
      </w:r>
    </w:p>
    <w:p w14:paraId="669404F0">
      <w:pPr>
        <w:spacing w:line="360" w:lineRule="auto"/>
        <w:ind w:firstLine="480" w:firstLineChars="200"/>
        <w:rPr>
          <w:rFonts w:ascii="宋体" w:hAnsi="宋体"/>
          <w:sz w:val="24"/>
        </w:rPr>
      </w:pPr>
      <w:r>
        <w:rPr>
          <w:rFonts w:hint="eastAsia" w:ascii="宋体" w:hAnsi="宋体"/>
          <w:sz w:val="24"/>
        </w:rPr>
        <w:t>（说明：具体内容应根据项目特点实事求是的填写）</w:t>
      </w:r>
    </w:p>
    <w:p w14:paraId="45BF1EE1">
      <w:pPr>
        <w:spacing w:line="360" w:lineRule="auto"/>
        <w:rPr>
          <w:rFonts w:ascii="宋体" w:hAnsi="宋体"/>
          <w:b/>
          <w:sz w:val="24"/>
        </w:rPr>
      </w:pPr>
      <w:r>
        <w:rPr>
          <w:rFonts w:hint="eastAsia" w:ascii="宋体" w:hAnsi="宋体"/>
          <w:b/>
          <w:sz w:val="24"/>
        </w:rPr>
        <w:t>三、交付时间、地点和要求</w:t>
      </w:r>
    </w:p>
    <w:p w14:paraId="08E6E83C">
      <w:pPr>
        <w:spacing w:line="360" w:lineRule="auto"/>
        <w:rPr>
          <w:rFonts w:ascii="宋体" w:hAnsi="宋体"/>
          <w:sz w:val="24"/>
        </w:rPr>
      </w:pPr>
      <w:r>
        <w:rPr>
          <w:rFonts w:hint="eastAsia" w:ascii="宋体" w:hAnsi="宋体"/>
          <w:sz w:val="24"/>
        </w:rPr>
        <w:t>1.交货期：</w:t>
      </w:r>
      <w:r>
        <w:rPr>
          <w:rFonts w:hint="eastAsia" w:ascii="宋体" w:hAnsi="宋体"/>
          <w:sz w:val="24"/>
          <w:u w:val="single"/>
          <w:lang w:val="en-US" w:eastAsia="zh-CN"/>
        </w:rPr>
        <w:t xml:space="preserve">    自合同签订之日起90个日历日                 </w:t>
      </w:r>
      <w:r>
        <w:rPr>
          <w:rFonts w:hint="eastAsia" w:ascii="宋体" w:hAnsi="宋体"/>
          <w:sz w:val="24"/>
        </w:rPr>
        <w:t>；</w:t>
      </w:r>
    </w:p>
    <w:p w14:paraId="6FAA4787">
      <w:pPr>
        <w:spacing w:line="360" w:lineRule="auto"/>
        <w:ind w:firstLine="240" w:firstLineChars="100"/>
        <w:rPr>
          <w:rFonts w:ascii="宋体" w:hAnsi="宋体"/>
          <w:sz w:val="24"/>
        </w:rPr>
      </w:pPr>
      <w:r>
        <w:rPr>
          <w:rFonts w:hint="eastAsia" w:ascii="宋体" w:hAnsi="宋体"/>
          <w:sz w:val="24"/>
        </w:rPr>
        <w:t>交货地点：</w:t>
      </w:r>
      <w:bookmarkStart w:id="184" w:name="_Hlk497746416"/>
      <w:r>
        <w:rPr>
          <w:rFonts w:hint="eastAsia" w:ascii="宋体" w:hAnsi="宋体"/>
          <w:sz w:val="24"/>
          <w:u w:val="single"/>
          <w:lang w:val="en-US" w:eastAsia="zh-CN"/>
        </w:rPr>
        <w:t xml:space="preserve"> 按采购人指定地点                  </w:t>
      </w:r>
      <w:r>
        <w:rPr>
          <w:rFonts w:hint="eastAsia" w:ascii="宋体" w:hAnsi="宋体"/>
          <w:sz w:val="24"/>
        </w:rPr>
        <w:t>；</w:t>
      </w:r>
    </w:p>
    <w:p w14:paraId="5216ADEE">
      <w:pPr>
        <w:spacing w:line="360" w:lineRule="auto"/>
        <w:ind w:firstLine="240" w:firstLineChars="100"/>
        <w:rPr>
          <w:rFonts w:ascii="宋体" w:hAnsi="宋体"/>
          <w:sz w:val="24"/>
        </w:rPr>
      </w:pPr>
      <w:r>
        <w:rPr>
          <w:rFonts w:hint="eastAsia" w:ascii="宋体" w:hAnsi="宋体"/>
          <w:sz w:val="24"/>
        </w:rPr>
        <w:t>质保期：</w:t>
      </w:r>
      <w:r>
        <w:rPr>
          <w:rFonts w:hint="eastAsia" w:ascii="宋体" w:hAnsi="宋体"/>
          <w:sz w:val="24"/>
          <w:u w:val="single"/>
          <w:lang w:val="en-US" w:eastAsia="zh-CN"/>
        </w:rPr>
        <w:t xml:space="preserve">   自项目验收完成后3年              </w:t>
      </w:r>
      <w:r>
        <w:rPr>
          <w:rFonts w:hint="eastAsia" w:ascii="宋体" w:hAnsi="宋体"/>
          <w:sz w:val="24"/>
        </w:rPr>
        <w:t>；</w:t>
      </w:r>
    </w:p>
    <w:bookmarkEnd w:id="184"/>
    <w:p w14:paraId="6E54B2AD">
      <w:pPr>
        <w:spacing w:line="360" w:lineRule="auto"/>
        <w:rPr>
          <w:rFonts w:ascii="宋体" w:hAnsi="宋体"/>
          <w:sz w:val="24"/>
        </w:rPr>
      </w:pPr>
      <w:r>
        <w:rPr>
          <w:rFonts w:hint="eastAsia" w:ascii="宋体" w:hAnsi="宋体"/>
          <w:sz w:val="24"/>
        </w:rPr>
        <w:t>2.乙方提供不符合磋商响应文件和本合同规定的产品，甲方有权拒绝接受；</w:t>
      </w:r>
    </w:p>
    <w:p w14:paraId="2026392C">
      <w:pPr>
        <w:spacing w:line="360" w:lineRule="auto"/>
        <w:rPr>
          <w:rFonts w:ascii="宋体" w:hAnsi="宋体"/>
          <w:sz w:val="24"/>
        </w:rPr>
      </w:pPr>
      <w:r>
        <w:rPr>
          <w:rFonts w:hint="eastAsia" w:ascii="宋体" w:hAnsi="宋体"/>
          <w:sz w:val="24"/>
        </w:rPr>
        <w:t>3.乙方应将提供产品的装箱清单、用户手册、原厂保修卡、随机资料、工具和备品、备件等（如有）交付给甲方，如有缺失应及时补齐，否则视为逾期交货；</w:t>
      </w:r>
    </w:p>
    <w:p w14:paraId="64EAFF6E">
      <w:pPr>
        <w:spacing w:line="360" w:lineRule="auto"/>
        <w:rPr>
          <w:rFonts w:ascii="宋体" w:hAnsi="宋体"/>
          <w:sz w:val="24"/>
        </w:rPr>
      </w:pPr>
      <w:r>
        <w:rPr>
          <w:rFonts w:hint="eastAsia" w:ascii="宋体" w:hAnsi="宋体"/>
          <w:sz w:val="24"/>
        </w:rPr>
        <w:t>4.甲方应当在到货（安装、调试完）后10个工作日内进行验收，逾期不验收的，乙方可视为验收合格。验收合格后，由甲乙双方签署产品验收单并加盖采购单位公章，甲乙双方各执一份；</w:t>
      </w:r>
    </w:p>
    <w:p w14:paraId="5419C84F">
      <w:pPr>
        <w:spacing w:line="360" w:lineRule="auto"/>
        <w:rPr>
          <w:rFonts w:ascii="宋体" w:hAnsi="宋体"/>
          <w:sz w:val="24"/>
        </w:rPr>
      </w:pPr>
      <w:r>
        <w:rPr>
          <w:rFonts w:hint="eastAsia" w:ascii="宋体" w:hAnsi="宋体"/>
          <w:sz w:val="24"/>
        </w:rPr>
        <w:t>5.甲方应提供该项目验收报告交同级财政监管部门，由财政部门按规定程序抽验后办理资金拨付；</w:t>
      </w:r>
    </w:p>
    <w:p w14:paraId="311FC3FF">
      <w:pPr>
        <w:spacing w:line="360" w:lineRule="auto"/>
        <w:rPr>
          <w:rFonts w:ascii="宋体" w:hAnsi="宋体"/>
          <w:sz w:val="24"/>
        </w:rPr>
      </w:pPr>
      <w:r>
        <w:rPr>
          <w:rFonts w:hint="eastAsia" w:ascii="宋体" w:hAnsi="宋体"/>
          <w:sz w:val="24"/>
        </w:rPr>
        <w:t>6.甲方在验收过程中发现乙方有违约问题，可按磋商响应文件的规定要求乙方及时予以解决；</w:t>
      </w:r>
    </w:p>
    <w:p w14:paraId="1ED680CA">
      <w:pPr>
        <w:spacing w:line="360" w:lineRule="auto"/>
        <w:rPr>
          <w:rFonts w:ascii="宋体" w:hAnsi="宋体"/>
          <w:sz w:val="24"/>
        </w:rPr>
      </w:pPr>
      <w:r>
        <w:rPr>
          <w:rFonts w:hint="eastAsia" w:ascii="宋体" w:hAnsi="宋体"/>
          <w:sz w:val="24"/>
        </w:rPr>
        <w:t>7.乙方向甲方提供产品相关完税销售发票。</w:t>
      </w:r>
    </w:p>
    <w:p w14:paraId="753E75A9">
      <w:pPr>
        <w:spacing w:line="360" w:lineRule="auto"/>
        <w:rPr>
          <w:rFonts w:ascii="宋体" w:hAnsi="宋体"/>
          <w:b/>
          <w:sz w:val="24"/>
        </w:rPr>
      </w:pPr>
      <w:r>
        <w:rPr>
          <w:rFonts w:hint="eastAsia" w:ascii="宋体" w:hAnsi="宋体"/>
          <w:b/>
          <w:sz w:val="24"/>
        </w:rPr>
        <w:t>四、付款方式</w:t>
      </w:r>
    </w:p>
    <w:p w14:paraId="093AA598">
      <w:pPr>
        <w:spacing w:line="360" w:lineRule="auto"/>
        <w:ind w:firstLine="480" w:firstLineChars="200"/>
        <w:rPr>
          <w:rFonts w:ascii="宋体" w:hAnsi="宋体"/>
          <w:sz w:val="24"/>
        </w:rPr>
      </w:pPr>
      <w:r>
        <w:rPr>
          <w:rFonts w:hint="eastAsia" w:ascii="宋体" w:hAnsi="宋体"/>
          <w:sz w:val="24"/>
        </w:rPr>
        <w:t>1．本项目是否支付预付款；</w:t>
      </w:r>
    </w:p>
    <w:p w14:paraId="092231C0">
      <w:pPr>
        <w:spacing w:line="360" w:lineRule="auto"/>
        <w:ind w:firstLine="480" w:firstLineChars="200"/>
        <w:jc w:val="left"/>
        <w:rPr>
          <w:rFonts w:ascii="宋体" w:hAnsi="宋体"/>
          <w:sz w:val="24"/>
        </w:rPr>
      </w:pPr>
      <w:r>
        <w:rPr>
          <w:rFonts w:hint="eastAsia" w:ascii="宋体" w:hAnsi="宋体"/>
          <w:sz w:val="24"/>
        </w:rPr>
        <w:t>2．</w:t>
      </w:r>
      <w:r>
        <w:rPr>
          <w:rFonts w:ascii="宋体" w:hAnsi="宋体"/>
          <w:sz w:val="24"/>
        </w:rPr>
        <w:t>乙方所交付的产品由甲方验收合格，验收合格后由甲方报同级财政监管部门，申请资金拨付,按合同金额向乙方支付合同总价款的</w:t>
      </w:r>
      <w:r>
        <w:rPr>
          <w:rFonts w:hint="eastAsia" w:ascii="宋体" w:hAnsi="宋体"/>
          <w:sz w:val="24"/>
          <w:u w:val="single"/>
        </w:rPr>
        <w:t xml:space="preserve">     </w:t>
      </w:r>
      <w:r>
        <w:rPr>
          <w:rFonts w:ascii="宋体" w:hAnsi="宋体"/>
          <w:sz w:val="24"/>
        </w:rPr>
        <w:t>%，即人民币（大写）：</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元。</w:t>
      </w:r>
      <w:r>
        <w:rPr>
          <w:rFonts w:hint="eastAsia" w:ascii="宋体" w:hAnsi="宋体"/>
          <w:sz w:val="24"/>
        </w:rPr>
        <w:t>合同签订前乙方向甲方提交</w:t>
      </w:r>
      <w:r>
        <w:rPr>
          <w:rFonts w:hint="eastAsia" w:ascii="宋体" w:hAnsi="宋体"/>
          <w:sz w:val="24"/>
          <w:u w:val="single"/>
        </w:rPr>
        <w:t xml:space="preserve">    </w:t>
      </w:r>
      <w:r>
        <w:rPr>
          <w:rFonts w:ascii="宋体" w:hAnsi="宋体"/>
          <w:sz w:val="24"/>
        </w:rPr>
        <w:t>%</w:t>
      </w:r>
      <w:r>
        <w:rPr>
          <w:rFonts w:hint="eastAsia" w:ascii="宋体" w:hAnsi="宋体"/>
          <w:sz w:val="24"/>
        </w:rPr>
        <w:t>履约保证金计（大写）</w:t>
      </w:r>
      <w:r>
        <w:rPr>
          <w:rFonts w:hint="eastAsia" w:ascii="宋体" w:hAnsi="宋体"/>
          <w:sz w:val="24"/>
          <w:u w:val="single"/>
        </w:rPr>
        <w:t xml:space="preserve">              </w:t>
      </w:r>
      <w:r>
        <w:rPr>
          <w:rFonts w:hint="eastAsia" w:ascii="宋体" w:hAnsi="宋体"/>
          <w:sz w:val="24"/>
        </w:rPr>
        <w:t>元转为质量保证金。质量保证金待约定的质保期满</w:t>
      </w:r>
      <w:r>
        <w:rPr>
          <w:rFonts w:hint="eastAsia" w:ascii="宋体" w:hAnsi="宋体"/>
          <w:sz w:val="24"/>
          <w:u w:val="single"/>
        </w:rPr>
        <w:t xml:space="preserve">     </w:t>
      </w:r>
      <w:r>
        <w:rPr>
          <w:rFonts w:hint="eastAsia" w:ascii="宋体" w:hAnsi="宋体"/>
          <w:sz w:val="24"/>
        </w:rPr>
        <w:t>（年）且产品无质量问题后，由乙方提出书面申请，甲方以转账方式予以退还。</w:t>
      </w:r>
    </w:p>
    <w:p w14:paraId="15747BEF">
      <w:pPr>
        <w:spacing w:line="360" w:lineRule="auto"/>
        <w:ind w:firstLine="480" w:firstLineChars="200"/>
        <w:jc w:val="left"/>
        <w:rPr>
          <w:rFonts w:ascii="宋体" w:hAnsi="宋体"/>
          <w:sz w:val="24"/>
        </w:rPr>
      </w:pPr>
      <w:r>
        <w:rPr>
          <w:rFonts w:hint="eastAsia" w:ascii="宋体" w:hAnsi="宋体"/>
          <w:sz w:val="24"/>
        </w:rPr>
        <w:t>注：付款方式甲乙双方签订合同时约定。</w:t>
      </w:r>
    </w:p>
    <w:p w14:paraId="6C7EA16B">
      <w:pPr>
        <w:autoSpaceDE w:val="0"/>
        <w:autoSpaceDN w:val="0"/>
        <w:spacing w:line="360" w:lineRule="auto"/>
        <w:rPr>
          <w:rFonts w:ascii="宋体" w:hAnsi="宋体"/>
          <w:b/>
          <w:sz w:val="24"/>
        </w:rPr>
      </w:pPr>
      <w:r>
        <w:rPr>
          <w:rFonts w:hint="eastAsia" w:ascii="宋体" w:hAnsi="宋体"/>
          <w:b/>
          <w:sz w:val="24"/>
        </w:rPr>
        <w:t>五、合同的变更、终止与转让</w:t>
      </w:r>
    </w:p>
    <w:p w14:paraId="072BAE7E">
      <w:pPr>
        <w:spacing w:line="360" w:lineRule="auto"/>
        <w:rPr>
          <w:rFonts w:ascii="宋体" w:hAnsi="宋体"/>
          <w:sz w:val="24"/>
        </w:rPr>
      </w:pPr>
      <w:r>
        <w:rPr>
          <w:rFonts w:hint="eastAsia" w:ascii="宋体" w:hAnsi="宋体"/>
          <w:sz w:val="24"/>
        </w:rPr>
        <w:t>1．除《中华人民共和国政府采购法》第50条规定的情形外，本合同一经签订，甲乙双方不得擅自变更、中止或终止；</w:t>
      </w:r>
    </w:p>
    <w:p w14:paraId="1FD40EFF">
      <w:pPr>
        <w:spacing w:line="360" w:lineRule="auto"/>
        <w:rPr>
          <w:rFonts w:ascii="宋体" w:hAnsi="宋体"/>
          <w:sz w:val="24"/>
        </w:rPr>
      </w:pPr>
      <w:r>
        <w:rPr>
          <w:rFonts w:hint="eastAsia" w:ascii="宋体" w:hAnsi="宋体"/>
          <w:sz w:val="24"/>
        </w:rPr>
        <w:t>2．乙方不得擅自转让其应履行的合同义务。</w:t>
      </w:r>
    </w:p>
    <w:p w14:paraId="64905532">
      <w:pPr>
        <w:spacing w:line="360" w:lineRule="auto"/>
        <w:rPr>
          <w:rFonts w:ascii="宋体" w:hAnsi="宋体"/>
          <w:b/>
          <w:sz w:val="24"/>
        </w:rPr>
      </w:pPr>
      <w:r>
        <w:rPr>
          <w:rFonts w:hint="eastAsia" w:ascii="宋体" w:hAnsi="宋体"/>
          <w:b/>
          <w:sz w:val="24"/>
        </w:rPr>
        <w:t>六、违约责任</w:t>
      </w:r>
    </w:p>
    <w:p w14:paraId="3F882FF6">
      <w:pPr>
        <w:spacing w:line="360" w:lineRule="auto"/>
        <w:rPr>
          <w:rFonts w:ascii="宋体" w:hAnsi="宋体"/>
          <w:sz w:val="24"/>
        </w:rPr>
      </w:pPr>
      <w:r>
        <w:rPr>
          <w:rFonts w:hint="eastAsia" w:ascii="宋体" w:hAnsi="宋体"/>
          <w:sz w:val="24"/>
        </w:rPr>
        <w:t>1．乙方所提供的产品规格、技术标准、材料等质量不合格的，应及时更换；更换不及时的，按逾期交货处罚；因质量问题甲方不同意接收的，质保金全额扣除，并由乙方赔偿由此引起的甲方的一切经济损失；</w:t>
      </w:r>
    </w:p>
    <w:p w14:paraId="7898D852">
      <w:pPr>
        <w:spacing w:line="360" w:lineRule="auto"/>
        <w:rPr>
          <w:rFonts w:ascii="宋体" w:hAnsi="宋体"/>
          <w:sz w:val="24"/>
        </w:rPr>
      </w:pPr>
      <w:r>
        <w:rPr>
          <w:rFonts w:hint="eastAsia" w:ascii="宋体" w:hAnsi="宋体"/>
          <w:sz w:val="24"/>
        </w:rPr>
        <w:t>2．乙方提供的货物如侵犯了第三方权益而引发纠纷或诉讼的，均由乙方负责交涉并承担全部责任；</w:t>
      </w:r>
    </w:p>
    <w:p w14:paraId="44B6D2B7">
      <w:pPr>
        <w:spacing w:line="360" w:lineRule="auto"/>
        <w:rPr>
          <w:rFonts w:ascii="宋体" w:hAnsi="宋体"/>
          <w:sz w:val="24"/>
        </w:rPr>
      </w:pPr>
      <w:r>
        <w:rPr>
          <w:rFonts w:hint="eastAsia" w:ascii="宋体" w:hAnsi="宋体"/>
          <w:sz w:val="24"/>
        </w:rPr>
        <w:t>3．因包装、运输引起的货物损坏，按质量不合格处罚；</w:t>
      </w:r>
    </w:p>
    <w:p w14:paraId="0667598B">
      <w:pPr>
        <w:spacing w:line="360" w:lineRule="auto"/>
        <w:rPr>
          <w:rFonts w:ascii="宋体" w:hAnsi="宋体"/>
          <w:sz w:val="24"/>
        </w:rPr>
      </w:pPr>
      <w:r>
        <w:rPr>
          <w:rFonts w:hint="eastAsia" w:ascii="宋体" w:hAnsi="宋体"/>
          <w:sz w:val="24"/>
        </w:rPr>
        <w:t>4．甲方无故延期接受货物和乙方逾期交货的，每天应向对方偿付未交货物的货款3‰的违约金，但违约金累计不得超过违约货款的5%，超过10天对方有权解除合同，违约方承担因此给对方造成的经济损失；</w:t>
      </w:r>
    </w:p>
    <w:p w14:paraId="0331D264">
      <w:pPr>
        <w:spacing w:line="360" w:lineRule="auto"/>
        <w:rPr>
          <w:rFonts w:ascii="宋体" w:hAnsi="宋体"/>
          <w:sz w:val="24"/>
        </w:rPr>
      </w:pPr>
      <w:r>
        <w:rPr>
          <w:rFonts w:hint="eastAsia" w:ascii="宋体" w:hAnsi="宋体"/>
          <w:sz w:val="24"/>
        </w:rPr>
        <w:t>5．乙方未按本合同和磋商文件中规定的服务承诺提供售后服务的，乙方应按本合同合计金额的5%向甲方支付违约金；</w:t>
      </w:r>
    </w:p>
    <w:p w14:paraId="39C44993">
      <w:pPr>
        <w:spacing w:line="360" w:lineRule="auto"/>
        <w:rPr>
          <w:rFonts w:ascii="宋体" w:hAnsi="宋体"/>
          <w:sz w:val="24"/>
        </w:rPr>
      </w:pPr>
      <w:r>
        <w:rPr>
          <w:rFonts w:hint="eastAsia" w:ascii="宋体" w:hAnsi="宋体"/>
          <w:sz w:val="24"/>
        </w:rPr>
        <w:t>6．乙方提供的货物在质量保证期内，因设计、工艺或材料的缺陷和其它质量原因造成的问题，由乙方负责，费用从履约保证金中扣除，不足另补；</w:t>
      </w:r>
    </w:p>
    <w:p w14:paraId="15ADB1CD">
      <w:pPr>
        <w:spacing w:line="360" w:lineRule="auto"/>
        <w:rPr>
          <w:rFonts w:ascii="宋体" w:hAnsi="宋体"/>
          <w:sz w:val="24"/>
        </w:rPr>
      </w:pPr>
      <w:r>
        <w:rPr>
          <w:rFonts w:hint="eastAsia" w:ascii="宋体" w:hAnsi="宋体"/>
          <w:sz w:val="24"/>
        </w:rPr>
        <w:t>7．其它违约行为按违约货款额5%收取违约金并赔偿经济损失。</w:t>
      </w:r>
    </w:p>
    <w:p w14:paraId="2FE5882F">
      <w:pPr>
        <w:spacing w:line="360" w:lineRule="auto"/>
        <w:rPr>
          <w:rFonts w:ascii="宋体" w:hAnsi="宋体"/>
          <w:b/>
          <w:sz w:val="24"/>
        </w:rPr>
      </w:pPr>
      <w:r>
        <w:rPr>
          <w:rFonts w:hint="eastAsia" w:ascii="宋体" w:hAnsi="宋体"/>
          <w:b/>
          <w:sz w:val="24"/>
        </w:rPr>
        <w:t>七、不可抗力</w:t>
      </w:r>
    </w:p>
    <w:p w14:paraId="3CE67E90">
      <w:pPr>
        <w:spacing w:line="360" w:lineRule="auto"/>
        <w:rPr>
          <w:rFonts w:ascii="宋体" w:hAnsi="宋体"/>
          <w:sz w:val="24"/>
        </w:rPr>
      </w:pPr>
      <w:r>
        <w:rPr>
          <w:rFonts w:hint="eastAsia" w:ascii="宋体" w:hAnsi="宋体"/>
          <w:sz w:val="24"/>
        </w:rPr>
        <w:t>1．不可抗力使合同的某些内容有变更必要的，双方应通过协商在</w:t>
      </w:r>
      <w:r>
        <w:rPr>
          <w:rFonts w:ascii="宋体" w:hAnsi="宋体"/>
          <w:sz w:val="24"/>
          <w:u w:val="single"/>
        </w:rPr>
        <w:t>3</w:t>
      </w:r>
      <w:r>
        <w:rPr>
          <w:rFonts w:hint="eastAsia" w:ascii="宋体" w:hAnsi="宋体"/>
          <w:sz w:val="24"/>
        </w:rPr>
        <w:t>天内达成进一步履行合同的协议，因不可抗力致使合同不能履行的，合同终止；</w:t>
      </w:r>
    </w:p>
    <w:p w14:paraId="609625D5">
      <w:pPr>
        <w:spacing w:line="360" w:lineRule="auto"/>
        <w:rPr>
          <w:rFonts w:ascii="宋体" w:hAnsi="宋体"/>
          <w:sz w:val="24"/>
        </w:rPr>
      </w:pPr>
      <w:r>
        <w:rPr>
          <w:rFonts w:hint="eastAsia" w:ascii="宋体" w:hAnsi="宋体"/>
          <w:sz w:val="24"/>
        </w:rPr>
        <w:t>2．除法律、法规规定的不可抗力情形外，双方约定出现</w:t>
      </w:r>
      <w:r>
        <w:rPr>
          <w:rFonts w:hint="eastAsia" w:ascii="宋体" w:hAnsi="宋体"/>
          <w:sz w:val="24"/>
          <w:u w:val="single"/>
        </w:rPr>
        <w:t xml:space="preserve"> 自然灾害 </w:t>
      </w:r>
      <w:r>
        <w:rPr>
          <w:rFonts w:hint="eastAsia" w:ascii="宋体" w:hAnsi="宋体"/>
          <w:sz w:val="24"/>
        </w:rPr>
        <w:t>情况亦视为不可抗力。</w:t>
      </w:r>
    </w:p>
    <w:p w14:paraId="234E2CAC">
      <w:pPr>
        <w:spacing w:line="360" w:lineRule="auto"/>
        <w:rPr>
          <w:rFonts w:ascii="宋体" w:hAnsi="宋体"/>
          <w:b/>
          <w:sz w:val="24"/>
        </w:rPr>
      </w:pPr>
      <w:r>
        <w:rPr>
          <w:rFonts w:hint="eastAsia" w:ascii="宋体" w:hAnsi="宋体"/>
          <w:b/>
          <w:sz w:val="24"/>
        </w:rPr>
        <w:t>八、知识产权：</w:t>
      </w:r>
    </w:p>
    <w:p w14:paraId="11161C62">
      <w:pPr>
        <w:spacing w:line="360" w:lineRule="auto"/>
        <w:rPr>
          <w:rFonts w:ascii="宋体" w:hAnsi="宋体"/>
          <w:b/>
          <w:sz w:val="24"/>
        </w:rPr>
      </w:pPr>
      <w:r>
        <w:rPr>
          <w:rFonts w:hint="eastAsia" w:ascii="宋体" w:hAnsi="宋体"/>
          <w:b/>
          <w:sz w:val="24"/>
        </w:rPr>
        <w:t>九、其他约定：</w:t>
      </w:r>
    </w:p>
    <w:p w14:paraId="3DCCBF61">
      <w:pPr>
        <w:spacing w:line="360" w:lineRule="auto"/>
        <w:rPr>
          <w:rFonts w:ascii="宋体" w:hAnsi="宋体"/>
          <w:b/>
          <w:sz w:val="24"/>
        </w:rPr>
      </w:pPr>
      <w:r>
        <w:rPr>
          <w:rFonts w:hint="eastAsia" w:ascii="宋体" w:hAnsi="宋体"/>
          <w:b/>
          <w:sz w:val="24"/>
        </w:rPr>
        <w:t>十、合同争议解决</w:t>
      </w:r>
    </w:p>
    <w:p w14:paraId="24834307">
      <w:pPr>
        <w:spacing w:line="360" w:lineRule="auto"/>
        <w:rPr>
          <w:rFonts w:ascii="宋体" w:hAnsi="宋体"/>
          <w:sz w:val="24"/>
        </w:rPr>
      </w:pPr>
      <w:r>
        <w:rPr>
          <w:rFonts w:hint="eastAsia" w:ascii="宋体" w:hAnsi="宋体"/>
          <w:sz w:val="24"/>
        </w:rPr>
        <w:t>1．因产品质量问题发生争议的，应邀请国家认可的质量检测机构进行鉴定。产品符合标准的，鉴定费由甲方承担；产品不符合标准的，鉴定费由乙方承担；</w:t>
      </w:r>
    </w:p>
    <w:p w14:paraId="53A636F8">
      <w:pPr>
        <w:spacing w:line="360" w:lineRule="auto"/>
        <w:rPr>
          <w:rFonts w:ascii="宋体" w:hAnsi="宋体"/>
          <w:sz w:val="24"/>
        </w:rPr>
      </w:pPr>
      <w:r>
        <w:rPr>
          <w:rFonts w:hint="eastAsia" w:ascii="宋体" w:hAnsi="宋体"/>
          <w:sz w:val="24"/>
        </w:rPr>
        <w:t>2．因履行本合同引起的或与本合同有关的争议，甲乙双方应首先通过友好协商解决，如果协商不能解决，可向甲方所在地仲裁委员会申请仲裁或向甲方所在地人民法院提起诉讼；</w:t>
      </w:r>
    </w:p>
    <w:p w14:paraId="10124E1E">
      <w:pPr>
        <w:spacing w:line="360" w:lineRule="auto"/>
        <w:rPr>
          <w:rFonts w:ascii="宋体" w:hAnsi="宋体"/>
          <w:sz w:val="24"/>
        </w:rPr>
      </w:pPr>
      <w:r>
        <w:rPr>
          <w:rFonts w:hint="eastAsia" w:ascii="宋体" w:hAnsi="宋体"/>
          <w:sz w:val="24"/>
        </w:rPr>
        <w:t>3．诉讼期间，本合同继续履行。</w:t>
      </w:r>
    </w:p>
    <w:p w14:paraId="6E548DB3">
      <w:pPr>
        <w:spacing w:line="360" w:lineRule="auto"/>
        <w:rPr>
          <w:rFonts w:ascii="宋体" w:hAnsi="宋体"/>
          <w:b/>
          <w:sz w:val="24"/>
        </w:rPr>
      </w:pPr>
      <w:r>
        <w:rPr>
          <w:rFonts w:hint="eastAsia" w:ascii="宋体" w:hAnsi="宋体"/>
          <w:b/>
          <w:sz w:val="24"/>
        </w:rPr>
        <w:t>十一、合同生效及其它：</w:t>
      </w:r>
    </w:p>
    <w:p w14:paraId="1EE61A82">
      <w:pPr>
        <w:spacing w:line="360" w:lineRule="auto"/>
        <w:rPr>
          <w:rFonts w:ascii="宋体" w:hAnsi="宋体"/>
          <w:sz w:val="24"/>
        </w:rPr>
      </w:pPr>
      <w:r>
        <w:rPr>
          <w:rFonts w:hint="eastAsia" w:ascii="宋体" w:hAnsi="宋体"/>
          <w:sz w:val="24"/>
        </w:rPr>
        <w:t>1．本合同一式八份，经双方签字，并加盖公章即为生效；</w:t>
      </w:r>
    </w:p>
    <w:p w14:paraId="28957076">
      <w:pPr>
        <w:spacing w:line="360" w:lineRule="auto"/>
        <w:rPr>
          <w:rFonts w:ascii="宋体" w:hAnsi="宋体"/>
          <w:sz w:val="24"/>
        </w:rPr>
      </w:pPr>
      <w:r>
        <w:rPr>
          <w:rFonts w:hint="eastAsia" w:ascii="宋体" w:hAnsi="宋体"/>
          <w:sz w:val="24"/>
        </w:rPr>
        <w:t>2．本合同未尽事宜，按经济合同法有关规定处理；</w:t>
      </w:r>
    </w:p>
    <w:p w14:paraId="44EF0C7B">
      <w:pPr>
        <w:spacing w:line="360" w:lineRule="auto"/>
        <w:rPr>
          <w:rFonts w:ascii="宋体" w:hAnsi="宋体"/>
          <w:sz w:val="24"/>
        </w:rPr>
      </w:pPr>
      <w:r>
        <w:rPr>
          <w:rFonts w:hint="eastAsia" w:ascii="宋体" w:hAnsi="宋体"/>
          <w:sz w:val="24"/>
        </w:rPr>
        <w:t>3．本合同的组成包含《合同通用条款》，可自行在青海政府采购网下载《合同通用条款》</w:t>
      </w:r>
    </w:p>
    <w:p w14:paraId="1D92CE3C">
      <w:pPr>
        <w:rPr>
          <w:rFonts w:ascii="宋体" w:hAnsi="宋体"/>
          <w:sz w:val="24"/>
        </w:rPr>
      </w:pPr>
      <w:r>
        <w:rPr>
          <w:rFonts w:hint="eastAsia" w:ascii="宋体" w:hAnsi="宋体"/>
          <w:sz w:val="24"/>
        </w:rPr>
        <w:t>甲方（盖章）：                                  乙方（盖章）：</w:t>
      </w:r>
    </w:p>
    <w:p w14:paraId="3F9FD66A">
      <w:pPr>
        <w:rPr>
          <w:rFonts w:ascii="宋体" w:hAnsi="宋体"/>
          <w:sz w:val="24"/>
        </w:rPr>
      </w:pPr>
      <w:r>
        <w:rPr>
          <w:rFonts w:hint="eastAsia" w:ascii="宋体" w:hAnsi="宋体"/>
          <w:sz w:val="24"/>
        </w:rPr>
        <w:t>法人或委托人（签字）：                          法人或委托人（签字）：</w:t>
      </w:r>
    </w:p>
    <w:p w14:paraId="14868F02">
      <w:pPr>
        <w:rPr>
          <w:rFonts w:ascii="宋体" w:hAnsi="宋体"/>
          <w:sz w:val="24"/>
        </w:rPr>
      </w:pPr>
      <w:r>
        <w:rPr>
          <w:rFonts w:hint="eastAsia" w:ascii="宋体" w:hAnsi="宋体"/>
          <w:sz w:val="24"/>
        </w:rPr>
        <w:t>联系电话：                                      开户银行：</w:t>
      </w:r>
    </w:p>
    <w:p w14:paraId="1DA8CBB2">
      <w:pPr>
        <w:ind w:firstLine="4320" w:firstLineChars="1800"/>
        <w:rPr>
          <w:rFonts w:ascii="宋体" w:hAnsi="宋体"/>
          <w:sz w:val="24"/>
        </w:rPr>
      </w:pPr>
      <w:r>
        <w:rPr>
          <w:rFonts w:hint="eastAsia" w:ascii="宋体" w:hAnsi="宋体"/>
          <w:sz w:val="24"/>
        </w:rPr>
        <w:t xml:space="preserve">            账号：</w:t>
      </w:r>
    </w:p>
    <w:p w14:paraId="03A351E9">
      <w:pPr>
        <w:ind w:firstLine="4320" w:firstLineChars="1800"/>
        <w:rPr>
          <w:rFonts w:ascii="宋体" w:hAnsi="宋体"/>
          <w:sz w:val="24"/>
        </w:rPr>
      </w:pPr>
      <w:r>
        <w:rPr>
          <w:rFonts w:hint="eastAsia" w:ascii="宋体" w:hAnsi="宋体"/>
          <w:sz w:val="24"/>
        </w:rPr>
        <w:t xml:space="preserve">            联系电话：</w:t>
      </w:r>
    </w:p>
    <w:p w14:paraId="005D9656">
      <w:pPr>
        <w:jc w:val="center"/>
        <w:rPr>
          <w:rFonts w:ascii="宋体" w:hAnsi="宋体" w:cs="宋体"/>
          <w:kern w:val="0"/>
          <w:sz w:val="24"/>
        </w:rPr>
      </w:pPr>
      <w:r>
        <w:rPr>
          <w:rFonts w:hint="eastAsia" w:ascii="宋体" w:hAnsi="宋体"/>
          <w:sz w:val="24"/>
        </w:rPr>
        <w:t xml:space="preserve">                                      签约时间：    年  月  日</w:t>
      </w:r>
    </w:p>
    <w:p w14:paraId="7A395B7C">
      <w:pPr>
        <w:spacing w:line="360" w:lineRule="auto"/>
        <w:rPr>
          <w:rFonts w:ascii="宋体" w:hAnsi="宋体"/>
          <w:sz w:val="24"/>
        </w:rPr>
      </w:pPr>
    </w:p>
    <w:p w14:paraId="7E3F62C7">
      <w:pPr>
        <w:spacing w:line="360" w:lineRule="auto"/>
        <w:rPr>
          <w:rFonts w:hint="eastAsia" w:ascii="宋体" w:hAnsi="宋体" w:eastAsia="宋体"/>
          <w:sz w:val="24"/>
          <w:lang w:eastAsia="zh-CN"/>
        </w:rPr>
      </w:pPr>
      <w:r>
        <w:rPr>
          <w:rFonts w:hint="eastAsia" w:ascii="宋体" w:hAnsi="宋体"/>
          <w:sz w:val="24"/>
        </w:rPr>
        <w:t>采购代理机构：</w:t>
      </w:r>
      <w:r>
        <w:rPr>
          <w:rFonts w:hint="eastAsia" w:ascii="宋体" w:hAnsi="宋体"/>
          <w:sz w:val="24"/>
          <w:lang w:eastAsia="zh-CN"/>
        </w:rPr>
        <w:t>青海丰研工程咨询有限公司</w:t>
      </w:r>
    </w:p>
    <w:p w14:paraId="22370982">
      <w:pPr>
        <w:spacing w:line="360" w:lineRule="auto"/>
        <w:rPr>
          <w:rFonts w:ascii="宋体" w:hAnsi="宋体"/>
          <w:sz w:val="24"/>
        </w:rPr>
      </w:pPr>
      <w:r>
        <w:rPr>
          <w:rFonts w:hint="eastAsia" w:ascii="宋体" w:hAnsi="宋体"/>
          <w:sz w:val="24"/>
        </w:rPr>
        <w:t>负责人或经办人：</w:t>
      </w:r>
    </w:p>
    <w:p w14:paraId="301A696E">
      <w:pPr>
        <w:spacing w:line="360" w:lineRule="auto"/>
        <w:rPr>
          <w:rFonts w:ascii="宋体" w:hAnsi="宋体"/>
          <w:sz w:val="24"/>
        </w:rPr>
      </w:pPr>
      <w:r>
        <w:rPr>
          <w:rFonts w:hint="eastAsia" w:ascii="宋体" w:hAnsi="宋体"/>
          <w:sz w:val="24"/>
        </w:rPr>
        <w:t>合同备案日期：    年   月   日</w:t>
      </w:r>
    </w:p>
    <w:p w14:paraId="53BA430B">
      <w:pPr>
        <w:spacing w:line="360" w:lineRule="auto"/>
        <w:jc w:val="center"/>
        <w:rPr>
          <w:rFonts w:ascii="宋体" w:hAnsi="宋体" w:cs="宋体"/>
          <w:b/>
          <w:bCs/>
          <w:kern w:val="0"/>
          <w:sz w:val="28"/>
          <w:szCs w:val="28"/>
          <w:lang w:val="zh-CN"/>
        </w:rPr>
      </w:pPr>
      <w:r>
        <w:rPr>
          <w:rFonts w:ascii="宋体" w:hAnsi="宋体"/>
          <w:szCs w:val="28"/>
        </w:rPr>
        <w:br w:type="page"/>
      </w:r>
      <w:r>
        <w:rPr>
          <w:rFonts w:hint="eastAsia" w:ascii="宋体" w:hAnsi="宋体"/>
          <w:b/>
          <w:sz w:val="28"/>
          <w:szCs w:val="28"/>
        </w:rPr>
        <w:t>合同通用条款</w:t>
      </w:r>
    </w:p>
    <w:p w14:paraId="1B4DDF56">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根据《中华人民共和国合同法》、《中华人民共和国政府采购法》的规定，合同双方经协商达成一致，自愿订立本合同，遵循公平原则明确双方的权利、义务，确保双方诚实守信地履行合同。</w:t>
      </w:r>
    </w:p>
    <w:p w14:paraId="669BA613">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定义</w:t>
      </w:r>
    </w:p>
    <w:p w14:paraId="04D8E083">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本合同中的下列术语应解释为：</w:t>
      </w:r>
    </w:p>
    <w:p w14:paraId="4B293A82">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“合同”指甲乙双方签署的、载明的甲乙双方权利义务的协议，包括所有的附件、附录和上述文件所提到的构成合同的所有文件。</w:t>
      </w:r>
    </w:p>
    <w:p w14:paraId="3CD83D00">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“合同金额”指根据合同规定，乙方在正确地完全履行合同义务后甲方应付给乙方的价款。</w:t>
      </w:r>
    </w:p>
    <w:p w14:paraId="35D03D0E">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“合同条款”指本合同条款。</w:t>
      </w:r>
    </w:p>
    <w:p w14:paraId="4749787D">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“货物”指乙方根据合同约定须向甲方提供的一切产品、设备、机械、仪表、备件等，包括辅助工具、使用手册等相关资料。</w:t>
      </w:r>
    </w:p>
    <w:p w14:paraId="4E1EA85B">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“服务”指根据本合同规定乙方承担与供货有关的辅助服务，如运输、保险及安装、调试、提供技术援助、培训和合同中规定乙方应承担的其它义务。</w:t>
      </w:r>
    </w:p>
    <w:p w14:paraId="418E1E91">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“甲方”指购买货物和服务的单位。</w:t>
      </w:r>
    </w:p>
    <w:p w14:paraId="02840B7A">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“乙方”指提供本合同条款下货物和服务的公司或其他实体。</w:t>
      </w:r>
    </w:p>
    <w:p w14:paraId="34EDF07D">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“现场”指合同规定货物将要运至和安装的地点。</w:t>
      </w:r>
    </w:p>
    <w:p w14:paraId="489D1363">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“验收”指合同双方依据强制性的国家技术质量规范和合同约定，确认合同条款下的货物符合合同规定的活动。</w:t>
      </w:r>
    </w:p>
    <w:p w14:paraId="67774090">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原厂商：产品制造商或其在中国境内设立的办事或技术服务机构。除另有说明外，本合同文件所述的制造商、产品制造商、制造厂家、产品制造厂家均为原厂商。</w:t>
      </w:r>
    </w:p>
    <w:p w14:paraId="47AC417C">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原产地：指产品的生产地，或提供服务的来源地。</w:t>
      </w:r>
    </w:p>
    <w:p w14:paraId="6B1A475F">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“工作日”指国家法定工作日，“天”指日历天数。</w:t>
      </w:r>
    </w:p>
    <w:p w14:paraId="55FA8777">
      <w:pPr>
        <w:numPr>
          <w:ilvl w:val="0"/>
          <w:numId w:val="18"/>
        </w:numPr>
        <w:autoSpaceDE w:val="0"/>
        <w:autoSpaceDN w:val="0"/>
        <w:spacing w:line="360" w:lineRule="auto"/>
        <w:rPr>
          <w:rFonts w:ascii="宋体" w:hAnsi="宋体" w:cs="宋体"/>
          <w:kern w:val="0"/>
          <w:sz w:val="24"/>
        </w:rPr>
      </w:pPr>
      <w:r>
        <w:rPr>
          <w:rFonts w:hint="eastAsia" w:ascii="宋体" w:hAnsi="宋体" w:cs="宋体"/>
          <w:b/>
          <w:bCs/>
          <w:kern w:val="0"/>
          <w:sz w:val="24"/>
          <w:lang w:val="zh-CN"/>
        </w:rPr>
        <w:t>技术规格要求</w:t>
      </w:r>
    </w:p>
    <w:p w14:paraId="0745C6AA">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本合同条款下提交货物的技术规格要求应等于或优于招磋商文件技术规格要求。若技术规格要求中无相应规定，则应符合相应的国家有关部门最新颁布的相应正式标准。</w:t>
      </w:r>
    </w:p>
    <w:p w14:paraId="42A36A81">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乙方应向甲方提供货物及服务有关的标准的中文文本。</w:t>
      </w:r>
    </w:p>
    <w:p w14:paraId="6AAFB1B0">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除非技术规范中另有规定，计量单位均采用中华人民共和国法定计量单位。</w:t>
      </w:r>
    </w:p>
    <w:p w14:paraId="429C191B">
      <w:pPr>
        <w:numPr>
          <w:ilvl w:val="0"/>
          <w:numId w:val="18"/>
        </w:numPr>
        <w:autoSpaceDE w:val="0"/>
        <w:autoSpaceDN w:val="0"/>
        <w:spacing w:line="360" w:lineRule="auto"/>
        <w:rPr>
          <w:rFonts w:ascii="宋体" w:hAnsi="宋体" w:cs="宋体"/>
          <w:kern w:val="0"/>
          <w:sz w:val="24"/>
        </w:rPr>
      </w:pPr>
      <w:r>
        <w:rPr>
          <w:rFonts w:hint="eastAsia" w:ascii="宋体" w:hAnsi="宋体" w:cs="宋体"/>
          <w:b/>
          <w:bCs/>
          <w:kern w:val="0"/>
          <w:sz w:val="24"/>
          <w:lang w:val="zh-CN"/>
        </w:rPr>
        <w:t>合同范围</w:t>
      </w:r>
    </w:p>
    <w:p w14:paraId="5DF37AE3">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36D93D3A">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乙方应负责培训甲方的技术人员。</w:t>
      </w:r>
    </w:p>
    <w:p w14:paraId="6411D288">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14:paraId="48B7E062">
      <w:pPr>
        <w:numPr>
          <w:ilvl w:val="0"/>
          <w:numId w:val="18"/>
        </w:numPr>
        <w:autoSpaceDE w:val="0"/>
        <w:autoSpaceDN w:val="0"/>
        <w:spacing w:line="360" w:lineRule="auto"/>
        <w:rPr>
          <w:rFonts w:ascii="宋体" w:hAnsi="宋体" w:cs="宋体"/>
          <w:kern w:val="0"/>
          <w:sz w:val="24"/>
        </w:rPr>
      </w:pPr>
      <w:r>
        <w:rPr>
          <w:rFonts w:hint="eastAsia" w:ascii="宋体" w:hAnsi="宋体" w:cs="宋体"/>
          <w:b/>
          <w:bCs/>
          <w:kern w:val="0"/>
          <w:sz w:val="24"/>
          <w:lang w:val="zh-CN"/>
        </w:rPr>
        <w:t>合同文件和资料</w:t>
      </w:r>
    </w:p>
    <w:p w14:paraId="70AD8EDB">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乙方在提供仪器设备时应同时提供中文版相关的技术资料，如目录索引、图纸、操作手册、使用指南、维修指南、服务手册等。</w:t>
      </w:r>
    </w:p>
    <w:p w14:paraId="6BE6E7AD">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C0F74FB">
      <w:pPr>
        <w:numPr>
          <w:ilvl w:val="0"/>
          <w:numId w:val="18"/>
        </w:numPr>
        <w:autoSpaceDE w:val="0"/>
        <w:autoSpaceDN w:val="0"/>
        <w:spacing w:line="360" w:lineRule="auto"/>
        <w:rPr>
          <w:rFonts w:ascii="宋体" w:hAnsi="宋体" w:cs="宋体"/>
          <w:kern w:val="0"/>
          <w:sz w:val="24"/>
        </w:rPr>
      </w:pPr>
      <w:r>
        <w:rPr>
          <w:rFonts w:hint="eastAsia" w:ascii="宋体" w:hAnsi="宋体" w:cs="宋体"/>
          <w:b/>
          <w:bCs/>
          <w:kern w:val="0"/>
          <w:sz w:val="24"/>
          <w:lang w:val="zh-CN"/>
        </w:rPr>
        <w:t>知识产权</w:t>
      </w:r>
    </w:p>
    <w:p w14:paraId="70ED20E2">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乙方应保证甲方在使用该货物或其任何一部分时不受第三方提出的侵犯专利权、著作权、商标权和工业设计权等的起诉。</w:t>
      </w:r>
    </w:p>
    <w:p w14:paraId="2333731E">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任何第三方提出侵权指控，乙方须与第三方交涉并承担由此产生的一切责任、费用和经济赔偿。</w:t>
      </w:r>
    </w:p>
    <w:p w14:paraId="0F1DD704">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0C1AD002">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在本合同生效时已经存在并为各方合法拥有或使用的所有技术、资料和信息的知识产权，仍应属于其各自的原权利人所有或享有，另有约定的除外。</w:t>
      </w:r>
    </w:p>
    <w:p w14:paraId="303C882A">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756610FE">
      <w:pPr>
        <w:numPr>
          <w:ilvl w:val="0"/>
          <w:numId w:val="18"/>
        </w:numPr>
        <w:autoSpaceDE w:val="0"/>
        <w:autoSpaceDN w:val="0"/>
        <w:spacing w:line="360" w:lineRule="auto"/>
        <w:rPr>
          <w:rFonts w:ascii="宋体" w:hAnsi="宋体" w:cs="宋体"/>
          <w:kern w:val="0"/>
          <w:sz w:val="24"/>
        </w:rPr>
      </w:pPr>
      <w:r>
        <w:rPr>
          <w:rFonts w:hint="eastAsia" w:ascii="宋体" w:hAnsi="宋体" w:cs="宋体"/>
          <w:b/>
          <w:bCs/>
          <w:kern w:val="0"/>
          <w:sz w:val="24"/>
          <w:lang w:val="zh-CN"/>
        </w:rPr>
        <w:t>保密</w:t>
      </w:r>
    </w:p>
    <w:p w14:paraId="380F21F6">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58885DFB">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保密信息指任何一方因履行本合同所知悉的任何以口头、书面、图表或电子形式存在的对方信息，具体包括：</w:t>
      </w:r>
    </w:p>
    <w:p w14:paraId="574033E2">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任何涉及对方过去、现在或将来的商业计划、规章制度、操作规程、处理手段、财务信息；</w:t>
      </w:r>
    </w:p>
    <w:p w14:paraId="6CFB8C52">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任何对方的技术措施、技术方案、软件应用及开发，硬件设备的品种、质量、数量、品牌等；</w:t>
      </w:r>
    </w:p>
    <w:p w14:paraId="6619F167">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任何对方的技术秘密或专有知识、文件、报告、数据、客户软件、流程图、数据库、发明、知识、贸易秘密。</w:t>
      </w:r>
    </w:p>
    <w:p w14:paraId="4076A380">
      <w:pPr>
        <w:numPr>
          <w:ilvl w:val="1"/>
          <w:numId w:val="18"/>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乙方应根据甲方的要求签署相应的保密协议，保密协议与本条款存在不一致的，以保密协议为准。</w:t>
      </w:r>
    </w:p>
    <w:p w14:paraId="49A719C5">
      <w:pPr>
        <w:numPr>
          <w:ilvl w:val="0"/>
          <w:numId w:val="18"/>
        </w:numPr>
        <w:autoSpaceDE w:val="0"/>
        <w:autoSpaceDN w:val="0"/>
        <w:spacing w:line="360" w:lineRule="auto"/>
        <w:rPr>
          <w:rFonts w:ascii="宋体" w:hAnsi="宋体" w:cs="宋体"/>
          <w:kern w:val="0"/>
          <w:sz w:val="24"/>
        </w:rPr>
      </w:pPr>
      <w:r>
        <w:rPr>
          <w:rFonts w:hint="eastAsia" w:ascii="宋体" w:hAnsi="宋体" w:cs="宋体"/>
          <w:b/>
          <w:bCs/>
          <w:kern w:val="0"/>
          <w:sz w:val="24"/>
          <w:lang w:val="zh-CN"/>
        </w:rPr>
        <w:t>质量保证</w:t>
      </w:r>
    </w:p>
    <w:p w14:paraId="4EA2D7F3">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货物质量保证</w:t>
      </w:r>
    </w:p>
    <w:p w14:paraId="5829C794">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乙方必须保证货物是全新、未使用过的，并完全符合强制性的国家技术质量规范和合同规定的质量、规格、性能和技术规范等的要求。</w:t>
      </w:r>
    </w:p>
    <w:p w14:paraId="275C848C">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14:paraId="29D6073D">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514D657C">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8B9879E">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合同条款下货物的免费质保期自货物通过最终验收起算，合同另行规定除外。</w:t>
      </w:r>
    </w:p>
    <w:p w14:paraId="6ED7CBBF">
      <w:pPr>
        <w:numPr>
          <w:ilvl w:val="1"/>
          <w:numId w:val="18"/>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辅助服务质量保证</w:t>
      </w:r>
    </w:p>
    <w:p w14:paraId="4830020F">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3C0001C8">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乙方应保证合同条款下所提供的服务包括培训、安装指导、单机调试、系统联调和试验等，按合同规定方式进行，并保证不存在因乙方工作人员的过失、错误或疏忽而产生的缺陷。</w:t>
      </w:r>
    </w:p>
    <w:p w14:paraId="32D587E7">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包装要求</w:t>
      </w:r>
    </w:p>
    <w:p w14:paraId="2FF7335B">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除合同另有约定外</w:t>
      </w:r>
      <w:r>
        <w:rPr>
          <w:rFonts w:hint="eastAsia" w:ascii="宋体" w:hAnsi="宋体" w:cs="宋体"/>
          <w:kern w:val="0"/>
          <w:sz w:val="24"/>
        </w:rPr>
        <w:t>,</w:t>
      </w:r>
      <w:r>
        <w:rPr>
          <w:rFonts w:hint="eastAsia" w:ascii="宋体" w:hAnsi="宋体" w:cs="宋体"/>
          <w:kern w:val="0"/>
          <w:sz w:val="24"/>
          <w:lang w:val="zh-CN"/>
        </w:rPr>
        <w:t>乙方提供的全部货物</w:t>
      </w:r>
      <w:r>
        <w:rPr>
          <w:rFonts w:hint="eastAsia" w:ascii="宋体" w:hAnsi="宋体" w:cs="宋体"/>
          <w:kern w:val="0"/>
          <w:sz w:val="24"/>
        </w:rPr>
        <w:t>,</w:t>
      </w:r>
      <w:r>
        <w:rPr>
          <w:rFonts w:hint="eastAsia" w:ascii="宋体" w:hAnsi="宋体" w:cs="宋体"/>
          <w:kern w:val="0"/>
          <w:sz w:val="24"/>
          <w:lang w:val="zh-CN"/>
        </w:rPr>
        <w:t>均应采用本行业通用的方式进行包装，且该包装应符合国家有关包装的法律、法规的规定。</w:t>
      </w:r>
    </w:p>
    <w:p w14:paraId="5ED86433">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包装应适应于远距离运输，并有良好的防潮、防震、防锈和防粗暴装卸等保护措施，以确保货物安全运抵现场。由于包装不善所引起的货物锈蚀、损坏和损失均由乙方承担。</w:t>
      </w:r>
    </w:p>
    <w:p w14:paraId="7A8289DD">
      <w:pPr>
        <w:autoSpaceDE w:val="0"/>
        <w:autoSpaceDN w:val="0"/>
        <w:spacing w:line="360" w:lineRule="auto"/>
        <w:ind w:left="480"/>
        <w:rPr>
          <w:rFonts w:ascii="宋体" w:hAnsi="宋体" w:cs="宋体"/>
          <w:kern w:val="0"/>
          <w:sz w:val="24"/>
        </w:rPr>
      </w:pPr>
      <w:r>
        <w:rPr>
          <w:rFonts w:hint="eastAsia" w:ascii="宋体" w:hAnsi="宋体" w:cs="宋体"/>
          <w:kern w:val="0"/>
          <w:sz w:val="24"/>
          <w:lang w:val="zh-CN"/>
        </w:rPr>
        <w:t>乙方应提供货物运至合同规定的最终目的地所需要的包装，以防止货物在转运中损坏或变质。</w:t>
      </w:r>
    </w:p>
    <w:p w14:paraId="5A9BC6BF">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乙方所提供的货物包装均为出厂时原包装。</w:t>
      </w:r>
    </w:p>
    <w:p w14:paraId="09EF5CF3">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乙方所提供货物必须附有质量合格证，装箱清单，主机、附件、各种零部件和消耗品，有清楚的与装箱单相对应的名称和编号。</w:t>
      </w:r>
    </w:p>
    <w:p w14:paraId="58BEAF8D">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货物运输中的运输费用和保险费用均由乙方承担。运输过程中的一切损失、损坏均由乙方负责。</w:t>
      </w:r>
    </w:p>
    <w:p w14:paraId="1137ED4E">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价格</w:t>
      </w:r>
    </w:p>
    <w:p w14:paraId="5D5E63E4">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14:paraId="5E1C68AD">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本合同价格为固定价格，包括了乙方履行合同全过程产生的所有成本和费用以及乙方应承担的一切税费。</w:t>
      </w:r>
    </w:p>
    <w:p w14:paraId="13C3BB57">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检验费用</w:t>
      </w:r>
    </w:p>
    <w:p w14:paraId="28FAEF66">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乙方必须负担本条款下属于乙方负责的检验、测试、调试、试运行和验收的所有费用，并负责乙方派往买方组织的检验、测试和验收人员的所有费用。</w:t>
      </w:r>
    </w:p>
    <w:p w14:paraId="7A910B6D">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甲方按合同计划参加在乙方工厂所在地检验、测试和验收的费用全部由乙方负责并已包含在合同总价中。</w:t>
      </w:r>
    </w:p>
    <w:p w14:paraId="66FCDDB3">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甲方检验人员已到卖方所在地，测试无法依照合同进行，而引起甲方人员延长逗留时间，所有由此产生的包括甲方人员在内的直接费用及成本由乙方承担。</w:t>
      </w:r>
    </w:p>
    <w:p w14:paraId="62AE26C6">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交货方式及交货时间</w:t>
      </w:r>
    </w:p>
    <w:p w14:paraId="0852D1DE">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交货方式：现场交货，乙方负责办理运输和保险，将货物运抵现场。</w:t>
      </w:r>
    </w:p>
    <w:p w14:paraId="754AE925">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交货期应根据产品的特点实事求是填写，进口产品90个工作日内，国产产品60个工作日内。特殊产品交货期需说明。</w:t>
      </w:r>
    </w:p>
    <w:p w14:paraId="6471B14E">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交货时间：所有货物运抵现场并经双方开箱验收合格之日。</w:t>
      </w:r>
    </w:p>
    <w:p w14:paraId="39CAAB15">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检验和验收</w:t>
      </w:r>
    </w:p>
    <w:p w14:paraId="0F31DD6E">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开箱验收</w:t>
      </w:r>
    </w:p>
    <w:p w14:paraId="0AFA062D">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货物运抵现场后，双方应及时开箱验收，并制作验收记录，以确认与本合同约定的数量、型号等是否一致。</w:t>
      </w:r>
    </w:p>
    <w:p w14:paraId="7961BE6E">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46774F68">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75A2CC4C">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检验验收</w:t>
      </w:r>
    </w:p>
    <w:p w14:paraId="15E17E76">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交货完成后，乙方应及时组装、调试、试运行，按照合同专用条款规定的试运行完成后，双方及时组织对货物检验验收。合同双方均须派人参加合同要求双方参加的试验、检验。</w:t>
      </w:r>
    </w:p>
    <w:p w14:paraId="6F376210">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在具体实施合同规定的检验验收之前，乙方需提前提交相应的测试计划（包括测试程序、测试内容和检验标准、试验时间安排等）供甲方确认。</w:t>
      </w:r>
    </w:p>
    <w:p w14:paraId="7026DE35">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除需甲方确认的试验验收外，乙方还应对所有检验验收测试的结果、步骤、原始数据等作妥善记录。如甲方要求，乙方应提供这些记录给买方。</w:t>
      </w:r>
    </w:p>
    <w:p w14:paraId="21E3D6C9">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检验测试出现全部或部分未达到本合同所约定的技术指标，甲方有权选择下列任一处理方式：</w:t>
      </w:r>
    </w:p>
    <w:p w14:paraId="4371B197">
      <w:pPr>
        <w:numPr>
          <w:ilvl w:val="0"/>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重新测试直至合格为止；</w:t>
      </w:r>
    </w:p>
    <w:p w14:paraId="66B602C1">
      <w:pPr>
        <w:numPr>
          <w:ilvl w:val="0"/>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要求乙方对货物进行免费更换，然后重新测试直至合格为止；</w:t>
      </w:r>
    </w:p>
    <w:p w14:paraId="51AD8B9B">
      <w:pPr>
        <w:autoSpaceDE w:val="0"/>
        <w:autoSpaceDN w:val="0"/>
        <w:spacing w:line="360" w:lineRule="auto"/>
        <w:rPr>
          <w:rFonts w:ascii="宋体" w:hAnsi="宋体" w:cs="宋体"/>
          <w:kern w:val="0"/>
          <w:sz w:val="24"/>
        </w:rPr>
      </w:pPr>
      <w:r>
        <w:rPr>
          <w:rFonts w:hint="eastAsia" w:ascii="宋体" w:hAnsi="宋体" w:cs="宋体"/>
          <w:kern w:val="0"/>
          <w:sz w:val="24"/>
          <w:lang w:val="zh-CN"/>
        </w:rPr>
        <w:t>无论选择何种方式，甲方因此而发生的因卖方原因引起的所有费用均由乙方负担。</w:t>
      </w:r>
    </w:p>
    <w:p w14:paraId="0451644F">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使用过程检验</w:t>
      </w:r>
    </w:p>
    <w:p w14:paraId="61BEF5D5">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合同规定的免费质保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6638EE13">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如果合同双方对乙方提供的上述试验结果报告的解释有分歧，双方须于出现分歧后</w:t>
      </w:r>
      <w:r>
        <w:rPr>
          <w:rFonts w:hint="eastAsia" w:ascii="宋体" w:hAnsi="宋体" w:cs="宋体"/>
          <w:kern w:val="0"/>
          <w:sz w:val="24"/>
        </w:rPr>
        <w:t>10</w:t>
      </w:r>
      <w:r>
        <w:rPr>
          <w:rFonts w:hint="eastAsia" w:ascii="宋体" w:hAnsi="宋体" w:cs="宋体"/>
          <w:kern w:val="0"/>
          <w:sz w:val="24"/>
          <w:lang w:val="zh-CN"/>
        </w:rPr>
        <w:t>天内给对方声明，以陈述己方的观点。声明须附有关证据。分歧应通过协商解决。</w:t>
      </w:r>
    </w:p>
    <w:p w14:paraId="07949CE2">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付款条件</w:t>
      </w:r>
    </w:p>
    <w:p w14:paraId="5A92DB8D">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本合同条款下的付款方法和条件在“青海省政府采购合同书”中具体规定。</w:t>
      </w:r>
    </w:p>
    <w:p w14:paraId="4AE52C31">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履约保证金</w:t>
      </w:r>
    </w:p>
    <w:p w14:paraId="102694A9">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乙方应在合同签订前，按要求提交履约保证金。</w:t>
      </w:r>
    </w:p>
    <w:p w14:paraId="654D77CF">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履约保证金用于补偿甲方因乙方不能履行其合同义务而蒙受的损失。</w:t>
      </w:r>
    </w:p>
    <w:p w14:paraId="02DE68E5">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履约保证金应使用本合同货币，按下述方式之一提交（磋商文件中另有约定的除外）：</w:t>
      </w:r>
    </w:p>
    <w:p w14:paraId="218B4BAC">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甲方可接受的在中华人民共和国注册和营业的银行出具的履约保函；</w:t>
      </w:r>
    </w:p>
    <w:p w14:paraId="3A8C2953">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支票或汇票。</w:t>
      </w:r>
    </w:p>
    <w:p w14:paraId="0B6D4B61">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乙方未能按合同规定履行其义务，甲方有权从履约保证金中取得补偿。货物验收合格后，甲方将履约保证金退还乙方或转为质量保证金。</w:t>
      </w:r>
    </w:p>
    <w:p w14:paraId="36BE7C83">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索赔</w:t>
      </w:r>
    </w:p>
    <w:p w14:paraId="65C0F847">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14:paraId="752AC6B0">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在履约保证期和检验期内，乙方对甲方提出的索赔负有责任，乙方应按照甲方同意的下列一种或多种方式解决索赔事宜：</w:t>
      </w:r>
    </w:p>
    <w:p w14:paraId="51E8438E">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5A8E8D03">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根据货物低劣程度、损坏程度以及甲方所遭受损失的数额，经甲乙双方商定降低货物的价格，或由有资质的中介机构评估，以降低后的价格或评估价格为准。</w:t>
      </w:r>
    </w:p>
    <w:p w14:paraId="2046779A">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4A9F9F2">
      <w:pPr>
        <w:numPr>
          <w:ilvl w:val="1"/>
          <w:numId w:val="18"/>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乙方收到甲方发出的索赔通知之日起</w:t>
      </w:r>
      <w:r>
        <w:rPr>
          <w:rFonts w:hint="eastAsia" w:ascii="宋体" w:hAnsi="宋体" w:cs="宋体"/>
          <w:kern w:val="0"/>
          <w:sz w:val="24"/>
        </w:rPr>
        <w:t>5</w:t>
      </w:r>
      <w:r>
        <w:rPr>
          <w:rFonts w:hint="eastAsia" w:ascii="宋体" w:hAnsi="宋体" w:cs="宋体"/>
          <w:kern w:val="0"/>
          <w:sz w:val="24"/>
          <w:lang w:val="zh-CN"/>
        </w:rPr>
        <w:t>个工作日内未作答复的，甲方可从合同款或履约保证金中扣回索赔金额，如金额不足以补偿索赔金额，乙方应补足差额部分。</w:t>
      </w:r>
    </w:p>
    <w:p w14:paraId="5577769A">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迟延交货</w:t>
      </w:r>
    </w:p>
    <w:p w14:paraId="793DD91B">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乙方应按照合同约定的时间交货和提供服务。</w:t>
      </w:r>
    </w:p>
    <w:p w14:paraId="2532F7F1">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除不可抗力因素外，乙方迟延交货，甲方有权提出违约损失赔偿或解除合同。</w:t>
      </w:r>
    </w:p>
    <w:p w14:paraId="467FD886">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10452D94">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违约赔偿</w:t>
      </w:r>
    </w:p>
    <w:p w14:paraId="21F088FC">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除不可抗力因素外，乙方没有按照合同规定的时间交货和提供服务，甲方可要求乙方支付违约金。违约金每日按合同总价款的千分之五计收。</w:t>
      </w:r>
    </w:p>
    <w:p w14:paraId="766B3335">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不可抗力</w:t>
      </w:r>
    </w:p>
    <w:p w14:paraId="4E9C55BA">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双方中任何一方遭遇法律规定的不可抗力，致使合同履行受阻时，履行合同的期限应予延长，延长的期限应相当于不可抗力所影响的时间。</w:t>
      </w:r>
    </w:p>
    <w:p w14:paraId="72A2DCF0">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受事故影响的一方应在不可抗力的事故发生后以书面形式通知另一方。</w:t>
      </w:r>
    </w:p>
    <w:p w14:paraId="08E5331D">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不可抗力使合同的某些内容有变更必要的，双方应通过协商达成进一步履行合同的协议，因不可抗力致使合同不能履行的，合同终止。</w:t>
      </w:r>
    </w:p>
    <w:p w14:paraId="19D670C5">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税费</w:t>
      </w:r>
    </w:p>
    <w:p w14:paraId="50136838">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与本合同有关的一切税费均由乙方承担。</w:t>
      </w:r>
    </w:p>
    <w:p w14:paraId="7353FF85">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合同争议的解决</w:t>
      </w:r>
    </w:p>
    <w:p w14:paraId="72635996">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甲方和乙方由于本合同的履行而发生任何争议时，双方可先通过协商解决。</w:t>
      </w:r>
    </w:p>
    <w:p w14:paraId="6400744F">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任何一方不愿通过协商或通过协商仍不能解决争议，则双方中任何一方均应向甲方所在地人民法院起诉。</w:t>
      </w:r>
    </w:p>
    <w:p w14:paraId="22408B1F">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违约解除合同</w:t>
      </w:r>
    </w:p>
    <w:p w14:paraId="304C5FD0">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出现下列情形之一的，视为乙方违约。甲方可向乙方发出书面通知，部分或全部终止合同，同时保留向乙方索赔的权利。</w:t>
      </w:r>
    </w:p>
    <w:p w14:paraId="0168B924">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乙方未能在合同规定的限期或甲方同意延长的限期内，提供全部或部分货物的；</w:t>
      </w:r>
    </w:p>
    <w:p w14:paraId="718254E6">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乙方未能履行合同规定的其它主要义务的；</w:t>
      </w:r>
    </w:p>
    <w:p w14:paraId="33BC37E5">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乙方在本合同履行过程中有欺诈行为的。</w:t>
      </w:r>
    </w:p>
    <w:p w14:paraId="7CA90353">
      <w:pPr>
        <w:numPr>
          <w:ilvl w:val="1"/>
          <w:numId w:val="18"/>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F09BA5C">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破产终止合同</w:t>
      </w:r>
    </w:p>
    <w:p w14:paraId="3A0075E9">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383F0856">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转让和分包</w:t>
      </w:r>
    </w:p>
    <w:p w14:paraId="6E21851A">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政府采购合同不能转让。</w:t>
      </w:r>
    </w:p>
    <w:p w14:paraId="25829C20">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83CE7D5">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合同修改</w:t>
      </w:r>
    </w:p>
    <w:p w14:paraId="78768FAA">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甲方和乙方都不得擅自变更本合同，但合同继续履行将损害国家和社会公共利益的除外。如必须对合同条款进行改动时，当事人双方须共同签署书面文件，做为合同的补充。</w:t>
      </w:r>
    </w:p>
    <w:p w14:paraId="5A5CB8AE">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通知</w:t>
      </w:r>
    </w:p>
    <w:p w14:paraId="0F539DE4">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本合同任何一方给另一方的通知，都应以书面形式发送，而另一方也应以书面形式确认并发送到对方明确的地址。</w:t>
      </w:r>
    </w:p>
    <w:p w14:paraId="76E355CF">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计量单位</w:t>
      </w:r>
    </w:p>
    <w:p w14:paraId="54EF3AAD">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除技术规范中另有规定外</w:t>
      </w:r>
      <w:r>
        <w:rPr>
          <w:rFonts w:hint="eastAsia" w:ascii="宋体" w:hAnsi="宋体" w:cs="宋体"/>
          <w:kern w:val="0"/>
          <w:sz w:val="24"/>
        </w:rPr>
        <w:t>,</w:t>
      </w:r>
      <w:r>
        <w:rPr>
          <w:rFonts w:hint="eastAsia" w:ascii="宋体" w:hAnsi="宋体" w:cs="宋体"/>
          <w:kern w:val="0"/>
          <w:sz w:val="24"/>
          <w:lang w:val="zh-CN"/>
        </w:rPr>
        <w:t>计量单位均使用国家法定计量单位。</w:t>
      </w:r>
    </w:p>
    <w:p w14:paraId="5B9ED6A5">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适用法律</w:t>
      </w:r>
    </w:p>
    <w:p w14:paraId="66D49FCA">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本合同按照中华人民共和国的相关法律进行解释。</w:t>
      </w:r>
    </w:p>
    <w:p w14:paraId="504176A0">
      <w:pPr>
        <w:pStyle w:val="24"/>
        <w:spacing w:before="0" w:after="0" w:line="360" w:lineRule="auto"/>
        <w:rPr>
          <w:rFonts w:ascii="宋体" w:hAnsi="宋体"/>
        </w:rPr>
      </w:pPr>
      <w:r>
        <w:rPr>
          <w:rFonts w:ascii="宋体" w:hAnsi="宋体" w:cs="宋体"/>
          <w:kern w:val="0"/>
          <w:sz w:val="24"/>
          <w:lang w:val="zh-CN"/>
        </w:rPr>
        <w:br w:type="page"/>
      </w:r>
      <w:bookmarkStart w:id="185" w:name="_Toc1575331"/>
      <w:r>
        <w:rPr>
          <w:rFonts w:hint="eastAsia" w:ascii="宋体" w:hAnsi="宋体"/>
          <w:sz w:val="36"/>
          <w:szCs w:val="36"/>
        </w:rPr>
        <w:t>第五部分</w:t>
      </w:r>
      <w:r>
        <w:rPr>
          <w:rFonts w:hint="eastAsia" w:ascii="宋体" w:hAnsi="宋体"/>
          <w:sz w:val="36"/>
          <w:szCs w:val="36"/>
          <w:lang w:val="en-US" w:eastAsia="zh-CN"/>
        </w:rPr>
        <w:t xml:space="preserve">  </w:t>
      </w:r>
      <w:r>
        <w:rPr>
          <w:rFonts w:hint="eastAsia" w:ascii="宋体" w:hAnsi="宋体"/>
          <w:sz w:val="36"/>
          <w:szCs w:val="36"/>
        </w:rPr>
        <w:t>磋商响应文件格式</w:t>
      </w:r>
      <w:bookmarkEnd w:id="185"/>
    </w:p>
    <w:p w14:paraId="26395A2C">
      <w:pPr>
        <w:spacing w:line="360" w:lineRule="auto"/>
        <w:rPr>
          <w:rFonts w:ascii="宋体" w:hAnsi="宋体"/>
          <w:sz w:val="32"/>
        </w:rPr>
      </w:pPr>
    </w:p>
    <w:p w14:paraId="6DA5FDE1">
      <w:pPr>
        <w:widowControl/>
        <w:spacing w:line="360" w:lineRule="auto"/>
        <w:ind w:firstLine="630" w:firstLineChars="224"/>
        <w:rPr>
          <w:rFonts w:ascii="宋体" w:hAnsi="宋体" w:cs="宋体"/>
          <w:b/>
          <w:bCs/>
          <w:kern w:val="0"/>
          <w:sz w:val="28"/>
          <w:szCs w:val="28"/>
          <w:lang w:val="zh-CN"/>
        </w:rPr>
      </w:pPr>
      <w:r>
        <w:rPr>
          <w:rFonts w:hint="eastAsia" w:ascii="宋体" w:hAnsi="宋体" w:cs="宋体"/>
          <w:b/>
          <w:bCs/>
          <w:kern w:val="0"/>
          <w:sz w:val="28"/>
          <w:szCs w:val="28"/>
          <w:lang w:val="zh-CN"/>
        </w:rPr>
        <w:t>磋商供应商应严格按照本格式要求编制磋商响应文件，并编制相应页码。</w:t>
      </w:r>
    </w:p>
    <w:p w14:paraId="6633CACB">
      <w:pPr>
        <w:rPr>
          <w:b/>
          <w:lang w:val="zh-CN"/>
        </w:rPr>
      </w:pPr>
      <w:r>
        <w:rPr>
          <w:rFonts w:cs="宋体"/>
          <w:kern w:val="0"/>
          <w:szCs w:val="28"/>
          <w:lang w:val="zh-CN"/>
        </w:rPr>
        <w:br w:type="page"/>
      </w:r>
    </w:p>
    <w:p w14:paraId="07FEA3E7">
      <w:pPr>
        <w:pStyle w:val="4"/>
        <w:numPr>
          <w:ilvl w:val="0"/>
          <w:numId w:val="0"/>
        </w:numPr>
        <w:ind w:left="709" w:hanging="709"/>
        <w:rPr>
          <w:lang w:val="zh-CN"/>
        </w:rPr>
      </w:pPr>
      <w:bookmarkStart w:id="186" w:name="_Toc1575332"/>
      <w:r>
        <w:rPr>
          <w:rFonts w:hint="eastAsia" w:hAnsi="宋体"/>
          <w:b/>
          <w:sz w:val="32"/>
          <w:lang w:val="zh-CN"/>
        </w:rPr>
        <w:t>一、磋商响应文件封面(上册)</w:t>
      </w:r>
      <w:bookmarkEnd w:id="186"/>
    </w:p>
    <w:p w14:paraId="2DEFA970">
      <w:pPr>
        <w:spacing w:line="360" w:lineRule="auto"/>
        <w:rPr>
          <w:rFonts w:ascii="宋体" w:hAnsi="宋体"/>
          <w:sz w:val="32"/>
        </w:rPr>
      </w:pPr>
    </w:p>
    <w:p w14:paraId="5BE3599E">
      <w:pPr>
        <w:pStyle w:val="11"/>
        <w:rPr>
          <w:rFonts w:ascii="宋体" w:hAnsi="宋体"/>
          <w:sz w:val="32"/>
        </w:rPr>
      </w:pPr>
    </w:p>
    <w:p w14:paraId="6F2D00D7">
      <w:pPr>
        <w:rPr>
          <w:rFonts w:ascii="宋体" w:hAnsi="宋体"/>
          <w:sz w:val="32"/>
        </w:rPr>
      </w:pPr>
    </w:p>
    <w:p w14:paraId="13AAD765">
      <w:pPr>
        <w:pStyle w:val="11"/>
      </w:pPr>
    </w:p>
    <w:p w14:paraId="757CA6A2">
      <w:pPr>
        <w:spacing w:line="360" w:lineRule="auto"/>
        <w:rPr>
          <w:rFonts w:ascii="宋体" w:hAnsi="宋体"/>
          <w:sz w:val="32"/>
        </w:rPr>
      </w:pPr>
    </w:p>
    <w:p w14:paraId="3475AFAA">
      <w:pPr>
        <w:spacing w:line="360" w:lineRule="auto"/>
        <w:jc w:val="center"/>
        <w:rPr>
          <w:rFonts w:ascii="宋体" w:hAnsi="宋体"/>
          <w:b/>
          <w:sz w:val="96"/>
        </w:rPr>
      </w:pPr>
      <w:r>
        <w:rPr>
          <w:rFonts w:hint="eastAsia" w:ascii="宋体" w:hAnsi="宋体"/>
          <w:b/>
          <w:sz w:val="72"/>
        </w:rPr>
        <w:t>青海省政府采购项目</w:t>
      </w:r>
    </w:p>
    <w:p w14:paraId="72119F47">
      <w:pPr>
        <w:spacing w:line="360" w:lineRule="auto"/>
        <w:jc w:val="center"/>
        <w:rPr>
          <w:rFonts w:ascii="宋体" w:hAnsi="宋体"/>
          <w:b/>
          <w:sz w:val="48"/>
        </w:rPr>
      </w:pPr>
    </w:p>
    <w:p w14:paraId="6186EBD1">
      <w:pPr>
        <w:spacing w:line="360" w:lineRule="auto"/>
        <w:jc w:val="center"/>
        <w:rPr>
          <w:rFonts w:ascii="宋体" w:hAnsi="宋体"/>
          <w:b/>
          <w:sz w:val="48"/>
        </w:rPr>
      </w:pPr>
    </w:p>
    <w:p w14:paraId="512AA02E">
      <w:pPr>
        <w:spacing w:line="360" w:lineRule="auto"/>
        <w:jc w:val="center"/>
        <w:rPr>
          <w:rFonts w:ascii="宋体" w:hAnsi="宋体"/>
          <w:b/>
          <w:sz w:val="56"/>
        </w:rPr>
      </w:pPr>
      <w:r>
        <w:rPr>
          <w:rFonts w:hint="eastAsia" w:ascii="宋体" w:hAnsi="宋体"/>
          <w:b/>
          <w:sz w:val="52"/>
        </w:rPr>
        <w:t>磋商响应文件</w:t>
      </w:r>
    </w:p>
    <w:p w14:paraId="6B1C2C8B">
      <w:pPr>
        <w:spacing w:line="360" w:lineRule="auto"/>
        <w:jc w:val="center"/>
        <w:rPr>
          <w:rFonts w:ascii="宋体" w:hAnsi="宋体"/>
          <w:b/>
          <w:bCs/>
          <w:sz w:val="32"/>
        </w:rPr>
      </w:pPr>
      <w:r>
        <w:rPr>
          <w:rFonts w:hint="eastAsia" w:ascii="宋体" w:hAnsi="宋体"/>
          <w:b/>
          <w:bCs/>
          <w:sz w:val="32"/>
        </w:rPr>
        <w:t>（上册）</w:t>
      </w:r>
    </w:p>
    <w:p w14:paraId="55A47788">
      <w:pPr>
        <w:adjustRightInd w:val="0"/>
        <w:spacing w:line="360" w:lineRule="auto"/>
        <w:textAlignment w:val="baseline"/>
        <w:rPr>
          <w:rFonts w:ascii="宋体" w:hAnsi="宋体"/>
          <w:b/>
          <w:bCs/>
          <w:sz w:val="32"/>
        </w:rPr>
      </w:pPr>
    </w:p>
    <w:p w14:paraId="6D57D6E6">
      <w:pPr>
        <w:adjustRightInd w:val="0"/>
        <w:spacing w:line="360" w:lineRule="auto"/>
        <w:ind w:firstLine="964" w:firstLineChars="300"/>
        <w:textAlignment w:val="baseline"/>
        <w:rPr>
          <w:rFonts w:ascii="宋体" w:hAnsi="宋体"/>
          <w:b/>
          <w:bCs/>
          <w:sz w:val="32"/>
          <w:szCs w:val="32"/>
          <w:u w:val="single"/>
        </w:rPr>
      </w:pPr>
      <w:r>
        <w:rPr>
          <w:rFonts w:hint="eastAsia" w:ascii="宋体" w:hAnsi="宋体"/>
          <w:b/>
          <w:bCs/>
          <w:sz w:val="32"/>
          <w:szCs w:val="32"/>
        </w:rPr>
        <w:t>采购项目编号</w:t>
      </w:r>
      <w:r>
        <w:rPr>
          <w:rFonts w:hint="eastAsia" w:ascii="宋体" w:hAnsi="宋体"/>
          <w:sz w:val="32"/>
          <w:szCs w:val="32"/>
        </w:rPr>
        <w:t>：</w:t>
      </w:r>
      <w:r>
        <w:rPr>
          <w:rFonts w:hint="eastAsia" w:ascii="宋体" w:hAnsi="宋体"/>
          <w:b/>
          <w:bCs/>
          <w:sz w:val="32"/>
          <w:szCs w:val="32"/>
          <w:u w:val="single"/>
        </w:rPr>
        <w:t xml:space="preserve">                        </w:t>
      </w:r>
    </w:p>
    <w:p w14:paraId="1683DC7C">
      <w:pPr>
        <w:adjustRightInd w:val="0"/>
        <w:spacing w:line="360" w:lineRule="auto"/>
        <w:ind w:firstLine="964" w:firstLineChars="300"/>
        <w:textAlignment w:val="baseline"/>
        <w:rPr>
          <w:rFonts w:ascii="宋体" w:hAnsi="宋体"/>
          <w:b/>
          <w:bCs/>
          <w:sz w:val="32"/>
          <w:szCs w:val="32"/>
        </w:rPr>
      </w:pPr>
      <w:r>
        <w:rPr>
          <w:rFonts w:hint="eastAsia" w:ascii="宋体" w:hAnsi="宋体"/>
          <w:b/>
          <w:bCs/>
          <w:sz w:val="32"/>
          <w:szCs w:val="32"/>
        </w:rPr>
        <w:t>采购项目名称：</w:t>
      </w:r>
      <w:r>
        <w:rPr>
          <w:rFonts w:hint="eastAsia" w:ascii="宋体" w:hAnsi="宋体"/>
          <w:b/>
          <w:bCs/>
          <w:sz w:val="32"/>
          <w:szCs w:val="32"/>
          <w:u w:val="single"/>
        </w:rPr>
        <w:t xml:space="preserve">                        </w:t>
      </w:r>
    </w:p>
    <w:p w14:paraId="34849508">
      <w:pPr>
        <w:adjustRightInd w:val="0"/>
        <w:spacing w:line="360" w:lineRule="auto"/>
        <w:ind w:firstLine="964" w:firstLineChars="300"/>
        <w:textAlignment w:val="baseline"/>
        <w:rPr>
          <w:rFonts w:hint="eastAsia" w:ascii="宋体" w:hAnsi="宋体" w:eastAsia="宋体"/>
          <w:b/>
          <w:bCs/>
          <w:sz w:val="32"/>
          <w:szCs w:val="32"/>
          <w:lang w:val="en-US" w:eastAsia="zh-CN"/>
        </w:rPr>
      </w:pPr>
      <w:r>
        <w:rPr>
          <w:rFonts w:hint="eastAsia" w:ascii="宋体" w:hAnsi="宋体"/>
          <w:b/>
          <w:bCs/>
          <w:sz w:val="32"/>
          <w:szCs w:val="32"/>
          <w:lang w:val="en-US" w:eastAsia="zh-CN"/>
        </w:rPr>
        <w:t>包        号：</w:t>
      </w:r>
      <w:r>
        <w:rPr>
          <w:rFonts w:hint="eastAsia" w:ascii="宋体" w:hAnsi="宋体"/>
          <w:b/>
          <w:bCs/>
          <w:sz w:val="32"/>
          <w:szCs w:val="32"/>
          <w:u w:val="single"/>
        </w:rPr>
        <w:t xml:space="preserve">                        </w:t>
      </w:r>
    </w:p>
    <w:p w14:paraId="6961F3AF">
      <w:pPr>
        <w:adjustRightInd w:val="0"/>
        <w:spacing w:line="360" w:lineRule="auto"/>
        <w:ind w:firstLine="964" w:firstLineChars="300"/>
        <w:textAlignment w:val="baseline"/>
        <w:rPr>
          <w:rFonts w:ascii="宋体" w:hAnsi="宋体"/>
          <w:b/>
          <w:bCs/>
          <w:sz w:val="32"/>
          <w:szCs w:val="32"/>
        </w:rPr>
      </w:pPr>
    </w:p>
    <w:p w14:paraId="51E169A4">
      <w:pPr>
        <w:adjustRightInd w:val="0"/>
        <w:spacing w:line="360" w:lineRule="auto"/>
        <w:ind w:firstLine="2249" w:firstLineChars="700"/>
        <w:textAlignment w:val="baseline"/>
        <w:rPr>
          <w:rFonts w:ascii="宋体" w:hAnsi="宋体"/>
          <w:b/>
          <w:bCs/>
          <w:sz w:val="32"/>
          <w:szCs w:val="32"/>
          <w:u w:val="single"/>
        </w:rPr>
      </w:pPr>
      <w:r>
        <w:rPr>
          <w:rFonts w:hint="eastAsia" w:ascii="宋体" w:hAnsi="宋体"/>
          <w:b/>
          <w:bCs/>
          <w:sz w:val="32"/>
          <w:szCs w:val="32"/>
        </w:rPr>
        <w:t>磋商供应商</w:t>
      </w:r>
      <w:r>
        <w:rPr>
          <w:rFonts w:hint="eastAsia" w:ascii="宋体" w:hAnsi="宋体"/>
          <w:b/>
          <w:sz w:val="32"/>
          <w:szCs w:val="32"/>
        </w:rPr>
        <w:t>：</w:t>
      </w:r>
      <w:r>
        <w:rPr>
          <w:rFonts w:hint="eastAsia" w:ascii="宋体" w:hAnsi="宋体"/>
          <w:b/>
          <w:sz w:val="32"/>
          <w:szCs w:val="32"/>
          <w:u w:val="single"/>
        </w:rPr>
        <w:t xml:space="preserve">                     （公章）</w:t>
      </w:r>
    </w:p>
    <w:p w14:paraId="158E617B">
      <w:pPr>
        <w:adjustRightInd w:val="0"/>
        <w:spacing w:line="360" w:lineRule="auto"/>
        <w:ind w:firstLine="2249" w:firstLineChars="700"/>
        <w:textAlignment w:val="baseline"/>
        <w:rPr>
          <w:rFonts w:ascii="宋体" w:hAnsi="宋体"/>
          <w:b/>
          <w:sz w:val="32"/>
          <w:u w:val="single"/>
        </w:rPr>
      </w:pPr>
      <w:r>
        <w:rPr>
          <w:rFonts w:hint="eastAsia" w:ascii="宋体" w:hAnsi="宋体"/>
          <w:b/>
          <w:sz w:val="32"/>
        </w:rPr>
        <w:t>法定代表人或委托代理人：</w:t>
      </w:r>
      <w:r>
        <w:rPr>
          <w:rFonts w:hint="eastAsia" w:ascii="宋体" w:hAnsi="宋体"/>
          <w:b/>
          <w:sz w:val="32"/>
          <w:u w:val="single"/>
        </w:rPr>
        <w:t xml:space="preserve">         </w:t>
      </w:r>
      <w:r>
        <w:rPr>
          <w:rFonts w:hint="eastAsia" w:ascii="宋体" w:hAnsi="宋体"/>
          <w:b/>
          <w:sz w:val="32"/>
          <w:szCs w:val="32"/>
          <w:u w:val="single"/>
        </w:rPr>
        <w:t>（</w:t>
      </w:r>
      <w:r>
        <w:rPr>
          <w:rFonts w:hint="eastAsia" w:ascii="宋体" w:hAnsi="宋体"/>
          <w:b/>
          <w:sz w:val="32"/>
          <w:u w:val="single"/>
        </w:rPr>
        <w:t>签字</w:t>
      </w:r>
      <w:r>
        <w:rPr>
          <w:rFonts w:hint="eastAsia" w:ascii="宋体" w:hAnsi="宋体"/>
          <w:b/>
          <w:sz w:val="32"/>
          <w:u w:val="single"/>
          <w:lang w:val="en-US" w:eastAsia="zh-CN"/>
        </w:rPr>
        <w:t>或盖章</w:t>
      </w:r>
      <w:r>
        <w:rPr>
          <w:rFonts w:hint="eastAsia" w:ascii="宋体" w:hAnsi="宋体"/>
          <w:b/>
          <w:sz w:val="32"/>
          <w:u w:val="single"/>
        </w:rPr>
        <w:t>）</w:t>
      </w:r>
    </w:p>
    <w:p w14:paraId="69D572B4">
      <w:pPr>
        <w:spacing w:line="360" w:lineRule="auto"/>
        <w:ind w:firstLine="645"/>
        <w:jc w:val="center"/>
        <w:rPr>
          <w:rFonts w:ascii="宋体" w:hAnsi="宋体"/>
          <w:b/>
          <w:bCs/>
          <w:sz w:val="32"/>
        </w:rPr>
      </w:pPr>
      <w:r>
        <w:rPr>
          <w:rFonts w:hint="eastAsia" w:ascii="宋体" w:hAnsi="宋体"/>
          <w:sz w:val="32"/>
        </w:rPr>
        <w:t xml:space="preserve">                  </w:t>
      </w:r>
      <w:r>
        <w:rPr>
          <w:rFonts w:hint="eastAsia" w:ascii="宋体" w:hAnsi="宋体"/>
          <w:b/>
          <w:bCs/>
          <w:sz w:val="32"/>
        </w:rPr>
        <w:t>日期： 年   月   日</w:t>
      </w:r>
      <w:bookmarkStart w:id="187" w:name="_Toc444715735"/>
    </w:p>
    <w:p w14:paraId="16E62F8F">
      <w:pPr>
        <w:pStyle w:val="4"/>
        <w:numPr>
          <w:ilvl w:val="0"/>
          <w:numId w:val="0"/>
        </w:numPr>
        <w:ind w:left="709" w:hanging="709"/>
        <w:rPr>
          <w:rFonts w:hAnsi="宋体"/>
          <w:b/>
          <w:sz w:val="32"/>
          <w:lang w:val="zh-CN"/>
        </w:rPr>
      </w:pPr>
      <w:r>
        <w:rPr>
          <w:rFonts w:hAnsi="宋体"/>
        </w:rPr>
        <w:br w:type="page"/>
      </w:r>
      <w:bookmarkStart w:id="188" w:name="_Toc1575333"/>
      <w:r>
        <w:rPr>
          <w:rFonts w:hint="eastAsia" w:hAnsi="宋体"/>
          <w:b/>
        </w:rPr>
        <w:t>二、</w:t>
      </w:r>
      <w:r>
        <w:rPr>
          <w:rFonts w:hint="eastAsia" w:hAnsi="宋体"/>
          <w:b/>
          <w:sz w:val="32"/>
          <w:lang w:val="zh-CN"/>
        </w:rPr>
        <w:t>磋商响应文件目录</w:t>
      </w:r>
      <w:bookmarkEnd w:id="187"/>
      <w:r>
        <w:rPr>
          <w:rFonts w:hint="eastAsia" w:hAnsi="宋体"/>
          <w:b/>
          <w:sz w:val="32"/>
          <w:lang w:val="zh-CN"/>
        </w:rPr>
        <w:t>（上册）</w:t>
      </w:r>
      <w:bookmarkEnd w:id="188"/>
    </w:p>
    <w:p w14:paraId="76881D97">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磋商</w:t>
      </w:r>
      <w:r>
        <w:rPr>
          <w:rFonts w:hint="eastAsia" w:ascii="宋体" w:hAnsi="宋体" w:cs="宋体"/>
          <w:kern w:val="0"/>
          <w:sz w:val="24"/>
          <w:lang w:val="zh-CN"/>
        </w:rPr>
        <w:t>函……………………………………………………………所在页码</w:t>
      </w:r>
    </w:p>
    <w:p w14:paraId="6F6EBA17">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2</w:t>
      </w:r>
      <w:r>
        <w:rPr>
          <w:rFonts w:hint="eastAsia" w:ascii="宋体" w:hAnsi="宋体" w:cs="宋体"/>
          <w:kern w:val="0"/>
          <w:sz w:val="24"/>
          <w:lang w:val="zh-CN"/>
        </w:rPr>
        <w:t>）法定代表人证明书………………………………………………所在页码</w:t>
      </w:r>
    </w:p>
    <w:p w14:paraId="285EFD5A">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kern w:val="0"/>
          <w:sz w:val="24"/>
          <w:lang w:val="zh-CN"/>
        </w:rPr>
        <w:t>）法定代表人授权书………………………………………………所在页码</w:t>
      </w:r>
    </w:p>
    <w:p w14:paraId="4B45183B">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（4）磋商供应商承诺书………………………………………………所在页码</w:t>
      </w:r>
    </w:p>
    <w:p w14:paraId="34D3E1D7">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5</w:t>
      </w:r>
      <w:r>
        <w:rPr>
          <w:rFonts w:hint="eastAsia" w:ascii="宋体" w:hAnsi="宋体" w:cs="宋体"/>
          <w:kern w:val="0"/>
          <w:sz w:val="24"/>
          <w:lang w:val="zh-CN"/>
        </w:rPr>
        <w:t>）供应商诚信承诺书………………………………………………所在页码</w:t>
      </w:r>
    </w:p>
    <w:p w14:paraId="72998DD7">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6</w:t>
      </w:r>
      <w:r>
        <w:rPr>
          <w:rFonts w:hint="eastAsia" w:ascii="宋体" w:hAnsi="宋体" w:cs="宋体"/>
          <w:kern w:val="0"/>
          <w:sz w:val="24"/>
          <w:lang w:val="zh-CN"/>
        </w:rPr>
        <w:t>）资格证明材料……………………………………………………所在页码</w:t>
      </w:r>
    </w:p>
    <w:p w14:paraId="3D4A05A3">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7</w:t>
      </w:r>
      <w:r>
        <w:rPr>
          <w:rFonts w:hint="eastAsia" w:ascii="宋体" w:hAnsi="宋体" w:cs="宋体"/>
          <w:kern w:val="0"/>
          <w:sz w:val="24"/>
          <w:lang w:val="zh-CN"/>
        </w:rPr>
        <w:t>）财务状况、缴纳税收和社会保障资金证明……………………所在页码</w:t>
      </w:r>
    </w:p>
    <w:p w14:paraId="142777A7">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（8）具备履行合同所必须的设备和专业技术能力证明……………所在页码</w:t>
      </w:r>
    </w:p>
    <w:p w14:paraId="65566B4E">
      <w:pPr>
        <w:autoSpaceDE w:val="0"/>
        <w:autoSpaceDN w:val="0"/>
        <w:spacing w:line="360" w:lineRule="auto"/>
        <w:ind w:firstLine="1080" w:firstLineChars="450"/>
        <w:rPr>
          <w:rFonts w:ascii="宋体" w:hAnsi="宋体" w:cs="宋体"/>
          <w:kern w:val="0"/>
          <w:sz w:val="24"/>
          <w:lang w:val="zh-CN"/>
        </w:rPr>
      </w:pPr>
      <w:r>
        <w:rPr>
          <w:rFonts w:hint="eastAsia" w:ascii="宋体" w:hAnsi="宋体" w:cs="宋体"/>
          <w:kern w:val="0"/>
          <w:sz w:val="24"/>
          <w:lang w:val="zh-CN"/>
        </w:rPr>
        <w:t>（9）</w:t>
      </w:r>
      <w:r>
        <w:rPr>
          <w:rFonts w:hint="eastAsia" w:ascii="宋体" w:hAnsi="宋体" w:cs="宋体"/>
          <w:sz w:val="24"/>
        </w:rPr>
        <w:t>磋商保证金证明</w:t>
      </w:r>
      <w:r>
        <w:rPr>
          <w:rFonts w:hint="eastAsia" w:ascii="宋体" w:hAnsi="宋体" w:cs="宋体"/>
          <w:kern w:val="0"/>
          <w:sz w:val="24"/>
          <w:lang w:val="zh-CN"/>
        </w:rPr>
        <w:t>…………………………………………………所在页码</w:t>
      </w:r>
    </w:p>
    <w:p w14:paraId="0421D67F">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（10）无重大违法记录声明……………………………………………所在页码</w:t>
      </w:r>
    </w:p>
    <w:p w14:paraId="731CB90F">
      <w:pPr>
        <w:autoSpaceDE w:val="0"/>
        <w:autoSpaceDN w:val="0"/>
        <w:spacing w:line="360" w:lineRule="auto"/>
        <w:ind w:firstLine="240" w:firstLineChars="100"/>
        <w:rPr>
          <w:rFonts w:ascii="宋体" w:hAnsi="宋体" w:cs="宋体"/>
          <w:kern w:val="0"/>
          <w:sz w:val="24"/>
          <w:lang w:val="zh-CN"/>
        </w:rPr>
      </w:pPr>
    </w:p>
    <w:p w14:paraId="1B93C4A1">
      <w:pPr>
        <w:pStyle w:val="4"/>
        <w:numPr>
          <w:ilvl w:val="0"/>
          <w:numId w:val="0"/>
        </w:numPr>
        <w:ind w:left="709" w:hanging="709"/>
        <w:rPr>
          <w:rFonts w:hAnsi="宋体"/>
        </w:rPr>
      </w:pPr>
      <w:r>
        <w:rPr>
          <w:rFonts w:hAnsi="宋体"/>
          <w:b/>
          <w:bCs/>
        </w:rPr>
        <w:br w:type="page"/>
      </w:r>
      <w:bookmarkStart w:id="189" w:name="_Toc1575334"/>
      <w:r>
        <w:rPr>
          <w:rFonts w:hint="eastAsia" w:hAnsi="宋体"/>
          <w:b/>
          <w:sz w:val="32"/>
          <w:lang w:val="zh-CN"/>
        </w:rPr>
        <w:t>格式1、磋商函</w:t>
      </w:r>
      <w:bookmarkEnd w:id="189"/>
    </w:p>
    <w:p w14:paraId="7466BD1E">
      <w:pPr>
        <w:adjustRightInd w:val="0"/>
        <w:spacing w:line="360" w:lineRule="auto"/>
        <w:jc w:val="center"/>
        <w:textAlignment w:val="baseline"/>
        <w:rPr>
          <w:rFonts w:ascii="宋体" w:hAnsi="宋体"/>
          <w:b/>
          <w:sz w:val="30"/>
          <w:szCs w:val="30"/>
        </w:rPr>
      </w:pPr>
      <w:r>
        <w:rPr>
          <w:rFonts w:hint="eastAsia" w:ascii="宋体" w:hAnsi="宋体"/>
          <w:b/>
          <w:sz w:val="30"/>
          <w:szCs w:val="30"/>
        </w:rPr>
        <w:t>磋 商 函</w:t>
      </w:r>
    </w:p>
    <w:p w14:paraId="771AD9DB">
      <w:pPr>
        <w:adjustRightInd w:val="0"/>
        <w:spacing w:line="360" w:lineRule="auto"/>
        <w:ind w:left="482" w:hanging="482" w:hangingChars="200"/>
        <w:textAlignment w:val="baseline"/>
        <w:rPr>
          <w:rFonts w:hint="eastAsia" w:ascii="宋体" w:hAnsi="宋体" w:eastAsia="宋体"/>
          <w:b/>
          <w:sz w:val="24"/>
          <w:lang w:eastAsia="zh-CN"/>
        </w:rPr>
      </w:pPr>
      <w:r>
        <w:rPr>
          <w:rFonts w:hint="eastAsia" w:ascii="宋体" w:hAnsi="宋体"/>
          <w:b/>
          <w:sz w:val="24"/>
        </w:rPr>
        <w:t>致：</w:t>
      </w:r>
      <w:r>
        <w:rPr>
          <w:rFonts w:hint="eastAsia" w:ascii="宋体" w:hAnsi="宋体"/>
          <w:b/>
          <w:sz w:val="24"/>
          <w:lang w:eastAsia="zh-CN"/>
        </w:rPr>
        <w:t>青海丰研工程咨询有限公司</w:t>
      </w:r>
    </w:p>
    <w:p w14:paraId="329472BC">
      <w:pPr>
        <w:adjustRightInd w:val="0"/>
        <w:spacing w:line="360" w:lineRule="auto"/>
        <w:ind w:firstLine="480" w:firstLineChars="200"/>
        <w:textAlignment w:val="baseline"/>
        <w:rPr>
          <w:rFonts w:ascii="宋体" w:hAnsi="宋体"/>
          <w:sz w:val="24"/>
        </w:rPr>
      </w:pPr>
      <w:r>
        <w:rPr>
          <w:rFonts w:hint="eastAsia" w:ascii="宋体" w:hAnsi="宋体"/>
          <w:sz w:val="24"/>
        </w:rPr>
        <w:t>我们收到</w:t>
      </w:r>
      <w:r>
        <w:rPr>
          <w:rFonts w:hint="eastAsia" w:ascii="宋体" w:hAnsi="宋体"/>
          <w:sz w:val="24"/>
          <w:u w:val="single"/>
          <w:lang w:eastAsia="zh-CN"/>
        </w:rPr>
        <w:t>2025年西宁市湟中区职业教育中心“双优计划”“建设”（数字智慧校园建设）项目</w:t>
      </w:r>
      <w:r>
        <w:rPr>
          <w:rFonts w:hint="eastAsia" w:ascii="宋体" w:hAnsi="宋体"/>
          <w:sz w:val="24"/>
          <w:u w:val="single"/>
        </w:rPr>
        <w:t>（</w:t>
      </w:r>
      <w:r>
        <w:rPr>
          <w:rFonts w:hint="eastAsia" w:ascii="宋体" w:hAnsi="宋体"/>
          <w:sz w:val="24"/>
          <w:u w:val="single"/>
          <w:lang w:eastAsia="zh-CN"/>
        </w:rPr>
        <w:t>青海丰研竞磋（货物）2025-00</w:t>
      </w:r>
      <w:r>
        <w:rPr>
          <w:rFonts w:hint="eastAsia" w:ascii="宋体" w:hAnsi="宋体"/>
          <w:sz w:val="24"/>
          <w:u w:val="single"/>
          <w:lang w:val="en-US" w:eastAsia="zh-CN"/>
        </w:rPr>
        <w:t>7号</w:t>
      </w:r>
      <w:r>
        <w:rPr>
          <w:rFonts w:hint="eastAsia" w:ascii="宋体" w:hAnsi="宋体"/>
          <w:sz w:val="24"/>
          <w:u w:val="single"/>
        </w:rPr>
        <w:t>）</w:t>
      </w:r>
      <w:r>
        <w:rPr>
          <w:rFonts w:hint="eastAsia" w:ascii="宋体" w:hAnsi="宋体"/>
          <w:sz w:val="24"/>
        </w:rPr>
        <w:t>磋商文件，经研究，法定代表人（姓名、职务）正式授权（委托代理人姓名、职务）代表磋商供应商（磋商供应商名称、地址）提交磋商响应文件。</w:t>
      </w:r>
    </w:p>
    <w:p w14:paraId="3E41FF48">
      <w:pPr>
        <w:adjustRightInd w:val="0"/>
        <w:spacing w:line="360" w:lineRule="auto"/>
        <w:ind w:firstLine="480" w:firstLineChars="200"/>
        <w:textAlignment w:val="baseline"/>
        <w:rPr>
          <w:rFonts w:ascii="宋体" w:hAnsi="宋体"/>
          <w:sz w:val="24"/>
        </w:rPr>
      </w:pPr>
      <w:r>
        <w:rPr>
          <w:rFonts w:hint="eastAsia" w:ascii="宋体" w:hAnsi="宋体"/>
          <w:sz w:val="24"/>
        </w:rPr>
        <w:t>据此函，签字代表宣布同意如下：</w:t>
      </w:r>
    </w:p>
    <w:p w14:paraId="06619C29">
      <w:pPr>
        <w:adjustRightInd w:val="0"/>
        <w:spacing w:line="360" w:lineRule="auto"/>
        <w:ind w:firstLine="480" w:firstLineChars="200"/>
        <w:textAlignment w:val="baseline"/>
        <w:rPr>
          <w:rFonts w:ascii="宋体" w:hAnsi="宋体"/>
          <w:sz w:val="24"/>
        </w:rPr>
      </w:pPr>
      <w:r>
        <w:rPr>
          <w:rFonts w:hint="eastAsia" w:ascii="宋体" w:hAnsi="宋体"/>
          <w:sz w:val="24"/>
        </w:rPr>
        <w:t>1.我方已详阅磋商文件的全部内容，包括澄清、修改条款等有关附件，承诺对其完全理解并接受。</w:t>
      </w:r>
    </w:p>
    <w:p w14:paraId="5A1B7802">
      <w:pPr>
        <w:adjustRightInd w:val="0"/>
        <w:spacing w:line="360" w:lineRule="auto"/>
        <w:ind w:firstLine="480" w:firstLineChars="200"/>
        <w:textAlignment w:val="baseline"/>
        <w:rPr>
          <w:rFonts w:ascii="宋体" w:hAnsi="宋体"/>
          <w:sz w:val="24"/>
        </w:rPr>
      </w:pPr>
      <w:r>
        <w:rPr>
          <w:rFonts w:hint="eastAsia" w:ascii="宋体" w:hAnsi="宋体"/>
          <w:sz w:val="24"/>
          <w:highlight w:val="none"/>
        </w:rPr>
        <w:t>2.磋商有效期自磋商之日起</w:t>
      </w:r>
      <w:r>
        <w:rPr>
          <w:rFonts w:hint="eastAsia" w:ascii="宋体" w:hAnsi="宋体"/>
          <w:sz w:val="24"/>
          <w:highlight w:val="none"/>
          <w:u w:val="single"/>
        </w:rPr>
        <w:t xml:space="preserve">       </w:t>
      </w:r>
      <w:r>
        <w:rPr>
          <w:rFonts w:hint="eastAsia" w:ascii="宋体" w:hAnsi="宋体"/>
          <w:sz w:val="24"/>
          <w:highlight w:val="none"/>
          <w:u w:val="single"/>
          <w:lang w:val="en-US" w:eastAsia="zh-CN"/>
        </w:rPr>
        <w:t>个</w:t>
      </w:r>
      <w:r>
        <w:rPr>
          <w:rFonts w:hint="eastAsia" w:ascii="宋体" w:hAnsi="宋体"/>
          <w:sz w:val="24"/>
          <w:highlight w:val="none"/>
        </w:rPr>
        <w:t>日历日有效</w:t>
      </w:r>
      <w:r>
        <w:rPr>
          <w:rFonts w:hint="eastAsia" w:ascii="宋体" w:hAnsi="宋体"/>
          <w:sz w:val="24"/>
        </w:rPr>
        <w:t>。如果在规定的开标时间后，我方在磋商有效期内撤回磋商或中标后不签约的，磋商保证金将被贵方没收。</w:t>
      </w:r>
    </w:p>
    <w:p w14:paraId="773D857A">
      <w:pPr>
        <w:adjustRightInd w:val="0"/>
        <w:spacing w:line="360" w:lineRule="auto"/>
        <w:ind w:firstLine="480" w:firstLineChars="200"/>
        <w:textAlignment w:val="baseline"/>
        <w:rPr>
          <w:rFonts w:ascii="宋体" w:hAnsi="宋体"/>
          <w:sz w:val="24"/>
        </w:rPr>
      </w:pPr>
      <w:r>
        <w:rPr>
          <w:rFonts w:hint="eastAsia" w:ascii="宋体" w:hAnsi="宋体"/>
          <w:sz w:val="24"/>
        </w:rPr>
        <w:t>3.我方同意按照贵方要求提供与磋商有关的一切数据或资料，理解并接受贵方制定的评标办法。</w:t>
      </w:r>
    </w:p>
    <w:p w14:paraId="08CE37D1">
      <w:pPr>
        <w:adjustRightInd w:val="0"/>
        <w:spacing w:line="360" w:lineRule="auto"/>
        <w:ind w:firstLine="480" w:firstLineChars="200"/>
        <w:textAlignment w:val="baseline"/>
        <w:rPr>
          <w:rFonts w:ascii="宋体" w:hAnsi="宋体"/>
          <w:sz w:val="24"/>
        </w:rPr>
      </w:pPr>
      <w:r>
        <w:rPr>
          <w:rFonts w:hint="eastAsia" w:ascii="宋体" w:hAnsi="宋体"/>
          <w:sz w:val="24"/>
        </w:rPr>
        <w:t>4.与本磋商有关的一切正式往来通讯请寄：</w:t>
      </w:r>
    </w:p>
    <w:p w14:paraId="7C80920B">
      <w:pPr>
        <w:adjustRightInd w:val="0"/>
        <w:spacing w:line="360" w:lineRule="auto"/>
        <w:ind w:firstLine="480" w:firstLineChars="200"/>
        <w:textAlignment w:val="baseline"/>
        <w:rPr>
          <w:rFonts w:ascii="宋体" w:hAnsi="宋体"/>
          <w:sz w:val="24"/>
        </w:rPr>
      </w:pPr>
    </w:p>
    <w:p w14:paraId="6FED875C">
      <w:pPr>
        <w:adjustRightInd w:val="0"/>
        <w:spacing w:line="360" w:lineRule="auto"/>
        <w:textAlignment w:val="baseline"/>
        <w:rPr>
          <w:rFonts w:ascii="宋体" w:hAnsi="宋体"/>
          <w:sz w:val="24"/>
        </w:rPr>
      </w:pPr>
      <w:r>
        <w:rPr>
          <w:rFonts w:hint="eastAsia" w:ascii="宋体" w:hAnsi="宋体"/>
          <w:sz w:val="24"/>
        </w:rPr>
        <w:t>地址：                               邮编：</w:t>
      </w:r>
    </w:p>
    <w:p w14:paraId="2AEA88E2">
      <w:pPr>
        <w:adjustRightInd w:val="0"/>
        <w:spacing w:line="360" w:lineRule="auto"/>
        <w:textAlignment w:val="baseline"/>
        <w:rPr>
          <w:rFonts w:ascii="宋体" w:hAnsi="宋体"/>
          <w:sz w:val="24"/>
        </w:rPr>
      </w:pPr>
    </w:p>
    <w:p w14:paraId="5E37BEBA">
      <w:pPr>
        <w:adjustRightInd w:val="0"/>
        <w:spacing w:line="360" w:lineRule="auto"/>
        <w:textAlignment w:val="baseline"/>
        <w:rPr>
          <w:rFonts w:ascii="宋体" w:hAnsi="宋体"/>
          <w:sz w:val="24"/>
        </w:rPr>
      </w:pPr>
      <w:r>
        <w:rPr>
          <w:rFonts w:hint="eastAsia" w:ascii="宋体" w:hAnsi="宋体"/>
          <w:sz w:val="24"/>
        </w:rPr>
        <w:t>电话：                               传真：</w:t>
      </w:r>
    </w:p>
    <w:p w14:paraId="2FCA3599">
      <w:pPr>
        <w:adjustRightInd w:val="0"/>
        <w:spacing w:line="360" w:lineRule="auto"/>
        <w:textAlignment w:val="baseline"/>
        <w:rPr>
          <w:rFonts w:ascii="宋体" w:hAnsi="宋体"/>
          <w:sz w:val="24"/>
        </w:rPr>
      </w:pPr>
    </w:p>
    <w:p w14:paraId="4467D940">
      <w:pPr>
        <w:adjustRightInd w:val="0"/>
        <w:spacing w:line="360" w:lineRule="auto"/>
        <w:textAlignment w:val="baseline"/>
        <w:rPr>
          <w:rFonts w:ascii="宋体" w:hAnsi="宋体"/>
          <w:sz w:val="24"/>
        </w:rPr>
      </w:pPr>
      <w:r>
        <w:rPr>
          <w:rFonts w:hint="eastAsia" w:ascii="宋体" w:hAnsi="宋体"/>
          <w:sz w:val="24"/>
        </w:rPr>
        <w:t>法定代表人姓名：                     职务：</w:t>
      </w:r>
      <w:bookmarkStart w:id="190" w:name="_Toc444715736"/>
    </w:p>
    <w:p w14:paraId="2691E4BC">
      <w:pPr>
        <w:tabs>
          <w:tab w:val="left" w:pos="168"/>
        </w:tabs>
        <w:adjustRightInd w:val="0"/>
        <w:spacing w:line="360" w:lineRule="auto"/>
        <w:ind w:right="480"/>
        <w:jc w:val="right"/>
        <w:textAlignment w:val="baseline"/>
        <w:rPr>
          <w:rFonts w:ascii="宋体" w:hAnsi="宋体"/>
          <w:bCs/>
          <w:sz w:val="24"/>
          <w:szCs w:val="28"/>
        </w:rPr>
      </w:pPr>
    </w:p>
    <w:p w14:paraId="180EC87F">
      <w:pPr>
        <w:tabs>
          <w:tab w:val="left" w:pos="168"/>
        </w:tabs>
        <w:adjustRightInd w:val="0"/>
        <w:spacing w:line="360" w:lineRule="auto"/>
        <w:jc w:val="right"/>
        <w:textAlignment w:val="baseline"/>
        <w:rPr>
          <w:rFonts w:ascii="宋体" w:hAnsi="宋体"/>
          <w:bCs/>
          <w:sz w:val="24"/>
          <w:szCs w:val="28"/>
        </w:rPr>
      </w:pPr>
    </w:p>
    <w:p w14:paraId="1D4B1321">
      <w:pPr>
        <w:tabs>
          <w:tab w:val="left" w:pos="168"/>
        </w:tabs>
        <w:adjustRightInd w:val="0"/>
        <w:spacing w:line="360" w:lineRule="auto"/>
        <w:jc w:val="right"/>
        <w:textAlignment w:val="baseline"/>
        <w:rPr>
          <w:rFonts w:ascii="宋体" w:hAnsi="宋体"/>
          <w:bCs/>
          <w:sz w:val="24"/>
          <w:szCs w:val="28"/>
        </w:rPr>
      </w:pPr>
    </w:p>
    <w:p w14:paraId="0664FDF1">
      <w:pPr>
        <w:tabs>
          <w:tab w:val="left" w:pos="168"/>
        </w:tabs>
        <w:adjustRightInd w:val="0"/>
        <w:spacing w:line="360" w:lineRule="auto"/>
        <w:jc w:val="right"/>
        <w:textAlignment w:val="baseline"/>
        <w:rPr>
          <w:rFonts w:ascii="宋体" w:hAnsi="宋体"/>
          <w:bCs/>
          <w:sz w:val="24"/>
          <w:szCs w:val="28"/>
        </w:rPr>
      </w:pPr>
    </w:p>
    <w:p w14:paraId="297CCF2A">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（公章）</w:t>
      </w:r>
    </w:p>
    <w:p w14:paraId="220436A6">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7C5FB12C">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bookmarkEnd w:id="190"/>
    <w:p w14:paraId="2DD1570A">
      <w:pPr>
        <w:bidi w:val="0"/>
      </w:pPr>
      <w:bookmarkStart w:id="191" w:name="_Toc444715737"/>
      <w:bookmarkStart w:id="192" w:name="_Toc25583"/>
    </w:p>
    <w:bookmarkEnd w:id="191"/>
    <w:bookmarkEnd w:id="192"/>
    <w:p w14:paraId="660702A9">
      <w:pPr>
        <w:bidi w:val="0"/>
      </w:pPr>
    </w:p>
    <w:p w14:paraId="76A3FF84">
      <w:pPr>
        <w:pStyle w:val="4"/>
        <w:numPr>
          <w:ilvl w:val="0"/>
          <w:numId w:val="0"/>
        </w:numPr>
        <w:ind w:left="709" w:hanging="709"/>
        <w:rPr>
          <w:rFonts w:hint="eastAsia" w:hAnsi="宋体"/>
          <w:b/>
          <w:sz w:val="32"/>
          <w:lang w:val="zh-CN"/>
        </w:rPr>
        <w:sectPr>
          <w:footerReference r:id="rId6" w:type="first"/>
          <w:footerReference r:id="rId5" w:type="default"/>
          <w:pgSz w:w="11906" w:h="16838"/>
          <w:pgMar w:top="1440" w:right="1077" w:bottom="1440" w:left="1077" w:header="851" w:footer="992" w:gutter="0"/>
          <w:pgNumType w:fmt="decimal" w:start="1"/>
          <w:cols w:space="720" w:num="1"/>
          <w:titlePg/>
          <w:docGrid w:linePitch="312" w:charSpace="0"/>
        </w:sectPr>
      </w:pPr>
      <w:bookmarkStart w:id="193" w:name="_Toc1575335"/>
    </w:p>
    <w:p w14:paraId="2B11FB4F">
      <w:pPr>
        <w:pStyle w:val="4"/>
        <w:numPr>
          <w:ilvl w:val="0"/>
          <w:numId w:val="0"/>
        </w:numPr>
        <w:ind w:left="709" w:hanging="709"/>
        <w:rPr>
          <w:rFonts w:hAnsi="宋体"/>
          <w:lang w:val="zh-CN"/>
        </w:rPr>
      </w:pPr>
      <w:r>
        <w:rPr>
          <w:rFonts w:hint="eastAsia" w:hAnsi="宋体"/>
          <w:b/>
          <w:sz w:val="32"/>
          <w:lang w:val="zh-CN"/>
        </w:rPr>
        <w:t>格式2、法定代表人证明书</w:t>
      </w:r>
      <w:bookmarkEnd w:id="193"/>
    </w:p>
    <w:p w14:paraId="4B5178EE">
      <w:pPr>
        <w:spacing w:line="360" w:lineRule="auto"/>
        <w:rPr>
          <w:rFonts w:ascii="宋体" w:hAnsi="宋体"/>
          <w:lang w:val="zh-CN"/>
        </w:rPr>
      </w:pPr>
    </w:p>
    <w:p w14:paraId="694162A2">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0"/>
          <w:szCs w:val="30"/>
          <w:lang w:val="zh-CN"/>
        </w:rPr>
        <w:t>法定代表人证明书</w:t>
      </w:r>
    </w:p>
    <w:p w14:paraId="400AC012">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致：青海丰研工程咨询有限公司</w:t>
      </w:r>
    </w:p>
    <w:p w14:paraId="79D1FD42">
      <w:pPr>
        <w:autoSpaceDE w:val="0"/>
        <w:autoSpaceDN w:val="0"/>
        <w:adjustRightInd w:val="0"/>
        <w:spacing w:line="360" w:lineRule="auto"/>
        <w:rPr>
          <w:rFonts w:ascii="宋体" w:hAnsi="宋体" w:cs="宋体"/>
          <w:kern w:val="0"/>
          <w:sz w:val="24"/>
          <w:lang w:val="zh-CN"/>
        </w:rPr>
      </w:pPr>
    </w:p>
    <w:p w14:paraId="57A26A19">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u w:val="single"/>
          <w:lang w:val="zh-CN"/>
        </w:rPr>
        <w:t xml:space="preserve">（法定代表人姓名）  </w:t>
      </w:r>
      <w:r>
        <w:rPr>
          <w:rFonts w:hint="eastAsia" w:ascii="宋体" w:hAnsi="宋体" w:cs="宋体"/>
          <w:kern w:val="0"/>
          <w:sz w:val="24"/>
          <w:lang w:val="zh-CN"/>
        </w:rPr>
        <w:t>现任我单位</w:t>
      </w:r>
      <w:r>
        <w:rPr>
          <w:rFonts w:hint="eastAsia" w:ascii="宋体" w:hAnsi="宋体" w:cs="宋体"/>
          <w:kern w:val="0"/>
          <w:sz w:val="24"/>
          <w:u w:val="single"/>
        </w:rPr>
        <w:t xml:space="preserve">         </w:t>
      </w:r>
      <w:r>
        <w:rPr>
          <w:rFonts w:hint="eastAsia" w:ascii="宋体" w:hAnsi="宋体" w:cs="宋体"/>
          <w:kern w:val="0"/>
          <w:sz w:val="24"/>
          <w:lang w:val="zh-CN"/>
        </w:rPr>
        <w:t>职务，为法定代表人，特此证明。</w:t>
      </w:r>
    </w:p>
    <w:p w14:paraId="5994D2CA">
      <w:pPr>
        <w:autoSpaceDE w:val="0"/>
        <w:autoSpaceDN w:val="0"/>
        <w:adjustRightInd w:val="0"/>
        <w:spacing w:line="360" w:lineRule="auto"/>
        <w:rPr>
          <w:rFonts w:ascii="宋体" w:hAnsi="宋体" w:cs="宋体"/>
          <w:kern w:val="0"/>
          <w:sz w:val="24"/>
          <w:lang w:val="zh-CN"/>
        </w:rPr>
      </w:pPr>
    </w:p>
    <w:p w14:paraId="44DB9927">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法定代表人基本情况：</w:t>
      </w:r>
    </w:p>
    <w:p w14:paraId="0C84C1D4">
      <w:pPr>
        <w:autoSpaceDE w:val="0"/>
        <w:autoSpaceDN w:val="0"/>
        <w:adjustRightInd w:val="0"/>
        <w:spacing w:line="360" w:lineRule="auto"/>
        <w:rPr>
          <w:rFonts w:ascii="宋体" w:hAnsi="宋体" w:cs="宋体"/>
          <w:kern w:val="0"/>
          <w:sz w:val="24"/>
          <w:lang w:val="zh-CN"/>
        </w:rPr>
      </w:pPr>
    </w:p>
    <w:p w14:paraId="194A3E92">
      <w:pPr>
        <w:autoSpaceDE w:val="0"/>
        <w:autoSpaceDN w:val="0"/>
        <w:adjustRightInd w:val="0"/>
        <w:spacing w:line="360" w:lineRule="auto"/>
        <w:ind w:firstLine="480" w:firstLineChars="200"/>
        <w:rPr>
          <w:rFonts w:ascii="宋体" w:hAnsi="宋体" w:cs="宋体"/>
          <w:kern w:val="0"/>
          <w:sz w:val="24"/>
          <w:u w:val="single"/>
          <w:lang w:val="zh-CN"/>
        </w:rPr>
      </w:pPr>
      <w:r>
        <w:rPr>
          <w:rFonts w:hint="eastAsia" w:ascii="宋体" w:hAnsi="宋体" w:cs="宋体"/>
          <w:kern w:val="0"/>
          <w:sz w:val="24"/>
          <w:lang w:val="zh-CN"/>
        </w:rPr>
        <w:t>性别：                      年龄：                   民族：</w:t>
      </w:r>
    </w:p>
    <w:p w14:paraId="4D112CDA">
      <w:pPr>
        <w:autoSpaceDE w:val="0"/>
        <w:autoSpaceDN w:val="0"/>
        <w:adjustRightInd w:val="0"/>
        <w:spacing w:line="360" w:lineRule="auto"/>
        <w:rPr>
          <w:rFonts w:ascii="宋体" w:hAnsi="宋体" w:cs="宋体"/>
          <w:kern w:val="0"/>
          <w:sz w:val="24"/>
          <w:lang w:val="zh-CN"/>
        </w:rPr>
      </w:pPr>
    </w:p>
    <w:p w14:paraId="378631A7">
      <w:pPr>
        <w:autoSpaceDE w:val="0"/>
        <w:autoSpaceDN w:val="0"/>
        <w:adjustRightInd w:val="0"/>
        <w:spacing w:line="360" w:lineRule="auto"/>
        <w:ind w:firstLine="480" w:firstLineChars="200"/>
        <w:rPr>
          <w:rFonts w:ascii="宋体" w:hAnsi="宋体" w:cs="宋体"/>
          <w:kern w:val="0"/>
          <w:sz w:val="24"/>
          <w:u w:val="single"/>
          <w:lang w:val="zh-CN"/>
        </w:rPr>
      </w:pPr>
      <w:r>
        <w:rPr>
          <w:rFonts w:hint="eastAsia" w:ascii="宋体" w:hAnsi="宋体" w:cs="宋体"/>
          <w:kern w:val="0"/>
          <w:sz w:val="24"/>
          <w:lang w:val="zh-CN"/>
        </w:rPr>
        <w:t>地址：</w:t>
      </w:r>
    </w:p>
    <w:p w14:paraId="0E843161">
      <w:pPr>
        <w:autoSpaceDE w:val="0"/>
        <w:autoSpaceDN w:val="0"/>
        <w:adjustRightInd w:val="0"/>
        <w:spacing w:line="360" w:lineRule="auto"/>
        <w:rPr>
          <w:rFonts w:ascii="宋体" w:hAnsi="宋体" w:cs="宋体"/>
          <w:kern w:val="0"/>
          <w:sz w:val="24"/>
          <w:lang w:val="zh-CN"/>
        </w:rPr>
      </w:pPr>
    </w:p>
    <w:p w14:paraId="1334978E">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身份证号码：</w:t>
      </w:r>
    </w:p>
    <w:p w14:paraId="02F98794">
      <w:pPr>
        <w:autoSpaceDE w:val="0"/>
        <w:autoSpaceDN w:val="0"/>
        <w:adjustRightInd w:val="0"/>
        <w:spacing w:line="360" w:lineRule="auto"/>
        <w:rPr>
          <w:rFonts w:ascii="宋体" w:hAnsi="宋体" w:cs="宋体"/>
          <w:kern w:val="0"/>
          <w:sz w:val="24"/>
          <w:lang w:val="zh-CN"/>
        </w:rPr>
      </w:pPr>
    </w:p>
    <w:p w14:paraId="372471CA">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附：法定代表人第二代身份证双面扫描（或复印）件</w:t>
      </w:r>
    </w:p>
    <w:p w14:paraId="6014FFC2">
      <w:pPr>
        <w:autoSpaceDE w:val="0"/>
        <w:autoSpaceDN w:val="0"/>
        <w:adjustRightInd w:val="0"/>
        <w:spacing w:line="360" w:lineRule="auto"/>
        <w:rPr>
          <w:rFonts w:ascii="宋体" w:hAnsi="宋体" w:cs="宋体"/>
          <w:kern w:val="0"/>
          <w:sz w:val="24"/>
          <w:lang w:val="zh-CN"/>
        </w:rPr>
      </w:pPr>
    </w:p>
    <w:p w14:paraId="0D79A221">
      <w:pPr>
        <w:autoSpaceDE w:val="0"/>
        <w:autoSpaceDN w:val="0"/>
        <w:adjustRightInd w:val="0"/>
        <w:spacing w:line="360" w:lineRule="auto"/>
        <w:rPr>
          <w:rFonts w:ascii="宋体" w:hAnsi="宋体" w:cs="宋体"/>
          <w:kern w:val="0"/>
          <w:sz w:val="24"/>
          <w:lang w:val="zh-CN"/>
        </w:rPr>
      </w:pPr>
    </w:p>
    <w:p w14:paraId="7D62C0BF">
      <w:pPr>
        <w:autoSpaceDE w:val="0"/>
        <w:autoSpaceDN w:val="0"/>
        <w:adjustRightInd w:val="0"/>
        <w:spacing w:line="360" w:lineRule="auto"/>
        <w:rPr>
          <w:rFonts w:ascii="宋体" w:hAnsi="宋体" w:cs="宋体"/>
          <w:kern w:val="0"/>
          <w:sz w:val="24"/>
          <w:lang w:val="zh-CN"/>
        </w:rPr>
      </w:pPr>
    </w:p>
    <w:p w14:paraId="3EE15B77">
      <w:pPr>
        <w:autoSpaceDE w:val="0"/>
        <w:autoSpaceDN w:val="0"/>
        <w:adjustRightInd w:val="0"/>
        <w:spacing w:line="360" w:lineRule="auto"/>
        <w:rPr>
          <w:rFonts w:ascii="宋体" w:hAnsi="宋体" w:cs="宋体"/>
          <w:kern w:val="0"/>
          <w:sz w:val="24"/>
          <w:lang w:val="zh-CN"/>
        </w:rPr>
      </w:pPr>
    </w:p>
    <w:p w14:paraId="7E12EA65">
      <w:pPr>
        <w:autoSpaceDE w:val="0"/>
        <w:autoSpaceDN w:val="0"/>
        <w:adjustRightInd w:val="0"/>
        <w:spacing w:line="360" w:lineRule="auto"/>
        <w:rPr>
          <w:rFonts w:ascii="宋体" w:hAnsi="宋体" w:cs="宋体"/>
          <w:kern w:val="0"/>
          <w:sz w:val="24"/>
          <w:lang w:val="zh-CN"/>
        </w:rPr>
      </w:pPr>
    </w:p>
    <w:p w14:paraId="76693BF1">
      <w:pPr>
        <w:autoSpaceDE w:val="0"/>
        <w:autoSpaceDN w:val="0"/>
        <w:adjustRightInd w:val="0"/>
        <w:spacing w:line="360" w:lineRule="auto"/>
        <w:rPr>
          <w:rFonts w:ascii="宋体" w:hAnsi="宋体" w:cs="宋体"/>
          <w:kern w:val="0"/>
          <w:sz w:val="24"/>
          <w:lang w:val="zh-CN"/>
        </w:rPr>
      </w:pPr>
    </w:p>
    <w:p w14:paraId="08BD1EAA">
      <w:pPr>
        <w:tabs>
          <w:tab w:val="left" w:pos="168"/>
        </w:tabs>
        <w:adjustRightInd w:val="0"/>
        <w:spacing w:line="360" w:lineRule="auto"/>
        <w:textAlignment w:val="baseline"/>
        <w:rPr>
          <w:rFonts w:ascii="宋体" w:hAnsi="宋体"/>
          <w:bCs/>
          <w:sz w:val="28"/>
          <w:szCs w:val="28"/>
        </w:rPr>
      </w:pPr>
      <w:bookmarkStart w:id="194" w:name="_Toc16858"/>
      <w:bookmarkStart w:id="195" w:name="_Toc444715738"/>
    </w:p>
    <w:p w14:paraId="207FF5F2">
      <w:pPr>
        <w:tabs>
          <w:tab w:val="left" w:pos="168"/>
        </w:tabs>
        <w:wordWrap w:val="0"/>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（公章）</w:t>
      </w:r>
    </w:p>
    <w:p w14:paraId="48668366">
      <w:pPr>
        <w:tabs>
          <w:tab w:val="left" w:pos="168"/>
        </w:tabs>
        <w:adjustRightInd w:val="0"/>
        <w:spacing w:line="360" w:lineRule="auto"/>
        <w:ind w:right="480" w:firstLine="5760" w:firstLineChars="2400"/>
        <w:textAlignment w:val="baseline"/>
        <w:rPr>
          <w:rFonts w:ascii="宋体" w:hAnsi="宋体"/>
          <w:bCs/>
          <w:sz w:val="24"/>
          <w:szCs w:val="28"/>
        </w:rPr>
      </w:pPr>
      <w:r>
        <w:rPr>
          <w:rFonts w:hint="eastAsia" w:ascii="宋体" w:hAnsi="宋体"/>
          <w:bCs/>
          <w:sz w:val="24"/>
          <w:szCs w:val="28"/>
        </w:rPr>
        <w:t>日期：   年   月   日</w:t>
      </w:r>
    </w:p>
    <w:p w14:paraId="2983E8CC">
      <w:pPr>
        <w:pStyle w:val="4"/>
        <w:numPr>
          <w:ilvl w:val="0"/>
          <w:numId w:val="0"/>
        </w:numPr>
        <w:ind w:left="709" w:hanging="709"/>
        <w:rPr>
          <w:rFonts w:hAnsi="宋体"/>
          <w:szCs w:val="28"/>
        </w:rPr>
      </w:pPr>
      <w:r>
        <w:rPr>
          <w:rFonts w:hAnsi="宋体"/>
          <w:bCs/>
          <w:szCs w:val="28"/>
        </w:rPr>
        <w:br w:type="page"/>
      </w:r>
      <w:bookmarkStart w:id="196" w:name="_Toc1575336"/>
      <w:r>
        <w:rPr>
          <w:rFonts w:hint="eastAsia" w:hAnsi="宋体"/>
          <w:b/>
          <w:sz w:val="32"/>
          <w:lang w:val="zh-CN"/>
        </w:rPr>
        <w:t>格式3、法定代表人授权书</w:t>
      </w:r>
      <w:bookmarkEnd w:id="194"/>
      <w:bookmarkEnd w:id="195"/>
      <w:bookmarkEnd w:id="196"/>
    </w:p>
    <w:p w14:paraId="7FB6E037">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法定代表人授权书</w:t>
      </w:r>
    </w:p>
    <w:p w14:paraId="5C9F7131">
      <w:pPr>
        <w:spacing w:line="360" w:lineRule="auto"/>
        <w:rPr>
          <w:rFonts w:hint="eastAsia" w:ascii="宋体" w:hAnsi="宋体" w:eastAsia="宋体"/>
          <w:b/>
          <w:bCs/>
          <w:sz w:val="24"/>
          <w:lang w:eastAsia="zh-CN"/>
        </w:rPr>
      </w:pPr>
      <w:r>
        <w:rPr>
          <w:rFonts w:hint="eastAsia" w:ascii="宋体" w:hAnsi="宋体"/>
          <w:b/>
          <w:bCs/>
          <w:sz w:val="24"/>
        </w:rPr>
        <w:t>致：</w:t>
      </w:r>
      <w:r>
        <w:rPr>
          <w:rFonts w:hint="eastAsia" w:ascii="宋体" w:hAnsi="宋体"/>
          <w:b/>
          <w:bCs/>
          <w:sz w:val="24"/>
          <w:lang w:eastAsia="zh-CN"/>
        </w:rPr>
        <w:t>青海丰研工程咨询有限公司</w:t>
      </w:r>
    </w:p>
    <w:p w14:paraId="47DF9A6B">
      <w:pPr>
        <w:spacing w:line="360" w:lineRule="auto"/>
        <w:rPr>
          <w:rFonts w:ascii="宋体" w:hAnsi="宋体"/>
          <w:sz w:val="24"/>
          <w:u w:val="single"/>
        </w:rPr>
      </w:pPr>
    </w:p>
    <w:p w14:paraId="46E2DC30">
      <w:pPr>
        <w:spacing w:line="360" w:lineRule="auto"/>
        <w:ind w:firstLine="480" w:firstLineChars="200"/>
        <w:rPr>
          <w:rFonts w:ascii="宋体" w:hAnsi="宋体"/>
          <w:sz w:val="24"/>
        </w:rPr>
      </w:pPr>
      <w:r>
        <w:rPr>
          <w:rFonts w:hint="eastAsia" w:ascii="宋体" w:hAnsi="宋体"/>
          <w:sz w:val="24"/>
          <w:u w:val="single"/>
        </w:rPr>
        <w:t>（磋商供应商名称）</w:t>
      </w:r>
      <w:r>
        <w:rPr>
          <w:rFonts w:hint="eastAsia" w:ascii="宋体" w:hAnsi="宋体"/>
          <w:sz w:val="24"/>
        </w:rPr>
        <w:t>系中华人民共和国合法企业，法定地址</w:t>
      </w:r>
      <w:r>
        <w:rPr>
          <w:rFonts w:hint="eastAsia" w:ascii="宋体" w:hAnsi="宋体"/>
          <w:sz w:val="24"/>
          <w:u w:val="single"/>
        </w:rPr>
        <w:t xml:space="preserve">               </w:t>
      </w:r>
      <w:r>
        <w:rPr>
          <w:rFonts w:hint="eastAsia" w:ascii="宋体" w:hAnsi="宋体"/>
          <w:sz w:val="24"/>
        </w:rPr>
        <w:t>。</w:t>
      </w:r>
    </w:p>
    <w:p w14:paraId="2AE5D12D">
      <w:pPr>
        <w:spacing w:line="360" w:lineRule="auto"/>
        <w:ind w:firstLine="480" w:firstLineChars="200"/>
        <w:rPr>
          <w:rFonts w:ascii="宋体" w:hAnsi="宋体"/>
          <w:sz w:val="24"/>
        </w:rPr>
      </w:pPr>
      <w:r>
        <w:rPr>
          <w:rFonts w:hint="eastAsia" w:ascii="宋体" w:hAnsi="宋体"/>
          <w:sz w:val="24"/>
          <w:u w:val="single"/>
        </w:rPr>
        <w:t>（法定代表人姓名）</w:t>
      </w:r>
      <w:r>
        <w:rPr>
          <w:rFonts w:hint="eastAsia" w:ascii="宋体" w:hAnsi="宋体"/>
          <w:sz w:val="24"/>
        </w:rPr>
        <w:t>特授权</w:t>
      </w:r>
      <w:r>
        <w:rPr>
          <w:rFonts w:hint="eastAsia" w:ascii="宋体" w:hAnsi="宋体"/>
          <w:sz w:val="24"/>
          <w:u w:val="single"/>
        </w:rPr>
        <w:t>（被授权人姓名）</w:t>
      </w:r>
      <w:r>
        <w:rPr>
          <w:rFonts w:hint="eastAsia" w:ascii="宋体" w:hAnsi="宋体"/>
          <w:sz w:val="24"/>
        </w:rPr>
        <w:t>代表我单位全权办理</w:t>
      </w:r>
      <w:r>
        <w:rPr>
          <w:rFonts w:hint="eastAsia" w:ascii="宋体" w:hAnsi="宋体"/>
          <w:sz w:val="24"/>
          <w:u w:val="single"/>
        </w:rPr>
        <w:t xml:space="preserve">                </w:t>
      </w:r>
      <w:r>
        <w:rPr>
          <w:rFonts w:hint="eastAsia" w:ascii="宋体" w:hAnsi="宋体"/>
          <w:sz w:val="24"/>
        </w:rPr>
        <w:t>项目的磋商、答疑等具体工作，并签署全部有关的文件、协议及合同。</w:t>
      </w:r>
    </w:p>
    <w:p w14:paraId="010085B9">
      <w:pPr>
        <w:spacing w:line="360" w:lineRule="auto"/>
        <w:ind w:firstLine="480" w:firstLineChars="200"/>
        <w:rPr>
          <w:rFonts w:ascii="宋体" w:hAnsi="宋体"/>
          <w:sz w:val="24"/>
        </w:rPr>
      </w:pPr>
      <w:r>
        <w:rPr>
          <w:rFonts w:hint="eastAsia" w:ascii="宋体" w:hAnsi="宋体"/>
          <w:sz w:val="24"/>
        </w:rPr>
        <w:t>我单位对被授权人的签名负全部责任。</w:t>
      </w:r>
    </w:p>
    <w:p w14:paraId="2A280C21">
      <w:pPr>
        <w:spacing w:line="360" w:lineRule="auto"/>
        <w:ind w:firstLine="480" w:firstLineChars="200"/>
        <w:rPr>
          <w:rFonts w:ascii="宋体" w:hAnsi="宋体"/>
          <w:sz w:val="24"/>
        </w:rPr>
      </w:pPr>
      <w:r>
        <w:rPr>
          <w:rFonts w:hint="eastAsia" w:ascii="宋体" w:hAnsi="宋体"/>
          <w:sz w:val="24"/>
        </w:rPr>
        <w:t>在撤销授权的书面通知以前，本授权书一直有效。被授权人签署的所有文件（在授权书有效期内签署的）不因授权的撤销而失效。</w:t>
      </w:r>
    </w:p>
    <w:p w14:paraId="10FA70DC">
      <w:pPr>
        <w:spacing w:line="360" w:lineRule="auto"/>
        <w:rPr>
          <w:rFonts w:ascii="宋体" w:hAnsi="宋体"/>
          <w:sz w:val="24"/>
        </w:rPr>
      </w:pPr>
    </w:p>
    <w:p w14:paraId="611CD0E2">
      <w:pPr>
        <w:spacing w:line="360" w:lineRule="auto"/>
        <w:rPr>
          <w:rFonts w:ascii="宋体" w:hAnsi="宋体"/>
          <w:sz w:val="24"/>
          <w:u w:val="single"/>
        </w:rPr>
      </w:pPr>
      <w:r>
        <w:rPr>
          <w:rFonts w:ascii="宋体" w:hAnsi="宋体"/>
          <w:sz w:val="24"/>
        </w:rPr>
        <w:t>被授权人联系电话</w:t>
      </w:r>
      <w:r>
        <w:rPr>
          <w:rFonts w:hint="eastAsia" w:ascii="宋体" w:hAnsi="宋体"/>
          <w:sz w:val="24"/>
        </w:rPr>
        <w:t>：</w:t>
      </w:r>
    </w:p>
    <w:p w14:paraId="32E79D5F">
      <w:pPr>
        <w:spacing w:line="360" w:lineRule="auto"/>
        <w:rPr>
          <w:rFonts w:ascii="宋体" w:hAnsi="宋体"/>
          <w:sz w:val="24"/>
          <w:u w:val="single"/>
        </w:rPr>
      </w:pPr>
      <w:r>
        <w:rPr>
          <w:rFonts w:hint="eastAsia" w:ascii="宋体" w:hAnsi="宋体"/>
          <w:sz w:val="24"/>
        </w:rPr>
        <w:t>被授权人（委托代理人）签字：                   授权人（法定代表人）签字：</w:t>
      </w:r>
    </w:p>
    <w:p w14:paraId="73C20E2D">
      <w:pPr>
        <w:spacing w:line="360" w:lineRule="auto"/>
        <w:rPr>
          <w:rFonts w:ascii="宋体" w:hAnsi="宋体"/>
          <w:sz w:val="24"/>
          <w:u w:val="single"/>
        </w:rPr>
      </w:pPr>
      <w:r>
        <w:rPr>
          <w:rFonts w:hint="eastAsia" w:ascii="宋体" w:hAnsi="宋体"/>
          <w:sz w:val="24"/>
        </w:rPr>
        <w:t>职务：                                         职务：</w:t>
      </w:r>
    </w:p>
    <w:p w14:paraId="1991E937">
      <w:pPr>
        <w:spacing w:line="360" w:lineRule="auto"/>
        <w:rPr>
          <w:rFonts w:ascii="宋体" w:hAnsi="宋体"/>
          <w:sz w:val="24"/>
        </w:rPr>
      </w:pPr>
      <w:r>
        <w:rPr>
          <w:rFonts w:hint="eastAsia" w:ascii="宋体" w:hAnsi="宋体"/>
          <w:sz w:val="24"/>
        </w:rPr>
        <w:t>附：被授权人身份证正、反面扫描（或复印）件</w:t>
      </w:r>
    </w:p>
    <w:p w14:paraId="0CE172BF">
      <w:pPr>
        <w:tabs>
          <w:tab w:val="left" w:pos="168"/>
        </w:tabs>
        <w:adjustRightInd w:val="0"/>
        <w:spacing w:line="360" w:lineRule="auto"/>
        <w:textAlignment w:val="baseline"/>
        <w:rPr>
          <w:rFonts w:ascii="宋体" w:hAnsi="宋体"/>
          <w:bCs/>
          <w:sz w:val="28"/>
          <w:szCs w:val="28"/>
        </w:rPr>
      </w:pPr>
    </w:p>
    <w:p w14:paraId="29F46AE0">
      <w:pPr>
        <w:tabs>
          <w:tab w:val="left" w:pos="168"/>
        </w:tabs>
        <w:adjustRightInd w:val="0"/>
        <w:spacing w:line="360" w:lineRule="auto"/>
        <w:textAlignment w:val="baseline"/>
        <w:rPr>
          <w:rFonts w:ascii="宋体" w:hAnsi="宋体"/>
          <w:bCs/>
          <w:sz w:val="28"/>
          <w:szCs w:val="28"/>
        </w:rPr>
      </w:pPr>
    </w:p>
    <w:p w14:paraId="14CB1468">
      <w:pPr>
        <w:tabs>
          <w:tab w:val="left" w:pos="168"/>
        </w:tabs>
        <w:adjustRightInd w:val="0"/>
        <w:spacing w:line="360" w:lineRule="auto"/>
        <w:textAlignment w:val="baseline"/>
        <w:rPr>
          <w:rFonts w:ascii="宋体" w:hAnsi="宋体"/>
          <w:bCs/>
          <w:sz w:val="28"/>
          <w:szCs w:val="28"/>
        </w:rPr>
      </w:pPr>
    </w:p>
    <w:p w14:paraId="6BEA3988">
      <w:pPr>
        <w:tabs>
          <w:tab w:val="left" w:pos="168"/>
        </w:tabs>
        <w:adjustRightInd w:val="0"/>
        <w:spacing w:line="360" w:lineRule="auto"/>
        <w:textAlignment w:val="baseline"/>
        <w:rPr>
          <w:rFonts w:ascii="宋体" w:hAnsi="宋体"/>
          <w:bCs/>
          <w:sz w:val="28"/>
          <w:szCs w:val="28"/>
        </w:rPr>
      </w:pPr>
    </w:p>
    <w:p w14:paraId="1948B90C">
      <w:pPr>
        <w:tabs>
          <w:tab w:val="left" w:pos="168"/>
        </w:tabs>
        <w:adjustRightInd w:val="0"/>
        <w:spacing w:line="360" w:lineRule="auto"/>
        <w:textAlignment w:val="baseline"/>
        <w:rPr>
          <w:rFonts w:ascii="宋体" w:hAnsi="宋体"/>
          <w:bCs/>
          <w:sz w:val="28"/>
          <w:szCs w:val="28"/>
        </w:rPr>
      </w:pPr>
    </w:p>
    <w:p w14:paraId="274B66B1">
      <w:pPr>
        <w:tabs>
          <w:tab w:val="left" w:pos="168"/>
        </w:tabs>
        <w:adjustRightInd w:val="0"/>
        <w:spacing w:line="360" w:lineRule="auto"/>
        <w:textAlignment w:val="baseline"/>
        <w:rPr>
          <w:rFonts w:ascii="宋体" w:hAnsi="宋体"/>
          <w:bCs/>
          <w:sz w:val="28"/>
          <w:szCs w:val="28"/>
        </w:rPr>
      </w:pPr>
    </w:p>
    <w:p w14:paraId="53F365C7">
      <w:pPr>
        <w:tabs>
          <w:tab w:val="left" w:pos="168"/>
        </w:tabs>
        <w:adjustRightInd w:val="0"/>
        <w:spacing w:line="360" w:lineRule="auto"/>
        <w:textAlignment w:val="baseline"/>
        <w:rPr>
          <w:rFonts w:ascii="宋体" w:hAnsi="宋体"/>
          <w:bCs/>
          <w:sz w:val="28"/>
          <w:szCs w:val="28"/>
        </w:rPr>
      </w:pPr>
    </w:p>
    <w:p w14:paraId="2E264DA1">
      <w:pPr>
        <w:tabs>
          <w:tab w:val="left" w:pos="168"/>
        </w:tabs>
        <w:wordWrap w:val="0"/>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 xml:space="preserve">（公章） </w:t>
      </w:r>
    </w:p>
    <w:p w14:paraId="1A88E43F">
      <w:pPr>
        <w:tabs>
          <w:tab w:val="left" w:pos="168"/>
        </w:tabs>
        <w:adjustRightInd w:val="0"/>
        <w:spacing w:line="360" w:lineRule="auto"/>
        <w:ind w:right="480" w:firstLine="5760" w:firstLineChars="2400"/>
        <w:textAlignment w:val="baseline"/>
        <w:rPr>
          <w:rFonts w:ascii="宋体" w:hAnsi="宋体"/>
          <w:bCs/>
          <w:sz w:val="24"/>
          <w:szCs w:val="28"/>
        </w:rPr>
      </w:pPr>
      <w:r>
        <w:rPr>
          <w:rFonts w:hint="eastAsia" w:ascii="宋体" w:hAnsi="宋体"/>
          <w:bCs/>
          <w:sz w:val="24"/>
          <w:szCs w:val="28"/>
        </w:rPr>
        <w:t>日期：   年   月   日</w:t>
      </w:r>
    </w:p>
    <w:p w14:paraId="2E522448">
      <w:pPr>
        <w:pStyle w:val="4"/>
        <w:numPr>
          <w:ilvl w:val="0"/>
          <w:numId w:val="0"/>
        </w:numPr>
        <w:ind w:left="709" w:hanging="709"/>
        <w:rPr>
          <w:rFonts w:hAnsi="宋体"/>
          <w:lang w:val="zh-CN"/>
        </w:rPr>
      </w:pPr>
      <w:r>
        <w:rPr>
          <w:rFonts w:hAnsi="宋体"/>
          <w:bCs/>
          <w:sz w:val="24"/>
        </w:rPr>
        <w:br w:type="page"/>
      </w:r>
      <w:bookmarkStart w:id="197" w:name="_Toc1575337"/>
      <w:r>
        <w:rPr>
          <w:rFonts w:hint="eastAsia" w:hAnsi="宋体"/>
          <w:b/>
          <w:sz w:val="32"/>
          <w:lang w:val="zh-CN"/>
        </w:rPr>
        <w:t>格式4、磋商供应商承诺书</w:t>
      </w:r>
      <w:bookmarkEnd w:id="197"/>
    </w:p>
    <w:p w14:paraId="430EDAF8">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磋商供应商承诺书</w:t>
      </w:r>
    </w:p>
    <w:p w14:paraId="4131A6AF">
      <w:pPr>
        <w:spacing w:line="360" w:lineRule="auto"/>
        <w:rPr>
          <w:rFonts w:hint="eastAsia" w:ascii="宋体" w:hAnsi="宋体" w:eastAsia="宋体"/>
          <w:b/>
          <w:bCs/>
          <w:sz w:val="24"/>
          <w:szCs w:val="28"/>
          <w:lang w:eastAsia="zh-CN"/>
        </w:rPr>
      </w:pPr>
      <w:r>
        <w:rPr>
          <w:rFonts w:hint="eastAsia" w:ascii="宋体" w:hAnsi="宋体"/>
          <w:b/>
          <w:bCs/>
          <w:sz w:val="24"/>
          <w:szCs w:val="28"/>
        </w:rPr>
        <w:t>致：</w:t>
      </w:r>
      <w:r>
        <w:rPr>
          <w:rFonts w:hint="eastAsia" w:ascii="宋体" w:hAnsi="宋体"/>
          <w:b/>
          <w:bCs/>
          <w:sz w:val="24"/>
          <w:szCs w:val="28"/>
          <w:lang w:eastAsia="zh-CN"/>
        </w:rPr>
        <w:t>青海丰研工程咨询有限公司</w:t>
      </w:r>
    </w:p>
    <w:p w14:paraId="22EEF262">
      <w:pPr>
        <w:spacing w:line="360" w:lineRule="auto"/>
        <w:rPr>
          <w:rFonts w:ascii="宋体" w:hAnsi="宋体"/>
          <w:sz w:val="24"/>
          <w:szCs w:val="28"/>
        </w:rPr>
      </w:pPr>
    </w:p>
    <w:p w14:paraId="17DF6F8F">
      <w:pPr>
        <w:spacing w:line="360" w:lineRule="auto"/>
        <w:ind w:firstLine="480" w:firstLineChars="200"/>
        <w:rPr>
          <w:rFonts w:ascii="宋体" w:hAnsi="宋体"/>
          <w:sz w:val="24"/>
          <w:szCs w:val="28"/>
        </w:rPr>
      </w:pPr>
      <w:r>
        <w:rPr>
          <w:rFonts w:hint="eastAsia" w:ascii="宋体" w:hAnsi="宋体"/>
          <w:sz w:val="24"/>
          <w:szCs w:val="28"/>
        </w:rPr>
        <w:t>关于贵方</w:t>
      </w:r>
      <w:r>
        <w:rPr>
          <w:rFonts w:hint="eastAsia" w:ascii="宋体" w:hAnsi="宋体"/>
          <w:sz w:val="24"/>
          <w:szCs w:val="28"/>
          <w:u w:val="single"/>
        </w:rPr>
        <w:t xml:space="preserve">     </w:t>
      </w:r>
      <w:r>
        <w:rPr>
          <w:rFonts w:hint="eastAsia" w:ascii="宋体" w:hAnsi="宋体"/>
          <w:sz w:val="24"/>
          <w:szCs w:val="28"/>
        </w:rPr>
        <w:t>年</w:t>
      </w:r>
      <w:r>
        <w:rPr>
          <w:rFonts w:hint="eastAsia" w:ascii="宋体" w:hAnsi="宋体"/>
          <w:sz w:val="24"/>
          <w:szCs w:val="28"/>
          <w:u w:val="single"/>
        </w:rPr>
        <w:t xml:space="preserve">     </w:t>
      </w:r>
      <w:r>
        <w:rPr>
          <w:rFonts w:hint="eastAsia" w:ascii="宋体" w:hAnsi="宋体"/>
          <w:sz w:val="24"/>
          <w:szCs w:val="28"/>
        </w:rPr>
        <w:t>月</w:t>
      </w:r>
      <w:r>
        <w:rPr>
          <w:rFonts w:hint="eastAsia" w:ascii="宋体" w:hAnsi="宋体"/>
          <w:sz w:val="24"/>
          <w:szCs w:val="28"/>
          <w:u w:val="single"/>
        </w:rPr>
        <w:t xml:space="preserve">     </w:t>
      </w:r>
      <w:r>
        <w:rPr>
          <w:rFonts w:hint="eastAsia" w:ascii="宋体" w:hAnsi="宋体"/>
          <w:sz w:val="24"/>
          <w:szCs w:val="28"/>
        </w:rPr>
        <w:t>日</w:t>
      </w:r>
      <w:r>
        <w:rPr>
          <w:rFonts w:hint="eastAsia" w:ascii="宋体" w:hAnsi="宋体"/>
          <w:sz w:val="24"/>
          <w:szCs w:val="28"/>
          <w:u w:val="single"/>
        </w:rPr>
        <w:t>(项目名称)</w:t>
      </w:r>
      <w:r>
        <w:rPr>
          <w:rFonts w:hint="eastAsia" w:ascii="宋体" w:hAnsi="宋体"/>
          <w:sz w:val="24"/>
          <w:szCs w:val="28"/>
        </w:rPr>
        <w:t>采购项目，本签字人愿意参加磋商，提供采购一览表中要求的所有产品，并证实提交的所有资料是准确的和真实的。同时，我代表</w:t>
      </w:r>
      <w:r>
        <w:rPr>
          <w:rFonts w:hint="eastAsia" w:ascii="宋体" w:hAnsi="宋体"/>
          <w:sz w:val="24"/>
          <w:szCs w:val="28"/>
          <w:u w:val="single"/>
        </w:rPr>
        <w:t>（磋商供应商名称）</w:t>
      </w:r>
      <w:r>
        <w:rPr>
          <w:rFonts w:hint="eastAsia" w:ascii="宋体" w:hAnsi="宋体"/>
          <w:sz w:val="24"/>
          <w:szCs w:val="28"/>
        </w:rPr>
        <w:t>，在此作如下承诺：</w:t>
      </w:r>
    </w:p>
    <w:p w14:paraId="047126FE">
      <w:pPr>
        <w:spacing w:line="360" w:lineRule="auto"/>
        <w:ind w:firstLine="480" w:firstLineChars="200"/>
        <w:rPr>
          <w:rFonts w:ascii="宋体" w:hAnsi="宋体"/>
          <w:sz w:val="24"/>
          <w:szCs w:val="28"/>
        </w:rPr>
      </w:pPr>
      <w:r>
        <w:rPr>
          <w:rFonts w:ascii="宋体" w:hAnsi="宋体"/>
          <w:sz w:val="24"/>
          <w:szCs w:val="28"/>
        </w:rPr>
        <w:t>1</w:t>
      </w:r>
      <w:r>
        <w:rPr>
          <w:rFonts w:hint="eastAsia" w:ascii="宋体" w:hAnsi="宋体"/>
          <w:sz w:val="24"/>
          <w:szCs w:val="28"/>
        </w:rPr>
        <w:t>、完全理解和接受磋商文件的一切规定和要求；</w:t>
      </w:r>
    </w:p>
    <w:p w14:paraId="0B278781">
      <w:pPr>
        <w:spacing w:line="360" w:lineRule="auto"/>
        <w:ind w:firstLine="480" w:firstLineChars="200"/>
        <w:rPr>
          <w:rFonts w:ascii="宋体" w:hAnsi="宋体"/>
          <w:sz w:val="24"/>
          <w:szCs w:val="28"/>
        </w:rPr>
      </w:pPr>
      <w:r>
        <w:rPr>
          <w:rFonts w:ascii="宋体" w:hAnsi="宋体"/>
          <w:sz w:val="24"/>
          <w:szCs w:val="28"/>
        </w:rPr>
        <w:t>2</w:t>
      </w:r>
      <w:r>
        <w:rPr>
          <w:rFonts w:hint="eastAsia" w:ascii="宋体" w:hAnsi="宋体"/>
          <w:sz w:val="24"/>
          <w:szCs w:val="28"/>
        </w:rPr>
        <w:t>、若中标，我方将按照磋商文件的具体规定与采购单位签订合同，并且严格履行合同义务，按时交货，提供优质的产品和服务。如果在合同执行过程中，发现质量出现问题，我方一定尽快更换或保修，并承担相应的经济责任；</w:t>
      </w:r>
    </w:p>
    <w:p w14:paraId="50ADC220">
      <w:pPr>
        <w:spacing w:line="360" w:lineRule="auto"/>
        <w:ind w:firstLine="480" w:firstLineChars="200"/>
        <w:rPr>
          <w:rFonts w:ascii="宋体" w:hAnsi="宋体"/>
          <w:sz w:val="24"/>
          <w:szCs w:val="28"/>
        </w:rPr>
      </w:pPr>
      <w:r>
        <w:rPr>
          <w:rFonts w:ascii="宋体" w:hAnsi="宋体"/>
          <w:sz w:val="24"/>
          <w:szCs w:val="28"/>
        </w:rPr>
        <w:t>3</w:t>
      </w:r>
      <w:r>
        <w:rPr>
          <w:rFonts w:hint="eastAsia" w:ascii="宋体" w:hAnsi="宋体"/>
          <w:sz w:val="24"/>
          <w:szCs w:val="28"/>
        </w:rPr>
        <w:t>、在整个磋商过程中我方若有违规行为，贵方可按磋商文件之规定给予惩罚，我方完全接受。</w:t>
      </w:r>
    </w:p>
    <w:p w14:paraId="5FDC7EA2">
      <w:pPr>
        <w:spacing w:line="360" w:lineRule="auto"/>
        <w:ind w:firstLine="480" w:firstLineChars="200"/>
        <w:rPr>
          <w:rFonts w:ascii="宋体" w:hAnsi="宋体"/>
          <w:sz w:val="24"/>
          <w:szCs w:val="28"/>
        </w:rPr>
      </w:pPr>
      <w:r>
        <w:rPr>
          <w:rFonts w:ascii="宋体" w:hAnsi="宋体"/>
          <w:sz w:val="24"/>
          <w:szCs w:val="28"/>
        </w:rPr>
        <w:t>4</w:t>
      </w:r>
      <w:r>
        <w:rPr>
          <w:rFonts w:hint="eastAsia" w:ascii="宋体" w:hAnsi="宋体"/>
          <w:sz w:val="24"/>
          <w:szCs w:val="28"/>
        </w:rPr>
        <w:t>、若中标，本承诺将成为合同不可分割的一部分，与合同具有同等的法律效力。</w:t>
      </w:r>
    </w:p>
    <w:p w14:paraId="719040C4">
      <w:pPr>
        <w:tabs>
          <w:tab w:val="left" w:pos="168"/>
        </w:tabs>
        <w:adjustRightInd w:val="0"/>
        <w:spacing w:line="360" w:lineRule="auto"/>
        <w:ind w:firstLine="560" w:firstLineChars="200"/>
        <w:textAlignment w:val="baseline"/>
        <w:rPr>
          <w:rFonts w:ascii="宋体" w:hAnsi="宋体"/>
          <w:bCs/>
          <w:sz w:val="28"/>
          <w:szCs w:val="28"/>
        </w:rPr>
      </w:pPr>
    </w:p>
    <w:p w14:paraId="76F28A48">
      <w:pPr>
        <w:tabs>
          <w:tab w:val="left" w:pos="168"/>
        </w:tabs>
        <w:adjustRightInd w:val="0"/>
        <w:spacing w:line="360" w:lineRule="auto"/>
        <w:ind w:firstLine="560" w:firstLineChars="200"/>
        <w:textAlignment w:val="baseline"/>
        <w:rPr>
          <w:rFonts w:ascii="宋体" w:hAnsi="宋体"/>
          <w:bCs/>
          <w:sz w:val="28"/>
          <w:szCs w:val="28"/>
        </w:rPr>
      </w:pPr>
    </w:p>
    <w:p w14:paraId="63674410">
      <w:pPr>
        <w:tabs>
          <w:tab w:val="left" w:pos="168"/>
        </w:tabs>
        <w:adjustRightInd w:val="0"/>
        <w:spacing w:line="360" w:lineRule="auto"/>
        <w:ind w:firstLine="560" w:firstLineChars="200"/>
        <w:textAlignment w:val="baseline"/>
        <w:rPr>
          <w:rFonts w:ascii="宋体" w:hAnsi="宋体"/>
          <w:bCs/>
          <w:sz w:val="28"/>
          <w:szCs w:val="28"/>
        </w:rPr>
      </w:pPr>
    </w:p>
    <w:p w14:paraId="404DD284">
      <w:pPr>
        <w:tabs>
          <w:tab w:val="left" w:pos="168"/>
        </w:tabs>
        <w:adjustRightInd w:val="0"/>
        <w:spacing w:line="360" w:lineRule="auto"/>
        <w:ind w:firstLine="560" w:firstLineChars="200"/>
        <w:textAlignment w:val="baseline"/>
        <w:rPr>
          <w:rFonts w:ascii="宋体" w:hAnsi="宋体"/>
          <w:bCs/>
          <w:sz w:val="28"/>
          <w:szCs w:val="28"/>
        </w:rPr>
      </w:pPr>
    </w:p>
    <w:p w14:paraId="1C5E26ED">
      <w:pPr>
        <w:tabs>
          <w:tab w:val="left" w:pos="168"/>
        </w:tabs>
        <w:adjustRightInd w:val="0"/>
        <w:spacing w:line="360" w:lineRule="auto"/>
        <w:ind w:firstLine="560" w:firstLineChars="200"/>
        <w:textAlignment w:val="baseline"/>
        <w:rPr>
          <w:rFonts w:ascii="宋体" w:hAnsi="宋体"/>
          <w:bCs/>
          <w:sz w:val="28"/>
          <w:szCs w:val="28"/>
        </w:rPr>
      </w:pPr>
    </w:p>
    <w:p w14:paraId="7250582B">
      <w:pPr>
        <w:tabs>
          <w:tab w:val="left" w:pos="168"/>
        </w:tabs>
        <w:adjustRightInd w:val="0"/>
        <w:spacing w:line="360" w:lineRule="auto"/>
        <w:ind w:firstLine="560" w:firstLineChars="200"/>
        <w:textAlignment w:val="baseline"/>
        <w:rPr>
          <w:rFonts w:ascii="宋体" w:hAnsi="宋体"/>
          <w:bCs/>
          <w:sz w:val="28"/>
          <w:szCs w:val="28"/>
        </w:rPr>
      </w:pPr>
    </w:p>
    <w:p w14:paraId="0CD464D9">
      <w:pPr>
        <w:tabs>
          <w:tab w:val="left" w:pos="168"/>
        </w:tabs>
        <w:adjustRightInd w:val="0"/>
        <w:spacing w:line="360" w:lineRule="auto"/>
        <w:ind w:firstLine="560" w:firstLineChars="200"/>
        <w:textAlignment w:val="baseline"/>
        <w:rPr>
          <w:rFonts w:ascii="宋体" w:hAnsi="宋体"/>
          <w:bCs/>
          <w:sz w:val="28"/>
          <w:szCs w:val="28"/>
        </w:rPr>
      </w:pPr>
    </w:p>
    <w:p w14:paraId="009C0D4F">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（公章）</w:t>
      </w:r>
    </w:p>
    <w:p w14:paraId="4CCE8E2D">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0A0E8492">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200E94CC">
      <w:pPr>
        <w:pStyle w:val="4"/>
        <w:numPr>
          <w:ilvl w:val="0"/>
          <w:numId w:val="0"/>
        </w:numPr>
        <w:ind w:left="709" w:hanging="709"/>
        <w:rPr>
          <w:rFonts w:hAnsi="宋体"/>
          <w:lang w:val="zh-CN"/>
        </w:rPr>
      </w:pPr>
      <w:r>
        <w:rPr>
          <w:rFonts w:hAnsi="宋体"/>
          <w:bCs/>
          <w:sz w:val="24"/>
        </w:rPr>
        <w:br w:type="page"/>
      </w:r>
      <w:bookmarkStart w:id="198" w:name="_Toc1575338"/>
      <w:r>
        <w:rPr>
          <w:rFonts w:hint="eastAsia" w:hAnsi="宋体"/>
          <w:b/>
          <w:sz w:val="32"/>
          <w:lang w:val="zh-CN"/>
        </w:rPr>
        <w:t>格式5、供应商诚信承诺书</w:t>
      </w:r>
      <w:bookmarkEnd w:id="198"/>
    </w:p>
    <w:p w14:paraId="1BB37D6E">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供应商诚信承诺书</w:t>
      </w:r>
    </w:p>
    <w:p w14:paraId="619581C7">
      <w:pPr>
        <w:autoSpaceDE w:val="0"/>
        <w:autoSpaceDN w:val="0"/>
        <w:adjustRightInd w:val="0"/>
        <w:spacing w:line="360" w:lineRule="auto"/>
        <w:rPr>
          <w:rFonts w:ascii="宋体" w:hAnsi="宋体" w:cs="宋体"/>
          <w:kern w:val="0"/>
          <w:sz w:val="24"/>
          <w:lang w:val="zh-CN"/>
        </w:rPr>
      </w:pPr>
    </w:p>
    <w:p w14:paraId="44407719">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致：青海丰研工程咨询有限公司</w:t>
      </w:r>
    </w:p>
    <w:p w14:paraId="448AEC95">
      <w:pPr>
        <w:autoSpaceDE w:val="0"/>
        <w:autoSpaceDN w:val="0"/>
        <w:adjustRightInd w:val="0"/>
        <w:spacing w:line="360" w:lineRule="auto"/>
        <w:rPr>
          <w:rFonts w:ascii="宋体" w:hAnsi="宋体" w:cs="宋体"/>
          <w:kern w:val="0"/>
          <w:sz w:val="24"/>
          <w:lang w:val="zh-CN"/>
        </w:rPr>
      </w:pPr>
    </w:p>
    <w:p w14:paraId="262BCA50">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为了诚实、客观、有序地参与青海省</w:t>
      </w:r>
      <w:r>
        <w:rPr>
          <w:rFonts w:hint="eastAsia" w:ascii="宋体" w:hAnsi="宋体" w:cs="宋体"/>
          <w:kern w:val="0"/>
          <w:sz w:val="24"/>
          <w:lang w:val="en-US" w:eastAsia="zh-CN"/>
        </w:rPr>
        <w:t>西宁市湟中区</w:t>
      </w:r>
      <w:r>
        <w:rPr>
          <w:rFonts w:hint="eastAsia" w:ascii="宋体" w:hAnsi="宋体" w:cs="宋体"/>
          <w:kern w:val="0"/>
          <w:sz w:val="24"/>
          <w:lang w:val="zh-CN"/>
        </w:rPr>
        <w:t>政府采购活动，愿就以下内容做出承诺：</w:t>
      </w:r>
    </w:p>
    <w:p w14:paraId="4081909D">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一、自觉遵守各项法律、法规、规章、制度以及社会公德，维护廉洁环境，与同场竞争的供应商平等参加政府采购活动。</w:t>
      </w:r>
    </w:p>
    <w:p w14:paraId="6C3E9E6E">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二、参加采购代理机构组织的政府采购活动时，严格按照磋商文件的规定和要求提供所需的相关材料，并对所提供的各类资料的真实性负责，不虚假应标，不虚列业绩。</w:t>
      </w:r>
    </w:p>
    <w:p w14:paraId="0DA75FE0">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三、尊重参与政府采购活动各相关方的合法行为，接受政府采购活动依法形成的意见、结果。</w:t>
      </w:r>
    </w:p>
    <w:p w14:paraId="2437FC3C">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四、依法参加政府采购活动，不围标、串标，维护市场秩序，不提供“三无”产品、以次充好。</w:t>
      </w:r>
    </w:p>
    <w:p w14:paraId="256BD152">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531BE098">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六、认真履行中标人应承担的责任和义务，全面执行采购合同规定的各项内容，保质保量地按时提供采购物品。</w:t>
      </w:r>
    </w:p>
    <w:p w14:paraId="4562D503">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若本企业（单位）发生有悖于上述承诺的行为，愿意接受《中华人民共和国政府采购法》和《政府采购法实施条例》中对供应商的相关处理。</w:t>
      </w:r>
    </w:p>
    <w:p w14:paraId="3BA2EA51">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本承诺是采购项目磋商响应文件的组成部分。</w:t>
      </w:r>
    </w:p>
    <w:p w14:paraId="368BC0DF">
      <w:pPr>
        <w:autoSpaceDE w:val="0"/>
        <w:autoSpaceDN w:val="0"/>
        <w:adjustRightInd w:val="0"/>
        <w:spacing w:line="360" w:lineRule="auto"/>
        <w:rPr>
          <w:rFonts w:ascii="宋体" w:hAnsi="宋体" w:cs="宋体"/>
          <w:kern w:val="0"/>
          <w:sz w:val="24"/>
          <w:lang w:val="zh-CN"/>
        </w:rPr>
      </w:pPr>
    </w:p>
    <w:p w14:paraId="61C9EC70">
      <w:pPr>
        <w:autoSpaceDE w:val="0"/>
        <w:autoSpaceDN w:val="0"/>
        <w:adjustRightInd w:val="0"/>
        <w:spacing w:line="360" w:lineRule="auto"/>
        <w:rPr>
          <w:rFonts w:ascii="宋体" w:hAnsi="宋体" w:cs="宋体"/>
          <w:kern w:val="0"/>
          <w:sz w:val="24"/>
          <w:lang w:val="zh-CN"/>
        </w:rPr>
      </w:pPr>
    </w:p>
    <w:p w14:paraId="4FBEF0EE">
      <w:pPr>
        <w:tabs>
          <w:tab w:val="left" w:pos="168"/>
        </w:tabs>
        <w:adjustRightInd w:val="0"/>
        <w:spacing w:line="360" w:lineRule="auto"/>
        <w:textAlignment w:val="baseline"/>
        <w:rPr>
          <w:rFonts w:ascii="宋体" w:hAnsi="宋体"/>
          <w:bCs/>
          <w:sz w:val="28"/>
          <w:szCs w:val="28"/>
        </w:rPr>
      </w:pPr>
      <w:bookmarkStart w:id="199" w:name="_Toc444715739"/>
      <w:bookmarkStart w:id="200" w:name="_Toc17097"/>
    </w:p>
    <w:p w14:paraId="7E652CDC">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（公章）</w:t>
      </w:r>
    </w:p>
    <w:p w14:paraId="643A5D51">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30F884DC">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1C44A6F9">
      <w:pPr>
        <w:pStyle w:val="4"/>
        <w:numPr>
          <w:ilvl w:val="0"/>
          <w:numId w:val="0"/>
        </w:numPr>
        <w:ind w:left="709" w:hanging="709"/>
        <w:rPr>
          <w:rFonts w:hAnsi="宋体" w:cs="宋体"/>
          <w:lang w:val="zh-CN"/>
        </w:rPr>
      </w:pPr>
      <w:r>
        <w:rPr>
          <w:rFonts w:hAnsi="宋体"/>
          <w:bCs/>
          <w:sz w:val="24"/>
        </w:rPr>
        <w:br w:type="page"/>
      </w:r>
      <w:bookmarkStart w:id="201" w:name="_Toc1575339"/>
      <w:r>
        <w:rPr>
          <w:rFonts w:hint="eastAsia" w:hAnsi="宋体"/>
          <w:b/>
          <w:sz w:val="32"/>
          <w:lang w:val="zh-CN"/>
        </w:rPr>
        <w:t>格式6、资格证明材料</w:t>
      </w:r>
      <w:bookmarkEnd w:id="199"/>
      <w:bookmarkEnd w:id="200"/>
      <w:bookmarkEnd w:id="201"/>
    </w:p>
    <w:p w14:paraId="4E10BC21">
      <w:pPr>
        <w:spacing w:line="360" w:lineRule="auto"/>
        <w:rPr>
          <w:rFonts w:ascii="宋体" w:hAnsi="宋体"/>
          <w:lang w:val="zh-CN"/>
        </w:rPr>
      </w:pPr>
    </w:p>
    <w:p w14:paraId="66DA76E2">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资格证明材料</w:t>
      </w:r>
    </w:p>
    <w:p w14:paraId="3CAE0AF2">
      <w:pPr>
        <w:spacing w:line="360" w:lineRule="auto"/>
        <w:ind w:firstLine="424" w:firstLineChars="177"/>
        <w:rPr>
          <w:rFonts w:ascii="宋体" w:hAnsi="宋体" w:cs="Arial"/>
          <w:sz w:val="24"/>
        </w:rPr>
      </w:pPr>
      <w:r>
        <w:rPr>
          <w:rFonts w:ascii="宋体" w:hAnsi="宋体" w:cs="Arial"/>
          <w:sz w:val="24"/>
        </w:rPr>
        <w:t>资格证明材料包括：</w:t>
      </w:r>
    </w:p>
    <w:p w14:paraId="6E64D61A">
      <w:pPr>
        <w:spacing w:line="360" w:lineRule="auto"/>
        <w:rPr>
          <w:rFonts w:ascii="宋体" w:hAnsi="宋体" w:cs="Arial"/>
          <w:sz w:val="24"/>
        </w:rPr>
      </w:pPr>
      <w:r>
        <w:rPr>
          <w:rFonts w:ascii="宋体" w:hAnsi="宋体" w:cs="Arial"/>
          <w:sz w:val="24"/>
        </w:rPr>
        <w:t>（1）单位法人营业执照、税务登记证、组织机构代码证；</w:t>
      </w:r>
    </w:p>
    <w:p w14:paraId="509B05E7">
      <w:pPr>
        <w:spacing w:line="360" w:lineRule="auto"/>
        <w:rPr>
          <w:rFonts w:ascii="宋体" w:hAnsi="宋体" w:cs="Arial"/>
          <w:sz w:val="24"/>
        </w:rPr>
      </w:pPr>
      <w:r>
        <w:rPr>
          <w:rFonts w:ascii="宋体" w:hAnsi="宋体" w:cs="Arial"/>
          <w:sz w:val="24"/>
        </w:rPr>
        <w:t>（2）磋商文件规定的有关资格证书、许可证书、认证等；</w:t>
      </w:r>
    </w:p>
    <w:p w14:paraId="245E23C8">
      <w:pPr>
        <w:spacing w:line="360" w:lineRule="auto"/>
        <w:rPr>
          <w:rFonts w:ascii="宋体" w:hAnsi="宋体" w:cs="Arial"/>
          <w:sz w:val="24"/>
        </w:rPr>
      </w:pPr>
      <w:r>
        <w:rPr>
          <w:rFonts w:ascii="宋体" w:hAnsi="宋体" w:cs="Arial"/>
          <w:sz w:val="24"/>
        </w:rPr>
        <w:t>（3）磋商供应商简介及获得相关证书证明文件；</w:t>
      </w:r>
    </w:p>
    <w:p w14:paraId="011583B3">
      <w:pPr>
        <w:spacing w:line="360" w:lineRule="auto"/>
        <w:rPr>
          <w:rFonts w:ascii="宋体" w:hAnsi="宋体" w:cs="Arial"/>
          <w:sz w:val="24"/>
        </w:rPr>
      </w:pPr>
      <w:r>
        <w:rPr>
          <w:rFonts w:ascii="宋体" w:hAnsi="宋体" w:cs="Arial"/>
          <w:sz w:val="24"/>
        </w:rPr>
        <w:t>（4）磋商供应商认为有必要提供的其他资格证明文件。</w:t>
      </w:r>
    </w:p>
    <w:p w14:paraId="0CC0E91B">
      <w:pPr>
        <w:pStyle w:val="4"/>
        <w:numPr>
          <w:ilvl w:val="0"/>
          <w:numId w:val="0"/>
        </w:numPr>
        <w:ind w:left="709" w:hanging="709"/>
        <w:rPr>
          <w:rFonts w:hAnsi="宋体"/>
          <w:lang w:val="zh-CN"/>
        </w:rPr>
      </w:pPr>
      <w:r>
        <w:rPr>
          <w:rFonts w:hAnsi="宋体" w:cs="宋体"/>
          <w:kern w:val="0"/>
          <w:sz w:val="24"/>
          <w:lang w:val="zh-CN"/>
        </w:rPr>
        <w:br w:type="page"/>
      </w:r>
      <w:bookmarkStart w:id="202" w:name="_Toc1575340"/>
      <w:bookmarkStart w:id="203" w:name="_Toc444715740"/>
      <w:bookmarkStart w:id="204" w:name="_Toc20673"/>
      <w:r>
        <w:rPr>
          <w:rFonts w:hint="eastAsia" w:hAnsi="宋体"/>
          <w:b/>
          <w:sz w:val="32"/>
          <w:lang w:val="zh-CN"/>
        </w:rPr>
        <w:t>格式7、财务状况、缴纳税收和社会保障资金证明</w:t>
      </w:r>
      <w:bookmarkEnd w:id="202"/>
    </w:p>
    <w:p w14:paraId="0718D09B">
      <w:pPr>
        <w:spacing w:line="360" w:lineRule="auto"/>
        <w:rPr>
          <w:rFonts w:ascii="宋体" w:hAnsi="宋体"/>
          <w:lang w:val="zh-CN"/>
        </w:rPr>
      </w:pPr>
    </w:p>
    <w:p w14:paraId="2924A540">
      <w:pPr>
        <w:autoSpaceDE w:val="0"/>
        <w:autoSpaceDN w:val="0"/>
        <w:adjustRightInd w:val="0"/>
        <w:spacing w:line="360" w:lineRule="auto"/>
        <w:jc w:val="center"/>
        <w:rPr>
          <w:rFonts w:ascii="宋体" w:hAnsi="宋体" w:cs="宋体"/>
          <w:b/>
          <w:bCs/>
          <w:kern w:val="0"/>
          <w:sz w:val="30"/>
          <w:szCs w:val="30"/>
          <w:lang w:val="zh-CN"/>
        </w:rPr>
      </w:pPr>
      <w:r>
        <w:rPr>
          <w:rFonts w:ascii="宋体" w:hAnsi="宋体" w:cs="宋体"/>
          <w:b/>
          <w:bCs/>
          <w:kern w:val="0"/>
          <w:sz w:val="30"/>
          <w:szCs w:val="30"/>
          <w:lang w:val="zh-CN"/>
        </w:rPr>
        <w:t>财务状况、缴纳税收和社会保障资金证明</w:t>
      </w:r>
    </w:p>
    <w:p w14:paraId="44DE0601">
      <w:pPr>
        <w:autoSpaceDE w:val="0"/>
        <w:autoSpaceDN w:val="0"/>
        <w:spacing w:line="360" w:lineRule="auto"/>
        <w:rPr>
          <w:rFonts w:ascii="宋体" w:hAnsi="宋体" w:cs="Arial"/>
          <w:sz w:val="24"/>
          <w:lang w:val="zh-CN"/>
        </w:rPr>
      </w:pPr>
    </w:p>
    <w:p w14:paraId="71B1F3DC">
      <w:pPr>
        <w:spacing w:line="360" w:lineRule="auto"/>
        <w:ind w:firstLine="480" w:firstLineChars="200"/>
        <w:rPr>
          <w:rFonts w:ascii="宋体" w:hAnsi="宋体" w:cs="宋体"/>
          <w:sz w:val="24"/>
        </w:rPr>
      </w:pPr>
      <w:r>
        <w:rPr>
          <w:rFonts w:ascii="宋体" w:hAnsi="宋体" w:cs="宋体"/>
          <w:sz w:val="24"/>
        </w:rPr>
        <w:t>按照磋商文件第2.2款（1）中规定提供以下相关材料。</w:t>
      </w:r>
    </w:p>
    <w:p w14:paraId="7F9E6C7E">
      <w:pPr>
        <w:pStyle w:val="59"/>
        <w:numPr>
          <w:ilvl w:val="1"/>
          <w:numId w:val="20"/>
        </w:numPr>
        <w:spacing w:line="360" w:lineRule="auto"/>
        <w:ind w:left="851" w:hanging="360" w:firstLineChars="0"/>
        <w:rPr>
          <w:rFonts w:ascii="宋体" w:hAnsi="宋体" w:cs="宋体"/>
          <w:kern w:val="0"/>
          <w:sz w:val="24"/>
          <w:lang w:val="zh-CN"/>
        </w:rPr>
      </w:pPr>
      <w:r>
        <w:rPr>
          <w:rFonts w:hint="eastAsia" w:ascii="宋体" w:hAnsi="宋体" w:cs="宋体"/>
          <w:kern w:val="0"/>
          <w:sz w:val="24"/>
          <w:highlight w:val="none"/>
          <w:lang w:val="zh-CN"/>
        </w:rPr>
        <w:t>投标人是法人的，提供基本</w:t>
      </w:r>
      <w:r>
        <w:rPr>
          <w:rFonts w:hint="eastAsia" w:ascii="宋体" w:hAnsi="宋体" w:cs="宋体"/>
          <w:kern w:val="0"/>
          <w:sz w:val="24"/>
          <w:lang w:val="zh-CN"/>
        </w:rPr>
        <w:t>开户银行近三个月内出具的资信证明（同时提供基本存款账户开户许可证）或（</w:t>
      </w:r>
      <w:r>
        <w:rPr>
          <w:rFonts w:hint="eastAsia" w:ascii="宋体" w:hAnsi="宋体" w:cs="宋体"/>
          <w:kern w:val="0"/>
          <w:sz w:val="24"/>
          <w:lang w:val="en-US" w:eastAsia="zh-CN"/>
        </w:rPr>
        <w:t>2023年或2024年</w:t>
      </w:r>
      <w:r>
        <w:rPr>
          <w:rFonts w:hint="eastAsia" w:ascii="宋体" w:hAnsi="宋体" w:cs="宋体"/>
          <w:kern w:val="0"/>
          <w:sz w:val="24"/>
          <w:lang w:val="zh-CN"/>
        </w:rPr>
        <w:t>）经第三方审计的</w:t>
      </w:r>
      <w:r>
        <w:rPr>
          <w:rFonts w:hint="eastAsia" w:ascii="宋体" w:hAnsi="宋体" w:cs="宋体"/>
          <w:kern w:val="0"/>
          <w:sz w:val="24"/>
        </w:rPr>
        <w:t>完整</w:t>
      </w:r>
      <w:r>
        <w:rPr>
          <w:rFonts w:hint="eastAsia" w:ascii="宋体" w:hAnsi="宋体" w:cs="宋体"/>
          <w:kern w:val="0"/>
          <w:sz w:val="24"/>
          <w:lang w:val="zh-CN"/>
        </w:rPr>
        <w:t>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w:t>
      </w:r>
    </w:p>
    <w:p w14:paraId="7188BC08">
      <w:pPr>
        <w:pStyle w:val="59"/>
        <w:numPr>
          <w:ilvl w:val="1"/>
          <w:numId w:val="20"/>
        </w:numPr>
        <w:spacing w:line="360" w:lineRule="auto"/>
        <w:ind w:left="851" w:hanging="360" w:firstLineChars="0"/>
        <w:rPr>
          <w:rFonts w:ascii="宋体" w:hAnsi="宋体" w:cs="宋体"/>
          <w:sz w:val="24"/>
        </w:rPr>
      </w:pPr>
      <w:r>
        <w:rPr>
          <w:rFonts w:hint="eastAsia" w:ascii="宋体" w:hAnsi="宋体" w:cs="宋体"/>
          <w:kern w:val="0"/>
          <w:sz w:val="24"/>
        </w:rPr>
        <w:t>近</w:t>
      </w:r>
      <w:r>
        <w:rPr>
          <w:rFonts w:hint="eastAsia" w:ascii="宋体" w:hAnsi="宋体" w:cs="宋体"/>
          <w:kern w:val="0"/>
          <w:sz w:val="24"/>
          <w:lang w:val="en-US" w:eastAsia="zh-CN"/>
        </w:rPr>
        <w:t>半年内任意</w:t>
      </w:r>
      <w:r>
        <w:rPr>
          <w:rFonts w:hint="eastAsia" w:ascii="宋体" w:hAnsi="宋体" w:cs="宋体"/>
          <w:kern w:val="0"/>
          <w:sz w:val="24"/>
        </w:rPr>
        <w:t>三个月的</w:t>
      </w:r>
      <w:r>
        <w:rPr>
          <w:rFonts w:hint="eastAsia" w:ascii="宋体" w:hAnsi="宋体" w:cs="宋体"/>
          <w:kern w:val="0"/>
          <w:sz w:val="24"/>
          <w:lang w:val="zh-CN"/>
        </w:rPr>
        <w:t>依法缴纳税收和社会保障资金记录的证明材料；依法免税或不需要缴纳社会保障资金的投标人须提供相应文件证明其依法免税或不需要缴纳社会保障资金。</w:t>
      </w:r>
    </w:p>
    <w:p w14:paraId="05B39417">
      <w:pPr>
        <w:pStyle w:val="4"/>
        <w:numPr>
          <w:ilvl w:val="0"/>
          <w:numId w:val="0"/>
        </w:numPr>
        <w:ind w:left="709" w:hanging="709"/>
        <w:rPr>
          <w:rFonts w:hAnsi="宋体"/>
          <w:lang w:val="zh-CN"/>
        </w:rPr>
      </w:pPr>
      <w:r>
        <w:rPr>
          <w:rFonts w:hAnsi="宋体"/>
          <w:b/>
          <w:sz w:val="32"/>
          <w:lang w:val="zh-CN"/>
        </w:rPr>
        <w:br w:type="page"/>
      </w:r>
      <w:bookmarkStart w:id="205" w:name="_Toc1575341"/>
      <w:r>
        <w:rPr>
          <w:rFonts w:hint="eastAsia" w:hAnsi="宋体"/>
          <w:b/>
          <w:sz w:val="32"/>
          <w:lang w:val="zh-CN"/>
        </w:rPr>
        <w:t>格式8、具备履行合同所必须的设备和专业技术能力证明</w:t>
      </w:r>
      <w:bookmarkEnd w:id="205"/>
    </w:p>
    <w:p w14:paraId="4D3E0851">
      <w:pPr>
        <w:autoSpaceDE w:val="0"/>
        <w:autoSpaceDN w:val="0"/>
        <w:adjustRightInd w:val="0"/>
        <w:spacing w:line="360" w:lineRule="auto"/>
        <w:rPr>
          <w:rFonts w:ascii="宋体" w:hAnsi="宋体" w:cs="宋体"/>
          <w:kern w:val="0"/>
          <w:sz w:val="24"/>
          <w:lang w:val="zh-CN"/>
        </w:rPr>
      </w:pPr>
    </w:p>
    <w:p w14:paraId="4524179D">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具备履行合同所必须的设备和专业技术能力证明</w:t>
      </w:r>
    </w:p>
    <w:p w14:paraId="4CD091D1">
      <w:pPr>
        <w:autoSpaceDE w:val="0"/>
        <w:autoSpaceDN w:val="0"/>
        <w:adjustRightInd w:val="0"/>
        <w:spacing w:line="360" w:lineRule="auto"/>
        <w:rPr>
          <w:rFonts w:ascii="宋体" w:hAnsi="宋体" w:cs="宋体"/>
          <w:kern w:val="0"/>
          <w:sz w:val="24"/>
          <w:lang w:val="zh-CN"/>
        </w:rPr>
      </w:pPr>
    </w:p>
    <w:p w14:paraId="36A8ACCE">
      <w:pPr>
        <w:autoSpaceDE w:val="0"/>
        <w:autoSpaceDN w:val="0"/>
        <w:adjustRightInd w:val="0"/>
        <w:spacing w:line="360" w:lineRule="auto"/>
        <w:ind w:firstLine="480"/>
        <w:rPr>
          <w:rFonts w:ascii="宋体" w:hAnsi="宋体" w:cs="宋体"/>
          <w:kern w:val="0"/>
          <w:sz w:val="24"/>
          <w:lang w:val="zh-CN"/>
        </w:rPr>
      </w:pPr>
      <w:r>
        <w:rPr>
          <w:kern w:val="0"/>
          <w:sz w:val="24"/>
          <w:lang w:val="zh-CN"/>
        </w:rPr>
        <w:t>为保证本项目合同的顺利履行，投标人必须具备履行合同的设备和专业技术能力，</w:t>
      </w:r>
      <w:r>
        <w:rPr>
          <w:rFonts w:hint="eastAsia"/>
          <w:kern w:val="0"/>
          <w:sz w:val="24"/>
          <w:lang w:val="zh-CN"/>
        </w:rPr>
        <w:t>须提供履行合同的设备和专业技术能力的承诺函（格式自拟）</w:t>
      </w:r>
      <w:r>
        <w:rPr>
          <w:rFonts w:hint="eastAsia" w:ascii="宋体" w:hAnsi="宋体" w:cs="宋体"/>
          <w:lang w:val="zh-CN"/>
        </w:rPr>
        <w:t>,</w:t>
      </w:r>
      <w:r>
        <w:rPr>
          <w:kern w:val="0"/>
          <w:sz w:val="24"/>
          <w:lang w:val="zh-CN"/>
        </w:rPr>
        <w:t>须提供相关设备的购置发票</w:t>
      </w:r>
      <w:r>
        <w:rPr>
          <w:rFonts w:hint="eastAsia"/>
          <w:kern w:val="0"/>
          <w:sz w:val="24"/>
          <w:lang w:val="en-US" w:eastAsia="zh-CN"/>
        </w:rPr>
        <w:t>或</w:t>
      </w:r>
      <w:r>
        <w:rPr>
          <w:kern w:val="0"/>
          <w:sz w:val="24"/>
          <w:lang w:val="zh-CN"/>
        </w:rPr>
        <w:t>相关人员的职称证书</w:t>
      </w:r>
      <w:r>
        <w:rPr>
          <w:rFonts w:hint="eastAsia"/>
          <w:kern w:val="0"/>
          <w:sz w:val="24"/>
        </w:rPr>
        <w:t>或</w:t>
      </w:r>
      <w:r>
        <w:rPr>
          <w:kern w:val="0"/>
          <w:sz w:val="24"/>
          <w:lang w:val="zh-CN"/>
        </w:rPr>
        <w:t>用工合同等证明材料。</w:t>
      </w:r>
    </w:p>
    <w:p w14:paraId="07622AD9">
      <w:pPr>
        <w:pStyle w:val="4"/>
        <w:numPr>
          <w:ilvl w:val="0"/>
          <w:numId w:val="0"/>
        </w:numPr>
        <w:ind w:left="709" w:hanging="709"/>
        <w:rPr>
          <w:rFonts w:hAnsi="宋体" w:cs="宋体"/>
          <w:lang w:val="zh-CN"/>
        </w:rPr>
      </w:pPr>
      <w:r>
        <w:rPr>
          <w:rFonts w:hAnsi="宋体" w:cs="宋体"/>
          <w:kern w:val="0"/>
          <w:sz w:val="24"/>
          <w:lang w:val="zh-CN"/>
        </w:rPr>
        <w:br w:type="page"/>
      </w:r>
      <w:bookmarkStart w:id="206" w:name="_Toc1575342"/>
      <w:r>
        <w:rPr>
          <w:rFonts w:hint="eastAsia" w:hAnsi="宋体"/>
          <w:b/>
          <w:sz w:val="32"/>
          <w:lang w:val="zh-CN"/>
        </w:rPr>
        <w:t>格式</w:t>
      </w:r>
      <w:bookmarkEnd w:id="203"/>
      <w:bookmarkEnd w:id="204"/>
      <w:r>
        <w:rPr>
          <w:rFonts w:hint="eastAsia" w:hAnsi="宋体"/>
          <w:b/>
          <w:sz w:val="32"/>
          <w:lang w:val="zh-CN"/>
        </w:rPr>
        <w:t>9、磋商保证金证明</w:t>
      </w:r>
      <w:bookmarkEnd w:id="206"/>
    </w:p>
    <w:p w14:paraId="6E32E05D">
      <w:pPr>
        <w:spacing w:line="360" w:lineRule="auto"/>
        <w:rPr>
          <w:rFonts w:ascii="宋体" w:hAnsi="宋体" w:cs="宋体"/>
          <w:lang w:val="zh-CN"/>
        </w:rPr>
      </w:pPr>
    </w:p>
    <w:p w14:paraId="4305722B">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磋商保证金证明</w:t>
      </w:r>
    </w:p>
    <w:p w14:paraId="5F08FCBB">
      <w:pPr>
        <w:autoSpaceDE w:val="0"/>
        <w:autoSpaceDN w:val="0"/>
        <w:adjustRightInd w:val="0"/>
        <w:spacing w:line="360" w:lineRule="auto"/>
        <w:rPr>
          <w:rFonts w:ascii="宋体" w:hAnsi="宋体" w:cs="宋体"/>
          <w:b/>
          <w:bCs/>
          <w:kern w:val="0"/>
          <w:sz w:val="28"/>
          <w:szCs w:val="28"/>
          <w:lang w:val="zh-CN"/>
        </w:rPr>
      </w:pPr>
      <w:bookmarkStart w:id="207" w:name="_Toc325726048"/>
      <w:bookmarkEnd w:id="207"/>
    </w:p>
    <w:p w14:paraId="257694CB">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8"/>
          <w:szCs w:val="28"/>
          <w:lang w:val="zh-CN"/>
        </w:rPr>
        <w:t>致：青海丰研工程咨询有限公司</w:t>
      </w:r>
    </w:p>
    <w:p w14:paraId="22797D1B">
      <w:pPr>
        <w:autoSpaceDE w:val="0"/>
        <w:autoSpaceDN w:val="0"/>
        <w:adjustRightInd w:val="0"/>
        <w:spacing w:line="360" w:lineRule="auto"/>
        <w:rPr>
          <w:rFonts w:ascii="宋体" w:hAnsi="宋体" w:cs="宋体"/>
          <w:b/>
          <w:bCs/>
          <w:kern w:val="0"/>
          <w:sz w:val="24"/>
          <w:lang w:val="zh-CN"/>
        </w:rPr>
      </w:pPr>
    </w:p>
    <w:p w14:paraId="2D30A418">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我方为（项目名称：</w:t>
      </w:r>
      <w:r>
        <w:rPr>
          <w:rFonts w:hint="eastAsia" w:ascii="宋体" w:hAnsi="宋体" w:cs="宋体"/>
          <w:kern w:val="0"/>
          <w:sz w:val="24"/>
          <w:u w:val="single"/>
          <w:lang w:val="zh-CN"/>
        </w:rPr>
        <w:t xml:space="preserve">                  </w:t>
      </w:r>
      <w:r>
        <w:rPr>
          <w:rFonts w:hint="eastAsia" w:ascii="宋体" w:hAnsi="宋体" w:cs="宋体"/>
          <w:kern w:val="0"/>
          <w:sz w:val="24"/>
          <w:lang w:val="zh-CN"/>
        </w:rPr>
        <w:t>）项目（采购编号为：</w:t>
      </w:r>
      <w:r>
        <w:rPr>
          <w:rFonts w:hint="eastAsia" w:ascii="宋体" w:hAnsi="宋体" w:cs="宋体"/>
          <w:kern w:val="0"/>
          <w:sz w:val="24"/>
          <w:u w:val="single"/>
          <w:lang w:val="zh-CN"/>
        </w:rPr>
        <w:t xml:space="preserve">                 </w:t>
      </w:r>
      <w:r>
        <w:rPr>
          <w:rFonts w:hint="eastAsia" w:ascii="宋体" w:hAnsi="宋体" w:cs="宋体"/>
          <w:kern w:val="0"/>
          <w:sz w:val="24"/>
          <w:lang w:val="zh-CN"/>
        </w:rPr>
        <w:t>）递交保证金人民币</w:t>
      </w:r>
      <w:r>
        <w:rPr>
          <w:rFonts w:hint="eastAsia" w:ascii="宋体" w:hAnsi="宋体" w:cs="宋体"/>
          <w:kern w:val="0"/>
          <w:sz w:val="24"/>
          <w:u w:val="single"/>
        </w:rPr>
        <w:t xml:space="preserve">         </w:t>
      </w:r>
      <w:r>
        <w:rPr>
          <w:rFonts w:hint="eastAsia" w:ascii="宋体" w:hAnsi="宋体" w:cs="宋体"/>
          <w:kern w:val="0"/>
          <w:sz w:val="24"/>
          <w:lang w:val="zh-CN"/>
        </w:rPr>
        <w:t>（大写：</w:t>
      </w:r>
      <w:r>
        <w:rPr>
          <w:rFonts w:hint="eastAsia" w:ascii="宋体" w:hAnsi="宋体" w:cs="宋体"/>
          <w:kern w:val="0"/>
          <w:sz w:val="24"/>
          <w:u w:val="single"/>
          <w:lang w:val="zh-CN"/>
        </w:rPr>
        <w:t xml:space="preserve">         </w:t>
      </w:r>
      <w:r>
        <w:rPr>
          <w:rFonts w:hint="eastAsia" w:ascii="宋体" w:hAnsi="宋体" w:cs="宋体"/>
          <w:kern w:val="0"/>
          <w:sz w:val="24"/>
          <w:lang w:val="zh-CN"/>
        </w:rPr>
        <w:t>元）已于</w:t>
      </w:r>
      <w:r>
        <w:rPr>
          <w:rFonts w:hint="eastAsia" w:ascii="宋体" w:hAnsi="宋体" w:cs="宋体"/>
          <w:kern w:val="0"/>
          <w:sz w:val="24"/>
          <w:u w:val="single"/>
        </w:rPr>
        <w:t xml:space="preserve">   </w:t>
      </w:r>
      <w:r>
        <w:rPr>
          <w:rFonts w:hint="eastAsia" w:ascii="宋体" w:hAnsi="宋体" w:cs="宋体"/>
          <w:kern w:val="0"/>
          <w:sz w:val="24"/>
          <w:lang w:val="zh-CN"/>
        </w:rPr>
        <w:t>年</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日以基本户转账方式汇入你方账户。</w:t>
      </w:r>
    </w:p>
    <w:p w14:paraId="4EE8334F">
      <w:pPr>
        <w:autoSpaceDE w:val="0"/>
        <w:autoSpaceDN w:val="0"/>
        <w:adjustRightInd w:val="0"/>
        <w:spacing w:line="360" w:lineRule="auto"/>
        <w:ind w:firstLine="360"/>
        <w:rPr>
          <w:rFonts w:ascii="宋体" w:hAnsi="宋体" w:cs="宋体"/>
          <w:bCs/>
          <w:kern w:val="0"/>
          <w:sz w:val="24"/>
          <w:lang w:val="zh-CN"/>
        </w:rPr>
      </w:pPr>
      <w:r>
        <w:rPr>
          <w:rFonts w:hint="eastAsia" w:ascii="宋体" w:hAnsi="宋体" w:cs="宋体"/>
          <w:bCs/>
          <w:kern w:val="0"/>
          <w:sz w:val="24"/>
          <w:lang w:val="zh-CN"/>
        </w:rPr>
        <w:t>附件：保证金交款证明及开户许可证复印件（加盖磋商供应商公章）</w:t>
      </w:r>
    </w:p>
    <w:p w14:paraId="659F242E">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14753BC4">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户    名：</w:t>
      </w:r>
    </w:p>
    <w:p w14:paraId="3C48242F">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开户银行：</w:t>
      </w:r>
    </w:p>
    <w:p w14:paraId="7A4BD326">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开户帐号：</w:t>
      </w:r>
    </w:p>
    <w:p w14:paraId="076F0E31">
      <w:pPr>
        <w:autoSpaceDE w:val="0"/>
        <w:autoSpaceDN w:val="0"/>
        <w:adjustRightInd w:val="0"/>
        <w:spacing w:line="360" w:lineRule="auto"/>
        <w:rPr>
          <w:rFonts w:ascii="宋体" w:hAnsi="宋体" w:cs="宋体"/>
          <w:kern w:val="0"/>
          <w:sz w:val="24"/>
          <w:lang w:val="zh-CN"/>
        </w:rPr>
      </w:pPr>
    </w:p>
    <w:p w14:paraId="2E9A1E0B">
      <w:pPr>
        <w:autoSpaceDE w:val="0"/>
        <w:autoSpaceDN w:val="0"/>
        <w:adjustRightInd w:val="0"/>
        <w:spacing w:line="360" w:lineRule="auto"/>
        <w:rPr>
          <w:rFonts w:ascii="宋体" w:hAnsi="宋体" w:cs="宋体"/>
          <w:kern w:val="0"/>
          <w:sz w:val="24"/>
          <w:highlight w:val="none"/>
          <w:lang w:val="zh-CN"/>
        </w:rPr>
      </w:pPr>
    </w:p>
    <w:p w14:paraId="44E36E1D">
      <w:pPr>
        <w:autoSpaceDE w:val="0"/>
        <w:autoSpaceDN w:val="0"/>
        <w:adjustRightInd w:val="0"/>
        <w:spacing w:line="360" w:lineRule="auto"/>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注：本项目不收取磋商保证金，可不提供此函。</w:t>
      </w:r>
    </w:p>
    <w:p w14:paraId="0C999C22">
      <w:pPr>
        <w:autoSpaceDE w:val="0"/>
        <w:autoSpaceDN w:val="0"/>
        <w:adjustRightInd w:val="0"/>
        <w:spacing w:line="360" w:lineRule="auto"/>
        <w:rPr>
          <w:rFonts w:ascii="宋体" w:hAnsi="宋体" w:cs="宋体"/>
          <w:kern w:val="0"/>
          <w:sz w:val="24"/>
          <w:lang w:val="zh-CN"/>
        </w:rPr>
      </w:pPr>
    </w:p>
    <w:p w14:paraId="48CCF9B1">
      <w:pPr>
        <w:autoSpaceDE w:val="0"/>
        <w:autoSpaceDN w:val="0"/>
        <w:adjustRightInd w:val="0"/>
        <w:spacing w:line="360" w:lineRule="auto"/>
        <w:rPr>
          <w:rFonts w:ascii="宋体" w:hAnsi="宋体" w:cs="宋体"/>
          <w:kern w:val="0"/>
          <w:sz w:val="24"/>
          <w:lang w:val="zh-CN"/>
        </w:rPr>
      </w:pPr>
    </w:p>
    <w:p w14:paraId="10DA0344">
      <w:pPr>
        <w:autoSpaceDE w:val="0"/>
        <w:autoSpaceDN w:val="0"/>
        <w:adjustRightInd w:val="0"/>
        <w:spacing w:line="360" w:lineRule="auto"/>
        <w:rPr>
          <w:rFonts w:ascii="宋体" w:hAnsi="宋体" w:cs="宋体"/>
          <w:kern w:val="0"/>
          <w:sz w:val="24"/>
          <w:lang w:val="zh-CN"/>
        </w:rPr>
      </w:pPr>
    </w:p>
    <w:p w14:paraId="04300D43">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（公章）</w:t>
      </w:r>
    </w:p>
    <w:p w14:paraId="1F523A8F">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5E1CBB20">
      <w:pPr>
        <w:tabs>
          <w:tab w:val="left" w:pos="168"/>
        </w:tabs>
        <w:adjustRightInd w:val="0"/>
        <w:spacing w:line="360" w:lineRule="auto"/>
        <w:ind w:firstLine="6480" w:firstLineChars="2700"/>
        <w:textAlignment w:val="baseline"/>
        <w:rPr>
          <w:rFonts w:ascii="宋体" w:hAnsi="宋体"/>
          <w:bCs/>
          <w:sz w:val="24"/>
          <w:szCs w:val="28"/>
        </w:rPr>
      </w:pPr>
      <w:r>
        <w:rPr>
          <w:rFonts w:hint="eastAsia" w:ascii="宋体" w:hAnsi="宋体"/>
          <w:bCs/>
          <w:sz w:val="24"/>
          <w:szCs w:val="28"/>
        </w:rPr>
        <w:t>日期：    年   月   日</w:t>
      </w:r>
    </w:p>
    <w:p w14:paraId="21CE4481">
      <w:pPr>
        <w:spacing w:line="360" w:lineRule="auto"/>
        <w:rPr>
          <w:lang w:val="zh-CN"/>
        </w:rPr>
      </w:pPr>
    </w:p>
    <w:p w14:paraId="005C23E6">
      <w:pPr>
        <w:pStyle w:val="4"/>
        <w:numPr>
          <w:ilvl w:val="0"/>
          <w:numId w:val="0"/>
        </w:numPr>
        <w:ind w:left="709" w:hanging="709"/>
        <w:rPr>
          <w:rFonts w:hAnsi="宋体" w:cs="宋体"/>
        </w:rPr>
      </w:pPr>
      <w:r>
        <w:rPr>
          <w:rFonts w:hAnsi="宋体" w:cs="宋体"/>
          <w:kern w:val="0"/>
          <w:sz w:val="24"/>
          <w:lang w:val="zh-CN"/>
        </w:rPr>
        <w:br w:type="page"/>
      </w:r>
      <w:bookmarkStart w:id="208" w:name="_Toc428180589"/>
      <w:bookmarkStart w:id="209" w:name="_Toc444715741"/>
      <w:bookmarkStart w:id="210" w:name="_Toc21450"/>
      <w:bookmarkStart w:id="211" w:name="_Toc1575343"/>
      <w:r>
        <w:rPr>
          <w:rFonts w:hint="eastAsia" w:hAnsi="宋体"/>
          <w:b/>
          <w:sz w:val="32"/>
          <w:lang w:val="zh-CN"/>
        </w:rPr>
        <w:t>格式10、无重大违法记录声明</w:t>
      </w:r>
      <w:bookmarkEnd w:id="208"/>
      <w:bookmarkEnd w:id="209"/>
      <w:bookmarkEnd w:id="210"/>
      <w:bookmarkEnd w:id="211"/>
    </w:p>
    <w:p w14:paraId="0668D6CC">
      <w:pPr>
        <w:autoSpaceDE w:val="0"/>
        <w:autoSpaceDN w:val="0"/>
        <w:adjustRightInd w:val="0"/>
        <w:spacing w:line="360" w:lineRule="auto"/>
        <w:rPr>
          <w:rFonts w:ascii="宋体" w:hAnsi="宋体" w:cs="宋体"/>
          <w:kern w:val="0"/>
          <w:sz w:val="24"/>
          <w:lang w:val="zh-CN"/>
        </w:rPr>
      </w:pPr>
    </w:p>
    <w:p w14:paraId="45C8A8DA">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无重大违法记录声明</w:t>
      </w:r>
    </w:p>
    <w:p w14:paraId="2C966469">
      <w:pPr>
        <w:autoSpaceDE w:val="0"/>
        <w:autoSpaceDN w:val="0"/>
        <w:adjustRightInd w:val="0"/>
        <w:spacing w:line="360" w:lineRule="auto"/>
        <w:rPr>
          <w:rFonts w:ascii="宋体" w:hAnsi="宋体" w:cs="宋体"/>
          <w:kern w:val="0"/>
          <w:sz w:val="24"/>
          <w:lang w:val="zh-CN"/>
        </w:rPr>
      </w:pPr>
    </w:p>
    <w:p w14:paraId="19035E9C">
      <w:pPr>
        <w:spacing w:line="360" w:lineRule="auto"/>
        <w:ind w:firstLine="498" w:firstLineChars="177"/>
        <w:rPr>
          <w:rFonts w:ascii="宋体" w:hAnsi="宋体" w:cs="Arial"/>
          <w:sz w:val="24"/>
        </w:rPr>
      </w:pPr>
      <w:r>
        <w:rPr>
          <w:rFonts w:hint="eastAsia" w:ascii="宋体" w:hAnsi="宋体" w:cs="宋体"/>
          <w:b/>
          <w:bCs/>
          <w:kern w:val="0"/>
          <w:sz w:val="28"/>
          <w:szCs w:val="28"/>
          <w:lang w:val="zh-CN"/>
        </w:rPr>
        <w:t>致：青海丰研工程咨询有限公司</w:t>
      </w:r>
    </w:p>
    <w:p w14:paraId="1709ED13">
      <w:pPr>
        <w:spacing w:line="360" w:lineRule="auto"/>
        <w:ind w:firstLine="662" w:firstLineChars="276"/>
        <w:rPr>
          <w:rFonts w:ascii="宋体" w:hAnsi="宋体" w:cs="Arial"/>
          <w:sz w:val="24"/>
        </w:rPr>
      </w:pPr>
      <w:r>
        <w:rPr>
          <w:rFonts w:ascii="宋体" w:hAnsi="宋体" w:cs="Arial"/>
          <w:sz w:val="24"/>
        </w:rPr>
        <w:t>（</w:t>
      </w:r>
      <w:r>
        <w:rPr>
          <w:rFonts w:hint="eastAsia" w:ascii="宋体" w:hAnsi="宋体" w:cs="Arial"/>
          <w:sz w:val="24"/>
        </w:rPr>
        <w:t>磋商</w:t>
      </w:r>
      <w:r>
        <w:rPr>
          <w:rFonts w:ascii="宋体" w:hAnsi="宋体" w:cs="Arial"/>
          <w:sz w:val="24"/>
        </w:rPr>
        <w:t>供应商名称）郑重声明，我方参加本项目</w:t>
      </w:r>
      <w:r>
        <w:rPr>
          <w:rFonts w:hint="eastAsia" w:ascii="宋体" w:hAnsi="宋体" w:cs="Arial"/>
          <w:sz w:val="24"/>
        </w:rPr>
        <w:t>竞磋</w:t>
      </w:r>
      <w:r>
        <w:rPr>
          <w:rFonts w:ascii="宋体" w:hAnsi="宋体" w:cs="Arial"/>
          <w:sz w:val="24"/>
        </w:rPr>
        <w:t>活动前三年内无重大违法活动记录，符合《中华人民共和国政府采购法》规定的供应商资格条件。我方对此声明负全部法律责任。</w:t>
      </w:r>
    </w:p>
    <w:p w14:paraId="6EBA8352">
      <w:pPr>
        <w:spacing w:line="360" w:lineRule="auto"/>
        <w:ind w:firstLine="424" w:firstLineChars="177"/>
        <w:rPr>
          <w:rFonts w:ascii="宋体" w:hAnsi="宋体" w:cs="Arial"/>
          <w:sz w:val="24"/>
        </w:rPr>
      </w:pPr>
    </w:p>
    <w:p w14:paraId="7C7C4602">
      <w:pPr>
        <w:spacing w:line="360" w:lineRule="auto"/>
        <w:ind w:firstLine="424" w:firstLineChars="177"/>
        <w:rPr>
          <w:rFonts w:ascii="宋体" w:hAnsi="宋体" w:cs="Arial"/>
          <w:sz w:val="24"/>
        </w:rPr>
      </w:pPr>
    </w:p>
    <w:p w14:paraId="43848876">
      <w:pPr>
        <w:spacing w:line="360" w:lineRule="auto"/>
        <w:ind w:firstLine="662" w:firstLineChars="276"/>
        <w:rPr>
          <w:rFonts w:ascii="宋体" w:hAnsi="宋体" w:cs="Arial"/>
          <w:sz w:val="24"/>
        </w:rPr>
      </w:pPr>
      <w:r>
        <w:rPr>
          <w:rFonts w:ascii="宋体" w:hAnsi="宋体" w:cs="Arial"/>
          <w:sz w:val="24"/>
        </w:rPr>
        <w:t>特此声明。</w:t>
      </w:r>
    </w:p>
    <w:p w14:paraId="4F947651">
      <w:pPr>
        <w:spacing w:line="360" w:lineRule="auto"/>
        <w:ind w:firstLine="424" w:firstLineChars="177"/>
        <w:rPr>
          <w:rFonts w:ascii="宋体" w:hAnsi="宋体" w:cs="Arial"/>
          <w:sz w:val="24"/>
        </w:rPr>
      </w:pPr>
    </w:p>
    <w:p w14:paraId="6DD4B4D5">
      <w:pPr>
        <w:spacing w:line="360" w:lineRule="auto"/>
        <w:ind w:firstLine="424" w:firstLineChars="177"/>
        <w:rPr>
          <w:rFonts w:ascii="宋体" w:hAnsi="宋体" w:cs="Arial"/>
          <w:sz w:val="24"/>
        </w:rPr>
      </w:pPr>
    </w:p>
    <w:p w14:paraId="4D3685CC">
      <w:pPr>
        <w:spacing w:line="360" w:lineRule="auto"/>
        <w:ind w:firstLine="424" w:firstLineChars="177"/>
        <w:rPr>
          <w:rFonts w:ascii="宋体" w:hAnsi="宋体" w:cs="Arial"/>
          <w:sz w:val="24"/>
        </w:rPr>
      </w:pPr>
    </w:p>
    <w:p w14:paraId="0B8A13A0">
      <w:pPr>
        <w:spacing w:line="360" w:lineRule="auto"/>
        <w:ind w:firstLine="662" w:firstLineChars="276"/>
        <w:rPr>
          <w:rFonts w:ascii="宋体" w:hAnsi="宋体" w:cs="Arial"/>
          <w:sz w:val="24"/>
        </w:rPr>
      </w:pPr>
      <w:r>
        <w:rPr>
          <w:rFonts w:hint="eastAsia" w:ascii="宋体" w:hAnsi="宋体" w:cs="Arial"/>
          <w:sz w:val="24"/>
          <w:lang w:val="zh-CN"/>
        </w:rPr>
        <w:t>附“信用中国、</w:t>
      </w:r>
      <w:r>
        <w:rPr>
          <w:rFonts w:hint="eastAsia" w:ascii="宋体" w:hAnsi="宋体" w:cs="Arial"/>
          <w:sz w:val="24"/>
        </w:rPr>
        <w:t>中国政府采购网</w:t>
      </w:r>
      <w:r>
        <w:rPr>
          <w:rFonts w:hint="eastAsia" w:ascii="宋体" w:hAnsi="宋体" w:cs="Arial"/>
          <w:sz w:val="24"/>
          <w:lang w:val="zh-CN"/>
        </w:rPr>
        <w:t>”网站查询截图。</w:t>
      </w:r>
    </w:p>
    <w:p w14:paraId="5D64EB02">
      <w:pPr>
        <w:spacing w:line="360" w:lineRule="auto"/>
        <w:ind w:firstLine="424" w:firstLineChars="177"/>
        <w:rPr>
          <w:rFonts w:ascii="宋体" w:hAnsi="宋体" w:cs="Arial"/>
          <w:sz w:val="24"/>
        </w:rPr>
      </w:pPr>
    </w:p>
    <w:p w14:paraId="3AE8F66D">
      <w:pPr>
        <w:spacing w:line="360" w:lineRule="auto"/>
        <w:ind w:firstLine="424" w:firstLineChars="177"/>
        <w:rPr>
          <w:rFonts w:ascii="宋体" w:hAnsi="宋体" w:cs="Arial"/>
          <w:sz w:val="24"/>
        </w:rPr>
      </w:pPr>
    </w:p>
    <w:p w14:paraId="2B9048C5">
      <w:pPr>
        <w:spacing w:line="360" w:lineRule="auto"/>
        <w:ind w:firstLine="424" w:firstLineChars="177"/>
        <w:rPr>
          <w:rFonts w:ascii="宋体" w:hAnsi="宋体" w:cs="Arial"/>
          <w:sz w:val="24"/>
        </w:rPr>
      </w:pPr>
    </w:p>
    <w:p w14:paraId="42FA8CB9">
      <w:pPr>
        <w:spacing w:line="360" w:lineRule="auto"/>
        <w:ind w:firstLine="424" w:firstLineChars="177"/>
        <w:rPr>
          <w:rFonts w:ascii="宋体" w:hAnsi="宋体" w:cs="Arial"/>
          <w:sz w:val="24"/>
        </w:rPr>
      </w:pPr>
    </w:p>
    <w:p w14:paraId="13F09B03">
      <w:pPr>
        <w:spacing w:line="360" w:lineRule="auto"/>
        <w:ind w:firstLine="424" w:firstLineChars="177"/>
        <w:rPr>
          <w:rFonts w:ascii="宋体" w:hAnsi="宋体" w:cs="Arial"/>
          <w:sz w:val="24"/>
        </w:rPr>
      </w:pPr>
    </w:p>
    <w:p w14:paraId="4BBB610E">
      <w:pPr>
        <w:spacing w:line="360" w:lineRule="auto"/>
        <w:ind w:firstLine="424" w:firstLineChars="177"/>
        <w:rPr>
          <w:rFonts w:ascii="宋体" w:hAnsi="宋体" w:cs="Arial"/>
          <w:sz w:val="24"/>
        </w:rPr>
      </w:pPr>
    </w:p>
    <w:p w14:paraId="6C67188C">
      <w:pPr>
        <w:spacing w:line="360" w:lineRule="auto"/>
        <w:ind w:firstLine="424" w:firstLineChars="177"/>
        <w:rPr>
          <w:rFonts w:ascii="宋体" w:hAnsi="宋体" w:cs="Arial"/>
          <w:sz w:val="24"/>
        </w:rPr>
      </w:pPr>
    </w:p>
    <w:p w14:paraId="474A43DF">
      <w:pPr>
        <w:spacing w:line="360" w:lineRule="auto"/>
        <w:ind w:firstLine="424" w:firstLineChars="177"/>
        <w:rPr>
          <w:rFonts w:ascii="宋体" w:hAnsi="宋体" w:cs="Arial"/>
          <w:sz w:val="24"/>
        </w:rPr>
      </w:pPr>
    </w:p>
    <w:p w14:paraId="2E7BDA15">
      <w:pPr>
        <w:spacing w:line="360" w:lineRule="auto"/>
        <w:ind w:firstLine="424" w:firstLineChars="177"/>
        <w:rPr>
          <w:rFonts w:ascii="宋体" w:hAnsi="宋体" w:cs="Arial"/>
          <w:sz w:val="24"/>
        </w:rPr>
      </w:pPr>
    </w:p>
    <w:p w14:paraId="36FCED99">
      <w:pPr>
        <w:tabs>
          <w:tab w:val="left" w:pos="168"/>
        </w:tabs>
        <w:wordWrap w:val="0"/>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投标供应商：</w:t>
      </w:r>
      <w:r>
        <w:rPr>
          <w:rFonts w:hint="eastAsia" w:ascii="宋体" w:hAnsi="宋体"/>
          <w:bCs/>
          <w:sz w:val="24"/>
          <w:szCs w:val="28"/>
          <w:u w:val="single"/>
        </w:rPr>
        <w:t xml:space="preserve">             </w:t>
      </w:r>
      <w:r>
        <w:rPr>
          <w:rFonts w:hint="eastAsia" w:ascii="宋体" w:hAnsi="宋体"/>
          <w:bCs/>
          <w:sz w:val="24"/>
          <w:szCs w:val="28"/>
        </w:rPr>
        <w:t>（公章）</w:t>
      </w:r>
    </w:p>
    <w:p w14:paraId="64722630">
      <w:pPr>
        <w:tabs>
          <w:tab w:val="left" w:pos="168"/>
        </w:tabs>
        <w:wordWrap w:val="0"/>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50577CE5">
      <w:pPr>
        <w:spacing w:line="360" w:lineRule="auto"/>
        <w:ind w:firstLine="424" w:firstLineChars="177"/>
        <w:rPr>
          <w:rFonts w:ascii="宋体" w:hAnsi="宋体" w:cs="Arial"/>
          <w:sz w:val="24"/>
        </w:rPr>
      </w:pPr>
      <w:r>
        <w:rPr>
          <w:rFonts w:hint="eastAsia" w:ascii="宋体" w:hAnsi="宋体"/>
          <w:bCs/>
          <w:sz w:val="24"/>
          <w:szCs w:val="28"/>
        </w:rPr>
        <w:t xml:space="preserve">                                            日期：   年   月   日</w:t>
      </w:r>
    </w:p>
    <w:p w14:paraId="385170B8">
      <w:pPr>
        <w:rPr>
          <w:b/>
          <w:lang w:val="zh-CN"/>
        </w:rPr>
      </w:pPr>
      <w:r>
        <w:rPr>
          <w:rFonts w:cs="宋体"/>
          <w:kern w:val="0"/>
          <w:sz w:val="24"/>
          <w:lang w:val="zh-CN"/>
        </w:rPr>
        <w:br w:type="page"/>
      </w:r>
    </w:p>
    <w:p w14:paraId="58F04200">
      <w:pPr>
        <w:pStyle w:val="4"/>
        <w:numPr>
          <w:ilvl w:val="0"/>
          <w:numId w:val="0"/>
        </w:numPr>
        <w:ind w:left="709" w:hanging="709"/>
        <w:rPr>
          <w:rFonts w:hAnsi="宋体"/>
          <w:b/>
        </w:rPr>
      </w:pPr>
      <w:bookmarkStart w:id="212" w:name="_Toc1575344"/>
      <w:r>
        <w:rPr>
          <w:rFonts w:hint="eastAsia" w:hAnsi="宋体"/>
          <w:b/>
        </w:rPr>
        <w:t>三、磋商响应文件封面(下册)</w:t>
      </w:r>
      <w:bookmarkEnd w:id="212"/>
    </w:p>
    <w:p w14:paraId="4D60BBF4">
      <w:pPr>
        <w:spacing w:line="360" w:lineRule="auto"/>
        <w:jc w:val="right"/>
        <w:rPr>
          <w:rFonts w:ascii="宋体" w:hAnsi="宋体"/>
          <w:sz w:val="32"/>
        </w:rPr>
      </w:pPr>
    </w:p>
    <w:p w14:paraId="2CDA884F">
      <w:pPr>
        <w:pStyle w:val="11"/>
      </w:pPr>
    </w:p>
    <w:p w14:paraId="08C78F1E">
      <w:pPr>
        <w:spacing w:line="360" w:lineRule="auto"/>
        <w:rPr>
          <w:rFonts w:ascii="宋体" w:hAnsi="宋体"/>
          <w:sz w:val="32"/>
        </w:rPr>
      </w:pPr>
    </w:p>
    <w:p w14:paraId="0ED854DF">
      <w:pPr>
        <w:spacing w:line="360" w:lineRule="auto"/>
        <w:rPr>
          <w:rFonts w:ascii="宋体" w:hAnsi="宋体"/>
          <w:sz w:val="32"/>
        </w:rPr>
      </w:pPr>
    </w:p>
    <w:p w14:paraId="37781984">
      <w:pPr>
        <w:spacing w:line="360" w:lineRule="auto"/>
        <w:jc w:val="center"/>
        <w:rPr>
          <w:rFonts w:ascii="宋体" w:hAnsi="宋体"/>
          <w:b/>
          <w:sz w:val="96"/>
        </w:rPr>
      </w:pPr>
      <w:r>
        <w:rPr>
          <w:rFonts w:hint="eastAsia" w:ascii="宋体" w:hAnsi="宋体"/>
          <w:b/>
          <w:sz w:val="72"/>
        </w:rPr>
        <w:t>青海省政府采购项目</w:t>
      </w:r>
    </w:p>
    <w:p w14:paraId="5EC99E26">
      <w:pPr>
        <w:spacing w:line="360" w:lineRule="auto"/>
        <w:jc w:val="center"/>
        <w:rPr>
          <w:rFonts w:ascii="宋体" w:hAnsi="宋体"/>
          <w:b/>
          <w:sz w:val="48"/>
        </w:rPr>
      </w:pPr>
    </w:p>
    <w:p w14:paraId="4FE49400">
      <w:pPr>
        <w:spacing w:line="360" w:lineRule="auto"/>
        <w:jc w:val="center"/>
        <w:rPr>
          <w:rFonts w:ascii="宋体" w:hAnsi="宋体"/>
          <w:b/>
          <w:sz w:val="48"/>
        </w:rPr>
      </w:pPr>
    </w:p>
    <w:p w14:paraId="0ED80086">
      <w:pPr>
        <w:spacing w:line="360" w:lineRule="auto"/>
        <w:jc w:val="center"/>
        <w:rPr>
          <w:rFonts w:ascii="宋体" w:hAnsi="宋体"/>
          <w:b/>
          <w:sz w:val="56"/>
        </w:rPr>
      </w:pPr>
      <w:r>
        <w:rPr>
          <w:rFonts w:hint="eastAsia" w:ascii="宋体" w:hAnsi="宋体"/>
          <w:b/>
          <w:sz w:val="52"/>
        </w:rPr>
        <w:t>磋商响应文件</w:t>
      </w:r>
    </w:p>
    <w:p w14:paraId="66B24D02">
      <w:pPr>
        <w:spacing w:line="360" w:lineRule="auto"/>
        <w:jc w:val="center"/>
        <w:rPr>
          <w:rFonts w:ascii="宋体" w:hAnsi="宋体"/>
          <w:b/>
          <w:bCs/>
          <w:sz w:val="32"/>
        </w:rPr>
      </w:pPr>
      <w:r>
        <w:rPr>
          <w:rFonts w:hint="eastAsia" w:ascii="宋体" w:hAnsi="宋体"/>
          <w:b/>
          <w:bCs/>
          <w:sz w:val="32"/>
        </w:rPr>
        <w:t>（下册）</w:t>
      </w:r>
    </w:p>
    <w:p w14:paraId="710C67DE">
      <w:pPr>
        <w:adjustRightInd w:val="0"/>
        <w:spacing w:line="360" w:lineRule="auto"/>
        <w:textAlignment w:val="baseline"/>
        <w:rPr>
          <w:rFonts w:ascii="宋体" w:hAnsi="宋体"/>
          <w:b/>
          <w:bCs/>
          <w:sz w:val="32"/>
        </w:rPr>
      </w:pPr>
    </w:p>
    <w:p w14:paraId="6EA7ADBF">
      <w:pPr>
        <w:adjustRightInd w:val="0"/>
        <w:spacing w:line="360" w:lineRule="auto"/>
        <w:ind w:firstLine="643" w:firstLineChars="200"/>
        <w:textAlignment w:val="baseline"/>
        <w:rPr>
          <w:rFonts w:ascii="宋体" w:hAnsi="宋体"/>
          <w:b/>
          <w:bCs/>
          <w:sz w:val="32"/>
          <w:szCs w:val="32"/>
        </w:rPr>
      </w:pPr>
      <w:r>
        <w:rPr>
          <w:rFonts w:hint="eastAsia" w:ascii="宋体" w:hAnsi="宋体"/>
          <w:b/>
          <w:bCs/>
          <w:sz w:val="32"/>
          <w:szCs w:val="32"/>
        </w:rPr>
        <w:t>采购项目编号：</w:t>
      </w:r>
      <w:r>
        <w:rPr>
          <w:rFonts w:hint="eastAsia" w:ascii="宋体" w:hAnsi="宋体"/>
          <w:b/>
          <w:bCs/>
          <w:sz w:val="32"/>
          <w:szCs w:val="32"/>
          <w:u w:val="single"/>
        </w:rPr>
        <w:t xml:space="preserve">                        </w:t>
      </w:r>
      <w:r>
        <w:rPr>
          <w:rFonts w:hint="eastAsia" w:ascii="宋体" w:hAnsi="宋体"/>
          <w:b/>
          <w:bCs/>
          <w:sz w:val="32"/>
          <w:szCs w:val="32"/>
        </w:rPr>
        <w:t xml:space="preserve">        </w:t>
      </w:r>
    </w:p>
    <w:p w14:paraId="7CFCB9CC">
      <w:pPr>
        <w:adjustRightInd w:val="0"/>
        <w:spacing w:line="360" w:lineRule="auto"/>
        <w:ind w:firstLine="643" w:firstLineChars="200"/>
        <w:textAlignment w:val="baseline"/>
        <w:rPr>
          <w:rFonts w:ascii="宋体" w:hAnsi="宋体"/>
          <w:b/>
          <w:bCs/>
          <w:sz w:val="32"/>
          <w:szCs w:val="32"/>
        </w:rPr>
      </w:pPr>
      <w:r>
        <w:rPr>
          <w:rFonts w:hint="eastAsia" w:ascii="宋体" w:hAnsi="宋体"/>
          <w:b/>
          <w:bCs/>
          <w:sz w:val="32"/>
          <w:szCs w:val="32"/>
        </w:rPr>
        <w:t>采购项目名称：</w:t>
      </w:r>
      <w:r>
        <w:rPr>
          <w:rFonts w:hint="eastAsia" w:ascii="宋体" w:hAnsi="宋体"/>
          <w:b/>
          <w:bCs/>
          <w:sz w:val="32"/>
          <w:szCs w:val="32"/>
          <w:u w:val="single"/>
        </w:rPr>
        <w:t xml:space="preserve">                        </w:t>
      </w:r>
      <w:r>
        <w:rPr>
          <w:rFonts w:hint="eastAsia" w:ascii="宋体" w:hAnsi="宋体"/>
          <w:b/>
          <w:bCs/>
          <w:sz w:val="32"/>
          <w:szCs w:val="32"/>
        </w:rPr>
        <w:t xml:space="preserve"> </w:t>
      </w:r>
    </w:p>
    <w:p w14:paraId="7486FD65">
      <w:pPr>
        <w:adjustRightInd w:val="0"/>
        <w:spacing w:line="360" w:lineRule="auto"/>
        <w:ind w:firstLine="643" w:firstLineChars="200"/>
        <w:textAlignment w:val="baseline"/>
        <w:rPr>
          <w:rFonts w:hint="default" w:ascii="宋体" w:hAnsi="宋体" w:eastAsia="宋体"/>
          <w:b/>
          <w:bCs/>
          <w:sz w:val="32"/>
          <w:szCs w:val="32"/>
          <w:lang w:val="en-US" w:eastAsia="zh-CN"/>
        </w:rPr>
      </w:pPr>
      <w:r>
        <w:rPr>
          <w:rFonts w:hint="eastAsia" w:ascii="宋体" w:hAnsi="宋体"/>
          <w:b/>
          <w:bCs/>
          <w:sz w:val="32"/>
          <w:szCs w:val="32"/>
          <w:lang w:val="en-US" w:eastAsia="zh-CN"/>
        </w:rPr>
        <w:t>包        号：</w:t>
      </w:r>
      <w:r>
        <w:rPr>
          <w:rFonts w:hint="eastAsia" w:ascii="宋体" w:hAnsi="宋体"/>
          <w:b/>
          <w:bCs/>
          <w:sz w:val="32"/>
          <w:szCs w:val="32"/>
          <w:u w:val="single"/>
        </w:rPr>
        <w:t xml:space="preserve">                        </w:t>
      </w:r>
    </w:p>
    <w:p w14:paraId="51306EE0">
      <w:pPr>
        <w:adjustRightInd w:val="0"/>
        <w:spacing w:line="360" w:lineRule="auto"/>
        <w:ind w:firstLine="643" w:firstLineChars="200"/>
        <w:textAlignment w:val="baseline"/>
        <w:rPr>
          <w:rFonts w:ascii="宋体" w:hAnsi="宋体"/>
          <w:b/>
          <w:bCs/>
          <w:sz w:val="32"/>
          <w:szCs w:val="32"/>
        </w:rPr>
      </w:pPr>
    </w:p>
    <w:p w14:paraId="0850FF14">
      <w:pPr>
        <w:adjustRightInd w:val="0"/>
        <w:spacing w:line="360" w:lineRule="auto"/>
        <w:ind w:firstLine="643" w:firstLineChars="200"/>
        <w:textAlignment w:val="baseline"/>
        <w:rPr>
          <w:rFonts w:ascii="宋体" w:hAnsi="宋体"/>
          <w:b/>
          <w:bCs/>
          <w:sz w:val="32"/>
          <w:szCs w:val="32"/>
        </w:rPr>
      </w:pPr>
      <w:r>
        <w:rPr>
          <w:rFonts w:hint="eastAsia" w:ascii="宋体" w:hAnsi="宋体"/>
          <w:b/>
          <w:bCs/>
          <w:sz w:val="32"/>
          <w:szCs w:val="32"/>
        </w:rPr>
        <w:t xml:space="preserve">          </w:t>
      </w:r>
    </w:p>
    <w:p w14:paraId="1C4C4806">
      <w:pPr>
        <w:adjustRightInd w:val="0"/>
        <w:spacing w:line="360" w:lineRule="auto"/>
        <w:ind w:firstLine="2570" w:firstLineChars="800"/>
        <w:textAlignment w:val="baseline"/>
        <w:rPr>
          <w:rFonts w:ascii="宋体" w:hAnsi="宋体"/>
          <w:b/>
          <w:bCs/>
          <w:sz w:val="32"/>
          <w:szCs w:val="32"/>
          <w:u w:val="single"/>
        </w:rPr>
      </w:pPr>
      <w:r>
        <w:rPr>
          <w:rFonts w:hint="eastAsia" w:ascii="宋体" w:hAnsi="宋体"/>
          <w:b/>
          <w:bCs/>
          <w:sz w:val="32"/>
          <w:szCs w:val="32"/>
        </w:rPr>
        <w:t>磋商供应商</w:t>
      </w:r>
      <w:r>
        <w:rPr>
          <w:rFonts w:hint="eastAsia" w:ascii="宋体" w:hAnsi="宋体"/>
          <w:b/>
          <w:sz w:val="32"/>
          <w:szCs w:val="32"/>
        </w:rPr>
        <w:t>：</w:t>
      </w:r>
      <w:r>
        <w:rPr>
          <w:rFonts w:hint="eastAsia" w:ascii="宋体" w:hAnsi="宋体"/>
          <w:b/>
          <w:sz w:val="32"/>
          <w:szCs w:val="32"/>
          <w:u w:val="single"/>
        </w:rPr>
        <w:t xml:space="preserve">                   （公章）</w:t>
      </w:r>
    </w:p>
    <w:p w14:paraId="47B66D9A">
      <w:pPr>
        <w:adjustRightInd w:val="0"/>
        <w:spacing w:line="360" w:lineRule="auto"/>
        <w:ind w:firstLine="1928" w:firstLineChars="600"/>
        <w:textAlignment w:val="baseline"/>
        <w:rPr>
          <w:rFonts w:ascii="宋体" w:hAnsi="宋体"/>
          <w:b/>
          <w:sz w:val="32"/>
          <w:u w:val="single"/>
        </w:rPr>
      </w:pPr>
      <w:r>
        <w:rPr>
          <w:rFonts w:hint="eastAsia" w:ascii="宋体" w:hAnsi="宋体"/>
          <w:b/>
          <w:sz w:val="32"/>
        </w:rPr>
        <w:t>法定代表人或委托代理人：</w:t>
      </w:r>
      <w:r>
        <w:rPr>
          <w:rFonts w:hint="eastAsia" w:ascii="宋体" w:hAnsi="宋体"/>
          <w:b/>
          <w:sz w:val="32"/>
          <w:u w:val="single"/>
        </w:rPr>
        <w:t xml:space="preserve">           （签字</w:t>
      </w:r>
      <w:r>
        <w:rPr>
          <w:rFonts w:hint="eastAsia" w:ascii="宋体" w:hAnsi="宋体"/>
          <w:b/>
          <w:sz w:val="32"/>
          <w:u w:val="single"/>
          <w:lang w:val="en-US" w:eastAsia="zh-CN"/>
        </w:rPr>
        <w:t>或盖章</w:t>
      </w:r>
      <w:r>
        <w:rPr>
          <w:rFonts w:hint="eastAsia" w:ascii="宋体" w:hAnsi="宋体"/>
          <w:b/>
          <w:sz w:val="32"/>
          <w:u w:val="single"/>
        </w:rPr>
        <w:t>）</w:t>
      </w:r>
    </w:p>
    <w:p w14:paraId="612C232D">
      <w:pPr>
        <w:spacing w:line="360" w:lineRule="auto"/>
        <w:ind w:firstLine="645"/>
        <w:jc w:val="center"/>
        <w:rPr>
          <w:rFonts w:ascii="宋体" w:hAnsi="宋体"/>
          <w:sz w:val="32"/>
        </w:rPr>
      </w:pPr>
      <w:r>
        <w:rPr>
          <w:rFonts w:hint="eastAsia" w:ascii="宋体" w:hAnsi="宋体"/>
          <w:sz w:val="32"/>
        </w:rPr>
        <w:t xml:space="preserve">           </w:t>
      </w:r>
      <w:r>
        <w:rPr>
          <w:rFonts w:hint="eastAsia" w:ascii="宋体" w:hAnsi="宋体"/>
          <w:b/>
          <w:bCs/>
          <w:sz w:val="32"/>
        </w:rPr>
        <w:t xml:space="preserve"> 日期：年   月  日</w:t>
      </w:r>
    </w:p>
    <w:p w14:paraId="2AF16B6D">
      <w:pPr>
        <w:pStyle w:val="4"/>
        <w:numPr>
          <w:ilvl w:val="0"/>
          <w:numId w:val="0"/>
        </w:numPr>
        <w:ind w:left="709" w:hanging="709"/>
        <w:rPr>
          <w:rFonts w:hAnsi="宋体"/>
          <w:b/>
          <w:sz w:val="32"/>
          <w:lang w:val="zh-CN"/>
        </w:rPr>
      </w:pPr>
      <w:r>
        <w:rPr>
          <w:rFonts w:hAnsi="宋体"/>
        </w:rPr>
        <w:br w:type="page"/>
      </w:r>
      <w:bookmarkStart w:id="213" w:name="_Toc1575345"/>
      <w:r>
        <w:rPr>
          <w:rFonts w:hint="eastAsia" w:hAnsi="宋体"/>
          <w:b/>
        </w:rPr>
        <w:t>四、</w:t>
      </w:r>
      <w:r>
        <w:rPr>
          <w:rFonts w:hint="eastAsia" w:hAnsi="宋体"/>
          <w:b/>
          <w:sz w:val="32"/>
          <w:lang w:val="zh-CN"/>
        </w:rPr>
        <w:t>磋商响应文件目录（下册）</w:t>
      </w:r>
      <w:bookmarkEnd w:id="213"/>
    </w:p>
    <w:p w14:paraId="45D66D48">
      <w:pPr>
        <w:rPr>
          <w:lang w:val="zh-CN"/>
        </w:rPr>
      </w:pPr>
    </w:p>
    <w:p w14:paraId="04C7B315">
      <w:pPr>
        <w:rPr>
          <w:lang w:val="zh-CN"/>
        </w:rPr>
      </w:pPr>
    </w:p>
    <w:p w14:paraId="6B46613D">
      <w:pPr>
        <w:spacing w:line="360" w:lineRule="auto"/>
        <w:ind w:left="420"/>
        <w:rPr>
          <w:rFonts w:ascii="宋体" w:hAnsi="宋体" w:cs="宋体"/>
          <w:kern w:val="0"/>
          <w:sz w:val="24"/>
          <w:lang w:val="zh-CN"/>
        </w:rPr>
      </w:pPr>
      <w:r>
        <w:rPr>
          <w:rFonts w:hint="eastAsia" w:ascii="宋体" w:hAnsi="宋体" w:cs="宋体"/>
          <w:kern w:val="0"/>
          <w:sz w:val="24"/>
          <w:lang w:val="zh-CN"/>
        </w:rPr>
        <w:t>（11）</w:t>
      </w:r>
      <w:bookmarkStart w:id="214" w:name="_Hlk503366915"/>
      <w:r>
        <w:rPr>
          <w:rFonts w:hint="eastAsia" w:ascii="宋体" w:hAnsi="宋体" w:cs="宋体"/>
          <w:kern w:val="0"/>
          <w:sz w:val="24"/>
          <w:lang w:val="zh-CN"/>
        </w:rPr>
        <w:t>评分对照表</w:t>
      </w:r>
      <w:bookmarkEnd w:id="214"/>
      <w:r>
        <w:rPr>
          <w:rFonts w:hint="eastAsia" w:ascii="宋体" w:hAnsi="宋体" w:cs="宋体"/>
          <w:kern w:val="0"/>
          <w:sz w:val="24"/>
          <w:lang w:val="zh-CN"/>
        </w:rPr>
        <w:t>………………………………………………………所在页码</w:t>
      </w:r>
    </w:p>
    <w:p w14:paraId="74A9EC80">
      <w:pPr>
        <w:spacing w:line="360" w:lineRule="auto"/>
        <w:ind w:left="420"/>
        <w:rPr>
          <w:rFonts w:ascii="宋体" w:hAnsi="宋体" w:cs="宋体"/>
          <w:kern w:val="0"/>
          <w:sz w:val="24"/>
          <w:lang w:val="zh-CN"/>
        </w:rPr>
      </w:pPr>
      <w:r>
        <w:rPr>
          <w:rFonts w:hint="eastAsia" w:ascii="宋体" w:hAnsi="宋体" w:cs="宋体"/>
          <w:kern w:val="0"/>
          <w:sz w:val="24"/>
          <w:lang w:val="zh-CN"/>
        </w:rPr>
        <w:t>（12）竞争性磋商首次报价表…………………………………………所在页码</w:t>
      </w:r>
    </w:p>
    <w:p w14:paraId="79C19D25">
      <w:pPr>
        <w:spacing w:line="360" w:lineRule="auto"/>
        <w:ind w:left="420"/>
        <w:rPr>
          <w:rFonts w:ascii="宋体" w:hAnsi="宋体" w:cs="宋体"/>
          <w:kern w:val="0"/>
          <w:sz w:val="24"/>
          <w:lang w:val="zh-CN"/>
        </w:rPr>
      </w:pPr>
      <w:r>
        <w:rPr>
          <w:rFonts w:hint="eastAsia" w:ascii="宋体" w:hAnsi="宋体" w:cs="宋体"/>
          <w:kern w:val="0"/>
          <w:sz w:val="24"/>
          <w:lang w:val="zh-CN"/>
        </w:rPr>
        <w:t>（13）分项报价表………………………………………………………所在页码</w:t>
      </w:r>
    </w:p>
    <w:p w14:paraId="7E1B2695">
      <w:pPr>
        <w:spacing w:line="360" w:lineRule="auto"/>
        <w:ind w:left="420"/>
        <w:rPr>
          <w:rFonts w:ascii="宋体" w:hAnsi="宋体" w:cs="宋体"/>
          <w:kern w:val="0"/>
          <w:sz w:val="24"/>
          <w:lang w:val="zh-CN"/>
        </w:rPr>
      </w:pPr>
      <w:r>
        <w:rPr>
          <w:rFonts w:hint="eastAsia" w:ascii="宋体" w:hAnsi="宋体" w:cs="宋体"/>
          <w:kern w:val="0"/>
          <w:sz w:val="24"/>
          <w:lang w:val="zh-CN"/>
        </w:rPr>
        <w:t>（14）技术规格响应表…………………………………………………所在页码</w:t>
      </w:r>
    </w:p>
    <w:p w14:paraId="2CE78360">
      <w:pPr>
        <w:spacing w:line="360" w:lineRule="auto"/>
        <w:ind w:left="42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5</w:t>
      </w:r>
      <w:r>
        <w:rPr>
          <w:rFonts w:hint="eastAsia" w:ascii="宋体" w:hAnsi="宋体" w:cs="宋体"/>
          <w:kern w:val="0"/>
          <w:sz w:val="24"/>
          <w:lang w:val="zh-CN"/>
        </w:rPr>
        <w:t>）磋商产品相关资料………………………………………………所在页码</w:t>
      </w:r>
    </w:p>
    <w:p w14:paraId="01A60D5A">
      <w:pPr>
        <w:spacing w:line="360" w:lineRule="auto"/>
        <w:ind w:left="42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6</w:t>
      </w:r>
      <w:r>
        <w:rPr>
          <w:rFonts w:hint="eastAsia" w:ascii="宋体" w:hAnsi="宋体" w:cs="宋体"/>
          <w:kern w:val="0"/>
          <w:sz w:val="24"/>
          <w:lang w:val="zh-CN"/>
        </w:rPr>
        <w:t>）磋商供应商的类似业绩证明材料………………………………所在页码</w:t>
      </w:r>
    </w:p>
    <w:p w14:paraId="32AF0EE5">
      <w:pPr>
        <w:spacing w:line="360" w:lineRule="auto"/>
        <w:ind w:left="42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7</w:t>
      </w:r>
      <w:r>
        <w:rPr>
          <w:rFonts w:hint="eastAsia" w:ascii="宋体" w:hAnsi="宋体" w:cs="宋体"/>
          <w:kern w:val="0"/>
          <w:sz w:val="24"/>
          <w:lang w:val="zh-CN"/>
        </w:rPr>
        <w:t>）</w:t>
      </w:r>
      <w:r>
        <w:rPr>
          <w:rFonts w:hint="eastAsia" w:ascii="宋体" w:hAnsi="宋体" w:cs="宋体"/>
          <w:kern w:val="0"/>
          <w:sz w:val="24"/>
          <w:lang w:val="en-US" w:eastAsia="zh-CN"/>
        </w:rPr>
        <w:t>中小</w:t>
      </w:r>
      <w:r>
        <w:rPr>
          <w:rFonts w:hint="eastAsia" w:ascii="宋体" w:hAnsi="宋体" w:cs="宋体"/>
          <w:kern w:val="0"/>
          <w:sz w:val="24"/>
          <w:lang w:val="zh-CN"/>
        </w:rPr>
        <w:t>企业声明函…………………………………………………所在页码</w:t>
      </w:r>
    </w:p>
    <w:p w14:paraId="56A1EFD3">
      <w:pPr>
        <w:spacing w:line="360" w:lineRule="auto"/>
        <w:ind w:firstLine="424" w:firstLineChars="177"/>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8</w:t>
      </w:r>
      <w:r>
        <w:rPr>
          <w:rFonts w:hint="eastAsia" w:ascii="宋体" w:hAnsi="宋体" w:cs="宋体"/>
          <w:kern w:val="0"/>
          <w:sz w:val="24"/>
          <w:lang w:val="zh-CN"/>
        </w:rPr>
        <w:t>）残疾人福利性单位声明函………………………………………所在页码</w:t>
      </w:r>
    </w:p>
    <w:p w14:paraId="73C7396F">
      <w:pPr>
        <w:spacing w:line="360" w:lineRule="auto"/>
        <w:ind w:left="42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19</w:t>
      </w:r>
      <w:r>
        <w:rPr>
          <w:rFonts w:hint="eastAsia" w:ascii="宋体" w:hAnsi="宋体" w:cs="宋体"/>
          <w:kern w:val="0"/>
          <w:sz w:val="24"/>
          <w:lang w:val="zh-CN"/>
        </w:rPr>
        <w:t>）磋商供应商认为在其他方面有必要说明的事项………………所在页码</w:t>
      </w:r>
    </w:p>
    <w:p w14:paraId="4DDD2971">
      <w:pPr>
        <w:spacing w:line="360" w:lineRule="auto"/>
        <w:ind w:left="420"/>
        <w:rPr>
          <w:rFonts w:ascii="宋体" w:hAnsi="宋体" w:cs="宋体"/>
          <w:kern w:val="0"/>
          <w:sz w:val="24"/>
          <w:lang w:val="zh-CN"/>
        </w:rPr>
      </w:pPr>
      <w:r>
        <w:rPr>
          <w:rFonts w:hint="eastAsia" w:ascii="宋体" w:hAnsi="宋体" w:cs="宋体"/>
          <w:kern w:val="0"/>
          <w:sz w:val="24"/>
          <w:lang w:val="zh-CN"/>
        </w:rPr>
        <w:t>（2</w:t>
      </w:r>
      <w:r>
        <w:rPr>
          <w:rFonts w:hint="eastAsia" w:ascii="宋体" w:hAnsi="宋体" w:cs="宋体"/>
          <w:kern w:val="0"/>
          <w:sz w:val="24"/>
        </w:rPr>
        <w:t>0</w:t>
      </w:r>
      <w:r>
        <w:rPr>
          <w:rFonts w:hint="eastAsia" w:ascii="宋体" w:hAnsi="宋体" w:cs="宋体"/>
          <w:kern w:val="0"/>
          <w:sz w:val="24"/>
          <w:lang w:val="zh-CN"/>
        </w:rPr>
        <w:t>）磋商最终报价表…………………………………………………所在页码</w:t>
      </w:r>
    </w:p>
    <w:p w14:paraId="6C83F24B">
      <w:pPr>
        <w:pStyle w:val="4"/>
        <w:numPr>
          <w:ilvl w:val="0"/>
          <w:numId w:val="0"/>
        </w:numPr>
        <w:ind w:left="709" w:hanging="709"/>
        <w:rPr>
          <w:rFonts w:hAnsi="宋体"/>
          <w:b/>
          <w:sz w:val="32"/>
          <w:lang w:val="zh-CN"/>
        </w:rPr>
      </w:pPr>
      <w:r>
        <w:rPr>
          <w:rFonts w:hAnsi="宋体"/>
          <w:bCs/>
          <w:sz w:val="24"/>
          <w:szCs w:val="28"/>
        </w:rPr>
        <w:br w:type="page"/>
      </w:r>
      <w:bookmarkStart w:id="215" w:name="_Toc1575346"/>
      <w:r>
        <w:rPr>
          <w:rFonts w:hint="eastAsia" w:hAnsi="宋体"/>
          <w:b/>
          <w:sz w:val="32"/>
          <w:lang w:val="zh-CN"/>
        </w:rPr>
        <w:t>格式11、评分对照表</w:t>
      </w:r>
      <w:bookmarkEnd w:id="215"/>
    </w:p>
    <w:p w14:paraId="414EDDE6">
      <w:pPr>
        <w:spacing w:line="360" w:lineRule="auto"/>
        <w:rPr>
          <w:rFonts w:ascii="宋体" w:hAnsi="宋体"/>
          <w:bCs/>
          <w:sz w:val="24"/>
          <w:szCs w:val="28"/>
        </w:rPr>
      </w:pPr>
    </w:p>
    <w:p w14:paraId="3E1C41C5">
      <w:pPr>
        <w:spacing w:line="360" w:lineRule="auto"/>
        <w:jc w:val="center"/>
        <w:rPr>
          <w:rFonts w:ascii="宋体" w:hAnsi="宋体" w:cs="宋体"/>
          <w:b/>
          <w:bCs/>
          <w:sz w:val="28"/>
          <w:szCs w:val="28"/>
        </w:rPr>
      </w:pPr>
      <w:r>
        <w:rPr>
          <w:rFonts w:hint="eastAsia" w:ascii="宋体" w:hAnsi="宋体" w:cs="宋体"/>
          <w:b/>
          <w:bCs/>
          <w:sz w:val="28"/>
          <w:szCs w:val="28"/>
        </w:rPr>
        <w:t>评分对照表</w:t>
      </w:r>
    </w:p>
    <w:tbl>
      <w:tblPr>
        <w:tblStyle w:val="34"/>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3066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4CDDA0A8">
            <w:pPr>
              <w:pStyle w:val="9"/>
              <w:spacing w:line="360" w:lineRule="auto"/>
              <w:ind w:firstLine="0" w:firstLineChars="0"/>
              <w:jc w:val="center"/>
              <w:rPr>
                <w:rFonts w:ascii="宋体" w:hAnsi="宋体" w:cs="宋体"/>
                <w:sz w:val="24"/>
              </w:rPr>
            </w:pPr>
            <w:r>
              <w:rPr>
                <w:rFonts w:hint="eastAsia" w:ascii="宋体" w:hAnsi="宋体" w:cs="宋体"/>
                <w:sz w:val="24"/>
              </w:rPr>
              <w:t>序号</w:t>
            </w:r>
          </w:p>
        </w:tc>
        <w:tc>
          <w:tcPr>
            <w:tcW w:w="2514" w:type="dxa"/>
            <w:vAlign w:val="center"/>
          </w:tcPr>
          <w:p w14:paraId="610A08A2">
            <w:pPr>
              <w:pStyle w:val="9"/>
              <w:spacing w:line="360" w:lineRule="auto"/>
              <w:ind w:firstLine="0" w:firstLineChars="0"/>
              <w:jc w:val="center"/>
              <w:rPr>
                <w:rFonts w:ascii="宋体" w:hAnsi="宋体" w:cs="宋体"/>
                <w:sz w:val="24"/>
              </w:rPr>
            </w:pPr>
            <w:r>
              <w:rPr>
                <w:rFonts w:hint="eastAsia" w:ascii="宋体" w:hAnsi="宋体" w:cs="宋体"/>
                <w:sz w:val="24"/>
              </w:rPr>
              <w:t>磋商文件评分标准</w:t>
            </w:r>
          </w:p>
        </w:tc>
        <w:tc>
          <w:tcPr>
            <w:tcW w:w="2266" w:type="dxa"/>
            <w:vAlign w:val="center"/>
          </w:tcPr>
          <w:p w14:paraId="17CBF60C">
            <w:pPr>
              <w:pStyle w:val="9"/>
              <w:spacing w:line="360" w:lineRule="auto"/>
              <w:ind w:firstLine="0" w:firstLineChars="0"/>
              <w:jc w:val="center"/>
              <w:rPr>
                <w:rFonts w:ascii="宋体" w:hAnsi="宋体" w:cs="宋体"/>
                <w:sz w:val="24"/>
              </w:rPr>
            </w:pPr>
            <w:r>
              <w:rPr>
                <w:rFonts w:hint="eastAsia" w:ascii="宋体" w:hAnsi="宋体" w:cs="宋体"/>
                <w:sz w:val="24"/>
              </w:rPr>
              <w:t>磋商响应部分</w:t>
            </w:r>
          </w:p>
        </w:tc>
        <w:tc>
          <w:tcPr>
            <w:tcW w:w="2966" w:type="dxa"/>
            <w:vAlign w:val="center"/>
          </w:tcPr>
          <w:p w14:paraId="7786C840">
            <w:pPr>
              <w:pStyle w:val="9"/>
              <w:spacing w:line="360" w:lineRule="auto"/>
              <w:ind w:firstLine="0" w:firstLineChars="0"/>
              <w:jc w:val="center"/>
              <w:rPr>
                <w:rFonts w:ascii="宋体" w:hAnsi="宋体" w:cs="宋体"/>
                <w:sz w:val="24"/>
              </w:rPr>
            </w:pPr>
            <w:r>
              <w:rPr>
                <w:rFonts w:hint="eastAsia" w:ascii="宋体" w:hAnsi="宋体" w:cs="宋体"/>
                <w:sz w:val="24"/>
              </w:rPr>
              <w:t>磋商响应文件中对应页码</w:t>
            </w:r>
          </w:p>
        </w:tc>
      </w:tr>
      <w:tr w14:paraId="35AB2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68AB3A89">
            <w:pPr>
              <w:pStyle w:val="9"/>
              <w:spacing w:line="360" w:lineRule="auto"/>
              <w:jc w:val="center"/>
              <w:rPr>
                <w:rFonts w:ascii="宋体" w:hAnsi="宋体" w:cs="宋体"/>
              </w:rPr>
            </w:pPr>
          </w:p>
        </w:tc>
        <w:tc>
          <w:tcPr>
            <w:tcW w:w="2514" w:type="dxa"/>
            <w:vAlign w:val="center"/>
          </w:tcPr>
          <w:p w14:paraId="40D16EA8">
            <w:pPr>
              <w:pStyle w:val="9"/>
              <w:spacing w:line="360" w:lineRule="auto"/>
              <w:jc w:val="center"/>
              <w:rPr>
                <w:rFonts w:ascii="宋体" w:hAnsi="宋体" w:cs="宋体"/>
              </w:rPr>
            </w:pPr>
          </w:p>
        </w:tc>
        <w:tc>
          <w:tcPr>
            <w:tcW w:w="2266" w:type="dxa"/>
            <w:vAlign w:val="center"/>
          </w:tcPr>
          <w:p w14:paraId="5D08537E">
            <w:pPr>
              <w:pStyle w:val="9"/>
              <w:spacing w:line="360" w:lineRule="auto"/>
              <w:jc w:val="center"/>
              <w:rPr>
                <w:rFonts w:ascii="宋体" w:hAnsi="宋体" w:cs="宋体"/>
              </w:rPr>
            </w:pPr>
          </w:p>
        </w:tc>
        <w:tc>
          <w:tcPr>
            <w:tcW w:w="2966" w:type="dxa"/>
            <w:vAlign w:val="center"/>
          </w:tcPr>
          <w:p w14:paraId="24417D2C">
            <w:pPr>
              <w:pStyle w:val="9"/>
              <w:spacing w:line="360" w:lineRule="auto"/>
              <w:jc w:val="center"/>
              <w:rPr>
                <w:rFonts w:ascii="宋体" w:hAnsi="宋体" w:cs="宋体"/>
              </w:rPr>
            </w:pPr>
          </w:p>
        </w:tc>
      </w:tr>
      <w:tr w14:paraId="43C0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5BF7E986">
            <w:pPr>
              <w:pStyle w:val="9"/>
              <w:spacing w:line="360" w:lineRule="auto"/>
              <w:jc w:val="center"/>
              <w:rPr>
                <w:rFonts w:ascii="宋体" w:hAnsi="宋体" w:cs="宋体"/>
              </w:rPr>
            </w:pPr>
          </w:p>
        </w:tc>
        <w:tc>
          <w:tcPr>
            <w:tcW w:w="2514" w:type="dxa"/>
            <w:vAlign w:val="center"/>
          </w:tcPr>
          <w:p w14:paraId="6FD066D9">
            <w:pPr>
              <w:pStyle w:val="9"/>
              <w:spacing w:line="360" w:lineRule="auto"/>
              <w:jc w:val="center"/>
              <w:rPr>
                <w:rFonts w:ascii="宋体" w:hAnsi="宋体" w:cs="宋体"/>
              </w:rPr>
            </w:pPr>
          </w:p>
        </w:tc>
        <w:tc>
          <w:tcPr>
            <w:tcW w:w="2266" w:type="dxa"/>
            <w:vAlign w:val="center"/>
          </w:tcPr>
          <w:p w14:paraId="30941073">
            <w:pPr>
              <w:pStyle w:val="9"/>
              <w:spacing w:line="360" w:lineRule="auto"/>
              <w:jc w:val="center"/>
              <w:rPr>
                <w:rFonts w:ascii="宋体" w:hAnsi="宋体" w:cs="宋体"/>
              </w:rPr>
            </w:pPr>
          </w:p>
        </w:tc>
        <w:tc>
          <w:tcPr>
            <w:tcW w:w="2966" w:type="dxa"/>
            <w:vAlign w:val="center"/>
          </w:tcPr>
          <w:p w14:paraId="787E3067">
            <w:pPr>
              <w:pStyle w:val="9"/>
              <w:spacing w:line="360" w:lineRule="auto"/>
              <w:jc w:val="center"/>
              <w:rPr>
                <w:rFonts w:ascii="宋体" w:hAnsi="宋体" w:cs="宋体"/>
              </w:rPr>
            </w:pPr>
          </w:p>
        </w:tc>
      </w:tr>
      <w:tr w14:paraId="596C1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571F0B7F">
            <w:pPr>
              <w:pStyle w:val="9"/>
              <w:spacing w:line="360" w:lineRule="auto"/>
              <w:jc w:val="center"/>
              <w:rPr>
                <w:rFonts w:ascii="宋体" w:hAnsi="宋体" w:cs="宋体"/>
              </w:rPr>
            </w:pPr>
          </w:p>
        </w:tc>
        <w:tc>
          <w:tcPr>
            <w:tcW w:w="2514" w:type="dxa"/>
            <w:vAlign w:val="center"/>
          </w:tcPr>
          <w:p w14:paraId="3D28F73D">
            <w:pPr>
              <w:pStyle w:val="9"/>
              <w:spacing w:line="360" w:lineRule="auto"/>
              <w:jc w:val="center"/>
              <w:rPr>
                <w:rFonts w:ascii="宋体" w:hAnsi="宋体" w:cs="宋体"/>
              </w:rPr>
            </w:pPr>
          </w:p>
        </w:tc>
        <w:tc>
          <w:tcPr>
            <w:tcW w:w="2266" w:type="dxa"/>
            <w:vAlign w:val="center"/>
          </w:tcPr>
          <w:p w14:paraId="1483C1B4">
            <w:pPr>
              <w:pStyle w:val="9"/>
              <w:spacing w:line="360" w:lineRule="auto"/>
              <w:jc w:val="center"/>
              <w:rPr>
                <w:rFonts w:ascii="宋体" w:hAnsi="宋体" w:cs="宋体"/>
              </w:rPr>
            </w:pPr>
          </w:p>
        </w:tc>
        <w:tc>
          <w:tcPr>
            <w:tcW w:w="2966" w:type="dxa"/>
            <w:vAlign w:val="center"/>
          </w:tcPr>
          <w:p w14:paraId="0585990D">
            <w:pPr>
              <w:pStyle w:val="9"/>
              <w:spacing w:line="360" w:lineRule="auto"/>
              <w:jc w:val="center"/>
              <w:rPr>
                <w:rFonts w:ascii="宋体" w:hAnsi="宋体" w:cs="宋体"/>
              </w:rPr>
            </w:pPr>
          </w:p>
        </w:tc>
      </w:tr>
      <w:tr w14:paraId="099E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78AACAB3">
            <w:pPr>
              <w:pStyle w:val="9"/>
              <w:spacing w:line="360" w:lineRule="auto"/>
              <w:jc w:val="center"/>
              <w:rPr>
                <w:rFonts w:ascii="宋体" w:hAnsi="宋体" w:cs="宋体"/>
              </w:rPr>
            </w:pPr>
          </w:p>
        </w:tc>
        <w:tc>
          <w:tcPr>
            <w:tcW w:w="2514" w:type="dxa"/>
            <w:vAlign w:val="center"/>
          </w:tcPr>
          <w:p w14:paraId="18B03D45">
            <w:pPr>
              <w:pStyle w:val="9"/>
              <w:spacing w:line="360" w:lineRule="auto"/>
              <w:jc w:val="center"/>
              <w:rPr>
                <w:rFonts w:ascii="宋体" w:hAnsi="宋体" w:cs="宋体"/>
              </w:rPr>
            </w:pPr>
          </w:p>
        </w:tc>
        <w:tc>
          <w:tcPr>
            <w:tcW w:w="2266" w:type="dxa"/>
            <w:vAlign w:val="center"/>
          </w:tcPr>
          <w:p w14:paraId="2D258FC1">
            <w:pPr>
              <w:pStyle w:val="9"/>
              <w:spacing w:line="360" w:lineRule="auto"/>
              <w:jc w:val="center"/>
              <w:rPr>
                <w:rFonts w:ascii="宋体" w:hAnsi="宋体" w:cs="宋体"/>
              </w:rPr>
            </w:pPr>
          </w:p>
        </w:tc>
        <w:tc>
          <w:tcPr>
            <w:tcW w:w="2966" w:type="dxa"/>
            <w:vAlign w:val="center"/>
          </w:tcPr>
          <w:p w14:paraId="1D57D57A">
            <w:pPr>
              <w:pStyle w:val="9"/>
              <w:spacing w:line="360" w:lineRule="auto"/>
              <w:jc w:val="center"/>
              <w:rPr>
                <w:rFonts w:ascii="宋体" w:hAnsi="宋体" w:cs="宋体"/>
              </w:rPr>
            </w:pPr>
          </w:p>
        </w:tc>
      </w:tr>
      <w:tr w14:paraId="2133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2F456628">
            <w:pPr>
              <w:pStyle w:val="9"/>
              <w:spacing w:line="360" w:lineRule="auto"/>
              <w:jc w:val="center"/>
              <w:rPr>
                <w:rFonts w:ascii="宋体" w:hAnsi="宋体" w:cs="宋体"/>
              </w:rPr>
            </w:pPr>
          </w:p>
        </w:tc>
        <w:tc>
          <w:tcPr>
            <w:tcW w:w="2514" w:type="dxa"/>
            <w:vAlign w:val="center"/>
          </w:tcPr>
          <w:p w14:paraId="02165037">
            <w:pPr>
              <w:pStyle w:val="9"/>
              <w:spacing w:line="360" w:lineRule="auto"/>
              <w:jc w:val="center"/>
              <w:rPr>
                <w:rFonts w:ascii="宋体" w:hAnsi="宋体" w:cs="宋体"/>
              </w:rPr>
            </w:pPr>
          </w:p>
        </w:tc>
        <w:tc>
          <w:tcPr>
            <w:tcW w:w="2266" w:type="dxa"/>
            <w:vAlign w:val="center"/>
          </w:tcPr>
          <w:p w14:paraId="267DABE6">
            <w:pPr>
              <w:pStyle w:val="9"/>
              <w:spacing w:line="360" w:lineRule="auto"/>
              <w:jc w:val="center"/>
              <w:rPr>
                <w:rFonts w:ascii="宋体" w:hAnsi="宋体" w:cs="宋体"/>
              </w:rPr>
            </w:pPr>
          </w:p>
        </w:tc>
        <w:tc>
          <w:tcPr>
            <w:tcW w:w="2966" w:type="dxa"/>
            <w:vAlign w:val="center"/>
          </w:tcPr>
          <w:p w14:paraId="71590E45">
            <w:pPr>
              <w:pStyle w:val="9"/>
              <w:spacing w:line="360" w:lineRule="auto"/>
              <w:jc w:val="center"/>
              <w:rPr>
                <w:rFonts w:ascii="宋体" w:hAnsi="宋体" w:cs="宋体"/>
              </w:rPr>
            </w:pPr>
          </w:p>
        </w:tc>
      </w:tr>
      <w:tr w14:paraId="6E26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1D9581F4">
            <w:pPr>
              <w:pStyle w:val="9"/>
              <w:spacing w:line="360" w:lineRule="auto"/>
              <w:jc w:val="center"/>
              <w:rPr>
                <w:rFonts w:ascii="宋体" w:hAnsi="宋体" w:cs="宋体"/>
              </w:rPr>
            </w:pPr>
          </w:p>
        </w:tc>
        <w:tc>
          <w:tcPr>
            <w:tcW w:w="2514" w:type="dxa"/>
            <w:vAlign w:val="center"/>
          </w:tcPr>
          <w:p w14:paraId="64FF534A">
            <w:pPr>
              <w:pStyle w:val="9"/>
              <w:spacing w:line="360" w:lineRule="auto"/>
              <w:jc w:val="center"/>
              <w:rPr>
                <w:rFonts w:ascii="宋体" w:hAnsi="宋体" w:cs="宋体"/>
              </w:rPr>
            </w:pPr>
          </w:p>
        </w:tc>
        <w:tc>
          <w:tcPr>
            <w:tcW w:w="2266" w:type="dxa"/>
            <w:vAlign w:val="center"/>
          </w:tcPr>
          <w:p w14:paraId="35FE9F55">
            <w:pPr>
              <w:pStyle w:val="9"/>
              <w:spacing w:line="360" w:lineRule="auto"/>
              <w:jc w:val="center"/>
              <w:rPr>
                <w:rFonts w:ascii="宋体" w:hAnsi="宋体" w:cs="宋体"/>
              </w:rPr>
            </w:pPr>
          </w:p>
        </w:tc>
        <w:tc>
          <w:tcPr>
            <w:tcW w:w="2966" w:type="dxa"/>
            <w:vAlign w:val="center"/>
          </w:tcPr>
          <w:p w14:paraId="15750DBB">
            <w:pPr>
              <w:pStyle w:val="9"/>
              <w:spacing w:line="360" w:lineRule="auto"/>
              <w:jc w:val="center"/>
              <w:rPr>
                <w:rFonts w:ascii="宋体" w:hAnsi="宋体" w:cs="宋体"/>
              </w:rPr>
            </w:pPr>
          </w:p>
        </w:tc>
      </w:tr>
    </w:tbl>
    <w:p w14:paraId="190A0B83">
      <w:pPr>
        <w:spacing w:line="360" w:lineRule="auto"/>
        <w:jc w:val="center"/>
        <w:rPr>
          <w:rFonts w:ascii="宋体" w:hAnsi="宋体"/>
          <w:bCs/>
          <w:sz w:val="24"/>
          <w:szCs w:val="28"/>
        </w:rPr>
      </w:pPr>
    </w:p>
    <w:p w14:paraId="4CBB957D">
      <w:pPr>
        <w:pStyle w:val="4"/>
        <w:numPr>
          <w:ilvl w:val="0"/>
          <w:numId w:val="0"/>
        </w:numPr>
        <w:ind w:left="709" w:hanging="709"/>
        <w:rPr>
          <w:rFonts w:hAnsi="宋体"/>
          <w:lang w:val="zh-CN"/>
        </w:rPr>
      </w:pPr>
      <w:r>
        <w:rPr>
          <w:rFonts w:hAnsi="宋体"/>
          <w:bCs/>
          <w:sz w:val="24"/>
          <w:szCs w:val="28"/>
        </w:rPr>
        <w:br w:type="page"/>
      </w:r>
      <w:bookmarkStart w:id="216" w:name="_Toc1575347"/>
      <w:r>
        <w:rPr>
          <w:rFonts w:hint="eastAsia" w:hAnsi="宋体"/>
          <w:b/>
          <w:sz w:val="32"/>
          <w:lang w:val="zh-CN"/>
        </w:rPr>
        <w:t>格式12、</w:t>
      </w:r>
      <w:bookmarkStart w:id="217" w:name="_Toc487036155"/>
      <w:r>
        <w:rPr>
          <w:rFonts w:hint="eastAsia" w:hAnsi="宋体"/>
          <w:b/>
          <w:sz w:val="32"/>
          <w:szCs w:val="32"/>
        </w:rPr>
        <w:t>竞争性磋商首次报价表</w:t>
      </w:r>
      <w:bookmarkEnd w:id="216"/>
      <w:bookmarkEnd w:id="217"/>
    </w:p>
    <w:p w14:paraId="26400B13">
      <w:pPr>
        <w:autoSpaceDE w:val="0"/>
        <w:autoSpaceDN w:val="0"/>
        <w:adjustRightInd w:val="0"/>
        <w:spacing w:line="360" w:lineRule="auto"/>
        <w:jc w:val="center"/>
        <w:rPr>
          <w:rFonts w:ascii="宋体" w:hAnsi="宋体"/>
          <w:b/>
          <w:sz w:val="32"/>
          <w:szCs w:val="32"/>
        </w:rPr>
      </w:pPr>
      <w:r>
        <w:rPr>
          <w:rFonts w:hint="eastAsia" w:ascii="宋体" w:hAnsi="宋体"/>
          <w:b/>
          <w:sz w:val="32"/>
          <w:szCs w:val="32"/>
        </w:rPr>
        <w:t>竞争性磋商首次报价表</w:t>
      </w:r>
    </w:p>
    <w:p w14:paraId="24D1737C">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采购项目名称： </w:t>
      </w:r>
    </w:p>
    <w:p w14:paraId="1F132F57">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采购项目编号：</w:t>
      </w:r>
    </w:p>
    <w:p w14:paraId="0556144E">
      <w:pPr>
        <w:shd w:val="clear"/>
        <w:autoSpaceDE w:val="0"/>
        <w:autoSpaceDN w:val="0"/>
        <w:spacing w:line="360" w:lineRule="auto"/>
        <w:jc w:val="right"/>
        <w:rPr>
          <w:rFonts w:ascii="宋体" w:hAnsi="宋体" w:cs="宋体"/>
          <w:bCs/>
          <w:kern w:val="0"/>
          <w:sz w:val="24"/>
          <w:lang w:val="zh-CN"/>
        </w:rPr>
      </w:pPr>
      <w:r>
        <w:rPr>
          <w:rFonts w:hint="eastAsia" w:ascii="宋体" w:hAnsi="宋体" w:cs="宋体"/>
          <w:bCs/>
          <w:kern w:val="0"/>
          <w:sz w:val="24"/>
          <w:lang w:val="zh-CN"/>
        </w:rPr>
        <w:t>单位：人民币（元）</w:t>
      </w:r>
    </w:p>
    <w:p w14:paraId="56BF0261">
      <w:pPr>
        <w:autoSpaceDE w:val="0"/>
        <w:autoSpaceDN w:val="0"/>
        <w:spacing w:line="360" w:lineRule="auto"/>
        <w:rPr>
          <w:rFonts w:ascii="宋体" w:hAnsi="宋体" w:cs="宋体"/>
          <w:b/>
          <w:bCs/>
          <w:sz w:val="24"/>
          <w:lang w:val="zh-CN"/>
        </w:rPr>
      </w:pPr>
      <w:r>
        <w:rPr>
          <w:rFonts w:hint="eastAsia" w:ascii="宋体" w:hAnsi="宋体" w:cs="宋体"/>
          <w:b/>
          <w:bCs/>
          <w:sz w:val="24"/>
          <w:lang w:val="zh-CN"/>
        </w:rPr>
        <w:t>磋商供应商名称：</w:t>
      </w:r>
    </w:p>
    <w:tbl>
      <w:tblPr>
        <w:tblStyle w:val="34"/>
        <w:tblW w:w="9968" w:type="dxa"/>
        <w:jc w:val="center"/>
        <w:shd w:val="clear" w:color="auto" w:fill="auto"/>
        <w:tblLayout w:type="fixed"/>
        <w:tblCellMar>
          <w:top w:w="0" w:type="dxa"/>
          <w:left w:w="108" w:type="dxa"/>
          <w:bottom w:w="0" w:type="dxa"/>
          <w:right w:w="108" w:type="dxa"/>
        </w:tblCellMar>
      </w:tblPr>
      <w:tblGrid>
        <w:gridCol w:w="3516"/>
        <w:gridCol w:w="2829"/>
        <w:gridCol w:w="2016"/>
        <w:gridCol w:w="1607"/>
      </w:tblGrid>
      <w:tr w14:paraId="0670D91B">
        <w:tblPrEx>
          <w:shd w:val="clear" w:color="auto" w:fill="auto"/>
          <w:tblCellMar>
            <w:top w:w="0" w:type="dxa"/>
            <w:left w:w="108" w:type="dxa"/>
            <w:bottom w:w="0" w:type="dxa"/>
            <w:right w:w="108" w:type="dxa"/>
          </w:tblCellMar>
        </w:tblPrEx>
        <w:trPr>
          <w:trHeight w:val="699" w:hRule="atLeast"/>
          <w:jc w:val="center"/>
        </w:trPr>
        <w:tc>
          <w:tcPr>
            <w:tcW w:w="35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0F6EA6">
            <w:pPr>
              <w:autoSpaceDE w:val="0"/>
              <w:autoSpaceDN w:val="0"/>
              <w:spacing w:line="360" w:lineRule="auto"/>
              <w:jc w:val="center"/>
              <w:rPr>
                <w:rFonts w:ascii="Arial" w:hAnsi="Arial" w:cs="Arial"/>
                <w:sz w:val="24"/>
                <w:lang w:val="zh-CN"/>
              </w:rPr>
            </w:pPr>
            <w:r>
              <w:rPr>
                <w:rFonts w:ascii="Arial" w:hAnsi="Arial" w:cs="Arial"/>
                <w:bCs/>
                <w:sz w:val="24"/>
                <w:lang w:val="zh-CN"/>
              </w:rPr>
              <w:t>项目名称</w:t>
            </w:r>
          </w:p>
        </w:tc>
        <w:tc>
          <w:tcPr>
            <w:tcW w:w="282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653C1B">
            <w:pPr>
              <w:autoSpaceDE w:val="0"/>
              <w:autoSpaceDN w:val="0"/>
              <w:spacing w:line="360" w:lineRule="auto"/>
              <w:ind w:firstLine="482"/>
              <w:rPr>
                <w:rFonts w:ascii="Arial" w:hAnsi="Arial" w:cs="Arial"/>
                <w:lang w:val="zh-CN"/>
              </w:rPr>
            </w:pPr>
            <w:r>
              <w:rPr>
                <w:rFonts w:hint="eastAsia" w:ascii="Arial" w:hAnsi="Arial" w:cs="Arial"/>
                <w:bCs/>
                <w:sz w:val="24"/>
                <w:lang w:val="zh-CN"/>
              </w:rPr>
              <w:t>磋商首次</w:t>
            </w:r>
            <w:r>
              <w:rPr>
                <w:rFonts w:ascii="Arial" w:hAnsi="Arial" w:cs="Arial"/>
                <w:bCs/>
                <w:sz w:val="24"/>
                <w:lang w:val="zh-CN"/>
              </w:rPr>
              <w:t>报价</w:t>
            </w:r>
          </w:p>
        </w:tc>
        <w:tc>
          <w:tcPr>
            <w:tcW w:w="2016" w:type="dxa"/>
            <w:tcBorders>
              <w:top w:val="single" w:color="000000" w:sz="6" w:space="0"/>
              <w:left w:val="single" w:color="000000" w:sz="6" w:space="0"/>
              <w:bottom w:val="single" w:color="000000" w:sz="6" w:space="0"/>
              <w:right w:val="single" w:color="auto" w:sz="4" w:space="0"/>
            </w:tcBorders>
            <w:shd w:val="clear" w:color="auto" w:fill="auto"/>
            <w:vAlign w:val="center"/>
          </w:tcPr>
          <w:p w14:paraId="288EE511">
            <w:pPr>
              <w:autoSpaceDE w:val="0"/>
              <w:autoSpaceDN w:val="0"/>
              <w:spacing w:line="360" w:lineRule="auto"/>
              <w:jc w:val="center"/>
              <w:rPr>
                <w:rFonts w:ascii="Arial" w:hAnsi="Arial" w:cs="Arial"/>
                <w:sz w:val="24"/>
                <w:lang w:val="zh-CN"/>
              </w:rPr>
            </w:pPr>
            <w:r>
              <w:rPr>
                <w:rFonts w:ascii="Arial" w:hAnsi="Arial" w:cs="Arial"/>
                <w:bCs/>
                <w:sz w:val="24"/>
                <w:lang w:val="zh-CN"/>
              </w:rPr>
              <w:t>交货期</w:t>
            </w:r>
          </w:p>
        </w:tc>
        <w:tc>
          <w:tcPr>
            <w:tcW w:w="16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BF7D32">
            <w:pPr>
              <w:autoSpaceDE w:val="0"/>
              <w:autoSpaceDN w:val="0"/>
              <w:spacing w:line="360" w:lineRule="auto"/>
              <w:jc w:val="center"/>
              <w:rPr>
                <w:rFonts w:ascii="Arial" w:hAnsi="Arial" w:cs="Arial"/>
                <w:lang w:val="zh-CN"/>
              </w:rPr>
            </w:pPr>
            <w:r>
              <w:rPr>
                <w:rFonts w:ascii="Arial" w:hAnsi="Arial" w:cs="Arial"/>
                <w:bCs/>
                <w:sz w:val="24"/>
                <w:lang w:val="zh-CN"/>
              </w:rPr>
              <w:t>备注</w:t>
            </w:r>
          </w:p>
        </w:tc>
      </w:tr>
      <w:tr w14:paraId="7FABA0EB">
        <w:tblPrEx>
          <w:shd w:val="clear" w:color="auto" w:fill="auto"/>
          <w:tblCellMar>
            <w:top w:w="0" w:type="dxa"/>
            <w:left w:w="108" w:type="dxa"/>
            <w:bottom w:w="0" w:type="dxa"/>
            <w:right w:w="108" w:type="dxa"/>
          </w:tblCellMar>
        </w:tblPrEx>
        <w:trPr>
          <w:trHeight w:val="993" w:hRule="atLeast"/>
          <w:jc w:val="center"/>
        </w:trPr>
        <w:tc>
          <w:tcPr>
            <w:tcW w:w="3516" w:type="dxa"/>
            <w:vMerge w:val="restart"/>
            <w:tcBorders>
              <w:top w:val="single" w:color="000000" w:sz="6" w:space="0"/>
              <w:left w:val="single" w:color="000000" w:sz="6" w:space="0"/>
              <w:right w:val="single" w:color="000000" w:sz="6" w:space="0"/>
            </w:tcBorders>
            <w:shd w:val="clear" w:color="auto" w:fill="auto"/>
            <w:vAlign w:val="center"/>
          </w:tcPr>
          <w:p w14:paraId="5C890D94">
            <w:pPr>
              <w:autoSpaceDE w:val="0"/>
              <w:autoSpaceDN w:val="0"/>
              <w:spacing w:line="360" w:lineRule="auto"/>
              <w:jc w:val="center"/>
              <w:rPr>
                <w:rFonts w:ascii="Arial" w:hAnsi="Arial" w:cs="Arial"/>
                <w:lang w:val="zh-CN"/>
              </w:rPr>
            </w:pPr>
          </w:p>
        </w:tc>
        <w:tc>
          <w:tcPr>
            <w:tcW w:w="282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4A2721">
            <w:pPr>
              <w:autoSpaceDE w:val="0"/>
              <w:autoSpaceDN w:val="0"/>
              <w:spacing w:line="360" w:lineRule="auto"/>
              <w:rPr>
                <w:rFonts w:ascii="Arial" w:hAnsi="Arial" w:cs="Arial"/>
                <w:lang w:val="zh-CN"/>
              </w:rPr>
            </w:pPr>
            <w:r>
              <w:rPr>
                <w:rFonts w:ascii="Arial" w:hAnsi="Arial" w:cs="Arial"/>
                <w:bCs/>
                <w:sz w:val="24"/>
                <w:lang w:val="zh-CN"/>
              </w:rPr>
              <w:t>大写：</w:t>
            </w:r>
          </w:p>
        </w:tc>
        <w:tc>
          <w:tcPr>
            <w:tcW w:w="2016" w:type="dxa"/>
            <w:vMerge w:val="restart"/>
            <w:tcBorders>
              <w:top w:val="single" w:color="000000" w:sz="6" w:space="0"/>
              <w:left w:val="single" w:color="000000" w:sz="6" w:space="0"/>
              <w:bottom w:val="single" w:color="000000" w:sz="6" w:space="0"/>
              <w:right w:val="single" w:color="auto" w:sz="4" w:space="0"/>
            </w:tcBorders>
            <w:shd w:val="clear" w:color="auto" w:fill="auto"/>
            <w:vAlign w:val="center"/>
          </w:tcPr>
          <w:p w14:paraId="348E359D">
            <w:pPr>
              <w:autoSpaceDE w:val="0"/>
              <w:autoSpaceDN w:val="0"/>
              <w:spacing w:line="360" w:lineRule="auto"/>
              <w:ind w:firstLine="197"/>
              <w:jc w:val="center"/>
              <w:rPr>
                <w:rFonts w:ascii="Arial" w:hAnsi="Arial" w:cs="Arial"/>
                <w:lang w:val="zh-CN"/>
              </w:rPr>
            </w:pPr>
          </w:p>
        </w:tc>
        <w:tc>
          <w:tcPr>
            <w:tcW w:w="160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6B9AE60F">
            <w:pPr>
              <w:autoSpaceDE w:val="0"/>
              <w:autoSpaceDN w:val="0"/>
              <w:spacing w:line="360" w:lineRule="auto"/>
              <w:jc w:val="center"/>
              <w:rPr>
                <w:rFonts w:ascii="Arial" w:hAnsi="Arial" w:cs="Arial"/>
                <w:lang w:val="zh-CN"/>
              </w:rPr>
            </w:pPr>
          </w:p>
        </w:tc>
      </w:tr>
      <w:tr w14:paraId="5AB3C5AC">
        <w:tblPrEx>
          <w:shd w:val="clear" w:color="auto" w:fill="auto"/>
          <w:tblCellMar>
            <w:top w:w="0" w:type="dxa"/>
            <w:left w:w="108" w:type="dxa"/>
            <w:bottom w:w="0" w:type="dxa"/>
            <w:right w:w="108" w:type="dxa"/>
          </w:tblCellMar>
        </w:tblPrEx>
        <w:trPr>
          <w:trHeight w:val="845" w:hRule="atLeast"/>
          <w:jc w:val="center"/>
        </w:trPr>
        <w:tc>
          <w:tcPr>
            <w:tcW w:w="3516" w:type="dxa"/>
            <w:vMerge w:val="continue"/>
            <w:tcBorders>
              <w:left w:val="single" w:color="000000" w:sz="6" w:space="0"/>
              <w:bottom w:val="single" w:color="auto" w:sz="4" w:space="0"/>
              <w:right w:val="single" w:color="000000" w:sz="6" w:space="0"/>
            </w:tcBorders>
            <w:shd w:val="clear" w:color="auto" w:fill="auto"/>
            <w:vAlign w:val="center"/>
          </w:tcPr>
          <w:p w14:paraId="336AB226">
            <w:pPr>
              <w:autoSpaceDE w:val="0"/>
              <w:autoSpaceDN w:val="0"/>
              <w:spacing w:line="360" w:lineRule="auto"/>
              <w:jc w:val="center"/>
              <w:rPr>
                <w:rFonts w:ascii="Arial" w:hAnsi="Arial" w:cs="Arial"/>
                <w:lang w:val="zh-CN"/>
              </w:rPr>
            </w:pPr>
          </w:p>
        </w:tc>
        <w:tc>
          <w:tcPr>
            <w:tcW w:w="2829" w:type="dxa"/>
            <w:tcBorders>
              <w:top w:val="single" w:color="000000" w:sz="6" w:space="0"/>
              <w:left w:val="single" w:color="000000" w:sz="6" w:space="0"/>
              <w:bottom w:val="single" w:color="auto" w:sz="4" w:space="0"/>
              <w:right w:val="single" w:color="000000" w:sz="6" w:space="0"/>
            </w:tcBorders>
            <w:shd w:val="clear" w:color="auto" w:fill="auto"/>
            <w:vAlign w:val="center"/>
          </w:tcPr>
          <w:p w14:paraId="3239C7FB">
            <w:pPr>
              <w:autoSpaceDE w:val="0"/>
              <w:autoSpaceDN w:val="0"/>
              <w:spacing w:line="360" w:lineRule="auto"/>
              <w:rPr>
                <w:rFonts w:ascii="Arial" w:hAnsi="Arial" w:cs="Arial"/>
                <w:lang w:val="zh-CN"/>
              </w:rPr>
            </w:pPr>
            <w:r>
              <w:rPr>
                <w:rFonts w:ascii="Arial" w:hAnsi="Arial" w:cs="Arial"/>
                <w:bCs/>
                <w:sz w:val="24"/>
                <w:lang w:val="zh-CN"/>
              </w:rPr>
              <w:t>小写：</w:t>
            </w:r>
          </w:p>
        </w:tc>
        <w:tc>
          <w:tcPr>
            <w:tcW w:w="2016" w:type="dxa"/>
            <w:vMerge w:val="continue"/>
            <w:tcBorders>
              <w:top w:val="single" w:color="000000" w:sz="6" w:space="0"/>
              <w:left w:val="single" w:color="000000" w:sz="6" w:space="0"/>
              <w:bottom w:val="single" w:color="auto" w:sz="4" w:space="0"/>
              <w:right w:val="single" w:color="auto" w:sz="4" w:space="0"/>
            </w:tcBorders>
            <w:shd w:val="clear" w:color="auto" w:fill="auto"/>
            <w:vAlign w:val="center"/>
          </w:tcPr>
          <w:p w14:paraId="3AA4CDD3">
            <w:pPr>
              <w:autoSpaceDE w:val="0"/>
              <w:autoSpaceDN w:val="0"/>
              <w:spacing w:line="360" w:lineRule="auto"/>
              <w:jc w:val="center"/>
              <w:rPr>
                <w:rFonts w:ascii="Arial" w:hAnsi="Arial" w:cs="Arial"/>
                <w:lang w:val="zh-CN"/>
              </w:rPr>
            </w:pPr>
          </w:p>
        </w:tc>
        <w:tc>
          <w:tcPr>
            <w:tcW w:w="1607" w:type="dxa"/>
            <w:vMerge w:val="continue"/>
            <w:tcBorders>
              <w:top w:val="single" w:color="000000" w:sz="6" w:space="0"/>
              <w:left w:val="single" w:color="000000" w:sz="6" w:space="0"/>
              <w:bottom w:val="single" w:color="auto" w:sz="4" w:space="0"/>
              <w:right w:val="single" w:color="000000" w:sz="6" w:space="0"/>
            </w:tcBorders>
            <w:shd w:val="clear" w:color="auto" w:fill="auto"/>
            <w:vAlign w:val="center"/>
          </w:tcPr>
          <w:p w14:paraId="6C58FD57">
            <w:pPr>
              <w:autoSpaceDE w:val="0"/>
              <w:autoSpaceDN w:val="0"/>
              <w:spacing w:line="360" w:lineRule="auto"/>
              <w:jc w:val="center"/>
              <w:rPr>
                <w:rFonts w:ascii="Arial" w:hAnsi="Arial" w:cs="Arial"/>
                <w:lang w:val="zh-CN"/>
              </w:rPr>
            </w:pPr>
          </w:p>
        </w:tc>
      </w:tr>
      <w:tr w14:paraId="74ED430C">
        <w:tblPrEx>
          <w:shd w:val="clear" w:color="auto" w:fill="auto"/>
          <w:tblCellMar>
            <w:top w:w="0" w:type="dxa"/>
            <w:left w:w="108" w:type="dxa"/>
            <w:bottom w:w="0" w:type="dxa"/>
            <w:right w:w="108" w:type="dxa"/>
          </w:tblCellMar>
        </w:tblPrEx>
        <w:trPr>
          <w:trHeight w:val="1782" w:hRule="atLeast"/>
          <w:jc w:val="center"/>
        </w:trPr>
        <w:tc>
          <w:tcPr>
            <w:tcW w:w="99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CB4E352">
            <w:pPr>
              <w:autoSpaceDE w:val="0"/>
              <w:autoSpaceDN w:val="0"/>
              <w:spacing w:line="360" w:lineRule="auto"/>
              <w:rPr>
                <w:rFonts w:ascii="Arial" w:hAnsi="Arial" w:cs="Arial"/>
              </w:rPr>
            </w:pPr>
            <w:r>
              <w:rPr>
                <w:rFonts w:hint="eastAsia" w:ascii="Arial" w:hAnsi="Arial" w:cs="Arial"/>
                <w:bCs/>
                <w:sz w:val="24"/>
              </w:rPr>
              <w:t>优惠承诺及其他：</w:t>
            </w:r>
          </w:p>
        </w:tc>
      </w:tr>
    </w:tbl>
    <w:p w14:paraId="120279A2">
      <w:pPr>
        <w:autoSpaceDE w:val="0"/>
        <w:autoSpaceDN w:val="0"/>
        <w:spacing w:line="360" w:lineRule="auto"/>
        <w:rPr>
          <w:rFonts w:ascii="宋体" w:hAnsi="宋体" w:cs="Arial"/>
          <w:b/>
          <w:bCs/>
          <w:sz w:val="20"/>
          <w:lang w:val="zh-CN"/>
        </w:rPr>
      </w:pPr>
    </w:p>
    <w:p w14:paraId="1697BE72">
      <w:pPr>
        <w:autoSpaceDE w:val="0"/>
        <w:autoSpaceDN w:val="0"/>
        <w:spacing w:line="360" w:lineRule="auto"/>
        <w:rPr>
          <w:rFonts w:ascii="宋体" w:hAnsi="宋体" w:cs="Arial"/>
          <w:b/>
          <w:sz w:val="20"/>
          <w:lang w:val="zh-CN"/>
        </w:rPr>
      </w:pPr>
      <w:r>
        <w:rPr>
          <w:rFonts w:ascii="宋体" w:hAnsi="宋体" w:cs="Arial"/>
          <w:b/>
          <w:bCs/>
          <w:sz w:val="20"/>
          <w:lang w:val="zh-CN"/>
        </w:rPr>
        <w:t>注：</w:t>
      </w:r>
      <w:r>
        <w:rPr>
          <w:rFonts w:ascii="宋体" w:hAnsi="宋体" w:cs="Arial"/>
          <w:b/>
          <w:sz w:val="20"/>
          <w:lang w:val="zh-CN"/>
        </w:rPr>
        <w:t>1</w:t>
      </w:r>
      <w:r>
        <w:rPr>
          <w:rFonts w:hint="eastAsia" w:ascii="宋体" w:hAnsi="宋体" w:cs="Arial"/>
          <w:b/>
          <w:sz w:val="20"/>
          <w:lang w:val="zh-CN"/>
        </w:rPr>
        <w:t>、</w:t>
      </w:r>
      <w:r>
        <w:rPr>
          <w:rFonts w:ascii="宋体" w:hAnsi="宋体" w:cs="Arial"/>
          <w:b/>
          <w:sz w:val="20"/>
          <w:lang w:val="zh-CN"/>
        </w:rPr>
        <w:t>填写此表时不得改变表格形式（可按所投包增加行）。</w:t>
      </w:r>
    </w:p>
    <w:p w14:paraId="31BEE999">
      <w:pPr>
        <w:spacing w:line="360" w:lineRule="auto"/>
        <w:ind w:firstLine="388" w:firstLineChars="193"/>
        <w:rPr>
          <w:rFonts w:ascii="宋体" w:hAnsi="宋体" w:cs="Arial"/>
          <w:b/>
          <w:sz w:val="20"/>
          <w:lang w:val="zh-CN"/>
        </w:rPr>
      </w:pPr>
      <w:r>
        <w:rPr>
          <w:rFonts w:ascii="宋体" w:hAnsi="宋体" w:cs="Arial"/>
          <w:b/>
          <w:sz w:val="20"/>
          <w:lang w:val="zh-CN"/>
        </w:rPr>
        <w:t>2</w:t>
      </w:r>
      <w:r>
        <w:rPr>
          <w:rFonts w:hint="eastAsia" w:ascii="宋体" w:hAnsi="宋体" w:cs="Arial"/>
          <w:b/>
          <w:sz w:val="20"/>
          <w:lang w:val="zh-CN"/>
        </w:rPr>
        <w:t>、“</w:t>
      </w:r>
      <w:r>
        <w:rPr>
          <w:rFonts w:ascii="宋体" w:hAnsi="宋体" w:cs="Arial"/>
          <w:b/>
          <w:sz w:val="20"/>
          <w:lang w:val="zh-CN"/>
        </w:rPr>
        <w:t>磋商报价</w:t>
      </w:r>
      <w:r>
        <w:rPr>
          <w:rFonts w:hint="eastAsia" w:ascii="宋体" w:hAnsi="宋体" w:cs="Arial"/>
          <w:b/>
          <w:sz w:val="20"/>
          <w:lang w:val="zh-CN"/>
        </w:rPr>
        <w:t>”</w:t>
      </w:r>
      <w:r>
        <w:rPr>
          <w:rFonts w:ascii="宋体" w:hAnsi="宋体" w:cs="Arial"/>
          <w:b/>
          <w:sz w:val="20"/>
          <w:lang w:val="zh-CN"/>
        </w:rPr>
        <w:t>为磋商总价。</w:t>
      </w:r>
      <w:r>
        <w:rPr>
          <w:rFonts w:hint="eastAsia" w:ascii="宋体" w:hAnsi="宋体" w:cs="Arial"/>
          <w:b/>
          <w:sz w:val="20"/>
          <w:lang w:val="zh-CN"/>
        </w:rPr>
        <w:t>磋商报价必须包括：产品费、验收费、手续费、包装费、运输费、售前、售中、售后服务费、招标代理费、税金及不可预见费等全部费用。</w:t>
      </w:r>
    </w:p>
    <w:p w14:paraId="2768ADD1">
      <w:pPr>
        <w:spacing w:line="360" w:lineRule="auto"/>
        <w:ind w:firstLine="388" w:firstLineChars="193"/>
        <w:rPr>
          <w:rFonts w:ascii="宋体" w:hAnsi="宋体" w:cs="宋体"/>
          <w:b/>
          <w:bCs/>
          <w:kern w:val="0"/>
          <w:sz w:val="20"/>
          <w:lang w:val="zh-CN"/>
        </w:rPr>
      </w:pPr>
      <w:r>
        <w:rPr>
          <w:rFonts w:ascii="宋体" w:hAnsi="宋体" w:cs="Arial"/>
          <w:b/>
          <w:sz w:val="20"/>
          <w:lang w:val="zh-CN"/>
        </w:rPr>
        <w:t>3</w:t>
      </w:r>
      <w:r>
        <w:rPr>
          <w:rFonts w:hint="eastAsia" w:ascii="宋体" w:hAnsi="宋体" w:cs="Arial"/>
          <w:b/>
          <w:sz w:val="20"/>
          <w:lang w:val="zh-CN"/>
        </w:rPr>
        <w:t>、“</w:t>
      </w:r>
      <w:r>
        <w:rPr>
          <w:rFonts w:ascii="宋体" w:hAnsi="宋体" w:cs="Arial"/>
          <w:b/>
          <w:sz w:val="20"/>
          <w:lang w:val="zh-CN"/>
        </w:rPr>
        <w:t>交货</w:t>
      </w:r>
      <w:r>
        <w:rPr>
          <w:rFonts w:hint="eastAsia" w:ascii="宋体" w:hAnsi="宋体" w:cs="Arial"/>
          <w:b/>
          <w:sz w:val="20"/>
          <w:lang w:val="zh-CN"/>
        </w:rPr>
        <w:t>时间”是指产品能够交付使用的具体时间。</w:t>
      </w:r>
    </w:p>
    <w:p w14:paraId="0CBE4620">
      <w:pPr>
        <w:spacing w:line="360" w:lineRule="auto"/>
        <w:ind w:firstLine="388" w:firstLineChars="193"/>
        <w:rPr>
          <w:rFonts w:ascii="宋体" w:hAnsi="宋体" w:cs="Arial"/>
          <w:b/>
          <w:sz w:val="20"/>
          <w:lang w:val="zh-CN"/>
        </w:rPr>
      </w:pPr>
      <w:r>
        <w:rPr>
          <w:rFonts w:hint="eastAsia" w:ascii="宋体" w:hAnsi="宋体" w:cs="Arial"/>
          <w:b/>
          <w:sz w:val="20"/>
        </w:rPr>
        <w:t>4</w:t>
      </w:r>
      <w:r>
        <w:rPr>
          <w:rFonts w:hint="eastAsia" w:ascii="宋体" w:hAnsi="宋体" w:cs="Arial"/>
          <w:b/>
          <w:sz w:val="20"/>
          <w:lang w:val="zh-CN"/>
        </w:rPr>
        <w:t>、</w:t>
      </w:r>
      <w:r>
        <w:rPr>
          <w:rFonts w:ascii="宋体" w:hAnsi="宋体" w:cs="Arial"/>
          <w:b/>
          <w:sz w:val="20"/>
          <w:lang w:val="zh-CN"/>
        </w:rPr>
        <w:t>磋商报价不能有两个或两个以上的报价方案。</w:t>
      </w:r>
    </w:p>
    <w:p w14:paraId="1916CAB2">
      <w:pPr>
        <w:pStyle w:val="13"/>
      </w:pPr>
      <w:r>
        <w:rPr>
          <w:rFonts w:hint="eastAsia" w:ascii="宋体" w:hAnsi="宋体" w:cs="Arial"/>
          <w:b/>
        </w:rPr>
        <w:t xml:space="preserve">   </w:t>
      </w:r>
    </w:p>
    <w:p w14:paraId="090E3ED8">
      <w:pPr>
        <w:spacing w:line="360" w:lineRule="auto"/>
        <w:ind w:firstLine="388" w:firstLineChars="193"/>
        <w:rPr>
          <w:rFonts w:ascii="宋体" w:hAnsi="宋体" w:cs="宋体"/>
          <w:b/>
          <w:bCs/>
          <w:kern w:val="0"/>
          <w:sz w:val="20"/>
          <w:lang w:val="zh-CN"/>
        </w:rPr>
      </w:pPr>
    </w:p>
    <w:p w14:paraId="4EC9AF46">
      <w:pPr>
        <w:spacing w:line="360" w:lineRule="auto"/>
        <w:ind w:firstLine="388" w:firstLineChars="193"/>
        <w:rPr>
          <w:rFonts w:ascii="宋体" w:hAnsi="宋体" w:cs="宋体"/>
          <w:b/>
          <w:bCs/>
          <w:kern w:val="0"/>
          <w:sz w:val="20"/>
          <w:lang w:val="zh-CN"/>
        </w:rPr>
      </w:pPr>
    </w:p>
    <w:p w14:paraId="7BBF39F5">
      <w:pPr>
        <w:spacing w:line="360" w:lineRule="auto"/>
        <w:ind w:firstLine="388" w:firstLineChars="193"/>
        <w:rPr>
          <w:rFonts w:ascii="宋体" w:hAnsi="宋体" w:cs="宋体"/>
          <w:b/>
          <w:bCs/>
          <w:kern w:val="0"/>
          <w:sz w:val="20"/>
          <w:lang w:val="zh-CN"/>
        </w:rPr>
      </w:pPr>
    </w:p>
    <w:p w14:paraId="0D3D770C">
      <w:pPr>
        <w:spacing w:line="360" w:lineRule="auto"/>
        <w:ind w:firstLine="388" w:firstLineChars="193"/>
        <w:rPr>
          <w:rFonts w:ascii="宋体" w:hAnsi="宋体" w:cs="宋体"/>
          <w:b/>
          <w:bCs/>
          <w:kern w:val="0"/>
          <w:sz w:val="20"/>
          <w:szCs w:val="22"/>
          <w:lang w:val="zh-CN"/>
        </w:rPr>
      </w:pPr>
    </w:p>
    <w:p w14:paraId="7CBAE0E3">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磋商供应商：</w:t>
      </w:r>
      <w:r>
        <w:rPr>
          <w:rFonts w:hint="eastAsia" w:ascii="宋体" w:hAnsi="宋体"/>
          <w:bCs/>
          <w:sz w:val="24"/>
          <w:szCs w:val="28"/>
          <w:u w:val="single"/>
        </w:rPr>
        <w:t xml:space="preserve">             </w:t>
      </w:r>
      <w:r>
        <w:rPr>
          <w:rFonts w:hint="eastAsia" w:ascii="宋体" w:hAnsi="宋体"/>
          <w:bCs/>
          <w:sz w:val="24"/>
          <w:szCs w:val="28"/>
        </w:rPr>
        <w:t>（公章）</w:t>
      </w:r>
    </w:p>
    <w:p w14:paraId="30ED6783">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77046346">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38D563AA">
      <w:pPr>
        <w:pStyle w:val="4"/>
        <w:numPr>
          <w:ilvl w:val="0"/>
          <w:numId w:val="0"/>
        </w:numPr>
        <w:ind w:left="709" w:hanging="709"/>
        <w:rPr>
          <w:rFonts w:hAnsi="宋体"/>
          <w:lang w:val="zh-CN"/>
        </w:rPr>
      </w:pPr>
      <w:r>
        <w:rPr>
          <w:rFonts w:hAnsi="宋体"/>
          <w:bCs/>
          <w:sz w:val="24"/>
          <w:szCs w:val="28"/>
        </w:rPr>
        <w:br w:type="page"/>
      </w:r>
      <w:bookmarkStart w:id="218" w:name="_Toc1575348"/>
      <w:r>
        <w:rPr>
          <w:rFonts w:hint="eastAsia" w:hAnsi="宋体"/>
          <w:b/>
          <w:sz w:val="32"/>
          <w:lang w:val="zh-CN"/>
        </w:rPr>
        <w:t>格式13、分项报价表</w:t>
      </w:r>
      <w:bookmarkEnd w:id="218"/>
    </w:p>
    <w:p w14:paraId="5871A8B2">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分项报价表</w:t>
      </w:r>
    </w:p>
    <w:p w14:paraId="05B945E6">
      <w:pPr>
        <w:spacing w:line="360" w:lineRule="auto"/>
        <w:rPr>
          <w:rFonts w:ascii="宋体" w:hAnsi="宋体" w:cs="宋体"/>
          <w:b/>
          <w:bCs/>
          <w:kern w:val="0"/>
          <w:sz w:val="24"/>
          <w:lang w:val="zh-CN"/>
        </w:rPr>
      </w:pPr>
      <w:r>
        <w:rPr>
          <w:rFonts w:hint="eastAsia" w:ascii="宋体" w:hAnsi="宋体" w:cs="宋体"/>
          <w:b/>
          <w:bCs/>
          <w:kern w:val="0"/>
          <w:sz w:val="24"/>
          <w:lang w:val="zh-CN"/>
        </w:rPr>
        <w:t xml:space="preserve">采购项目名称： </w:t>
      </w:r>
    </w:p>
    <w:p w14:paraId="1C770024">
      <w:pPr>
        <w:spacing w:line="360" w:lineRule="auto"/>
        <w:rPr>
          <w:rFonts w:ascii="宋体" w:hAnsi="宋体" w:cs="宋体"/>
          <w:b/>
          <w:bCs/>
          <w:kern w:val="0"/>
          <w:sz w:val="24"/>
          <w:lang w:val="zh-CN"/>
        </w:rPr>
      </w:pPr>
      <w:r>
        <w:rPr>
          <w:rFonts w:hint="eastAsia" w:ascii="宋体" w:hAnsi="宋体" w:cs="宋体"/>
          <w:b/>
          <w:bCs/>
          <w:kern w:val="0"/>
          <w:sz w:val="24"/>
          <w:lang w:val="zh-CN"/>
        </w:rPr>
        <w:t>采购项目编号：</w:t>
      </w:r>
    </w:p>
    <w:p w14:paraId="67F29ECA">
      <w:pPr>
        <w:spacing w:line="360" w:lineRule="auto"/>
        <w:jc w:val="right"/>
        <w:rPr>
          <w:rFonts w:ascii="宋体" w:hAnsi="宋体"/>
          <w:lang w:val="zh-CN"/>
        </w:rPr>
      </w:pPr>
      <w:r>
        <w:rPr>
          <w:rFonts w:ascii="宋体" w:hAnsi="宋体" w:cs="宋体"/>
          <w:bCs/>
          <w:kern w:val="0"/>
          <w:sz w:val="24"/>
          <w:lang w:val="zh-CN"/>
        </w:rPr>
        <w:t>单位</w:t>
      </w:r>
      <w:r>
        <w:rPr>
          <w:rFonts w:hint="eastAsia" w:ascii="宋体" w:hAnsi="宋体" w:cs="宋体"/>
          <w:bCs/>
          <w:kern w:val="0"/>
          <w:sz w:val="24"/>
          <w:lang w:val="zh-CN"/>
        </w:rPr>
        <w:t>：</w:t>
      </w:r>
      <w:r>
        <w:rPr>
          <w:rFonts w:ascii="宋体" w:hAnsi="宋体" w:cs="宋体"/>
          <w:bCs/>
          <w:kern w:val="0"/>
          <w:sz w:val="24"/>
          <w:lang w:val="zh-CN"/>
        </w:rPr>
        <w:t>人民币</w:t>
      </w:r>
      <w:r>
        <w:rPr>
          <w:rFonts w:hint="eastAsia" w:ascii="宋体" w:hAnsi="宋体" w:cs="宋体"/>
          <w:bCs/>
          <w:kern w:val="0"/>
          <w:sz w:val="24"/>
          <w:lang w:val="zh-CN"/>
        </w:rPr>
        <w:t>（</w:t>
      </w:r>
      <w:r>
        <w:rPr>
          <w:rFonts w:ascii="宋体" w:hAnsi="宋体" w:cs="宋体"/>
          <w:bCs/>
          <w:kern w:val="0"/>
          <w:sz w:val="24"/>
          <w:lang w:val="zh-CN"/>
        </w:rPr>
        <w:t>元</w:t>
      </w:r>
      <w:r>
        <w:rPr>
          <w:rFonts w:hint="eastAsia" w:ascii="宋体" w:hAnsi="宋体" w:cs="宋体"/>
          <w:bCs/>
          <w:kern w:val="0"/>
          <w:sz w:val="24"/>
          <w:lang w:val="zh-CN"/>
        </w:rPr>
        <w:t>）</w:t>
      </w:r>
    </w:p>
    <w:tbl>
      <w:tblPr>
        <w:tblStyle w:val="34"/>
        <w:tblW w:w="9808" w:type="dxa"/>
        <w:jc w:val="center"/>
        <w:shd w:val="clear" w:color="auto" w:fill="auto"/>
        <w:tblLayout w:type="fixed"/>
        <w:tblCellMar>
          <w:top w:w="0" w:type="dxa"/>
          <w:left w:w="28" w:type="dxa"/>
          <w:bottom w:w="0" w:type="dxa"/>
          <w:right w:w="28" w:type="dxa"/>
        </w:tblCellMar>
      </w:tblPr>
      <w:tblGrid>
        <w:gridCol w:w="713"/>
        <w:gridCol w:w="1666"/>
        <w:gridCol w:w="1030"/>
        <w:gridCol w:w="1157"/>
        <w:gridCol w:w="1338"/>
        <w:gridCol w:w="1208"/>
        <w:gridCol w:w="804"/>
        <w:gridCol w:w="947"/>
        <w:gridCol w:w="945"/>
      </w:tblGrid>
      <w:tr w14:paraId="6F523BE0">
        <w:tblPrEx>
          <w:shd w:val="clear" w:color="auto" w:fill="auto"/>
          <w:tblCellMar>
            <w:top w:w="0" w:type="dxa"/>
            <w:left w:w="28" w:type="dxa"/>
            <w:bottom w:w="0" w:type="dxa"/>
            <w:right w:w="28" w:type="dxa"/>
          </w:tblCellMar>
        </w:tblPrEx>
        <w:trPr>
          <w:trHeight w:val="529" w:hRule="atLeast"/>
          <w:jc w:val="center"/>
        </w:trPr>
        <w:tc>
          <w:tcPr>
            <w:tcW w:w="713" w:type="dxa"/>
            <w:tcBorders>
              <w:top w:val="single" w:color="000000" w:sz="8" w:space="0"/>
              <w:left w:val="single" w:color="000000" w:sz="8" w:space="0"/>
              <w:bottom w:val="single" w:color="000000" w:sz="6" w:space="0"/>
              <w:right w:val="single" w:color="000000" w:sz="6" w:space="0"/>
            </w:tcBorders>
            <w:shd w:val="clear" w:color="auto" w:fill="auto"/>
            <w:vAlign w:val="center"/>
          </w:tcPr>
          <w:p w14:paraId="378BBF55">
            <w:pPr>
              <w:jc w:val="center"/>
              <w:rPr>
                <w:rFonts w:ascii="宋体" w:hAnsi="宋体"/>
                <w:sz w:val="24"/>
                <w:lang w:val="zh-CN"/>
              </w:rPr>
            </w:pPr>
            <w:r>
              <w:rPr>
                <w:rFonts w:hint="eastAsia" w:ascii="宋体" w:hAnsi="宋体"/>
                <w:sz w:val="24"/>
                <w:lang w:val="zh-CN"/>
              </w:rPr>
              <w:t>序号</w:t>
            </w:r>
          </w:p>
        </w:tc>
        <w:tc>
          <w:tcPr>
            <w:tcW w:w="1666" w:type="dxa"/>
            <w:tcBorders>
              <w:top w:val="single" w:color="000000" w:sz="8" w:space="0"/>
              <w:left w:val="single" w:color="000000" w:sz="6" w:space="0"/>
              <w:bottom w:val="single" w:color="000000" w:sz="6" w:space="0"/>
              <w:right w:val="single" w:color="000000" w:sz="6" w:space="0"/>
            </w:tcBorders>
            <w:shd w:val="clear" w:color="auto" w:fill="auto"/>
            <w:vAlign w:val="center"/>
          </w:tcPr>
          <w:p w14:paraId="31881F63">
            <w:pPr>
              <w:jc w:val="center"/>
              <w:rPr>
                <w:rFonts w:ascii="宋体" w:hAnsi="宋体"/>
                <w:sz w:val="24"/>
                <w:lang w:val="zh-CN"/>
              </w:rPr>
            </w:pPr>
            <w:r>
              <w:rPr>
                <w:rFonts w:hint="eastAsia" w:ascii="宋体" w:hAnsi="宋体"/>
                <w:sz w:val="24"/>
                <w:lang w:val="zh-CN"/>
              </w:rPr>
              <w:t>产品名称</w:t>
            </w:r>
          </w:p>
        </w:tc>
        <w:tc>
          <w:tcPr>
            <w:tcW w:w="1030" w:type="dxa"/>
            <w:tcBorders>
              <w:top w:val="single" w:color="000000" w:sz="8" w:space="0"/>
              <w:left w:val="single" w:color="000000" w:sz="6" w:space="0"/>
              <w:bottom w:val="single" w:color="000000" w:sz="6" w:space="0"/>
              <w:right w:val="single" w:color="000000" w:sz="6" w:space="0"/>
            </w:tcBorders>
            <w:shd w:val="clear" w:color="auto" w:fill="auto"/>
            <w:vAlign w:val="center"/>
          </w:tcPr>
          <w:p w14:paraId="58B794A2">
            <w:pPr>
              <w:jc w:val="center"/>
              <w:rPr>
                <w:rFonts w:ascii="宋体" w:hAnsi="宋体"/>
                <w:sz w:val="24"/>
                <w:lang w:val="zh-CN"/>
              </w:rPr>
            </w:pPr>
            <w:r>
              <w:rPr>
                <w:rFonts w:hint="eastAsia" w:ascii="宋体" w:hAnsi="宋体"/>
                <w:sz w:val="24"/>
                <w:lang w:val="zh-CN"/>
              </w:rPr>
              <w:t>品牌</w:t>
            </w:r>
          </w:p>
        </w:tc>
        <w:tc>
          <w:tcPr>
            <w:tcW w:w="1157" w:type="dxa"/>
            <w:tcBorders>
              <w:top w:val="single" w:color="000000" w:sz="8" w:space="0"/>
              <w:left w:val="single" w:color="000000" w:sz="6" w:space="0"/>
              <w:bottom w:val="single" w:color="000000" w:sz="6" w:space="0"/>
              <w:right w:val="single" w:color="000000" w:sz="6" w:space="0"/>
            </w:tcBorders>
            <w:shd w:val="clear" w:color="auto" w:fill="auto"/>
            <w:vAlign w:val="center"/>
          </w:tcPr>
          <w:p w14:paraId="43C0B4E6">
            <w:pPr>
              <w:jc w:val="center"/>
              <w:rPr>
                <w:rFonts w:ascii="宋体" w:hAnsi="宋体"/>
                <w:sz w:val="24"/>
                <w:lang w:val="zh-CN"/>
              </w:rPr>
            </w:pPr>
            <w:r>
              <w:rPr>
                <w:rFonts w:hint="eastAsia" w:ascii="宋体" w:hAnsi="宋体"/>
                <w:sz w:val="24"/>
                <w:lang w:val="zh-CN"/>
              </w:rPr>
              <w:t>规格</w:t>
            </w:r>
          </w:p>
          <w:p w14:paraId="083A5DEC">
            <w:pPr>
              <w:jc w:val="center"/>
              <w:rPr>
                <w:rFonts w:ascii="宋体" w:hAnsi="宋体"/>
                <w:sz w:val="24"/>
                <w:lang w:val="zh-CN"/>
              </w:rPr>
            </w:pPr>
            <w:r>
              <w:rPr>
                <w:rFonts w:hint="eastAsia" w:ascii="宋体" w:hAnsi="宋体"/>
                <w:sz w:val="24"/>
                <w:lang w:val="zh-CN"/>
              </w:rPr>
              <w:t>型号</w:t>
            </w:r>
          </w:p>
        </w:tc>
        <w:tc>
          <w:tcPr>
            <w:tcW w:w="1338" w:type="dxa"/>
            <w:tcBorders>
              <w:top w:val="single" w:color="000000" w:sz="8" w:space="0"/>
              <w:left w:val="single" w:color="000000" w:sz="6" w:space="0"/>
              <w:bottom w:val="single" w:color="000000" w:sz="6" w:space="0"/>
              <w:right w:val="single" w:color="000000" w:sz="6" w:space="0"/>
            </w:tcBorders>
            <w:shd w:val="clear" w:color="auto" w:fill="auto"/>
            <w:vAlign w:val="center"/>
          </w:tcPr>
          <w:p w14:paraId="0ABF2FBB">
            <w:pPr>
              <w:jc w:val="center"/>
              <w:rPr>
                <w:rFonts w:ascii="宋体" w:hAnsi="宋体"/>
                <w:sz w:val="24"/>
                <w:lang w:val="zh-CN"/>
              </w:rPr>
            </w:pPr>
            <w:r>
              <w:rPr>
                <w:rFonts w:hint="eastAsia" w:ascii="宋体" w:hAnsi="宋体"/>
                <w:sz w:val="24"/>
                <w:lang w:val="zh-CN"/>
              </w:rPr>
              <w:t>生产厂家</w:t>
            </w:r>
          </w:p>
        </w:tc>
        <w:tc>
          <w:tcPr>
            <w:tcW w:w="1208" w:type="dxa"/>
            <w:tcBorders>
              <w:top w:val="single" w:color="000000" w:sz="8" w:space="0"/>
              <w:left w:val="single" w:color="000000" w:sz="6" w:space="0"/>
              <w:bottom w:val="single" w:color="000000" w:sz="6" w:space="0"/>
              <w:right w:val="single" w:color="000000" w:sz="6" w:space="0"/>
            </w:tcBorders>
            <w:shd w:val="clear" w:color="auto" w:fill="auto"/>
            <w:vAlign w:val="center"/>
          </w:tcPr>
          <w:p w14:paraId="50D73BDE">
            <w:pPr>
              <w:jc w:val="center"/>
              <w:rPr>
                <w:rFonts w:ascii="宋体" w:hAnsi="宋体"/>
                <w:sz w:val="24"/>
                <w:lang w:val="zh-CN"/>
              </w:rPr>
            </w:pPr>
            <w:r>
              <w:rPr>
                <w:rFonts w:hint="eastAsia" w:ascii="宋体" w:hAnsi="宋体"/>
                <w:sz w:val="24"/>
                <w:lang w:val="zh-CN"/>
              </w:rPr>
              <w:t>数量</w:t>
            </w:r>
          </w:p>
        </w:tc>
        <w:tc>
          <w:tcPr>
            <w:tcW w:w="804" w:type="dxa"/>
            <w:tcBorders>
              <w:top w:val="single" w:color="000000" w:sz="8" w:space="0"/>
              <w:left w:val="single" w:color="000000" w:sz="6" w:space="0"/>
              <w:bottom w:val="single" w:color="000000" w:sz="6" w:space="0"/>
              <w:right w:val="single" w:color="000000" w:sz="6" w:space="0"/>
            </w:tcBorders>
            <w:shd w:val="clear" w:color="auto" w:fill="auto"/>
            <w:vAlign w:val="center"/>
          </w:tcPr>
          <w:p w14:paraId="6EB3E816">
            <w:pPr>
              <w:jc w:val="center"/>
              <w:rPr>
                <w:rFonts w:ascii="宋体" w:hAnsi="宋体"/>
                <w:sz w:val="24"/>
                <w:lang w:val="zh-CN"/>
              </w:rPr>
            </w:pPr>
            <w:r>
              <w:rPr>
                <w:rFonts w:hint="eastAsia" w:ascii="宋体" w:hAnsi="宋体"/>
                <w:sz w:val="24"/>
                <w:lang w:val="zh-CN"/>
              </w:rPr>
              <w:t>单价</w:t>
            </w:r>
          </w:p>
        </w:tc>
        <w:tc>
          <w:tcPr>
            <w:tcW w:w="947" w:type="dxa"/>
            <w:tcBorders>
              <w:top w:val="single" w:color="000000" w:sz="8" w:space="0"/>
              <w:left w:val="single" w:color="000000" w:sz="6" w:space="0"/>
              <w:bottom w:val="single" w:color="000000" w:sz="6" w:space="0"/>
              <w:right w:val="single" w:color="000000" w:sz="6" w:space="0"/>
            </w:tcBorders>
            <w:shd w:val="clear" w:color="auto" w:fill="auto"/>
            <w:vAlign w:val="center"/>
          </w:tcPr>
          <w:p w14:paraId="1F2F9D7B">
            <w:pPr>
              <w:jc w:val="center"/>
              <w:rPr>
                <w:rFonts w:ascii="宋体" w:hAnsi="宋体"/>
                <w:sz w:val="24"/>
                <w:lang w:val="zh-CN"/>
              </w:rPr>
            </w:pPr>
            <w:r>
              <w:rPr>
                <w:rFonts w:hint="eastAsia" w:ascii="宋体" w:hAnsi="宋体"/>
                <w:sz w:val="24"/>
                <w:lang w:val="zh-CN"/>
              </w:rPr>
              <w:t>合计</w:t>
            </w:r>
          </w:p>
        </w:tc>
        <w:tc>
          <w:tcPr>
            <w:tcW w:w="945" w:type="dxa"/>
            <w:tcBorders>
              <w:top w:val="single" w:color="000000" w:sz="8" w:space="0"/>
              <w:left w:val="single" w:color="000000" w:sz="6" w:space="0"/>
              <w:bottom w:val="single" w:color="000000" w:sz="6" w:space="0"/>
              <w:right w:val="single" w:color="000000" w:sz="8" w:space="0"/>
            </w:tcBorders>
            <w:shd w:val="clear" w:color="auto" w:fill="auto"/>
            <w:vAlign w:val="center"/>
          </w:tcPr>
          <w:p w14:paraId="73F99054">
            <w:pPr>
              <w:jc w:val="center"/>
              <w:rPr>
                <w:rFonts w:hint="default" w:ascii="宋体" w:hAnsi="宋体" w:eastAsia="宋体"/>
                <w:sz w:val="24"/>
                <w:lang w:val="en-US" w:eastAsia="zh-CN"/>
              </w:rPr>
            </w:pPr>
            <w:r>
              <w:rPr>
                <w:rFonts w:hint="eastAsia" w:ascii="宋体" w:hAnsi="宋体"/>
                <w:sz w:val="24"/>
                <w:lang w:val="en-US" w:eastAsia="zh-CN"/>
              </w:rPr>
              <w:t>质保期</w:t>
            </w:r>
          </w:p>
        </w:tc>
      </w:tr>
      <w:tr w14:paraId="784B6245">
        <w:tblPrEx>
          <w:shd w:val="clear" w:color="auto" w:fill="auto"/>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auto" w:fill="auto"/>
            <w:vAlign w:val="center"/>
          </w:tcPr>
          <w:p w14:paraId="29B9812E">
            <w:pPr>
              <w:jc w:val="center"/>
              <w:rPr>
                <w:rFonts w:ascii="宋体" w:hAnsi="宋体"/>
                <w:sz w:val="24"/>
                <w:lang w:val="zh-CN"/>
              </w:rPr>
            </w:pPr>
            <w:r>
              <w:rPr>
                <w:rFonts w:ascii="宋体" w:hAnsi="宋体"/>
                <w:sz w:val="24"/>
                <w:lang w:val="zh-CN"/>
              </w:rPr>
              <w:t>1</w:t>
            </w:r>
          </w:p>
        </w:tc>
        <w:tc>
          <w:tcPr>
            <w:tcW w:w="16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2B48B2">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0ECB5B">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5D9607">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F5B5F9">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646AD9">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9C3148">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F1F668">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auto" w:fill="auto"/>
            <w:vAlign w:val="center"/>
          </w:tcPr>
          <w:p w14:paraId="1C491539">
            <w:pPr>
              <w:jc w:val="center"/>
              <w:rPr>
                <w:rFonts w:ascii="宋体" w:hAnsi="宋体"/>
                <w:sz w:val="24"/>
                <w:lang w:val="zh-CN"/>
              </w:rPr>
            </w:pPr>
          </w:p>
        </w:tc>
      </w:tr>
      <w:tr w14:paraId="7ABB0677">
        <w:tblPrEx>
          <w:shd w:val="clear" w:color="auto" w:fill="auto"/>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auto" w:fill="auto"/>
            <w:vAlign w:val="center"/>
          </w:tcPr>
          <w:p w14:paraId="26B5B24C">
            <w:pPr>
              <w:jc w:val="center"/>
              <w:rPr>
                <w:rFonts w:ascii="宋体" w:hAnsi="宋体"/>
                <w:sz w:val="24"/>
                <w:lang w:val="zh-CN"/>
              </w:rPr>
            </w:pPr>
            <w:r>
              <w:rPr>
                <w:rFonts w:ascii="宋体" w:hAnsi="宋体"/>
                <w:sz w:val="24"/>
                <w:lang w:val="zh-CN"/>
              </w:rPr>
              <w:t>2</w:t>
            </w:r>
          </w:p>
        </w:tc>
        <w:tc>
          <w:tcPr>
            <w:tcW w:w="16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3A9F3B">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82E748">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EDC2B5">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E94355">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B4ACCF">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062FB6">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EE82DB">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auto" w:fill="auto"/>
            <w:vAlign w:val="center"/>
          </w:tcPr>
          <w:p w14:paraId="56E70697">
            <w:pPr>
              <w:jc w:val="center"/>
              <w:rPr>
                <w:rFonts w:ascii="宋体" w:hAnsi="宋体"/>
                <w:sz w:val="24"/>
                <w:lang w:val="zh-CN"/>
              </w:rPr>
            </w:pPr>
          </w:p>
        </w:tc>
      </w:tr>
      <w:tr w14:paraId="3037E0CA">
        <w:tblPrEx>
          <w:shd w:val="clear" w:color="auto" w:fill="auto"/>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auto" w:fill="auto"/>
            <w:vAlign w:val="center"/>
          </w:tcPr>
          <w:p w14:paraId="35E42E55">
            <w:pPr>
              <w:jc w:val="center"/>
              <w:rPr>
                <w:rFonts w:ascii="宋体" w:hAnsi="宋体"/>
                <w:sz w:val="24"/>
                <w:lang w:val="zh-CN"/>
              </w:rPr>
            </w:pPr>
            <w:r>
              <w:rPr>
                <w:rFonts w:ascii="宋体" w:hAnsi="宋体"/>
                <w:sz w:val="24"/>
                <w:lang w:val="zh-CN"/>
              </w:rPr>
              <w:t>3</w:t>
            </w:r>
          </w:p>
        </w:tc>
        <w:tc>
          <w:tcPr>
            <w:tcW w:w="16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CD3015">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1B823C">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F127D9">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AA3B3C">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4C3F60">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2AA816">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220EDD">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auto" w:fill="auto"/>
            <w:vAlign w:val="center"/>
          </w:tcPr>
          <w:p w14:paraId="0125A3A6">
            <w:pPr>
              <w:jc w:val="center"/>
              <w:rPr>
                <w:rFonts w:ascii="宋体" w:hAnsi="宋体"/>
                <w:sz w:val="24"/>
                <w:lang w:val="zh-CN"/>
              </w:rPr>
            </w:pPr>
          </w:p>
        </w:tc>
      </w:tr>
      <w:tr w14:paraId="35AF40B7">
        <w:tblPrEx>
          <w:shd w:val="clear" w:color="auto" w:fill="auto"/>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auto" w:fill="auto"/>
            <w:vAlign w:val="center"/>
          </w:tcPr>
          <w:p w14:paraId="6A378E5F">
            <w:pPr>
              <w:jc w:val="center"/>
              <w:rPr>
                <w:rFonts w:ascii="宋体" w:hAnsi="宋体"/>
                <w:sz w:val="24"/>
                <w:lang w:val="zh-CN"/>
              </w:rPr>
            </w:pPr>
            <w:r>
              <w:rPr>
                <w:rFonts w:ascii="宋体" w:hAnsi="宋体"/>
                <w:sz w:val="24"/>
                <w:lang w:val="zh-CN"/>
              </w:rPr>
              <w:t>4</w:t>
            </w:r>
          </w:p>
        </w:tc>
        <w:tc>
          <w:tcPr>
            <w:tcW w:w="16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8687BE">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362DA4">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4521A9">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2CC406">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EA9C47">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61B561">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13F98F">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auto" w:fill="auto"/>
            <w:vAlign w:val="center"/>
          </w:tcPr>
          <w:p w14:paraId="0D467724">
            <w:pPr>
              <w:jc w:val="center"/>
              <w:rPr>
                <w:rFonts w:ascii="宋体" w:hAnsi="宋体"/>
                <w:sz w:val="24"/>
                <w:lang w:val="zh-CN"/>
              </w:rPr>
            </w:pPr>
          </w:p>
        </w:tc>
      </w:tr>
      <w:tr w14:paraId="04F6261F">
        <w:tblPrEx>
          <w:shd w:val="clear" w:color="auto" w:fill="auto"/>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auto" w:fill="auto"/>
            <w:vAlign w:val="center"/>
          </w:tcPr>
          <w:p w14:paraId="4B63E14B">
            <w:pPr>
              <w:jc w:val="center"/>
              <w:rPr>
                <w:rFonts w:ascii="宋体" w:hAnsi="宋体"/>
                <w:sz w:val="24"/>
                <w:lang w:val="zh-CN"/>
              </w:rPr>
            </w:pPr>
            <w:r>
              <w:rPr>
                <w:rFonts w:ascii="宋体" w:hAnsi="宋体"/>
                <w:sz w:val="24"/>
                <w:lang w:val="zh-CN"/>
              </w:rPr>
              <w:t>…</w:t>
            </w:r>
          </w:p>
        </w:tc>
        <w:tc>
          <w:tcPr>
            <w:tcW w:w="16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B6624F">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571B58">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860641">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D3DC4E">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8451FD">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8C2B28">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F57DE9">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auto" w:fill="auto"/>
            <w:vAlign w:val="center"/>
          </w:tcPr>
          <w:p w14:paraId="68323309">
            <w:pPr>
              <w:jc w:val="center"/>
              <w:rPr>
                <w:rFonts w:ascii="宋体" w:hAnsi="宋体"/>
                <w:sz w:val="24"/>
                <w:lang w:val="zh-CN"/>
              </w:rPr>
            </w:pPr>
          </w:p>
        </w:tc>
      </w:tr>
      <w:tr w14:paraId="35773DAE">
        <w:tblPrEx>
          <w:shd w:val="clear" w:color="auto" w:fill="auto"/>
          <w:tblCellMar>
            <w:top w:w="0" w:type="dxa"/>
            <w:left w:w="28" w:type="dxa"/>
            <w:bottom w:w="0" w:type="dxa"/>
            <w:right w:w="28" w:type="dxa"/>
          </w:tblCellMar>
        </w:tblPrEx>
        <w:trPr>
          <w:trHeight w:val="1067" w:hRule="atLeast"/>
          <w:jc w:val="center"/>
        </w:trPr>
        <w:tc>
          <w:tcPr>
            <w:tcW w:w="9808" w:type="dxa"/>
            <w:gridSpan w:val="9"/>
            <w:tcBorders>
              <w:top w:val="single" w:color="000000" w:sz="6" w:space="0"/>
              <w:left w:val="single" w:color="000000" w:sz="8" w:space="0"/>
              <w:bottom w:val="single" w:color="000000" w:sz="6" w:space="0"/>
              <w:right w:val="single" w:color="000000" w:sz="8" w:space="0"/>
            </w:tcBorders>
            <w:shd w:val="clear" w:color="auto" w:fill="auto"/>
            <w:vAlign w:val="center"/>
          </w:tcPr>
          <w:p w14:paraId="23A6C345">
            <w:pPr>
              <w:rPr>
                <w:rFonts w:ascii="宋体" w:hAnsi="宋体"/>
                <w:sz w:val="24"/>
                <w:lang w:val="zh-CN"/>
              </w:rPr>
            </w:pPr>
            <w:r>
              <w:rPr>
                <w:rFonts w:hint="eastAsia" w:ascii="宋体" w:hAnsi="宋体"/>
                <w:sz w:val="24"/>
                <w:lang w:val="zh-CN"/>
              </w:rPr>
              <w:t>优惠承诺及其他：</w:t>
            </w:r>
          </w:p>
          <w:p w14:paraId="0611FAC1">
            <w:pPr>
              <w:rPr>
                <w:rFonts w:ascii="宋体" w:hAnsi="宋体"/>
                <w:sz w:val="24"/>
                <w:lang w:val="zh-CN"/>
              </w:rPr>
            </w:pPr>
          </w:p>
        </w:tc>
      </w:tr>
      <w:tr w14:paraId="068C327C">
        <w:tblPrEx>
          <w:shd w:val="clear" w:color="auto" w:fill="auto"/>
          <w:tblCellMar>
            <w:top w:w="0" w:type="dxa"/>
            <w:left w:w="28" w:type="dxa"/>
            <w:bottom w:w="0" w:type="dxa"/>
            <w:right w:w="28" w:type="dxa"/>
          </w:tblCellMar>
        </w:tblPrEx>
        <w:trPr>
          <w:trHeight w:val="1038" w:hRule="atLeast"/>
          <w:jc w:val="center"/>
        </w:trPr>
        <w:tc>
          <w:tcPr>
            <w:tcW w:w="2379" w:type="dxa"/>
            <w:gridSpan w:val="2"/>
            <w:tcBorders>
              <w:top w:val="single" w:color="000000" w:sz="6" w:space="0"/>
              <w:left w:val="single" w:color="000000" w:sz="8" w:space="0"/>
              <w:bottom w:val="single" w:color="000000" w:sz="8" w:space="0"/>
              <w:right w:val="single" w:color="000000" w:sz="6" w:space="0"/>
            </w:tcBorders>
            <w:shd w:val="clear" w:color="auto" w:fill="auto"/>
            <w:vAlign w:val="center"/>
          </w:tcPr>
          <w:p w14:paraId="1C80DD25">
            <w:pPr>
              <w:rPr>
                <w:rFonts w:ascii="宋体" w:hAnsi="宋体"/>
                <w:sz w:val="24"/>
                <w:lang w:val="zh-CN"/>
              </w:rPr>
            </w:pPr>
            <w:r>
              <w:rPr>
                <w:rFonts w:hint="eastAsia" w:ascii="宋体" w:hAnsi="宋体"/>
                <w:sz w:val="24"/>
                <w:lang w:val="zh-CN"/>
              </w:rPr>
              <w:t>投标总价</w:t>
            </w:r>
          </w:p>
        </w:tc>
        <w:tc>
          <w:tcPr>
            <w:tcW w:w="7429" w:type="dxa"/>
            <w:gridSpan w:val="7"/>
            <w:tcBorders>
              <w:top w:val="single" w:color="000000" w:sz="6" w:space="0"/>
              <w:left w:val="single" w:color="000000" w:sz="6" w:space="0"/>
              <w:bottom w:val="single" w:color="000000" w:sz="8" w:space="0"/>
              <w:right w:val="single" w:color="000000" w:sz="8" w:space="0"/>
            </w:tcBorders>
            <w:shd w:val="clear" w:color="auto" w:fill="auto"/>
            <w:vAlign w:val="center"/>
          </w:tcPr>
          <w:p w14:paraId="4F677663">
            <w:pPr>
              <w:rPr>
                <w:rFonts w:ascii="宋体" w:hAnsi="宋体"/>
                <w:sz w:val="24"/>
                <w:lang w:val="zh-CN"/>
              </w:rPr>
            </w:pPr>
            <w:r>
              <w:rPr>
                <w:rFonts w:hint="eastAsia" w:ascii="宋体" w:hAnsi="宋体"/>
                <w:sz w:val="24"/>
                <w:lang w:val="zh-CN"/>
              </w:rPr>
              <w:t>小写：</w:t>
            </w:r>
          </w:p>
          <w:p w14:paraId="3BC6DB5E">
            <w:pPr>
              <w:rPr>
                <w:rFonts w:ascii="宋体" w:hAnsi="宋体"/>
                <w:sz w:val="24"/>
                <w:lang w:val="zh-CN"/>
              </w:rPr>
            </w:pPr>
          </w:p>
          <w:p w14:paraId="0DC4175F">
            <w:pPr>
              <w:rPr>
                <w:rFonts w:ascii="宋体" w:hAnsi="宋体"/>
                <w:sz w:val="24"/>
                <w:lang w:val="zh-CN"/>
              </w:rPr>
            </w:pPr>
            <w:r>
              <w:rPr>
                <w:rFonts w:hint="eastAsia" w:ascii="宋体" w:hAnsi="宋体"/>
                <w:sz w:val="24"/>
                <w:lang w:val="zh-CN"/>
              </w:rPr>
              <w:t>大写：</w:t>
            </w:r>
          </w:p>
        </w:tc>
      </w:tr>
    </w:tbl>
    <w:p w14:paraId="7E2622CD">
      <w:pPr>
        <w:autoSpaceDE w:val="0"/>
        <w:autoSpaceDN w:val="0"/>
        <w:spacing w:line="360" w:lineRule="auto"/>
        <w:rPr>
          <w:rFonts w:ascii="宋体" w:hAnsi="宋体" w:cs="Arial"/>
          <w:b/>
          <w:bCs/>
          <w:sz w:val="20"/>
          <w:lang w:val="zh-CN"/>
        </w:rPr>
      </w:pPr>
      <w:r>
        <w:rPr>
          <w:rFonts w:ascii="宋体" w:hAnsi="宋体" w:cs="Arial"/>
          <w:b/>
          <w:bCs/>
          <w:sz w:val="20"/>
          <w:lang w:val="zh-CN"/>
        </w:rPr>
        <w:t>注：1、本表应依照采购一览表中的产品序号按顺序逐项填写，不得遗漏。</w:t>
      </w:r>
    </w:p>
    <w:p w14:paraId="38F8880D">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2</w:t>
      </w:r>
      <w:r>
        <w:rPr>
          <w:rFonts w:hint="eastAsia" w:ascii="宋体" w:hAnsi="宋体" w:cs="Arial"/>
          <w:b/>
          <w:bCs/>
          <w:sz w:val="20"/>
          <w:lang w:val="zh-CN"/>
        </w:rPr>
        <w:t>、“分项报价</w:t>
      </w:r>
      <w:r>
        <w:rPr>
          <w:rFonts w:ascii="宋体" w:hAnsi="宋体" w:cs="Arial"/>
          <w:b/>
          <w:bCs/>
          <w:sz w:val="20"/>
          <w:lang w:val="zh-CN"/>
        </w:rPr>
        <w:t>表</w:t>
      </w:r>
      <w:r>
        <w:rPr>
          <w:rFonts w:hint="eastAsia" w:ascii="宋体" w:hAnsi="宋体" w:cs="Arial"/>
          <w:b/>
          <w:bCs/>
          <w:sz w:val="20"/>
          <w:lang w:val="zh-CN"/>
        </w:rPr>
        <w:t>”</w:t>
      </w:r>
      <w:r>
        <w:rPr>
          <w:rFonts w:ascii="宋体" w:hAnsi="宋体" w:cs="Arial"/>
          <w:b/>
          <w:bCs/>
          <w:sz w:val="20"/>
          <w:lang w:val="zh-CN"/>
        </w:rPr>
        <w:t>须为打印版，手写无效。</w:t>
      </w:r>
    </w:p>
    <w:p w14:paraId="4EAE2EF9">
      <w:pPr>
        <w:spacing w:line="360" w:lineRule="auto"/>
        <w:rPr>
          <w:rFonts w:ascii="宋体" w:hAnsi="宋体"/>
          <w:lang w:val="zh-CN"/>
        </w:rPr>
      </w:pPr>
    </w:p>
    <w:p w14:paraId="217C6C1F">
      <w:pPr>
        <w:spacing w:line="360" w:lineRule="auto"/>
        <w:rPr>
          <w:rFonts w:ascii="宋体" w:hAnsi="宋体"/>
          <w:lang w:val="zh-CN"/>
        </w:rPr>
      </w:pPr>
    </w:p>
    <w:p w14:paraId="41969899">
      <w:pPr>
        <w:spacing w:line="360" w:lineRule="auto"/>
        <w:rPr>
          <w:rFonts w:ascii="宋体" w:hAnsi="宋体"/>
          <w:lang w:val="zh-CN"/>
        </w:rPr>
      </w:pPr>
    </w:p>
    <w:p w14:paraId="6DBA89AD">
      <w:pPr>
        <w:spacing w:line="360" w:lineRule="auto"/>
        <w:rPr>
          <w:rFonts w:ascii="宋体" w:hAnsi="宋体"/>
          <w:lang w:val="zh-CN"/>
        </w:rPr>
      </w:pPr>
    </w:p>
    <w:p w14:paraId="3EFC5A02">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磋商供应商：</w:t>
      </w:r>
      <w:r>
        <w:rPr>
          <w:rFonts w:hint="eastAsia" w:ascii="宋体" w:hAnsi="宋体"/>
          <w:bCs/>
          <w:sz w:val="24"/>
          <w:szCs w:val="28"/>
          <w:u w:val="single"/>
        </w:rPr>
        <w:t xml:space="preserve">             </w:t>
      </w:r>
      <w:r>
        <w:rPr>
          <w:rFonts w:hint="eastAsia" w:ascii="宋体" w:hAnsi="宋体"/>
          <w:bCs/>
          <w:sz w:val="24"/>
          <w:szCs w:val="28"/>
        </w:rPr>
        <w:t>（公章）</w:t>
      </w:r>
    </w:p>
    <w:p w14:paraId="79FEA7C6">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2B02790D">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62C197E0">
      <w:pPr>
        <w:pStyle w:val="4"/>
        <w:numPr>
          <w:ilvl w:val="0"/>
          <w:numId w:val="0"/>
        </w:numPr>
        <w:ind w:left="709" w:hanging="709"/>
        <w:rPr>
          <w:rFonts w:hAnsi="宋体" w:cs="宋体"/>
        </w:rPr>
      </w:pPr>
      <w:r>
        <w:rPr>
          <w:rFonts w:hAnsi="宋体"/>
          <w:bCs/>
          <w:sz w:val="24"/>
          <w:szCs w:val="28"/>
        </w:rPr>
        <w:br w:type="page"/>
      </w:r>
      <w:bookmarkStart w:id="219" w:name="_Toc1575349"/>
      <w:r>
        <w:rPr>
          <w:rFonts w:hint="eastAsia" w:hAnsi="宋体"/>
          <w:b/>
          <w:sz w:val="32"/>
          <w:lang w:val="zh-CN"/>
        </w:rPr>
        <w:t>格式14、技术规格响应表</w:t>
      </w:r>
      <w:bookmarkEnd w:id="219"/>
    </w:p>
    <w:p w14:paraId="28732D9E">
      <w:pPr>
        <w:autoSpaceDE w:val="0"/>
        <w:autoSpaceDN w:val="0"/>
        <w:adjustRightInd w:val="0"/>
        <w:spacing w:line="360" w:lineRule="auto"/>
        <w:jc w:val="center"/>
        <w:rPr>
          <w:rFonts w:ascii="宋体" w:hAnsi="宋体" w:cs="宋体"/>
          <w:b/>
          <w:bCs/>
          <w:kern w:val="0"/>
          <w:sz w:val="30"/>
          <w:szCs w:val="30"/>
          <w:lang w:val="zh-CN"/>
        </w:rPr>
      </w:pPr>
      <w:bookmarkStart w:id="220" w:name="_Toc444715742"/>
      <w:bookmarkStart w:id="221" w:name="_Toc20510"/>
      <w:bookmarkStart w:id="222" w:name="_Toc25742"/>
      <w:r>
        <w:rPr>
          <w:rFonts w:hint="eastAsia" w:ascii="宋体" w:hAnsi="宋体" w:cs="宋体"/>
          <w:b/>
          <w:bCs/>
          <w:kern w:val="0"/>
          <w:sz w:val="30"/>
          <w:szCs w:val="30"/>
          <w:lang w:val="zh-CN"/>
        </w:rPr>
        <w:t>技术规格响应表</w:t>
      </w:r>
    </w:p>
    <w:p w14:paraId="1EEC2B47">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采购项目名称： </w:t>
      </w:r>
    </w:p>
    <w:p w14:paraId="2556A4FD">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采购项目编号：</w:t>
      </w:r>
    </w:p>
    <w:tbl>
      <w:tblPr>
        <w:tblStyle w:val="34"/>
        <w:tblW w:w="1034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95"/>
        <w:gridCol w:w="2666"/>
        <w:gridCol w:w="911"/>
        <w:gridCol w:w="1131"/>
        <w:gridCol w:w="2135"/>
        <w:gridCol w:w="851"/>
        <w:gridCol w:w="709"/>
      </w:tblGrid>
      <w:tr w14:paraId="77A22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51" w:type="dxa"/>
            <w:vMerge w:val="restart"/>
            <w:vAlign w:val="center"/>
          </w:tcPr>
          <w:p w14:paraId="3C6329A4">
            <w:pPr>
              <w:spacing w:line="360" w:lineRule="auto"/>
              <w:jc w:val="center"/>
              <w:rPr>
                <w:rFonts w:ascii="宋体" w:hAnsi="宋体"/>
              </w:rPr>
            </w:pPr>
            <w:r>
              <w:rPr>
                <w:rFonts w:hint="eastAsia" w:ascii="宋体" w:hAnsi="宋体"/>
              </w:rPr>
              <w:t>序号</w:t>
            </w:r>
          </w:p>
        </w:tc>
        <w:tc>
          <w:tcPr>
            <w:tcW w:w="4672" w:type="dxa"/>
            <w:gridSpan w:val="3"/>
            <w:vAlign w:val="center"/>
          </w:tcPr>
          <w:p w14:paraId="33F2E351">
            <w:pPr>
              <w:spacing w:line="360" w:lineRule="auto"/>
              <w:jc w:val="center"/>
              <w:rPr>
                <w:rFonts w:ascii="宋体" w:hAnsi="宋体"/>
              </w:rPr>
            </w:pPr>
            <w:r>
              <w:rPr>
                <w:rFonts w:hint="eastAsia" w:ascii="宋体" w:hAnsi="宋体" w:cs="仿宋_GB2312"/>
              </w:rPr>
              <w:t>采购需求技术参数、指标</w:t>
            </w:r>
          </w:p>
        </w:tc>
        <w:tc>
          <w:tcPr>
            <w:tcW w:w="4117" w:type="dxa"/>
            <w:gridSpan w:val="3"/>
            <w:vAlign w:val="center"/>
          </w:tcPr>
          <w:p w14:paraId="5AE2A764">
            <w:pPr>
              <w:spacing w:line="360" w:lineRule="auto"/>
              <w:jc w:val="center"/>
              <w:rPr>
                <w:rFonts w:ascii="宋体" w:hAnsi="宋体"/>
              </w:rPr>
            </w:pPr>
            <w:r>
              <w:rPr>
                <w:rFonts w:hint="eastAsia" w:ascii="宋体" w:hAnsi="宋体"/>
              </w:rPr>
              <w:t>投标产品技术参数、指标</w:t>
            </w:r>
          </w:p>
        </w:tc>
        <w:tc>
          <w:tcPr>
            <w:tcW w:w="709" w:type="dxa"/>
            <w:vMerge w:val="restart"/>
            <w:vAlign w:val="center"/>
          </w:tcPr>
          <w:p w14:paraId="46F1583A">
            <w:pPr>
              <w:spacing w:line="360" w:lineRule="auto"/>
              <w:jc w:val="center"/>
              <w:rPr>
                <w:rFonts w:ascii="宋体" w:hAnsi="宋体"/>
              </w:rPr>
            </w:pPr>
            <w:r>
              <w:rPr>
                <w:rFonts w:hint="eastAsia" w:ascii="宋体" w:hAnsi="宋体"/>
              </w:rPr>
              <w:t>偏离</w:t>
            </w:r>
          </w:p>
        </w:tc>
      </w:tr>
      <w:tr w14:paraId="6CA06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851" w:type="dxa"/>
            <w:vMerge w:val="continue"/>
            <w:vAlign w:val="center"/>
          </w:tcPr>
          <w:p w14:paraId="67F5F1FF">
            <w:pPr>
              <w:spacing w:line="360" w:lineRule="auto"/>
              <w:jc w:val="center"/>
              <w:rPr>
                <w:rFonts w:ascii="宋体" w:hAnsi="宋体"/>
              </w:rPr>
            </w:pPr>
          </w:p>
        </w:tc>
        <w:tc>
          <w:tcPr>
            <w:tcW w:w="1095" w:type="dxa"/>
            <w:vAlign w:val="center"/>
          </w:tcPr>
          <w:p w14:paraId="46DB087E">
            <w:pPr>
              <w:spacing w:line="360" w:lineRule="auto"/>
              <w:jc w:val="center"/>
              <w:rPr>
                <w:rFonts w:ascii="宋体" w:hAnsi="宋体" w:cs="仿宋_GB2312"/>
              </w:rPr>
            </w:pPr>
            <w:r>
              <w:rPr>
                <w:rFonts w:hint="eastAsia" w:ascii="宋体" w:hAnsi="宋体" w:cs="仿宋_GB2312"/>
              </w:rPr>
              <w:t>名称</w:t>
            </w:r>
          </w:p>
        </w:tc>
        <w:tc>
          <w:tcPr>
            <w:tcW w:w="2666" w:type="dxa"/>
            <w:vAlign w:val="center"/>
          </w:tcPr>
          <w:p w14:paraId="542D0895">
            <w:pPr>
              <w:spacing w:line="360" w:lineRule="auto"/>
              <w:jc w:val="center"/>
              <w:rPr>
                <w:rFonts w:ascii="宋体" w:hAnsi="宋体" w:cs="仿宋_GB2312"/>
              </w:rPr>
            </w:pPr>
            <w:r>
              <w:rPr>
                <w:rFonts w:hint="eastAsia" w:ascii="宋体" w:hAnsi="宋体" w:cs="仿宋_GB2312"/>
              </w:rPr>
              <w:t>技术参数及配置</w:t>
            </w:r>
          </w:p>
        </w:tc>
        <w:tc>
          <w:tcPr>
            <w:tcW w:w="911" w:type="dxa"/>
            <w:vAlign w:val="center"/>
          </w:tcPr>
          <w:p w14:paraId="53C0CDB4">
            <w:pPr>
              <w:spacing w:line="360" w:lineRule="auto"/>
              <w:jc w:val="center"/>
              <w:rPr>
                <w:rFonts w:ascii="宋体" w:hAnsi="宋体" w:cs="仿宋_GB2312"/>
              </w:rPr>
            </w:pPr>
            <w:r>
              <w:rPr>
                <w:rFonts w:hint="eastAsia" w:ascii="宋体" w:hAnsi="宋体" w:cs="仿宋_GB2312"/>
              </w:rPr>
              <w:t>数量</w:t>
            </w:r>
          </w:p>
        </w:tc>
        <w:tc>
          <w:tcPr>
            <w:tcW w:w="1131" w:type="dxa"/>
            <w:vAlign w:val="center"/>
          </w:tcPr>
          <w:p w14:paraId="1A29FFA3">
            <w:pPr>
              <w:spacing w:line="360" w:lineRule="auto"/>
              <w:jc w:val="center"/>
              <w:rPr>
                <w:rFonts w:ascii="宋体" w:hAnsi="宋体"/>
              </w:rPr>
            </w:pPr>
            <w:r>
              <w:rPr>
                <w:rFonts w:hint="eastAsia" w:ascii="宋体" w:hAnsi="宋体"/>
              </w:rPr>
              <w:t>名称</w:t>
            </w:r>
          </w:p>
        </w:tc>
        <w:tc>
          <w:tcPr>
            <w:tcW w:w="2135" w:type="dxa"/>
            <w:vAlign w:val="center"/>
          </w:tcPr>
          <w:p w14:paraId="29957A5A">
            <w:pPr>
              <w:spacing w:line="360" w:lineRule="auto"/>
              <w:jc w:val="center"/>
              <w:rPr>
                <w:rFonts w:ascii="宋体" w:hAnsi="宋体"/>
              </w:rPr>
            </w:pPr>
            <w:r>
              <w:rPr>
                <w:rFonts w:hint="eastAsia" w:ascii="宋体" w:hAnsi="宋体"/>
              </w:rPr>
              <w:t>技术参数及配置</w:t>
            </w:r>
          </w:p>
        </w:tc>
        <w:tc>
          <w:tcPr>
            <w:tcW w:w="851" w:type="dxa"/>
            <w:vAlign w:val="center"/>
          </w:tcPr>
          <w:p w14:paraId="6F3F29C5">
            <w:pPr>
              <w:spacing w:line="360" w:lineRule="auto"/>
              <w:jc w:val="center"/>
              <w:rPr>
                <w:rFonts w:ascii="宋体" w:hAnsi="宋体"/>
              </w:rPr>
            </w:pPr>
            <w:r>
              <w:rPr>
                <w:rFonts w:hint="eastAsia" w:ascii="宋体" w:hAnsi="宋体"/>
              </w:rPr>
              <w:t>数量</w:t>
            </w:r>
          </w:p>
        </w:tc>
        <w:tc>
          <w:tcPr>
            <w:tcW w:w="709" w:type="dxa"/>
            <w:vMerge w:val="continue"/>
            <w:vAlign w:val="center"/>
          </w:tcPr>
          <w:p w14:paraId="607A54E6">
            <w:pPr>
              <w:spacing w:line="360" w:lineRule="auto"/>
              <w:jc w:val="center"/>
              <w:rPr>
                <w:rFonts w:ascii="宋体" w:hAnsi="宋体"/>
              </w:rPr>
            </w:pPr>
          </w:p>
        </w:tc>
      </w:tr>
      <w:tr w14:paraId="3DD2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1" w:hRule="atLeast"/>
        </w:trPr>
        <w:tc>
          <w:tcPr>
            <w:tcW w:w="851" w:type="dxa"/>
            <w:vAlign w:val="center"/>
          </w:tcPr>
          <w:p w14:paraId="10F00EC3">
            <w:pPr>
              <w:tabs>
                <w:tab w:val="left" w:pos="3327"/>
              </w:tabs>
              <w:spacing w:line="360" w:lineRule="auto"/>
              <w:jc w:val="center"/>
              <w:rPr>
                <w:rFonts w:ascii="宋体" w:hAnsi="宋体"/>
              </w:rPr>
            </w:pPr>
            <w:r>
              <w:rPr>
                <w:rFonts w:hint="eastAsia" w:ascii="宋体" w:hAnsi="宋体"/>
              </w:rPr>
              <w:t>1</w:t>
            </w:r>
          </w:p>
        </w:tc>
        <w:tc>
          <w:tcPr>
            <w:tcW w:w="1095" w:type="dxa"/>
            <w:vAlign w:val="center"/>
          </w:tcPr>
          <w:p w14:paraId="16F6C802">
            <w:pPr>
              <w:tabs>
                <w:tab w:val="left" w:pos="3327"/>
              </w:tabs>
              <w:spacing w:line="360" w:lineRule="auto"/>
              <w:rPr>
                <w:rFonts w:ascii="宋体" w:hAnsi="宋体"/>
              </w:rPr>
            </w:pPr>
          </w:p>
        </w:tc>
        <w:tc>
          <w:tcPr>
            <w:tcW w:w="2666" w:type="dxa"/>
            <w:vAlign w:val="center"/>
          </w:tcPr>
          <w:p w14:paraId="2F237074">
            <w:pPr>
              <w:tabs>
                <w:tab w:val="left" w:pos="3327"/>
              </w:tabs>
              <w:spacing w:line="360" w:lineRule="auto"/>
              <w:rPr>
                <w:rFonts w:ascii="宋体" w:hAnsi="宋体"/>
              </w:rPr>
            </w:pPr>
          </w:p>
        </w:tc>
        <w:tc>
          <w:tcPr>
            <w:tcW w:w="911" w:type="dxa"/>
            <w:vAlign w:val="center"/>
          </w:tcPr>
          <w:p w14:paraId="40394D37">
            <w:pPr>
              <w:tabs>
                <w:tab w:val="left" w:pos="3327"/>
              </w:tabs>
              <w:spacing w:line="360" w:lineRule="auto"/>
              <w:rPr>
                <w:rFonts w:ascii="宋体" w:hAnsi="宋体"/>
              </w:rPr>
            </w:pPr>
          </w:p>
        </w:tc>
        <w:tc>
          <w:tcPr>
            <w:tcW w:w="1131" w:type="dxa"/>
            <w:vAlign w:val="center"/>
          </w:tcPr>
          <w:p w14:paraId="351022FC">
            <w:pPr>
              <w:tabs>
                <w:tab w:val="left" w:pos="3327"/>
              </w:tabs>
              <w:spacing w:line="360" w:lineRule="auto"/>
              <w:rPr>
                <w:rFonts w:ascii="宋体" w:hAnsi="宋体"/>
              </w:rPr>
            </w:pPr>
          </w:p>
        </w:tc>
        <w:tc>
          <w:tcPr>
            <w:tcW w:w="2135" w:type="dxa"/>
            <w:vAlign w:val="center"/>
          </w:tcPr>
          <w:p w14:paraId="7141C8E4">
            <w:pPr>
              <w:tabs>
                <w:tab w:val="left" w:pos="3327"/>
              </w:tabs>
              <w:spacing w:line="360" w:lineRule="auto"/>
              <w:rPr>
                <w:rFonts w:ascii="宋体" w:hAnsi="宋体"/>
              </w:rPr>
            </w:pPr>
          </w:p>
        </w:tc>
        <w:tc>
          <w:tcPr>
            <w:tcW w:w="851" w:type="dxa"/>
            <w:vAlign w:val="center"/>
          </w:tcPr>
          <w:p w14:paraId="092CB52D">
            <w:pPr>
              <w:tabs>
                <w:tab w:val="left" w:pos="3327"/>
              </w:tabs>
              <w:spacing w:line="360" w:lineRule="auto"/>
              <w:rPr>
                <w:rFonts w:ascii="宋体" w:hAnsi="宋体"/>
              </w:rPr>
            </w:pPr>
          </w:p>
        </w:tc>
        <w:tc>
          <w:tcPr>
            <w:tcW w:w="709" w:type="dxa"/>
            <w:vAlign w:val="center"/>
          </w:tcPr>
          <w:p w14:paraId="262BA077">
            <w:pPr>
              <w:spacing w:line="360" w:lineRule="auto"/>
              <w:jc w:val="center"/>
              <w:rPr>
                <w:rFonts w:ascii="宋体" w:hAnsi="宋体"/>
              </w:rPr>
            </w:pPr>
          </w:p>
        </w:tc>
      </w:tr>
      <w:tr w14:paraId="531E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851" w:type="dxa"/>
            <w:vAlign w:val="center"/>
          </w:tcPr>
          <w:p w14:paraId="0C0A4C71">
            <w:pPr>
              <w:tabs>
                <w:tab w:val="left" w:pos="3327"/>
              </w:tabs>
              <w:spacing w:line="360" w:lineRule="auto"/>
              <w:jc w:val="center"/>
              <w:rPr>
                <w:rFonts w:ascii="宋体" w:hAnsi="宋体"/>
              </w:rPr>
            </w:pPr>
            <w:r>
              <w:rPr>
                <w:rFonts w:hint="eastAsia" w:ascii="宋体" w:hAnsi="宋体"/>
              </w:rPr>
              <w:t>2</w:t>
            </w:r>
          </w:p>
        </w:tc>
        <w:tc>
          <w:tcPr>
            <w:tcW w:w="1095" w:type="dxa"/>
            <w:vAlign w:val="center"/>
          </w:tcPr>
          <w:p w14:paraId="1E619187">
            <w:pPr>
              <w:tabs>
                <w:tab w:val="left" w:pos="3327"/>
              </w:tabs>
              <w:spacing w:line="360" w:lineRule="auto"/>
              <w:rPr>
                <w:rFonts w:ascii="宋体" w:hAnsi="宋体"/>
              </w:rPr>
            </w:pPr>
          </w:p>
        </w:tc>
        <w:tc>
          <w:tcPr>
            <w:tcW w:w="2666" w:type="dxa"/>
            <w:vAlign w:val="center"/>
          </w:tcPr>
          <w:p w14:paraId="2C8605C5">
            <w:pPr>
              <w:tabs>
                <w:tab w:val="left" w:pos="3327"/>
              </w:tabs>
              <w:spacing w:line="360" w:lineRule="auto"/>
              <w:rPr>
                <w:rFonts w:ascii="宋体" w:hAnsi="宋体"/>
              </w:rPr>
            </w:pPr>
          </w:p>
        </w:tc>
        <w:tc>
          <w:tcPr>
            <w:tcW w:w="911" w:type="dxa"/>
            <w:vAlign w:val="center"/>
          </w:tcPr>
          <w:p w14:paraId="7B140E5E">
            <w:pPr>
              <w:tabs>
                <w:tab w:val="left" w:pos="3327"/>
              </w:tabs>
              <w:spacing w:line="360" w:lineRule="auto"/>
              <w:rPr>
                <w:rFonts w:ascii="宋体" w:hAnsi="宋体"/>
              </w:rPr>
            </w:pPr>
          </w:p>
        </w:tc>
        <w:tc>
          <w:tcPr>
            <w:tcW w:w="1131" w:type="dxa"/>
            <w:vAlign w:val="center"/>
          </w:tcPr>
          <w:p w14:paraId="49D9B5D0">
            <w:pPr>
              <w:tabs>
                <w:tab w:val="left" w:pos="3327"/>
              </w:tabs>
              <w:spacing w:line="360" w:lineRule="auto"/>
              <w:rPr>
                <w:rFonts w:ascii="宋体" w:hAnsi="宋体"/>
              </w:rPr>
            </w:pPr>
          </w:p>
        </w:tc>
        <w:tc>
          <w:tcPr>
            <w:tcW w:w="2135" w:type="dxa"/>
            <w:vAlign w:val="center"/>
          </w:tcPr>
          <w:p w14:paraId="13353BB3">
            <w:pPr>
              <w:tabs>
                <w:tab w:val="left" w:pos="3327"/>
              </w:tabs>
              <w:spacing w:line="360" w:lineRule="auto"/>
              <w:rPr>
                <w:rFonts w:ascii="宋体" w:hAnsi="宋体"/>
              </w:rPr>
            </w:pPr>
          </w:p>
        </w:tc>
        <w:tc>
          <w:tcPr>
            <w:tcW w:w="851" w:type="dxa"/>
            <w:vAlign w:val="center"/>
          </w:tcPr>
          <w:p w14:paraId="2DC576B4">
            <w:pPr>
              <w:tabs>
                <w:tab w:val="left" w:pos="3327"/>
              </w:tabs>
              <w:spacing w:line="360" w:lineRule="auto"/>
              <w:rPr>
                <w:rFonts w:ascii="宋体" w:hAnsi="宋体"/>
              </w:rPr>
            </w:pPr>
          </w:p>
        </w:tc>
        <w:tc>
          <w:tcPr>
            <w:tcW w:w="709" w:type="dxa"/>
            <w:vAlign w:val="center"/>
          </w:tcPr>
          <w:p w14:paraId="429AAAAF">
            <w:pPr>
              <w:spacing w:line="360" w:lineRule="auto"/>
              <w:jc w:val="center"/>
              <w:rPr>
                <w:rFonts w:ascii="宋体" w:hAnsi="宋体"/>
              </w:rPr>
            </w:pPr>
          </w:p>
        </w:tc>
      </w:tr>
      <w:tr w14:paraId="70D4A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851" w:type="dxa"/>
            <w:vAlign w:val="center"/>
          </w:tcPr>
          <w:p w14:paraId="06EB5E9D">
            <w:pPr>
              <w:tabs>
                <w:tab w:val="left" w:pos="3327"/>
              </w:tabs>
              <w:spacing w:line="360" w:lineRule="auto"/>
              <w:jc w:val="center"/>
              <w:rPr>
                <w:rFonts w:ascii="宋体" w:hAnsi="宋体"/>
              </w:rPr>
            </w:pPr>
            <w:r>
              <w:rPr>
                <w:rFonts w:hint="eastAsia" w:ascii="宋体" w:hAnsi="宋体"/>
              </w:rPr>
              <w:t>3</w:t>
            </w:r>
          </w:p>
        </w:tc>
        <w:tc>
          <w:tcPr>
            <w:tcW w:w="1095" w:type="dxa"/>
            <w:vAlign w:val="center"/>
          </w:tcPr>
          <w:p w14:paraId="2B87EDAF">
            <w:pPr>
              <w:tabs>
                <w:tab w:val="left" w:pos="3327"/>
              </w:tabs>
              <w:spacing w:line="360" w:lineRule="auto"/>
              <w:rPr>
                <w:rFonts w:ascii="宋体" w:hAnsi="宋体"/>
              </w:rPr>
            </w:pPr>
          </w:p>
        </w:tc>
        <w:tc>
          <w:tcPr>
            <w:tcW w:w="2666" w:type="dxa"/>
            <w:vAlign w:val="center"/>
          </w:tcPr>
          <w:p w14:paraId="71499070">
            <w:pPr>
              <w:tabs>
                <w:tab w:val="left" w:pos="3327"/>
              </w:tabs>
              <w:spacing w:line="360" w:lineRule="auto"/>
              <w:rPr>
                <w:rFonts w:ascii="宋体" w:hAnsi="宋体"/>
              </w:rPr>
            </w:pPr>
          </w:p>
        </w:tc>
        <w:tc>
          <w:tcPr>
            <w:tcW w:w="911" w:type="dxa"/>
            <w:vAlign w:val="center"/>
          </w:tcPr>
          <w:p w14:paraId="0196EDFC">
            <w:pPr>
              <w:tabs>
                <w:tab w:val="left" w:pos="3327"/>
              </w:tabs>
              <w:spacing w:line="360" w:lineRule="auto"/>
              <w:rPr>
                <w:rFonts w:ascii="宋体" w:hAnsi="宋体"/>
              </w:rPr>
            </w:pPr>
          </w:p>
        </w:tc>
        <w:tc>
          <w:tcPr>
            <w:tcW w:w="1131" w:type="dxa"/>
            <w:vAlign w:val="center"/>
          </w:tcPr>
          <w:p w14:paraId="40E9C2C0">
            <w:pPr>
              <w:tabs>
                <w:tab w:val="left" w:pos="3327"/>
              </w:tabs>
              <w:spacing w:line="360" w:lineRule="auto"/>
              <w:rPr>
                <w:rFonts w:ascii="宋体" w:hAnsi="宋体"/>
              </w:rPr>
            </w:pPr>
          </w:p>
        </w:tc>
        <w:tc>
          <w:tcPr>
            <w:tcW w:w="2135" w:type="dxa"/>
            <w:vAlign w:val="center"/>
          </w:tcPr>
          <w:p w14:paraId="2383C600">
            <w:pPr>
              <w:tabs>
                <w:tab w:val="left" w:pos="3327"/>
              </w:tabs>
              <w:spacing w:line="360" w:lineRule="auto"/>
              <w:rPr>
                <w:rFonts w:ascii="宋体" w:hAnsi="宋体"/>
              </w:rPr>
            </w:pPr>
          </w:p>
        </w:tc>
        <w:tc>
          <w:tcPr>
            <w:tcW w:w="851" w:type="dxa"/>
            <w:vAlign w:val="center"/>
          </w:tcPr>
          <w:p w14:paraId="4AC312C6">
            <w:pPr>
              <w:tabs>
                <w:tab w:val="left" w:pos="3327"/>
              </w:tabs>
              <w:spacing w:line="360" w:lineRule="auto"/>
              <w:rPr>
                <w:rFonts w:ascii="宋体" w:hAnsi="宋体"/>
              </w:rPr>
            </w:pPr>
          </w:p>
        </w:tc>
        <w:tc>
          <w:tcPr>
            <w:tcW w:w="709" w:type="dxa"/>
            <w:vAlign w:val="center"/>
          </w:tcPr>
          <w:p w14:paraId="787FB1E6">
            <w:pPr>
              <w:spacing w:line="360" w:lineRule="auto"/>
              <w:jc w:val="center"/>
              <w:rPr>
                <w:rFonts w:ascii="宋体" w:hAnsi="宋体"/>
              </w:rPr>
            </w:pPr>
          </w:p>
        </w:tc>
      </w:tr>
      <w:tr w14:paraId="5D8C7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851" w:type="dxa"/>
            <w:vAlign w:val="center"/>
          </w:tcPr>
          <w:p w14:paraId="38ADFB5A">
            <w:pPr>
              <w:tabs>
                <w:tab w:val="left" w:pos="3327"/>
              </w:tabs>
              <w:spacing w:line="360" w:lineRule="auto"/>
              <w:jc w:val="center"/>
              <w:rPr>
                <w:rFonts w:ascii="宋体" w:hAnsi="宋体"/>
              </w:rPr>
            </w:pPr>
            <w:r>
              <w:rPr>
                <w:rFonts w:hint="eastAsia" w:ascii="宋体" w:hAnsi="宋体"/>
              </w:rPr>
              <w:t>4</w:t>
            </w:r>
          </w:p>
        </w:tc>
        <w:tc>
          <w:tcPr>
            <w:tcW w:w="1095" w:type="dxa"/>
            <w:vAlign w:val="center"/>
          </w:tcPr>
          <w:p w14:paraId="4F2035AE">
            <w:pPr>
              <w:tabs>
                <w:tab w:val="left" w:pos="3327"/>
              </w:tabs>
              <w:spacing w:line="360" w:lineRule="auto"/>
              <w:rPr>
                <w:rFonts w:ascii="宋体" w:hAnsi="宋体"/>
              </w:rPr>
            </w:pPr>
          </w:p>
        </w:tc>
        <w:tc>
          <w:tcPr>
            <w:tcW w:w="2666" w:type="dxa"/>
            <w:vAlign w:val="center"/>
          </w:tcPr>
          <w:p w14:paraId="233D5F30">
            <w:pPr>
              <w:tabs>
                <w:tab w:val="left" w:pos="3327"/>
              </w:tabs>
              <w:spacing w:line="360" w:lineRule="auto"/>
              <w:rPr>
                <w:rFonts w:ascii="宋体" w:hAnsi="宋体"/>
              </w:rPr>
            </w:pPr>
          </w:p>
        </w:tc>
        <w:tc>
          <w:tcPr>
            <w:tcW w:w="911" w:type="dxa"/>
            <w:vAlign w:val="center"/>
          </w:tcPr>
          <w:p w14:paraId="60D7BC3E">
            <w:pPr>
              <w:tabs>
                <w:tab w:val="left" w:pos="3327"/>
              </w:tabs>
              <w:spacing w:line="360" w:lineRule="auto"/>
              <w:rPr>
                <w:rFonts w:ascii="宋体" w:hAnsi="宋体"/>
              </w:rPr>
            </w:pPr>
          </w:p>
        </w:tc>
        <w:tc>
          <w:tcPr>
            <w:tcW w:w="1131" w:type="dxa"/>
            <w:vAlign w:val="center"/>
          </w:tcPr>
          <w:p w14:paraId="6DD656FF">
            <w:pPr>
              <w:tabs>
                <w:tab w:val="left" w:pos="3327"/>
              </w:tabs>
              <w:spacing w:line="360" w:lineRule="auto"/>
              <w:rPr>
                <w:rFonts w:ascii="宋体" w:hAnsi="宋体"/>
              </w:rPr>
            </w:pPr>
          </w:p>
        </w:tc>
        <w:tc>
          <w:tcPr>
            <w:tcW w:w="2135" w:type="dxa"/>
            <w:vAlign w:val="center"/>
          </w:tcPr>
          <w:p w14:paraId="0ACB2356">
            <w:pPr>
              <w:tabs>
                <w:tab w:val="left" w:pos="3327"/>
              </w:tabs>
              <w:spacing w:line="360" w:lineRule="auto"/>
              <w:rPr>
                <w:rFonts w:ascii="宋体" w:hAnsi="宋体"/>
              </w:rPr>
            </w:pPr>
          </w:p>
        </w:tc>
        <w:tc>
          <w:tcPr>
            <w:tcW w:w="851" w:type="dxa"/>
            <w:vAlign w:val="center"/>
          </w:tcPr>
          <w:p w14:paraId="530FB917">
            <w:pPr>
              <w:tabs>
                <w:tab w:val="left" w:pos="3327"/>
              </w:tabs>
              <w:spacing w:line="360" w:lineRule="auto"/>
              <w:rPr>
                <w:rFonts w:ascii="宋体" w:hAnsi="宋体"/>
              </w:rPr>
            </w:pPr>
          </w:p>
        </w:tc>
        <w:tc>
          <w:tcPr>
            <w:tcW w:w="709" w:type="dxa"/>
            <w:vAlign w:val="center"/>
          </w:tcPr>
          <w:p w14:paraId="444B36C3">
            <w:pPr>
              <w:spacing w:line="360" w:lineRule="auto"/>
              <w:jc w:val="center"/>
              <w:rPr>
                <w:rFonts w:ascii="宋体" w:hAnsi="宋体"/>
              </w:rPr>
            </w:pPr>
          </w:p>
        </w:tc>
      </w:tr>
      <w:tr w14:paraId="4387C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851" w:type="dxa"/>
            <w:vAlign w:val="center"/>
          </w:tcPr>
          <w:p w14:paraId="611ADD73">
            <w:pPr>
              <w:tabs>
                <w:tab w:val="left" w:pos="3327"/>
              </w:tabs>
              <w:spacing w:line="360" w:lineRule="auto"/>
              <w:jc w:val="center"/>
              <w:rPr>
                <w:rFonts w:ascii="宋体" w:hAnsi="宋体"/>
              </w:rPr>
            </w:pPr>
            <w:r>
              <w:rPr>
                <w:rFonts w:hint="eastAsia" w:ascii="宋体" w:hAnsi="宋体"/>
              </w:rPr>
              <w:t>……</w:t>
            </w:r>
          </w:p>
        </w:tc>
        <w:tc>
          <w:tcPr>
            <w:tcW w:w="1095" w:type="dxa"/>
            <w:vAlign w:val="center"/>
          </w:tcPr>
          <w:p w14:paraId="6DD63390">
            <w:pPr>
              <w:tabs>
                <w:tab w:val="left" w:pos="3327"/>
              </w:tabs>
              <w:spacing w:line="360" w:lineRule="auto"/>
              <w:rPr>
                <w:rFonts w:ascii="宋体" w:hAnsi="宋体"/>
              </w:rPr>
            </w:pPr>
          </w:p>
        </w:tc>
        <w:tc>
          <w:tcPr>
            <w:tcW w:w="2666" w:type="dxa"/>
            <w:vAlign w:val="center"/>
          </w:tcPr>
          <w:p w14:paraId="69E1BACE">
            <w:pPr>
              <w:tabs>
                <w:tab w:val="left" w:pos="3327"/>
              </w:tabs>
              <w:spacing w:line="360" w:lineRule="auto"/>
              <w:rPr>
                <w:rFonts w:ascii="宋体" w:hAnsi="宋体"/>
              </w:rPr>
            </w:pPr>
          </w:p>
        </w:tc>
        <w:tc>
          <w:tcPr>
            <w:tcW w:w="911" w:type="dxa"/>
            <w:vAlign w:val="center"/>
          </w:tcPr>
          <w:p w14:paraId="64187B5A">
            <w:pPr>
              <w:tabs>
                <w:tab w:val="left" w:pos="3327"/>
              </w:tabs>
              <w:spacing w:line="360" w:lineRule="auto"/>
              <w:rPr>
                <w:rFonts w:ascii="宋体" w:hAnsi="宋体"/>
              </w:rPr>
            </w:pPr>
          </w:p>
        </w:tc>
        <w:tc>
          <w:tcPr>
            <w:tcW w:w="1131" w:type="dxa"/>
            <w:vAlign w:val="center"/>
          </w:tcPr>
          <w:p w14:paraId="604E5118">
            <w:pPr>
              <w:tabs>
                <w:tab w:val="left" w:pos="3327"/>
              </w:tabs>
              <w:spacing w:line="360" w:lineRule="auto"/>
              <w:rPr>
                <w:rFonts w:ascii="宋体" w:hAnsi="宋体"/>
              </w:rPr>
            </w:pPr>
          </w:p>
        </w:tc>
        <w:tc>
          <w:tcPr>
            <w:tcW w:w="2135" w:type="dxa"/>
            <w:vAlign w:val="center"/>
          </w:tcPr>
          <w:p w14:paraId="7BB45924">
            <w:pPr>
              <w:tabs>
                <w:tab w:val="left" w:pos="3327"/>
              </w:tabs>
              <w:spacing w:line="360" w:lineRule="auto"/>
              <w:rPr>
                <w:rFonts w:ascii="宋体" w:hAnsi="宋体"/>
              </w:rPr>
            </w:pPr>
          </w:p>
        </w:tc>
        <w:tc>
          <w:tcPr>
            <w:tcW w:w="851" w:type="dxa"/>
            <w:vAlign w:val="center"/>
          </w:tcPr>
          <w:p w14:paraId="6CE3DBA0">
            <w:pPr>
              <w:tabs>
                <w:tab w:val="left" w:pos="3327"/>
              </w:tabs>
              <w:spacing w:line="360" w:lineRule="auto"/>
              <w:rPr>
                <w:rFonts w:ascii="宋体" w:hAnsi="宋体"/>
              </w:rPr>
            </w:pPr>
          </w:p>
        </w:tc>
        <w:tc>
          <w:tcPr>
            <w:tcW w:w="709" w:type="dxa"/>
            <w:vAlign w:val="center"/>
          </w:tcPr>
          <w:p w14:paraId="247FA9DF">
            <w:pPr>
              <w:spacing w:line="360" w:lineRule="auto"/>
              <w:jc w:val="center"/>
              <w:rPr>
                <w:rFonts w:ascii="宋体" w:hAnsi="宋体"/>
              </w:rPr>
            </w:pPr>
          </w:p>
        </w:tc>
      </w:tr>
    </w:tbl>
    <w:p w14:paraId="5F20874B">
      <w:pPr>
        <w:autoSpaceDE w:val="0"/>
        <w:autoSpaceDN w:val="0"/>
        <w:spacing w:line="360" w:lineRule="auto"/>
        <w:rPr>
          <w:rFonts w:ascii="宋体" w:hAnsi="宋体" w:cs="Arial"/>
          <w:b/>
          <w:bCs/>
          <w:sz w:val="20"/>
          <w:lang w:val="zh-CN"/>
        </w:rPr>
      </w:pPr>
      <w:r>
        <w:rPr>
          <w:rFonts w:ascii="宋体" w:hAnsi="宋体" w:cs="Arial"/>
          <w:b/>
          <w:bCs/>
          <w:sz w:val="20"/>
          <w:lang w:val="zh-CN"/>
        </w:rPr>
        <w:t>注：1</w:t>
      </w:r>
      <w:r>
        <w:rPr>
          <w:rFonts w:hint="eastAsia" w:ascii="宋体" w:hAnsi="宋体" w:cs="Arial"/>
          <w:b/>
          <w:bCs/>
          <w:sz w:val="20"/>
          <w:lang w:val="zh-CN"/>
        </w:rPr>
        <w:t>、</w:t>
      </w:r>
      <w:r>
        <w:rPr>
          <w:rFonts w:ascii="宋体" w:hAnsi="宋体" w:cs="Arial"/>
          <w:b/>
          <w:bCs/>
          <w:sz w:val="20"/>
          <w:lang w:val="zh-CN"/>
        </w:rPr>
        <w:t>本表应按照每包采购一览表中产品序号的指标逐项填写，不得遗漏。</w:t>
      </w:r>
    </w:p>
    <w:p w14:paraId="6FBA74F3">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2</w:t>
      </w:r>
      <w:r>
        <w:rPr>
          <w:rFonts w:hint="eastAsia" w:ascii="宋体" w:hAnsi="宋体" w:cs="Arial"/>
          <w:b/>
          <w:bCs/>
          <w:sz w:val="20"/>
          <w:lang w:val="zh-CN"/>
        </w:rPr>
        <w:t>、“投标产品技术参数、指标”必须与投标文件中提供的产品检测报告、彩页等证明材料的实质性响应情况相一致。若在评标环节发现该项与投标文件中提供的产品检测报告（或厂家公开发布的资料参数）等证明材料的实质性响应情况不一致或直接复制招标文件“采购需求技术参数、指标”内容的，按无效投标处理。</w:t>
      </w:r>
    </w:p>
    <w:p w14:paraId="02BF0A4D">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3</w:t>
      </w:r>
      <w:r>
        <w:rPr>
          <w:rFonts w:hint="eastAsia" w:ascii="宋体" w:hAnsi="宋体" w:cs="Arial"/>
          <w:b/>
          <w:bCs/>
          <w:sz w:val="20"/>
          <w:lang w:val="zh-CN"/>
        </w:rPr>
        <w:t>、投标供应商响应采购需求应具体、明确，应以招标项目参数要求为基本投标要求，对超出或不满足招标项目参数要求的指标需列出“</w:t>
      </w:r>
      <w:r>
        <w:rPr>
          <w:rFonts w:ascii="宋体" w:hAnsi="宋体" w:cs="Arial"/>
          <w:b/>
          <w:bCs/>
          <w:sz w:val="20"/>
          <w:lang w:val="zh-CN"/>
        </w:rPr>
        <w:t>+</w:t>
      </w:r>
      <w:r>
        <w:rPr>
          <w:rFonts w:hint="eastAsia" w:ascii="宋体" w:hAnsi="宋体" w:cs="Arial"/>
          <w:b/>
          <w:bCs/>
          <w:sz w:val="20"/>
          <w:lang w:val="zh-CN"/>
        </w:rPr>
        <w:t>、</w:t>
      </w:r>
      <w:r>
        <w:rPr>
          <w:rFonts w:ascii="宋体" w:hAnsi="宋体" w:cs="Arial"/>
          <w:b/>
          <w:bCs/>
          <w:sz w:val="20"/>
          <w:lang w:val="zh-CN"/>
        </w:rPr>
        <w:t>-</w:t>
      </w:r>
      <w:r>
        <w:rPr>
          <w:rFonts w:hint="eastAsia" w:ascii="宋体" w:hAnsi="宋体" w:cs="Arial"/>
          <w:b/>
          <w:bCs/>
          <w:sz w:val="20"/>
          <w:lang w:val="zh-CN"/>
        </w:rPr>
        <w:t>”偏差，并做出详细说明；如果只注明“</w:t>
      </w:r>
      <w:r>
        <w:rPr>
          <w:rFonts w:ascii="宋体" w:hAnsi="宋体" w:cs="Arial"/>
          <w:b/>
          <w:bCs/>
          <w:sz w:val="20"/>
          <w:lang w:val="zh-CN"/>
        </w:rPr>
        <w:t>+</w:t>
      </w:r>
      <w:r>
        <w:rPr>
          <w:rFonts w:hint="eastAsia" w:ascii="宋体" w:hAnsi="宋体" w:cs="Arial"/>
          <w:b/>
          <w:bCs/>
          <w:sz w:val="20"/>
          <w:lang w:val="zh-CN"/>
        </w:rPr>
        <w:t>”、“</w:t>
      </w:r>
      <w:r>
        <w:rPr>
          <w:rFonts w:ascii="宋体" w:hAnsi="宋体" w:cs="Arial"/>
          <w:b/>
          <w:bCs/>
          <w:sz w:val="20"/>
          <w:lang w:val="zh-CN"/>
        </w:rPr>
        <w:t>-</w:t>
      </w:r>
      <w:r>
        <w:rPr>
          <w:rFonts w:hint="eastAsia" w:ascii="宋体" w:hAnsi="宋体" w:cs="Arial"/>
          <w:b/>
          <w:bCs/>
          <w:sz w:val="20"/>
          <w:lang w:val="zh-CN"/>
        </w:rPr>
        <w:t>”或未填写，将视为该项指标不响应。</w:t>
      </w:r>
    </w:p>
    <w:p w14:paraId="78233579">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4</w:t>
      </w:r>
      <w:r>
        <w:rPr>
          <w:rFonts w:hint="eastAsia" w:ascii="宋体" w:hAnsi="宋体" w:cs="Arial"/>
          <w:b/>
          <w:bCs/>
          <w:sz w:val="20"/>
          <w:lang w:val="zh-CN"/>
        </w:rPr>
        <w:t>、投标供应商应按投标产品实际情况填写，不得照抄、复制招标文件技术参数要求。</w:t>
      </w:r>
    </w:p>
    <w:p w14:paraId="0E80A886">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5</w:t>
      </w:r>
      <w:r>
        <w:rPr>
          <w:rFonts w:hint="eastAsia" w:ascii="宋体" w:hAnsi="宋体" w:cs="Arial"/>
          <w:b/>
          <w:bCs/>
          <w:sz w:val="20"/>
          <w:lang w:val="zh-CN"/>
        </w:rPr>
        <w:t>、投标供应商响应采购需求应具体、明确，含糊不清、不确切或伪造、编造证明材料的，按照实质性不响应处理。对伪造、编造证明材料的，将报送采购监管部门查处。</w:t>
      </w:r>
    </w:p>
    <w:p w14:paraId="13C6F9FC">
      <w:pPr>
        <w:autoSpaceDE w:val="0"/>
        <w:autoSpaceDN w:val="0"/>
        <w:adjustRightInd w:val="0"/>
        <w:spacing w:line="360" w:lineRule="auto"/>
        <w:rPr>
          <w:rFonts w:ascii="宋体" w:hAnsi="宋体" w:cs="宋体"/>
          <w:b/>
          <w:bCs/>
          <w:kern w:val="0"/>
          <w:sz w:val="24"/>
          <w:lang w:val="zh-CN"/>
        </w:rPr>
      </w:pPr>
    </w:p>
    <w:p w14:paraId="7442AF88">
      <w:pPr>
        <w:tabs>
          <w:tab w:val="left" w:pos="168"/>
        </w:tabs>
        <w:adjustRightInd w:val="0"/>
        <w:spacing w:line="360" w:lineRule="auto"/>
        <w:textAlignment w:val="baseline"/>
        <w:rPr>
          <w:rFonts w:ascii="宋体" w:hAnsi="宋体"/>
          <w:bCs/>
          <w:sz w:val="28"/>
          <w:szCs w:val="28"/>
        </w:rPr>
      </w:pPr>
    </w:p>
    <w:p w14:paraId="11DC0D27">
      <w:pPr>
        <w:tabs>
          <w:tab w:val="left" w:pos="168"/>
        </w:tabs>
        <w:adjustRightInd w:val="0"/>
        <w:spacing w:line="360" w:lineRule="auto"/>
        <w:textAlignment w:val="baseline"/>
        <w:rPr>
          <w:rFonts w:ascii="宋体" w:hAnsi="宋体"/>
          <w:bCs/>
          <w:sz w:val="28"/>
          <w:szCs w:val="28"/>
        </w:rPr>
      </w:pPr>
    </w:p>
    <w:p w14:paraId="132CBBD4">
      <w:pPr>
        <w:tabs>
          <w:tab w:val="left" w:pos="168"/>
        </w:tabs>
        <w:adjustRightInd w:val="0"/>
        <w:spacing w:line="360" w:lineRule="auto"/>
        <w:textAlignment w:val="baseline"/>
        <w:rPr>
          <w:rFonts w:ascii="宋体" w:hAnsi="宋体"/>
          <w:bCs/>
          <w:sz w:val="28"/>
          <w:szCs w:val="28"/>
        </w:rPr>
      </w:pPr>
    </w:p>
    <w:p w14:paraId="59BBC53A">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磋商供应商：</w:t>
      </w:r>
      <w:r>
        <w:rPr>
          <w:rFonts w:hint="eastAsia" w:ascii="宋体" w:hAnsi="宋体"/>
          <w:bCs/>
          <w:sz w:val="24"/>
          <w:szCs w:val="28"/>
          <w:u w:val="single"/>
        </w:rPr>
        <w:t xml:space="preserve">             </w:t>
      </w:r>
      <w:r>
        <w:rPr>
          <w:rFonts w:hint="eastAsia" w:ascii="宋体" w:hAnsi="宋体"/>
          <w:bCs/>
          <w:sz w:val="24"/>
          <w:szCs w:val="28"/>
        </w:rPr>
        <w:t>（公章）</w:t>
      </w:r>
    </w:p>
    <w:p w14:paraId="5FFA163C">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7AB2DA85">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0D4E9328">
      <w:pPr>
        <w:pStyle w:val="4"/>
        <w:numPr>
          <w:ilvl w:val="0"/>
          <w:numId w:val="0"/>
        </w:numPr>
        <w:ind w:left="709" w:hanging="709"/>
        <w:rPr>
          <w:rFonts w:hAnsi="宋体"/>
          <w:b/>
          <w:sz w:val="32"/>
        </w:rPr>
      </w:pPr>
      <w:r>
        <w:rPr>
          <w:rFonts w:hAnsi="宋体"/>
          <w:bCs/>
          <w:szCs w:val="28"/>
        </w:rPr>
        <w:br w:type="page"/>
      </w:r>
      <w:bookmarkStart w:id="223" w:name="_Toc1575350"/>
    </w:p>
    <w:p w14:paraId="0905B697">
      <w:pPr>
        <w:pStyle w:val="4"/>
        <w:numPr>
          <w:ilvl w:val="0"/>
          <w:numId w:val="0"/>
        </w:numPr>
        <w:ind w:left="709" w:hanging="709"/>
        <w:rPr>
          <w:rFonts w:hAnsi="宋体" w:cs="宋体"/>
          <w:bCs/>
          <w:sz w:val="24"/>
        </w:rPr>
      </w:pPr>
      <w:r>
        <w:rPr>
          <w:rFonts w:hint="eastAsia" w:hAnsi="宋体"/>
          <w:b/>
          <w:sz w:val="32"/>
        </w:rPr>
        <w:t>格式15、</w:t>
      </w:r>
      <w:r>
        <w:rPr>
          <w:rFonts w:hint="eastAsia" w:hAnsi="宋体"/>
          <w:b/>
          <w:sz w:val="32"/>
          <w:lang w:val="zh-CN"/>
        </w:rPr>
        <w:t>磋商产品相关资料</w:t>
      </w:r>
      <w:bookmarkEnd w:id="223"/>
    </w:p>
    <w:p w14:paraId="70F6632B">
      <w:pPr>
        <w:spacing w:line="360" w:lineRule="auto"/>
        <w:rPr>
          <w:rFonts w:ascii="宋体" w:hAnsi="宋体"/>
          <w:b/>
          <w:bCs/>
          <w:kern w:val="28"/>
          <w:sz w:val="32"/>
          <w:szCs w:val="32"/>
          <w:lang w:val="zh-CN"/>
        </w:rPr>
      </w:pPr>
    </w:p>
    <w:p w14:paraId="44A99F05">
      <w:pPr>
        <w:autoSpaceDE w:val="0"/>
        <w:autoSpaceDN w:val="0"/>
        <w:adjustRightInd w:val="0"/>
        <w:spacing w:line="360" w:lineRule="auto"/>
        <w:jc w:val="center"/>
        <w:rPr>
          <w:rFonts w:ascii="宋体" w:hAnsi="宋体" w:cs="Arial"/>
          <w:bCs/>
          <w:sz w:val="36"/>
          <w:szCs w:val="36"/>
          <w:lang w:val="zh-CN"/>
        </w:rPr>
      </w:pPr>
      <w:r>
        <w:rPr>
          <w:rFonts w:hint="eastAsia" w:ascii="宋体" w:hAnsi="宋体" w:cs="宋体"/>
          <w:b/>
          <w:bCs/>
          <w:kern w:val="0"/>
          <w:sz w:val="30"/>
          <w:szCs w:val="30"/>
          <w:lang w:val="zh-CN"/>
        </w:rPr>
        <w:t>磋商</w:t>
      </w:r>
      <w:r>
        <w:rPr>
          <w:rFonts w:ascii="宋体" w:hAnsi="宋体" w:cs="宋体"/>
          <w:b/>
          <w:bCs/>
          <w:kern w:val="0"/>
          <w:sz w:val="30"/>
          <w:szCs w:val="30"/>
          <w:lang w:val="zh-CN"/>
        </w:rPr>
        <w:t>产品相关资料</w:t>
      </w:r>
    </w:p>
    <w:p w14:paraId="08C87844">
      <w:pPr>
        <w:spacing w:line="360" w:lineRule="auto"/>
        <w:ind w:firstLine="424" w:firstLineChars="177"/>
        <w:rPr>
          <w:rFonts w:hAnsi="宋体"/>
          <w:b/>
          <w:sz w:val="32"/>
          <w:lang w:val="zh-CN"/>
        </w:rPr>
      </w:pPr>
      <w:r>
        <w:rPr>
          <w:rFonts w:hint="eastAsia" w:ascii="宋体" w:hAnsi="宋体" w:cs="Arial"/>
          <w:sz w:val="24"/>
        </w:rPr>
        <w:t>根据采购项目内容，磋商时提供国家认可的质监机构出具的磋商产品的产品材料的检验报告、证明技术参数响应的相关资料（或厂家公开发布的资料参数）、相关认证等资料。</w:t>
      </w:r>
      <w:bookmarkEnd w:id="220"/>
      <w:bookmarkEnd w:id="221"/>
      <w:bookmarkEnd w:id="222"/>
    </w:p>
    <w:p w14:paraId="1E24AE88">
      <w:pPr>
        <w:pStyle w:val="4"/>
        <w:numPr>
          <w:ilvl w:val="0"/>
          <w:numId w:val="0"/>
        </w:numPr>
        <w:ind w:left="709" w:hanging="709"/>
        <w:rPr>
          <w:rFonts w:hAnsi="宋体" w:cs="宋体"/>
        </w:rPr>
      </w:pPr>
      <w:r>
        <w:rPr>
          <w:rFonts w:hAnsi="宋体"/>
          <w:bCs/>
          <w:sz w:val="24"/>
          <w:szCs w:val="28"/>
        </w:rPr>
        <w:br w:type="page"/>
      </w:r>
      <w:bookmarkStart w:id="224" w:name="_Toc1575351"/>
      <w:r>
        <w:rPr>
          <w:rFonts w:hint="eastAsia" w:hAnsi="宋体"/>
          <w:b/>
          <w:sz w:val="32"/>
          <w:lang w:val="zh-CN"/>
        </w:rPr>
        <w:t>格式1</w:t>
      </w:r>
      <w:r>
        <w:rPr>
          <w:rFonts w:hint="eastAsia" w:hAnsi="宋体"/>
          <w:b/>
          <w:sz w:val="32"/>
        </w:rPr>
        <w:t>6</w:t>
      </w:r>
      <w:r>
        <w:rPr>
          <w:rFonts w:hint="eastAsia" w:hAnsi="宋体"/>
          <w:b/>
          <w:sz w:val="32"/>
          <w:lang w:val="zh-CN"/>
        </w:rPr>
        <w:t>、磋商供应商的类似业绩证明材料</w:t>
      </w:r>
      <w:bookmarkEnd w:id="224"/>
    </w:p>
    <w:p w14:paraId="454D31F9">
      <w:pPr>
        <w:autoSpaceDE w:val="0"/>
        <w:autoSpaceDN w:val="0"/>
        <w:adjustRightInd w:val="0"/>
        <w:spacing w:line="360" w:lineRule="auto"/>
        <w:rPr>
          <w:rFonts w:ascii="宋体" w:hAnsi="宋体" w:cs="宋体"/>
          <w:kern w:val="0"/>
          <w:sz w:val="24"/>
          <w:lang w:val="zh-CN"/>
        </w:rPr>
      </w:pPr>
    </w:p>
    <w:p w14:paraId="214B003B">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磋商供应商的类似业绩证明材料</w:t>
      </w:r>
    </w:p>
    <w:p w14:paraId="771B3CF2">
      <w:pPr>
        <w:autoSpaceDE w:val="0"/>
        <w:autoSpaceDN w:val="0"/>
        <w:adjustRightInd w:val="0"/>
        <w:spacing w:line="360" w:lineRule="auto"/>
        <w:rPr>
          <w:rFonts w:ascii="宋体" w:hAnsi="宋体" w:cs="宋体"/>
          <w:kern w:val="0"/>
          <w:sz w:val="24"/>
          <w:lang w:val="zh-CN"/>
        </w:rPr>
      </w:pPr>
    </w:p>
    <w:p w14:paraId="70A018D9">
      <w:pPr>
        <w:pStyle w:val="4"/>
        <w:numPr>
          <w:ilvl w:val="0"/>
          <w:numId w:val="0"/>
        </w:numPr>
        <w:ind w:left="869" w:leftChars="414" w:firstLine="151" w:firstLineChars="63"/>
        <w:rPr>
          <w:rFonts w:ascii="宋体" w:hAnsi="宋体" w:cs="宋体"/>
          <w:kern w:val="0"/>
          <w:sz w:val="28"/>
          <w:szCs w:val="28"/>
          <w:lang w:val="zh-CN"/>
        </w:rPr>
      </w:pPr>
      <w:r>
        <w:rPr>
          <w:rFonts w:hint="eastAsia" w:ascii="宋体" w:hAnsi="宋体" w:cs="宋体"/>
          <w:kern w:val="0"/>
          <w:sz w:val="24"/>
          <w:highlight w:val="none"/>
          <w:lang w:val="zh-CN"/>
        </w:rPr>
        <w:t>提供</w:t>
      </w:r>
      <w:r>
        <w:rPr>
          <w:rFonts w:hint="eastAsia" w:ascii="宋体" w:hAnsi="宋体" w:cs="宋体"/>
          <w:kern w:val="0"/>
          <w:sz w:val="24"/>
          <w:highlight w:val="none"/>
        </w:rPr>
        <w:t>20</w:t>
      </w:r>
      <w:r>
        <w:rPr>
          <w:rFonts w:hint="eastAsia" w:ascii="宋体" w:hAnsi="宋体" w:cs="宋体"/>
          <w:kern w:val="0"/>
          <w:sz w:val="24"/>
          <w:highlight w:val="none"/>
          <w:lang w:val="en-US" w:eastAsia="zh-CN"/>
        </w:rPr>
        <w:t>22</w:t>
      </w:r>
      <w:r>
        <w:rPr>
          <w:rFonts w:hint="eastAsia" w:ascii="宋体" w:hAnsi="宋体" w:cs="宋体"/>
          <w:kern w:val="0"/>
          <w:sz w:val="24"/>
          <w:highlight w:val="none"/>
        </w:rPr>
        <w:t>年以</w:t>
      </w:r>
      <w:r>
        <w:rPr>
          <w:rFonts w:hint="eastAsia" w:ascii="宋体" w:hAnsi="宋体" w:cs="宋体"/>
          <w:kern w:val="0"/>
          <w:sz w:val="24"/>
        </w:rPr>
        <w:t>来</w:t>
      </w:r>
      <w:r>
        <w:rPr>
          <w:rFonts w:hint="eastAsia" w:ascii="宋体" w:hAnsi="宋体" w:cs="宋体"/>
          <w:kern w:val="0"/>
          <w:sz w:val="24"/>
          <w:lang w:val="zh-CN"/>
        </w:rPr>
        <w:t>的投标人类似业绩证明材料。类似业绩是指与采购项目在产品类型、使用功能、合同规模等方面相同或相近的项目。（需提供</w:t>
      </w:r>
      <w:r>
        <w:rPr>
          <w:rFonts w:hint="eastAsia" w:ascii="宋体" w:hAnsi="宋体" w:cs="宋体"/>
          <w:kern w:val="0"/>
          <w:sz w:val="24"/>
          <w:lang w:val="zh-CN" w:eastAsia="zh-CN"/>
        </w:rPr>
        <w:t>合同复印件</w:t>
      </w:r>
      <w:r>
        <w:rPr>
          <w:rFonts w:hint="eastAsia" w:ascii="宋体" w:hAnsi="宋体" w:cs="宋体"/>
          <w:kern w:val="0"/>
          <w:sz w:val="24"/>
          <w:lang w:val="zh-CN"/>
        </w:rPr>
        <w:t>包含合同首页、标的及金额所在页、供货合同签字盖章页的扫描（或复印）件。）</w:t>
      </w:r>
      <w:r>
        <w:rPr>
          <w:rFonts w:hAnsi="宋体"/>
          <w:bCs/>
          <w:sz w:val="24"/>
          <w:szCs w:val="28"/>
        </w:rPr>
        <w:br w:type="page"/>
      </w:r>
      <w:bookmarkStart w:id="225" w:name="_Toc1575352"/>
      <w:r>
        <w:rPr>
          <w:rFonts w:hint="eastAsia" w:hAnsi="宋体"/>
          <w:b/>
          <w:sz w:val="32"/>
          <w:lang w:val="zh-CN"/>
        </w:rPr>
        <w:t>格式1</w:t>
      </w:r>
      <w:r>
        <w:rPr>
          <w:rFonts w:hint="eastAsia" w:hAnsi="宋体"/>
          <w:b/>
          <w:sz w:val="32"/>
        </w:rPr>
        <w:t>7</w:t>
      </w:r>
      <w:r>
        <w:rPr>
          <w:rFonts w:hint="eastAsia" w:hAnsi="宋体"/>
          <w:b/>
          <w:sz w:val="32"/>
          <w:lang w:val="zh-CN"/>
        </w:rPr>
        <w:t>、</w:t>
      </w:r>
      <w:r>
        <w:rPr>
          <w:rFonts w:hint="eastAsia" w:hAnsi="宋体"/>
          <w:b/>
          <w:sz w:val="32"/>
          <w:lang w:val="en-US" w:eastAsia="zh-CN"/>
        </w:rPr>
        <w:t>中小</w:t>
      </w:r>
      <w:r>
        <w:rPr>
          <w:rFonts w:hint="eastAsia" w:hAnsi="宋体"/>
          <w:b/>
          <w:sz w:val="32"/>
          <w:lang w:val="zh-CN"/>
        </w:rPr>
        <w:t>企业声明函</w:t>
      </w:r>
      <w:bookmarkEnd w:id="225"/>
    </w:p>
    <w:p w14:paraId="4F11D836">
      <w:pPr>
        <w:autoSpaceDE w:val="0"/>
        <w:autoSpaceDN w:val="0"/>
        <w:spacing w:line="360" w:lineRule="auto"/>
        <w:jc w:val="center"/>
        <w:rPr>
          <w:rFonts w:hint="eastAsia" w:ascii="宋体" w:hAnsi="宋体" w:cs="宋体"/>
          <w:b/>
          <w:bCs/>
          <w:kern w:val="0"/>
          <w:sz w:val="28"/>
          <w:szCs w:val="28"/>
          <w:lang w:val="en-US" w:eastAsia="zh-CN"/>
        </w:rPr>
      </w:pPr>
    </w:p>
    <w:p w14:paraId="4D471090">
      <w:pPr>
        <w:autoSpaceDE w:val="0"/>
        <w:autoSpaceDN w:val="0"/>
        <w:spacing w:line="360" w:lineRule="auto"/>
        <w:jc w:val="center"/>
        <w:rPr>
          <w:rFonts w:ascii="宋体" w:hAnsi="宋体" w:cs="宋体"/>
          <w:kern w:val="0"/>
          <w:sz w:val="28"/>
          <w:szCs w:val="28"/>
          <w:lang w:val="zh-CN"/>
        </w:rPr>
      </w:pPr>
      <w:r>
        <w:rPr>
          <w:rFonts w:hint="eastAsia" w:ascii="宋体" w:hAnsi="宋体" w:cs="宋体"/>
          <w:b/>
          <w:bCs/>
          <w:kern w:val="0"/>
          <w:sz w:val="28"/>
          <w:szCs w:val="28"/>
          <w:lang w:val="en-US" w:eastAsia="zh-CN"/>
        </w:rPr>
        <w:t>中小</w:t>
      </w:r>
      <w:r>
        <w:rPr>
          <w:rFonts w:hint="eastAsia" w:ascii="宋体" w:hAnsi="宋体" w:cs="宋体"/>
          <w:b/>
          <w:bCs/>
          <w:kern w:val="0"/>
          <w:sz w:val="28"/>
          <w:szCs w:val="28"/>
          <w:lang w:val="zh-CN"/>
        </w:rPr>
        <w:t>企业声明函（</w:t>
      </w:r>
      <w:r>
        <w:rPr>
          <w:rFonts w:hint="eastAsia" w:ascii="宋体" w:hAnsi="宋体" w:cs="宋体"/>
          <w:b/>
          <w:bCs/>
          <w:kern w:val="0"/>
          <w:sz w:val="28"/>
          <w:szCs w:val="28"/>
          <w:lang w:val="en-US" w:eastAsia="zh-CN"/>
        </w:rPr>
        <w:t>货物</w:t>
      </w:r>
      <w:r>
        <w:rPr>
          <w:rFonts w:hint="eastAsia" w:ascii="宋体" w:hAnsi="宋体" w:cs="宋体"/>
          <w:b/>
          <w:bCs/>
          <w:kern w:val="0"/>
          <w:sz w:val="28"/>
          <w:szCs w:val="28"/>
          <w:lang w:val="zh-CN"/>
        </w:rPr>
        <w:t>）</w:t>
      </w:r>
    </w:p>
    <w:p w14:paraId="7BFE894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本公司（联合体）郑重声明，根据《政府采购促进中小企业发展管理办法》（财库﹝2020﹞46 号）的规定，本公司（联合体）参加</w:t>
      </w:r>
      <w:r>
        <w:rPr>
          <w:rFonts w:hint="eastAsia" w:ascii="宋体" w:hAnsi="宋体" w:eastAsia="宋体" w:cs="宋体"/>
          <w:i w:val="0"/>
          <w:iCs/>
          <w:color w:val="000000"/>
          <w:kern w:val="0"/>
          <w:sz w:val="24"/>
          <w:szCs w:val="24"/>
          <w:u w:val="single"/>
          <w:lang w:val="en-US" w:eastAsia="zh-CN" w:bidi="ar"/>
        </w:rPr>
        <w:t>（单位名称）</w:t>
      </w:r>
      <w:r>
        <w:rPr>
          <w:rFonts w:hint="eastAsia" w:ascii="宋体" w:hAnsi="宋体" w:eastAsia="宋体" w:cs="宋体"/>
          <w:color w:val="000000"/>
          <w:kern w:val="0"/>
          <w:sz w:val="24"/>
          <w:szCs w:val="24"/>
          <w:lang w:val="en-US" w:eastAsia="zh-CN" w:bidi="ar"/>
        </w:rPr>
        <w:t>的</w:t>
      </w:r>
      <w:r>
        <w:rPr>
          <w:rFonts w:hint="eastAsia" w:ascii="宋体" w:hAnsi="宋体" w:eastAsia="宋体" w:cs="宋体"/>
          <w:i w:val="0"/>
          <w:iCs/>
          <w:color w:val="000000"/>
          <w:kern w:val="0"/>
          <w:sz w:val="24"/>
          <w:szCs w:val="24"/>
          <w:u w:val="single"/>
          <w:lang w:val="en-US" w:eastAsia="zh-CN" w:bidi="ar"/>
        </w:rPr>
        <w:t>（项目名称）</w:t>
      </w:r>
      <w:r>
        <w:rPr>
          <w:rFonts w:hint="eastAsia" w:ascii="宋体" w:hAnsi="宋体" w:eastAsia="宋体" w:cs="宋体"/>
          <w:color w:val="000000"/>
          <w:kern w:val="0"/>
          <w:sz w:val="24"/>
          <w:szCs w:val="24"/>
          <w:lang w:val="en-US" w:eastAsia="zh-CN" w:bidi="ar"/>
        </w:rPr>
        <w:t xml:space="preserve">采购活动，提供的货物全部由符合政策要求的中小企业制造。相关企业（含联合体中的中小企业、签订分包意向协议的中小企业）的具体情况如下： </w:t>
      </w:r>
    </w:p>
    <w:p w14:paraId="0091EDE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 </w:t>
      </w:r>
      <w:r>
        <w:rPr>
          <w:rFonts w:hint="eastAsia" w:ascii="宋体" w:hAnsi="宋体" w:eastAsia="宋体" w:cs="宋体"/>
          <w:i w:val="0"/>
          <w:iCs/>
          <w:color w:val="000000"/>
          <w:kern w:val="0"/>
          <w:sz w:val="24"/>
          <w:szCs w:val="24"/>
          <w:u w:val="single"/>
          <w:lang w:val="en-US" w:eastAsia="zh-CN" w:bidi="ar"/>
        </w:rPr>
        <w:t>（标的名称）</w:t>
      </w:r>
      <w:r>
        <w:rPr>
          <w:rFonts w:hint="eastAsia" w:ascii="宋体" w:hAnsi="宋体" w:eastAsia="宋体" w:cs="宋体"/>
          <w: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highlight w:val="none"/>
          <w:lang w:val="en-US" w:eastAsia="zh-CN" w:bidi="ar"/>
        </w:rPr>
        <w:t>属于</w:t>
      </w:r>
      <w:r>
        <w:rPr>
          <w:rFonts w:hint="eastAsia" w:ascii="宋体" w:hAnsi="宋体" w:eastAsia="宋体" w:cs="宋体"/>
          <w:i w:val="0"/>
          <w:iCs/>
          <w:color w:val="000000"/>
          <w:kern w:val="0"/>
          <w:sz w:val="24"/>
          <w:szCs w:val="24"/>
          <w:highlight w:val="none"/>
          <w:u w:val="single"/>
          <w:lang w:val="en-US" w:eastAsia="zh-CN" w:bidi="ar"/>
        </w:rPr>
        <w:t>（采购文件中明确的所属行业）</w:t>
      </w:r>
      <w:r>
        <w:rPr>
          <w:rFonts w:hint="eastAsia" w:ascii="宋体" w:hAnsi="宋体" w:cs="宋体"/>
          <w:i w:val="0"/>
          <w:iCs/>
          <w:color w:val="000000"/>
          <w:kern w:val="0"/>
          <w:sz w:val="24"/>
          <w:szCs w:val="24"/>
          <w:highlight w:val="none"/>
          <w:u w:val="single"/>
          <w:lang w:val="en-US" w:eastAsia="zh-CN" w:bidi="ar"/>
        </w:rPr>
        <w:t>工业</w:t>
      </w:r>
      <w:r>
        <w:rPr>
          <w:rFonts w:hint="eastAsia" w:ascii="宋体" w:hAnsi="宋体" w:eastAsia="宋体" w:cs="宋体"/>
          <w:i w:val="0"/>
          <w:iCs/>
          <w:color w:val="000000"/>
          <w:kern w:val="0"/>
          <w:sz w:val="24"/>
          <w:szCs w:val="24"/>
          <w:highlight w:val="none"/>
          <w:lang w:val="en-US" w:eastAsia="zh-CN" w:bidi="ar"/>
        </w:rPr>
        <w:t>行业</w:t>
      </w:r>
      <w:r>
        <w:rPr>
          <w:rFonts w:hint="eastAsia" w:ascii="宋体" w:hAnsi="宋体" w:eastAsia="宋体" w:cs="宋体"/>
          <w:color w:val="000000"/>
          <w:kern w:val="0"/>
          <w:sz w:val="24"/>
          <w:szCs w:val="24"/>
          <w:lang w:val="en-US" w:eastAsia="zh-CN" w:bidi="ar"/>
        </w:rPr>
        <w:t>；制造商为</w:t>
      </w:r>
      <w:r>
        <w:rPr>
          <w:rFonts w:hint="eastAsia" w:ascii="宋体" w:hAnsi="宋体" w:eastAsia="宋体" w:cs="宋体"/>
          <w:i w:val="0"/>
          <w:iCs/>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 xml:space="preserve">，从业人员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i w:val="0"/>
          <w:iCs/>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3BE2477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 </w:t>
      </w:r>
      <w:r>
        <w:rPr>
          <w:rFonts w:hint="eastAsia" w:ascii="宋体" w:hAnsi="宋体" w:eastAsia="宋体" w:cs="宋体"/>
          <w:i w:val="0"/>
          <w:iCs/>
          <w:color w:val="000000"/>
          <w:kern w:val="0"/>
          <w:sz w:val="24"/>
          <w:szCs w:val="24"/>
          <w:u w:val="single"/>
          <w:lang w:val="en-US" w:eastAsia="zh-CN" w:bidi="ar"/>
        </w:rPr>
        <w:t>（标的名称）</w:t>
      </w:r>
      <w:r>
        <w:rPr>
          <w:rFonts w:hint="eastAsia" w:ascii="宋体" w:hAnsi="宋体" w:eastAsia="宋体" w:cs="宋体"/>
          <w: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，属于</w:t>
      </w:r>
      <w:r>
        <w:rPr>
          <w:rFonts w:hint="eastAsia" w:ascii="宋体" w:hAnsi="宋体" w:eastAsia="宋体" w:cs="宋体"/>
          <w:i w:val="0"/>
          <w:iCs/>
          <w:color w:val="000000"/>
          <w:kern w:val="0"/>
          <w:sz w:val="24"/>
          <w:szCs w:val="24"/>
          <w:u w:val="single"/>
          <w:lang w:val="en-US" w:eastAsia="zh-CN" w:bidi="ar"/>
        </w:rPr>
        <w:t>（采购文件中明确的所属行业）</w:t>
      </w:r>
      <w:r>
        <w:rPr>
          <w:rFonts w:hint="eastAsia" w:ascii="宋体" w:hAnsi="宋体" w:cs="宋体"/>
          <w:i w:val="0"/>
          <w:iCs/>
          <w:color w:val="000000"/>
          <w:kern w:val="0"/>
          <w:sz w:val="24"/>
          <w:szCs w:val="24"/>
          <w:highlight w:val="none"/>
          <w:u w:val="single"/>
          <w:lang w:val="en-US" w:eastAsia="zh-CN" w:bidi="ar"/>
        </w:rPr>
        <w:t>工业</w:t>
      </w:r>
      <w:r>
        <w:rPr>
          <w:rFonts w:hint="eastAsia" w:ascii="宋体" w:hAnsi="宋体" w:eastAsia="宋体" w:cs="宋体"/>
          <w:i w:val="0"/>
          <w:iCs/>
          <w:color w:val="000000"/>
          <w:kern w:val="0"/>
          <w:sz w:val="24"/>
          <w:szCs w:val="24"/>
          <w:lang w:val="en-US" w:eastAsia="zh-CN" w:bidi="ar"/>
        </w:rPr>
        <w:t>行业</w:t>
      </w:r>
      <w:r>
        <w:rPr>
          <w:rFonts w:hint="eastAsia" w:ascii="宋体" w:hAnsi="宋体" w:eastAsia="宋体" w:cs="宋体"/>
          <w:color w:val="000000"/>
          <w:kern w:val="0"/>
          <w:sz w:val="24"/>
          <w:szCs w:val="24"/>
          <w:lang w:val="en-US" w:eastAsia="zh-CN" w:bidi="ar"/>
        </w:rPr>
        <w:t>；制造商为</w:t>
      </w:r>
      <w:r>
        <w:rPr>
          <w:rFonts w:hint="eastAsia" w:ascii="宋体" w:hAnsi="宋体" w:eastAsia="宋体" w:cs="宋体"/>
          <w:i w:val="0"/>
          <w:iCs/>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i w:val="0"/>
          <w:iCs/>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12CD4B08">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w:t>
      </w:r>
    </w:p>
    <w:p w14:paraId="008C8DF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以上企业，不属于大企业的分支机构，不存在控股股东为大企业的情形，也不存在与大企业的负责人为同一人的情形。</w:t>
      </w:r>
    </w:p>
    <w:p w14:paraId="0B410ED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14:paraId="00B3CC63">
      <w:pPr>
        <w:keepNext w:val="0"/>
        <w:keepLines w:val="0"/>
        <w:pageBreakBefore w:val="0"/>
        <w:widowControl/>
        <w:suppressLineNumbers w:val="0"/>
        <w:kinsoku/>
        <w:wordWrap/>
        <w:overflowPunct/>
        <w:topLinePunct w:val="0"/>
        <w:autoSpaceDE/>
        <w:autoSpaceDN/>
        <w:bidi w:val="0"/>
        <w:adjustRightInd/>
        <w:snapToGrid/>
        <w:spacing w:line="560" w:lineRule="exact"/>
        <w:ind w:firstLine="3120" w:firstLineChars="1300"/>
        <w:jc w:val="left"/>
        <w:textAlignment w:val="auto"/>
        <w:rPr>
          <w:rFonts w:hint="eastAsia" w:ascii="宋体" w:hAnsi="宋体" w:eastAsia="宋体" w:cs="宋体"/>
          <w:color w:val="000000"/>
          <w:kern w:val="0"/>
          <w:sz w:val="24"/>
          <w:szCs w:val="24"/>
          <w:lang w:val="en-US" w:eastAsia="zh-CN" w:bidi="ar"/>
        </w:rPr>
      </w:pPr>
    </w:p>
    <w:p w14:paraId="1D42AFA7">
      <w:pPr>
        <w:pStyle w:val="30"/>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24"/>
          <w:szCs w:val="24"/>
          <w:lang w:val="en-US" w:eastAsia="zh-CN"/>
        </w:rPr>
      </w:pPr>
    </w:p>
    <w:p w14:paraId="03C60BD3">
      <w:pPr>
        <w:keepNext w:val="0"/>
        <w:keepLines w:val="0"/>
        <w:pageBreakBefore w:val="0"/>
        <w:widowControl/>
        <w:suppressLineNumbers w:val="0"/>
        <w:kinsoku/>
        <w:wordWrap/>
        <w:overflowPunct/>
        <w:topLinePunct w:val="0"/>
        <w:autoSpaceDE/>
        <w:autoSpaceDN/>
        <w:bidi w:val="0"/>
        <w:adjustRightInd/>
        <w:snapToGrid/>
        <w:spacing w:line="560" w:lineRule="exact"/>
        <w:ind w:firstLine="4560" w:firstLineChars="19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企业名称（盖章）： </w:t>
      </w:r>
    </w:p>
    <w:p w14:paraId="2C64801F">
      <w:pPr>
        <w:keepNext w:val="0"/>
        <w:keepLines w:val="0"/>
        <w:pageBreakBefore w:val="0"/>
        <w:widowControl/>
        <w:suppressLineNumbers w:val="0"/>
        <w:kinsoku/>
        <w:wordWrap/>
        <w:overflowPunct/>
        <w:topLinePunct w:val="0"/>
        <w:autoSpaceDE/>
        <w:autoSpaceDN/>
        <w:bidi w:val="0"/>
        <w:adjustRightInd/>
        <w:snapToGrid/>
        <w:spacing w:line="560" w:lineRule="exact"/>
        <w:ind w:firstLine="4560" w:firstLineChars="1900"/>
        <w:jc w:val="left"/>
        <w:textAlignment w:val="auto"/>
        <w:rPr>
          <w:rFonts w:ascii="Calibri" w:hAnsi="Calibri" w:cs="Times New Roman"/>
          <w:sz w:val="21"/>
        </w:rPr>
      </w:pPr>
      <w:r>
        <w:rPr>
          <w:rFonts w:hint="eastAsia" w:ascii="宋体" w:hAnsi="宋体" w:eastAsia="宋体" w:cs="宋体"/>
          <w:color w:val="000000"/>
          <w:kern w:val="0"/>
          <w:sz w:val="24"/>
          <w:szCs w:val="24"/>
          <w:lang w:val="en-US" w:eastAsia="zh-CN" w:bidi="ar"/>
        </w:rPr>
        <w:t xml:space="preserve">日   期： </w:t>
      </w:r>
    </w:p>
    <w:p w14:paraId="63158137">
      <w:pPr>
        <w:pStyle w:val="4"/>
        <w:numPr>
          <w:ilvl w:val="0"/>
          <w:numId w:val="0"/>
        </w:numPr>
        <w:ind w:left="709" w:hanging="709"/>
        <w:rPr>
          <w:rFonts w:hAnsi="宋体"/>
        </w:rPr>
      </w:pPr>
      <w:r>
        <w:rPr>
          <w:lang w:val="zh-CN"/>
        </w:rPr>
        <w:br w:type="page"/>
      </w:r>
      <w:bookmarkStart w:id="226" w:name="_Toc1575353"/>
      <w:r>
        <w:rPr>
          <w:rFonts w:hint="eastAsia" w:hAnsi="宋体"/>
          <w:b/>
          <w:sz w:val="32"/>
          <w:lang w:val="zh-CN"/>
        </w:rPr>
        <w:t>格式1</w:t>
      </w:r>
      <w:r>
        <w:rPr>
          <w:rFonts w:hint="eastAsia" w:hAnsi="宋体"/>
          <w:b/>
          <w:sz w:val="32"/>
        </w:rPr>
        <w:t>8</w:t>
      </w:r>
      <w:r>
        <w:rPr>
          <w:rFonts w:hint="eastAsia" w:hAnsi="宋体"/>
          <w:b/>
          <w:sz w:val="32"/>
          <w:lang w:val="zh-CN"/>
        </w:rPr>
        <w:t>、</w:t>
      </w:r>
      <w:bookmarkStart w:id="227" w:name="_Toc5881"/>
      <w:bookmarkStart w:id="228" w:name="_Toc500160642"/>
      <w:bookmarkStart w:id="229" w:name="_Toc500160598"/>
      <w:r>
        <w:rPr>
          <w:rFonts w:hint="eastAsia" w:hAnsi="宋体"/>
          <w:b/>
          <w:sz w:val="32"/>
          <w:lang w:val="zh-CN"/>
        </w:rPr>
        <w:t>残疾人福利性单位声明函</w:t>
      </w:r>
      <w:bookmarkEnd w:id="226"/>
      <w:bookmarkEnd w:id="227"/>
      <w:bookmarkEnd w:id="228"/>
      <w:bookmarkEnd w:id="229"/>
    </w:p>
    <w:p w14:paraId="0743D49E">
      <w:pPr>
        <w:jc w:val="center"/>
        <w:rPr>
          <w:rFonts w:ascii="宋体" w:hAnsi="宋体" w:cs="宋体"/>
          <w:b/>
          <w:sz w:val="36"/>
          <w:szCs w:val="36"/>
        </w:rPr>
      </w:pPr>
      <w:bookmarkStart w:id="230" w:name="OLE_LINK13"/>
      <w:bookmarkStart w:id="231" w:name="OLE_LINK14"/>
    </w:p>
    <w:p w14:paraId="1E103196">
      <w:pPr>
        <w:autoSpaceDE w:val="0"/>
        <w:autoSpaceDN w:val="0"/>
        <w:spacing w:line="360" w:lineRule="auto"/>
        <w:jc w:val="center"/>
        <w:rPr>
          <w:rFonts w:ascii="宋体" w:hAnsi="宋体" w:cs="宋体"/>
          <w:b/>
          <w:bCs/>
          <w:sz w:val="28"/>
          <w:szCs w:val="28"/>
        </w:rPr>
      </w:pPr>
      <w:bookmarkStart w:id="232" w:name="_Hlk500164733"/>
      <w:r>
        <w:rPr>
          <w:rFonts w:hint="eastAsia" w:ascii="宋体" w:hAnsi="宋体" w:cs="宋体"/>
          <w:b/>
          <w:bCs/>
          <w:kern w:val="0"/>
          <w:sz w:val="28"/>
          <w:szCs w:val="28"/>
        </w:rPr>
        <w:t>残疾人福利性单位声明函</w:t>
      </w:r>
      <w:bookmarkEnd w:id="232"/>
    </w:p>
    <w:bookmarkEnd w:id="230"/>
    <w:bookmarkEnd w:id="231"/>
    <w:p w14:paraId="0BA9985C">
      <w:pPr>
        <w:spacing w:after="120" w:afterLines="50"/>
        <w:rPr>
          <w:rFonts w:ascii="宋体" w:hAnsi="宋体" w:cs="宋体"/>
          <w:bCs/>
        </w:rPr>
      </w:pPr>
    </w:p>
    <w:p w14:paraId="3F008DE9">
      <w:pPr>
        <w:autoSpaceDE w:val="0"/>
        <w:autoSpaceDN w:val="0"/>
        <w:spacing w:line="360" w:lineRule="auto"/>
        <w:rPr>
          <w:rFonts w:ascii="宋体" w:hAnsi="宋体" w:cs="宋体"/>
          <w:b/>
          <w:bCs/>
        </w:rPr>
      </w:pPr>
      <w:r>
        <w:rPr>
          <w:rFonts w:hint="eastAsia" w:ascii="宋体" w:hAnsi="宋体" w:cs="宋体"/>
          <w:b/>
          <w:bCs/>
          <w:kern w:val="0"/>
          <w:sz w:val="28"/>
          <w:szCs w:val="28"/>
          <w:lang w:val="zh-CN"/>
        </w:rPr>
        <w:t>致：青海丰研工程咨询有限公司</w:t>
      </w:r>
    </w:p>
    <w:p w14:paraId="6F5ABAB2">
      <w:pPr>
        <w:ind w:firstLine="480"/>
        <w:rPr>
          <w:rFonts w:ascii="宋体" w:hAnsi="宋体" w:cs="宋体"/>
        </w:rPr>
      </w:pPr>
    </w:p>
    <w:p w14:paraId="5DFCBA8F">
      <w:pPr>
        <w:autoSpaceDE w:val="0"/>
        <w:autoSpaceDN w:val="0"/>
        <w:spacing w:line="360" w:lineRule="auto"/>
        <w:ind w:firstLine="360"/>
        <w:rPr>
          <w:rFonts w:ascii="宋体" w:hAnsi="宋体" w:cs="宋体"/>
          <w:kern w:val="0"/>
          <w:sz w:val="24"/>
          <w:lang w:val="zh-CN"/>
        </w:rPr>
      </w:pPr>
      <w:r>
        <w:rPr>
          <w:rFonts w:hint="eastAsia" w:ascii="宋体" w:hAnsi="宋体" w:cs="宋体"/>
          <w:kern w:val="0"/>
          <w:sz w:val="24"/>
          <w:lang w:val="zh-CN"/>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kern w:val="0"/>
          <w:sz w:val="24"/>
          <w:u w:val="single"/>
          <w:lang w:val="zh-CN"/>
        </w:rPr>
        <w:t xml:space="preserve">       </w:t>
      </w:r>
      <w:r>
        <w:rPr>
          <w:rFonts w:hint="eastAsia" w:ascii="宋体" w:hAnsi="宋体" w:cs="宋体"/>
          <w:kern w:val="0"/>
          <w:sz w:val="24"/>
          <w:lang w:val="zh-CN"/>
        </w:rPr>
        <w:t>人，安置的残疾人人数</w:t>
      </w:r>
      <w:r>
        <w:rPr>
          <w:rFonts w:hint="eastAsia" w:ascii="宋体" w:hAnsi="宋体" w:cs="宋体"/>
          <w:kern w:val="0"/>
          <w:sz w:val="24"/>
          <w:u w:val="single"/>
          <w:lang w:val="zh-CN"/>
        </w:rPr>
        <w:t xml:space="preserve">      </w:t>
      </w:r>
      <w:r>
        <w:rPr>
          <w:rFonts w:hint="eastAsia" w:ascii="宋体" w:hAnsi="宋体" w:cs="宋体"/>
          <w:kern w:val="0"/>
          <w:sz w:val="24"/>
          <w:lang w:val="zh-CN"/>
        </w:rPr>
        <w:t>人。且本单位参加______单位的______项目采购活动提供本单位制造的货物（由本单位承担工程/提供服务），或者提供其他残疾人福利性单位制造的货物（不包括使用非残疾人福利性单位注册商标的货物）。</w:t>
      </w:r>
    </w:p>
    <w:p w14:paraId="2E890C8C">
      <w:pPr>
        <w:autoSpaceDE w:val="0"/>
        <w:autoSpaceDN w:val="0"/>
        <w:spacing w:line="360" w:lineRule="auto"/>
        <w:ind w:firstLine="360"/>
        <w:rPr>
          <w:rFonts w:ascii="宋体" w:hAnsi="宋体" w:cs="宋体"/>
          <w:kern w:val="0"/>
          <w:sz w:val="24"/>
          <w:lang w:val="zh-CN"/>
        </w:rPr>
      </w:pPr>
      <w:r>
        <w:rPr>
          <w:rFonts w:hint="eastAsia" w:ascii="宋体" w:hAnsi="宋体" w:cs="宋体"/>
          <w:kern w:val="0"/>
          <w:sz w:val="24"/>
          <w:lang w:val="zh-CN"/>
        </w:rPr>
        <w:t>本单位对上述声明的真实性负责。如有虚假，将依法承担相应责任。</w:t>
      </w:r>
    </w:p>
    <w:p w14:paraId="68E13B6D">
      <w:pPr>
        <w:autoSpaceDE w:val="0"/>
        <w:autoSpaceDN w:val="0"/>
        <w:spacing w:line="360" w:lineRule="auto"/>
        <w:ind w:firstLine="360"/>
        <w:rPr>
          <w:rFonts w:ascii="宋体" w:hAnsi="宋体" w:cs="宋体"/>
          <w:kern w:val="0"/>
          <w:sz w:val="24"/>
          <w:lang w:val="zh-CN"/>
        </w:rPr>
      </w:pPr>
    </w:p>
    <w:p w14:paraId="1EDEC42A">
      <w:pPr>
        <w:autoSpaceDE w:val="0"/>
        <w:autoSpaceDN w:val="0"/>
        <w:spacing w:line="360" w:lineRule="auto"/>
        <w:ind w:firstLine="360"/>
        <w:rPr>
          <w:rFonts w:ascii="宋体" w:hAnsi="宋体" w:cs="宋体"/>
          <w:kern w:val="0"/>
          <w:sz w:val="24"/>
          <w:lang w:val="zh-CN"/>
        </w:rPr>
      </w:pPr>
      <w:r>
        <w:rPr>
          <w:rFonts w:hint="eastAsia" w:ascii="宋体" w:hAnsi="宋体" w:cs="宋体"/>
          <w:kern w:val="0"/>
          <w:sz w:val="24"/>
          <w:lang w:val="zh-CN"/>
        </w:rPr>
        <w:t>注：若无此项内容，可不提供此函。</w:t>
      </w:r>
    </w:p>
    <w:p w14:paraId="40DDDA3D">
      <w:pPr>
        <w:ind w:firstLine="480"/>
        <w:rPr>
          <w:rFonts w:ascii="宋体" w:hAnsi="宋体" w:cs="宋体"/>
        </w:rPr>
      </w:pPr>
    </w:p>
    <w:p w14:paraId="06AA277D">
      <w:pPr>
        <w:ind w:firstLine="480"/>
        <w:rPr>
          <w:rFonts w:ascii="宋体" w:hAnsi="宋体" w:cs="宋体"/>
        </w:rPr>
      </w:pPr>
    </w:p>
    <w:p w14:paraId="5537F15F">
      <w:pPr>
        <w:ind w:firstLine="480"/>
        <w:rPr>
          <w:rFonts w:ascii="宋体" w:hAnsi="宋体" w:cs="宋体"/>
        </w:rPr>
      </w:pPr>
    </w:p>
    <w:p w14:paraId="2D426139">
      <w:pPr>
        <w:ind w:firstLine="480"/>
        <w:rPr>
          <w:rFonts w:ascii="宋体" w:hAnsi="宋体" w:cs="宋体"/>
        </w:rPr>
      </w:pPr>
    </w:p>
    <w:p w14:paraId="39222751">
      <w:pPr>
        <w:ind w:firstLine="480"/>
        <w:rPr>
          <w:rFonts w:ascii="宋体" w:hAnsi="宋体" w:cs="宋体"/>
        </w:rPr>
      </w:pPr>
    </w:p>
    <w:p w14:paraId="02D56832">
      <w:pPr>
        <w:ind w:firstLine="480"/>
        <w:rPr>
          <w:rFonts w:ascii="宋体" w:hAnsi="宋体" w:cs="宋体"/>
        </w:rPr>
      </w:pPr>
    </w:p>
    <w:p w14:paraId="1877F3E5">
      <w:pPr>
        <w:ind w:firstLine="480"/>
        <w:rPr>
          <w:rFonts w:ascii="宋体" w:hAnsi="宋体" w:cs="宋体"/>
        </w:rPr>
      </w:pPr>
    </w:p>
    <w:p w14:paraId="0A532460">
      <w:pPr>
        <w:ind w:firstLine="480"/>
        <w:rPr>
          <w:rFonts w:ascii="宋体" w:hAnsi="宋体" w:cs="宋体"/>
        </w:rPr>
      </w:pPr>
    </w:p>
    <w:p w14:paraId="0FE2AF8D">
      <w:pPr>
        <w:ind w:firstLine="480"/>
        <w:rPr>
          <w:rFonts w:ascii="宋体" w:hAnsi="宋体" w:cs="宋体"/>
        </w:rPr>
      </w:pPr>
    </w:p>
    <w:p w14:paraId="59A41A9D">
      <w:pPr>
        <w:ind w:firstLine="480"/>
        <w:rPr>
          <w:rFonts w:ascii="宋体" w:hAnsi="宋体" w:cs="宋体"/>
        </w:rPr>
      </w:pPr>
    </w:p>
    <w:p w14:paraId="1AB2499B">
      <w:pPr>
        <w:ind w:firstLine="480"/>
        <w:rPr>
          <w:rFonts w:ascii="宋体" w:hAnsi="宋体" w:cs="宋体"/>
        </w:rPr>
      </w:pPr>
    </w:p>
    <w:p w14:paraId="140B49E6">
      <w:pPr>
        <w:rPr>
          <w:rFonts w:ascii="宋体" w:hAnsi="宋体" w:cs="宋体"/>
        </w:rPr>
      </w:pPr>
    </w:p>
    <w:p w14:paraId="12B49CB8">
      <w:pPr>
        <w:ind w:firstLine="480"/>
        <w:rPr>
          <w:rFonts w:ascii="宋体" w:hAnsi="宋体" w:cs="宋体"/>
        </w:rPr>
      </w:pPr>
    </w:p>
    <w:p w14:paraId="66D54B36">
      <w:pPr>
        <w:ind w:firstLine="480"/>
        <w:rPr>
          <w:rFonts w:ascii="宋体" w:hAnsi="宋体" w:cs="宋体"/>
        </w:rPr>
      </w:pPr>
    </w:p>
    <w:p w14:paraId="1034C165">
      <w:pPr>
        <w:autoSpaceDE w:val="0"/>
        <w:autoSpaceDN w:val="0"/>
        <w:spacing w:line="360" w:lineRule="auto"/>
        <w:jc w:val="right"/>
        <w:rPr>
          <w:rFonts w:ascii="宋体" w:hAnsi="宋体"/>
          <w:bCs/>
          <w:sz w:val="24"/>
          <w:szCs w:val="28"/>
        </w:rPr>
      </w:pPr>
      <w:r>
        <w:rPr>
          <w:rFonts w:hint="eastAsia" w:ascii="宋体" w:hAnsi="宋体"/>
          <w:bCs/>
          <w:sz w:val="24"/>
          <w:szCs w:val="28"/>
        </w:rPr>
        <w:t>企业名称：</w:t>
      </w:r>
      <w:r>
        <w:rPr>
          <w:rFonts w:hint="eastAsia" w:ascii="宋体" w:hAnsi="宋体"/>
          <w:bCs/>
          <w:sz w:val="24"/>
          <w:szCs w:val="28"/>
          <w:u w:val="single"/>
        </w:rPr>
        <w:t xml:space="preserve">       </w:t>
      </w:r>
      <w:r>
        <w:rPr>
          <w:rFonts w:hint="eastAsia" w:ascii="宋体" w:hAnsi="宋体"/>
          <w:bCs/>
          <w:sz w:val="24"/>
          <w:szCs w:val="28"/>
        </w:rPr>
        <w:t>（公章）</w:t>
      </w:r>
    </w:p>
    <w:p w14:paraId="353C3911">
      <w:pPr>
        <w:autoSpaceDE w:val="0"/>
        <w:autoSpaceDN w:val="0"/>
        <w:spacing w:line="360" w:lineRule="auto"/>
        <w:jc w:val="right"/>
        <w:rPr>
          <w:rFonts w:ascii="宋体" w:hAnsi="宋体"/>
          <w:bCs/>
          <w:sz w:val="24"/>
          <w:szCs w:val="28"/>
        </w:rPr>
      </w:pPr>
      <w:r>
        <w:rPr>
          <w:rFonts w:hint="eastAsia" w:ascii="宋体" w:hAnsi="宋体"/>
          <w:bCs/>
          <w:sz w:val="24"/>
          <w:szCs w:val="28"/>
        </w:rPr>
        <w:t xml:space="preserve">       企业法定代表人：</w:t>
      </w:r>
      <w:r>
        <w:rPr>
          <w:rFonts w:hint="eastAsia" w:ascii="宋体" w:hAnsi="宋体"/>
          <w:bCs/>
          <w:sz w:val="24"/>
          <w:szCs w:val="28"/>
          <w:u w:val="single"/>
        </w:rPr>
        <w:t xml:space="preserve">       </w:t>
      </w:r>
      <w:r>
        <w:rPr>
          <w:rFonts w:hint="eastAsia" w:ascii="宋体" w:hAnsi="宋体"/>
          <w:bCs/>
          <w:sz w:val="24"/>
          <w:szCs w:val="28"/>
        </w:rPr>
        <w:t>（签字或盖章）</w:t>
      </w:r>
    </w:p>
    <w:p w14:paraId="2F789CF1">
      <w:pPr>
        <w:autoSpaceDE w:val="0"/>
        <w:autoSpaceDN w:val="0"/>
        <w:spacing w:line="360" w:lineRule="auto"/>
        <w:jc w:val="right"/>
        <w:rPr>
          <w:lang w:val="zh-CN"/>
        </w:rPr>
      </w:pPr>
      <w:r>
        <w:rPr>
          <w:rFonts w:hint="eastAsia" w:ascii="宋体" w:hAnsi="宋体"/>
          <w:bCs/>
          <w:sz w:val="24"/>
          <w:szCs w:val="28"/>
        </w:rPr>
        <w:t>日期：    年   月   日</w:t>
      </w:r>
    </w:p>
    <w:p w14:paraId="766D711A">
      <w:pPr>
        <w:pStyle w:val="4"/>
        <w:numPr>
          <w:ilvl w:val="0"/>
          <w:numId w:val="0"/>
        </w:numPr>
        <w:ind w:left="709" w:hanging="709"/>
        <w:rPr>
          <w:lang w:val="zh-CN"/>
        </w:rPr>
      </w:pPr>
      <w:r>
        <w:rPr>
          <w:lang w:val="zh-CN"/>
        </w:rPr>
        <w:br w:type="page"/>
      </w:r>
    </w:p>
    <w:p w14:paraId="6938527B">
      <w:pPr>
        <w:pStyle w:val="4"/>
        <w:numPr>
          <w:ilvl w:val="0"/>
          <w:numId w:val="0"/>
        </w:numPr>
        <w:ind w:left="709" w:hanging="709"/>
        <w:rPr>
          <w:rFonts w:hAnsi="宋体" w:cs="宋体"/>
        </w:rPr>
      </w:pPr>
      <w:bookmarkStart w:id="233" w:name="_Toc31287"/>
      <w:bookmarkStart w:id="234" w:name="_Toc1575354"/>
      <w:r>
        <w:rPr>
          <w:rFonts w:hint="eastAsia" w:hAnsi="宋体"/>
          <w:b/>
          <w:sz w:val="32"/>
          <w:lang w:val="zh-CN"/>
        </w:rPr>
        <w:t>格式</w:t>
      </w:r>
      <w:r>
        <w:rPr>
          <w:rFonts w:hint="eastAsia" w:hAnsi="宋体"/>
          <w:b/>
          <w:sz w:val="32"/>
        </w:rPr>
        <w:t>19</w:t>
      </w:r>
      <w:r>
        <w:rPr>
          <w:rFonts w:hint="eastAsia" w:hAnsi="宋体"/>
          <w:b/>
          <w:sz w:val="32"/>
          <w:lang w:val="zh-CN"/>
        </w:rPr>
        <w:t>、磋商供应商认为在其他方面有必要说明的事项</w:t>
      </w:r>
      <w:bookmarkEnd w:id="233"/>
      <w:bookmarkEnd w:id="234"/>
    </w:p>
    <w:p w14:paraId="2B28F613">
      <w:pPr>
        <w:autoSpaceDE w:val="0"/>
        <w:autoSpaceDN w:val="0"/>
        <w:adjustRightInd w:val="0"/>
        <w:spacing w:line="360" w:lineRule="auto"/>
        <w:rPr>
          <w:rFonts w:ascii="宋体" w:hAnsi="宋体" w:cs="宋体"/>
          <w:kern w:val="0"/>
          <w:sz w:val="24"/>
          <w:lang w:val="zh-CN"/>
        </w:rPr>
      </w:pPr>
    </w:p>
    <w:p w14:paraId="4DDF7F85">
      <w:pPr>
        <w:pStyle w:val="17"/>
        <w:spacing w:line="360" w:lineRule="auto"/>
        <w:jc w:val="center"/>
        <w:rPr>
          <w:rFonts w:hAnsi="宋体" w:cs="宋体"/>
          <w:b/>
          <w:bCs/>
          <w:sz w:val="30"/>
          <w:szCs w:val="30"/>
          <w:lang w:val="zh-CN"/>
        </w:rPr>
      </w:pPr>
      <w:r>
        <w:rPr>
          <w:rFonts w:hint="eastAsia" w:hAnsi="宋体" w:cs="宋体"/>
          <w:b/>
          <w:bCs/>
          <w:sz w:val="30"/>
          <w:szCs w:val="30"/>
          <w:lang w:val="zh-CN"/>
        </w:rPr>
        <w:t>磋商供应商认为在其他方面有必要说明的事项</w:t>
      </w:r>
    </w:p>
    <w:p w14:paraId="2214EA9E">
      <w:pPr>
        <w:autoSpaceDE w:val="0"/>
        <w:autoSpaceDN w:val="0"/>
        <w:adjustRightInd w:val="0"/>
        <w:spacing w:line="360" w:lineRule="auto"/>
        <w:rPr>
          <w:rFonts w:ascii="宋体" w:hAnsi="宋体" w:cs="宋体"/>
          <w:kern w:val="0"/>
          <w:sz w:val="24"/>
          <w:lang w:val="zh-CN"/>
        </w:rPr>
      </w:pPr>
    </w:p>
    <w:p w14:paraId="0A96579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磋商供应商在参加本项目磋商中根据磋商文件的要求认为需要说明的事项，但不作为评标依据。如没有说明事项，此项可忽略。（格式可自定）</w:t>
      </w:r>
    </w:p>
    <w:p w14:paraId="1C33C3E1">
      <w:pPr>
        <w:pStyle w:val="4"/>
        <w:numPr>
          <w:ilvl w:val="0"/>
          <w:numId w:val="0"/>
        </w:numPr>
        <w:ind w:left="709" w:hanging="709"/>
        <w:rPr>
          <w:rFonts w:hAnsi="宋体"/>
          <w:b/>
          <w:sz w:val="32"/>
          <w:lang w:val="zh-CN"/>
        </w:rPr>
      </w:pPr>
      <w:r>
        <w:rPr>
          <w:rFonts w:hAnsi="宋体"/>
          <w:bCs/>
          <w:sz w:val="24"/>
          <w:szCs w:val="28"/>
        </w:rPr>
        <w:br w:type="page"/>
      </w:r>
      <w:bookmarkStart w:id="235" w:name="_Toc1575355"/>
      <w:r>
        <w:rPr>
          <w:rFonts w:hint="eastAsia" w:hAnsi="宋体"/>
          <w:b/>
          <w:sz w:val="32"/>
          <w:lang w:val="zh-CN"/>
        </w:rPr>
        <w:t>格式2</w:t>
      </w:r>
      <w:r>
        <w:rPr>
          <w:rFonts w:hint="eastAsia" w:hAnsi="宋体"/>
          <w:b/>
          <w:sz w:val="32"/>
        </w:rPr>
        <w:t>0</w:t>
      </w:r>
      <w:r>
        <w:rPr>
          <w:rFonts w:hint="eastAsia" w:hAnsi="宋体"/>
          <w:b/>
          <w:sz w:val="32"/>
          <w:lang w:val="zh-CN"/>
        </w:rPr>
        <w:t>、磋商最终报价表</w:t>
      </w:r>
      <w:bookmarkEnd w:id="235"/>
    </w:p>
    <w:p w14:paraId="6A9A1148">
      <w:pPr>
        <w:spacing w:line="360" w:lineRule="auto"/>
        <w:jc w:val="center"/>
        <w:rPr>
          <w:rFonts w:hint="eastAsia" w:ascii="宋体" w:hAnsi="宋体"/>
          <w:b/>
          <w:sz w:val="36"/>
          <w:szCs w:val="36"/>
        </w:rPr>
      </w:pPr>
    </w:p>
    <w:p w14:paraId="1C0AE148">
      <w:pPr>
        <w:spacing w:line="360" w:lineRule="auto"/>
        <w:jc w:val="center"/>
        <w:rPr>
          <w:rFonts w:ascii="宋体" w:hAnsi="宋体"/>
          <w:b/>
          <w:sz w:val="36"/>
          <w:szCs w:val="36"/>
        </w:rPr>
      </w:pPr>
      <w:r>
        <w:rPr>
          <w:rFonts w:hint="eastAsia" w:ascii="宋体" w:hAnsi="宋体"/>
          <w:b/>
          <w:sz w:val="36"/>
          <w:szCs w:val="36"/>
        </w:rPr>
        <w:t>磋商最终报价表</w:t>
      </w:r>
    </w:p>
    <w:p w14:paraId="2908AB45">
      <w:pPr>
        <w:spacing w:line="360" w:lineRule="auto"/>
        <w:rPr>
          <w:rFonts w:ascii="宋体" w:hAnsi="宋体"/>
          <w:b/>
          <w:sz w:val="28"/>
          <w:szCs w:val="28"/>
        </w:rPr>
      </w:pPr>
      <w:r>
        <w:rPr>
          <w:rFonts w:hint="eastAsia" w:ascii="宋体" w:hAnsi="宋体"/>
          <w:b/>
          <w:sz w:val="28"/>
          <w:szCs w:val="28"/>
        </w:rPr>
        <w:t xml:space="preserve">磋商供应商名称：                                        </w:t>
      </w:r>
      <w:r>
        <w:rPr>
          <w:rFonts w:hint="eastAsia" w:ascii="宋体" w:hAnsi="宋体"/>
          <w:b/>
          <w:sz w:val="24"/>
        </w:rPr>
        <w:t>单位：元</w:t>
      </w:r>
    </w:p>
    <w:tbl>
      <w:tblPr>
        <w:tblStyle w:val="34"/>
        <w:tblW w:w="9968" w:type="dxa"/>
        <w:jc w:val="center"/>
        <w:shd w:val="clear" w:color="auto" w:fill="auto"/>
        <w:tblLayout w:type="fixed"/>
        <w:tblCellMar>
          <w:top w:w="0" w:type="dxa"/>
          <w:left w:w="108" w:type="dxa"/>
          <w:bottom w:w="0" w:type="dxa"/>
          <w:right w:w="108" w:type="dxa"/>
        </w:tblCellMar>
      </w:tblPr>
      <w:tblGrid>
        <w:gridCol w:w="3458"/>
        <w:gridCol w:w="2951"/>
        <w:gridCol w:w="2313"/>
        <w:gridCol w:w="1246"/>
      </w:tblGrid>
      <w:tr w14:paraId="3F3B564D">
        <w:tblPrEx>
          <w:shd w:val="clear" w:color="auto" w:fill="auto"/>
          <w:tblCellMar>
            <w:top w:w="0" w:type="dxa"/>
            <w:left w:w="108" w:type="dxa"/>
            <w:bottom w:w="0" w:type="dxa"/>
            <w:right w:w="108" w:type="dxa"/>
          </w:tblCellMar>
        </w:tblPrEx>
        <w:trPr>
          <w:trHeight w:val="699" w:hRule="atLeast"/>
          <w:jc w:val="center"/>
        </w:trPr>
        <w:tc>
          <w:tcPr>
            <w:tcW w:w="345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9F28E9">
            <w:pPr>
              <w:autoSpaceDE w:val="0"/>
              <w:autoSpaceDN w:val="0"/>
              <w:spacing w:line="360" w:lineRule="auto"/>
              <w:jc w:val="center"/>
              <w:rPr>
                <w:rFonts w:ascii="Arial" w:hAnsi="Arial" w:cs="Arial"/>
                <w:sz w:val="24"/>
                <w:lang w:val="zh-CN"/>
              </w:rPr>
            </w:pPr>
            <w:r>
              <w:rPr>
                <w:rFonts w:ascii="Arial" w:hAnsi="Arial" w:cs="Arial"/>
                <w:bCs/>
                <w:sz w:val="24"/>
                <w:lang w:val="zh-CN"/>
              </w:rPr>
              <w:t>项目名称</w:t>
            </w:r>
          </w:p>
        </w:tc>
        <w:tc>
          <w:tcPr>
            <w:tcW w:w="295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B789BC">
            <w:pPr>
              <w:autoSpaceDE w:val="0"/>
              <w:autoSpaceDN w:val="0"/>
              <w:spacing w:line="360" w:lineRule="auto"/>
              <w:ind w:firstLine="482"/>
              <w:jc w:val="center"/>
              <w:rPr>
                <w:rFonts w:ascii="Arial" w:hAnsi="Arial" w:cs="Arial"/>
                <w:lang w:val="zh-CN"/>
              </w:rPr>
            </w:pPr>
            <w:r>
              <w:rPr>
                <w:rFonts w:ascii="Arial" w:hAnsi="Arial" w:cs="Arial"/>
                <w:bCs/>
                <w:sz w:val="24"/>
                <w:lang w:val="zh-CN"/>
              </w:rPr>
              <w:t>投标报价</w:t>
            </w:r>
          </w:p>
        </w:tc>
        <w:tc>
          <w:tcPr>
            <w:tcW w:w="2313" w:type="dxa"/>
            <w:tcBorders>
              <w:top w:val="single" w:color="000000" w:sz="6" w:space="0"/>
              <w:left w:val="single" w:color="000000" w:sz="6" w:space="0"/>
              <w:bottom w:val="single" w:color="000000" w:sz="6" w:space="0"/>
              <w:right w:val="single" w:color="auto" w:sz="4" w:space="0"/>
            </w:tcBorders>
            <w:shd w:val="clear" w:color="auto" w:fill="auto"/>
            <w:vAlign w:val="center"/>
          </w:tcPr>
          <w:p w14:paraId="734F90C5">
            <w:pPr>
              <w:autoSpaceDE w:val="0"/>
              <w:autoSpaceDN w:val="0"/>
              <w:spacing w:line="360" w:lineRule="auto"/>
              <w:jc w:val="center"/>
              <w:rPr>
                <w:rFonts w:ascii="Arial" w:hAnsi="Arial" w:cs="Arial"/>
                <w:sz w:val="24"/>
                <w:lang w:val="zh-CN"/>
              </w:rPr>
            </w:pPr>
            <w:r>
              <w:rPr>
                <w:rFonts w:ascii="Arial" w:hAnsi="Arial" w:cs="Arial"/>
                <w:bCs/>
                <w:sz w:val="24"/>
                <w:lang w:val="zh-CN"/>
              </w:rPr>
              <w:t>交货期</w:t>
            </w:r>
          </w:p>
        </w:tc>
        <w:tc>
          <w:tcPr>
            <w:tcW w:w="124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09C6B7">
            <w:pPr>
              <w:autoSpaceDE w:val="0"/>
              <w:autoSpaceDN w:val="0"/>
              <w:spacing w:line="360" w:lineRule="auto"/>
              <w:jc w:val="center"/>
              <w:rPr>
                <w:rFonts w:ascii="Arial" w:hAnsi="Arial" w:cs="Arial"/>
                <w:lang w:val="zh-CN"/>
              </w:rPr>
            </w:pPr>
            <w:r>
              <w:rPr>
                <w:rFonts w:ascii="Arial" w:hAnsi="Arial" w:cs="Arial"/>
                <w:bCs/>
                <w:sz w:val="24"/>
                <w:lang w:val="zh-CN"/>
              </w:rPr>
              <w:t>备注</w:t>
            </w:r>
          </w:p>
        </w:tc>
      </w:tr>
      <w:tr w14:paraId="6804BE55">
        <w:tblPrEx>
          <w:shd w:val="clear" w:color="auto" w:fill="auto"/>
          <w:tblCellMar>
            <w:top w:w="0" w:type="dxa"/>
            <w:left w:w="108" w:type="dxa"/>
            <w:bottom w:w="0" w:type="dxa"/>
            <w:right w:w="108" w:type="dxa"/>
          </w:tblCellMar>
        </w:tblPrEx>
        <w:trPr>
          <w:trHeight w:val="680" w:hRule="atLeast"/>
          <w:jc w:val="center"/>
        </w:trPr>
        <w:tc>
          <w:tcPr>
            <w:tcW w:w="3458" w:type="dxa"/>
            <w:vMerge w:val="restart"/>
            <w:tcBorders>
              <w:top w:val="single" w:color="000000" w:sz="6" w:space="0"/>
              <w:left w:val="single" w:color="000000" w:sz="6" w:space="0"/>
              <w:right w:val="single" w:color="000000" w:sz="6" w:space="0"/>
            </w:tcBorders>
            <w:shd w:val="clear" w:color="auto" w:fill="auto"/>
            <w:vAlign w:val="center"/>
          </w:tcPr>
          <w:p w14:paraId="711E2ECC">
            <w:pPr>
              <w:autoSpaceDE w:val="0"/>
              <w:autoSpaceDN w:val="0"/>
              <w:spacing w:line="360" w:lineRule="auto"/>
              <w:jc w:val="center"/>
              <w:rPr>
                <w:rFonts w:ascii="Arial" w:hAnsi="Arial" w:cs="Arial"/>
                <w:lang w:val="zh-CN"/>
              </w:rPr>
            </w:pPr>
          </w:p>
        </w:tc>
        <w:tc>
          <w:tcPr>
            <w:tcW w:w="295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0435E9">
            <w:pPr>
              <w:autoSpaceDE w:val="0"/>
              <w:autoSpaceDN w:val="0"/>
              <w:spacing w:line="360" w:lineRule="auto"/>
              <w:rPr>
                <w:rFonts w:ascii="Arial" w:hAnsi="Arial" w:cs="Arial"/>
                <w:lang w:val="zh-CN"/>
              </w:rPr>
            </w:pPr>
            <w:r>
              <w:rPr>
                <w:rFonts w:ascii="Arial" w:hAnsi="Arial" w:cs="Arial"/>
                <w:bCs/>
                <w:sz w:val="24"/>
                <w:lang w:val="zh-CN"/>
              </w:rPr>
              <w:t>大写：</w:t>
            </w:r>
          </w:p>
        </w:tc>
        <w:tc>
          <w:tcPr>
            <w:tcW w:w="2313" w:type="dxa"/>
            <w:vMerge w:val="restart"/>
            <w:tcBorders>
              <w:top w:val="single" w:color="000000" w:sz="6" w:space="0"/>
              <w:left w:val="single" w:color="000000" w:sz="6" w:space="0"/>
              <w:bottom w:val="single" w:color="000000" w:sz="6" w:space="0"/>
              <w:right w:val="single" w:color="auto" w:sz="4" w:space="0"/>
            </w:tcBorders>
            <w:shd w:val="clear" w:color="auto" w:fill="auto"/>
            <w:vAlign w:val="center"/>
          </w:tcPr>
          <w:p w14:paraId="6F69D19F">
            <w:pPr>
              <w:autoSpaceDE w:val="0"/>
              <w:autoSpaceDN w:val="0"/>
              <w:spacing w:line="360" w:lineRule="auto"/>
              <w:ind w:firstLine="197"/>
              <w:jc w:val="center"/>
              <w:rPr>
                <w:rFonts w:ascii="Arial" w:hAnsi="Arial" w:cs="Arial"/>
                <w:lang w:val="zh-CN"/>
              </w:rPr>
            </w:pPr>
          </w:p>
        </w:tc>
        <w:tc>
          <w:tcPr>
            <w:tcW w:w="124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27DCE46D">
            <w:pPr>
              <w:autoSpaceDE w:val="0"/>
              <w:autoSpaceDN w:val="0"/>
              <w:spacing w:line="360" w:lineRule="auto"/>
              <w:jc w:val="center"/>
              <w:rPr>
                <w:rFonts w:ascii="Arial" w:hAnsi="Arial" w:cs="Arial"/>
                <w:lang w:val="zh-CN"/>
              </w:rPr>
            </w:pPr>
          </w:p>
        </w:tc>
      </w:tr>
      <w:tr w14:paraId="560A1C5F">
        <w:tblPrEx>
          <w:shd w:val="clear" w:color="auto" w:fill="auto"/>
          <w:tblCellMar>
            <w:top w:w="0" w:type="dxa"/>
            <w:left w:w="108" w:type="dxa"/>
            <w:bottom w:w="0" w:type="dxa"/>
            <w:right w:w="108" w:type="dxa"/>
          </w:tblCellMar>
        </w:tblPrEx>
        <w:trPr>
          <w:trHeight w:val="653" w:hRule="atLeast"/>
          <w:jc w:val="center"/>
        </w:trPr>
        <w:tc>
          <w:tcPr>
            <w:tcW w:w="3458" w:type="dxa"/>
            <w:vMerge w:val="continue"/>
            <w:tcBorders>
              <w:left w:val="single" w:color="000000" w:sz="6" w:space="0"/>
              <w:bottom w:val="single" w:color="auto" w:sz="4" w:space="0"/>
              <w:right w:val="single" w:color="000000" w:sz="6" w:space="0"/>
            </w:tcBorders>
            <w:shd w:val="clear" w:color="auto" w:fill="auto"/>
            <w:vAlign w:val="center"/>
          </w:tcPr>
          <w:p w14:paraId="011669A1">
            <w:pPr>
              <w:autoSpaceDE w:val="0"/>
              <w:autoSpaceDN w:val="0"/>
              <w:spacing w:line="360" w:lineRule="auto"/>
              <w:jc w:val="center"/>
              <w:rPr>
                <w:rFonts w:ascii="Arial" w:hAnsi="Arial" w:cs="Arial"/>
                <w:lang w:val="zh-CN"/>
              </w:rPr>
            </w:pPr>
          </w:p>
        </w:tc>
        <w:tc>
          <w:tcPr>
            <w:tcW w:w="2951" w:type="dxa"/>
            <w:tcBorders>
              <w:top w:val="single" w:color="000000" w:sz="6" w:space="0"/>
              <w:left w:val="single" w:color="000000" w:sz="6" w:space="0"/>
              <w:bottom w:val="single" w:color="auto" w:sz="4" w:space="0"/>
              <w:right w:val="single" w:color="000000" w:sz="6" w:space="0"/>
            </w:tcBorders>
            <w:shd w:val="clear" w:color="auto" w:fill="auto"/>
            <w:vAlign w:val="center"/>
          </w:tcPr>
          <w:p w14:paraId="5999ED56">
            <w:pPr>
              <w:autoSpaceDE w:val="0"/>
              <w:autoSpaceDN w:val="0"/>
              <w:spacing w:line="360" w:lineRule="auto"/>
              <w:rPr>
                <w:rFonts w:ascii="Arial" w:hAnsi="Arial" w:cs="Arial"/>
                <w:lang w:val="zh-CN"/>
              </w:rPr>
            </w:pPr>
            <w:r>
              <w:rPr>
                <w:rFonts w:ascii="Arial" w:hAnsi="Arial" w:cs="Arial"/>
                <w:bCs/>
                <w:sz w:val="24"/>
                <w:lang w:val="zh-CN"/>
              </w:rPr>
              <w:t>小写：</w:t>
            </w:r>
          </w:p>
        </w:tc>
        <w:tc>
          <w:tcPr>
            <w:tcW w:w="2313" w:type="dxa"/>
            <w:vMerge w:val="continue"/>
            <w:tcBorders>
              <w:top w:val="single" w:color="000000" w:sz="6" w:space="0"/>
              <w:left w:val="single" w:color="000000" w:sz="6" w:space="0"/>
              <w:bottom w:val="single" w:color="auto" w:sz="4" w:space="0"/>
              <w:right w:val="single" w:color="auto" w:sz="4" w:space="0"/>
            </w:tcBorders>
            <w:shd w:val="clear" w:color="auto" w:fill="auto"/>
            <w:vAlign w:val="center"/>
          </w:tcPr>
          <w:p w14:paraId="76686C89">
            <w:pPr>
              <w:autoSpaceDE w:val="0"/>
              <w:autoSpaceDN w:val="0"/>
              <w:spacing w:line="360" w:lineRule="auto"/>
              <w:jc w:val="center"/>
              <w:rPr>
                <w:rFonts w:ascii="Arial" w:hAnsi="Arial" w:cs="Arial"/>
                <w:lang w:val="zh-CN"/>
              </w:rPr>
            </w:pPr>
          </w:p>
        </w:tc>
        <w:tc>
          <w:tcPr>
            <w:tcW w:w="1246" w:type="dxa"/>
            <w:vMerge w:val="continue"/>
            <w:tcBorders>
              <w:top w:val="single" w:color="000000" w:sz="6" w:space="0"/>
              <w:left w:val="single" w:color="000000" w:sz="6" w:space="0"/>
              <w:bottom w:val="single" w:color="auto" w:sz="4" w:space="0"/>
              <w:right w:val="single" w:color="000000" w:sz="6" w:space="0"/>
            </w:tcBorders>
            <w:shd w:val="clear" w:color="auto" w:fill="auto"/>
            <w:vAlign w:val="center"/>
          </w:tcPr>
          <w:p w14:paraId="03C404F7">
            <w:pPr>
              <w:autoSpaceDE w:val="0"/>
              <w:autoSpaceDN w:val="0"/>
              <w:spacing w:line="360" w:lineRule="auto"/>
              <w:jc w:val="center"/>
              <w:rPr>
                <w:rFonts w:ascii="Arial" w:hAnsi="Arial" w:cs="Arial"/>
                <w:lang w:val="zh-CN"/>
              </w:rPr>
            </w:pPr>
          </w:p>
        </w:tc>
      </w:tr>
      <w:tr w14:paraId="4DB147DB">
        <w:tblPrEx>
          <w:shd w:val="clear" w:color="auto" w:fill="auto"/>
          <w:tblCellMar>
            <w:top w:w="0" w:type="dxa"/>
            <w:left w:w="108" w:type="dxa"/>
            <w:bottom w:w="0" w:type="dxa"/>
            <w:right w:w="108" w:type="dxa"/>
          </w:tblCellMar>
        </w:tblPrEx>
        <w:trPr>
          <w:trHeight w:val="1661" w:hRule="atLeast"/>
          <w:jc w:val="center"/>
        </w:trPr>
        <w:tc>
          <w:tcPr>
            <w:tcW w:w="99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914D2B7">
            <w:pPr>
              <w:autoSpaceDE w:val="0"/>
              <w:autoSpaceDN w:val="0"/>
              <w:spacing w:line="360" w:lineRule="auto"/>
              <w:rPr>
                <w:rFonts w:ascii="Arial" w:hAnsi="Arial" w:cs="Arial"/>
              </w:rPr>
            </w:pPr>
            <w:r>
              <w:rPr>
                <w:rFonts w:hint="eastAsia" w:ascii="Arial" w:hAnsi="Arial" w:cs="Arial"/>
                <w:bCs/>
                <w:sz w:val="24"/>
              </w:rPr>
              <w:t>优惠承诺及其他：</w:t>
            </w:r>
          </w:p>
        </w:tc>
      </w:tr>
    </w:tbl>
    <w:p w14:paraId="747F216C">
      <w:pPr>
        <w:spacing w:line="360" w:lineRule="auto"/>
        <w:ind w:firstLine="732" w:firstLineChars="347"/>
        <w:jc w:val="left"/>
        <w:rPr>
          <w:rFonts w:ascii="宋体" w:hAnsi="宋体"/>
          <w:b/>
        </w:rPr>
      </w:pPr>
    </w:p>
    <w:p w14:paraId="5318C18B">
      <w:pPr>
        <w:tabs>
          <w:tab w:val="left" w:pos="168"/>
        </w:tabs>
        <w:adjustRightInd w:val="0"/>
        <w:spacing w:line="360" w:lineRule="auto"/>
        <w:textAlignment w:val="baseline"/>
        <w:rPr>
          <w:rFonts w:hint="eastAsia" w:ascii="宋体" w:hAnsi="宋体"/>
          <w:b/>
          <w:lang w:val="en-US"/>
        </w:rPr>
      </w:pPr>
      <w:r>
        <w:rPr>
          <w:rFonts w:hint="eastAsia" w:ascii="宋体" w:hAnsi="宋体"/>
          <w:b/>
        </w:rPr>
        <w:t>注</w:t>
      </w:r>
      <w:r>
        <w:rPr>
          <w:rFonts w:ascii="宋体" w:hAnsi="宋体"/>
          <w:b/>
        </w:rPr>
        <w:t>：</w:t>
      </w:r>
      <w:r>
        <w:rPr>
          <w:rFonts w:hint="eastAsia" w:ascii="宋体" w:hAnsi="宋体"/>
          <w:b/>
        </w:rPr>
        <w:t>此表不需</w:t>
      </w:r>
      <w:r>
        <w:rPr>
          <w:rFonts w:hint="eastAsia" w:ascii="宋体" w:hAnsi="宋体"/>
          <w:b/>
          <w:lang w:val="en-US" w:eastAsia="zh-CN"/>
        </w:rPr>
        <w:t>编辑</w:t>
      </w:r>
      <w:r>
        <w:rPr>
          <w:rFonts w:hint="eastAsia" w:ascii="宋体" w:hAnsi="宋体"/>
          <w:b/>
        </w:rPr>
        <w:t>在磋商响应文件中，</w:t>
      </w:r>
      <w:r>
        <w:rPr>
          <w:rFonts w:hint="eastAsia" w:ascii="宋体" w:hAnsi="宋体"/>
          <w:b/>
          <w:lang w:val="en-US" w:eastAsia="zh-CN"/>
        </w:rPr>
        <w:t>最终报价表</w:t>
      </w:r>
      <w:r>
        <w:rPr>
          <w:rFonts w:hint="eastAsia" w:ascii="宋体" w:hAnsi="宋体"/>
          <w:b/>
        </w:rPr>
        <w:t>在</w:t>
      </w:r>
      <w:r>
        <w:rPr>
          <w:rFonts w:hint="eastAsia" w:ascii="宋体" w:hAnsi="宋体"/>
          <w:b/>
          <w:lang w:eastAsia="zh-CN"/>
        </w:rPr>
        <w:t>政采云平台（https://www.zcygov.cn/）</w:t>
      </w:r>
      <w:r>
        <w:rPr>
          <w:rFonts w:hint="eastAsia" w:ascii="宋体" w:hAnsi="宋体"/>
          <w:b/>
        </w:rPr>
        <w:t>上</w:t>
      </w:r>
      <w:r>
        <w:rPr>
          <w:rFonts w:hint="eastAsia" w:ascii="宋体" w:hAnsi="宋体"/>
          <w:b/>
          <w:lang w:val="en-US" w:eastAsia="zh-CN"/>
        </w:rPr>
        <w:t>发起，</w:t>
      </w:r>
      <w:r>
        <w:rPr>
          <w:rFonts w:hint="eastAsia" w:ascii="宋体" w:hAnsi="宋体"/>
          <w:b/>
        </w:rPr>
        <w:t>按规定的时间</w:t>
      </w:r>
      <w:r>
        <w:rPr>
          <w:rFonts w:hint="eastAsia" w:ascii="宋体" w:hAnsi="宋体"/>
          <w:b/>
          <w:lang w:eastAsia="zh-CN"/>
        </w:rPr>
        <w:t>（</w:t>
      </w:r>
      <w:r>
        <w:rPr>
          <w:rFonts w:hint="eastAsia" w:ascii="宋体" w:hAnsi="宋体"/>
          <w:b/>
          <w:lang w:val="en-US" w:eastAsia="zh-CN"/>
        </w:rPr>
        <w:t>30分钟</w:t>
      </w:r>
      <w:r>
        <w:rPr>
          <w:rFonts w:hint="eastAsia" w:ascii="宋体" w:hAnsi="宋体"/>
          <w:b/>
          <w:lang w:eastAsia="zh-CN"/>
        </w:rPr>
        <w:t>）</w:t>
      </w:r>
      <w:r>
        <w:rPr>
          <w:rFonts w:hint="eastAsia" w:ascii="宋体" w:hAnsi="宋体"/>
          <w:b/>
        </w:rPr>
        <w:t>填写最后报价。如果在规定的时间内</w:t>
      </w:r>
      <w:r>
        <w:rPr>
          <w:rFonts w:hint="eastAsia" w:ascii="宋体" w:hAnsi="宋体"/>
          <w:b/>
          <w:lang w:eastAsia="zh-CN"/>
        </w:rPr>
        <w:t>未提交的视为放弃最终报价</w:t>
      </w:r>
      <w:r>
        <w:rPr>
          <w:rFonts w:hint="eastAsia" w:ascii="宋体" w:hAnsi="宋体"/>
          <w:b/>
          <w:lang w:val="en-US" w:eastAsia="zh-CN"/>
        </w:rPr>
        <w:t>。</w:t>
      </w:r>
    </w:p>
    <w:p w14:paraId="73EABED5">
      <w:pPr>
        <w:spacing w:line="360" w:lineRule="auto"/>
        <w:ind w:firstLine="732" w:firstLineChars="347"/>
        <w:jc w:val="left"/>
        <w:rPr>
          <w:rFonts w:ascii="宋体" w:hAnsi="宋体"/>
          <w:b/>
        </w:rPr>
      </w:pPr>
    </w:p>
    <w:p w14:paraId="054512E7">
      <w:pPr>
        <w:tabs>
          <w:tab w:val="left" w:pos="168"/>
        </w:tabs>
        <w:adjustRightInd w:val="0"/>
        <w:spacing w:line="360" w:lineRule="auto"/>
        <w:textAlignment w:val="baseline"/>
        <w:rPr>
          <w:rFonts w:ascii="宋体" w:hAnsi="宋体"/>
          <w:b/>
          <w:bCs/>
          <w:sz w:val="28"/>
        </w:rPr>
      </w:pPr>
    </w:p>
    <w:p w14:paraId="424C13A5">
      <w:pPr>
        <w:tabs>
          <w:tab w:val="left" w:pos="168"/>
        </w:tabs>
        <w:adjustRightInd w:val="0"/>
        <w:spacing w:line="360" w:lineRule="auto"/>
        <w:textAlignment w:val="baseline"/>
        <w:rPr>
          <w:rFonts w:ascii="宋体" w:hAnsi="宋体"/>
          <w:b/>
          <w:bCs/>
          <w:sz w:val="28"/>
        </w:rPr>
      </w:pPr>
    </w:p>
    <w:p w14:paraId="2FE8D10E">
      <w:pPr>
        <w:tabs>
          <w:tab w:val="left" w:pos="168"/>
        </w:tabs>
        <w:adjustRightInd w:val="0"/>
        <w:spacing w:line="360" w:lineRule="auto"/>
        <w:textAlignment w:val="baseline"/>
        <w:rPr>
          <w:rFonts w:ascii="宋体" w:hAnsi="宋体"/>
          <w:b/>
          <w:bCs/>
          <w:sz w:val="28"/>
        </w:rPr>
      </w:pPr>
    </w:p>
    <w:p w14:paraId="12B231D3">
      <w:pPr>
        <w:tabs>
          <w:tab w:val="left" w:pos="168"/>
        </w:tabs>
        <w:adjustRightInd w:val="0"/>
        <w:spacing w:line="360" w:lineRule="auto"/>
        <w:textAlignment w:val="baseline"/>
        <w:rPr>
          <w:rFonts w:ascii="宋体" w:hAnsi="宋体"/>
          <w:b/>
          <w:bCs/>
          <w:sz w:val="28"/>
        </w:rPr>
      </w:pPr>
    </w:p>
    <w:p w14:paraId="73BD146E">
      <w:pPr>
        <w:tabs>
          <w:tab w:val="left" w:pos="168"/>
        </w:tabs>
        <w:adjustRightInd w:val="0"/>
        <w:spacing w:line="360" w:lineRule="auto"/>
        <w:textAlignment w:val="baseline"/>
        <w:rPr>
          <w:rFonts w:ascii="宋体" w:hAnsi="宋体"/>
          <w:bCs/>
          <w:sz w:val="28"/>
          <w:szCs w:val="28"/>
        </w:rPr>
      </w:pPr>
    </w:p>
    <w:p w14:paraId="0C08E160">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磋商供应商：</w:t>
      </w:r>
      <w:r>
        <w:rPr>
          <w:rFonts w:hint="eastAsia" w:ascii="宋体" w:hAnsi="宋体"/>
          <w:bCs/>
          <w:sz w:val="24"/>
          <w:szCs w:val="28"/>
          <w:u w:val="single"/>
        </w:rPr>
        <w:t xml:space="preserve">             </w:t>
      </w:r>
      <w:r>
        <w:rPr>
          <w:rFonts w:hint="eastAsia" w:ascii="宋体" w:hAnsi="宋体"/>
          <w:bCs/>
          <w:sz w:val="24"/>
          <w:szCs w:val="28"/>
        </w:rPr>
        <w:t>（公章）</w:t>
      </w:r>
    </w:p>
    <w:p w14:paraId="3537533E">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7725572D">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087D0149">
      <w:pPr>
        <w:spacing w:line="360" w:lineRule="auto"/>
        <w:jc w:val="center"/>
        <w:rPr>
          <w:rFonts w:ascii="宋体" w:hAnsi="宋体"/>
          <w:bCs/>
          <w:sz w:val="24"/>
          <w:szCs w:val="28"/>
        </w:rPr>
      </w:pPr>
    </w:p>
    <w:p w14:paraId="095DE122">
      <w:pPr>
        <w:pStyle w:val="24"/>
        <w:spacing w:before="0" w:after="0" w:line="360" w:lineRule="auto"/>
        <w:rPr>
          <w:rFonts w:ascii="宋体" w:hAnsi="宋体"/>
          <w:sz w:val="36"/>
          <w:szCs w:val="36"/>
        </w:rPr>
      </w:pPr>
      <w:r>
        <w:rPr>
          <w:rFonts w:ascii="宋体" w:hAnsi="宋体"/>
          <w:b w:val="0"/>
          <w:szCs w:val="44"/>
        </w:rPr>
        <w:br w:type="page"/>
      </w:r>
      <w:bookmarkStart w:id="236" w:name="_Toc29404"/>
      <w:bookmarkStart w:id="237" w:name="_Toc444715745"/>
      <w:bookmarkStart w:id="238" w:name="_Toc1575356"/>
      <w:r>
        <w:rPr>
          <w:rFonts w:hint="eastAsia" w:ascii="宋体" w:hAnsi="宋体"/>
          <w:sz w:val="36"/>
          <w:szCs w:val="36"/>
        </w:rPr>
        <w:t>第六部分采购项目要求及技术参数</w:t>
      </w:r>
      <w:bookmarkEnd w:id="236"/>
      <w:bookmarkEnd w:id="237"/>
      <w:bookmarkEnd w:id="238"/>
    </w:p>
    <w:p w14:paraId="258C580E">
      <w:pPr>
        <w:pStyle w:val="4"/>
        <w:keepNext/>
        <w:keepLines/>
        <w:numPr>
          <w:ilvl w:val="0"/>
          <w:numId w:val="0"/>
        </w:numPr>
        <w:tabs>
          <w:tab w:val="clear" w:pos="425"/>
        </w:tabs>
        <w:snapToGrid/>
        <w:ind w:left="567" w:hanging="567"/>
        <w:jc w:val="center"/>
        <w:rPr>
          <w:rFonts w:hAnsi="宋体"/>
          <w:b/>
          <w:bCs/>
          <w:kern w:val="0"/>
          <w:sz w:val="32"/>
          <w:szCs w:val="32"/>
        </w:rPr>
      </w:pPr>
      <w:bookmarkStart w:id="239" w:name="_Toc428180595"/>
      <w:bookmarkStart w:id="240" w:name="_Toc1575357"/>
      <w:r>
        <w:rPr>
          <w:rFonts w:hint="eastAsia" w:hAnsi="宋体"/>
          <w:b/>
          <w:bCs/>
          <w:kern w:val="0"/>
          <w:sz w:val="32"/>
          <w:szCs w:val="32"/>
        </w:rPr>
        <w:t>一、磋商要求</w:t>
      </w:r>
      <w:bookmarkEnd w:id="239"/>
      <w:bookmarkEnd w:id="240"/>
    </w:p>
    <w:p w14:paraId="5B4C33CA">
      <w:pPr>
        <w:widowControl/>
        <w:adjustRightInd w:val="0"/>
        <w:snapToGrid w:val="0"/>
        <w:spacing w:line="360" w:lineRule="auto"/>
        <w:ind w:left="425" w:hanging="425"/>
        <w:jc w:val="left"/>
        <w:rPr>
          <w:rFonts w:ascii="宋体" w:hAnsi="宋体"/>
          <w:kern w:val="0"/>
          <w:sz w:val="24"/>
          <w:szCs w:val="22"/>
        </w:rPr>
      </w:pPr>
      <w:bookmarkStart w:id="241" w:name="_Toc428180596"/>
      <w:r>
        <w:rPr>
          <w:rFonts w:ascii="宋体" w:hAnsi="宋体"/>
          <w:kern w:val="0"/>
          <w:sz w:val="24"/>
          <w:szCs w:val="22"/>
        </w:rPr>
        <w:t>1.</w:t>
      </w:r>
      <w:r>
        <w:rPr>
          <w:rFonts w:hint="eastAsia" w:ascii="宋体" w:hAnsi="宋体"/>
          <w:kern w:val="0"/>
          <w:sz w:val="24"/>
          <w:szCs w:val="22"/>
        </w:rPr>
        <w:t>磋商说明</w:t>
      </w:r>
      <w:bookmarkEnd w:id="241"/>
    </w:p>
    <w:p w14:paraId="4106B65B">
      <w:pPr>
        <w:autoSpaceDE w:val="0"/>
        <w:autoSpaceDN w:val="0"/>
        <w:adjustRightInd w:val="0"/>
        <w:spacing w:line="360" w:lineRule="auto"/>
        <w:ind w:firstLine="480" w:firstLineChars="200"/>
        <w:rPr>
          <w:rFonts w:ascii="宋体" w:hAnsi="Calibri" w:cs="宋体"/>
          <w:kern w:val="0"/>
          <w:sz w:val="24"/>
          <w:lang w:val="zh-CN"/>
        </w:rPr>
      </w:pPr>
      <w:r>
        <w:rPr>
          <w:rFonts w:ascii="宋体" w:hAnsi="Calibri" w:cs="宋体"/>
          <w:kern w:val="0"/>
          <w:sz w:val="24"/>
          <w:lang w:val="zh-CN"/>
        </w:rPr>
        <w:t>1.1.</w:t>
      </w:r>
      <w:r>
        <w:rPr>
          <w:rFonts w:hint="eastAsia" w:ascii="宋体" w:hAnsi="Calibri" w:cs="宋体"/>
          <w:kern w:val="0"/>
          <w:sz w:val="24"/>
          <w:lang w:val="zh-CN"/>
        </w:rPr>
        <w:t>磋商供应商可以按照磋商文件的规定磋商，但必须对所投包号中的所有内容作为一个整体进行磋商，不能拆分或少报。否则，磋商无效。</w:t>
      </w:r>
    </w:p>
    <w:p w14:paraId="4023C0B0">
      <w:pPr>
        <w:autoSpaceDE w:val="0"/>
        <w:autoSpaceDN w:val="0"/>
        <w:adjustRightInd w:val="0"/>
        <w:spacing w:line="360" w:lineRule="auto"/>
        <w:ind w:firstLine="480" w:firstLineChars="200"/>
        <w:rPr>
          <w:rFonts w:ascii="宋体" w:hAnsi="Calibri" w:cs="宋体"/>
          <w:kern w:val="0"/>
          <w:sz w:val="24"/>
          <w:lang w:val="zh-CN"/>
        </w:rPr>
      </w:pPr>
      <w:r>
        <w:rPr>
          <w:rFonts w:ascii="宋体" w:hAnsi="Calibri" w:cs="宋体"/>
          <w:kern w:val="0"/>
          <w:sz w:val="24"/>
          <w:lang w:val="zh-CN"/>
        </w:rPr>
        <w:t>1.2.</w:t>
      </w:r>
      <w:r>
        <w:rPr>
          <w:rFonts w:hint="eastAsia" w:ascii="宋体" w:hAnsi="Calibri" w:cs="宋体"/>
          <w:kern w:val="0"/>
          <w:sz w:val="24"/>
          <w:lang w:val="zh-CN"/>
        </w:rPr>
        <w:t>磋商报价应包括产品费、验收费、手续费、包装费、运输费、售前、售中、售后服务费、招标代理费、税金及不可预见费等全部费用</w:t>
      </w:r>
      <w:r>
        <w:rPr>
          <w:rFonts w:hint="eastAsia" w:hAnsi="宋体"/>
          <w:sz w:val="24"/>
          <w:szCs w:val="28"/>
        </w:rPr>
        <w:t>（说明：具体内容应根据项目特点实事求是的填写）</w:t>
      </w:r>
      <w:r>
        <w:rPr>
          <w:rFonts w:hint="eastAsia" w:ascii="宋体" w:hAnsi="Calibri" w:cs="宋体"/>
          <w:kern w:val="0"/>
          <w:sz w:val="24"/>
          <w:lang w:val="zh-CN"/>
        </w:rPr>
        <w:t>。若磋商报价不能完全包括上述内容，该磋商将被认为非实质性响应。</w:t>
      </w:r>
    </w:p>
    <w:p w14:paraId="145786C9">
      <w:pPr>
        <w:autoSpaceDE w:val="0"/>
        <w:autoSpaceDN w:val="0"/>
        <w:adjustRightInd w:val="0"/>
        <w:spacing w:line="360" w:lineRule="auto"/>
        <w:ind w:firstLine="480" w:firstLineChars="200"/>
        <w:rPr>
          <w:rFonts w:ascii="宋体" w:hAnsi="Calibri" w:cs="宋体"/>
          <w:kern w:val="0"/>
          <w:sz w:val="24"/>
          <w:lang w:val="zh-CN"/>
        </w:rPr>
      </w:pPr>
      <w:r>
        <w:rPr>
          <w:rFonts w:ascii="宋体" w:hAnsi="Calibri" w:cs="宋体"/>
          <w:kern w:val="0"/>
          <w:sz w:val="24"/>
          <w:lang w:val="zh-CN"/>
        </w:rPr>
        <w:t>1.3.</w:t>
      </w:r>
      <w:r>
        <w:rPr>
          <w:rFonts w:hint="eastAsia" w:ascii="宋体" w:hAnsi="Calibri" w:cs="宋体"/>
          <w:kern w:val="0"/>
          <w:sz w:val="24"/>
          <w:lang w:val="zh-CN"/>
        </w:rPr>
        <w:t>磋商供应商必须如实填写</w:t>
      </w:r>
      <w:r>
        <w:rPr>
          <w:rFonts w:ascii="宋体" w:hAnsi="Calibri" w:cs="宋体"/>
          <w:kern w:val="0"/>
          <w:sz w:val="24"/>
          <w:lang w:val="zh-CN"/>
        </w:rPr>
        <w:t>“</w:t>
      </w:r>
      <w:r>
        <w:rPr>
          <w:rFonts w:hint="eastAsia" w:ascii="宋体" w:hAnsi="Calibri" w:cs="宋体"/>
          <w:kern w:val="0"/>
          <w:sz w:val="24"/>
          <w:lang w:val="zh-CN"/>
        </w:rPr>
        <w:t>技术规格响应表</w:t>
      </w:r>
      <w:r>
        <w:rPr>
          <w:rFonts w:ascii="宋体" w:hAnsi="Calibri" w:cs="宋体"/>
          <w:kern w:val="0"/>
          <w:sz w:val="24"/>
          <w:lang w:val="zh-CN"/>
        </w:rPr>
        <w:t>”</w:t>
      </w:r>
      <w:r>
        <w:rPr>
          <w:rFonts w:hint="eastAsia" w:ascii="宋体" w:hAnsi="Calibri" w:cs="宋体"/>
          <w:kern w:val="0"/>
          <w:sz w:val="24"/>
          <w:lang w:val="zh-CN"/>
        </w:rPr>
        <w:t>，在</w:t>
      </w:r>
      <w:r>
        <w:rPr>
          <w:rFonts w:ascii="宋体" w:hAnsi="Calibri" w:cs="宋体"/>
          <w:kern w:val="0"/>
          <w:sz w:val="24"/>
          <w:lang w:val="zh-CN"/>
        </w:rPr>
        <w:t>“</w:t>
      </w:r>
      <w:r>
        <w:rPr>
          <w:rFonts w:hint="eastAsia" w:ascii="宋体" w:hAnsi="Calibri" w:cs="宋体"/>
          <w:kern w:val="0"/>
          <w:sz w:val="24"/>
          <w:lang w:val="zh-CN"/>
        </w:rPr>
        <w:t>磋商产品技术参数、指标</w:t>
      </w:r>
      <w:r>
        <w:rPr>
          <w:rFonts w:ascii="宋体" w:hAnsi="Calibri" w:cs="宋体"/>
          <w:kern w:val="0"/>
          <w:sz w:val="24"/>
          <w:lang w:val="zh-CN"/>
        </w:rPr>
        <w:t>”</w:t>
      </w:r>
      <w:r>
        <w:rPr>
          <w:rFonts w:hint="eastAsia" w:ascii="宋体" w:hAnsi="Calibri" w:cs="宋体"/>
          <w:kern w:val="0"/>
          <w:sz w:val="24"/>
          <w:lang w:val="zh-CN"/>
        </w:rPr>
        <w:t>栏中列出所投产品的具体规格型号和具体技术参数、指标；以招标人需求为最低指标要求，磋商供应商对超出或不满足最低指标要求的指标需列出</w:t>
      </w:r>
      <w:r>
        <w:rPr>
          <w:rFonts w:ascii="宋体" w:hAnsi="Calibri" w:cs="宋体"/>
          <w:kern w:val="0"/>
          <w:sz w:val="24"/>
          <w:lang w:val="zh-CN"/>
        </w:rPr>
        <w:t>“</w:t>
      </w:r>
      <w:r>
        <w:rPr>
          <w:rFonts w:hint="eastAsia" w:ascii="宋体" w:hAnsi="Calibri" w:cs="宋体"/>
          <w:kern w:val="0"/>
          <w:sz w:val="24"/>
          <w:lang w:val="zh-CN"/>
        </w:rPr>
        <w:t>＋、</w:t>
      </w:r>
      <w:r>
        <w:rPr>
          <w:rFonts w:ascii="宋体" w:hAnsi="Calibri" w:cs="宋体"/>
          <w:kern w:val="0"/>
          <w:sz w:val="24"/>
          <w:lang w:val="zh-CN"/>
        </w:rPr>
        <w:t>-</w:t>
      </w:r>
      <w:r>
        <w:rPr>
          <w:rFonts w:hint="eastAsia" w:ascii="宋体" w:hAnsi="Calibri" w:cs="宋体"/>
          <w:kern w:val="0"/>
          <w:sz w:val="24"/>
          <w:lang w:val="zh-CN"/>
        </w:rPr>
        <w:t>偏差。如果与磋商响应文件中提供的产品检测报告等证明材料中的实质性响应情况不一致或直接复制磋商文件</w:t>
      </w:r>
      <w:r>
        <w:rPr>
          <w:rFonts w:ascii="宋体" w:hAnsi="Calibri" w:cs="宋体"/>
          <w:kern w:val="0"/>
          <w:sz w:val="24"/>
          <w:lang w:val="zh-CN"/>
        </w:rPr>
        <w:t>“</w:t>
      </w:r>
      <w:r>
        <w:rPr>
          <w:rFonts w:hint="eastAsia" w:ascii="宋体" w:hAnsi="Calibri" w:cs="宋体"/>
          <w:kern w:val="0"/>
          <w:sz w:val="24"/>
          <w:lang w:val="zh-CN"/>
        </w:rPr>
        <w:t>采购需求技术参数、指标</w:t>
      </w:r>
      <w:r>
        <w:rPr>
          <w:rFonts w:ascii="宋体" w:hAnsi="Calibri" w:cs="宋体"/>
          <w:kern w:val="0"/>
          <w:sz w:val="24"/>
          <w:lang w:val="zh-CN"/>
        </w:rPr>
        <w:t>”</w:t>
      </w:r>
      <w:r>
        <w:rPr>
          <w:rFonts w:hint="eastAsia" w:ascii="宋体" w:hAnsi="Calibri" w:cs="宋体"/>
          <w:kern w:val="0"/>
          <w:sz w:val="24"/>
          <w:lang w:val="zh-CN"/>
        </w:rPr>
        <w:t>内容的，按无效磋商处理。</w:t>
      </w:r>
    </w:p>
    <w:p w14:paraId="1B852E88">
      <w:pPr>
        <w:autoSpaceDE w:val="0"/>
        <w:autoSpaceDN w:val="0"/>
        <w:adjustRightInd w:val="0"/>
        <w:spacing w:line="360" w:lineRule="auto"/>
        <w:ind w:firstLine="480" w:firstLineChars="200"/>
        <w:rPr>
          <w:rFonts w:ascii="宋体" w:hAnsi="Calibri" w:cs="宋体"/>
          <w:kern w:val="0"/>
          <w:sz w:val="24"/>
          <w:lang w:val="zh-CN"/>
        </w:rPr>
      </w:pPr>
      <w:r>
        <w:rPr>
          <w:rFonts w:ascii="宋体" w:hAnsi="Calibri" w:cs="宋体"/>
          <w:kern w:val="0"/>
          <w:sz w:val="24"/>
          <w:lang w:val="zh-CN"/>
        </w:rPr>
        <w:t>1.4.</w:t>
      </w:r>
      <w:r>
        <w:rPr>
          <w:rFonts w:hint="eastAsia" w:ascii="宋体" w:hAnsi="Calibri" w:cs="宋体"/>
          <w:kern w:val="0"/>
          <w:sz w:val="24"/>
          <w:lang w:val="zh-CN"/>
        </w:rPr>
        <w:t>交货时间、地点：按采购单位指定的时间、地点交货并安装交付使用。</w:t>
      </w:r>
    </w:p>
    <w:p w14:paraId="43DA0199">
      <w:pPr>
        <w:widowControl/>
        <w:adjustRightInd w:val="0"/>
        <w:snapToGrid w:val="0"/>
        <w:spacing w:line="360" w:lineRule="auto"/>
        <w:ind w:left="425" w:hanging="425"/>
        <w:jc w:val="left"/>
        <w:rPr>
          <w:rFonts w:ascii="宋体" w:hAnsi="宋体"/>
          <w:kern w:val="0"/>
          <w:sz w:val="24"/>
          <w:szCs w:val="22"/>
        </w:rPr>
      </w:pPr>
      <w:bookmarkStart w:id="242" w:name="_Toc428180597"/>
      <w:r>
        <w:rPr>
          <w:rFonts w:ascii="宋体" w:hAnsi="宋体"/>
          <w:kern w:val="0"/>
          <w:sz w:val="24"/>
          <w:szCs w:val="22"/>
        </w:rPr>
        <w:t>2.</w:t>
      </w:r>
      <w:r>
        <w:rPr>
          <w:rFonts w:hint="eastAsia" w:ascii="宋体" w:hAnsi="宋体"/>
          <w:kern w:val="0"/>
          <w:sz w:val="24"/>
          <w:szCs w:val="22"/>
        </w:rPr>
        <w:t>报价说明</w:t>
      </w:r>
      <w:bookmarkEnd w:id="242"/>
    </w:p>
    <w:p w14:paraId="2C0EB60D">
      <w:pPr>
        <w:autoSpaceDE w:val="0"/>
        <w:autoSpaceDN w:val="0"/>
        <w:adjustRightInd w:val="0"/>
        <w:spacing w:line="360" w:lineRule="auto"/>
        <w:ind w:firstLine="480"/>
        <w:rPr>
          <w:rFonts w:ascii="宋体" w:hAnsi="Calibri" w:cs="宋体"/>
          <w:kern w:val="0"/>
          <w:sz w:val="24"/>
          <w:lang w:val="zh-CN"/>
        </w:rPr>
      </w:pPr>
      <w:r>
        <w:rPr>
          <w:rFonts w:hint="eastAsia" w:ascii="宋体" w:hAnsi="Calibri" w:cs="宋体"/>
          <w:kern w:val="0"/>
          <w:sz w:val="24"/>
          <w:lang w:val="zh-CN"/>
        </w:rPr>
        <w:t>本次磋商文件中规定的采购预算额度为磋商最高限价，磋商供应商的磋商报价不得超出此额度。否则，磋商无效。</w:t>
      </w:r>
    </w:p>
    <w:p w14:paraId="69408887">
      <w:pPr>
        <w:widowControl/>
        <w:adjustRightInd w:val="0"/>
        <w:snapToGrid w:val="0"/>
        <w:spacing w:line="360" w:lineRule="auto"/>
        <w:ind w:left="425" w:hanging="425"/>
        <w:jc w:val="left"/>
        <w:rPr>
          <w:rFonts w:ascii="宋体" w:hAnsi="宋体"/>
          <w:kern w:val="0"/>
          <w:sz w:val="24"/>
          <w:szCs w:val="22"/>
        </w:rPr>
      </w:pPr>
      <w:bookmarkStart w:id="243" w:name="_Toc428180598"/>
      <w:r>
        <w:rPr>
          <w:rFonts w:ascii="宋体" w:hAnsi="宋体"/>
          <w:kern w:val="0"/>
          <w:sz w:val="24"/>
          <w:szCs w:val="22"/>
        </w:rPr>
        <w:t>3.</w:t>
      </w:r>
      <w:r>
        <w:rPr>
          <w:rFonts w:hint="eastAsia" w:ascii="宋体" w:hAnsi="宋体"/>
          <w:kern w:val="0"/>
          <w:sz w:val="24"/>
          <w:szCs w:val="22"/>
        </w:rPr>
        <w:t>重要指标</w:t>
      </w:r>
      <w:bookmarkEnd w:id="243"/>
    </w:p>
    <w:p w14:paraId="19FE44E1">
      <w:pPr>
        <w:spacing w:line="360" w:lineRule="auto"/>
        <w:ind w:firstLine="480" w:firstLineChars="200"/>
        <w:jc w:val="left"/>
        <w:rPr>
          <w:rFonts w:ascii="宋体" w:hAnsi="宋体"/>
          <w:sz w:val="24"/>
        </w:rPr>
      </w:pPr>
      <w:r>
        <w:rPr>
          <w:rFonts w:hint="eastAsia" w:ascii="宋体" w:hAnsi="宋体"/>
          <w:sz w:val="24"/>
        </w:rPr>
        <w:t>3.</w:t>
      </w:r>
      <w:r>
        <w:rPr>
          <w:rFonts w:ascii="宋体" w:hAnsi="宋体"/>
          <w:sz w:val="24"/>
        </w:rPr>
        <w:t>1</w:t>
      </w:r>
      <w:r>
        <w:rPr>
          <w:rFonts w:hint="eastAsia" w:ascii="宋体" w:hAnsi="宋体"/>
          <w:sz w:val="24"/>
        </w:rPr>
        <w:t>.技术参数中除注明签订合同时提供的相关授权、服务承诺等资料以外，其余相关资料在磋商时必须附在磋商响应文件中。</w:t>
      </w:r>
    </w:p>
    <w:p w14:paraId="4438ADA6">
      <w:pPr>
        <w:widowControl/>
        <w:adjustRightInd w:val="0"/>
        <w:snapToGrid w:val="0"/>
        <w:spacing w:line="360" w:lineRule="auto"/>
        <w:jc w:val="left"/>
        <w:rPr>
          <w:rFonts w:ascii="宋体" w:hAnsi="宋体"/>
          <w:kern w:val="0"/>
          <w:sz w:val="24"/>
          <w:szCs w:val="22"/>
        </w:rPr>
      </w:pPr>
      <w:bookmarkStart w:id="244" w:name="_Toc428180599"/>
      <w:r>
        <w:rPr>
          <w:rFonts w:ascii="宋体" w:hAnsi="宋体"/>
          <w:kern w:val="0"/>
          <w:sz w:val="24"/>
          <w:szCs w:val="22"/>
        </w:rPr>
        <w:t>4.</w:t>
      </w:r>
      <w:r>
        <w:rPr>
          <w:rFonts w:hint="eastAsia" w:ascii="宋体" w:hAnsi="宋体"/>
          <w:kern w:val="0"/>
          <w:sz w:val="24"/>
          <w:szCs w:val="22"/>
        </w:rPr>
        <w:t>商务要求</w:t>
      </w:r>
      <w:bookmarkEnd w:id="244"/>
    </w:p>
    <w:p w14:paraId="64175925">
      <w:pPr>
        <w:spacing w:line="360" w:lineRule="auto"/>
        <w:ind w:firstLine="240" w:firstLineChars="100"/>
        <w:rPr>
          <w:highlight w:val="none"/>
        </w:rPr>
      </w:pPr>
      <w:bookmarkStart w:id="245" w:name="_Toc488673674"/>
      <w:r>
        <w:rPr>
          <w:rFonts w:ascii="宋体" w:hAnsi="Calibri" w:cs="宋体"/>
          <w:kern w:val="0"/>
          <w:sz w:val="24"/>
          <w:highlight w:val="none"/>
          <w:lang w:val="zh-CN"/>
        </w:rPr>
        <w:t>4.1.</w:t>
      </w:r>
      <w:r>
        <w:rPr>
          <w:rFonts w:hint="eastAsia" w:ascii="宋体" w:hAnsi="Calibri" w:cs="宋体"/>
          <w:color w:val="000000" w:themeColor="text1"/>
          <w:kern w:val="0"/>
          <w:sz w:val="24"/>
          <w:highlight w:val="none"/>
          <w:lang w:val="zh-CN"/>
          <w14:textFill>
            <w14:solidFill>
              <w14:schemeClr w14:val="tx1"/>
            </w14:solidFill>
          </w14:textFill>
        </w:rPr>
        <w:t>交货期：</w:t>
      </w:r>
      <w:bookmarkEnd w:id="245"/>
      <w:r>
        <w:rPr>
          <w:rFonts w:hint="eastAsia" w:ascii="宋体" w:hAnsi="Calibri" w:cs="宋体"/>
          <w:color w:val="000000" w:themeColor="text1"/>
          <w:kern w:val="0"/>
          <w:sz w:val="24"/>
          <w:highlight w:val="none"/>
          <w:lang w:val="en-US" w:eastAsia="zh-CN"/>
          <w14:textFill>
            <w14:solidFill>
              <w14:schemeClr w14:val="tx1"/>
            </w14:solidFill>
          </w14:textFill>
        </w:rPr>
        <w:t>自合同签订之日起90个日历日</w:t>
      </w:r>
      <w:r>
        <w:rPr>
          <w:rFonts w:hint="eastAsia" w:ascii="宋体" w:hAnsi="宋体" w:cs="宋体"/>
          <w:kern w:val="0"/>
          <w:sz w:val="24"/>
          <w:highlight w:val="none"/>
          <w:lang w:val="zh-CN"/>
        </w:rPr>
        <w:t>；</w:t>
      </w:r>
    </w:p>
    <w:p w14:paraId="788C77F9">
      <w:pPr>
        <w:autoSpaceDE w:val="0"/>
        <w:autoSpaceDN w:val="0"/>
        <w:adjustRightInd w:val="0"/>
        <w:spacing w:line="360" w:lineRule="auto"/>
        <w:ind w:firstLine="240" w:firstLineChars="100"/>
        <w:rPr>
          <w:rFonts w:ascii="宋体" w:hAnsi="宋体"/>
          <w:sz w:val="24"/>
          <w:highlight w:val="none"/>
          <w:u w:val="single"/>
        </w:rPr>
      </w:pPr>
      <w:bookmarkStart w:id="246" w:name="_Toc488673675"/>
      <w:r>
        <w:rPr>
          <w:rFonts w:ascii="宋体" w:hAnsi="Calibri" w:cs="宋体"/>
          <w:kern w:val="0"/>
          <w:sz w:val="24"/>
          <w:highlight w:val="none"/>
          <w:lang w:val="zh-CN"/>
        </w:rPr>
        <w:t>4.2.</w:t>
      </w:r>
      <w:r>
        <w:rPr>
          <w:rFonts w:hint="eastAsia" w:ascii="宋体" w:hAnsi="Calibri" w:cs="宋体"/>
          <w:kern w:val="0"/>
          <w:sz w:val="24"/>
          <w:highlight w:val="none"/>
          <w:lang w:val="zh-CN"/>
        </w:rPr>
        <w:t>交货地点：</w:t>
      </w:r>
      <w:bookmarkEnd w:id="246"/>
      <w:r>
        <w:rPr>
          <w:rFonts w:hint="eastAsia" w:ascii="宋体" w:hAnsi="Calibri" w:cs="宋体"/>
          <w:kern w:val="0"/>
          <w:sz w:val="24"/>
          <w:highlight w:val="none"/>
          <w:lang w:val="en-US" w:eastAsia="zh-CN"/>
        </w:rPr>
        <w:t>采购人指定地点</w:t>
      </w:r>
      <w:r>
        <w:rPr>
          <w:rFonts w:hint="eastAsia" w:ascii="宋体" w:hAnsi="宋体"/>
          <w:sz w:val="24"/>
          <w:highlight w:val="none"/>
        </w:rPr>
        <w:t>；</w:t>
      </w:r>
    </w:p>
    <w:p w14:paraId="0339E717">
      <w:pPr>
        <w:autoSpaceDE w:val="0"/>
        <w:autoSpaceDN w:val="0"/>
        <w:adjustRightInd w:val="0"/>
        <w:spacing w:line="360" w:lineRule="auto"/>
        <w:ind w:firstLine="240" w:firstLineChars="100"/>
        <w:rPr>
          <w:rFonts w:hint="default" w:ascii="宋体" w:hAnsi="Calibri" w:eastAsia="宋体" w:cs="宋体"/>
          <w:kern w:val="0"/>
          <w:sz w:val="24"/>
          <w:highlight w:val="none"/>
          <w:lang w:val="en-US" w:eastAsia="zh-CN"/>
        </w:rPr>
      </w:pPr>
      <w:bookmarkStart w:id="247" w:name="_Toc488673676"/>
      <w:r>
        <w:rPr>
          <w:rFonts w:hint="eastAsia" w:ascii="宋体" w:hAnsi="Calibri" w:cs="宋体"/>
          <w:kern w:val="0"/>
          <w:sz w:val="24"/>
          <w:highlight w:val="none"/>
          <w:lang w:val="en-US" w:eastAsia="zh-CN"/>
        </w:rPr>
        <w:t>4.3.</w:t>
      </w:r>
      <w:r>
        <w:rPr>
          <w:rFonts w:hint="eastAsia" w:ascii="宋体" w:hAnsi="宋体"/>
          <w:sz w:val="24"/>
          <w:highlight w:val="none"/>
        </w:rPr>
        <w:t>质保期：</w:t>
      </w:r>
      <w:r>
        <w:rPr>
          <w:rFonts w:hint="eastAsia" w:ascii="宋体" w:hAnsi="宋体"/>
          <w:sz w:val="24"/>
          <w:highlight w:val="none"/>
          <w:lang w:val="en-US" w:eastAsia="zh-CN"/>
        </w:rPr>
        <w:t>自项目验收完成后3年。</w:t>
      </w:r>
    </w:p>
    <w:p w14:paraId="3F4B010E">
      <w:pPr>
        <w:autoSpaceDE w:val="0"/>
        <w:autoSpaceDN w:val="0"/>
        <w:adjustRightInd w:val="0"/>
        <w:spacing w:line="360" w:lineRule="auto"/>
        <w:ind w:firstLine="240" w:firstLineChars="100"/>
        <w:rPr>
          <w:highlight w:val="none"/>
        </w:rPr>
      </w:pPr>
      <w:r>
        <w:rPr>
          <w:rFonts w:hint="eastAsia" w:ascii="宋体" w:hAnsi="Calibri" w:cs="宋体"/>
          <w:kern w:val="0"/>
          <w:sz w:val="24"/>
          <w:highlight w:val="none"/>
          <w:lang w:val="zh-CN"/>
        </w:rPr>
        <w:t>4.</w:t>
      </w:r>
      <w:r>
        <w:rPr>
          <w:rFonts w:hint="eastAsia" w:ascii="宋体" w:hAnsi="Calibri" w:cs="宋体"/>
          <w:kern w:val="0"/>
          <w:sz w:val="24"/>
          <w:highlight w:val="none"/>
          <w:lang w:val="en-US" w:eastAsia="zh-CN"/>
        </w:rPr>
        <w:t>4</w:t>
      </w:r>
      <w:r>
        <w:rPr>
          <w:rFonts w:hint="eastAsia" w:ascii="宋体" w:hAnsi="Calibri" w:cs="宋体"/>
          <w:kern w:val="0"/>
          <w:sz w:val="24"/>
          <w:highlight w:val="none"/>
          <w:lang w:val="zh-CN"/>
        </w:rPr>
        <w:t>.付款方式：</w:t>
      </w:r>
      <w:bookmarkEnd w:id="247"/>
      <w:bookmarkStart w:id="248" w:name="_Toc459377899"/>
      <w:bookmarkStart w:id="249" w:name="_Hlk486599483"/>
      <w:bookmarkStart w:id="250" w:name="_Toc480468113"/>
      <w:r>
        <w:rPr>
          <w:rFonts w:hint="eastAsia" w:ascii="宋体" w:hAnsi="宋体"/>
          <w:sz w:val="24"/>
          <w:highlight w:val="none"/>
          <w:lang w:val="en-US" w:eastAsia="zh-CN"/>
        </w:rPr>
        <w:t>按合同约定执行</w:t>
      </w:r>
      <w:r>
        <w:rPr>
          <w:kern w:val="0"/>
          <w:sz w:val="24"/>
          <w:highlight w:val="none"/>
        </w:rPr>
        <w:t>。</w:t>
      </w:r>
    </w:p>
    <w:p w14:paraId="6AE3A936">
      <w:pPr>
        <w:autoSpaceDE w:val="0"/>
        <w:autoSpaceDN w:val="0"/>
        <w:adjustRightInd w:val="0"/>
        <w:spacing w:line="360" w:lineRule="auto"/>
        <w:rPr>
          <w:rFonts w:ascii="宋体" w:hAnsi="宋体"/>
          <w:b/>
          <w:bCs/>
          <w:kern w:val="0"/>
          <w:sz w:val="32"/>
          <w:szCs w:val="32"/>
        </w:rPr>
      </w:pPr>
    </w:p>
    <w:p w14:paraId="115E2B29">
      <w:pPr>
        <w:pStyle w:val="33"/>
        <w:rPr>
          <w:rFonts w:ascii="宋体" w:hAnsi="宋体"/>
          <w:b/>
          <w:bCs/>
          <w:kern w:val="0"/>
          <w:sz w:val="32"/>
          <w:szCs w:val="32"/>
        </w:rPr>
        <w:sectPr>
          <w:pgSz w:w="11906" w:h="16838"/>
          <w:pgMar w:top="1440" w:right="1077" w:bottom="1440" w:left="1077" w:header="851" w:footer="992" w:gutter="0"/>
          <w:pgNumType w:fmt="decimal"/>
          <w:cols w:space="720" w:num="1"/>
          <w:titlePg/>
          <w:docGrid w:linePitch="312" w:charSpace="0"/>
        </w:sectPr>
      </w:pPr>
    </w:p>
    <w:bookmarkEnd w:id="248"/>
    <w:bookmarkEnd w:id="249"/>
    <w:bookmarkEnd w:id="250"/>
    <w:p w14:paraId="1AECD148">
      <w:pPr>
        <w:widowControl/>
        <w:numPr>
          <w:ilvl w:val="0"/>
          <w:numId w:val="21"/>
        </w:numPr>
        <w:jc w:val="center"/>
        <w:textAlignment w:val="center"/>
        <w:rPr>
          <w:rFonts w:hint="eastAsia" w:ascii="宋体" w:hAnsi="宋体"/>
          <w:b/>
          <w:bCs/>
          <w:kern w:val="0"/>
          <w:sz w:val="32"/>
          <w:szCs w:val="32"/>
        </w:rPr>
      </w:pPr>
      <w:r>
        <w:rPr>
          <w:rFonts w:hint="eastAsia" w:ascii="宋体" w:hAnsi="宋体"/>
          <w:b/>
          <w:bCs/>
          <w:kern w:val="0"/>
          <w:sz w:val="32"/>
          <w:szCs w:val="32"/>
        </w:rPr>
        <w:t>项目概况及技术参数</w:t>
      </w:r>
    </w:p>
    <w:p w14:paraId="6584F5D6">
      <w:pPr>
        <w:pStyle w:val="2"/>
        <w:numPr>
          <w:ilvl w:val="0"/>
          <w:numId w:val="0"/>
        </w:numPr>
        <w:ind w:leftChars="0"/>
        <w:rPr>
          <w:rFonts w:hint="eastAsia"/>
        </w:rPr>
      </w:pPr>
    </w:p>
    <w:p w14:paraId="4A764977">
      <w:pPr>
        <w:pStyle w:val="2"/>
        <w:numPr>
          <w:ilvl w:val="0"/>
          <w:numId w:val="22"/>
        </w:numPr>
        <w:ind w:leftChars="0"/>
        <w:rPr>
          <w:rFonts w:hint="default" w:ascii="宋体" w:hAnsi="宋体" w:eastAsia="宋体" w:cs="Times New Roman"/>
          <w:b/>
          <w:bCs/>
          <w:kern w:val="0"/>
          <w:sz w:val="32"/>
          <w:szCs w:val="32"/>
          <w:lang w:val="en-US" w:eastAsia="zh-CN" w:bidi="ar-SA"/>
        </w:rPr>
      </w:pPr>
      <w:r>
        <w:rPr>
          <w:rFonts w:hint="eastAsia" w:ascii="宋体" w:hAnsi="宋体" w:eastAsia="宋体" w:cs="Times New Roman"/>
          <w:b/>
          <w:bCs/>
          <w:kern w:val="0"/>
          <w:sz w:val="32"/>
          <w:szCs w:val="32"/>
          <w:lang w:val="en-US" w:eastAsia="zh-CN" w:bidi="ar-SA"/>
        </w:rPr>
        <w:t>项目建设内容</w:t>
      </w:r>
    </w:p>
    <w:p w14:paraId="6E219462">
      <w:pPr>
        <w:autoSpaceDE w:val="0"/>
        <w:autoSpaceDN w:val="0"/>
        <w:adjustRightInd w:val="0"/>
        <w:spacing w:line="360" w:lineRule="auto"/>
        <w:ind w:firstLine="480" w:firstLineChars="200"/>
        <w:rPr>
          <w:rFonts w:hint="eastAsia" w:ascii="宋体" w:hAnsi="Calibri" w:cs="宋体"/>
          <w:kern w:val="0"/>
          <w:sz w:val="24"/>
          <w:lang w:val="en-US" w:eastAsia="zh-CN"/>
        </w:rPr>
      </w:pPr>
    </w:p>
    <w:p w14:paraId="21FAEDCA">
      <w:pPr>
        <w:spacing w:line="360" w:lineRule="auto"/>
        <w:ind w:firstLine="240" w:firstLineChars="100"/>
        <w:rPr>
          <w:rFonts w:hint="eastAsia" w:ascii="宋体" w:hAnsi="Calibri" w:cs="宋体"/>
          <w:color w:val="000000" w:themeColor="text1"/>
          <w:kern w:val="0"/>
          <w:sz w:val="24"/>
          <w:highlight w:val="none"/>
          <w:lang w:val="en-US" w:eastAsia="zh-CN"/>
          <w14:textFill>
            <w14:solidFill>
              <w14:schemeClr w14:val="tx1"/>
            </w14:solidFill>
          </w14:textFill>
        </w:rPr>
      </w:pPr>
      <w:r>
        <w:rPr>
          <w:rFonts w:hint="eastAsia" w:ascii="宋体" w:hAnsi="Calibri" w:cs="宋体"/>
          <w:color w:val="000000" w:themeColor="text1"/>
          <w:kern w:val="0"/>
          <w:sz w:val="24"/>
          <w:highlight w:val="none"/>
          <w:lang w:val="en-US" w:eastAsia="zh-CN"/>
          <w14:textFill>
            <w14:solidFill>
              <w14:schemeClr w14:val="tx1"/>
            </w14:solidFill>
          </w14:textFill>
        </w:rPr>
        <w:t>西宁市湟中区职业教育中心“双优计划”建设(数字智慧校园建设）项目，主要是继续实施“双优计划”数字智慧校园建设，提升学校的网络环境，加大校园公共无线网络覆盖范围,增强网络管理能力，提高网络可靠性如更换交换机、改造网络设备电路及光纤链路，续费网络安全设备规则库等)。为教学、科研和校园生活带来实质性的改善，保障校内网络安全、提升智慧校园条件,打造优秀学校。</w:t>
      </w:r>
    </w:p>
    <w:p w14:paraId="59EB423A">
      <w:pPr>
        <w:pStyle w:val="32"/>
        <w:rPr>
          <w:rFonts w:hint="eastAsia"/>
          <w:lang w:val="en-US" w:eastAsia="zh-CN"/>
        </w:rPr>
      </w:pPr>
    </w:p>
    <w:p w14:paraId="76AA2A2E">
      <w:pPr>
        <w:pStyle w:val="13"/>
        <w:rPr>
          <w:rFonts w:hint="default" w:ascii="宋体" w:hAnsi="宋体" w:eastAsia="宋体" w:cs="Times New Roman"/>
          <w:b/>
          <w:bCs/>
          <w:kern w:val="0"/>
          <w:sz w:val="32"/>
          <w:szCs w:val="32"/>
          <w:lang w:val="en-US" w:eastAsia="zh-CN" w:bidi="ar-SA"/>
        </w:rPr>
      </w:pPr>
      <w:r>
        <w:rPr>
          <w:rFonts w:hint="eastAsia" w:ascii="宋体" w:hAnsi="宋体" w:eastAsia="宋体" w:cs="Times New Roman"/>
          <w:b/>
          <w:bCs/>
          <w:kern w:val="0"/>
          <w:sz w:val="32"/>
          <w:szCs w:val="32"/>
          <w:lang w:val="en-US" w:eastAsia="zh-CN" w:bidi="ar-SA"/>
        </w:rPr>
        <w:t>（二）技术参数</w:t>
      </w:r>
    </w:p>
    <w:tbl>
      <w:tblPr>
        <w:tblStyle w:val="34"/>
        <w:tblW w:w="907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
        <w:gridCol w:w="1113"/>
        <w:gridCol w:w="5431"/>
        <w:gridCol w:w="811"/>
        <w:gridCol w:w="567"/>
        <w:gridCol w:w="709"/>
      </w:tblGrid>
      <w:tr w14:paraId="27B51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447" w:type="dxa"/>
            <w:shd w:val="clear" w:color="000000" w:fill="BFBFBF"/>
            <w:vAlign w:val="center"/>
          </w:tcPr>
          <w:p w14:paraId="0F7685ED">
            <w:pPr>
              <w:spacing w:after="0" w:line="240" w:lineRule="auto"/>
              <w:jc w:val="center"/>
              <w:rPr>
                <w:rFonts w:ascii="宋体" w:hAnsi="宋体" w:eastAsia="宋体" w:cs="Times New Roman"/>
                <w:b/>
                <w:bCs/>
                <w:sz w:val="21"/>
                <w:szCs w:val="21"/>
              </w:rPr>
            </w:pPr>
            <w:r>
              <w:rPr>
                <w:rFonts w:hint="eastAsia" w:ascii="宋体" w:hAnsi="宋体" w:eastAsia="宋体" w:cs="Times New Roman"/>
                <w:b/>
                <w:bCs/>
                <w:sz w:val="21"/>
                <w:szCs w:val="21"/>
              </w:rPr>
              <w:t>序号</w:t>
            </w:r>
          </w:p>
        </w:tc>
        <w:tc>
          <w:tcPr>
            <w:tcW w:w="1113" w:type="dxa"/>
            <w:shd w:val="clear" w:color="000000" w:fill="BFBFBF"/>
            <w:vAlign w:val="center"/>
          </w:tcPr>
          <w:p w14:paraId="21671D2E">
            <w:pPr>
              <w:spacing w:after="0" w:line="240" w:lineRule="auto"/>
              <w:jc w:val="center"/>
              <w:rPr>
                <w:rFonts w:ascii="宋体" w:hAnsi="宋体" w:eastAsia="宋体" w:cs="Times New Roman"/>
                <w:b/>
                <w:bCs/>
                <w:sz w:val="21"/>
                <w:szCs w:val="21"/>
              </w:rPr>
            </w:pPr>
            <w:r>
              <w:rPr>
                <w:rFonts w:hint="eastAsia" w:ascii="宋体" w:hAnsi="宋体" w:eastAsia="宋体" w:cs="Times New Roman"/>
                <w:b/>
                <w:bCs/>
                <w:sz w:val="21"/>
                <w:szCs w:val="21"/>
              </w:rPr>
              <w:t>产品名称</w:t>
            </w:r>
          </w:p>
        </w:tc>
        <w:tc>
          <w:tcPr>
            <w:tcW w:w="5431" w:type="dxa"/>
            <w:shd w:val="clear" w:color="000000" w:fill="BFBFBF"/>
            <w:vAlign w:val="center"/>
          </w:tcPr>
          <w:p w14:paraId="6AD221C9">
            <w:pPr>
              <w:spacing w:after="0" w:line="240" w:lineRule="auto"/>
              <w:jc w:val="center"/>
              <w:rPr>
                <w:rFonts w:ascii="宋体" w:hAnsi="宋体" w:eastAsia="宋体" w:cs="Times New Roman"/>
                <w:b/>
                <w:bCs/>
                <w:sz w:val="21"/>
                <w:szCs w:val="21"/>
              </w:rPr>
            </w:pPr>
            <w:r>
              <w:rPr>
                <w:rFonts w:hint="eastAsia" w:ascii="宋体" w:hAnsi="宋体" w:eastAsia="宋体" w:cs="Times New Roman"/>
                <w:b/>
                <w:bCs/>
                <w:sz w:val="21"/>
                <w:szCs w:val="21"/>
              </w:rPr>
              <w:t>设备参数</w:t>
            </w:r>
          </w:p>
        </w:tc>
        <w:tc>
          <w:tcPr>
            <w:tcW w:w="811" w:type="dxa"/>
            <w:shd w:val="clear" w:color="000000" w:fill="BFBFBF"/>
            <w:vAlign w:val="center"/>
          </w:tcPr>
          <w:p w14:paraId="03FE3420">
            <w:pPr>
              <w:spacing w:after="0" w:line="240" w:lineRule="auto"/>
              <w:jc w:val="center"/>
              <w:rPr>
                <w:rFonts w:ascii="宋体" w:hAnsi="宋体" w:eastAsia="宋体" w:cs="Times New Roman"/>
                <w:b/>
                <w:bCs/>
                <w:sz w:val="21"/>
                <w:szCs w:val="21"/>
              </w:rPr>
            </w:pPr>
            <w:r>
              <w:rPr>
                <w:rFonts w:hint="eastAsia" w:ascii="宋体" w:hAnsi="宋体" w:eastAsia="宋体" w:cs="Times New Roman"/>
                <w:b/>
                <w:bCs/>
                <w:sz w:val="21"/>
                <w:szCs w:val="21"/>
              </w:rPr>
              <w:t>数量</w:t>
            </w:r>
          </w:p>
        </w:tc>
        <w:tc>
          <w:tcPr>
            <w:tcW w:w="567" w:type="dxa"/>
            <w:shd w:val="clear" w:color="000000" w:fill="BFBFBF"/>
            <w:vAlign w:val="center"/>
          </w:tcPr>
          <w:p w14:paraId="4E67660A">
            <w:pPr>
              <w:spacing w:after="0" w:line="240" w:lineRule="auto"/>
              <w:jc w:val="center"/>
              <w:rPr>
                <w:rFonts w:ascii="宋体" w:hAnsi="宋体" w:eastAsia="宋体" w:cs="Times New Roman"/>
                <w:b/>
                <w:bCs/>
                <w:sz w:val="21"/>
                <w:szCs w:val="21"/>
              </w:rPr>
            </w:pPr>
            <w:r>
              <w:rPr>
                <w:rFonts w:hint="eastAsia" w:ascii="宋体" w:hAnsi="宋体" w:eastAsia="宋体" w:cs="Times New Roman"/>
                <w:b/>
                <w:bCs/>
                <w:sz w:val="21"/>
                <w:szCs w:val="21"/>
              </w:rPr>
              <w:t>单位</w:t>
            </w:r>
          </w:p>
        </w:tc>
        <w:tc>
          <w:tcPr>
            <w:tcW w:w="709" w:type="dxa"/>
            <w:shd w:val="clear" w:color="000000" w:fill="BFBFBF"/>
            <w:vAlign w:val="center"/>
          </w:tcPr>
          <w:p w14:paraId="456978F9">
            <w:pPr>
              <w:spacing w:after="0" w:line="240" w:lineRule="auto"/>
              <w:jc w:val="center"/>
              <w:rPr>
                <w:rFonts w:ascii="宋体" w:hAnsi="宋体" w:eastAsia="宋体" w:cs="Times New Roman"/>
                <w:b/>
                <w:bCs/>
                <w:sz w:val="21"/>
                <w:szCs w:val="21"/>
              </w:rPr>
            </w:pPr>
            <w:r>
              <w:rPr>
                <w:rFonts w:hint="eastAsia" w:ascii="宋体" w:hAnsi="宋体" w:eastAsia="宋体" w:cs="Times New Roman"/>
                <w:b/>
                <w:bCs/>
                <w:sz w:val="21"/>
                <w:szCs w:val="21"/>
              </w:rPr>
              <w:t>质保期</w:t>
            </w:r>
          </w:p>
        </w:tc>
      </w:tr>
      <w:tr w14:paraId="2C0D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7" w:type="dxa"/>
            <w:shd w:val="clear" w:color="auto" w:fill="auto"/>
            <w:vAlign w:val="center"/>
          </w:tcPr>
          <w:p w14:paraId="696CF81F">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1</w:t>
            </w:r>
          </w:p>
        </w:tc>
        <w:tc>
          <w:tcPr>
            <w:tcW w:w="1113" w:type="dxa"/>
            <w:shd w:val="clear" w:color="auto" w:fill="auto"/>
            <w:vAlign w:val="center"/>
          </w:tcPr>
          <w:p w14:paraId="5039404F">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室外定向AP</w:t>
            </w:r>
          </w:p>
        </w:tc>
        <w:tc>
          <w:tcPr>
            <w:tcW w:w="5431" w:type="dxa"/>
            <w:shd w:val="clear" w:color="auto" w:fill="auto"/>
            <w:vAlign w:val="center"/>
          </w:tcPr>
          <w:p w14:paraId="4A046CF6">
            <w:pPr>
              <w:spacing w:after="0" w:line="240" w:lineRule="auto"/>
              <w:rPr>
                <w:rFonts w:ascii="宋体" w:hAnsi="宋体" w:eastAsia="宋体" w:cs="Times New Roman"/>
                <w:sz w:val="21"/>
                <w:szCs w:val="21"/>
              </w:rPr>
            </w:pPr>
            <w:r>
              <w:rPr>
                <w:rFonts w:hint="eastAsia" w:ascii="宋体" w:hAnsi="宋体" w:eastAsia="宋体" w:cs="Times New Roman"/>
                <w:sz w:val="21"/>
                <w:szCs w:val="21"/>
              </w:rPr>
              <w:t>1.设备支持内置定向天线，室外型无线接入点，提供官网截图和链接证明。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2.支持标准的802.11ax协议，采用双射频设计， 整机空间流≥4条，提供官网截图和链接证明。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3.设备采用内置天线设计，无外置天线口。提供官网截图和链接证明。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4.至少支持1个2.5G SFP光口；1个10/100/1000Base-T以太网接口。</w:t>
            </w:r>
            <w:r>
              <w:rPr>
                <w:rFonts w:hint="eastAsia" w:ascii="宋体" w:hAnsi="宋体" w:eastAsia="宋体" w:cs="Times New Roman"/>
                <w:sz w:val="21"/>
                <w:szCs w:val="21"/>
              </w:rPr>
              <w:br w:type="textWrapping"/>
            </w:r>
            <w:r>
              <w:rPr>
                <w:rFonts w:hint="eastAsia" w:ascii="宋体" w:hAnsi="宋体" w:eastAsia="宋体" w:cs="Times New Roman"/>
                <w:sz w:val="21"/>
                <w:szCs w:val="21"/>
              </w:rPr>
              <w:t>5.整机最大无线接入速率≥2.97Gbps，提供官网截图和链接证明。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6.防护等级至少达到IP68，提供官网截图和链接证明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7.支持标准的802.3af/802.3at协议进行PoE供电，整机功耗≤12.96w，提供官网截图和链接证明。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8.室外无线接入点符合国标GB/T 20138-2006即《电器设备外壳对外界机械碰撞的防护等级（IK代码）》标准，至少达到防护等级IK08，提供第三方权威测试报告复印件，及第三方权威机构官方查询结果截图（需体现设备防护等级）和查询链接。</w:t>
            </w:r>
            <w:r>
              <w:rPr>
                <w:rFonts w:hint="eastAsia" w:ascii="宋体" w:hAnsi="宋体" w:eastAsia="宋体" w:cs="Times New Roman"/>
                <w:sz w:val="21"/>
                <w:szCs w:val="21"/>
              </w:rPr>
              <w:br w:type="textWrapping"/>
            </w:r>
            <w:r>
              <w:rPr>
                <w:rFonts w:hint="eastAsia" w:ascii="宋体" w:hAnsi="宋体" w:eastAsia="宋体" w:cs="Times New Roman"/>
                <w:sz w:val="21"/>
                <w:szCs w:val="21"/>
              </w:rPr>
              <w:t>9.支持蓝牙5.0。</w:t>
            </w:r>
            <w:r>
              <w:rPr>
                <w:rFonts w:hint="eastAsia" w:ascii="宋体" w:hAnsi="宋体" w:eastAsia="宋体" w:cs="Times New Roman"/>
                <w:sz w:val="21"/>
                <w:szCs w:val="21"/>
              </w:rPr>
              <w:br w:type="textWrapping"/>
            </w:r>
            <w:r>
              <w:rPr>
                <w:rFonts w:hint="eastAsia" w:ascii="宋体" w:hAnsi="宋体" w:eastAsia="宋体" w:cs="Times New Roman"/>
                <w:sz w:val="21"/>
                <w:szCs w:val="21"/>
              </w:rPr>
              <w:t>10.最大接入用户数≥1024，提供官网截图和链接证明。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11.支持虚拟AP服务，整机最大可划分32个虚拟AP，提供官网截图和链接证明。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12.支持SSID隐藏，每个SSID可配置单独的认证方式、加密机制，VLAN属性。</w:t>
            </w:r>
            <w:r>
              <w:rPr>
                <w:rFonts w:hint="eastAsia" w:ascii="宋体" w:hAnsi="宋体" w:eastAsia="宋体" w:cs="Times New Roman"/>
                <w:sz w:val="21"/>
                <w:szCs w:val="21"/>
              </w:rPr>
              <w:br w:type="textWrapping"/>
            </w:r>
            <w:r>
              <w:rPr>
                <w:rFonts w:hint="eastAsia" w:ascii="宋体" w:hAnsi="宋体" w:eastAsia="宋体" w:cs="Times New Roman"/>
                <w:sz w:val="21"/>
                <w:szCs w:val="21"/>
              </w:rPr>
              <w:t>13.支持带宽限制，支持基于STA/SSID/AP的限速。</w:t>
            </w:r>
            <w:r>
              <w:rPr>
                <w:rFonts w:hint="eastAsia" w:ascii="宋体" w:hAnsi="宋体" w:eastAsia="宋体" w:cs="Times New Roman"/>
                <w:sz w:val="21"/>
                <w:szCs w:val="21"/>
              </w:rPr>
              <w:br w:type="textWrapping"/>
            </w:r>
            <w:r>
              <w:rPr>
                <w:rFonts w:hint="eastAsia" w:ascii="宋体" w:hAnsi="宋体" w:eastAsia="宋体" w:cs="Times New Roman"/>
                <w:sz w:val="21"/>
                <w:szCs w:val="21"/>
              </w:rPr>
              <w:t>14.支持Fat/Fit模式切换。当工作在Fit（瘦）模式时，可通过AC系列无线控制器切换为Fat模式；当工作在Fat（胖）模式时，可通过本地控制口、</w:t>
            </w:r>
            <w:r>
              <w:rPr>
                <w:rFonts w:hint="eastAsia" w:ascii="宋体" w:hAnsi="宋体" w:eastAsia="宋体" w:cs="Times New Roman"/>
                <w:sz w:val="21"/>
                <w:szCs w:val="21"/>
              </w:rPr>
              <w:br w:type="textWrapping"/>
            </w:r>
            <w:r>
              <w:rPr>
                <w:rFonts w:hint="eastAsia" w:ascii="宋体" w:hAnsi="宋体" w:eastAsia="宋体" w:cs="Times New Roman"/>
                <w:sz w:val="21"/>
                <w:szCs w:val="21"/>
              </w:rPr>
              <w:t>15.支持PSK认证、Web认证、微信认证、二维码访客认证、短信认证、无感知认证等认证方式；支持WPA（TKIP）、WPA-PSK、WPA2（AES）、WPA3、WEP（64/128位）等数据加密方式。</w:t>
            </w:r>
            <w:r>
              <w:rPr>
                <w:rFonts w:hint="eastAsia" w:ascii="宋体" w:hAnsi="宋体" w:eastAsia="宋体" w:cs="Times New Roman"/>
                <w:sz w:val="21"/>
                <w:szCs w:val="21"/>
              </w:rPr>
              <w:br w:type="textWrapping"/>
            </w:r>
            <w:r>
              <w:rPr>
                <w:rFonts w:hint="eastAsia" w:ascii="宋体" w:hAnsi="宋体" w:eastAsia="宋体" w:cs="Times New Roman"/>
                <w:sz w:val="21"/>
                <w:szCs w:val="21"/>
              </w:rPr>
              <w:t>16.为保证兼容性该设备品牌需与本次项目中采购的无线控制器、SDN平台品牌相同。</w:t>
            </w:r>
          </w:p>
        </w:tc>
        <w:tc>
          <w:tcPr>
            <w:tcW w:w="811" w:type="dxa"/>
            <w:vAlign w:val="center"/>
          </w:tcPr>
          <w:p w14:paraId="34AB1986">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10</w:t>
            </w:r>
          </w:p>
        </w:tc>
        <w:tc>
          <w:tcPr>
            <w:tcW w:w="567" w:type="dxa"/>
            <w:vAlign w:val="center"/>
          </w:tcPr>
          <w:p w14:paraId="2916DFDA">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台</w:t>
            </w:r>
          </w:p>
        </w:tc>
        <w:tc>
          <w:tcPr>
            <w:tcW w:w="709" w:type="dxa"/>
            <w:vAlign w:val="center"/>
          </w:tcPr>
          <w:p w14:paraId="1A08D0AA">
            <w:pPr>
              <w:spacing w:after="0" w:line="240" w:lineRule="auto"/>
              <w:rPr>
                <w:rFonts w:ascii="宋体" w:hAnsi="宋体" w:eastAsia="宋体" w:cs="Times New Roman"/>
                <w:sz w:val="21"/>
                <w:szCs w:val="21"/>
              </w:rPr>
            </w:pPr>
            <w:r>
              <w:rPr>
                <w:rFonts w:hint="eastAsia" w:ascii="宋体" w:hAnsi="宋体" w:eastAsia="宋体" w:cs="Times New Roman"/>
                <w:sz w:val="21"/>
                <w:szCs w:val="21"/>
              </w:rPr>
              <w:t>3年</w:t>
            </w:r>
          </w:p>
        </w:tc>
      </w:tr>
      <w:tr w14:paraId="4562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7" w:type="dxa"/>
            <w:shd w:val="clear" w:color="auto" w:fill="auto"/>
            <w:vAlign w:val="center"/>
          </w:tcPr>
          <w:p w14:paraId="3789ED12">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2</w:t>
            </w:r>
          </w:p>
        </w:tc>
        <w:tc>
          <w:tcPr>
            <w:tcW w:w="1113" w:type="dxa"/>
            <w:shd w:val="clear" w:color="auto" w:fill="auto"/>
            <w:vAlign w:val="center"/>
          </w:tcPr>
          <w:p w14:paraId="19F8B551">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室外全向AP</w:t>
            </w:r>
          </w:p>
        </w:tc>
        <w:tc>
          <w:tcPr>
            <w:tcW w:w="5431" w:type="dxa"/>
            <w:shd w:val="clear" w:color="auto" w:fill="auto"/>
            <w:vAlign w:val="center"/>
          </w:tcPr>
          <w:p w14:paraId="331739C0">
            <w:pPr>
              <w:spacing w:after="0" w:line="240" w:lineRule="auto"/>
              <w:rPr>
                <w:rFonts w:ascii="宋体" w:hAnsi="宋体" w:eastAsia="宋体" w:cs="Times New Roman"/>
                <w:sz w:val="21"/>
                <w:szCs w:val="21"/>
              </w:rPr>
            </w:pPr>
            <w:r>
              <w:rPr>
                <w:rFonts w:hint="eastAsia" w:ascii="宋体" w:hAnsi="宋体" w:eastAsia="宋体" w:cs="Times New Roman"/>
                <w:sz w:val="21"/>
                <w:szCs w:val="21"/>
              </w:rPr>
              <w:t>1.室外型无线接入点，整机最大无线接入速率≥2.97Gbps。提供官网截图和链接证明。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2.支持标准的802.11ax协议，采用双射频设计，整机空间流≥4条。提供官网截图和链接证明。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3.至少支持1个2.5G SFP光口，1个10/100/1000Base-T以太网接口。</w:t>
            </w:r>
            <w:r>
              <w:rPr>
                <w:rFonts w:hint="eastAsia" w:ascii="宋体" w:hAnsi="宋体" w:eastAsia="宋体" w:cs="Times New Roman"/>
                <w:sz w:val="21"/>
                <w:szCs w:val="21"/>
              </w:rPr>
              <w:br w:type="textWrapping"/>
            </w:r>
            <w:r>
              <w:rPr>
                <w:rFonts w:hint="eastAsia" w:ascii="宋体" w:hAnsi="宋体" w:eastAsia="宋体" w:cs="Times New Roman"/>
                <w:sz w:val="21"/>
                <w:szCs w:val="21"/>
              </w:rPr>
              <w:t>4.防护等级至少达到IP68，提供官网截图和链接证明。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5.支持标准的802.3af/802.3at协议进行PoE供电，整机功耗≤12.96w，提供官网截图和链接证明。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6.室外无线接入点符合国标GB/T 20138-2006即《电器设备外壳对外界机械碰撞的防护等级（IK代码）》标准，至少达到防护等级IK08，提供第三方权威测试报告复印件，及第三方权威机构官方查询结果截图（需体现设备防护等级）和查询链接，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7.设备支持内置全向天线。提供官网截图和链接证明。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8.支持蓝牙5.0</w:t>
            </w:r>
            <w:r>
              <w:rPr>
                <w:rFonts w:hint="eastAsia" w:ascii="宋体" w:hAnsi="宋体" w:eastAsia="宋体" w:cs="Times New Roman"/>
                <w:sz w:val="21"/>
                <w:szCs w:val="21"/>
              </w:rPr>
              <w:br w:type="textWrapping"/>
            </w:r>
            <w:r>
              <w:rPr>
                <w:rFonts w:hint="eastAsia" w:ascii="宋体" w:hAnsi="宋体" w:eastAsia="宋体" w:cs="Times New Roman"/>
                <w:sz w:val="21"/>
                <w:szCs w:val="21"/>
              </w:rPr>
              <w:t>9.支持胖/瘦AP两种工作模式的切换，在瘦AP工作模式时，AP与控制器之间采用国际标准的CAPWAP协议通信。</w:t>
            </w:r>
            <w:r>
              <w:rPr>
                <w:rFonts w:hint="eastAsia" w:ascii="宋体" w:hAnsi="宋体" w:eastAsia="宋体" w:cs="Times New Roman"/>
                <w:sz w:val="21"/>
                <w:szCs w:val="21"/>
              </w:rPr>
              <w:br w:type="textWrapping"/>
            </w:r>
            <w:r>
              <w:rPr>
                <w:rFonts w:hint="eastAsia" w:ascii="宋体" w:hAnsi="宋体" w:eastAsia="宋体" w:cs="Times New Roman"/>
                <w:sz w:val="21"/>
                <w:szCs w:val="21"/>
              </w:rPr>
              <w:t>10.最大接入用户数≥1024，提供官网截图和链接证明。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11.支持虚拟AP服务，整机最大可划分32个虚拟AP，提供官网截图和链接证明。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12.支持SSID隐藏，每个SSID可配置单独的认证方式、加密机制，VLAN属性。</w:t>
            </w:r>
            <w:r>
              <w:rPr>
                <w:rFonts w:hint="eastAsia" w:ascii="宋体" w:hAnsi="宋体" w:eastAsia="宋体" w:cs="Times New Roman"/>
                <w:sz w:val="21"/>
                <w:szCs w:val="21"/>
              </w:rPr>
              <w:br w:type="textWrapping"/>
            </w:r>
            <w:r>
              <w:rPr>
                <w:rFonts w:hint="eastAsia" w:ascii="宋体" w:hAnsi="宋体" w:eastAsia="宋体" w:cs="Times New Roman"/>
                <w:sz w:val="21"/>
                <w:szCs w:val="21"/>
              </w:rPr>
              <w:t>13.支持PSK认证、Web认证、微信认证、二维码访客认证、短信认证、无感知认证等认证方式；支持WPA（TKIP）、WPA-PSK、WPA2（AES）、WPA3、WEP（64/128位）等数据加密方式。</w:t>
            </w:r>
            <w:r>
              <w:rPr>
                <w:rFonts w:hint="eastAsia" w:ascii="宋体" w:hAnsi="宋体" w:eastAsia="宋体" w:cs="Times New Roman"/>
                <w:sz w:val="21"/>
                <w:szCs w:val="21"/>
              </w:rPr>
              <w:br w:type="textWrapping"/>
            </w:r>
            <w:r>
              <w:rPr>
                <w:rFonts w:hint="eastAsia" w:ascii="宋体" w:hAnsi="宋体" w:eastAsia="宋体" w:cs="Times New Roman"/>
                <w:sz w:val="21"/>
                <w:szCs w:val="21"/>
              </w:rPr>
              <w:t>14.支持通过Telnet、TFTP、Web管理。</w:t>
            </w:r>
            <w:r>
              <w:rPr>
                <w:rFonts w:hint="eastAsia" w:ascii="宋体" w:hAnsi="宋体" w:eastAsia="宋体" w:cs="Times New Roman"/>
                <w:sz w:val="21"/>
                <w:szCs w:val="21"/>
              </w:rPr>
              <w:br w:type="textWrapping"/>
            </w:r>
            <w:r>
              <w:rPr>
                <w:rFonts w:hint="eastAsia" w:ascii="宋体" w:hAnsi="宋体" w:eastAsia="宋体" w:cs="Times New Roman"/>
                <w:sz w:val="21"/>
                <w:szCs w:val="21"/>
              </w:rPr>
              <w:t>15.为保证兼容性该设备品牌需与本次项目中采购的无线控制器、SDN平台品牌相同。</w:t>
            </w:r>
          </w:p>
        </w:tc>
        <w:tc>
          <w:tcPr>
            <w:tcW w:w="811" w:type="dxa"/>
            <w:vAlign w:val="center"/>
          </w:tcPr>
          <w:p w14:paraId="154EB068">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18</w:t>
            </w:r>
          </w:p>
        </w:tc>
        <w:tc>
          <w:tcPr>
            <w:tcW w:w="567" w:type="dxa"/>
            <w:vAlign w:val="center"/>
          </w:tcPr>
          <w:p w14:paraId="7A31C8BB">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台</w:t>
            </w:r>
          </w:p>
        </w:tc>
        <w:tc>
          <w:tcPr>
            <w:tcW w:w="709" w:type="dxa"/>
            <w:vAlign w:val="center"/>
          </w:tcPr>
          <w:p w14:paraId="7C0A61A0">
            <w:pPr>
              <w:spacing w:after="0" w:line="240" w:lineRule="auto"/>
              <w:rPr>
                <w:rFonts w:ascii="宋体" w:hAnsi="宋体" w:eastAsia="宋体" w:cs="Times New Roman"/>
                <w:sz w:val="21"/>
                <w:szCs w:val="21"/>
              </w:rPr>
            </w:pPr>
            <w:r>
              <w:rPr>
                <w:rFonts w:hint="eastAsia" w:ascii="宋体" w:hAnsi="宋体" w:eastAsia="宋体" w:cs="Times New Roman"/>
                <w:sz w:val="21"/>
                <w:szCs w:val="21"/>
              </w:rPr>
              <w:t>3年</w:t>
            </w:r>
          </w:p>
        </w:tc>
      </w:tr>
      <w:tr w14:paraId="274F1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7" w:type="dxa"/>
            <w:shd w:val="clear" w:color="auto" w:fill="auto"/>
            <w:vAlign w:val="center"/>
          </w:tcPr>
          <w:p w14:paraId="6703DC73">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3</w:t>
            </w:r>
          </w:p>
        </w:tc>
        <w:tc>
          <w:tcPr>
            <w:tcW w:w="1113" w:type="dxa"/>
            <w:shd w:val="clear" w:color="auto" w:fill="auto"/>
            <w:vAlign w:val="center"/>
          </w:tcPr>
          <w:p w14:paraId="19BDADEE">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高负载室内吸顶AP</w:t>
            </w:r>
          </w:p>
        </w:tc>
        <w:tc>
          <w:tcPr>
            <w:tcW w:w="5431" w:type="dxa"/>
            <w:shd w:val="clear" w:color="auto" w:fill="auto"/>
            <w:vAlign w:val="center"/>
          </w:tcPr>
          <w:p w14:paraId="56F33434">
            <w:pPr>
              <w:spacing w:after="0" w:line="240" w:lineRule="auto"/>
              <w:rPr>
                <w:rFonts w:ascii="宋体" w:hAnsi="宋体" w:eastAsia="宋体" w:cs="Times New Roman"/>
                <w:sz w:val="21"/>
                <w:szCs w:val="21"/>
              </w:rPr>
            </w:pPr>
            <w:r>
              <w:rPr>
                <w:rFonts w:hint="eastAsia" w:ascii="宋体" w:hAnsi="宋体" w:eastAsia="宋体" w:cs="Times New Roman"/>
                <w:sz w:val="21"/>
                <w:szCs w:val="21"/>
              </w:rPr>
              <w:t>1.整机支持8条空间流，整机最大无线速率≥6Gbps，提供官网截图和链接证明。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2.支持802.11ax标准，采用三射频设计，提供官网截图和链接证明。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3.支持802.11ax标准，采用硬件独立的四射频设计，提供官网截图和链接证明。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4.整机至少1个10/100/1000Base-T以太网接口支持对外供电，可扩展物联网模块，提供官网截图和链接证明。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5.支持5G以太网接口≥1个，提供官网截图和链接证明。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6.支持5G光口≥1个，提供官网截图和链接证明。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7.设备整机最大终端接入数≥1550个，提供官网截图和链接证明。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8.AP可使用额外的一个射频进行环境扫描，并将信息上传AC，由AC引导终端漫游到附近信号更好的 AP，减少网络中的粘性终端以及避免终端主动漫游产生的丢包，提供第三方权威机构的检验报告证明材料复印件。</w:t>
            </w:r>
            <w:r>
              <w:rPr>
                <w:rFonts w:hint="eastAsia" w:ascii="宋体" w:hAnsi="宋体" w:eastAsia="宋体" w:cs="Times New Roman"/>
                <w:sz w:val="21"/>
                <w:szCs w:val="21"/>
              </w:rPr>
              <w:br w:type="textWrapping"/>
            </w:r>
            <w:r>
              <w:rPr>
                <w:rFonts w:hint="eastAsia" w:ascii="宋体" w:hAnsi="宋体" w:eastAsia="宋体" w:cs="Times New Roman"/>
                <w:sz w:val="21"/>
                <w:szCs w:val="21"/>
              </w:rPr>
              <w:t>9.设备应支持实现AP虚拟化功能，实现一台AP虚拟为多台AP，分别受不同AC设备独立管理，互不影响。不同虚拟AP之间数据隔离，虚拟AP在AC上不占用AP License。</w:t>
            </w:r>
            <w:r>
              <w:rPr>
                <w:rFonts w:hint="eastAsia" w:ascii="宋体" w:hAnsi="宋体" w:eastAsia="宋体" w:cs="Times New Roman"/>
                <w:sz w:val="21"/>
                <w:szCs w:val="21"/>
              </w:rPr>
              <w:br w:type="textWrapping"/>
            </w:r>
            <w:r>
              <w:rPr>
                <w:rFonts w:hint="eastAsia" w:ascii="宋体" w:hAnsi="宋体" w:eastAsia="宋体" w:cs="Times New Roman"/>
                <w:sz w:val="21"/>
                <w:szCs w:val="21"/>
              </w:rPr>
              <w:t>10.支持内置蓝牙5.1</w:t>
            </w:r>
            <w:r>
              <w:rPr>
                <w:rFonts w:hint="eastAsia" w:ascii="宋体" w:hAnsi="宋体" w:eastAsia="宋体" w:cs="Times New Roman"/>
                <w:sz w:val="21"/>
                <w:szCs w:val="21"/>
              </w:rPr>
              <w:br w:type="textWrapping"/>
            </w:r>
            <w:r>
              <w:rPr>
                <w:rFonts w:hint="eastAsia" w:ascii="宋体" w:hAnsi="宋体" w:eastAsia="宋体" w:cs="Times New Roman"/>
                <w:sz w:val="21"/>
                <w:szCs w:val="21"/>
              </w:rPr>
              <w:t>11.支持USB 3.0。</w:t>
            </w:r>
            <w:r>
              <w:rPr>
                <w:rFonts w:hint="eastAsia" w:ascii="宋体" w:hAnsi="宋体" w:eastAsia="宋体" w:cs="Times New Roman"/>
                <w:sz w:val="21"/>
                <w:szCs w:val="21"/>
              </w:rPr>
              <w:br w:type="textWrapping"/>
            </w:r>
            <w:r>
              <w:rPr>
                <w:rFonts w:hint="eastAsia" w:ascii="宋体" w:hAnsi="宋体" w:eastAsia="宋体" w:cs="Times New Roman"/>
                <w:sz w:val="21"/>
                <w:szCs w:val="21"/>
              </w:rPr>
              <w:t>12.支持基于SSID、射频卡的接入用户数限制。</w:t>
            </w:r>
            <w:r>
              <w:rPr>
                <w:rFonts w:hint="eastAsia" w:ascii="宋体" w:hAnsi="宋体" w:eastAsia="宋体" w:cs="Times New Roman"/>
                <w:sz w:val="21"/>
                <w:szCs w:val="21"/>
              </w:rPr>
              <w:br w:type="textWrapping"/>
            </w:r>
            <w:r>
              <w:rPr>
                <w:rFonts w:hint="eastAsia" w:ascii="宋体" w:hAnsi="宋体" w:eastAsia="宋体" w:cs="Times New Roman"/>
                <w:sz w:val="21"/>
                <w:szCs w:val="21"/>
              </w:rPr>
              <w:t>13.支持PSK认证、Web认证、微信认证、二维码访客认证、短信认证、无感知认证等认证方式。</w:t>
            </w:r>
            <w:r>
              <w:rPr>
                <w:rFonts w:hint="eastAsia" w:ascii="宋体" w:hAnsi="宋体" w:eastAsia="宋体" w:cs="Times New Roman"/>
                <w:sz w:val="21"/>
                <w:szCs w:val="21"/>
              </w:rPr>
              <w:br w:type="textWrapping"/>
            </w:r>
            <w:r>
              <w:rPr>
                <w:rFonts w:hint="eastAsia" w:ascii="宋体" w:hAnsi="宋体" w:eastAsia="宋体" w:cs="Times New Roman"/>
                <w:sz w:val="21"/>
                <w:szCs w:val="21"/>
              </w:rPr>
              <w:t>14.数据加密支持WPA（TKIP）、WPA-PSK、WPA2（AES）、WPA3、WEP（64/128位）。</w:t>
            </w:r>
            <w:r>
              <w:rPr>
                <w:rFonts w:hint="eastAsia" w:ascii="宋体" w:hAnsi="宋体" w:eastAsia="宋体" w:cs="Times New Roman"/>
                <w:sz w:val="21"/>
                <w:szCs w:val="21"/>
              </w:rPr>
              <w:br w:type="textWrapping"/>
            </w:r>
            <w:r>
              <w:rPr>
                <w:rFonts w:hint="eastAsia" w:ascii="宋体" w:hAnsi="宋体" w:eastAsia="宋体" w:cs="Times New Roman"/>
                <w:sz w:val="21"/>
                <w:szCs w:val="21"/>
              </w:rPr>
              <w:t>15.支持通过Telnet、TFTP管理、Web管理。</w:t>
            </w:r>
            <w:r>
              <w:rPr>
                <w:rFonts w:hint="eastAsia" w:ascii="宋体" w:hAnsi="宋体" w:eastAsia="宋体" w:cs="Times New Roman"/>
                <w:sz w:val="21"/>
                <w:szCs w:val="21"/>
              </w:rPr>
              <w:br w:type="textWrapping"/>
            </w:r>
            <w:r>
              <w:rPr>
                <w:rFonts w:hint="eastAsia" w:ascii="宋体" w:hAnsi="宋体" w:eastAsia="宋体" w:cs="Times New Roman"/>
                <w:sz w:val="21"/>
                <w:szCs w:val="21"/>
              </w:rPr>
              <w:t>16.为保证兼容性该设备品牌需与本次项目中采购的无线控制器、SDN平台品牌相同。</w:t>
            </w:r>
          </w:p>
        </w:tc>
        <w:tc>
          <w:tcPr>
            <w:tcW w:w="811" w:type="dxa"/>
            <w:vAlign w:val="center"/>
          </w:tcPr>
          <w:p w14:paraId="12E8C626">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181</w:t>
            </w:r>
          </w:p>
        </w:tc>
        <w:tc>
          <w:tcPr>
            <w:tcW w:w="567" w:type="dxa"/>
            <w:vAlign w:val="center"/>
          </w:tcPr>
          <w:p w14:paraId="1B55FC00">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台</w:t>
            </w:r>
          </w:p>
        </w:tc>
        <w:tc>
          <w:tcPr>
            <w:tcW w:w="709" w:type="dxa"/>
            <w:vAlign w:val="center"/>
          </w:tcPr>
          <w:p w14:paraId="0C67DB6E">
            <w:pPr>
              <w:spacing w:after="0" w:line="240" w:lineRule="auto"/>
              <w:rPr>
                <w:rFonts w:ascii="宋体" w:hAnsi="宋体" w:eastAsia="宋体" w:cs="Times New Roman"/>
                <w:sz w:val="21"/>
                <w:szCs w:val="21"/>
              </w:rPr>
            </w:pPr>
            <w:r>
              <w:rPr>
                <w:rFonts w:hint="eastAsia" w:ascii="宋体" w:hAnsi="宋体" w:eastAsia="宋体" w:cs="Times New Roman"/>
                <w:sz w:val="21"/>
                <w:szCs w:val="21"/>
              </w:rPr>
              <w:t>3年</w:t>
            </w:r>
          </w:p>
        </w:tc>
      </w:tr>
      <w:tr w14:paraId="0A2D5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7" w:type="dxa"/>
            <w:shd w:val="clear" w:color="auto" w:fill="auto"/>
            <w:vAlign w:val="center"/>
          </w:tcPr>
          <w:p w14:paraId="215BF6DA">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4</w:t>
            </w:r>
          </w:p>
        </w:tc>
        <w:tc>
          <w:tcPr>
            <w:tcW w:w="1113" w:type="dxa"/>
            <w:shd w:val="clear" w:color="auto" w:fill="auto"/>
            <w:vAlign w:val="center"/>
          </w:tcPr>
          <w:p w14:paraId="792F4A4C">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吸顶AP</w:t>
            </w:r>
          </w:p>
        </w:tc>
        <w:tc>
          <w:tcPr>
            <w:tcW w:w="5431" w:type="dxa"/>
            <w:shd w:val="clear" w:color="auto" w:fill="auto"/>
            <w:vAlign w:val="center"/>
          </w:tcPr>
          <w:p w14:paraId="7E6760D6">
            <w:pPr>
              <w:spacing w:after="0" w:line="240" w:lineRule="auto"/>
              <w:rPr>
                <w:rFonts w:ascii="宋体" w:hAnsi="宋体" w:eastAsia="宋体" w:cs="Times New Roman"/>
                <w:sz w:val="21"/>
                <w:szCs w:val="21"/>
              </w:rPr>
            </w:pPr>
            <w:r>
              <w:rPr>
                <w:rFonts w:hint="eastAsia" w:ascii="宋体" w:hAnsi="宋体" w:eastAsia="宋体" w:cs="Times New Roman"/>
                <w:sz w:val="21"/>
                <w:szCs w:val="21"/>
              </w:rPr>
              <w:t>1.支持802.11ax标准， 采用双射频设计，整机支持6条流，整机最大接入速率≥5.3Gbps，提供官网截图和链接证明。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2.至少1个10/100/1000M以太网接口支持对外供电，可扩展物联网模块，提供官网截图和链接证明。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3.支持1个5G电口和1个5G光口，提供官网截图和链接证明。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4.5GHz 单射频支持4*4 MIMO，且单射频最大接入速率≥4.8Gbps。</w:t>
            </w:r>
            <w:r>
              <w:rPr>
                <w:rFonts w:hint="eastAsia" w:ascii="宋体" w:hAnsi="宋体" w:eastAsia="宋体" w:cs="Times New Roman"/>
                <w:sz w:val="21"/>
                <w:szCs w:val="21"/>
              </w:rPr>
              <w:br w:type="textWrapping"/>
            </w:r>
            <w:r>
              <w:rPr>
                <w:rFonts w:hint="eastAsia" w:ascii="宋体" w:hAnsi="宋体" w:eastAsia="宋体" w:cs="Times New Roman"/>
                <w:sz w:val="21"/>
                <w:szCs w:val="21"/>
              </w:rPr>
              <w:t>5.支持蓝牙 5.1。</w:t>
            </w:r>
            <w:r>
              <w:rPr>
                <w:rFonts w:hint="eastAsia" w:ascii="宋体" w:hAnsi="宋体" w:eastAsia="宋体" w:cs="Times New Roman"/>
                <w:sz w:val="21"/>
                <w:szCs w:val="21"/>
              </w:rPr>
              <w:br w:type="textWrapping"/>
            </w:r>
            <w:r>
              <w:rPr>
                <w:rFonts w:hint="eastAsia" w:ascii="宋体" w:hAnsi="宋体" w:eastAsia="宋体" w:cs="Times New Roman"/>
                <w:sz w:val="21"/>
                <w:szCs w:val="21"/>
              </w:rPr>
              <w:t>6.支持USB 3.0。</w:t>
            </w:r>
            <w:r>
              <w:rPr>
                <w:rFonts w:hint="eastAsia" w:ascii="宋体" w:hAnsi="宋体" w:eastAsia="宋体" w:cs="Times New Roman"/>
                <w:sz w:val="21"/>
                <w:szCs w:val="21"/>
              </w:rPr>
              <w:br w:type="textWrapping"/>
            </w:r>
            <w:r>
              <w:rPr>
                <w:rFonts w:hint="eastAsia" w:ascii="宋体" w:hAnsi="宋体" w:eastAsia="宋体" w:cs="Times New Roman"/>
                <w:sz w:val="21"/>
                <w:szCs w:val="21"/>
              </w:rPr>
              <w:t>7.整机最大功耗≤40W。</w:t>
            </w:r>
            <w:r>
              <w:rPr>
                <w:rFonts w:hint="eastAsia" w:ascii="宋体" w:hAnsi="宋体" w:eastAsia="宋体" w:cs="Times New Roman"/>
                <w:sz w:val="21"/>
                <w:szCs w:val="21"/>
              </w:rPr>
              <w:br w:type="textWrapping"/>
            </w:r>
            <w:r>
              <w:rPr>
                <w:rFonts w:hint="eastAsia" w:ascii="宋体" w:hAnsi="宋体" w:eastAsia="宋体" w:cs="Times New Roman"/>
                <w:sz w:val="21"/>
                <w:szCs w:val="21"/>
              </w:rPr>
              <w:t>8.AP整机最大接入用户数≥1024个。</w:t>
            </w:r>
            <w:r>
              <w:rPr>
                <w:rFonts w:hint="eastAsia" w:ascii="宋体" w:hAnsi="宋体" w:eastAsia="宋体" w:cs="Times New Roman"/>
                <w:sz w:val="21"/>
                <w:szCs w:val="21"/>
              </w:rPr>
              <w:br w:type="textWrapping"/>
            </w:r>
            <w:r>
              <w:rPr>
                <w:rFonts w:hint="eastAsia" w:ascii="宋体" w:hAnsi="宋体" w:eastAsia="宋体" w:cs="Times New Roman"/>
                <w:sz w:val="21"/>
                <w:szCs w:val="21"/>
              </w:rPr>
              <w:t>9.支持SSID隐藏，支持为每个SSID配置单独的认证方式、加密机制，VLAN属性。</w:t>
            </w:r>
            <w:r>
              <w:rPr>
                <w:rFonts w:hint="eastAsia" w:ascii="宋体" w:hAnsi="宋体" w:eastAsia="宋体" w:cs="Times New Roman"/>
                <w:sz w:val="21"/>
                <w:szCs w:val="21"/>
              </w:rPr>
              <w:br w:type="textWrapping"/>
            </w:r>
            <w:r>
              <w:rPr>
                <w:rFonts w:hint="eastAsia" w:ascii="宋体" w:hAnsi="宋体" w:eastAsia="宋体" w:cs="Times New Roman"/>
                <w:sz w:val="21"/>
                <w:szCs w:val="21"/>
              </w:rPr>
              <w:t>10.AP应支持非法AP检测及反制功能，具有非法AP的精确反制和模糊反制功能，能够主动识别非法设备并令非法设备不能使用。</w:t>
            </w:r>
            <w:r>
              <w:rPr>
                <w:rFonts w:hint="eastAsia" w:ascii="宋体" w:hAnsi="宋体" w:eastAsia="宋体" w:cs="Times New Roman"/>
                <w:sz w:val="21"/>
                <w:szCs w:val="21"/>
              </w:rPr>
              <w:br w:type="textWrapping"/>
            </w:r>
            <w:r>
              <w:rPr>
                <w:rFonts w:hint="eastAsia" w:ascii="宋体" w:hAnsi="宋体" w:eastAsia="宋体" w:cs="Times New Roman"/>
                <w:sz w:val="21"/>
                <w:szCs w:val="21"/>
              </w:rPr>
              <w:t>11.支持PSK认证、Web认证、微信认证、二维码访客认证、短信认证、无感知认证等认证方式。</w:t>
            </w:r>
            <w:r>
              <w:rPr>
                <w:rFonts w:hint="eastAsia" w:ascii="宋体" w:hAnsi="宋体" w:eastAsia="宋体" w:cs="Times New Roman"/>
                <w:sz w:val="21"/>
                <w:szCs w:val="21"/>
              </w:rPr>
              <w:br w:type="textWrapping"/>
            </w:r>
            <w:r>
              <w:rPr>
                <w:rFonts w:hint="eastAsia" w:ascii="宋体" w:hAnsi="宋体" w:eastAsia="宋体" w:cs="Times New Roman"/>
                <w:sz w:val="21"/>
                <w:szCs w:val="21"/>
              </w:rPr>
              <w:t>12.数据加密支持WPA（TKIP）、WPA-PSK、WPA2（AES）、WPA3、WEP（64/128位）。</w:t>
            </w:r>
            <w:r>
              <w:rPr>
                <w:rFonts w:hint="eastAsia" w:ascii="宋体" w:hAnsi="宋体" w:eastAsia="宋体" w:cs="Times New Roman"/>
                <w:sz w:val="21"/>
                <w:szCs w:val="21"/>
              </w:rPr>
              <w:br w:type="textWrapping"/>
            </w:r>
            <w:r>
              <w:rPr>
                <w:rFonts w:hint="eastAsia" w:ascii="宋体" w:hAnsi="宋体" w:eastAsia="宋体" w:cs="Times New Roman"/>
                <w:sz w:val="21"/>
                <w:szCs w:val="21"/>
              </w:rPr>
              <w:t>13.支持通过Telnet、TFTP管理、Web管理。</w:t>
            </w:r>
            <w:r>
              <w:rPr>
                <w:rFonts w:hint="eastAsia" w:ascii="宋体" w:hAnsi="宋体" w:eastAsia="宋体" w:cs="Times New Roman"/>
                <w:sz w:val="21"/>
                <w:szCs w:val="21"/>
              </w:rPr>
              <w:br w:type="textWrapping"/>
            </w:r>
            <w:r>
              <w:rPr>
                <w:rFonts w:hint="eastAsia" w:ascii="宋体" w:hAnsi="宋体" w:eastAsia="宋体" w:cs="Times New Roman"/>
                <w:sz w:val="21"/>
                <w:szCs w:val="21"/>
              </w:rPr>
              <w:t>14.为保证兼容性该设备品牌需与本次项目中采购的无线控制器、SDN控制平台品牌相同。</w:t>
            </w:r>
          </w:p>
        </w:tc>
        <w:tc>
          <w:tcPr>
            <w:tcW w:w="811" w:type="dxa"/>
            <w:vAlign w:val="center"/>
          </w:tcPr>
          <w:p w14:paraId="29ACB986">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4</w:t>
            </w:r>
          </w:p>
        </w:tc>
        <w:tc>
          <w:tcPr>
            <w:tcW w:w="567" w:type="dxa"/>
            <w:vAlign w:val="center"/>
          </w:tcPr>
          <w:p w14:paraId="5C7977B8">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台</w:t>
            </w:r>
          </w:p>
        </w:tc>
        <w:tc>
          <w:tcPr>
            <w:tcW w:w="709" w:type="dxa"/>
            <w:vAlign w:val="center"/>
          </w:tcPr>
          <w:p w14:paraId="042A7A92">
            <w:pPr>
              <w:spacing w:after="0" w:line="240" w:lineRule="auto"/>
              <w:rPr>
                <w:rFonts w:ascii="宋体" w:hAnsi="宋体" w:eastAsia="宋体" w:cs="Times New Roman"/>
                <w:sz w:val="21"/>
                <w:szCs w:val="21"/>
              </w:rPr>
            </w:pPr>
            <w:r>
              <w:rPr>
                <w:rFonts w:hint="eastAsia" w:ascii="宋体" w:hAnsi="宋体" w:eastAsia="宋体" w:cs="Times New Roman"/>
                <w:sz w:val="21"/>
                <w:szCs w:val="21"/>
              </w:rPr>
              <w:t>3年</w:t>
            </w:r>
          </w:p>
        </w:tc>
      </w:tr>
      <w:tr w14:paraId="4D148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7" w:type="dxa"/>
            <w:shd w:val="clear" w:color="auto" w:fill="auto"/>
            <w:vAlign w:val="center"/>
          </w:tcPr>
          <w:p w14:paraId="10EEB158">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5</w:t>
            </w:r>
          </w:p>
        </w:tc>
        <w:tc>
          <w:tcPr>
            <w:tcW w:w="1113" w:type="dxa"/>
            <w:shd w:val="clear" w:color="auto" w:fill="auto"/>
            <w:vAlign w:val="center"/>
          </w:tcPr>
          <w:p w14:paraId="5EAC1519">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高密AP</w:t>
            </w:r>
          </w:p>
        </w:tc>
        <w:tc>
          <w:tcPr>
            <w:tcW w:w="5431" w:type="dxa"/>
            <w:shd w:val="clear" w:color="auto" w:fill="auto"/>
            <w:vAlign w:val="center"/>
          </w:tcPr>
          <w:p w14:paraId="4CE76FF8">
            <w:pPr>
              <w:spacing w:after="0" w:line="240" w:lineRule="auto"/>
              <w:rPr>
                <w:rFonts w:ascii="宋体" w:hAnsi="宋体" w:eastAsia="宋体" w:cs="Times New Roman"/>
                <w:sz w:val="21"/>
                <w:szCs w:val="21"/>
              </w:rPr>
            </w:pPr>
            <w:r>
              <w:rPr>
                <w:rFonts w:hint="eastAsia" w:ascii="宋体" w:hAnsi="宋体" w:eastAsia="宋体" w:cs="Times New Roman"/>
                <w:sz w:val="21"/>
                <w:szCs w:val="21"/>
              </w:rPr>
              <w:t>1.支持802.11ax标准，采用三射频设计，提供官网截图和链接证明。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2.支持三张射频卡同时工作在5G频段，提供官网截图和链接证明。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3.整机空间流≥6条。提供官网截图和链接证明。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4.整机最大接入速率≥3.2Gbps。提供官网截图和链接证明。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5.至少支持2个以太网口，其中1个10/100/1000M/2.5GE电口，另一个1个10/100/1000M电口。提供官网截图和链接证明。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6.至少支持1个10/100/1000M以太网端口对外供电，扩展物联网模块，提供官网截图和链接证明。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7.支持蓝牙5.0（内置）。</w:t>
            </w:r>
            <w:r>
              <w:rPr>
                <w:rFonts w:hint="eastAsia" w:ascii="宋体" w:hAnsi="宋体" w:eastAsia="宋体" w:cs="Times New Roman"/>
                <w:sz w:val="21"/>
                <w:szCs w:val="21"/>
              </w:rPr>
              <w:br w:type="textWrapping"/>
            </w:r>
            <w:r>
              <w:rPr>
                <w:rFonts w:hint="eastAsia" w:ascii="宋体" w:hAnsi="宋体" w:eastAsia="宋体" w:cs="Times New Roman"/>
                <w:sz w:val="21"/>
                <w:szCs w:val="21"/>
              </w:rPr>
              <w:t>8.室内无线接入点符合国标GB/T 20138-2006即《电器设备外壳对外界机械碰撞的防护等级（IK代码）》标准，至少达到防护等级IK08，提供第三方权威测试报告复印件，及第三方权威机构官方查询结果截图（需体现设备防护等级）和查询链接。</w:t>
            </w:r>
            <w:r>
              <w:rPr>
                <w:rFonts w:hint="eastAsia" w:ascii="宋体" w:hAnsi="宋体" w:eastAsia="宋体" w:cs="Times New Roman"/>
                <w:sz w:val="21"/>
                <w:szCs w:val="21"/>
              </w:rPr>
              <w:br w:type="textWrapping"/>
            </w:r>
            <w:r>
              <w:rPr>
                <w:rFonts w:hint="eastAsia" w:ascii="宋体" w:hAnsi="宋体" w:eastAsia="宋体" w:cs="Times New Roman"/>
                <w:sz w:val="21"/>
                <w:szCs w:val="21"/>
              </w:rPr>
              <w:t>9.无线接入点符合国标GB/T 4208-2017即《外壳防护等级（IP代码）》，至少达到防护等级IP51，提供具有第三方权威机构出具的检测报告复印件。</w:t>
            </w:r>
            <w:r>
              <w:rPr>
                <w:rFonts w:hint="eastAsia" w:ascii="宋体" w:hAnsi="宋体" w:eastAsia="宋体" w:cs="Times New Roman"/>
                <w:sz w:val="21"/>
                <w:szCs w:val="21"/>
              </w:rPr>
              <w:br w:type="textWrapping"/>
            </w:r>
            <w:r>
              <w:rPr>
                <w:rFonts w:hint="eastAsia" w:ascii="宋体" w:hAnsi="宋体" w:eastAsia="宋体" w:cs="Times New Roman"/>
                <w:sz w:val="21"/>
                <w:szCs w:val="21"/>
              </w:rPr>
              <w:t>10.设备应支持实现AP虚拟化功能，实现一台AP虚拟为多台AP，分别受不同AC设备独立管理，互不影响。不同虚拟AP之间数据隔离，虚拟AP在AC上不占用AP License。</w:t>
            </w:r>
            <w:r>
              <w:rPr>
                <w:rFonts w:hint="eastAsia" w:ascii="宋体" w:hAnsi="宋体" w:eastAsia="宋体" w:cs="Times New Roman"/>
                <w:sz w:val="21"/>
                <w:szCs w:val="21"/>
              </w:rPr>
              <w:br w:type="textWrapping"/>
            </w:r>
            <w:r>
              <w:rPr>
                <w:rFonts w:hint="eastAsia" w:ascii="宋体" w:hAnsi="宋体" w:eastAsia="宋体" w:cs="Times New Roman"/>
                <w:sz w:val="21"/>
                <w:szCs w:val="21"/>
              </w:rPr>
              <w:t>11.整机最大接入用户数≥1536。提供官网截图和链接证明。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12.至少支持一个全尺寸USB接口。</w:t>
            </w:r>
            <w:r>
              <w:rPr>
                <w:rFonts w:hint="eastAsia" w:ascii="宋体" w:hAnsi="宋体" w:eastAsia="宋体" w:cs="Times New Roman"/>
                <w:sz w:val="21"/>
                <w:szCs w:val="21"/>
              </w:rPr>
              <w:br w:type="textWrapping"/>
            </w:r>
            <w:r>
              <w:rPr>
                <w:rFonts w:hint="eastAsia" w:ascii="宋体" w:hAnsi="宋体" w:eastAsia="宋体" w:cs="Times New Roman"/>
                <w:sz w:val="21"/>
                <w:szCs w:val="21"/>
              </w:rPr>
              <w:t>13.支持Fat/Fit模式切换。当工作在Fit（瘦）模式时，可通过AC系列无线控制器切换为Fat模式；当工作在Fat（胖）模式时，可通过本地控制口、Telnet方式切换为Fit模式。</w:t>
            </w:r>
            <w:r>
              <w:rPr>
                <w:rFonts w:hint="eastAsia" w:ascii="宋体" w:hAnsi="宋体" w:eastAsia="宋体" w:cs="Times New Roman"/>
                <w:sz w:val="21"/>
                <w:szCs w:val="21"/>
              </w:rPr>
              <w:br w:type="textWrapping"/>
            </w:r>
            <w:r>
              <w:rPr>
                <w:rFonts w:hint="eastAsia" w:ascii="宋体" w:hAnsi="宋体" w:eastAsia="宋体" w:cs="Times New Roman"/>
                <w:sz w:val="21"/>
                <w:szCs w:val="21"/>
              </w:rPr>
              <w:t>14.为保证无线网络安全，支持PSK认证、Web认证、微信认证、二维码访客认证、短信认证、无感知认证等认证方式；支持WEP（64/128位）、WPA（TKIP）、WPA-PSK、WPA2（AES）等数据加密方式。</w:t>
            </w:r>
            <w:r>
              <w:rPr>
                <w:rFonts w:hint="eastAsia" w:ascii="宋体" w:hAnsi="宋体" w:eastAsia="宋体" w:cs="Times New Roman"/>
                <w:sz w:val="21"/>
                <w:szCs w:val="21"/>
              </w:rPr>
              <w:br w:type="textWrapping"/>
            </w:r>
            <w:r>
              <w:rPr>
                <w:rFonts w:hint="eastAsia" w:ascii="宋体" w:hAnsi="宋体" w:eastAsia="宋体" w:cs="Times New Roman"/>
                <w:sz w:val="21"/>
                <w:szCs w:val="21"/>
              </w:rPr>
              <w:t>15.为保证兼容性该设备品牌需与本次项目中采购的无线控制器、SDN平台品牌相同。</w:t>
            </w:r>
          </w:p>
        </w:tc>
        <w:tc>
          <w:tcPr>
            <w:tcW w:w="811" w:type="dxa"/>
            <w:vAlign w:val="center"/>
          </w:tcPr>
          <w:p w14:paraId="41F085E4">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15</w:t>
            </w:r>
          </w:p>
        </w:tc>
        <w:tc>
          <w:tcPr>
            <w:tcW w:w="567" w:type="dxa"/>
            <w:vAlign w:val="center"/>
          </w:tcPr>
          <w:p w14:paraId="27F78862">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台</w:t>
            </w:r>
          </w:p>
        </w:tc>
        <w:tc>
          <w:tcPr>
            <w:tcW w:w="709" w:type="dxa"/>
            <w:vAlign w:val="center"/>
          </w:tcPr>
          <w:p w14:paraId="29E726A5">
            <w:pPr>
              <w:spacing w:after="0" w:line="240" w:lineRule="auto"/>
              <w:rPr>
                <w:rFonts w:ascii="宋体" w:hAnsi="宋体" w:eastAsia="宋体" w:cs="Times New Roman"/>
                <w:sz w:val="21"/>
                <w:szCs w:val="21"/>
              </w:rPr>
            </w:pPr>
            <w:r>
              <w:rPr>
                <w:rFonts w:hint="eastAsia" w:ascii="宋体" w:hAnsi="宋体" w:eastAsia="宋体" w:cs="Times New Roman"/>
                <w:sz w:val="21"/>
                <w:szCs w:val="21"/>
              </w:rPr>
              <w:t>3年</w:t>
            </w:r>
          </w:p>
        </w:tc>
      </w:tr>
      <w:tr w14:paraId="6117C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7" w:type="dxa"/>
            <w:shd w:val="clear" w:color="auto" w:fill="auto"/>
            <w:vAlign w:val="center"/>
          </w:tcPr>
          <w:p w14:paraId="157CFAAA">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6</w:t>
            </w:r>
          </w:p>
        </w:tc>
        <w:tc>
          <w:tcPr>
            <w:tcW w:w="1113" w:type="dxa"/>
            <w:shd w:val="clear" w:color="auto" w:fill="auto"/>
            <w:vAlign w:val="center"/>
          </w:tcPr>
          <w:p w14:paraId="6952CA3D">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16口静音交换机</w:t>
            </w:r>
          </w:p>
        </w:tc>
        <w:tc>
          <w:tcPr>
            <w:tcW w:w="5431" w:type="dxa"/>
            <w:shd w:val="clear" w:color="auto" w:fill="auto"/>
            <w:vAlign w:val="center"/>
          </w:tcPr>
          <w:p w14:paraId="4CC28F1F">
            <w:pPr>
              <w:spacing w:after="0" w:line="240" w:lineRule="auto"/>
              <w:rPr>
                <w:rFonts w:ascii="宋体" w:hAnsi="宋体" w:eastAsia="宋体" w:cs="Times New Roman"/>
                <w:sz w:val="21"/>
                <w:szCs w:val="21"/>
              </w:rPr>
            </w:pPr>
            <w:r>
              <w:rPr>
                <w:rFonts w:hint="eastAsia" w:ascii="宋体" w:hAnsi="宋体" w:eastAsia="宋体" w:cs="Times New Roman"/>
                <w:sz w:val="21"/>
                <w:szCs w:val="21"/>
              </w:rPr>
              <w:t>1.固化10/100/1000M以太网电口≥16个，1G/2.5G/5G以太网电口≥2个，1G/10G SFP+光接口≥2个</w:t>
            </w:r>
            <w:r>
              <w:rPr>
                <w:rFonts w:hint="eastAsia" w:ascii="宋体" w:hAnsi="宋体" w:eastAsia="宋体" w:cs="Times New Roman"/>
                <w:sz w:val="21"/>
                <w:szCs w:val="21"/>
              </w:rPr>
              <w:br w:type="textWrapping"/>
            </w:r>
            <w:r>
              <w:rPr>
                <w:rFonts w:hint="eastAsia" w:ascii="宋体" w:hAnsi="宋体" w:eastAsia="宋体" w:cs="Times New Roman"/>
                <w:sz w:val="21"/>
                <w:szCs w:val="21"/>
              </w:rPr>
              <w:t>2.交换容量≥430Gbps，包转发率≥90Mpps</w:t>
            </w:r>
            <w:r>
              <w:rPr>
                <w:rFonts w:hint="eastAsia" w:ascii="宋体" w:hAnsi="宋体" w:eastAsia="宋体" w:cs="Times New Roman"/>
                <w:sz w:val="21"/>
                <w:szCs w:val="21"/>
              </w:rPr>
              <w:br w:type="textWrapping"/>
            </w:r>
            <w:r>
              <w:rPr>
                <w:rFonts w:hint="eastAsia" w:ascii="宋体" w:hAnsi="宋体" w:eastAsia="宋体" w:cs="Times New Roman"/>
                <w:sz w:val="21"/>
                <w:szCs w:val="21"/>
              </w:rPr>
              <w:t>3.交换机IK防护测试级别至少达到IK05，提供国家认可的检测机构出具的IK防护等级测试报告以及检测机构官网查询截图需加盖供应商厂商公章</w:t>
            </w:r>
            <w:r>
              <w:rPr>
                <w:rFonts w:hint="eastAsia" w:ascii="宋体" w:hAnsi="宋体" w:eastAsia="宋体" w:cs="Times New Roman"/>
                <w:sz w:val="21"/>
                <w:szCs w:val="21"/>
              </w:rPr>
              <w:br w:type="textWrapping"/>
            </w:r>
            <w:r>
              <w:rPr>
                <w:rFonts w:hint="eastAsia" w:ascii="宋体" w:hAnsi="宋体" w:eastAsia="宋体" w:cs="Times New Roman"/>
                <w:sz w:val="21"/>
                <w:szCs w:val="21"/>
              </w:rPr>
              <w:t>4.设备入室部署采用静音设计，噪声值＜20.5dB</w:t>
            </w:r>
            <w:r>
              <w:rPr>
                <w:rFonts w:hint="eastAsia" w:ascii="宋体" w:hAnsi="宋体" w:eastAsia="宋体" w:cs="Times New Roman"/>
                <w:sz w:val="21"/>
                <w:szCs w:val="21"/>
              </w:rPr>
              <w:br w:type="textWrapping"/>
            </w:r>
            <w:r>
              <w:rPr>
                <w:rFonts w:hint="eastAsia" w:ascii="宋体" w:hAnsi="宋体" w:eastAsia="宋体" w:cs="Times New Roman"/>
                <w:sz w:val="21"/>
                <w:szCs w:val="21"/>
              </w:rPr>
              <w:t>5.采用金属外壳和金属网口设计，提供官网截图。</w:t>
            </w:r>
            <w:r>
              <w:rPr>
                <w:rFonts w:hint="eastAsia" w:ascii="宋体" w:hAnsi="宋体" w:eastAsia="宋体" w:cs="Times New Roman"/>
                <w:sz w:val="21"/>
                <w:szCs w:val="21"/>
              </w:rPr>
              <w:br w:type="textWrapping"/>
            </w:r>
            <w:r>
              <w:rPr>
                <w:rFonts w:hint="eastAsia" w:ascii="宋体" w:hAnsi="宋体" w:eastAsia="宋体" w:cs="Times New Roman"/>
                <w:sz w:val="21"/>
                <w:szCs w:val="21"/>
              </w:rPr>
              <w:t>6.设备端口浪涌抗扰度≥8KV，提供官网截图。</w:t>
            </w:r>
            <w:r>
              <w:rPr>
                <w:rFonts w:hint="eastAsia" w:ascii="宋体" w:hAnsi="宋体" w:eastAsia="宋体" w:cs="Times New Roman"/>
                <w:sz w:val="21"/>
                <w:szCs w:val="21"/>
              </w:rPr>
              <w:br w:type="textWrapping"/>
            </w:r>
            <w:r>
              <w:rPr>
                <w:rFonts w:hint="eastAsia" w:ascii="宋体" w:hAnsi="宋体" w:eastAsia="宋体" w:cs="Times New Roman"/>
                <w:sz w:val="21"/>
                <w:szCs w:val="21"/>
              </w:rPr>
              <w:t>7.支持IPv4和IPv6的静态路由、RIP/RIPng、OSPFv2/OSPFv3等三层路由协议。</w:t>
            </w:r>
            <w:r>
              <w:rPr>
                <w:rFonts w:hint="eastAsia" w:ascii="宋体" w:hAnsi="宋体" w:eastAsia="宋体" w:cs="Times New Roman"/>
                <w:sz w:val="21"/>
                <w:szCs w:val="21"/>
              </w:rPr>
              <w:br w:type="textWrapping"/>
            </w:r>
            <w:r>
              <w:rPr>
                <w:rFonts w:hint="eastAsia" w:ascii="宋体" w:hAnsi="宋体" w:eastAsia="宋体" w:cs="Times New Roman"/>
                <w:sz w:val="21"/>
                <w:szCs w:val="21"/>
              </w:rPr>
              <w:t>8.支持能够针对发往CPU处理的各种报文进行流区分和优先级队列分级处理，保护交换机在各种环境下稳定工作。</w:t>
            </w:r>
            <w:r>
              <w:rPr>
                <w:rFonts w:hint="eastAsia" w:ascii="宋体" w:hAnsi="宋体" w:eastAsia="宋体" w:cs="Times New Roman"/>
                <w:sz w:val="21"/>
                <w:szCs w:val="21"/>
              </w:rPr>
              <w:br w:type="textWrapping"/>
            </w:r>
            <w:r>
              <w:rPr>
                <w:rFonts w:hint="eastAsia" w:ascii="宋体" w:hAnsi="宋体" w:eastAsia="宋体" w:cs="Times New Roman"/>
                <w:sz w:val="21"/>
                <w:szCs w:val="21"/>
              </w:rPr>
              <w:t>9.支持IEEE 802.3az标准的EEE节能技术，提供官网截图。</w:t>
            </w:r>
            <w:r>
              <w:rPr>
                <w:rFonts w:hint="eastAsia" w:ascii="宋体" w:hAnsi="宋体" w:eastAsia="宋体" w:cs="Times New Roman"/>
                <w:sz w:val="21"/>
                <w:szCs w:val="21"/>
              </w:rPr>
              <w:br w:type="textWrapping"/>
            </w:r>
            <w:r>
              <w:rPr>
                <w:rFonts w:hint="eastAsia" w:ascii="宋体" w:hAnsi="宋体" w:eastAsia="宋体" w:cs="Times New Roman"/>
                <w:sz w:val="21"/>
                <w:szCs w:val="21"/>
              </w:rPr>
              <w:t>10.设备支持零配置上线：可依照不同区域的业务创建相应业务模板后，绑定设备区域位置信息，设备上电后无需在接入设备端刷入配置、即可自动从软件下发，提供第三方权威机构检验报告证明。</w:t>
            </w:r>
            <w:r>
              <w:rPr>
                <w:rFonts w:hint="eastAsia" w:ascii="宋体" w:hAnsi="宋体" w:eastAsia="宋体" w:cs="Times New Roman"/>
                <w:sz w:val="21"/>
                <w:szCs w:val="21"/>
              </w:rPr>
              <w:br w:type="textWrapping"/>
            </w:r>
            <w:r>
              <w:rPr>
                <w:rFonts w:hint="eastAsia" w:ascii="宋体" w:hAnsi="宋体" w:eastAsia="宋体" w:cs="Times New Roman"/>
                <w:sz w:val="21"/>
                <w:szCs w:val="21"/>
              </w:rPr>
              <w:t>11.支持通过excel批量导入、基于楼栋交换机端口2种方式绑定设备区域位置管理资产信息，提供资产登记和网络规划方案，提供第三方权威机构检验报告证明。</w:t>
            </w:r>
            <w:r>
              <w:rPr>
                <w:rFonts w:hint="eastAsia" w:ascii="宋体" w:hAnsi="宋体" w:eastAsia="宋体" w:cs="Times New Roman"/>
                <w:sz w:val="21"/>
                <w:szCs w:val="21"/>
              </w:rPr>
              <w:br w:type="textWrapping"/>
            </w:r>
            <w:r>
              <w:rPr>
                <w:rFonts w:hint="eastAsia" w:ascii="宋体" w:hAnsi="宋体" w:eastAsia="宋体" w:cs="Times New Roman"/>
                <w:sz w:val="21"/>
                <w:szCs w:val="21"/>
              </w:rPr>
              <w:t>12.支持创建交换机的业务模板，支持图形化界面提前规划各端口业务，提供第三方权威机构检验报告证明。</w:t>
            </w:r>
            <w:r>
              <w:rPr>
                <w:rFonts w:hint="eastAsia" w:ascii="宋体" w:hAnsi="宋体" w:eastAsia="宋体" w:cs="Times New Roman"/>
                <w:sz w:val="21"/>
                <w:szCs w:val="21"/>
              </w:rPr>
              <w:br w:type="textWrapping"/>
            </w:r>
            <w:r>
              <w:rPr>
                <w:rFonts w:hint="eastAsia" w:ascii="宋体" w:hAnsi="宋体" w:eastAsia="宋体" w:cs="Times New Roman"/>
                <w:sz w:val="21"/>
                <w:szCs w:val="21"/>
              </w:rPr>
              <w:t>13.设备若出现故障，替换用的新设备支持智能零替换，支持自适应不同型号间的设备替换以及替换后新设备支持终端在任意端口接入，原有端口配置可自动跟随到新设备端口，提供第三方权威机构检验报告证明。</w:t>
            </w:r>
            <w:r>
              <w:rPr>
                <w:rFonts w:hint="eastAsia" w:ascii="宋体" w:hAnsi="宋体" w:eastAsia="宋体" w:cs="Times New Roman"/>
                <w:sz w:val="21"/>
                <w:szCs w:val="21"/>
              </w:rPr>
              <w:br w:type="textWrapping"/>
            </w:r>
            <w:r>
              <w:rPr>
                <w:rFonts w:hint="eastAsia" w:ascii="宋体" w:hAnsi="宋体" w:eastAsia="宋体" w:cs="Times New Roman"/>
                <w:sz w:val="21"/>
                <w:szCs w:val="21"/>
              </w:rPr>
              <w:t>14.设备上行链路发生断开而无法被管理时，通过手持手机扫码就可以拉取链路全部信息，无需人工逐个故障点做排查，快速定位是光模块还是光纤通信异常、给出故障诊断及处理意见。</w:t>
            </w:r>
            <w:r>
              <w:rPr>
                <w:rFonts w:hint="eastAsia" w:ascii="宋体" w:hAnsi="宋体" w:eastAsia="宋体" w:cs="Times New Roman"/>
                <w:sz w:val="21"/>
                <w:szCs w:val="21"/>
              </w:rPr>
              <w:br w:type="textWrapping"/>
            </w:r>
            <w:r>
              <w:rPr>
                <w:rFonts w:hint="eastAsia" w:ascii="宋体" w:hAnsi="宋体" w:eastAsia="宋体" w:cs="Times New Roman"/>
                <w:sz w:val="21"/>
                <w:szCs w:val="21"/>
              </w:rPr>
              <w:t>15.可被本项目中采购的SDN平台控制(需提供原厂承诺函)，为保证兼容性该设备品牌需与本次项目中采购的SDN平台品牌相同。</w:t>
            </w:r>
          </w:p>
        </w:tc>
        <w:tc>
          <w:tcPr>
            <w:tcW w:w="811" w:type="dxa"/>
            <w:vAlign w:val="center"/>
          </w:tcPr>
          <w:p w14:paraId="78B50046">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89</w:t>
            </w:r>
          </w:p>
        </w:tc>
        <w:tc>
          <w:tcPr>
            <w:tcW w:w="567" w:type="dxa"/>
            <w:vAlign w:val="center"/>
          </w:tcPr>
          <w:p w14:paraId="182BE8BC">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台</w:t>
            </w:r>
          </w:p>
        </w:tc>
        <w:tc>
          <w:tcPr>
            <w:tcW w:w="709" w:type="dxa"/>
            <w:vAlign w:val="center"/>
          </w:tcPr>
          <w:p w14:paraId="57215571">
            <w:pPr>
              <w:spacing w:after="0" w:line="240" w:lineRule="auto"/>
              <w:rPr>
                <w:rFonts w:ascii="宋体" w:hAnsi="宋体" w:eastAsia="宋体" w:cs="Times New Roman"/>
                <w:sz w:val="21"/>
                <w:szCs w:val="21"/>
              </w:rPr>
            </w:pPr>
            <w:r>
              <w:rPr>
                <w:rFonts w:hint="eastAsia" w:ascii="宋体" w:hAnsi="宋体" w:eastAsia="宋体" w:cs="Times New Roman"/>
                <w:sz w:val="21"/>
                <w:szCs w:val="21"/>
              </w:rPr>
              <w:t>3年</w:t>
            </w:r>
          </w:p>
        </w:tc>
      </w:tr>
      <w:tr w14:paraId="0F44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7" w:type="dxa"/>
            <w:shd w:val="clear" w:color="auto" w:fill="auto"/>
            <w:vAlign w:val="center"/>
          </w:tcPr>
          <w:p w14:paraId="4773F85E">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7</w:t>
            </w:r>
          </w:p>
        </w:tc>
        <w:tc>
          <w:tcPr>
            <w:tcW w:w="1113" w:type="dxa"/>
            <w:shd w:val="clear" w:color="auto" w:fill="auto"/>
            <w:vAlign w:val="center"/>
          </w:tcPr>
          <w:p w14:paraId="45E870B9">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24口POE交换机</w:t>
            </w:r>
          </w:p>
        </w:tc>
        <w:tc>
          <w:tcPr>
            <w:tcW w:w="5431" w:type="dxa"/>
            <w:shd w:val="clear" w:color="auto" w:fill="auto"/>
            <w:vAlign w:val="center"/>
          </w:tcPr>
          <w:p w14:paraId="217C7DD3">
            <w:pPr>
              <w:spacing w:after="0" w:line="240" w:lineRule="auto"/>
              <w:rPr>
                <w:rFonts w:ascii="宋体" w:hAnsi="宋体" w:eastAsia="宋体" w:cs="Times New Roman"/>
                <w:sz w:val="21"/>
                <w:szCs w:val="21"/>
              </w:rPr>
            </w:pPr>
            <w:r>
              <w:rPr>
                <w:rFonts w:hint="eastAsia" w:ascii="宋体" w:hAnsi="宋体" w:eastAsia="宋体" w:cs="Times New Roman"/>
                <w:sz w:val="21"/>
                <w:szCs w:val="21"/>
              </w:rPr>
              <w:t>1.设备固化10/100/1000M以太网端口≥24个，固化10G/1G SFP+光接口≥4个。</w:t>
            </w:r>
            <w:r>
              <w:rPr>
                <w:rFonts w:hint="eastAsia" w:ascii="宋体" w:hAnsi="宋体" w:eastAsia="宋体" w:cs="Times New Roman"/>
                <w:sz w:val="21"/>
                <w:szCs w:val="21"/>
              </w:rPr>
              <w:br w:type="textWrapping"/>
            </w:r>
            <w:r>
              <w:rPr>
                <w:rFonts w:hint="eastAsia" w:ascii="宋体" w:hAnsi="宋体" w:eastAsia="宋体" w:cs="Times New Roman"/>
                <w:sz w:val="21"/>
                <w:szCs w:val="21"/>
              </w:rPr>
              <w:t>2.交换容量≥333G。</w:t>
            </w:r>
            <w:r>
              <w:rPr>
                <w:rFonts w:hint="eastAsia" w:ascii="宋体" w:hAnsi="宋体" w:eastAsia="宋体" w:cs="Times New Roman"/>
                <w:sz w:val="21"/>
                <w:szCs w:val="21"/>
              </w:rPr>
              <w:br w:type="textWrapping"/>
            </w:r>
            <w:r>
              <w:rPr>
                <w:rFonts w:hint="eastAsia" w:ascii="宋体" w:hAnsi="宋体" w:eastAsia="宋体" w:cs="Times New Roman"/>
                <w:sz w:val="21"/>
                <w:szCs w:val="21"/>
              </w:rPr>
              <w:t>3.包转发率≥105Mpps。</w:t>
            </w:r>
            <w:r>
              <w:rPr>
                <w:rFonts w:hint="eastAsia" w:ascii="宋体" w:hAnsi="宋体" w:eastAsia="宋体" w:cs="Times New Roman"/>
                <w:sz w:val="21"/>
                <w:szCs w:val="21"/>
              </w:rPr>
              <w:br w:type="textWrapping"/>
            </w:r>
            <w:r>
              <w:rPr>
                <w:rFonts w:hint="eastAsia" w:ascii="宋体" w:hAnsi="宋体" w:eastAsia="宋体" w:cs="Times New Roman"/>
                <w:sz w:val="21"/>
                <w:szCs w:val="21"/>
              </w:rPr>
              <w:t>4.支持风扇调速及风扇故障告警功能，支持温度告警功能</w:t>
            </w:r>
            <w:r>
              <w:rPr>
                <w:rFonts w:hint="eastAsia" w:ascii="宋体" w:hAnsi="宋体" w:eastAsia="宋体" w:cs="Times New Roman"/>
                <w:sz w:val="21"/>
                <w:szCs w:val="21"/>
              </w:rPr>
              <w:br w:type="textWrapping"/>
            </w:r>
            <w:r>
              <w:rPr>
                <w:rFonts w:hint="eastAsia" w:ascii="宋体" w:hAnsi="宋体" w:eastAsia="宋体" w:cs="Times New Roman"/>
                <w:sz w:val="21"/>
                <w:szCs w:val="21"/>
              </w:rPr>
              <w:t>5.端口如果在连续一段时间之内空闲，系统会将该端口设置为节能模式，当有报文收发时再通过定时发送的监听码流唤醒端口恢复业务。</w:t>
            </w:r>
            <w:r>
              <w:rPr>
                <w:rFonts w:hint="eastAsia" w:ascii="宋体" w:hAnsi="宋体" w:eastAsia="宋体" w:cs="Times New Roman"/>
                <w:sz w:val="21"/>
                <w:szCs w:val="21"/>
              </w:rPr>
              <w:br w:type="textWrapping"/>
            </w:r>
            <w:r>
              <w:rPr>
                <w:rFonts w:hint="eastAsia" w:ascii="宋体" w:hAnsi="宋体" w:eastAsia="宋体" w:cs="Times New Roman"/>
                <w:sz w:val="21"/>
                <w:szCs w:val="21"/>
              </w:rPr>
              <w:t>6.支持生成树协议STP(IEEE 802.1d)，RSTP(IEEE 802.1w)和MSTP(IEEE 802.1s)，完全保证快速收敛，提高容错能力，保证网络的稳定运行和链路的负载均衡，合理使用网络通道，提供冗余链路利用率。</w:t>
            </w:r>
            <w:r>
              <w:rPr>
                <w:rFonts w:hint="eastAsia" w:ascii="宋体" w:hAnsi="宋体" w:eastAsia="宋体" w:cs="Times New Roman"/>
                <w:sz w:val="21"/>
                <w:szCs w:val="21"/>
              </w:rPr>
              <w:br w:type="textWrapping"/>
            </w:r>
            <w:r>
              <w:rPr>
                <w:rFonts w:hint="eastAsia" w:ascii="宋体" w:hAnsi="宋体" w:eastAsia="宋体" w:cs="Times New Roman"/>
                <w:sz w:val="21"/>
                <w:szCs w:val="21"/>
              </w:rPr>
              <w:t>7.配合云管平台支持基于网关的网络拓扑自动发现，且可以用图形化形式呈现；支持基于云的工具箱功能（配置下发、配置备份、配置恢复、命令调试、访问eWeb、访问Telnet、访问SSH、重启、设备升级）；</w:t>
            </w:r>
            <w:r>
              <w:rPr>
                <w:rFonts w:hint="eastAsia" w:ascii="宋体" w:hAnsi="宋体" w:eastAsia="宋体" w:cs="Times New Roman"/>
                <w:sz w:val="21"/>
                <w:szCs w:val="21"/>
              </w:rPr>
              <w:br w:type="textWrapping"/>
            </w:r>
            <w:r>
              <w:rPr>
                <w:rFonts w:hint="eastAsia" w:ascii="宋体" w:hAnsi="宋体" w:eastAsia="宋体" w:cs="Times New Roman"/>
                <w:sz w:val="21"/>
                <w:szCs w:val="21"/>
              </w:rPr>
              <w:t>8.配合云管平台，告警可以通过微信公众号，邮件；微信，企业钉钉发送提醒</w:t>
            </w:r>
            <w:r>
              <w:rPr>
                <w:rFonts w:hint="eastAsia" w:ascii="宋体" w:hAnsi="宋体" w:eastAsia="宋体" w:cs="Times New Roman"/>
                <w:sz w:val="21"/>
                <w:szCs w:val="21"/>
              </w:rPr>
              <w:br w:type="textWrapping"/>
            </w:r>
            <w:r>
              <w:rPr>
                <w:rFonts w:hint="eastAsia" w:ascii="宋体" w:hAnsi="宋体" w:eastAsia="宋体" w:cs="Times New Roman"/>
                <w:sz w:val="21"/>
                <w:szCs w:val="21"/>
              </w:rPr>
              <w:t>9.支持N:1虚拟化功能，可将多台物理设备虚拟化为一台逻辑设备统一管理，简化管理；提供官网截图和链接证明。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10.支持IPV4/IPV6静态路由。</w:t>
            </w:r>
            <w:r>
              <w:rPr>
                <w:rFonts w:hint="eastAsia" w:ascii="宋体" w:hAnsi="宋体" w:eastAsia="宋体" w:cs="Times New Roman"/>
                <w:sz w:val="21"/>
                <w:szCs w:val="21"/>
              </w:rPr>
              <w:br w:type="textWrapping"/>
            </w:r>
            <w:r>
              <w:rPr>
                <w:rFonts w:hint="eastAsia" w:ascii="宋体" w:hAnsi="宋体" w:eastAsia="宋体" w:cs="Times New Roman"/>
                <w:sz w:val="21"/>
                <w:szCs w:val="21"/>
              </w:rPr>
              <w:t>11.支持对发往CPU的数据流，进行流区分和优先级队列分级处理、根据需要实施带宽限速，充分保护CPU不被攻击和消耗。</w:t>
            </w:r>
            <w:r>
              <w:rPr>
                <w:rFonts w:hint="eastAsia" w:ascii="宋体" w:hAnsi="宋体" w:eastAsia="宋体" w:cs="Times New Roman"/>
                <w:sz w:val="21"/>
                <w:szCs w:val="21"/>
              </w:rPr>
              <w:br w:type="textWrapping"/>
            </w:r>
            <w:r>
              <w:rPr>
                <w:rFonts w:hint="eastAsia" w:ascii="宋体" w:hAnsi="宋体" w:eastAsia="宋体" w:cs="Times New Roman"/>
                <w:sz w:val="21"/>
                <w:szCs w:val="21"/>
              </w:rPr>
              <w:t>12.支持基础网络保护策略，限制用户向网络中发送ARP报文、ICMP请求报文、DHCP请求报文的数率，对超过限速阈值的报文进行丢弃处理，能够识别攻击行为，对有攻击行为的用户进行隔离。</w:t>
            </w:r>
            <w:r>
              <w:rPr>
                <w:rFonts w:hint="eastAsia" w:ascii="宋体" w:hAnsi="宋体" w:eastAsia="宋体" w:cs="Times New Roman"/>
                <w:sz w:val="21"/>
                <w:szCs w:val="21"/>
              </w:rPr>
              <w:br w:type="textWrapping"/>
            </w:r>
            <w:r>
              <w:rPr>
                <w:rFonts w:hint="eastAsia" w:ascii="宋体" w:hAnsi="宋体" w:eastAsia="宋体" w:cs="Times New Roman"/>
                <w:sz w:val="21"/>
                <w:szCs w:val="21"/>
              </w:rPr>
              <w:t>13.支持快速链路检测，实现快速检测链路的通断和光纤链路的单向性、且支持端口下的环路检测功能，防止端口下因私接Hub等设备形成的环路而导致网络故障的现象。</w:t>
            </w:r>
            <w:r>
              <w:rPr>
                <w:rFonts w:hint="eastAsia" w:ascii="宋体" w:hAnsi="宋体" w:eastAsia="宋体" w:cs="Times New Roman"/>
                <w:sz w:val="21"/>
                <w:szCs w:val="21"/>
              </w:rPr>
              <w:br w:type="textWrapping"/>
            </w:r>
            <w:r>
              <w:rPr>
                <w:rFonts w:hint="eastAsia" w:ascii="宋体" w:hAnsi="宋体" w:eastAsia="宋体" w:cs="Times New Roman"/>
                <w:sz w:val="21"/>
                <w:szCs w:val="21"/>
              </w:rPr>
              <w:t>14.可被本项目中采购的SDN平台控制(需提供原厂承诺函)，为保证兼容性该设备品牌需与本次项目中采购的SDN平台品牌相同。</w:t>
            </w:r>
          </w:p>
        </w:tc>
        <w:tc>
          <w:tcPr>
            <w:tcW w:w="811" w:type="dxa"/>
            <w:vAlign w:val="center"/>
          </w:tcPr>
          <w:p w14:paraId="59B4360B">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70</w:t>
            </w:r>
          </w:p>
        </w:tc>
        <w:tc>
          <w:tcPr>
            <w:tcW w:w="567" w:type="dxa"/>
            <w:vAlign w:val="center"/>
          </w:tcPr>
          <w:p w14:paraId="4DA90378">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台</w:t>
            </w:r>
          </w:p>
        </w:tc>
        <w:tc>
          <w:tcPr>
            <w:tcW w:w="709" w:type="dxa"/>
            <w:vAlign w:val="center"/>
          </w:tcPr>
          <w:p w14:paraId="42984A6B">
            <w:pPr>
              <w:spacing w:after="0" w:line="240" w:lineRule="auto"/>
              <w:rPr>
                <w:rFonts w:ascii="宋体" w:hAnsi="宋体" w:eastAsia="宋体" w:cs="Times New Roman"/>
                <w:sz w:val="21"/>
                <w:szCs w:val="21"/>
              </w:rPr>
            </w:pPr>
            <w:r>
              <w:rPr>
                <w:rFonts w:hint="eastAsia" w:ascii="宋体" w:hAnsi="宋体" w:eastAsia="宋体" w:cs="Times New Roman"/>
                <w:sz w:val="21"/>
                <w:szCs w:val="21"/>
              </w:rPr>
              <w:t>3年</w:t>
            </w:r>
          </w:p>
        </w:tc>
      </w:tr>
      <w:tr w14:paraId="61CB7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7" w:type="dxa"/>
            <w:shd w:val="clear" w:color="auto" w:fill="auto"/>
            <w:vAlign w:val="center"/>
          </w:tcPr>
          <w:p w14:paraId="41CD0968">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8</w:t>
            </w:r>
          </w:p>
        </w:tc>
        <w:tc>
          <w:tcPr>
            <w:tcW w:w="1113" w:type="dxa"/>
            <w:shd w:val="clear" w:color="auto" w:fill="auto"/>
            <w:vAlign w:val="center"/>
          </w:tcPr>
          <w:p w14:paraId="7B02E554">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汇聚交换机</w:t>
            </w:r>
          </w:p>
        </w:tc>
        <w:tc>
          <w:tcPr>
            <w:tcW w:w="5431" w:type="dxa"/>
            <w:shd w:val="clear" w:color="auto" w:fill="auto"/>
            <w:vAlign w:val="center"/>
          </w:tcPr>
          <w:p w14:paraId="6D7F8CFF">
            <w:pPr>
              <w:spacing w:after="0" w:line="240" w:lineRule="auto"/>
              <w:rPr>
                <w:rFonts w:ascii="宋体" w:hAnsi="宋体" w:eastAsia="宋体" w:cs="Times New Roman"/>
                <w:sz w:val="21"/>
                <w:szCs w:val="21"/>
              </w:rPr>
            </w:pPr>
            <w:r>
              <w:rPr>
                <w:rFonts w:hint="eastAsia" w:ascii="宋体" w:hAnsi="宋体" w:eastAsia="宋体" w:cs="Times New Roman"/>
                <w:sz w:val="21"/>
                <w:szCs w:val="21"/>
              </w:rPr>
              <w:t>1.设备支持并实配10G/1G接口数≥20，25G/10G接口数量≥4，40G接口数≥2，整机可扩展支持10G接口数≥32。</w:t>
            </w:r>
            <w:r>
              <w:rPr>
                <w:rFonts w:hint="eastAsia" w:ascii="宋体" w:hAnsi="宋体" w:eastAsia="宋体" w:cs="Times New Roman"/>
                <w:sz w:val="21"/>
                <w:szCs w:val="21"/>
              </w:rPr>
              <w:br w:type="textWrapping"/>
            </w:r>
            <w:r>
              <w:rPr>
                <w:rFonts w:hint="eastAsia" w:ascii="宋体" w:hAnsi="宋体" w:eastAsia="宋体" w:cs="Times New Roman"/>
                <w:sz w:val="21"/>
                <w:szCs w:val="21"/>
              </w:rPr>
              <w:t>2.支持所有端口在64字节下100%线速，提供国家认可的检测机构出具的测试报告加盖产品厂商公章。</w:t>
            </w:r>
            <w:r>
              <w:rPr>
                <w:rFonts w:hint="eastAsia" w:ascii="宋体" w:hAnsi="宋体" w:eastAsia="宋体" w:cs="Times New Roman"/>
                <w:sz w:val="21"/>
                <w:szCs w:val="21"/>
              </w:rPr>
              <w:br w:type="textWrapping"/>
            </w:r>
            <w:r>
              <w:rPr>
                <w:rFonts w:hint="eastAsia" w:ascii="宋体" w:hAnsi="宋体" w:eastAsia="宋体" w:cs="Times New Roman"/>
                <w:sz w:val="21"/>
                <w:szCs w:val="21"/>
              </w:rPr>
              <w:t>3.支持并实配可拔插双模块化电源，可拔插双模块化风扇，前后风道。</w:t>
            </w:r>
            <w:r>
              <w:rPr>
                <w:rFonts w:hint="eastAsia" w:ascii="宋体" w:hAnsi="宋体" w:eastAsia="宋体" w:cs="Times New Roman"/>
                <w:sz w:val="21"/>
                <w:szCs w:val="21"/>
              </w:rPr>
              <w:br w:type="textWrapping"/>
            </w:r>
            <w:r>
              <w:rPr>
                <w:rFonts w:hint="eastAsia" w:ascii="宋体" w:hAnsi="宋体" w:eastAsia="宋体" w:cs="Times New Roman"/>
                <w:sz w:val="21"/>
                <w:szCs w:val="21"/>
              </w:rPr>
              <w:t>4.交换机交换容量≥2.55Tbps。</w:t>
            </w:r>
            <w:r>
              <w:rPr>
                <w:rFonts w:hint="eastAsia" w:ascii="宋体" w:hAnsi="宋体" w:eastAsia="宋体" w:cs="Times New Roman"/>
                <w:sz w:val="21"/>
                <w:szCs w:val="21"/>
              </w:rPr>
              <w:br w:type="textWrapping"/>
            </w:r>
            <w:r>
              <w:rPr>
                <w:rFonts w:hint="eastAsia" w:ascii="宋体" w:hAnsi="宋体" w:eastAsia="宋体" w:cs="Times New Roman"/>
                <w:sz w:val="21"/>
                <w:szCs w:val="21"/>
              </w:rPr>
              <w:t>5.包转发率≥560Mpps。</w:t>
            </w:r>
            <w:r>
              <w:rPr>
                <w:rFonts w:hint="eastAsia" w:ascii="宋体" w:hAnsi="宋体" w:eastAsia="宋体" w:cs="Times New Roman"/>
                <w:sz w:val="21"/>
                <w:szCs w:val="21"/>
              </w:rPr>
              <w:br w:type="textWrapping"/>
            </w:r>
            <w:r>
              <w:rPr>
                <w:rFonts w:hint="eastAsia" w:ascii="宋体" w:hAnsi="宋体" w:eastAsia="宋体" w:cs="Times New Roman"/>
                <w:sz w:val="21"/>
                <w:szCs w:val="21"/>
              </w:rPr>
              <w:t>6.支持硬件健康状态可视化，可对风扇状态、电源、温度、板载电压进行监控，避免出现电压异常宕机，提供国家认可的检测机构出具的测试报告并加盖产品厂商公章。</w:t>
            </w:r>
            <w:r>
              <w:rPr>
                <w:rFonts w:hint="eastAsia" w:ascii="宋体" w:hAnsi="宋体" w:eastAsia="宋体" w:cs="Times New Roman"/>
                <w:sz w:val="21"/>
                <w:szCs w:val="21"/>
              </w:rPr>
              <w:br w:type="textWrapping"/>
            </w:r>
            <w:r>
              <w:rPr>
                <w:rFonts w:hint="eastAsia" w:ascii="宋体" w:hAnsi="宋体" w:eastAsia="宋体" w:cs="Times New Roman"/>
                <w:sz w:val="21"/>
                <w:szCs w:val="21"/>
              </w:rPr>
              <w:t>7.设备采用两个FLASH芯片存储boot软件（系统引导程序），实现硬件boot备份，提供国家认可的检测机构出具的测试报告并加盖产品厂商公章。</w:t>
            </w:r>
            <w:r>
              <w:rPr>
                <w:rFonts w:hint="eastAsia" w:ascii="宋体" w:hAnsi="宋体" w:eastAsia="宋体" w:cs="Times New Roman"/>
                <w:sz w:val="21"/>
                <w:szCs w:val="21"/>
              </w:rPr>
              <w:br w:type="textWrapping"/>
            </w:r>
            <w:r>
              <w:rPr>
                <w:rFonts w:hint="eastAsia" w:ascii="宋体" w:hAnsi="宋体" w:eastAsia="宋体" w:cs="Times New Roman"/>
                <w:sz w:val="21"/>
                <w:szCs w:val="21"/>
              </w:rPr>
              <w:t>8.设备支持故障隔离技术，用于监测光模块状态，一旦出现故障，可马上识别、并将故障模块隔离，确保不影响其它端口和整机的正常运行，更换模块后该端口也可马上恢复正常工作，提供第三方权威机构检验报告证明。</w:t>
            </w:r>
            <w:r>
              <w:rPr>
                <w:rFonts w:hint="eastAsia" w:ascii="宋体" w:hAnsi="宋体" w:eastAsia="宋体" w:cs="Times New Roman"/>
                <w:sz w:val="21"/>
                <w:szCs w:val="21"/>
              </w:rPr>
              <w:br w:type="textWrapping"/>
            </w:r>
            <w:r>
              <w:rPr>
                <w:rFonts w:hint="eastAsia" w:ascii="宋体" w:hAnsi="宋体" w:eastAsia="宋体" w:cs="Times New Roman"/>
                <w:sz w:val="21"/>
                <w:szCs w:val="21"/>
              </w:rPr>
              <w:t>9.支持RIP，OSPF，BGP，RIPng，OSPFv3，BGP4+。</w:t>
            </w:r>
            <w:r>
              <w:rPr>
                <w:rFonts w:hint="eastAsia" w:ascii="宋体" w:hAnsi="宋体" w:eastAsia="宋体" w:cs="Times New Roman"/>
                <w:sz w:val="21"/>
                <w:szCs w:val="21"/>
              </w:rPr>
              <w:br w:type="textWrapping"/>
            </w:r>
            <w:r>
              <w:rPr>
                <w:rFonts w:hint="eastAsia" w:ascii="宋体" w:hAnsi="宋体" w:eastAsia="宋体" w:cs="Times New Roman"/>
                <w:sz w:val="21"/>
                <w:szCs w:val="21"/>
              </w:rPr>
              <w:t>10.支持支持同时开启802.1X或WEB认证，CPP、ACL、防ARP欺骗等功能不会相互冲突、制约，提供第三方权威机构检验报告证明。</w:t>
            </w:r>
            <w:r>
              <w:rPr>
                <w:rFonts w:hint="eastAsia" w:ascii="宋体" w:hAnsi="宋体" w:eastAsia="宋体" w:cs="Times New Roman"/>
                <w:sz w:val="21"/>
                <w:szCs w:val="21"/>
              </w:rPr>
              <w:br w:type="textWrapping"/>
            </w:r>
            <w:r>
              <w:rPr>
                <w:rFonts w:hint="eastAsia" w:ascii="宋体" w:hAnsi="宋体" w:eastAsia="宋体" w:cs="Times New Roman"/>
                <w:sz w:val="21"/>
                <w:szCs w:val="21"/>
              </w:rPr>
              <w:t>11.支持能够针对发往CPU处理的各种报文进行流区分和优先级队列分级处理，保护交换机在各种环境下稳定工作，提供第三方权威机构检验报告证明。</w:t>
            </w:r>
            <w:r>
              <w:rPr>
                <w:rFonts w:hint="eastAsia" w:ascii="宋体" w:hAnsi="宋体" w:eastAsia="宋体" w:cs="Times New Roman"/>
                <w:sz w:val="21"/>
                <w:szCs w:val="21"/>
              </w:rPr>
              <w:br w:type="textWrapping"/>
            </w:r>
            <w:r>
              <w:rPr>
                <w:rFonts w:hint="eastAsia" w:ascii="宋体" w:hAnsi="宋体" w:eastAsia="宋体" w:cs="Times New Roman"/>
                <w:sz w:val="21"/>
                <w:szCs w:val="21"/>
              </w:rPr>
              <w:t>12.支持限制用户向网络中发送数据包的速率，对有攻击行为的用户进行隔离，保证整网的安全稳定运行，提供第三方权威机构检验报告证明。</w:t>
            </w:r>
            <w:r>
              <w:rPr>
                <w:rFonts w:hint="eastAsia" w:ascii="宋体" w:hAnsi="宋体" w:eastAsia="宋体" w:cs="Times New Roman"/>
                <w:sz w:val="21"/>
                <w:szCs w:val="21"/>
              </w:rPr>
              <w:br w:type="textWrapping"/>
            </w:r>
            <w:r>
              <w:rPr>
                <w:rFonts w:hint="eastAsia" w:ascii="宋体" w:hAnsi="宋体" w:eastAsia="宋体" w:cs="Times New Roman"/>
                <w:sz w:val="21"/>
                <w:szCs w:val="21"/>
              </w:rPr>
              <w:t>13.提供工信部三层交换机进网许可证,并且入网许可证须提供工信部官网查询结果截图及链接（标明是三层交换机入网证）。</w:t>
            </w:r>
            <w:r>
              <w:rPr>
                <w:rFonts w:hint="eastAsia" w:ascii="宋体" w:hAnsi="宋体" w:eastAsia="宋体" w:cs="Times New Roman"/>
                <w:sz w:val="21"/>
                <w:szCs w:val="21"/>
              </w:rPr>
              <w:br w:type="textWrapping"/>
            </w:r>
            <w:r>
              <w:rPr>
                <w:rFonts w:hint="eastAsia" w:ascii="宋体" w:hAnsi="宋体" w:eastAsia="宋体" w:cs="Times New Roman"/>
                <w:sz w:val="21"/>
                <w:szCs w:val="21"/>
              </w:rPr>
              <w:t>14.交换机需具备IPv6 Ready Phase2认证证书，提供权威机构的检测证书以及权威机构官网证书查询链接和截图并加盖厂商公章。</w:t>
            </w:r>
            <w:r>
              <w:rPr>
                <w:rFonts w:hint="eastAsia" w:ascii="宋体" w:hAnsi="宋体" w:eastAsia="宋体" w:cs="Times New Roman"/>
                <w:sz w:val="21"/>
                <w:szCs w:val="21"/>
              </w:rPr>
              <w:br w:type="textWrapping"/>
            </w:r>
            <w:r>
              <w:rPr>
                <w:rFonts w:hint="eastAsia" w:ascii="宋体" w:hAnsi="宋体" w:eastAsia="宋体" w:cs="Times New Roman"/>
                <w:sz w:val="21"/>
                <w:szCs w:val="21"/>
              </w:rPr>
              <w:t>15.可被本项目中采购的SDN平台控制(需提供原厂承诺函)，为保证兼容性该设备品牌需与本次项目中采购的SDN平台品牌相同。</w:t>
            </w:r>
          </w:p>
        </w:tc>
        <w:tc>
          <w:tcPr>
            <w:tcW w:w="811" w:type="dxa"/>
            <w:vAlign w:val="center"/>
          </w:tcPr>
          <w:p w14:paraId="07665D5F">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12</w:t>
            </w:r>
          </w:p>
        </w:tc>
        <w:tc>
          <w:tcPr>
            <w:tcW w:w="567" w:type="dxa"/>
            <w:vAlign w:val="center"/>
          </w:tcPr>
          <w:p w14:paraId="342341A5">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台</w:t>
            </w:r>
          </w:p>
        </w:tc>
        <w:tc>
          <w:tcPr>
            <w:tcW w:w="709" w:type="dxa"/>
            <w:vAlign w:val="center"/>
          </w:tcPr>
          <w:p w14:paraId="5949D220">
            <w:pPr>
              <w:spacing w:after="0" w:line="240" w:lineRule="auto"/>
              <w:rPr>
                <w:rFonts w:ascii="宋体" w:hAnsi="宋体" w:eastAsia="宋体" w:cs="Times New Roman"/>
                <w:sz w:val="21"/>
                <w:szCs w:val="21"/>
              </w:rPr>
            </w:pPr>
            <w:r>
              <w:rPr>
                <w:rFonts w:hint="eastAsia" w:ascii="宋体" w:hAnsi="宋体" w:eastAsia="宋体" w:cs="Times New Roman"/>
                <w:sz w:val="21"/>
                <w:szCs w:val="21"/>
              </w:rPr>
              <w:t>3年</w:t>
            </w:r>
          </w:p>
        </w:tc>
      </w:tr>
      <w:tr w14:paraId="1882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7" w:type="dxa"/>
            <w:shd w:val="clear" w:color="auto" w:fill="auto"/>
            <w:vAlign w:val="center"/>
          </w:tcPr>
          <w:p w14:paraId="087F181A">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9</w:t>
            </w:r>
          </w:p>
        </w:tc>
        <w:tc>
          <w:tcPr>
            <w:tcW w:w="1113" w:type="dxa"/>
            <w:shd w:val="clear" w:color="auto" w:fill="auto"/>
            <w:vAlign w:val="center"/>
          </w:tcPr>
          <w:p w14:paraId="78944C98">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核心交换机</w:t>
            </w:r>
          </w:p>
        </w:tc>
        <w:tc>
          <w:tcPr>
            <w:tcW w:w="5431" w:type="dxa"/>
            <w:shd w:val="clear" w:color="auto" w:fill="auto"/>
            <w:vAlign w:val="center"/>
          </w:tcPr>
          <w:p w14:paraId="708B840E">
            <w:pPr>
              <w:spacing w:after="0" w:line="240" w:lineRule="auto"/>
              <w:rPr>
                <w:rFonts w:ascii="宋体" w:hAnsi="宋体" w:eastAsia="宋体" w:cs="Times New Roman"/>
                <w:sz w:val="21"/>
                <w:szCs w:val="21"/>
              </w:rPr>
            </w:pPr>
            <w:r>
              <w:rPr>
                <w:rFonts w:hint="eastAsia" w:ascii="宋体" w:hAnsi="宋体" w:eastAsia="宋体" w:cs="Times New Roman"/>
                <w:sz w:val="21"/>
                <w:szCs w:val="21"/>
              </w:rPr>
              <w:t>1.设备高度≤10U，设备深度≤605mm，提供官网截图及链接证明。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2.交换容量≥380Tbps。</w:t>
            </w:r>
            <w:r>
              <w:rPr>
                <w:rFonts w:hint="eastAsia" w:ascii="宋体" w:hAnsi="宋体" w:eastAsia="宋体" w:cs="Times New Roman"/>
                <w:sz w:val="21"/>
                <w:szCs w:val="21"/>
              </w:rPr>
              <w:br w:type="textWrapping"/>
            </w:r>
            <w:r>
              <w:rPr>
                <w:rFonts w:hint="eastAsia" w:ascii="宋体" w:hAnsi="宋体" w:eastAsia="宋体" w:cs="Times New Roman"/>
                <w:sz w:val="21"/>
                <w:szCs w:val="21"/>
              </w:rPr>
              <w:t>3.包转发率≥115000Mpps。</w:t>
            </w:r>
            <w:r>
              <w:rPr>
                <w:rFonts w:hint="eastAsia" w:ascii="宋体" w:hAnsi="宋体" w:eastAsia="宋体" w:cs="Times New Roman"/>
                <w:sz w:val="21"/>
                <w:szCs w:val="21"/>
              </w:rPr>
              <w:br w:type="textWrapping"/>
            </w:r>
            <w:r>
              <w:rPr>
                <w:rFonts w:hint="eastAsia" w:ascii="宋体" w:hAnsi="宋体" w:eastAsia="宋体" w:cs="Times New Roman"/>
                <w:sz w:val="21"/>
                <w:szCs w:val="21"/>
              </w:rPr>
              <w:t>4.支持光口保护电路设计，可监测光模块运行状态：可即时识别光模块短路状态、并将故障模块隔离，确保其不影响其它端口和整机的正常运行，更换模块后该端口也可马上恢复正常工作状态，提供第三方权威机构检验报告证明。</w:t>
            </w:r>
            <w:r>
              <w:rPr>
                <w:rFonts w:hint="eastAsia" w:ascii="宋体" w:hAnsi="宋体" w:eastAsia="宋体" w:cs="Times New Roman"/>
                <w:sz w:val="21"/>
                <w:szCs w:val="21"/>
              </w:rPr>
              <w:br w:type="textWrapping"/>
            </w:r>
            <w:r>
              <w:rPr>
                <w:rFonts w:hint="eastAsia" w:ascii="宋体" w:hAnsi="宋体" w:eastAsia="宋体" w:cs="Times New Roman"/>
                <w:sz w:val="21"/>
                <w:szCs w:val="21"/>
              </w:rPr>
              <w:t>5.业务板卡采用高密度端口设计，单张业务卡最大可用物理端口≥52个，整机转发业务物理端口≥416个，提供官网截图及链接证明。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6.核心交换机10G端口在负载100%的情况下每端口功率≤2W，提供第三方权威机构检验报告证明。</w:t>
            </w:r>
            <w:r>
              <w:rPr>
                <w:rFonts w:hint="eastAsia" w:ascii="宋体" w:hAnsi="宋体" w:eastAsia="宋体" w:cs="Times New Roman"/>
                <w:sz w:val="21"/>
                <w:szCs w:val="21"/>
              </w:rPr>
              <w:br w:type="textWrapping"/>
            </w:r>
            <w:r>
              <w:rPr>
                <w:rFonts w:hint="eastAsia" w:ascii="宋体" w:hAnsi="宋体" w:eastAsia="宋体" w:cs="Times New Roman"/>
                <w:sz w:val="21"/>
                <w:szCs w:val="21"/>
              </w:rPr>
              <w:t>7.全线速转发满插高性能场景下，设备满插状态功耗≤0.17W/Gbps，提供第三方权威机构检验报告证明。</w:t>
            </w:r>
            <w:r>
              <w:rPr>
                <w:rFonts w:hint="eastAsia" w:ascii="宋体" w:hAnsi="宋体" w:eastAsia="宋体" w:cs="Times New Roman"/>
                <w:sz w:val="21"/>
                <w:szCs w:val="21"/>
              </w:rPr>
              <w:br w:type="textWrapping"/>
            </w:r>
            <w:r>
              <w:rPr>
                <w:rFonts w:hint="eastAsia" w:ascii="宋体" w:hAnsi="宋体" w:eastAsia="宋体" w:cs="Times New Roman"/>
                <w:sz w:val="21"/>
                <w:szCs w:val="21"/>
              </w:rPr>
              <w:t>8.硬件架构满足交换网板与线卡成垂直90°正交连接，背板走线为零来规避信号衰减，保证可扩展性和提高设备的稳定性，提供产品清晰正、背面实物照片展示各插槽分布。</w:t>
            </w:r>
            <w:r>
              <w:rPr>
                <w:rFonts w:hint="eastAsia" w:ascii="宋体" w:hAnsi="宋体" w:eastAsia="宋体" w:cs="Times New Roman"/>
                <w:sz w:val="21"/>
                <w:szCs w:val="21"/>
              </w:rPr>
              <w:br w:type="textWrapping"/>
            </w:r>
            <w:r>
              <w:rPr>
                <w:rFonts w:hint="eastAsia" w:ascii="宋体" w:hAnsi="宋体" w:eastAsia="宋体" w:cs="Times New Roman"/>
                <w:sz w:val="21"/>
                <w:szCs w:val="21"/>
              </w:rPr>
              <w:t>9.主控引擎与业务板卡完全物理分离, 采用全分布式转发处理架构，独立主控引擎插槽≥2个，独立业务插槽数≥8个，独立交换网板插槽≥2个，和主控不在机框的同一槽位，提供官网截图和链接证明。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10.支持1+1冗余的硬件监控系统集中监控板卡、风扇、电源、环境等状态参数，提供官网截图和链接证明。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11.设备支持模块化风扇框≥2，风扇框需要具有相同物理尺寸规格，提供产品清晰正、背面实物照片展示各插槽分布。</w:t>
            </w:r>
            <w:r>
              <w:rPr>
                <w:rFonts w:hint="eastAsia" w:ascii="宋体" w:hAnsi="宋体" w:eastAsia="宋体" w:cs="Times New Roman"/>
                <w:sz w:val="21"/>
                <w:szCs w:val="21"/>
              </w:rPr>
              <w:br w:type="textWrapping"/>
            </w:r>
            <w:r>
              <w:rPr>
                <w:rFonts w:hint="eastAsia" w:ascii="宋体" w:hAnsi="宋体" w:eastAsia="宋体" w:cs="Times New Roman"/>
                <w:sz w:val="21"/>
                <w:szCs w:val="21"/>
              </w:rPr>
              <w:t>12.10GE端口可线速转发，转发时延≤1.5µs；40GE端口可线速转发，转发时延≤1µs，提供第三方权威机构检验报告证明。</w:t>
            </w:r>
            <w:r>
              <w:rPr>
                <w:rFonts w:hint="eastAsia" w:ascii="宋体" w:hAnsi="宋体" w:eastAsia="宋体" w:cs="Times New Roman"/>
                <w:sz w:val="21"/>
                <w:szCs w:val="21"/>
              </w:rPr>
              <w:br w:type="textWrapping"/>
            </w:r>
            <w:r>
              <w:rPr>
                <w:rFonts w:hint="eastAsia" w:ascii="宋体" w:hAnsi="宋体" w:eastAsia="宋体" w:cs="Times New Roman"/>
                <w:sz w:val="21"/>
                <w:szCs w:val="21"/>
              </w:rPr>
              <w:t>13.支持基础安全保护策略 ，提供交换机防攻击功能，在受攻击情况下，仍保持较低的CPU负载，保护系统各种服务的正常运行，提供第三方权威机构检验报告证明。</w:t>
            </w:r>
            <w:r>
              <w:rPr>
                <w:rFonts w:hint="eastAsia" w:ascii="宋体" w:hAnsi="宋体" w:eastAsia="宋体" w:cs="Times New Roman"/>
                <w:sz w:val="21"/>
                <w:szCs w:val="21"/>
              </w:rPr>
              <w:br w:type="textWrapping"/>
            </w:r>
            <w:r>
              <w:rPr>
                <w:rFonts w:hint="eastAsia" w:ascii="宋体" w:hAnsi="宋体" w:eastAsia="宋体" w:cs="Times New Roman"/>
                <w:sz w:val="21"/>
                <w:szCs w:val="21"/>
              </w:rPr>
              <w:t>14.支持双交换网板和双引擎等关键模块在转发数据流的期间进行热插拔零丢包，提供第三方权威机构检验报告证明。</w:t>
            </w:r>
            <w:r>
              <w:rPr>
                <w:rFonts w:hint="eastAsia" w:ascii="宋体" w:hAnsi="宋体" w:eastAsia="宋体" w:cs="Times New Roman"/>
                <w:sz w:val="21"/>
                <w:szCs w:val="21"/>
              </w:rPr>
              <w:br w:type="textWrapping"/>
            </w:r>
            <w:r>
              <w:rPr>
                <w:rFonts w:hint="eastAsia" w:ascii="宋体" w:hAnsi="宋体" w:eastAsia="宋体" w:cs="Times New Roman"/>
                <w:sz w:val="21"/>
                <w:szCs w:val="21"/>
              </w:rPr>
              <w:t>15.交换机软件预置管理软件和业务模板，免安装，极速部署，可以实现对网络的业务规划、对接入的交换机实现即插即用、零配置上线、智能零替换以及光链路故障监测预警功能，提供官网截图和链接证明。</w:t>
            </w:r>
            <w:r>
              <w:rPr>
                <w:rFonts w:hint="eastAsia" w:ascii="宋体" w:hAnsi="宋体" w:eastAsia="宋体" w:cs="Times New Roman"/>
                <w:sz w:val="21"/>
                <w:szCs w:val="21"/>
              </w:rPr>
              <w:br w:type="textWrapping"/>
            </w:r>
            <w:r>
              <w:rPr>
                <w:rFonts w:hint="eastAsia" w:ascii="宋体" w:hAnsi="宋体" w:eastAsia="宋体" w:cs="Times New Roman"/>
                <w:sz w:val="21"/>
                <w:szCs w:val="21"/>
              </w:rPr>
              <w:t>16.支持VXLAN二三层分布式网关，支持EVPN，支持VXLAN双活。</w:t>
            </w:r>
            <w:r>
              <w:rPr>
                <w:rFonts w:hint="eastAsia" w:ascii="宋体" w:hAnsi="宋体" w:eastAsia="宋体" w:cs="Times New Roman"/>
                <w:sz w:val="21"/>
                <w:szCs w:val="21"/>
              </w:rPr>
              <w:br w:type="textWrapping"/>
            </w:r>
            <w:r>
              <w:rPr>
                <w:rFonts w:hint="eastAsia" w:ascii="宋体" w:hAnsi="宋体" w:eastAsia="宋体" w:cs="Times New Roman"/>
                <w:sz w:val="21"/>
                <w:szCs w:val="21"/>
              </w:rPr>
              <w:t>17.支持静态路由、RIP、RIPng、OSPF、OSPFv3、BGP、BGP4+、ISIS、ISISv6，支持路由协议多实例，支持GR for OSPF/IS-IS/BGP，支持策略路由。</w:t>
            </w:r>
            <w:r>
              <w:rPr>
                <w:rFonts w:hint="eastAsia" w:ascii="宋体" w:hAnsi="宋体" w:eastAsia="宋体" w:cs="Times New Roman"/>
                <w:sz w:val="21"/>
                <w:szCs w:val="21"/>
              </w:rPr>
              <w:br w:type="textWrapping"/>
            </w:r>
            <w:r>
              <w:rPr>
                <w:rFonts w:hint="eastAsia" w:ascii="宋体" w:hAnsi="宋体" w:eastAsia="宋体" w:cs="Times New Roman"/>
                <w:sz w:val="21"/>
                <w:szCs w:val="21"/>
              </w:rPr>
              <w:t>18.支持IGMPv1/v2/v3、IGMP Snooping 、PIM DM、PIM SM、PIM SSM；支持组播流量控制、支持组播查询器。</w:t>
            </w:r>
            <w:r>
              <w:rPr>
                <w:rFonts w:hint="eastAsia" w:ascii="宋体" w:hAnsi="宋体" w:eastAsia="宋体" w:cs="Times New Roman"/>
                <w:sz w:val="21"/>
                <w:szCs w:val="21"/>
              </w:rPr>
              <w:br w:type="textWrapping"/>
            </w:r>
            <w:r>
              <w:rPr>
                <w:rFonts w:hint="eastAsia" w:ascii="宋体" w:hAnsi="宋体" w:eastAsia="宋体" w:cs="Times New Roman"/>
                <w:sz w:val="21"/>
                <w:szCs w:val="21"/>
              </w:rPr>
              <w:t>19.支持IPv6过渡技术，IPv4/IPv6双栈、6over4隧道、4 over6隧道；支持IPv6 DHCP SERVER、IPv6 DHCP Relay、DHCP Snooping。</w:t>
            </w:r>
            <w:r>
              <w:rPr>
                <w:rFonts w:hint="eastAsia" w:ascii="宋体" w:hAnsi="宋体" w:eastAsia="宋体" w:cs="Times New Roman"/>
                <w:sz w:val="21"/>
                <w:szCs w:val="21"/>
              </w:rPr>
              <w:br w:type="textWrapping"/>
            </w:r>
            <w:r>
              <w:rPr>
                <w:rFonts w:hint="eastAsia" w:ascii="宋体" w:hAnsi="宋体" w:eastAsia="宋体" w:cs="Times New Roman"/>
                <w:sz w:val="21"/>
                <w:szCs w:val="21"/>
              </w:rPr>
              <w:t>20.支持sFlow网络监测技术，可提供完整的第二层到第四层信息，可以适应超大网络流量环境下的流量分析，让用户详细、实时地分析网络传输流的性能、趋势和存在的问题。</w:t>
            </w:r>
            <w:r>
              <w:rPr>
                <w:rFonts w:hint="eastAsia" w:ascii="宋体" w:hAnsi="宋体" w:eastAsia="宋体" w:cs="Times New Roman"/>
                <w:sz w:val="21"/>
                <w:szCs w:val="21"/>
              </w:rPr>
              <w:br w:type="textWrapping"/>
            </w:r>
            <w:r>
              <w:rPr>
                <w:rFonts w:hint="eastAsia" w:ascii="宋体" w:hAnsi="宋体" w:eastAsia="宋体" w:cs="Times New Roman"/>
                <w:sz w:val="21"/>
                <w:szCs w:val="21"/>
              </w:rPr>
              <w:t>21.支持基于GRPC的Telemetry技术，实现对CPU、内存等信息的周期性采集。</w:t>
            </w:r>
            <w:r>
              <w:rPr>
                <w:rFonts w:hint="eastAsia" w:ascii="宋体" w:hAnsi="宋体" w:eastAsia="宋体" w:cs="Times New Roman"/>
                <w:sz w:val="21"/>
                <w:szCs w:val="21"/>
              </w:rPr>
              <w:br w:type="textWrapping"/>
            </w:r>
            <w:r>
              <w:rPr>
                <w:rFonts w:hint="eastAsia" w:ascii="宋体" w:hAnsi="宋体" w:eastAsia="宋体" w:cs="Times New Roman"/>
                <w:sz w:val="21"/>
                <w:szCs w:val="21"/>
              </w:rPr>
              <w:t>22.交换机需具备IPv6 Ready Phase2认证证书，提供权威机构的检测证书以及权威机构官网证书查询链接和截图。</w:t>
            </w:r>
            <w:r>
              <w:rPr>
                <w:rFonts w:hint="eastAsia" w:ascii="宋体" w:hAnsi="宋体" w:eastAsia="宋体" w:cs="Times New Roman"/>
                <w:sz w:val="21"/>
                <w:szCs w:val="21"/>
              </w:rPr>
              <w:br w:type="textWrapping"/>
            </w:r>
            <w:r>
              <w:rPr>
                <w:rFonts w:hint="eastAsia" w:ascii="宋体" w:hAnsi="宋体" w:eastAsia="宋体" w:cs="Times New Roman"/>
                <w:sz w:val="21"/>
                <w:szCs w:val="21"/>
              </w:rPr>
              <w:t>23.实配单交换网板、双冗余电源、双主控引擎，≥4个40G以太网光端口业务板卡、≥32个万兆以太网光端口业务板卡、每台配套不少于2根长度≥5米的40G虚拟化堆叠模块光缆。</w:t>
            </w:r>
            <w:r>
              <w:rPr>
                <w:rFonts w:hint="eastAsia" w:ascii="宋体" w:hAnsi="宋体" w:eastAsia="宋体" w:cs="Times New Roman"/>
                <w:sz w:val="21"/>
                <w:szCs w:val="21"/>
              </w:rPr>
              <w:br w:type="textWrapping"/>
            </w:r>
            <w:r>
              <w:rPr>
                <w:rFonts w:hint="eastAsia" w:ascii="宋体" w:hAnsi="宋体" w:eastAsia="宋体" w:cs="Times New Roman"/>
                <w:sz w:val="21"/>
                <w:szCs w:val="21"/>
              </w:rPr>
              <w:t>24.可被本项目中采购的SDN平台控制(需提供原厂承诺函)，为保证兼容性该设备品牌需与本次项目中采购的SDN平台品牌相同。</w:t>
            </w:r>
          </w:p>
        </w:tc>
        <w:tc>
          <w:tcPr>
            <w:tcW w:w="811" w:type="dxa"/>
            <w:vAlign w:val="center"/>
          </w:tcPr>
          <w:p w14:paraId="59DC59F1">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567" w:type="dxa"/>
            <w:vAlign w:val="center"/>
          </w:tcPr>
          <w:p w14:paraId="1F660BEC">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台</w:t>
            </w:r>
          </w:p>
        </w:tc>
        <w:tc>
          <w:tcPr>
            <w:tcW w:w="709" w:type="dxa"/>
            <w:vAlign w:val="center"/>
          </w:tcPr>
          <w:p w14:paraId="2E59497C">
            <w:pPr>
              <w:spacing w:after="0" w:line="240" w:lineRule="auto"/>
              <w:rPr>
                <w:rFonts w:ascii="宋体" w:hAnsi="宋体" w:eastAsia="宋体" w:cs="Times New Roman"/>
                <w:sz w:val="21"/>
                <w:szCs w:val="21"/>
              </w:rPr>
            </w:pPr>
            <w:r>
              <w:rPr>
                <w:rFonts w:hint="eastAsia" w:ascii="宋体" w:hAnsi="宋体" w:eastAsia="宋体" w:cs="Times New Roman"/>
                <w:sz w:val="21"/>
                <w:szCs w:val="21"/>
              </w:rPr>
              <w:t>3年</w:t>
            </w:r>
          </w:p>
        </w:tc>
      </w:tr>
      <w:tr w14:paraId="7370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7" w:type="dxa"/>
            <w:shd w:val="clear" w:color="auto" w:fill="auto"/>
            <w:vAlign w:val="center"/>
          </w:tcPr>
          <w:p w14:paraId="14EA454B">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10</w:t>
            </w:r>
          </w:p>
        </w:tc>
        <w:tc>
          <w:tcPr>
            <w:tcW w:w="1113" w:type="dxa"/>
            <w:shd w:val="clear" w:color="auto" w:fill="auto"/>
            <w:vAlign w:val="center"/>
          </w:tcPr>
          <w:p w14:paraId="7E09AAC0">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光模块</w:t>
            </w:r>
          </w:p>
        </w:tc>
        <w:tc>
          <w:tcPr>
            <w:tcW w:w="5431" w:type="dxa"/>
            <w:shd w:val="clear" w:color="auto" w:fill="auto"/>
            <w:vAlign w:val="center"/>
          </w:tcPr>
          <w:p w14:paraId="1D87365E">
            <w:pPr>
              <w:spacing w:after="0" w:line="240" w:lineRule="auto"/>
              <w:rPr>
                <w:rFonts w:ascii="宋体" w:hAnsi="宋体" w:eastAsia="宋体" w:cs="Times New Roman"/>
                <w:sz w:val="21"/>
                <w:szCs w:val="21"/>
              </w:rPr>
            </w:pPr>
            <w:r>
              <w:rPr>
                <w:rFonts w:hint="eastAsia" w:ascii="宋体" w:hAnsi="宋体" w:eastAsia="宋体" w:cs="Times New Roman"/>
                <w:sz w:val="21"/>
                <w:szCs w:val="21"/>
              </w:rPr>
              <w:t>波长1310nm，SFP+端口万兆单模光纤端口模块。为保证兼容性该设备品牌需与本次项目中采购的核心交换机品牌相同。（需出具原厂证明）</w:t>
            </w:r>
          </w:p>
        </w:tc>
        <w:tc>
          <w:tcPr>
            <w:tcW w:w="811" w:type="dxa"/>
            <w:vAlign w:val="center"/>
          </w:tcPr>
          <w:p w14:paraId="75BA411F">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210</w:t>
            </w:r>
          </w:p>
        </w:tc>
        <w:tc>
          <w:tcPr>
            <w:tcW w:w="567" w:type="dxa"/>
            <w:vAlign w:val="center"/>
          </w:tcPr>
          <w:p w14:paraId="6F7B2259">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个</w:t>
            </w:r>
          </w:p>
        </w:tc>
        <w:tc>
          <w:tcPr>
            <w:tcW w:w="709" w:type="dxa"/>
            <w:vAlign w:val="center"/>
          </w:tcPr>
          <w:p w14:paraId="7A6B7F8D">
            <w:pPr>
              <w:spacing w:after="0" w:line="240" w:lineRule="auto"/>
              <w:rPr>
                <w:rFonts w:ascii="宋体" w:hAnsi="宋体" w:eastAsia="宋体" w:cs="Times New Roman"/>
                <w:sz w:val="21"/>
                <w:szCs w:val="21"/>
              </w:rPr>
            </w:pPr>
            <w:r>
              <w:rPr>
                <w:rFonts w:hint="eastAsia" w:ascii="宋体" w:hAnsi="宋体" w:eastAsia="宋体" w:cs="Times New Roman"/>
                <w:sz w:val="21"/>
                <w:szCs w:val="21"/>
              </w:rPr>
              <w:t>3年</w:t>
            </w:r>
          </w:p>
        </w:tc>
      </w:tr>
      <w:tr w14:paraId="2915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7" w:type="dxa"/>
            <w:shd w:val="clear" w:color="auto" w:fill="auto"/>
            <w:vAlign w:val="center"/>
          </w:tcPr>
          <w:p w14:paraId="32E8D640">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11</w:t>
            </w:r>
          </w:p>
        </w:tc>
        <w:tc>
          <w:tcPr>
            <w:tcW w:w="1113" w:type="dxa"/>
            <w:shd w:val="clear" w:color="auto" w:fill="auto"/>
            <w:vAlign w:val="center"/>
          </w:tcPr>
          <w:p w14:paraId="7623287D">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无线控制器</w:t>
            </w:r>
          </w:p>
        </w:tc>
        <w:tc>
          <w:tcPr>
            <w:tcW w:w="5431" w:type="dxa"/>
            <w:shd w:val="clear" w:color="auto" w:fill="auto"/>
            <w:vAlign w:val="center"/>
          </w:tcPr>
          <w:p w14:paraId="47ADC330">
            <w:pPr>
              <w:spacing w:after="0" w:line="240" w:lineRule="auto"/>
              <w:rPr>
                <w:rFonts w:ascii="宋体" w:hAnsi="宋体" w:eastAsia="宋体" w:cs="Times New Roman"/>
                <w:sz w:val="21"/>
                <w:szCs w:val="21"/>
              </w:rPr>
            </w:pPr>
            <w:r>
              <w:rPr>
                <w:rFonts w:hint="eastAsia" w:ascii="宋体" w:hAnsi="宋体" w:eastAsia="宋体" w:cs="Times New Roman"/>
                <w:sz w:val="21"/>
                <w:szCs w:val="21"/>
              </w:rPr>
              <w:t>1.固化千兆电口数≥8个；千兆光口数≥2个，万兆光口数≥2个，提供官网查询链接及截图作为证明。</w:t>
            </w:r>
            <w:r>
              <w:rPr>
                <w:rFonts w:hint="eastAsia" w:ascii="宋体" w:hAnsi="宋体" w:eastAsia="宋体" w:cs="Times New Roman"/>
                <w:sz w:val="21"/>
                <w:szCs w:val="21"/>
              </w:rPr>
              <w:br w:type="textWrapping"/>
            </w:r>
            <w:r>
              <w:rPr>
                <w:rFonts w:hint="eastAsia" w:ascii="宋体" w:hAnsi="宋体" w:eastAsia="宋体" w:cs="Times New Roman"/>
                <w:sz w:val="21"/>
                <w:szCs w:val="21"/>
              </w:rPr>
              <w:t>2.默认可管理AP数≥96个，最大可支持管理1024个AP，提供官网查询链接及截图作为证明。</w:t>
            </w:r>
            <w:r>
              <w:rPr>
                <w:rFonts w:hint="eastAsia" w:ascii="宋体" w:hAnsi="宋体" w:eastAsia="宋体" w:cs="Times New Roman"/>
                <w:sz w:val="21"/>
                <w:szCs w:val="21"/>
              </w:rPr>
              <w:br w:type="textWrapping"/>
            </w:r>
            <w:r>
              <w:rPr>
                <w:rFonts w:hint="eastAsia" w:ascii="宋体" w:hAnsi="宋体" w:eastAsia="宋体" w:cs="Times New Roman"/>
                <w:sz w:val="21"/>
                <w:szCs w:val="21"/>
              </w:rPr>
              <w:t>3.单台设备最大可管理用户数≥10240，提供官网查询链接或第三方权威测试报告。</w:t>
            </w:r>
            <w:r>
              <w:rPr>
                <w:rFonts w:hint="eastAsia" w:ascii="宋体" w:hAnsi="宋体" w:eastAsia="宋体" w:cs="Times New Roman"/>
                <w:sz w:val="21"/>
                <w:szCs w:val="21"/>
              </w:rPr>
              <w:br w:type="textWrapping"/>
            </w:r>
            <w:r>
              <w:rPr>
                <w:rFonts w:hint="eastAsia" w:ascii="宋体" w:hAnsi="宋体" w:eastAsia="宋体" w:cs="Times New Roman"/>
                <w:sz w:val="21"/>
                <w:szCs w:val="21"/>
              </w:rPr>
              <w:t>4.单台设备最大可配置AP数目≥2048，保留测试权利并能够提供官网截图。</w:t>
            </w:r>
            <w:r>
              <w:rPr>
                <w:rFonts w:hint="eastAsia" w:ascii="宋体" w:hAnsi="宋体" w:eastAsia="宋体" w:cs="Times New Roman"/>
                <w:sz w:val="21"/>
                <w:szCs w:val="21"/>
              </w:rPr>
              <w:br w:type="textWrapping"/>
            </w:r>
            <w:r>
              <w:rPr>
                <w:rFonts w:hint="eastAsia" w:ascii="宋体" w:hAnsi="宋体" w:eastAsia="宋体" w:cs="Times New Roman"/>
                <w:sz w:val="21"/>
                <w:szCs w:val="21"/>
              </w:rPr>
              <w:t>5.产品关键芯片（CPU/MAC/网卡等）采用国产安全可控芯片，提供国内权威机构出具的第三方报告。</w:t>
            </w:r>
            <w:r>
              <w:rPr>
                <w:rFonts w:hint="eastAsia" w:ascii="宋体" w:hAnsi="宋体" w:eastAsia="宋体" w:cs="Times New Roman"/>
                <w:sz w:val="21"/>
                <w:szCs w:val="21"/>
              </w:rPr>
              <w:br w:type="textWrapping"/>
            </w:r>
            <w:r>
              <w:rPr>
                <w:rFonts w:hint="eastAsia" w:ascii="宋体" w:hAnsi="宋体" w:eastAsia="宋体" w:cs="Times New Roman"/>
                <w:sz w:val="21"/>
                <w:szCs w:val="21"/>
              </w:rPr>
              <w:t>6.整机吞吐性能≥20G ，提供官网查询链接及截图作为证明或第三方权威测试报告。</w:t>
            </w:r>
            <w:r>
              <w:rPr>
                <w:rFonts w:hint="eastAsia" w:ascii="宋体" w:hAnsi="宋体" w:eastAsia="宋体" w:cs="Times New Roman"/>
                <w:sz w:val="21"/>
                <w:szCs w:val="21"/>
              </w:rPr>
              <w:br w:type="textWrapping"/>
            </w:r>
            <w:r>
              <w:rPr>
                <w:rFonts w:hint="eastAsia" w:ascii="宋体" w:hAnsi="宋体" w:eastAsia="宋体" w:cs="Times New Roman"/>
                <w:sz w:val="21"/>
                <w:szCs w:val="21"/>
              </w:rPr>
              <w:t>7.无线控制器符合国标GB/T 20138-2006即《电器设备外壳对外界机械碰撞的防护等级（IK代码）》标准，至少达到防护等级IK07。提供第三方权威测试报告复印件、第三方权威机构官方查询结果截图（需体现设备防护等级）和查询链接。</w:t>
            </w:r>
            <w:r>
              <w:rPr>
                <w:rFonts w:hint="eastAsia" w:ascii="宋体" w:hAnsi="宋体" w:eastAsia="宋体" w:cs="Times New Roman"/>
                <w:sz w:val="21"/>
                <w:szCs w:val="21"/>
              </w:rPr>
              <w:br w:type="textWrapping"/>
            </w:r>
            <w:r>
              <w:rPr>
                <w:rFonts w:hint="eastAsia" w:ascii="宋体" w:hAnsi="宋体" w:eastAsia="宋体" w:cs="Times New Roman"/>
                <w:sz w:val="21"/>
                <w:szCs w:val="21"/>
              </w:rPr>
              <w:t>8.无线控制器支持可拔插双电源冗余供电，提供官网查询链接及截图作为证明。</w:t>
            </w:r>
            <w:r>
              <w:rPr>
                <w:rFonts w:hint="eastAsia" w:ascii="宋体" w:hAnsi="宋体" w:eastAsia="宋体" w:cs="Times New Roman"/>
                <w:sz w:val="21"/>
                <w:szCs w:val="21"/>
              </w:rPr>
              <w:br w:type="textWrapping"/>
            </w:r>
            <w:r>
              <w:rPr>
                <w:rFonts w:hint="eastAsia" w:ascii="宋体" w:hAnsi="宋体" w:eastAsia="宋体" w:cs="Times New Roman"/>
                <w:sz w:val="21"/>
                <w:szCs w:val="21"/>
              </w:rPr>
              <w:t>9.支持实时频谱防护,可视化射频干扰源对无线局域网的性能的影响</w:t>
            </w:r>
            <w:r>
              <w:rPr>
                <w:rFonts w:hint="eastAsia" w:ascii="宋体" w:hAnsi="宋体" w:eastAsia="宋体" w:cs="Times New Roman"/>
                <w:sz w:val="21"/>
                <w:szCs w:val="21"/>
              </w:rPr>
              <w:br w:type="textWrapping"/>
            </w:r>
            <w:r>
              <w:rPr>
                <w:rFonts w:hint="eastAsia" w:ascii="宋体" w:hAnsi="宋体" w:eastAsia="宋体" w:cs="Times New Roman"/>
                <w:sz w:val="21"/>
                <w:szCs w:val="21"/>
              </w:rPr>
              <w:t>10.设备应支持快速漫游，提升漫游体验。</w:t>
            </w:r>
            <w:r>
              <w:rPr>
                <w:rFonts w:hint="eastAsia" w:ascii="宋体" w:hAnsi="宋体" w:eastAsia="宋体" w:cs="Times New Roman"/>
                <w:sz w:val="21"/>
                <w:szCs w:val="21"/>
              </w:rPr>
              <w:br w:type="textWrapping"/>
            </w:r>
            <w:r>
              <w:rPr>
                <w:rFonts w:hint="eastAsia" w:ascii="宋体" w:hAnsi="宋体" w:eastAsia="宋体" w:cs="Times New Roman"/>
                <w:sz w:val="21"/>
                <w:szCs w:val="21"/>
              </w:rPr>
              <w:t>11.实配不少于544个AP永久管理授权。</w:t>
            </w:r>
            <w:r>
              <w:rPr>
                <w:rFonts w:hint="eastAsia" w:ascii="宋体" w:hAnsi="宋体" w:eastAsia="宋体" w:cs="Times New Roman"/>
                <w:sz w:val="21"/>
                <w:szCs w:val="21"/>
              </w:rPr>
              <w:br w:type="textWrapping"/>
            </w:r>
            <w:r>
              <w:rPr>
                <w:rFonts w:hint="eastAsia" w:ascii="宋体" w:hAnsi="宋体" w:eastAsia="宋体" w:cs="Times New Roman"/>
                <w:sz w:val="21"/>
                <w:szCs w:val="21"/>
              </w:rPr>
              <w:t>12.上述功能需保证为永久授权不得单另收费。</w:t>
            </w:r>
          </w:p>
        </w:tc>
        <w:tc>
          <w:tcPr>
            <w:tcW w:w="811" w:type="dxa"/>
            <w:vAlign w:val="center"/>
          </w:tcPr>
          <w:p w14:paraId="35A43F83">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567" w:type="dxa"/>
            <w:vAlign w:val="center"/>
          </w:tcPr>
          <w:p w14:paraId="58D84FDE">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台</w:t>
            </w:r>
          </w:p>
        </w:tc>
        <w:tc>
          <w:tcPr>
            <w:tcW w:w="709" w:type="dxa"/>
            <w:vAlign w:val="center"/>
          </w:tcPr>
          <w:p w14:paraId="28BEC71D">
            <w:pPr>
              <w:spacing w:after="0" w:line="240" w:lineRule="auto"/>
              <w:rPr>
                <w:rFonts w:ascii="宋体" w:hAnsi="宋体" w:eastAsia="宋体" w:cs="Times New Roman"/>
                <w:sz w:val="21"/>
                <w:szCs w:val="21"/>
              </w:rPr>
            </w:pPr>
            <w:r>
              <w:rPr>
                <w:rFonts w:hint="eastAsia" w:ascii="宋体" w:hAnsi="宋体" w:eastAsia="宋体" w:cs="Times New Roman"/>
                <w:sz w:val="21"/>
                <w:szCs w:val="21"/>
              </w:rPr>
              <w:t>3年</w:t>
            </w:r>
          </w:p>
        </w:tc>
      </w:tr>
      <w:tr w14:paraId="47E6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7" w:type="dxa"/>
            <w:shd w:val="clear" w:color="auto" w:fill="auto"/>
            <w:vAlign w:val="center"/>
          </w:tcPr>
          <w:p w14:paraId="05BCCC54">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12</w:t>
            </w:r>
          </w:p>
        </w:tc>
        <w:tc>
          <w:tcPr>
            <w:tcW w:w="1113" w:type="dxa"/>
            <w:shd w:val="clear" w:color="auto" w:fill="auto"/>
            <w:vAlign w:val="center"/>
          </w:tcPr>
          <w:p w14:paraId="18EE13D6">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SDN平台</w:t>
            </w:r>
          </w:p>
        </w:tc>
        <w:tc>
          <w:tcPr>
            <w:tcW w:w="5431" w:type="dxa"/>
            <w:shd w:val="clear" w:color="auto" w:fill="auto"/>
            <w:vAlign w:val="center"/>
          </w:tcPr>
          <w:p w14:paraId="499D1831">
            <w:pPr>
              <w:spacing w:after="0" w:line="240" w:lineRule="auto"/>
              <w:rPr>
                <w:rFonts w:ascii="宋体" w:hAnsi="宋体" w:eastAsia="宋体" w:cs="Times New Roman"/>
                <w:sz w:val="21"/>
                <w:szCs w:val="21"/>
              </w:rPr>
            </w:pPr>
            <w:r>
              <w:rPr>
                <w:rFonts w:hint="eastAsia" w:ascii="宋体" w:hAnsi="宋体" w:eastAsia="宋体" w:cs="Times New Roman"/>
                <w:sz w:val="21"/>
                <w:szCs w:val="21"/>
              </w:rPr>
              <w:t>1.SDN平台能实现接入层交换机管理，设备管理永久授权数≥500；</w:t>
            </w:r>
            <w:r>
              <w:rPr>
                <w:rFonts w:hint="eastAsia" w:ascii="宋体" w:hAnsi="宋体" w:eastAsia="宋体" w:cs="Times New Roman"/>
                <w:sz w:val="21"/>
                <w:szCs w:val="21"/>
              </w:rPr>
              <w:br w:type="textWrapping"/>
            </w:r>
            <w:r>
              <w:rPr>
                <w:rFonts w:hint="eastAsia" w:ascii="宋体" w:hAnsi="宋体" w:eastAsia="宋体" w:cs="Times New Roman"/>
                <w:sz w:val="21"/>
                <w:szCs w:val="21"/>
              </w:rPr>
              <w:t>2.支持针对用户分组进行网络访问策略下发，界面化的网络策略调整，业务间可视化互访策略调整，产品功能界面截图证明；</w:t>
            </w:r>
            <w:r>
              <w:rPr>
                <w:rFonts w:hint="eastAsia" w:ascii="宋体" w:hAnsi="宋体" w:eastAsia="宋体" w:cs="Times New Roman"/>
                <w:sz w:val="21"/>
                <w:szCs w:val="21"/>
              </w:rPr>
              <w:br w:type="textWrapping"/>
            </w:r>
            <w:r>
              <w:rPr>
                <w:rFonts w:hint="eastAsia" w:ascii="宋体" w:hAnsi="宋体" w:eastAsia="宋体" w:cs="Times New Roman"/>
                <w:sz w:val="21"/>
                <w:szCs w:val="21"/>
              </w:rPr>
              <w:t>3.在扁平化的大二层组网环境下，支持端口特定的隔离策略，既能隔离 arp、单播、 dhcp 报文又能放通其他正常的二层报文。</w:t>
            </w:r>
            <w:r>
              <w:rPr>
                <w:rFonts w:hint="eastAsia" w:ascii="宋体" w:hAnsi="宋体" w:eastAsia="宋体" w:cs="Times New Roman"/>
                <w:sz w:val="21"/>
                <w:szCs w:val="21"/>
              </w:rPr>
              <w:br w:type="textWrapping"/>
            </w:r>
            <w:r>
              <w:rPr>
                <w:rFonts w:hint="eastAsia" w:ascii="宋体" w:hAnsi="宋体" w:eastAsia="宋体" w:cs="Times New Roman"/>
                <w:sz w:val="21"/>
                <w:szCs w:val="21"/>
              </w:rPr>
              <w:t>4.支持自定义资产终端准入免确认时间，免确认时间内自动进行整网资产哑终端设备的IP+MAC等信息收集，提供功能截图。</w:t>
            </w:r>
            <w:r>
              <w:rPr>
                <w:rFonts w:hint="eastAsia" w:ascii="宋体" w:hAnsi="宋体" w:eastAsia="宋体" w:cs="Times New Roman"/>
                <w:sz w:val="21"/>
                <w:szCs w:val="21"/>
              </w:rPr>
              <w:br w:type="textWrapping"/>
            </w:r>
            <w:r>
              <w:rPr>
                <w:rFonts w:hint="eastAsia" w:ascii="宋体" w:hAnsi="宋体" w:eastAsia="宋体" w:cs="Times New Roman"/>
                <w:sz w:val="21"/>
                <w:szCs w:val="21"/>
              </w:rPr>
              <w:t>5.资产终端上线时无需提前收集终端MAC地址，无需提前在控制器导入MAC相关信息，以节约上线时间简化上线工作量。</w:t>
            </w:r>
            <w:r>
              <w:rPr>
                <w:rFonts w:hint="eastAsia" w:ascii="宋体" w:hAnsi="宋体" w:eastAsia="宋体" w:cs="Times New Roman"/>
                <w:sz w:val="21"/>
                <w:szCs w:val="21"/>
              </w:rPr>
              <w:br w:type="textWrapping"/>
            </w:r>
            <w:r>
              <w:rPr>
                <w:rFonts w:hint="eastAsia" w:ascii="宋体" w:hAnsi="宋体" w:eastAsia="宋体" w:cs="Times New Roman"/>
                <w:sz w:val="21"/>
                <w:szCs w:val="21"/>
              </w:rPr>
              <w:t>6.支持终端入网时，管理员需在准入审批界面手动确认，终端才允许入网，提供功能截图；</w:t>
            </w:r>
            <w:r>
              <w:rPr>
                <w:rFonts w:hint="eastAsia" w:ascii="宋体" w:hAnsi="宋体" w:eastAsia="宋体" w:cs="Times New Roman"/>
                <w:sz w:val="21"/>
                <w:szCs w:val="21"/>
              </w:rPr>
              <w:br w:type="textWrapping"/>
            </w:r>
            <w:r>
              <w:rPr>
                <w:rFonts w:hint="eastAsia" w:ascii="宋体" w:hAnsi="宋体" w:eastAsia="宋体" w:cs="Times New Roman"/>
                <w:sz w:val="21"/>
                <w:szCs w:val="21"/>
              </w:rPr>
              <w:t>7.支持接入的资产终端无须安装任何客户端与插件，审批后即可入网。</w:t>
            </w:r>
            <w:r>
              <w:rPr>
                <w:rFonts w:hint="eastAsia" w:ascii="宋体" w:hAnsi="宋体" w:eastAsia="宋体" w:cs="Times New Roman"/>
                <w:sz w:val="21"/>
                <w:szCs w:val="21"/>
              </w:rPr>
              <w:br w:type="textWrapping"/>
            </w:r>
            <w:r>
              <w:rPr>
                <w:rFonts w:hint="eastAsia" w:ascii="宋体" w:hAnsi="宋体" w:eastAsia="宋体" w:cs="Times New Roman"/>
                <w:sz w:val="21"/>
                <w:szCs w:val="21"/>
              </w:rPr>
              <w:t>8.支持资产终端的位置识别，满足辅助终端资产管理，提供功能截图；</w:t>
            </w:r>
            <w:r>
              <w:rPr>
                <w:rFonts w:hint="eastAsia" w:ascii="宋体" w:hAnsi="宋体" w:eastAsia="宋体" w:cs="Times New Roman"/>
                <w:sz w:val="21"/>
                <w:szCs w:val="21"/>
              </w:rPr>
              <w:br w:type="textWrapping"/>
            </w:r>
            <w:r>
              <w:rPr>
                <w:rFonts w:hint="eastAsia" w:ascii="宋体" w:hAnsi="宋体" w:eastAsia="宋体" w:cs="Times New Roman"/>
                <w:sz w:val="21"/>
                <w:szCs w:val="21"/>
              </w:rPr>
              <w:t>9.室内交换机支持零配置上线。根据不同区域的业务创建相应业务模板后，绑定设备区域位置信息，设备开箱上电后配置即可自动从软件下发，无需在接入设备端刷入配置，提供产品功能界面截图证明；</w:t>
            </w:r>
            <w:r>
              <w:rPr>
                <w:rFonts w:hint="eastAsia" w:ascii="宋体" w:hAnsi="宋体" w:eastAsia="宋体" w:cs="Times New Roman"/>
                <w:sz w:val="21"/>
                <w:szCs w:val="21"/>
              </w:rPr>
              <w:br w:type="textWrapping"/>
            </w:r>
            <w:r>
              <w:rPr>
                <w:rFonts w:hint="eastAsia" w:ascii="宋体" w:hAnsi="宋体" w:eastAsia="宋体" w:cs="Times New Roman"/>
                <w:sz w:val="21"/>
                <w:szCs w:val="21"/>
              </w:rPr>
              <w:t>10.支持通过excel批量导入、基于楼栋交换机端口两种方式绑定设备区域位置管理资产信息，适应不同工程厂商在网络开局阶段的工作流程，提供高效的资产登记和网络规划方案，提供产品功能界面截图证明；</w:t>
            </w:r>
            <w:r>
              <w:rPr>
                <w:rFonts w:hint="eastAsia" w:ascii="宋体" w:hAnsi="宋体" w:eastAsia="宋体" w:cs="Times New Roman"/>
                <w:sz w:val="21"/>
                <w:szCs w:val="21"/>
              </w:rPr>
              <w:br w:type="textWrapping"/>
            </w:r>
            <w:r>
              <w:rPr>
                <w:rFonts w:hint="eastAsia" w:ascii="宋体" w:hAnsi="宋体" w:eastAsia="宋体" w:cs="Times New Roman"/>
                <w:sz w:val="21"/>
                <w:szCs w:val="21"/>
              </w:rPr>
              <w:t>11.支持创建交换机的业务模板，支持图形化界面提前规划各端口业务，提供产品功能界面截图证明；</w:t>
            </w:r>
            <w:r>
              <w:rPr>
                <w:rFonts w:hint="eastAsia" w:ascii="宋体" w:hAnsi="宋体" w:eastAsia="宋体" w:cs="Times New Roman"/>
                <w:sz w:val="21"/>
                <w:szCs w:val="21"/>
              </w:rPr>
              <w:br w:type="textWrapping"/>
            </w:r>
            <w:r>
              <w:rPr>
                <w:rFonts w:hint="eastAsia" w:ascii="宋体" w:hAnsi="宋体" w:eastAsia="宋体" w:cs="Times New Roman"/>
                <w:sz w:val="21"/>
                <w:szCs w:val="21"/>
              </w:rPr>
              <w:t>12.支持光模块与光链路运维检测与故障告警，并可在拓扑中呈现并查看详细信息，包括提供告警原因分析与处理建议，提供产品功能界面截图证明；</w:t>
            </w:r>
            <w:r>
              <w:rPr>
                <w:rFonts w:hint="eastAsia" w:ascii="宋体" w:hAnsi="宋体" w:eastAsia="宋体" w:cs="Times New Roman"/>
                <w:sz w:val="21"/>
                <w:szCs w:val="21"/>
              </w:rPr>
              <w:br w:type="textWrapping"/>
            </w:r>
            <w:r>
              <w:rPr>
                <w:rFonts w:hint="eastAsia" w:ascii="宋体" w:hAnsi="宋体" w:eastAsia="宋体" w:cs="Times New Roman"/>
                <w:sz w:val="21"/>
                <w:szCs w:val="21"/>
              </w:rPr>
              <w:t>13.支持分级分权的账号审批，不同的账号有不同的审批范围和权限。可以根据业务网分组生成对应范围权限的管理账号，提供功能截图</w:t>
            </w:r>
            <w:r>
              <w:rPr>
                <w:rFonts w:hint="eastAsia" w:ascii="宋体" w:hAnsi="宋体" w:eastAsia="宋体" w:cs="Times New Roman"/>
                <w:sz w:val="21"/>
                <w:szCs w:val="21"/>
              </w:rPr>
              <w:br w:type="textWrapping"/>
            </w:r>
            <w:r>
              <w:rPr>
                <w:rFonts w:hint="eastAsia" w:ascii="宋体" w:hAnsi="宋体" w:eastAsia="宋体" w:cs="Times New Roman"/>
                <w:sz w:val="21"/>
                <w:szCs w:val="21"/>
              </w:rPr>
              <w:t>14.出现控制器故障时，支持逃生机制，不影响当前业务运行，用户的安全策略不变，保留中标后测试权利。</w:t>
            </w:r>
            <w:r>
              <w:rPr>
                <w:rFonts w:hint="eastAsia" w:ascii="宋体" w:hAnsi="宋体" w:eastAsia="宋体" w:cs="Times New Roman"/>
                <w:sz w:val="21"/>
                <w:szCs w:val="21"/>
              </w:rPr>
              <w:br w:type="textWrapping"/>
            </w:r>
            <w:r>
              <w:rPr>
                <w:rFonts w:hint="eastAsia" w:ascii="宋体" w:hAnsi="宋体" w:eastAsia="宋体" w:cs="Times New Roman"/>
                <w:sz w:val="21"/>
                <w:szCs w:val="21"/>
              </w:rPr>
              <w:t>15.需保证与甲方现有硬件设备具有良好的兼容性。</w:t>
            </w:r>
            <w:r>
              <w:rPr>
                <w:rFonts w:hint="eastAsia" w:ascii="宋体" w:hAnsi="宋体" w:eastAsia="宋体" w:cs="Times New Roman"/>
                <w:sz w:val="21"/>
                <w:szCs w:val="21"/>
              </w:rPr>
              <w:br w:type="textWrapping"/>
            </w:r>
            <w:r>
              <w:rPr>
                <w:rFonts w:hint="eastAsia" w:ascii="宋体" w:hAnsi="宋体" w:eastAsia="宋体" w:cs="Times New Roman"/>
                <w:sz w:val="21"/>
                <w:szCs w:val="21"/>
              </w:rPr>
              <w:t>16.上述功能需保证为永久授权不得单另收费。</w:t>
            </w:r>
          </w:p>
        </w:tc>
        <w:tc>
          <w:tcPr>
            <w:tcW w:w="811" w:type="dxa"/>
            <w:vAlign w:val="center"/>
          </w:tcPr>
          <w:p w14:paraId="33E2DEC6">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567" w:type="dxa"/>
            <w:vAlign w:val="center"/>
          </w:tcPr>
          <w:p w14:paraId="44B95AFA">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套</w:t>
            </w:r>
          </w:p>
        </w:tc>
        <w:tc>
          <w:tcPr>
            <w:tcW w:w="709" w:type="dxa"/>
            <w:vAlign w:val="center"/>
          </w:tcPr>
          <w:p w14:paraId="0AEF76A2">
            <w:pPr>
              <w:spacing w:after="0" w:line="240" w:lineRule="auto"/>
              <w:rPr>
                <w:rFonts w:ascii="宋体" w:hAnsi="宋体" w:eastAsia="宋体" w:cs="Times New Roman"/>
                <w:sz w:val="21"/>
                <w:szCs w:val="21"/>
              </w:rPr>
            </w:pPr>
            <w:r>
              <w:rPr>
                <w:rFonts w:hint="eastAsia" w:ascii="宋体" w:hAnsi="宋体" w:eastAsia="宋体" w:cs="Times New Roman"/>
                <w:sz w:val="21"/>
                <w:szCs w:val="21"/>
              </w:rPr>
              <w:t>3年</w:t>
            </w:r>
          </w:p>
        </w:tc>
      </w:tr>
      <w:tr w14:paraId="7BE82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7" w:type="dxa"/>
            <w:shd w:val="clear" w:color="auto" w:fill="auto"/>
            <w:vAlign w:val="center"/>
          </w:tcPr>
          <w:p w14:paraId="7F238997">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13</w:t>
            </w:r>
          </w:p>
        </w:tc>
        <w:tc>
          <w:tcPr>
            <w:tcW w:w="1113" w:type="dxa"/>
            <w:shd w:val="clear" w:color="auto" w:fill="auto"/>
            <w:vAlign w:val="center"/>
          </w:tcPr>
          <w:p w14:paraId="47C01385">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折叠式多焦段三摄航拍无人机</w:t>
            </w:r>
          </w:p>
        </w:tc>
        <w:tc>
          <w:tcPr>
            <w:tcW w:w="5431" w:type="dxa"/>
            <w:shd w:val="clear" w:color="auto" w:fill="auto"/>
            <w:vAlign w:val="center"/>
          </w:tcPr>
          <w:p w14:paraId="0878F072">
            <w:pPr>
              <w:spacing w:after="0" w:line="240" w:lineRule="auto"/>
              <w:rPr>
                <w:rFonts w:ascii="宋体" w:hAnsi="宋体" w:eastAsia="宋体" w:cs="Times New Roman"/>
                <w:sz w:val="21"/>
                <w:szCs w:val="21"/>
              </w:rPr>
            </w:pPr>
            <w:r>
              <w:rPr>
                <w:rFonts w:hint="eastAsia" w:ascii="宋体" w:hAnsi="宋体" w:eastAsia="宋体" w:cs="Times New Roman"/>
                <w:sz w:val="21"/>
                <w:szCs w:val="21"/>
              </w:rPr>
              <w:t>折叠式多焦段三摄航拍无人机</w:t>
            </w:r>
            <w:r>
              <w:rPr>
                <w:rFonts w:hint="eastAsia" w:ascii="宋体" w:hAnsi="宋体" w:eastAsia="宋体" w:cs="Times New Roman"/>
                <w:sz w:val="21"/>
                <w:szCs w:val="21"/>
              </w:rPr>
              <w:br w:type="textWrapping"/>
            </w:r>
            <w:r>
              <w:rPr>
                <w:rFonts w:hint="eastAsia" w:ascii="宋体" w:hAnsi="宋体" w:eastAsia="宋体" w:cs="Times New Roman"/>
                <w:sz w:val="21"/>
                <w:szCs w:val="21"/>
              </w:rPr>
              <w:t>需满足以下要求</w:t>
            </w:r>
            <w:r>
              <w:rPr>
                <w:rFonts w:hint="eastAsia" w:ascii="MS Mincho" w:hAnsi="MS Mincho" w:eastAsia="MS Mincho" w:cs="MS Mincho"/>
                <w:sz w:val="21"/>
                <w:szCs w:val="21"/>
              </w:rPr>
              <w:t>​​</w:t>
            </w:r>
            <w:r>
              <w:rPr>
                <w:rFonts w:hint="eastAsia" w:ascii="宋体" w:hAnsi="宋体" w:eastAsia="宋体" w:cs="微软雅黑"/>
                <w:sz w:val="21"/>
                <w:szCs w:val="21"/>
              </w:rPr>
              <w:t>：</w:t>
            </w:r>
            <w:r>
              <w:rPr>
                <w:rFonts w:hint="eastAsia" w:ascii="宋体" w:hAnsi="宋体" w:eastAsia="宋体" w:cs="Times New Roman"/>
                <w:sz w:val="21"/>
                <w:szCs w:val="21"/>
              </w:rPr>
              <w:br w:type="textWrapping"/>
            </w:r>
            <w:r>
              <w:rPr>
                <w:rFonts w:hint="eastAsia" w:ascii="MS Mincho" w:hAnsi="MS Mincho" w:eastAsia="MS Mincho" w:cs="MS Mincho"/>
                <w:sz w:val="21"/>
                <w:szCs w:val="21"/>
              </w:rPr>
              <w:t>​​</w:t>
            </w:r>
            <w:r>
              <w:rPr>
                <w:rFonts w:hint="eastAsia" w:ascii="宋体" w:hAnsi="宋体" w:eastAsia="宋体" w:cs="Times New Roman"/>
                <w:sz w:val="21"/>
                <w:szCs w:val="21"/>
              </w:rPr>
              <w:t>1.飞行性能</w:t>
            </w:r>
            <w:r>
              <w:rPr>
                <w:rFonts w:hint="eastAsia" w:ascii="MS Mincho" w:hAnsi="MS Mincho" w:eastAsia="MS Mincho" w:cs="MS Mincho"/>
                <w:sz w:val="21"/>
                <w:szCs w:val="21"/>
              </w:rPr>
              <w:t>​​</w:t>
            </w:r>
            <w:r>
              <w:rPr>
                <w:rFonts w:hint="eastAsia" w:ascii="宋体" w:hAnsi="宋体" w:eastAsia="宋体" w:cs="微软雅黑"/>
                <w:sz w:val="21"/>
                <w:szCs w:val="21"/>
              </w:rPr>
              <w:t>：最大上升速度：≥</w:t>
            </w:r>
            <w:r>
              <w:rPr>
                <w:rFonts w:hint="eastAsia" w:ascii="宋体" w:hAnsi="宋体" w:eastAsia="宋体" w:cs="Times New Roman"/>
                <w:sz w:val="21"/>
                <w:szCs w:val="21"/>
              </w:rPr>
              <w:t>8m/s，最大下降速度：≥6m/s，最大水平飞行速度：≥21m/s，最大抗风速度：≥12m/s，最大起飞海拔：≥6000米。续航能力</w:t>
            </w:r>
            <w:r>
              <w:rPr>
                <w:rFonts w:hint="eastAsia" w:ascii="MS Mincho" w:hAnsi="MS Mincho" w:eastAsia="MS Mincho" w:cs="MS Mincho"/>
                <w:sz w:val="21"/>
                <w:szCs w:val="21"/>
              </w:rPr>
              <w:t>​​</w:t>
            </w:r>
            <w:r>
              <w:rPr>
                <w:rFonts w:hint="eastAsia" w:ascii="宋体" w:hAnsi="宋体" w:eastAsia="宋体" w:cs="微软雅黑"/>
                <w:sz w:val="21"/>
                <w:szCs w:val="21"/>
              </w:rPr>
              <w:t>：最长飞行时间：≥</w:t>
            </w:r>
            <w:r>
              <w:rPr>
                <w:rFonts w:hint="eastAsia" w:ascii="宋体" w:hAnsi="宋体" w:eastAsia="宋体" w:cs="Times New Roman"/>
                <w:sz w:val="21"/>
                <w:szCs w:val="21"/>
              </w:rPr>
              <w:t>43分钟，最长悬停时间：≥37分钟，最大续航里程：≥28公里。</w:t>
            </w:r>
            <w:r>
              <w:rPr>
                <w:rFonts w:hint="eastAsia" w:ascii="宋体" w:hAnsi="宋体" w:eastAsia="宋体" w:cs="Times New Roman"/>
                <w:sz w:val="21"/>
                <w:szCs w:val="21"/>
              </w:rPr>
              <w:br w:type="textWrapping"/>
            </w:r>
            <w:r>
              <w:rPr>
                <w:rFonts w:hint="eastAsia" w:ascii="MS Mincho" w:hAnsi="MS Mincho" w:eastAsia="MS Mincho" w:cs="MS Mincho"/>
                <w:sz w:val="21"/>
                <w:szCs w:val="21"/>
              </w:rPr>
              <w:t>​​​​</w:t>
            </w:r>
            <w:r>
              <w:rPr>
                <w:rFonts w:hint="eastAsia" w:ascii="宋体" w:hAnsi="宋体" w:eastAsia="宋体" w:cs="Times New Roman"/>
                <w:sz w:val="21"/>
                <w:szCs w:val="21"/>
              </w:rPr>
              <w:t>2.影像系统</w:t>
            </w:r>
            <w:r>
              <w:rPr>
                <w:rFonts w:hint="eastAsia" w:ascii="MS Mincho" w:hAnsi="MS Mincho" w:eastAsia="MS Mincho" w:cs="MS Mincho"/>
                <w:sz w:val="21"/>
                <w:szCs w:val="21"/>
              </w:rPr>
              <w:t>​​</w:t>
            </w:r>
            <w:r>
              <w:rPr>
                <w:rFonts w:hint="eastAsia" w:ascii="宋体" w:hAnsi="宋体" w:eastAsia="宋体" w:cs="微软雅黑"/>
                <w:sz w:val="21"/>
                <w:szCs w:val="21"/>
              </w:rPr>
              <w:t>：多焦段相机配置</w:t>
            </w:r>
            <w:r>
              <w:rPr>
                <w:rFonts w:hint="eastAsia" w:ascii="MS Mincho" w:hAnsi="MS Mincho" w:eastAsia="MS Mincho" w:cs="MS Mincho"/>
                <w:sz w:val="21"/>
                <w:szCs w:val="21"/>
              </w:rPr>
              <w:t>​​</w:t>
            </w:r>
            <w:r>
              <w:rPr>
                <w:rFonts w:hint="eastAsia" w:ascii="宋体" w:hAnsi="宋体" w:eastAsia="宋体" w:cs="微软雅黑"/>
                <w:sz w:val="21"/>
                <w:szCs w:val="21"/>
              </w:rPr>
              <w:t>，哈苏相机：传感器：≥</w:t>
            </w:r>
            <w:r>
              <w:rPr>
                <w:rFonts w:hint="eastAsia" w:ascii="宋体" w:hAnsi="宋体" w:eastAsia="宋体" w:cs="Times New Roman"/>
                <w:sz w:val="21"/>
                <w:szCs w:val="21"/>
              </w:rPr>
              <w:t>2000万像素，视频分辨率：≥5.1K@50fps，码率：H.265/H.264 ≥200Mbps；中长焦相机：</w:t>
            </w:r>
            <w:r>
              <w:rPr>
                <w:rFonts w:hint="eastAsia" w:ascii="MS Mincho" w:hAnsi="MS Mincho" w:eastAsia="MS Mincho" w:cs="MS Mincho"/>
                <w:sz w:val="21"/>
                <w:szCs w:val="21"/>
              </w:rPr>
              <w:t>​​</w:t>
            </w:r>
            <w:r>
              <w:rPr>
                <w:rFonts w:hint="eastAsia" w:ascii="宋体" w:hAnsi="宋体" w:eastAsia="宋体" w:cs="微软雅黑"/>
                <w:sz w:val="21"/>
                <w:szCs w:val="21"/>
              </w:rPr>
              <w:t>传感器≥</w:t>
            </w:r>
            <w:r>
              <w:rPr>
                <w:rFonts w:hint="eastAsia" w:ascii="宋体" w:hAnsi="宋体" w:eastAsia="宋体" w:cs="Times New Roman"/>
                <w:sz w:val="21"/>
                <w:szCs w:val="21"/>
              </w:rPr>
              <w:t>4800万像素，视频分辨率：≥4K@60fps；长焦相机</w:t>
            </w:r>
            <w:r>
              <w:rPr>
                <w:rFonts w:hint="eastAsia" w:ascii="MS Mincho" w:hAnsi="MS Mincho" w:eastAsia="MS Mincho" w:cs="MS Mincho"/>
                <w:sz w:val="21"/>
                <w:szCs w:val="21"/>
              </w:rPr>
              <w:t>​​</w:t>
            </w:r>
            <w:r>
              <w:rPr>
                <w:rFonts w:hint="eastAsia" w:ascii="宋体" w:hAnsi="宋体" w:eastAsia="宋体" w:cs="微软雅黑"/>
                <w:sz w:val="21"/>
                <w:szCs w:val="21"/>
              </w:rPr>
              <w:t>：传感器：≥</w:t>
            </w:r>
            <w:r>
              <w:rPr>
                <w:rFonts w:hint="eastAsia" w:ascii="宋体" w:hAnsi="宋体" w:eastAsia="宋体" w:cs="Times New Roman"/>
                <w:sz w:val="21"/>
                <w:szCs w:val="21"/>
              </w:rPr>
              <w:t>1200万像素，等效焦距：≥166mm，光圈f/3.4，视频分辨率：≥4K@60fps；</w:t>
            </w:r>
            <w:r>
              <w:rPr>
                <w:rFonts w:hint="eastAsia" w:ascii="MS Mincho" w:hAnsi="MS Mincho" w:eastAsia="MS Mincho" w:cs="MS Mincho"/>
                <w:sz w:val="21"/>
                <w:szCs w:val="21"/>
              </w:rPr>
              <w:t>​​</w:t>
            </w:r>
            <w:r>
              <w:rPr>
                <w:rFonts w:hint="eastAsia" w:ascii="宋体" w:hAnsi="宋体" w:eastAsia="宋体" w:cs="微软雅黑"/>
                <w:sz w:val="21"/>
                <w:szCs w:val="21"/>
              </w:rPr>
              <w:t>拍摄模式</w:t>
            </w:r>
            <w:r>
              <w:rPr>
                <w:rFonts w:hint="eastAsia" w:ascii="MS Mincho" w:hAnsi="MS Mincho" w:eastAsia="MS Mincho" w:cs="MS Mincho"/>
                <w:sz w:val="21"/>
                <w:szCs w:val="21"/>
              </w:rPr>
              <w:t>​​</w:t>
            </w:r>
            <w:r>
              <w:rPr>
                <w:rFonts w:hint="eastAsia" w:ascii="宋体" w:hAnsi="宋体" w:eastAsia="宋体" w:cs="微软雅黑"/>
                <w:sz w:val="21"/>
                <w:szCs w:val="21"/>
              </w:rPr>
              <w:t>：支持单张</w:t>
            </w:r>
            <w:r>
              <w:rPr>
                <w:rFonts w:hint="eastAsia" w:ascii="宋体" w:hAnsi="宋体" w:eastAsia="宋体" w:cs="Times New Roman"/>
                <w:sz w:val="21"/>
                <w:szCs w:val="21"/>
              </w:rPr>
              <w:t>/连拍/自动包围曝光/定时拍摄，数字变焦：1-28倍，文件格式：支持JPEG/DNG（照片）；支持MP4/MOV（视频）</w:t>
            </w:r>
            <w:r>
              <w:rPr>
                <w:rFonts w:hint="eastAsia" w:ascii="宋体" w:hAnsi="宋体" w:eastAsia="宋体" w:cs="Times New Roman"/>
                <w:sz w:val="21"/>
                <w:szCs w:val="21"/>
              </w:rPr>
              <w:br w:type="textWrapping"/>
            </w:r>
            <w:r>
              <w:rPr>
                <w:rFonts w:hint="eastAsia" w:ascii="MS Mincho" w:hAnsi="MS Mincho" w:eastAsia="MS Mincho" w:cs="MS Mincho"/>
                <w:sz w:val="21"/>
                <w:szCs w:val="21"/>
              </w:rPr>
              <w:t>​​</w:t>
            </w:r>
            <w:r>
              <w:rPr>
                <w:rFonts w:hint="eastAsia" w:ascii="宋体" w:hAnsi="宋体" w:eastAsia="宋体" w:cs="Times New Roman"/>
                <w:sz w:val="21"/>
                <w:szCs w:val="21"/>
              </w:rPr>
              <w:t>3.云台与稳定系统</w:t>
            </w:r>
            <w:r>
              <w:rPr>
                <w:rFonts w:hint="eastAsia" w:ascii="MS Mincho" w:hAnsi="MS Mincho" w:eastAsia="MS Mincho" w:cs="MS Mincho"/>
                <w:sz w:val="21"/>
                <w:szCs w:val="21"/>
              </w:rPr>
              <w:t>​​</w:t>
            </w:r>
            <w:r>
              <w:rPr>
                <w:rFonts w:hint="eastAsia" w:ascii="宋体" w:hAnsi="宋体" w:eastAsia="宋体" w:cs="微软雅黑"/>
                <w:sz w:val="21"/>
                <w:szCs w:val="21"/>
              </w:rPr>
              <w:t>：三轴机械云台</w:t>
            </w:r>
            <w:r>
              <w:rPr>
                <w:rFonts w:hint="eastAsia" w:ascii="MS Mincho" w:hAnsi="MS Mincho" w:eastAsia="MS Mincho" w:cs="MS Mincho"/>
                <w:sz w:val="21"/>
                <w:szCs w:val="21"/>
              </w:rPr>
              <w:t>​​</w:t>
            </w:r>
            <w:r>
              <w:rPr>
                <w:rFonts w:hint="eastAsia" w:ascii="宋体" w:hAnsi="宋体" w:eastAsia="宋体" w:cs="微软雅黑"/>
                <w:sz w:val="21"/>
                <w:szCs w:val="21"/>
              </w:rPr>
              <w:t>支持俯仰</w:t>
            </w:r>
            <w:r>
              <w:rPr>
                <w:rFonts w:hint="eastAsia" w:ascii="宋体" w:hAnsi="宋体" w:eastAsia="宋体" w:cs="Times New Roman"/>
                <w:sz w:val="21"/>
                <w:szCs w:val="21"/>
              </w:rPr>
              <w:t>/横滚/偏航三轴稳定，可控转动范围：俯仰-90°至35°，偏航-5°至5°，最大控制转速：≥100°/秒（俯仰）；稳定性</w:t>
            </w:r>
            <w:r>
              <w:rPr>
                <w:rFonts w:hint="eastAsia" w:ascii="MS Mincho" w:hAnsi="MS Mincho" w:eastAsia="MS Mincho" w:cs="MS Mincho"/>
                <w:sz w:val="21"/>
                <w:szCs w:val="21"/>
              </w:rPr>
              <w:t>​​</w:t>
            </w:r>
            <w:r>
              <w:rPr>
                <w:rFonts w:hint="eastAsia" w:ascii="宋体" w:hAnsi="宋体" w:eastAsia="宋体" w:cs="微软雅黑"/>
                <w:sz w:val="21"/>
                <w:szCs w:val="21"/>
              </w:rPr>
              <w:t>角度抖动量：±</w:t>
            </w:r>
            <w:r>
              <w:rPr>
                <w:rFonts w:hint="eastAsia" w:ascii="宋体" w:hAnsi="宋体" w:eastAsia="宋体" w:cs="Times New Roman"/>
                <w:sz w:val="21"/>
                <w:szCs w:val="21"/>
              </w:rPr>
              <w:t>0.001°（无风悬停）</w:t>
            </w:r>
            <w:r>
              <w:rPr>
                <w:rFonts w:hint="eastAsia" w:ascii="宋体" w:hAnsi="宋体" w:eastAsia="宋体" w:cs="Times New Roman"/>
                <w:sz w:val="21"/>
                <w:szCs w:val="21"/>
              </w:rPr>
              <w:br w:type="textWrapping"/>
            </w:r>
            <w:r>
              <w:rPr>
                <w:rFonts w:hint="eastAsia" w:ascii="MS Mincho" w:hAnsi="MS Mincho" w:eastAsia="MS Mincho" w:cs="MS Mincho"/>
                <w:sz w:val="21"/>
                <w:szCs w:val="21"/>
              </w:rPr>
              <w:t>​​</w:t>
            </w:r>
            <w:r>
              <w:rPr>
                <w:rFonts w:hint="eastAsia" w:ascii="宋体" w:hAnsi="宋体" w:eastAsia="宋体" w:cs="Times New Roman"/>
                <w:sz w:val="21"/>
                <w:szCs w:val="21"/>
              </w:rPr>
              <w:t>4.感知与避障</w:t>
            </w:r>
            <w:r>
              <w:rPr>
                <w:rFonts w:hint="eastAsia" w:ascii="MS Mincho" w:hAnsi="MS Mincho" w:eastAsia="MS Mincho" w:cs="MS Mincho"/>
                <w:sz w:val="21"/>
                <w:szCs w:val="21"/>
              </w:rPr>
              <w:t>​​</w:t>
            </w:r>
            <w:r>
              <w:rPr>
                <w:rFonts w:hint="eastAsia" w:ascii="宋体" w:hAnsi="宋体" w:eastAsia="宋体" w:cs="微软雅黑"/>
                <w:sz w:val="21"/>
                <w:szCs w:val="21"/>
              </w:rPr>
              <w:t>：全向双目视觉系统</w:t>
            </w:r>
            <w:r>
              <w:rPr>
                <w:rFonts w:hint="eastAsia" w:ascii="MS Mincho" w:hAnsi="MS Mincho" w:eastAsia="MS Mincho" w:cs="MS Mincho"/>
                <w:sz w:val="21"/>
                <w:szCs w:val="21"/>
              </w:rPr>
              <w:t>​​</w:t>
            </w:r>
            <w:r>
              <w:rPr>
                <w:rFonts w:hint="eastAsia" w:ascii="宋体" w:hAnsi="宋体" w:eastAsia="宋体" w:cs="微软雅黑"/>
                <w:sz w:val="21"/>
                <w:szCs w:val="21"/>
              </w:rPr>
              <w:t>，前</w:t>
            </w:r>
            <w:r>
              <w:rPr>
                <w:rFonts w:hint="eastAsia" w:ascii="宋体" w:hAnsi="宋体" w:eastAsia="宋体" w:cs="Times New Roman"/>
                <w:sz w:val="21"/>
                <w:szCs w:val="21"/>
              </w:rPr>
              <w:t>/后/左/右/上/下多向避障</w:t>
            </w:r>
            <w:r>
              <w:rPr>
                <w:rFonts w:hint="eastAsia" w:ascii="宋体" w:hAnsi="宋体" w:eastAsia="宋体" w:cs="Times New Roman"/>
                <w:sz w:val="21"/>
                <w:szCs w:val="21"/>
              </w:rPr>
              <w:br w:type="textWrapping"/>
            </w:r>
            <w:r>
              <w:rPr>
                <w:rFonts w:hint="eastAsia" w:ascii="MS Mincho" w:hAnsi="MS Mincho" w:eastAsia="MS Mincho" w:cs="MS Mincho"/>
                <w:sz w:val="21"/>
                <w:szCs w:val="21"/>
              </w:rPr>
              <w:t>​​</w:t>
            </w:r>
            <w:r>
              <w:rPr>
                <w:rFonts w:hint="eastAsia" w:ascii="宋体" w:hAnsi="宋体" w:eastAsia="宋体" w:cs="Times New Roman"/>
                <w:sz w:val="21"/>
                <w:szCs w:val="21"/>
              </w:rPr>
              <w:t>5.图传系统</w:t>
            </w:r>
            <w:r>
              <w:rPr>
                <w:rFonts w:hint="eastAsia" w:ascii="MS Mincho" w:hAnsi="MS Mincho" w:eastAsia="MS Mincho" w:cs="MS Mincho"/>
                <w:sz w:val="21"/>
                <w:szCs w:val="21"/>
              </w:rPr>
              <w:t>​​​​</w:t>
            </w:r>
            <w:r>
              <w:rPr>
                <w:rFonts w:hint="eastAsia" w:ascii="宋体" w:hAnsi="宋体" w:eastAsia="宋体" w:cs="微软雅黑"/>
                <w:sz w:val="21"/>
                <w:szCs w:val="21"/>
              </w:rPr>
              <w:t>：实时图传质量：</w:t>
            </w:r>
            <w:r>
              <w:rPr>
                <w:rFonts w:hint="eastAsia" w:ascii="宋体" w:hAnsi="宋体" w:eastAsia="宋体" w:cs="Times New Roman"/>
                <w:sz w:val="21"/>
                <w:szCs w:val="21"/>
              </w:rPr>
              <w:t>1080p@ps，信号距离：≥15公里（FCC标准，无干扰），最低延时：≤120ms，下载速率：≥80MB/s</w:t>
            </w:r>
            <w:r>
              <w:rPr>
                <w:rFonts w:hint="eastAsia" w:ascii="宋体" w:hAnsi="宋体" w:eastAsia="宋体" w:cs="Times New Roman"/>
                <w:sz w:val="21"/>
                <w:szCs w:val="21"/>
              </w:rPr>
              <w:br w:type="textWrapping"/>
            </w:r>
            <w:r>
              <w:rPr>
                <w:rFonts w:hint="eastAsia" w:ascii="MS Mincho" w:hAnsi="MS Mincho" w:eastAsia="MS Mincho" w:cs="MS Mincho"/>
                <w:sz w:val="21"/>
                <w:szCs w:val="21"/>
              </w:rPr>
              <w:t>​​</w:t>
            </w:r>
            <w:r>
              <w:rPr>
                <w:rFonts w:hint="eastAsia" w:ascii="宋体" w:hAnsi="宋体" w:eastAsia="宋体" w:cs="Times New Roman"/>
                <w:sz w:val="21"/>
                <w:szCs w:val="21"/>
              </w:rPr>
              <w:t>6.电池与充电</w:t>
            </w:r>
            <w:r>
              <w:rPr>
                <w:rFonts w:hint="eastAsia" w:ascii="MS Mincho" w:hAnsi="MS Mincho" w:eastAsia="MS Mincho" w:cs="MS Mincho"/>
                <w:sz w:val="21"/>
                <w:szCs w:val="21"/>
              </w:rPr>
              <w:t>​​</w:t>
            </w:r>
            <w:r>
              <w:rPr>
                <w:rFonts w:hint="eastAsia" w:ascii="宋体" w:hAnsi="宋体" w:eastAsia="宋体" w:cs="微软雅黑"/>
                <w:sz w:val="21"/>
                <w:szCs w:val="21"/>
              </w:rPr>
              <w:t>：电池规格</w:t>
            </w:r>
            <w:r>
              <w:rPr>
                <w:rFonts w:hint="eastAsia" w:ascii="MS Mincho" w:hAnsi="MS Mincho" w:eastAsia="MS Mincho" w:cs="MS Mincho"/>
                <w:sz w:val="21"/>
                <w:szCs w:val="21"/>
              </w:rPr>
              <w:t>​​</w:t>
            </w:r>
            <w:r>
              <w:rPr>
                <w:rFonts w:hint="eastAsia" w:ascii="宋体" w:hAnsi="宋体" w:eastAsia="宋体" w:cs="微软雅黑"/>
                <w:sz w:val="21"/>
                <w:szCs w:val="21"/>
              </w:rPr>
              <w:t>，容量：≥</w:t>
            </w:r>
            <w:r>
              <w:rPr>
                <w:rFonts w:hint="eastAsia" w:ascii="宋体" w:hAnsi="宋体" w:eastAsia="宋体" w:cs="Times New Roman"/>
                <w:sz w:val="21"/>
                <w:szCs w:val="21"/>
              </w:rPr>
              <w:t>5000mAh，≥77Wh，充电时间：≤70分钟，适配器</w:t>
            </w:r>
            <w:r>
              <w:rPr>
                <w:rFonts w:hint="eastAsia" w:ascii="MS Mincho" w:hAnsi="MS Mincho" w:eastAsia="MS Mincho" w:cs="MS Mincho"/>
                <w:sz w:val="21"/>
                <w:szCs w:val="21"/>
              </w:rPr>
              <w:t>​​</w:t>
            </w:r>
            <w:r>
              <w:rPr>
                <w:rFonts w:hint="eastAsia" w:ascii="宋体" w:hAnsi="宋体" w:eastAsia="宋体" w:cs="微软雅黑"/>
                <w:sz w:val="21"/>
                <w:szCs w:val="21"/>
              </w:rPr>
              <w:t>支持</w:t>
            </w:r>
            <w:r>
              <w:rPr>
                <w:rFonts w:hint="eastAsia" w:ascii="宋体" w:hAnsi="宋体" w:eastAsia="宋体" w:cs="Times New Roman"/>
                <w:sz w:val="21"/>
                <w:szCs w:val="21"/>
              </w:rPr>
              <w:t>65W/100W快充，支持车载充电</w:t>
            </w:r>
            <w:r>
              <w:rPr>
                <w:rFonts w:hint="eastAsia" w:ascii="宋体" w:hAnsi="宋体" w:eastAsia="宋体" w:cs="Times New Roman"/>
                <w:sz w:val="21"/>
                <w:szCs w:val="21"/>
              </w:rPr>
              <w:br w:type="textWrapping"/>
            </w:r>
            <w:r>
              <w:rPr>
                <w:rFonts w:hint="eastAsia" w:ascii="MS Mincho" w:hAnsi="MS Mincho" w:eastAsia="MS Mincho" w:cs="MS Mincho"/>
                <w:sz w:val="21"/>
                <w:szCs w:val="21"/>
              </w:rPr>
              <w:t>​​</w:t>
            </w:r>
            <w:r>
              <w:rPr>
                <w:rFonts w:hint="eastAsia" w:ascii="宋体" w:hAnsi="宋体" w:eastAsia="宋体" w:cs="Times New Roman"/>
                <w:sz w:val="21"/>
                <w:szCs w:val="21"/>
              </w:rPr>
              <w:t>7.存储与扩展</w:t>
            </w:r>
            <w:r>
              <w:rPr>
                <w:rFonts w:hint="eastAsia" w:ascii="MS Mincho" w:hAnsi="MS Mincho" w:eastAsia="MS Mincho" w:cs="MS Mincho"/>
                <w:sz w:val="21"/>
                <w:szCs w:val="21"/>
              </w:rPr>
              <w:t>​​</w:t>
            </w:r>
            <w:r>
              <w:rPr>
                <w:rFonts w:hint="eastAsia" w:ascii="宋体" w:hAnsi="宋体" w:eastAsia="宋体" w:cs="微软雅黑"/>
                <w:sz w:val="21"/>
                <w:szCs w:val="21"/>
              </w:rPr>
              <w:t>：机载内存</w:t>
            </w:r>
            <w:r>
              <w:rPr>
                <w:rFonts w:hint="eastAsia" w:ascii="MS Mincho" w:hAnsi="MS Mincho" w:eastAsia="MS Mincho" w:cs="MS Mincho"/>
                <w:sz w:val="21"/>
                <w:szCs w:val="21"/>
              </w:rPr>
              <w:t>​​</w:t>
            </w:r>
            <w:r>
              <w:rPr>
                <w:rFonts w:hint="eastAsia" w:ascii="宋体" w:hAnsi="宋体" w:eastAsia="宋体" w:cs="微软雅黑"/>
                <w:sz w:val="21"/>
                <w:szCs w:val="21"/>
              </w:rPr>
              <w:t>≥</w:t>
            </w:r>
            <w:r>
              <w:rPr>
                <w:rFonts w:hint="eastAsia" w:ascii="宋体" w:hAnsi="宋体" w:eastAsia="宋体" w:cs="Times New Roman"/>
                <w:sz w:val="21"/>
                <w:szCs w:val="21"/>
              </w:rPr>
              <w:t>8GB，存储卡兼容性</w:t>
            </w:r>
            <w:r>
              <w:rPr>
                <w:rFonts w:hint="eastAsia" w:ascii="MS Mincho" w:hAnsi="MS Mincho" w:eastAsia="MS Mincho" w:cs="MS Mincho"/>
                <w:sz w:val="21"/>
                <w:szCs w:val="21"/>
              </w:rPr>
              <w:t>​​</w:t>
            </w:r>
            <w:r>
              <w:rPr>
                <w:rFonts w:hint="eastAsia" w:ascii="宋体" w:hAnsi="宋体" w:eastAsia="宋体" w:cs="微软雅黑"/>
                <w:sz w:val="21"/>
                <w:szCs w:val="21"/>
              </w:rPr>
              <w:t>，支持</w:t>
            </w:r>
            <w:r>
              <w:rPr>
                <w:rFonts w:hint="eastAsia" w:ascii="宋体" w:hAnsi="宋体" w:eastAsia="宋体" w:cs="Times New Roman"/>
                <w:sz w:val="21"/>
                <w:szCs w:val="21"/>
              </w:rPr>
              <w:t>Lexar/SanDisk/Kingston V30 microSDXC</w:t>
            </w:r>
            <w:r>
              <w:rPr>
                <w:rFonts w:hint="eastAsia" w:ascii="宋体" w:hAnsi="宋体" w:eastAsia="宋体" w:cs="Times New Roman"/>
                <w:sz w:val="21"/>
                <w:szCs w:val="21"/>
              </w:rPr>
              <w:br w:type="textWrapping"/>
            </w:r>
            <w:r>
              <w:rPr>
                <w:rFonts w:hint="eastAsia" w:ascii="宋体" w:hAnsi="宋体" w:eastAsia="宋体" w:cs="Times New Roman"/>
                <w:sz w:val="21"/>
                <w:szCs w:val="21"/>
              </w:rPr>
              <w:t>8.原厂带屏遥控器≥1个，原厂大容量电池≥3块，配套3张高速SD存储卡容量≥256GB</w:t>
            </w:r>
          </w:p>
        </w:tc>
        <w:tc>
          <w:tcPr>
            <w:tcW w:w="811" w:type="dxa"/>
            <w:vAlign w:val="center"/>
          </w:tcPr>
          <w:p w14:paraId="499D2147">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567" w:type="dxa"/>
            <w:vAlign w:val="center"/>
          </w:tcPr>
          <w:p w14:paraId="2FFA5FA1">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台</w:t>
            </w:r>
          </w:p>
        </w:tc>
        <w:tc>
          <w:tcPr>
            <w:tcW w:w="709" w:type="dxa"/>
            <w:vAlign w:val="center"/>
          </w:tcPr>
          <w:p w14:paraId="36340A33">
            <w:pPr>
              <w:spacing w:after="0" w:line="240" w:lineRule="auto"/>
              <w:rPr>
                <w:rFonts w:ascii="宋体" w:hAnsi="宋体" w:eastAsia="宋体" w:cs="Times New Roman"/>
                <w:sz w:val="21"/>
                <w:szCs w:val="21"/>
              </w:rPr>
            </w:pPr>
            <w:r>
              <w:rPr>
                <w:rFonts w:hint="eastAsia" w:ascii="宋体" w:hAnsi="宋体" w:eastAsia="宋体" w:cs="Times New Roman"/>
                <w:sz w:val="21"/>
                <w:szCs w:val="21"/>
              </w:rPr>
              <w:t>3年</w:t>
            </w:r>
          </w:p>
        </w:tc>
      </w:tr>
      <w:tr w14:paraId="58AD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7" w:type="dxa"/>
            <w:shd w:val="clear" w:color="auto" w:fill="auto"/>
            <w:vAlign w:val="center"/>
          </w:tcPr>
          <w:p w14:paraId="394F3D2A">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14</w:t>
            </w:r>
          </w:p>
        </w:tc>
        <w:tc>
          <w:tcPr>
            <w:tcW w:w="1113" w:type="dxa"/>
            <w:shd w:val="clear" w:color="auto" w:fill="auto"/>
            <w:vAlign w:val="center"/>
          </w:tcPr>
          <w:p w14:paraId="047702A4">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口袋云台相机</w:t>
            </w:r>
          </w:p>
        </w:tc>
        <w:tc>
          <w:tcPr>
            <w:tcW w:w="5431" w:type="dxa"/>
            <w:shd w:val="clear" w:color="auto" w:fill="auto"/>
            <w:vAlign w:val="center"/>
          </w:tcPr>
          <w:p w14:paraId="2FDCE2FA">
            <w:pPr>
              <w:spacing w:after="0" w:line="240" w:lineRule="auto"/>
              <w:rPr>
                <w:rFonts w:ascii="宋体" w:hAnsi="宋体" w:eastAsia="宋体" w:cs="Times New Roman"/>
                <w:sz w:val="21"/>
                <w:szCs w:val="21"/>
              </w:rPr>
            </w:pPr>
            <w:r>
              <w:rPr>
                <w:rFonts w:hint="eastAsia" w:ascii="宋体" w:hAnsi="宋体" w:eastAsia="宋体" w:cs="Times New Roman"/>
                <w:sz w:val="21"/>
                <w:szCs w:val="21"/>
              </w:rPr>
              <w:t>口袋云台相机</w:t>
            </w:r>
            <w:r>
              <w:rPr>
                <w:rFonts w:hint="eastAsia" w:ascii="宋体" w:hAnsi="宋体" w:eastAsia="宋体" w:cs="Times New Roman"/>
                <w:sz w:val="21"/>
                <w:szCs w:val="21"/>
              </w:rPr>
              <w:br w:type="textWrapping"/>
            </w:r>
            <w:r>
              <w:rPr>
                <w:rFonts w:hint="eastAsia" w:ascii="宋体" w:hAnsi="宋体" w:eastAsia="宋体" w:cs="Times New Roman"/>
                <w:sz w:val="21"/>
                <w:szCs w:val="21"/>
              </w:rPr>
              <w:t>需满足以下要求</w:t>
            </w:r>
            <w:r>
              <w:rPr>
                <w:rFonts w:hint="eastAsia" w:ascii="MS Mincho" w:hAnsi="MS Mincho" w:eastAsia="MS Mincho" w:cs="MS Mincho"/>
                <w:sz w:val="21"/>
                <w:szCs w:val="21"/>
              </w:rPr>
              <w:t>​​</w:t>
            </w:r>
            <w:r>
              <w:rPr>
                <w:rFonts w:hint="eastAsia" w:ascii="宋体" w:hAnsi="宋体" w:eastAsia="宋体" w:cs="微软雅黑"/>
                <w:sz w:val="21"/>
                <w:szCs w:val="21"/>
              </w:rPr>
              <w:t>：</w:t>
            </w:r>
            <w:r>
              <w:rPr>
                <w:rFonts w:hint="eastAsia" w:ascii="宋体" w:hAnsi="宋体" w:eastAsia="宋体" w:cs="Times New Roman"/>
                <w:sz w:val="21"/>
                <w:szCs w:val="21"/>
              </w:rPr>
              <w:br w:type="textWrapping"/>
            </w:r>
            <w:r>
              <w:rPr>
                <w:rFonts w:hint="eastAsia" w:ascii="宋体" w:hAnsi="宋体" w:eastAsia="宋体" w:cs="Times New Roman"/>
                <w:sz w:val="21"/>
                <w:szCs w:val="21"/>
              </w:rPr>
              <w:t>1.通用参数</w:t>
            </w:r>
            <w:r>
              <w:rPr>
                <w:rFonts w:hint="eastAsia" w:ascii="MS Mincho" w:hAnsi="MS Mincho" w:eastAsia="MS Mincho" w:cs="MS Mincho"/>
                <w:sz w:val="21"/>
                <w:szCs w:val="21"/>
              </w:rPr>
              <w:t>​​</w:t>
            </w:r>
            <w:r>
              <w:rPr>
                <w:rFonts w:hint="eastAsia" w:ascii="宋体" w:hAnsi="宋体" w:eastAsia="宋体" w:cs="微软雅黑"/>
                <w:sz w:val="21"/>
                <w:szCs w:val="21"/>
              </w:rPr>
              <w:t>：整机尺寸≤</w:t>
            </w:r>
            <w:r>
              <w:rPr>
                <w:rFonts w:hint="eastAsia" w:ascii="宋体" w:hAnsi="宋体" w:eastAsia="宋体" w:cs="Times New Roman"/>
                <w:sz w:val="21"/>
                <w:szCs w:val="21"/>
              </w:rPr>
              <w:t>140×43×34 mm，重量≤180 g；配备≥2.0英寸触控屏，分辨率≥314×556，亮度≥700 cd/m²；支持microSD卡扩展（容量≥1TB），兼容UHS-I/UHS-II Speed Grade 3标准存储卡。</w:t>
            </w:r>
            <w:r>
              <w:rPr>
                <w:rFonts w:hint="eastAsia" w:ascii="宋体" w:hAnsi="宋体" w:eastAsia="宋体" w:cs="Times New Roman"/>
                <w:sz w:val="21"/>
                <w:szCs w:val="21"/>
              </w:rPr>
              <w:br w:type="textWrapping"/>
            </w:r>
            <w:r>
              <w:rPr>
                <w:rFonts w:hint="eastAsia" w:ascii="MS Mincho" w:hAnsi="MS Mincho" w:eastAsia="MS Mincho" w:cs="MS Mincho"/>
                <w:sz w:val="21"/>
                <w:szCs w:val="21"/>
              </w:rPr>
              <w:t>​​</w:t>
            </w:r>
            <w:r>
              <w:rPr>
                <w:rFonts w:hint="eastAsia" w:ascii="宋体" w:hAnsi="宋体" w:eastAsia="宋体" w:cs="Times New Roman"/>
                <w:sz w:val="21"/>
                <w:szCs w:val="21"/>
              </w:rPr>
              <w:t>2.云台性能</w:t>
            </w:r>
            <w:r>
              <w:rPr>
                <w:rFonts w:hint="eastAsia" w:ascii="MS Mincho" w:hAnsi="MS Mincho" w:eastAsia="MS Mincho" w:cs="MS Mincho"/>
                <w:sz w:val="21"/>
                <w:szCs w:val="21"/>
              </w:rPr>
              <w:t>​​</w:t>
            </w:r>
            <w:r>
              <w:rPr>
                <w:rFonts w:hint="eastAsia" w:ascii="宋体" w:hAnsi="宋体" w:eastAsia="宋体" w:cs="微软雅黑"/>
                <w:sz w:val="21"/>
                <w:szCs w:val="21"/>
              </w:rPr>
              <w:t>：三轴机械云台可控范围：平移轴</w:t>
            </w:r>
            <w:r>
              <w:rPr>
                <w:rFonts w:hint="eastAsia" w:ascii="宋体" w:hAnsi="宋体" w:eastAsia="宋体" w:cs="Times New Roman"/>
                <w:sz w:val="21"/>
                <w:szCs w:val="21"/>
              </w:rPr>
              <w:t>-235°至58°，俯仰轴-120°至70°，横滚轴-45°至45°；最大控制转速≥180°/s，支持机械及电子混合防抖技术。</w:t>
            </w:r>
            <w:r>
              <w:rPr>
                <w:rFonts w:hint="eastAsia" w:ascii="宋体" w:hAnsi="宋体" w:eastAsia="宋体" w:cs="Times New Roman"/>
                <w:sz w:val="21"/>
                <w:szCs w:val="21"/>
              </w:rPr>
              <w:br w:type="textWrapping"/>
            </w:r>
            <w:r>
              <w:rPr>
                <w:rFonts w:hint="eastAsia" w:ascii="MS Mincho" w:hAnsi="MS Mincho" w:eastAsia="MS Mincho" w:cs="MS Mincho"/>
                <w:sz w:val="21"/>
                <w:szCs w:val="21"/>
              </w:rPr>
              <w:t>​​</w:t>
            </w:r>
            <w:r>
              <w:rPr>
                <w:rFonts w:hint="eastAsia" w:ascii="宋体" w:hAnsi="宋体" w:eastAsia="宋体" w:cs="Times New Roman"/>
                <w:sz w:val="21"/>
                <w:szCs w:val="21"/>
              </w:rPr>
              <w:t>3.摄像系统</w:t>
            </w:r>
            <w:r>
              <w:rPr>
                <w:rFonts w:hint="eastAsia" w:ascii="MS Mincho" w:hAnsi="MS Mincho" w:eastAsia="MS Mincho" w:cs="MS Mincho"/>
                <w:sz w:val="21"/>
                <w:szCs w:val="21"/>
              </w:rPr>
              <w:t>​​</w:t>
            </w:r>
            <w:r>
              <w:rPr>
                <w:rFonts w:hint="eastAsia" w:ascii="宋体" w:hAnsi="宋体" w:eastAsia="宋体" w:cs="微软雅黑"/>
                <w:sz w:val="21"/>
                <w:szCs w:val="21"/>
              </w:rPr>
              <w:t>：搭载</w:t>
            </w:r>
            <w:r>
              <w:rPr>
                <w:rFonts w:hint="eastAsia" w:ascii="宋体" w:hAnsi="宋体" w:eastAsia="宋体" w:cs="Times New Roman"/>
                <w:sz w:val="21"/>
                <w:szCs w:val="21"/>
              </w:rPr>
              <w:t>1英寸CMOS传感器，镜头等效焦距20 mm，光圈f/2.0，焦点范围0.2 m至无穷远；ISO范围50-6400（低光模式扩展至16000），快门速度1/8000 s至1 s；支持4K/120fps及1080p/240fps慢动作、多分辨率视频录制（4K/60fps、2.7K/60fps、1080p/60fps），最大码流≥130 Mbps；支持数码变焦（4K视频≥2倍，1080p≥4倍）及轨迹延时摄影（轨迹点≥4个）。</w:t>
            </w:r>
            <w:r>
              <w:rPr>
                <w:rFonts w:hint="eastAsia" w:ascii="宋体" w:hAnsi="宋体" w:eastAsia="宋体" w:cs="Times New Roman"/>
                <w:sz w:val="21"/>
                <w:szCs w:val="21"/>
              </w:rPr>
              <w:br w:type="textWrapping"/>
            </w:r>
            <w:r>
              <w:rPr>
                <w:rFonts w:hint="eastAsia" w:ascii="MS Mincho" w:hAnsi="MS Mincho" w:eastAsia="MS Mincho" w:cs="MS Mincho"/>
                <w:sz w:val="21"/>
                <w:szCs w:val="21"/>
              </w:rPr>
              <w:t>​​</w:t>
            </w:r>
            <w:r>
              <w:rPr>
                <w:rFonts w:hint="eastAsia" w:ascii="宋体" w:hAnsi="宋体" w:eastAsia="宋体" w:cs="Times New Roman"/>
                <w:sz w:val="21"/>
                <w:szCs w:val="21"/>
              </w:rPr>
              <w:t>4.音频与续航</w:t>
            </w:r>
            <w:r>
              <w:rPr>
                <w:rFonts w:hint="eastAsia" w:ascii="MS Mincho" w:hAnsi="MS Mincho" w:eastAsia="MS Mincho" w:cs="MS Mincho"/>
                <w:sz w:val="21"/>
                <w:szCs w:val="21"/>
              </w:rPr>
              <w:t>​​</w:t>
            </w:r>
            <w:r>
              <w:rPr>
                <w:rFonts w:hint="eastAsia" w:ascii="宋体" w:hAnsi="宋体" w:eastAsia="宋体" w:cs="微软雅黑"/>
                <w:sz w:val="21"/>
                <w:szCs w:val="21"/>
              </w:rPr>
              <w:t>：内置三麦克风阵列，音频输出</w:t>
            </w:r>
            <w:r>
              <w:rPr>
                <w:rFonts w:hint="eastAsia" w:ascii="宋体" w:hAnsi="宋体" w:eastAsia="宋体" w:cs="Times New Roman"/>
                <w:sz w:val="21"/>
                <w:szCs w:val="21"/>
              </w:rPr>
              <w:t>48 kHz/16-bit AAC格式；配置≥1300 mAh锂离子电池，续航≥165分钟（1080p/24fps），支持快充（30分钟充至≥80%）。</w:t>
            </w:r>
            <w:r>
              <w:rPr>
                <w:rFonts w:hint="eastAsia" w:ascii="宋体" w:hAnsi="宋体" w:eastAsia="宋体" w:cs="Times New Roman"/>
                <w:sz w:val="21"/>
                <w:szCs w:val="21"/>
              </w:rPr>
              <w:br w:type="textWrapping"/>
            </w:r>
            <w:r>
              <w:rPr>
                <w:rFonts w:hint="eastAsia" w:ascii="MS Mincho" w:hAnsi="MS Mincho" w:eastAsia="MS Mincho" w:cs="MS Mincho"/>
                <w:sz w:val="21"/>
                <w:szCs w:val="21"/>
              </w:rPr>
              <w:t>​​</w:t>
            </w:r>
            <w:r>
              <w:rPr>
                <w:rFonts w:hint="eastAsia" w:ascii="宋体" w:hAnsi="宋体" w:eastAsia="宋体" w:cs="Times New Roman"/>
                <w:sz w:val="21"/>
                <w:szCs w:val="21"/>
              </w:rPr>
              <w:t>5.连接与环境</w:t>
            </w:r>
            <w:r>
              <w:rPr>
                <w:rFonts w:hint="eastAsia" w:ascii="MS Mincho" w:hAnsi="MS Mincho" w:eastAsia="MS Mincho" w:cs="MS Mincho"/>
                <w:sz w:val="21"/>
                <w:szCs w:val="21"/>
              </w:rPr>
              <w:t>​​</w:t>
            </w:r>
            <w:r>
              <w:rPr>
                <w:rFonts w:hint="eastAsia" w:ascii="宋体" w:hAnsi="宋体" w:eastAsia="宋体" w:cs="微软雅黑"/>
                <w:sz w:val="21"/>
                <w:szCs w:val="21"/>
              </w:rPr>
              <w:t>：支持</w:t>
            </w:r>
            <w:r>
              <w:rPr>
                <w:rFonts w:hint="eastAsia" w:ascii="宋体" w:hAnsi="宋体" w:eastAsia="宋体" w:cs="Times New Roman"/>
                <w:sz w:val="21"/>
                <w:szCs w:val="21"/>
              </w:rPr>
              <w:t>Wi-Fi（2.4/5.1/5.8 GHz，802.11 a/b/g/n/ac）、蓝牙5.2协议；工作温度0-40℃，充电温度5-45℃；视频/图片格式为MP4（H.264/HEVC）、JPEG/DNG，兼容UVC协议及直播功能。</w:t>
            </w:r>
            <w:r>
              <w:rPr>
                <w:rFonts w:hint="eastAsia" w:ascii="宋体" w:hAnsi="宋体" w:eastAsia="宋体" w:cs="Times New Roman"/>
                <w:sz w:val="21"/>
                <w:szCs w:val="21"/>
              </w:rPr>
              <w:br w:type="textWrapping"/>
            </w:r>
            <w:r>
              <w:rPr>
                <w:rFonts w:hint="eastAsia" w:ascii="宋体" w:hAnsi="宋体" w:eastAsia="宋体" w:cs="Times New Roman"/>
                <w:sz w:val="21"/>
                <w:szCs w:val="21"/>
              </w:rPr>
              <w:t>6.配套3张高速SD存储卡容量≥256GB</w:t>
            </w:r>
          </w:p>
        </w:tc>
        <w:tc>
          <w:tcPr>
            <w:tcW w:w="811" w:type="dxa"/>
            <w:vAlign w:val="center"/>
          </w:tcPr>
          <w:p w14:paraId="7E244A82">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567" w:type="dxa"/>
            <w:vAlign w:val="center"/>
          </w:tcPr>
          <w:p w14:paraId="40C899C5">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台</w:t>
            </w:r>
          </w:p>
        </w:tc>
        <w:tc>
          <w:tcPr>
            <w:tcW w:w="709" w:type="dxa"/>
            <w:vAlign w:val="center"/>
          </w:tcPr>
          <w:p w14:paraId="59C0B7A6">
            <w:pPr>
              <w:spacing w:after="0" w:line="240" w:lineRule="auto"/>
              <w:rPr>
                <w:rFonts w:ascii="宋体" w:hAnsi="宋体" w:eastAsia="宋体" w:cs="Times New Roman"/>
                <w:sz w:val="21"/>
                <w:szCs w:val="21"/>
              </w:rPr>
            </w:pPr>
            <w:r>
              <w:rPr>
                <w:rFonts w:hint="eastAsia" w:ascii="宋体" w:hAnsi="宋体" w:eastAsia="宋体" w:cs="Times New Roman"/>
                <w:sz w:val="21"/>
                <w:szCs w:val="21"/>
              </w:rPr>
              <w:t>3年</w:t>
            </w:r>
          </w:p>
        </w:tc>
      </w:tr>
      <w:tr w14:paraId="085CA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7" w:type="dxa"/>
            <w:shd w:val="clear" w:color="auto" w:fill="auto"/>
            <w:vAlign w:val="center"/>
          </w:tcPr>
          <w:p w14:paraId="6E220276">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15</w:t>
            </w:r>
          </w:p>
        </w:tc>
        <w:tc>
          <w:tcPr>
            <w:tcW w:w="1113" w:type="dxa"/>
            <w:shd w:val="clear" w:color="auto" w:fill="auto"/>
            <w:vAlign w:val="center"/>
          </w:tcPr>
          <w:p w14:paraId="1C2A61E9">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无线麦克风</w:t>
            </w:r>
          </w:p>
        </w:tc>
        <w:tc>
          <w:tcPr>
            <w:tcW w:w="5431" w:type="dxa"/>
            <w:shd w:val="clear" w:color="auto" w:fill="auto"/>
            <w:vAlign w:val="center"/>
          </w:tcPr>
          <w:p w14:paraId="4D46C6CB">
            <w:pPr>
              <w:spacing w:after="0" w:line="240" w:lineRule="auto"/>
              <w:rPr>
                <w:rFonts w:ascii="宋体" w:hAnsi="宋体" w:eastAsia="宋体" w:cs="Times New Roman"/>
                <w:sz w:val="21"/>
                <w:szCs w:val="21"/>
              </w:rPr>
            </w:pPr>
            <w:r>
              <w:rPr>
                <w:rFonts w:hint="eastAsia" w:ascii="宋体" w:hAnsi="宋体" w:eastAsia="宋体" w:cs="Times New Roman"/>
                <w:sz w:val="21"/>
                <w:szCs w:val="21"/>
              </w:rPr>
              <w:t>无线麦克风</w:t>
            </w:r>
            <w:r>
              <w:rPr>
                <w:rFonts w:hint="eastAsia" w:ascii="宋体" w:hAnsi="宋体" w:eastAsia="宋体" w:cs="Times New Roman"/>
                <w:sz w:val="21"/>
                <w:szCs w:val="21"/>
              </w:rPr>
              <w:br w:type="textWrapping"/>
            </w:r>
            <w:r>
              <w:rPr>
                <w:rFonts w:hint="eastAsia" w:ascii="宋体" w:hAnsi="宋体" w:eastAsia="宋体" w:cs="Times New Roman"/>
                <w:sz w:val="21"/>
                <w:szCs w:val="21"/>
              </w:rPr>
              <w:t>需满足以下要求</w:t>
            </w:r>
            <w:r>
              <w:rPr>
                <w:rFonts w:hint="eastAsia" w:ascii="MS Mincho" w:hAnsi="MS Mincho" w:eastAsia="MS Mincho" w:cs="MS Mincho"/>
                <w:sz w:val="21"/>
                <w:szCs w:val="21"/>
              </w:rPr>
              <w:t>​​</w:t>
            </w:r>
            <w:r>
              <w:rPr>
                <w:rFonts w:hint="eastAsia" w:ascii="宋体" w:hAnsi="宋体" w:eastAsia="宋体" w:cs="微软雅黑"/>
                <w:sz w:val="21"/>
                <w:szCs w:val="21"/>
              </w:rPr>
              <w:t>：</w:t>
            </w:r>
            <w:r>
              <w:rPr>
                <w:rFonts w:hint="eastAsia" w:ascii="宋体" w:hAnsi="宋体" w:eastAsia="宋体" w:cs="Times New Roman"/>
                <w:sz w:val="21"/>
                <w:szCs w:val="21"/>
              </w:rPr>
              <w:br w:type="textWrapping"/>
            </w:r>
            <w:r>
              <w:rPr>
                <w:rFonts w:hint="eastAsia" w:ascii="宋体" w:hAnsi="宋体" w:eastAsia="宋体" w:cs="Times New Roman"/>
                <w:sz w:val="21"/>
                <w:szCs w:val="21"/>
              </w:rPr>
              <w:t>1.系统构成及基础参数</w:t>
            </w:r>
            <w:r>
              <w:rPr>
                <w:rFonts w:hint="eastAsia" w:ascii="MS Mincho" w:hAnsi="MS Mincho" w:eastAsia="MS Mincho" w:cs="MS Mincho"/>
                <w:sz w:val="21"/>
                <w:szCs w:val="21"/>
              </w:rPr>
              <w:t>​​</w:t>
            </w:r>
            <w:r>
              <w:rPr>
                <w:rFonts w:hint="eastAsia" w:ascii="宋体" w:hAnsi="宋体" w:eastAsia="宋体" w:cs="微软雅黑"/>
                <w:sz w:val="21"/>
                <w:szCs w:val="21"/>
              </w:rPr>
              <w:t>：系统需包含无线发射器、接收器及充电盒组件，实现双向通信功能。发射器与接收器单体尺寸不大于长</w:t>
            </w:r>
            <w:r>
              <w:rPr>
                <w:rFonts w:hint="eastAsia" w:ascii="宋体" w:hAnsi="宋体" w:eastAsia="宋体" w:cs="Times New Roman"/>
                <w:sz w:val="21"/>
                <w:szCs w:val="21"/>
              </w:rPr>
              <w:t>55mm×宽31mm×高23mm，单体重不超过28g；充电盒整体尺寸控制在长120mm×宽42mm×高60mm内，重量不超过200g。</w:t>
            </w:r>
            <w:r>
              <w:rPr>
                <w:rFonts w:hint="eastAsia" w:ascii="宋体" w:hAnsi="宋体" w:eastAsia="宋体" w:cs="Times New Roman"/>
                <w:sz w:val="21"/>
                <w:szCs w:val="21"/>
              </w:rPr>
              <w:br w:type="textWrapping"/>
            </w:r>
            <w:r>
              <w:rPr>
                <w:rFonts w:hint="eastAsia" w:ascii="MS Mincho" w:hAnsi="MS Mincho" w:eastAsia="MS Mincho" w:cs="MS Mincho"/>
                <w:sz w:val="21"/>
                <w:szCs w:val="21"/>
              </w:rPr>
              <w:t>​​</w:t>
            </w:r>
            <w:r>
              <w:rPr>
                <w:rFonts w:hint="eastAsia" w:ascii="宋体" w:hAnsi="宋体" w:eastAsia="宋体" w:cs="Times New Roman"/>
                <w:sz w:val="21"/>
                <w:szCs w:val="21"/>
              </w:rPr>
              <w:t>2.无线通信性能</w:t>
            </w:r>
            <w:r>
              <w:rPr>
                <w:rFonts w:hint="eastAsia" w:ascii="MS Mincho" w:hAnsi="MS Mincho" w:eastAsia="MS Mincho" w:cs="MS Mincho"/>
                <w:sz w:val="21"/>
                <w:szCs w:val="21"/>
              </w:rPr>
              <w:t>​​</w:t>
            </w:r>
            <w:r>
              <w:rPr>
                <w:rFonts w:hint="eastAsia" w:ascii="宋体" w:hAnsi="宋体" w:eastAsia="宋体" w:cs="微软雅黑"/>
                <w:sz w:val="21"/>
                <w:szCs w:val="21"/>
              </w:rPr>
              <w:t>：系统应支持</w:t>
            </w:r>
            <w:r>
              <w:rPr>
                <w:rFonts w:hint="eastAsia" w:ascii="宋体" w:hAnsi="宋体" w:eastAsia="宋体" w:cs="Times New Roman"/>
                <w:sz w:val="21"/>
                <w:szCs w:val="21"/>
              </w:rPr>
              <w:t>GFSK调制技术，传输速率不低于1Mbps，工作频段覆盖2.400GHz-2.4835GHz。等效全向辐射功率（EIRP）不超过20dBm，空旷环境下有效传输距离需满足FCC标准250米或CE标准160米，兼容双发射器同步连接及蓝牙BR/EDR协议。</w:t>
            </w:r>
            <w:r>
              <w:rPr>
                <w:rFonts w:hint="eastAsia" w:ascii="宋体" w:hAnsi="宋体" w:eastAsia="宋体" w:cs="Times New Roman"/>
                <w:sz w:val="21"/>
                <w:szCs w:val="21"/>
              </w:rPr>
              <w:br w:type="textWrapping"/>
            </w:r>
            <w:r>
              <w:rPr>
                <w:rFonts w:hint="eastAsia" w:ascii="MS Mincho" w:hAnsi="MS Mincho" w:eastAsia="MS Mincho" w:cs="MS Mincho"/>
                <w:sz w:val="21"/>
                <w:szCs w:val="21"/>
              </w:rPr>
              <w:t>​​</w:t>
            </w:r>
            <w:r>
              <w:rPr>
                <w:rFonts w:hint="eastAsia" w:ascii="宋体" w:hAnsi="宋体" w:eastAsia="宋体" w:cs="Times New Roman"/>
                <w:sz w:val="21"/>
                <w:szCs w:val="21"/>
              </w:rPr>
              <w:t>3.供电系统参数</w:t>
            </w:r>
            <w:r>
              <w:rPr>
                <w:rFonts w:hint="eastAsia" w:ascii="MS Mincho" w:hAnsi="MS Mincho" w:eastAsia="MS Mincho" w:cs="MS Mincho"/>
                <w:sz w:val="21"/>
                <w:szCs w:val="21"/>
              </w:rPr>
              <w:t>​​</w:t>
            </w:r>
            <w:r>
              <w:rPr>
                <w:rFonts w:hint="eastAsia" w:ascii="宋体" w:hAnsi="宋体" w:eastAsia="宋体" w:cs="微软雅黑"/>
                <w:sz w:val="21"/>
                <w:szCs w:val="21"/>
              </w:rPr>
              <w:t>：发射器与接收器采用锂电池供电，单机容量不低于</w:t>
            </w:r>
            <w:r>
              <w:rPr>
                <w:rFonts w:hint="eastAsia" w:ascii="宋体" w:hAnsi="宋体" w:eastAsia="宋体" w:cs="Times New Roman"/>
                <w:sz w:val="21"/>
                <w:szCs w:val="21"/>
              </w:rPr>
              <w:t>360mAh，额定电压3.87V±0.05V，满电状态下连续工作时间≥6小时（双发射器连接），5V输入时充电时间≤70分钟。充电盒内置18650型锂电池，容量≥3250mAh，输出电压3.6V±0.1V，支持5V/1.5A-3A输入，可完整充电次数≥2次（同时充2发射器+1接收器）。</w:t>
            </w:r>
            <w:r>
              <w:rPr>
                <w:rFonts w:hint="eastAsia" w:ascii="宋体" w:hAnsi="宋体" w:eastAsia="宋体" w:cs="Times New Roman"/>
                <w:sz w:val="21"/>
                <w:szCs w:val="21"/>
              </w:rPr>
              <w:br w:type="textWrapping"/>
            </w:r>
            <w:r>
              <w:rPr>
                <w:rFonts w:hint="eastAsia" w:ascii="MS Mincho" w:hAnsi="MS Mincho" w:eastAsia="MS Mincho" w:cs="MS Mincho"/>
                <w:sz w:val="21"/>
                <w:szCs w:val="21"/>
              </w:rPr>
              <w:t>​​</w:t>
            </w:r>
            <w:r>
              <w:rPr>
                <w:rFonts w:hint="eastAsia" w:ascii="宋体" w:hAnsi="宋体" w:eastAsia="宋体" w:cs="Times New Roman"/>
                <w:sz w:val="21"/>
                <w:szCs w:val="21"/>
              </w:rPr>
              <w:t>4.环境适应性</w:t>
            </w:r>
            <w:r>
              <w:rPr>
                <w:rFonts w:hint="eastAsia" w:ascii="MS Mincho" w:hAnsi="MS Mincho" w:eastAsia="MS Mincho" w:cs="MS Mincho"/>
                <w:sz w:val="21"/>
                <w:szCs w:val="21"/>
              </w:rPr>
              <w:t>​​</w:t>
            </w:r>
            <w:r>
              <w:rPr>
                <w:rFonts w:hint="eastAsia" w:ascii="宋体" w:hAnsi="宋体" w:eastAsia="宋体" w:cs="微软雅黑"/>
                <w:sz w:val="21"/>
                <w:szCs w:val="21"/>
              </w:rPr>
              <w:t>：设备工作温度范围需覆盖</w:t>
            </w:r>
            <w:r>
              <w:rPr>
                <w:rFonts w:hint="eastAsia" w:ascii="宋体" w:hAnsi="宋体" w:eastAsia="宋体" w:cs="Times New Roman"/>
                <w:sz w:val="21"/>
                <w:szCs w:val="21"/>
              </w:rPr>
              <w:t>-10℃至45℃，充电温度范围为5℃至45℃，存储温度应符合工业级电子产品标准。</w:t>
            </w:r>
            <w:r>
              <w:rPr>
                <w:rFonts w:hint="eastAsia" w:ascii="宋体" w:hAnsi="宋体" w:eastAsia="宋体" w:cs="Times New Roman"/>
                <w:sz w:val="21"/>
                <w:szCs w:val="21"/>
              </w:rPr>
              <w:br w:type="textWrapping"/>
            </w:r>
            <w:r>
              <w:rPr>
                <w:rFonts w:hint="eastAsia" w:ascii="MS Mincho" w:hAnsi="MS Mincho" w:eastAsia="MS Mincho" w:cs="MS Mincho"/>
                <w:sz w:val="21"/>
                <w:szCs w:val="21"/>
              </w:rPr>
              <w:t>​​</w:t>
            </w:r>
            <w:r>
              <w:rPr>
                <w:rFonts w:hint="eastAsia" w:ascii="宋体" w:hAnsi="宋体" w:eastAsia="宋体" w:cs="Times New Roman"/>
                <w:sz w:val="21"/>
                <w:szCs w:val="21"/>
              </w:rPr>
              <w:t>5.音频性能</w:t>
            </w:r>
            <w:r>
              <w:rPr>
                <w:rFonts w:hint="eastAsia" w:ascii="MS Mincho" w:hAnsi="MS Mincho" w:eastAsia="MS Mincho" w:cs="MS Mincho"/>
                <w:sz w:val="21"/>
                <w:szCs w:val="21"/>
              </w:rPr>
              <w:t>​​</w:t>
            </w:r>
            <w:r>
              <w:rPr>
                <w:rFonts w:hint="eastAsia" w:ascii="宋体" w:hAnsi="宋体" w:eastAsia="宋体" w:cs="微软雅黑"/>
                <w:sz w:val="21"/>
                <w:szCs w:val="21"/>
              </w:rPr>
              <w:t>：系统配备全指向电容麦克风，标准模式频率响应</w:t>
            </w:r>
            <w:r>
              <w:rPr>
                <w:rFonts w:hint="eastAsia" w:ascii="宋体" w:hAnsi="宋体" w:eastAsia="宋体" w:cs="Times New Roman"/>
                <w:sz w:val="21"/>
                <w:szCs w:val="21"/>
              </w:rPr>
              <w:t>50Hz-20kHz（±3dB），低切模式调整为100Hz-20kHz（±3dB）。最大声压级≥120dB SPL，等效噪声≤21dBA，3.5mm接口输入电平≥-6dBV（THD&lt;0.1%），监听接口输出功率≥12mW@1kHz/32Ω。</w:t>
            </w:r>
            <w:r>
              <w:rPr>
                <w:rFonts w:hint="eastAsia" w:ascii="宋体" w:hAnsi="宋体" w:eastAsia="宋体" w:cs="Times New Roman"/>
                <w:sz w:val="21"/>
                <w:szCs w:val="21"/>
              </w:rPr>
              <w:br w:type="textWrapping"/>
            </w:r>
            <w:r>
              <w:rPr>
                <w:rFonts w:hint="eastAsia" w:ascii="MS Mincho" w:hAnsi="MS Mincho" w:eastAsia="MS Mincho" w:cs="MS Mincho"/>
                <w:sz w:val="21"/>
                <w:szCs w:val="21"/>
              </w:rPr>
              <w:t>​​</w:t>
            </w:r>
            <w:r>
              <w:rPr>
                <w:rFonts w:hint="eastAsia" w:ascii="宋体" w:hAnsi="宋体" w:eastAsia="宋体" w:cs="Times New Roman"/>
                <w:sz w:val="21"/>
                <w:szCs w:val="21"/>
              </w:rPr>
              <w:t>6.安全规范</w:t>
            </w:r>
            <w:r>
              <w:rPr>
                <w:rFonts w:hint="eastAsia" w:ascii="MS Mincho" w:hAnsi="MS Mincho" w:eastAsia="MS Mincho" w:cs="MS Mincho"/>
                <w:sz w:val="21"/>
                <w:szCs w:val="21"/>
              </w:rPr>
              <w:t>​​</w:t>
            </w:r>
            <w:r>
              <w:rPr>
                <w:rFonts w:hint="eastAsia" w:ascii="宋体" w:hAnsi="宋体" w:eastAsia="宋体" w:cs="微软雅黑"/>
                <w:sz w:val="21"/>
                <w:szCs w:val="21"/>
              </w:rPr>
              <w:t>：射频参数须通过</w:t>
            </w:r>
            <w:r>
              <w:rPr>
                <w:rFonts w:hint="eastAsia" w:ascii="宋体" w:hAnsi="宋体" w:eastAsia="宋体" w:cs="Times New Roman"/>
                <w:sz w:val="21"/>
                <w:szCs w:val="21"/>
              </w:rPr>
              <w:t>FCC/CE认证，锂电池系统集成过充/过放保护功能，充电盒需配置智能电源管理模块，确保充放电安全。</w:t>
            </w:r>
          </w:p>
        </w:tc>
        <w:tc>
          <w:tcPr>
            <w:tcW w:w="811" w:type="dxa"/>
            <w:vAlign w:val="center"/>
          </w:tcPr>
          <w:p w14:paraId="254DF394">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567" w:type="dxa"/>
            <w:vAlign w:val="center"/>
          </w:tcPr>
          <w:p w14:paraId="1EAF7412">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套</w:t>
            </w:r>
          </w:p>
        </w:tc>
        <w:tc>
          <w:tcPr>
            <w:tcW w:w="709" w:type="dxa"/>
            <w:vAlign w:val="center"/>
          </w:tcPr>
          <w:p w14:paraId="757B6B8A">
            <w:pPr>
              <w:spacing w:after="0" w:line="240" w:lineRule="auto"/>
              <w:rPr>
                <w:rFonts w:ascii="宋体" w:hAnsi="宋体" w:eastAsia="宋体" w:cs="Times New Roman"/>
                <w:sz w:val="21"/>
                <w:szCs w:val="21"/>
              </w:rPr>
            </w:pPr>
            <w:r>
              <w:rPr>
                <w:rFonts w:hint="eastAsia" w:ascii="宋体" w:hAnsi="宋体" w:eastAsia="宋体" w:cs="Times New Roman"/>
                <w:sz w:val="21"/>
                <w:szCs w:val="21"/>
              </w:rPr>
              <w:t>3年</w:t>
            </w:r>
          </w:p>
        </w:tc>
      </w:tr>
      <w:tr w14:paraId="78AE9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7" w:type="dxa"/>
            <w:shd w:val="clear" w:color="auto" w:fill="auto"/>
            <w:vAlign w:val="center"/>
          </w:tcPr>
          <w:p w14:paraId="777880EA">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16</w:t>
            </w:r>
          </w:p>
        </w:tc>
        <w:tc>
          <w:tcPr>
            <w:tcW w:w="1113" w:type="dxa"/>
            <w:shd w:val="clear" w:color="auto" w:fill="auto"/>
            <w:vAlign w:val="center"/>
          </w:tcPr>
          <w:p w14:paraId="2448BFDE">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便携式补光灯</w:t>
            </w:r>
          </w:p>
        </w:tc>
        <w:tc>
          <w:tcPr>
            <w:tcW w:w="5431" w:type="dxa"/>
            <w:shd w:val="clear" w:color="auto" w:fill="auto"/>
            <w:vAlign w:val="center"/>
          </w:tcPr>
          <w:p w14:paraId="68A7E3E3">
            <w:pPr>
              <w:spacing w:after="0" w:line="240" w:lineRule="auto"/>
              <w:rPr>
                <w:rFonts w:ascii="宋体" w:hAnsi="宋体" w:eastAsia="宋体" w:cs="Times New Roman"/>
                <w:sz w:val="21"/>
                <w:szCs w:val="21"/>
              </w:rPr>
            </w:pPr>
            <w:r>
              <w:rPr>
                <w:rFonts w:hint="eastAsia" w:ascii="宋体" w:hAnsi="宋体" w:eastAsia="宋体" w:cs="Times New Roman"/>
                <w:sz w:val="21"/>
                <w:szCs w:val="21"/>
              </w:rPr>
              <w:t>便携式补光灯</w:t>
            </w:r>
            <w:r>
              <w:rPr>
                <w:rFonts w:hint="eastAsia" w:ascii="宋体" w:hAnsi="宋体" w:eastAsia="宋体" w:cs="Times New Roman"/>
                <w:sz w:val="21"/>
                <w:szCs w:val="21"/>
              </w:rPr>
              <w:br w:type="textWrapping"/>
            </w:r>
            <w:r>
              <w:rPr>
                <w:rFonts w:hint="eastAsia" w:ascii="宋体" w:hAnsi="宋体" w:eastAsia="宋体" w:cs="Times New Roman"/>
                <w:sz w:val="21"/>
                <w:szCs w:val="21"/>
              </w:rPr>
              <w:t>内置锂电池7.2V</w:t>
            </w:r>
            <w:r>
              <w:rPr>
                <w:rFonts w:ascii="Cambria" w:hAnsi="Cambria" w:eastAsia="宋体" w:cs="Cambria"/>
                <w:sz w:val="21"/>
                <w:szCs w:val="21"/>
              </w:rPr>
              <w:t>⎓</w:t>
            </w:r>
            <w:r>
              <w:rPr>
                <w:rFonts w:hint="eastAsia" w:ascii="宋体" w:hAnsi="宋体" w:eastAsia="宋体" w:cs="Times New Roman"/>
                <w:sz w:val="21"/>
                <w:szCs w:val="21"/>
              </w:rPr>
              <w:t>2420mAh；续航时间（灯体100%亮度，5600K） 续航</w:t>
            </w:r>
            <w:r>
              <w:rPr>
                <w:rFonts w:hint="eastAsia" w:ascii="宋体" w:hAnsi="宋体" w:eastAsia="宋体" w:cs="Times New Roman"/>
                <w:sz w:val="21"/>
                <w:szCs w:val="21"/>
                <w:lang w:val="en-US" w:eastAsia="zh-CN"/>
              </w:rPr>
              <w:t>≥</w:t>
            </w:r>
            <w:r>
              <w:rPr>
                <w:rFonts w:hint="eastAsia" w:ascii="宋体" w:hAnsi="宋体" w:eastAsia="宋体" w:cs="Times New Roman"/>
                <w:sz w:val="21"/>
                <w:szCs w:val="21"/>
              </w:rPr>
              <w:t>45分钟 ；Type-C口输入5V</w:t>
            </w:r>
            <w:r>
              <w:rPr>
                <w:rFonts w:ascii="Cambria" w:hAnsi="Cambria" w:eastAsia="宋体" w:cs="Cambria"/>
                <w:sz w:val="21"/>
                <w:szCs w:val="21"/>
              </w:rPr>
              <w:t>⎓</w:t>
            </w:r>
            <w:r>
              <w:rPr>
                <w:rFonts w:hint="eastAsia" w:ascii="宋体" w:hAnsi="宋体" w:eastAsia="宋体" w:cs="Times New Roman"/>
                <w:sz w:val="21"/>
                <w:szCs w:val="21"/>
              </w:rPr>
              <w:t>2A 9V</w:t>
            </w:r>
            <w:r>
              <w:rPr>
                <w:rFonts w:ascii="Cambria" w:hAnsi="Cambria" w:eastAsia="宋体" w:cs="Cambria"/>
                <w:sz w:val="21"/>
                <w:szCs w:val="21"/>
              </w:rPr>
              <w:t>⎓</w:t>
            </w:r>
            <w:r>
              <w:rPr>
                <w:rFonts w:hint="eastAsia" w:ascii="宋体" w:hAnsi="宋体" w:eastAsia="宋体" w:cs="Times New Roman"/>
                <w:sz w:val="21"/>
                <w:szCs w:val="21"/>
              </w:rPr>
              <w:t>2A 12V</w:t>
            </w:r>
            <w:r>
              <w:rPr>
                <w:rFonts w:ascii="Cambria" w:hAnsi="Cambria" w:eastAsia="宋体" w:cs="Cambria"/>
                <w:sz w:val="21"/>
                <w:szCs w:val="21"/>
              </w:rPr>
              <w:t>⎓</w:t>
            </w:r>
            <w:r>
              <w:rPr>
                <w:rFonts w:hint="eastAsia" w:ascii="宋体" w:hAnsi="宋体" w:eastAsia="宋体" w:cs="Times New Roman"/>
                <w:sz w:val="21"/>
                <w:szCs w:val="21"/>
              </w:rPr>
              <w:t>2A；充电时间≤1小时25分（12V</w:t>
            </w:r>
            <w:r>
              <w:rPr>
                <w:rFonts w:ascii="Cambria" w:hAnsi="Cambria" w:eastAsia="宋体" w:cs="Cambria"/>
                <w:sz w:val="21"/>
                <w:szCs w:val="21"/>
              </w:rPr>
              <w:t>⎓</w:t>
            </w:r>
            <w:r>
              <w:rPr>
                <w:rFonts w:hint="eastAsia" w:ascii="宋体" w:hAnsi="宋体" w:eastAsia="宋体" w:cs="Times New Roman"/>
                <w:sz w:val="21"/>
                <w:szCs w:val="21"/>
              </w:rPr>
              <w:t>2A）；输入功率 ≥20W；色温范围2500~8500K；调光范围0%~100%；控制方式蓝牙控制/灯体控制；蓝牙控制距离≥30m；工作环境温度-10℃~＋40℃；尺寸（含手柄）≥43*44*457mm</w:t>
            </w:r>
          </w:p>
        </w:tc>
        <w:tc>
          <w:tcPr>
            <w:tcW w:w="811" w:type="dxa"/>
            <w:vAlign w:val="center"/>
          </w:tcPr>
          <w:p w14:paraId="0D25CF19">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567" w:type="dxa"/>
            <w:vAlign w:val="center"/>
          </w:tcPr>
          <w:p w14:paraId="35293BFF">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台</w:t>
            </w:r>
          </w:p>
        </w:tc>
        <w:tc>
          <w:tcPr>
            <w:tcW w:w="709" w:type="dxa"/>
            <w:vAlign w:val="center"/>
          </w:tcPr>
          <w:p w14:paraId="7DB02E6B">
            <w:pPr>
              <w:spacing w:after="0" w:line="240" w:lineRule="auto"/>
              <w:rPr>
                <w:rFonts w:ascii="宋体" w:hAnsi="宋体" w:eastAsia="宋体" w:cs="Times New Roman"/>
                <w:sz w:val="21"/>
                <w:szCs w:val="21"/>
              </w:rPr>
            </w:pPr>
            <w:r>
              <w:rPr>
                <w:rFonts w:hint="eastAsia" w:ascii="宋体" w:hAnsi="宋体" w:eastAsia="宋体" w:cs="Times New Roman"/>
                <w:sz w:val="21"/>
                <w:szCs w:val="21"/>
              </w:rPr>
              <w:t>3年</w:t>
            </w:r>
          </w:p>
        </w:tc>
      </w:tr>
      <w:tr w14:paraId="5A3C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7" w:type="dxa"/>
            <w:shd w:val="clear" w:color="auto" w:fill="auto"/>
            <w:vAlign w:val="center"/>
          </w:tcPr>
          <w:p w14:paraId="4C428921">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17</w:t>
            </w:r>
          </w:p>
        </w:tc>
        <w:tc>
          <w:tcPr>
            <w:tcW w:w="1113" w:type="dxa"/>
            <w:shd w:val="clear" w:color="auto" w:fill="auto"/>
            <w:vAlign w:val="center"/>
          </w:tcPr>
          <w:p w14:paraId="763EE83D">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监控网络终端</w:t>
            </w:r>
          </w:p>
        </w:tc>
        <w:tc>
          <w:tcPr>
            <w:tcW w:w="5431" w:type="dxa"/>
            <w:shd w:val="clear" w:color="auto" w:fill="auto"/>
            <w:vAlign w:val="center"/>
          </w:tcPr>
          <w:p w14:paraId="3F553932">
            <w:pPr>
              <w:spacing w:after="0" w:line="240" w:lineRule="auto"/>
              <w:rPr>
                <w:rFonts w:ascii="宋体" w:hAnsi="宋体" w:eastAsia="宋体" w:cs="Times New Roman"/>
                <w:sz w:val="21"/>
                <w:szCs w:val="21"/>
              </w:rPr>
            </w:pPr>
            <w:r>
              <w:rPr>
                <w:rFonts w:hint="eastAsia" w:ascii="宋体" w:hAnsi="宋体" w:eastAsia="宋体" w:cs="Times New Roman"/>
                <w:sz w:val="21"/>
                <w:szCs w:val="21"/>
              </w:rPr>
              <w:t>1.监控网络状态用高性能终端，数量≥2套，每套均需满足如下要求：</w:t>
            </w:r>
            <w:r>
              <w:rPr>
                <w:rFonts w:hint="eastAsia" w:ascii="宋体" w:hAnsi="宋体" w:eastAsia="宋体" w:cs="Times New Roman"/>
                <w:sz w:val="21"/>
                <w:szCs w:val="21"/>
              </w:rPr>
              <w:br w:type="textWrapping"/>
            </w:r>
            <w:r>
              <w:rPr>
                <w:rFonts w:hint="eastAsia" w:ascii="宋体" w:hAnsi="宋体" w:eastAsia="宋体" w:cs="Times New Roman"/>
                <w:sz w:val="21"/>
                <w:szCs w:val="21"/>
              </w:rPr>
              <w:t>高性能多核CPU需满足总核心数≥16，总线程数≥32，最大频率≥5.7GHz，L1高速缓存≥1280KB，L2高速缓存≥16MB，L3高速缓存≥64MB，支持ECC内存，指令集需为x86-64，CPU接口支持AM5平台。每套内存数量≥2根，需满足DDR5规格，单根容量≥16G，内存频率≥6400MHz，主时序≤CL32，读写速度≥4800MT/s。显卡需满足CUDA核心≥8960个，基础频率≥2.30GHz，加速频率≥2.45GHz，GDDR7显存≥16GB，显存位宽≥256位，最高数字分辨率和刷新率≥4K 480Hz，HDMI接口≥1，DisplayPort 接口≥2。NVME固态硬盘至少支持PCI-Express Gen3协议，M.2 接口，容量≥2TB，顺序读取速度≥2100MB/s,顺序写入速度≥1700MB/s，随机读取速度≥360000IOPS,随机写入速度≥400000IOPS，平均无故障时间≥150万小时，耐久性≥800TB。CPU散热器需为一体式水冷散热器或塔式风冷散热器，一体式水冷冷排规格≥360，塔式风冷热管数量≥6，散热设计≥275W。预安装永久激活正版Windows10/11。电源需满足外形尺寸符合ATX电源标准，输出功率≥1200瓦，80PLUS白金牌认证，ATX3.0标准，电源效率≥92%，24Pin主电源线接口≥1，CPU12V供电接口≥2，显卡接口PCI-E(6+2Pin)≥4，原生PCIE5.0接口12VHPWR≥1，SATA接口≥8，D型4Pin接口≥6。主板需满足 ≥2个 PCI-Express 5.0 ×16接口，≥3个 PCI- Express M.2接口，≥4个 DDR5内存接口，≥4个 SATA 3.0接口，≥1个 无线网卡支持WiFi 7蓝牙5.0，≥1个1000/100/10Mbps自适应RJ45网络接口，CPU Power≥2*8PIN，≥1个 AM5规格CPU插槽，CPU散热解决方案规范 AM5，M-ATX规格或ATX规格板载B850或x870芯片组。显示器尺寸≥27英寸，屏幕分辨率≥3840*2160，最高数字分辨率和刷新率≥4K 160Hz，对比度≥1000:1。色域≥92% DCI-P3 ≥99%sRGB，支持sRGB和DCI-P3两种色彩模式切换，平均色准△E&lt;2，支持HDR400，HDMI2.1接口≥2，DP1.4接口≥1，最大亮度≥350nits，响应时间≤4.16ms。需配备无线键盘鼠标，键盘鼠标均需支持蓝牙5.2、蓝牙3.0、无线2.4GHz三种连接方式。键盘需为104个按键以上的全按键，键盘按键寿命不低于8000万次电池续航不低于80小时。鼠标按键寿命不少于7000万次，轮询率不低于500Hz，鼠标灵敏度DPI可调最低值不低于800DPI,电池续航时间不低于80小时。机箱支持M-ATX规格或ATX规格主板。每套均需配套音响。</w:t>
            </w:r>
            <w:r>
              <w:rPr>
                <w:rFonts w:hint="eastAsia" w:ascii="宋体" w:hAnsi="宋体" w:eastAsia="宋体" w:cs="Times New Roman"/>
                <w:sz w:val="21"/>
                <w:szCs w:val="21"/>
              </w:rPr>
              <w:br w:type="textWrapping"/>
            </w:r>
            <w:r>
              <w:rPr>
                <w:rFonts w:hint="eastAsia" w:ascii="宋体" w:hAnsi="宋体" w:eastAsia="宋体" w:cs="Times New Roman"/>
                <w:sz w:val="21"/>
                <w:szCs w:val="21"/>
              </w:rPr>
              <w:t>2.监控网络状态用终端，数量≥1套，每套均需满足如下要求：</w:t>
            </w:r>
            <w:r>
              <w:rPr>
                <w:rFonts w:hint="eastAsia" w:ascii="宋体" w:hAnsi="宋体" w:eastAsia="宋体" w:cs="Times New Roman"/>
                <w:sz w:val="21"/>
                <w:szCs w:val="21"/>
              </w:rPr>
              <w:br w:type="textWrapping"/>
            </w:r>
            <w:r>
              <w:rPr>
                <w:rFonts w:hint="eastAsia" w:ascii="宋体" w:hAnsi="宋体" w:eastAsia="宋体" w:cs="Times New Roman"/>
                <w:sz w:val="21"/>
                <w:szCs w:val="21"/>
              </w:rPr>
              <w:t>多核CPU需满足总核心数≥8，总线程数≥16，最大频率≥5.5GHz，L1高速缓存≥640KB，L2高速缓存≥18MB，L3高速缓存≥32MB，支持ECC内存，指令集需为x86-64，搭载核显，CPU接口支持AM5平台。每套内存数量≥2根，需满足DDR5规格，单根容量≥16G，内存频率≥6400MHz，主时序≤CL32，读写速度≥4800MT/s。硬盘需满足NVME固态硬盘至少支持PCI-Express Gen3协议，M.2 接口，容量≥2TB，顺序读取速度≥2100MB/s,顺序写入速度≥1700MB/s，随机读取速度≥360000IOPS,随机写入速度≥400000IOPS，平均无故障时间≥150万小时，耐久性≥800TB。CPU散热器需为一体式水冷散热器或塔式风冷散热器，一体式水冷冷排规格≥360，塔式风冷热管数量≥6，散热设计≥275W。预安装正版Windows10/11。电源需满足外形尺寸符合ATX电源标准，输出功率≥1000瓦，80PLUS白金牌认证，ATX3.0标准，电源效率≥92%，24Pin主电源线接口≥1，CPU12V供电接口≥2，显卡接口PCI-E(6+2Pin)≥4，原生PCIE5.0接口12VHPWR≥1，SATA接口≥8，D型4Pin接口≥6。主板需满足 ≥2个 PCI-Express 5.0 ×16接口，≥3个 PCI- Express M.2接口，≥4个 DDR5内存接口，≥4个 SATA 3.0接口，≥1个 无线网卡支持WiFi 7蓝牙5.0，≥1个1000/100/10Mbps自适应RJ45网络接口，CPU Power≥2*8PIN，≥1个 AM5规格CPU插槽，CPU散热解决方案规范 AM5，M-ATX规格或ATX规格板载B850或x870芯片组。显示器尺寸≥27英寸，屏幕分辨率≥3840*2160，最高数字分辨率和刷新率≥4K 160Hz，对比度≥1000:1。色域≥92% DCI-P3 ≥99%sRGB，支持sRGB和DCI-P3两种色彩模式切换，平均色准△E&lt;2，支持HDR400，HDMI2.1接口≥2，DP1.4接口≥1，最大亮度≥350nits，响应时间≤4.16ms。需配备无线键盘鼠标，键盘鼠标均需支持蓝牙5.2、蓝牙3.0、无线2.4GHz三种连接方式。键盘需为104个按键以上的全按键，键盘按键寿命不低于8000万次电池续航不低于80小时。鼠标按键寿命不少于7000万次，轮询率不低于500Hz，鼠标灵敏度DPI可调最低值不低于800DPI,电池续航时间不低于80小时。机箱支持M-ATX规格或ATX规格主板。每套均需配套音响。</w:t>
            </w:r>
          </w:p>
        </w:tc>
        <w:tc>
          <w:tcPr>
            <w:tcW w:w="811" w:type="dxa"/>
            <w:vAlign w:val="center"/>
          </w:tcPr>
          <w:p w14:paraId="0FD6D7DA">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567" w:type="dxa"/>
            <w:vAlign w:val="center"/>
          </w:tcPr>
          <w:p w14:paraId="7A95475C">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批</w:t>
            </w:r>
          </w:p>
        </w:tc>
        <w:tc>
          <w:tcPr>
            <w:tcW w:w="709" w:type="dxa"/>
            <w:vAlign w:val="center"/>
          </w:tcPr>
          <w:p w14:paraId="7B10197E">
            <w:pPr>
              <w:spacing w:after="0" w:line="240" w:lineRule="auto"/>
              <w:rPr>
                <w:rFonts w:ascii="宋体" w:hAnsi="宋体" w:eastAsia="宋体" w:cs="Times New Roman"/>
                <w:sz w:val="21"/>
                <w:szCs w:val="21"/>
              </w:rPr>
            </w:pPr>
            <w:r>
              <w:rPr>
                <w:rFonts w:hint="eastAsia" w:ascii="宋体" w:hAnsi="宋体" w:eastAsia="宋体" w:cs="Times New Roman"/>
                <w:sz w:val="21"/>
                <w:szCs w:val="21"/>
              </w:rPr>
              <w:t>3年</w:t>
            </w:r>
          </w:p>
        </w:tc>
      </w:tr>
      <w:tr w14:paraId="30830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7" w:type="dxa"/>
            <w:shd w:val="clear" w:color="auto" w:fill="auto"/>
            <w:vAlign w:val="center"/>
          </w:tcPr>
          <w:p w14:paraId="38908976">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18</w:t>
            </w:r>
          </w:p>
        </w:tc>
        <w:tc>
          <w:tcPr>
            <w:tcW w:w="1113" w:type="dxa"/>
            <w:shd w:val="clear" w:color="auto" w:fill="auto"/>
            <w:vAlign w:val="center"/>
          </w:tcPr>
          <w:p w14:paraId="42C5D9B9">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机柜PDU</w:t>
            </w:r>
          </w:p>
        </w:tc>
        <w:tc>
          <w:tcPr>
            <w:tcW w:w="5431" w:type="dxa"/>
            <w:shd w:val="clear" w:color="auto" w:fill="auto"/>
            <w:vAlign w:val="center"/>
          </w:tcPr>
          <w:p w14:paraId="6CBF22E8">
            <w:pPr>
              <w:spacing w:after="0" w:line="240" w:lineRule="auto"/>
              <w:rPr>
                <w:rFonts w:ascii="宋体" w:hAnsi="宋体" w:eastAsia="宋体" w:cs="Times New Roman"/>
                <w:sz w:val="21"/>
                <w:szCs w:val="21"/>
              </w:rPr>
            </w:pPr>
            <w:r>
              <w:rPr>
                <w:rFonts w:hint="eastAsia" w:ascii="宋体" w:hAnsi="宋体" w:eastAsia="宋体" w:cs="Times New Roman"/>
                <w:sz w:val="21"/>
                <w:szCs w:val="21"/>
              </w:rPr>
              <w:t>1.长宽高：490*45*43mm</w:t>
            </w:r>
            <w:r>
              <w:rPr>
                <w:rFonts w:hint="eastAsia" w:ascii="宋体" w:hAnsi="宋体" w:eastAsia="宋体" w:cs="Times New Roman"/>
                <w:sz w:val="21"/>
                <w:szCs w:val="21"/>
              </w:rPr>
              <w:br w:type="textWrapping"/>
            </w:r>
            <w:r>
              <w:rPr>
                <w:rFonts w:hint="eastAsia" w:ascii="宋体" w:hAnsi="宋体" w:eastAsia="宋体" w:cs="Times New Roman"/>
                <w:sz w:val="21"/>
                <w:szCs w:val="21"/>
              </w:rPr>
              <w:t>2.重量：2kg</w:t>
            </w:r>
            <w:r>
              <w:rPr>
                <w:rFonts w:hint="eastAsia" w:ascii="宋体" w:hAnsi="宋体" w:eastAsia="宋体" w:cs="Times New Roman"/>
                <w:sz w:val="21"/>
                <w:szCs w:val="21"/>
              </w:rPr>
              <w:br w:type="textWrapping"/>
            </w:r>
            <w:r>
              <w:rPr>
                <w:rFonts w:hint="eastAsia" w:ascii="宋体" w:hAnsi="宋体" w:eastAsia="宋体" w:cs="Times New Roman"/>
                <w:sz w:val="21"/>
                <w:szCs w:val="21"/>
              </w:rPr>
              <w:t>3.材质：PC</w:t>
            </w:r>
            <w:r>
              <w:rPr>
                <w:rFonts w:hint="eastAsia" w:ascii="宋体" w:hAnsi="宋体" w:eastAsia="宋体" w:cs="Times New Roman"/>
                <w:sz w:val="21"/>
                <w:szCs w:val="21"/>
              </w:rPr>
              <w:br w:type="textWrapping"/>
            </w:r>
            <w:r>
              <w:rPr>
                <w:rFonts w:hint="eastAsia" w:ascii="宋体" w:hAnsi="宋体" w:eastAsia="宋体" w:cs="Times New Roman"/>
                <w:sz w:val="21"/>
                <w:szCs w:val="21"/>
              </w:rPr>
              <w:t>4.额定功率：2500W</w:t>
            </w:r>
            <w:r>
              <w:rPr>
                <w:rFonts w:hint="eastAsia" w:ascii="宋体" w:hAnsi="宋体" w:eastAsia="宋体" w:cs="Times New Roman"/>
                <w:sz w:val="21"/>
                <w:szCs w:val="21"/>
              </w:rPr>
              <w:br w:type="textWrapping"/>
            </w:r>
            <w:r>
              <w:rPr>
                <w:rFonts w:hint="eastAsia" w:ascii="宋体" w:hAnsi="宋体" w:eastAsia="宋体" w:cs="Times New Roman"/>
                <w:sz w:val="21"/>
                <w:szCs w:val="21"/>
              </w:rPr>
              <w:t>5.额定电压：250V</w:t>
            </w:r>
            <w:r>
              <w:rPr>
                <w:rFonts w:hint="eastAsia" w:ascii="宋体" w:hAnsi="宋体" w:eastAsia="宋体" w:cs="Times New Roman"/>
                <w:sz w:val="21"/>
                <w:szCs w:val="21"/>
              </w:rPr>
              <w:br w:type="textWrapping"/>
            </w:r>
            <w:r>
              <w:rPr>
                <w:rFonts w:hint="eastAsia" w:ascii="宋体" w:hAnsi="宋体" w:eastAsia="宋体" w:cs="Times New Roman"/>
                <w:sz w:val="21"/>
                <w:szCs w:val="21"/>
              </w:rPr>
              <w:t>6.长度：1.8米</w:t>
            </w:r>
            <w:r>
              <w:rPr>
                <w:rFonts w:hint="eastAsia" w:ascii="宋体" w:hAnsi="宋体" w:eastAsia="宋体" w:cs="Times New Roman"/>
                <w:sz w:val="21"/>
                <w:szCs w:val="21"/>
              </w:rPr>
              <w:br w:type="textWrapping"/>
            </w:r>
            <w:r>
              <w:rPr>
                <w:rFonts w:hint="eastAsia" w:ascii="宋体" w:hAnsi="宋体" w:eastAsia="宋体" w:cs="Times New Roman"/>
                <w:sz w:val="21"/>
                <w:szCs w:val="21"/>
              </w:rPr>
              <w:t>7.功能：PDU</w:t>
            </w:r>
            <w:r>
              <w:rPr>
                <w:rFonts w:hint="eastAsia" w:ascii="宋体" w:hAnsi="宋体" w:eastAsia="宋体" w:cs="Times New Roman"/>
                <w:sz w:val="21"/>
                <w:szCs w:val="21"/>
              </w:rPr>
              <w:br w:type="textWrapping"/>
            </w:r>
            <w:r>
              <w:rPr>
                <w:rFonts w:hint="eastAsia" w:ascii="宋体" w:hAnsi="宋体" w:eastAsia="宋体" w:cs="Times New Roman"/>
                <w:sz w:val="21"/>
                <w:szCs w:val="21"/>
              </w:rPr>
              <w:t>8.额定电流：10A</w:t>
            </w:r>
            <w:r>
              <w:rPr>
                <w:rFonts w:hint="eastAsia" w:ascii="宋体" w:hAnsi="宋体" w:eastAsia="宋体" w:cs="Times New Roman"/>
                <w:sz w:val="21"/>
                <w:szCs w:val="21"/>
              </w:rPr>
              <w:br w:type="textWrapping"/>
            </w:r>
            <w:r>
              <w:rPr>
                <w:rFonts w:hint="eastAsia" w:ascii="宋体" w:hAnsi="宋体" w:eastAsia="宋体" w:cs="Times New Roman"/>
                <w:sz w:val="21"/>
                <w:szCs w:val="21"/>
              </w:rPr>
              <w:t>9.孔位数量：8位</w:t>
            </w:r>
            <w:r>
              <w:rPr>
                <w:rFonts w:hint="eastAsia" w:ascii="宋体" w:hAnsi="宋体" w:eastAsia="宋体" w:cs="Times New Roman"/>
                <w:sz w:val="21"/>
                <w:szCs w:val="21"/>
              </w:rPr>
              <w:br w:type="textWrapping"/>
            </w:r>
            <w:r>
              <w:rPr>
                <w:rFonts w:hint="eastAsia" w:ascii="宋体" w:hAnsi="宋体" w:eastAsia="宋体" w:cs="Times New Roman"/>
                <w:sz w:val="21"/>
                <w:szCs w:val="21"/>
              </w:rPr>
              <w:t>10.每个PDU需配套一个插板，插板孔位≥6个</w:t>
            </w:r>
          </w:p>
        </w:tc>
        <w:tc>
          <w:tcPr>
            <w:tcW w:w="811" w:type="dxa"/>
            <w:vAlign w:val="center"/>
          </w:tcPr>
          <w:p w14:paraId="2E9355E3">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80</w:t>
            </w:r>
          </w:p>
        </w:tc>
        <w:tc>
          <w:tcPr>
            <w:tcW w:w="567" w:type="dxa"/>
            <w:vAlign w:val="center"/>
          </w:tcPr>
          <w:p w14:paraId="54AF9D25">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个</w:t>
            </w:r>
          </w:p>
        </w:tc>
        <w:tc>
          <w:tcPr>
            <w:tcW w:w="709" w:type="dxa"/>
            <w:vAlign w:val="center"/>
          </w:tcPr>
          <w:p w14:paraId="0AC7BA50">
            <w:pPr>
              <w:spacing w:after="0" w:line="240" w:lineRule="auto"/>
              <w:rPr>
                <w:rFonts w:ascii="宋体" w:hAnsi="宋体" w:eastAsia="宋体" w:cs="Times New Roman"/>
                <w:sz w:val="21"/>
                <w:szCs w:val="21"/>
              </w:rPr>
            </w:pPr>
            <w:r>
              <w:rPr>
                <w:rFonts w:hint="eastAsia" w:ascii="宋体" w:hAnsi="宋体" w:eastAsia="宋体" w:cs="Times New Roman"/>
                <w:sz w:val="21"/>
                <w:szCs w:val="21"/>
              </w:rPr>
              <w:t>3年</w:t>
            </w:r>
          </w:p>
        </w:tc>
      </w:tr>
      <w:tr w14:paraId="0E43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7" w:type="dxa"/>
            <w:shd w:val="clear" w:color="auto" w:fill="auto"/>
            <w:vAlign w:val="center"/>
          </w:tcPr>
          <w:p w14:paraId="7947F754">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19</w:t>
            </w:r>
          </w:p>
        </w:tc>
        <w:tc>
          <w:tcPr>
            <w:tcW w:w="1113" w:type="dxa"/>
            <w:shd w:val="clear" w:color="auto" w:fill="auto"/>
            <w:vAlign w:val="center"/>
          </w:tcPr>
          <w:p w14:paraId="6BD525CC">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电路改造材料及施工费用（含人工、辅材、税费）</w:t>
            </w:r>
          </w:p>
        </w:tc>
        <w:tc>
          <w:tcPr>
            <w:tcW w:w="5431" w:type="dxa"/>
            <w:shd w:val="clear" w:color="auto" w:fill="auto"/>
            <w:vAlign w:val="center"/>
          </w:tcPr>
          <w:p w14:paraId="3E2FC7F4">
            <w:pPr>
              <w:spacing w:after="0" w:line="240" w:lineRule="auto"/>
              <w:rPr>
                <w:rFonts w:ascii="宋体" w:hAnsi="宋体" w:eastAsia="宋体" w:cs="Times New Roman"/>
                <w:sz w:val="21"/>
                <w:szCs w:val="21"/>
              </w:rPr>
            </w:pPr>
            <w:r>
              <w:rPr>
                <w:rFonts w:hint="eastAsia" w:ascii="宋体" w:hAnsi="宋体" w:eastAsia="宋体" w:cs="Times New Roman"/>
                <w:sz w:val="21"/>
                <w:szCs w:val="21"/>
              </w:rPr>
              <w:t>需为校内17栋楼配置电路全部所需改造辅材耗材（包括但不限于以下主要辅材耗材参数中所提及的辅材耗材），需满足以下施工要求：每栋楼重新敷设网络设备专用电缆，确保楼内通信系统稳定运行；总闸加装物联网智能开关，所供电到达交换机机柜，完工后提交完整的线路图，实现远程电力管控；主配电箱与各楼层配电箱的空气开关需按新负载标准重新选型配置；办公室末端配电箱同步更换为标准化规格型号；所有线槽、配电设备及线路需粘贴清晰标签，标注功能编号与维护信息，保障后期运维可追溯性。施工辅材必须涵盖主电缆、分层电缆、主配电箱、分层配电箱、380v物联模块、380v总控空气开关、220v分控空气开关、铁线槽等关键材料，且均需通过国家CCC认证并满足三年质保要求。供应商须按实际工程量足量配置辅材耗材，须完整包含运输、安装、老旧设备拆卸安装及税费等全部成本，严禁以材料损耗等其他任何名义加收任何费用，若验收发现辅材短缺须无条件免费补足。(需提供加盖公章的承诺函)</w:t>
            </w:r>
            <w:r>
              <w:rPr>
                <w:rFonts w:hint="eastAsia" w:ascii="宋体" w:hAnsi="宋体" w:eastAsia="宋体" w:cs="Times New Roman"/>
                <w:sz w:val="21"/>
                <w:szCs w:val="21"/>
              </w:rPr>
              <w:br w:type="textWrapping"/>
            </w:r>
            <w:r>
              <w:rPr>
                <w:rFonts w:hint="eastAsia" w:ascii="宋体" w:hAnsi="宋体" w:eastAsia="宋体" w:cs="Times New Roman"/>
                <w:sz w:val="21"/>
                <w:szCs w:val="21"/>
              </w:rPr>
              <w:t>主要辅材耗材参数：</w:t>
            </w:r>
            <w:r>
              <w:rPr>
                <w:rFonts w:hint="eastAsia" w:ascii="宋体" w:hAnsi="宋体" w:eastAsia="宋体" w:cs="Times New Roman"/>
                <w:sz w:val="21"/>
                <w:szCs w:val="21"/>
              </w:rPr>
              <w:br w:type="textWrapping"/>
            </w:r>
            <w:r>
              <w:rPr>
                <w:rFonts w:hint="eastAsia" w:ascii="宋体" w:hAnsi="宋体" w:eastAsia="宋体" w:cs="Times New Roman"/>
                <w:sz w:val="21"/>
                <w:szCs w:val="21"/>
              </w:rPr>
              <w:t>1.主电缆：电缆型号：5芯铜芯聚氯乙烯绝缘电缆  ；规格：≥10mm²×5  ；导体：无氧铜多股绞合，≥20℃直流电阻≤1.724Ω/km  ；绝缘：PVC，厚度≥1.0mm，额定电压≥450/750V  ；护套：PVC，厚度≥1.5mm；载流量：≥75A，满足本次项目实际需求  。</w:t>
            </w:r>
            <w:r>
              <w:rPr>
                <w:rFonts w:hint="eastAsia" w:ascii="宋体" w:hAnsi="宋体" w:eastAsia="宋体" w:cs="Times New Roman"/>
                <w:sz w:val="21"/>
                <w:szCs w:val="21"/>
              </w:rPr>
              <w:br w:type="textWrapping"/>
            </w:r>
            <w:r>
              <w:rPr>
                <w:rFonts w:hint="eastAsia" w:ascii="宋体" w:hAnsi="宋体" w:eastAsia="宋体" w:cs="Times New Roman"/>
                <w:sz w:val="21"/>
                <w:szCs w:val="21"/>
              </w:rPr>
              <w:t>2.分层电缆：电缆型号：3芯铜芯聚氯乙烯绝缘电缆  ；规格：≥4mm²×3  ；导体：无氧铜多股绞合，≥20℃直流电阻≤1.724Ω/km  ；绝缘：PVC，厚度≥0.7mm，额定电压≥300/500V  ；护套：PVC，厚度≥1.2mm；载流量：≥50A ，满足本次项目实际需求。</w:t>
            </w:r>
            <w:r>
              <w:rPr>
                <w:rFonts w:hint="eastAsia" w:ascii="宋体" w:hAnsi="宋体" w:eastAsia="宋体" w:cs="Times New Roman"/>
                <w:sz w:val="21"/>
                <w:szCs w:val="21"/>
              </w:rPr>
              <w:br w:type="textWrapping"/>
            </w:r>
            <w:r>
              <w:rPr>
                <w:rFonts w:hint="eastAsia" w:ascii="宋体" w:hAnsi="宋体" w:eastAsia="宋体" w:cs="Times New Roman"/>
                <w:sz w:val="21"/>
                <w:szCs w:val="21"/>
              </w:rPr>
              <w:t>3.主配电箱：尺寸：≥500mm×600mm×200mm，箱体材质：镀锌钢板（厚度≥1.2mm），满足本次项目实际需求。</w:t>
            </w:r>
            <w:r>
              <w:rPr>
                <w:rFonts w:hint="eastAsia" w:ascii="宋体" w:hAnsi="宋体" w:eastAsia="宋体" w:cs="Times New Roman"/>
                <w:sz w:val="21"/>
                <w:szCs w:val="21"/>
              </w:rPr>
              <w:br w:type="textWrapping"/>
            </w:r>
            <w:r>
              <w:rPr>
                <w:rFonts w:hint="eastAsia" w:ascii="宋体" w:hAnsi="宋体" w:eastAsia="宋体" w:cs="Times New Roman"/>
                <w:sz w:val="21"/>
                <w:szCs w:val="21"/>
              </w:rPr>
              <w:t>4.分层配电箱：尺寸：≥300mm×200mm×150mm，箱体材质：镀锌钢板（厚度≥1.2mm），满足本次项目实际需求。</w:t>
            </w:r>
            <w:r>
              <w:rPr>
                <w:rFonts w:hint="eastAsia" w:ascii="宋体" w:hAnsi="宋体" w:eastAsia="宋体" w:cs="Times New Roman"/>
                <w:sz w:val="21"/>
                <w:szCs w:val="21"/>
              </w:rPr>
              <w:br w:type="textWrapping"/>
            </w:r>
            <w:r>
              <w:rPr>
                <w:rFonts w:hint="eastAsia" w:ascii="宋体" w:hAnsi="宋体" w:eastAsia="宋体" w:cs="Times New Roman"/>
                <w:sz w:val="21"/>
                <w:szCs w:val="21"/>
              </w:rPr>
              <w:t>5.380v物联模块：工作电压≥380V，4G通讯，短信通知≥500条和微信公众号推送功能，APP和电脑软件可管理，远程计量控制，开关量输出≥4路，满足本次项目实际需求。</w:t>
            </w:r>
            <w:r>
              <w:rPr>
                <w:rFonts w:hint="eastAsia" w:ascii="宋体" w:hAnsi="宋体" w:eastAsia="宋体" w:cs="Times New Roman"/>
                <w:sz w:val="21"/>
                <w:szCs w:val="21"/>
              </w:rPr>
              <w:br w:type="textWrapping"/>
            </w:r>
            <w:r>
              <w:rPr>
                <w:rFonts w:hint="eastAsia" w:ascii="宋体" w:hAnsi="宋体" w:eastAsia="宋体" w:cs="Times New Roman"/>
                <w:sz w:val="21"/>
                <w:szCs w:val="21"/>
              </w:rPr>
              <w:t>6.380v总控空气开关：≥63A,≥3P，满足本次项目实际需求。</w:t>
            </w:r>
            <w:r>
              <w:rPr>
                <w:rFonts w:hint="eastAsia" w:ascii="宋体" w:hAnsi="宋体" w:eastAsia="宋体" w:cs="Times New Roman"/>
                <w:sz w:val="21"/>
                <w:szCs w:val="21"/>
              </w:rPr>
              <w:br w:type="textWrapping"/>
            </w:r>
            <w:r>
              <w:rPr>
                <w:rFonts w:hint="eastAsia" w:ascii="宋体" w:hAnsi="宋体" w:eastAsia="宋体" w:cs="Times New Roman"/>
                <w:sz w:val="21"/>
                <w:szCs w:val="21"/>
              </w:rPr>
              <w:t>7.220v分控空气开关：≥32A,≥2P，满足本次项目实际需求。</w:t>
            </w:r>
            <w:r>
              <w:rPr>
                <w:rFonts w:hint="eastAsia" w:ascii="宋体" w:hAnsi="宋体" w:eastAsia="宋体" w:cs="Times New Roman"/>
                <w:sz w:val="21"/>
                <w:szCs w:val="21"/>
              </w:rPr>
              <w:br w:type="textWrapping"/>
            </w:r>
            <w:r>
              <w:rPr>
                <w:rFonts w:hint="eastAsia" w:ascii="宋体" w:hAnsi="宋体" w:eastAsia="宋体" w:cs="Times New Roman"/>
                <w:sz w:val="21"/>
                <w:szCs w:val="21"/>
              </w:rPr>
              <w:t>8.铁线槽：横截面≥50mm*25mm，板材厚度≥0.6mm，，满足本次项目实际需求。</w:t>
            </w:r>
          </w:p>
        </w:tc>
        <w:tc>
          <w:tcPr>
            <w:tcW w:w="811" w:type="dxa"/>
            <w:vAlign w:val="center"/>
          </w:tcPr>
          <w:p w14:paraId="74938852">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567" w:type="dxa"/>
            <w:vAlign w:val="center"/>
          </w:tcPr>
          <w:p w14:paraId="652BDC50">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批</w:t>
            </w:r>
          </w:p>
        </w:tc>
        <w:tc>
          <w:tcPr>
            <w:tcW w:w="709" w:type="dxa"/>
            <w:vAlign w:val="center"/>
          </w:tcPr>
          <w:p w14:paraId="51C8B795">
            <w:pPr>
              <w:spacing w:after="0" w:line="240" w:lineRule="auto"/>
              <w:rPr>
                <w:rFonts w:ascii="宋体" w:hAnsi="宋体" w:eastAsia="宋体" w:cs="Times New Roman"/>
                <w:sz w:val="21"/>
                <w:szCs w:val="21"/>
              </w:rPr>
            </w:pPr>
            <w:r>
              <w:rPr>
                <w:rFonts w:hint="eastAsia" w:ascii="宋体" w:hAnsi="宋体" w:eastAsia="宋体" w:cs="Times New Roman"/>
                <w:sz w:val="21"/>
                <w:szCs w:val="21"/>
              </w:rPr>
              <w:t>3年</w:t>
            </w:r>
          </w:p>
        </w:tc>
      </w:tr>
      <w:tr w14:paraId="6CF8E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7" w:type="dxa"/>
            <w:shd w:val="clear" w:color="auto" w:fill="auto"/>
            <w:vAlign w:val="center"/>
          </w:tcPr>
          <w:p w14:paraId="26AF59FE">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20</w:t>
            </w:r>
          </w:p>
        </w:tc>
        <w:tc>
          <w:tcPr>
            <w:tcW w:w="1113" w:type="dxa"/>
            <w:shd w:val="clear" w:color="auto" w:fill="auto"/>
            <w:vAlign w:val="center"/>
          </w:tcPr>
          <w:p w14:paraId="323E0C2E">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网络整改、机房整改、网络布线耗材及施工费用（含人工、辅材、税费）</w:t>
            </w:r>
          </w:p>
        </w:tc>
        <w:tc>
          <w:tcPr>
            <w:tcW w:w="5431" w:type="dxa"/>
            <w:shd w:val="clear" w:color="auto" w:fill="auto"/>
            <w:vAlign w:val="center"/>
          </w:tcPr>
          <w:p w14:paraId="227C30FC">
            <w:pPr>
              <w:spacing w:after="0" w:line="240" w:lineRule="auto"/>
              <w:rPr>
                <w:rFonts w:ascii="宋体" w:hAnsi="宋体" w:eastAsia="宋体" w:cs="Times New Roman"/>
                <w:sz w:val="21"/>
                <w:szCs w:val="21"/>
              </w:rPr>
            </w:pPr>
            <w:r>
              <w:rPr>
                <w:rFonts w:hint="eastAsia" w:ascii="宋体" w:hAnsi="宋体" w:eastAsia="宋体" w:cs="Times New Roman"/>
                <w:sz w:val="21"/>
                <w:szCs w:val="21"/>
              </w:rPr>
              <w:t>机房整改、网络布线耗材辅材需满足校内17栋楼改造全场景网络升级全部需求（包括但不限于以下主要辅材耗材参数中所提及的辅材耗材），需满足以下施工要求：AP安装（含布线）及老旧AP拆除所需全部辅材耗材人工等成本，中心机房核心交换机使用光纤至汇聚交换机，汇聚交换机使用光纤至楼层接入交换机，楼层接入交换机使用网线至终端及AP，办公室静音交换机使用光纤至汇聚交换机或网线到楼层接入交换机，楼间主干光缆采用24芯规格，通过地沟内U形卡壁挂方式从各楼汇聚机房延伸至中心机房，中途做好标签，完工后提交完整的线路图，包含挖地槽费用；楼内每层垂直布线至楼宇汇聚机房部署12芯光缆，，每层设置带LC接头的ODF光纤架并完成熔接尾纤。中心机房新增设顶挂铝合金上桥架并重新整改线路及供电，施工环节同步完善基础设施，每层弱电井增设壁挂机柜，办公室静音交换机至终端采用双绞线敷设（含施工），地面金属线槽与墙面PVC线槽需保证横平竖直的工艺标准。所有工程实施后须出具符合国家标准的光纤检测报告，且线缆、设备均需标注包含线路编号与维护信息的标准化标签，实现全链路可追溯管理。校内电脑打印机等办公设备的调试（需保证所有办公设备正常入网）。施工辅材必须涵盖PVC线槽/管、金属线槽/管、波纹管、六类水晶头、网络模块、单/多模光纤跳线、ODF光纤配线架、机柜、办公室内壁挂机柜、机房桥架等关键材料，且均需通过国家CCC认证并满足三年质保要求。供应商须按实际工程量足量配置辅材耗材，须完整包含运输、安装、老旧设备拆卸安装及税费等全部成本，严禁以材料损耗等其他任何名义加收任何费用，若验收发现辅材短缺须无条件免费补足(需提供加盖公章的承诺函)。</w:t>
            </w:r>
            <w:r>
              <w:rPr>
                <w:rFonts w:hint="eastAsia" w:ascii="宋体" w:hAnsi="宋体" w:eastAsia="宋体" w:cs="Times New Roman"/>
                <w:sz w:val="21"/>
                <w:szCs w:val="21"/>
              </w:rPr>
              <w:br w:type="textWrapping"/>
            </w:r>
            <w:r>
              <w:rPr>
                <w:rFonts w:hint="eastAsia" w:ascii="宋体" w:hAnsi="宋体" w:eastAsia="宋体" w:cs="Times New Roman"/>
                <w:sz w:val="21"/>
                <w:szCs w:val="21"/>
              </w:rPr>
              <w:t>主要辅材耗材参数：</w:t>
            </w:r>
            <w:r>
              <w:rPr>
                <w:rFonts w:hint="eastAsia" w:ascii="宋体" w:hAnsi="宋体" w:eastAsia="宋体" w:cs="Times New Roman"/>
                <w:sz w:val="21"/>
                <w:szCs w:val="21"/>
              </w:rPr>
              <w:br w:type="textWrapping"/>
            </w:r>
            <w:r>
              <w:rPr>
                <w:rFonts w:hint="eastAsia" w:ascii="宋体" w:hAnsi="宋体" w:eastAsia="宋体" w:cs="Times New Roman"/>
                <w:sz w:val="21"/>
                <w:szCs w:val="21"/>
              </w:rPr>
              <w:t>1.网线：适用于综合布线网络，支持各种高速率以太网的应用；产品特性：六类非屏蔽数字电缆完全符合或优于六类相关标准要求，满足≥1000Mbps 的数据传输，采用中心十字架结构以减少线对信号干扰和增加物理机械抗拉性，满足本次项目实际需求。</w:t>
            </w:r>
            <w:r>
              <w:rPr>
                <w:rFonts w:hint="eastAsia" w:ascii="宋体" w:hAnsi="宋体" w:eastAsia="宋体" w:cs="Times New Roman"/>
                <w:sz w:val="21"/>
                <w:szCs w:val="21"/>
              </w:rPr>
              <w:br w:type="textWrapping"/>
            </w:r>
            <w:r>
              <w:rPr>
                <w:rFonts w:hint="eastAsia" w:ascii="宋体" w:hAnsi="宋体" w:eastAsia="宋体" w:cs="Times New Roman"/>
                <w:sz w:val="21"/>
                <w:szCs w:val="21"/>
              </w:rPr>
              <w:t>2.水晶头：支持 1000Mbps 的数据传输，满足和优于六类传输系统标准的要求，可实现更高的可靠性，具有防止松动、 自锁、插拔灵活的功能，铜片采用镀镍+全镀金镀金工艺，增强抗氧化能力有效降低阻抗的不连续性，插拔寿命&gt;1000 次，满足本次项目实际需求。</w:t>
            </w:r>
            <w:r>
              <w:rPr>
                <w:rFonts w:hint="eastAsia" w:ascii="宋体" w:hAnsi="宋体" w:eastAsia="宋体" w:cs="Times New Roman"/>
                <w:sz w:val="21"/>
                <w:szCs w:val="21"/>
              </w:rPr>
              <w:br w:type="textWrapping"/>
            </w:r>
            <w:r>
              <w:rPr>
                <w:rFonts w:hint="eastAsia" w:ascii="宋体" w:hAnsi="宋体" w:eastAsia="宋体" w:cs="Times New Roman"/>
                <w:sz w:val="21"/>
                <w:szCs w:val="21"/>
              </w:rPr>
              <w:t>3.6U机柜：类型：可落地、可壁挂小型网络机柜；颜色：灰白色；门类型：网门，两侧板可以打开；型号：6U；不少于尺寸高*宽*深 mm：300*530*400；标准配置不少于：1块托盘、1套钥匙及安装螺丝；板材厚度：不小于通体0.6mm，立柱1.2mm；防护等级：满足IP20防护等级；用途：安装交换机、配线架、UPS、电源、音响功放等标准19英寸网络设备或小于19英寸的小型设备，满足本次项目实际需求。</w:t>
            </w:r>
            <w:r>
              <w:rPr>
                <w:rFonts w:hint="eastAsia" w:ascii="宋体" w:hAnsi="宋体" w:eastAsia="宋体" w:cs="Times New Roman"/>
                <w:sz w:val="21"/>
                <w:szCs w:val="21"/>
              </w:rPr>
              <w:br w:type="textWrapping"/>
            </w:r>
            <w:r>
              <w:rPr>
                <w:rFonts w:hint="eastAsia" w:ascii="宋体" w:hAnsi="宋体" w:eastAsia="宋体" w:cs="Times New Roman"/>
                <w:sz w:val="21"/>
                <w:szCs w:val="21"/>
              </w:rPr>
              <w:t>4.9U机柜：类型：可落地、可壁挂小型网络机柜；颜色：灰白色；门类型：网门，两侧板可以打开；型号：9U；不少于尺寸高*宽*深 mm：450*530*400；不少于标准配置：1块托盘、1套钥匙及安装螺丝；板材厚度：不小于通体0.6mm，立柱1.2mm；防护等级：满足IP20防护等级；用途：安装交换机、配线架、UPS、电源、音响功放等标准19英寸网络设备或小于19英寸的小型设备，满足本次项目实际需求。</w:t>
            </w:r>
            <w:r>
              <w:rPr>
                <w:rFonts w:hint="eastAsia" w:ascii="宋体" w:hAnsi="宋体" w:eastAsia="宋体" w:cs="Times New Roman"/>
                <w:sz w:val="21"/>
                <w:szCs w:val="21"/>
              </w:rPr>
              <w:br w:type="textWrapping"/>
            </w:r>
            <w:r>
              <w:rPr>
                <w:rFonts w:hint="eastAsia" w:ascii="宋体" w:hAnsi="宋体" w:eastAsia="宋体" w:cs="Times New Roman"/>
                <w:sz w:val="21"/>
                <w:szCs w:val="21"/>
              </w:rPr>
              <w:t>5.12U机柜：类型：可落地、可壁挂小型网络机柜；颜色：灰白色；门类型：默认普通玻璃门，网门可定制，两侧板可以打开；型号：12U；不少于尺寸高*宽*深 mm：600*530*400；标准配置不少于：1块托盘、1套钥匙及安装螺丝，12U配置1套脚轮；板材厚度：不小于通体0.6mm，立柱1.2mm；防护等级：满足IP20防护等级；用途：安装交换机、配线架、UPS、电源、音响功放等标准19英寸网络设备或小于19英寸的小型设备，满足本次项目实际需求。</w:t>
            </w:r>
            <w:r>
              <w:rPr>
                <w:rFonts w:hint="eastAsia" w:ascii="宋体" w:hAnsi="宋体" w:eastAsia="宋体" w:cs="Times New Roman"/>
                <w:sz w:val="21"/>
                <w:szCs w:val="21"/>
              </w:rPr>
              <w:br w:type="textWrapping"/>
            </w:r>
            <w:r>
              <w:rPr>
                <w:rFonts w:hint="eastAsia" w:ascii="宋体" w:hAnsi="宋体" w:eastAsia="宋体" w:cs="Times New Roman"/>
                <w:sz w:val="21"/>
                <w:szCs w:val="21"/>
              </w:rPr>
              <w:t>6.1.2米机柜：类型：可落地、可壁挂小型网络机柜；颜色：灰白色；门类型：默认普通玻璃门，网门可定制，两侧板可以打开；型号：≥22U；标准配置不少于：1块托盘、1套钥匙及安装螺丝，12U配置1套脚轮；板材厚度：不小于通体0.6mm，立柱1.2mm；防护等级：满足IP20防护等级；用途：安装交换机、配线架、UPS、电源、音响功放等标准19英寸网络设备或小于19英寸的小型设备，满足本次项目实际需求。</w:t>
            </w:r>
            <w:r>
              <w:rPr>
                <w:rFonts w:hint="eastAsia" w:ascii="宋体" w:hAnsi="宋体" w:eastAsia="宋体" w:cs="Times New Roman"/>
                <w:sz w:val="21"/>
                <w:szCs w:val="21"/>
              </w:rPr>
              <w:br w:type="textWrapping"/>
            </w:r>
            <w:r>
              <w:rPr>
                <w:rFonts w:hint="eastAsia" w:ascii="宋体" w:hAnsi="宋体" w:eastAsia="宋体" w:cs="Times New Roman"/>
                <w:sz w:val="21"/>
                <w:szCs w:val="21"/>
              </w:rPr>
              <w:t>7.网络跳线：支持 1000Mbps 的数据传输；插拔寿命&gt;1500 次;可以与6 类和超 6类产品兼容；适用于设备、配线架多用户模块等间的快速连接；采用多股无氧铜软导体；100%的无氧铜导体，电阻率低于 0.017241Ω·mm²/m；可提供多种彩色跳线，用于区分不同应用类型；护套有低烟无卤料、环保阻燃料和环保 PVC 料多种类型；独立的包装，降低遇到空气加速氧化进程，同时每个产品都有独立的合格证和型号标识；中间采用十字骨架，有效减少每个线对之间的相互干扰；具有防止松动、 自锁、插拔灵活的功能，满足本次项目实际需求。</w:t>
            </w:r>
            <w:r>
              <w:rPr>
                <w:rFonts w:hint="eastAsia" w:ascii="宋体" w:hAnsi="宋体" w:eastAsia="宋体" w:cs="Times New Roman"/>
                <w:sz w:val="21"/>
                <w:szCs w:val="21"/>
              </w:rPr>
              <w:br w:type="textWrapping"/>
            </w:r>
            <w:r>
              <w:rPr>
                <w:rFonts w:hint="eastAsia" w:ascii="宋体" w:hAnsi="宋体" w:eastAsia="宋体" w:cs="Times New Roman"/>
                <w:sz w:val="21"/>
                <w:szCs w:val="21"/>
              </w:rPr>
              <w:t>8.光纤配线架：材料：冷轧钢板，安装挂耳板厚不少于2.0mm，其余金属部件（门，架体）板厚不少于1.2mm；功能特点：具备光缆固定与保护功能（具备光缆固定开剥板，可安装于架体左右两侧或后侧）、光纤终接功能、跳线功能、纤芯/跳线保护功能、标识记录功能、光纤存储功能，便于扩容、维护、操作；操作方式：19英寸机架标准安装，全正面操作方式，托盘抽拉式安装；配附件：单芯熔接保护管，裸纤保护套管，扎带，安装螺钉等安装材料，满足本次项目实际需求。</w:t>
            </w:r>
            <w:r>
              <w:rPr>
                <w:rFonts w:hint="eastAsia" w:ascii="宋体" w:hAnsi="宋体" w:eastAsia="宋体" w:cs="Times New Roman"/>
                <w:sz w:val="21"/>
                <w:szCs w:val="21"/>
              </w:rPr>
              <w:br w:type="textWrapping"/>
            </w:r>
            <w:r>
              <w:rPr>
                <w:rFonts w:hint="eastAsia" w:ascii="宋体" w:hAnsi="宋体" w:eastAsia="宋体" w:cs="Times New Roman"/>
                <w:sz w:val="21"/>
                <w:szCs w:val="21"/>
              </w:rPr>
              <w:t>9.12芯24芯室外光纤：金属加强构件、松套层绞填充式、铝- 聚乙烯粘结护套的通信用室外光缆；应用范围: 适用于长途通信和局间通信；敷设方式: 管道、架空；工作温度:  -40 ~ +70°C；弯曲半径: 静态 ≥10 倍缆径  动态 ≥20 倍缆径确保光缆具有优良的传输性能；保证光缆稳定工作30年以上；全截面阻水结构，双面覆膜铝带纵包，确保良好的阻水防潮性能；松套管内填充特种油膏，对光纤进行关键性保护中心加强构件采用耐腐蚀的、高杨氏模量的磷化钢丝，满足本次项目实际需求。</w:t>
            </w:r>
          </w:p>
        </w:tc>
        <w:tc>
          <w:tcPr>
            <w:tcW w:w="811" w:type="dxa"/>
            <w:vAlign w:val="center"/>
          </w:tcPr>
          <w:p w14:paraId="14574C8F">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567" w:type="dxa"/>
            <w:vAlign w:val="center"/>
          </w:tcPr>
          <w:p w14:paraId="7926E203">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批</w:t>
            </w:r>
          </w:p>
        </w:tc>
        <w:tc>
          <w:tcPr>
            <w:tcW w:w="709" w:type="dxa"/>
            <w:vAlign w:val="center"/>
          </w:tcPr>
          <w:p w14:paraId="76699026">
            <w:pPr>
              <w:spacing w:after="0" w:line="240" w:lineRule="auto"/>
              <w:rPr>
                <w:rFonts w:ascii="宋体" w:hAnsi="宋体" w:eastAsia="宋体" w:cs="Times New Roman"/>
                <w:sz w:val="21"/>
                <w:szCs w:val="21"/>
              </w:rPr>
            </w:pPr>
            <w:r>
              <w:rPr>
                <w:rFonts w:hint="eastAsia" w:ascii="宋体" w:hAnsi="宋体" w:eastAsia="宋体" w:cs="Times New Roman"/>
                <w:sz w:val="21"/>
                <w:szCs w:val="21"/>
              </w:rPr>
              <w:t>3年</w:t>
            </w:r>
          </w:p>
        </w:tc>
      </w:tr>
      <w:tr w14:paraId="3B86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7" w:type="dxa"/>
            <w:shd w:val="clear" w:color="auto" w:fill="auto"/>
            <w:vAlign w:val="center"/>
          </w:tcPr>
          <w:p w14:paraId="4D02FE3F">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21</w:t>
            </w:r>
          </w:p>
        </w:tc>
        <w:tc>
          <w:tcPr>
            <w:tcW w:w="1113" w:type="dxa"/>
            <w:shd w:val="clear" w:color="auto" w:fill="auto"/>
            <w:vAlign w:val="center"/>
          </w:tcPr>
          <w:p w14:paraId="1EF67F14">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移动录播平台</w:t>
            </w:r>
          </w:p>
        </w:tc>
        <w:tc>
          <w:tcPr>
            <w:tcW w:w="5431" w:type="dxa"/>
            <w:shd w:val="clear" w:color="auto" w:fill="auto"/>
            <w:vAlign w:val="center"/>
          </w:tcPr>
          <w:p w14:paraId="708CB18E">
            <w:pPr>
              <w:spacing w:after="0" w:line="240" w:lineRule="auto"/>
              <w:rPr>
                <w:rFonts w:ascii="宋体" w:hAnsi="宋体" w:eastAsia="宋体" w:cs="Times New Roman"/>
                <w:sz w:val="21"/>
                <w:szCs w:val="21"/>
              </w:rPr>
            </w:pPr>
            <w:r>
              <w:rPr>
                <w:rFonts w:hint="eastAsia" w:ascii="宋体" w:hAnsi="宋体" w:eastAsia="宋体" w:cs="Times New Roman"/>
                <w:sz w:val="21"/>
                <w:szCs w:val="21"/>
              </w:rPr>
              <w:t>1.移动导播台，数量≥1套，每套均需满足如下要求：设备采用嵌入式≤2U标准设计，非PC架构，内置Linux操作系统，支持≥2T硬盘。全铝合金无风扇制作，设备无噪音。支持 7*24 小时工作，支持录播教室、礼堂、校园电视台、户外直播等多种应用场景；为保证室外场景拍摄支持≥5路无线摄像机的视频接入，无线传输距离≥200米；设备采用翻盖式一体架构，支持≥15英寸显示屏，可直接观看操作界面（提供实物高清照片加盖制造商公章）；为保证精准操作，设备采用应力反馈式按键布局（非触屏式操控），支持≥40个功能按键，支持音频控制区、特效功能区、模式转换区、手动自动切换区、直播控制区、虚拟演播区、台标控制区、预置位控制区、主备播切换区，实现各种功能快速调用（提供实物高清照片加盖制造商公章）；支持四维摇杆，可控制摄像机的转动和推拉焦距；并且支持锁定焦距按键，防止误操作；支持T型推杆，实现主备播的画面切换；支持音频推杆，实现音量大小调节（提供实物高清照片加盖制造商公章）；视频接口：支持≥4路本地12G-SDI高清视频采集，分辨率达3840x2160；支持≥2路HDMI高清信号采集，分辨率达3840x2160；支持≥4路HDMI本地视频输出接口（提供产品背板接口图片并加盖制造商公章）；音频接口：支持≥2路本地音频信号采集接口，3.5mm LINE-IN线性输入；支持≥2路卡农输入接口，支持≥2路音频信号输出接口，3.5mm LINE-IN线性输出，可对采集的音频进行实时监听（提供产品背板接口图片并加盖制造商公章）；通讯接口：支持≥4路USB接口；支持≥1路RJ45接口；（提供产品背板接口图片并加盖制造商公章）；需支持3D虚拟抠像与校园电视台等功能；要求所投产品产生噪声最大值＜28dB(A)；（提供第三方检测报告复印件并加盖制造商公章）；整机使用平均无故障运行时间(MTBF)应≥180000小时,（提供第三方检测报告复印件并加盖制造商公章）。</w:t>
            </w:r>
            <w:r>
              <w:rPr>
                <w:rFonts w:hint="eastAsia" w:ascii="宋体" w:hAnsi="宋体" w:eastAsia="宋体" w:cs="Times New Roman"/>
                <w:sz w:val="21"/>
                <w:szCs w:val="21"/>
              </w:rPr>
              <w:br w:type="textWrapping"/>
            </w:r>
            <w:r>
              <w:rPr>
                <w:rFonts w:hint="eastAsia" w:ascii="宋体" w:hAnsi="宋体" w:eastAsia="宋体" w:cs="Times New Roman"/>
                <w:sz w:val="21"/>
                <w:szCs w:val="21"/>
              </w:rPr>
              <w:t>2.移动导录播系统，数量≥1套，每套均需满足如下要求：支持录制文件管理功能，录制完成可及时查看教学课件回放，可进行批量上传、删除等功能；为了保证录制效果，支持＞10路备播通道图像加载（提供软件界面截图并加盖制造商公章）；备播通道信号加载包括但不限于4路摄像机画面和电脑课件画面、教师笔记本、片头、片尾、图片、过场视频动画、互动主流、互动辅流等；支持无线采集电脑画面、电脑教师客户端画面，支持采集屏幕码流和帧率，支持捕获区域选择；支持预制位可实现摄像机的设置和调用，能够快速实现摄像机预制位的操作；系统支持无线WIFI加入功能，无需单独配置无线路由器；系统支持无线信号进行自动匹配，设备通电后自动加载摄像机信号；支持低频加密传输，能有效避免在多台设备场景下，相互干扰问题；支持语音降噪力度门限调节、支持自动增益噪声底线信噪比增益值调节、支持回声抑制噪声调节、支持滤波频率调节（提供软件界面截图并加盖制造商公章）；支持视频会议功能，可根据网络情况选择多种分辨率及码流进行互动，支持SIP 协议，H.323协议，支持主动呼叫和被动接听功能；支持网络测试功能，测试网络通讯情况，包括上下行丢包率数据、带宽数据等。支持路由器跟踪测试，用于确定IP数据访问目标设备所经的路径；支持视频会议功能，可实现与远端教室一对一或者一对多点互动教学应用；支持双流互动，主讲端可把教师信号和PPT信号同时推送给听课端，实现沉浸式教学；支持蓝、绿背景抠图功能，通过叠加不同场景，快速实现校园电视台和微课制作（提供软件界面截图并加盖制造商公章）；支持≥8个虚拟场景的叠加，包含软采笔记本信号和硬采笔记本信号；支持片头、片尾管理，实现素材导入、片头片尾文件选择；为保证视频画面衔接流畅，支持≥8种特效切换功能，支持≥5种多视频叠加模式，可以将多个视频自由叠加在同一个视频窗体中，支持对话模式、画中画、三分屏、四分屏多画面模式等；集成语音转写功能。</w:t>
            </w:r>
            <w:r>
              <w:rPr>
                <w:rFonts w:hint="eastAsia" w:ascii="宋体" w:hAnsi="宋体" w:eastAsia="宋体" w:cs="Times New Roman"/>
                <w:sz w:val="21"/>
                <w:szCs w:val="21"/>
              </w:rPr>
              <w:br w:type="textWrapping"/>
            </w:r>
            <w:r>
              <w:rPr>
                <w:rFonts w:hint="eastAsia" w:ascii="宋体" w:hAnsi="宋体" w:eastAsia="宋体" w:cs="Times New Roman"/>
                <w:sz w:val="21"/>
                <w:szCs w:val="21"/>
              </w:rPr>
              <w:t>3.无线麦克风套装，数量≥2套，每套均需满足如下要求：需采用数字音频处理技术，具有很好的瞬态响应性能;需快速且简单的通道扫描：凭借其清晰通道扫描、活动通道扫描功能和红外同步功能，检测到空闲通道并自动选择适合的通道，确保快速、简单的系统设置;自动通道设置模式：使用自动设置通道模式，能够找到并设置系统工作频率内可用的频率;宽频率范围：较宽可切换带宽覆盖范围很广，另外在多种型号中提供了多种通道选择;需支持用于监控的耳机输出口;需支持内置大容量聚合物锂电池，续航可达≥8小时;无线传输距离：开阔无遮挡地方：≥100米。</w:t>
            </w:r>
            <w:r>
              <w:rPr>
                <w:rFonts w:hint="eastAsia" w:ascii="宋体" w:hAnsi="宋体" w:eastAsia="宋体" w:cs="Times New Roman"/>
                <w:sz w:val="21"/>
                <w:szCs w:val="21"/>
              </w:rPr>
              <w:br w:type="textWrapping"/>
            </w:r>
            <w:r>
              <w:rPr>
                <w:rFonts w:hint="eastAsia" w:ascii="宋体" w:hAnsi="宋体" w:eastAsia="宋体" w:cs="Times New Roman"/>
                <w:sz w:val="21"/>
                <w:szCs w:val="21"/>
              </w:rPr>
              <w:t>4.无线领夹麦克风套装，数量≥2套，每套均需满足如下要求：需采用数字音频处理技术，具有很好的瞬态响应性能;无线传输距离：开阔无遮挡地方：≥300米;需支持不少于5档的增益调节；需支持两档自动降噪;需支持用于监控的耳机输出口;需搭配充电盒，支持巡航不低于40小时。</w:t>
            </w:r>
            <w:r>
              <w:rPr>
                <w:rFonts w:hint="eastAsia" w:ascii="宋体" w:hAnsi="宋体" w:eastAsia="宋体" w:cs="Times New Roman"/>
                <w:sz w:val="21"/>
                <w:szCs w:val="21"/>
              </w:rPr>
              <w:br w:type="textWrapping"/>
            </w:r>
            <w:r>
              <w:rPr>
                <w:rFonts w:hint="eastAsia" w:ascii="宋体" w:hAnsi="宋体" w:eastAsia="宋体" w:cs="Times New Roman"/>
                <w:sz w:val="21"/>
                <w:szCs w:val="21"/>
              </w:rPr>
              <w:t>5.全向麦克风，数量≥2套，每套均需满足如下要求：需采用数字音频处理技术，具有很好的瞬态响应性能;全向拾音距离不小于5M;需支持3.5mm及USB无线拾音。</w:t>
            </w:r>
            <w:r>
              <w:rPr>
                <w:rFonts w:hint="eastAsia" w:ascii="宋体" w:hAnsi="宋体" w:eastAsia="宋体" w:cs="Times New Roman"/>
                <w:sz w:val="21"/>
                <w:szCs w:val="21"/>
              </w:rPr>
              <w:br w:type="textWrapping"/>
            </w:r>
            <w:r>
              <w:rPr>
                <w:rFonts w:hint="eastAsia" w:ascii="宋体" w:hAnsi="宋体" w:eastAsia="宋体" w:cs="Times New Roman"/>
                <w:sz w:val="21"/>
                <w:szCs w:val="21"/>
              </w:rPr>
              <w:t>6.数字调音台，数量≥1套，每套均需满足如下要求：需支持8路硬件接口输入；支持远程通过移动端进行设备操控；支持两路卡农及两路6.5输出；支持自动分析是否需要48V供电，并自动调整增益。滤除不需要的低频信号。</w:t>
            </w:r>
            <w:r>
              <w:rPr>
                <w:rFonts w:hint="eastAsia" w:ascii="宋体" w:hAnsi="宋体" w:eastAsia="宋体" w:cs="Times New Roman"/>
                <w:sz w:val="21"/>
                <w:szCs w:val="21"/>
              </w:rPr>
              <w:br w:type="textWrapping"/>
            </w:r>
            <w:r>
              <w:rPr>
                <w:rFonts w:hint="eastAsia" w:ascii="宋体" w:hAnsi="宋体" w:eastAsia="宋体" w:cs="Times New Roman"/>
                <w:sz w:val="21"/>
                <w:szCs w:val="21"/>
              </w:rPr>
              <w:t>7.无线摄像机，数量≥5套，每套均需满足如下要求：图像传感器：1/1.8英寸高品质CMOS传感器；有效像素：≥800万像素；视频输出：需支持HDMI、LAN、WiFi（无线射频）；图像码流：双码流输出；视频编码格式：支持H.265、H.264；音频输入接口：双声道3.5mm线性输入；音频输出接口：SDI和LAN支持音频输出；显示屏：可显示输出分辨率、电池电量、无线信号强度、摄像机状态、IP 地址等信息。信号采集：4K/30p, 25p；1080/ 30p, 25p；光学变倍：≥20倍光学变焦；数字变倍：≥16倍数字变焦；预置位数量：需支持设置≥255个预置位；最低照度：≥0.5Lux(F1.8, AGC ON)；信噪比：&gt;55dB；需内置电池，支持不少于6h持久续航。网络接口：1000M网口（10/100BASE-TX）；网络协议：RTSP、RTMP、ONVIF、GB/T28181；支持网络VISCA控制协议；支持远程升级、远程重启、远程复位；控制协议：VISCA/Pelco-D/Pelco-P。</w:t>
            </w:r>
            <w:r>
              <w:rPr>
                <w:rFonts w:hint="eastAsia" w:ascii="宋体" w:hAnsi="宋体" w:eastAsia="宋体" w:cs="Times New Roman"/>
                <w:sz w:val="21"/>
                <w:szCs w:val="21"/>
              </w:rPr>
              <w:br w:type="textWrapping"/>
            </w:r>
            <w:r>
              <w:rPr>
                <w:rFonts w:hint="eastAsia" w:ascii="宋体" w:hAnsi="宋体" w:eastAsia="宋体" w:cs="Times New Roman"/>
                <w:sz w:val="21"/>
                <w:szCs w:val="21"/>
              </w:rPr>
              <w:t>8.三脚架，数量≥5套，每套均需满足如下要求：类型：坚固稳定三脚架；材质：需采用铝合金保证轻便；颜色：黑色；脚管节数：需支持≥3节；最低工作高度：≥620mm；最高工作高度：≥1600mm；云台类型：需支持三维云台；承重：≥3kg。</w:t>
            </w:r>
            <w:r>
              <w:rPr>
                <w:rFonts w:hint="eastAsia" w:ascii="宋体" w:hAnsi="宋体" w:eastAsia="宋体" w:cs="Times New Roman"/>
                <w:sz w:val="21"/>
                <w:szCs w:val="21"/>
              </w:rPr>
              <w:br w:type="textWrapping"/>
            </w:r>
            <w:r>
              <w:rPr>
                <w:rFonts w:hint="eastAsia" w:ascii="宋体" w:hAnsi="宋体" w:eastAsia="宋体" w:cs="Times New Roman"/>
                <w:sz w:val="21"/>
                <w:szCs w:val="21"/>
              </w:rPr>
              <w:t>9.拉杆箱，数量≥2套，每套均需满足如下要求：外箱材质:表面黑色防火板复合七厘夹板，四周铝合金包边，球形护角，隐形把手，蝴蝶锁扣，不锈钢拉杆，2寸万向刹车轮；内衬：EVA；尺寸：28寸。</w:t>
            </w:r>
            <w:r>
              <w:rPr>
                <w:rFonts w:hint="eastAsia" w:ascii="宋体" w:hAnsi="宋体" w:eastAsia="宋体" w:cs="Times New Roman"/>
                <w:sz w:val="21"/>
                <w:szCs w:val="21"/>
              </w:rPr>
              <w:br w:type="textWrapping"/>
            </w:r>
            <w:r>
              <w:rPr>
                <w:rFonts w:hint="eastAsia" w:ascii="宋体" w:hAnsi="宋体" w:eastAsia="宋体" w:cs="Times New Roman"/>
                <w:sz w:val="21"/>
                <w:szCs w:val="21"/>
              </w:rPr>
              <w:t>10.智慧课堂云平台，数量≥1套，提供永久服务官方授权书及密钥，每套均需满足如下要求：平台需支持混合云架构，联通教室、教师和学生，将线上线下、课上课下链接在一起，实现课堂数据和学习数据自动采集，从资源到应用的一体化教学管理、课后答疑、远程互动、数据分析、设备管理。需支持基础模块：录播、直播、巡课；需支持管理模块：资源管理、资源搜索、资源上传、后台管理等；需支持数据统计模块：需支持个人空间模块；需支持教学评课督导模块。</w:t>
            </w:r>
            <w:r>
              <w:rPr>
                <w:rFonts w:hint="eastAsia" w:ascii="宋体" w:hAnsi="宋体" w:eastAsia="宋体" w:cs="Times New Roman"/>
                <w:sz w:val="21"/>
                <w:szCs w:val="21"/>
              </w:rPr>
              <w:br w:type="textWrapping"/>
            </w:r>
            <w:r>
              <w:rPr>
                <w:rFonts w:hint="eastAsia" w:ascii="宋体" w:hAnsi="宋体" w:eastAsia="宋体" w:cs="Times New Roman"/>
                <w:sz w:val="21"/>
                <w:szCs w:val="21"/>
              </w:rPr>
              <w:t>11.课堂直播系统，数量≥1套，提供永久服务官方授权书及密钥，每套均需满足如下要求：需支持多种浏览器（IE、Safari、谷歌、火狐），多种PC终端、移动终端（Android、IOS）收看直播，无需安装客户端软件或插件即可收看，直播低延时；需支持手动直播控制功能，在线人数控制、观看密码控制、观看权限控制；需支持自动直播控制功能，可以通过设置课表对某一个教室到时间自动开始直播；需支持不论是局域网还是广域网，都可以实现高清直播，不需要映射网络端口或者是VPN；需支持单画面电影模式和多画面模式的直播；多画面直播时，视频和屏幕窗口可互换，且每个窗口都能全屏观看，还可调整窗口的大小和位置；进行直播时，如果网络发生网络故障，故障排除后会自动重连；需支持文字消息的实时发送，使教室终端能及时接收控制室端的指令，便于双方沟通；需支持视频监控功能，通过网络同步监听与监看所有教室内教师授课声音、图像及电脑屏幕画面，根据不同教室，显示多路音视频和屏幕画面。</w:t>
            </w:r>
          </w:p>
        </w:tc>
        <w:tc>
          <w:tcPr>
            <w:tcW w:w="811" w:type="dxa"/>
            <w:vAlign w:val="center"/>
          </w:tcPr>
          <w:p w14:paraId="0043C4E2">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567" w:type="dxa"/>
            <w:vAlign w:val="center"/>
          </w:tcPr>
          <w:p w14:paraId="614CA33A">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套</w:t>
            </w:r>
          </w:p>
        </w:tc>
        <w:tc>
          <w:tcPr>
            <w:tcW w:w="709" w:type="dxa"/>
            <w:vAlign w:val="center"/>
          </w:tcPr>
          <w:p w14:paraId="6BAA1335">
            <w:pPr>
              <w:spacing w:after="0" w:line="240" w:lineRule="auto"/>
              <w:rPr>
                <w:rFonts w:ascii="宋体" w:hAnsi="宋体" w:eastAsia="宋体" w:cs="Times New Roman"/>
                <w:sz w:val="21"/>
                <w:szCs w:val="21"/>
              </w:rPr>
            </w:pPr>
            <w:r>
              <w:rPr>
                <w:rFonts w:hint="eastAsia" w:ascii="宋体" w:hAnsi="宋体" w:eastAsia="宋体" w:cs="Times New Roman"/>
                <w:sz w:val="21"/>
                <w:szCs w:val="21"/>
              </w:rPr>
              <w:t>3年</w:t>
            </w:r>
          </w:p>
        </w:tc>
      </w:tr>
      <w:tr w14:paraId="28CB2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7" w:type="dxa"/>
            <w:shd w:val="clear" w:color="auto" w:fill="auto"/>
            <w:vAlign w:val="center"/>
          </w:tcPr>
          <w:p w14:paraId="0CA22FAF">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22</w:t>
            </w:r>
          </w:p>
        </w:tc>
        <w:tc>
          <w:tcPr>
            <w:tcW w:w="1113" w:type="dxa"/>
            <w:shd w:val="clear" w:color="auto" w:fill="auto"/>
            <w:vAlign w:val="center"/>
          </w:tcPr>
          <w:p w14:paraId="47DCDF8F">
            <w:pPr>
              <w:spacing w:after="0" w:line="240" w:lineRule="auto"/>
              <w:rPr>
                <w:rFonts w:ascii="宋体" w:hAnsi="宋体" w:eastAsia="宋体" w:cs="Times New Roman"/>
                <w:b/>
                <w:bCs/>
                <w:sz w:val="21"/>
                <w:szCs w:val="21"/>
              </w:rPr>
            </w:pPr>
            <w:r>
              <w:rPr>
                <w:rFonts w:hint="eastAsia" w:ascii="宋体" w:hAnsi="宋体" w:eastAsia="宋体" w:cs="Times New Roman"/>
                <w:b/>
                <w:bCs/>
                <w:sz w:val="21"/>
                <w:szCs w:val="21"/>
              </w:rPr>
              <w:t>技术服务</w:t>
            </w:r>
          </w:p>
        </w:tc>
        <w:tc>
          <w:tcPr>
            <w:tcW w:w="5431" w:type="dxa"/>
            <w:shd w:val="clear" w:color="auto" w:fill="auto"/>
            <w:vAlign w:val="center"/>
          </w:tcPr>
          <w:p w14:paraId="012DFC53">
            <w:pPr>
              <w:spacing w:after="0" w:line="240" w:lineRule="auto"/>
              <w:rPr>
                <w:rFonts w:ascii="宋体" w:hAnsi="宋体" w:eastAsia="宋体" w:cs="Times New Roman"/>
                <w:sz w:val="21"/>
                <w:szCs w:val="21"/>
              </w:rPr>
            </w:pPr>
            <w:r>
              <w:rPr>
                <w:rFonts w:hint="eastAsia" w:ascii="宋体" w:hAnsi="宋体" w:eastAsia="宋体" w:cs="Times New Roman"/>
                <w:sz w:val="21"/>
                <w:szCs w:val="21"/>
              </w:rPr>
              <w:t>1.含系统集成覆盖，施工、调试、培训、技术服务、技术支撑、施工所需的辅材、现有网络安全设备规则库三年升级授权、税费等本项目所有相关费用；</w:t>
            </w:r>
            <w:r>
              <w:rPr>
                <w:rFonts w:hint="eastAsia" w:ascii="宋体" w:hAnsi="宋体" w:eastAsia="宋体" w:cs="Times New Roman"/>
                <w:sz w:val="21"/>
                <w:szCs w:val="21"/>
              </w:rPr>
              <w:br w:type="textWrapping"/>
            </w:r>
            <w:r>
              <w:rPr>
                <w:rFonts w:hint="eastAsia" w:ascii="宋体" w:hAnsi="宋体" w:eastAsia="宋体" w:cs="Times New Roman"/>
                <w:sz w:val="21"/>
                <w:szCs w:val="21"/>
              </w:rPr>
              <w:t>2.本项目所采购SDN平台厂商需提供驻场服务，为保证服务质量，驻场工程师需有两年以上相关工作经验，驻场工程师需为厂商或厂商授权服务商正式员工（至少签订2年劳动合同），要求投标时提供相关证明（包括但不限于劳动合同及社保缴纳记录），持有HCIP证书或同等级别证书（需提供证书），驻场工程师需自合同签订之日起进驻甲方单位按甲方工作安排与甲方共同上下班，自本项目验收之日起驻场时间不少于6个自然月，实际驻场时间不少于110个工作日（驻场工程师实际驻场时间以甲方考勤为准），原则上驻场服务期内乙方不得更换驻场工程师；</w:t>
            </w:r>
            <w:r>
              <w:rPr>
                <w:rFonts w:hint="eastAsia" w:ascii="宋体" w:hAnsi="宋体" w:eastAsia="宋体" w:cs="Times New Roman"/>
                <w:sz w:val="21"/>
                <w:szCs w:val="21"/>
              </w:rPr>
              <w:br w:type="textWrapping"/>
            </w:r>
            <w:r>
              <w:rPr>
                <w:rFonts w:hint="eastAsia" w:ascii="宋体" w:hAnsi="宋体" w:eastAsia="宋体" w:cs="Times New Roman"/>
                <w:sz w:val="21"/>
                <w:szCs w:val="21"/>
              </w:rPr>
              <w:t>3.提供不少于三个自然年的售后服务，服务期内提供技术服务的时间应为每周7×24小时，出现故障应及时响应处理，工作日1小时内响应处理，非工作日2小时内响应处理，需要增派技术人员到场的需在3小时内赶赴现场；</w:t>
            </w:r>
            <w:r>
              <w:rPr>
                <w:rFonts w:hint="eastAsia" w:ascii="宋体" w:hAnsi="宋体" w:eastAsia="宋体" w:cs="Times New Roman"/>
                <w:sz w:val="21"/>
                <w:szCs w:val="21"/>
              </w:rPr>
              <w:br w:type="textWrapping"/>
            </w:r>
            <w:r>
              <w:rPr>
                <w:rFonts w:hint="eastAsia" w:ascii="宋体" w:hAnsi="宋体" w:eastAsia="宋体" w:cs="Times New Roman"/>
                <w:sz w:val="21"/>
                <w:szCs w:val="21"/>
              </w:rPr>
              <w:t>4.服务期满如续用售后服务及驻场服务，后续每次续签服务费不得超过本次项目总金额的5%，且每次续签服务（含售后与驻场服务）时间不少于两年，若甲方在服务期满后未续用售后服务，服务期满后两年内乙方仍需提供故障设备有偿质维保服务，且维修价格不得超过该设备本次合同采购单价的30%，若无法维修则需提供同等功能或更高性能的设备购买渠道，且售价不超过该设备本次采购单价的70%。</w:t>
            </w:r>
            <w:r>
              <w:rPr>
                <w:rFonts w:hint="eastAsia" w:ascii="宋体" w:hAnsi="宋体" w:eastAsia="宋体" w:cs="Times New Roman"/>
                <w:sz w:val="21"/>
                <w:szCs w:val="21"/>
              </w:rPr>
              <w:br w:type="textWrapping"/>
            </w:r>
            <w:r>
              <w:rPr>
                <w:rFonts w:hint="eastAsia" w:ascii="宋体" w:hAnsi="宋体" w:eastAsia="宋体" w:cs="Times New Roman"/>
                <w:sz w:val="21"/>
                <w:szCs w:val="21"/>
              </w:rPr>
              <w:t>5.每6个月至少提供2次本次项目涉及软件/硬件设备的使用培训。每半年（每学期）进行一次对本次项目涉及软件/硬件设备的维护，并同步出具加盖公章的运行维护报告。</w:t>
            </w:r>
            <w:r>
              <w:rPr>
                <w:rFonts w:hint="eastAsia" w:ascii="宋体" w:hAnsi="宋体" w:eastAsia="宋体" w:cs="Times New Roman"/>
                <w:sz w:val="21"/>
                <w:szCs w:val="21"/>
              </w:rPr>
              <w:br w:type="textWrapping"/>
            </w:r>
            <w:r>
              <w:rPr>
                <w:rFonts w:hint="eastAsia" w:ascii="宋体" w:hAnsi="宋体" w:eastAsia="宋体" w:cs="Times New Roman"/>
                <w:sz w:val="21"/>
                <w:szCs w:val="21"/>
              </w:rPr>
              <w:t>6.项目验收前与验收后服务期内不得以任何理由加收任何费用；</w:t>
            </w:r>
            <w:r>
              <w:rPr>
                <w:rFonts w:hint="eastAsia" w:ascii="宋体" w:hAnsi="宋体" w:eastAsia="宋体" w:cs="Times New Roman"/>
                <w:sz w:val="21"/>
                <w:szCs w:val="21"/>
              </w:rPr>
              <w:br w:type="textWrapping"/>
            </w:r>
            <w:r>
              <w:rPr>
                <w:rFonts w:hint="eastAsia" w:ascii="宋体" w:hAnsi="宋体" w:eastAsia="宋体" w:cs="Times New Roman"/>
                <w:sz w:val="21"/>
                <w:szCs w:val="21"/>
              </w:rPr>
              <w:t>7.服务期内设备以换代修。</w:t>
            </w:r>
          </w:p>
        </w:tc>
        <w:tc>
          <w:tcPr>
            <w:tcW w:w="811" w:type="dxa"/>
            <w:vAlign w:val="center"/>
          </w:tcPr>
          <w:p w14:paraId="7E6FEDDC">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567" w:type="dxa"/>
            <w:vAlign w:val="center"/>
          </w:tcPr>
          <w:p w14:paraId="27E3D499">
            <w:pPr>
              <w:spacing w:after="0" w:line="240" w:lineRule="auto"/>
              <w:jc w:val="center"/>
              <w:rPr>
                <w:rFonts w:ascii="宋体" w:hAnsi="宋体" w:eastAsia="宋体" w:cs="Times New Roman"/>
                <w:sz w:val="21"/>
                <w:szCs w:val="21"/>
              </w:rPr>
            </w:pPr>
            <w:r>
              <w:rPr>
                <w:rFonts w:hint="eastAsia" w:ascii="宋体" w:hAnsi="宋体" w:eastAsia="宋体" w:cs="Times New Roman"/>
                <w:sz w:val="21"/>
                <w:szCs w:val="21"/>
              </w:rPr>
              <w:t>套</w:t>
            </w:r>
          </w:p>
        </w:tc>
        <w:tc>
          <w:tcPr>
            <w:tcW w:w="709" w:type="dxa"/>
            <w:vAlign w:val="center"/>
          </w:tcPr>
          <w:p w14:paraId="4B6DBE1B">
            <w:pPr>
              <w:spacing w:after="0" w:line="240" w:lineRule="auto"/>
              <w:rPr>
                <w:rFonts w:ascii="宋体" w:hAnsi="宋体" w:eastAsia="宋体" w:cs="Times New Roman"/>
                <w:sz w:val="21"/>
                <w:szCs w:val="21"/>
              </w:rPr>
            </w:pPr>
            <w:r>
              <w:rPr>
                <w:rFonts w:hint="eastAsia" w:ascii="宋体" w:hAnsi="宋体" w:eastAsia="宋体" w:cs="Times New Roman"/>
                <w:sz w:val="21"/>
                <w:szCs w:val="21"/>
              </w:rPr>
              <w:t>3年</w:t>
            </w:r>
          </w:p>
        </w:tc>
      </w:tr>
    </w:tbl>
    <w:p w14:paraId="72B2F45B">
      <w:pPr>
        <w:pStyle w:val="13"/>
        <w:rPr>
          <w:rFonts w:hint="default" w:ascii="宋体" w:hAnsi="宋体" w:eastAsia="宋体" w:cs="Times New Roman"/>
          <w:kern w:val="0"/>
          <w:sz w:val="24"/>
          <w:szCs w:val="22"/>
          <w:lang w:val="en-US" w:eastAsia="zh-CN" w:bidi="ar-SA"/>
        </w:rPr>
      </w:pPr>
    </w:p>
    <w:sectPr>
      <w:footerReference r:id="rId8" w:type="first"/>
      <w:footerReference r:id="rId7" w:type="default"/>
      <w:pgSz w:w="11906" w:h="16838"/>
      <w:pgMar w:top="1440" w:right="1077" w:bottom="1440" w:left="107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DA944">
    <w:pPr>
      <w:pStyle w:val="21"/>
      <w:rPr>
        <w:rFonts w:ascii="宋体" w:hAnsi="宋体"/>
        <w:b/>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5CDC8F">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5CDC8F">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7D634">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BCDB9F">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CBCDB9F">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17C5B">
    <w:pPr>
      <w:pStyle w:val="21"/>
      <w:rPr>
        <w:rFonts w:ascii="宋体" w:hAnsi="宋体"/>
        <w:b/>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15A49E">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815A49E">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C82BD">
    <w:pPr>
      <w:pStyle w:val="2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C4FE4">
                          <w:pPr>
                            <w:pStyle w:val="2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95C4FE4">
                    <w:pPr>
                      <w:pStyle w:val="2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359F4">
    <w:pPr>
      <w:pStyle w:val="22"/>
      <w:pBdr>
        <w:bottom w:val="none" w:color="auto" w:sz="0" w:space="1"/>
      </w:pBdr>
      <w:jc w:val="both"/>
      <w:rPr>
        <w:rFonts w:ascii="楷体" w:hAnsi="楷体" w:eastAsia="楷体"/>
      </w:rPr>
    </w:pPr>
    <w:r>
      <w:rPr>
        <w:rFonts w:hint="eastAsia" w:ascii="楷体" w:hAnsi="楷体" w:eastAsia="楷体"/>
        <w:b/>
        <w:sz w:val="21"/>
        <w:szCs w:val="21"/>
      </w:rPr>
      <w:t xml:space="preserve">                                                                                </w:t>
    </w:r>
  </w:p>
  <w:p w14:paraId="4702F03C">
    <w:pPr>
      <w:widowControl/>
      <w:adjustRightInd w:val="0"/>
      <w:snapToGrid w:val="0"/>
      <w:spacing w:line="360" w:lineRule="auto"/>
      <w:textAlignment w:val="baseline"/>
      <w:rPr>
        <w:rFonts w:ascii="楷体" w:hAnsi="楷体" w:eastAsia="楷体"/>
        <w:b/>
        <w:sz w:val="16"/>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E931B">
    <w:pPr>
      <w:pStyle w:val="22"/>
      <w:pBdr>
        <w:bottom w:val="none" w:color="auto" w:sz="0" w:space="1"/>
      </w:pBdr>
    </w:pPr>
    <w:r>
      <w:rPr>
        <w:rFonts w:hint="eastAsia" w:ascii="楷体" w:hAnsi="楷体" w:eastAsia="楷体"/>
        <w:b/>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7F7C3C"/>
    <w:multiLevelType w:val="singleLevel"/>
    <w:tmpl w:val="C57F7C3C"/>
    <w:lvl w:ilvl="0" w:tentative="0">
      <w:start w:val="1"/>
      <w:numFmt w:val="chineseCounting"/>
      <w:suff w:val="nothing"/>
      <w:lvlText w:val="（%1）"/>
      <w:lvlJc w:val="left"/>
      <w:rPr>
        <w:rFonts w:hint="eastAsia"/>
      </w:rPr>
    </w:lvl>
  </w:abstractNum>
  <w:abstractNum w:abstractNumId="1">
    <w:nsid w:val="005C669B"/>
    <w:multiLevelType w:val="multilevel"/>
    <w:tmpl w:val="005C669B"/>
    <w:lvl w:ilvl="0" w:tentative="0">
      <w:start w:val="1"/>
      <w:numFmt w:val="decimal"/>
      <w:lvlText w:val="（%1）"/>
      <w:lvlJc w:val="left"/>
      <w:pPr>
        <w:ind w:left="1041" w:hanging="420"/>
      </w:pPr>
      <w:rPr>
        <w:rFonts w:hint="default"/>
      </w:r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2">
    <w:nsid w:val="02400DDE"/>
    <w:multiLevelType w:val="multilevel"/>
    <w:tmpl w:val="02400DD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4C0B88"/>
    <w:multiLevelType w:val="multilevel"/>
    <w:tmpl w:val="084C0B88"/>
    <w:lvl w:ilvl="0" w:tentative="0">
      <w:start w:val="1"/>
      <w:numFmt w:val="decimal"/>
      <w:lvlText w:val="%1."/>
      <w:lvlJc w:val="left"/>
      <w:pPr>
        <w:ind w:left="360" w:hanging="360"/>
      </w:pPr>
      <w:rPr>
        <w:rFonts w:hint="default"/>
        <w:b/>
      </w:rPr>
    </w:lvl>
    <w:lvl w:ilvl="1" w:tentative="0">
      <w:start w:val="1"/>
      <w:numFmt w:val="decimal"/>
      <w:isLgl/>
      <w:lvlText w:val="%1.%2"/>
      <w:lvlJc w:val="left"/>
      <w:pPr>
        <w:ind w:left="480" w:hanging="480"/>
      </w:pPr>
      <w:rPr>
        <w:rFonts w:hint="default"/>
        <w:b w:val="0"/>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4">
    <w:nsid w:val="0B21349E"/>
    <w:multiLevelType w:val="multilevel"/>
    <w:tmpl w:val="0B21349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
    <w:nsid w:val="0FD92A73"/>
    <w:multiLevelType w:val="multilevel"/>
    <w:tmpl w:val="0FD92A73"/>
    <w:lvl w:ilvl="0" w:tentative="0">
      <w:start w:val="2"/>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6">
    <w:nsid w:val="18814C8C"/>
    <w:multiLevelType w:val="multilevel"/>
    <w:tmpl w:val="18814C8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7">
    <w:nsid w:val="25933C0A"/>
    <w:multiLevelType w:val="multilevel"/>
    <w:tmpl w:val="25933C0A"/>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8">
    <w:nsid w:val="40CF13D4"/>
    <w:multiLevelType w:val="multilevel"/>
    <w:tmpl w:val="40CF13D4"/>
    <w:lvl w:ilvl="0" w:tentative="0">
      <w:start w:val="1"/>
      <w:numFmt w:val="decimal"/>
      <w:pStyle w:val="2"/>
      <w:lvlText w:val="%1."/>
      <w:lvlJc w:val="left"/>
      <w:pPr>
        <w:tabs>
          <w:tab w:val="left" w:pos="425"/>
        </w:tabs>
        <w:ind w:left="425" w:hanging="425"/>
      </w:pPr>
      <w:rPr>
        <w:rFonts w:hint="eastAsia"/>
      </w:rPr>
    </w:lvl>
    <w:lvl w:ilvl="1" w:tentative="0">
      <w:start w:val="1"/>
      <w:numFmt w:val="decimal"/>
      <w:pStyle w:val="3"/>
      <w:lvlText w:val="%1.%2."/>
      <w:lvlJc w:val="left"/>
      <w:pPr>
        <w:tabs>
          <w:tab w:val="left" w:pos="720"/>
        </w:tabs>
        <w:ind w:left="567" w:hanging="567"/>
      </w:pPr>
      <w:rPr>
        <w:rFonts w:hint="eastAsia"/>
      </w:rPr>
    </w:lvl>
    <w:lvl w:ilvl="2" w:tentative="0">
      <w:start w:val="1"/>
      <w:numFmt w:val="chineseCountingThousand"/>
      <w:pStyle w:val="4"/>
      <w:lvlText w:val="%3、"/>
      <w:lvlJc w:val="left"/>
      <w:pPr>
        <w:tabs>
          <w:tab w:val="left" w:pos="709"/>
        </w:tabs>
        <w:ind w:left="709"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46C71494"/>
    <w:multiLevelType w:val="multilevel"/>
    <w:tmpl w:val="46C71494"/>
    <w:lvl w:ilvl="0" w:tentative="0">
      <w:start w:val="1"/>
      <w:numFmt w:val="decimal"/>
      <w:lvlText w:val="%1)"/>
      <w:lvlJc w:val="left"/>
      <w:pPr>
        <w:ind w:left="1461" w:hanging="420"/>
      </w:pPr>
    </w:lvl>
    <w:lvl w:ilvl="1" w:tentative="0">
      <w:start w:val="1"/>
      <w:numFmt w:val="lowerLetter"/>
      <w:lvlText w:val="%2)"/>
      <w:lvlJc w:val="left"/>
      <w:pPr>
        <w:ind w:left="1881" w:hanging="420"/>
      </w:pPr>
    </w:lvl>
    <w:lvl w:ilvl="2" w:tentative="0">
      <w:start w:val="1"/>
      <w:numFmt w:val="lowerRoman"/>
      <w:lvlText w:val="%3."/>
      <w:lvlJc w:val="right"/>
      <w:pPr>
        <w:ind w:left="2301" w:hanging="420"/>
      </w:pPr>
    </w:lvl>
    <w:lvl w:ilvl="3" w:tentative="0">
      <w:start w:val="1"/>
      <w:numFmt w:val="decimal"/>
      <w:lvlText w:val="%4."/>
      <w:lvlJc w:val="left"/>
      <w:pPr>
        <w:ind w:left="2721" w:hanging="420"/>
      </w:pPr>
    </w:lvl>
    <w:lvl w:ilvl="4" w:tentative="0">
      <w:start w:val="1"/>
      <w:numFmt w:val="lowerLetter"/>
      <w:lvlText w:val="%5)"/>
      <w:lvlJc w:val="left"/>
      <w:pPr>
        <w:ind w:left="3141" w:hanging="420"/>
      </w:pPr>
    </w:lvl>
    <w:lvl w:ilvl="5" w:tentative="0">
      <w:start w:val="1"/>
      <w:numFmt w:val="lowerRoman"/>
      <w:lvlText w:val="%6."/>
      <w:lvlJc w:val="right"/>
      <w:pPr>
        <w:ind w:left="3561" w:hanging="420"/>
      </w:pPr>
    </w:lvl>
    <w:lvl w:ilvl="6" w:tentative="0">
      <w:start w:val="1"/>
      <w:numFmt w:val="decimal"/>
      <w:lvlText w:val="%7."/>
      <w:lvlJc w:val="left"/>
      <w:pPr>
        <w:ind w:left="3981" w:hanging="420"/>
      </w:pPr>
    </w:lvl>
    <w:lvl w:ilvl="7" w:tentative="0">
      <w:start w:val="1"/>
      <w:numFmt w:val="lowerLetter"/>
      <w:lvlText w:val="%8)"/>
      <w:lvlJc w:val="left"/>
      <w:pPr>
        <w:ind w:left="4401" w:hanging="420"/>
      </w:pPr>
    </w:lvl>
    <w:lvl w:ilvl="8" w:tentative="0">
      <w:start w:val="1"/>
      <w:numFmt w:val="lowerRoman"/>
      <w:lvlText w:val="%9."/>
      <w:lvlJc w:val="right"/>
      <w:pPr>
        <w:ind w:left="4821" w:hanging="420"/>
      </w:pPr>
    </w:lvl>
  </w:abstractNum>
  <w:abstractNum w:abstractNumId="10">
    <w:nsid w:val="4FE725AC"/>
    <w:multiLevelType w:val="multilevel"/>
    <w:tmpl w:val="4FE725A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1">
    <w:nsid w:val="561F52B1"/>
    <w:multiLevelType w:val="singleLevel"/>
    <w:tmpl w:val="561F52B1"/>
    <w:lvl w:ilvl="0" w:tentative="0">
      <w:start w:val="1"/>
      <w:numFmt w:val="decimal"/>
      <w:suff w:val="nothing"/>
      <w:lvlText w:val="%1"/>
      <w:lvlJc w:val="left"/>
      <w:pPr>
        <w:tabs>
          <w:tab w:val="left" w:pos="0"/>
        </w:tabs>
        <w:ind w:left="210" w:firstLine="0"/>
      </w:pPr>
      <w:rPr>
        <w:rFonts w:hint="default"/>
      </w:rPr>
    </w:lvl>
  </w:abstractNum>
  <w:abstractNum w:abstractNumId="12">
    <w:nsid w:val="5670449B"/>
    <w:multiLevelType w:val="multilevel"/>
    <w:tmpl w:val="5670449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6997346"/>
    <w:multiLevelType w:val="multilevel"/>
    <w:tmpl w:val="56997346"/>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4">
    <w:nsid w:val="647E01AF"/>
    <w:multiLevelType w:val="multilevel"/>
    <w:tmpl w:val="647E01AF"/>
    <w:lvl w:ilvl="0" w:tentative="0">
      <w:start w:val="6"/>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5">
    <w:nsid w:val="6BC93FB5"/>
    <w:multiLevelType w:val="multilevel"/>
    <w:tmpl w:val="6BC93FB5"/>
    <w:lvl w:ilvl="0" w:tentative="0">
      <w:start w:val="8"/>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6">
    <w:nsid w:val="6C525B9F"/>
    <w:multiLevelType w:val="multilevel"/>
    <w:tmpl w:val="6C525B9F"/>
    <w:lvl w:ilvl="0" w:tentative="0">
      <w:start w:val="5"/>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7">
    <w:nsid w:val="719C3F02"/>
    <w:multiLevelType w:val="multilevel"/>
    <w:tmpl w:val="719C3F02"/>
    <w:lvl w:ilvl="0" w:tentative="0">
      <w:start w:val="7"/>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8">
    <w:nsid w:val="72C135E4"/>
    <w:multiLevelType w:val="multilevel"/>
    <w:tmpl w:val="72C135E4"/>
    <w:lvl w:ilvl="0" w:tentative="0">
      <w:start w:val="9"/>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9">
    <w:nsid w:val="75300036"/>
    <w:multiLevelType w:val="multilevel"/>
    <w:tmpl w:val="75300036"/>
    <w:lvl w:ilvl="0" w:tentative="0">
      <w:start w:val="4"/>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0">
    <w:nsid w:val="79D0C494"/>
    <w:multiLevelType w:val="singleLevel"/>
    <w:tmpl w:val="79D0C494"/>
    <w:lvl w:ilvl="0" w:tentative="0">
      <w:start w:val="2"/>
      <w:numFmt w:val="chineseCounting"/>
      <w:suff w:val="nothing"/>
      <w:lvlText w:val="%1、"/>
      <w:lvlJc w:val="left"/>
      <w:rPr>
        <w:rFonts w:hint="eastAsia"/>
      </w:rPr>
    </w:lvl>
  </w:abstractNum>
  <w:abstractNum w:abstractNumId="21">
    <w:nsid w:val="7CA10DD4"/>
    <w:multiLevelType w:val="multilevel"/>
    <w:tmpl w:val="7CA10DD4"/>
    <w:lvl w:ilvl="0" w:tentative="0">
      <w:start w:val="1"/>
      <w:numFmt w:val="decimal"/>
      <w:lvlText w:val="（%1）"/>
      <w:lvlJc w:val="left"/>
      <w:pPr>
        <w:ind w:left="845" w:hanging="420"/>
      </w:pPr>
    </w:lvl>
    <w:lvl w:ilvl="1" w:tentative="0">
      <w:start w:val="1"/>
      <w:numFmt w:val="decimal"/>
      <w:lvlText w:val="%2."/>
      <w:lvlJc w:val="left"/>
      <w:pPr>
        <w:ind w:left="988" w:hanging="420"/>
      </w:pPr>
      <w:rPr>
        <w:rFonts w:hint="eastAsia"/>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8"/>
  </w:num>
  <w:num w:numId="2">
    <w:abstractNumId w:val="11"/>
  </w:num>
  <w:num w:numId="3">
    <w:abstractNumId w:val="2"/>
  </w:num>
  <w:num w:numId="4">
    <w:abstractNumId w:val="5"/>
  </w:num>
  <w:num w:numId="5">
    <w:abstractNumId w:val="19"/>
  </w:num>
  <w:num w:numId="6">
    <w:abstractNumId w:val="4"/>
  </w:num>
  <w:num w:numId="7">
    <w:abstractNumId w:val="16"/>
  </w:num>
  <w:num w:numId="8">
    <w:abstractNumId w:val="6"/>
  </w:num>
  <w:num w:numId="9">
    <w:abstractNumId w:val="14"/>
  </w:num>
  <w:num w:numId="10">
    <w:abstractNumId w:val="17"/>
  </w:num>
  <w:num w:numId="11">
    <w:abstractNumId w:val="15"/>
  </w:num>
  <w:num w:numId="12">
    <w:abstractNumId w:val="18"/>
  </w:num>
  <w:num w:numId="13">
    <w:abstractNumId w:val="10"/>
  </w:num>
  <w:num w:numId="14">
    <w:abstractNumId w:val="7"/>
  </w:num>
  <w:num w:numId="15">
    <w:abstractNumId w:val="1"/>
  </w:num>
  <w:num w:numId="16">
    <w:abstractNumId w:val="13"/>
  </w:num>
  <w:num w:numId="17">
    <w:abstractNumId w:val="9"/>
  </w:num>
  <w:num w:numId="18">
    <w:abstractNumId w:val="3"/>
  </w:num>
  <w:num w:numId="19">
    <w:abstractNumId w:val="12"/>
  </w:num>
  <w:num w:numId="20">
    <w:abstractNumId w:val="21"/>
  </w:num>
  <w:num w:numId="21">
    <w:abstractNumId w:val="2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1MDZmZGU3NWQxZTNjMmIwOWY3MGI1NWFmMjUxOGYifQ=="/>
  </w:docVars>
  <w:rsids>
    <w:rsidRoot w:val="00B64A69"/>
    <w:rsid w:val="00002BF7"/>
    <w:rsid w:val="000038F3"/>
    <w:rsid w:val="0000523C"/>
    <w:rsid w:val="00005A48"/>
    <w:rsid w:val="000067C2"/>
    <w:rsid w:val="00006833"/>
    <w:rsid w:val="00010612"/>
    <w:rsid w:val="0001239E"/>
    <w:rsid w:val="00014941"/>
    <w:rsid w:val="000150EB"/>
    <w:rsid w:val="00015785"/>
    <w:rsid w:val="0001710E"/>
    <w:rsid w:val="0001758F"/>
    <w:rsid w:val="0002211A"/>
    <w:rsid w:val="00023E42"/>
    <w:rsid w:val="0002411A"/>
    <w:rsid w:val="000270B5"/>
    <w:rsid w:val="000273BF"/>
    <w:rsid w:val="0003102F"/>
    <w:rsid w:val="00034AC1"/>
    <w:rsid w:val="00044157"/>
    <w:rsid w:val="000446E2"/>
    <w:rsid w:val="000457A3"/>
    <w:rsid w:val="00046F57"/>
    <w:rsid w:val="00047F62"/>
    <w:rsid w:val="00051006"/>
    <w:rsid w:val="00051784"/>
    <w:rsid w:val="00053076"/>
    <w:rsid w:val="000532B7"/>
    <w:rsid w:val="00053663"/>
    <w:rsid w:val="00053D3B"/>
    <w:rsid w:val="0005473E"/>
    <w:rsid w:val="000558CC"/>
    <w:rsid w:val="00057DDD"/>
    <w:rsid w:val="00060656"/>
    <w:rsid w:val="00064C22"/>
    <w:rsid w:val="00070389"/>
    <w:rsid w:val="00071AFA"/>
    <w:rsid w:val="00071E6B"/>
    <w:rsid w:val="0007472D"/>
    <w:rsid w:val="00075EB8"/>
    <w:rsid w:val="0007617E"/>
    <w:rsid w:val="0007773A"/>
    <w:rsid w:val="000806B7"/>
    <w:rsid w:val="00081E42"/>
    <w:rsid w:val="00083F67"/>
    <w:rsid w:val="000846AA"/>
    <w:rsid w:val="0008494D"/>
    <w:rsid w:val="000872D0"/>
    <w:rsid w:val="00090332"/>
    <w:rsid w:val="00091938"/>
    <w:rsid w:val="00094715"/>
    <w:rsid w:val="00095A45"/>
    <w:rsid w:val="00095B69"/>
    <w:rsid w:val="00095F54"/>
    <w:rsid w:val="000A3E69"/>
    <w:rsid w:val="000A4266"/>
    <w:rsid w:val="000A4A29"/>
    <w:rsid w:val="000A5B2E"/>
    <w:rsid w:val="000A5D96"/>
    <w:rsid w:val="000A5E33"/>
    <w:rsid w:val="000A670C"/>
    <w:rsid w:val="000A79BC"/>
    <w:rsid w:val="000A7AA9"/>
    <w:rsid w:val="000B04C5"/>
    <w:rsid w:val="000B0C19"/>
    <w:rsid w:val="000B0F1F"/>
    <w:rsid w:val="000B1F19"/>
    <w:rsid w:val="000B46FC"/>
    <w:rsid w:val="000B6C24"/>
    <w:rsid w:val="000C18FF"/>
    <w:rsid w:val="000C2843"/>
    <w:rsid w:val="000C3CC9"/>
    <w:rsid w:val="000C4278"/>
    <w:rsid w:val="000C43F0"/>
    <w:rsid w:val="000C57AF"/>
    <w:rsid w:val="000C60A4"/>
    <w:rsid w:val="000C6505"/>
    <w:rsid w:val="000C6B3B"/>
    <w:rsid w:val="000D1FC0"/>
    <w:rsid w:val="000D3929"/>
    <w:rsid w:val="000D64A4"/>
    <w:rsid w:val="000D7068"/>
    <w:rsid w:val="000D7CD3"/>
    <w:rsid w:val="000E0567"/>
    <w:rsid w:val="000E09CB"/>
    <w:rsid w:val="000E0E00"/>
    <w:rsid w:val="000E346D"/>
    <w:rsid w:val="000E791D"/>
    <w:rsid w:val="000F03C2"/>
    <w:rsid w:val="000F095F"/>
    <w:rsid w:val="000F5C6D"/>
    <w:rsid w:val="00100215"/>
    <w:rsid w:val="001003FB"/>
    <w:rsid w:val="00101C28"/>
    <w:rsid w:val="001033A1"/>
    <w:rsid w:val="00103A39"/>
    <w:rsid w:val="001042F0"/>
    <w:rsid w:val="00104CCA"/>
    <w:rsid w:val="001100C2"/>
    <w:rsid w:val="00110842"/>
    <w:rsid w:val="00110AF9"/>
    <w:rsid w:val="0011125A"/>
    <w:rsid w:val="0011163B"/>
    <w:rsid w:val="00114C0A"/>
    <w:rsid w:val="00114D98"/>
    <w:rsid w:val="001164D8"/>
    <w:rsid w:val="00117E99"/>
    <w:rsid w:val="001209A9"/>
    <w:rsid w:val="00120EB7"/>
    <w:rsid w:val="00121135"/>
    <w:rsid w:val="00123F0F"/>
    <w:rsid w:val="00124055"/>
    <w:rsid w:val="001254F6"/>
    <w:rsid w:val="00125A2E"/>
    <w:rsid w:val="0012666C"/>
    <w:rsid w:val="001309C1"/>
    <w:rsid w:val="00130E28"/>
    <w:rsid w:val="00132691"/>
    <w:rsid w:val="00133612"/>
    <w:rsid w:val="001337D1"/>
    <w:rsid w:val="00134A4A"/>
    <w:rsid w:val="00135CE1"/>
    <w:rsid w:val="0013606C"/>
    <w:rsid w:val="00141D84"/>
    <w:rsid w:val="0014227A"/>
    <w:rsid w:val="0014346E"/>
    <w:rsid w:val="00144745"/>
    <w:rsid w:val="00150B55"/>
    <w:rsid w:val="00153051"/>
    <w:rsid w:val="001538F6"/>
    <w:rsid w:val="00153B72"/>
    <w:rsid w:val="00161442"/>
    <w:rsid w:val="00163370"/>
    <w:rsid w:val="00163BF1"/>
    <w:rsid w:val="00164B21"/>
    <w:rsid w:val="00165018"/>
    <w:rsid w:val="001655A7"/>
    <w:rsid w:val="001659BA"/>
    <w:rsid w:val="001673A5"/>
    <w:rsid w:val="00170482"/>
    <w:rsid w:val="00172D02"/>
    <w:rsid w:val="00174D3A"/>
    <w:rsid w:val="00174F7A"/>
    <w:rsid w:val="00175247"/>
    <w:rsid w:val="00176770"/>
    <w:rsid w:val="001801DD"/>
    <w:rsid w:val="00180A83"/>
    <w:rsid w:val="00181301"/>
    <w:rsid w:val="001829C0"/>
    <w:rsid w:val="00184ADA"/>
    <w:rsid w:val="00185FA7"/>
    <w:rsid w:val="00187489"/>
    <w:rsid w:val="00191300"/>
    <w:rsid w:val="00194DC7"/>
    <w:rsid w:val="00197375"/>
    <w:rsid w:val="001A1F4C"/>
    <w:rsid w:val="001A27B9"/>
    <w:rsid w:val="001A589B"/>
    <w:rsid w:val="001A5D19"/>
    <w:rsid w:val="001A6164"/>
    <w:rsid w:val="001A6395"/>
    <w:rsid w:val="001B258F"/>
    <w:rsid w:val="001B3A0B"/>
    <w:rsid w:val="001B5289"/>
    <w:rsid w:val="001B6AEF"/>
    <w:rsid w:val="001C1E19"/>
    <w:rsid w:val="001C3362"/>
    <w:rsid w:val="001C4112"/>
    <w:rsid w:val="001C5860"/>
    <w:rsid w:val="001C7E11"/>
    <w:rsid w:val="001D0BB0"/>
    <w:rsid w:val="001D2B64"/>
    <w:rsid w:val="001D704B"/>
    <w:rsid w:val="001E08C0"/>
    <w:rsid w:val="001E1452"/>
    <w:rsid w:val="001E1C73"/>
    <w:rsid w:val="001E62CF"/>
    <w:rsid w:val="001E78D7"/>
    <w:rsid w:val="001F15AA"/>
    <w:rsid w:val="001F165B"/>
    <w:rsid w:val="001F37EE"/>
    <w:rsid w:val="001F6CA1"/>
    <w:rsid w:val="002002AB"/>
    <w:rsid w:val="00202142"/>
    <w:rsid w:val="002027BC"/>
    <w:rsid w:val="002062BB"/>
    <w:rsid w:val="00206488"/>
    <w:rsid w:val="002069D8"/>
    <w:rsid w:val="00210596"/>
    <w:rsid w:val="00210EEA"/>
    <w:rsid w:val="0021138A"/>
    <w:rsid w:val="002118EC"/>
    <w:rsid w:val="00212E60"/>
    <w:rsid w:val="002136BF"/>
    <w:rsid w:val="00213F9D"/>
    <w:rsid w:val="00221B90"/>
    <w:rsid w:val="00224136"/>
    <w:rsid w:val="0022430C"/>
    <w:rsid w:val="002249FE"/>
    <w:rsid w:val="002307FD"/>
    <w:rsid w:val="0023168C"/>
    <w:rsid w:val="0023487E"/>
    <w:rsid w:val="00234B46"/>
    <w:rsid w:val="00234FAA"/>
    <w:rsid w:val="0023585A"/>
    <w:rsid w:val="00235CAF"/>
    <w:rsid w:val="00237D6B"/>
    <w:rsid w:val="00240485"/>
    <w:rsid w:val="002411CA"/>
    <w:rsid w:val="00242D84"/>
    <w:rsid w:val="002471F8"/>
    <w:rsid w:val="002475F8"/>
    <w:rsid w:val="00247938"/>
    <w:rsid w:val="00250300"/>
    <w:rsid w:val="00250E43"/>
    <w:rsid w:val="0025211E"/>
    <w:rsid w:val="002550B8"/>
    <w:rsid w:val="002554DC"/>
    <w:rsid w:val="002565A6"/>
    <w:rsid w:val="00256BE3"/>
    <w:rsid w:val="00260023"/>
    <w:rsid w:val="0026098D"/>
    <w:rsid w:val="002612E7"/>
    <w:rsid w:val="00262A92"/>
    <w:rsid w:val="00263995"/>
    <w:rsid w:val="00263C2D"/>
    <w:rsid w:val="00263CBE"/>
    <w:rsid w:val="00263CC7"/>
    <w:rsid w:val="00264625"/>
    <w:rsid w:val="00264E70"/>
    <w:rsid w:val="00265C78"/>
    <w:rsid w:val="00266513"/>
    <w:rsid w:val="00271723"/>
    <w:rsid w:val="0027217E"/>
    <w:rsid w:val="00273870"/>
    <w:rsid w:val="00273EF6"/>
    <w:rsid w:val="00280EEC"/>
    <w:rsid w:val="002812BE"/>
    <w:rsid w:val="00281F11"/>
    <w:rsid w:val="0028262A"/>
    <w:rsid w:val="002839E2"/>
    <w:rsid w:val="00284776"/>
    <w:rsid w:val="00285653"/>
    <w:rsid w:val="002863DA"/>
    <w:rsid w:val="002867B9"/>
    <w:rsid w:val="00287023"/>
    <w:rsid w:val="00287F14"/>
    <w:rsid w:val="00292A1E"/>
    <w:rsid w:val="0029318E"/>
    <w:rsid w:val="00293AFC"/>
    <w:rsid w:val="002948C0"/>
    <w:rsid w:val="00294A2B"/>
    <w:rsid w:val="002A252B"/>
    <w:rsid w:val="002B0774"/>
    <w:rsid w:val="002B0B5B"/>
    <w:rsid w:val="002B11BE"/>
    <w:rsid w:val="002B3C13"/>
    <w:rsid w:val="002B3D73"/>
    <w:rsid w:val="002B3D9A"/>
    <w:rsid w:val="002B40F9"/>
    <w:rsid w:val="002B5212"/>
    <w:rsid w:val="002B6CF5"/>
    <w:rsid w:val="002B7080"/>
    <w:rsid w:val="002C0A84"/>
    <w:rsid w:val="002C225A"/>
    <w:rsid w:val="002C59C7"/>
    <w:rsid w:val="002C6A48"/>
    <w:rsid w:val="002C6AFF"/>
    <w:rsid w:val="002C7F49"/>
    <w:rsid w:val="002D5143"/>
    <w:rsid w:val="002D56ED"/>
    <w:rsid w:val="002D7C5E"/>
    <w:rsid w:val="002E0050"/>
    <w:rsid w:val="002E120E"/>
    <w:rsid w:val="002E18F2"/>
    <w:rsid w:val="002E27F1"/>
    <w:rsid w:val="002E2E37"/>
    <w:rsid w:val="002E5C15"/>
    <w:rsid w:val="002E6972"/>
    <w:rsid w:val="002F1F0A"/>
    <w:rsid w:val="002F29A0"/>
    <w:rsid w:val="002F2BA1"/>
    <w:rsid w:val="002F3D64"/>
    <w:rsid w:val="002F45B9"/>
    <w:rsid w:val="002F4602"/>
    <w:rsid w:val="002F4AE4"/>
    <w:rsid w:val="002F611D"/>
    <w:rsid w:val="002F750C"/>
    <w:rsid w:val="002F7D44"/>
    <w:rsid w:val="00301408"/>
    <w:rsid w:val="00301577"/>
    <w:rsid w:val="003015BD"/>
    <w:rsid w:val="003028D3"/>
    <w:rsid w:val="00302F31"/>
    <w:rsid w:val="003035D3"/>
    <w:rsid w:val="003035EC"/>
    <w:rsid w:val="00305706"/>
    <w:rsid w:val="003103AB"/>
    <w:rsid w:val="003106A7"/>
    <w:rsid w:val="00310A22"/>
    <w:rsid w:val="00310E13"/>
    <w:rsid w:val="0031377B"/>
    <w:rsid w:val="00314AA7"/>
    <w:rsid w:val="00315066"/>
    <w:rsid w:val="003158A9"/>
    <w:rsid w:val="003163D0"/>
    <w:rsid w:val="0031651E"/>
    <w:rsid w:val="00317608"/>
    <w:rsid w:val="00321269"/>
    <w:rsid w:val="00321E99"/>
    <w:rsid w:val="003233E5"/>
    <w:rsid w:val="003244B0"/>
    <w:rsid w:val="003304B9"/>
    <w:rsid w:val="0033150D"/>
    <w:rsid w:val="00331ABE"/>
    <w:rsid w:val="00341D0D"/>
    <w:rsid w:val="003440F7"/>
    <w:rsid w:val="00344401"/>
    <w:rsid w:val="0034606E"/>
    <w:rsid w:val="00347405"/>
    <w:rsid w:val="0034743D"/>
    <w:rsid w:val="00347C5C"/>
    <w:rsid w:val="0035056F"/>
    <w:rsid w:val="00353663"/>
    <w:rsid w:val="00354055"/>
    <w:rsid w:val="003560BD"/>
    <w:rsid w:val="00356255"/>
    <w:rsid w:val="00357C79"/>
    <w:rsid w:val="00361505"/>
    <w:rsid w:val="00362A2D"/>
    <w:rsid w:val="00363694"/>
    <w:rsid w:val="00370C11"/>
    <w:rsid w:val="00373EBB"/>
    <w:rsid w:val="00374189"/>
    <w:rsid w:val="00375A67"/>
    <w:rsid w:val="00382732"/>
    <w:rsid w:val="00386E74"/>
    <w:rsid w:val="003871E6"/>
    <w:rsid w:val="00390084"/>
    <w:rsid w:val="00396783"/>
    <w:rsid w:val="00396A62"/>
    <w:rsid w:val="0039788F"/>
    <w:rsid w:val="003A0AF6"/>
    <w:rsid w:val="003A0C81"/>
    <w:rsid w:val="003A0E91"/>
    <w:rsid w:val="003A11A4"/>
    <w:rsid w:val="003A1C5A"/>
    <w:rsid w:val="003A2B4C"/>
    <w:rsid w:val="003A2CEB"/>
    <w:rsid w:val="003A39C0"/>
    <w:rsid w:val="003A3CBB"/>
    <w:rsid w:val="003A4B5B"/>
    <w:rsid w:val="003A54E9"/>
    <w:rsid w:val="003A7E68"/>
    <w:rsid w:val="003B45D2"/>
    <w:rsid w:val="003C0201"/>
    <w:rsid w:val="003C4D8F"/>
    <w:rsid w:val="003C644F"/>
    <w:rsid w:val="003C7A96"/>
    <w:rsid w:val="003D0248"/>
    <w:rsid w:val="003D0529"/>
    <w:rsid w:val="003D1776"/>
    <w:rsid w:val="003D1CBD"/>
    <w:rsid w:val="003D322B"/>
    <w:rsid w:val="003D4271"/>
    <w:rsid w:val="003D46EA"/>
    <w:rsid w:val="003D5817"/>
    <w:rsid w:val="003D6B4E"/>
    <w:rsid w:val="003D7DDD"/>
    <w:rsid w:val="003E0378"/>
    <w:rsid w:val="003E0BFB"/>
    <w:rsid w:val="003E1052"/>
    <w:rsid w:val="003E4F99"/>
    <w:rsid w:val="003E536F"/>
    <w:rsid w:val="003E625F"/>
    <w:rsid w:val="003E68AA"/>
    <w:rsid w:val="003E7FCD"/>
    <w:rsid w:val="003F1EDC"/>
    <w:rsid w:val="003F374E"/>
    <w:rsid w:val="003F6B9A"/>
    <w:rsid w:val="003F70BB"/>
    <w:rsid w:val="003F7545"/>
    <w:rsid w:val="003F78B4"/>
    <w:rsid w:val="003F794B"/>
    <w:rsid w:val="00400FFB"/>
    <w:rsid w:val="00402BE9"/>
    <w:rsid w:val="004060D8"/>
    <w:rsid w:val="00411025"/>
    <w:rsid w:val="00415A34"/>
    <w:rsid w:val="004165A2"/>
    <w:rsid w:val="00416D43"/>
    <w:rsid w:val="00417367"/>
    <w:rsid w:val="0041793E"/>
    <w:rsid w:val="00417C36"/>
    <w:rsid w:val="00420E67"/>
    <w:rsid w:val="004239FA"/>
    <w:rsid w:val="004245B7"/>
    <w:rsid w:val="00425183"/>
    <w:rsid w:val="00426906"/>
    <w:rsid w:val="004273F5"/>
    <w:rsid w:val="004318C5"/>
    <w:rsid w:val="00433A07"/>
    <w:rsid w:val="00436011"/>
    <w:rsid w:val="004429E4"/>
    <w:rsid w:val="004435F8"/>
    <w:rsid w:val="00443800"/>
    <w:rsid w:val="00443869"/>
    <w:rsid w:val="004443A4"/>
    <w:rsid w:val="00446641"/>
    <w:rsid w:val="00450E42"/>
    <w:rsid w:val="00451525"/>
    <w:rsid w:val="00451913"/>
    <w:rsid w:val="00451ED2"/>
    <w:rsid w:val="0045206A"/>
    <w:rsid w:val="00452B6F"/>
    <w:rsid w:val="00452FAD"/>
    <w:rsid w:val="004569F1"/>
    <w:rsid w:val="00457735"/>
    <w:rsid w:val="00461142"/>
    <w:rsid w:val="00461184"/>
    <w:rsid w:val="00461E9F"/>
    <w:rsid w:val="00462027"/>
    <w:rsid w:val="0046364C"/>
    <w:rsid w:val="00463BB6"/>
    <w:rsid w:val="00464C20"/>
    <w:rsid w:val="00466044"/>
    <w:rsid w:val="004704BB"/>
    <w:rsid w:val="00473DDA"/>
    <w:rsid w:val="004746F6"/>
    <w:rsid w:val="00475DE5"/>
    <w:rsid w:val="00475FE2"/>
    <w:rsid w:val="00476424"/>
    <w:rsid w:val="004766AB"/>
    <w:rsid w:val="004773FB"/>
    <w:rsid w:val="004777F0"/>
    <w:rsid w:val="004802FC"/>
    <w:rsid w:val="00480C84"/>
    <w:rsid w:val="00481C49"/>
    <w:rsid w:val="0048253D"/>
    <w:rsid w:val="00482CF8"/>
    <w:rsid w:val="00482F1A"/>
    <w:rsid w:val="004844D1"/>
    <w:rsid w:val="00490F61"/>
    <w:rsid w:val="004938FF"/>
    <w:rsid w:val="00494755"/>
    <w:rsid w:val="004955F0"/>
    <w:rsid w:val="0049591A"/>
    <w:rsid w:val="0049768E"/>
    <w:rsid w:val="004A1B0D"/>
    <w:rsid w:val="004A2070"/>
    <w:rsid w:val="004A2FAE"/>
    <w:rsid w:val="004A3ED2"/>
    <w:rsid w:val="004A4982"/>
    <w:rsid w:val="004A732D"/>
    <w:rsid w:val="004A7B50"/>
    <w:rsid w:val="004A7C28"/>
    <w:rsid w:val="004B244C"/>
    <w:rsid w:val="004B489F"/>
    <w:rsid w:val="004B5A65"/>
    <w:rsid w:val="004B6399"/>
    <w:rsid w:val="004C0CD5"/>
    <w:rsid w:val="004C1069"/>
    <w:rsid w:val="004C6759"/>
    <w:rsid w:val="004D249E"/>
    <w:rsid w:val="004D282F"/>
    <w:rsid w:val="004D2858"/>
    <w:rsid w:val="004D3CFB"/>
    <w:rsid w:val="004E0FA5"/>
    <w:rsid w:val="004E1822"/>
    <w:rsid w:val="004E26CF"/>
    <w:rsid w:val="004E6FBE"/>
    <w:rsid w:val="004F0575"/>
    <w:rsid w:val="004F193D"/>
    <w:rsid w:val="004F2EB9"/>
    <w:rsid w:val="004F305B"/>
    <w:rsid w:val="004F3B9C"/>
    <w:rsid w:val="004F4D1B"/>
    <w:rsid w:val="004F7309"/>
    <w:rsid w:val="004F7C4F"/>
    <w:rsid w:val="00500775"/>
    <w:rsid w:val="00500AC0"/>
    <w:rsid w:val="00504944"/>
    <w:rsid w:val="005053C9"/>
    <w:rsid w:val="00505B0A"/>
    <w:rsid w:val="00506FCA"/>
    <w:rsid w:val="00510EB0"/>
    <w:rsid w:val="00511A7C"/>
    <w:rsid w:val="00511E57"/>
    <w:rsid w:val="00511FD7"/>
    <w:rsid w:val="0051425A"/>
    <w:rsid w:val="005146F9"/>
    <w:rsid w:val="005151EB"/>
    <w:rsid w:val="0051535D"/>
    <w:rsid w:val="00515EE5"/>
    <w:rsid w:val="00515EF3"/>
    <w:rsid w:val="005166FC"/>
    <w:rsid w:val="00521E96"/>
    <w:rsid w:val="005234AC"/>
    <w:rsid w:val="005278AC"/>
    <w:rsid w:val="00527F7E"/>
    <w:rsid w:val="005315A3"/>
    <w:rsid w:val="00531A76"/>
    <w:rsid w:val="0053263F"/>
    <w:rsid w:val="005354DE"/>
    <w:rsid w:val="00535DA6"/>
    <w:rsid w:val="00536BD8"/>
    <w:rsid w:val="00541B49"/>
    <w:rsid w:val="005468E9"/>
    <w:rsid w:val="00546EDF"/>
    <w:rsid w:val="005476BB"/>
    <w:rsid w:val="0055015E"/>
    <w:rsid w:val="00552132"/>
    <w:rsid w:val="00552880"/>
    <w:rsid w:val="0055309F"/>
    <w:rsid w:val="005530FE"/>
    <w:rsid w:val="00553AC2"/>
    <w:rsid w:val="00553E6B"/>
    <w:rsid w:val="005553DD"/>
    <w:rsid w:val="00556754"/>
    <w:rsid w:val="00556F99"/>
    <w:rsid w:val="00561DC2"/>
    <w:rsid w:val="00562FD5"/>
    <w:rsid w:val="00563186"/>
    <w:rsid w:val="0056552C"/>
    <w:rsid w:val="00574777"/>
    <w:rsid w:val="00583185"/>
    <w:rsid w:val="00583C82"/>
    <w:rsid w:val="00584EFC"/>
    <w:rsid w:val="0058630A"/>
    <w:rsid w:val="005864CE"/>
    <w:rsid w:val="00592F25"/>
    <w:rsid w:val="0059310B"/>
    <w:rsid w:val="005936E2"/>
    <w:rsid w:val="005A075B"/>
    <w:rsid w:val="005A0E7D"/>
    <w:rsid w:val="005A196F"/>
    <w:rsid w:val="005A2653"/>
    <w:rsid w:val="005A3726"/>
    <w:rsid w:val="005A3934"/>
    <w:rsid w:val="005A4403"/>
    <w:rsid w:val="005A47D2"/>
    <w:rsid w:val="005A4B0F"/>
    <w:rsid w:val="005B11B1"/>
    <w:rsid w:val="005B2A68"/>
    <w:rsid w:val="005B2E8A"/>
    <w:rsid w:val="005B71FE"/>
    <w:rsid w:val="005C0030"/>
    <w:rsid w:val="005C1590"/>
    <w:rsid w:val="005C16B4"/>
    <w:rsid w:val="005C3128"/>
    <w:rsid w:val="005C3AFA"/>
    <w:rsid w:val="005C519E"/>
    <w:rsid w:val="005C77E3"/>
    <w:rsid w:val="005D0243"/>
    <w:rsid w:val="005D1809"/>
    <w:rsid w:val="005D2508"/>
    <w:rsid w:val="005D62D3"/>
    <w:rsid w:val="005D6984"/>
    <w:rsid w:val="005D7465"/>
    <w:rsid w:val="005D7FE4"/>
    <w:rsid w:val="005E10F4"/>
    <w:rsid w:val="005E6FAC"/>
    <w:rsid w:val="005E713D"/>
    <w:rsid w:val="005F449B"/>
    <w:rsid w:val="005F47F0"/>
    <w:rsid w:val="005F489F"/>
    <w:rsid w:val="005F51C8"/>
    <w:rsid w:val="005F54A6"/>
    <w:rsid w:val="005F5C48"/>
    <w:rsid w:val="005F7412"/>
    <w:rsid w:val="005F76F1"/>
    <w:rsid w:val="00600293"/>
    <w:rsid w:val="0060118C"/>
    <w:rsid w:val="00601782"/>
    <w:rsid w:val="00601B0F"/>
    <w:rsid w:val="00605754"/>
    <w:rsid w:val="00607D57"/>
    <w:rsid w:val="00615373"/>
    <w:rsid w:val="00617319"/>
    <w:rsid w:val="0061747E"/>
    <w:rsid w:val="00617B01"/>
    <w:rsid w:val="00617C82"/>
    <w:rsid w:val="00617E12"/>
    <w:rsid w:val="006212DE"/>
    <w:rsid w:val="006222CF"/>
    <w:rsid w:val="00623FB7"/>
    <w:rsid w:val="0062460E"/>
    <w:rsid w:val="00625C34"/>
    <w:rsid w:val="00627D6F"/>
    <w:rsid w:val="00627E81"/>
    <w:rsid w:val="00630504"/>
    <w:rsid w:val="00633C11"/>
    <w:rsid w:val="006341AF"/>
    <w:rsid w:val="006348D7"/>
    <w:rsid w:val="00640890"/>
    <w:rsid w:val="00640AEB"/>
    <w:rsid w:val="00640CB5"/>
    <w:rsid w:val="00641042"/>
    <w:rsid w:val="006412F8"/>
    <w:rsid w:val="00643FA8"/>
    <w:rsid w:val="00645286"/>
    <w:rsid w:val="00645415"/>
    <w:rsid w:val="00647FF2"/>
    <w:rsid w:val="006509E1"/>
    <w:rsid w:val="0065116F"/>
    <w:rsid w:val="0065148E"/>
    <w:rsid w:val="00651C89"/>
    <w:rsid w:val="0065351A"/>
    <w:rsid w:val="00654177"/>
    <w:rsid w:val="00654E30"/>
    <w:rsid w:val="006552D2"/>
    <w:rsid w:val="006553E6"/>
    <w:rsid w:val="00656667"/>
    <w:rsid w:val="006613FE"/>
    <w:rsid w:val="006629DD"/>
    <w:rsid w:val="00662A00"/>
    <w:rsid w:val="00665B15"/>
    <w:rsid w:val="00665CD3"/>
    <w:rsid w:val="0066628F"/>
    <w:rsid w:val="00667584"/>
    <w:rsid w:val="00670377"/>
    <w:rsid w:val="0067228E"/>
    <w:rsid w:val="006730A4"/>
    <w:rsid w:val="006730CA"/>
    <w:rsid w:val="006734DC"/>
    <w:rsid w:val="00677B8E"/>
    <w:rsid w:val="00680F53"/>
    <w:rsid w:val="006823C9"/>
    <w:rsid w:val="00682AAA"/>
    <w:rsid w:val="00683DB1"/>
    <w:rsid w:val="00684781"/>
    <w:rsid w:val="0068487D"/>
    <w:rsid w:val="006856F1"/>
    <w:rsid w:val="00685DC3"/>
    <w:rsid w:val="00690057"/>
    <w:rsid w:val="006911C8"/>
    <w:rsid w:val="006915A7"/>
    <w:rsid w:val="00691E36"/>
    <w:rsid w:val="006923A3"/>
    <w:rsid w:val="00692C09"/>
    <w:rsid w:val="0069396F"/>
    <w:rsid w:val="006939DB"/>
    <w:rsid w:val="00694FA6"/>
    <w:rsid w:val="00695987"/>
    <w:rsid w:val="006968BC"/>
    <w:rsid w:val="006977B3"/>
    <w:rsid w:val="006A13F2"/>
    <w:rsid w:val="006A4AEA"/>
    <w:rsid w:val="006A757E"/>
    <w:rsid w:val="006A7D4C"/>
    <w:rsid w:val="006B1E3B"/>
    <w:rsid w:val="006B489C"/>
    <w:rsid w:val="006B7A72"/>
    <w:rsid w:val="006C00C2"/>
    <w:rsid w:val="006C17EB"/>
    <w:rsid w:val="006C722E"/>
    <w:rsid w:val="006C76D2"/>
    <w:rsid w:val="006C7D4B"/>
    <w:rsid w:val="006D0531"/>
    <w:rsid w:val="006D08B1"/>
    <w:rsid w:val="006D23BD"/>
    <w:rsid w:val="006D2C3B"/>
    <w:rsid w:val="006D2F46"/>
    <w:rsid w:val="006D6A3A"/>
    <w:rsid w:val="006D6A9B"/>
    <w:rsid w:val="006D7AF3"/>
    <w:rsid w:val="006E17F0"/>
    <w:rsid w:val="006E2449"/>
    <w:rsid w:val="006E3235"/>
    <w:rsid w:val="006E3F95"/>
    <w:rsid w:val="006E46B1"/>
    <w:rsid w:val="006E4D3F"/>
    <w:rsid w:val="006E62FC"/>
    <w:rsid w:val="006E747E"/>
    <w:rsid w:val="006E78EB"/>
    <w:rsid w:val="006E7AD5"/>
    <w:rsid w:val="006F1138"/>
    <w:rsid w:val="006F1885"/>
    <w:rsid w:val="006F2461"/>
    <w:rsid w:val="006F285E"/>
    <w:rsid w:val="006F2CDB"/>
    <w:rsid w:val="006F488A"/>
    <w:rsid w:val="006F51CD"/>
    <w:rsid w:val="006F53C1"/>
    <w:rsid w:val="006F6C19"/>
    <w:rsid w:val="006F6EE3"/>
    <w:rsid w:val="006F73D2"/>
    <w:rsid w:val="00702BE3"/>
    <w:rsid w:val="00704D43"/>
    <w:rsid w:val="00704F3F"/>
    <w:rsid w:val="007147AC"/>
    <w:rsid w:val="007161D7"/>
    <w:rsid w:val="00721ED0"/>
    <w:rsid w:val="00722462"/>
    <w:rsid w:val="00725686"/>
    <w:rsid w:val="00725CB3"/>
    <w:rsid w:val="007344C1"/>
    <w:rsid w:val="007355A5"/>
    <w:rsid w:val="00736326"/>
    <w:rsid w:val="007364E9"/>
    <w:rsid w:val="00737626"/>
    <w:rsid w:val="007376A4"/>
    <w:rsid w:val="0074048C"/>
    <w:rsid w:val="0074198E"/>
    <w:rsid w:val="00741F64"/>
    <w:rsid w:val="00743A70"/>
    <w:rsid w:val="007444D7"/>
    <w:rsid w:val="00747B55"/>
    <w:rsid w:val="00747D95"/>
    <w:rsid w:val="007503A1"/>
    <w:rsid w:val="007511E0"/>
    <w:rsid w:val="0075218F"/>
    <w:rsid w:val="0075230D"/>
    <w:rsid w:val="0075345E"/>
    <w:rsid w:val="00754E2C"/>
    <w:rsid w:val="0075612C"/>
    <w:rsid w:val="0075640C"/>
    <w:rsid w:val="00757391"/>
    <w:rsid w:val="00757473"/>
    <w:rsid w:val="007574F7"/>
    <w:rsid w:val="00757975"/>
    <w:rsid w:val="007625B4"/>
    <w:rsid w:val="00763072"/>
    <w:rsid w:val="007636B2"/>
    <w:rsid w:val="00766562"/>
    <w:rsid w:val="00770111"/>
    <w:rsid w:val="007716E5"/>
    <w:rsid w:val="00775E29"/>
    <w:rsid w:val="0077662D"/>
    <w:rsid w:val="00777E33"/>
    <w:rsid w:val="00781110"/>
    <w:rsid w:val="00784E87"/>
    <w:rsid w:val="007857CA"/>
    <w:rsid w:val="00786E76"/>
    <w:rsid w:val="00790229"/>
    <w:rsid w:val="00790933"/>
    <w:rsid w:val="00793135"/>
    <w:rsid w:val="007965CC"/>
    <w:rsid w:val="00796C6D"/>
    <w:rsid w:val="0079732D"/>
    <w:rsid w:val="00797DEF"/>
    <w:rsid w:val="00797F6F"/>
    <w:rsid w:val="007A04A0"/>
    <w:rsid w:val="007A1690"/>
    <w:rsid w:val="007A1AE0"/>
    <w:rsid w:val="007A4F27"/>
    <w:rsid w:val="007A6A33"/>
    <w:rsid w:val="007B0EBE"/>
    <w:rsid w:val="007B1E2E"/>
    <w:rsid w:val="007B33D6"/>
    <w:rsid w:val="007B6126"/>
    <w:rsid w:val="007B663F"/>
    <w:rsid w:val="007B6E26"/>
    <w:rsid w:val="007B71CF"/>
    <w:rsid w:val="007B7DFC"/>
    <w:rsid w:val="007C08A8"/>
    <w:rsid w:val="007C1D0A"/>
    <w:rsid w:val="007C2716"/>
    <w:rsid w:val="007C2854"/>
    <w:rsid w:val="007C5D11"/>
    <w:rsid w:val="007C5EEB"/>
    <w:rsid w:val="007C6874"/>
    <w:rsid w:val="007D440C"/>
    <w:rsid w:val="007D452A"/>
    <w:rsid w:val="007D4AC6"/>
    <w:rsid w:val="007E14CA"/>
    <w:rsid w:val="007E1910"/>
    <w:rsid w:val="007E1990"/>
    <w:rsid w:val="007E378F"/>
    <w:rsid w:val="007E3A0B"/>
    <w:rsid w:val="007E3CEB"/>
    <w:rsid w:val="007E6A9F"/>
    <w:rsid w:val="007E6FBA"/>
    <w:rsid w:val="007E75C5"/>
    <w:rsid w:val="007F1082"/>
    <w:rsid w:val="007F39A1"/>
    <w:rsid w:val="007F5058"/>
    <w:rsid w:val="007F77E1"/>
    <w:rsid w:val="007F7A13"/>
    <w:rsid w:val="00802677"/>
    <w:rsid w:val="00802AB0"/>
    <w:rsid w:val="00806850"/>
    <w:rsid w:val="00814F4D"/>
    <w:rsid w:val="008152A0"/>
    <w:rsid w:val="0081697B"/>
    <w:rsid w:val="00817241"/>
    <w:rsid w:val="008251D4"/>
    <w:rsid w:val="00825455"/>
    <w:rsid w:val="00825D4C"/>
    <w:rsid w:val="00826813"/>
    <w:rsid w:val="00836013"/>
    <w:rsid w:val="00842137"/>
    <w:rsid w:val="0084233F"/>
    <w:rsid w:val="0084267A"/>
    <w:rsid w:val="008441EC"/>
    <w:rsid w:val="0084557F"/>
    <w:rsid w:val="0084590C"/>
    <w:rsid w:val="0084772E"/>
    <w:rsid w:val="00855832"/>
    <w:rsid w:val="00856A9B"/>
    <w:rsid w:val="00861847"/>
    <w:rsid w:val="00861D6D"/>
    <w:rsid w:val="0086215A"/>
    <w:rsid w:val="0086269C"/>
    <w:rsid w:val="00863D0C"/>
    <w:rsid w:val="0087022A"/>
    <w:rsid w:val="0087096E"/>
    <w:rsid w:val="0087111C"/>
    <w:rsid w:val="00871CDC"/>
    <w:rsid w:val="00872472"/>
    <w:rsid w:val="00873425"/>
    <w:rsid w:val="00877BF5"/>
    <w:rsid w:val="00882BF7"/>
    <w:rsid w:val="00882D04"/>
    <w:rsid w:val="00884917"/>
    <w:rsid w:val="0088681B"/>
    <w:rsid w:val="00887206"/>
    <w:rsid w:val="00887706"/>
    <w:rsid w:val="008878F6"/>
    <w:rsid w:val="0089181E"/>
    <w:rsid w:val="008958F5"/>
    <w:rsid w:val="008A02DB"/>
    <w:rsid w:val="008A2660"/>
    <w:rsid w:val="008A35BE"/>
    <w:rsid w:val="008A3E2F"/>
    <w:rsid w:val="008A46F7"/>
    <w:rsid w:val="008A560A"/>
    <w:rsid w:val="008A6B8E"/>
    <w:rsid w:val="008A7E5E"/>
    <w:rsid w:val="008B3C23"/>
    <w:rsid w:val="008B54D7"/>
    <w:rsid w:val="008B5E77"/>
    <w:rsid w:val="008B5E94"/>
    <w:rsid w:val="008C3631"/>
    <w:rsid w:val="008C4B00"/>
    <w:rsid w:val="008C748A"/>
    <w:rsid w:val="008D0DE3"/>
    <w:rsid w:val="008D267D"/>
    <w:rsid w:val="008D2A93"/>
    <w:rsid w:val="008D5F9D"/>
    <w:rsid w:val="008D72FE"/>
    <w:rsid w:val="008D7A9C"/>
    <w:rsid w:val="008E004E"/>
    <w:rsid w:val="008E4609"/>
    <w:rsid w:val="008E5310"/>
    <w:rsid w:val="008E5FAD"/>
    <w:rsid w:val="008E673D"/>
    <w:rsid w:val="008F1533"/>
    <w:rsid w:val="008F3DCD"/>
    <w:rsid w:val="008F51A5"/>
    <w:rsid w:val="008F6925"/>
    <w:rsid w:val="008F72EF"/>
    <w:rsid w:val="0090236C"/>
    <w:rsid w:val="009026AD"/>
    <w:rsid w:val="0090541D"/>
    <w:rsid w:val="009054B8"/>
    <w:rsid w:val="009101C1"/>
    <w:rsid w:val="00910B88"/>
    <w:rsid w:val="00911107"/>
    <w:rsid w:val="0091331B"/>
    <w:rsid w:val="00913443"/>
    <w:rsid w:val="00915FF3"/>
    <w:rsid w:val="00917D96"/>
    <w:rsid w:val="00920A97"/>
    <w:rsid w:val="00921BBA"/>
    <w:rsid w:val="00923BFF"/>
    <w:rsid w:val="009261BF"/>
    <w:rsid w:val="009268CF"/>
    <w:rsid w:val="009301E4"/>
    <w:rsid w:val="00930A61"/>
    <w:rsid w:val="00930D70"/>
    <w:rsid w:val="00934E60"/>
    <w:rsid w:val="0093621F"/>
    <w:rsid w:val="00940C26"/>
    <w:rsid w:val="0094161D"/>
    <w:rsid w:val="00942C2C"/>
    <w:rsid w:val="00943987"/>
    <w:rsid w:val="00950149"/>
    <w:rsid w:val="00951B84"/>
    <w:rsid w:val="00956908"/>
    <w:rsid w:val="0095717A"/>
    <w:rsid w:val="00960E06"/>
    <w:rsid w:val="00966D4C"/>
    <w:rsid w:val="009674BE"/>
    <w:rsid w:val="00970037"/>
    <w:rsid w:val="00973A76"/>
    <w:rsid w:val="00976557"/>
    <w:rsid w:val="0097741C"/>
    <w:rsid w:val="00977562"/>
    <w:rsid w:val="0097795F"/>
    <w:rsid w:val="009828B4"/>
    <w:rsid w:val="00982F4D"/>
    <w:rsid w:val="00985A6C"/>
    <w:rsid w:val="00985FB9"/>
    <w:rsid w:val="009873DE"/>
    <w:rsid w:val="009915BB"/>
    <w:rsid w:val="00993AF9"/>
    <w:rsid w:val="0099454B"/>
    <w:rsid w:val="00997DE3"/>
    <w:rsid w:val="009B0593"/>
    <w:rsid w:val="009B2F53"/>
    <w:rsid w:val="009B5C2D"/>
    <w:rsid w:val="009B6178"/>
    <w:rsid w:val="009B6658"/>
    <w:rsid w:val="009B6D0A"/>
    <w:rsid w:val="009B756E"/>
    <w:rsid w:val="009C03D7"/>
    <w:rsid w:val="009C25BA"/>
    <w:rsid w:val="009C3E03"/>
    <w:rsid w:val="009C40F6"/>
    <w:rsid w:val="009C48AA"/>
    <w:rsid w:val="009C4AFD"/>
    <w:rsid w:val="009D297C"/>
    <w:rsid w:val="009D2CDA"/>
    <w:rsid w:val="009D6249"/>
    <w:rsid w:val="009D6CAB"/>
    <w:rsid w:val="009D7643"/>
    <w:rsid w:val="009E3F8B"/>
    <w:rsid w:val="009E5347"/>
    <w:rsid w:val="009E6666"/>
    <w:rsid w:val="009E6B13"/>
    <w:rsid w:val="009E6C38"/>
    <w:rsid w:val="009E7ABE"/>
    <w:rsid w:val="009F0213"/>
    <w:rsid w:val="009F0DD2"/>
    <w:rsid w:val="009F14AA"/>
    <w:rsid w:val="009F29D6"/>
    <w:rsid w:val="009F4D27"/>
    <w:rsid w:val="009F61B2"/>
    <w:rsid w:val="00A00AE9"/>
    <w:rsid w:val="00A047DC"/>
    <w:rsid w:val="00A124DF"/>
    <w:rsid w:val="00A128E0"/>
    <w:rsid w:val="00A12AD7"/>
    <w:rsid w:val="00A13BC5"/>
    <w:rsid w:val="00A14D97"/>
    <w:rsid w:val="00A16C28"/>
    <w:rsid w:val="00A171B4"/>
    <w:rsid w:val="00A17C8F"/>
    <w:rsid w:val="00A20362"/>
    <w:rsid w:val="00A21327"/>
    <w:rsid w:val="00A21E8B"/>
    <w:rsid w:val="00A223C2"/>
    <w:rsid w:val="00A235B1"/>
    <w:rsid w:val="00A26A7D"/>
    <w:rsid w:val="00A27724"/>
    <w:rsid w:val="00A27EEB"/>
    <w:rsid w:val="00A34447"/>
    <w:rsid w:val="00A348F7"/>
    <w:rsid w:val="00A3544C"/>
    <w:rsid w:val="00A37371"/>
    <w:rsid w:val="00A40343"/>
    <w:rsid w:val="00A40760"/>
    <w:rsid w:val="00A415F3"/>
    <w:rsid w:val="00A416E7"/>
    <w:rsid w:val="00A4197A"/>
    <w:rsid w:val="00A435B7"/>
    <w:rsid w:val="00A44FCA"/>
    <w:rsid w:val="00A4547C"/>
    <w:rsid w:val="00A5192A"/>
    <w:rsid w:val="00A54024"/>
    <w:rsid w:val="00A5428B"/>
    <w:rsid w:val="00A5540B"/>
    <w:rsid w:val="00A60C9B"/>
    <w:rsid w:val="00A619FF"/>
    <w:rsid w:val="00A621C5"/>
    <w:rsid w:val="00A63CB1"/>
    <w:rsid w:val="00A64B39"/>
    <w:rsid w:val="00A65348"/>
    <w:rsid w:val="00A6568B"/>
    <w:rsid w:val="00A662CA"/>
    <w:rsid w:val="00A700C1"/>
    <w:rsid w:val="00A71155"/>
    <w:rsid w:val="00A71750"/>
    <w:rsid w:val="00A73684"/>
    <w:rsid w:val="00A773C2"/>
    <w:rsid w:val="00A81823"/>
    <w:rsid w:val="00A8257C"/>
    <w:rsid w:val="00A8710E"/>
    <w:rsid w:val="00A87FBA"/>
    <w:rsid w:val="00A91005"/>
    <w:rsid w:val="00A912AD"/>
    <w:rsid w:val="00A945DD"/>
    <w:rsid w:val="00A94898"/>
    <w:rsid w:val="00A94B27"/>
    <w:rsid w:val="00A94B69"/>
    <w:rsid w:val="00A94C40"/>
    <w:rsid w:val="00A94FB1"/>
    <w:rsid w:val="00A95687"/>
    <w:rsid w:val="00A9680C"/>
    <w:rsid w:val="00A97031"/>
    <w:rsid w:val="00A97775"/>
    <w:rsid w:val="00A97E05"/>
    <w:rsid w:val="00AA0200"/>
    <w:rsid w:val="00AA1ABB"/>
    <w:rsid w:val="00AA1C23"/>
    <w:rsid w:val="00AA4361"/>
    <w:rsid w:val="00AA4700"/>
    <w:rsid w:val="00AA4C43"/>
    <w:rsid w:val="00AA672B"/>
    <w:rsid w:val="00AB2871"/>
    <w:rsid w:val="00AB2A08"/>
    <w:rsid w:val="00AB2A35"/>
    <w:rsid w:val="00AB2BD5"/>
    <w:rsid w:val="00AB3145"/>
    <w:rsid w:val="00AB317D"/>
    <w:rsid w:val="00AB4A16"/>
    <w:rsid w:val="00AB51B3"/>
    <w:rsid w:val="00AB5DBA"/>
    <w:rsid w:val="00AB6A3E"/>
    <w:rsid w:val="00AB6D16"/>
    <w:rsid w:val="00AB720B"/>
    <w:rsid w:val="00AC1C92"/>
    <w:rsid w:val="00AC3302"/>
    <w:rsid w:val="00AC6E70"/>
    <w:rsid w:val="00AD20C4"/>
    <w:rsid w:val="00AD3FC7"/>
    <w:rsid w:val="00AD47C8"/>
    <w:rsid w:val="00AD6081"/>
    <w:rsid w:val="00AD72EB"/>
    <w:rsid w:val="00AE02A9"/>
    <w:rsid w:val="00AE0954"/>
    <w:rsid w:val="00AE130E"/>
    <w:rsid w:val="00AE161C"/>
    <w:rsid w:val="00AE51B0"/>
    <w:rsid w:val="00AE67E5"/>
    <w:rsid w:val="00AF22E0"/>
    <w:rsid w:val="00AF2438"/>
    <w:rsid w:val="00B02254"/>
    <w:rsid w:val="00B04E1D"/>
    <w:rsid w:val="00B0638F"/>
    <w:rsid w:val="00B10B98"/>
    <w:rsid w:val="00B13683"/>
    <w:rsid w:val="00B13CBF"/>
    <w:rsid w:val="00B2088A"/>
    <w:rsid w:val="00B2366B"/>
    <w:rsid w:val="00B2428A"/>
    <w:rsid w:val="00B2652E"/>
    <w:rsid w:val="00B274E3"/>
    <w:rsid w:val="00B34B22"/>
    <w:rsid w:val="00B3682F"/>
    <w:rsid w:val="00B408B8"/>
    <w:rsid w:val="00B438A2"/>
    <w:rsid w:val="00B469A4"/>
    <w:rsid w:val="00B53B19"/>
    <w:rsid w:val="00B53FB6"/>
    <w:rsid w:val="00B54AA4"/>
    <w:rsid w:val="00B56EAB"/>
    <w:rsid w:val="00B574B3"/>
    <w:rsid w:val="00B575A6"/>
    <w:rsid w:val="00B615F5"/>
    <w:rsid w:val="00B61E76"/>
    <w:rsid w:val="00B64A69"/>
    <w:rsid w:val="00B703C9"/>
    <w:rsid w:val="00B7155D"/>
    <w:rsid w:val="00B71C5F"/>
    <w:rsid w:val="00B80E7E"/>
    <w:rsid w:val="00B81EC6"/>
    <w:rsid w:val="00B83CEA"/>
    <w:rsid w:val="00B855A5"/>
    <w:rsid w:val="00B8715D"/>
    <w:rsid w:val="00B92AAF"/>
    <w:rsid w:val="00B92CE2"/>
    <w:rsid w:val="00B953CD"/>
    <w:rsid w:val="00B95544"/>
    <w:rsid w:val="00B96E1A"/>
    <w:rsid w:val="00B97D84"/>
    <w:rsid w:val="00BA02C4"/>
    <w:rsid w:val="00BA06DE"/>
    <w:rsid w:val="00BA2610"/>
    <w:rsid w:val="00BA2C35"/>
    <w:rsid w:val="00BA4E56"/>
    <w:rsid w:val="00BA5209"/>
    <w:rsid w:val="00BA7388"/>
    <w:rsid w:val="00BB29A0"/>
    <w:rsid w:val="00BB4F06"/>
    <w:rsid w:val="00BB564A"/>
    <w:rsid w:val="00BB6646"/>
    <w:rsid w:val="00BB7E4E"/>
    <w:rsid w:val="00BB7F5E"/>
    <w:rsid w:val="00BC21FF"/>
    <w:rsid w:val="00BC38C0"/>
    <w:rsid w:val="00BC412B"/>
    <w:rsid w:val="00BC429B"/>
    <w:rsid w:val="00BC5685"/>
    <w:rsid w:val="00BD107F"/>
    <w:rsid w:val="00BD2868"/>
    <w:rsid w:val="00BD3C3F"/>
    <w:rsid w:val="00BD4955"/>
    <w:rsid w:val="00BD56EE"/>
    <w:rsid w:val="00BE00AE"/>
    <w:rsid w:val="00BE0E79"/>
    <w:rsid w:val="00BE1010"/>
    <w:rsid w:val="00BF1160"/>
    <w:rsid w:val="00BF2453"/>
    <w:rsid w:val="00BF252F"/>
    <w:rsid w:val="00BF29BD"/>
    <w:rsid w:val="00BF360F"/>
    <w:rsid w:val="00BF3A9B"/>
    <w:rsid w:val="00BF41B3"/>
    <w:rsid w:val="00BF6684"/>
    <w:rsid w:val="00BF739E"/>
    <w:rsid w:val="00BF76F9"/>
    <w:rsid w:val="00BF7DC4"/>
    <w:rsid w:val="00BF7E77"/>
    <w:rsid w:val="00C00EB6"/>
    <w:rsid w:val="00C02CDD"/>
    <w:rsid w:val="00C035D4"/>
    <w:rsid w:val="00C04555"/>
    <w:rsid w:val="00C05D98"/>
    <w:rsid w:val="00C0668E"/>
    <w:rsid w:val="00C1140D"/>
    <w:rsid w:val="00C11C36"/>
    <w:rsid w:val="00C1234B"/>
    <w:rsid w:val="00C13FD0"/>
    <w:rsid w:val="00C1647E"/>
    <w:rsid w:val="00C16FED"/>
    <w:rsid w:val="00C17C0C"/>
    <w:rsid w:val="00C2056C"/>
    <w:rsid w:val="00C26D03"/>
    <w:rsid w:val="00C26EC5"/>
    <w:rsid w:val="00C30ADD"/>
    <w:rsid w:val="00C32130"/>
    <w:rsid w:val="00C3338E"/>
    <w:rsid w:val="00C426E1"/>
    <w:rsid w:val="00C42A87"/>
    <w:rsid w:val="00C44494"/>
    <w:rsid w:val="00C45893"/>
    <w:rsid w:val="00C46213"/>
    <w:rsid w:val="00C507E6"/>
    <w:rsid w:val="00C52C62"/>
    <w:rsid w:val="00C53499"/>
    <w:rsid w:val="00C57BB8"/>
    <w:rsid w:val="00C60B36"/>
    <w:rsid w:val="00C63BB4"/>
    <w:rsid w:val="00C64D9E"/>
    <w:rsid w:val="00C659CE"/>
    <w:rsid w:val="00C66EFD"/>
    <w:rsid w:val="00C675A6"/>
    <w:rsid w:val="00C71456"/>
    <w:rsid w:val="00C71DCD"/>
    <w:rsid w:val="00C720A9"/>
    <w:rsid w:val="00C75470"/>
    <w:rsid w:val="00C75C88"/>
    <w:rsid w:val="00C76992"/>
    <w:rsid w:val="00C7769A"/>
    <w:rsid w:val="00C8015D"/>
    <w:rsid w:val="00C80213"/>
    <w:rsid w:val="00C80B98"/>
    <w:rsid w:val="00C81676"/>
    <w:rsid w:val="00C84C9A"/>
    <w:rsid w:val="00C854C8"/>
    <w:rsid w:val="00C864FA"/>
    <w:rsid w:val="00C8720D"/>
    <w:rsid w:val="00C87AA4"/>
    <w:rsid w:val="00C91AF0"/>
    <w:rsid w:val="00C9234F"/>
    <w:rsid w:val="00C92394"/>
    <w:rsid w:val="00C92C12"/>
    <w:rsid w:val="00C93443"/>
    <w:rsid w:val="00C94B4B"/>
    <w:rsid w:val="00CA4273"/>
    <w:rsid w:val="00CA5E08"/>
    <w:rsid w:val="00CA79B5"/>
    <w:rsid w:val="00CB082D"/>
    <w:rsid w:val="00CB2357"/>
    <w:rsid w:val="00CB434F"/>
    <w:rsid w:val="00CB49BC"/>
    <w:rsid w:val="00CB4A65"/>
    <w:rsid w:val="00CB747B"/>
    <w:rsid w:val="00CC00A9"/>
    <w:rsid w:val="00CC23F6"/>
    <w:rsid w:val="00CC24CC"/>
    <w:rsid w:val="00CC2CE4"/>
    <w:rsid w:val="00CC307B"/>
    <w:rsid w:val="00CC3F73"/>
    <w:rsid w:val="00CC5B22"/>
    <w:rsid w:val="00CC5B72"/>
    <w:rsid w:val="00CC6C0B"/>
    <w:rsid w:val="00CD0766"/>
    <w:rsid w:val="00CD2294"/>
    <w:rsid w:val="00CD3105"/>
    <w:rsid w:val="00CD4F9B"/>
    <w:rsid w:val="00CE274E"/>
    <w:rsid w:val="00CE410A"/>
    <w:rsid w:val="00CE5BC0"/>
    <w:rsid w:val="00CF181E"/>
    <w:rsid w:val="00CF2690"/>
    <w:rsid w:val="00D00C1C"/>
    <w:rsid w:val="00D019FE"/>
    <w:rsid w:val="00D01A2B"/>
    <w:rsid w:val="00D038BD"/>
    <w:rsid w:val="00D04FAA"/>
    <w:rsid w:val="00D052C7"/>
    <w:rsid w:val="00D05DDF"/>
    <w:rsid w:val="00D120C5"/>
    <w:rsid w:val="00D12AD0"/>
    <w:rsid w:val="00D21155"/>
    <w:rsid w:val="00D2152B"/>
    <w:rsid w:val="00D22568"/>
    <w:rsid w:val="00D24E43"/>
    <w:rsid w:val="00D24EFD"/>
    <w:rsid w:val="00D25E80"/>
    <w:rsid w:val="00D264DF"/>
    <w:rsid w:val="00D30074"/>
    <w:rsid w:val="00D34E96"/>
    <w:rsid w:val="00D352F6"/>
    <w:rsid w:val="00D35BB3"/>
    <w:rsid w:val="00D4019B"/>
    <w:rsid w:val="00D46659"/>
    <w:rsid w:val="00D469F5"/>
    <w:rsid w:val="00D47322"/>
    <w:rsid w:val="00D50E50"/>
    <w:rsid w:val="00D56943"/>
    <w:rsid w:val="00D640C3"/>
    <w:rsid w:val="00D6426D"/>
    <w:rsid w:val="00D648D1"/>
    <w:rsid w:val="00D66787"/>
    <w:rsid w:val="00D67014"/>
    <w:rsid w:val="00D716AA"/>
    <w:rsid w:val="00D71830"/>
    <w:rsid w:val="00D72D4B"/>
    <w:rsid w:val="00D766E2"/>
    <w:rsid w:val="00D80175"/>
    <w:rsid w:val="00D82045"/>
    <w:rsid w:val="00D8324F"/>
    <w:rsid w:val="00D8437A"/>
    <w:rsid w:val="00D87241"/>
    <w:rsid w:val="00D87345"/>
    <w:rsid w:val="00D91CF5"/>
    <w:rsid w:val="00D952AA"/>
    <w:rsid w:val="00D976CD"/>
    <w:rsid w:val="00D97C77"/>
    <w:rsid w:val="00DA65FD"/>
    <w:rsid w:val="00DA726B"/>
    <w:rsid w:val="00DB1B9F"/>
    <w:rsid w:val="00DB2057"/>
    <w:rsid w:val="00DB640C"/>
    <w:rsid w:val="00DB6C1F"/>
    <w:rsid w:val="00DC13ED"/>
    <w:rsid w:val="00DC2156"/>
    <w:rsid w:val="00DC2A7A"/>
    <w:rsid w:val="00DC7A94"/>
    <w:rsid w:val="00DD37B9"/>
    <w:rsid w:val="00DD3F6D"/>
    <w:rsid w:val="00DD40DE"/>
    <w:rsid w:val="00DD5BF5"/>
    <w:rsid w:val="00DD6979"/>
    <w:rsid w:val="00DE026E"/>
    <w:rsid w:val="00DE1C04"/>
    <w:rsid w:val="00DE2173"/>
    <w:rsid w:val="00DE3FB4"/>
    <w:rsid w:val="00DE5B86"/>
    <w:rsid w:val="00DE5DD3"/>
    <w:rsid w:val="00DF3B1E"/>
    <w:rsid w:val="00DF56B6"/>
    <w:rsid w:val="00DF57FE"/>
    <w:rsid w:val="00DF7194"/>
    <w:rsid w:val="00E001EA"/>
    <w:rsid w:val="00E02E1D"/>
    <w:rsid w:val="00E03C78"/>
    <w:rsid w:val="00E066B7"/>
    <w:rsid w:val="00E06791"/>
    <w:rsid w:val="00E10C55"/>
    <w:rsid w:val="00E137C3"/>
    <w:rsid w:val="00E13C8E"/>
    <w:rsid w:val="00E1650E"/>
    <w:rsid w:val="00E16611"/>
    <w:rsid w:val="00E205D8"/>
    <w:rsid w:val="00E22299"/>
    <w:rsid w:val="00E22AB6"/>
    <w:rsid w:val="00E3223C"/>
    <w:rsid w:val="00E32F66"/>
    <w:rsid w:val="00E3515E"/>
    <w:rsid w:val="00E4106A"/>
    <w:rsid w:val="00E428A4"/>
    <w:rsid w:val="00E42E05"/>
    <w:rsid w:val="00E42E3F"/>
    <w:rsid w:val="00E43626"/>
    <w:rsid w:val="00E43BDB"/>
    <w:rsid w:val="00E47254"/>
    <w:rsid w:val="00E50214"/>
    <w:rsid w:val="00E50999"/>
    <w:rsid w:val="00E51289"/>
    <w:rsid w:val="00E51566"/>
    <w:rsid w:val="00E51E31"/>
    <w:rsid w:val="00E523AA"/>
    <w:rsid w:val="00E523D3"/>
    <w:rsid w:val="00E5353D"/>
    <w:rsid w:val="00E54143"/>
    <w:rsid w:val="00E629B0"/>
    <w:rsid w:val="00E629C2"/>
    <w:rsid w:val="00E6339F"/>
    <w:rsid w:val="00E63B15"/>
    <w:rsid w:val="00E6407B"/>
    <w:rsid w:val="00E64F05"/>
    <w:rsid w:val="00E6724A"/>
    <w:rsid w:val="00E67482"/>
    <w:rsid w:val="00E676AC"/>
    <w:rsid w:val="00E71966"/>
    <w:rsid w:val="00E739D3"/>
    <w:rsid w:val="00E7503E"/>
    <w:rsid w:val="00E75194"/>
    <w:rsid w:val="00E76345"/>
    <w:rsid w:val="00E7754C"/>
    <w:rsid w:val="00E80A49"/>
    <w:rsid w:val="00E850EA"/>
    <w:rsid w:val="00E857DE"/>
    <w:rsid w:val="00E85F02"/>
    <w:rsid w:val="00E863E4"/>
    <w:rsid w:val="00E903F3"/>
    <w:rsid w:val="00E91FDC"/>
    <w:rsid w:val="00E94002"/>
    <w:rsid w:val="00E9488F"/>
    <w:rsid w:val="00E94CFB"/>
    <w:rsid w:val="00E94E2B"/>
    <w:rsid w:val="00E9526F"/>
    <w:rsid w:val="00E96018"/>
    <w:rsid w:val="00E97934"/>
    <w:rsid w:val="00EA08BE"/>
    <w:rsid w:val="00EA4FD4"/>
    <w:rsid w:val="00EB05A8"/>
    <w:rsid w:val="00EB155B"/>
    <w:rsid w:val="00EB32DF"/>
    <w:rsid w:val="00EB3B69"/>
    <w:rsid w:val="00EB453C"/>
    <w:rsid w:val="00EC1D36"/>
    <w:rsid w:val="00EC3658"/>
    <w:rsid w:val="00EC3783"/>
    <w:rsid w:val="00EC3F72"/>
    <w:rsid w:val="00EC4AE2"/>
    <w:rsid w:val="00EC5FA5"/>
    <w:rsid w:val="00ED00C2"/>
    <w:rsid w:val="00ED11C5"/>
    <w:rsid w:val="00ED13D2"/>
    <w:rsid w:val="00ED2034"/>
    <w:rsid w:val="00ED2B6B"/>
    <w:rsid w:val="00ED69EA"/>
    <w:rsid w:val="00ED6D93"/>
    <w:rsid w:val="00EE0FA3"/>
    <w:rsid w:val="00EE1CC1"/>
    <w:rsid w:val="00EE3D8E"/>
    <w:rsid w:val="00EE4DAC"/>
    <w:rsid w:val="00EE65FC"/>
    <w:rsid w:val="00EE69CB"/>
    <w:rsid w:val="00EF0785"/>
    <w:rsid w:val="00EF352F"/>
    <w:rsid w:val="00EF7276"/>
    <w:rsid w:val="00F01A98"/>
    <w:rsid w:val="00F0360C"/>
    <w:rsid w:val="00F040F9"/>
    <w:rsid w:val="00F06FDA"/>
    <w:rsid w:val="00F10E2E"/>
    <w:rsid w:val="00F14DDC"/>
    <w:rsid w:val="00F1551E"/>
    <w:rsid w:val="00F1566D"/>
    <w:rsid w:val="00F17B79"/>
    <w:rsid w:val="00F24250"/>
    <w:rsid w:val="00F2591F"/>
    <w:rsid w:val="00F2646C"/>
    <w:rsid w:val="00F307EE"/>
    <w:rsid w:val="00F32226"/>
    <w:rsid w:val="00F35D0E"/>
    <w:rsid w:val="00F40076"/>
    <w:rsid w:val="00F40354"/>
    <w:rsid w:val="00F40436"/>
    <w:rsid w:val="00F40AE3"/>
    <w:rsid w:val="00F41A6C"/>
    <w:rsid w:val="00F44A0B"/>
    <w:rsid w:val="00F45240"/>
    <w:rsid w:val="00F52B42"/>
    <w:rsid w:val="00F545E6"/>
    <w:rsid w:val="00F54911"/>
    <w:rsid w:val="00F5607B"/>
    <w:rsid w:val="00F565AD"/>
    <w:rsid w:val="00F63C45"/>
    <w:rsid w:val="00F64E03"/>
    <w:rsid w:val="00F6717C"/>
    <w:rsid w:val="00F67930"/>
    <w:rsid w:val="00F70B79"/>
    <w:rsid w:val="00F71700"/>
    <w:rsid w:val="00F7303F"/>
    <w:rsid w:val="00F736B7"/>
    <w:rsid w:val="00F83881"/>
    <w:rsid w:val="00F86599"/>
    <w:rsid w:val="00F8784A"/>
    <w:rsid w:val="00F904DE"/>
    <w:rsid w:val="00F909FE"/>
    <w:rsid w:val="00F90CA3"/>
    <w:rsid w:val="00F92111"/>
    <w:rsid w:val="00F93087"/>
    <w:rsid w:val="00F93535"/>
    <w:rsid w:val="00F96460"/>
    <w:rsid w:val="00FA1534"/>
    <w:rsid w:val="00FA3153"/>
    <w:rsid w:val="00FA4582"/>
    <w:rsid w:val="00FA5A06"/>
    <w:rsid w:val="00FB1454"/>
    <w:rsid w:val="00FB1504"/>
    <w:rsid w:val="00FB260D"/>
    <w:rsid w:val="00FB3A04"/>
    <w:rsid w:val="00FB3BEB"/>
    <w:rsid w:val="00FC1155"/>
    <w:rsid w:val="00FC13A8"/>
    <w:rsid w:val="00FC296D"/>
    <w:rsid w:val="00FC31C0"/>
    <w:rsid w:val="00FC3B2E"/>
    <w:rsid w:val="00FC53FC"/>
    <w:rsid w:val="00FD0A4E"/>
    <w:rsid w:val="00FD1E2C"/>
    <w:rsid w:val="00FD45C7"/>
    <w:rsid w:val="00FD5632"/>
    <w:rsid w:val="00FD6E57"/>
    <w:rsid w:val="00FD74CC"/>
    <w:rsid w:val="00FE18DB"/>
    <w:rsid w:val="00FE1D0D"/>
    <w:rsid w:val="00FE5BFA"/>
    <w:rsid w:val="00FE749B"/>
    <w:rsid w:val="00FF3BC6"/>
    <w:rsid w:val="00FF529F"/>
    <w:rsid w:val="00FF7082"/>
    <w:rsid w:val="012E0762"/>
    <w:rsid w:val="01626374"/>
    <w:rsid w:val="0175658C"/>
    <w:rsid w:val="01FC290E"/>
    <w:rsid w:val="02164AA3"/>
    <w:rsid w:val="021A6C4F"/>
    <w:rsid w:val="021B04CD"/>
    <w:rsid w:val="02466BF8"/>
    <w:rsid w:val="02975CC9"/>
    <w:rsid w:val="029C3B08"/>
    <w:rsid w:val="02CB06F9"/>
    <w:rsid w:val="02CF2A1F"/>
    <w:rsid w:val="02F55960"/>
    <w:rsid w:val="034D6BB0"/>
    <w:rsid w:val="03847EFB"/>
    <w:rsid w:val="03882E57"/>
    <w:rsid w:val="041D6970"/>
    <w:rsid w:val="04C74740"/>
    <w:rsid w:val="05146ED2"/>
    <w:rsid w:val="052B18D9"/>
    <w:rsid w:val="05544226"/>
    <w:rsid w:val="0563529E"/>
    <w:rsid w:val="059406CC"/>
    <w:rsid w:val="05A607FA"/>
    <w:rsid w:val="05C0366A"/>
    <w:rsid w:val="05F477B7"/>
    <w:rsid w:val="06385784"/>
    <w:rsid w:val="063B259D"/>
    <w:rsid w:val="065B11C0"/>
    <w:rsid w:val="06782196"/>
    <w:rsid w:val="067A2563"/>
    <w:rsid w:val="06E17D3B"/>
    <w:rsid w:val="06E96BF0"/>
    <w:rsid w:val="073E1E56"/>
    <w:rsid w:val="0743769E"/>
    <w:rsid w:val="07990616"/>
    <w:rsid w:val="07A50C80"/>
    <w:rsid w:val="07A72D26"/>
    <w:rsid w:val="07C5140B"/>
    <w:rsid w:val="07CF4038"/>
    <w:rsid w:val="07E772B6"/>
    <w:rsid w:val="0824153B"/>
    <w:rsid w:val="0833620A"/>
    <w:rsid w:val="08464BF2"/>
    <w:rsid w:val="08B33959"/>
    <w:rsid w:val="08B34FE0"/>
    <w:rsid w:val="08C43471"/>
    <w:rsid w:val="08EA71FD"/>
    <w:rsid w:val="090772DC"/>
    <w:rsid w:val="09D74BCD"/>
    <w:rsid w:val="09E83B23"/>
    <w:rsid w:val="0A3129D3"/>
    <w:rsid w:val="0A326B00"/>
    <w:rsid w:val="0A3F0CAF"/>
    <w:rsid w:val="0A4A10A6"/>
    <w:rsid w:val="0A790A2A"/>
    <w:rsid w:val="0A944F0D"/>
    <w:rsid w:val="0AA42F62"/>
    <w:rsid w:val="0AC96687"/>
    <w:rsid w:val="0AE31772"/>
    <w:rsid w:val="0AEE5286"/>
    <w:rsid w:val="0B28053B"/>
    <w:rsid w:val="0B6F782F"/>
    <w:rsid w:val="0B995089"/>
    <w:rsid w:val="0BBC2F75"/>
    <w:rsid w:val="0BE40111"/>
    <w:rsid w:val="0BF262A2"/>
    <w:rsid w:val="0C59767E"/>
    <w:rsid w:val="0C956483"/>
    <w:rsid w:val="0C9807BE"/>
    <w:rsid w:val="0CCC4FEA"/>
    <w:rsid w:val="0D0E5602"/>
    <w:rsid w:val="0D176414"/>
    <w:rsid w:val="0DC5380A"/>
    <w:rsid w:val="0DE749EF"/>
    <w:rsid w:val="0E5A03D3"/>
    <w:rsid w:val="0E651252"/>
    <w:rsid w:val="0E8A0CB9"/>
    <w:rsid w:val="0ED4462A"/>
    <w:rsid w:val="0EED4651"/>
    <w:rsid w:val="0F380715"/>
    <w:rsid w:val="0F517A28"/>
    <w:rsid w:val="0F6C18C4"/>
    <w:rsid w:val="0F8D4B4A"/>
    <w:rsid w:val="0FE60171"/>
    <w:rsid w:val="0FF43131"/>
    <w:rsid w:val="0FFB57D8"/>
    <w:rsid w:val="10525806"/>
    <w:rsid w:val="10975702"/>
    <w:rsid w:val="10C57798"/>
    <w:rsid w:val="10C9499A"/>
    <w:rsid w:val="10DC6729"/>
    <w:rsid w:val="10EC29A0"/>
    <w:rsid w:val="11146E66"/>
    <w:rsid w:val="115C0473"/>
    <w:rsid w:val="11702C97"/>
    <w:rsid w:val="11A404CB"/>
    <w:rsid w:val="129144C2"/>
    <w:rsid w:val="12AB1A59"/>
    <w:rsid w:val="12DD66C7"/>
    <w:rsid w:val="12EB2FD4"/>
    <w:rsid w:val="13531FC1"/>
    <w:rsid w:val="13881127"/>
    <w:rsid w:val="138E4DA7"/>
    <w:rsid w:val="13912AE9"/>
    <w:rsid w:val="140028FF"/>
    <w:rsid w:val="1402730E"/>
    <w:rsid w:val="14256557"/>
    <w:rsid w:val="142660CC"/>
    <w:rsid w:val="146D1C5D"/>
    <w:rsid w:val="14802ECF"/>
    <w:rsid w:val="14893727"/>
    <w:rsid w:val="14E264DB"/>
    <w:rsid w:val="14FE7A54"/>
    <w:rsid w:val="158F3058"/>
    <w:rsid w:val="15A07A16"/>
    <w:rsid w:val="15A85EC8"/>
    <w:rsid w:val="15C71D60"/>
    <w:rsid w:val="16376A10"/>
    <w:rsid w:val="164005C6"/>
    <w:rsid w:val="16407305"/>
    <w:rsid w:val="1653052A"/>
    <w:rsid w:val="165779D0"/>
    <w:rsid w:val="167D2C2C"/>
    <w:rsid w:val="168B3820"/>
    <w:rsid w:val="16C05047"/>
    <w:rsid w:val="17B42A74"/>
    <w:rsid w:val="17C3078E"/>
    <w:rsid w:val="17EB35BA"/>
    <w:rsid w:val="181F6590"/>
    <w:rsid w:val="1870795C"/>
    <w:rsid w:val="189D2444"/>
    <w:rsid w:val="18BB4682"/>
    <w:rsid w:val="192743A9"/>
    <w:rsid w:val="195C1EDE"/>
    <w:rsid w:val="198637F4"/>
    <w:rsid w:val="19B23BDB"/>
    <w:rsid w:val="19B7492C"/>
    <w:rsid w:val="19C07E73"/>
    <w:rsid w:val="19CC15D0"/>
    <w:rsid w:val="19F85670"/>
    <w:rsid w:val="1A667F4C"/>
    <w:rsid w:val="1A670E6E"/>
    <w:rsid w:val="1A7F24A1"/>
    <w:rsid w:val="1A88290A"/>
    <w:rsid w:val="1AC11F06"/>
    <w:rsid w:val="1ACB55E4"/>
    <w:rsid w:val="1AE51725"/>
    <w:rsid w:val="1AF31A23"/>
    <w:rsid w:val="1B38198B"/>
    <w:rsid w:val="1BF92CA9"/>
    <w:rsid w:val="1C1D7807"/>
    <w:rsid w:val="1C447428"/>
    <w:rsid w:val="1C6778A4"/>
    <w:rsid w:val="1C6B42A6"/>
    <w:rsid w:val="1C9A77A6"/>
    <w:rsid w:val="1CB304DE"/>
    <w:rsid w:val="1CD0128B"/>
    <w:rsid w:val="1D0600A4"/>
    <w:rsid w:val="1D064F3E"/>
    <w:rsid w:val="1D15028C"/>
    <w:rsid w:val="1D5036D3"/>
    <w:rsid w:val="1D561530"/>
    <w:rsid w:val="1D571C33"/>
    <w:rsid w:val="1D5801D4"/>
    <w:rsid w:val="1D5A0D1E"/>
    <w:rsid w:val="1D7112EF"/>
    <w:rsid w:val="1D880A05"/>
    <w:rsid w:val="1D9236E6"/>
    <w:rsid w:val="1DFF1483"/>
    <w:rsid w:val="1E3B36DD"/>
    <w:rsid w:val="1E751E6B"/>
    <w:rsid w:val="1E932000"/>
    <w:rsid w:val="1EA4227C"/>
    <w:rsid w:val="1EAD4C00"/>
    <w:rsid w:val="1EE50EBF"/>
    <w:rsid w:val="1F2428AA"/>
    <w:rsid w:val="1F296BC7"/>
    <w:rsid w:val="1F3C1B5B"/>
    <w:rsid w:val="1F3E4740"/>
    <w:rsid w:val="1F47355B"/>
    <w:rsid w:val="1F55307A"/>
    <w:rsid w:val="1F6A2B6C"/>
    <w:rsid w:val="1F965B7C"/>
    <w:rsid w:val="1FE51A9A"/>
    <w:rsid w:val="1FF0769D"/>
    <w:rsid w:val="20245CB6"/>
    <w:rsid w:val="202D6E78"/>
    <w:rsid w:val="2057289E"/>
    <w:rsid w:val="208C46E1"/>
    <w:rsid w:val="20D63433"/>
    <w:rsid w:val="20F32178"/>
    <w:rsid w:val="20F43A76"/>
    <w:rsid w:val="210862B4"/>
    <w:rsid w:val="2143124E"/>
    <w:rsid w:val="21501F75"/>
    <w:rsid w:val="216A43D5"/>
    <w:rsid w:val="216B6728"/>
    <w:rsid w:val="222614A8"/>
    <w:rsid w:val="22E62C3A"/>
    <w:rsid w:val="22E6577D"/>
    <w:rsid w:val="230C462D"/>
    <w:rsid w:val="23607DE2"/>
    <w:rsid w:val="23FE47A6"/>
    <w:rsid w:val="24342C84"/>
    <w:rsid w:val="243C16BF"/>
    <w:rsid w:val="25023016"/>
    <w:rsid w:val="25076767"/>
    <w:rsid w:val="251001B8"/>
    <w:rsid w:val="25591A7F"/>
    <w:rsid w:val="259F28AE"/>
    <w:rsid w:val="264C3F6C"/>
    <w:rsid w:val="267B565F"/>
    <w:rsid w:val="26976211"/>
    <w:rsid w:val="2699409E"/>
    <w:rsid w:val="26A82602"/>
    <w:rsid w:val="26AE3704"/>
    <w:rsid w:val="26BF75F8"/>
    <w:rsid w:val="26D02186"/>
    <w:rsid w:val="26DB1A50"/>
    <w:rsid w:val="26DB3441"/>
    <w:rsid w:val="271F5872"/>
    <w:rsid w:val="2763434C"/>
    <w:rsid w:val="277934CE"/>
    <w:rsid w:val="277C78CF"/>
    <w:rsid w:val="27B01329"/>
    <w:rsid w:val="27EB0EC7"/>
    <w:rsid w:val="283C5FD5"/>
    <w:rsid w:val="286333C7"/>
    <w:rsid w:val="287D36CF"/>
    <w:rsid w:val="288D6E96"/>
    <w:rsid w:val="28C57065"/>
    <w:rsid w:val="28CB21A2"/>
    <w:rsid w:val="28E13773"/>
    <w:rsid w:val="291C22BF"/>
    <w:rsid w:val="294324E3"/>
    <w:rsid w:val="2987431B"/>
    <w:rsid w:val="29891E41"/>
    <w:rsid w:val="299E1CB4"/>
    <w:rsid w:val="29D831D3"/>
    <w:rsid w:val="2A225BAB"/>
    <w:rsid w:val="2A503E49"/>
    <w:rsid w:val="2AC04004"/>
    <w:rsid w:val="2AD215C5"/>
    <w:rsid w:val="2AE142C7"/>
    <w:rsid w:val="2B177920"/>
    <w:rsid w:val="2C087541"/>
    <w:rsid w:val="2C374C20"/>
    <w:rsid w:val="2C610E53"/>
    <w:rsid w:val="2C6703F1"/>
    <w:rsid w:val="2C726454"/>
    <w:rsid w:val="2C7D1033"/>
    <w:rsid w:val="2D0B5263"/>
    <w:rsid w:val="2D705672"/>
    <w:rsid w:val="2D7A3C56"/>
    <w:rsid w:val="2DAE2509"/>
    <w:rsid w:val="2DD3763A"/>
    <w:rsid w:val="2DFC255E"/>
    <w:rsid w:val="2DFD5EBC"/>
    <w:rsid w:val="2E11034D"/>
    <w:rsid w:val="2E69123B"/>
    <w:rsid w:val="2E70574E"/>
    <w:rsid w:val="2E8A1B51"/>
    <w:rsid w:val="2EAB562A"/>
    <w:rsid w:val="2EBD2297"/>
    <w:rsid w:val="2ED23ED7"/>
    <w:rsid w:val="2F874086"/>
    <w:rsid w:val="2FB93B26"/>
    <w:rsid w:val="2FC03056"/>
    <w:rsid w:val="2FCF4325"/>
    <w:rsid w:val="2FD1327C"/>
    <w:rsid w:val="2FD951A4"/>
    <w:rsid w:val="30013C82"/>
    <w:rsid w:val="302E39CE"/>
    <w:rsid w:val="30472681"/>
    <w:rsid w:val="30562C99"/>
    <w:rsid w:val="305A7E44"/>
    <w:rsid w:val="30654FD0"/>
    <w:rsid w:val="309317F7"/>
    <w:rsid w:val="30A809F3"/>
    <w:rsid w:val="31377344"/>
    <w:rsid w:val="31501DEB"/>
    <w:rsid w:val="315E0057"/>
    <w:rsid w:val="31811153"/>
    <w:rsid w:val="320504D2"/>
    <w:rsid w:val="320878FA"/>
    <w:rsid w:val="32123C90"/>
    <w:rsid w:val="32131E5F"/>
    <w:rsid w:val="322E3BC4"/>
    <w:rsid w:val="323A1719"/>
    <w:rsid w:val="3255145A"/>
    <w:rsid w:val="32654666"/>
    <w:rsid w:val="329F5684"/>
    <w:rsid w:val="32A0784F"/>
    <w:rsid w:val="32A45EAA"/>
    <w:rsid w:val="32AE598A"/>
    <w:rsid w:val="330A7DB8"/>
    <w:rsid w:val="33273B96"/>
    <w:rsid w:val="336109C1"/>
    <w:rsid w:val="33C46F2A"/>
    <w:rsid w:val="33EE4838"/>
    <w:rsid w:val="341744ED"/>
    <w:rsid w:val="341D4CDF"/>
    <w:rsid w:val="342049AE"/>
    <w:rsid w:val="342879A4"/>
    <w:rsid w:val="342C3CC6"/>
    <w:rsid w:val="344202C5"/>
    <w:rsid w:val="345D7966"/>
    <w:rsid w:val="34C955FA"/>
    <w:rsid w:val="34D43266"/>
    <w:rsid w:val="35142AAA"/>
    <w:rsid w:val="3535277C"/>
    <w:rsid w:val="35354280"/>
    <w:rsid w:val="35471AED"/>
    <w:rsid w:val="35476187"/>
    <w:rsid w:val="354C1E11"/>
    <w:rsid w:val="354E557C"/>
    <w:rsid w:val="35700359"/>
    <w:rsid w:val="35E708CF"/>
    <w:rsid w:val="361F75F1"/>
    <w:rsid w:val="362E26F6"/>
    <w:rsid w:val="363E4EDB"/>
    <w:rsid w:val="36407D2B"/>
    <w:rsid w:val="3642008C"/>
    <w:rsid w:val="36D62057"/>
    <w:rsid w:val="372B09DB"/>
    <w:rsid w:val="37426F96"/>
    <w:rsid w:val="37736BC5"/>
    <w:rsid w:val="38025E2A"/>
    <w:rsid w:val="3814146F"/>
    <w:rsid w:val="381738C2"/>
    <w:rsid w:val="38397128"/>
    <w:rsid w:val="3855295A"/>
    <w:rsid w:val="3894435E"/>
    <w:rsid w:val="38983E4E"/>
    <w:rsid w:val="3931104F"/>
    <w:rsid w:val="39666B02"/>
    <w:rsid w:val="39AB3A35"/>
    <w:rsid w:val="3A1219DE"/>
    <w:rsid w:val="3A153C47"/>
    <w:rsid w:val="3A573895"/>
    <w:rsid w:val="3A680DD0"/>
    <w:rsid w:val="3A6C6DF6"/>
    <w:rsid w:val="3A7F4CDA"/>
    <w:rsid w:val="3A90686B"/>
    <w:rsid w:val="3A9F3029"/>
    <w:rsid w:val="3AAA0589"/>
    <w:rsid w:val="3AF35C04"/>
    <w:rsid w:val="3AF6027A"/>
    <w:rsid w:val="3B007EDC"/>
    <w:rsid w:val="3B36794F"/>
    <w:rsid w:val="3B48477A"/>
    <w:rsid w:val="3B671FD2"/>
    <w:rsid w:val="3B933E77"/>
    <w:rsid w:val="3BAA7AA0"/>
    <w:rsid w:val="3BBA7728"/>
    <w:rsid w:val="3BD645B3"/>
    <w:rsid w:val="3BDB2D32"/>
    <w:rsid w:val="3BDC7F8C"/>
    <w:rsid w:val="3BDE11D1"/>
    <w:rsid w:val="3C276DDC"/>
    <w:rsid w:val="3C3D4E3E"/>
    <w:rsid w:val="3C7A3AB9"/>
    <w:rsid w:val="3D073351"/>
    <w:rsid w:val="3D0F11C1"/>
    <w:rsid w:val="3D741898"/>
    <w:rsid w:val="3DB01D5C"/>
    <w:rsid w:val="3DD3580C"/>
    <w:rsid w:val="3E09134A"/>
    <w:rsid w:val="3E6D13D8"/>
    <w:rsid w:val="3F0F0AE4"/>
    <w:rsid w:val="3F823162"/>
    <w:rsid w:val="3FA31841"/>
    <w:rsid w:val="3FDD2A8F"/>
    <w:rsid w:val="40385959"/>
    <w:rsid w:val="40530676"/>
    <w:rsid w:val="407B1AFB"/>
    <w:rsid w:val="40D07EFD"/>
    <w:rsid w:val="410A5959"/>
    <w:rsid w:val="41172790"/>
    <w:rsid w:val="414F33F5"/>
    <w:rsid w:val="41727207"/>
    <w:rsid w:val="41A2189A"/>
    <w:rsid w:val="41AE6491"/>
    <w:rsid w:val="41C745EA"/>
    <w:rsid w:val="41EE64FE"/>
    <w:rsid w:val="41FB71FC"/>
    <w:rsid w:val="421E7B0E"/>
    <w:rsid w:val="42394C8E"/>
    <w:rsid w:val="425C5EED"/>
    <w:rsid w:val="42786A9F"/>
    <w:rsid w:val="42790F59"/>
    <w:rsid w:val="42B5384F"/>
    <w:rsid w:val="42DE1098"/>
    <w:rsid w:val="42E934F8"/>
    <w:rsid w:val="42ED123B"/>
    <w:rsid w:val="430345BA"/>
    <w:rsid w:val="43094B53"/>
    <w:rsid w:val="430A1DED"/>
    <w:rsid w:val="438C45B0"/>
    <w:rsid w:val="43B804E0"/>
    <w:rsid w:val="43EA25A2"/>
    <w:rsid w:val="44047301"/>
    <w:rsid w:val="440A5346"/>
    <w:rsid w:val="44136A7F"/>
    <w:rsid w:val="442C194F"/>
    <w:rsid w:val="443228E9"/>
    <w:rsid w:val="443B7CB5"/>
    <w:rsid w:val="445552E9"/>
    <w:rsid w:val="44B21462"/>
    <w:rsid w:val="44C056C5"/>
    <w:rsid w:val="45025D73"/>
    <w:rsid w:val="450A17A0"/>
    <w:rsid w:val="45356EC9"/>
    <w:rsid w:val="45957997"/>
    <w:rsid w:val="46003033"/>
    <w:rsid w:val="46434C66"/>
    <w:rsid w:val="466616D3"/>
    <w:rsid w:val="46B745EF"/>
    <w:rsid w:val="46E2098A"/>
    <w:rsid w:val="46E55F50"/>
    <w:rsid w:val="47BC6A24"/>
    <w:rsid w:val="47D66741"/>
    <w:rsid w:val="486971F4"/>
    <w:rsid w:val="48CB00A1"/>
    <w:rsid w:val="48F03833"/>
    <w:rsid w:val="4907292A"/>
    <w:rsid w:val="491A6F1F"/>
    <w:rsid w:val="491A705F"/>
    <w:rsid w:val="49325B92"/>
    <w:rsid w:val="498502F1"/>
    <w:rsid w:val="49CC0887"/>
    <w:rsid w:val="49DF2815"/>
    <w:rsid w:val="49F72ED4"/>
    <w:rsid w:val="4A8A3813"/>
    <w:rsid w:val="4A934476"/>
    <w:rsid w:val="4B1403EE"/>
    <w:rsid w:val="4B1D199C"/>
    <w:rsid w:val="4B2535C5"/>
    <w:rsid w:val="4B4614C9"/>
    <w:rsid w:val="4BAA19EA"/>
    <w:rsid w:val="4BEA4569"/>
    <w:rsid w:val="4C192899"/>
    <w:rsid w:val="4C1C0AF3"/>
    <w:rsid w:val="4C27383E"/>
    <w:rsid w:val="4C516396"/>
    <w:rsid w:val="4C6007C5"/>
    <w:rsid w:val="4CA822ED"/>
    <w:rsid w:val="4CD6134A"/>
    <w:rsid w:val="4CDE587E"/>
    <w:rsid w:val="4D191CF7"/>
    <w:rsid w:val="4DAB6299"/>
    <w:rsid w:val="4DB14896"/>
    <w:rsid w:val="4DBA61BD"/>
    <w:rsid w:val="4DD0778F"/>
    <w:rsid w:val="4DDB098B"/>
    <w:rsid w:val="4E497DF5"/>
    <w:rsid w:val="4E725FAD"/>
    <w:rsid w:val="4E89713C"/>
    <w:rsid w:val="4E905A63"/>
    <w:rsid w:val="4F4E63B8"/>
    <w:rsid w:val="4F633D97"/>
    <w:rsid w:val="4F90367A"/>
    <w:rsid w:val="4F9743C4"/>
    <w:rsid w:val="4FA12ADE"/>
    <w:rsid w:val="4FDE4134"/>
    <w:rsid w:val="5003386C"/>
    <w:rsid w:val="501D548A"/>
    <w:rsid w:val="50250051"/>
    <w:rsid w:val="508605D9"/>
    <w:rsid w:val="509B5ED9"/>
    <w:rsid w:val="50F05098"/>
    <w:rsid w:val="50F13BB1"/>
    <w:rsid w:val="50F70FCF"/>
    <w:rsid w:val="51937451"/>
    <w:rsid w:val="519A07FB"/>
    <w:rsid w:val="51A75942"/>
    <w:rsid w:val="51E15C5A"/>
    <w:rsid w:val="52145806"/>
    <w:rsid w:val="52171E30"/>
    <w:rsid w:val="523E560F"/>
    <w:rsid w:val="52432C25"/>
    <w:rsid w:val="52717C3F"/>
    <w:rsid w:val="53760C7E"/>
    <w:rsid w:val="53B71393"/>
    <w:rsid w:val="53C945FB"/>
    <w:rsid w:val="54273E81"/>
    <w:rsid w:val="5428356D"/>
    <w:rsid w:val="54333971"/>
    <w:rsid w:val="54392198"/>
    <w:rsid w:val="54477C90"/>
    <w:rsid w:val="547A0454"/>
    <w:rsid w:val="54924B88"/>
    <w:rsid w:val="54AF45A2"/>
    <w:rsid w:val="54D27AA0"/>
    <w:rsid w:val="54D57AF7"/>
    <w:rsid w:val="54EF0E42"/>
    <w:rsid w:val="550C0D66"/>
    <w:rsid w:val="554029B4"/>
    <w:rsid w:val="555810DC"/>
    <w:rsid w:val="55AE1778"/>
    <w:rsid w:val="55F743AA"/>
    <w:rsid w:val="561F6ACD"/>
    <w:rsid w:val="566D3FD2"/>
    <w:rsid w:val="56F13A35"/>
    <w:rsid w:val="56F227A2"/>
    <w:rsid w:val="56FF58CA"/>
    <w:rsid w:val="57112F61"/>
    <w:rsid w:val="574F4D3C"/>
    <w:rsid w:val="5790592E"/>
    <w:rsid w:val="5794004E"/>
    <w:rsid w:val="58DD285C"/>
    <w:rsid w:val="58E0461F"/>
    <w:rsid w:val="594D0780"/>
    <w:rsid w:val="594E437D"/>
    <w:rsid w:val="59875AA9"/>
    <w:rsid w:val="59F34F31"/>
    <w:rsid w:val="5A075C5D"/>
    <w:rsid w:val="5A3B477C"/>
    <w:rsid w:val="5A4A2677"/>
    <w:rsid w:val="5A563900"/>
    <w:rsid w:val="5A713115"/>
    <w:rsid w:val="5AA021EA"/>
    <w:rsid w:val="5AB3021C"/>
    <w:rsid w:val="5AB51DED"/>
    <w:rsid w:val="5AB83A84"/>
    <w:rsid w:val="5AE67BE6"/>
    <w:rsid w:val="5B1213E7"/>
    <w:rsid w:val="5B1C2265"/>
    <w:rsid w:val="5B292BD2"/>
    <w:rsid w:val="5B727E44"/>
    <w:rsid w:val="5BC8419B"/>
    <w:rsid w:val="5BCC5A39"/>
    <w:rsid w:val="5BDF612D"/>
    <w:rsid w:val="5C4D3844"/>
    <w:rsid w:val="5C531C3C"/>
    <w:rsid w:val="5CD240E6"/>
    <w:rsid w:val="5D2613BD"/>
    <w:rsid w:val="5D2676FF"/>
    <w:rsid w:val="5D4019D1"/>
    <w:rsid w:val="5D5932FD"/>
    <w:rsid w:val="5DEB2C03"/>
    <w:rsid w:val="5DF07947"/>
    <w:rsid w:val="5E262101"/>
    <w:rsid w:val="5EA66A16"/>
    <w:rsid w:val="5F175599"/>
    <w:rsid w:val="5F327661"/>
    <w:rsid w:val="5F3F0CC7"/>
    <w:rsid w:val="5F6A3D1E"/>
    <w:rsid w:val="5F9304B0"/>
    <w:rsid w:val="5FAB1E0A"/>
    <w:rsid w:val="5FC20162"/>
    <w:rsid w:val="5FCD7E8B"/>
    <w:rsid w:val="5FDE3948"/>
    <w:rsid w:val="600971B1"/>
    <w:rsid w:val="60427088"/>
    <w:rsid w:val="604E0D70"/>
    <w:rsid w:val="60665673"/>
    <w:rsid w:val="60A36A93"/>
    <w:rsid w:val="60E86BDC"/>
    <w:rsid w:val="61083DD7"/>
    <w:rsid w:val="611B40F0"/>
    <w:rsid w:val="611D7F37"/>
    <w:rsid w:val="612C0BA8"/>
    <w:rsid w:val="612C182B"/>
    <w:rsid w:val="61350A99"/>
    <w:rsid w:val="61896C5F"/>
    <w:rsid w:val="618A6458"/>
    <w:rsid w:val="61B96524"/>
    <w:rsid w:val="621F77EB"/>
    <w:rsid w:val="62BB5F31"/>
    <w:rsid w:val="6300250C"/>
    <w:rsid w:val="63727E5F"/>
    <w:rsid w:val="63927A28"/>
    <w:rsid w:val="63B20856"/>
    <w:rsid w:val="63EF49BB"/>
    <w:rsid w:val="63F25405"/>
    <w:rsid w:val="64096D82"/>
    <w:rsid w:val="6453793B"/>
    <w:rsid w:val="646D58E0"/>
    <w:rsid w:val="64760C38"/>
    <w:rsid w:val="6489003B"/>
    <w:rsid w:val="64D578CD"/>
    <w:rsid w:val="64E65EA4"/>
    <w:rsid w:val="65037FF2"/>
    <w:rsid w:val="650A5824"/>
    <w:rsid w:val="658729D1"/>
    <w:rsid w:val="65AE65BE"/>
    <w:rsid w:val="65E80907"/>
    <w:rsid w:val="6615324D"/>
    <w:rsid w:val="661C580F"/>
    <w:rsid w:val="665151C5"/>
    <w:rsid w:val="66551F2A"/>
    <w:rsid w:val="667D2CFF"/>
    <w:rsid w:val="66AE4417"/>
    <w:rsid w:val="66B47905"/>
    <w:rsid w:val="66EC3434"/>
    <w:rsid w:val="672F31ED"/>
    <w:rsid w:val="67713512"/>
    <w:rsid w:val="67BD1FF0"/>
    <w:rsid w:val="67C25F42"/>
    <w:rsid w:val="67C70996"/>
    <w:rsid w:val="67F15358"/>
    <w:rsid w:val="683935C5"/>
    <w:rsid w:val="68896A60"/>
    <w:rsid w:val="688F4618"/>
    <w:rsid w:val="68C76282"/>
    <w:rsid w:val="68ED34F2"/>
    <w:rsid w:val="69FB6C48"/>
    <w:rsid w:val="6A3749C6"/>
    <w:rsid w:val="6A947FA1"/>
    <w:rsid w:val="6ABB364B"/>
    <w:rsid w:val="6AC56475"/>
    <w:rsid w:val="6AE54422"/>
    <w:rsid w:val="6AEE797A"/>
    <w:rsid w:val="6B2B6AE0"/>
    <w:rsid w:val="6B680BAF"/>
    <w:rsid w:val="6B825FDC"/>
    <w:rsid w:val="6B9B0F84"/>
    <w:rsid w:val="6BBB50D5"/>
    <w:rsid w:val="6C4B5D4D"/>
    <w:rsid w:val="6C4E249B"/>
    <w:rsid w:val="6CAC6281"/>
    <w:rsid w:val="6CFE17CB"/>
    <w:rsid w:val="6D6B018C"/>
    <w:rsid w:val="6D810075"/>
    <w:rsid w:val="6D9830AC"/>
    <w:rsid w:val="6D99465B"/>
    <w:rsid w:val="6DB31B27"/>
    <w:rsid w:val="6DD8306F"/>
    <w:rsid w:val="6DFB3FB2"/>
    <w:rsid w:val="6E3B07FD"/>
    <w:rsid w:val="6E3B60EF"/>
    <w:rsid w:val="6E495A0D"/>
    <w:rsid w:val="6E970AB9"/>
    <w:rsid w:val="6EA152D5"/>
    <w:rsid w:val="6EA350FB"/>
    <w:rsid w:val="6ECE06F6"/>
    <w:rsid w:val="6F084B83"/>
    <w:rsid w:val="6F0E07F9"/>
    <w:rsid w:val="6F5A2F04"/>
    <w:rsid w:val="6F7C7252"/>
    <w:rsid w:val="6F802595"/>
    <w:rsid w:val="6F995618"/>
    <w:rsid w:val="6FA32AFD"/>
    <w:rsid w:val="6FBC4573"/>
    <w:rsid w:val="6FD74555"/>
    <w:rsid w:val="6FEE196D"/>
    <w:rsid w:val="705C7381"/>
    <w:rsid w:val="70691DC8"/>
    <w:rsid w:val="70B20A00"/>
    <w:rsid w:val="70C26FB3"/>
    <w:rsid w:val="70DF1913"/>
    <w:rsid w:val="71072C18"/>
    <w:rsid w:val="71461992"/>
    <w:rsid w:val="71536AB4"/>
    <w:rsid w:val="716E0C2D"/>
    <w:rsid w:val="717C1858"/>
    <w:rsid w:val="71917A25"/>
    <w:rsid w:val="71BE3C1E"/>
    <w:rsid w:val="72031631"/>
    <w:rsid w:val="722D38AF"/>
    <w:rsid w:val="724A4E33"/>
    <w:rsid w:val="726E0FA5"/>
    <w:rsid w:val="728C6382"/>
    <w:rsid w:val="72B549B1"/>
    <w:rsid w:val="72D94F8E"/>
    <w:rsid w:val="73056C60"/>
    <w:rsid w:val="733608AB"/>
    <w:rsid w:val="735F328E"/>
    <w:rsid w:val="737F735F"/>
    <w:rsid w:val="73904CCD"/>
    <w:rsid w:val="73AF514C"/>
    <w:rsid w:val="74381A66"/>
    <w:rsid w:val="74626AE3"/>
    <w:rsid w:val="748B700A"/>
    <w:rsid w:val="74CF68BC"/>
    <w:rsid w:val="74DC4AE7"/>
    <w:rsid w:val="74F20D8C"/>
    <w:rsid w:val="75126594"/>
    <w:rsid w:val="75492F63"/>
    <w:rsid w:val="756845CD"/>
    <w:rsid w:val="75895FC9"/>
    <w:rsid w:val="7591430D"/>
    <w:rsid w:val="759F0839"/>
    <w:rsid w:val="75CB690A"/>
    <w:rsid w:val="7611596B"/>
    <w:rsid w:val="762545B5"/>
    <w:rsid w:val="7682052C"/>
    <w:rsid w:val="76834336"/>
    <w:rsid w:val="76A21419"/>
    <w:rsid w:val="76C4266E"/>
    <w:rsid w:val="76DC549F"/>
    <w:rsid w:val="775C0430"/>
    <w:rsid w:val="776754A6"/>
    <w:rsid w:val="78443C7C"/>
    <w:rsid w:val="78D01BFD"/>
    <w:rsid w:val="78D06968"/>
    <w:rsid w:val="78DF66FC"/>
    <w:rsid w:val="78E615EA"/>
    <w:rsid w:val="78FB12B4"/>
    <w:rsid w:val="78FE3EFB"/>
    <w:rsid w:val="792720A9"/>
    <w:rsid w:val="793424A5"/>
    <w:rsid w:val="79394CEB"/>
    <w:rsid w:val="798474FC"/>
    <w:rsid w:val="799618A5"/>
    <w:rsid w:val="799A7EFC"/>
    <w:rsid w:val="79C43D9C"/>
    <w:rsid w:val="79DC7338"/>
    <w:rsid w:val="79EF2C25"/>
    <w:rsid w:val="7A6B66F1"/>
    <w:rsid w:val="7A845D83"/>
    <w:rsid w:val="7AAB394B"/>
    <w:rsid w:val="7AEB3685"/>
    <w:rsid w:val="7B8703D3"/>
    <w:rsid w:val="7BC03CE3"/>
    <w:rsid w:val="7BED36C5"/>
    <w:rsid w:val="7C15268D"/>
    <w:rsid w:val="7C4372B2"/>
    <w:rsid w:val="7C715447"/>
    <w:rsid w:val="7C8E01D2"/>
    <w:rsid w:val="7D3A2B3F"/>
    <w:rsid w:val="7D9B4A19"/>
    <w:rsid w:val="7DAB7649"/>
    <w:rsid w:val="7DC54411"/>
    <w:rsid w:val="7DF63CAB"/>
    <w:rsid w:val="7E0D07A6"/>
    <w:rsid w:val="7E8A7362"/>
    <w:rsid w:val="7EFC4CB5"/>
    <w:rsid w:val="7F08297D"/>
    <w:rsid w:val="7F092441"/>
    <w:rsid w:val="7F3C0D77"/>
    <w:rsid w:val="7F3C6061"/>
    <w:rsid w:val="7F7D2A23"/>
    <w:rsid w:val="7FAA3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autoRedefine/>
    <w:qFormat/>
    <w:uiPriority w:val="0"/>
    <w:pPr>
      <w:keepNext/>
      <w:keepLines/>
      <w:numPr>
        <w:ilvl w:val="0"/>
        <w:numId w:val="1"/>
      </w:numPr>
      <w:snapToGrid w:val="0"/>
      <w:spacing w:line="400" w:lineRule="atLeast"/>
      <w:outlineLvl w:val="0"/>
    </w:pPr>
    <w:rPr>
      <w:rFonts w:ascii="宋体" w:eastAsia="黑体"/>
      <w:kern w:val="28"/>
      <w:sz w:val="28"/>
      <w:szCs w:val="20"/>
    </w:rPr>
  </w:style>
  <w:style w:type="paragraph" w:styleId="3">
    <w:name w:val="heading 2"/>
    <w:basedOn w:val="1"/>
    <w:next w:val="1"/>
    <w:link w:val="78"/>
    <w:autoRedefine/>
    <w:qFormat/>
    <w:uiPriority w:val="0"/>
    <w:pPr>
      <w:numPr>
        <w:ilvl w:val="1"/>
        <w:numId w:val="1"/>
      </w:numPr>
      <w:tabs>
        <w:tab w:val="left" w:pos="425"/>
      </w:tabs>
      <w:snapToGrid w:val="0"/>
      <w:spacing w:line="360" w:lineRule="auto"/>
      <w:outlineLvl w:val="1"/>
    </w:pPr>
    <w:rPr>
      <w:rFonts w:ascii="宋体"/>
      <w:sz w:val="28"/>
      <w:szCs w:val="20"/>
    </w:rPr>
  </w:style>
  <w:style w:type="paragraph" w:styleId="4">
    <w:name w:val="heading 3"/>
    <w:basedOn w:val="3"/>
    <w:next w:val="1"/>
    <w:link w:val="86"/>
    <w:autoRedefine/>
    <w:qFormat/>
    <w:uiPriority w:val="0"/>
    <w:pPr>
      <w:numPr>
        <w:ilvl w:val="2"/>
      </w:numPr>
      <w:outlineLvl w:val="2"/>
    </w:pPr>
  </w:style>
  <w:style w:type="paragraph" w:styleId="5">
    <w:name w:val="heading 4"/>
    <w:basedOn w:val="1"/>
    <w:next w:val="1"/>
    <w:link w:val="81"/>
    <w:autoRedefine/>
    <w:qFormat/>
    <w:uiPriority w:val="0"/>
    <w:pPr>
      <w:keepNext/>
      <w:keepLines/>
      <w:spacing w:before="280" w:after="290" w:line="376" w:lineRule="auto"/>
      <w:outlineLvl w:val="3"/>
    </w:pPr>
    <w:rPr>
      <w:rFonts w:ascii="Calibri Light" w:hAnsi="Calibri Light"/>
      <w:b/>
      <w:bCs/>
      <w:kern w:val="0"/>
      <w:sz w:val="28"/>
      <w:szCs w:val="28"/>
    </w:rPr>
  </w:style>
  <w:style w:type="paragraph" w:styleId="6">
    <w:name w:val="heading 5"/>
    <w:basedOn w:val="1"/>
    <w:next w:val="1"/>
    <w:link w:val="84"/>
    <w:autoRedefine/>
    <w:qFormat/>
    <w:uiPriority w:val="0"/>
    <w:pPr>
      <w:keepNext/>
      <w:keepLines/>
      <w:spacing w:before="280" w:after="290" w:line="376" w:lineRule="auto"/>
      <w:outlineLvl w:val="4"/>
    </w:pPr>
    <w:rPr>
      <w:b/>
      <w:bCs/>
      <w:kern w:val="0"/>
      <w:sz w:val="28"/>
      <w:szCs w:val="28"/>
    </w:rPr>
  </w:style>
  <w:style w:type="paragraph" w:styleId="7">
    <w:name w:val="heading 6"/>
    <w:basedOn w:val="1"/>
    <w:next w:val="1"/>
    <w:link w:val="77"/>
    <w:autoRedefine/>
    <w:qFormat/>
    <w:uiPriority w:val="0"/>
    <w:pPr>
      <w:keepNext/>
      <w:keepLines/>
      <w:spacing w:before="240" w:after="64" w:line="320" w:lineRule="auto"/>
      <w:outlineLvl w:val="5"/>
    </w:pPr>
    <w:rPr>
      <w:rFonts w:ascii="Calibri Light" w:hAnsi="Calibri Light"/>
      <w:b/>
      <w:bCs/>
      <w:kern w:val="0"/>
      <w:sz w:val="24"/>
    </w:rPr>
  </w:style>
  <w:style w:type="paragraph" w:styleId="8">
    <w:name w:val="heading 7"/>
    <w:basedOn w:val="1"/>
    <w:next w:val="1"/>
    <w:link w:val="94"/>
    <w:autoRedefine/>
    <w:qFormat/>
    <w:uiPriority w:val="9"/>
    <w:pPr>
      <w:keepNext/>
      <w:keepLines/>
      <w:spacing w:before="240" w:after="64" w:line="320" w:lineRule="auto"/>
      <w:outlineLvl w:val="6"/>
    </w:pPr>
    <w:rPr>
      <w:b/>
      <w:bCs/>
      <w:sz w:val="24"/>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9">
    <w:name w:val="Normal Indent"/>
    <w:basedOn w:val="1"/>
    <w:autoRedefine/>
    <w:qFormat/>
    <w:uiPriority w:val="0"/>
    <w:pPr>
      <w:ind w:firstLine="420" w:firstLineChars="200"/>
    </w:pPr>
  </w:style>
  <w:style w:type="paragraph" w:styleId="10">
    <w:name w:val="Document Map"/>
    <w:basedOn w:val="1"/>
    <w:link w:val="79"/>
    <w:autoRedefine/>
    <w:unhideWhenUsed/>
    <w:qFormat/>
    <w:uiPriority w:val="99"/>
    <w:rPr>
      <w:rFonts w:ascii="Microsoft YaHei UI" w:eastAsia="Microsoft YaHei UI"/>
      <w:kern w:val="0"/>
      <w:sz w:val="18"/>
      <w:szCs w:val="18"/>
    </w:rPr>
  </w:style>
  <w:style w:type="paragraph" w:styleId="11">
    <w:name w:val="toa heading"/>
    <w:basedOn w:val="1"/>
    <w:next w:val="1"/>
    <w:autoRedefine/>
    <w:qFormat/>
    <w:uiPriority w:val="0"/>
    <w:rPr>
      <w:rFonts w:ascii="Arial" w:hAnsi="Arial"/>
      <w:sz w:val="24"/>
      <w:szCs w:val="20"/>
    </w:rPr>
  </w:style>
  <w:style w:type="paragraph" w:styleId="12">
    <w:name w:val="annotation text"/>
    <w:basedOn w:val="1"/>
    <w:link w:val="95"/>
    <w:autoRedefine/>
    <w:qFormat/>
    <w:uiPriority w:val="0"/>
    <w:pPr>
      <w:jc w:val="left"/>
    </w:pPr>
    <w:rPr>
      <w:kern w:val="0"/>
      <w:sz w:val="20"/>
    </w:rPr>
  </w:style>
  <w:style w:type="paragraph" w:styleId="13">
    <w:name w:val="Body Text"/>
    <w:basedOn w:val="1"/>
    <w:next w:val="14"/>
    <w:link w:val="88"/>
    <w:autoRedefine/>
    <w:qFormat/>
    <w:uiPriority w:val="0"/>
    <w:pPr>
      <w:spacing w:after="120"/>
    </w:pPr>
    <w:rPr>
      <w:kern w:val="0"/>
      <w:sz w:val="20"/>
    </w:rPr>
  </w:style>
  <w:style w:type="paragraph" w:styleId="14">
    <w:name w:val="Body Text Indent"/>
    <w:basedOn w:val="1"/>
    <w:next w:val="1"/>
    <w:link w:val="97"/>
    <w:autoRedefine/>
    <w:qFormat/>
    <w:uiPriority w:val="0"/>
    <w:pPr>
      <w:tabs>
        <w:tab w:val="left" w:pos="2160"/>
      </w:tabs>
      <w:ind w:left="2159" w:leftChars="1028" w:firstLine="1"/>
    </w:pPr>
    <w:rPr>
      <w:rFonts w:ascii="宋体" w:hAnsi="宋体"/>
      <w:kern w:val="0"/>
      <w:sz w:val="20"/>
      <w:szCs w:val="21"/>
    </w:rPr>
  </w:style>
  <w:style w:type="paragraph" w:styleId="15">
    <w:name w:val="index 4"/>
    <w:basedOn w:val="1"/>
    <w:next w:val="1"/>
    <w:autoRedefine/>
    <w:semiHidden/>
    <w:unhideWhenUsed/>
    <w:qFormat/>
    <w:uiPriority w:val="99"/>
    <w:pPr>
      <w:ind w:left="600" w:leftChars="600"/>
    </w:pPr>
  </w:style>
  <w:style w:type="paragraph" w:styleId="16">
    <w:name w:val="toc 3"/>
    <w:basedOn w:val="1"/>
    <w:next w:val="1"/>
    <w:autoRedefine/>
    <w:unhideWhenUsed/>
    <w:qFormat/>
    <w:uiPriority w:val="39"/>
    <w:pPr>
      <w:widowControl/>
      <w:spacing w:after="100" w:line="259" w:lineRule="auto"/>
      <w:ind w:left="440"/>
      <w:jc w:val="left"/>
    </w:pPr>
    <w:rPr>
      <w:rFonts w:ascii="Calibri" w:hAnsi="Calibri"/>
      <w:kern w:val="0"/>
      <w:sz w:val="22"/>
      <w:szCs w:val="22"/>
    </w:rPr>
  </w:style>
  <w:style w:type="paragraph" w:styleId="17">
    <w:name w:val="Plain Text"/>
    <w:basedOn w:val="1"/>
    <w:next w:val="1"/>
    <w:link w:val="90"/>
    <w:autoRedefine/>
    <w:qFormat/>
    <w:uiPriority w:val="0"/>
    <w:rPr>
      <w:rFonts w:ascii="宋体" w:hAnsi="Courier New"/>
      <w:kern w:val="0"/>
      <w:sz w:val="20"/>
      <w:szCs w:val="20"/>
    </w:rPr>
  </w:style>
  <w:style w:type="paragraph" w:styleId="18">
    <w:name w:val="Date"/>
    <w:basedOn w:val="1"/>
    <w:next w:val="1"/>
    <w:link w:val="98"/>
    <w:autoRedefine/>
    <w:qFormat/>
    <w:uiPriority w:val="0"/>
    <w:pPr>
      <w:ind w:left="100" w:leftChars="2500"/>
    </w:pPr>
    <w:rPr>
      <w:kern w:val="0"/>
      <w:sz w:val="20"/>
    </w:rPr>
  </w:style>
  <w:style w:type="paragraph" w:styleId="19">
    <w:name w:val="Body Text Indent 2"/>
    <w:basedOn w:val="1"/>
    <w:autoRedefine/>
    <w:qFormat/>
    <w:uiPriority w:val="0"/>
    <w:pPr>
      <w:spacing w:after="120" w:line="480" w:lineRule="auto"/>
      <w:ind w:left="420" w:leftChars="200"/>
    </w:pPr>
    <w:rPr>
      <w:rFonts w:ascii="Calibri" w:hAnsi="Calibri" w:cs="Times New Roman"/>
      <w:kern w:val="2"/>
      <w:sz w:val="21"/>
      <w:szCs w:val="20"/>
    </w:rPr>
  </w:style>
  <w:style w:type="paragraph" w:styleId="20">
    <w:name w:val="Balloon Text"/>
    <w:basedOn w:val="1"/>
    <w:link w:val="75"/>
    <w:autoRedefine/>
    <w:qFormat/>
    <w:uiPriority w:val="0"/>
    <w:rPr>
      <w:kern w:val="0"/>
      <w:sz w:val="18"/>
      <w:szCs w:val="18"/>
    </w:rPr>
  </w:style>
  <w:style w:type="paragraph" w:styleId="21">
    <w:name w:val="footer"/>
    <w:basedOn w:val="1"/>
    <w:link w:val="74"/>
    <w:autoRedefine/>
    <w:qFormat/>
    <w:uiPriority w:val="99"/>
    <w:pPr>
      <w:tabs>
        <w:tab w:val="center" w:pos="4153"/>
        <w:tab w:val="right" w:pos="8306"/>
      </w:tabs>
      <w:snapToGrid w:val="0"/>
      <w:jc w:val="left"/>
    </w:pPr>
    <w:rPr>
      <w:kern w:val="0"/>
      <w:sz w:val="18"/>
      <w:szCs w:val="20"/>
    </w:rPr>
  </w:style>
  <w:style w:type="paragraph" w:styleId="22">
    <w:name w:val="header"/>
    <w:basedOn w:val="1"/>
    <w:link w:val="93"/>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23">
    <w:name w:val="toc 1"/>
    <w:basedOn w:val="1"/>
    <w:next w:val="1"/>
    <w:autoRedefine/>
    <w:qFormat/>
    <w:uiPriority w:val="39"/>
    <w:pPr>
      <w:tabs>
        <w:tab w:val="right" w:leader="dot" w:pos="8296"/>
      </w:tabs>
      <w:jc w:val="left"/>
    </w:pPr>
  </w:style>
  <w:style w:type="paragraph" w:styleId="24">
    <w:name w:val="Subtitle"/>
    <w:basedOn w:val="1"/>
    <w:next w:val="1"/>
    <w:link w:val="80"/>
    <w:autoRedefine/>
    <w:qFormat/>
    <w:uiPriority w:val="0"/>
    <w:pPr>
      <w:spacing w:before="240" w:after="60" w:line="312" w:lineRule="auto"/>
      <w:jc w:val="center"/>
      <w:outlineLvl w:val="1"/>
    </w:pPr>
    <w:rPr>
      <w:rFonts w:ascii="Calibri Light" w:hAnsi="Calibri Light"/>
      <w:b/>
      <w:bCs/>
      <w:kern w:val="28"/>
      <w:sz w:val="32"/>
      <w:szCs w:val="32"/>
    </w:rPr>
  </w:style>
  <w:style w:type="paragraph" w:styleId="25">
    <w:name w:val="Body Text Indent 3"/>
    <w:basedOn w:val="1"/>
    <w:link w:val="76"/>
    <w:autoRedefine/>
    <w:qFormat/>
    <w:uiPriority w:val="0"/>
    <w:pPr>
      <w:spacing w:after="120"/>
      <w:ind w:left="420" w:leftChars="200"/>
    </w:pPr>
    <w:rPr>
      <w:kern w:val="0"/>
      <w:sz w:val="16"/>
      <w:szCs w:val="16"/>
    </w:rPr>
  </w:style>
  <w:style w:type="paragraph" w:styleId="26">
    <w:name w:val="toc 2"/>
    <w:basedOn w:val="1"/>
    <w:next w:val="1"/>
    <w:autoRedefine/>
    <w:unhideWhenUsed/>
    <w:qFormat/>
    <w:uiPriority w:val="39"/>
    <w:pPr>
      <w:widowControl/>
      <w:spacing w:after="100" w:line="259" w:lineRule="auto"/>
      <w:ind w:left="220"/>
      <w:jc w:val="left"/>
    </w:pPr>
    <w:rPr>
      <w:rFonts w:ascii="Calibri" w:hAnsi="Calibri"/>
      <w:kern w:val="0"/>
      <w:sz w:val="22"/>
      <w:szCs w:val="22"/>
    </w:rPr>
  </w:style>
  <w:style w:type="paragraph" w:styleId="27">
    <w:name w:val="toc 9"/>
    <w:basedOn w:val="1"/>
    <w:next w:val="1"/>
    <w:autoRedefine/>
    <w:qFormat/>
    <w:uiPriority w:val="0"/>
    <w:pPr>
      <w:ind w:left="3360" w:leftChars="1600"/>
    </w:pPr>
  </w:style>
  <w:style w:type="paragraph" w:styleId="28">
    <w:name w:val="HTML Preformatted"/>
    <w:basedOn w:val="1"/>
    <w:link w:val="117"/>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9">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30">
    <w:name w:val="Title"/>
    <w:basedOn w:val="1"/>
    <w:next w:val="1"/>
    <w:link w:val="96"/>
    <w:autoRedefine/>
    <w:qFormat/>
    <w:uiPriority w:val="0"/>
    <w:pPr>
      <w:spacing w:before="240" w:after="60"/>
      <w:jc w:val="center"/>
      <w:outlineLvl w:val="0"/>
    </w:pPr>
    <w:rPr>
      <w:rFonts w:ascii="Cambria" w:hAnsi="Cambria"/>
      <w:b/>
      <w:bCs/>
      <w:kern w:val="0"/>
      <w:sz w:val="36"/>
      <w:szCs w:val="32"/>
    </w:rPr>
  </w:style>
  <w:style w:type="paragraph" w:styleId="31">
    <w:name w:val="annotation subject"/>
    <w:basedOn w:val="12"/>
    <w:next w:val="12"/>
    <w:link w:val="73"/>
    <w:autoRedefine/>
    <w:qFormat/>
    <w:uiPriority w:val="99"/>
    <w:rPr>
      <w:b/>
      <w:bCs/>
    </w:rPr>
  </w:style>
  <w:style w:type="paragraph" w:styleId="32">
    <w:name w:val="Body Text First Indent"/>
    <w:basedOn w:val="13"/>
    <w:next w:val="1"/>
    <w:link w:val="87"/>
    <w:autoRedefine/>
    <w:qFormat/>
    <w:uiPriority w:val="0"/>
    <w:pPr>
      <w:ind w:firstLine="420" w:firstLineChars="100"/>
    </w:pPr>
  </w:style>
  <w:style w:type="paragraph" w:styleId="33">
    <w:name w:val="Body Text First Indent 2"/>
    <w:basedOn w:val="14"/>
    <w:autoRedefine/>
    <w:qFormat/>
    <w:uiPriority w:val="0"/>
    <w:pPr>
      <w:tabs>
        <w:tab w:val="left" w:pos="738"/>
        <w:tab w:val="left" w:pos="4537"/>
        <w:tab w:val="left" w:pos="7112"/>
        <w:tab w:val="left" w:pos="8039"/>
        <w:tab w:val="left" w:pos="9687"/>
      </w:tabs>
      <w:ind w:firstLine="420" w:firstLineChars="200"/>
    </w:pPr>
  </w:style>
  <w:style w:type="table" w:styleId="35">
    <w:name w:val="Table Grid"/>
    <w:basedOn w:val="3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autoRedefine/>
    <w:qFormat/>
    <w:uiPriority w:val="22"/>
  </w:style>
  <w:style w:type="character" w:styleId="38">
    <w:name w:val="page number"/>
    <w:autoRedefine/>
    <w:qFormat/>
    <w:uiPriority w:val="0"/>
  </w:style>
  <w:style w:type="character" w:styleId="39">
    <w:name w:val="FollowedHyperlink"/>
    <w:autoRedefine/>
    <w:qFormat/>
    <w:uiPriority w:val="99"/>
    <w:rPr>
      <w:color w:val="0000FF"/>
      <w:u w:val="single"/>
    </w:rPr>
  </w:style>
  <w:style w:type="character" w:styleId="40">
    <w:name w:val="Emphasis"/>
    <w:autoRedefine/>
    <w:qFormat/>
    <w:uiPriority w:val="0"/>
    <w:rPr>
      <w:i/>
      <w:iCs/>
    </w:rPr>
  </w:style>
  <w:style w:type="character" w:styleId="41">
    <w:name w:val="HTML Definition"/>
    <w:basedOn w:val="36"/>
    <w:autoRedefine/>
    <w:semiHidden/>
    <w:unhideWhenUsed/>
    <w:qFormat/>
    <w:uiPriority w:val="99"/>
  </w:style>
  <w:style w:type="character" w:styleId="42">
    <w:name w:val="HTML Typewriter"/>
    <w:basedOn w:val="36"/>
    <w:autoRedefine/>
    <w:semiHidden/>
    <w:unhideWhenUsed/>
    <w:qFormat/>
    <w:uiPriority w:val="99"/>
    <w:rPr>
      <w:rFonts w:hint="default" w:ascii="monospace" w:hAnsi="monospace" w:eastAsia="monospace" w:cs="monospace"/>
      <w:sz w:val="20"/>
    </w:rPr>
  </w:style>
  <w:style w:type="character" w:styleId="43">
    <w:name w:val="HTML Acronym"/>
    <w:basedOn w:val="36"/>
    <w:autoRedefine/>
    <w:semiHidden/>
    <w:unhideWhenUsed/>
    <w:qFormat/>
    <w:uiPriority w:val="99"/>
  </w:style>
  <w:style w:type="character" w:styleId="44">
    <w:name w:val="HTML Variable"/>
    <w:basedOn w:val="36"/>
    <w:autoRedefine/>
    <w:semiHidden/>
    <w:unhideWhenUsed/>
    <w:qFormat/>
    <w:uiPriority w:val="99"/>
  </w:style>
  <w:style w:type="character" w:styleId="45">
    <w:name w:val="Hyperlink"/>
    <w:autoRedefine/>
    <w:qFormat/>
    <w:uiPriority w:val="99"/>
    <w:rPr>
      <w:color w:val="000099"/>
      <w:u w:val="none"/>
    </w:rPr>
  </w:style>
  <w:style w:type="character" w:styleId="46">
    <w:name w:val="HTML Code"/>
    <w:basedOn w:val="36"/>
    <w:autoRedefine/>
    <w:semiHidden/>
    <w:unhideWhenUsed/>
    <w:qFormat/>
    <w:uiPriority w:val="99"/>
    <w:rPr>
      <w:rFonts w:hint="default" w:ascii="monospace" w:hAnsi="monospace" w:eastAsia="monospace" w:cs="monospace"/>
      <w:sz w:val="20"/>
    </w:rPr>
  </w:style>
  <w:style w:type="character" w:styleId="47">
    <w:name w:val="annotation reference"/>
    <w:autoRedefine/>
    <w:qFormat/>
    <w:uiPriority w:val="0"/>
    <w:rPr>
      <w:sz w:val="21"/>
      <w:szCs w:val="21"/>
    </w:rPr>
  </w:style>
  <w:style w:type="character" w:styleId="48">
    <w:name w:val="HTML Cite"/>
    <w:basedOn w:val="36"/>
    <w:autoRedefine/>
    <w:semiHidden/>
    <w:unhideWhenUsed/>
    <w:qFormat/>
    <w:uiPriority w:val="99"/>
  </w:style>
  <w:style w:type="character" w:styleId="49">
    <w:name w:val="HTML Keyboard"/>
    <w:basedOn w:val="36"/>
    <w:autoRedefine/>
    <w:semiHidden/>
    <w:unhideWhenUsed/>
    <w:qFormat/>
    <w:uiPriority w:val="99"/>
    <w:rPr>
      <w:rFonts w:ascii="monospace" w:hAnsi="monospace" w:eastAsia="monospace" w:cs="monospace"/>
      <w:sz w:val="20"/>
    </w:rPr>
  </w:style>
  <w:style w:type="character" w:styleId="50">
    <w:name w:val="HTML Sample"/>
    <w:basedOn w:val="36"/>
    <w:autoRedefine/>
    <w:semiHidden/>
    <w:unhideWhenUsed/>
    <w:qFormat/>
    <w:uiPriority w:val="99"/>
    <w:rPr>
      <w:rFonts w:hint="default" w:ascii="monospace" w:hAnsi="monospace" w:eastAsia="monospace" w:cs="monospace"/>
    </w:rPr>
  </w:style>
  <w:style w:type="character" w:customStyle="1" w:styleId="51">
    <w:name w:val="标题 1 Char"/>
    <w:link w:val="2"/>
    <w:autoRedefine/>
    <w:qFormat/>
    <w:uiPriority w:val="0"/>
    <w:rPr>
      <w:rFonts w:ascii="宋体" w:hAnsi="Times New Roman" w:eastAsia="黑体"/>
      <w:kern w:val="28"/>
      <w:sz w:val="28"/>
    </w:rPr>
  </w:style>
  <w:style w:type="paragraph" w:customStyle="1" w:styleId="52">
    <w:name w:val="table of authorities1"/>
    <w:basedOn w:val="1"/>
    <w:next w:val="1"/>
    <w:autoRedefine/>
    <w:qFormat/>
    <w:uiPriority w:val="0"/>
    <w:pPr>
      <w:ind w:left="420" w:leftChars="200"/>
    </w:pPr>
  </w:style>
  <w:style w:type="paragraph" w:customStyle="1" w:styleId="53">
    <w:name w:val="一级条标题"/>
    <w:basedOn w:val="54"/>
    <w:next w:val="55"/>
    <w:link w:val="111"/>
    <w:autoRedefine/>
    <w:qFormat/>
    <w:uiPriority w:val="0"/>
    <w:pPr>
      <w:tabs>
        <w:tab w:val="left" w:pos="720"/>
      </w:tabs>
      <w:spacing w:beforeLines="0" w:afterLines="0"/>
      <w:outlineLvl w:val="2"/>
    </w:pPr>
  </w:style>
  <w:style w:type="paragraph" w:customStyle="1" w:styleId="54">
    <w:name w:val="章标题"/>
    <w:next w:val="1"/>
    <w:link w:val="110"/>
    <w:autoRedefine/>
    <w:qFormat/>
    <w:uiPriority w:val="0"/>
    <w:pPr>
      <w:tabs>
        <w:tab w:val="left" w:pos="720"/>
      </w:tabs>
      <w:spacing w:beforeLines="50" w:afterLines="50"/>
      <w:ind w:left="567" w:hanging="567"/>
      <w:jc w:val="both"/>
      <w:outlineLvl w:val="1"/>
    </w:pPr>
    <w:rPr>
      <w:rFonts w:ascii="黑体" w:hAnsi="Calibri" w:eastAsia="黑体" w:cs="Times New Roman"/>
      <w:sz w:val="21"/>
      <w:lang w:val="en-US" w:eastAsia="zh-CN" w:bidi="ar-SA"/>
    </w:rPr>
  </w:style>
  <w:style w:type="paragraph" w:customStyle="1" w:styleId="55">
    <w:name w:val="段"/>
    <w:link w:val="105"/>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56">
    <w:name w:val="引文目录1"/>
    <w:basedOn w:val="1"/>
    <w:next w:val="1"/>
    <w:autoRedefine/>
    <w:qFormat/>
    <w:uiPriority w:val="0"/>
    <w:pPr>
      <w:ind w:left="420" w:leftChars="200"/>
    </w:pPr>
  </w:style>
  <w:style w:type="paragraph" w:customStyle="1" w:styleId="57">
    <w:name w:val="_Style 0"/>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0_0"/>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59">
    <w:name w:val="3"/>
    <w:basedOn w:val="1"/>
    <w:autoRedefine/>
    <w:qFormat/>
    <w:uiPriority w:val="34"/>
    <w:pPr>
      <w:ind w:firstLine="420" w:firstLineChars="200"/>
    </w:pPr>
  </w:style>
  <w:style w:type="paragraph" w:customStyle="1" w:styleId="60">
    <w:name w:val="xl5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61">
    <w:name w:val="_Style 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2"/>
    <w:link w:val="92"/>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xl52"/>
    <w:basedOn w:val="1"/>
    <w:autoRedefine/>
    <w:qFormat/>
    <w:uiPriority w:val="0"/>
    <w:pPr>
      <w:widowControl/>
      <w:spacing w:before="100" w:beforeAutospacing="1" w:after="100" w:afterAutospacing="1"/>
      <w:jc w:val="center"/>
      <w:textAlignment w:val="top"/>
    </w:pPr>
    <w:rPr>
      <w:kern w:val="0"/>
      <w:sz w:val="20"/>
      <w:szCs w:val="20"/>
    </w:rPr>
  </w:style>
  <w:style w:type="paragraph" w:customStyle="1" w:styleId="64">
    <w:name w:val="Table Text Char Char"/>
    <w:autoRedefine/>
    <w:qFormat/>
    <w:uiPriority w:val="0"/>
    <w:pPr>
      <w:snapToGrid w:val="0"/>
      <w:spacing w:before="80" w:after="80"/>
    </w:pPr>
    <w:rPr>
      <w:rFonts w:ascii="Arial" w:hAnsi="Arial" w:eastAsia="宋体" w:cs="Arial"/>
      <w:sz w:val="18"/>
      <w:szCs w:val="18"/>
      <w:lang w:val="en-US" w:eastAsia="zh-CN" w:bidi="ar-SA"/>
    </w:rPr>
  </w:style>
  <w:style w:type="paragraph" w:customStyle="1" w:styleId="65">
    <w:name w:val="_Style 3"/>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Char1"/>
    <w:basedOn w:val="10"/>
    <w:autoRedefine/>
    <w:qFormat/>
    <w:uiPriority w:val="0"/>
    <w:pPr>
      <w:shd w:val="clear" w:color="auto" w:fill="000080"/>
    </w:pPr>
    <w:rPr>
      <w:rFonts w:ascii="Times New Roman" w:eastAsia="宋体"/>
      <w:sz w:val="21"/>
      <w:szCs w:val="20"/>
      <w:shd w:val="clear" w:color="auto" w:fill="000080"/>
    </w:rPr>
  </w:style>
  <w:style w:type="paragraph" w:customStyle="1" w:styleId="67">
    <w:name w:val="Table Text"/>
    <w:basedOn w:val="1"/>
    <w:autoRedefine/>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68">
    <w:name w:val="列出段落111"/>
    <w:basedOn w:val="1"/>
    <w:autoRedefine/>
    <w:qFormat/>
    <w:uiPriority w:val="0"/>
    <w:pPr>
      <w:ind w:firstLine="420" w:firstLineChars="200"/>
    </w:pPr>
    <w:rPr>
      <w:rFonts w:ascii="Calibri" w:hAnsi="Calibri"/>
      <w:sz w:val="28"/>
    </w:rPr>
  </w:style>
  <w:style w:type="paragraph" w:customStyle="1" w:styleId="69">
    <w:name w:val="样式1"/>
    <w:basedOn w:val="1"/>
    <w:autoRedefine/>
    <w:qFormat/>
    <w:uiPriority w:val="0"/>
    <w:rPr>
      <w:rFonts w:eastAsia="仿宋_GB2312"/>
      <w:kern w:val="0"/>
      <w:sz w:val="32"/>
      <w:szCs w:val="20"/>
    </w:rPr>
  </w:style>
  <w:style w:type="paragraph" w:customStyle="1" w:styleId="70">
    <w:name w:val="1"/>
    <w:basedOn w:val="2"/>
    <w:next w:val="1"/>
    <w:autoRedefine/>
    <w:qFormat/>
    <w:uiPriority w:val="39"/>
    <w:pPr>
      <w:widowControl/>
      <w:numPr>
        <w:numId w:val="0"/>
      </w:numPr>
      <w:snapToGrid/>
      <w:spacing w:before="240" w:line="259" w:lineRule="auto"/>
      <w:jc w:val="left"/>
      <w:outlineLvl w:val="9"/>
    </w:pPr>
    <w:rPr>
      <w:rFonts w:ascii="Calibri Light" w:hAnsi="Calibri Light" w:eastAsia="宋体"/>
      <w:color w:val="2E74B5"/>
      <w:kern w:val="0"/>
      <w:sz w:val="32"/>
      <w:szCs w:val="32"/>
    </w:rPr>
  </w:style>
  <w:style w:type="paragraph" w:customStyle="1" w:styleId="71">
    <w:name w:val="列出段落11"/>
    <w:basedOn w:val="1"/>
    <w:autoRedefine/>
    <w:qFormat/>
    <w:uiPriority w:val="0"/>
    <w:pPr>
      <w:ind w:firstLine="420" w:firstLineChars="200"/>
    </w:pPr>
  </w:style>
  <w:style w:type="paragraph" w:customStyle="1" w:styleId="72">
    <w:name w:val="正文_0"/>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customStyle="1" w:styleId="73">
    <w:name w:val="批注主题 Char1"/>
    <w:link w:val="31"/>
    <w:autoRedefine/>
    <w:qFormat/>
    <w:uiPriority w:val="99"/>
    <w:rPr>
      <w:rFonts w:ascii="Times New Roman" w:hAnsi="Times New Roman" w:eastAsia="宋体" w:cs="Times New Roman"/>
      <w:b/>
      <w:bCs/>
      <w:szCs w:val="24"/>
    </w:rPr>
  </w:style>
  <w:style w:type="character" w:customStyle="1" w:styleId="74">
    <w:name w:val="页脚 Char"/>
    <w:link w:val="21"/>
    <w:autoRedefine/>
    <w:qFormat/>
    <w:uiPriority w:val="99"/>
    <w:rPr>
      <w:rFonts w:ascii="Times New Roman" w:hAnsi="Times New Roman" w:eastAsia="宋体" w:cs="Times New Roman"/>
      <w:sz w:val="18"/>
      <w:szCs w:val="20"/>
    </w:rPr>
  </w:style>
  <w:style w:type="character" w:customStyle="1" w:styleId="75">
    <w:name w:val="批注框文本 Char"/>
    <w:link w:val="20"/>
    <w:autoRedefine/>
    <w:qFormat/>
    <w:uiPriority w:val="0"/>
    <w:rPr>
      <w:rFonts w:ascii="Times New Roman" w:hAnsi="Times New Roman" w:eastAsia="宋体" w:cs="Times New Roman"/>
      <w:sz w:val="18"/>
      <w:szCs w:val="18"/>
    </w:rPr>
  </w:style>
  <w:style w:type="character" w:customStyle="1" w:styleId="76">
    <w:name w:val="正文文本缩进 3 Char"/>
    <w:link w:val="25"/>
    <w:autoRedefine/>
    <w:qFormat/>
    <w:uiPriority w:val="0"/>
    <w:rPr>
      <w:rFonts w:ascii="Times New Roman" w:hAnsi="Times New Roman" w:eastAsia="宋体" w:cs="Times New Roman"/>
      <w:sz w:val="16"/>
      <w:szCs w:val="16"/>
    </w:rPr>
  </w:style>
  <w:style w:type="character" w:customStyle="1" w:styleId="77">
    <w:name w:val="标题 6 Char"/>
    <w:link w:val="7"/>
    <w:autoRedefine/>
    <w:qFormat/>
    <w:uiPriority w:val="0"/>
    <w:rPr>
      <w:rFonts w:ascii="Calibri Light" w:hAnsi="Calibri Light" w:eastAsia="宋体" w:cs="Times New Roman"/>
      <w:b/>
      <w:bCs/>
      <w:sz w:val="24"/>
      <w:szCs w:val="24"/>
    </w:rPr>
  </w:style>
  <w:style w:type="character" w:customStyle="1" w:styleId="78">
    <w:name w:val="标题 2 Char"/>
    <w:link w:val="3"/>
    <w:autoRedefine/>
    <w:qFormat/>
    <w:uiPriority w:val="0"/>
    <w:rPr>
      <w:rFonts w:ascii="宋体" w:hAnsi="Times New Roman"/>
      <w:kern w:val="2"/>
      <w:sz w:val="28"/>
    </w:rPr>
  </w:style>
  <w:style w:type="character" w:customStyle="1" w:styleId="79">
    <w:name w:val="文档结构图 Char"/>
    <w:link w:val="10"/>
    <w:autoRedefine/>
    <w:semiHidden/>
    <w:qFormat/>
    <w:uiPriority w:val="99"/>
    <w:rPr>
      <w:rFonts w:ascii="Microsoft YaHei UI" w:hAnsi="Times New Roman" w:eastAsia="Microsoft YaHei UI" w:cs="Times New Roman"/>
      <w:sz w:val="18"/>
      <w:szCs w:val="18"/>
    </w:rPr>
  </w:style>
  <w:style w:type="character" w:customStyle="1" w:styleId="80">
    <w:name w:val="副标题 Char"/>
    <w:link w:val="24"/>
    <w:autoRedefine/>
    <w:qFormat/>
    <w:uiPriority w:val="0"/>
    <w:rPr>
      <w:rFonts w:ascii="Calibri Light" w:hAnsi="Calibri Light" w:eastAsia="宋体" w:cs="Times New Roman"/>
      <w:b/>
      <w:bCs/>
      <w:kern w:val="28"/>
      <w:sz w:val="32"/>
      <w:szCs w:val="32"/>
    </w:rPr>
  </w:style>
  <w:style w:type="character" w:customStyle="1" w:styleId="81">
    <w:name w:val="标题 4 Char"/>
    <w:link w:val="5"/>
    <w:autoRedefine/>
    <w:qFormat/>
    <w:uiPriority w:val="0"/>
    <w:rPr>
      <w:rFonts w:ascii="Calibri Light" w:hAnsi="Calibri Light" w:eastAsia="宋体" w:cs="Times New Roman"/>
      <w:b/>
      <w:bCs/>
      <w:sz w:val="28"/>
      <w:szCs w:val="28"/>
    </w:rPr>
  </w:style>
  <w:style w:type="character" w:customStyle="1" w:styleId="82">
    <w:name w:val="标题 Char1"/>
    <w:autoRedefine/>
    <w:qFormat/>
    <w:uiPriority w:val="0"/>
    <w:rPr>
      <w:rFonts w:ascii="Calibri Light" w:hAnsi="Calibri Light" w:eastAsia="宋体" w:cs="Times New Roman"/>
      <w:b/>
      <w:bCs/>
      <w:sz w:val="32"/>
      <w:szCs w:val="32"/>
    </w:rPr>
  </w:style>
  <w:style w:type="character" w:customStyle="1" w:styleId="83">
    <w:name w:val="批注文字 Char"/>
    <w:autoRedefine/>
    <w:qFormat/>
    <w:uiPriority w:val="0"/>
    <w:rPr>
      <w:rFonts w:ascii="Times New Roman" w:hAnsi="Times New Roman" w:eastAsia="宋体" w:cs="Times New Roman"/>
      <w:szCs w:val="24"/>
    </w:rPr>
  </w:style>
  <w:style w:type="character" w:customStyle="1" w:styleId="84">
    <w:name w:val="标题 5 Char"/>
    <w:link w:val="6"/>
    <w:autoRedefine/>
    <w:qFormat/>
    <w:uiPriority w:val="0"/>
    <w:rPr>
      <w:rFonts w:ascii="Times New Roman" w:hAnsi="Times New Roman" w:eastAsia="宋体" w:cs="Times New Roman"/>
      <w:b/>
      <w:bCs/>
      <w:sz w:val="28"/>
      <w:szCs w:val="28"/>
    </w:rPr>
  </w:style>
  <w:style w:type="character" w:customStyle="1" w:styleId="85">
    <w:name w:val="Table Text Char Char Char"/>
    <w:autoRedefine/>
    <w:qFormat/>
    <w:uiPriority w:val="0"/>
    <w:rPr>
      <w:rFonts w:ascii="Arial" w:hAnsi="Arial" w:eastAsia="宋体" w:cs="Arial"/>
      <w:sz w:val="18"/>
      <w:szCs w:val="18"/>
      <w:lang w:val="en-US" w:eastAsia="zh-CN" w:bidi="ar-SA"/>
    </w:rPr>
  </w:style>
  <w:style w:type="character" w:customStyle="1" w:styleId="86">
    <w:name w:val="标题 3 Char"/>
    <w:link w:val="4"/>
    <w:autoRedefine/>
    <w:qFormat/>
    <w:uiPriority w:val="0"/>
    <w:rPr>
      <w:rFonts w:ascii="宋体" w:hAnsi="Times New Roman"/>
      <w:kern w:val="2"/>
      <w:sz w:val="28"/>
    </w:rPr>
  </w:style>
  <w:style w:type="character" w:customStyle="1" w:styleId="87">
    <w:name w:val="正文首行缩进 Char"/>
    <w:link w:val="32"/>
    <w:autoRedefine/>
    <w:qFormat/>
    <w:uiPriority w:val="0"/>
    <w:rPr>
      <w:rFonts w:ascii="Times New Roman" w:hAnsi="Times New Roman" w:eastAsia="宋体" w:cs="Times New Roman"/>
      <w:szCs w:val="24"/>
    </w:rPr>
  </w:style>
  <w:style w:type="character" w:customStyle="1" w:styleId="88">
    <w:name w:val="正文文本 Char"/>
    <w:link w:val="13"/>
    <w:autoRedefine/>
    <w:qFormat/>
    <w:uiPriority w:val="0"/>
    <w:rPr>
      <w:rFonts w:ascii="Times New Roman" w:hAnsi="Times New Roman" w:eastAsia="宋体" w:cs="Times New Roman"/>
      <w:szCs w:val="24"/>
    </w:rPr>
  </w:style>
  <w:style w:type="character" w:customStyle="1" w:styleId="89">
    <w:name w:val="纯文本 Char"/>
    <w:autoRedefine/>
    <w:qFormat/>
    <w:uiPriority w:val="0"/>
    <w:rPr>
      <w:rFonts w:ascii="宋体" w:hAnsi="Courier New" w:eastAsia="宋体" w:cs="Courier New"/>
      <w:szCs w:val="21"/>
    </w:rPr>
  </w:style>
  <w:style w:type="character" w:customStyle="1" w:styleId="90">
    <w:name w:val="纯文本 Char2"/>
    <w:link w:val="17"/>
    <w:autoRedefine/>
    <w:qFormat/>
    <w:uiPriority w:val="0"/>
    <w:rPr>
      <w:rFonts w:ascii="宋体" w:hAnsi="Courier New" w:eastAsia="宋体" w:cs="Times New Roman"/>
      <w:szCs w:val="20"/>
    </w:rPr>
  </w:style>
  <w:style w:type="character" w:customStyle="1" w:styleId="91">
    <w:name w:val="Table Text Char"/>
    <w:autoRedefine/>
    <w:qFormat/>
    <w:uiPriority w:val="0"/>
    <w:rPr>
      <w:rFonts w:ascii="Arial" w:hAnsi="Arial" w:eastAsia="宋体"/>
      <w:sz w:val="18"/>
      <w:lang w:val="en-US" w:eastAsia="zh-CN" w:bidi="ar-SA"/>
    </w:rPr>
  </w:style>
  <w:style w:type="character" w:customStyle="1" w:styleId="92">
    <w:name w:val="无间隔 Char"/>
    <w:link w:val="62"/>
    <w:autoRedefine/>
    <w:qFormat/>
    <w:uiPriority w:val="1"/>
    <w:rPr>
      <w:rFonts w:ascii="Times New Roman" w:hAnsi="Times New Roman"/>
      <w:kern w:val="2"/>
      <w:sz w:val="21"/>
      <w:szCs w:val="24"/>
      <w:lang w:val="en-US" w:eastAsia="zh-CN" w:bidi="ar-SA"/>
    </w:rPr>
  </w:style>
  <w:style w:type="character" w:customStyle="1" w:styleId="93">
    <w:name w:val="页眉 Char1"/>
    <w:link w:val="22"/>
    <w:autoRedefine/>
    <w:qFormat/>
    <w:uiPriority w:val="99"/>
    <w:rPr>
      <w:rFonts w:ascii="Times New Roman" w:hAnsi="Times New Roman" w:eastAsia="宋体" w:cs="Times New Roman"/>
      <w:sz w:val="18"/>
      <w:szCs w:val="20"/>
    </w:rPr>
  </w:style>
  <w:style w:type="character" w:customStyle="1" w:styleId="94">
    <w:name w:val="标题 7 Char"/>
    <w:link w:val="8"/>
    <w:autoRedefine/>
    <w:semiHidden/>
    <w:qFormat/>
    <w:uiPriority w:val="9"/>
    <w:rPr>
      <w:rFonts w:ascii="Times New Roman" w:hAnsi="Times New Roman"/>
      <w:b/>
      <w:bCs/>
      <w:kern w:val="2"/>
      <w:sz w:val="24"/>
      <w:szCs w:val="24"/>
    </w:rPr>
  </w:style>
  <w:style w:type="character" w:customStyle="1" w:styleId="95">
    <w:name w:val="批注文字 Char1"/>
    <w:link w:val="12"/>
    <w:autoRedefine/>
    <w:qFormat/>
    <w:uiPriority w:val="0"/>
    <w:rPr>
      <w:rFonts w:ascii="Times New Roman" w:hAnsi="Times New Roman" w:eastAsia="宋体" w:cs="Times New Roman"/>
      <w:szCs w:val="24"/>
    </w:rPr>
  </w:style>
  <w:style w:type="character" w:customStyle="1" w:styleId="96">
    <w:name w:val="标题 Char"/>
    <w:link w:val="30"/>
    <w:autoRedefine/>
    <w:qFormat/>
    <w:uiPriority w:val="0"/>
    <w:rPr>
      <w:rFonts w:ascii="Cambria" w:hAnsi="Cambria"/>
      <w:b/>
      <w:bCs/>
      <w:sz w:val="36"/>
      <w:szCs w:val="32"/>
    </w:rPr>
  </w:style>
  <w:style w:type="character" w:customStyle="1" w:styleId="97">
    <w:name w:val="正文文本缩进 Char"/>
    <w:link w:val="14"/>
    <w:autoRedefine/>
    <w:qFormat/>
    <w:uiPriority w:val="0"/>
    <w:rPr>
      <w:rFonts w:ascii="宋体" w:hAnsi="宋体" w:eastAsia="宋体" w:cs="Times New Roman"/>
      <w:szCs w:val="21"/>
    </w:rPr>
  </w:style>
  <w:style w:type="character" w:customStyle="1" w:styleId="98">
    <w:name w:val="日期 Char"/>
    <w:link w:val="18"/>
    <w:autoRedefine/>
    <w:qFormat/>
    <w:uiPriority w:val="0"/>
    <w:rPr>
      <w:rFonts w:ascii="Times New Roman" w:hAnsi="Times New Roman" w:eastAsia="宋体" w:cs="Times New Roman"/>
      <w:szCs w:val="24"/>
    </w:rPr>
  </w:style>
  <w:style w:type="character" w:customStyle="1" w:styleId="99">
    <w:name w:val="批注主题 Char"/>
    <w:autoRedefine/>
    <w:semiHidden/>
    <w:qFormat/>
    <w:uiPriority w:val="99"/>
    <w:rPr>
      <w:rFonts w:ascii="Times New Roman" w:hAnsi="Times New Roman" w:eastAsia="宋体" w:cs="Times New Roman"/>
      <w:b/>
      <w:bCs/>
      <w:szCs w:val="24"/>
    </w:rPr>
  </w:style>
  <w:style w:type="paragraph" w:customStyle="1" w:styleId="100">
    <w:name w:val="p16"/>
    <w:basedOn w:val="1"/>
    <w:autoRedefine/>
    <w:qFormat/>
    <w:uiPriority w:val="0"/>
    <w:pPr>
      <w:widowControl/>
    </w:pPr>
    <w:rPr>
      <w:rFonts w:ascii="宋体" w:hAnsi="宋体" w:cs="宋体"/>
      <w:kern w:val="0"/>
      <w:szCs w:val="21"/>
    </w:rPr>
  </w:style>
  <w:style w:type="paragraph" w:styleId="101">
    <w:name w:val="List Paragraph"/>
    <w:basedOn w:val="1"/>
    <w:autoRedefine/>
    <w:unhideWhenUsed/>
    <w:qFormat/>
    <w:uiPriority w:val="34"/>
    <w:pPr>
      <w:ind w:firstLine="420" w:firstLineChars="200"/>
    </w:pPr>
  </w:style>
  <w:style w:type="paragraph" w:customStyle="1" w:styleId="102">
    <w:name w:val="Default"/>
    <w:autoRedefine/>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103">
    <w:name w:val="列出段落1"/>
    <w:basedOn w:val="1"/>
    <w:autoRedefine/>
    <w:qFormat/>
    <w:uiPriority w:val="34"/>
    <w:pPr>
      <w:ind w:firstLine="420" w:firstLineChars="200"/>
    </w:pPr>
    <w:rPr>
      <w:rFonts w:ascii="Calibri" w:hAnsi="Calibri" w:cs="黑体"/>
      <w:szCs w:val="22"/>
    </w:rPr>
  </w:style>
  <w:style w:type="paragraph" w:styleId="104">
    <w:name w:val="No Spacing"/>
    <w:link w:val="116"/>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5">
    <w:name w:val="段 Char Char"/>
    <w:link w:val="55"/>
    <w:autoRedefine/>
    <w:qFormat/>
    <w:uiPriority w:val="0"/>
    <w:rPr>
      <w:rFonts w:ascii="宋体"/>
      <w:sz w:val="21"/>
      <w:lang w:val="en-US" w:eastAsia="zh-CN" w:bidi="ar-SA"/>
    </w:rPr>
  </w:style>
  <w:style w:type="character" w:customStyle="1" w:styleId="106">
    <w:name w:val="三级条标题 Char Char"/>
    <w:link w:val="107"/>
    <w:autoRedefine/>
    <w:qFormat/>
    <w:uiPriority w:val="0"/>
    <w:rPr>
      <w:rFonts w:ascii="黑体" w:eastAsia="黑体"/>
      <w:sz w:val="21"/>
    </w:rPr>
  </w:style>
  <w:style w:type="paragraph" w:customStyle="1" w:styleId="107">
    <w:name w:val="三级条标题"/>
    <w:basedOn w:val="108"/>
    <w:next w:val="55"/>
    <w:link w:val="106"/>
    <w:autoRedefine/>
    <w:qFormat/>
    <w:uiPriority w:val="0"/>
    <w:pPr>
      <w:tabs>
        <w:tab w:val="left" w:pos="720"/>
        <w:tab w:val="left" w:pos="992"/>
      </w:tabs>
      <w:ind w:left="992" w:hanging="992"/>
      <w:outlineLvl w:val="4"/>
    </w:pPr>
  </w:style>
  <w:style w:type="paragraph" w:customStyle="1" w:styleId="108">
    <w:name w:val="二级条标题"/>
    <w:basedOn w:val="53"/>
    <w:next w:val="55"/>
    <w:link w:val="109"/>
    <w:autoRedefine/>
    <w:qFormat/>
    <w:uiPriority w:val="0"/>
    <w:pPr>
      <w:outlineLvl w:val="3"/>
    </w:pPr>
  </w:style>
  <w:style w:type="character" w:customStyle="1" w:styleId="109">
    <w:name w:val="二级条标题 Char Char"/>
    <w:link w:val="108"/>
    <w:autoRedefine/>
    <w:qFormat/>
    <w:uiPriority w:val="0"/>
    <w:rPr>
      <w:rFonts w:ascii="黑体" w:eastAsia="黑体"/>
      <w:sz w:val="21"/>
    </w:rPr>
  </w:style>
  <w:style w:type="character" w:customStyle="1" w:styleId="110">
    <w:name w:val="章标题 Char Char"/>
    <w:link w:val="54"/>
    <w:autoRedefine/>
    <w:qFormat/>
    <w:uiPriority w:val="0"/>
    <w:rPr>
      <w:rFonts w:ascii="黑体" w:eastAsia="黑体"/>
      <w:sz w:val="21"/>
      <w:lang w:val="en-US" w:eastAsia="zh-CN" w:bidi="ar-SA"/>
    </w:rPr>
  </w:style>
  <w:style w:type="character" w:customStyle="1" w:styleId="111">
    <w:name w:val="一级条标题 Char Char"/>
    <w:link w:val="53"/>
    <w:autoRedefine/>
    <w:qFormat/>
    <w:uiPriority w:val="0"/>
    <w:rPr>
      <w:rFonts w:ascii="黑体" w:eastAsia="黑体"/>
      <w:sz w:val="21"/>
    </w:rPr>
  </w:style>
  <w:style w:type="paragraph" w:customStyle="1" w:styleId="112">
    <w:name w:val="正文图标题"/>
    <w:next w:val="55"/>
    <w:autoRedefine/>
    <w:qFormat/>
    <w:uiPriority w:val="0"/>
    <w:pPr>
      <w:ind w:left="360" w:hanging="360"/>
      <w:jc w:val="center"/>
    </w:pPr>
    <w:rPr>
      <w:rFonts w:ascii="黑体" w:hAnsi="Times New Roman" w:eastAsia="黑体" w:cs="Times New Roman"/>
      <w:sz w:val="21"/>
      <w:lang w:val="en-US" w:eastAsia="zh-CN" w:bidi="ar-SA"/>
    </w:rPr>
  </w:style>
  <w:style w:type="paragraph" w:customStyle="1" w:styleId="113">
    <w:name w:val="正文表标题"/>
    <w:next w:val="55"/>
    <w:autoRedefine/>
    <w:qFormat/>
    <w:uiPriority w:val="0"/>
    <w:pPr>
      <w:ind w:left="360" w:hanging="360"/>
      <w:jc w:val="center"/>
    </w:pPr>
    <w:rPr>
      <w:rFonts w:ascii="黑体" w:hAnsi="Times New Roman" w:eastAsia="黑体" w:cs="Times New Roman"/>
      <w:sz w:val="21"/>
      <w:lang w:val="en-US" w:eastAsia="zh-CN" w:bidi="ar-SA"/>
    </w:rPr>
  </w:style>
  <w:style w:type="paragraph" w:customStyle="1" w:styleId="114">
    <w:name w:val="目次、标准名称标题"/>
    <w:basedOn w:val="1"/>
    <w:next w:val="55"/>
    <w:autoRedefine/>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115">
    <w:name w:val="纯文本 Char1"/>
    <w:autoRedefine/>
    <w:qFormat/>
    <w:uiPriority w:val="0"/>
    <w:rPr>
      <w:rFonts w:ascii="宋体" w:hAnsi="Courier New" w:eastAsia="宋体" w:cs="Courier New"/>
      <w:sz w:val="21"/>
      <w:szCs w:val="21"/>
    </w:rPr>
  </w:style>
  <w:style w:type="character" w:customStyle="1" w:styleId="116">
    <w:name w:val="无间隔 Char1"/>
    <w:link w:val="104"/>
    <w:autoRedefine/>
    <w:qFormat/>
    <w:uiPriority w:val="1"/>
    <w:rPr>
      <w:rFonts w:ascii="Times New Roman" w:hAnsi="Times New Roman"/>
      <w:kern w:val="2"/>
      <w:sz w:val="21"/>
      <w:szCs w:val="24"/>
      <w:lang w:bidi="ar-SA"/>
    </w:rPr>
  </w:style>
  <w:style w:type="character" w:customStyle="1" w:styleId="117">
    <w:name w:val="HTML 预设格式 Char"/>
    <w:link w:val="28"/>
    <w:autoRedefine/>
    <w:qFormat/>
    <w:uiPriority w:val="99"/>
    <w:rPr>
      <w:rFonts w:ascii="宋体" w:hAnsi="宋体" w:cs="宋体"/>
      <w:sz w:val="24"/>
      <w:szCs w:val="24"/>
    </w:rPr>
  </w:style>
  <w:style w:type="character" w:customStyle="1" w:styleId="118">
    <w:name w:val="页眉 Char"/>
    <w:autoRedefine/>
    <w:qFormat/>
    <w:uiPriority w:val="99"/>
    <w:rPr>
      <w:lang w:eastAsia="zh-CN"/>
    </w:rPr>
  </w:style>
  <w:style w:type="character" w:customStyle="1" w:styleId="119">
    <w:name w:val="textcontents"/>
    <w:autoRedefine/>
    <w:qFormat/>
    <w:uiPriority w:val="0"/>
    <w:rPr>
      <w:rFonts w:cs="Times New Roman"/>
    </w:rPr>
  </w:style>
  <w:style w:type="character" w:customStyle="1" w:styleId="120">
    <w:name w:val="标题4 Char Char"/>
    <w:link w:val="121"/>
    <w:autoRedefine/>
    <w:qFormat/>
    <w:uiPriority w:val="0"/>
    <w:rPr>
      <w:rFonts w:ascii="Arial" w:hAnsi="Arial"/>
      <w:b/>
      <w:bCs/>
      <w:sz w:val="24"/>
      <w:szCs w:val="32"/>
    </w:rPr>
  </w:style>
  <w:style w:type="paragraph" w:customStyle="1" w:styleId="121">
    <w:name w:val="标题4"/>
    <w:basedOn w:val="3"/>
    <w:next w:val="15"/>
    <w:link w:val="120"/>
    <w:autoRedefine/>
    <w:qFormat/>
    <w:uiPriority w:val="0"/>
    <w:pPr>
      <w:numPr>
        <w:ilvl w:val="0"/>
        <w:numId w:val="0"/>
      </w:numPr>
      <w:tabs>
        <w:tab w:val="clear" w:pos="425"/>
        <w:tab w:val="clear" w:pos="720"/>
      </w:tabs>
      <w:snapToGrid/>
      <w:spacing w:before="260" w:after="260" w:line="413" w:lineRule="auto"/>
    </w:pPr>
    <w:rPr>
      <w:rFonts w:ascii="Arial" w:hAnsi="Arial"/>
      <w:b/>
      <w:bCs/>
      <w:kern w:val="0"/>
      <w:sz w:val="24"/>
      <w:szCs w:val="32"/>
    </w:rPr>
  </w:style>
  <w:style w:type="character" w:customStyle="1" w:styleId="122">
    <w:name w:val="tabg"/>
    <w:autoRedefine/>
    <w:qFormat/>
    <w:uiPriority w:val="0"/>
    <w:rPr>
      <w:rFonts w:ascii="微软雅黑" w:hAnsi="微软雅黑" w:eastAsia="微软雅黑" w:cs="微软雅黑"/>
      <w:color w:val="FFFFFF"/>
      <w:sz w:val="27"/>
      <w:szCs w:val="27"/>
    </w:rPr>
  </w:style>
  <w:style w:type="paragraph" w:customStyle="1" w:styleId="123">
    <w:name w:val="xl154"/>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Arial" w:hAnsi="Arial" w:cs="Arial"/>
      <w:b/>
      <w:bCs/>
      <w:i/>
      <w:iCs/>
      <w:kern w:val="0"/>
      <w:sz w:val="20"/>
      <w:szCs w:val="20"/>
    </w:rPr>
  </w:style>
  <w:style w:type="paragraph" w:customStyle="1" w:styleId="124">
    <w:name w:val="Table Paragraph"/>
    <w:basedOn w:val="1"/>
    <w:autoRedefine/>
    <w:qFormat/>
    <w:uiPriority w:val="1"/>
    <w:rPr>
      <w:rFonts w:ascii="宋体" w:hAnsi="宋体" w:cs="宋体"/>
      <w:lang w:val="zh-CN" w:bidi="zh-CN"/>
    </w:rPr>
  </w:style>
  <w:style w:type="character" w:customStyle="1" w:styleId="125">
    <w:name w:val="font01"/>
    <w:basedOn w:val="36"/>
    <w:autoRedefine/>
    <w:qFormat/>
    <w:uiPriority w:val="0"/>
    <w:rPr>
      <w:rFonts w:hint="eastAsia" w:ascii="宋体" w:hAnsi="宋体" w:eastAsia="宋体" w:cs="宋体"/>
      <w:color w:val="000000"/>
      <w:sz w:val="20"/>
      <w:szCs w:val="20"/>
      <w:u w:val="none"/>
    </w:rPr>
  </w:style>
  <w:style w:type="character" w:customStyle="1" w:styleId="126">
    <w:name w:val="font191"/>
    <w:basedOn w:val="36"/>
    <w:autoRedefine/>
    <w:qFormat/>
    <w:uiPriority w:val="0"/>
    <w:rPr>
      <w:rFonts w:hint="eastAsia" w:ascii="宋体" w:hAnsi="宋体" w:eastAsia="宋体" w:cs="宋体"/>
      <w:color w:val="000000"/>
      <w:sz w:val="16"/>
      <w:szCs w:val="16"/>
      <w:u w:val="none"/>
    </w:rPr>
  </w:style>
  <w:style w:type="character" w:customStyle="1" w:styleId="127">
    <w:name w:val="font51"/>
    <w:basedOn w:val="36"/>
    <w:autoRedefine/>
    <w:qFormat/>
    <w:uiPriority w:val="0"/>
    <w:rPr>
      <w:rFonts w:hint="eastAsia" w:ascii="宋体" w:hAnsi="宋体" w:eastAsia="宋体" w:cs="宋体"/>
      <w:color w:val="000000"/>
      <w:sz w:val="18"/>
      <w:szCs w:val="18"/>
      <w:u w:val="none"/>
    </w:rPr>
  </w:style>
  <w:style w:type="character" w:customStyle="1" w:styleId="128">
    <w:name w:val="font151"/>
    <w:basedOn w:val="36"/>
    <w:autoRedefine/>
    <w:qFormat/>
    <w:uiPriority w:val="0"/>
    <w:rPr>
      <w:rFonts w:hint="eastAsia" w:ascii="宋体" w:hAnsi="宋体" w:eastAsia="宋体" w:cs="宋体"/>
      <w:color w:val="000000"/>
      <w:sz w:val="16"/>
      <w:szCs w:val="16"/>
      <w:u w:val="none"/>
    </w:rPr>
  </w:style>
  <w:style w:type="paragraph" w:customStyle="1" w:styleId="129">
    <w:name w:val="图片表格"/>
    <w:basedOn w:val="1"/>
    <w:next w:val="1"/>
    <w:autoRedefine/>
    <w:qFormat/>
    <w:uiPriority w:val="6"/>
    <w:pPr>
      <w:jc w:val="center"/>
    </w:pPr>
  </w:style>
  <w:style w:type="paragraph" w:customStyle="1" w:styleId="130">
    <w:name w:val="正文1"/>
    <w:basedOn w:val="1"/>
    <w:autoRedefine/>
    <w:qFormat/>
    <w:uiPriority w:val="0"/>
    <w:pPr>
      <w:spacing w:before="60" w:after="60" w:line="360" w:lineRule="auto"/>
      <w:ind w:left="360"/>
      <w:outlineLvl w:val="6"/>
    </w:pPr>
  </w:style>
  <w:style w:type="paragraph" w:customStyle="1" w:styleId="131">
    <w:name w:val="表格"/>
    <w:basedOn w:val="1"/>
    <w:autoRedefine/>
    <w:qFormat/>
    <w:uiPriority w:val="0"/>
    <w:pPr>
      <w:widowControl/>
      <w:spacing w:line="240" w:lineRule="auto"/>
      <w:ind w:firstLine="0" w:firstLineChars="0"/>
      <w:jc w:val="center"/>
      <w:textAlignment w:val="center"/>
    </w:pPr>
    <w:rPr>
      <w:rFonts w:cs="Times New Roman"/>
      <w:bCs/>
      <w:color w:val="000000"/>
      <w:kern w:val="0"/>
      <w:sz w:val="21"/>
      <w:szCs w:val="40"/>
    </w:rPr>
  </w:style>
  <w:style w:type="character" w:customStyle="1" w:styleId="132">
    <w:name w:val="font61"/>
    <w:basedOn w:val="36"/>
    <w:autoRedefine/>
    <w:qFormat/>
    <w:uiPriority w:val="0"/>
    <w:rPr>
      <w:rFonts w:hint="eastAsia" w:ascii="宋体" w:hAnsi="宋体" w:eastAsia="宋体" w:cs="宋体"/>
      <w:color w:val="000000"/>
      <w:sz w:val="18"/>
      <w:szCs w:val="18"/>
      <w:u w:val="none"/>
    </w:rPr>
  </w:style>
  <w:style w:type="character" w:customStyle="1" w:styleId="133">
    <w:name w:val="font11"/>
    <w:basedOn w:val="36"/>
    <w:autoRedefine/>
    <w:qFormat/>
    <w:uiPriority w:val="0"/>
    <w:rPr>
      <w:rFonts w:hint="eastAsia" w:ascii="宋体" w:hAnsi="宋体" w:eastAsia="宋体" w:cs="宋体"/>
      <w:color w:val="000000"/>
      <w:sz w:val="22"/>
      <w:szCs w:val="22"/>
      <w:u w:val="none"/>
    </w:rPr>
  </w:style>
  <w:style w:type="paragraph" w:customStyle="1" w:styleId="134">
    <w:name w:val="_Style 32"/>
    <w:autoRedefine/>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135">
    <w:name w:val="Table Normal"/>
    <w:autoRedefine/>
    <w:semiHidden/>
    <w:unhideWhenUsed/>
    <w:qFormat/>
    <w:uiPriority w:val="0"/>
    <w:tblPr>
      <w:tblCellMar>
        <w:top w:w="0" w:type="dxa"/>
        <w:left w:w="0" w:type="dxa"/>
        <w:bottom w:w="0" w:type="dxa"/>
        <w:right w:w="0" w:type="dxa"/>
      </w:tblCellMar>
    </w:tblPr>
  </w:style>
  <w:style w:type="character" w:customStyle="1" w:styleId="136">
    <w:name w:val="font21"/>
    <w:basedOn w:val="36"/>
    <w:autoRedefine/>
    <w:qFormat/>
    <w:uiPriority w:val="0"/>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80</Pages>
  <Words>21233</Words>
  <Characters>22369</Characters>
  <Lines>403</Lines>
  <Paragraphs>113</Paragraphs>
  <TotalTime>269</TotalTime>
  <ScaleCrop>false</ScaleCrop>
  <LinksUpToDate>false</LinksUpToDate>
  <CharactersWithSpaces>29421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2022-08-02T03:10:00Z</dcterms:created>
  <dc:creator>李青</dc:creator>
  <cp:lastModifiedBy>WPS_1739925789</cp:lastModifiedBy>
  <cp:lastPrinted>2021-06-06T13:06:00Z</cp:lastPrinted>
  <dcterms:modified xsi:type="dcterms:W3CDTF">2025-06-24T08:06:14Z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25114010F0AD4E9A89A114144B5F32E4_13</vt:lpwstr>
  </property>
  <property fmtid="{D5CDD505-2E9C-101B-9397-08002B2CF9AE}" pid="4" name="KSOTemplateDocerSaveRecord">
    <vt:lpwstr>eyJoZGlkIjoiMTJhNGE0ZmM0YzdjMWFiNzJjODdjOGExZTg3MWFmYzciLCJ1c2VySWQiOiIxNjc5OTE3MTQyIn0=</vt:lpwstr>
  </property>
</Properties>
</file>