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E7A74">
      <w:pPr>
        <w:adjustRightInd w:val="0"/>
        <w:spacing w:line="360" w:lineRule="auto"/>
        <w:jc w:val="both"/>
        <w:textAlignment w:val="baseline"/>
        <w:rPr>
          <w:rFonts w:ascii="宋体" w:hAnsi="宋体"/>
          <w:sz w:val="48"/>
          <w:szCs w:val="48"/>
        </w:rPr>
      </w:pPr>
    </w:p>
    <w:p w14:paraId="7DF82407">
      <w:pPr>
        <w:adjustRightInd w:val="0"/>
        <w:spacing w:line="360" w:lineRule="auto"/>
        <w:jc w:val="center"/>
        <w:textAlignment w:val="baseline"/>
        <w:rPr>
          <w:rFonts w:ascii="宋体" w:hAnsi="宋体"/>
          <w:sz w:val="32"/>
        </w:rPr>
      </w:pPr>
    </w:p>
    <w:p w14:paraId="6580B6B8">
      <w:pPr>
        <w:pStyle w:val="30"/>
        <w:spacing w:before="0" w:after="0" w:line="240" w:lineRule="auto"/>
        <w:rPr>
          <w:rFonts w:ascii="宋体" w:hAnsi="宋体"/>
          <w:sz w:val="96"/>
        </w:rPr>
      </w:pPr>
      <w:bookmarkStart w:id="0" w:name="_Toc449568588"/>
      <w:r>
        <w:rPr>
          <w:rFonts w:hint="eastAsia" w:ascii="宋体" w:hAnsi="宋体"/>
          <w:sz w:val="84"/>
          <w:szCs w:val="84"/>
        </w:rPr>
        <w:t>竞争性磋商文件</w:t>
      </w:r>
      <w:bookmarkEnd w:id="0"/>
    </w:p>
    <w:p w14:paraId="3194EF6F">
      <w:pPr>
        <w:pStyle w:val="55"/>
        <w:rPr>
          <w:rFonts w:ascii="宋体" w:hAnsi="宋体"/>
          <w:sz w:val="36"/>
          <w:szCs w:val="36"/>
        </w:rPr>
      </w:pPr>
    </w:p>
    <w:p w14:paraId="6C8C2985">
      <w:pPr>
        <w:rPr>
          <w:rFonts w:ascii="宋体" w:hAnsi="宋体"/>
          <w:sz w:val="36"/>
          <w:szCs w:val="36"/>
        </w:rPr>
      </w:pPr>
    </w:p>
    <w:p w14:paraId="527B98AC">
      <w:pPr>
        <w:pStyle w:val="55"/>
      </w:pPr>
    </w:p>
    <w:p w14:paraId="65608AD9">
      <w:pPr>
        <w:adjustRightInd w:val="0"/>
        <w:spacing w:line="360" w:lineRule="auto"/>
        <w:jc w:val="center"/>
        <w:textAlignment w:val="baseline"/>
        <w:rPr>
          <w:rFonts w:ascii="宋体" w:hAnsi="宋体"/>
          <w:sz w:val="36"/>
          <w:szCs w:val="36"/>
        </w:rPr>
      </w:pPr>
    </w:p>
    <w:p w14:paraId="219150BC">
      <w:pPr>
        <w:spacing w:line="480" w:lineRule="auto"/>
        <w:ind w:left="2887" w:leftChars="304" w:hanging="2249" w:hangingChars="700"/>
        <w:rPr>
          <w:rFonts w:hint="eastAsia" w:ascii="宋体" w:hAnsi="宋体" w:cs="Arial"/>
          <w:b/>
          <w:kern w:val="0"/>
          <w:sz w:val="32"/>
          <w:szCs w:val="32"/>
        </w:rPr>
      </w:pPr>
    </w:p>
    <w:p w14:paraId="318E743A">
      <w:pPr>
        <w:spacing w:line="480" w:lineRule="auto"/>
        <w:ind w:left="2887" w:leftChars="304" w:hanging="2249" w:hangingChars="700"/>
        <w:rPr>
          <w:rFonts w:hint="eastAsia" w:ascii="宋体" w:hAnsi="宋体" w:cs="Arial"/>
          <w:b/>
          <w:kern w:val="0"/>
          <w:sz w:val="32"/>
          <w:szCs w:val="32"/>
        </w:rPr>
      </w:pPr>
    </w:p>
    <w:p w14:paraId="08B4464A">
      <w:pPr>
        <w:spacing w:line="480" w:lineRule="auto"/>
        <w:ind w:left="2887" w:leftChars="304" w:hanging="2249" w:hangingChars="700"/>
        <w:rPr>
          <w:rFonts w:hint="eastAsia" w:ascii="宋体" w:hAnsi="宋体" w:eastAsia="宋体" w:cs="Arial"/>
          <w:b/>
          <w:kern w:val="0"/>
          <w:sz w:val="32"/>
          <w:szCs w:val="32"/>
          <w:lang w:eastAsia="zh-CN"/>
        </w:rPr>
      </w:pPr>
      <w:r>
        <w:rPr>
          <w:rFonts w:hint="eastAsia" w:ascii="宋体" w:hAnsi="宋体" w:cs="Arial"/>
          <w:b/>
          <w:kern w:val="0"/>
          <w:sz w:val="32"/>
          <w:szCs w:val="32"/>
        </w:rPr>
        <w:t>采购项目名称：</w:t>
      </w:r>
      <w:r>
        <w:rPr>
          <w:rFonts w:hint="eastAsia" w:ascii="宋体" w:hAnsi="宋体" w:cs="Arial"/>
          <w:b/>
          <w:kern w:val="0"/>
          <w:sz w:val="32"/>
          <w:szCs w:val="32"/>
          <w:lang w:eastAsia="zh-CN"/>
        </w:rPr>
        <w:t>海西州高级中学信息化项目</w:t>
      </w:r>
    </w:p>
    <w:p w14:paraId="0E80C954">
      <w:pPr>
        <w:widowControl/>
        <w:adjustRightInd w:val="0"/>
        <w:snapToGrid w:val="0"/>
        <w:spacing w:line="480" w:lineRule="auto"/>
        <w:ind w:firstLine="643" w:firstLineChars="200"/>
        <w:jc w:val="left"/>
        <w:textAlignment w:val="baseline"/>
        <w:rPr>
          <w:rFonts w:hint="eastAsia" w:ascii="宋体" w:hAnsi="宋体" w:eastAsia="宋体" w:cs="Arial"/>
          <w:b/>
          <w:kern w:val="0"/>
          <w:sz w:val="32"/>
          <w:szCs w:val="32"/>
          <w:lang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青海鹰扬竞磋（货物）2025-001</w:t>
      </w:r>
    </w:p>
    <w:p w14:paraId="3D5E768F">
      <w:pPr>
        <w:widowControl/>
        <w:adjustRightInd w:val="0"/>
        <w:snapToGrid w:val="0"/>
        <w:spacing w:line="480" w:lineRule="auto"/>
        <w:ind w:firstLine="643" w:firstLineChars="200"/>
        <w:jc w:val="left"/>
        <w:textAlignment w:val="baseline"/>
        <w:rPr>
          <w:rFonts w:hint="eastAsia" w:ascii="宋体" w:hAnsi="宋体" w:eastAsia="宋体"/>
          <w:sz w:val="32"/>
          <w:szCs w:val="32"/>
          <w:lang w:eastAsia="zh-CN"/>
        </w:rPr>
      </w:pPr>
      <w:r>
        <w:rPr>
          <w:rFonts w:hint="eastAsia" w:ascii="宋体" w:hAnsi="宋体" w:cs="Arial"/>
          <w:b/>
          <w:kern w:val="0"/>
          <w:sz w:val="32"/>
          <w:szCs w:val="32"/>
        </w:rPr>
        <w:t>采  购 单 位</w:t>
      </w:r>
      <w:r>
        <w:rPr>
          <w:rFonts w:hint="eastAsia" w:ascii="宋体" w:hAnsi="宋体"/>
          <w:sz w:val="32"/>
          <w:szCs w:val="32"/>
        </w:rPr>
        <w:t>：</w:t>
      </w:r>
      <w:r>
        <w:rPr>
          <w:rFonts w:hint="eastAsia" w:ascii="宋体" w:hAnsi="宋体" w:cs="Arial"/>
          <w:b/>
          <w:kern w:val="0"/>
          <w:sz w:val="32"/>
          <w:szCs w:val="32"/>
          <w:lang w:eastAsia="zh-CN"/>
        </w:rPr>
        <w:t>德令哈市教育局</w:t>
      </w:r>
    </w:p>
    <w:p w14:paraId="513AC31B">
      <w:pPr>
        <w:widowControl/>
        <w:adjustRightInd w:val="0"/>
        <w:snapToGrid w:val="0"/>
        <w:spacing w:line="480" w:lineRule="auto"/>
        <w:ind w:firstLine="643" w:firstLineChars="200"/>
        <w:jc w:val="left"/>
        <w:textAlignment w:val="baseline"/>
        <w:rPr>
          <w:rFonts w:hint="eastAsia" w:ascii="宋体" w:hAnsi="宋体" w:eastAsia="宋体"/>
          <w:b/>
          <w:bCs/>
          <w:sz w:val="32"/>
          <w:szCs w:val="32"/>
          <w:lang w:eastAsia="zh-CN"/>
        </w:rPr>
      </w:pPr>
      <w:r>
        <w:rPr>
          <w:rFonts w:ascii="宋体" w:hAnsi="宋体"/>
          <w:b/>
          <w:bCs/>
          <w:sz w:val="32"/>
          <w:szCs w:val="32"/>
        </w:rPr>
        <w:t>采购代理机构</w:t>
      </w:r>
      <w:r>
        <w:rPr>
          <w:rFonts w:hint="eastAsia" w:ascii="宋体" w:hAnsi="宋体"/>
          <w:b/>
          <w:bCs/>
          <w:sz w:val="32"/>
          <w:szCs w:val="32"/>
        </w:rPr>
        <w:t>：</w:t>
      </w:r>
      <w:r>
        <w:rPr>
          <w:rFonts w:hint="eastAsia" w:ascii="宋体" w:hAnsi="宋体"/>
          <w:b/>
          <w:bCs/>
          <w:sz w:val="32"/>
          <w:szCs w:val="32"/>
          <w:lang w:eastAsia="zh-CN"/>
        </w:rPr>
        <w:t>青海鹰扬招标代理有限公司</w:t>
      </w:r>
    </w:p>
    <w:p w14:paraId="5DFC0ECE">
      <w:pPr>
        <w:rPr>
          <w:rFonts w:ascii="宋体" w:hAnsi="宋体"/>
          <w:b/>
          <w:bCs/>
          <w:sz w:val="32"/>
          <w:szCs w:val="32"/>
        </w:rPr>
      </w:pPr>
    </w:p>
    <w:p w14:paraId="053F5724">
      <w:pPr>
        <w:pStyle w:val="55"/>
        <w:ind w:left="0" w:leftChars="0" w:firstLine="0" w:firstLineChars="0"/>
        <w:rPr>
          <w:rFonts w:ascii="宋体" w:hAnsi="宋体"/>
          <w:b/>
          <w:bCs/>
          <w:sz w:val="32"/>
          <w:szCs w:val="32"/>
        </w:rPr>
      </w:pPr>
    </w:p>
    <w:p w14:paraId="14BFC451"/>
    <w:p w14:paraId="6F3DD619">
      <w:pPr>
        <w:adjustRightInd w:val="0"/>
        <w:spacing w:line="360" w:lineRule="auto"/>
        <w:jc w:val="center"/>
        <w:textAlignment w:val="baseline"/>
        <w:rPr>
          <w:rFonts w:hint="eastAsia" w:ascii="宋体" w:hAnsi="宋体"/>
          <w:b/>
          <w:bCs/>
          <w:sz w:val="32"/>
          <w:szCs w:val="32"/>
        </w:rPr>
      </w:pPr>
    </w:p>
    <w:p w14:paraId="2F5B4E0C">
      <w:pPr>
        <w:adjustRightInd w:val="0"/>
        <w:spacing w:line="360" w:lineRule="auto"/>
        <w:jc w:val="center"/>
        <w:textAlignment w:val="baseline"/>
        <w:rPr>
          <w:rFonts w:hint="default" w:ascii="宋体" w:hAnsi="宋体" w:eastAsia="宋体"/>
          <w:b/>
          <w:bCs/>
          <w:sz w:val="32"/>
          <w:szCs w:val="32"/>
          <w:lang w:val="en-US" w:eastAsia="zh-CN"/>
        </w:rPr>
      </w:pPr>
      <w:r>
        <w:rPr>
          <w:rFonts w:hint="eastAsia" w:ascii="宋体" w:hAnsi="宋体"/>
          <w:b/>
          <w:bCs/>
          <w:sz w:val="32"/>
          <w:szCs w:val="32"/>
        </w:rPr>
        <w:t>202</w:t>
      </w:r>
      <w:r>
        <w:rPr>
          <w:rFonts w:hint="eastAsia" w:ascii="宋体" w:hAnsi="宋体"/>
          <w:b/>
          <w:bCs/>
          <w:sz w:val="32"/>
          <w:szCs w:val="32"/>
          <w:lang w:val="en-US" w:eastAsia="zh-CN"/>
        </w:rPr>
        <w:t>5</w:t>
      </w:r>
      <w:r>
        <w:rPr>
          <w:rFonts w:hint="eastAsia" w:ascii="宋体" w:hAnsi="宋体"/>
          <w:b/>
          <w:bCs/>
          <w:sz w:val="32"/>
          <w:szCs w:val="32"/>
        </w:rPr>
        <w:t>年</w:t>
      </w:r>
      <w:r>
        <w:rPr>
          <w:rFonts w:hint="eastAsia" w:ascii="宋体" w:hAnsi="宋体"/>
          <w:b/>
          <w:bCs/>
          <w:sz w:val="32"/>
          <w:szCs w:val="32"/>
          <w:lang w:val="en-US" w:eastAsia="zh-CN"/>
        </w:rPr>
        <w:t>07</w:t>
      </w:r>
      <w:r>
        <w:rPr>
          <w:rFonts w:hint="eastAsia" w:ascii="宋体" w:hAnsi="宋体"/>
          <w:b/>
          <w:bCs/>
          <w:sz w:val="32"/>
          <w:szCs w:val="32"/>
        </w:rPr>
        <w:t>月</w:t>
      </w:r>
    </w:p>
    <w:p w14:paraId="0C08E4F6">
      <w:pPr>
        <w:spacing w:line="360" w:lineRule="auto"/>
        <w:jc w:val="center"/>
        <w:rPr>
          <w:rFonts w:ascii="宋体" w:hAnsi="宋体"/>
        </w:rPr>
      </w:pPr>
    </w:p>
    <w:p w14:paraId="145674AF">
      <w:pPr>
        <w:bidi w:val="0"/>
        <w:jc w:val="center"/>
        <w:rPr>
          <w:rFonts w:ascii="宋体" w:hAnsi="宋体"/>
          <w:b/>
          <w:sz w:val="44"/>
          <w:szCs w:val="44"/>
        </w:rPr>
        <w:sectPr>
          <w:headerReference r:id="rId4" w:type="first"/>
          <w:headerReference r:id="rId3" w:type="default"/>
          <w:pgSz w:w="11906" w:h="16838"/>
          <w:pgMar w:top="1440" w:right="1077" w:bottom="1440" w:left="1077" w:header="851" w:footer="992" w:gutter="0"/>
          <w:pgNumType w:start="0"/>
          <w:cols w:space="720" w:num="1"/>
          <w:titlePg/>
          <w:docGrid w:linePitch="312" w:charSpace="0"/>
        </w:sectPr>
      </w:pPr>
    </w:p>
    <w:p w14:paraId="68714477">
      <w:pPr>
        <w:bidi w:val="0"/>
        <w:jc w:val="center"/>
        <w:rPr>
          <w:rFonts w:ascii="宋体" w:hAnsi="宋体"/>
          <w:b/>
          <w:sz w:val="44"/>
          <w:szCs w:val="44"/>
        </w:rPr>
      </w:pPr>
      <w:r>
        <w:rPr>
          <w:rFonts w:ascii="宋体" w:hAnsi="宋体"/>
          <w:b/>
          <w:sz w:val="44"/>
          <w:szCs w:val="44"/>
        </w:rPr>
        <w:t>目</w:t>
      </w:r>
      <w:r>
        <w:rPr>
          <w:rFonts w:hint="eastAsia" w:ascii="宋体" w:hAnsi="宋体"/>
          <w:b/>
          <w:sz w:val="44"/>
          <w:szCs w:val="44"/>
        </w:rPr>
        <w:t xml:space="preserve"> </w:t>
      </w:r>
      <w:r>
        <w:rPr>
          <w:rFonts w:ascii="宋体" w:hAnsi="宋体"/>
          <w:b/>
          <w:sz w:val="44"/>
          <w:szCs w:val="44"/>
        </w:rPr>
        <w:t>录</w:t>
      </w:r>
    </w:p>
    <w:p w14:paraId="3D99058D">
      <w:pPr>
        <w:pStyle w:val="11"/>
      </w:pPr>
    </w:p>
    <w:p w14:paraId="0AA2F2CE">
      <w:pPr>
        <w:pStyle w:val="23"/>
        <w:spacing w:line="600" w:lineRule="auto"/>
        <w:jc w:val="center"/>
        <w:rPr>
          <w:rFonts w:asciiTheme="minorHAnsi" w:hAnsiTheme="minorHAnsi" w:eastAsiaTheme="minorEastAsia" w:cstheme="minorBidi"/>
          <w:sz w:val="28"/>
          <w:szCs w:val="28"/>
        </w:rPr>
      </w:pPr>
      <w:r>
        <w:rPr>
          <w:rFonts w:ascii="宋体" w:hAnsi="宋体"/>
          <w:sz w:val="24"/>
        </w:rPr>
        <w:fldChar w:fldCharType="begin"/>
      </w:r>
      <w:r>
        <w:rPr>
          <w:rFonts w:ascii="宋体" w:hAnsi="宋体"/>
          <w:sz w:val="24"/>
        </w:rPr>
        <w:instrText xml:space="preserve"> TOC \h \z \t "标题 1,1,标题 2,1,标题 3,1,标题 4,1,标题 5,1,标题 6,1,标题 7,1,副标题,1" </w:instrText>
      </w:r>
      <w:r>
        <w:rPr>
          <w:rFonts w:ascii="宋体" w:hAnsi="宋体"/>
          <w:sz w:val="24"/>
        </w:rPr>
        <w:fldChar w:fldCharType="separate"/>
      </w:r>
      <w:r>
        <w:rPr>
          <w:sz w:val="28"/>
          <w:szCs w:val="28"/>
        </w:rPr>
        <w:fldChar w:fldCharType="begin"/>
      </w:r>
      <w:r>
        <w:rPr>
          <w:sz w:val="28"/>
          <w:szCs w:val="28"/>
        </w:rPr>
        <w:instrText xml:space="preserve"> HYPERLINK \l "_Toc1575293" </w:instrText>
      </w:r>
      <w:r>
        <w:rPr>
          <w:sz w:val="28"/>
          <w:szCs w:val="28"/>
        </w:rPr>
        <w:fldChar w:fldCharType="separate"/>
      </w:r>
      <w:r>
        <w:rPr>
          <w:rStyle w:val="45"/>
          <w:rFonts w:hint="eastAsia" w:ascii="宋体" w:hAnsi="宋体"/>
          <w:sz w:val="28"/>
          <w:szCs w:val="28"/>
        </w:rPr>
        <w:t>第一部分</w:t>
      </w:r>
      <w:r>
        <w:rPr>
          <w:rStyle w:val="45"/>
          <w:rFonts w:hint="eastAsia" w:ascii="宋体" w:hAnsi="宋体"/>
          <w:sz w:val="28"/>
          <w:szCs w:val="28"/>
          <w:lang w:val="en-US" w:eastAsia="zh-CN"/>
        </w:rPr>
        <w:t xml:space="preserve"> </w:t>
      </w:r>
      <w:r>
        <w:rPr>
          <w:rStyle w:val="45"/>
          <w:rFonts w:hint="eastAsia" w:ascii="宋体" w:hAnsi="宋体"/>
          <w:sz w:val="28"/>
          <w:szCs w:val="28"/>
        </w:rPr>
        <w:t>磋商邀请</w:t>
      </w:r>
      <w:r>
        <w:rPr>
          <w:sz w:val="28"/>
          <w:szCs w:val="28"/>
        </w:rPr>
        <w:tab/>
      </w:r>
      <w:r>
        <w:rPr>
          <w:sz w:val="28"/>
          <w:szCs w:val="28"/>
        </w:rPr>
        <w:fldChar w:fldCharType="begin"/>
      </w:r>
      <w:r>
        <w:rPr>
          <w:sz w:val="28"/>
          <w:szCs w:val="28"/>
        </w:rPr>
        <w:instrText xml:space="preserve"> PAGEREF _Toc1575293 \h </w:instrText>
      </w:r>
      <w:r>
        <w:rPr>
          <w:sz w:val="28"/>
          <w:szCs w:val="28"/>
        </w:rPr>
        <w:fldChar w:fldCharType="separate"/>
      </w:r>
      <w:r>
        <w:rPr>
          <w:sz w:val="28"/>
          <w:szCs w:val="28"/>
        </w:rPr>
        <w:t>2</w:t>
      </w:r>
      <w:r>
        <w:rPr>
          <w:sz w:val="28"/>
          <w:szCs w:val="28"/>
        </w:rPr>
        <w:fldChar w:fldCharType="end"/>
      </w:r>
      <w:r>
        <w:rPr>
          <w:sz w:val="28"/>
          <w:szCs w:val="28"/>
        </w:rPr>
        <w:fldChar w:fldCharType="end"/>
      </w:r>
    </w:p>
    <w:p w14:paraId="45BEBFDA">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"_Toc1575294" </w:instrText>
      </w:r>
      <w:r>
        <w:rPr>
          <w:sz w:val="28"/>
          <w:szCs w:val="28"/>
        </w:rPr>
        <w:fldChar w:fldCharType="separate"/>
      </w:r>
      <w:r>
        <w:rPr>
          <w:rStyle w:val="45"/>
          <w:rFonts w:hint="eastAsia" w:ascii="宋体" w:hAnsi="宋体"/>
          <w:sz w:val="28"/>
          <w:szCs w:val="28"/>
        </w:rPr>
        <w:t>第二部分</w:t>
      </w:r>
      <w:r>
        <w:rPr>
          <w:rStyle w:val="45"/>
          <w:rFonts w:hint="eastAsia" w:ascii="宋体" w:hAnsi="宋体"/>
          <w:sz w:val="28"/>
          <w:szCs w:val="28"/>
          <w:lang w:val="en-US" w:eastAsia="zh-CN"/>
        </w:rPr>
        <w:t xml:space="preserve"> </w:t>
      </w:r>
      <w:r>
        <w:rPr>
          <w:rStyle w:val="45"/>
          <w:rFonts w:hint="eastAsia" w:ascii="宋体" w:hAnsi="宋体"/>
          <w:sz w:val="28"/>
          <w:szCs w:val="28"/>
        </w:rPr>
        <w:t>磋商供应商须知前附表</w:t>
      </w:r>
      <w:r>
        <w:rPr>
          <w:sz w:val="28"/>
          <w:szCs w:val="28"/>
        </w:rPr>
        <w:tab/>
      </w:r>
      <w:r>
        <w:rPr>
          <w:sz w:val="28"/>
          <w:szCs w:val="28"/>
        </w:rPr>
        <w:fldChar w:fldCharType="begin"/>
      </w:r>
      <w:r>
        <w:rPr>
          <w:sz w:val="28"/>
          <w:szCs w:val="28"/>
        </w:rPr>
        <w:instrText xml:space="preserve"> PAGEREF _Toc1575294 \h </w:instrText>
      </w:r>
      <w:r>
        <w:rPr>
          <w:sz w:val="28"/>
          <w:szCs w:val="28"/>
        </w:rPr>
        <w:fldChar w:fldCharType="separate"/>
      </w:r>
      <w:r>
        <w:rPr>
          <w:sz w:val="28"/>
          <w:szCs w:val="28"/>
        </w:rPr>
        <w:t>5</w:t>
      </w:r>
      <w:r>
        <w:rPr>
          <w:sz w:val="28"/>
          <w:szCs w:val="28"/>
        </w:rPr>
        <w:fldChar w:fldCharType="end"/>
      </w:r>
      <w:r>
        <w:rPr>
          <w:sz w:val="28"/>
          <w:szCs w:val="28"/>
        </w:rPr>
        <w:fldChar w:fldCharType="end"/>
      </w:r>
    </w:p>
    <w:p w14:paraId="3E449140">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"_Toc1575295" </w:instrText>
      </w:r>
      <w:r>
        <w:rPr>
          <w:sz w:val="28"/>
          <w:szCs w:val="28"/>
        </w:rPr>
        <w:fldChar w:fldCharType="separate"/>
      </w:r>
      <w:r>
        <w:rPr>
          <w:rStyle w:val="45"/>
          <w:rFonts w:hint="eastAsia" w:ascii="宋体" w:hAnsi="宋体"/>
          <w:sz w:val="28"/>
          <w:szCs w:val="28"/>
        </w:rPr>
        <w:t>第三部分</w:t>
      </w:r>
      <w:r>
        <w:rPr>
          <w:rStyle w:val="45"/>
          <w:rFonts w:hint="eastAsia" w:ascii="宋体" w:hAnsi="宋体"/>
          <w:sz w:val="28"/>
          <w:szCs w:val="28"/>
          <w:lang w:val="en-US" w:eastAsia="zh-CN"/>
        </w:rPr>
        <w:t xml:space="preserve"> </w:t>
      </w:r>
      <w:r>
        <w:rPr>
          <w:rStyle w:val="45"/>
          <w:rFonts w:hint="eastAsia" w:ascii="宋体" w:hAnsi="宋体"/>
          <w:sz w:val="28"/>
          <w:szCs w:val="28"/>
        </w:rPr>
        <w:t>磋商供应商须知</w:t>
      </w:r>
      <w:r>
        <w:rPr>
          <w:sz w:val="28"/>
          <w:szCs w:val="28"/>
        </w:rPr>
        <w:tab/>
      </w:r>
      <w:r>
        <w:rPr>
          <w:sz w:val="28"/>
          <w:szCs w:val="28"/>
        </w:rPr>
        <w:fldChar w:fldCharType="begin"/>
      </w:r>
      <w:r>
        <w:rPr>
          <w:sz w:val="28"/>
          <w:szCs w:val="28"/>
        </w:rPr>
        <w:instrText xml:space="preserve"> PAGEREF _Toc1575295 \h </w:instrText>
      </w:r>
      <w:r>
        <w:rPr>
          <w:sz w:val="28"/>
          <w:szCs w:val="28"/>
        </w:rPr>
        <w:fldChar w:fldCharType="separate"/>
      </w:r>
      <w:r>
        <w:rPr>
          <w:sz w:val="28"/>
          <w:szCs w:val="28"/>
        </w:rPr>
        <w:t>8</w:t>
      </w:r>
      <w:r>
        <w:rPr>
          <w:sz w:val="28"/>
          <w:szCs w:val="28"/>
        </w:rPr>
        <w:fldChar w:fldCharType="end"/>
      </w:r>
      <w:r>
        <w:rPr>
          <w:sz w:val="28"/>
          <w:szCs w:val="28"/>
        </w:rPr>
        <w:fldChar w:fldCharType="end"/>
      </w:r>
    </w:p>
    <w:p w14:paraId="29CB76FF">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"_Toc1575330" </w:instrText>
      </w:r>
      <w:r>
        <w:rPr>
          <w:sz w:val="28"/>
          <w:szCs w:val="28"/>
        </w:rPr>
        <w:fldChar w:fldCharType="separate"/>
      </w:r>
      <w:r>
        <w:rPr>
          <w:rStyle w:val="45"/>
          <w:rFonts w:hint="eastAsia" w:ascii="宋体" w:hAnsi="宋体"/>
          <w:sz w:val="28"/>
          <w:szCs w:val="28"/>
        </w:rPr>
        <w:t>第四部分</w:t>
      </w:r>
      <w:r>
        <w:rPr>
          <w:rStyle w:val="45"/>
          <w:rFonts w:hint="eastAsia" w:ascii="宋体" w:hAnsi="宋体"/>
          <w:sz w:val="28"/>
          <w:szCs w:val="28"/>
          <w:lang w:val="en-US" w:eastAsia="zh-CN"/>
        </w:rPr>
        <w:t xml:space="preserve"> </w:t>
      </w:r>
      <w:r>
        <w:rPr>
          <w:rStyle w:val="45"/>
          <w:rFonts w:hint="eastAsia" w:ascii="宋体" w:hAnsi="宋体"/>
          <w:sz w:val="28"/>
          <w:szCs w:val="28"/>
        </w:rPr>
        <w:t>青海省政府采购合同文本样式</w:t>
      </w:r>
      <w:r>
        <w:rPr>
          <w:sz w:val="28"/>
          <w:szCs w:val="28"/>
        </w:rPr>
        <w:tab/>
      </w:r>
      <w:r>
        <w:rPr>
          <w:sz w:val="28"/>
          <w:szCs w:val="28"/>
        </w:rPr>
        <w:fldChar w:fldCharType="begin"/>
      </w:r>
      <w:r>
        <w:rPr>
          <w:sz w:val="28"/>
          <w:szCs w:val="28"/>
        </w:rPr>
        <w:instrText xml:space="preserve"> PAGEREF _Toc1575330 \h </w:instrText>
      </w:r>
      <w:r>
        <w:rPr>
          <w:sz w:val="28"/>
          <w:szCs w:val="28"/>
        </w:rPr>
        <w:fldChar w:fldCharType="separate"/>
      </w:r>
      <w:r>
        <w:rPr>
          <w:sz w:val="28"/>
          <w:szCs w:val="28"/>
        </w:rPr>
        <w:t>22</w:t>
      </w:r>
      <w:r>
        <w:rPr>
          <w:sz w:val="28"/>
          <w:szCs w:val="28"/>
        </w:rPr>
        <w:fldChar w:fldCharType="end"/>
      </w:r>
      <w:r>
        <w:rPr>
          <w:sz w:val="28"/>
          <w:szCs w:val="28"/>
        </w:rPr>
        <w:fldChar w:fldCharType="end"/>
      </w:r>
    </w:p>
    <w:p w14:paraId="4C2E181A">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"_Toc1575331" </w:instrText>
      </w:r>
      <w:r>
        <w:rPr>
          <w:sz w:val="28"/>
          <w:szCs w:val="28"/>
        </w:rPr>
        <w:fldChar w:fldCharType="separate"/>
      </w:r>
      <w:r>
        <w:rPr>
          <w:rStyle w:val="45"/>
          <w:rFonts w:hint="eastAsia" w:ascii="宋体" w:hAnsi="宋体"/>
          <w:sz w:val="28"/>
          <w:szCs w:val="28"/>
        </w:rPr>
        <w:t>第五部分</w:t>
      </w:r>
      <w:r>
        <w:rPr>
          <w:rStyle w:val="45"/>
          <w:rFonts w:hint="eastAsia" w:ascii="宋体" w:hAnsi="宋体"/>
          <w:sz w:val="28"/>
          <w:szCs w:val="28"/>
          <w:lang w:val="en-US" w:eastAsia="zh-CN"/>
        </w:rPr>
        <w:t xml:space="preserve"> </w:t>
      </w:r>
      <w:r>
        <w:rPr>
          <w:rStyle w:val="45"/>
          <w:rFonts w:hint="eastAsia" w:ascii="宋体" w:hAnsi="宋体"/>
          <w:sz w:val="28"/>
          <w:szCs w:val="28"/>
        </w:rPr>
        <w:t>磋商响应文件格式</w:t>
      </w:r>
      <w:r>
        <w:rPr>
          <w:sz w:val="28"/>
          <w:szCs w:val="28"/>
        </w:rPr>
        <w:tab/>
      </w:r>
      <w:r>
        <w:rPr>
          <w:sz w:val="28"/>
          <w:szCs w:val="28"/>
        </w:rPr>
        <w:fldChar w:fldCharType="begin"/>
      </w:r>
      <w:r>
        <w:rPr>
          <w:sz w:val="28"/>
          <w:szCs w:val="28"/>
        </w:rPr>
        <w:instrText xml:space="preserve"> PAGEREF _Toc1575331 \h </w:instrText>
      </w:r>
      <w:r>
        <w:rPr>
          <w:sz w:val="28"/>
          <w:szCs w:val="28"/>
        </w:rPr>
        <w:fldChar w:fldCharType="separate"/>
      </w:r>
      <w:r>
        <w:rPr>
          <w:sz w:val="28"/>
          <w:szCs w:val="28"/>
        </w:rPr>
        <w:t>34</w:t>
      </w:r>
      <w:r>
        <w:rPr>
          <w:sz w:val="28"/>
          <w:szCs w:val="28"/>
        </w:rPr>
        <w:fldChar w:fldCharType="end"/>
      </w:r>
      <w:r>
        <w:rPr>
          <w:sz w:val="28"/>
          <w:szCs w:val="28"/>
        </w:rPr>
        <w:fldChar w:fldCharType="end"/>
      </w:r>
    </w:p>
    <w:p w14:paraId="7BE414D8">
      <w:pPr>
        <w:pStyle w:val="23"/>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"_Toc1575356" </w:instrText>
      </w:r>
      <w:r>
        <w:rPr>
          <w:sz w:val="28"/>
          <w:szCs w:val="28"/>
        </w:rPr>
        <w:fldChar w:fldCharType="separate"/>
      </w:r>
      <w:r>
        <w:rPr>
          <w:rStyle w:val="45"/>
          <w:rFonts w:hint="eastAsia" w:ascii="宋体" w:hAnsi="宋体"/>
          <w:sz w:val="28"/>
          <w:szCs w:val="28"/>
        </w:rPr>
        <w:t>第六部分</w:t>
      </w:r>
      <w:r>
        <w:rPr>
          <w:rStyle w:val="45"/>
          <w:rFonts w:hint="eastAsia" w:ascii="宋体" w:hAnsi="宋体"/>
          <w:sz w:val="28"/>
          <w:szCs w:val="28"/>
          <w:lang w:val="en-US" w:eastAsia="zh-CN"/>
        </w:rPr>
        <w:t xml:space="preserve"> </w:t>
      </w:r>
      <w:r>
        <w:rPr>
          <w:rStyle w:val="45"/>
          <w:rFonts w:hint="eastAsia" w:ascii="宋体" w:hAnsi="宋体"/>
          <w:sz w:val="28"/>
          <w:szCs w:val="28"/>
        </w:rPr>
        <w:t>采购项目要求及技术参数</w:t>
      </w:r>
      <w:r>
        <w:rPr>
          <w:sz w:val="28"/>
          <w:szCs w:val="28"/>
        </w:rPr>
        <w:tab/>
      </w:r>
      <w:r>
        <w:rPr>
          <w:sz w:val="28"/>
          <w:szCs w:val="28"/>
        </w:rPr>
        <w:fldChar w:fldCharType="begin"/>
      </w:r>
      <w:r>
        <w:rPr>
          <w:sz w:val="28"/>
          <w:szCs w:val="28"/>
        </w:rPr>
        <w:instrText xml:space="preserve"> PAGEREF _Toc1575356 \h </w:instrText>
      </w:r>
      <w:r>
        <w:rPr>
          <w:sz w:val="28"/>
          <w:szCs w:val="28"/>
        </w:rPr>
        <w:fldChar w:fldCharType="separate"/>
      </w:r>
      <w:r>
        <w:rPr>
          <w:sz w:val="28"/>
          <w:szCs w:val="28"/>
        </w:rPr>
        <w:t>59</w:t>
      </w:r>
      <w:r>
        <w:rPr>
          <w:sz w:val="28"/>
          <w:szCs w:val="28"/>
        </w:rPr>
        <w:fldChar w:fldCharType="end"/>
      </w:r>
      <w:r>
        <w:rPr>
          <w:sz w:val="28"/>
          <w:szCs w:val="28"/>
        </w:rPr>
        <w:fldChar w:fldCharType="end"/>
      </w:r>
    </w:p>
    <w:p w14:paraId="6E972F11">
      <w:pPr>
        <w:pStyle w:val="23"/>
        <w:jc w:val="center"/>
        <w:rPr>
          <w:rFonts w:asciiTheme="minorHAnsi" w:hAnsiTheme="minorHAnsi" w:eastAsiaTheme="minorEastAsia" w:cstheme="minorBidi"/>
          <w:szCs w:val="22"/>
        </w:rPr>
      </w:pPr>
    </w:p>
    <w:p w14:paraId="07B4B74F">
      <w:pPr>
        <w:pStyle w:val="23"/>
        <w:spacing w:line="360" w:lineRule="auto"/>
        <w:jc w:val="both"/>
        <w:rPr>
          <w:rFonts w:ascii="宋体" w:hAnsi="宋体"/>
          <w:bCs/>
          <w:sz w:val="24"/>
        </w:rPr>
      </w:pPr>
      <w:r>
        <w:rPr>
          <w:rFonts w:ascii="宋体" w:hAnsi="宋体"/>
          <w:bCs/>
          <w:sz w:val="24"/>
        </w:rPr>
        <w:fldChar w:fldCharType="end"/>
      </w:r>
    </w:p>
    <w:p w14:paraId="0C46D30B">
      <w:pPr>
        <w:pStyle w:val="24"/>
        <w:spacing w:before="0" w:after="0" w:line="360" w:lineRule="auto"/>
        <w:outlineLvl w:val="9"/>
        <w:rPr>
          <w:rFonts w:ascii="宋体" w:hAnsi="宋体"/>
          <w:sz w:val="48"/>
        </w:rPr>
      </w:pPr>
      <w:bookmarkStart w:id="1" w:name="_Toc444715732"/>
      <w:bookmarkStart w:id="2" w:name="_Toc1575293"/>
      <w:bookmarkStart w:id="3" w:name="_Hlk503427406"/>
    </w:p>
    <w:p w14:paraId="2EEA1534">
      <w:pPr>
        <w:pStyle w:val="24"/>
        <w:spacing w:before="0" w:after="0" w:line="360" w:lineRule="auto"/>
        <w:outlineLvl w:val="9"/>
        <w:rPr>
          <w:rFonts w:hint="eastAsia" w:ascii="宋体" w:hAnsi="宋体"/>
          <w:sz w:val="48"/>
        </w:rPr>
      </w:pPr>
    </w:p>
    <w:p w14:paraId="53EF976B">
      <w:pPr>
        <w:pStyle w:val="24"/>
        <w:spacing w:before="0" w:after="0" w:line="360" w:lineRule="auto"/>
        <w:outlineLvl w:val="9"/>
        <w:rPr>
          <w:rFonts w:hint="eastAsia" w:ascii="宋体" w:hAnsi="宋体"/>
          <w:sz w:val="48"/>
        </w:rPr>
      </w:pPr>
    </w:p>
    <w:p w14:paraId="2EB229C1">
      <w:pPr>
        <w:pStyle w:val="24"/>
        <w:spacing w:before="0" w:after="0" w:line="360" w:lineRule="auto"/>
        <w:outlineLvl w:val="9"/>
        <w:rPr>
          <w:rFonts w:hint="eastAsia" w:ascii="宋体" w:hAnsi="宋体"/>
          <w:sz w:val="48"/>
        </w:rPr>
      </w:pPr>
    </w:p>
    <w:p w14:paraId="7A40D0A1">
      <w:pPr>
        <w:pStyle w:val="24"/>
        <w:spacing w:before="0" w:after="0" w:line="360" w:lineRule="auto"/>
        <w:outlineLvl w:val="9"/>
        <w:rPr>
          <w:rFonts w:hint="eastAsia" w:ascii="宋体" w:hAnsi="宋体"/>
          <w:sz w:val="48"/>
        </w:rPr>
      </w:pPr>
    </w:p>
    <w:p w14:paraId="44940EA9">
      <w:pPr>
        <w:pStyle w:val="24"/>
        <w:spacing w:before="0" w:after="0" w:line="360" w:lineRule="auto"/>
        <w:outlineLvl w:val="9"/>
        <w:rPr>
          <w:rFonts w:hint="eastAsia" w:ascii="宋体" w:hAnsi="宋体"/>
          <w:sz w:val="48"/>
        </w:rPr>
      </w:pPr>
    </w:p>
    <w:p w14:paraId="2908BDE3">
      <w:pPr>
        <w:pStyle w:val="24"/>
        <w:spacing w:before="0" w:after="0" w:line="360" w:lineRule="auto"/>
        <w:outlineLvl w:val="9"/>
        <w:rPr>
          <w:rFonts w:hint="eastAsia" w:ascii="宋体" w:hAnsi="宋体"/>
          <w:sz w:val="48"/>
        </w:rPr>
      </w:pPr>
    </w:p>
    <w:p w14:paraId="1F5AB2F7">
      <w:pPr>
        <w:pStyle w:val="24"/>
        <w:spacing w:before="0" w:after="0" w:line="360" w:lineRule="auto"/>
        <w:rPr>
          <w:rFonts w:ascii="宋体" w:hAnsi="宋体"/>
          <w:sz w:val="36"/>
          <w:szCs w:val="22"/>
        </w:rPr>
      </w:pPr>
      <w:r>
        <w:rPr>
          <w:rFonts w:hint="eastAsia" w:ascii="宋体" w:hAnsi="宋体"/>
          <w:sz w:val="36"/>
          <w:szCs w:val="22"/>
        </w:rPr>
        <w:t>第一部分磋商邀请</w:t>
      </w:r>
      <w:bookmarkEnd w:id="1"/>
      <w:bookmarkEnd w:id="2"/>
    </w:p>
    <w:p w14:paraId="2EFF38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lang w:val="zh-CN"/>
        </w:rPr>
      </w:pPr>
      <w:bookmarkStart w:id="4" w:name="_Hlk503427571"/>
      <w:r>
        <w:rPr>
          <w:rFonts w:hint="eastAsia" w:ascii="宋体" w:hAnsi="宋体" w:cs="宋体"/>
          <w:b/>
          <w:color w:val="auto"/>
          <w:sz w:val="32"/>
          <w:szCs w:val="32"/>
          <w:lang w:val="zh-CN"/>
        </w:rPr>
        <w:t>海西州高级中学信息化项目</w:t>
      </w:r>
    </w:p>
    <w:p w14:paraId="089DEA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rPr>
      </w:pPr>
      <w:r>
        <w:rPr>
          <w:rFonts w:hint="eastAsia" w:ascii="宋体" w:hAnsi="宋体" w:cs="宋体"/>
          <w:b/>
          <w:color w:val="auto"/>
          <w:sz w:val="32"/>
          <w:szCs w:val="32"/>
        </w:rPr>
        <w:t>竞争性磋商公告</w:t>
      </w:r>
    </w:p>
    <w:p w14:paraId="01BA1F7B">
      <w:pPr>
        <w:pStyle w:val="32"/>
        <w:rPr>
          <w:rFonts w:hint="eastAsia"/>
        </w:rPr>
      </w:pPr>
    </w:p>
    <w:p w14:paraId="03C3E42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项目概况</w:t>
      </w:r>
    </w:p>
    <w:p w14:paraId="0AA92A9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zh-CN"/>
        </w:rPr>
        <w:t>（海西州高级中学信息化项目）</w:t>
      </w:r>
      <w:r>
        <w:rPr>
          <w:rFonts w:hint="eastAsia" w:ascii="宋体" w:hAnsi="宋体" w:cs="宋体"/>
          <w:color w:val="auto"/>
          <w:sz w:val="24"/>
        </w:rPr>
        <w:t>采购项目的潜在供应商应在线上获取通过政采云平台（www.zcygov.cn）获取采购文件，并于</w:t>
      </w:r>
      <w:r>
        <w:rPr>
          <w:rFonts w:hint="eastAsia" w:ascii="宋体" w:hAnsi="宋体" w:cs="宋体"/>
          <w:color w:val="auto"/>
          <w:sz w:val="24"/>
          <w:lang w:eastAsia="zh-CN"/>
        </w:rPr>
        <w:t>2025年07月14日下午14时30分（北京时间）</w:t>
      </w:r>
      <w:r>
        <w:rPr>
          <w:rFonts w:hint="eastAsia" w:ascii="宋体" w:hAnsi="宋体" w:cs="宋体"/>
          <w:color w:val="auto"/>
          <w:sz w:val="24"/>
        </w:rPr>
        <w:t>前递交响应文件。</w:t>
      </w:r>
    </w:p>
    <w:p w14:paraId="7A6164A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5" w:name="_Toc27050"/>
      <w:bookmarkStart w:id="6" w:name="_Toc35393621"/>
      <w:bookmarkStart w:id="7" w:name="_Toc6352"/>
      <w:bookmarkStart w:id="8" w:name="_Toc35393790"/>
      <w:bookmarkStart w:id="9" w:name="_Toc28359002"/>
      <w:bookmarkStart w:id="10" w:name="_Toc22251"/>
      <w:bookmarkStart w:id="11" w:name="_Toc28359079"/>
      <w:bookmarkStart w:id="12" w:name="_Toc8609"/>
      <w:bookmarkStart w:id="13" w:name="_Toc4576"/>
      <w:bookmarkStart w:id="14" w:name="_Hlk24379207"/>
      <w:r>
        <w:rPr>
          <w:rFonts w:hint="eastAsia" w:ascii="宋体" w:hAnsi="宋体" w:cs="宋体"/>
          <w:b/>
          <w:bCs/>
          <w:color w:val="auto"/>
          <w:sz w:val="24"/>
        </w:rPr>
        <w:t>一、项目基本情况</w:t>
      </w:r>
      <w:bookmarkEnd w:id="5"/>
      <w:bookmarkEnd w:id="6"/>
      <w:bookmarkEnd w:id="7"/>
      <w:bookmarkEnd w:id="8"/>
      <w:bookmarkEnd w:id="9"/>
      <w:bookmarkEnd w:id="10"/>
      <w:bookmarkEnd w:id="11"/>
      <w:bookmarkEnd w:id="12"/>
      <w:bookmarkEnd w:id="13"/>
    </w:p>
    <w:p w14:paraId="651E76A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eastAsia="zh-CN"/>
        </w:rPr>
      </w:pPr>
      <w:r>
        <w:rPr>
          <w:rFonts w:hint="eastAsia" w:ascii="宋体" w:hAnsi="宋体" w:cs="宋体"/>
          <w:b/>
          <w:bCs/>
          <w:color w:val="auto"/>
          <w:sz w:val="24"/>
        </w:rPr>
        <w:t>项目编号：</w:t>
      </w:r>
      <w:r>
        <w:rPr>
          <w:rFonts w:hint="eastAsia" w:ascii="宋体" w:hAnsi="宋体" w:cs="宋体"/>
          <w:b w:val="0"/>
          <w:bCs w:val="0"/>
          <w:color w:val="auto"/>
          <w:sz w:val="24"/>
          <w:lang w:eastAsia="zh-CN"/>
        </w:rPr>
        <w:t>青海鹰扬竞磋（货物）2025-001</w:t>
      </w:r>
    </w:p>
    <w:p w14:paraId="2615CC5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rPr>
      </w:pPr>
      <w:r>
        <w:rPr>
          <w:rFonts w:hint="eastAsia" w:ascii="宋体" w:hAnsi="宋体" w:cs="宋体"/>
          <w:b/>
          <w:bCs/>
          <w:color w:val="auto"/>
          <w:sz w:val="24"/>
          <w:u w:val="none"/>
        </w:rPr>
        <w:t>项目名称：</w:t>
      </w:r>
      <w:r>
        <w:rPr>
          <w:rFonts w:hint="eastAsia" w:ascii="宋体" w:hAnsi="宋体" w:cs="宋体"/>
          <w:color w:val="auto"/>
          <w:sz w:val="24"/>
          <w:u w:val="none"/>
          <w:lang w:val="zh-CN"/>
        </w:rPr>
        <w:t>海西州高级中学信息化项目</w:t>
      </w:r>
    </w:p>
    <w:p w14:paraId="4FBF97A0">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szCs w:val="24"/>
          <w:u w:val="none"/>
        </w:rPr>
      </w:pPr>
      <w:r>
        <w:rPr>
          <w:rFonts w:hint="eastAsia" w:ascii="宋体" w:hAnsi="宋体" w:cs="宋体"/>
          <w:b/>
          <w:bCs/>
          <w:color w:val="auto"/>
          <w:sz w:val="24"/>
          <w:szCs w:val="24"/>
          <w:u w:val="none"/>
        </w:rPr>
        <w:t>采购方式：</w:t>
      </w:r>
      <w:r>
        <w:rPr>
          <w:rFonts w:hint="eastAsia" w:ascii="宋体" w:hAnsi="宋体" w:cs="宋体"/>
          <w:color w:val="auto"/>
          <w:sz w:val="24"/>
          <w:szCs w:val="24"/>
          <w:u w:val="none"/>
        </w:rPr>
        <w:t>竞争性磋商</w:t>
      </w:r>
    </w:p>
    <w:bookmarkEnd w:id="14"/>
    <w:p w14:paraId="28DE1B5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rPr>
      </w:pPr>
      <w:r>
        <w:rPr>
          <w:rFonts w:hint="eastAsia" w:ascii="宋体" w:hAnsi="宋体" w:cs="宋体"/>
          <w:b/>
          <w:bCs/>
          <w:color w:val="auto"/>
          <w:sz w:val="24"/>
          <w:u w:val="none"/>
        </w:rPr>
        <w:t>预算金额：</w:t>
      </w:r>
      <w:r>
        <w:rPr>
          <w:rFonts w:hint="eastAsia" w:ascii="宋体" w:hAnsi="宋体" w:cs="宋体"/>
          <w:color w:val="auto"/>
          <w:sz w:val="24"/>
          <w:u w:val="none"/>
          <w:lang w:val="en-US" w:eastAsia="zh-CN"/>
        </w:rPr>
        <w:t>1500000.00元</w:t>
      </w:r>
    </w:p>
    <w:p w14:paraId="5941AFD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en-US" w:eastAsia="zh-CN"/>
        </w:rPr>
      </w:pPr>
      <w:r>
        <w:rPr>
          <w:rFonts w:hint="eastAsia" w:ascii="宋体" w:hAnsi="宋体" w:cs="宋体"/>
          <w:b/>
          <w:bCs/>
          <w:color w:val="auto"/>
          <w:sz w:val="24"/>
        </w:rPr>
        <w:t>最高限价：</w:t>
      </w:r>
      <w:r>
        <w:rPr>
          <w:rFonts w:hint="eastAsia" w:ascii="宋体" w:hAnsi="宋体" w:cs="宋体"/>
          <w:color w:val="auto"/>
          <w:sz w:val="24"/>
          <w:u w:val="none"/>
          <w:lang w:val="en-US" w:eastAsia="zh-CN"/>
        </w:rPr>
        <w:t>1500000.00元</w:t>
      </w:r>
    </w:p>
    <w:p w14:paraId="5DF4760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采购需求</w:t>
      </w:r>
    </w:p>
    <w:p w14:paraId="2510C2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标项</w:t>
      </w:r>
      <w:r>
        <w:rPr>
          <w:rFonts w:hint="eastAsia" w:ascii="宋体" w:hAnsi="宋体" w:cs="宋体"/>
          <w:color w:val="auto"/>
          <w:sz w:val="24"/>
          <w:lang w:val="en-US" w:eastAsia="zh-CN"/>
        </w:rPr>
        <w:t>一</w:t>
      </w:r>
      <w:r>
        <w:rPr>
          <w:rFonts w:hint="eastAsia" w:ascii="宋体" w:hAnsi="宋体" w:cs="宋体"/>
          <w:color w:val="auto"/>
          <w:sz w:val="24"/>
        </w:rPr>
        <w:t> </w:t>
      </w:r>
    </w:p>
    <w:p w14:paraId="52BBA0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数量：1</w:t>
      </w:r>
    </w:p>
    <w:p w14:paraId="741C9B4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u w:val="none"/>
          <w:lang w:val="en-US" w:eastAsia="zh-CN"/>
        </w:rPr>
      </w:pPr>
      <w:r>
        <w:rPr>
          <w:rFonts w:hint="eastAsia" w:ascii="宋体" w:hAnsi="宋体" w:cs="宋体"/>
          <w:color w:val="auto"/>
          <w:sz w:val="24"/>
        </w:rPr>
        <w:t>预算金额（元）：</w:t>
      </w:r>
      <w:r>
        <w:rPr>
          <w:rFonts w:hint="eastAsia" w:ascii="宋体" w:hAnsi="宋体" w:cs="宋体"/>
          <w:color w:val="auto"/>
          <w:sz w:val="24"/>
          <w:u w:val="none"/>
          <w:lang w:val="en-US" w:eastAsia="zh-CN"/>
        </w:rPr>
        <w:t>1500000.00</w:t>
      </w:r>
    </w:p>
    <w:p w14:paraId="022CD5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单位：</w:t>
      </w:r>
      <w:r>
        <w:rPr>
          <w:rFonts w:hint="eastAsia" w:ascii="宋体" w:hAnsi="宋体" w:cs="宋体"/>
          <w:color w:val="auto"/>
          <w:sz w:val="24"/>
          <w:lang w:val="en-US" w:eastAsia="zh-CN"/>
        </w:rPr>
        <w:t>批</w:t>
      </w:r>
      <w:r>
        <w:rPr>
          <w:rFonts w:hint="eastAsia" w:ascii="宋体" w:hAnsi="宋体" w:cs="宋体"/>
          <w:color w:val="auto"/>
          <w:sz w:val="24"/>
        </w:rPr>
        <w:t> </w:t>
      </w:r>
    </w:p>
    <w:p w14:paraId="796FA3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简要规格描述：建设计算机教室1间（内容包含54台学生机，1台教师机）、智慧体育场1间（内容包含1套可测试常见径赛的AI智慧操场、1套AI阳光跑设备、2套I型体育仓、4套通用测试站）等设施设备。具体内容详见《竞争性磋商文件》</w:t>
      </w:r>
      <w:r>
        <w:rPr>
          <w:rFonts w:hint="eastAsia" w:ascii="宋体" w:hAnsi="宋体" w:cs="宋体"/>
          <w:color w:val="auto"/>
          <w:sz w:val="24"/>
          <w:lang w:eastAsia="zh-CN"/>
        </w:rPr>
        <w:t>。</w:t>
      </w:r>
    </w:p>
    <w:p w14:paraId="0FE4298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yellow"/>
          <w:u w:val="none"/>
          <w:lang w:val="en-US" w:eastAsia="zh-CN"/>
        </w:rPr>
      </w:pPr>
      <w:r>
        <w:rPr>
          <w:rFonts w:hint="eastAsia" w:ascii="宋体" w:hAnsi="宋体" w:cs="宋体"/>
          <w:b/>
          <w:bCs/>
          <w:color w:val="auto"/>
          <w:sz w:val="24"/>
          <w:highlight w:val="none"/>
        </w:rPr>
        <w:t>合同</w:t>
      </w:r>
      <w:r>
        <w:rPr>
          <w:rFonts w:hint="eastAsia" w:ascii="宋体" w:hAnsi="宋体" w:cs="宋体"/>
          <w:b/>
          <w:bCs/>
          <w:color w:val="auto"/>
          <w:sz w:val="24"/>
          <w:highlight w:val="none"/>
          <w:lang w:val="en-US" w:eastAsia="zh-CN"/>
        </w:rPr>
        <w:t>履约</w:t>
      </w:r>
      <w:r>
        <w:rPr>
          <w:rFonts w:hint="eastAsia" w:ascii="宋体" w:hAnsi="宋体" w:cs="宋体"/>
          <w:b/>
          <w:bCs/>
          <w:color w:val="auto"/>
          <w:sz w:val="24"/>
          <w:highlight w:val="none"/>
        </w:rPr>
        <w:t>期限</w:t>
      </w:r>
      <w:r>
        <w:rPr>
          <w:rFonts w:hint="eastAsia" w:ascii="宋体" w:hAnsi="宋体" w:cs="宋体"/>
          <w:b/>
          <w:bCs/>
          <w:color w:val="auto"/>
          <w:sz w:val="24"/>
          <w:highlight w:val="none"/>
          <w:lang w:eastAsia="zh-CN"/>
        </w:rPr>
        <w:t>：</w:t>
      </w:r>
      <w:r>
        <w:rPr>
          <w:rFonts w:hint="eastAsia" w:ascii="宋体" w:hAnsi="宋体" w:cs="宋体"/>
          <w:b w:val="0"/>
          <w:bCs w:val="0"/>
          <w:color w:val="auto"/>
          <w:sz w:val="24"/>
          <w:highlight w:val="none"/>
          <w:lang w:val="en-US" w:eastAsia="zh-CN"/>
        </w:rPr>
        <w:t>交货期：</w:t>
      </w:r>
      <w:r>
        <w:rPr>
          <w:rFonts w:hint="eastAsia" w:ascii="宋体" w:hAnsi="宋体" w:cs="宋体"/>
          <w:b/>
          <w:bCs/>
          <w:color w:val="auto"/>
          <w:sz w:val="24"/>
          <w:highlight w:val="none"/>
          <w:lang w:val="en-US" w:eastAsia="zh-CN"/>
        </w:rPr>
        <w:t>自</w:t>
      </w:r>
      <w:r>
        <w:rPr>
          <w:rFonts w:hint="eastAsia" w:ascii="宋体" w:hAnsi="宋体" w:cs="宋体"/>
          <w:b/>
          <w:bCs/>
          <w:color w:val="auto"/>
          <w:sz w:val="24"/>
          <w:highlight w:val="none"/>
          <w:lang w:val="zh-CN" w:eastAsia="zh-CN"/>
        </w:rPr>
        <w:t>合同签订之日起30日历天内完成设备供货及安装</w:t>
      </w:r>
      <w:r>
        <w:rPr>
          <w:rFonts w:hint="eastAsia" w:ascii="宋体" w:hAnsi="宋体" w:cs="宋体"/>
          <w:b w:val="0"/>
          <w:bCs w:val="0"/>
          <w:color w:val="auto"/>
          <w:sz w:val="24"/>
          <w:highlight w:val="none"/>
          <w:u w:val="none"/>
          <w:lang w:val="en-US" w:eastAsia="zh-CN"/>
        </w:rPr>
        <w:t>。</w:t>
      </w:r>
    </w:p>
    <w:p w14:paraId="51E45AF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本项目不接受联合体投标。</w:t>
      </w:r>
    </w:p>
    <w:p w14:paraId="1B3515A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15" w:name="_Toc28359080"/>
      <w:bookmarkStart w:id="16" w:name="_Toc28359003"/>
      <w:bookmarkStart w:id="17" w:name="_Toc29515"/>
      <w:bookmarkStart w:id="18" w:name="_Toc35393622"/>
      <w:bookmarkStart w:id="19" w:name="_Toc2854"/>
      <w:bookmarkStart w:id="20" w:name="_Toc31044"/>
      <w:bookmarkStart w:id="21" w:name="_Toc35393791"/>
      <w:bookmarkStart w:id="22" w:name="_Toc18625"/>
      <w:bookmarkStart w:id="23" w:name="_Toc25034"/>
      <w:r>
        <w:rPr>
          <w:rFonts w:hint="eastAsia" w:ascii="宋体" w:hAnsi="宋体" w:cs="宋体"/>
          <w:b/>
          <w:bCs/>
          <w:color w:val="auto"/>
          <w:sz w:val="24"/>
        </w:rPr>
        <w:t>二、申请人的资格要求：</w:t>
      </w:r>
      <w:bookmarkEnd w:id="15"/>
      <w:bookmarkEnd w:id="16"/>
      <w:bookmarkEnd w:id="17"/>
      <w:bookmarkEnd w:id="18"/>
      <w:bookmarkEnd w:id="19"/>
      <w:bookmarkEnd w:id="20"/>
      <w:bookmarkEnd w:id="21"/>
      <w:bookmarkEnd w:id="22"/>
      <w:bookmarkEnd w:id="23"/>
    </w:p>
    <w:p w14:paraId="51DA5034">
      <w:pPr>
        <w:pStyle w:val="70"/>
        <w:autoSpaceDE w:val="0"/>
        <w:autoSpaceDN w:val="0"/>
        <w:adjustRightInd w:val="0"/>
        <w:spacing w:line="360" w:lineRule="auto"/>
        <w:ind w:firstLine="240" w:firstLineChars="100"/>
        <w:contextualSpacing/>
        <w:rPr>
          <w:rFonts w:ascii="宋体" w:hAnsi="Cambria" w:cs="宋体"/>
          <w:kern w:val="0"/>
          <w:sz w:val="24"/>
          <w:lang w:val="zh-CN"/>
        </w:rPr>
      </w:pPr>
      <w:bookmarkStart w:id="24" w:name="_Toc6195"/>
      <w:bookmarkStart w:id="25" w:name="_Toc28359081"/>
      <w:bookmarkStart w:id="26" w:name="_Toc28359004"/>
      <w:bookmarkStart w:id="27" w:name="_Toc18348"/>
      <w:bookmarkStart w:id="28" w:name="_Toc35393623"/>
      <w:bookmarkStart w:id="29" w:name="_Toc35393792"/>
      <w:bookmarkStart w:id="30" w:name="_Toc10138"/>
      <w:bookmarkStart w:id="31" w:name="_Toc27458"/>
      <w:bookmarkStart w:id="32" w:name="_Toc17750"/>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5025A7F9">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628A8B99">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4CE07017">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753108EC">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641BBC46">
      <w:pPr>
        <w:pStyle w:val="70"/>
        <w:autoSpaceDE w:val="0"/>
        <w:autoSpaceDN w:val="0"/>
        <w:adjustRightInd w:val="0"/>
        <w:spacing w:line="360" w:lineRule="auto"/>
        <w:ind w:firstLine="480" w:firstLineChars="2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45DEB840">
      <w:pPr>
        <w:pStyle w:val="70"/>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2、</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1ACE363D">
      <w:pPr>
        <w:pStyle w:val="70"/>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626C5BB5">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4、</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11BEFA36">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cs="宋体"/>
          <w:kern w:val="0"/>
          <w:sz w:val="24"/>
          <w:lang w:val="zh-CN"/>
        </w:rPr>
      </w:pPr>
      <w:r>
        <w:rPr>
          <w:rFonts w:hint="eastAsia" w:ascii="宋体" w:hAnsi="Cambria" w:cs="宋体"/>
          <w:kern w:val="0"/>
          <w:sz w:val="24"/>
          <w:lang w:val="en-US" w:eastAsia="zh-CN"/>
        </w:rPr>
        <w:t>5、</w:t>
      </w:r>
      <w:r>
        <w:rPr>
          <w:rFonts w:hint="eastAsia" w:ascii="宋体" w:hAnsi="Cambria" w:cs="宋体"/>
          <w:kern w:val="0"/>
          <w:sz w:val="24"/>
          <w:lang w:val="zh-CN"/>
        </w:rPr>
        <w:t>本项目不接受以联合体方式进行投标。</w:t>
      </w:r>
    </w:p>
    <w:p w14:paraId="7E8E1F6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三、获取采购文件</w:t>
      </w:r>
      <w:bookmarkEnd w:id="24"/>
      <w:bookmarkEnd w:id="25"/>
      <w:bookmarkEnd w:id="26"/>
      <w:bookmarkEnd w:id="27"/>
      <w:bookmarkEnd w:id="28"/>
      <w:bookmarkEnd w:id="29"/>
      <w:bookmarkEnd w:id="30"/>
      <w:bookmarkEnd w:id="31"/>
      <w:bookmarkEnd w:id="32"/>
    </w:p>
    <w:p w14:paraId="50C44BC7">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时间：</w:t>
      </w:r>
      <w:r>
        <w:rPr>
          <w:rFonts w:hint="eastAsia" w:ascii="宋体" w:hAnsi="宋体" w:cs="宋体"/>
          <w:b w:val="0"/>
          <w:bCs w:val="0"/>
          <w:sz w:val="24"/>
          <w:szCs w:val="24"/>
          <w:highlight w:val="none"/>
          <w:u w:val="none"/>
          <w:lang w:eastAsia="zh-CN"/>
        </w:rPr>
        <w:t>202</w:t>
      </w:r>
      <w:r>
        <w:rPr>
          <w:rFonts w:hint="eastAsia" w:ascii="宋体" w:hAnsi="宋体" w:cs="宋体"/>
          <w:b w:val="0"/>
          <w:bCs w:val="0"/>
          <w:sz w:val="24"/>
          <w:szCs w:val="24"/>
          <w:highlight w:val="none"/>
          <w:u w:val="none"/>
          <w:lang w:val="en-US" w:eastAsia="zh-CN"/>
        </w:rPr>
        <w:t>5</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07</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02</w:t>
      </w:r>
      <w:r>
        <w:rPr>
          <w:rFonts w:hint="eastAsia" w:ascii="宋体" w:hAnsi="宋体" w:cs="宋体"/>
          <w:b w:val="0"/>
          <w:bCs w:val="0"/>
          <w:sz w:val="24"/>
          <w:szCs w:val="24"/>
          <w:highlight w:val="none"/>
          <w:u w:val="none"/>
          <w:lang w:eastAsia="zh-CN"/>
        </w:rPr>
        <w:t>日至202</w:t>
      </w:r>
      <w:r>
        <w:rPr>
          <w:rFonts w:hint="eastAsia" w:ascii="宋体" w:hAnsi="宋体" w:cs="宋体"/>
          <w:b w:val="0"/>
          <w:bCs w:val="0"/>
          <w:sz w:val="24"/>
          <w:szCs w:val="24"/>
          <w:highlight w:val="none"/>
          <w:u w:val="none"/>
          <w:lang w:val="en-US" w:eastAsia="zh-CN"/>
        </w:rPr>
        <w:t>5</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07</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08</w:t>
      </w:r>
      <w:r>
        <w:rPr>
          <w:rFonts w:hint="eastAsia" w:ascii="宋体" w:hAnsi="宋体" w:cs="宋体"/>
          <w:b w:val="0"/>
          <w:bCs w:val="0"/>
          <w:sz w:val="24"/>
          <w:szCs w:val="24"/>
          <w:highlight w:val="none"/>
          <w:u w:val="none"/>
          <w:lang w:eastAsia="zh-CN"/>
        </w:rPr>
        <w:t>日</w:t>
      </w:r>
      <w:r>
        <w:rPr>
          <w:rFonts w:hint="eastAsia" w:ascii="宋体" w:hAnsi="宋体" w:cs="宋体"/>
          <w:color w:val="auto"/>
          <w:sz w:val="24"/>
          <w:u w:val="none"/>
          <w:lang w:val="zh-CN"/>
        </w:rPr>
        <w:t>，每天</w:t>
      </w:r>
      <w:r>
        <w:rPr>
          <w:rFonts w:hint="eastAsia" w:ascii="宋体" w:hAnsi="宋体" w:cs="宋体"/>
          <w:color w:val="auto"/>
          <w:sz w:val="24"/>
          <w:u w:val="none"/>
          <w:lang w:val="en-US" w:eastAsia="zh-CN"/>
        </w:rPr>
        <w:t>0</w:t>
      </w:r>
      <w:r>
        <w:rPr>
          <w:rFonts w:hint="eastAsia" w:ascii="宋体" w:hAnsi="宋体" w:cs="宋体"/>
          <w:color w:val="auto"/>
          <w:sz w:val="24"/>
          <w:u w:val="none"/>
          <w:lang w:val="zh-CN"/>
        </w:rPr>
        <w:t>0:00</w:t>
      </w:r>
      <w:r>
        <w:rPr>
          <w:rFonts w:hint="eastAsia" w:ascii="宋体" w:hAnsi="宋体" w:cs="宋体"/>
          <w:color w:val="auto"/>
          <w:sz w:val="24"/>
          <w:u w:val="none"/>
        </w:rPr>
        <w:t>时</w:t>
      </w:r>
      <w:r>
        <w:rPr>
          <w:rFonts w:hint="eastAsia" w:ascii="宋体" w:hAnsi="宋体" w:cs="宋体"/>
          <w:color w:val="auto"/>
          <w:sz w:val="24"/>
          <w:u w:val="none"/>
          <w:lang w:val="zh-CN"/>
        </w:rPr>
        <w:t>至2</w:t>
      </w:r>
      <w:r>
        <w:rPr>
          <w:rFonts w:hint="eastAsia" w:ascii="宋体" w:hAnsi="宋体" w:cs="宋体"/>
          <w:color w:val="auto"/>
          <w:sz w:val="24"/>
          <w:u w:val="none"/>
          <w:lang w:val="en-US" w:eastAsia="zh-CN"/>
        </w:rPr>
        <w:t>3</w:t>
      </w:r>
      <w:r>
        <w:rPr>
          <w:rFonts w:hint="eastAsia" w:ascii="宋体" w:hAnsi="宋体" w:cs="宋体"/>
          <w:color w:val="auto"/>
          <w:sz w:val="24"/>
          <w:u w:val="none"/>
          <w:lang w:val="zh-CN"/>
        </w:rPr>
        <w:t>:</w:t>
      </w:r>
      <w:r>
        <w:rPr>
          <w:rFonts w:hint="eastAsia" w:ascii="宋体" w:hAnsi="宋体" w:cs="宋体"/>
          <w:color w:val="auto"/>
          <w:sz w:val="24"/>
          <w:u w:val="none"/>
          <w:lang w:val="en-US" w:eastAsia="zh-CN"/>
        </w:rPr>
        <w:t>59</w:t>
      </w:r>
      <w:r>
        <w:rPr>
          <w:rFonts w:hint="eastAsia" w:ascii="宋体" w:hAnsi="宋体" w:cs="宋体"/>
          <w:color w:val="auto"/>
          <w:sz w:val="24"/>
          <w:u w:val="none"/>
        </w:rPr>
        <w:t>时(法定节</w:t>
      </w:r>
    </w:p>
    <w:p w14:paraId="564C46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u w:val="none"/>
        </w:rPr>
      </w:pPr>
      <w:r>
        <w:rPr>
          <w:rFonts w:hint="eastAsia" w:ascii="宋体" w:hAnsi="宋体" w:cs="宋体"/>
          <w:color w:val="auto"/>
          <w:sz w:val="24"/>
          <w:u w:val="none"/>
        </w:rPr>
        <w:t>假日除外)</w:t>
      </w:r>
    </w:p>
    <w:p w14:paraId="304CEE53">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rPr>
        <w:t>线上获取通过政采云平台（ www.zcygov.cn）获取</w:t>
      </w:r>
    </w:p>
    <w:p w14:paraId="713D5A3B">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方式：</w:t>
      </w:r>
      <w:r>
        <w:rPr>
          <w:rFonts w:hint="eastAsia" w:ascii="宋体" w:hAnsi="宋体" w:cs="宋体"/>
          <w:color w:val="auto"/>
          <w:sz w:val="24"/>
          <w:u w:val="none"/>
        </w:rPr>
        <w:t>供应商登录政采云平台https://www.zcygov.cn/在线申请获取采购文件（进入“项目采购”应用，在获取采购文件菜单中选择项目，申请获取采购文件）</w:t>
      </w:r>
    </w:p>
    <w:p w14:paraId="141DEC51">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lang w:val="zh-CN"/>
        </w:rPr>
      </w:pPr>
      <w:r>
        <w:rPr>
          <w:rFonts w:hint="eastAsia" w:ascii="宋体" w:hAnsi="宋体" w:cs="宋体"/>
          <w:b/>
          <w:bCs/>
          <w:color w:val="auto"/>
          <w:sz w:val="24"/>
          <w:u w:val="none"/>
          <w:lang w:val="zh-CN"/>
        </w:rPr>
        <w:t>售价：</w:t>
      </w:r>
      <w:r>
        <w:rPr>
          <w:rFonts w:hint="eastAsia" w:ascii="宋体" w:hAnsi="宋体" w:cs="宋体"/>
          <w:color w:val="auto"/>
          <w:sz w:val="24"/>
          <w:u w:val="none"/>
        </w:rPr>
        <w:t>0</w:t>
      </w:r>
      <w:r>
        <w:rPr>
          <w:rFonts w:hint="eastAsia" w:ascii="宋体" w:hAnsi="宋体" w:cs="宋体"/>
          <w:color w:val="auto"/>
          <w:sz w:val="24"/>
          <w:u w:val="none"/>
          <w:lang w:val="zh-CN"/>
        </w:rPr>
        <w:t>元（</w:t>
      </w:r>
      <w:r>
        <w:rPr>
          <w:rFonts w:hint="eastAsia" w:ascii="宋体" w:hAnsi="宋体" w:cs="宋体"/>
          <w:color w:val="auto"/>
          <w:sz w:val="24"/>
          <w:u w:val="none"/>
          <w:lang w:val="en-US" w:eastAsia="zh-CN"/>
        </w:rPr>
        <w:t>磋商</w:t>
      </w:r>
      <w:r>
        <w:rPr>
          <w:rFonts w:hint="eastAsia" w:ascii="宋体" w:hAnsi="宋体" w:cs="宋体"/>
          <w:color w:val="auto"/>
          <w:sz w:val="24"/>
          <w:u w:val="none"/>
          <w:lang w:val="zh-CN"/>
        </w:rPr>
        <w:t>资格不能转让）</w:t>
      </w:r>
    </w:p>
    <w:p w14:paraId="2B43DE3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u w:val="none"/>
        </w:rPr>
      </w:pPr>
      <w:bookmarkStart w:id="33" w:name="_Toc35393793"/>
      <w:bookmarkStart w:id="34" w:name="_Toc28359082"/>
      <w:bookmarkStart w:id="35" w:name="_Toc24601"/>
      <w:bookmarkStart w:id="36" w:name="_Toc35393624"/>
      <w:bookmarkStart w:id="37" w:name="_Toc29703"/>
      <w:bookmarkStart w:id="38" w:name="_Toc13059"/>
      <w:bookmarkStart w:id="39" w:name="_Toc28359005"/>
      <w:bookmarkStart w:id="40" w:name="_Toc4607"/>
      <w:bookmarkStart w:id="41" w:name="_Toc24699"/>
      <w:r>
        <w:rPr>
          <w:rFonts w:hint="eastAsia" w:ascii="宋体" w:hAnsi="宋体" w:cs="宋体"/>
          <w:b/>
          <w:bCs/>
          <w:color w:val="auto"/>
          <w:sz w:val="24"/>
          <w:u w:val="none"/>
          <w:lang w:val="zh-CN"/>
        </w:rPr>
        <w:t>四、</w:t>
      </w:r>
      <w:bookmarkEnd w:id="33"/>
      <w:bookmarkEnd w:id="34"/>
      <w:bookmarkEnd w:id="35"/>
      <w:bookmarkEnd w:id="36"/>
      <w:bookmarkEnd w:id="37"/>
      <w:bookmarkEnd w:id="38"/>
      <w:bookmarkEnd w:id="39"/>
      <w:r>
        <w:rPr>
          <w:rFonts w:hint="eastAsia" w:ascii="宋体" w:hAnsi="宋体" w:cs="宋体"/>
          <w:b/>
          <w:bCs/>
          <w:color w:val="auto"/>
          <w:sz w:val="24"/>
          <w:u w:val="none"/>
          <w:lang w:val="zh-CN"/>
        </w:rPr>
        <w:t>响应文件的提交</w:t>
      </w:r>
      <w:bookmarkEnd w:id="40"/>
      <w:bookmarkEnd w:id="41"/>
    </w:p>
    <w:p w14:paraId="6AA4CCB2">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截止时间：</w:t>
      </w:r>
      <w:r>
        <w:rPr>
          <w:rFonts w:hint="eastAsia" w:ascii="宋体" w:hAnsi="宋体" w:cs="宋体"/>
          <w:color w:val="auto"/>
          <w:sz w:val="24"/>
          <w:u w:val="none"/>
          <w:lang w:eastAsia="zh-CN"/>
        </w:rPr>
        <w:t>2025年07月14日下午14时30分（北京时间）</w:t>
      </w:r>
    </w:p>
    <w:p w14:paraId="54F29C92">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6CE9AC0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b/>
          <w:bCs/>
          <w:color w:val="auto"/>
          <w:kern w:val="2"/>
          <w:u w:val="none"/>
        </w:rPr>
      </w:pPr>
      <w:bookmarkStart w:id="42" w:name="_Toc28597"/>
      <w:bookmarkStart w:id="43" w:name="_Toc24901"/>
      <w:bookmarkStart w:id="44" w:name="_Toc7260"/>
      <w:bookmarkStart w:id="45" w:name="_Toc35393795"/>
      <w:bookmarkStart w:id="46" w:name="_Toc35393626"/>
      <w:r>
        <w:rPr>
          <w:rFonts w:hint="eastAsia"/>
          <w:b/>
          <w:bCs/>
          <w:color w:val="auto"/>
          <w:kern w:val="2"/>
          <w:u w:val="none"/>
        </w:rPr>
        <w:t>五、响应文件开启</w:t>
      </w:r>
    </w:p>
    <w:p w14:paraId="211E7367">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color w:val="auto"/>
          <w:u w:val="none"/>
        </w:rPr>
      </w:pPr>
      <w:r>
        <w:rPr>
          <w:rFonts w:hint="eastAsia" w:ascii="宋体" w:hAnsi="宋体" w:cs="宋体"/>
          <w:b/>
          <w:bCs/>
          <w:color w:val="auto"/>
          <w:u w:val="none"/>
        </w:rPr>
        <w:t>开启时间：</w:t>
      </w:r>
      <w:bookmarkStart w:id="253" w:name="_GoBack"/>
      <w:r>
        <w:rPr>
          <w:rFonts w:hint="eastAsia" w:cs="宋体"/>
          <w:color w:val="auto"/>
          <w:u w:val="none"/>
          <w:lang w:eastAsia="zh-CN"/>
        </w:rPr>
        <w:t>2025年07月14日下午14时30分（北京时间）</w:t>
      </w:r>
    </w:p>
    <w:bookmarkEnd w:id="253"/>
    <w:p w14:paraId="6C03B496">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b/>
          <w:bCs/>
          <w:color w:val="auto"/>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bookmarkEnd w:id="42"/>
    <w:bookmarkEnd w:id="43"/>
    <w:bookmarkEnd w:id="44"/>
    <w:p w14:paraId="3CC2FA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1"/>
        <w:rPr>
          <w:rFonts w:hint="eastAsia" w:ascii="宋体" w:hAnsi="宋体" w:cs="宋体"/>
          <w:b/>
          <w:bCs/>
          <w:color w:val="auto"/>
        </w:rPr>
      </w:pPr>
      <w:bookmarkStart w:id="47" w:name="_Toc18313"/>
      <w:bookmarkStart w:id="48" w:name="_Toc2039"/>
      <w:bookmarkStart w:id="49" w:name="_Toc26803"/>
      <w:bookmarkStart w:id="50" w:name="_Toc26651"/>
      <w:bookmarkStart w:id="51" w:name="_Toc2752"/>
      <w:bookmarkStart w:id="52" w:name="_Toc14683"/>
      <w:bookmarkStart w:id="53" w:name="_Toc11490"/>
      <w:r>
        <w:rPr>
          <w:rFonts w:hint="eastAsia" w:ascii="宋体" w:hAnsi="宋体" w:cs="宋体"/>
          <w:b/>
          <w:bCs/>
          <w:color w:val="auto"/>
        </w:rPr>
        <w:t>六、公告期限</w:t>
      </w:r>
      <w:bookmarkEnd w:id="47"/>
      <w:bookmarkEnd w:id="48"/>
    </w:p>
    <w:p w14:paraId="6815BD4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rPr>
      </w:pPr>
      <w:r>
        <w:rPr>
          <w:rFonts w:hint="eastAsia" w:ascii="宋体" w:hAnsi="宋体" w:cs="宋体"/>
          <w:color w:val="auto"/>
        </w:rPr>
        <w:t>自本公告发布之日起5个工作日。</w:t>
      </w:r>
    </w:p>
    <w:p w14:paraId="02B55A7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七、其他补充事宜</w:t>
      </w:r>
      <w:bookmarkEnd w:id="45"/>
      <w:bookmarkEnd w:id="46"/>
      <w:bookmarkEnd w:id="49"/>
      <w:bookmarkEnd w:id="50"/>
      <w:bookmarkEnd w:id="51"/>
      <w:bookmarkEnd w:id="52"/>
      <w:bookmarkEnd w:id="53"/>
    </w:p>
    <w:p w14:paraId="5D7649D2">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1</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本公告在《青海政府采购网》上发布；</w:t>
      </w:r>
    </w:p>
    <w:p w14:paraId="1F300810">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本次</w:t>
      </w:r>
      <w:r>
        <w:rPr>
          <w:rFonts w:hint="eastAsia" w:ascii="宋体" w:hAnsi="宋体" w:cs="宋体"/>
          <w:color w:val="auto"/>
          <w:kern w:val="0"/>
          <w:sz w:val="24"/>
          <w:szCs w:val="24"/>
          <w:lang w:bidi="ar"/>
        </w:rPr>
        <w:t>采购</w:t>
      </w:r>
      <w:r>
        <w:rPr>
          <w:rFonts w:hint="eastAsia" w:ascii="宋体" w:hAnsi="宋体" w:cs="宋体"/>
          <w:color w:val="auto"/>
          <w:kern w:val="0"/>
          <w:sz w:val="24"/>
          <w:szCs w:val="24"/>
          <w:lang w:val="zh-CN" w:bidi="ar"/>
        </w:rPr>
        <w:t>采用线上提交响应文件的方式进行采购，线上</w:t>
      </w:r>
      <w:r>
        <w:rPr>
          <w:rFonts w:hint="eastAsia" w:ascii="宋体" w:hAnsi="宋体" w:cs="宋体"/>
          <w:color w:val="auto"/>
          <w:kern w:val="0"/>
          <w:sz w:val="24"/>
          <w:szCs w:val="24"/>
          <w:lang w:bidi="ar"/>
        </w:rPr>
        <w:t>电子版响应</w:t>
      </w:r>
      <w:r>
        <w:rPr>
          <w:rFonts w:hint="eastAsia" w:ascii="宋体" w:hAnsi="宋体" w:cs="宋体"/>
          <w:color w:val="auto"/>
          <w:kern w:val="0"/>
          <w:sz w:val="24"/>
          <w:szCs w:val="24"/>
          <w:lang w:val="zh-CN" w:bidi="ar"/>
        </w:rPr>
        <w:t>文件须在</w:t>
      </w:r>
      <w:r>
        <w:rPr>
          <w:rFonts w:hint="eastAsia" w:ascii="宋体" w:hAnsi="宋体" w:cs="宋体"/>
          <w:color w:val="auto"/>
          <w:kern w:val="0"/>
          <w:sz w:val="24"/>
          <w:szCs w:val="24"/>
          <w:lang w:bidi="ar"/>
        </w:rPr>
        <w:t>响应</w:t>
      </w:r>
      <w:r>
        <w:rPr>
          <w:rFonts w:hint="eastAsia" w:ascii="宋体" w:hAnsi="宋体" w:cs="宋体"/>
          <w:color w:val="auto"/>
          <w:kern w:val="0"/>
          <w:sz w:val="24"/>
          <w:szCs w:val="24"/>
          <w:lang w:val="zh-CN" w:bidi="ar"/>
        </w:rPr>
        <w:t>文件递交截止时间前上传政采云平台；</w:t>
      </w:r>
    </w:p>
    <w:p w14:paraId="6ACFA6DC">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sz w:val="24"/>
          <w:szCs w:val="24"/>
        </w:rPr>
      </w:pPr>
      <w:r>
        <w:rPr>
          <w:rFonts w:hint="eastAsia" w:ascii="宋体" w:hAnsi="宋体" w:cs="宋体"/>
          <w:color w:val="auto"/>
          <w:kern w:val="0"/>
          <w:sz w:val="24"/>
          <w:szCs w:val="24"/>
          <w:lang w:val="en-US" w:eastAsia="zh-CN" w:bidi="ar"/>
        </w:rPr>
        <w:t>3</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color w:val="auto"/>
          <w:kern w:val="0"/>
          <w:sz w:val="24"/>
          <w:szCs w:val="24"/>
          <w:lang w:bidi="ar"/>
        </w:rPr>
        <w:t>热线</w:t>
      </w:r>
      <w:r>
        <w:rPr>
          <w:rFonts w:hint="eastAsia" w:ascii="宋体" w:hAnsi="宋体" w:cs="宋体"/>
          <w:color w:val="auto"/>
          <w:kern w:val="0"/>
          <w:sz w:val="24"/>
          <w:szCs w:val="24"/>
          <w:lang w:val="en-US" w:eastAsia="zh-CN" w:bidi="ar"/>
        </w:rPr>
        <w:t>95763</w:t>
      </w:r>
      <w:r>
        <w:rPr>
          <w:rFonts w:hint="eastAsia" w:ascii="宋体" w:hAnsi="宋体" w:cs="宋体"/>
          <w:color w:val="auto"/>
          <w:kern w:val="0"/>
          <w:sz w:val="24"/>
          <w:szCs w:val="24"/>
          <w:lang w:val="zh-CN" w:bidi="ar"/>
        </w:rPr>
        <w:t>获取热线服务帮助。CA问题联系电话（人工）；400-087-8198。</w:t>
      </w:r>
    </w:p>
    <w:p w14:paraId="3E0ADA01">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val="zh-CN" w:bidi="ar"/>
        </w:rPr>
        <w:t>、磋商供应商解密和磋商报价时必须由e签宝注册人办理，在固定电脑设备前登陆等待解密和磋商最终报价。</w:t>
      </w:r>
    </w:p>
    <w:p w14:paraId="69B0FD2B">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bookmarkStart w:id="54" w:name="_Toc28359085"/>
      <w:bookmarkStart w:id="55" w:name="_Toc35393796"/>
      <w:bookmarkStart w:id="56" w:name="_Toc28359008"/>
      <w:bookmarkStart w:id="57" w:name="_Toc15107"/>
      <w:bookmarkStart w:id="58" w:name="_Toc35393627"/>
      <w:bookmarkStart w:id="59" w:name="_Toc1249"/>
      <w:bookmarkStart w:id="60" w:name="_Toc22544"/>
      <w:bookmarkStart w:id="61" w:name="_Toc12783"/>
      <w:bookmarkStart w:id="62" w:name="_Toc16079"/>
      <w:r>
        <w:rPr>
          <w:rFonts w:hint="eastAsia" w:ascii="宋体" w:hAnsi="宋体" w:cs="宋体"/>
          <w:b/>
          <w:bCs/>
          <w:color w:val="auto"/>
          <w:sz w:val="24"/>
          <w:lang w:val="zh-CN"/>
        </w:rPr>
        <w:t>八、对本次采购提出询问，请按以下方式联系</w:t>
      </w:r>
      <w:bookmarkEnd w:id="54"/>
      <w:bookmarkEnd w:id="55"/>
      <w:bookmarkEnd w:id="56"/>
      <w:bookmarkEnd w:id="57"/>
      <w:bookmarkEnd w:id="58"/>
      <w:bookmarkEnd w:id="59"/>
      <w:bookmarkEnd w:id="60"/>
      <w:bookmarkEnd w:id="61"/>
      <w:bookmarkEnd w:id="62"/>
    </w:p>
    <w:p w14:paraId="11D9E66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1.采购人信息</w:t>
      </w:r>
    </w:p>
    <w:p w14:paraId="714FF0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zh-CN"/>
        </w:rPr>
        <w:t>名 称：</w:t>
      </w:r>
      <w:r>
        <w:rPr>
          <w:rFonts w:hint="eastAsia" w:ascii="宋体" w:hAnsi="宋体" w:cs="宋体"/>
          <w:sz w:val="24"/>
          <w:szCs w:val="24"/>
          <w:u w:val="none"/>
          <w:lang w:val="en-US" w:eastAsia="zh-CN"/>
        </w:rPr>
        <w:t>德令哈市教育局</w:t>
      </w:r>
    </w:p>
    <w:p w14:paraId="3B23F8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址：</w:t>
      </w:r>
      <w:r>
        <w:rPr>
          <w:rFonts w:hint="eastAsia" w:ascii="宋体" w:hAnsi="宋体" w:eastAsia="宋体" w:cs="宋体"/>
          <w:color w:val="auto"/>
          <w:sz w:val="24"/>
          <w:szCs w:val="24"/>
          <w:highlight w:val="none"/>
          <w:lang w:val="en-US" w:eastAsia="zh-CN"/>
        </w:rPr>
        <w:t>德令哈市昆仑路20号</w:t>
      </w:r>
    </w:p>
    <w:p w14:paraId="0B6D8B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项目联系人（询问）：</w:t>
      </w:r>
      <w:r>
        <w:rPr>
          <w:rFonts w:hint="eastAsia" w:ascii="宋体" w:hAnsi="宋体" w:cs="宋体"/>
          <w:color w:val="auto"/>
          <w:sz w:val="24"/>
          <w:szCs w:val="24"/>
          <w:highlight w:val="none"/>
          <w:lang w:val="en-US" w:eastAsia="zh-CN"/>
        </w:rPr>
        <w:t>熊老师</w:t>
      </w:r>
    </w:p>
    <w:p w14:paraId="613885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auto"/>
          <w:sz w:val="24"/>
          <w:szCs w:val="24"/>
          <w:highlight w:val="none"/>
          <w:lang w:val="zh-CN"/>
        </w:rPr>
        <w:t>项目联系方式（询问）</w:t>
      </w:r>
      <w:bookmarkStart w:id="63" w:name="_Toc28359086"/>
      <w:bookmarkStart w:id="64" w:name="_Toc28359009"/>
      <w:r>
        <w:rPr>
          <w:rFonts w:hint="eastAsia" w:ascii="宋体" w:hAnsi="宋体" w:eastAsia="宋体" w:cs="宋体"/>
          <w:color w:val="auto"/>
          <w:sz w:val="24"/>
          <w:szCs w:val="24"/>
          <w:highlight w:val="none"/>
          <w:lang w:val="zh-CN"/>
        </w:rPr>
        <w:t>：：</w:t>
      </w:r>
      <w:r>
        <w:rPr>
          <w:rFonts w:hint="eastAsia" w:ascii="宋体" w:hAnsi="宋体" w:cs="宋体"/>
          <w:color w:val="000000" w:themeColor="text1"/>
          <w:sz w:val="24"/>
          <w:szCs w:val="24"/>
          <w:highlight w:val="none"/>
          <w:lang w:val="en-US" w:eastAsia="zh-CN"/>
          <w14:textFill>
            <w14:solidFill>
              <w14:schemeClr w14:val="tx1"/>
            </w14:solidFill>
          </w14:textFill>
        </w:rPr>
        <w:t>0977-8217893</w:t>
      </w:r>
    </w:p>
    <w:p w14:paraId="4B0DB91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bookmarkEnd w:id="63"/>
      <w:bookmarkEnd w:id="64"/>
    </w:p>
    <w:p w14:paraId="4D8BC6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名</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称：</w:t>
      </w:r>
      <w:r>
        <w:rPr>
          <w:rFonts w:hint="eastAsia" w:ascii="宋体" w:hAnsi="宋体" w:cs="宋体"/>
          <w:sz w:val="24"/>
          <w:szCs w:val="24"/>
          <w:u w:val="none"/>
          <w:lang w:val="en-US" w:eastAsia="zh-CN"/>
        </w:rPr>
        <w:t>青海鹰扬招标代理有限公司</w:t>
      </w:r>
    </w:p>
    <w:p w14:paraId="5F184B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zh-CN" w:eastAsia="zh-CN"/>
        </w:rPr>
      </w:pPr>
      <w:r>
        <w:rPr>
          <w:rFonts w:hint="eastAsia" w:ascii="宋体" w:hAnsi="宋体" w:eastAsia="宋体" w:cs="宋体"/>
          <w:sz w:val="24"/>
          <w:szCs w:val="24"/>
          <w:lang w:val="zh-CN"/>
        </w:rPr>
        <w:t>地</w:t>
      </w:r>
      <w:r>
        <w:rPr>
          <w:rFonts w:hint="eastAsia" w:ascii="宋体" w:hAnsi="宋体" w:cs="宋体"/>
          <w:sz w:val="24"/>
          <w:szCs w:val="24"/>
          <w:lang w:val="en-US" w:eastAsia="zh-CN"/>
        </w:rPr>
        <w:t xml:space="preserve"> </w:t>
      </w:r>
      <w:r>
        <w:rPr>
          <w:rFonts w:hint="eastAsia" w:ascii="宋体" w:hAnsi="宋体" w:eastAsia="宋体" w:cs="宋体"/>
          <w:sz w:val="24"/>
          <w:szCs w:val="24"/>
          <w:lang w:val="zh-CN"/>
        </w:rPr>
        <w:t>址：</w:t>
      </w:r>
      <w:r>
        <w:rPr>
          <w:rFonts w:hint="eastAsia" w:ascii="宋体" w:hAnsi="宋体" w:cs="宋体"/>
          <w:sz w:val="24"/>
          <w:szCs w:val="24"/>
          <w:lang w:val="zh-CN" w:eastAsia="zh-CN"/>
        </w:rPr>
        <w:t>青海省西宁市城中区水井巷悦玺公寓2号楼二单元2088室</w:t>
      </w:r>
    </w:p>
    <w:p w14:paraId="48A7A7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联系方式</w:t>
      </w:r>
      <w:r>
        <w:rPr>
          <w:rFonts w:hint="eastAsia" w:ascii="宋体" w:hAnsi="宋体" w:eastAsia="宋体" w:cs="宋体"/>
          <w:sz w:val="24"/>
          <w:szCs w:val="24"/>
          <w:lang w:val="zh-CN"/>
        </w:rPr>
        <w:t>：</w:t>
      </w:r>
      <w:r>
        <w:rPr>
          <w:rFonts w:hint="eastAsia" w:ascii="宋体" w:hAnsi="宋体" w:cs="宋体"/>
          <w:sz w:val="24"/>
          <w:szCs w:val="24"/>
          <w:lang w:val="zh-CN" w:eastAsia="zh-CN"/>
        </w:rPr>
        <w:t>0971-6265854 </w:t>
      </w:r>
    </w:p>
    <w:p w14:paraId="1A4E3E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u w:val="single"/>
        </w:rPr>
      </w:pPr>
      <w:bookmarkStart w:id="65" w:name="_Toc28359010"/>
      <w:bookmarkStart w:id="66" w:name="_Toc28359087"/>
      <w:r>
        <w:rPr>
          <w:rFonts w:hint="eastAsia" w:ascii="宋体" w:hAnsi="宋体" w:eastAsia="宋体" w:cs="宋体"/>
          <w:b/>
          <w:bCs/>
          <w:sz w:val="24"/>
          <w:szCs w:val="24"/>
        </w:rPr>
        <w:t>3.项目联系方式</w:t>
      </w:r>
      <w:bookmarkEnd w:id="65"/>
      <w:bookmarkEnd w:id="66"/>
    </w:p>
    <w:p w14:paraId="6441E3B8">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u w:val="none"/>
          <w:lang w:val="zh-CN"/>
        </w:rPr>
      </w:pPr>
      <w:r>
        <w:rPr>
          <w:rFonts w:hint="eastAsia" w:ascii="宋体" w:hAnsi="宋体" w:eastAsia="宋体" w:cs="宋体"/>
          <w:kern w:val="0"/>
          <w:sz w:val="24"/>
          <w:szCs w:val="24"/>
          <w:lang w:val="zh-CN"/>
        </w:rPr>
        <w:t>项目联系人（询问）：</w:t>
      </w:r>
      <w:r>
        <w:rPr>
          <w:rFonts w:hint="eastAsia" w:hAnsi="宋体" w:cs="宋体"/>
          <w:kern w:val="0"/>
          <w:sz w:val="24"/>
          <w:szCs w:val="24"/>
          <w:lang w:val="en-US" w:eastAsia="zh-CN"/>
        </w:rPr>
        <w:t>李</w:t>
      </w:r>
      <w:r>
        <w:rPr>
          <w:rFonts w:hint="eastAsia" w:ascii="宋体" w:hAnsi="宋体" w:eastAsia="宋体" w:cs="宋体"/>
          <w:kern w:val="0"/>
          <w:sz w:val="24"/>
          <w:szCs w:val="24"/>
          <w:lang w:val="zh-CN" w:eastAsia="zh-CN"/>
        </w:rPr>
        <w:t>女士</w:t>
      </w:r>
    </w:p>
    <w:p w14:paraId="5E341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lang w:val="en-US" w:eastAsia="zh-CN" w:bidi="ar-SA"/>
        </w:rPr>
      </w:pPr>
      <w:r>
        <w:rPr>
          <w:rFonts w:hint="eastAsia" w:ascii="宋体" w:hAnsi="宋体" w:eastAsia="宋体" w:cs="宋体"/>
          <w:sz w:val="24"/>
          <w:szCs w:val="24"/>
          <w:u w:val="none"/>
          <w:lang w:val="zh-CN"/>
        </w:rPr>
        <w:t>项目联系方式（询问）：</w:t>
      </w:r>
      <w:r>
        <w:rPr>
          <w:rFonts w:hint="eastAsia" w:ascii="宋体" w:hAnsi="宋体" w:eastAsia="宋体" w:cs="宋体"/>
          <w:kern w:val="0"/>
          <w:sz w:val="24"/>
          <w:szCs w:val="24"/>
          <w:lang w:val="en-US" w:eastAsia="zh-CN" w:bidi="ar-SA"/>
        </w:rPr>
        <w:t>0971-6265854 </w:t>
      </w:r>
    </w:p>
    <w:p w14:paraId="48ABF119">
      <w:pPr>
        <w:spacing w:line="400" w:lineRule="exact"/>
        <w:ind w:firstLine="480" w:firstLineChars="200"/>
        <w:jc w:val="right"/>
        <w:rPr>
          <w:color w:val="auto"/>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rPr>
        <w:t>日</w:t>
      </w:r>
    </w:p>
    <w:bookmarkEnd w:id="3"/>
    <w:bookmarkEnd w:id="4"/>
    <w:p w14:paraId="721919DC">
      <w:pPr>
        <w:pStyle w:val="24"/>
        <w:spacing w:before="0" w:after="0" w:line="360" w:lineRule="auto"/>
        <w:rPr>
          <w:rFonts w:ascii="宋体" w:hAnsi="宋体"/>
          <w:sz w:val="36"/>
          <w:szCs w:val="36"/>
          <w:lang w:val="zh-CN"/>
        </w:rPr>
      </w:pPr>
      <w:r>
        <w:rPr>
          <w:rFonts w:ascii="宋体" w:hAnsi="宋体"/>
          <w:sz w:val="24"/>
        </w:rPr>
        <w:br w:type="page"/>
      </w:r>
      <w:bookmarkStart w:id="67" w:name="_Toc1575294"/>
      <w:bookmarkStart w:id="68" w:name="_Toc444715733"/>
      <w:r>
        <w:rPr>
          <w:rFonts w:hint="eastAsia" w:ascii="宋体" w:hAnsi="宋体"/>
          <w:sz w:val="36"/>
          <w:szCs w:val="36"/>
        </w:rPr>
        <w:t>第二部分磋商供应商须知前附表</w:t>
      </w:r>
      <w:bookmarkEnd w:id="67"/>
      <w:bookmarkEnd w:id="68"/>
    </w:p>
    <w:tbl>
      <w:tblPr>
        <w:tblStyle w:val="34"/>
        <w:tblW w:w="10433" w:type="dxa"/>
        <w:jc w:val="center"/>
        <w:tblLayout w:type="fixed"/>
        <w:tblCellMar>
          <w:top w:w="0" w:type="dxa"/>
          <w:left w:w="57" w:type="dxa"/>
          <w:bottom w:w="0" w:type="dxa"/>
          <w:right w:w="57" w:type="dxa"/>
        </w:tblCellMar>
      </w:tblPr>
      <w:tblGrid>
        <w:gridCol w:w="653"/>
        <w:gridCol w:w="2098"/>
        <w:gridCol w:w="7682"/>
      </w:tblGrid>
      <w:tr w14:paraId="75FE2A3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2A6E4F">
            <w:pPr>
              <w:autoSpaceDE w:val="0"/>
              <w:autoSpaceDN w:val="0"/>
              <w:spacing w:line="360" w:lineRule="auto"/>
              <w:jc w:val="center"/>
              <w:rPr>
                <w:rFonts w:ascii="宋体" w:hAnsi="宋体" w:cs="宋体"/>
                <w:kern w:val="0"/>
                <w:sz w:val="24"/>
                <w:lang w:val="zh-CN"/>
              </w:rPr>
            </w:pPr>
            <w:r>
              <w:rPr>
                <w:rFonts w:hint="eastAsia" w:ascii="宋体" w:hAnsi="宋体" w:cs="宋体"/>
                <w:bCs/>
                <w:kern w:val="0"/>
                <w:sz w:val="24"/>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5F2D9573">
            <w:pPr>
              <w:autoSpaceDE w:val="0"/>
              <w:autoSpaceDN w:val="0"/>
              <w:spacing w:line="360" w:lineRule="auto"/>
              <w:jc w:val="center"/>
              <w:rPr>
                <w:rFonts w:ascii="宋体" w:hAnsi="宋体" w:cs="宋体"/>
                <w:kern w:val="0"/>
                <w:sz w:val="24"/>
                <w:lang w:val="zh-CN"/>
              </w:rPr>
            </w:pPr>
            <w:r>
              <w:rPr>
                <w:rFonts w:hint="eastAsia" w:ascii="宋体" w:hAnsi="宋体" w:cs="宋体"/>
                <w:bCs/>
                <w:kern w:val="0"/>
                <w:sz w:val="24"/>
                <w:lang w:val="zh-CN"/>
              </w:rPr>
              <w:t>内容</w:t>
            </w:r>
          </w:p>
        </w:tc>
      </w:tr>
      <w:tr w14:paraId="5B11425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A1AB29">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tcPr>
          <w:p w14:paraId="45997799">
            <w:pPr>
              <w:pStyle w:val="124"/>
              <w:spacing w:before="2" w:line="360" w:lineRule="auto"/>
              <w:jc w:val="left"/>
              <w:rPr>
                <w:bCs/>
                <w:kern w:val="0"/>
                <w:sz w:val="24"/>
              </w:rPr>
            </w:pPr>
            <w:r>
              <w:rPr>
                <w:sz w:val="24"/>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CB9C07">
            <w:pPr>
              <w:spacing w:line="360" w:lineRule="auto"/>
              <w:ind w:left="20"/>
              <w:jc w:val="left"/>
              <w:rPr>
                <w:rFonts w:ascii="宋体" w:hAnsi="宋体" w:cs="宋体"/>
                <w:kern w:val="0"/>
                <w:sz w:val="24"/>
                <w:lang w:val="zh-CN"/>
              </w:rPr>
            </w:pPr>
            <w:r>
              <w:rPr>
                <w:rFonts w:hint="eastAsia" w:ascii="宋体" w:hAnsi="宋体" w:cs="宋体"/>
                <w:sz w:val="24"/>
                <w:szCs w:val="22"/>
                <w:lang w:val="zh-CN" w:bidi="zh-CN"/>
              </w:rPr>
              <w:t>海西州高级中学信息化项目</w:t>
            </w:r>
          </w:p>
        </w:tc>
      </w:tr>
      <w:tr w14:paraId="39544EC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67C208">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131507">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07A8682C">
            <w:pPr>
              <w:autoSpaceDE w:val="0"/>
              <w:autoSpaceDN w:val="0"/>
              <w:spacing w:line="360" w:lineRule="auto"/>
              <w:jc w:val="left"/>
              <w:rPr>
                <w:rFonts w:ascii="宋体" w:hAnsi="宋体" w:cs="宋体"/>
                <w:bCs/>
                <w:kern w:val="0"/>
                <w:sz w:val="24"/>
              </w:rPr>
            </w:pPr>
            <w:r>
              <w:rPr>
                <w:rFonts w:hint="eastAsia" w:ascii="宋体" w:hAnsi="宋体" w:cs="宋体"/>
                <w:bCs/>
                <w:kern w:val="0"/>
                <w:sz w:val="24"/>
                <w:lang w:val="zh-CN"/>
              </w:rPr>
              <w:t>青海鹰扬竞磋（货物）2025-001</w:t>
            </w:r>
          </w:p>
        </w:tc>
      </w:tr>
      <w:tr w14:paraId="366CB4C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DCB9B3">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D35D4E">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66C547BA">
            <w:pPr>
              <w:autoSpaceDE w:val="0"/>
              <w:autoSpaceDN w:val="0"/>
              <w:spacing w:line="360" w:lineRule="auto"/>
              <w:jc w:val="left"/>
              <w:rPr>
                <w:rFonts w:hint="eastAsia" w:ascii="宋体" w:hAnsi="宋体" w:eastAsia="宋体" w:cs="宋体"/>
                <w:bCs/>
                <w:kern w:val="0"/>
                <w:sz w:val="24"/>
                <w:lang w:val="zh-CN" w:eastAsia="zh-CN"/>
              </w:rPr>
            </w:pPr>
            <w:r>
              <w:rPr>
                <w:rFonts w:hint="eastAsia"/>
                <w:sz w:val="24"/>
                <w:lang w:eastAsia="zh-CN"/>
              </w:rPr>
              <w:t>德令哈市教育局</w:t>
            </w:r>
          </w:p>
        </w:tc>
      </w:tr>
      <w:tr w14:paraId="777170E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0C338B">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39C69A">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6A38DDE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青海鹰扬招标代理有限公司</w:t>
            </w:r>
          </w:p>
        </w:tc>
      </w:tr>
      <w:tr w14:paraId="4A46CFF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350B0D">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6670A4">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5665DD2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竞争性磋商</w:t>
            </w:r>
          </w:p>
        </w:tc>
      </w:tr>
      <w:tr w14:paraId="7DC4B3E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EBA209">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0C2638">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396DDF9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综合评分法</w:t>
            </w:r>
          </w:p>
        </w:tc>
      </w:tr>
      <w:tr w14:paraId="070C3BE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76FE37">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5F5AA3">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D07557">
            <w:pPr>
              <w:spacing w:line="360" w:lineRule="auto"/>
              <w:rPr>
                <w:rFonts w:ascii="宋体" w:hAnsi="宋体" w:cs="宋体"/>
                <w:kern w:val="0"/>
                <w:sz w:val="24"/>
                <w:lang w:val="zh-CN"/>
              </w:rPr>
            </w:pPr>
            <w:r>
              <w:rPr>
                <w:rFonts w:hint="eastAsia" w:ascii="宋体" w:hAnsi="宋体"/>
                <w:kern w:val="0"/>
                <w:sz w:val="24"/>
              </w:rPr>
              <w:t>人民币</w:t>
            </w:r>
            <w:r>
              <w:rPr>
                <w:rFonts w:hint="eastAsia" w:ascii="宋体" w:hAnsi="宋体"/>
                <w:kern w:val="0"/>
                <w:sz w:val="24"/>
                <w:lang w:val="en-US" w:eastAsia="zh-CN"/>
              </w:rPr>
              <w:t>1500000.00</w:t>
            </w:r>
            <w:r>
              <w:rPr>
                <w:rFonts w:hint="eastAsia" w:ascii="宋体" w:hAnsi="宋体"/>
                <w:kern w:val="0"/>
                <w:sz w:val="24"/>
                <w:lang w:eastAsia="zh-CN"/>
              </w:rPr>
              <w:t>元</w:t>
            </w:r>
          </w:p>
        </w:tc>
      </w:tr>
      <w:tr w14:paraId="51578B8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3F5115">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A3B341">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907B5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1</w:t>
            </w:r>
          </w:p>
        </w:tc>
      </w:tr>
      <w:tr w14:paraId="17F7501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7D0A6E">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A436A8">
            <w:pPr>
              <w:autoSpaceDE w:val="0"/>
              <w:autoSpaceDN w:val="0"/>
              <w:spacing w:line="360" w:lineRule="auto"/>
              <w:jc w:val="left"/>
              <w:rPr>
                <w:rFonts w:ascii="宋体" w:hAnsi="宋体" w:cs="宋体"/>
                <w:bCs/>
                <w:kern w:val="0"/>
                <w:sz w:val="24"/>
                <w:lang w:val="zh-CN"/>
              </w:rPr>
            </w:pPr>
            <w:r>
              <w:rPr>
                <w:rFonts w:hint="eastAsia" w:ascii="宋体" w:hAnsi="宋体" w:cs="宋体"/>
                <w:bCs/>
                <w:kern w:val="0"/>
                <w:sz w:val="24"/>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1F135D">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详见磋商文件“第六部分 采购项目要求及技术参数”</w:t>
            </w:r>
          </w:p>
        </w:tc>
      </w:tr>
      <w:tr w14:paraId="22ABA75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65D9A5">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C2A955">
            <w:pPr>
              <w:autoSpaceDE w:val="0"/>
              <w:autoSpaceDN w:val="0"/>
              <w:spacing w:line="360" w:lineRule="auto"/>
              <w:jc w:val="left"/>
              <w:rPr>
                <w:rFonts w:ascii="宋体" w:hAnsi="宋体" w:cs="宋体"/>
                <w:bCs/>
                <w:kern w:val="0"/>
                <w:sz w:val="24"/>
                <w:lang w:val="zh-CN"/>
              </w:rPr>
            </w:pPr>
            <w:r>
              <w:rPr>
                <w:rFonts w:hint="eastAsia" w:ascii="宋体" w:hAnsi="宋体" w:cs="宋体"/>
                <w:sz w:val="24"/>
              </w:rPr>
              <w:t>磋商供应商</w:t>
            </w:r>
            <w:r>
              <w:rPr>
                <w:rFonts w:hint="eastAsia" w:ascii="宋体" w:hAnsi="宋体" w:cs="宋体"/>
                <w:bCs/>
                <w:kern w:val="0"/>
                <w:sz w:val="24"/>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4AC95EAD">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1340F3CA">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2B749CF8">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1406E674">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5B384591">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636BEFF7">
            <w:pPr>
              <w:pStyle w:val="70"/>
              <w:autoSpaceDE w:val="0"/>
              <w:autoSpaceDN w:val="0"/>
              <w:adjustRightInd w:val="0"/>
              <w:spacing w:line="360" w:lineRule="auto"/>
              <w:ind w:left="0" w:leftChars="0" w:firstLine="0" w:firstLineChars="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612EC0F1">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en-US" w:eastAsia="zh-CN"/>
              </w:rPr>
              <w:t>2、</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39CFC987">
            <w:pPr>
              <w:pStyle w:val="70"/>
              <w:autoSpaceDE w:val="0"/>
              <w:autoSpaceDN w:val="0"/>
              <w:adjustRightInd w:val="0"/>
              <w:spacing w:line="360" w:lineRule="auto"/>
              <w:ind w:left="0" w:leftChars="0" w:firstLine="0" w:firstLineChars="0"/>
              <w:contextualSpacing/>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13451070">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4、</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07ED32B8">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hAnsi="宋体"/>
                <w:kern w:val="0"/>
                <w:sz w:val="24"/>
              </w:rPr>
            </w:pPr>
            <w:r>
              <w:rPr>
                <w:rFonts w:hint="eastAsia" w:ascii="宋体" w:hAnsi="Cambria" w:cs="宋体"/>
                <w:kern w:val="0"/>
                <w:sz w:val="24"/>
                <w:lang w:val="en-US" w:eastAsia="zh-CN"/>
              </w:rPr>
              <w:t>5、</w:t>
            </w:r>
            <w:r>
              <w:rPr>
                <w:rFonts w:hint="eastAsia" w:ascii="宋体" w:hAnsi="Cambria" w:cs="宋体"/>
                <w:kern w:val="0"/>
                <w:sz w:val="24"/>
                <w:lang w:val="zh-CN"/>
              </w:rPr>
              <w:t>本项目不接受以联合体方式进行投标。</w:t>
            </w:r>
          </w:p>
        </w:tc>
      </w:tr>
      <w:tr w14:paraId="2562D60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B0323E">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5CBA3F">
            <w:pPr>
              <w:autoSpaceDE w:val="0"/>
              <w:autoSpaceDN w:val="0"/>
              <w:spacing w:line="360" w:lineRule="auto"/>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3AFB78F1">
            <w:pPr>
              <w:pStyle w:val="124"/>
              <w:spacing w:before="1" w:line="440" w:lineRule="exact"/>
              <w:ind w:right="39" w:firstLine="0" w:firstLineChars="0"/>
              <w:rPr>
                <w:rFonts w:hint="eastAsia" w:ascii="宋体" w:hAnsi="宋体" w:eastAsia="宋体" w:cs="宋体"/>
                <w:kern w:val="0"/>
                <w:sz w:val="24"/>
                <w:szCs w:val="24"/>
                <w:lang w:val="zh-CN" w:eastAsia="zh-CN" w:bidi="ar-SA"/>
              </w:rPr>
            </w:pPr>
            <w:bookmarkStart w:id="69" w:name="_Toc421873478"/>
            <w:bookmarkStart w:id="70" w:name="_Toc435176391"/>
            <w:bookmarkStart w:id="71" w:name="_Toc444762753"/>
            <w:bookmarkStart w:id="72" w:name="_Toc435175539"/>
            <w:r>
              <w:rPr>
                <w:rFonts w:hint="eastAsia" w:ascii="宋体" w:hAnsi="宋体" w:eastAsia="宋体" w:cs="宋体"/>
                <w:kern w:val="0"/>
                <w:sz w:val="24"/>
                <w:szCs w:val="24"/>
                <w:lang w:val="zh-CN" w:eastAsia="zh-CN" w:bidi="ar-SA"/>
              </w:rPr>
              <w:t>磋商供应商须在磋商响应文件递交截止时间前，缴纳磋商保证金（磋商保证金应当从其基本账户汇出</w:t>
            </w:r>
            <w:bookmarkEnd w:id="69"/>
            <w:r>
              <w:rPr>
                <w:rFonts w:hint="eastAsia" w:ascii="宋体" w:hAnsi="宋体" w:eastAsia="宋体" w:cs="宋体"/>
                <w:kern w:val="0"/>
                <w:sz w:val="24"/>
                <w:szCs w:val="24"/>
                <w:lang w:val="zh-CN" w:eastAsia="zh-CN" w:bidi="ar-SA"/>
              </w:rPr>
              <w:t>，磋商响应文件中须附企业基本账户开户许可证并加盖磋商企业公章）</w:t>
            </w:r>
            <w:bookmarkEnd w:id="70"/>
            <w:bookmarkEnd w:id="71"/>
            <w:bookmarkEnd w:id="72"/>
          </w:p>
          <w:p w14:paraId="3B1A3B40">
            <w:pPr>
              <w:pStyle w:val="124"/>
              <w:spacing w:before="1" w:line="440" w:lineRule="exact"/>
              <w:ind w:right="39" w:firstLine="0" w:firstLineChars="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磋商保证金</w:t>
            </w:r>
            <w:r>
              <w:rPr>
                <w:rFonts w:hint="eastAsia" w:ascii="宋体" w:hAnsi="宋体" w:eastAsia="宋体" w:cs="宋体"/>
                <w:kern w:val="0"/>
                <w:sz w:val="24"/>
                <w:szCs w:val="24"/>
                <w:lang w:val="en-US" w:eastAsia="zh-CN" w:bidi="ar-SA"/>
              </w:rPr>
              <w:t>金额：30000.00</w:t>
            </w:r>
            <w:r>
              <w:rPr>
                <w:rFonts w:hint="eastAsia" w:ascii="宋体" w:hAnsi="宋体" w:eastAsia="宋体" w:cs="宋体"/>
                <w:kern w:val="0"/>
                <w:sz w:val="24"/>
                <w:szCs w:val="24"/>
                <w:lang w:val="zh-CN" w:eastAsia="zh-CN" w:bidi="ar-SA"/>
              </w:rPr>
              <w:t>（大写：</w:t>
            </w:r>
            <w:r>
              <w:rPr>
                <w:rFonts w:hint="eastAsia" w:ascii="宋体" w:hAnsi="宋体" w:eastAsia="宋体" w:cs="宋体"/>
                <w:kern w:val="0"/>
                <w:sz w:val="24"/>
                <w:szCs w:val="24"/>
                <w:lang w:val="en-US" w:eastAsia="zh-CN" w:bidi="ar-SA"/>
              </w:rPr>
              <w:t>叁万元整</w:t>
            </w:r>
            <w:r>
              <w:rPr>
                <w:rFonts w:hint="eastAsia" w:ascii="宋体" w:hAnsi="宋体" w:eastAsia="宋体" w:cs="宋体"/>
                <w:kern w:val="0"/>
                <w:sz w:val="24"/>
                <w:szCs w:val="24"/>
                <w:lang w:val="zh-CN" w:eastAsia="zh-CN" w:bidi="ar-SA"/>
              </w:rPr>
              <w:t>）</w:t>
            </w:r>
          </w:p>
          <w:p w14:paraId="7A25EB74">
            <w:pPr>
              <w:pStyle w:val="124"/>
              <w:spacing w:before="1" w:line="440" w:lineRule="exact"/>
              <w:ind w:right="39" w:firstLine="0" w:firstLineChars="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帐  号：开户行：中国建设银行股份有限公司青海省分行营业部</w:t>
            </w:r>
          </w:p>
          <w:p w14:paraId="14AD1D7E">
            <w:pPr>
              <w:pStyle w:val="124"/>
              <w:spacing w:before="1" w:line="440" w:lineRule="exact"/>
              <w:ind w:right="39" w:firstLine="0" w:firstLineChars="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收款单位：青海鹰扬招标代理有限公司</w:t>
            </w:r>
          </w:p>
          <w:p w14:paraId="0CD7F165">
            <w:pPr>
              <w:pStyle w:val="124"/>
              <w:spacing w:before="1" w:line="440" w:lineRule="exact"/>
              <w:ind w:right="39" w:firstLine="0" w:firstLineChars="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账号：63050136370000000536</w:t>
            </w:r>
          </w:p>
          <w:p w14:paraId="275C4157">
            <w:pPr>
              <w:pStyle w:val="124"/>
              <w:spacing w:before="1" w:line="440" w:lineRule="exact"/>
              <w:ind w:right="39" w:firstLine="0" w:firstLineChars="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zh-CN" w:eastAsia="zh-CN" w:bidi="ar-SA"/>
              </w:rPr>
              <w:t>款项用途：</w:t>
            </w:r>
            <w:r>
              <w:rPr>
                <w:rFonts w:hint="eastAsia" w:ascii="宋体" w:hAnsi="宋体" w:eastAsia="宋体" w:cs="宋体"/>
                <w:kern w:val="0"/>
                <w:sz w:val="24"/>
                <w:szCs w:val="24"/>
                <w:lang w:val="en-US" w:eastAsia="zh-CN" w:bidi="ar-SA"/>
              </w:rPr>
              <w:t>项目名称</w:t>
            </w:r>
          </w:p>
          <w:p w14:paraId="70FA1FBC">
            <w:pPr>
              <w:autoSpaceDE w:val="0"/>
              <w:autoSpaceDN w:val="0"/>
              <w:spacing w:line="360" w:lineRule="auto"/>
              <w:jc w:val="left"/>
              <w:rPr>
                <w:rFonts w:hint="eastAsia" w:ascii="宋体" w:hAnsi="宋体" w:eastAsia="宋体" w:cs="宋体"/>
                <w:bCs/>
                <w:kern w:val="0"/>
                <w:sz w:val="24"/>
                <w:szCs w:val="24"/>
                <w:lang w:val="en-US" w:eastAsia="zh-CN" w:bidi="ar-SA"/>
              </w:rPr>
            </w:pPr>
            <w:r>
              <w:rPr>
                <w:rFonts w:hint="eastAsia" w:ascii="宋体" w:hAnsi="宋体" w:eastAsia="宋体" w:cs="宋体"/>
                <w:kern w:val="0"/>
                <w:sz w:val="24"/>
                <w:szCs w:val="24"/>
                <w:lang w:val="zh-CN" w:eastAsia="zh-CN" w:bidi="ar-SA"/>
              </w:rPr>
              <w:t>缴费时间：磋商截止时间前提交到以上指定帐户，以银行到账时间为准。如采购项目变更磋商时间，则保证金交纳时间相应顺延。</w:t>
            </w:r>
          </w:p>
        </w:tc>
      </w:tr>
      <w:tr w14:paraId="7BCC694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ED3019">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786D01">
            <w:pPr>
              <w:autoSpaceDE w:val="0"/>
              <w:autoSpaceDN w:val="0"/>
              <w:spacing w:line="360" w:lineRule="auto"/>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14:paraId="3B3A3D2E">
            <w:pPr>
              <w:autoSpaceDE w:val="0"/>
              <w:autoSpaceDN w:val="0"/>
              <w:spacing w:line="360" w:lineRule="auto"/>
              <w:jc w:val="left"/>
              <w:rPr>
                <w:rFonts w:hint="eastAsia" w:ascii="宋体" w:hAnsi="宋体" w:eastAsia="宋体" w:cs="宋体"/>
                <w:bCs/>
                <w:kern w:val="0"/>
                <w:sz w:val="24"/>
                <w:szCs w:val="24"/>
                <w:lang w:val="en-US" w:eastAsia="zh-CN" w:bidi="ar-SA"/>
              </w:rPr>
            </w:pPr>
            <w:r>
              <w:rPr>
                <w:rFonts w:hint="eastAsia" w:ascii="宋体" w:hAnsi="宋体" w:cs="宋体"/>
                <w:kern w:val="0"/>
                <w:sz w:val="24"/>
                <w:lang w:val="zh-CN"/>
              </w:rPr>
              <w:t>未成交供应商的</w:t>
            </w:r>
            <w:r>
              <w:rPr>
                <w:rFonts w:hint="eastAsia" w:ascii="宋体" w:hAnsi="宋体"/>
                <w:kern w:val="0"/>
                <w:sz w:val="24"/>
              </w:rPr>
              <w:t>磋商</w:t>
            </w:r>
            <w:r>
              <w:rPr>
                <w:rFonts w:hint="eastAsia" w:ascii="宋体" w:hAnsi="宋体" w:cs="宋体"/>
                <w:kern w:val="0"/>
                <w:sz w:val="24"/>
                <w:lang w:val="zh-CN"/>
              </w:rPr>
              <w:t>保证金自成交通知书发出之日起5个工作日内退还（不退现金）；成交供应商的磋商保证金，自政府采购合同签订之日起5个工作日内退还（不退现金）。</w:t>
            </w:r>
          </w:p>
        </w:tc>
      </w:tr>
      <w:tr w14:paraId="71A9AF7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78C99C">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722A54">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递交响应文件方式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C2D891">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线上递交</w:t>
            </w:r>
          </w:p>
          <w:p w14:paraId="19BCFEAF">
            <w:pPr>
              <w:keepNext w:val="0"/>
              <w:keepLines w:val="0"/>
              <w:pageBreakBefore w:val="0"/>
              <w:widowControl w:val="0"/>
              <w:kinsoku/>
              <w:wordWrap/>
              <w:overflowPunct/>
              <w:topLinePunct w:val="0"/>
              <w:bidi w:val="0"/>
              <w:snapToGrid/>
              <w:spacing w:line="440" w:lineRule="exact"/>
              <w:textAlignment w:val="auto"/>
              <w:rPr>
                <w:rFonts w:hAnsi="宋体" w:cs="宋体"/>
                <w:b w:val="0"/>
                <w:bCs w:val="0"/>
                <w:color w:val="auto"/>
                <w:sz w:val="24"/>
                <w:lang w:val="zh-CN"/>
              </w:rPr>
            </w:pPr>
            <w:r>
              <w:rPr>
                <w:rFonts w:hint="eastAsia" w:ascii="宋体" w:hAnsi="宋体" w:cs="宋体"/>
                <w:b w:val="0"/>
                <w:bCs w:val="0"/>
                <w:color w:val="auto"/>
                <w:sz w:val="24"/>
                <w:lang w:val="zh-CN"/>
              </w:rPr>
              <w:t>本项目在政采云平台（https://www.zcygov.cn/）上提交电子响应文件，逾期未完成提交的，将视为放弃此次投标活动。</w:t>
            </w:r>
          </w:p>
        </w:tc>
      </w:tr>
      <w:tr w14:paraId="35377996">
        <w:tblPrEx>
          <w:tblCellMar>
            <w:top w:w="0" w:type="dxa"/>
            <w:left w:w="57" w:type="dxa"/>
            <w:bottom w:w="0" w:type="dxa"/>
            <w:right w:w="57" w:type="dxa"/>
          </w:tblCellMar>
        </w:tblPrEx>
        <w:trPr>
          <w:trHeight w:val="8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3AA800">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EB5E58">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rPr>
              <w:t>提交响应文件截止时间</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D01486">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eastAsia="zh-CN"/>
              </w:rPr>
              <w:t>2025年07月14日下午14时30分（北京时间）</w:t>
            </w:r>
          </w:p>
        </w:tc>
      </w:tr>
      <w:tr w14:paraId="525587D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753C12">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88C781">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rPr>
              <w:t>响应文件开启时间</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8D122A">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eastAsia="zh-CN"/>
              </w:rPr>
              <w:t>2025年07月14日下午14时30分（北京时间）</w:t>
            </w:r>
          </w:p>
        </w:tc>
      </w:tr>
      <w:tr w14:paraId="4A5EC31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3925F2">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325331">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rPr>
              <w:t>提交响应文件地点</w:t>
            </w:r>
          </w:p>
        </w:tc>
        <w:tc>
          <w:tcPr>
            <w:tcW w:w="7682" w:type="dxa"/>
            <w:tcBorders>
              <w:top w:val="outset" w:color="000000" w:sz="6" w:space="0"/>
              <w:left w:val="outset" w:color="000000" w:sz="6" w:space="0"/>
              <w:bottom w:val="outset" w:color="000000" w:sz="6" w:space="0"/>
              <w:right w:val="outset" w:color="000000" w:sz="6" w:space="0"/>
            </w:tcBorders>
            <w:vAlign w:val="center"/>
          </w:tcPr>
          <w:p w14:paraId="6819BFB5">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b w:val="0"/>
                <w:bCs w:val="0"/>
                <w:color w:val="auto"/>
                <w:kern w:val="0"/>
                <w:sz w:val="24"/>
                <w:lang w:eastAsia="zh-CN"/>
              </w:rPr>
            </w:pPr>
            <w:r>
              <w:rPr>
                <w:rFonts w:hint="eastAsia" w:ascii="宋体" w:hAnsi="宋体" w:cs="宋体"/>
                <w:b w:val="0"/>
                <w:bCs w:val="0"/>
                <w:color w:val="auto"/>
                <w:sz w:val="24"/>
                <w:lang w:val="zh-CN"/>
              </w:rPr>
              <w:t>政采云平台</w:t>
            </w:r>
            <w:r>
              <w:rPr>
                <w:rFonts w:hint="eastAsia" w:ascii="宋体" w:hAnsi="宋体" w:cs="宋体"/>
                <w:b w:val="0"/>
                <w:bCs w:val="0"/>
                <w:color w:val="auto"/>
                <w:sz w:val="24"/>
              </w:rPr>
              <w:t>（https://www.zcygov.cn/）</w:t>
            </w:r>
          </w:p>
        </w:tc>
      </w:tr>
      <w:tr w14:paraId="47DEA0F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9F0119">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C8037E">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答疑澄清方式</w:t>
            </w:r>
          </w:p>
        </w:tc>
        <w:tc>
          <w:tcPr>
            <w:tcW w:w="7682" w:type="dxa"/>
            <w:tcBorders>
              <w:top w:val="outset" w:color="000000" w:sz="6" w:space="0"/>
              <w:left w:val="outset" w:color="000000" w:sz="6" w:space="0"/>
              <w:bottom w:val="outset" w:color="000000" w:sz="6" w:space="0"/>
              <w:right w:val="outset" w:color="000000" w:sz="6" w:space="0"/>
            </w:tcBorders>
            <w:vAlign w:val="top"/>
          </w:tcPr>
          <w:p w14:paraId="564686A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b w:val="0"/>
                <w:bCs w:val="0"/>
                <w:color w:val="auto"/>
                <w:sz w:val="24"/>
              </w:rPr>
            </w:pPr>
            <w:r>
              <w:rPr>
                <w:rFonts w:hint="eastAsia"/>
                <w:b w:val="0"/>
                <w:bCs w:val="0"/>
                <w:color w:val="auto"/>
                <w:sz w:val="24"/>
              </w:rPr>
              <w:t>线上答疑</w:t>
            </w:r>
          </w:p>
          <w:p w14:paraId="2CB9E7F9">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b w:val="0"/>
                <w:bCs w:val="0"/>
                <w:color w:val="auto"/>
                <w:kern w:val="0"/>
                <w:sz w:val="24"/>
                <w:lang w:eastAsia="zh-CN"/>
              </w:rPr>
            </w:pPr>
            <w:r>
              <w:rPr>
                <w:rFonts w:hint="eastAsia" w:ascii="宋体" w:hAnsi="宋体" w:eastAsia="宋体" w:cs="宋体"/>
                <w:b w:val="0"/>
                <w:bCs w:val="0"/>
                <w:color w:val="auto"/>
                <w:sz w:val="24"/>
                <w:highlight w:val="none"/>
              </w:rPr>
              <w:t>磋商小组根据投标情况确定答疑时间，答疑或澄清在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上进行，供应商可在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color w:val="auto"/>
                <w:sz w:val="24"/>
                <w:highlight w:val="none"/>
                <w:lang w:val="en-US" w:eastAsia="zh-CN"/>
              </w:rPr>
              <w:t>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上答疑者，视同放弃答疑。</w:t>
            </w:r>
          </w:p>
        </w:tc>
      </w:tr>
      <w:tr w14:paraId="6B5E2B6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5F36F3">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05741F">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1CD6D873">
            <w:pPr>
              <w:keepNext w:val="0"/>
              <w:keepLines w:val="0"/>
              <w:pageBreakBefore w:val="0"/>
              <w:widowControl w:val="0"/>
              <w:kinsoku/>
              <w:wordWrap/>
              <w:overflowPunct/>
              <w:topLinePunct w:val="0"/>
              <w:autoSpaceDE w:val="0"/>
              <w:autoSpaceDN w:val="0"/>
              <w:bidi w:val="0"/>
              <w:snapToGrid/>
              <w:spacing w:line="440" w:lineRule="exact"/>
              <w:textAlignment w:val="auto"/>
              <w:rPr>
                <w:rFonts w:hint="default" w:ascii="宋体" w:hAnsi="宋体" w:eastAsia="宋体" w:cs="宋体"/>
                <w:b w:val="0"/>
                <w:bCs w:val="0"/>
                <w:color w:val="auto"/>
                <w:sz w:val="24"/>
                <w:lang w:val="en-US" w:eastAsia="zh-CN"/>
              </w:rPr>
            </w:pPr>
            <w:r>
              <w:rPr>
                <w:rFonts w:hint="eastAsia" w:ascii="宋体" w:hAnsi="宋体" w:cs="宋体"/>
                <w:b w:val="0"/>
                <w:bCs w:val="0"/>
                <w:color w:val="auto"/>
                <w:sz w:val="24"/>
              </w:rPr>
              <w:t>采购代理服务费：</w:t>
            </w:r>
            <w:r>
              <w:rPr>
                <w:rFonts w:hint="eastAsia" w:ascii="宋体" w:hAnsi="宋体" w:cs="宋体"/>
                <w:b w:val="0"/>
                <w:bCs w:val="0"/>
                <w:color w:val="auto"/>
                <w:sz w:val="24"/>
                <w:lang w:val="en-US" w:eastAsia="zh-CN"/>
              </w:rPr>
              <w:t>供应商支付。</w:t>
            </w:r>
          </w:p>
          <w:p w14:paraId="431DBEA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rPr>
            </w:pPr>
            <w:r>
              <w:rPr>
                <w:rFonts w:ascii="宋体" w:hAnsi="宋体" w:cs="宋体"/>
                <w:b w:val="0"/>
                <w:bCs w:val="0"/>
                <w:color w:val="auto"/>
                <w:sz w:val="24"/>
              </w:rPr>
              <w:t>（</w:t>
            </w:r>
            <w:r>
              <w:rPr>
                <w:rFonts w:hint="eastAsia" w:ascii="宋体" w:hAnsi="宋体" w:cs="宋体"/>
                <w:b w:val="0"/>
                <w:bCs w:val="0"/>
                <w:color w:val="auto"/>
                <w:sz w:val="24"/>
              </w:rPr>
              <w:t>1）根据国家发改委《关于进一步放开建设项目专业服务价格的通知》（发改价格[2015]299号）规定</w:t>
            </w:r>
            <w:r>
              <w:rPr>
                <w:rFonts w:hint="eastAsia" w:ascii="宋体" w:hAnsi="宋体" w:cs="宋体"/>
                <w:b w:val="0"/>
                <w:bCs w:val="0"/>
                <w:color w:val="auto"/>
                <w:sz w:val="24"/>
                <w:lang w:val="en-US" w:eastAsia="zh-CN"/>
              </w:rPr>
              <w:t>支付</w:t>
            </w:r>
            <w:r>
              <w:rPr>
                <w:rFonts w:hint="eastAsia" w:ascii="宋体" w:hAnsi="宋体" w:eastAsia="宋体" w:cs="宋体"/>
                <w:b w:val="0"/>
                <w:bCs w:val="0"/>
                <w:color w:val="auto"/>
                <w:sz w:val="24"/>
              </w:rPr>
              <w:t>。</w:t>
            </w:r>
          </w:p>
        </w:tc>
      </w:tr>
      <w:tr w14:paraId="1F58173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FC7FDB">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5FB87B">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716E2B9">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自成交通知书发出之日起</w:t>
            </w:r>
            <w:r>
              <w:rPr>
                <w:rFonts w:hint="eastAsia" w:ascii="宋体" w:hAnsi="宋体" w:cs="宋体"/>
                <w:b w:val="0"/>
                <w:bCs w:val="0"/>
                <w:color w:val="auto"/>
                <w:sz w:val="24"/>
              </w:rPr>
              <w:t>30</w:t>
            </w:r>
            <w:r>
              <w:rPr>
                <w:rFonts w:hint="eastAsia" w:ascii="宋体" w:hAnsi="宋体" w:cs="宋体"/>
                <w:b w:val="0"/>
                <w:bCs w:val="0"/>
                <w:color w:val="auto"/>
                <w:sz w:val="24"/>
                <w:lang w:val="zh-CN"/>
              </w:rPr>
              <w:t>日内与采购人签订</w:t>
            </w:r>
            <w:r>
              <w:rPr>
                <w:rFonts w:hint="eastAsia" w:ascii="宋体" w:hAnsi="宋体" w:cs="宋体"/>
                <w:b w:val="0"/>
                <w:bCs w:val="0"/>
                <w:color w:val="auto"/>
                <w:sz w:val="24"/>
                <w:lang w:val="en-US" w:eastAsia="zh-CN"/>
              </w:rPr>
              <w:t>供货</w:t>
            </w:r>
            <w:r>
              <w:rPr>
                <w:rFonts w:hint="eastAsia" w:ascii="宋体" w:hAnsi="宋体" w:cs="宋体"/>
                <w:b w:val="0"/>
                <w:bCs w:val="0"/>
                <w:color w:val="auto"/>
                <w:sz w:val="24"/>
                <w:lang w:val="zh-CN"/>
              </w:rPr>
              <w:t>合同</w:t>
            </w:r>
          </w:p>
        </w:tc>
      </w:tr>
      <w:tr w14:paraId="715224B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A7047C">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4EFFBC">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0B4559FF">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采购合同全数返回采购代理机构鉴证，盖章。</w:t>
            </w:r>
          </w:p>
          <w:p w14:paraId="6CB338E0">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采购代理机构留存</w:t>
            </w:r>
            <w:r>
              <w:rPr>
                <w:rFonts w:hint="eastAsia" w:ascii="宋体" w:hAnsi="宋体" w:cs="宋体"/>
                <w:b w:val="0"/>
                <w:bCs w:val="0"/>
                <w:color w:val="auto"/>
                <w:sz w:val="24"/>
                <w:lang w:val="en-US" w:eastAsia="zh-CN"/>
              </w:rPr>
              <w:t>一</w:t>
            </w:r>
            <w:r>
              <w:rPr>
                <w:rFonts w:hint="eastAsia" w:ascii="宋体" w:hAnsi="宋体" w:cs="宋体"/>
                <w:b w:val="0"/>
                <w:bCs w:val="0"/>
                <w:color w:val="auto"/>
                <w:sz w:val="24"/>
                <w:lang w:val="zh-CN"/>
              </w:rPr>
              <w:t>份原件备案。</w:t>
            </w:r>
          </w:p>
        </w:tc>
      </w:tr>
      <w:tr w14:paraId="14CEECC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6BCE94">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35C32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C126EE6">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rPr>
              <w:t>磋商有效期为自磋商开始之日起60天</w:t>
            </w:r>
          </w:p>
        </w:tc>
      </w:tr>
      <w:tr w14:paraId="4047D7B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0961A9">
            <w:pPr>
              <w:numPr>
                <w:ilvl w:val="0"/>
                <w:numId w:val="2"/>
              </w:numPr>
              <w:autoSpaceDE w:val="0"/>
              <w:autoSpaceDN w:val="0"/>
              <w:spacing w:line="360" w:lineRule="auto"/>
              <w:ind w:left="210" w:leftChars="0" w:firstLineChars="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6A094F">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lang w:val="zh-CN"/>
              </w:rPr>
            </w:pPr>
            <w:r>
              <w:rPr>
                <w:rFonts w:hint="eastAsia" w:ascii="宋体" w:hAnsi="宋体" w:cs="宋体"/>
                <w:b w:val="0"/>
                <w:bCs w:val="0"/>
                <w:color w:val="auto"/>
                <w:sz w:val="24"/>
                <w:lang w:val="zh-CN"/>
              </w:rPr>
              <w:t>其他事项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3FBE3CD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lang w:val="en-US" w:eastAsia="zh-CN"/>
              </w:rPr>
              <w:t>1、</w:t>
            </w:r>
            <w:r>
              <w:rPr>
                <w:rFonts w:hint="eastAsia" w:ascii="宋体" w:hAnsi="宋体" w:cs="宋体"/>
                <w:b w:val="0"/>
                <w:bCs w:val="0"/>
                <w:color w:val="auto"/>
                <w:kern w:val="0"/>
                <w:sz w:val="24"/>
                <w:lang w:val="zh-CN"/>
              </w:rPr>
              <w:t>本公告在《青海政府采购网》上发布；</w:t>
            </w:r>
          </w:p>
          <w:p w14:paraId="6231BD2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lang w:val="zh-CN"/>
              </w:rPr>
            </w:pPr>
            <w:r>
              <w:rPr>
                <w:rFonts w:hint="eastAsia" w:ascii="宋体" w:hAnsi="宋体" w:cs="宋体"/>
                <w:b w:val="0"/>
                <w:bCs w:val="0"/>
                <w:color w:val="auto"/>
                <w:kern w:val="0"/>
                <w:sz w:val="24"/>
                <w:lang w:val="en-US" w:eastAsia="zh-CN"/>
              </w:rPr>
              <w:t>2</w:t>
            </w:r>
            <w:r>
              <w:rPr>
                <w:rFonts w:hint="eastAsia" w:ascii="宋体" w:hAnsi="宋体" w:cs="宋体"/>
                <w:b w:val="0"/>
                <w:bCs w:val="0"/>
                <w:color w:val="auto"/>
                <w:kern w:val="0"/>
                <w:sz w:val="24"/>
              </w:rPr>
              <w:t>、</w:t>
            </w:r>
            <w:r>
              <w:rPr>
                <w:rFonts w:hint="eastAsia" w:ascii="宋体" w:hAnsi="宋体" w:cs="宋体"/>
                <w:b w:val="0"/>
                <w:bCs w:val="0"/>
                <w:color w:val="auto"/>
                <w:kern w:val="0"/>
                <w:sz w:val="24"/>
                <w:lang w:val="zh-CN"/>
              </w:rPr>
              <w:t>本次</w:t>
            </w:r>
            <w:r>
              <w:rPr>
                <w:rFonts w:hint="eastAsia" w:ascii="宋体" w:hAnsi="宋体" w:cs="宋体"/>
                <w:b w:val="0"/>
                <w:bCs w:val="0"/>
                <w:color w:val="auto"/>
                <w:kern w:val="0"/>
                <w:sz w:val="24"/>
              </w:rPr>
              <w:t>采购</w:t>
            </w:r>
            <w:r>
              <w:rPr>
                <w:rFonts w:hint="eastAsia" w:ascii="宋体" w:hAnsi="宋体" w:cs="宋体"/>
                <w:b w:val="0"/>
                <w:bCs w:val="0"/>
                <w:color w:val="auto"/>
                <w:kern w:val="0"/>
                <w:sz w:val="24"/>
                <w:lang w:val="zh-CN"/>
              </w:rPr>
              <w:t>采用线上提交响应文件的方式进行采购，线上</w:t>
            </w:r>
            <w:r>
              <w:rPr>
                <w:rFonts w:hint="eastAsia" w:ascii="宋体" w:hAnsi="宋体" w:cs="宋体"/>
                <w:b w:val="0"/>
                <w:bCs w:val="0"/>
                <w:color w:val="auto"/>
                <w:kern w:val="0"/>
                <w:sz w:val="24"/>
              </w:rPr>
              <w:t>电子版响应</w:t>
            </w:r>
            <w:r>
              <w:rPr>
                <w:rFonts w:hint="eastAsia" w:ascii="宋体" w:hAnsi="宋体" w:cs="宋体"/>
                <w:b w:val="0"/>
                <w:bCs w:val="0"/>
                <w:color w:val="auto"/>
                <w:kern w:val="0"/>
                <w:sz w:val="24"/>
                <w:lang w:val="zh-CN"/>
              </w:rPr>
              <w:t>文件须在</w:t>
            </w:r>
            <w:r>
              <w:rPr>
                <w:rFonts w:hint="eastAsia" w:ascii="宋体" w:hAnsi="宋体" w:cs="宋体"/>
                <w:b w:val="0"/>
                <w:bCs w:val="0"/>
                <w:color w:val="auto"/>
                <w:kern w:val="0"/>
                <w:sz w:val="24"/>
              </w:rPr>
              <w:t>响应</w:t>
            </w:r>
            <w:r>
              <w:rPr>
                <w:rFonts w:hint="eastAsia" w:ascii="宋体" w:hAnsi="宋体" w:cs="宋体"/>
                <w:b w:val="0"/>
                <w:bCs w:val="0"/>
                <w:color w:val="auto"/>
                <w:kern w:val="0"/>
                <w:sz w:val="24"/>
                <w:lang w:val="zh-CN"/>
              </w:rPr>
              <w:t>文件递交截止时间前上传政采云平台；</w:t>
            </w:r>
          </w:p>
          <w:p w14:paraId="4E76B8E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lang w:val="en-US" w:eastAsia="zh-CN"/>
              </w:rPr>
              <w:t>3</w:t>
            </w:r>
            <w:r>
              <w:rPr>
                <w:rFonts w:hint="eastAsia" w:ascii="宋体" w:hAnsi="宋体" w:cs="宋体"/>
                <w:b w:val="0"/>
                <w:bCs w:val="0"/>
                <w:color w:val="auto"/>
                <w:kern w:val="0"/>
                <w:sz w:val="24"/>
              </w:rPr>
              <w:t>、</w:t>
            </w:r>
            <w:r>
              <w:rPr>
                <w:rFonts w:hint="eastAsia" w:ascii="宋体" w:hAnsi="宋体" w:cs="宋体"/>
                <w:b w:val="0"/>
                <w:bCs w:val="0"/>
                <w:color w:val="auto"/>
                <w:kern w:val="0"/>
                <w:sz w:val="24"/>
                <w:lang w:val="zh-CN"/>
              </w:rPr>
              <w:t>若对项目采购电子交易系统操作有疑问，可登录政采云（https://www.zcygov.cn/），点击右侧咨询小采，获取采小蜜智能服务管家帮助，或拨打政采云服务</w:t>
            </w:r>
            <w:r>
              <w:rPr>
                <w:rFonts w:hint="eastAsia" w:ascii="宋体" w:hAnsi="宋体" w:cs="宋体"/>
                <w:b w:val="0"/>
                <w:bCs w:val="0"/>
                <w:color w:val="auto"/>
                <w:kern w:val="0"/>
                <w:sz w:val="24"/>
              </w:rPr>
              <w:t>热线</w:t>
            </w:r>
            <w:r>
              <w:rPr>
                <w:rFonts w:hint="eastAsia" w:ascii="宋体" w:hAnsi="宋体" w:cs="宋体"/>
                <w:b w:val="0"/>
                <w:bCs w:val="0"/>
                <w:color w:val="auto"/>
                <w:kern w:val="0"/>
                <w:sz w:val="24"/>
                <w:lang w:val="en-US" w:eastAsia="zh-CN"/>
              </w:rPr>
              <w:t>95763</w:t>
            </w:r>
            <w:r>
              <w:rPr>
                <w:rFonts w:hint="eastAsia" w:ascii="宋体" w:hAnsi="宋体" w:cs="宋体"/>
                <w:b w:val="0"/>
                <w:bCs w:val="0"/>
                <w:color w:val="auto"/>
                <w:kern w:val="0"/>
                <w:sz w:val="24"/>
                <w:lang w:val="zh-CN"/>
              </w:rPr>
              <w:t>获取热线服务帮助。 CA问题联系电话（人工）；400-087-8198。</w:t>
            </w:r>
          </w:p>
          <w:p w14:paraId="4B1DDD7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Arial"/>
                <w:b w:val="0"/>
                <w:bCs w:val="0"/>
                <w:color w:val="auto"/>
                <w:sz w:val="24"/>
              </w:rPr>
            </w:pPr>
            <w:r>
              <w:rPr>
                <w:rFonts w:hint="eastAsia" w:ascii="宋体" w:hAnsi="宋体" w:cs="宋体"/>
                <w:b w:val="0"/>
                <w:bCs w:val="0"/>
                <w:color w:val="auto"/>
                <w:kern w:val="0"/>
                <w:sz w:val="24"/>
                <w:lang w:val="en-US" w:eastAsia="zh-CN"/>
              </w:rPr>
              <w:t>4</w:t>
            </w:r>
            <w:r>
              <w:rPr>
                <w:rFonts w:hint="eastAsia" w:ascii="宋体" w:hAnsi="宋体" w:cs="宋体"/>
                <w:b w:val="0"/>
                <w:bCs w:val="0"/>
                <w:color w:val="auto"/>
                <w:kern w:val="0"/>
                <w:sz w:val="24"/>
                <w:lang w:val="zh-CN"/>
              </w:rPr>
              <w:t>、磋商供应商解密和磋商报价时必须由e签宝注册人办理，在固定电脑设备前登陆等待解密和磋商最终报价。</w:t>
            </w:r>
          </w:p>
        </w:tc>
      </w:tr>
    </w:tbl>
    <w:p w14:paraId="4E8CE043">
      <w:pPr>
        <w:pStyle w:val="24"/>
        <w:spacing w:before="0" w:after="0" w:line="360" w:lineRule="auto"/>
        <w:rPr>
          <w:rFonts w:ascii="宋体" w:hAnsi="宋体"/>
          <w:sz w:val="36"/>
          <w:szCs w:val="36"/>
          <w:lang w:val="zh-CN"/>
        </w:rPr>
      </w:pPr>
      <w:r>
        <w:rPr>
          <w:rFonts w:ascii="宋体" w:hAnsi="宋体"/>
          <w:b w:val="0"/>
          <w:sz w:val="44"/>
        </w:rPr>
        <w:br w:type="page"/>
      </w:r>
      <w:bookmarkStart w:id="73" w:name="_Toc1575295"/>
      <w:bookmarkStart w:id="74" w:name="_Toc444715734"/>
      <w:r>
        <w:rPr>
          <w:rFonts w:hint="eastAsia" w:ascii="宋体" w:hAnsi="宋体"/>
          <w:sz w:val="36"/>
          <w:szCs w:val="36"/>
        </w:rPr>
        <w:t>第三部分磋商供应商须知</w:t>
      </w:r>
      <w:bookmarkEnd w:id="73"/>
      <w:bookmarkEnd w:id="74"/>
    </w:p>
    <w:p w14:paraId="46E48AE9">
      <w:pPr>
        <w:pStyle w:val="4"/>
        <w:jc w:val="center"/>
        <w:rPr>
          <w:rFonts w:hAnsi="宋体"/>
          <w:b/>
          <w:sz w:val="32"/>
          <w:szCs w:val="21"/>
        </w:rPr>
      </w:pPr>
      <w:bookmarkStart w:id="75" w:name="_Toc1575296"/>
      <w:r>
        <w:rPr>
          <w:rFonts w:hint="eastAsia" w:hAnsi="宋体"/>
          <w:b/>
          <w:sz w:val="32"/>
          <w:szCs w:val="21"/>
        </w:rPr>
        <w:t>说明</w:t>
      </w:r>
      <w:bookmarkEnd w:id="75"/>
    </w:p>
    <w:p w14:paraId="7A0B15A2">
      <w:pPr>
        <w:pStyle w:val="5"/>
        <w:numPr>
          <w:ilvl w:val="0"/>
          <w:numId w:val="3"/>
        </w:numPr>
        <w:spacing w:before="0" w:after="0" w:line="360" w:lineRule="auto"/>
        <w:rPr>
          <w:rFonts w:ascii="宋体" w:hAnsi="宋体"/>
          <w:b w:val="0"/>
        </w:rPr>
      </w:pPr>
      <w:bookmarkStart w:id="76" w:name="_Toc495570969"/>
      <w:bookmarkStart w:id="77" w:name="_Toc488691479"/>
      <w:bookmarkStart w:id="78" w:name="_Toc459377860"/>
      <w:bookmarkStart w:id="79" w:name="_Toc446427794"/>
      <w:bookmarkStart w:id="80" w:name="_Toc1575297"/>
      <w:r>
        <w:rPr>
          <w:rFonts w:ascii="宋体" w:hAnsi="宋体"/>
          <w:b w:val="0"/>
        </w:rPr>
        <w:t>磋商内容及要求</w:t>
      </w:r>
      <w:bookmarkEnd w:id="76"/>
      <w:bookmarkEnd w:id="77"/>
      <w:bookmarkEnd w:id="78"/>
      <w:bookmarkEnd w:id="79"/>
      <w:bookmarkEnd w:id="80"/>
    </w:p>
    <w:p w14:paraId="3A5AD5E6">
      <w:pPr>
        <w:pStyle w:val="17"/>
        <w:spacing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14:paraId="42A68EEC">
      <w:pPr>
        <w:pStyle w:val="5"/>
        <w:numPr>
          <w:ilvl w:val="0"/>
          <w:numId w:val="3"/>
        </w:numPr>
        <w:spacing w:before="0" w:after="0" w:line="360" w:lineRule="auto"/>
        <w:rPr>
          <w:rFonts w:ascii="宋体" w:hAnsi="宋体"/>
          <w:b w:val="0"/>
        </w:rPr>
      </w:pPr>
      <w:bookmarkStart w:id="81" w:name="_Toc1575298"/>
      <w:bookmarkStart w:id="82" w:name="_Toc488673614"/>
      <w:r>
        <w:rPr>
          <w:rFonts w:hint="eastAsia" w:ascii="宋体" w:hAnsi="宋体"/>
          <w:b w:val="0"/>
        </w:rPr>
        <w:t>采购方式、合格的磋商供应商</w:t>
      </w:r>
      <w:bookmarkEnd w:id="81"/>
      <w:bookmarkEnd w:id="82"/>
    </w:p>
    <w:p w14:paraId="101F2371">
      <w:pPr>
        <w:pStyle w:val="17"/>
        <w:numPr>
          <w:ilvl w:val="1"/>
          <w:numId w:val="4"/>
        </w:numPr>
        <w:spacing w:line="360" w:lineRule="auto"/>
        <w:rPr>
          <w:rFonts w:hAnsi="宋体"/>
          <w:sz w:val="24"/>
          <w:szCs w:val="28"/>
        </w:rPr>
      </w:pPr>
      <w:r>
        <w:rPr>
          <w:rFonts w:hint="eastAsia" w:hAnsi="宋体"/>
          <w:sz w:val="24"/>
          <w:szCs w:val="28"/>
        </w:rPr>
        <w:t>本次磋商采取竞争性磋商方式；</w:t>
      </w:r>
    </w:p>
    <w:p w14:paraId="0EE6F4AF">
      <w:pPr>
        <w:pStyle w:val="17"/>
        <w:numPr>
          <w:ilvl w:val="1"/>
          <w:numId w:val="4"/>
        </w:numPr>
        <w:spacing w:line="360" w:lineRule="auto"/>
        <w:rPr>
          <w:rFonts w:hAnsi="宋体"/>
          <w:sz w:val="24"/>
          <w:szCs w:val="28"/>
        </w:rPr>
      </w:pPr>
      <w:r>
        <w:rPr>
          <w:rFonts w:hAnsi="宋体" w:cs="Arial"/>
          <w:sz w:val="24"/>
          <w:szCs w:val="24"/>
        </w:rPr>
        <w:t>合格的磋商供应商：</w:t>
      </w:r>
    </w:p>
    <w:p w14:paraId="1A3ACE53">
      <w:pPr>
        <w:pStyle w:val="70"/>
        <w:autoSpaceDE w:val="0"/>
        <w:autoSpaceDN w:val="0"/>
        <w:adjustRightInd w:val="0"/>
        <w:spacing w:line="360" w:lineRule="auto"/>
        <w:ind w:firstLine="240" w:firstLineChars="100"/>
        <w:contextualSpacing/>
        <w:rPr>
          <w:rFonts w:ascii="宋体" w:hAnsi="Cambria" w:cs="宋体"/>
          <w:kern w:val="0"/>
          <w:sz w:val="24"/>
          <w:lang w:val="zh-CN"/>
        </w:rPr>
      </w:pPr>
      <w:bookmarkStart w:id="83" w:name="_Toc488673615"/>
      <w:bookmarkStart w:id="84" w:name="_Toc1575299"/>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05E0D963">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7CFC7D04">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56DE56D6">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332E5091">
      <w:pPr>
        <w:pStyle w:val="70"/>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662B7DA4">
      <w:pPr>
        <w:pStyle w:val="70"/>
        <w:autoSpaceDE w:val="0"/>
        <w:autoSpaceDN w:val="0"/>
        <w:adjustRightInd w:val="0"/>
        <w:spacing w:line="360" w:lineRule="auto"/>
        <w:ind w:firstLine="480" w:firstLineChars="2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4D6735FD">
      <w:pPr>
        <w:pStyle w:val="70"/>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2、</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56202A58">
      <w:pPr>
        <w:pStyle w:val="70"/>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3F89CD2A">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4、</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42FEDD73">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cs="宋体"/>
          <w:kern w:val="0"/>
          <w:sz w:val="24"/>
          <w:lang w:val="zh-CN"/>
        </w:rPr>
      </w:pPr>
      <w:r>
        <w:rPr>
          <w:rFonts w:hint="eastAsia" w:ascii="宋体" w:hAnsi="Cambria" w:cs="宋体"/>
          <w:kern w:val="0"/>
          <w:sz w:val="24"/>
          <w:lang w:val="en-US" w:eastAsia="zh-CN"/>
        </w:rPr>
        <w:t>5、</w:t>
      </w:r>
      <w:r>
        <w:rPr>
          <w:rFonts w:hint="eastAsia" w:ascii="宋体" w:hAnsi="Cambria" w:cs="宋体"/>
          <w:kern w:val="0"/>
          <w:sz w:val="24"/>
          <w:lang w:val="zh-CN"/>
        </w:rPr>
        <w:t>本项目不接受以联合体方式进行投标。</w:t>
      </w:r>
    </w:p>
    <w:p w14:paraId="049B79CD">
      <w:pPr>
        <w:pStyle w:val="5"/>
        <w:numPr>
          <w:ilvl w:val="0"/>
          <w:numId w:val="3"/>
        </w:numPr>
        <w:spacing w:before="0" w:after="0" w:line="360" w:lineRule="auto"/>
        <w:rPr>
          <w:rFonts w:ascii="宋体" w:hAnsi="宋体"/>
          <w:b w:val="0"/>
        </w:rPr>
      </w:pPr>
      <w:r>
        <w:rPr>
          <w:rFonts w:hint="eastAsia" w:ascii="宋体" w:hAnsi="宋体"/>
          <w:b w:val="0"/>
        </w:rPr>
        <w:t>磋商费用</w:t>
      </w:r>
      <w:bookmarkEnd w:id="83"/>
      <w:bookmarkEnd w:id="84"/>
    </w:p>
    <w:p w14:paraId="304CBDCD">
      <w:pPr>
        <w:pStyle w:val="17"/>
        <w:spacing w:line="360" w:lineRule="auto"/>
        <w:ind w:firstLine="480" w:firstLineChars="200"/>
        <w:rPr>
          <w:rFonts w:hAnsi="宋体"/>
          <w:b/>
          <w:sz w:val="24"/>
          <w:szCs w:val="28"/>
        </w:rPr>
      </w:pPr>
      <w:r>
        <w:rPr>
          <w:rFonts w:hint="eastAsia" w:hAnsi="宋体"/>
          <w:sz w:val="24"/>
          <w:szCs w:val="28"/>
        </w:rPr>
        <w:t>磋商供应商应自愿承担与参加本次磋商有关的费用。采购代理机构对磋商供应商发生的费用不承担任何责任。</w:t>
      </w:r>
    </w:p>
    <w:p w14:paraId="47D47199">
      <w:pPr>
        <w:pStyle w:val="4"/>
        <w:pBdr>
          <w:top w:val="none" w:color="auto" w:sz="0" w:space="1"/>
          <w:left w:val="none" w:color="auto" w:sz="0" w:space="4"/>
          <w:bottom w:val="none" w:color="auto" w:sz="0" w:space="1"/>
          <w:right w:val="none" w:color="auto" w:sz="0" w:space="4"/>
        </w:pBdr>
        <w:jc w:val="center"/>
        <w:rPr>
          <w:rFonts w:hAnsi="宋体"/>
          <w:b/>
          <w:sz w:val="32"/>
          <w:szCs w:val="21"/>
        </w:rPr>
      </w:pPr>
      <w:bookmarkStart w:id="85" w:name="_Toc1575300"/>
      <w:r>
        <w:rPr>
          <w:rFonts w:hint="eastAsia" w:hAnsi="宋体"/>
          <w:b/>
          <w:sz w:val="32"/>
          <w:szCs w:val="21"/>
        </w:rPr>
        <w:t>磋商文件说明</w:t>
      </w:r>
      <w:bookmarkEnd w:id="85"/>
    </w:p>
    <w:p w14:paraId="6618814A">
      <w:pPr>
        <w:pStyle w:val="5"/>
        <w:numPr>
          <w:ilvl w:val="0"/>
          <w:numId w:val="3"/>
        </w:numPr>
        <w:spacing w:before="0" w:after="0" w:line="360" w:lineRule="auto"/>
        <w:rPr>
          <w:rFonts w:ascii="宋体" w:hAnsi="宋体"/>
          <w:b w:val="0"/>
        </w:rPr>
      </w:pPr>
      <w:bookmarkStart w:id="86" w:name="_Toc1575301"/>
      <w:bookmarkStart w:id="87" w:name="_Toc488673617"/>
      <w:r>
        <w:rPr>
          <w:rFonts w:hint="eastAsia" w:ascii="宋体" w:hAnsi="宋体"/>
          <w:b w:val="0"/>
        </w:rPr>
        <w:t>磋商文件的构成</w:t>
      </w:r>
      <w:bookmarkEnd w:id="86"/>
      <w:bookmarkEnd w:id="87"/>
    </w:p>
    <w:p w14:paraId="01926A6F">
      <w:pPr>
        <w:pStyle w:val="17"/>
        <w:numPr>
          <w:ilvl w:val="1"/>
          <w:numId w:val="5"/>
        </w:numPr>
        <w:spacing w:line="360" w:lineRule="auto"/>
        <w:rPr>
          <w:rFonts w:hAnsi="宋体"/>
          <w:sz w:val="24"/>
          <w:szCs w:val="28"/>
        </w:rPr>
      </w:pPr>
      <w:r>
        <w:rPr>
          <w:rFonts w:hint="eastAsia" w:hAnsi="宋体"/>
          <w:sz w:val="24"/>
          <w:szCs w:val="28"/>
        </w:rPr>
        <w:t>磋商文件包括：</w:t>
      </w:r>
    </w:p>
    <w:p w14:paraId="765F76BB">
      <w:pPr>
        <w:pStyle w:val="17"/>
        <w:numPr>
          <w:ilvl w:val="0"/>
          <w:numId w:val="6"/>
        </w:numPr>
        <w:spacing w:line="360" w:lineRule="auto"/>
        <w:rPr>
          <w:rFonts w:hAnsi="宋体" w:cs="Arial"/>
          <w:sz w:val="24"/>
          <w:szCs w:val="24"/>
        </w:rPr>
      </w:pPr>
      <w:r>
        <w:rPr>
          <w:rFonts w:hint="eastAsia" w:hAnsi="宋体" w:cs="Arial"/>
          <w:sz w:val="24"/>
          <w:szCs w:val="24"/>
        </w:rPr>
        <w:t>磋商邀请；</w:t>
      </w:r>
    </w:p>
    <w:p w14:paraId="2E669F20">
      <w:pPr>
        <w:pStyle w:val="17"/>
        <w:numPr>
          <w:ilvl w:val="0"/>
          <w:numId w:val="6"/>
        </w:numPr>
        <w:spacing w:line="360" w:lineRule="auto"/>
        <w:rPr>
          <w:rFonts w:hAnsi="宋体" w:cs="Arial"/>
          <w:sz w:val="24"/>
          <w:szCs w:val="24"/>
        </w:rPr>
      </w:pPr>
      <w:r>
        <w:rPr>
          <w:rFonts w:hint="eastAsia" w:hAnsi="宋体" w:cs="Arial"/>
          <w:sz w:val="24"/>
          <w:szCs w:val="24"/>
        </w:rPr>
        <w:t>磋商供应商须知前附表；</w:t>
      </w:r>
    </w:p>
    <w:p w14:paraId="412985D2">
      <w:pPr>
        <w:pStyle w:val="17"/>
        <w:numPr>
          <w:ilvl w:val="0"/>
          <w:numId w:val="6"/>
        </w:numPr>
        <w:spacing w:line="360" w:lineRule="auto"/>
        <w:rPr>
          <w:rFonts w:hAnsi="宋体" w:cs="Arial"/>
          <w:sz w:val="24"/>
          <w:szCs w:val="24"/>
        </w:rPr>
      </w:pPr>
      <w:r>
        <w:rPr>
          <w:rFonts w:hint="eastAsia" w:hAnsi="宋体" w:cs="Arial"/>
          <w:sz w:val="24"/>
          <w:szCs w:val="24"/>
        </w:rPr>
        <w:t>磋商供应商须知；</w:t>
      </w:r>
    </w:p>
    <w:p w14:paraId="6748742C">
      <w:pPr>
        <w:pStyle w:val="17"/>
        <w:numPr>
          <w:ilvl w:val="0"/>
          <w:numId w:val="6"/>
        </w:numPr>
        <w:spacing w:line="360" w:lineRule="auto"/>
        <w:rPr>
          <w:rFonts w:hAnsi="宋体" w:cs="Arial"/>
          <w:sz w:val="24"/>
          <w:szCs w:val="24"/>
        </w:rPr>
      </w:pPr>
      <w:r>
        <w:rPr>
          <w:rFonts w:hint="eastAsia" w:hAnsi="宋体" w:cs="Arial"/>
          <w:sz w:val="24"/>
          <w:szCs w:val="24"/>
        </w:rPr>
        <w:t>青海省政府采购合同文本样式；</w:t>
      </w:r>
    </w:p>
    <w:p w14:paraId="02C78E8D">
      <w:pPr>
        <w:pStyle w:val="17"/>
        <w:numPr>
          <w:ilvl w:val="0"/>
          <w:numId w:val="6"/>
        </w:numPr>
        <w:spacing w:line="360" w:lineRule="auto"/>
        <w:rPr>
          <w:rFonts w:hAnsi="宋体" w:cs="Arial"/>
          <w:sz w:val="24"/>
          <w:szCs w:val="24"/>
        </w:rPr>
      </w:pPr>
      <w:r>
        <w:rPr>
          <w:rFonts w:hint="eastAsia" w:hAnsi="宋体" w:cs="Arial"/>
          <w:sz w:val="24"/>
          <w:szCs w:val="24"/>
        </w:rPr>
        <w:t>磋商响应文件格式；</w:t>
      </w:r>
    </w:p>
    <w:p w14:paraId="35C78C26">
      <w:pPr>
        <w:pStyle w:val="17"/>
        <w:numPr>
          <w:ilvl w:val="0"/>
          <w:numId w:val="6"/>
        </w:numPr>
        <w:spacing w:line="360" w:lineRule="auto"/>
        <w:rPr>
          <w:rFonts w:hAnsi="宋体" w:cs="Arial"/>
          <w:sz w:val="24"/>
          <w:szCs w:val="24"/>
        </w:rPr>
      </w:pPr>
      <w:r>
        <w:rPr>
          <w:rFonts w:hint="eastAsia" w:hAnsi="宋体" w:cs="Arial"/>
          <w:sz w:val="24"/>
          <w:szCs w:val="24"/>
        </w:rPr>
        <w:t>采购项目要求及技术参数；</w:t>
      </w:r>
    </w:p>
    <w:p w14:paraId="1A7A2DF5">
      <w:pPr>
        <w:pStyle w:val="17"/>
        <w:numPr>
          <w:ilvl w:val="0"/>
          <w:numId w:val="6"/>
        </w:numPr>
        <w:spacing w:line="360" w:lineRule="auto"/>
        <w:rPr>
          <w:rFonts w:hAnsi="宋体" w:cs="Arial"/>
          <w:sz w:val="24"/>
          <w:szCs w:val="24"/>
        </w:rPr>
      </w:pPr>
      <w:r>
        <w:rPr>
          <w:rFonts w:hint="eastAsia" w:hAnsi="宋体" w:cs="Arial"/>
          <w:sz w:val="24"/>
          <w:szCs w:val="24"/>
        </w:rPr>
        <w:t>采购过程中发生的澄清、变更和补充文件；</w:t>
      </w:r>
    </w:p>
    <w:p w14:paraId="544E2478">
      <w:pPr>
        <w:pStyle w:val="17"/>
        <w:numPr>
          <w:ilvl w:val="1"/>
          <w:numId w:val="5"/>
        </w:numPr>
        <w:spacing w:line="360" w:lineRule="auto"/>
        <w:rPr>
          <w:rFonts w:hAnsi="宋体"/>
          <w:sz w:val="24"/>
          <w:szCs w:val="28"/>
        </w:rPr>
      </w:pPr>
      <w:r>
        <w:rPr>
          <w:rFonts w:hint="eastAsia" w:hAnsi="宋体"/>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2BE4274E">
      <w:pPr>
        <w:pStyle w:val="5"/>
        <w:numPr>
          <w:ilvl w:val="0"/>
          <w:numId w:val="3"/>
        </w:numPr>
        <w:spacing w:before="0" w:after="0" w:line="360" w:lineRule="auto"/>
        <w:rPr>
          <w:rFonts w:ascii="宋体" w:hAnsi="宋体"/>
          <w:b w:val="0"/>
        </w:rPr>
      </w:pPr>
      <w:bookmarkStart w:id="88" w:name="_Toc488673618"/>
      <w:bookmarkStart w:id="89" w:name="_Toc1575302"/>
      <w:r>
        <w:rPr>
          <w:rFonts w:hint="eastAsia" w:ascii="宋体" w:hAnsi="宋体"/>
          <w:b w:val="0"/>
        </w:rPr>
        <w:t>磋商文件、磋商活动和中标结果的质疑</w:t>
      </w:r>
      <w:bookmarkEnd w:id="88"/>
      <w:bookmarkEnd w:id="89"/>
    </w:p>
    <w:p w14:paraId="651EA9BF">
      <w:pPr>
        <w:pStyle w:val="17"/>
        <w:numPr>
          <w:ilvl w:val="1"/>
          <w:numId w:val="7"/>
        </w:numPr>
        <w:spacing w:line="360" w:lineRule="auto"/>
        <w:rPr>
          <w:rFonts w:hAnsi="宋体"/>
          <w:sz w:val="24"/>
          <w:szCs w:val="28"/>
        </w:rPr>
      </w:pPr>
      <w:r>
        <w:rPr>
          <w:rFonts w:hint="eastAsia" w:hAnsi="宋体"/>
          <w:sz w:val="24"/>
          <w:szCs w:val="28"/>
        </w:rPr>
        <w:t>参加磋商的磋商供应商认为磋商文件、磋商活动和中标、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3D023A6C">
      <w:pPr>
        <w:pStyle w:val="17"/>
        <w:numPr>
          <w:ilvl w:val="1"/>
          <w:numId w:val="7"/>
        </w:numPr>
        <w:spacing w:line="360" w:lineRule="auto"/>
        <w:rPr>
          <w:rFonts w:hAnsi="宋体"/>
          <w:sz w:val="24"/>
          <w:szCs w:val="28"/>
        </w:rPr>
      </w:pPr>
      <w:r>
        <w:rPr>
          <w:rFonts w:hint="eastAsia" w:hAnsi="宋体"/>
          <w:sz w:val="24"/>
          <w:szCs w:val="28"/>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3D7C7DA7">
      <w:pPr>
        <w:pStyle w:val="17"/>
        <w:numPr>
          <w:ilvl w:val="1"/>
          <w:numId w:val="7"/>
        </w:numPr>
        <w:spacing w:line="360" w:lineRule="auto"/>
        <w:rPr>
          <w:rFonts w:hAnsi="宋体"/>
          <w:sz w:val="24"/>
          <w:szCs w:val="28"/>
        </w:rPr>
      </w:pPr>
      <w:r>
        <w:rPr>
          <w:rFonts w:hint="eastAsia" w:hAnsi="宋体"/>
          <w:sz w:val="24"/>
          <w:szCs w:val="28"/>
        </w:rPr>
        <w:t>质疑时效期间的计算</w:t>
      </w:r>
    </w:p>
    <w:p w14:paraId="0714566A">
      <w:pPr>
        <w:pStyle w:val="17"/>
        <w:numPr>
          <w:ilvl w:val="0"/>
          <w:numId w:val="8"/>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14:paraId="57B0BE32">
      <w:pPr>
        <w:pStyle w:val="17"/>
        <w:numPr>
          <w:ilvl w:val="0"/>
          <w:numId w:val="8"/>
        </w:numPr>
        <w:spacing w:line="360" w:lineRule="auto"/>
        <w:rPr>
          <w:rFonts w:hAnsi="宋体" w:cs="Arial"/>
          <w:sz w:val="24"/>
          <w:szCs w:val="24"/>
        </w:rPr>
      </w:pPr>
      <w:r>
        <w:rPr>
          <w:rFonts w:hint="eastAsia" w:hAnsi="宋体" w:cs="Arial"/>
          <w:sz w:val="24"/>
          <w:szCs w:val="24"/>
        </w:rPr>
        <w:t>对磋商过程提出质疑的，为磋商程序各环节结束之日；</w:t>
      </w:r>
    </w:p>
    <w:p w14:paraId="164EE096">
      <w:pPr>
        <w:pStyle w:val="17"/>
        <w:numPr>
          <w:ilvl w:val="0"/>
          <w:numId w:val="8"/>
        </w:numPr>
        <w:spacing w:line="360" w:lineRule="auto"/>
        <w:rPr>
          <w:rFonts w:hAnsi="宋体" w:cs="Arial"/>
          <w:sz w:val="24"/>
          <w:szCs w:val="24"/>
        </w:rPr>
      </w:pPr>
      <w:r>
        <w:rPr>
          <w:rFonts w:hint="eastAsia" w:hAnsi="宋体" w:cs="Arial"/>
          <w:sz w:val="24"/>
          <w:szCs w:val="24"/>
        </w:rPr>
        <w:t>对中标结果提出质疑的，为中标公告期限届满之日。</w:t>
      </w:r>
    </w:p>
    <w:p w14:paraId="7F7937F8">
      <w:pPr>
        <w:pStyle w:val="5"/>
        <w:numPr>
          <w:ilvl w:val="0"/>
          <w:numId w:val="3"/>
        </w:numPr>
        <w:spacing w:before="0" w:after="0" w:line="360" w:lineRule="auto"/>
        <w:rPr>
          <w:rFonts w:ascii="宋体" w:hAnsi="宋体"/>
          <w:b w:val="0"/>
        </w:rPr>
      </w:pPr>
      <w:bookmarkStart w:id="90" w:name="_Toc1575303"/>
      <w:bookmarkStart w:id="91" w:name="_Toc488673619"/>
      <w:r>
        <w:rPr>
          <w:rFonts w:hint="eastAsia" w:ascii="宋体" w:hAnsi="宋体"/>
          <w:b w:val="0"/>
        </w:rPr>
        <w:t>磋商文件的修改</w:t>
      </w:r>
      <w:bookmarkEnd w:id="90"/>
      <w:bookmarkEnd w:id="91"/>
    </w:p>
    <w:p w14:paraId="3C665826">
      <w:pPr>
        <w:pStyle w:val="17"/>
        <w:numPr>
          <w:ilvl w:val="1"/>
          <w:numId w:val="9"/>
        </w:numPr>
        <w:spacing w:line="360" w:lineRule="auto"/>
        <w:rPr>
          <w:rFonts w:hAnsi="宋体"/>
          <w:sz w:val="24"/>
          <w:szCs w:val="28"/>
        </w:rPr>
      </w:pPr>
      <w:r>
        <w:rPr>
          <w:rFonts w:hint="eastAsia" w:hAnsi="宋体"/>
          <w:sz w:val="24"/>
          <w:szCs w:val="28"/>
        </w:rPr>
        <w:t>在磋商截止期前，采购单位或采购代理机构可对磋商文件进行必要的修改或者澄清；</w:t>
      </w:r>
    </w:p>
    <w:p w14:paraId="7139D968">
      <w:pPr>
        <w:pStyle w:val="17"/>
        <w:numPr>
          <w:ilvl w:val="1"/>
          <w:numId w:val="9"/>
        </w:numPr>
        <w:spacing w:line="360" w:lineRule="auto"/>
        <w:rPr>
          <w:rFonts w:hAnsi="宋体"/>
          <w:sz w:val="24"/>
          <w:szCs w:val="28"/>
        </w:rPr>
      </w:pPr>
      <w:r>
        <w:rPr>
          <w:rFonts w:hint="eastAsia" w:hAnsi="宋体"/>
          <w:sz w:val="24"/>
          <w:szCs w:val="28"/>
        </w:rPr>
        <w:t>采购代理机构对已发出的磋商文件进行必要的澄清或者修改的，澄清或者修改的内容可能影响磋商响应文件编制的，在磋商文件要求提交磋商响应文件截止时间</w:t>
      </w:r>
      <w:r>
        <w:rPr>
          <w:rFonts w:hAnsi="宋体"/>
          <w:sz w:val="24"/>
          <w:szCs w:val="28"/>
        </w:rPr>
        <w:t>5</w:t>
      </w:r>
      <w:r>
        <w:rPr>
          <w:rFonts w:hint="eastAsia" w:hAnsi="宋体"/>
          <w:sz w:val="24"/>
          <w:szCs w:val="28"/>
        </w:rPr>
        <w:t>日前，发布本次磋商公告的网站上发布变更公告。不足</w:t>
      </w:r>
      <w:r>
        <w:rPr>
          <w:rFonts w:hAnsi="宋体"/>
          <w:sz w:val="24"/>
          <w:szCs w:val="28"/>
        </w:rPr>
        <w:t>5</w:t>
      </w:r>
      <w:r>
        <w:rPr>
          <w:rFonts w:hint="eastAsia" w:hAnsi="宋体"/>
          <w:sz w:val="24"/>
          <w:szCs w:val="28"/>
        </w:rPr>
        <w:t>日的，顺延提交磋商响应文件的截止时间。该澄清或者修改的内容为磋商文件的组成部分；</w:t>
      </w:r>
    </w:p>
    <w:p w14:paraId="47DA7A1D">
      <w:pPr>
        <w:pStyle w:val="17"/>
        <w:numPr>
          <w:ilvl w:val="1"/>
          <w:numId w:val="9"/>
        </w:numPr>
        <w:spacing w:line="360" w:lineRule="auto"/>
        <w:rPr>
          <w:rFonts w:hAnsi="宋体"/>
          <w:sz w:val="24"/>
          <w:szCs w:val="28"/>
        </w:rPr>
      </w:pPr>
      <w:r>
        <w:rPr>
          <w:rFonts w:hint="eastAsia" w:hAnsi="宋体"/>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03381FEA">
      <w:pPr>
        <w:pStyle w:val="4"/>
        <w:jc w:val="center"/>
        <w:rPr>
          <w:rFonts w:hAnsi="宋体"/>
          <w:b/>
          <w:sz w:val="32"/>
          <w:szCs w:val="21"/>
        </w:rPr>
      </w:pPr>
      <w:bookmarkStart w:id="92" w:name="_Toc1575304"/>
      <w:r>
        <w:rPr>
          <w:rFonts w:hint="eastAsia" w:hAnsi="宋体"/>
          <w:b/>
          <w:sz w:val="32"/>
          <w:szCs w:val="21"/>
        </w:rPr>
        <w:t>磋商响应文件的编写</w:t>
      </w:r>
      <w:bookmarkEnd w:id="92"/>
    </w:p>
    <w:p w14:paraId="2193CA37">
      <w:pPr>
        <w:pStyle w:val="5"/>
        <w:numPr>
          <w:ilvl w:val="0"/>
          <w:numId w:val="3"/>
        </w:numPr>
        <w:spacing w:before="0" w:after="0" w:line="360" w:lineRule="auto"/>
        <w:rPr>
          <w:rFonts w:ascii="宋体" w:hAnsi="宋体"/>
          <w:b w:val="0"/>
        </w:rPr>
      </w:pPr>
      <w:bookmarkStart w:id="93" w:name="_Toc488673621"/>
      <w:bookmarkStart w:id="94" w:name="_Toc1575305"/>
      <w:r>
        <w:rPr>
          <w:rFonts w:hint="eastAsia" w:ascii="宋体" w:hAnsi="宋体"/>
          <w:b w:val="0"/>
        </w:rPr>
        <w:t>磋商响应文件的语言及度量衡单位</w:t>
      </w:r>
      <w:bookmarkEnd w:id="93"/>
      <w:bookmarkEnd w:id="94"/>
    </w:p>
    <w:p w14:paraId="38B9FDCE">
      <w:pPr>
        <w:pStyle w:val="17"/>
        <w:numPr>
          <w:ilvl w:val="1"/>
          <w:numId w:val="10"/>
        </w:numPr>
        <w:spacing w:line="360" w:lineRule="auto"/>
        <w:rPr>
          <w:rFonts w:hAnsi="宋体"/>
          <w:sz w:val="24"/>
          <w:szCs w:val="28"/>
        </w:rPr>
      </w:pPr>
      <w:r>
        <w:rPr>
          <w:rFonts w:hint="eastAsia" w:hAnsi="宋体"/>
          <w:sz w:val="24"/>
          <w:szCs w:val="28"/>
        </w:rPr>
        <w:t>磋商供应商提交的磋商响应文件以及磋商供应商与采购代理机构就此磋商发生的所有来往函电均应使用简体中文；</w:t>
      </w:r>
    </w:p>
    <w:p w14:paraId="05F812BF">
      <w:pPr>
        <w:pStyle w:val="17"/>
        <w:numPr>
          <w:ilvl w:val="1"/>
          <w:numId w:val="10"/>
        </w:numPr>
        <w:spacing w:line="360" w:lineRule="auto"/>
        <w:rPr>
          <w:rFonts w:hAnsi="宋体"/>
          <w:sz w:val="24"/>
          <w:szCs w:val="28"/>
        </w:rPr>
      </w:pPr>
      <w:r>
        <w:rPr>
          <w:rFonts w:hint="eastAsia" w:hAnsi="宋体"/>
          <w:sz w:val="24"/>
          <w:szCs w:val="28"/>
        </w:rPr>
        <w:t>除磋商文件中另有规定外，磋商文件所使用的度量衡单位，均须采用国家法定计量单位；</w:t>
      </w:r>
    </w:p>
    <w:p w14:paraId="0054C940">
      <w:pPr>
        <w:pStyle w:val="17"/>
        <w:numPr>
          <w:ilvl w:val="1"/>
          <w:numId w:val="10"/>
        </w:numPr>
        <w:spacing w:line="360" w:lineRule="auto"/>
        <w:rPr>
          <w:rFonts w:hAnsi="宋体"/>
          <w:sz w:val="24"/>
          <w:szCs w:val="28"/>
        </w:rPr>
      </w:pPr>
      <w:r>
        <w:rPr>
          <w:rFonts w:hint="eastAsia" w:hAnsi="宋体"/>
          <w:sz w:val="24"/>
          <w:szCs w:val="28"/>
        </w:rPr>
        <w:t>附有外文资料的须翻译成中文，并加盖磋商供应商公章，如果翻译的中文资料与外文资料出现差异与矛盾时，以中文为准，其准确性由磋商供应商负责。</w:t>
      </w:r>
    </w:p>
    <w:p w14:paraId="4F87B620">
      <w:pPr>
        <w:pStyle w:val="5"/>
        <w:numPr>
          <w:ilvl w:val="0"/>
          <w:numId w:val="3"/>
        </w:numPr>
        <w:spacing w:before="0" w:after="0" w:line="360" w:lineRule="auto"/>
        <w:rPr>
          <w:rFonts w:ascii="宋体" w:hAnsi="宋体"/>
          <w:b w:val="0"/>
        </w:rPr>
      </w:pPr>
      <w:bookmarkStart w:id="95" w:name="_Toc488673622"/>
      <w:bookmarkStart w:id="96" w:name="_Toc1575306"/>
      <w:r>
        <w:rPr>
          <w:rFonts w:hint="eastAsia" w:ascii="宋体" w:hAnsi="宋体"/>
          <w:b w:val="0"/>
        </w:rPr>
        <w:t>磋商报价及币种</w:t>
      </w:r>
      <w:bookmarkEnd w:id="95"/>
      <w:bookmarkEnd w:id="96"/>
    </w:p>
    <w:p w14:paraId="097D2D0F">
      <w:pPr>
        <w:pStyle w:val="17"/>
        <w:numPr>
          <w:ilvl w:val="1"/>
          <w:numId w:val="11"/>
        </w:numPr>
        <w:spacing w:line="360" w:lineRule="auto"/>
        <w:rPr>
          <w:rFonts w:hAnsi="宋体"/>
          <w:sz w:val="24"/>
          <w:szCs w:val="28"/>
        </w:rPr>
      </w:pPr>
      <w:r>
        <w:rPr>
          <w:rFonts w:hint="eastAsia" w:hAnsi="宋体"/>
          <w:sz w:val="24"/>
          <w:szCs w:val="28"/>
        </w:rPr>
        <w:t>磋商报价为磋商总价。磋商报价必须包括：</w:t>
      </w:r>
      <w:bookmarkStart w:id="97" w:name="_Hlk497466989"/>
      <w:r>
        <w:rPr>
          <w:rFonts w:hint="eastAsia" w:hAnsi="宋体"/>
          <w:sz w:val="24"/>
          <w:szCs w:val="28"/>
          <w:lang w:val="zh-CN"/>
        </w:rPr>
        <w:t>产品费、</w:t>
      </w:r>
      <w:r>
        <w:rPr>
          <w:rFonts w:hint="eastAsia" w:hAnsi="宋体"/>
          <w:sz w:val="24"/>
          <w:szCs w:val="28"/>
          <w:lang w:val="en-US" w:eastAsia="zh-CN"/>
        </w:rPr>
        <w:t>安装费、</w:t>
      </w:r>
      <w:r>
        <w:rPr>
          <w:rFonts w:hint="eastAsia" w:hAnsi="宋体"/>
          <w:sz w:val="24"/>
          <w:szCs w:val="28"/>
          <w:lang w:val="zh-CN"/>
        </w:rPr>
        <w:t>验收费、售前、售中、售后服务费、招标代理费、税金及不可预见费等全部费用。</w:t>
      </w:r>
      <w:r>
        <w:rPr>
          <w:rFonts w:hint="eastAsia" w:hAnsi="宋体"/>
          <w:sz w:val="24"/>
          <w:szCs w:val="28"/>
        </w:rPr>
        <w:t>（说明：具体内容应根据项目特点实事求是的填写）</w:t>
      </w:r>
      <w:bookmarkEnd w:id="97"/>
    </w:p>
    <w:p w14:paraId="7F1848D2">
      <w:pPr>
        <w:pStyle w:val="17"/>
        <w:numPr>
          <w:ilvl w:val="1"/>
          <w:numId w:val="11"/>
        </w:numPr>
        <w:spacing w:line="360" w:lineRule="auto"/>
        <w:rPr>
          <w:rFonts w:hAnsi="宋体"/>
          <w:sz w:val="24"/>
          <w:szCs w:val="28"/>
        </w:rPr>
      </w:pPr>
      <w:r>
        <w:rPr>
          <w:rFonts w:hint="eastAsia" w:hAnsi="宋体"/>
          <w:sz w:val="24"/>
          <w:szCs w:val="28"/>
        </w:rPr>
        <w:t>磋商报价应注明有效期，有效期应与磋商有效期一致；</w:t>
      </w:r>
    </w:p>
    <w:p w14:paraId="5E09A7AA">
      <w:pPr>
        <w:pStyle w:val="17"/>
        <w:numPr>
          <w:ilvl w:val="1"/>
          <w:numId w:val="11"/>
        </w:numPr>
        <w:spacing w:line="360" w:lineRule="auto"/>
        <w:rPr>
          <w:rFonts w:hAnsi="宋体"/>
          <w:sz w:val="24"/>
          <w:szCs w:val="28"/>
        </w:rPr>
      </w:pPr>
      <w:r>
        <w:rPr>
          <w:rFonts w:hint="eastAsia" w:hAnsi="宋体"/>
          <w:sz w:val="24"/>
          <w:szCs w:val="28"/>
        </w:rPr>
        <w:t>磋商供应商应根据磋商文件规定的格式完整填写所有内容，并保证所提供的全部资料真实可靠，自愿承担相应责任；</w:t>
      </w:r>
    </w:p>
    <w:p w14:paraId="69C7861A">
      <w:pPr>
        <w:pStyle w:val="17"/>
        <w:numPr>
          <w:ilvl w:val="1"/>
          <w:numId w:val="11"/>
        </w:numPr>
        <w:spacing w:line="360" w:lineRule="auto"/>
        <w:rPr>
          <w:rFonts w:hAnsi="宋体"/>
          <w:sz w:val="24"/>
          <w:szCs w:val="28"/>
        </w:rPr>
      </w:pPr>
      <w:r>
        <w:rPr>
          <w:rFonts w:hint="eastAsia" w:hAnsi="宋体"/>
          <w:sz w:val="24"/>
          <w:szCs w:val="28"/>
        </w:rPr>
        <w:t>磋商报价为闭口价，即中标后在合同有效期内价格不变；</w:t>
      </w:r>
    </w:p>
    <w:p w14:paraId="7E8B409C">
      <w:pPr>
        <w:pStyle w:val="17"/>
        <w:numPr>
          <w:ilvl w:val="1"/>
          <w:numId w:val="11"/>
        </w:numPr>
        <w:spacing w:line="360" w:lineRule="auto"/>
        <w:rPr>
          <w:rFonts w:hAnsi="宋体"/>
          <w:sz w:val="24"/>
          <w:szCs w:val="28"/>
        </w:rPr>
      </w:pPr>
      <w:r>
        <w:rPr>
          <w:rFonts w:hint="eastAsia" w:hAnsi="宋体"/>
          <w:sz w:val="24"/>
          <w:szCs w:val="28"/>
        </w:rPr>
        <w:t>磋商币种为人民币。</w:t>
      </w:r>
    </w:p>
    <w:p w14:paraId="6EBC5319">
      <w:pPr>
        <w:pStyle w:val="5"/>
        <w:numPr>
          <w:ilvl w:val="0"/>
          <w:numId w:val="3"/>
        </w:numPr>
        <w:spacing w:before="0" w:after="0" w:line="360" w:lineRule="auto"/>
        <w:rPr>
          <w:rFonts w:ascii="宋体" w:hAnsi="宋体"/>
          <w:b w:val="0"/>
        </w:rPr>
      </w:pPr>
      <w:bookmarkStart w:id="98" w:name="_Toc1575307"/>
      <w:bookmarkStart w:id="99" w:name="_Toc488673623"/>
      <w:r>
        <w:rPr>
          <w:rFonts w:hint="eastAsia" w:ascii="宋体" w:hAnsi="宋体"/>
          <w:b w:val="0"/>
        </w:rPr>
        <w:t>磋商保证金</w:t>
      </w:r>
      <w:bookmarkEnd w:id="98"/>
      <w:bookmarkEnd w:id="99"/>
    </w:p>
    <w:p w14:paraId="08C8333B">
      <w:pPr>
        <w:pStyle w:val="17"/>
        <w:numPr>
          <w:ilvl w:val="1"/>
          <w:numId w:val="12"/>
        </w:numPr>
        <w:spacing w:line="360" w:lineRule="auto"/>
        <w:rPr>
          <w:rFonts w:hAnsi="宋体"/>
          <w:sz w:val="24"/>
          <w:szCs w:val="28"/>
        </w:rPr>
      </w:pPr>
      <w:r>
        <w:rPr>
          <w:rFonts w:hint="eastAsia" w:hAnsi="宋体"/>
          <w:sz w:val="24"/>
          <w:szCs w:val="28"/>
        </w:rPr>
        <w:t>磋商供应商应将磋商保证金缴纳证明作为磋商响应文件的内容一并提供。缴纳的磋商保证金用于因磋商供应商的行为使本次磋商活动受到损失的抵项；</w:t>
      </w:r>
    </w:p>
    <w:p w14:paraId="6785E79E">
      <w:pPr>
        <w:pStyle w:val="17"/>
        <w:numPr>
          <w:ilvl w:val="1"/>
          <w:numId w:val="12"/>
        </w:numPr>
        <w:spacing w:line="360" w:lineRule="auto"/>
        <w:rPr>
          <w:rFonts w:hAnsi="宋体"/>
          <w:sz w:val="24"/>
          <w:szCs w:val="24"/>
        </w:rPr>
      </w:pPr>
      <w:r>
        <w:rPr>
          <w:rFonts w:hint="eastAsia" w:hAnsi="宋体"/>
          <w:sz w:val="24"/>
          <w:szCs w:val="28"/>
        </w:rPr>
        <w:t>磋商人须在投标截止期前按以下要求交纳投标保证金</w:t>
      </w:r>
      <w:r>
        <w:rPr>
          <w:rFonts w:hint="eastAsia" w:hAnsi="宋体"/>
          <w:b/>
          <w:bCs/>
          <w:sz w:val="24"/>
          <w:szCs w:val="24"/>
          <w:lang w:val="zh-CN" w:eastAsia="zh-CN"/>
        </w:rPr>
        <w:t>。</w:t>
      </w:r>
    </w:p>
    <w:p w14:paraId="746D8EEF">
      <w:pPr>
        <w:pStyle w:val="17"/>
        <w:numPr>
          <w:ilvl w:val="1"/>
          <w:numId w:val="12"/>
        </w:numPr>
        <w:spacing w:line="360" w:lineRule="auto"/>
        <w:rPr>
          <w:rFonts w:hAnsi="宋体"/>
          <w:sz w:val="24"/>
          <w:szCs w:val="28"/>
        </w:rPr>
      </w:pPr>
      <w:r>
        <w:rPr>
          <w:rFonts w:hint="eastAsia" w:hAnsi="宋体"/>
          <w:sz w:val="24"/>
          <w:szCs w:val="28"/>
        </w:rPr>
        <w:t>磋商供应商应在磋商截止时间前将磋商保证金缴纳到采购代理机构账户，以银行到账时间为准；</w:t>
      </w:r>
    </w:p>
    <w:p w14:paraId="3E5739C5">
      <w:pPr>
        <w:pStyle w:val="17"/>
        <w:numPr>
          <w:ilvl w:val="1"/>
          <w:numId w:val="12"/>
        </w:numPr>
        <w:spacing w:line="360" w:lineRule="auto"/>
        <w:rPr>
          <w:rFonts w:hAnsi="宋体"/>
          <w:sz w:val="24"/>
          <w:szCs w:val="28"/>
        </w:rPr>
      </w:pPr>
      <w:r>
        <w:rPr>
          <w:rFonts w:hint="eastAsia" w:hAnsi="宋体"/>
          <w:sz w:val="24"/>
          <w:szCs w:val="28"/>
        </w:rPr>
        <w:t>磋商保证金应当以电汇、支票、汇票、本票或者金融机构、担保机构出具的保函等非现金形式提交，通过银行转账的，必须从磋商供应商基本账户直接汇（转）入采购代理机构指定账户；</w:t>
      </w:r>
    </w:p>
    <w:p w14:paraId="6976B247">
      <w:pPr>
        <w:pStyle w:val="17"/>
        <w:numPr>
          <w:ilvl w:val="1"/>
          <w:numId w:val="12"/>
        </w:numPr>
        <w:spacing w:line="360" w:lineRule="auto"/>
        <w:rPr>
          <w:rFonts w:hAnsi="宋体"/>
          <w:sz w:val="24"/>
          <w:szCs w:val="28"/>
        </w:rPr>
      </w:pPr>
      <w:r>
        <w:rPr>
          <w:rFonts w:hint="eastAsia" w:hAnsi="宋体"/>
          <w:sz w:val="24"/>
          <w:szCs w:val="28"/>
        </w:rPr>
        <w:t>未按磋商文件要求在规定时间前交纳规定数额磋商保证金的磋商将被拒绝；</w:t>
      </w:r>
    </w:p>
    <w:p w14:paraId="780E543E">
      <w:pPr>
        <w:pStyle w:val="17"/>
        <w:numPr>
          <w:ilvl w:val="1"/>
          <w:numId w:val="12"/>
        </w:numPr>
        <w:spacing w:line="360" w:lineRule="auto"/>
        <w:rPr>
          <w:rFonts w:hAnsi="宋体"/>
          <w:sz w:val="24"/>
          <w:szCs w:val="28"/>
        </w:rPr>
      </w:pPr>
      <w:r>
        <w:rPr>
          <w:rFonts w:hint="eastAsia" w:hAnsi="宋体"/>
          <w:sz w:val="24"/>
          <w:szCs w:val="28"/>
        </w:rPr>
        <w:t>未中标磋商供应商的磋商保证金自中标通知书发出之日起5个工作日内全额无息退还（不退现金）；中标磋商供应商的磋商保证金，自政府采购合同签订之日起5个工作日内全额无息退还（不退现金）；</w:t>
      </w:r>
    </w:p>
    <w:p w14:paraId="57049DAB">
      <w:pPr>
        <w:pStyle w:val="17"/>
        <w:numPr>
          <w:ilvl w:val="1"/>
          <w:numId w:val="12"/>
        </w:numPr>
        <w:spacing w:line="360" w:lineRule="auto"/>
        <w:rPr>
          <w:rFonts w:hAnsi="宋体"/>
          <w:sz w:val="24"/>
          <w:szCs w:val="28"/>
        </w:rPr>
      </w:pPr>
      <w:r>
        <w:rPr>
          <w:rFonts w:hint="eastAsia" w:hAnsi="宋体"/>
          <w:sz w:val="24"/>
          <w:szCs w:val="28"/>
        </w:rPr>
        <w:t>下列任何情况发生时，磋商保证金将不予退还：</w:t>
      </w:r>
    </w:p>
    <w:p w14:paraId="30E9B23D">
      <w:pPr>
        <w:pStyle w:val="17"/>
        <w:numPr>
          <w:ilvl w:val="0"/>
          <w:numId w:val="13"/>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磋商供应商在递交磋商响应文件的截止时间前未到达现场并且没有以书面形式如信函、传真等告知采购代理机构要撤其磋商的；</w:t>
      </w:r>
    </w:p>
    <w:p w14:paraId="1ACE7DDD">
      <w:pPr>
        <w:pStyle w:val="17"/>
        <w:numPr>
          <w:ilvl w:val="0"/>
          <w:numId w:val="13"/>
        </w:numPr>
        <w:spacing w:line="360" w:lineRule="auto"/>
        <w:rPr>
          <w:rFonts w:hAnsi="宋体" w:cs="Arial"/>
          <w:sz w:val="24"/>
          <w:szCs w:val="24"/>
        </w:rPr>
      </w:pPr>
      <w:r>
        <w:rPr>
          <w:rFonts w:hint="eastAsia" w:hAnsi="宋体" w:cs="Arial"/>
          <w:sz w:val="24"/>
          <w:szCs w:val="24"/>
        </w:rPr>
        <w:t>中标磋商供应商在规定期限内未能按规定签订合同或未按规定缴纳中标服务费；</w:t>
      </w:r>
    </w:p>
    <w:p w14:paraId="780CBD35">
      <w:pPr>
        <w:pStyle w:val="17"/>
        <w:numPr>
          <w:ilvl w:val="0"/>
          <w:numId w:val="13"/>
        </w:numPr>
        <w:spacing w:line="360" w:lineRule="auto"/>
        <w:rPr>
          <w:rFonts w:hAnsi="宋体" w:cs="Arial"/>
          <w:sz w:val="24"/>
          <w:szCs w:val="24"/>
        </w:rPr>
      </w:pPr>
      <w:r>
        <w:rPr>
          <w:rFonts w:hint="eastAsia" w:hAnsi="宋体" w:cs="Arial"/>
          <w:sz w:val="24"/>
          <w:szCs w:val="24"/>
        </w:rPr>
        <w:t>提供虚假材料谋取中标的；</w:t>
      </w:r>
    </w:p>
    <w:p w14:paraId="3FE4E668">
      <w:pPr>
        <w:pStyle w:val="17"/>
        <w:numPr>
          <w:ilvl w:val="0"/>
          <w:numId w:val="13"/>
        </w:numPr>
        <w:spacing w:line="360" w:lineRule="auto"/>
        <w:rPr>
          <w:rFonts w:hAnsi="宋体" w:cs="Arial"/>
          <w:sz w:val="24"/>
          <w:szCs w:val="24"/>
        </w:rPr>
      </w:pPr>
      <w:r>
        <w:rPr>
          <w:rFonts w:hint="eastAsia" w:hAnsi="宋体" w:cs="Arial"/>
          <w:sz w:val="24"/>
          <w:szCs w:val="24"/>
        </w:rPr>
        <w:t>将中标项目转让给他人，或者在磋商响应文件中未说明，将中标项目分包给他人的；</w:t>
      </w:r>
    </w:p>
    <w:p w14:paraId="6ACBDF60">
      <w:pPr>
        <w:pStyle w:val="17"/>
        <w:numPr>
          <w:ilvl w:val="0"/>
          <w:numId w:val="13"/>
        </w:numPr>
        <w:spacing w:line="360" w:lineRule="auto"/>
        <w:rPr>
          <w:rFonts w:hAnsi="宋体" w:cs="Arial"/>
          <w:sz w:val="24"/>
          <w:szCs w:val="24"/>
        </w:rPr>
      </w:pPr>
      <w:r>
        <w:rPr>
          <w:rFonts w:hint="eastAsia" w:hAnsi="宋体" w:cs="Arial"/>
          <w:sz w:val="24"/>
          <w:szCs w:val="24"/>
        </w:rPr>
        <w:t>拒绝履行合同义务的；</w:t>
      </w:r>
    </w:p>
    <w:p w14:paraId="7AAE2FEB">
      <w:pPr>
        <w:pStyle w:val="17"/>
        <w:numPr>
          <w:ilvl w:val="0"/>
          <w:numId w:val="13"/>
        </w:numPr>
        <w:spacing w:line="360" w:lineRule="auto"/>
        <w:rPr>
          <w:rFonts w:hAnsi="宋体" w:cs="Arial"/>
          <w:sz w:val="24"/>
          <w:szCs w:val="24"/>
        </w:rPr>
      </w:pPr>
      <w:r>
        <w:rPr>
          <w:rFonts w:hint="eastAsia" w:hAnsi="宋体" w:cs="Arial"/>
          <w:sz w:val="24"/>
          <w:szCs w:val="24"/>
        </w:rPr>
        <w:t>法律、法规规定的其他情形。</w:t>
      </w:r>
    </w:p>
    <w:p w14:paraId="1BE8B454">
      <w:pPr>
        <w:pStyle w:val="5"/>
        <w:numPr>
          <w:ilvl w:val="0"/>
          <w:numId w:val="3"/>
        </w:numPr>
        <w:spacing w:before="0" w:after="0" w:line="360" w:lineRule="auto"/>
        <w:rPr>
          <w:rFonts w:ascii="宋体" w:hAnsi="宋体"/>
          <w:b w:val="0"/>
        </w:rPr>
      </w:pPr>
      <w:bookmarkStart w:id="100" w:name="_Toc488673624"/>
      <w:bookmarkStart w:id="101" w:name="_Toc1575308"/>
      <w:r>
        <w:rPr>
          <w:rFonts w:ascii="宋体" w:hAnsi="宋体"/>
          <w:b w:val="0"/>
        </w:rPr>
        <w:t>磋商有效期</w:t>
      </w:r>
      <w:bookmarkEnd w:id="100"/>
      <w:bookmarkEnd w:id="101"/>
    </w:p>
    <w:p w14:paraId="5ECD7031">
      <w:pPr>
        <w:pStyle w:val="17"/>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rPr>
        <w:t>60</w:t>
      </w:r>
      <w:r>
        <w:rPr>
          <w:rFonts w:hAnsi="宋体" w:cs="Arial"/>
          <w:sz w:val="24"/>
          <w:szCs w:val="24"/>
        </w:rPr>
        <w:t>个日历日</w:t>
      </w:r>
      <w:r>
        <w:rPr>
          <w:rFonts w:hint="eastAsia" w:hAnsi="宋体" w:cs="Arial"/>
          <w:sz w:val="24"/>
          <w:szCs w:val="24"/>
        </w:rPr>
        <w:t>。</w:t>
      </w:r>
    </w:p>
    <w:p w14:paraId="0CD5DE72">
      <w:pPr>
        <w:pStyle w:val="5"/>
        <w:numPr>
          <w:ilvl w:val="0"/>
          <w:numId w:val="3"/>
        </w:numPr>
        <w:spacing w:before="0" w:after="0" w:line="360" w:lineRule="auto"/>
        <w:rPr>
          <w:rFonts w:ascii="宋体" w:hAnsi="宋体"/>
          <w:b w:val="0"/>
        </w:rPr>
      </w:pPr>
      <w:bookmarkStart w:id="102" w:name="_Toc1575309"/>
      <w:bookmarkStart w:id="103" w:name="_Toc488673625"/>
      <w:r>
        <w:rPr>
          <w:rFonts w:hint="eastAsia" w:ascii="宋体" w:hAnsi="宋体"/>
          <w:b w:val="0"/>
        </w:rPr>
        <w:t>磋商响应文件的构成</w:t>
      </w:r>
      <w:bookmarkEnd w:id="102"/>
      <w:bookmarkEnd w:id="103"/>
    </w:p>
    <w:p w14:paraId="42517C2B">
      <w:pPr>
        <w:pStyle w:val="17"/>
        <w:spacing w:line="360" w:lineRule="auto"/>
        <w:ind w:firstLine="600" w:firstLineChars="250"/>
        <w:rPr>
          <w:rFonts w:hAnsi="宋体"/>
          <w:sz w:val="24"/>
          <w:szCs w:val="28"/>
        </w:rPr>
      </w:pPr>
      <w:r>
        <w:rPr>
          <w:rFonts w:hint="eastAsia" w:hAnsi="宋体"/>
          <w:sz w:val="24"/>
          <w:szCs w:val="28"/>
        </w:rPr>
        <w:t>磋商供应商应提交相关证明材料，作为其参加磋商和中标后有能力履行合同的证明。编写的磋商响应文件须包括以下内容（格式见磋商文件“第五部分 磋商响应文件格式”）：</w:t>
      </w:r>
    </w:p>
    <w:p w14:paraId="5FD637B9">
      <w:pPr>
        <w:autoSpaceDE w:val="0"/>
        <w:autoSpaceDN w:val="0"/>
        <w:spacing w:line="360" w:lineRule="auto"/>
        <w:ind w:left="426"/>
        <w:rPr>
          <w:kern w:val="0"/>
          <w:sz w:val="24"/>
          <w:lang w:val="zh-CN"/>
        </w:rPr>
      </w:pPr>
      <w:r>
        <w:rPr>
          <w:rFonts w:hint="eastAsia"/>
          <w:kern w:val="0"/>
          <w:sz w:val="24"/>
          <w:lang w:val="zh-CN"/>
        </w:rPr>
        <w:t>11.1 磋商响应</w:t>
      </w:r>
      <w:r>
        <w:rPr>
          <w:kern w:val="0"/>
          <w:sz w:val="24"/>
          <w:lang w:val="zh-CN"/>
        </w:rPr>
        <w:t>文件（上册）（资格审查）</w:t>
      </w:r>
    </w:p>
    <w:p w14:paraId="39EB9E17">
      <w:pPr>
        <w:autoSpaceDE w:val="0"/>
        <w:autoSpaceDN w:val="0"/>
        <w:spacing w:line="360" w:lineRule="auto"/>
        <w:ind w:firstLine="480" w:firstLineChars="200"/>
        <w:rPr>
          <w:kern w:val="0"/>
          <w:sz w:val="24"/>
          <w:lang w:val="zh-CN"/>
        </w:rPr>
      </w:pPr>
      <w:r>
        <w:rPr>
          <w:kern w:val="0"/>
          <w:sz w:val="24"/>
          <w:lang w:val="zh-CN"/>
        </w:rPr>
        <w:t>一、</w:t>
      </w:r>
      <w:r>
        <w:rPr>
          <w:rFonts w:hint="eastAsia"/>
          <w:kern w:val="0"/>
          <w:sz w:val="24"/>
          <w:lang w:val="zh-CN"/>
        </w:rPr>
        <w:t>磋商响应</w:t>
      </w:r>
      <w:r>
        <w:rPr>
          <w:kern w:val="0"/>
          <w:sz w:val="24"/>
          <w:lang w:val="zh-CN"/>
        </w:rPr>
        <w:t>文件封面（上册）</w:t>
      </w:r>
    </w:p>
    <w:p w14:paraId="3858DE49">
      <w:pPr>
        <w:autoSpaceDE w:val="0"/>
        <w:autoSpaceDN w:val="0"/>
        <w:spacing w:line="360" w:lineRule="auto"/>
        <w:ind w:firstLine="480" w:firstLineChars="200"/>
        <w:rPr>
          <w:sz w:val="24"/>
        </w:rPr>
      </w:pPr>
      <w:r>
        <w:rPr>
          <w:kern w:val="0"/>
          <w:sz w:val="24"/>
          <w:lang w:val="zh-CN"/>
        </w:rPr>
        <w:t>二、</w:t>
      </w:r>
      <w:r>
        <w:rPr>
          <w:rFonts w:hint="eastAsia"/>
          <w:kern w:val="0"/>
          <w:sz w:val="24"/>
          <w:lang w:val="zh-CN"/>
        </w:rPr>
        <w:t>磋商响应</w:t>
      </w:r>
      <w:r>
        <w:rPr>
          <w:kern w:val="0"/>
          <w:sz w:val="24"/>
          <w:lang w:val="zh-CN"/>
        </w:rPr>
        <w:t>文件目录（上册）</w:t>
      </w:r>
    </w:p>
    <w:p w14:paraId="5F1702B5">
      <w:pPr>
        <w:pStyle w:val="17"/>
        <w:numPr>
          <w:ilvl w:val="0"/>
          <w:numId w:val="14"/>
        </w:numPr>
        <w:spacing w:line="360" w:lineRule="auto"/>
        <w:rPr>
          <w:rFonts w:hAnsi="宋体" w:cs="Arial"/>
          <w:sz w:val="24"/>
          <w:szCs w:val="24"/>
        </w:rPr>
      </w:pPr>
      <w:r>
        <w:rPr>
          <w:rFonts w:hint="eastAsia" w:hAnsi="宋体" w:cs="Arial"/>
          <w:sz w:val="24"/>
          <w:szCs w:val="24"/>
        </w:rPr>
        <w:t>磋商函；</w:t>
      </w:r>
    </w:p>
    <w:p w14:paraId="5049DCA1">
      <w:pPr>
        <w:pStyle w:val="17"/>
        <w:numPr>
          <w:ilvl w:val="0"/>
          <w:numId w:val="14"/>
        </w:numPr>
        <w:spacing w:line="360" w:lineRule="auto"/>
        <w:rPr>
          <w:rFonts w:hAnsi="宋体" w:cs="Arial"/>
          <w:sz w:val="24"/>
          <w:szCs w:val="24"/>
        </w:rPr>
      </w:pPr>
      <w:r>
        <w:rPr>
          <w:rFonts w:hint="eastAsia" w:hAnsi="宋体" w:cs="Arial"/>
          <w:sz w:val="24"/>
          <w:szCs w:val="24"/>
        </w:rPr>
        <w:t>法定代表人证明书；</w:t>
      </w:r>
    </w:p>
    <w:p w14:paraId="752C85ED">
      <w:pPr>
        <w:pStyle w:val="17"/>
        <w:numPr>
          <w:ilvl w:val="0"/>
          <w:numId w:val="14"/>
        </w:numPr>
        <w:spacing w:line="360" w:lineRule="auto"/>
        <w:rPr>
          <w:rFonts w:hAnsi="宋体" w:cs="Arial"/>
          <w:sz w:val="24"/>
          <w:szCs w:val="24"/>
        </w:rPr>
      </w:pPr>
      <w:r>
        <w:rPr>
          <w:rFonts w:hint="eastAsia" w:hAnsi="宋体" w:cs="Arial"/>
          <w:sz w:val="24"/>
          <w:szCs w:val="24"/>
        </w:rPr>
        <w:t>法定代表人授权书；</w:t>
      </w:r>
    </w:p>
    <w:p w14:paraId="5020FDE2">
      <w:pPr>
        <w:pStyle w:val="17"/>
        <w:numPr>
          <w:ilvl w:val="0"/>
          <w:numId w:val="14"/>
        </w:numPr>
        <w:spacing w:line="360" w:lineRule="auto"/>
        <w:rPr>
          <w:rFonts w:hAnsi="宋体" w:cs="Arial"/>
          <w:sz w:val="24"/>
          <w:szCs w:val="24"/>
        </w:rPr>
      </w:pPr>
      <w:r>
        <w:rPr>
          <w:rFonts w:hint="eastAsia" w:hAnsi="宋体" w:cs="Arial"/>
          <w:sz w:val="24"/>
          <w:szCs w:val="24"/>
        </w:rPr>
        <w:t>磋商供应商承诺书；</w:t>
      </w:r>
    </w:p>
    <w:p w14:paraId="42B792CD">
      <w:pPr>
        <w:pStyle w:val="17"/>
        <w:numPr>
          <w:ilvl w:val="0"/>
          <w:numId w:val="14"/>
        </w:numPr>
        <w:spacing w:line="360" w:lineRule="auto"/>
        <w:rPr>
          <w:rFonts w:hAnsi="宋体" w:cs="Arial"/>
          <w:sz w:val="24"/>
          <w:szCs w:val="24"/>
        </w:rPr>
      </w:pPr>
      <w:r>
        <w:rPr>
          <w:rFonts w:hint="eastAsia" w:hAnsi="宋体" w:cs="Arial"/>
          <w:sz w:val="24"/>
          <w:szCs w:val="24"/>
        </w:rPr>
        <w:t>供应商诚信承诺书；</w:t>
      </w:r>
    </w:p>
    <w:p w14:paraId="389BDEA5">
      <w:pPr>
        <w:pStyle w:val="17"/>
        <w:numPr>
          <w:ilvl w:val="0"/>
          <w:numId w:val="14"/>
        </w:numPr>
        <w:spacing w:line="360" w:lineRule="auto"/>
        <w:rPr>
          <w:rFonts w:hAnsi="宋体" w:cs="Arial"/>
          <w:sz w:val="24"/>
          <w:szCs w:val="24"/>
        </w:rPr>
      </w:pPr>
      <w:r>
        <w:rPr>
          <w:rFonts w:hint="eastAsia" w:hAnsi="宋体" w:cs="Arial"/>
          <w:sz w:val="24"/>
          <w:szCs w:val="24"/>
        </w:rPr>
        <w:t>资格证明材料；</w:t>
      </w:r>
    </w:p>
    <w:p w14:paraId="45D609C2">
      <w:pPr>
        <w:pStyle w:val="17"/>
        <w:numPr>
          <w:ilvl w:val="0"/>
          <w:numId w:val="14"/>
        </w:numPr>
        <w:spacing w:line="360" w:lineRule="auto"/>
        <w:rPr>
          <w:rFonts w:hAnsi="宋体" w:cs="Arial"/>
          <w:sz w:val="24"/>
          <w:szCs w:val="24"/>
        </w:rPr>
      </w:pPr>
      <w:r>
        <w:rPr>
          <w:rFonts w:hint="eastAsia" w:hAnsi="宋体" w:cs="Arial"/>
          <w:sz w:val="24"/>
          <w:szCs w:val="24"/>
        </w:rPr>
        <w:t>财务状况、缴纳税收和社会保障资金证明；</w:t>
      </w:r>
    </w:p>
    <w:p w14:paraId="5A8C160D">
      <w:pPr>
        <w:pStyle w:val="17"/>
        <w:numPr>
          <w:ilvl w:val="0"/>
          <w:numId w:val="14"/>
        </w:numPr>
        <w:spacing w:line="360" w:lineRule="auto"/>
        <w:rPr>
          <w:rFonts w:hAnsi="宋体" w:cs="Arial"/>
          <w:sz w:val="24"/>
          <w:szCs w:val="24"/>
        </w:rPr>
      </w:pPr>
      <w:r>
        <w:rPr>
          <w:rFonts w:hint="eastAsia" w:hAnsi="宋体" w:cs="Arial"/>
          <w:sz w:val="24"/>
          <w:szCs w:val="24"/>
        </w:rPr>
        <w:t>具备履行合同所必须的设备和专业技术能力证明；</w:t>
      </w:r>
    </w:p>
    <w:p w14:paraId="0B7266C7">
      <w:pPr>
        <w:pStyle w:val="17"/>
        <w:numPr>
          <w:ilvl w:val="0"/>
          <w:numId w:val="14"/>
        </w:numPr>
        <w:spacing w:line="360" w:lineRule="auto"/>
        <w:rPr>
          <w:rFonts w:hAnsi="宋体" w:cs="Arial"/>
          <w:sz w:val="24"/>
          <w:szCs w:val="24"/>
        </w:rPr>
      </w:pPr>
      <w:r>
        <w:rPr>
          <w:rFonts w:hint="eastAsia" w:hAnsi="宋体" w:cs="Arial"/>
          <w:sz w:val="24"/>
          <w:szCs w:val="24"/>
        </w:rPr>
        <w:t>磋商保证金证明；</w:t>
      </w:r>
    </w:p>
    <w:p w14:paraId="05FB4A84">
      <w:pPr>
        <w:pStyle w:val="17"/>
        <w:numPr>
          <w:ilvl w:val="0"/>
          <w:numId w:val="14"/>
        </w:numPr>
        <w:spacing w:line="360" w:lineRule="auto"/>
        <w:rPr>
          <w:rFonts w:hAnsi="宋体" w:cs="Arial"/>
          <w:sz w:val="24"/>
          <w:szCs w:val="24"/>
        </w:rPr>
      </w:pPr>
      <w:r>
        <w:rPr>
          <w:rFonts w:hint="eastAsia" w:hAnsi="宋体" w:cs="Arial"/>
          <w:sz w:val="24"/>
          <w:szCs w:val="24"/>
        </w:rPr>
        <w:t>无重大违法记录声明；</w:t>
      </w:r>
    </w:p>
    <w:p w14:paraId="77FF6B4B">
      <w:pPr>
        <w:autoSpaceDE w:val="0"/>
        <w:autoSpaceDN w:val="0"/>
        <w:spacing w:line="360" w:lineRule="auto"/>
        <w:ind w:left="425"/>
        <w:rPr>
          <w:kern w:val="0"/>
          <w:sz w:val="24"/>
          <w:lang w:val="zh-CN"/>
        </w:rPr>
      </w:pPr>
      <w:r>
        <w:rPr>
          <w:rFonts w:hint="eastAsia"/>
          <w:kern w:val="0"/>
          <w:sz w:val="24"/>
          <w:lang w:val="zh-CN"/>
        </w:rPr>
        <w:t>11.2磋商响应</w:t>
      </w:r>
      <w:r>
        <w:rPr>
          <w:kern w:val="0"/>
          <w:sz w:val="24"/>
          <w:lang w:val="zh-CN"/>
        </w:rPr>
        <w:t>文件（下册）</w:t>
      </w:r>
    </w:p>
    <w:p w14:paraId="6A473B0A">
      <w:pPr>
        <w:autoSpaceDE w:val="0"/>
        <w:autoSpaceDN w:val="0"/>
        <w:spacing w:line="360" w:lineRule="auto"/>
        <w:ind w:firstLine="480" w:firstLineChars="200"/>
        <w:rPr>
          <w:kern w:val="0"/>
          <w:sz w:val="24"/>
          <w:lang w:val="zh-CN"/>
        </w:rPr>
      </w:pPr>
      <w:r>
        <w:rPr>
          <w:kern w:val="0"/>
          <w:sz w:val="24"/>
          <w:lang w:val="zh-CN"/>
        </w:rPr>
        <w:t>三、</w:t>
      </w:r>
      <w:r>
        <w:rPr>
          <w:rFonts w:hint="eastAsia"/>
          <w:kern w:val="0"/>
          <w:sz w:val="24"/>
          <w:lang w:val="zh-CN"/>
        </w:rPr>
        <w:t>磋商响应</w:t>
      </w:r>
      <w:r>
        <w:rPr>
          <w:kern w:val="0"/>
          <w:sz w:val="24"/>
          <w:lang w:val="zh-CN"/>
        </w:rPr>
        <w:t>文件封面（</w:t>
      </w:r>
      <w:r>
        <w:rPr>
          <w:kern w:val="0"/>
          <w:sz w:val="24"/>
        </w:rPr>
        <w:t>下</w:t>
      </w:r>
      <w:r>
        <w:rPr>
          <w:kern w:val="0"/>
          <w:sz w:val="24"/>
          <w:lang w:val="zh-CN"/>
        </w:rPr>
        <w:t>册）</w:t>
      </w:r>
    </w:p>
    <w:p w14:paraId="551EACD0">
      <w:pPr>
        <w:autoSpaceDE w:val="0"/>
        <w:autoSpaceDN w:val="0"/>
        <w:spacing w:line="360" w:lineRule="auto"/>
        <w:ind w:firstLine="480" w:firstLineChars="200"/>
        <w:rPr>
          <w:kern w:val="0"/>
          <w:sz w:val="24"/>
          <w:lang w:val="zh-CN"/>
        </w:rPr>
      </w:pPr>
      <w:r>
        <w:rPr>
          <w:kern w:val="0"/>
          <w:sz w:val="24"/>
          <w:lang w:val="zh-CN"/>
        </w:rPr>
        <w:t>四、</w:t>
      </w:r>
      <w:r>
        <w:rPr>
          <w:rFonts w:hint="eastAsia"/>
          <w:kern w:val="0"/>
          <w:sz w:val="24"/>
          <w:lang w:val="zh-CN"/>
        </w:rPr>
        <w:t>磋商响应</w:t>
      </w:r>
      <w:r>
        <w:rPr>
          <w:kern w:val="0"/>
          <w:sz w:val="24"/>
          <w:lang w:val="zh-CN"/>
        </w:rPr>
        <w:t>文件目录（</w:t>
      </w:r>
      <w:r>
        <w:rPr>
          <w:kern w:val="0"/>
          <w:sz w:val="24"/>
        </w:rPr>
        <w:t>下</w:t>
      </w:r>
      <w:r>
        <w:rPr>
          <w:kern w:val="0"/>
          <w:sz w:val="24"/>
          <w:lang w:val="zh-CN"/>
        </w:rPr>
        <w:t>册）</w:t>
      </w:r>
    </w:p>
    <w:p w14:paraId="47596212">
      <w:pPr>
        <w:pStyle w:val="17"/>
        <w:numPr>
          <w:ilvl w:val="0"/>
          <w:numId w:val="14"/>
        </w:numPr>
        <w:spacing w:line="360" w:lineRule="auto"/>
        <w:rPr>
          <w:rFonts w:hAnsi="宋体" w:cs="Arial"/>
          <w:sz w:val="24"/>
          <w:szCs w:val="24"/>
        </w:rPr>
      </w:pPr>
      <w:r>
        <w:rPr>
          <w:rFonts w:hint="eastAsia" w:hAnsi="宋体" w:cs="Arial"/>
          <w:sz w:val="24"/>
          <w:szCs w:val="24"/>
        </w:rPr>
        <w:t>评分对照表</w:t>
      </w:r>
    </w:p>
    <w:p w14:paraId="2B7A0B29">
      <w:pPr>
        <w:pStyle w:val="17"/>
        <w:numPr>
          <w:ilvl w:val="0"/>
          <w:numId w:val="14"/>
        </w:numPr>
        <w:spacing w:line="360" w:lineRule="auto"/>
        <w:rPr>
          <w:rFonts w:hAnsi="宋体" w:cs="Arial"/>
          <w:sz w:val="24"/>
          <w:szCs w:val="24"/>
        </w:rPr>
      </w:pPr>
      <w:r>
        <w:rPr>
          <w:rFonts w:hint="eastAsia" w:hAnsi="宋体" w:cs="Arial"/>
          <w:sz w:val="24"/>
          <w:szCs w:val="24"/>
        </w:rPr>
        <w:t>竞争性磋商首次报价表；</w:t>
      </w:r>
    </w:p>
    <w:p w14:paraId="475F3A23">
      <w:pPr>
        <w:pStyle w:val="17"/>
        <w:numPr>
          <w:ilvl w:val="0"/>
          <w:numId w:val="14"/>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14:paraId="1BD7225F">
      <w:pPr>
        <w:pStyle w:val="17"/>
        <w:numPr>
          <w:ilvl w:val="0"/>
          <w:numId w:val="14"/>
        </w:numPr>
        <w:spacing w:line="360" w:lineRule="auto"/>
        <w:rPr>
          <w:rFonts w:hAnsi="宋体" w:cs="Arial"/>
          <w:sz w:val="24"/>
          <w:szCs w:val="24"/>
        </w:rPr>
      </w:pPr>
      <w:r>
        <w:rPr>
          <w:rFonts w:hint="eastAsia" w:hAnsi="宋体" w:cs="Arial"/>
          <w:sz w:val="24"/>
          <w:szCs w:val="24"/>
        </w:rPr>
        <w:t>技术规格响应表；</w:t>
      </w:r>
    </w:p>
    <w:p w14:paraId="61DB2A8D">
      <w:pPr>
        <w:pStyle w:val="17"/>
        <w:numPr>
          <w:ilvl w:val="0"/>
          <w:numId w:val="14"/>
        </w:numPr>
        <w:spacing w:line="360" w:lineRule="auto"/>
        <w:rPr>
          <w:rFonts w:hAnsi="宋体" w:cs="Arial"/>
          <w:sz w:val="24"/>
          <w:szCs w:val="24"/>
        </w:rPr>
      </w:pPr>
      <w:r>
        <w:rPr>
          <w:rFonts w:hint="eastAsia" w:hAnsi="宋体" w:cs="Arial"/>
          <w:sz w:val="24"/>
          <w:szCs w:val="24"/>
        </w:rPr>
        <w:t>磋商产品相关资料；</w:t>
      </w:r>
    </w:p>
    <w:p w14:paraId="36944A2B">
      <w:pPr>
        <w:pStyle w:val="17"/>
        <w:numPr>
          <w:ilvl w:val="0"/>
          <w:numId w:val="14"/>
        </w:numPr>
        <w:spacing w:line="360" w:lineRule="auto"/>
        <w:rPr>
          <w:rFonts w:hAnsi="宋体" w:cs="Arial"/>
          <w:sz w:val="24"/>
          <w:szCs w:val="24"/>
        </w:rPr>
      </w:pPr>
      <w:r>
        <w:rPr>
          <w:rFonts w:hint="eastAsia" w:hAnsi="宋体" w:cs="Arial"/>
          <w:sz w:val="24"/>
          <w:szCs w:val="24"/>
        </w:rPr>
        <w:t>磋商供应商的类似业绩证明材料；</w:t>
      </w:r>
    </w:p>
    <w:p w14:paraId="134D5F7D">
      <w:pPr>
        <w:pStyle w:val="17"/>
        <w:numPr>
          <w:ilvl w:val="0"/>
          <w:numId w:val="14"/>
        </w:numPr>
        <w:spacing w:line="360" w:lineRule="auto"/>
        <w:rPr>
          <w:rFonts w:hAnsi="宋体" w:cs="Arial"/>
          <w:sz w:val="24"/>
          <w:szCs w:val="24"/>
        </w:rPr>
      </w:pPr>
      <w:r>
        <w:rPr>
          <w:rFonts w:hint="eastAsia" w:hAnsi="宋体" w:cs="Arial"/>
          <w:sz w:val="24"/>
          <w:szCs w:val="24"/>
          <w:lang w:val="en-US" w:eastAsia="zh-CN"/>
        </w:rPr>
        <w:t>中小</w:t>
      </w:r>
      <w:r>
        <w:rPr>
          <w:rFonts w:hint="eastAsia" w:hAnsi="宋体" w:cs="Arial"/>
          <w:sz w:val="24"/>
          <w:szCs w:val="24"/>
        </w:rPr>
        <w:t>企业声明函；</w:t>
      </w:r>
    </w:p>
    <w:p w14:paraId="12D3F5B7">
      <w:pPr>
        <w:pStyle w:val="17"/>
        <w:numPr>
          <w:ilvl w:val="0"/>
          <w:numId w:val="14"/>
        </w:numPr>
        <w:spacing w:line="360" w:lineRule="auto"/>
        <w:rPr>
          <w:rFonts w:hAnsi="宋体" w:cs="Arial"/>
          <w:sz w:val="24"/>
          <w:szCs w:val="24"/>
        </w:rPr>
      </w:pPr>
      <w:r>
        <w:rPr>
          <w:rFonts w:hint="eastAsia" w:hAnsi="宋体" w:cs="Arial"/>
          <w:sz w:val="24"/>
          <w:szCs w:val="24"/>
        </w:rPr>
        <w:t>残疾人福利性单位声明函</w:t>
      </w:r>
      <w:r>
        <w:rPr>
          <w:rFonts w:hint="eastAsia" w:hAnsi="宋体" w:cs="Arial"/>
          <w:sz w:val="24"/>
          <w:szCs w:val="24"/>
          <w:lang w:eastAsia="zh-CN"/>
        </w:rPr>
        <w:t>；</w:t>
      </w:r>
    </w:p>
    <w:p w14:paraId="584519EF">
      <w:pPr>
        <w:pStyle w:val="17"/>
        <w:numPr>
          <w:ilvl w:val="0"/>
          <w:numId w:val="14"/>
        </w:numPr>
        <w:spacing w:line="360" w:lineRule="auto"/>
        <w:rPr>
          <w:rFonts w:hAnsi="宋体" w:cs="Arial"/>
          <w:sz w:val="24"/>
          <w:szCs w:val="24"/>
        </w:rPr>
      </w:pPr>
      <w:r>
        <w:rPr>
          <w:rFonts w:hint="eastAsia" w:hAnsi="宋体" w:cs="Arial"/>
          <w:sz w:val="24"/>
          <w:szCs w:val="24"/>
        </w:rPr>
        <w:t>磋商供应商认为在其他方面有必要说明的事项；</w:t>
      </w:r>
    </w:p>
    <w:p w14:paraId="26CD9AC7">
      <w:pPr>
        <w:pStyle w:val="17"/>
        <w:numPr>
          <w:ilvl w:val="0"/>
          <w:numId w:val="14"/>
        </w:numPr>
        <w:spacing w:line="360" w:lineRule="auto"/>
        <w:rPr>
          <w:rFonts w:hAnsi="宋体" w:cs="Arial"/>
          <w:sz w:val="24"/>
          <w:szCs w:val="24"/>
        </w:rPr>
      </w:pPr>
      <w:r>
        <w:rPr>
          <w:rFonts w:hAnsi="宋体" w:cs="Arial"/>
          <w:sz w:val="24"/>
          <w:szCs w:val="24"/>
        </w:rPr>
        <w:t>磋商最终报价表</w:t>
      </w:r>
      <w:r>
        <w:rPr>
          <w:rFonts w:hint="eastAsia" w:hAnsi="宋体" w:cs="Arial"/>
          <w:sz w:val="24"/>
          <w:szCs w:val="24"/>
        </w:rPr>
        <w:t>。</w:t>
      </w:r>
    </w:p>
    <w:p w14:paraId="59D6741F">
      <w:pPr>
        <w:pStyle w:val="17"/>
        <w:spacing w:line="360" w:lineRule="auto"/>
        <w:ind w:left="845"/>
        <w:rPr>
          <w:rFonts w:hint="eastAsia" w:hAnsi="宋体" w:cs="Arial"/>
          <w:sz w:val="24"/>
          <w:szCs w:val="24"/>
        </w:rPr>
      </w:pPr>
      <w:r>
        <w:rPr>
          <w:rFonts w:hint="eastAsia" w:hAnsi="宋体" w:cs="Arial"/>
          <w:sz w:val="24"/>
          <w:szCs w:val="24"/>
        </w:rPr>
        <w:t>注：磋商人须按上述内容、顺序和第11项“磋商响应文件格式及编制要求”格式编制磋商响应文件</w:t>
      </w:r>
      <w:r>
        <w:rPr>
          <w:rFonts w:hint="eastAsia" w:hAnsi="宋体" w:cs="Arial"/>
          <w:sz w:val="24"/>
          <w:szCs w:val="24"/>
          <w:lang w:val="zh-CN"/>
        </w:rPr>
        <w:t>并上传至政采云平台（https://www.zcygov.cn/）</w:t>
      </w:r>
      <w:r>
        <w:rPr>
          <w:rFonts w:hint="eastAsia" w:hAnsi="宋体" w:cs="Arial"/>
          <w:sz w:val="24"/>
          <w:szCs w:val="24"/>
        </w:rPr>
        <w:t>。</w:t>
      </w:r>
    </w:p>
    <w:p w14:paraId="6F538AC6">
      <w:pPr>
        <w:pStyle w:val="5"/>
        <w:numPr>
          <w:ilvl w:val="0"/>
          <w:numId w:val="3"/>
        </w:numPr>
        <w:spacing w:before="0" w:after="0" w:line="360" w:lineRule="auto"/>
        <w:rPr>
          <w:rFonts w:ascii="宋体" w:hAnsi="宋体"/>
          <w:b w:val="0"/>
        </w:rPr>
      </w:pPr>
      <w:bookmarkStart w:id="104" w:name="_Toc1575310"/>
      <w:bookmarkStart w:id="105" w:name="_Toc488673626"/>
      <w:r>
        <w:rPr>
          <w:rFonts w:hint="eastAsia" w:ascii="宋体" w:hAnsi="宋体"/>
          <w:b w:val="0"/>
        </w:rPr>
        <w:t>磋商响应文件</w:t>
      </w:r>
      <w:r>
        <w:rPr>
          <w:rFonts w:hint="eastAsia" w:ascii="宋体" w:hAnsi="宋体"/>
          <w:b w:val="0"/>
          <w:lang w:val="en-US" w:eastAsia="zh-CN"/>
        </w:rPr>
        <w:t>的格式及</w:t>
      </w:r>
      <w:r>
        <w:rPr>
          <w:rFonts w:hint="eastAsia" w:ascii="宋体" w:hAnsi="宋体"/>
          <w:b w:val="0"/>
        </w:rPr>
        <w:t>编制要求</w:t>
      </w:r>
      <w:bookmarkEnd w:id="104"/>
      <w:bookmarkEnd w:id="105"/>
    </w:p>
    <w:p w14:paraId="56AA7289">
      <w:pPr>
        <w:spacing w:line="360" w:lineRule="auto"/>
        <w:ind w:firstLine="240" w:firstLineChars="100"/>
        <w:rPr>
          <w:rFonts w:hint="eastAsia" w:ascii="宋体" w:hAnsi="宋体" w:cs="宋体"/>
          <w:color w:val="auto"/>
          <w:sz w:val="24"/>
        </w:rPr>
      </w:pPr>
      <w:r>
        <w:rPr>
          <w:rFonts w:hint="eastAsia" w:ascii="宋体" w:hAnsi="宋体" w:cs="宋体"/>
          <w:color w:val="auto"/>
          <w:sz w:val="24"/>
        </w:rPr>
        <w:t>12.1磋商响应文件格式及编制要求：</w:t>
      </w:r>
    </w:p>
    <w:p w14:paraId="4DC5FD64">
      <w:pPr>
        <w:spacing w:line="360" w:lineRule="auto"/>
        <w:ind w:firstLine="480" w:firstLineChars="200"/>
        <w:rPr>
          <w:rFonts w:hint="eastAsia" w:ascii="宋体" w:hAnsi="宋体" w:cs="宋体"/>
          <w:color w:val="auto"/>
          <w:sz w:val="24"/>
        </w:rPr>
      </w:pPr>
      <w:r>
        <w:rPr>
          <w:rFonts w:hint="eastAsia" w:ascii="宋体" w:hAnsi="宋体" w:cs="宋体"/>
          <w:color w:val="auto"/>
          <w:sz w:val="24"/>
        </w:rPr>
        <w:t>12.1.1磋商响应文件编制格式为word系统签章保存后转换为pdf格式上传，格式须按磋商响应文件第</w:t>
      </w:r>
      <w:r>
        <w:rPr>
          <w:rFonts w:hint="eastAsia" w:ascii="宋体" w:hAnsi="宋体" w:cs="宋体"/>
          <w:color w:val="auto"/>
          <w:sz w:val="24"/>
          <w:lang w:val="en-US" w:eastAsia="zh-CN"/>
        </w:rPr>
        <w:t>五</w:t>
      </w:r>
      <w:r>
        <w:rPr>
          <w:rFonts w:hint="eastAsia" w:ascii="宋体" w:hAnsi="宋体" w:cs="宋体"/>
          <w:color w:val="auto"/>
          <w:sz w:val="24"/>
        </w:rPr>
        <w:t>部分“磋商响应文件格式”要求制作。</w:t>
      </w:r>
    </w:p>
    <w:p w14:paraId="2D80DC47">
      <w:pPr>
        <w:spacing w:line="360" w:lineRule="auto"/>
        <w:ind w:firstLine="480" w:firstLineChars="200"/>
        <w:rPr>
          <w:rFonts w:hint="eastAsia" w:ascii="宋体" w:hAnsi="宋体" w:cs="宋体"/>
          <w:color w:val="auto"/>
          <w:sz w:val="24"/>
        </w:rPr>
      </w:pPr>
      <w:r>
        <w:rPr>
          <w:rFonts w:hint="eastAsia" w:ascii="宋体" w:hAnsi="宋体" w:cs="宋体"/>
          <w:color w:val="auto"/>
          <w:sz w:val="24"/>
        </w:rPr>
        <w:t>12.1.2磋商响应文件中的扫描或复印件内容应清晰可辨，且要求正向放置。</w:t>
      </w:r>
    </w:p>
    <w:p w14:paraId="27025025">
      <w:pPr>
        <w:spacing w:line="360" w:lineRule="auto"/>
        <w:ind w:firstLine="480" w:firstLineChars="200"/>
        <w:rPr>
          <w:rFonts w:hint="eastAsia" w:ascii="宋体" w:hAnsi="宋体" w:cs="宋体"/>
          <w:color w:val="auto"/>
          <w:sz w:val="24"/>
        </w:rPr>
      </w:pPr>
      <w:r>
        <w:rPr>
          <w:rFonts w:hint="eastAsia" w:ascii="宋体" w:hAnsi="宋体" w:cs="宋体"/>
          <w:color w:val="auto"/>
          <w:sz w:val="24"/>
        </w:rPr>
        <w:t>12.1.3磋商响应文件要求签字、盖章的地方必须由供应商的法定代表人或委托代理人按要求签字、盖章。</w:t>
      </w:r>
    </w:p>
    <w:p w14:paraId="52F85696">
      <w:pPr>
        <w:spacing w:line="360" w:lineRule="auto"/>
        <w:ind w:firstLine="480" w:firstLineChars="200"/>
        <w:rPr>
          <w:rFonts w:hint="eastAsia" w:ascii="宋体" w:hAnsi="宋体" w:cs="宋体"/>
          <w:color w:val="auto"/>
          <w:sz w:val="24"/>
        </w:rPr>
      </w:pPr>
      <w:r>
        <w:rPr>
          <w:rFonts w:hint="eastAsia" w:ascii="宋体" w:hAnsi="宋体" w:cs="宋体"/>
          <w:color w:val="auto"/>
          <w:sz w:val="24"/>
        </w:rPr>
        <w:t>12.1.4上传的磋商响应文件不得超过</w:t>
      </w:r>
      <w:r>
        <w:rPr>
          <w:rFonts w:hint="eastAsia" w:ascii="宋体" w:hAnsi="宋体" w:cs="宋体"/>
          <w:color w:val="auto"/>
          <w:sz w:val="24"/>
          <w:lang w:val="en-US" w:eastAsia="zh-CN"/>
        </w:rPr>
        <w:t>政采云平台要求的大小</w:t>
      </w:r>
      <w:r>
        <w:rPr>
          <w:rFonts w:hint="eastAsia" w:ascii="宋体" w:hAnsi="宋体" w:cs="宋体"/>
          <w:color w:val="auto"/>
          <w:sz w:val="24"/>
        </w:rPr>
        <w:t>。</w:t>
      </w:r>
    </w:p>
    <w:p w14:paraId="745D4709">
      <w:pPr>
        <w:spacing w:line="360" w:lineRule="auto"/>
        <w:ind w:firstLine="480" w:firstLineChars="200"/>
        <w:rPr>
          <w:rFonts w:hint="eastAsia" w:ascii="宋体" w:hAnsi="宋体" w:cs="宋体"/>
          <w:color w:val="auto"/>
          <w:sz w:val="24"/>
        </w:rPr>
      </w:pPr>
      <w:r>
        <w:rPr>
          <w:rFonts w:hint="eastAsia" w:ascii="宋体" w:hAnsi="宋体" w:cs="宋体"/>
          <w:color w:val="auto"/>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395D4E74">
      <w:pPr>
        <w:spacing w:line="360" w:lineRule="auto"/>
        <w:ind w:firstLine="480" w:firstLineChars="200"/>
        <w:rPr>
          <w:rFonts w:hint="eastAsia" w:ascii="宋体" w:hAnsi="宋体" w:cs="宋体"/>
          <w:color w:val="auto"/>
          <w:sz w:val="24"/>
        </w:rPr>
      </w:pPr>
      <w:r>
        <w:rPr>
          <w:rFonts w:hint="eastAsia" w:ascii="宋体" w:hAnsi="宋体" w:cs="宋体"/>
          <w:color w:val="auto"/>
          <w:sz w:val="24"/>
        </w:rPr>
        <w:t>12.2磋商响应文件编制要求：按照投标人须知11.1项规定的磋商响应文件构成及格式</w:t>
      </w:r>
      <w:r>
        <w:rPr>
          <w:rFonts w:hint="eastAsia" w:ascii="宋体" w:hAnsi="宋体" w:cs="宋体"/>
          <w:color w:val="auto"/>
          <w:sz w:val="24"/>
          <w:lang w:val="en-US" w:eastAsia="zh-CN"/>
        </w:rPr>
        <w:t>编制，并</w:t>
      </w:r>
      <w:r>
        <w:rPr>
          <w:rFonts w:hint="eastAsia" w:ascii="宋体" w:hAnsi="宋体" w:cs="宋体"/>
          <w:color w:val="auto"/>
          <w:sz w:val="24"/>
        </w:rPr>
        <w:t>上传至</w:t>
      </w:r>
      <w:r>
        <w:rPr>
          <w:rFonts w:hint="eastAsia" w:ascii="宋体" w:hAnsi="宋体" w:cs="宋体"/>
          <w:color w:val="auto"/>
          <w:sz w:val="24"/>
          <w:lang w:eastAsia="zh-CN"/>
        </w:rPr>
        <w:t>政采云平台（https://www.zcygov.cn/）</w:t>
      </w:r>
      <w:r>
        <w:rPr>
          <w:rFonts w:hint="eastAsia" w:ascii="宋体" w:hAnsi="宋体" w:cs="宋体"/>
          <w:color w:val="auto"/>
          <w:sz w:val="24"/>
        </w:rPr>
        <w:t>上。</w:t>
      </w:r>
    </w:p>
    <w:p w14:paraId="4621F518">
      <w:pPr>
        <w:spacing w:line="360" w:lineRule="auto"/>
        <w:ind w:firstLine="480" w:firstLineChars="200"/>
        <w:rPr>
          <w:rFonts w:hint="eastAsia"/>
          <w:color w:val="auto"/>
        </w:rPr>
      </w:pPr>
      <w:r>
        <w:rPr>
          <w:rFonts w:hint="eastAsia" w:ascii="宋体" w:hAnsi="宋体" w:cs="宋体"/>
          <w:color w:val="auto"/>
          <w:sz w:val="24"/>
        </w:rPr>
        <w:t>12.3供应商须在“法定代表人授权书”中提供被授权人（委托代理人）准确的联系方式</w:t>
      </w:r>
      <w:r>
        <w:rPr>
          <w:rFonts w:hint="eastAsia" w:ascii="宋体" w:hAnsi="宋体" w:cs="宋体"/>
          <w:color w:val="auto"/>
          <w:sz w:val="24"/>
          <w:lang w:val="zh-CN"/>
        </w:rPr>
        <w:t>（手机或固定电话）</w:t>
      </w:r>
      <w:r>
        <w:rPr>
          <w:rFonts w:hint="eastAsia" w:ascii="宋体" w:hAnsi="宋体" w:cs="宋体"/>
          <w:color w:val="auto"/>
          <w:sz w:val="24"/>
        </w:rPr>
        <w:t>。</w:t>
      </w:r>
    </w:p>
    <w:p w14:paraId="52F5A731">
      <w:pPr>
        <w:widowControl/>
        <w:jc w:val="center"/>
        <w:outlineLvl w:val="1"/>
        <w:rPr>
          <w:rFonts w:ascii="宋体" w:hAnsi="宋体"/>
          <w:b/>
          <w:bCs/>
          <w:color w:val="auto"/>
          <w:kern w:val="0"/>
          <w:sz w:val="32"/>
          <w:szCs w:val="32"/>
        </w:rPr>
      </w:pPr>
      <w:bookmarkStart w:id="106" w:name="_Toc21349"/>
      <w:bookmarkStart w:id="107" w:name="_Toc28078162"/>
      <w:bookmarkStart w:id="108" w:name="_Toc27211"/>
      <w:bookmarkStart w:id="109" w:name="_Toc14261"/>
      <w:bookmarkStart w:id="110" w:name="_Toc9147"/>
      <w:bookmarkStart w:id="111" w:name="_Toc325726019"/>
      <w:bookmarkStart w:id="112" w:name="_Toc376936750"/>
      <w:bookmarkStart w:id="113" w:name="_Toc5644"/>
      <w:r>
        <w:rPr>
          <w:rFonts w:hint="eastAsia" w:ascii="宋体" w:hAnsi="宋体"/>
          <w:b/>
          <w:bCs/>
          <w:color w:val="auto"/>
          <w:kern w:val="0"/>
          <w:sz w:val="32"/>
          <w:szCs w:val="32"/>
        </w:rPr>
        <w:t>四、网上投标</w:t>
      </w:r>
      <w:bookmarkEnd w:id="106"/>
      <w:bookmarkEnd w:id="107"/>
    </w:p>
    <w:p w14:paraId="06D649C6">
      <w:pPr>
        <w:spacing w:line="360" w:lineRule="auto"/>
        <w:rPr>
          <w:rFonts w:hint="eastAsia" w:ascii="宋体" w:hAnsi="宋体" w:cs="宋体"/>
          <w:b/>
          <w:bCs/>
          <w:color w:val="auto"/>
          <w:sz w:val="24"/>
        </w:rPr>
      </w:pPr>
      <w:bookmarkStart w:id="114" w:name="_Toc373392582"/>
      <w:bookmarkStart w:id="115" w:name="_Toc325726016"/>
      <w:bookmarkStart w:id="116" w:name="_Toc412617731"/>
      <w:bookmarkStart w:id="117" w:name="_Toc28078163"/>
      <w:r>
        <w:rPr>
          <w:rFonts w:hint="eastAsia" w:ascii="宋体" w:hAnsi="宋体" w:cs="宋体"/>
          <w:b/>
          <w:bCs/>
          <w:color w:val="auto"/>
          <w:sz w:val="24"/>
        </w:rPr>
        <w:t>13.</w:t>
      </w:r>
      <w:bookmarkEnd w:id="114"/>
      <w:bookmarkEnd w:id="115"/>
      <w:bookmarkEnd w:id="116"/>
      <w:r>
        <w:rPr>
          <w:rFonts w:hint="eastAsia" w:ascii="宋体" w:hAnsi="宋体" w:cs="宋体"/>
          <w:b/>
          <w:bCs/>
          <w:color w:val="auto"/>
          <w:sz w:val="24"/>
        </w:rPr>
        <w:t>网上投标</w:t>
      </w:r>
      <w:bookmarkEnd w:id="117"/>
    </w:p>
    <w:p w14:paraId="5CB1EDD1">
      <w:pPr>
        <w:spacing w:line="360" w:lineRule="auto"/>
        <w:rPr>
          <w:rFonts w:hint="eastAsia" w:ascii="宋体" w:hAnsi="宋体" w:cs="宋体"/>
          <w:color w:val="auto"/>
          <w:sz w:val="24"/>
        </w:rPr>
      </w:pPr>
      <w:r>
        <w:rPr>
          <w:rFonts w:hint="eastAsia" w:ascii="宋体" w:hAnsi="宋体" w:cs="宋体"/>
          <w:color w:val="auto"/>
          <w:sz w:val="24"/>
        </w:rPr>
        <w:t>13.1供应商应在</w:t>
      </w:r>
      <w:r>
        <w:rPr>
          <w:rFonts w:hint="eastAsia" w:ascii="宋体" w:hAnsi="宋体" w:cs="宋体"/>
          <w:color w:val="auto"/>
          <w:sz w:val="24"/>
          <w:lang w:eastAsia="zh-CN"/>
        </w:rPr>
        <w:t>政采云平台（https://www.zcygov.cn/）</w:t>
      </w:r>
      <w:r>
        <w:rPr>
          <w:rFonts w:hint="eastAsia" w:ascii="宋体" w:hAnsi="宋体" w:cs="宋体"/>
          <w:color w:val="auto"/>
          <w:sz w:val="24"/>
        </w:rPr>
        <w:t>上报价并上传电子磋商响应文件。</w:t>
      </w:r>
    </w:p>
    <w:p w14:paraId="63068728">
      <w:pPr>
        <w:spacing w:line="360" w:lineRule="auto"/>
        <w:rPr>
          <w:rFonts w:hint="eastAsia" w:ascii="宋体" w:hAnsi="宋体" w:cs="宋体"/>
          <w:color w:val="auto"/>
          <w:sz w:val="24"/>
        </w:rPr>
      </w:pPr>
      <w:r>
        <w:rPr>
          <w:rFonts w:hint="eastAsia" w:ascii="宋体" w:hAnsi="宋体" w:cs="宋体"/>
          <w:color w:val="auto"/>
          <w:sz w:val="24"/>
        </w:rPr>
        <w:t>13.2供应商应按包报价。</w:t>
      </w:r>
    </w:p>
    <w:p w14:paraId="39F6567D">
      <w:pPr>
        <w:spacing w:line="360" w:lineRule="auto"/>
        <w:rPr>
          <w:rFonts w:hint="eastAsia" w:ascii="宋体" w:hAnsi="宋体" w:cs="宋体"/>
          <w:color w:val="auto"/>
          <w:sz w:val="24"/>
          <w:lang w:val="zh-CN"/>
        </w:rPr>
      </w:pPr>
      <w:r>
        <w:rPr>
          <w:rFonts w:hint="eastAsia" w:ascii="宋体" w:hAnsi="宋体" w:cs="宋体"/>
          <w:color w:val="auto"/>
          <w:sz w:val="24"/>
        </w:rPr>
        <w:t>13.3 开标时的“竞争性磋商首次报价表”由各供应商网上报价生成。</w:t>
      </w:r>
    </w:p>
    <w:bookmarkEnd w:id="108"/>
    <w:bookmarkEnd w:id="109"/>
    <w:p w14:paraId="047809E3">
      <w:pPr>
        <w:widowControl/>
        <w:spacing w:before="100" w:beforeAutospacing="1" w:after="100" w:afterAutospacing="1"/>
        <w:jc w:val="left"/>
        <w:outlineLvl w:val="2"/>
        <w:rPr>
          <w:rFonts w:ascii="宋体" w:hAnsi="宋体"/>
          <w:b/>
          <w:bCs/>
          <w:color w:val="auto"/>
          <w:kern w:val="0"/>
          <w:sz w:val="27"/>
          <w:szCs w:val="27"/>
        </w:rPr>
      </w:pPr>
      <w:bookmarkStart w:id="118" w:name="_Toc26106"/>
      <w:bookmarkStart w:id="119" w:name="_Toc28078164"/>
      <w:bookmarkStart w:id="120" w:name="_Toc1747"/>
      <w:bookmarkStart w:id="121" w:name="_Toc6310"/>
      <w:r>
        <w:rPr>
          <w:rFonts w:hint="eastAsia" w:ascii="宋体" w:hAnsi="宋体"/>
          <w:b/>
          <w:bCs/>
          <w:color w:val="auto"/>
          <w:kern w:val="0"/>
          <w:sz w:val="27"/>
          <w:szCs w:val="27"/>
        </w:rPr>
        <w:t>14.</w:t>
      </w:r>
      <w:r>
        <w:rPr>
          <w:rFonts w:hint="eastAsia"/>
          <w:color w:val="auto"/>
        </w:rPr>
        <w:t xml:space="preserve"> </w:t>
      </w:r>
      <w:r>
        <w:rPr>
          <w:rFonts w:hint="eastAsia" w:ascii="宋体" w:hAnsi="宋体"/>
          <w:b/>
          <w:bCs/>
          <w:color w:val="auto"/>
          <w:kern w:val="0"/>
          <w:sz w:val="27"/>
          <w:szCs w:val="27"/>
        </w:rPr>
        <w:t>提交首次磋商响应文件截止时间</w:t>
      </w:r>
      <w:bookmarkEnd w:id="118"/>
      <w:bookmarkEnd w:id="119"/>
    </w:p>
    <w:p w14:paraId="3D7A962F">
      <w:pPr>
        <w:spacing w:line="360" w:lineRule="auto"/>
        <w:rPr>
          <w:rFonts w:hint="eastAsia" w:ascii="宋体" w:hAnsi="宋体" w:cs="宋体"/>
          <w:color w:val="auto"/>
          <w:sz w:val="24"/>
        </w:rPr>
      </w:pPr>
      <w:r>
        <w:rPr>
          <w:rFonts w:hint="eastAsia" w:ascii="宋体" w:hAnsi="宋体" w:cs="宋体"/>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088036C7">
      <w:pPr>
        <w:spacing w:line="360" w:lineRule="auto"/>
        <w:rPr>
          <w:rFonts w:hint="eastAsia" w:ascii="宋体" w:hAnsi="宋体" w:cs="宋体"/>
          <w:color w:val="auto"/>
          <w:sz w:val="24"/>
        </w:rPr>
      </w:pPr>
      <w:r>
        <w:rPr>
          <w:rFonts w:hint="eastAsia" w:ascii="宋体" w:hAnsi="宋体" w:cs="宋体"/>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2DA1526D">
      <w:pPr>
        <w:widowControl/>
        <w:spacing w:line="360" w:lineRule="auto"/>
        <w:jc w:val="left"/>
        <w:outlineLvl w:val="2"/>
        <w:rPr>
          <w:rFonts w:hint="eastAsia" w:ascii="宋体" w:hAnsi="宋体" w:cs="宋体"/>
          <w:b/>
          <w:bCs/>
          <w:color w:val="auto"/>
          <w:sz w:val="24"/>
        </w:rPr>
      </w:pPr>
      <w:bookmarkStart w:id="122" w:name="_Toc23054"/>
      <w:r>
        <w:rPr>
          <w:rFonts w:hint="eastAsia" w:ascii="宋体" w:hAnsi="宋体" w:cs="宋体"/>
          <w:b/>
          <w:bCs/>
          <w:color w:val="auto"/>
          <w:sz w:val="24"/>
        </w:rPr>
        <w:t>15.响应文件的撤回</w:t>
      </w:r>
      <w:bookmarkEnd w:id="120"/>
      <w:bookmarkEnd w:id="121"/>
      <w:bookmarkEnd w:id="122"/>
    </w:p>
    <w:p w14:paraId="3A7F3931">
      <w:pPr>
        <w:pStyle w:val="17"/>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允许供应商在提交最后报价之前声明撤回响应文件，但提交最后报价之后不得撤回其磋商，否则其磋商保证金将不予退还。</w:t>
      </w:r>
    </w:p>
    <w:bookmarkEnd w:id="110"/>
    <w:bookmarkEnd w:id="111"/>
    <w:bookmarkEnd w:id="112"/>
    <w:bookmarkEnd w:id="113"/>
    <w:p w14:paraId="1C4215C2">
      <w:pPr>
        <w:widowControl/>
        <w:spacing w:line="360" w:lineRule="auto"/>
        <w:jc w:val="center"/>
        <w:outlineLvl w:val="1"/>
        <w:rPr>
          <w:rFonts w:hint="eastAsia" w:ascii="宋体" w:hAnsi="宋体"/>
          <w:b/>
          <w:bCs/>
          <w:color w:val="auto"/>
          <w:kern w:val="0"/>
          <w:sz w:val="32"/>
          <w:szCs w:val="32"/>
        </w:rPr>
      </w:pPr>
      <w:bookmarkStart w:id="123" w:name="_Toc28078165"/>
      <w:bookmarkStart w:id="124" w:name="_Toc28362"/>
      <w:bookmarkStart w:id="125" w:name="_Toc416183208"/>
      <w:bookmarkStart w:id="126" w:name="_Toc510171138"/>
      <w:bookmarkStart w:id="127" w:name="_Toc325726021"/>
      <w:bookmarkStart w:id="128" w:name="_Toc19030"/>
      <w:bookmarkStart w:id="129" w:name="_Toc376936752"/>
      <w:bookmarkStart w:id="130" w:name="_Toc18107"/>
      <w:bookmarkStart w:id="131" w:name="_Toc30309"/>
      <w:r>
        <w:rPr>
          <w:rFonts w:hint="eastAsia" w:ascii="宋体" w:hAnsi="宋体"/>
          <w:b/>
          <w:bCs/>
          <w:color w:val="auto"/>
          <w:kern w:val="0"/>
          <w:sz w:val="32"/>
          <w:szCs w:val="32"/>
        </w:rPr>
        <w:t>五、开标</w:t>
      </w:r>
      <w:bookmarkEnd w:id="123"/>
      <w:bookmarkEnd w:id="124"/>
      <w:bookmarkEnd w:id="125"/>
      <w:bookmarkEnd w:id="126"/>
    </w:p>
    <w:p w14:paraId="2E537239">
      <w:pPr>
        <w:widowControl/>
        <w:spacing w:line="360" w:lineRule="auto"/>
        <w:jc w:val="left"/>
        <w:outlineLvl w:val="2"/>
        <w:rPr>
          <w:rFonts w:hint="eastAsia" w:ascii="宋体" w:hAnsi="宋体"/>
          <w:b/>
          <w:bCs/>
          <w:color w:val="auto"/>
          <w:kern w:val="0"/>
          <w:sz w:val="27"/>
          <w:szCs w:val="27"/>
        </w:rPr>
      </w:pPr>
      <w:bookmarkStart w:id="132" w:name="_Toc416183209"/>
      <w:bookmarkStart w:id="133" w:name="_Toc325726020"/>
      <w:bookmarkStart w:id="134" w:name="_Toc16475"/>
      <w:bookmarkStart w:id="135" w:name="_Toc510171139"/>
      <w:bookmarkStart w:id="136" w:name="_Toc376936751"/>
      <w:bookmarkStart w:id="137" w:name="_Toc28078166"/>
      <w:r>
        <w:rPr>
          <w:rFonts w:hint="eastAsia" w:ascii="宋体" w:hAnsi="宋体"/>
          <w:b/>
          <w:bCs/>
          <w:color w:val="auto"/>
          <w:kern w:val="0"/>
          <w:sz w:val="27"/>
          <w:szCs w:val="27"/>
        </w:rPr>
        <w:t>16.开标</w:t>
      </w:r>
      <w:bookmarkEnd w:id="132"/>
      <w:bookmarkEnd w:id="133"/>
      <w:bookmarkEnd w:id="134"/>
      <w:bookmarkEnd w:id="135"/>
      <w:bookmarkEnd w:id="136"/>
      <w:bookmarkEnd w:id="137"/>
    </w:p>
    <w:p w14:paraId="01B5E9A1">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.1采购人、采购代理机构在政采云平台（https://www.zcygov.cn/）上组织磋商活动，时间和地点以本磋商文件中确定的为准。</w:t>
      </w:r>
    </w:p>
    <w:p w14:paraId="255969A1">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.2开标后，供应商在政采云平台（https://www.zcygov.cn/）上报价与磋商响应文件内容不一致的，以网上报价为准。若拒绝接受，其投标无效。</w:t>
      </w:r>
    </w:p>
    <w:p w14:paraId="65E81861">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.3磋商工作由采购代理机构组织，采购人、采购管理、纪检监察等有关方面代表可根据采购项目的具体情况列席，并对开标过程签字确认。</w:t>
      </w:r>
    </w:p>
    <w:p w14:paraId="55930DB3">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color w:val="auto"/>
          <w:sz w:val="24"/>
          <w:lang w:val="zh-CN"/>
        </w:rPr>
      </w:pPr>
      <w:r>
        <w:rPr>
          <w:rFonts w:hint="eastAsia" w:ascii="宋体" w:hAnsi="宋体" w:eastAsia="宋体" w:cs="宋体"/>
          <w:b w:val="0"/>
          <w:bCs w:val="0"/>
          <w:color w:val="auto"/>
          <w:kern w:val="2"/>
          <w:sz w:val="24"/>
          <w:szCs w:val="24"/>
          <w:lang w:val="zh-CN" w:eastAsia="zh-CN" w:bidi="ar-SA"/>
        </w:rPr>
        <w:t>1</w:t>
      </w: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zh-CN" w:eastAsia="zh-CN" w:bidi="ar-SA"/>
        </w:rPr>
        <w:t>.4 开标后供应商必须在规定的时间内解密文件；因供应商输入密码错误、未及时更新系统、未能按时完成解密、</w:t>
      </w:r>
      <w:r>
        <w:rPr>
          <w:rFonts w:hint="eastAsia" w:ascii="宋体" w:hAnsi="宋体" w:eastAsia="宋体" w:cs="宋体"/>
          <w:b w:val="0"/>
          <w:bCs w:val="0"/>
          <w:color w:val="auto"/>
          <w:kern w:val="2"/>
          <w:sz w:val="24"/>
          <w:szCs w:val="24"/>
          <w:lang w:val="en-US" w:eastAsia="zh-CN" w:bidi="ar-SA"/>
        </w:rPr>
        <w:t>因</w:t>
      </w:r>
      <w:r>
        <w:rPr>
          <w:rFonts w:hint="eastAsia" w:ascii="宋体" w:hAnsi="宋体" w:eastAsia="宋体" w:cs="宋体"/>
          <w:b w:val="0"/>
          <w:bCs w:val="0"/>
          <w:color w:val="auto"/>
          <w:kern w:val="2"/>
          <w:sz w:val="24"/>
          <w:szCs w:val="24"/>
          <w:lang w:val="zh-CN" w:eastAsia="zh-CN" w:bidi="ar-SA"/>
        </w:rPr>
        <w:t>填写，盖章不规范</w:t>
      </w:r>
      <w:r>
        <w:rPr>
          <w:rFonts w:hint="eastAsia" w:ascii="宋体" w:hAnsi="宋体" w:eastAsia="宋体" w:cs="宋体"/>
          <w:b w:val="0"/>
          <w:bCs w:val="0"/>
          <w:color w:val="auto"/>
          <w:kern w:val="2"/>
          <w:sz w:val="24"/>
          <w:szCs w:val="24"/>
          <w:lang w:val="en-US" w:eastAsia="zh-CN" w:bidi="ar-SA"/>
        </w:rPr>
        <w:t>等</w:t>
      </w:r>
      <w:r>
        <w:rPr>
          <w:rFonts w:hint="eastAsia" w:ascii="宋体" w:hAnsi="宋体" w:eastAsia="宋体" w:cs="宋体"/>
          <w:b w:val="0"/>
          <w:bCs w:val="0"/>
          <w:color w:val="auto"/>
          <w:kern w:val="2"/>
          <w:sz w:val="24"/>
          <w:szCs w:val="24"/>
          <w:lang w:val="zh-CN" w:eastAsia="zh-CN" w:bidi="ar-SA"/>
        </w:rPr>
        <w:t>导致无法</w:t>
      </w:r>
      <w:r>
        <w:rPr>
          <w:rFonts w:hint="eastAsia" w:ascii="宋体" w:hAnsi="宋体" w:eastAsia="宋体" w:cs="宋体"/>
          <w:b w:val="0"/>
          <w:bCs w:val="0"/>
          <w:color w:val="auto"/>
          <w:kern w:val="2"/>
          <w:sz w:val="24"/>
          <w:szCs w:val="24"/>
          <w:lang w:val="en-US" w:eastAsia="zh-CN" w:bidi="ar-SA"/>
        </w:rPr>
        <w:t>解密</w:t>
      </w:r>
      <w:r>
        <w:rPr>
          <w:rFonts w:hint="eastAsia" w:ascii="宋体" w:hAnsi="宋体" w:eastAsia="宋体" w:cs="宋体"/>
          <w:b w:val="0"/>
          <w:bCs w:val="0"/>
          <w:color w:val="auto"/>
          <w:kern w:val="2"/>
          <w:sz w:val="24"/>
          <w:szCs w:val="24"/>
          <w:lang w:val="zh-CN" w:eastAsia="zh-CN" w:bidi="ar-SA"/>
        </w:rPr>
        <w:t>、或上传的磋商响应文件损坏无法正常打开的，将会被视为</w:t>
      </w:r>
      <w:r>
        <w:rPr>
          <w:rFonts w:hint="eastAsia" w:ascii="宋体" w:hAnsi="宋体" w:eastAsia="宋体" w:cs="宋体"/>
          <w:b w:val="0"/>
          <w:bCs w:val="0"/>
          <w:color w:val="auto"/>
          <w:kern w:val="2"/>
          <w:sz w:val="24"/>
          <w:szCs w:val="24"/>
          <w:lang w:val="en-US" w:eastAsia="zh-CN" w:bidi="ar-SA"/>
        </w:rPr>
        <w:t>无效</w:t>
      </w:r>
      <w:r>
        <w:rPr>
          <w:rFonts w:hint="eastAsia" w:ascii="宋体" w:hAnsi="宋体" w:eastAsia="宋体" w:cs="宋体"/>
          <w:b w:val="0"/>
          <w:bCs w:val="0"/>
          <w:color w:val="auto"/>
          <w:kern w:val="2"/>
          <w:sz w:val="24"/>
          <w:szCs w:val="24"/>
          <w:lang w:val="zh-CN" w:eastAsia="zh-CN" w:bidi="ar-SA"/>
        </w:rPr>
        <w:t>投标。</w:t>
      </w:r>
    </w:p>
    <w:p w14:paraId="4FBFBE1A">
      <w:pPr>
        <w:widowControl/>
        <w:spacing w:line="360" w:lineRule="auto"/>
        <w:jc w:val="center"/>
        <w:outlineLvl w:val="1"/>
        <w:rPr>
          <w:rFonts w:hint="eastAsia" w:ascii="宋体" w:hAnsi="宋体" w:eastAsia="宋体" w:cs="Times New Roman"/>
          <w:b/>
          <w:bCs/>
          <w:color w:val="auto"/>
          <w:kern w:val="0"/>
          <w:sz w:val="32"/>
          <w:szCs w:val="32"/>
        </w:rPr>
      </w:pPr>
      <w:bookmarkStart w:id="138" w:name="_Toc13386"/>
      <w:bookmarkStart w:id="139" w:name="_Toc28078167"/>
      <w:r>
        <w:rPr>
          <w:rFonts w:hint="eastAsia" w:ascii="宋体" w:hAnsi="宋体" w:eastAsia="宋体" w:cs="Times New Roman"/>
          <w:b/>
          <w:bCs/>
          <w:color w:val="auto"/>
          <w:kern w:val="0"/>
          <w:sz w:val="32"/>
          <w:szCs w:val="32"/>
        </w:rPr>
        <w:t>六、资格审查程序及方法</w:t>
      </w:r>
      <w:bookmarkEnd w:id="138"/>
      <w:bookmarkEnd w:id="139"/>
    </w:p>
    <w:p w14:paraId="71AA4A37">
      <w:pPr>
        <w:spacing w:line="360" w:lineRule="auto"/>
        <w:rPr>
          <w:rFonts w:hint="eastAsia" w:ascii="宋体" w:hAnsi="宋体" w:cs="宋体"/>
          <w:b/>
          <w:bCs/>
          <w:color w:val="auto"/>
          <w:sz w:val="24"/>
          <w:lang w:val="zh-CN"/>
        </w:rPr>
      </w:pPr>
      <w:bookmarkStart w:id="140" w:name="_Toc496004007"/>
      <w:bookmarkStart w:id="141" w:name="_Toc496189551"/>
      <w:bookmarkStart w:id="142" w:name="_Toc28078168"/>
      <w:r>
        <w:rPr>
          <w:rFonts w:hint="eastAsia" w:ascii="宋体" w:hAnsi="宋体" w:cs="宋体"/>
          <w:b/>
          <w:bCs/>
          <w:color w:val="auto"/>
          <w:sz w:val="24"/>
          <w:lang w:val="zh-CN"/>
        </w:rPr>
        <w:t>1</w:t>
      </w:r>
      <w:r>
        <w:rPr>
          <w:rFonts w:hint="eastAsia" w:ascii="宋体" w:hAnsi="宋体" w:cs="宋体"/>
          <w:b/>
          <w:bCs/>
          <w:color w:val="auto"/>
          <w:sz w:val="24"/>
        </w:rPr>
        <w:t>7</w:t>
      </w:r>
      <w:r>
        <w:rPr>
          <w:rFonts w:hint="eastAsia" w:ascii="宋体" w:hAnsi="宋体" w:cs="宋体"/>
          <w:b/>
          <w:bCs/>
          <w:color w:val="auto"/>
          <w:sz w:val="24"/>
          <w:lang w:val="zh-CN"/>
        </w:rPr>
        <w:t>. 资格审查程序</w:t>
      </w:r>
      <w:bookmarkEnd w:id="140"/>
      <w:bookmarkEnd w:id="141"/>
      <w:bookmarkEnd w:id="142"/>
    </w:p>
    <w:p w14:paraId="6B5FD2E5">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.1提交首次磋商响应文件截止时间后，由磋商小组依法对供应商的资格进行审查。</w:t>
      </w:r>
    </w:p>
    <w:p w14:paraId="69D5C274">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.2 供应商数量不满足相关规定的，不得评审。</w:t>
      </w:r>
    </w:p>
    <w:p w14:paraId="5DA6D0E1">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default" w:ascii="宋体" w:hAnsi="宋体" w:cs="宋体"/>
          <w:b/>
          <w:bCs/>
          <w:color w:val="auto"/>
          <w:kern w:val="2"/>
          <w:sz w:val="24"/>
          <w:szCs w:val="24"/>
          <w:lang w:val="en-US" w:eastAsia="zh-CN" w:bidi="ar-SA"/>
        </w:rPr>
      </w:pPr>
      <w:bookmarkStart w:id="143" w:name="_Toc28078169"/>
      <w:bookmarkStart w:id="144" w:name="_Toc496189552"/>
      <w:bookmarkStart w:id="145" w:name="_Toc496004008"/>
      <w:r>
        <w:rPr>
          <w:rFonts w:hint="eastAsia" w:ascii="宋体" w:hAnsi="宋体" w:cs="宋体"/>
          <w:b/>
          <w:bCs/>
          <w:color w:val="auto"/>
          <w:kern w:val="2"/>
          <w:sz w:val="24"/>
          <w:szCs w:val="24"/>
          <w:lang w:val="zh-CN" w:eastAsia="zh-CN" w:bidi="ar-SA"/>
        </w:rPr>
        <w:t>1</w:t>
      </w:r>
      <w:r>
        <w:rPr>
          <w:rFonts w:hint="eastAsia" w:ascii="宋体" w:hAnsi="宋体" w:cs="宋体"/>
          <w:b/>
          <w:bCs/>
          <w:color w:val="auto"/>
          <w:kern w:val="2"/>
          <w:sz w:val="24"/>
          <w:szCs w:val="24"/>
          <w:lang w:val="en-US" w:eastAsia="zh-CN" w:bidi="ar-SA"/>
        </w:rPr>
        <w:t>8</w:t>
      </w:r>
      <w:r>
        <w:rPr>
          <w:rFonts w:hint="eastAsia" w:ascii="宋体" w:hAnsi="宋体" w:cs="宋体"/>
          <w:b/>
          <w:bCs/>
          <w:color w:val="auto"/>
          <w:kern w:val="2"/>
          <w:sz w:val="24"/>
          <w:szCs w:val="24"/>
          <w:lang w:val="zh-CN" w:eastAsia="zh-CN" w:bidi="ar-SA"/>
        </w:rPr>
        <w:t>.资格审查</w:t>
      </w:r>
      <w:bookmarkEnd w:id="143"/>
      <w:bookmarkEnd w:id="144"/>
      <w:bookmarkEnd w:id="145"/>
      <w:r>
        <w:rPr>
          <w:rFonts w:hint="eastAsia" w:ascii="宋体" w:hAnsi="宋体" w:cs="宋体"/>
          <w:b/>
          <w:bCs/>
          <w:color w:val="auto"/>
          <w:kern w:val="2"/>
          <w:sz w:val="24"/>
          <w:szCs w:val="24"/>
          <w:lang w:val="zh-CN" w:eastAsia="zh-CN" w:bidi="ar-SA"/>
        </w:rPr>
        <w:t>内容。</w:t>
      </w:r>
      <w:r>
        <w:rPr>
          <w:rFonts w:hint="eastAsia" w:ascii="宋体" w:hAnsi="宋体" w:cs="宋体"/>
          <w:b/>
          <w:bCs/>
          <w:color w:val="auto"/>
          <w:kern w:val="2"/>
          <w:sz w:val="24"/>
          <w:szCs w:val="24"/>
          <w:lang w:val="en-US" w:eastAsia="zh-CN" w:bidi="ar-SA"/>
        </w:rPr>
        <w:t>资格审查时，存在下列情况之一的，按无效投标处理：</w:t>
      </w:r>
    </w:p>
    <w:p w14:paraId="78FAEBFC">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.1 </w:t>
      </w:r>
      <w:r>
        <w:rPr>
          <w:rFonts w:hint="eastAsia" w:ascii="宋体" w:hAnsi="宋体" w:cs="宋体"/>
          <w:b w:val="0"/>
          <w:bCs w:val="0"/>
          <w:color w:val="auto"/>
          <w:kern w:val="2"/>
          <w:sz w:val="24"/>
          <w:szCs w:val="24"/>
          <w:lang w:val="en-US" w:eastAsia="zh-CN" w:bidi="ar-SA"/>
        </w:rPr>
        <w:t>不</w:t>
      </w:r>
      <w:r>
        <w:rPr>
          <w:rFonts w:hint="eastAsia" w:ascii="宋体" w:hAnsi="宋体" w:cs="宋体"/>
          <w:b w:val="0"/>
          <w:bCs w:val="0"/>
          <w:color w:val="auto"/>
          <w:kern w:val="2"/>
          <w:sz w:val="24"/>
          <w:szCs w:val="24"/>
          <w:lang w:val="zh-CN" w:eastAsia="zh-CN" w:bidi="ar-SA"/>
        </w:rPr>
        <w:t>符合磋商文件第二部分投标人须知前附表“供应商资格条件”的；</w:t>
      </w:r>
    </w:p>
    <w:p w14:paraId="53EA3CDD">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.2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.1款（1）-（</w:t>
      </w:r>
      <w:r>
        <w:rPr>
          <w:rFonts w:hint="eastAsia" w:ascii="宋体" w:hAnsi="宋体" w:cs="宋体"/>
          <w:b w:val="0"/>
          <w:bCs w:val="0"/>
          <w:color w:val="auto"/>
          <w:kern w:val="2"/>
          <w:sz w:val="24"/>
          <w:szCs w:val="24"/>
          <w:lang w:val="en-US" w:eastAsia="zh-CN" w:bidi="ar-SA"/>
        </w:rPr>
        <w:t>10</w:t>
      </w:r>
      <w:r>
        <w:rPr>
          <w:rFonts w:hint="eastAsia" w:ascii="宋体" w:hAnsi="宋体" w:cs="宋体"/>
          <w:b w:val="0"/>
          <w:bCs w:val="0"/>
          <w:color w:val="auto"/>
          <w:kern w:val="2"/>
          <w:sz w:val="24"/>
          <w:szCs w:val="24"/>
          <w:lang w:val="zh-CN" w:eastAsia="zh-CN" w:bidi="ar-SA"/>
        </w:rPr>
        <w:t>）要求提供相关资料的；</w:t>
      </w:r>
    </w:p>
    <w:p w14:paraId="70850740">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.3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按磋商文件规定和要求签字、盖章的；</w:t>
      </w:r>
    </w:p>
    <w:p w14:paraId="6ED7A7D3">
      <w:pPr>
        <w:spacing w:line="360" w:lineRule="auto"/>
        <w:ind w:firstLine="480"/>
        <w:rPr>
          <w:rFonts w:hint="eastAsia" w:ascii="宋体" w:hAnsi="宋体" w:cs="宋体"/>
          <w:b w:val="0"/>
          <w:bCs w:val="0"/>
          <w:color w:val="auto"/>
          <w:sz w:val="24"/>
          <w:lang w:val="zh-CN"/>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.4 擅自修改磋商文件规定的磋商响应文件格式以及编制要求的</w:t>
      </w:r>
      <w:r>
        <w:rPr>
          <w:rFonts w:hint="eastAsia" w:ascii="宋体" w:hAnsi="宋体" w:cs="宋体"/>
          <w:b w:val="0"/>
          <w:bCs w:val="0"/>
          <w:color w:val="auto"/>
          <w:sz w:val="24"/>
          <w:lang w:val="zh-CN"/>
        </w:rPr>
        <w:t>。</w:t>
      </w:r>
    </w:p>
    <w:bookmarkEnd w:id="127"/>
    <w:bookmarkEnd w:id="128"/>
    <w:bookmarkEnd w:id="129"/>
    <w:bookmarkEnd w:id="130"/>
    <w:bookmarkEnd w:id="131"/>
    <w:p w14:paraId="35C9D0E3">
      <w:pPr>
        <w:widowControl/>
        <w:jc w:val="center"/>
        <w:outlineLvl w:val="1"/>
        <w:rPr>
          <w:rFonts w:hint="eastAsia" w:ascii="宋体" w:hAnsi="宋体"/>
          <w:b/>
          <w:bCs/>
          <w:color w:val="auto"/>
          <w:kern w:val="0"/>
          <w:sz w:val="32"/>
          <w:szCs w:val="32"/>
        </w:rPr>
      </w:pPr>
      <w:bookmarkStart w:id="146" w:name="_Toc28078170"/>
      <w:bookmarkStart w:id="147" w:name="_Toc5834"/>
      <w:bookmarkStart w:id="148" w:name="_Toc376936754"/>
      <w:bookmarkStart w:id="149" w:name="_Toc27086"/>
      <w:bookmarkStart w:id="150" w:name="_Toc14694"/>
      <w:bookmarkStart w:id="151" w:name="_Toc325726023"/>
      <w:bookmarkStart w:id="152" w:name="_Toc10790"/>
      <w:r>
        <w:rPr>
          <w:rFonts w:hint="eastAsia" w:ascii="宋体" w:hAnsi="宋体"/>
          <w:b/>
          <w:bCs/>
          <w:color w:val="auto"/>
          <w:kern w:val="0"/>
          <w:sz w:val="32"/>
          <w:szCs w:val="32"/>
        </w:rPr>
        <w:t>七、磋商程序及方法</w:t>
      </w:r>
      <w:bookmarkEnd w:id="146"/>
      <w:bookmarkEnd w:id="147"/>
    </w:p>
    <w:p w14:paraId="12E66AD3">
      <w:pPr>
        <w:widowControl/>
        <w:spacing w:line="360" w:lineRule="auto"/>
        <w:jc w:val="left"/>
        <w:outlineLvl w:val="2"/>
        <w:rPr>
          <w:rFonts w:hint="eastAsia" w:ascii="宋体" w:hAnsi="宋体"/>
          <w:b/>
          <w:bCs/>
          <w:color w:val="auto"/>
          <w:kern w:val="0"/>
          <w:sz w:val="24"/>
        </w:rPr>
      </w:pPr>
      <w:bookmarkStart w:id="153" w:name="_Toc3021"/>
      <w:bookmarkStart w:id="154" w:name="_Toc28078171"/>
      <w:bookmarkStart w:id="155" w:name="_Toc376936753"/>
      <w:bookmarkStart w:id="156" w:name="_Toc325726022"/>
      <w:r>
        <w:rPr>
          <w:rFonts w:hint="eastAsia" w:ascii="宋体" w:hAnsi="宋体"/>
          <w:b/>
          <w:bCs/>
          <w:color w:val="auto"/>
          <w:kern w:val="0"/>
          <w:sz w:val="24"/>
        </w:rPr>
        <w:t>19.磋商小组</w:t>
      </w:r>
      <w:bookmarkEnd w:id="153"/>
      <w:bookmarkEnd w:id="154"/>
      <w:bookmarkEnd w:id="155"/>
      <w:bookmarkEnd w:id="156"/>
    </w:p>
    <w:p w14:paraId="1FDCB911">
      <w:pPr>
        <w:spacing w:line="360" w:lineRule="auto"/>
        <w:ind w:firstLine="480"/>
        <w:jc w:val="left"/>
        <w:rPr>
          <w:rFonts w:hint="eastAsia" w:ascii="宋体" w:hAnsi="宋体"/>
          <w:color w:val="auto"/>
          <w:sz w:val="24"/>
        </w:rPr>
      </w:pPr>
      <w:r>
        <w:rPr>
          <w:rFonts w:hint="eastAsia" w:ascii="宋体" w:hAnsi="宋体"/>
          <w:color w:val="auto"/>
          <w:sz w:val="24"/>
        </w:rPr>
        <w:t>19.1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81F09B3">
      <w:pPr>
        <w:spacing w:line="360" w:lineRule="auto"/>
        <w:ind w:firstLine="480"/>
        <w:jc w:val="left"/>
        <w:rPr>
          <w:rFonts w:hint="eastAsia" w:ascii="宋体" w:hAnsi="宋体"/>
          <w:color w:val="auto"/>
          <w:sz w:val="24"/>
        </w:rPr>
      </w:pPr>
      <w:r>
        <w:rPr>
          <w:rFonts w:hint="eastAsia" w:ascii="宋体" w:hAnsi="宋体"/>
          <w:color w:val="auto"/>
          <w:sz w:val="24"/>
        </w:rPr>
        <w:t>19.2磋商由采购代理机构负责组织，具体磋商事务由依法组建的磋商小组负责，并独立履行下列职责：</w:t>
      </w:r>
    </w:p>
    <w:p w14:paraId="6FAC7972">
      <w:pPr>
        <w:spacing w:line="360" w:lineRule="auto"/>
        <w:ind w:firstLine="480"/>
        <w:jc w:val="left"/>
        <w:rPr>
          <w:rFonts w:hint="eastAsia" w:ascii="宋体" w:hAnsi="宋体"/>
          <w:color w:val="auto"/>
          <w:sz w:val="24"/>
        </w:rPr>
      </w:pPr>
      <w:r>
        <w:rPr>
          <w:rFonts w:hint="eastAsia" w:ascii="宋体" w:hAnsi="宋体"/>
          <w:color w:val="auto"/>
          <w:sz w:val="24"/>
        </w:rPr>
        <w:t>（1）审查通过资格条件供应商的磋商响应文件，并作出评价；</w:t>
      </w:r>
    </w:p>
    <w:p w14:paraId="6D387227">
      <w:pPr>
        <w:spacing w:line="360" w:lineRule="auto"/>
        <w:ind w:firstLine="480"/>
        <w:jc w:val="left"/>
        <w:rPr>
          <w:rFonts w:hint="eastAsia" w:ascii="宋体" w:hAnsi="宋体"/>
          <w:color w:val="auto"/>
          <w:sz w:val="24"/>
        </w:rPr>
      </w:pPr>
      <w:r>
        <w:rPr>
          <w:rFonts w:hint="eastAsia" w:ascii="宋体" w:hAnsi="宋体"/>
          <w:color w:val="auto"/>
          <w:sz w:val="24"/>
        </w:rPr>
        <w:t>（2）要求供应商对解释或澄清其磋商响应文件；</w:t>
      </w:r>
    </w:p>
    <w:p w14:paraId="0FF8E7CF">
      <w:pPr>
        <w:spacing w:line="360" w:lineRule="auto"/>
        <w:ind w:firstLine="480"/>
        <w:jc w:val="left"/>
        <w:rPr>
          <w:rFonts w:hint="eastAsia" w:ascii="宋体" w:hAnsi="宋体"/>
          <w:color w:val="auto"/>
          <w:sz w:val="24"/>
        </w:rPr>
      </w:pPr>
      <w:r>
        <w:rPr>
          <w:rFonts w:hint="eastAsia" w:ascii="宋体" w:hAnsi="宋体"/>
          <w:color w:val="auto"/>
          <w:sz w:val="24"/>
        </w:rPr>
        <w:t>（3）推荐预成交候选供应商；</w:t>
      </w:r>
    </w:p>
    <w:p w14:paraId="55151226">
      <w:pPr>
        <w:spacing w:line="360" w:lineRule="auto"/>
        <w:ind w:firstLine="480"/>
        <w:jc w:val="left"/>
        <w:rPr>
          <w:rFonts w:hint="eastAsia" w:ascii="宋体" w:hAnsi="宋体"/>
          <w:color w:val="auto"/>
          <w:sz w:val="24"/>
        </w:rPr>
      </w:pPr>
      <w:r>
        <w:rPr>
          <w:rFonts w:hint="eastAsia" w:ascii="宋体" w:hAnsi="宋体"/>
          <w:color w:val="auto"/>
          <w:sz w:val="24"/>
        </w:rPr>
        <w:t>（4）对非法干预评标工作的人员和机构进行举报或投诉。</w:t>
      </w:r>
    </w:p>
    <w:p w14:paraId="66507520">
      <w:pPr>
        <w:spacing w:line="360" w:lineRule="auto"/>
        <w:ind w:firstLine="480"/>
        <w:jc w:val="left"/>
        <w:rPr>
          <w:rFonts w:hint="eastAsia" w:ascii="宋体" w:hAnsi="宋体"/>
          <w:color w:val="auto"/>
          <w:sz w:val="24"/>
        </w:rPr>
      </w:pPr>
      <w:r>
        <w:rPr>
          <w:rFonts w:hint="eastAsia" w:ascii="宋体" w:hAnsi="宋体"/>
          <w:color w:val="auto"/>
          <w:sz w:val="24"/>
        </w:rPr>
        <w:t>17.3磋商小组应遵守并履行下列义务：</w:t>
      </w:r>
    </w:p>
    <w:p w14:paraId="70499136">
      <w:pPr>
        <w:spacing w:line="360" w:lineRule="auto"/>
        <w:ind w:firstLine="480"/>
        <w:jc w:val="left"/>
        <w:rPr>
          <w:rFonts w:hint="eastAsia" w:ascii="宋体" w:hAnsi="宋体"/>
          <w:color w:val="auto"/>
          <w:sz w:val="24"/>
        </w:rPr>
      </w:pPr>
      <w:r>
        <w:rPr>
          <w:rFonts w:hint="eastAsia" w:ascii="宋体" w:hAnsi="宋体"/>
          <w:color w:val="auto"/>
          <w:sz w:val="24"/>
        </w:rPr>
        <w:t>（1）遵纪守法，客观、公正、廉洁地履行职责；</w:t>
      </w:r>
    </w:p>
    <w:p w14:paraId="5F587AC9">
      <w:pPr>
        <w:spacing w:line="360" w:lineRule="auto"/>
        <w:ind w:firstLine="480"/>
        <w:jc w:val="left"/>
        <w:rPr>
          <w:rFonts w:hint="eastAsia" w:ascii="宋体" w:hAnsi="宋体"/>
          <w:color w:val="auto"/>
          <w:sz w:val="24"/>
        </w:rPr>
      </w:pPr>
      <w:r>
        <w:rPr>
          <w:rFonts w:hint="eastAsia" w:ascii="宋体" w:hAnsi="宋体"/>
          <w:color w:val="auto"/>
          <w:sz w:val="24"/>
        </w:rPr>
        <w:t>（2）按照磋商文件规定的评审方法和评审标准进行评审，对评审意见承担磋商小组成员责任；</w:t>
      </w:r>
    </w:p>
    <w:p w14:paraId="647BD17D">
      <w:pPr>
        <w:spacing w:line="360" w:lineRule="auto"/>
        <w:ind w:firstLine="480"/>
        <w:jc w:val="left"/>
        <w:rPr>
          <w:rFonts w:hint="eastAsia" w:ascii="宋体" w:hAnsi="宋体"/>
          <w:color w:val="auto"/>
          <w:sz w:val="24"/>
        </w:rPr>
      </w:pPr>
      <w:r>
        <w:rPr>
          <w:rFonts w:hint="eastAsia" w:ascii="宋体" w:hAnsi="宋体"/>
          <w:color w:val="auto"/>
          <w:sz w:val="24"/>
        </w:rPr>
        <w:t>（3）对磋商响应文件、磋商情况和磋商中获悉的商业秘密保密；</w:t>
      </w:r>
    </w:p>
    <w:p w14:paraId="2CD29939">
      <w:pPr>
        <w:spacing w:line="360" w:lineRule="auto"/>
        <w:ind w:firstLine="480"/>
        <w:jc w:val="left"/>
        <w:rPr>
          <w:rFonts w:hint="eastAsia" w:ascii="宋体" w:hAnsi="宋体"/>
          <w:color w:val="auto"/>
          <w:sz w:val="24"/>
        </w:rPr>
      </w:pPr>
      <w:r>
        <w:rPr>
          <w:rFonts w:hint="eastAsia" w:ascii="宋体" w:hAnsi="宋体"/>
          <w:color w:val="auto"/>
          <w:sz w:val="24"/>
        </w:rPr>
        <w:t>（4）参与磋商报告的起草；</w:t>
      </w:r>
    </w:p>
    <w:p w14:paraId="3F051C8D">
      <w:pPr>
        <w:spacing w:line="360" w:lineRule="auto"/>
        <w:ind w:firstLine="480"/>
        <w:jc w:val="left"/>
        <w:rPr>
          <w:rFonts w:hint="eastAsia" w:ascii="宋体" w:hAnsi="宋体"/>
          <w:color w:val="auto"/>
          <w:sz w:val="24"/>
        </w:rPr>
      </w:pPr>
      <w:r>
        <w:rPr>
          <w:rFonts w:hint="eastAsia" w:ascii="宋体" w:hAnsi="宋体"/>
          <w:color w:val="auto"/>
          <w:sz w:val="24"/>
        </w:rPr>
        <w:t>（5）解答供应商及有关方面的质疑；</w:t>
      </w:r>
    </w:p>
    <w:p w14:paraId="046B49C9">
      <w:pPr>
        <w:spacing w:line="360" w:lineRule="auto"/>
        <w:ind w:firstLine="480"/>
        <w:jc w:val="left"/>
        <w:rPr>
          <w:rFonts w:hint="eastAsia" w:ascii="宋体" w:hAnsi="宋体"/>
          <w:color w:val="auto"/>
          <w:sz w:val="24"/>
        </w:rPr>
      </w:pPr>
      <w:r>
        <w:rPr>
          <w:rFonts w:hint="eastAsia" w:ascii="宋体" w:hAnsi="宋体"/>
          <w:color w:val="auto"/>
          <w:sz w:val="24"/>
        </w:rPr>
        <w:t>（6）配合监管部门进行投诉处理工作。</w:t>
      </w:r>
    </w:p>
    <w:p w14:paraId="258269A7">
      <w:pPr>
        <w:spacing w:line="360" w:lineRule="auto"/>
        <w:ind w:firstLine="480"/>
        <w:jc w:val="left"/>
        <w:rPr>
          <w:rFonts w:hint="eastAsia" w:ascii="宋体" w:hAnsi="宋体"/>
          <w:color w:val="auto"/>
          <w:sz w:val="24"/>
        </w:rPr>
      </w:pPr>
      <w:r>
        <w:rPr>
          <w:rFonts w:hint="eastAsia" w:ascii="宋体" w:hAnsi="宋体"/>
          <w:color w:val="auto"/>
          <w:sz w:val="24"/>
        </w:rPr>
        <w:t>19.4磋商工作在有关部门的监督和严格保密的情况下依法进行，任何单位和个人不得非法干预、影响磋商工作和磋商结果。</w:t>
      </w:r>
    </w:p>
    <w:p w14:paraId="6BFDC680">
      <w:pPr>
        <w:spacing w:line="360" w:lineRule="auto"/>
        <w:ind w:firstLine="480"/>
        <w:jc w:val="left"/>
        <w:rPr>
          <w:rFonts w:hint="eastAsia" w:ascii="宋体" w:hAnsi="宋体"/>
          <w:color w:val="auto"/>
          <w:sz w:val="24"/>
        </w:rPr>
      </w:pPr>
      <w:r>
        <w:rPr>
          <w:rFonts w:hint="eastAsia" w:ascii="宋体" w:hAnsi="宋体"/>
          <w:color w:val="auto"/>
          <w:sz w:val="24"/>
        </w:rPr>
        <w:t>19.5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30518F1">
      <w:pPr>
        <w:autoSpaceDE w:val="0"/>
        <w:autoSpaceDN w:val="0"/>
        <w:adjustRightInd w:val="0"/>
        <w:spacing w:line="360" w:lineRule="auto"/>
        <w:ind w:firstLine="480"/>
        <w:jc w:val="left"/>
        <w:rPr>
          <w:rFonts w:hint="eastAsia" w:ascii="宋体" w:hAnsi="宋体"/>
          <w:color w:val="auto"/>
          <w:sz w:val="24"/>
        </w:rPr>
      </w:pPr>
      <w:r>
        <w:rPr>
          <w:rFonts w:hint="eastAsia" w:ascii="宋体" w:hAnsi="宋体" w:cs="宋体"/>
          <w:color w:val="auto"/>
          <w:sz w:val="24"/>
        </w:rPr>
        <w:t>19.6 磋商小组发现磋商文件存在歧义、重大缺陷导致评标工作无法进行，或者磋商文件内容违反国家有关强制性规定的，应当停止评标工作，与采购人、采购代理机构沟通并作书面记录。采购人、采购代理机构确认后，应当修改磋商文件，重新组织采购活动。</w:t>
      </w:r>
    </w:p>
    <w:p w14:paraId="2AFBB04C">
      <w:pPr>
        <w:widowControl/>
        <w:spacing w:line="360" w:lineRule="auto"/>
        <w:jc w:val="left"/>
        <w:outlineLvl w:val="2"/>
        <w:rPr>
          <w:rFonts w:hint="eastAsia" w:ascii="宋体" w:hAnsi="宋体"/>
          <w:b/>
          <w:bCs/>
          <w:color w:val="auto"/>
          <w:kern w:val="0"/>
          <w:sz w:val="24"/>
        </w:rPr>
      </w:pPr>
      <w:bookmarkStart w:id="157" w:name="_Toc4333"/>
      <w:bookmarkStart w:id="158" w:name="_Toc28078172"/>
      <w:r>
        <w:rPr>
          <w:rFonts w:hint="eastAsia" w:ascii="宋体" w:hAnsi="宋体"/>
          <w:b/>
          <w:bCs/>
          <w:color w:val="auto"/>
          <w:kern w:val="0"/>
          <w:sz w:val="24"/>
        </w:rPr>
        <w:t>20.磋商工作程序</w:t>
      </w:r>
      <w:bookmarkEnd w:id="157"/>
      <w:bookmarkEnd w:id="158"/>
    </w:p>
    <w:p w14:paraId="2F6BB3E6">
      <w:pPr>
        <w:spacing w:line="360" w:lineRule="auto"/>
        <w:ind w:firstLine="480"/>
        <w:jc w:val="left"/>
        <w:rPr>
          <w:rFonts w:hint="eastAsia" w:ascii="宋体" w:hAnsi="宋体"/>
          <w:color w:val="auto"/>
          <w:sz w:val="24"/>
        </w:rPr>
      </w:pPr>
      <w:r>
        <w:rPr>
          <w:rFonts w:hint="eastAsia" w:ascii="宋体" w:hAnsi="Courier New"/>
          <w:color w:val="auto"/>
          <w:sz w:val="24"/>
        </w:rPr>
        <w:t>20.1</w:t>
      </w:r>
      <w:r>
        <w:rPr>
          <w:rFonts w:hint="eastAsia" w:ascii="宋体" w:hAnsi="宋体"/>
          <w:color w:val="auto"/>
          <w:sz w:val="24"/>
        </w:rPr>
        <w:t>进入磋商阶段后，由磋商小组独立开展评审工作，负责审议所有通过资格条件供应商的磋商响应文件，并对磋商文件进行评审、评分。</w:t>
      </w:r>
    </w:p>
    <w:p w14:paraId="5B69E45E">
      <w:pPr>
        <w:spacing w:line="360" w:lineRule="auto"/>
        <w:ind w:firstLine="241" w:firstLineChars="100"/>
        <w:jc w:val="left"/>
        <w:rPr>
          <w:rFonts w:hint="eastAsia" w:ascii="宋体" w:hAnsi="宋体"/>
          <w:b/>
          <w:bCs/>
          <w:color w:val="auto"/>
          <w:sz w:val="24"/>
        </w:rPr>
      </w:pPr>
      <w:r>
        <w:rPr>
          <w:rFonts w:hint="eastAsia" w:ascii="宋体" w:hAnsi="宋体"/>
          <w:b/>
          <w:bCs/>
          <w:color w:val="auto"/>
          <w:sz w:val="24"/>
        </w:rPr>
        <w:t>20.2符合性审查时，存在下列情况之一的，按无效投标处理：</w:t>
      </w:r>
    </w:p>
    <w:p w14:paraId="448CDEE1">
      <w:pPr>
        <w:spacing w:line="360" w:lineRule="auto"/>
        <w:jc w:val="left"/>
        <w:rPr>
          <w:rFonts w:hint="eastAsia" w:ascii="宋体" w:hAnsi="宋体"/>
          <w:b w:val="0"/>
          <w:bCs w:val="0"/>
          <w:color w:val="auto"/>
          <w:sz w:val="24"/>
        </w:rPr>
      </w:pPr>
      <w:r>
        <w:rPr>
          <w:rFonts w:hint="eastAsia" w:ascii="宋体" w:hAnsi="宋体"/>
          <w:b w:val="0"/>
          <w:bCs w:val="0"/>
          <w:color w:val="auto"/>
          <w:sz w:val="24"/>
        </w:rPr>
        <w:t>（1）</w:t>
      </w:r>
      <w:r>
        <w:rPr>
          <w:rFonts w:hint="eastAsia" w:ascii="宋体" w:hAnsi="宋体"/>
          <w:b w:val="0"/>
          <w:bCs w:val="0"/>
          <w:color w:val="auto"/>
          <w:sz w:val="24"/>
          <w:lang w:val="en-US" w:eastAsia="zh-CN"/>
        </w:rPr>
        <w:t>交货</w:t>
      </w:r>
      <w:r>
        <w:rPr>
          <w:rFonts w:hint="eastAsia" w:ascii="宋体" w:hAnsi="宋体"/>
          <w:b w:val="0"/>
          <w:bCs w:val="0"/>
          <w:color w:val="auto"/>
          <w:sz w:val="24"/>
        </w:rPr>
        <w:t>期</w:t>
      </w:r>
      <w:r>
        <w:rPr>
          <w:rFonts w:hint="eastAsia" w:ascii="宋体" w:hAnsi="宋体"/>
          <w:b w:val="0"/>
          <w:bCs w:val="0"/>
          <w:color w:val="auto"/>
          <w:sz w:val="24"/>
          <w:lang w:eastAsia="zh-CN"/>
        </w:rPr>
        <w:t>、磋商</w:t>
      </w:r>
      <w:r>
        <w:rPr>
          <w:rFonts w:hint="eastAsia" w:ascii="宋体" w:hAnsi="宋体"/>
          <w:b w:val="0"/>
          <w:bCs w:val="0"/>
          <w:color w:val="auto"/>
          <w:sz w:val="24"/>
        </w:rPr>
        <w:t>有效期不能满足磋商文件要求的；</w:t>
      </w:r>
    </w:p>
    <w:p w14:paraId="6961EDD0">
      <w:pPr>
        <w:spacing w:line="360" w:lineRule="auto"/>
        <w:jc w:val="left"/>
        <w:rPr>
          <w:rFonts w:hint="eastAsia" w:ascii="宋体" w:hAnsi="宋体"/>
          <w:b w:val="0"/>
          <w:bCs w:val="0"/>
          <w:color w:val="auto"/>
          <w:sz w:val="24"/>
        </w:rPr>
      </w:pPr>
      <w:r>
        <w:rPr>
          <w:rFonts w:hint="eastAsia" w:ascii="宋体" w:hAnsi="宋体"/>
          <w:b w:val="0"/>
          <w:bCs w:val="0"/>
          <w:color w:val="auto"/>
          <w:sz w:val="24"/>
        </w:rPr>
        <w:t>（2）</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2</w:t>
      </w:r>
      <w:r>
        <w:rPr>
          <w:rFonts w:hint="eastAsia" w:ascii="宋体" w:hAnsi="宋体" w:cs="宋体"/>
          <w:b w:val="0"/>
          <w:bCs w:val="0"/>
          <w:color w:val="auto"/>
          <w:kern w:val="2"/>
          <w:sz w:val="24"/>
          <w:szCs w:val="24"/>
          <w:lang w:val="zh-CN" w:eastAsia="zh-CN" w:bidi="ar-SA"/>
        </w:rPr>
        <w:t>款（1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15</w:t>
      </w:r>
      <w:r>
        <w:rPr>
          <w:rFonts w:hint="eastAsia" w:ascii="宋体" w:hAnsi="宋体" w:cs="宋体"/>
          <w:b w:val="0"/>
          <w:bCs w:val="0"/>
          <w:color w:val="auto"/>
          <w:kern w:val="2"/>
          <w:sz w:val="24"/>
          <w:szCs w:val="24"/>
          <w:lang w:val="zh-CN" w:eastAsia="zh-CN" w:bidi="ar-SA"/>
        </w:rPr>
        <w:t>）要求提供相关资料的；</w:t>
      </w:r>
    </w:p>
    <w:p w14:paraId="0434FCD7">
      <w:pPr>
        <w:spacing w:line="360" w:lineRule="auto"/>
        <w:jc w:val="left"/>
        <w:rPr>
          <w:rFonts w:hint="eastAsia" w:ascii="宋体" w:hAnsi="宋体"/>
          <w:b w:val="0"/>
          <w:bCs w:val="0"/>
          <w:color w:val="auto"/>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磋商</w:t>
      </w:r>
      <w:r>
        <w:rPr>
          <w:sz w:val="24"/>
        </w:rPr>
        <w:t>项目的技术规格、技术标准明显不符合采购项目要求的</w:t>
      </w:r>
      <w:r>
        <w:rPr>
          <w:rFonts w:hint="eastAsia" w:ascii="宋体" w:hAnsi="宋体"/>
          <w:b w:val="0"/>
          <w:bCs w:val="0"/>
          <w:color w:val="auto"/>
          <w:sz w:val="24"/>
        </w:rPr>
        <w:t>；</w:t>
      </w:r>
    </w:p>
    <w:p w14:paraId="28FB8426">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4</w:t>
      </w:r>
      <w:r>
        <w:rPr>
          <w:rFonts w:hint="eastAsia" w:ascii="宋体" w:hAnsi="宋体"/>
          <w:b w:val="0"/>
          <w:bCs w:val="0"/>
          <w:color w:val="auto"/>
          <w:sz w:val="24"/>
        </w:rPr>
        <w:t>）供应商网上最后磋商报价出现两个或两个以上报价方案的；</w:t>
      </w:r>
    </w:p>
    <w:p w14:paraId="7B6F4C97">
      <w:pPr>
        <w:keepNext w:val="0"/>
        <w:keepLines w:val="0"/>
        <w:pageBreakBefore w:val="0"/>
        <w:kinsoku/>
        <w:wordWrap/>
        <w:overflowPunct/>
        <w:topLinePunct w:val="0"/>
        <w:bidi w:val="0"/>
        <w:snapToGrid/>
        <w:spacing w:beforeAutospacing="0" w:afterAutospacing="0"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rPr>
        <w:t>报价超过磋商文件规定的</w:t>
      </w:r>
      <w:r>
        <w:rPr>
          <w:rFonts w:hint="eastAsia" w:ascii="宋体" w:hAnsi="宋体" w:eastAsia="宋体" w:cs="宋体"/>
          <w:b w:val="0"/>
          <w:bCs w:val="0"/>
          <w:color w:val="auto"/>
          <w:sz w:val="24"/>
          <w:szCs w:val="24"/>
          <w:lang w:val="en-US" w:eastAsia="zh-CN"/>
        </w:rPr>
        <w:t>最高投标限价或存在20.3的情形的</w:t>
      </w:r>
      <w:r>
        <w:rPr>
          <w:rFonts w:hint="eastAsia" w:ascii="宋体" w:hAnsi="宋体" w:eastAsia="宋体" w:cs="宋体"/>
          <w:b w:val="0"/>
          <w:bCs w:val="0"/>
          <w:color w:val="auto"/>
          <w:sz w:val="24"/>
          <w:szCs w:val="24"/>
        </w:rPr>
        <w:t>；</w:t>
      </w:r>
    </w:p>
    <w:p w14:paraId="562949D0">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6</w:t>
      </w:r>
      <w:r>
        <w:rPr>
          <w:rFonts w:hint="eastAsia" w:ascii="宋体" w:hAnsi="宋体"/>
          <w:b w:val="0"/>
          <w:bCs w:val="0"/>
          <w:color w:val="auto"/>
          <w:sz w:val="24"/>
        </w:rPr>
        <w:t>）磋商响应文件含有采购人不能接受的附加条件的；</w:t>
      </w:r>
    </w:p>
    <w:p w14:paraId="03DC56B0">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7</w:t>
      </w:r>
      <w:r>
        <w:rPr>
          <w:rFonts w:hint="eastAsia" w:ascii="宋体" w:hAnsi="宋体"/>
          <w:b w:val="0"/>
          <w:bCs w:val="0"/>
          <w:color w:val="auto"/>
          <w:sz w:val="24"/>
        </w:rPr>
        <w:t>）磋商小组认为应按无效投标处理的其他情况；</w:t>
      </w:r>
    </w:p>
    <w:p w14:paraId="57BE433A">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8</w:t>
      </w:r>
      <w:r>
        <w:rPr>
          <w:rFonts w:hint="eastAsia" w:ascii="宋体" w:hAnsi="宋体"/>
          <w:b w:val="0"/>
          <w:bCs w:val="0"/>
          <w:color w:val="auto"/>
          <w:sz w:val="24"/>
        </w:rPr>
        <w:t>）法律、法规规定的其他情形。</w:t>
      </w:r>
    </w:p>
    <w:p w14:paraId="775ED78E">
      <w:pPr>
        <w:spacing w:line="360" w:lineRule="auto"/>
        <w:ind w:firstLine="480"/>
        <w:jc w:val="left"/>
        <w:rPr>
          <w:rFonts w:hint="eastAsia" w:ascii="宋体" w:hAnsi="宋体"/>
          <w:color w:val="auto"/>
          <w:sz w:val="24"/>
        </w:rPr>
      </w:pPr>
      <w:r>
        <w:rPr>
          <w:rFonts w:hint="eastAsia" w:ascii="宋体" w:hAnsi="宋体"/>
          <w:color w:val="auto"/>
          <w:sz w:val="24"/>
        </w:rPr>
        <w:t>20.3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5FEF1360">
      <w:pPr>
        <w:spacing w:line="360" w:lineRule="auto"/>
        <w:ind w:firstLine="480"/>
        <w:jc w:val="left"/>
        <w:rPr>
          <w:rFonts w:hint="eastAsia" w:ascii="宋体" w:hAnsi="宋体"/>
          <w:color w:val="auto"/>
          <w:sz w:val="24"/>
        </w:rPr>
      </w:pPr>
      <w:r>
        <w:rPr>
          <w:rFonts w:hint="eastAsia" w:ascii="宋体" w:hAnsi="宋体"/>
          <w:color w:val="auto"/>
          <w:sz w:val="24"/>
        </w:rPr>
        <w:t xml:space="preserve">20.4 </w:t>
      </w:r>
      <w:r>
        <w:rPr>
          <w:rFonts w:hint="eastAsia" w:ascii="宋体" w:hAnsi="宋体" w:cs="宋体"/>
          <w:color w:val="auto"/>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w:t>
      </w:r>
      <w:r>
        <w:rPr>
          <w:rFonts w:hint="eastAsia" w:ascii="宋体" w:hAnsi="宋体" w:cs="宋体"/>
          <w:color w:val="auto"/>
          <w:sz w:val="24"/>
          <w:lang w:eastAsia="zh-CN"/>
        </w:rPr>
        <w:t>政采云平台（https://www.zcygov.cn/）</w:t>
      </w:r>
      <w:r>
        <w:rPr>
          <w:rFonts w:hint="eastAsia" w:ascii="宋体" w:hAnsi="宋体" w:cs="宋体"/>
          <w:color w:val="auto"/>
          <w:sz w:val="24"/>
        </w:rPr>
        <w:t>以“评审问题澄清函”形式发布。供应商应当按照磋商文件的变动情况和磋商小组的要求在</w:t>
      </w:r>
      <w:r>
        <w:rPr>
          <w:rFonts w:hint="eastAsia" w:ascii="宋体" w:hAnsi="宋体" w:cs="宋体"/>
          <w:color w:val="auto"/>
          <w:sz w:val="24"/>
          <w:lang w:eastAsia="zh-CN"/>
        </w:rPr>
        <w:t>政采云平台（https://www.zcygov.cn/）</w:t>
      </w:r>
      <w:r>
        <w:rPr>
          <w:rFonts w:hint="eastAsia" w:ascii="宋体" w:hAnsi="宋体" w:cs="宋体"/>
          <w:color w:val="auto"/>
          <w:sz w:val="24"/>
        </w:rPr>
        <w:t xml:space="preserve">上按规定时间作出响应。                                                                                                                                                                                                                                                                                                                                                                                                                                                                                                                                                                                                                                                                                                                                                                                                                                                                                                                                                                                                                                                                                                                                                                                                                                                                                                                                                                                                                                                                                                                                                                                                                                                                                                                                                                                                                                                                                                                                                                                                                                                                                                                                                                                                                                                                                                                                                                                                                                                                                                                                                                                                                                                                                                                                                                                                                                                                                                                                                                                                                                                                                                                                                                                                                                                                                                                                                                                                                                                                                                                                                                                                                                                                                                                                                                                                                                                                                                                                                                                                                                                                                                                                                                                                     </w:t>
      </w:r>
      <w:r>
        <w:rPr>
          <w:rFonts w:hint="eastAsia" w:ascii="宋体" w:hAnsi="宋体" w:cs="宋体"/>
          <w:color w:val="auto"/>
          <w:sz w:val="24"/>
        </w:rPr>
        <w:t xml:space="preserve">                                                                                                                                                                                                                                                                                                                                                                                                                                                                                                                                                                                                                                                                                                                                                                                                                                                                                                                                                                                                                                                                                                                                                                                                                                                                                                                                                                                                                                                                                                                                                                                                                                                                                                                                                                                                                                                                                                                                                                                                                                                                                                                                                                                                                                                                                                                                                                                                                                                                        </w:t>
      </w:r>
    </w:p>
    <w:p w14:paraId="0AB3360A">
      <w:pPr>
        <w:widowControl/>
        <w:spacing w:line="360" w:lineRule="auto"/>
        <w:jc w:val="left"/>
        <w:outlineLvl w:val="2"/>
        <w:rPr>
          <w:rFonts w:hint="eastAsia" w:ascii="宋体" w:hAnsi="宋体"/>
          <w:b/>
          <w:bCs/>
          <w:color w:val="auto"/>
          <w:kern w:val="0"/>
          <w:sz w:val="24"/>
        </w:rPr>
      </w:pPr>
      <w:bookmarkStart w:id="159" w:name="_Toc26628"/>
      <w:bookmarkStart w:id="160" w:name="_Toc28078173"/>
      <w:bookmarkStart w:id="161" w:name="_Toc496004012"/>
      <w:r>
        <w:rPr>
          <w:rFonts w:hint="eastAsia" w:ascii="宋体" w:hAnsi="宋体"/>
          <w:b/>
          <w:bCs/>
          <w:color w:val="auto"/>
          <w:kern w:val="0"/>
          <w:sz w:val="24"/>
        </w:rPr>
        <w:t>21.答疑的方式和情形</w:t>
      </w:r>
      <w:bookmarkEnd w:id="159"/>
      <w:bookmarkEnd w:id="160"/>
      <w:bookmarkEnd w:id="161"/>
    </w:p>
    <w:p w14:paraId="410B870E">
      <w:pPr>
        <w:spacing w:line="360" w:lineRule="auto"/>
        <w:ind w:firstLine="480"/>
        <w:jc w:val="left"/>
        <w:rPr>
          <w:rFonts w:hint="eastAsia" w:ascii="宋体" w:hAnsi="宋体"/>
          <w:color w:val="auto"/>
          <w:sz w:val="24"/>
        </w:rPr>
      </w:pPr>
      <w:r>
        <w:rPr>
          <w:rFonts w:hint="eastAsia" w:ascii="宋体" w:hAnsi="宋体"/>
          <w:color w:val="auto"/>
          <w:sz w:val="24"/>
        </w:rPr>
        <w:t>21.1答疑方式：详见第一部分投标人须知前附表“答疑方式”。</w:t>
      </w:r>
    </w:p>
    <w:p w14:paraId="02320313">
      <w:pPr>
        <w:spacing w:line="360" w:lineRule="auto"/>
        <w:ind w:firstLine="480"/>
        <w:jc w:val="left"/>
        <w:rPr>
          <w:rFonts w:hint="eastAsia" w:ascii="宋体" w:hAnsi="宋体"/>
          <w:color w:val="auto"/>
          <w:sz w:val="24"/>
        </w:rPr>
      </w:pPr>
      <w:r>
        <w:rPr>
          <w:rFonts w:hint="eastAsia" w:ascii="宋体" w:hAnsi="宋体"/>
          <w:color w:val="auto"/>
          <w:sz w:val="24"/>
        </w:rPr>
        <w:t>21.2 磋商小组在对磋商响应文件的有效性、完整性和响应程度进行审查时，可以要求供应商对响应文件中含义不明确、同类问题表述不一致</w:t>
      </w:r>
      <w:r>
        <w:rPr>
          <w:color w:val="auto"/>
          <w:sz w:val="24"/>
        </w:rPr>
        <w:t>、大写金额与小写金额不一致、总价金额与单价汇总金额不一致</w:t>
      </w:r>
      <w:r>
        <w:rPr>
          <w:rFonts w:hint="eastAsia" w:ascii="宋体" w:hAnsi="宋体"/>
          <w:color w:val="auto"/>
          <w:sz w:val="24"/>
        </w:rPr>
        <w:t>或者有明显文字和计算错误的内容等作出必要的澄清、说明或者更正。供应商的澄清、说明或者更正不得超出磋商响应文件的范围或者改变响应文件的实质性内容，并作为磋商响应文件的组成部分。</w:t>
      </w:r>
    </w:p>
    <w:p w14:paraId="30128D3E">
      <w:pPr>
        <w:spacing w:line="360" w:lineRule="auto"/>
        <w:ind w:firstLine="480"/>
        <w:jc w:val="left"/>
        <w:rPr>
          <w:rFonts w:hint="eastAsia" w:ascii="宋体" w:hAnsi="宋体"/>
          <w:color w:val="auto"/>
          <w:sz w:val="24"/>
        </w:rPr>
      </w:pPr>
      <w:r>
        <w:rPr>
          <w:rFonts w:hint="eastAsia" w:ascii="宋体" w:hAnsi="宋体"/>
          <w:color w:val="auto"/>
          <w:sz w:val="24"/>
        </w:rPr>
        <w:t>21.3 答疑期间，供应商存在以下情况的，澄清、说明或者更正的内容将不予接受，磋商小组将按照磋商文件的要求对现有的资料做出评审意见：</w:t>
      </w:r>
    </w:p>
    <w:p w14:paraId="0EEE1525">
      <w:pPr>
        <w:spacing w:line="360" w:lineRule="auto"/>
        <w:ind w:firstLine="480"/>
        <w:jc w:val="left"/>
        <w:rPr>
          <w:rFonts w:hint="eastAsia" w:ascii="宋体" w:hAnsi="宋体"/>
          <w:color w:val="auto"/>
          <w:sz w:val="24"/>
        </w:rPr>
      </w:pPr>
      <w:r>
        <w:rPr>
          <w:rFonts w:hint="eastAsia" w:ascii="宋体" w:hAnsi="宋体"/>
          <w:color w:val="auto"/>
          <w:sz w:val="24"/>
        </w:rPr>
        <w:t>（1）拒绝或在规定的时间内未做出澄清、说明或者更正；</w:t>
      </w:r>
    </w:p>
    <w:p w14:paraId="616E7C8D">
      <w:pPr>
        <w:spacing w:line="360" w:lineRule="auto"/>
        <w:ind w:firstLine="480"/>
        <w:jc w:val="left"/>
        <w:rPr>
          <w:rFonts w:hint="eastAsia" w:ascii="宋体" w:hAnsi="宋体"/>
          <w:color w:val="auto"/>
          <w:sz w:val="24"/>
        </w:rPr>
      </w:pPr>
      <w:r>
        <w:rPr>
          <w:rFonts w:hint="eastAsia" w:ascii="宋体" w:hAnsi="宋体"/>
          <w:color w:val="auto"/>
          <w:sz w:val="24"/>
        </w:rPr>
        <w:t>（2）</w:t>
      </w:r>
      <w:r>
        <w:rPr>
          <w:rFonts w:hint="eastAsia" w:ascii="Arial" w:hAnsi="Arial" w:cs="Arial"/>
          <w:color w:val="auto"/>
          <w:kern w:val="0"/>
          <w:sz w:val="24"/>
        </w:rPr>
        <w:t>供应商</w:t>
      </w:r>
      <w:r>
        <w:rPr>
          <w:rFonts w:ascii="Arial" w:hAnsi="Arial" w:cs="Arial"/>
          <w:color w:val="auto"/>
          <w:kern w:val="0"/>
          <w:sz w:val="24"/>
        </w:rPr>
        <w:t>的澄清、说明或者</w:t>
      </w:r>
      <w:r>
        <w:rPr>
          <w:rFonts w:hint="eastAsia" w:ascii="Arial" w:hAnsi="Arial" w:cs="Arial"/>
          <w:color w:val="auto"/>
          <w:kern w:val="0"/>
          <w:sz w:val="24"/>
        </w:rPr>
        <w:t>更正</w:t>
      </w:r>
      <w:r>
        <w:rPr>
          <w:rFonts w:hint="eastAsia" w:ascii="宋体" w:hAnsi="宋体"/>
          <w:color w:val="auto"/>
          <w:sz w:val="24"/>
        </w:rPr>
        <w:t>超出磋商响应文件的范围或者改变磋商响应文件的实质性内容；</w:t>
      </w:r>
    </w:p>
    <w:p w14:paraId="1020133D">
      <w:pPr>
        <w:spacing w:line="360" w:lineRule="auto"/>
        <w:ind w:firstLine="480"/>
        <w:jc w:val="left"/>
        <w:rPr>
          <w:rFonts w:hint="eastAsia" w:ascii="宋体" w:hAnsi="宋体"/>
          <w:color w:val="auto"/>
          <w:sz w:val="24"/>
        </w:rPr>
      </w:pPr>
      <w:r>
        <w:rPr>
          <w:rFonts w:hint="eastAsia" w:ascii="宋体" w:hAnsi="宋体"/>
          <w:color w:val="auto"/>
          <w:sz w:val="24"/>
        </w:rPr>
        <w:t>（3）澄清、说明或者更正的内容仍不能说明问题的；</w:t>
      </w:r>
    </w:p>
    <w:p w14:paraId="13025296">
      <w:pPr>
        <w:spacing w:line="360" w:lineRule="auto"/>
        <w:ind w:firstLine="480"/>
        <w:jc w:val="left"/>
        <w:rPr>
          <w:rFonts w:hint="eastAsia" w:ascii="宋体" w:hAnsi="宋体"/>
          <w:color w:val="auto"/>
          <w:sz w:val="24"/>
        </w:rPr>
      </w:pPr>
      <w:r>
        <w:rPr>
          <w:rFonts w:hint="eastAsia" w:ascii="宋体" w:hAnsi="宋体"/>
          <w:color w:val="auto"/>
          <w:sz w:val="24"/>
        </w:rPr>
        <w:t>（4）供应商</w:t>
      </w:r>
      <w:r>
        <w:rPr>
          <w:rFonts w:ascii="宋体" w:hAnsi="宋体"/>
          <w:color w:val="auto"/>
          <w:sz w:val="24"/>
        </w:rPr>
        <w:t>主动提出的</w:t>
      </w:r>
      <w:r>
        <w:rPr>
          <w:rFonts w:hint="eastAsia" w:ascii="宋体" w:hAnsi="宋体"/>
          <w:color w:val="auto"/>
          <w:sz w:val="24"/>
        </w:rPr>
        <w:t>澄清、说明或者更正的内容；</w:t>
      </w:r>
    </w:p>
    <w:p w14:paraId="0EB86D00">
      <w:pPr>
        <w:tabs>
          <w:tab w:val="left" w:pos="8787"/>
        </w:tabs>
        <w:spacing w:line="360" w:lineRule="auto"/>
        <w:ind w:firstLine="480"/>
        <w:jc w:val="left"/>
        <w:rPr>
          <w:rFonts w:hint="eastAsia" w:ascii="宋体" w:hAnsi="宋体"/>
          <w:color w:val="auto"/>
          <w:sz w:val="24"/>
        </w:rPr>
      </w:pPr>
      <w:r>
        <w:rPr>
          <w:rFonts w:hint="eastAsia" w:ascii="宋体" w:hAnsi="宋体"/>
          <w:color w:val="auto"/>
          <w:sz w:val="24"/>
        </w:rPr>
        <w:t>（5）磋商小组认为应不予接受的其他情况</w:t>
      </w:r>
    </w:p>
    <w:bookmarkEnd w:id="148"/>
    <w:bookmarkEnd w:id="149"/>
    <w:bookmarkEnd w:id="150"/>
    <w:bookmarkEnd w:id="151"/>
    <w:bookmarkEnd w:id="152"/>
    <w:p w14:paraId="72E6FAD0">
      <w:pPr>
        <w:keepNext w:val="0"/>
        <w:keepLines w:val="0"/>
        <w:pageBreakBefore w:val="0"/>
        <w:kinsoku/>
        <w:wordWrap/>
        <w:overflowPunct/>
        <w:topLinePunct w:val="0"/>
        <w:bidi w:val="0"/>
        <w:snapToGrid/>
        <w:spacing w:beforeAutospacing="0" w:afterAutospacing="0" w:line="360" w:lineRule="auto"/>
        <w:ind w:firstLine="480"/>
        <w:textAlignment w:val="auto"/>
        <w:rPr>
          <w:rFonts w:hint="default" w:ascii="宋体" w:hAnsi="宋体"/>
          <w:color w:val="auto"/>
          <w:sz w:val="24"/>
          <w:szCs w:val="24"/>
          <w:lang w:val="en-US"/>
        </w:rPr>
      </w:pPr>
      <w:bookmarkStart w:id="162" w:name="_Toc7083446"/>
      <w:r>
        <w:rPr>
          <w:rFonts w:hint="eastAsia" w:ascii="宋体" w:hAnsi="宋体"/>
          <w:color w:val="auto"/>
          <w:sz w:val="24"/>
          <w:szCs w:val="24"/>
          <w:lang w:val="en-US" w:eastAsia="zh-CN"/>
        </w:rPr>
        <w:t>21</w:t>
      </w:r>
      <w:r>
        <w:rPr>
          <w:rFonts w:hint="eastAsia" w:ascii="宋体" w:hAnsi="宋体"/>
          <w:color w:val="auto"/>
          <w:sz w:val="24"/>
          <w:szCs w:val="24"/>
        </w:rPr>
        <w:t>.4答疑结束后，磋商小组确定满足相关规定数量的合格供应商，在</w:t>
      </w:r>
      <w:r>
        <w:rPr>
          <w:rFonts w:hint="eastAsia" w:ascii="宋体" w:hAnsi="宋体"/>
          <w:color w:val="auto"/>
          <w:sz w:val="24"/>
          <w:szCs w:val="24"/>
          <w:lang w:eastAsia="zh-CN"/>
        </w:rPr>
        <w:t>政采云平台（https://www.zcygov.cn/）</w:t>
      </w:r>
      <w:r>
        <w:rPr>
          <w:rFonts w:hint="eastAsia" w:ascii="宋体" w:hAnsi="宋体"/>
          <w:color w:val="auto"/>
          <w:sz w:val="24"/>
          <w:szCs w:val="24"/>
        </w:rPr>
        <w:t>上按规定的时间</w:t>
      </w:r>
      <w:r>
        <w:rPr>
          <w:rFonts w:hint="eastAsia" w:ascii="宋体" w:hAnsi="宋体"/>
          <w:color w:val="auto"/>
          <w:sz w:val="24"/>
          <w:szCs w:val="24"/>
          <w:lang w:eastAsia="zh-CN"/>
        </w:rPr>
        <w:t>（</w:t>
      </w:r>
      <w:r>
        <w:rPr>
          <w:rFonts w:hint="eastAsia" w:ascii="宋体" w:hAnsi="宋体"/>
          <w:color w:val="auto"/>
          <w:sz w:val="24"/>
          <w:szCs w:val="24"/>
          <w:lang w:val="en-US" w:eastAsia="zh-CN"/>
        </w:rPr>
        <w:t>30分钟</w:t>
      </w:r>
      <w:r>
        <w:rPr>
          <w:rFonts w:hint="eastAsia" w:ascii="宋体" w:hAnsi="宋体"/>
          <w:color w:val="auto"/>
          <w:sz w:val="24"/>
          <w:szCs w:val="24"/>
          <w:lang w:eastAsia="zh-CN"/>
        </w:rPr>
        <w:t>）</w:t>
      </w:r>
      <w:r>
        <w:rPr>
          <w:rFonts w:hint="eastAsia" w:ascii="宋体" w:hAnsi="宋体"/>
          <w:color w:val="auto"/>
          <w:sz w:val="24"/>
          <w:szCs w:val="24"/>
        </w:rPr>
        <w:t>填写最后报价。如果在规定的时间内</w:t>
      </w:r>
      <w:r>
        <w:rPr>
          <w:rFonts w:hint="eastAsia" w:ascii="宋体" w:hAnsi="宋体"/>
          <w:color w:val="auto"/>
          <w:sz w:val="24"/>
          <w:szCs w:val="24"/>
          <w:lang w:eastAsia="zh-CN"/>
        </w:rPr>
        <w:t>未提交的视为放弃最终报价</w:t>
      </w:r>
      <w:bookmarkEnd w:id="162"/>
      <w:r>
        <w:rPr>
          <w:rFonts w:hint="eastAsia" w:ascii="宋体" w:hAnsi="宋体"/>
          <w:color w:val="auto"/>
          <w:sz w:val="24"/>
          <w:szCs w:val="24"/>
          <w:lang w:val="en-US" w:eastAsia="zh-CN"/>
        </w:rPr>
        <w:t>,系统将不再对其进行最终评审。</w:t>
      </w:r>
    </w:p>
    <w:p w14:paraId="59BB3141">
      <w:pPr>
        <w:widowControl/>
        <w:spacing w:line="360" w:lineRule="auto"/>
        <w:ind w:firstLine="480" w:firstLineChars="200"/>
        <w:jc w:val="left"/>
        <w:outlineLvl w:val="2"/>
        <w:rPr>
          <w:rFonts w:hint="eastAsia" w:ascii="宋体" w:hAnsi="宋体"/>
          <w:color w:val="auto"/>
          <w:kern w:val="2"/>
          <w:sz w:val="24"/>
          <w:szCs w:val="24"/>
          <w:highlight w:val="yellow"/>
          <w:lang w:val="en-US" w:eastAsia="zh-CN" w:bidi="ar-SA"/>
        </w:rPr>
      </w:pPr>
      <w:bookmarkStart w:id="163" w:name="_Toc13959"/>
      <w:r>
        <w:rPr>
          <w:rFonts w:hint="eastAsia" w:ascii="宋体" w:hAnsi="宋体"/>
          <w:color w:val="auto"/>
          <w:kern w:val="2"/>
          <w:sz w:val="24"/>
          <w:szCs w:val="24"/>
          <w:highlight w:val="none"/>
          <w:lang w:val="en-US" w:eastAsia="zh-CN" w:bidi="ar-SA"/>
        </w:rPr>
        <w:t>21.5最终报价结束后，由代理机构在政采云平台（https://www.zcygov.cn/）上开启报价签字，各供应商签字完毕后方可退出政采云平台（https://www.zcygov.cn/）。</w:t>
      </w:r>
      <w:bookmarkEnd w:id="163"/>
    </w:p>
    <w:p w14:paraId="7E4F0219">
      <w:pPr>
        <w:widowControl/>
        <w:spacing w:line="360" w:lineRule="auto"/>
        <w:jc w:val="left"/>
        <w:outlineLvl w:val="2"/>
      </w:pPr>
      <w:bookmarkStart w:id="164" w:name="_Toc31256"/>
      <w:r>
        <w:rPr>
          <w:rFonts w:hint="eastAsia" w:ascii="宋体" w:hAnsi="宋体"/>
          <w:b/>
          <w:bCs/>
          <w:color w:val="auto"/>
          <w:kern w:val="0"/>
          <w:sz w:val="24"/>
        </w:rPr>
        <w:t>22.评审办法</w:t>
      </w:r>
      <w:bookmarkEnd w:id="164"/>
    </w:p>
    <w:p w14:paraId="106BBFD9">
      <w:pPr>
        <w:spacing w:line="360" w:lineRule="auto"/>
        <w:ind w:firstLine="480"/>
        <w:rPr>
          <w:rFonts w:ascii="宋体" w:hAnsi="宋体" w:cs="宋体"/>
          <w:color w:val="000000"/>
          <w:sz w:val="24"/>
          <w:szCs w:val="24"/>
          <w:lang w:val="zh-CN"/>
        </w:rPr>
      </w:pPr>
      <w:r>
        <w:rPr>
          <w:rFonts w:hint="eastAsia" w:ascii="宋体" w:hAnsi="宋体"/>
          <w:color w:val="auto"/>
          <w:sz w:val="24"/>
        </w:rPr>
        <w:t>22.1</w:t>
      </w:r>
      <w:r>
        <w:rPr>
          <w:rFonts w:hint="eastAsia" w:ascii="宋体" w:hAnsi="宋体"/>
          <w:color w:val="000000"/>
          <w:kern w:val="2"/>
          <w:sz w:val="24"/>
          <w:szCs w:val="24"/>
          <w:lang w:val="zh-CN"/>
        </w:rPr>
        <w:t>本次综合评分的主要因素是：投标报价、</w:t>
      </w:r>
      <w:r>
        <w:rPr>
          <w:rFonts w:hint="eastAsia" w:ascii="宋体" w:hAnsi="宋体"/>
          <w:color w:val="000000"/>
          <w:kern w:val="2"/>
          <w:sz w:val="24"/>
          <w:szCs w:val="24"/>
          <w:lang w:val="en-US" w:eastAsia="zh-CN"/>
        </w:rPr>
        <w:t>技术水平</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履约能力</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售后服务</w:t>
      </w:r>
      <w:r>
        <w:rPr>
          <w:rFonts w:hint="eastAsia" w:ascii="宋体" w:hAnsi="宋体"/>
          <w:color w:val="000000"/>
          <w:kern w:val="2"/>
          <w:sz w:val="24"/>
          <w:szCs w:val="24"/>
          <w:lang w:val="zh-CN"/>
        </w:rPr>
        <w:t>。</w:t>
      </w:r>
    </w:p>
    <w:p w14:paraId="5FF9B3CB">
      <w:pPr>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14:paraId="4B0D5E39">
      <w:pPr>
        <w:spacing w:line="360" w:lineRule="auto"/>
        <w:ind w:firstLine="480"/>
        <w:rPr>
          <w:rFonts w:hint="eastAsia" w:ascii="宋体" w:hAnsi="宋体" w:cs="宋体"/>
          <w:color w:val="auto"/>
          <w:sz w:val="24"/>
          <w:szCs w:val="24"/>
        </w:rPr>
      </w:pPr>
      <w:r>
        <w:rPr>
          <w:rFonts w:hint="eastAsia" w:ascii="宋体" w:hAnsi="宋体" w:cs="宋体"/>
          <w:color w:val="000000"/>
          <w:sz w:val="24"/>
          <w:szCs w:val="24"/>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满分为100分。</w:t>
      </w:r>
    </w:p>
    <w:p w14:paraId="07185E33">
      <w:pPr>
        <w:pStyle w:val="17"/>
        <w:numPr>
          <w:ilvl w:val="0"/>
          <w:numId w:val="0"/>
        </w:numPr>
        <w:spacing w:line="360" w:lineRule="auto"/>
        <w:ind w:left="141" w:leftChars="0" w:firstLine="240" w:firstLineChars="100"/>
        <w:jc w:val="left"/>
        <w:rPr>
          <w:rFonts w:hint="default" w:hAnsi="宋体" w:eastAsia="宋体"/>
          <w:sz w:val="24"/>
          <w:lang w:val="en-US" w:eastAsia="zh-CN"/>
        </w:rPr>
      </w:pPr>
      <w:r>
        <w:rPr>
          <w:rFonts w:hint="eastAsia" w:hAnsi="宋体" w:cs="Arial"/>
          <w:sz w:val="24"/>
          <w:szCs w:val="24"/>
          <w:lang w:val="en-US" w:eastAsia="zh-CN"/>
        </w:rPr>
        <w:t>22.2</w:t>
      </w:r>
      <w:r>
        <w:rPr>
          <w:rFonts w:hAnsi="宋体" w:cs="Arial"/>
          <w:sz w:val="24"/>
          <w:szCs w:val="24"/>
        </w:rPr>
        <w:t>评审标准和分值分配</w:t>
      </w:r>
      <w:r>
        <w:rPr>
          <w:rFonts w:hint="eastAsia" w:hAnsi="宋体" w:cs="Arial"/>
          <w:sz w:val="24"/>
          <w:szCs w:val="24"/>
        </w:rPr>
        <w:t>：</w:t>
      </w:r>
    </w:p>
    <w:tbl>
      <w:tblPr>
        <w:tblStyle w:val="34"/>
        <w:tblW w:w="0" w:type="auto"/>
        <w:jc w:val="center"/>
        <w:tblLayout w:type="fixed"/>
        <w:tblCellMar>
          <w:top w:w="0" w:type="dxa"/>
          <w:left w:w="108" w:type="dxa"/>
          <w:bottom w:w="0" w:type="dxa"/>
          <w:right w:w="108" w:type="dxa"/>
        </w:tblCellMar>
      </w:tblPr>
      <w:tblGrid>
        <w:gridCol w:w="740"/>
        <w:gridCol w:w="1366"/>
        <w:gridCol w:w="6933"/>
      </w:tblGrid>
      <w:tr w14:paraId="6F70140C">
        <w:tblPrEx>
          <w:tblCellMar>
            <w:top w:w="0" w:type="dxa"/>
            <w:left w:w="108" w:type="dxa"/>
            <w:bottom w:w="0" w:type="dxa"/>
            <w:right w:w="108" w:type="dxa"/>
          </w:tblCellMar>
        </w:tblPrEx>
        <w:trPr>
          <w:trHeight w:val="415"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63FF7817">
            <w:pPr>
              <w:spacing w:line="400" w:lineRule="exact"/>
              <w:jc w:val="center"/>
              <w:rPr>
                <w:rFonts w:ascii="宋体" w:hAnsi="宋体" w:cs="宋体"/>
                <w:sz w:val="24"/>
                <w:lang w:val="zh-CN"/>
              </w:rPr>
            </w:pPr>
            <w:bookmarkStart w:id="165" w:name="_Hlk497723873"/>
            <w:r>
              <w:rPr>
                <w:rFonts w:hint="eastAsia" w:ascii="宋体" w:hAnsi="宋体" w:cs="宋体"/>
                <w:sz w:val="24"/>
                <w:lang w:val="zh-CN"/>
              </w:rPr>
              <w:t>序号</w:t>
            </w:r>
          </w:p>
        </w:tc>
        <w:tc>
          <w:tcPr>
            <w:tcW w:w="1366" w:type="dxa"/>
            <w:tcBorders>
              <w:top w:val="single" w:color="000000" w:sz="6" w:space="0"/>
              <w:left w:val="single" w:color="000000" w:sz="6" w:space="0"/>
              <w:bottom w:val="single" w:color="000000" w:sz="6" w:space="0"/>
              <w:right w:val="single" w:color="000000" w:sz="6" w:space="0"/>
            </w:tcBorders>
            <w:vAlign w:val="center"/>
          </w:tcPr>
          <w:p w14:paraId="2E27367E">
            <w:pPr>
              <w:spacing w:line="400" w:lineRule="exact"/>
              <w:jc w:val="center"/>
              <w:rPr>
                <w:rFonts w:ascii="宋体" w:hAnsi="宋体" w:cs="宋体"/>
                <w:sz w:val="24"/>
              </w:rPr>
            </w:pPr>
            <w:r>
              <w:rPr>
                <w:rFonts w:hint="eastAsia" w:ascii="宋体" w:hAnsi="宋体" w:cs="宋体"/>
                <w:sz w:val="24"/>
                <w:lang w:val="zh-CN"/>
              </w:rPr>
              <w:t>评审</w:t>
            </w:r>
            <w:r>
              <w:rPr>
                <w:rFonts w:hint="eastAsia" w:ascii="宋体" w:hAnsi="宋体" w:cs="宋体"/>
                <w:sz w:val="24"/>
              </w:rPr>
              <w:t>因素</w:t>
            </w:r>
          </w:p>
        </w:tc>
        <w:tc>
          <w:tcPr>
            <w:tcW w:w="6933" w:type="dxa"/>
            <w:tcBorders>
              <w:top w:val="single" w:color="000000" w:sz="6" w:space="0"/>
              <w:left w:val="single" w:color="000000" w:sz="6" w:space="0"/>
              <w:bottom w:val="single" w:color="000000" w:sz="6" w:space="0"/>
              <w:right w:val="single" w:color="000000" w:sz="6" w:space="0"/>
            </w:tcBorders>
            <w:vAlign w:val="center"/>
          </w:tcPr>
          <w:p w14:paraId="1429BBC1">
            <w:pPr>
              <w:spacing w:line="400" w:lineRule="exact"/>
              <w:jc w:val="center"/>
              <w:rPr>
                <w:rFonts w:ascii="宋体" w:hAnsi="宋体" w:cs="宋体"/>
                <w:sz w:val="24"/>
                <w:lang w:val="zh-CN"/>
              </w:rPr>
            </w:pPr>
            <w:r>
              <w:rPr>
                <w:rFonts w:hint="eastAsia" w:ascii="宋体" w:hAnsi="宋体" w:cs="宋体"/>
                <w:sz w:val="24"/>
              </w:rPr>
              <w:t>评审标准</w:t>
            </w:r>
          </w:p>
        </w:tc>
      </w:tr>
      <w:tr w14:paraId="512FA93A">
        <w:tblPrEx>
          <w:tblCellMar>
            <w:top w:w="0" w:type="dxa"/>
            <w:left w:w="108" w:type="dxa"/>
            <w:bottom w:w="0" w:type="dxa"/>
            <w:right w:w="108" w:type="dxa"/>
          </w:tblCellMar>
        </w:tblPrEx>
        <w:trPr>
          <w:trHeight w:val="976"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5B7BA403">
            <w:pPr>
              <w:spacing w:line="400" w:lineRule="exact"/>
              <w:jc w:val="center"/>
              <w:rPr>
                <w:rFonts w:ascii="宋体" w:hAnsi="宋体" w:cs="宋体"/>
                <w:sz w:val="24"/>
              </w:rPr>
            </w:pPr>
            <w:r>
              <w:rPr>
                <w:rFonts w:hint="eastAsia" w:ascii="宋体" w:hAnsi="宋体" w:cs="宋体"/>
                <w:sz w:val="24"/>
              </w:rPr>
              <w:t>1</w:t>
            </w:r>
          </w:p>
        </w:tc>
        <w:tc>
          <w:tcPr>
            <w:tcW w:w="1366" w:type="dxa"/>
            <w:tcBorders>
              <w:top w:val="single" w:color="000000" w:sz="6" w:space="0"/>
              <w:left w:val="single" w:color="000000" w:sz="6" w:space="0"/>
              <w:bottom w:val="single" w:color="000000" w:sz="6" w:space="0"/>
              <w:right w:val="single" w:color="000000" w:sz="6" w:space="0"/>
            </w:tcBorders>
            <w:vAlign w:val="center"/>
          </w:tcPr>
          <w:p w14:paraId="0704C574">
            <w:pPr>
              <w:spacing w:line="400" w:lineRule="exact"/>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报价</w:t>
            </w:r>
          </w:p>
          <w:p w14:paraId="3304471E">
            <w:pPr>
              <w:spacing w:line="400" w:lineRule="exact"/>
              <w:jc w:val="center"/>
              <w:rPr>
                <w:rFonts w:ascii="宋体" w:hAnsi="宋体" w:cs="宋体"/>
                <w:sz w:val="24"/>
                <w:lang w:val="zh-CN"/>
              </w:rPr>
            </w:pPr>
            <w:r>
              <w:rPr>
                <w:rFonts w:hint="eastAsia" w:ascii="宋体" w:hAnsi="宋体" w:cs="宋体"/>
                <w:sz w:val="24"/>
              </w:rPr>
              <w:t>(30分)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22B4F30F">
            <w:pPr>
              <w:spacing w:line="400" w:lineRule="exact"/>
              <w:jc w:val="left"/>
              <w:rPr>
                <w:rFonts w:ascii="宋体" w:hAnsi="宋体" w:cs="宋体"/>
                <w:sz w:val="24"/>
                <w:lang w:val="zh-CN"/>
              </w:rPr>
            </w:pPr>
            <w:r>
              <w:rPr>
                <w:rFonts w:hint="eastAsia" w:ascii="宋体" w:hAnsi="宋体" w:cs="宋体"/>
                <w:sz w:val="24"/>
                <w:lang w:val="zh-CN" w:eastAsia="zh-CN"/>
              </w:rPr>
              <w:t>满足磋商文件要求且最</w:t>
            </w:r>
            <w:r>
              <w:rPr>
                <w:rFonts w:hint="eastAsia" w:ascii="宋体" w:hAnsi="宋体" w:cs="宋体"/>
                <w:sz w:val="24"/>
                <w:lang w:val="en-US" w:eastAsia="zh-CN"/>
              </w:rPr>
              <w:t>终</w:t>
            </w:r>
            <w:r>
              <w:rPr>
                <w:rFonts w:hint="eastAsia" w:ascii="宋体" w:hAnsi="宋体" w:cs="宋体"/>
                <w:sz w:val="24"/>
                <w:lang w:val="zh-CN" w:eastAsia="zh-CN"/>
              </w:rPr>
              <w:t>报价最低的供应商的价格为磋商基准价，其价格分为满分。</w:t>
            </w:r>
            <w:r>
              <w:rPr>
                <w:rFonts w:hint="eastAsia" w:ascii="宋体" w:hAnsi="宋体" w:cs="宋体"/>
                <w:sz w:val="24"/>
                <w:lang w:val="zh-CN"/>
              </w:rPr>
              <w:t>其他</w:t>
            </w:r>
            <w:r>
              <w:rPr>
                <w:rFonts w:hint="eastAsia" w:ascii="宋体" w:hAnsi="宋体" w:cs="宋体"/>
                <w:sz w:val="24"/>
                <w:lang w:val="en-US" w:eastAsia="zh-CN"/>
              </w:rPr>
              <w:t>供应商</w:t>
            </w:r>
            <w:r>
              <w:rPr>
                <w:rFonts w:hint="eastAsia" w:ascii="宋体" w:hAnsi="宋体" w:cs="宋体"/>
                <w:sz w:val="24"/>
                <w:lang w:val="zh-CN"/>
              </w:rPr>
              <w:t>的</w:t>
            </w:r>
            <w:r>
              <w:rPr>
                <w:rFonts w:hint="eastAsia" w:ascii="宋体" w:hAnsi="宋体" w:cs="宋体"/>
                <w:sz w:val="24"/>
                <w:lang w:val="en-US" w:eastAsia="zh-CN"/>
              </w:rPr>
              <w:t>价格</w:t>
            </w:r>
            <w:r>
              <w:rPr>
                <w:rFonts w:hint="eastAsia" w:ascii="宋体" w:hAnsi="宋体" w:cs="宋体"/>
                <w:sz w:val="24"/>
                <w:lang w:val="zh-CN"/>
              </w:rPr>
              <w:t>分统一按下列公式计算：</w:t>
            </w:r>
            <w:r>
              <w:rPr>
                <w:rFonts w:hint="eastAsia" w:ascii="宋体" w:hAnsi="宋体" w:cs="宋体"/>
                <w:sz w:val="24"/>
                <w:lang w:val="en-US" w:eastAsia="zh-CN"/>
              </w:rPr>
              <w:t>磋商</w:t>
            </w:r>
            <w:r>
              <w:rPr>
                <w:rFonts w:hint="eastAsia" w:ascii="宋体" w:hAnsi="宋体" w:cs="宋体"/>
                <w:sz w:val="24"/>
                <w:lang w:val="zh-CN"/>
              </w:rPr>
              <w:t>报价得分=(</w:t>
            </w:r>
            <w:r>
              <w:rPr>
                <w:rFonts w:hint="eastAsia" w:ascii="宋体" w:hAnsi="宋体" w:cs="宋体"/>
                <w:sz w:val="24"/>
                <w:lang w:val="en-US" w:eastAsia="zh-CN"/>
              </w:rPr>
              <w:t>磋商</w:t>
            </w:r>
            <w:r>
              <w:rPr>
                <w:rFonts w:hint="eastAsia" w:ascii="宋体" w:hAnsi="宋体" w:cs="宋体"/>
                <w:sz w:val="24"/>
                <w:lang w:val="zh-CN"/>
              </w:rPr>
              <w:t>基准价／</w:t>
            </w:r>
            <w:r>
              <w:rPr>
                <w:rFonts w:hint="eastAsia" w:ascii="宋体" w:hAnsi="宋体" w:cs="宋体"/>
                <w:sz w:val="24"/>
              </w:rPr>
              <w:t>最终</w:t>
            </w:r>
            <w:r>
              <w:rPr>
                <w:rFonts w:hint="eastAsia" w:ascii="宋体" w:hAnsi="宋体" w:cs="宋体"/>
                <w:sz w:val="24"/>
                <w:lang w:val="en-US" w:eastAsia="zh-CN"/>
              </w:rPr>
              <w:t>磋商</w:t>
            </w:r>
            <w:r>
              <w:rPr>
                <w:rFonts w:hint="eastAsia" w:ascii="宋体" w:hAnsi="宋体" w:cs="宋体"/>
                <w:sz w:val="24"/>
                <w:lang w:val="zh-CN"/>
              </w:rPr>
              <w:t>报价)×价格权值（</w:t>
            </w:r>
            <w:r>
              <w:rPr>
                <w:rFonts w:hint="eastAsia" w:ascii="宋体" w:hAnsi="宋体" w:cs="宋体"/>
                <w:sz w:val="24"/>
              </w:rPr>
              <w:t>30</w:t>
            </w:r>
            <w:r>
              <w:rPr>
                <w:rFonts w:hint="eastAsia" w:ascii="宋体" w:hAnsi="宋体" w:cs="宋体"/>
                <w:sz w:val="24"/>
                <w:lang w:val="zh-CN"/>
              </w:rPr>
              <w:t>%）×100（四舍五入后保留小数点后两位）。</w:t>
            </w:r>
          </w:p>
          <w:p w14:paraId="6702441B">
            <w:pPr>
              <w:spacing w:line="400" w:lineRule="exact"/>
              <w:jc w:val="left"/>
              <w:rPr>
                <w:rFonts w:hint="eastAsia" w:ascii="宋体" w:hAnsi="宋体" w:cs="宋体"/>
                <w:sz w:val="24"/>
                <w:lang w:val="zh-CN"/>
              </w:rPr>
            </w:pPr>
            <w:r>
              <w:rPr>
                <w:rFonts w:hint="eastAsia" w:ascii="宋体" w:hAnsi="宋体" w:cs="宋体"/>
                <w:sz w:val="24"/>
                <w:lang w:val="zh-CN"/>
              </w:rPr>
              <w:t>注：1.根据《政府采购促进中小企业发展暂行办法》的相关规定，对小型和微型企业的价格给予</w:t>
            </w:r>
            <w:r>
              <w:rPr>
                <w:rFonts w:hint="eastAsia" w:ascii="宋体" w:hAnsi="宋体" w:cs="宋体"/>
                <w:sz w:val="24"/>
              </w:rPr>
              <w:t>10</w:t>
            </w:r>
            <w:r>
              <w:rPr>
                <w:rFonts w:hint="eastAsia" w:ascii="宋体" w:hAnsi="宋体" w:cs="宋体"/>
                <w:sz w:val="24"/>
                <w:lang w:val="zh-CN"/>
              </w:rPr>
              <w:t>%的扣除，用扣除后的价格参与评审。</w:t>
            </w:r>
          </w:p>
          <w:p w14:paraId="50958209">
            <w:pPr>
              <w:spacing w:line="400" w:lineRule="exact"/>
              <w:jc w:val="left"/>
              <w:rPr>
                <w:rFonts w:ascii="宋体" w:hAnsi="宋体" w:cs="宋体"/>
                <w:sz w:val="24"/>
                <w:lang w:val="zh-CN"/>
              </w:rPr>
            </w:pPr>
            <w:r>
              <w:rPr>
                <w:rFonts w:hint="eastAsia" w:ascii="宋体" w:hAnsi="宋体" w:cs="宋体"/>
                <w:sz w:val="24"/>
                <w:lang w:val="zh-CN"/>
              </w:rPr>
              <w:t>2.残疾人福利性单位属于小型、微型企业的，不重复享受政策。</w:t>
            </w:r>
          </w:p>
          <w:p w14:paraId="67D2992A">
            <w:pPr>
              <w:spacing w:line="400" w:lineRule="exact"/>
              <w:jc w:val="left"/>
              <w:rPr>
                <w:rFonts w:ascii="宋体" w:hAnsi="宋体" w:cs="宋体"/>
                <w:sz w:val="24"/>
              </w:rPr>
            </w:pPr>
            <w:r>
              <w:rPr>
                <w:rFonts w:hint="eastAsia" w:ascii="宋体" w:hAnsi="宋体" w:cs="宋体"/>
                <w:sz w:val="24"/>
                <w:lang w:val="zh-CN"/>
              </w:rPr>
              <w:t>3.根据《关于促进残疾人就业政府采购政策的通知》（财库（2017）141号），残疾人福利性单位视同小型、微型企业。</w:t>
            </w:r>
          </w:p>
        </w:tc>
      </w:tr>
      <w:tr w14:paraId="0F9B6C4A">
        <w:tblPrEx>
          <w:tblCellMar>
            <w:top w:w="0" w:type="dxa"/>
            <w:left w:w="108" w:type="dxa"/>
            <w:bottom w:w="0" w:type="dxa"/>
            <w:right w:w="108" w:type="dxa"/>
          </w:tblCellMar>
        </w:tblPrEx>
        <w:trPr>
          <w:trHeight w:val="474"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29532CE9">
            <w:pPr>
              <w:spacing w:line="400" w:lineRule="exact"/>
              <w:jc w:val="center"/>
              <w:rPr>
                <w:rFonts w:ascii="宋体" w:hAnsi="宋体" w:cs="宋体"/>
                <w:sz w:val="24"/>
              </w:rPr>
            </w:pPr>
            <w:r>
              <w:rPr>
                <w:rFonts w:hint="eastAsia" w:ascii="宋体" w:hAnsi="宋体" w:cs="宋体"/>
                <w:sz w:val="24"/>
              </w:rPr>
              <w:t>2</w:t>
            </w:r>
          </w:p>
        </w:tc>
        <w:tc>
          <w:tcPr>
            <w:tcW w:w="1366" w:type="dxa"/>
            <w:tcBorders>
              <w:top w:val="single" w:color="000000" w:sz="6" w:space="0"/>
              <w:left w:val="single" w:color="000000" w:sz="6" w:space="0"/>
              <w:bottom w:val="single" w:color="000000" w:sz="6" w:space="0"/>
              <w:right w:val="single" w:color="000000" w:sz="6" w:space="0"/>
            </w:tcBorders>
            <w:vAlign w:val="center"/>
          </w:tcPr>
          <w:p w14:paraId="2FB08FC5">
            <w:pPr>
              <w:spacing w:line="400" w:lineRule="exact"/>
              <w:jc w:val="center"/>
              <w:rPr>
                <w:rFonts w:ascii="宋体" w:hAnsi="宋体" w:cs="宋体"/>
                <w:sz w:val="24"/>
                <w:lang w:val="zh-CN"/>
              </w:rPr>
            </w:pPr>
            <w:r>
              <w:rPr>
                <w:rFonts w:hint="eastAsia" w:ascii="宋体" w:hAnsi="宋体" w:cs="宋体"/>
                <w:sz w:val="24"/>
                <w:lang w:val="zh-CN"/>
              </w:rPr>
              <w:t>技术水平</w:t>
            </w:r>
          </w:p>
          <w:p w14:paraId="25090238">
            <w:pPr>
              <w:spacing w:line="400" w:lineRule="exact"/>
              <w:jc w:val="center"/>
              <w:rPr>
                <w:rFonts w:ascii="宋体" w:hAnsi="宋体" w:cs="宋体"/>
                <w:sz w:val="24"/>
              </w:rPr>
            </w:pPr>
            <w:r>
              <w:rPr>
                <w:rFonts w:hint="eastAsia" w:ascii="宋体" w:hAnsi="宋体" w:cs="宋体"/>
                <w:sz w:val="24"/>
              </w:rPr>
              <w:t>（</w:t>
            </w:r>
            <w:r>
              <w:rPr>
                <w:rFonts w:hint="eastAsia" w:ascii="宋体" w:hAnsi="宋体" w:cs="宋体"/>
                <w:sz w:val="24"/>
                <w:lang w:val="en-US" w:eastAsia="zh-CN"/>
              </w:rPr>
              <w:t>56</w:t>
            </w:r>
            <w:r>
              <w:rPr>
                <w:rFonts w:hint="eastAsia" w:ascii="宋体" w:hAnsi="宋体" w:cs="宋体"/>
                <w:sz w:val="24"/>
              </w:rPr>
              <w:t>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2B90D955">
            <w:pPr>
              <w:spacing w:line="400" w:lineRule="exact"/>
              <w:jc w:val="left"/>
              <w:rPr>
                <w:rFonts w:ascii="宋体" w:hAnsi="宋体" w:cs="宋体"/>
                <w:sz w:val="24"/>
                <w:lang w:val="zh-CN"/>
              </w:rPr>
            </w:pPr>
            <w:r>
              <w:rPr>
                <w:rFonts w:hint="eastAsia" w:ascii="宋体" w:hAnsi="宋体" w:cs="宋体"/>
                <w:b/>
                <w:bCs/>
                <w:sz w:val="24"/>
              </w:rPr>
              <w:t>1、技术参数</w:t>
            </w:r>
            <w:r>
              <w:rPr>
                <w:rFonts w:hint="eastAsia" w:ascii="宋体" w:hAnsi="宋体" w:cs="宋体"/>
                <w:b/>
                <w:bCs/>
                <w:sz w:val="24"/>
                <w:lang w:eastAsia="zh-CN"/>
              </w:rPr>
              <w:t>（</w:t>
            </w:r>
            <w:r>
              <w:rPr>
                <w:rFonts w:hint="eastAsia" w:ascii="宋体" w:hAnsi="宋体" w:cs="宋体"/>
                <w:b/>
                <w:bCs/>
                <w:sz w:val="24"/>
                <w:lang w:val="en-US" w:eastAsia="zh-CN"/>
              </w:rPr>
              <w:t>18分</w:t>
            </w:r>
            <w:r>
              <w:rPr>
                <w:rFonts w:hint="eastAsia" w:ascii="宋体" w:hAnsi="宋体" w:cs="宋体"/>
                <w:b/>
                <w:bCs/>
                <w:sz w:val="24"/>
                <w:lang w:eastAsia="zh-CN"/>
              </w:rPr>
              <w:t>）</w:t>
            </w:r>
            <w:r>
              <w:rPr>
                <w:rFonts w:hint="eastAsia" w:ascii="宋体" w:hAnsi="宋体" w:cs="宋体"/>
                <w:b/>
                <w:bCs/>
                <w:sz w:val="24"/>
              </w:rPr>
              <w:t>：</w:t>
            </w:r>
            <w:r>
              <w:rPr>
                <w:rFonts w:hint="eastAsia" w:ascii="宋体" w:hAnsi="宋体" w:eastAsia="宋体" w:cs="宋体"/>
                <w:color w:val="auto"/>
                <w:sz w:val="24"/>
                <w:szCs w:val="24"/>
                <w:lang w:val="zh-CN" w:eastAsia="zh-CN"/>
              </w:rPr>
              <w:t>投标产品技术参数和配置完全满足或高于</w:t>
            </w: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lang w:val="zh-CN" w:eastAsia="zh-CN"/>
              </w:rPr>
              <w:t>文件要求的，得</w:t>
            </w:r>
            <w:r>
              <w:rPr>
                <w:rFonts w:hint="eastAsia" w:ascii="宋体" w:hAnsi="宋体" w:cs="宋体"/>
                <w:color w:val="auto"/>
                <w:sz w:val="24"/>
                <w:szCs w:val="24"/>
                <w:lang w:val="en-US" w:eastAsia="zh-CN"/>
              </w:rPr>
              <w:t>18</w:t>
            </w:r>
            <w:r>
              <w:rPr>
                <w:rFonts w:hint="eastAsia" w:ascii="宋体" w:hAnsi="宋体" w:eastAsia="宋体" w:cs="宋体"/>
                <w:color w:val="auto"/>
                <w:sz w:val="24"/>
                <w:szCs w:val="24"/>
                <w:lang w:val="zh-CN" w:eastAsia="zh-CN"/>
              </w:rPr>
              <w:t>分；每有一项负偏离扣</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分，扣完该项得分为止。</w:t>
            </w:r>
          </w:p>
          <w:p w14:paraId="05AA8198">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sz w:val="24"/>
              </w:rPr>
            </w:pPr>
            <w:r>
              <w:rPr>
                <w:rFonts w:hint="eastAsia" w:ascii="宋体" w:hAnsi="宋体" w:cs="宋体"/>
                <w:b/>
                <w:bCs/>
                <w:sz w:val="24"/>
              </w:rPr>
              <w:t>2、节能和环保</w:t>
            </w:r>
            <w:r>
              <w:rPr>
                <w:rFonts w:hint="eastAsia" w:ascii="宋体" w:hAnsi="宋体" w:cs="宋体"/>
                <w:b/>
                <w:bCs/>
                <w:sz w:val="24"/>
                <w:lang w:eastAsia="zh-CN"/>
              </w:rPr>
              <w:t>（</w:t>
            </w:r>
            <w:r>
              <w:rPr>
                <w:rFonts w:hint="eastAsia" w:ascii="宋体" w:hAnsi="宋体" w:cs="宋体"/>
                <w:b/>
                <w:bCs/>
                <w:sz w:val="24"/>
                <w:lang w:val="en-US" w:eastAsia="zh-CN"/>
              </w:rPr>
              <w:t>3分</w:t>
            </w:r>
            <w:r>
              <w:rPr>
                <w:rFonts w:hint="eastAsia" w:ascii="宋体" w:hAnsi="宋体" w:cs="宋体"/>
                <w:b/>
                <w:bCs/>
                <w:sz w:val="24"/>
                <w:lang w:eastAsia="zh-CN"/>
              </w:rPr>
              <w:t>）</w:t>
            </w:r>
            <w:r>
              <w:rPr>
                <w:rFonts w:hint="eastAsia" w:ascii="宋体" w:hAnsi="宋体" w:cs="宋体"/>
                <w:b/>
                <w:bCs/>
                <w:sz w:val="24"/>
              </w:rPr>
              <w:t>：</w:t>
            </w:r>
            <w:r>
              <w:rPr>
                <w:rFonts w:hint="eastAsia" w:ascii="宋体" w:hAnsi="宋体" w:cs="宋体"/>
                <w:sz w:val="24"/>
              </w:rPr>
              <w:t>所投产品为节能产品，得1</w:t>
            </w:r>
            <w:r>
              <w:rPr>
                <w:rFonts w:hint="eastAsia" w:ascii="宋体" w:hAnsi="宋体" w:cs="宋体"/>
                <w:sz w:val="24"/>
                <w:lang w:val="en-US" w:eastAsia="zh-CN"/>
              </w:rPr>
              <w:t>.5</w:t>
            </w:r>
            <w:r>
              <w:rPr>
                <w:rFonts w:hint="eastAsia" w:ascii="宋体" w:hAnsi="宋体" w:cs="宋体"/>
                <w:sz w:val="24"/>
              </w:rPr>
              <w:t>分，所投产品为环保产品，得1</w:t>
            </w:r>
            <w:r>
              <w:rPr>
                <w:rFonts w:hint="eastAsia" w:ascii="宋体" w:hAnsi="宋体" w:cs="宋体"/>
                <w:sz w:val="24"/>
                <w:lang w:val="en-US" w:eastAsia="zh-CN"/>
              </w:rPr>
              <w:t>.5</w:t>
            </w:r>
            <w:r>
              <w:rPr>
                <w:rFonts w:hint="eastAsia" w:ascii="宋体" w:hAnsi="宋体" w:cs="宋体"/>
                <w:sz w:val="24"/>
              </w:rPr>
              <w:t>分，共</w:t>
            </w:r>
            <w:r>
              <w:rPr>
                <w:rFonts w:hint="eastAsia" w:ascii="宋体" w:hAnsi="宋体" w:cs="宋体"/>
                <w:sz w:val="24"/>
                <w:lang w:val="en-US" w:eastAsia="zh-CN"/>
              </w:rPr>
              <w:t>3</w:t>
            </w:r>
            <w:r>
              <w:rPr>
                <w:rFonts w:hint="eastAsia" w:ascii="宋体" w:hAnsi="宋体" w:cs="宋体"/>
                <w:sz w:val="24"/>
              </w:rPr>
              <w:t>分；未提供不得分。该项得分的认定以《国家节能产品认证证书》、《中国环境标志产品认证证书》复印件。</w:t>
            </w:r>
          </w:p>
          <w:p w14:paraId="36AC3E0B">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Times New Roman"/>
                <w:b w:val="0"/>
                <w:bCs/>
                <w:color w:val="auto"/>
                <w:kern w:val="0"/>
                <w:sz w:val="24"/>
                <w:szCs w:val="20"/>
                <w:lang w:val="en-US" w:eastAsia="zh-CN" w:bidi="ar-SA"/>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项目管理及实施方案</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20分</w:t>
            </w:r>
            <w:r>
              <w:rPr>
                <w:rFonts w:hint="eastAsia" w:ascii="宋体" w:hAnsi="宋体" w:cs="宋体"/>
                <w:b/>
                <w:bCs/>
                <w:color w:val="auto"/>
                <w:sz w:val="24"/>
                <w:szCs w:val="24"/>
                <w:lang w:eastAsia="zh-CN"/>
              </w:rPr>
              <w:t>）</w:t>
            </w:r>
            <w:r>
              <w:rPr>
                <w:rFonts w:hint="eastAsia" w:ascii="宋体" w:hAnsi="宋体" w:cs="宋体"/>
                <w:b/>
                <w:bCs/>
                <w:color w:val="auto"/>
                <w:sz w:val="24"/>
                <w:szCs w:val="24"/>
              </w:rPr>
              <w:t>：</w:t>
            </w:r>
            <w:r>
              <w:rPr>
                <w:rFonts w:hint="eastAsia" w:ascii="宋体" w:hAnsi="宋体" w:cs="宋体"/>
                <w:b w:val="0"/>
                <w:bCs w:val="0"/>
                <w:color w:val="auto"/>
                <w:sz w:val="24"/>
                <w:szCs w:val="24"/>
                <w:lang w:val="en-US" w:eastAsia="zh-CN"/>
              </w:rPr>
              <w:t>投标人制定方案须体现科学合理性、条理性、可行性、完善性、针对性。包含：①项目管理机构②项目管理措施③</w:t>
            </w:r>
            <w:r>
              <w:rPr>
                <w:rFonts w:hint="eastAsia" w:ascii="宋体" w:hAnsi="宋体" w:eastAsia="宋体" w:cs="Times New Roman"/>
                <w:b w:val="0"/>
                <w:bCs/>
                <w:color w:val="auto"/>
                <w:kern w:val="0"/>
                <w:sz w:val="24"/>
                <w:szCs w:val="20"/>
                <w:lang w:val="en-US" w:eastAsia="zh-CN" w:bidi="ar-SA"/>
              </w:rPr>
              <w:t>项目组织机构设置及人员职责分工</w:t>
            </w:r>
            <w:r>
              <w:rPr>
                <w:rFonts w:hint="eastAsia" w:ascii="宋体" w:hAnsi="宋体" w:eastAsia="宋体" w:cs="宋体"/>
                <w:b w:val="0"/>
                <w:bCs w:val="0"/>
                <w:color w:val="auto"/>
                <w:sz w:val="24"/>
                <w:szCs w:val="24"/>
                <w:lang w:val="en-US" w:eastAsia="zh-CN"/>
              </w:rPr>
              <w:t>④实施方案等</w:t>
            </w:r>
            <w:r>
              <w:rPr>
                <w:rFonts w:hint="eastAsia" w:ascii="宋体" w:hAnsi="宋体" w:cs="宋体"/>
                <w:b w:val="0"/>
                <w:bCs w:val="0"/>
                <w:color w:val="auto"/>
                <w:sz w:val="24"/>
                <w:szCs w:val="24"/>
                <w:lang w:val="en-US" w:eastAsia="zh-CN"/>
              </w:rPr>
              <w:t>。以上因素实质性响应并详尽合理的每一项得5分，满分20分；每项内容每有一处存在缺陷或不足的扣1分，未提供的不得分。</w:t>
            </w:r>
          </w:p>
          <w:p w14:paraId="4A396CE0">
            <w:pPr>
              <w:spacing w:line="360" w:lineRule="auto"/>
              <w:rPr>
                <w:rFonts w:hint="eastAsia" w:ascii="宋体" w:hAnsi="宋体" w:cs="Times New Roman"/>
                <w:b w:val="0"/>
                <w:bCs/>
                <w:color w:val="auto"/>
                <w:kern w:val="0"/>
                <w:sz w:val="24"/>
                <w:szCs w:val="20"/>
                <w:lang w:val="en-US" w:eastAsia="zh-CN" w:bidi="ar-SA"/>
              </w:rPr>
            </w:pPr>
            <w:r>
              <w:rPr>
                <w:rFonts w:hint="eastAsia" w:ascii="宋体" w:hAnsi="宋体" w:cs="Times New Roman"/>
                <w:b/>
                <w:bCs w:val="0"/>
                <w:color w:val="auto"/>
                <w:kern w:val="0"/>
                <w:sz w:val="24"/>
                <w:szCs w:val="20"/>
                <w:lang w:val="en-US" w:eastAsia="zh-CN" w:bidi="ar-SA"/>
              </w:rPr>
              <w:t>4</w:t>
            </w:r>
            <w:r>
              <w:rPr>
                <w:rFonts w:hint="eastAsia" w:ascii="宋体" w:hAnsi="宋体" w:eastAsia="宋体" w:cs="Times New Roman"/>
                <w:b/>
                <w:bCs w:val="0"/>
                <w:color w:val="auto"/>
                <w:kern w:val="0"/>
                <w:sz w:val="24"/>
                <w:szCs w:val="20"/>
                <w:lang w:val="en-US" w:eastAsia="zh-CN" w:bidi="ar-SA"/>
              </w:rPr>
              <w:t>、质量</w:t>
            </w:r>
            <w:r>
              <w:rPr>
                <w:rFonts w:hint="eastAsia" w:ascii="宋体" w:hAnsi="宋体" w:cs="Times New Roman"/>
                <w:b/>
                <w:bCs w:val="0"/>
                <w:color w:val="auto"/>
                <w:kern w:val="0"/>
                <w:sz w:val="24"/>
                <w:szCs w:val="20"/>
                <w:lang w:val="en-US" w:eastAsia="zh-CN" w:bidi="ar-SA"/>
              </w:rPr>
              <w:t>保障</w:t>
            </w:r>
            <w:r>
              <w:rPr>
                <w:rFonts w:hint="eastAsia" w:ascii="宋体" w:hAnsi="宋体" w:eastAsia="宋体" w:cs="Times New Roman"/>
                <w:b/>
                <w:bCs w:val="0"/>
                <w:color w:val="auto"/>
                <w:kern w:val="0"/>
                <w:sz w:val="24"/>
                <w:szCs w:val="20"/>
                <w:lang w:val="en-US" w:eastAsia="zh-CN" w:bidi="ar-SA"/>
              </w:rPr>
              <w:t>方案（6分）：</w:t>
            </w:r>
            <w:r>
              <w:rPr>
                <w:rFonts w:hint="eastAsia" w:ascii="宋体" w:hAnsi="宋体" w:eastAsia="宋体" w:cs="Times New Roman"/>
                <w:b w:val="0"/>
                <w:bCs/>
                <w:color w:val="auto"/>
                <w:kern w:val="0"/>
                <w:sz w:val="24"/>
                <w:szCs w:val="20"/>
                <w:lang w:val="en-US" w:eastAsia="zh-CN" w:bidi="ar-SA"/>
              </w:rPr>
              <w:t>提供能够针对产品特点制定</w:t>
            </w:r>
            <w:r>
              <w:rPr>
                <w:rFonts w:hint="eastAsia" w:ascii="宋体" w:hAnsi="宋体" w:cs="宋体"/>
                <w:b w:val="0"/>
                <w:bCs w:val="0"/>
                <w:color w:val="auto"/>
                <w:sz w:val="24"/>
                <w:szCs w:val="24"/>
                <w:lang w:val="en-US" w:eastAsia="zh-CN"/>
              </w:rPr>
              <w:t>①</w:t>
            </w:r>
            <w:r>
              <w:rPr>
                <w:rFonts w:hint="eastAsia" w:ascii="宋体" w:hAnsi="宋体" w:eastAsia="宋体" w:cs="Times New Roman"/>
                <w:b w:val="0"/>
                <w:bCs/>
                <w:color w:val="auto"/>
                <w:kern w:val="0"/>
                <w:sz w:val="24"/>
                <w:szCs w:val="20"/>
                <w:lang w:val="en-US" w:eastAsia="zh-CN" w:bidi="ar-SA"/>
              </w:rPr>
              <w:t>质量保障方案</w:t>
            </w:r>
            <w:r>
              <w:rPr>
                <w:rFonts w:hint="eastAsia" w:ascii="宋体" w:hAnsi="宋体" w:cs="宋体"/>
                <w:b w:val="0"/>
                <w:bCs w:val="0"/>
                <w:color w:val="auto"/>
                <w:sz w:val="24"/>
                <w:szCs w:val="24"/>
                <w:lang w:val="en-US" w:eastAsia="zh-CN"/>
              </w:rPr>
              <w:t>②</w:t>
            </w:r>
            <w:r>
              <w:rPr>
                <w:rFonts w:hint="eastAsia" w:ascii="宋体" w:hAnsi="宋体" w:eastAsia="宋体" w:cs="Times New Roman"/>
                <w:b w:val="0"/>
                <w:bCs/>
                <w:color w:val="auto"/>
                <w:kern w:val="0"/>
                <w:sz w:val="24"/>
                <w:szCs w:val="20"/>
                <w:lang w:val="en-US" w:eastAsia="zh-CN" w:bidi="ar-SA"/>
              </w:rPr>
              <w:t>详尽、具体的质量保证措施</w:t>
            </w:r>
            <w:r>
              <w:rPr>
                <w:rFonts w:hint="eastAsia" w:ascii="宋体" w:hAnsi="宋体" w:cs="宋体"/>
                <w:b w:val="0"/>
                <w:bCs w:val="0"/>
                <w:color w:val="auto"/>
                <w:sz w:val="24"/>
                <w:szCs w:val="24"/>
                <w:lang w:val="en-US" w:eastAsia="zh-CN"/>
              </w:rPr>
              <w:t>③</w:t>
            </w:r>
            <w:r>
              <w:rPr>
                <w:rFonts w:hint="eastAsia" w:ascii="宋体" w:hAnsi="宋体" w:eastAsia="宋体" w:cs="Times New Roman"/>
                <w:b w:val="0"/>
                <w:bCs/>
                <w:color w:val="auto"/>
                <w:kern w:val="0"/>
                <w:sz w:val="24"/>
                <w:szCs w:val="20"/>
                <w:lang w:val="en-US" w:eastAsia="zh-CN" w:bidi="ar-SA"/>
              </w:rPr>
              <w:t>质量保障体系健全且满足</w:t>
            </w:r>
            <w:r>
              <w:rPr>
                <w:rFonts w:hint="eastAsia" w:ascii="宋体" w:hAnsi="宋体" w:cs="Times New Roman"/>
                <w:b w:val="0"/>
                <w:bCs/>
                <w:color w:val="auto"/>
                <w:kern w:val="0"/>
                <w:sz w:val="24"/>
                <w:szCs w:val="20"/>
                <w:lang w:val="en-US" w:eastAsia="zh-CN" w:bidi="ar-SA"/>
              </w:rPr>
              <w:t>磋商</w:t>
            </w:r>
            <w:r>
              <w:rPr>
                <w:rFonts w:hint="eastAsia" w:ascii="宋体" w:hAnsi="宋体" w:eastAsia="宋体" w:cs="Times New Roman"/>
                <w:b w:val="0"/>
                <w:bCs/>
                <w:color w:val="auto"/>
                <w:kern w:val="0"/>
                <w:sz w:val="24"/>
                <w:szCs w:val="20"/>
                <w:lang w:val="en-US" w:eastAsia="zh-CN" w:bidi="ar-SA"/>
              </w:rPr>
              <w:t>文件</w:t>
            </w:r>
            <w:r>
              <w:rPr>
                <w:rFonts w:hint="eastAsia" w:ascii="宋体" w:hAnsi="宋体" w:cs="Times New Roman"/>
                <w:b w:val="0"/>
                <w:bCs/>
                <w:color w:val="auto"/>
                <w:kern w:val="0"/>
                <w:sz w:val="24"/>
                <w:szCs w:val="20"/>
                <w:lang w:val="en-US" w:eastAsia="zh-CN" w:bidi="ar-SA"/>
              </w:rPr>
              <w:t>要求。以上因素实质性响应并详尽合理的每一项得2分，满分6分；每项内容每有一处存在缺陷或不足的扣0.5分，未提供的不得分。</w:t>
            </w:r>
          </w:p>
          <w:p w14:paraId="313E9ECB">
            <w:pPr>
              <w:spacing w:line="360" w:lineRule="auto"/>
              <w:rPr>
                <w:rFonts w:hint="default" w:ascii="宋体" w:hAnsi="宋体" w:cs="宋体"/>
                <w:sz w:val="24"/>
                <w:lang w:val="en-US"/>
              </w:rPr>
            </w:pPr>
            <w:r>
              <w:rPr>
                <w:rFonts w:hint="eastAsia" w:hAnsi="宋体" w:cs="Times New Roman"/>
                <w:b/>
                <w:bCs w:val="0"/>
                <w:color w:val="auto"/>
                <w:kern w:val="0"/>
                <w:sz w:val="24"/>
                <w:szCs w:val="20"/>
                <w:lang w:val="en-US" w:eastAsia="zh-CN" w:bidi="ar-SA"/>
              </w:rPr>
              <w:t>5</w:t>
            </w:r>
            <w:r>
              <w:rPr>
                <w:rFonts w:hint="eastAsia" w:ascii="宋体" w:hAnsi="宋体" w:eastAsia="宋体" w:cs="Times New Roman"/>
                <w:b/>
                <w:bCs w:val="0"/>
                <w:color w:val="auto"/>
                <w:kern w:val="0"/>
                <w:sz w:val="24"/>
                <w:szCs w:val="20"/>
                <w:lang w:val="en-US" w:eastAsia="zh-CN" w:bidi="ar-SA"/>
              </w:rPr>
              <w:t>、</w:t>
            </w:r>
            <w:r>
              <w:rPr>
                <w:rFonts w:hint="eastAsia" w:ascii="宋体" w:hAnsi="宋体" w:eastAsia="宋体" w:cs="宋体"/>
                <w:b/>
                <w:bCs/>
                <w:color w:val="auto"/>
                <w:sz w:val="24"/>
                <w:szCs w:val="24"/>
                <w:lang w:val="en-US" w:eastAsia="zh-CN"/>
              </w:rPr>
              <w:t>供货及</w:t>
            </w:r>
            <w:r>
              <w:rPr>
                <w:rFonts w:hint="eastAsia" w:ascii="宋体" w:hAnsi="宋体" w:cs="宋体"/>
                <w:b/>
                <w:bCs/>
                <w:color w:val="auto"/>
                <w:sz w:val="24"/>
                <w:szCs w:val="24"/>
                <w:lang w:val="en-US" w:eastAsia="zh-CN"/>
              </w:rPr>
              <w:t>运输</w:t>
            </w:r>
            <w:r>
              <w:rPr>
                <w:rFonts w:hint="eastAsia" w:ascii="宋体" w:hAnsi="宋体" w:eastAsia="宋体" w:cs="宋体"/>
                <w:b/>
                <w:bCs/>
                <w:color w:val="auto"/>
                <w:sz w:val="24"/>
                <w:szCs w:val="24"/>
                <w:lang w:val="en-US" w:eastAsia="zh-CN"/>
              </w:rPr>
              <w:t>方案（9分）：</w:t>
            </w:r>
            <w:r>
              <w:rPr>
                <w:rFonts w:hint="eastAsia" w:ascii="宋体" w:hAnsi="宋体" w:eastAsia="宋体" w:cs="宋体"/>
                <w:b w:val="0"/>
                <w:bCs w:val="0"/>
                <w:color w:val="auto"/>
                <w:sz w:val="24"/>
                <w:szCs w:val="24"/>
                <w:lang w:val="en-US" w:eastAsia="zh-CN"/>
              </w:rPr>
              <w:t>投标人针对本项目特点制定详细的货物供货及配送方案。包含：①完善的供货计划②完善的运输计划及运输配置③完善的供货保证措施等。以上因素实质性响应并详尽合理的每一项得3分，满分9分；</w:t>
            </w:r>
            <w:r>
              <w:rPr>
                <w:rFonts w:hint="eastAsia" w:ascii="宋体" w:hAnsi="宋体" w:cs="宋体"/>
                <w:b w:val="0"/>
                <w:bCs w:val="0"/>
                <w:color w:val="auto"/>
                <w:sz w:val="24"/>
                <w:szCs w:val="24"/>
                <w:lang w:val="en-US" w:eastAsia="zh-CN"/>
              </w:rPr>
              <w:t>每项内容每有一处</w:t>
            </w:r>
            <w:r>
              <w:rPr>
                <w:rFonts w:hint="eastAsia" w:ascii="宋体" w:hAnsi="宋体" w:eastAsia="宋体" w:cs="宋体"/>
                <w:b w:val="0"/>
                <w:bCs w:val="0"/>
                <w:color w:val="auto"/>
                <w:sz w:val="24"/>
                <w:szCs w:val="24"/>
                <w:lang w:val="en-US" w:eastAsia="zh-CN"/>
              </w:rPr>
              <w:t>存在缺陷或不足的扣1分，未提供的不得分。</w:t>
            </w:r>
          </w:p>
        </w:tc>
      </w:tr>
      <w:tr w14:paraId="6A0EB0A1">
        <w:tblPrEx>
          <w:tblCellMar>
            <w:top w:w="0" w:type="dxa"/>
            <w:left w:w="108" w:type="dxa"/>
            <w:bottom w:w="0" w:type="dxa"/>
            <w:right w:w="108" w:type="dxa"/>
          </w:tblCellMar>
        </w:tblPrEx>
        <w:trPr>
          <w:trHeight w:val="414"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0E6E3BF7">
            <w:pPr>
              <w:spacing w:line="400" w:lineRule="exact"/>
              <w:jc w:val="center"/>
              <w:rPr>
                <w:rFonts w:ascii="宋体" w:hAnsi="宋体" w:cs="宋体"/>
                <w:sz w:val="24"/>
              </w:rPr>
            </w:pPr>
            <w:r>
              <w:rPr>
                <w:rFonts w:hint="eastAsia" w:ascii="宋体" w:hAnsi="宋体" w:cs="宋体"/>
                <w:sz w:val="24"/>
              </w:rPr>
              <w:t>3</w:t>
            </w:r>
          </w:p>
        </w:tc>
        <w:tc>
          <w:tcPr>
            <w:tcW w:w="1366" w:type="dxa"/>
            <w:tcBorders>
              <w:top w:val="single" w:color="000000" w:sz="6" w:space="0"/>
              <w:left w:val="single" w:color="000000" w:sz="6" w:space="0"/>
              <w:bottom w:val="single" w:color="000000" w:sz="6" w:space="0"/>
              <w:right w:val="single" w:color="000000" w:sz="6" w:space="0"/>
            </w:tcBorders>
            <w:vAlign w:val="center"/>
          </w:tcPr>
          <w:p w14:paraId="13CFBEF1">
            <w:pPr>
              <w:spacing w:line="400" w:lineRule="exact"/>
              <w:jc w:val="center"/>
              <w:rPr>
                <w:rFonts w:ascii="宋体" w:hAnsi="宋体" w:cs="宋体"/>
                <w:sz w:val="24"/>
                <w:lang w:val="zh-CN"/>
              </w:rPr>
            </w:pPr>
            <w:r>
              <w:rPr>
                <w:rFonts w:hint="eastAsia" w:ascii="宋体" w:hAnsi="宋体" w:cs="宋体"/>
                <w:sz w:val="24"/>
                <w:lang w:val="zh-CN"/>
              </w:rPr>
              <w:t>履约能力</w:t>
            </w:r>
          </w:p>
          <w:p w14:paraId="534E7291">
            <w:pPr>
              <w:spacing w:line="400" w:lineRule="exact"/>
              <w:jc w:val="center"/>
              <w:rPr>
                <w:rFonts w:ascii="宋体" w:hAnsi="宋体" w:cs="宋体"/>
                <w:sz w:val="24"/>
                <w:lang w:val="zh-CN"/>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3C498F7C">
            <w:pPr>
              <w:spacing w:line="400" w:lineRule="exact"/>
              <w:jc w:val="left"/>
              <w:rPr>
                <w:rFonts w:ascii="宋体" w:hAnsi="宋体" w:cs="宋体"/>
                <w:sz w:val="24"/>
              </w:rPr>
            </w:pPr>
            <w:r>
              <w:rPr>
                <w:rFonts w:hint="eastAsia" w:ascii="宋体" w:hAnsi="宋体" w:cs="宋体"/>
                <w:b/>
                <w:bCs/>
                <w:sz w:val="24"/>
              </w:rPr>
              <w:t>类似业绩</w:t>
            </w:r>
            <w:r>
              <w:rPr>
                <w:rFonts w:hint="eastAsia" w:ascii="宋体" w:hAnsi="宋体" w:cs="宋体"/>
                <w:b/>
                <w:bCs/>
                <w:sz w:val="24"/>
                <w:lang w:eastAsia="zh-CN"/>
              </w:rPr>
              <w:t>（</w:t>
            </w:r>
            <w:r>
              <w:rPr>
                <w:rFonts w:hint="eastAsia" w:ascii="宋体" w:hAnsi="宋体" w:cs="宋体"/>
                <w:b/>
                <w:bCs/>
                <w:sz w:val="24"/>
                <w:lang w:val="en-US" w:eastAsia="zh-CN"/>
              </w:rPr>
              <w:t>8分</w:t>
            </w:r>
            <w:r>
              <w:rPr>
                <w:rFonts w:hint="eastAsia" w:ascii="宋体" w:hAnsi="宋体" w:cs="宋体"/>
                <w:b/>
                <w:bCs/>
                <w:sz w:val="24"/>
                <w:lang w:eastAsia="zh-CN"/>
              </w:rPr>
              <w:t>）</w:t>
            </w:r>
            <w:r>
              <w:rPr>
                <w:rFonts w:hint="eastAsia" w:ascii="宋体" w:hAnsi="宋体" w:cs="宋体"/>
                <w:b/>
                <w:bCs/>
                <w:sz w:val="24"/>
              </w:rPr>
              <w:t>：</w:t>
            </w:r>
            <w:r>
              <w:rPr>
                <w:rFonts w:hint="eastAsia" w:ascii="宋体" w:hAnsi="宋体" w:cs="宋体"/>
                <w:sz w:val="24"/>
              </w:rPr>
              <w:t>提供20</w:t>
            </w:r>
            <w:r>
              <w:rPr>
                <w:rFonts w:hint="eastAsia" w:ascii="宋体" w:hAnsi="宋体" w:cs="宋体"/>
                <w:sz w:val="24"/>
                <w:lang w:val="en-US" w:eastAsia="zh-CN"/>
              </w:rPr>
              <w:t>22</w:t>
            </w:r>
            <w:r>
              <w:rPr>
                <w:rFonts w:hint="eastAsia" w:ascii="宋体" w:hAnsi="宋体" w:cs="宋体"/>
                <w:sz w:val="24"/>
              </w:rPr>
              <w:t>年</w:t>
            </w:r>
            <w:r>
              <w:rPr>
                <w:rFonts w:hint="eastAsia" w:ascii="宋体" w:hAnsi="宋体" w:cs="宋体"/>
                <w:sz w:val="24"/>
                <w:lang w:val="en-US" w:eastAsia="zh-CN"/>
              </w:rPr>
              <w:t>07月</w:t>
            </w:r>
            <w:r>
              <w:rPr>
                <w:rFonts w:hint="eastAsia" w:ascii="宋体" w:hAnsi="宋体" w:cs="宋体"/>
                <w:sz w:val="24"/>
              </w:rPr>
              <w:t>以来的投标人类似业绩证明材料（提供</w:t>
            </w:r>
            <w:r>
              <w:rPr>
                <w:rFonts w:hint="eastAsia" w:ascii="宋体" w:hAnsi="宋体" w:cs="宋体"/>
                <w:sz w:val="24"/>
                <w:lang w:val="en-US" w:eastAsia="zh-CN"/>
              </w:rPr>
              <w:t>成交通知书或</w:t>
            </w:r>
            <w:r>
              <w:rPr>
                <w:rFonts w:hint="eastAsia" w:ascii="宋体" w:hAnsi="宋体" w:cs="宋体"/>
                <w:sz w:val="24"/>
              </w:rPr>
              <w:t>合同协议书复印（扫描）件），每提供1项得</w:t>
            </w:r>
            <w:r>
              <w:rPr>
                <w:rFonts w:hint="eastAsia" w:ascii="宋体" w:hAnsi="宋体" w:cs="宋体"/>
                <w:sz w:val="24"/>
                <w:lang w:val="en-US" w:eastAsia="zh-CN"/>
              </w:rPr>
              <w:t>2</w:t>
            </w:r>
            <w:r>
              <w:rPr>
                <w:rFonts w:hint="eastAsia" w:ascii="宋体" w:hAnsi="宋体" w:cs="宋体"/>
                <w:sz w:val="24"/>
              </w:rPr>
              <w:t>分,满分</w:t>
            </w:r>
            <w:r>
              <w:rPr>
                <w:rFonts w:hint="eastAsia" w:ascii="宋体" w:hAnsi="宋体" w:cs="宋体"/>
                <w:sz w:val="24"/>
                <w:lang w:val="en-US" w:eastAsia="zh-CN"/>
              </w:rPr>
              <w:t>8</w:t>
            </w:r>
            <w:r>
              <w:rPr>
                <w:rFonts w:hint="eastAsia" w:ascii="宋体" w:hAnsi="宋体" w:cs="宋体"/>
                <w:sz w:val="24"/>
              </w:rPr>
              <w:t>分；不提供不得分。</w:t>
            </w:r>
          </w:p>
        </w:tc>
      </w:tr>
      <w:tr w14:paraId="1FB72A30">
        <w:tblPrEx>
          <w:tblCellMar>
            <w:top w:w="0" w:type="dxa"/>
            <w:left w:w="108" w:type="dxa"/>
            <w:bottom w:w="0" w:type="dxa"/>
            <w:right w:w="108" w:type="dxa"/>
          </w:tblCellMar>
        </w:tblPrEx>
        <w:trPr>
          <w:trHeight w:val="415"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4C102AF2">
            <w:pPr>
              <w:spacing w:line="400" w:lineRule="exact"/>
              <w:jc w:val="center"/>
              <w:rPr>
                <w:rFonts w:ascii="宋体" w:hAnsi="宋体" w:cs="宋体"/>
                <w:sz w:val="24"/>
              </w:rPr>
            </w:pPr>
            <w:r>
              <w:rPr>
                <w:rFonts w:hint="eastAsia" w:ascii="宋体" w:hAnsi="宋体" w:cs="宋体"/>
                <w:sz w:val="24"/>
              </w:rPr>
              <w:t>4</w:t>
            </w:r>
          </w:p>
        </w:tc>
        <w:tc>
          <w:tcPr>
            <w:tcW w:w="1366" w:type="dxa"/>
            <w:tcBorders>
              <w:top w:val="single" w:color="000000" w:sz="6" w:space="0"/>
              <w:left w:val="single" w:color="000000" w:sz="6" w:space="0"/>
              <w:bottom w:val="single" w:color="000000" w:sz="6" w:space="0"/>
              <w:right w:val="single" w:color="000000" w:sz="6" w:space="0"/>
            </w:tcBorders>
            <w:vAlign w:val="center"/>
          </w:tcPr>
          <w:p w14:paraId="47D1052E">
            <w:pPr>
              <w:spacing w:line="400" w:lineRule="exact"/>
              <w:jc w:val="center"/>
              <w:rPr>
                <w:rFonts w:ascii="宋体" w:hAnsi="宋体" w:cs="宋体"/>
                <w:sz w:val="24"/>
                <w:lang w:val="zh-CN"/>
              </w:rPr>
            </w:pPr>
            <w:r>
              <w:rPr>
                <w:rFonts w:hint="eastAsia" w:ascii="宋体" w:hAnsi="宋体" w:cs="宋体"/>
                <w:sz w:val="24"/>
                <w:lang w:val="zh-CN"/>
              </w:rPr>
              <w:t>售后服务</w:t>
            </w:r>
          </w:p>
          <w:p w14:paraId="4B23CDE7">
            <w:pPr>
              <w:spacing w:line="400" w:lineRule="exact"/>
              <w:jc w:val="center"/>
              <w:rPr>
                <w:rFonts w:ascii="宋体" w:hAnsi="宋体" w:cs="宋体"/>
                <w:sz w:val="24"/>
                <w:lang w:val="zh-CN"/>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766F3FB9">
            <w:pPr>
              <w:numPr>
                <w:ilvl w:val="0"/>
                <w:numId w:val="0"/>
              </w:numPr>
              <w:spacing w:line="360" w:lineRule="auto"/>
              <w:rPr>
                <w:rFonts w:ascii="宋体" w:hAnsi="宋体" w:cs="宋体"/>
                <w:sz w:val="24"/>
              </w:rPr>
            </w:pPr>
            <w:r>
              <w:rPr>
                <w:rFonts w:hint="eastAsia" w:ascii="宋体" w:hAnsi="宋体" w:cs="宋体"/>
                <w:b/>
                <w:bCs/>
                <w:color w:val="auto"/>
                <w:sz w:val="24"/>
                <w:szCs w:val="24"/>
              </w:rPr>
              <w:t>售后服务</w:t>
            </w:r>
            <w:r>
              <w:rPr>
                <w:rFonts w:hint="eastAsia" w:hAnsi="宋体" w:cs="宋体"/>
                <w:b/>
                <w:bCs/>
                <w:color w:val="auto"/>
                <w:sz w:val="24"/>
                <w:szCs w:val="24"/>
                <w:lang w:eastAsia="zh-CN"/>
              </w:rPr>
              <w:t>（</w:t>
            </w:r>
            <w:r>
              <w:rPr>
                <w:rFonts w:hint="eastAsia" w:hAnsi="宋体" w:cs="宋体"/>
                <w:b/>
                <w:bCs/>
                <w:color w:val="auto"/>
                <w:sz w:val="24"/>
                <w:szCs w:val="24"/>
                <w:lang w:val="en-US" w:eastAsia="zh-CN"/>
              </w:rPr>
              <w:t>6分</w:t>
            </w:r>
            <w:r>
              <w:rPr>
                <w:rFonts w:hint="eastAsia" w:hAnsi="宋体" w:cs="宋体"/>
                <w:b/>
                <w:bCs/>
                <w:color w:val="auto"/>
                <w:sz w:val="24"/>
                <w:szCs w:val="24"/>
                <w:lang w:eastAsia="zh-CN"/>
              </w:rPr>
              <w:t>）</w:t>
            </w:r>
            <w:r>
              <w:rPr>
                <w:rFonts w:hint="eastAsia" w:ascii="宋体" w:hAnsi="宋体" w:cs="宋体"/>
                <w:b/>
                <w:bCs/>
                <w:color w:val="auto"/>
                <w:sz w:val="24"/>
                <w:szCs w:val="24"/>
              </w:rPr>
              <w:t>：</w:t>
            </w:r>
            <w:r>
              <w:rPr>
                <w:rFonts w:hint="eastAsia" w:ascii="宋体" w:hAnsi="宋体" w:eastAsia="宋体" w:cs="宋体"/>
                <w:b w:val="0"/>
                <w:bCs w:val="0"/>
                <w:color w:val="auto"/>
                <w:kern w:val="0"/>
                <w:sz w:val="24"/>
                <w:szCs w:val="24"/>
                <w:highlight w:val="none"/>
                <w:lang w:val="zh-CN"/>
              </w:rPr>
              <w:t>针对该项目须有完善的售后服务体系。</w:t>
            </w:r>
            <w:r>
              <w:rPr>
                <w:rFonts w:hint="eastAsia" w:ascii="宋体" w:hAnsi="宋体" w:cs="宋体"/>
                <w:b w:val="0"/>
                <w:bCs w:val="0"/>
                <w:color w:val="auto"/>
                <w:sz w:val="24"/>
                <w:szCs w:val="24"/>
                <w:lang w:val="en-US" w:eastAsia="zh-CN"/>
              </w:rPr>
              <w:t>包含：①设备现场安装、运行调试和培训内容②售后服务机构和人员</w:t>
            </w:r>
            <w:r>
              <w:rPr>
                <w:rFonts w:hint="eastAsia" w:ascii="宋体" w:hAnsi="宋体" w:eastAsia="宋体" w:cs="宋体"/>
                <w:b w:val="0"/>
                <w:bCs w:val="0"/>
                <w:color w:val="auto"/>
                <w:kern w:val="0"/>
                <w:sz w:val="24"/>
                <w:szCs w:val="24"/>
                <w:highlight w:val="none"/>
                <w:lang w:val="en-US" w:eastAsia="zh-CN" w:bidi="ar"/>
              </w:rPr>
              <w:t>（须提供售后服务人员</w:t>
            </w:r>
            <w:r>
              <w:rPr>
                <w:rFonts w:hint="eastAsia" w:ascii="宋体" w:hAnsi="宋体" w:eastAsia="宋体" w:cs="宋体"/>
                <w:b w:val="0"/>
                <w:bCs w:val="0"/>
                <w:color w:val="auto"/>
                <w:kern w:val="0"/>
                <w:sz w:val="24"/>
                <w:szCs w:val="24"/>
                <w:highlight w:val="none"/>
                <w:lang w:val="en-US" w:eastAsia="zh-CN"/>
              </w:rPr>
              <w:t>列表、联系电话等）</w:t>
            </w:r>
            <w:r>
              <w:rPr>
                <w:rFonts w:hint="eastAsia" w:ascii="宋体" w:hAnsi="宋体" w:cs="宋体"/>
                <w:b w:val="0"/>
                <w:bCs w:val="0"/>
                <w:color w:val="auto"/>
                <w:sz w:val="24"/>
                <w:szCs w:val="24"/>
                <w:lang w:val="en-US" w:eastAsia="zh-CN"/>
              </w:rPr>
              <w:t>③售</w:t>
            </w:r>
            <w:r>
              <w:rPr>
                <w:rFonts w:hint="eastAsia" w:ascii="宋体" w:hAnsi="宋体" w:cs="宋体"/>
                <w:color w:val="auto"/>
                <w:sz w:val="24"/>
                <w:szCs w:val="24"/>
                <w:lang w:val="en-US" w:eastAsia="zh-CN"/>
              </w:rPr>
              <w:t>后服务响应时间和承诺</w:t>
            </w:r>
            <w:r>
              <w:rPr>
                <w:rFonts w:hint="eastAsia" w:ascii="宋体" w:hAnsi="宋体" w:cs="宋体"/>
                <w:color w:val="auto"/>
                <w:sz w:val="24"/>
                <w:szCs w:val="24"/>
                <w:lang w:eastAsia="zh-CN"/>
              </w:rPr>
              <w:t>。</w:t>
            </w:r>
            <w:r>
              <w:rPr>
                <w:rFonts w:hint="eastAsia" w:ascii="宋体" w:hAnsi="宋体" w:eastAsia="宋体" w:cs="宋体"/>
                <w:b w:val="0"/>
                <w:bCs w:val="0"/>
                <w:color w:val="auto"/>
                <w:sz w:val="24"/>
                <w:szCs w:val="24"/>
                <w:lang w:val="en-US" w:eastAsia="zh-CN"/>
              </w:rPr>
              <w:t>以上因素实质性响应并详尽合理的每一项得2分，满分6分；</w:t>
            </w:r>
            <w:r>
              <w:rPr>
                <w:rFonts w:hint="eastAsia" w:ascii="宋体" w:hAnsi="宋体" w:cs="宋体"/>
                <w:b w:val="0"/>
                <w:bCs w:val="0"/>
                <w:color w:val="auto"/>
                <w:sz w:val="24"/>
                <w:szCs w:val="24"/>
                <w:lang w:val="en-US" w:eastAsia="zh-CN"/>
              </w:rPr>
              <w:t>每项内容每有一处</w:t>
            </w:r>
            <w:r>
              <w:rPr>
                <w:rFonts w:hint="eastAsia" w:ascii="宋体" w:hAnsi="宋体" w:eastAsia="宋体" w:cs="宋体"/>
                <w:b w:val="0"/>
                <w:bCs w:val="0"/>
                <w:color w:val="auto"/>
                <w:sz w:val="24"/>
                <w:szCs w:val="24"/>
                <w:lang w:val="en-US" w:eastAsia="zh-CN"/>
              </w:rPr>
              <w:t>存在缺陷或不足的扣0.5分，未提供的不得分。</w:t>
            </w:r>
          </w:p>
        </w:tc>
      </w:tr>
      <w:tr w14:paraId="296C85B9">
        <w:tblPrEx>
          <w:tblCellMar>
            <w:top w:w="0" w:type="dxa"/>
            <w:left w:w="108" w:type="dxa"/>
            <w:bottom w:w="0" w:type="dxa"/>
            <w:right w:w="108" w:type="dxa"/>
          </w:tblCellMar>
        </w:tblPrEx>
        <w:trPr>
          <w:trHeight w:val="415" w:hRule="atLeast"/>
          <w:jc w:val="center"/>
        </w:trPr>
        <w:tc>
          <w:tcPr>
            <w:tcW w:w="9039" w:type="dxa"/>
            <w:gridSpan w:val="3"/>
            <w:tcBorders>
              <w:top w:val="single" w:color="000000" w:sz="6" w:space="0"/>
              <w:left w:val="single" w:color="000000" w:sz="6" w:space="0"/>
              <w:bottom w:val="single" w:color="000000" w:sz="6" w:space="0"/>
              <w:right w:val="single" w:color="000000" w:sz="6" w:space="0"/>
            </w:tcBorders>
            <w:vAlign w:val="center"/>
          </w:tcPr>
          <w:p w14:paraId="12D8B5D2">
            <w:pPr>
              <w:keepNext w:val="0"/>
              <w:keepLines w:val="0"/>
              <w:pageBreakBefore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内容存在缺陷或不足是指：方案内容不切合行业实际、不符合行业政策；或存在项目 </w:t>
            </w:r>
          </w:p>
          <w:p w14:paraId="6245AC28">
            <w:pPr>
              <w:keepNext w:val="0"/>
              <w:keepLines w:val="0"/>
              <w:pageBreakBefore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名称错误、地点区域错误、内容与本项目需求无关、方案内容矛盾或表述前后不一致、 </w:t>
            </w:r>
          </w:p>
          <w:p w14:paraId="7B0C6C19">
            <w:pPr>
              <w:keepNext w:val="0"/>
              <w:keepLines w:val="0"/>
              <w:pageBreakBefore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仅有框架或标题、适用的标准（方法）错误、明显复制其他项目内容；或内容不适用 </w:t>
            </w:r>
          </w:p>
          <w:p w14:paraId="781488F2">
            <w:pPr>
              <w:numPr>
                <w:ilvl w:val="0"/>
                <w:numId w:val="0"/>
              </w:numPr>
              <w:spacing w:line="360" w:lineRule="auto"/>
              <w:rPr>
                <w:rFonts w:hint="eastAsia" w:ascii="宋体" w:hAnsi="宋体" w:cs="宋体"/>
                <w:b/>
                <w:bCs/>
                <w:color w:val="auto"/>
                <w:sz w:val="24"/>
                <w:szCs w:val="24"/>
              </w:rPr>
            </w:pPr>
            <w:r>
              <w:rPr>
                <w:rFonts w:hint="eastAsia" w:ascii="宋体" w:hAnsi="宋体" w:eastAsia="宋体" w:cs="宋体"/>
                <w:b w:val="0"/>
                <w:bCs w:val="0"/>
                <w:color w:val="auto"/>
                <w:sz w:val="24"/>
                <w:szCs w:val="24"/>
                <w:lang w:val="en-US" w:eastAsia="zh-CN"/>
              </w:rPr>
              <w:t>项目实际情况；或内容逻辑漏洞或原理错误。</w:t>
            </w:r>
          </w:p>
        </w:tc>
      </w:tr>
    </w:tbl>
    <w:p w14:paraId="686352A6">
      <w:pPr>
        <w:pStyle w:val="17"/>
        <w:spacing w:line="360" w:lineRule="auto"/>
        <w:jc w:val="left"/>
        <w:rPr>
          <w:rFonts w:hAnsi="宋体"/>
          <w:b/>
          <w:sz w:val="24"/>
        </w:rPr>
      </w:pPr>
    </w:p>
    <w:p w14:paraId="3C4C1380">
      <w:pPr>
        <w:pStyle w:val="33"/>
        <w:ind w:left="0" w:leftChars="0" w:firstLine="0" w:firstLineChars="0"/>
        <w:rPr>
          <w:rFonts w:hint="eastAsia"/>
          <w:lang w:val="en-US" w:eastAsia="zh-CN"/>
        </w:rPr>
      </w:pPr>
    </w:p>
    <w:bookmarkEnd w:id="165"/>
    <w:p w14:paraId="6679D2AC">
      <w:pPr>
        <w:keepNext/>
        <w:pageBreakBefore/>
        <w:widowControl/>
        <w:spacing w:line="360" w:lineRule="auto"/>
        <w:jc w:val="center"/>
        <w:outlineLvl w:val="1"/>
        <w:rPr>
          <w:rFonts w:hAnsi="宋体"/>
          <w:b/>
          <w:sz w:val="32"/>
          <w:szCs w:val="32"/>
        </w:rPr>
      </w:pPr>
      <w:bookmarkStart w:id="166" w:name="_Toc325726025"/>
      <w:bookmarkStart w:id="167" w:name="_Toc376936756"/>
      <w:bookmarkStart w:id="168" w:name="_Toc2506"/>
      <w:bookmarkStart w:id="169" w:name="_Toc25290"/>
      <w:bookmarkStart w:id="170" w:name="_Toc7357"/>
      <w:bookmarkStart w:id="171" w:name="_Toc6689"/>
      <w:r>
        <w:rPr>
          <w:rFonts w:hint="eastAsia" w:ascii="宋体" w:hAnsi="宋体" w:cs="宋体"/>
          <w:b/>
          <w:bCs/>
          <w:color w:val="auto"/>
          <w:sz w:val="32"/>
          <w:szCs w:val="32"/>
          <w:lang w:val="en-US" w:eastAsia="zh-CN"/>
        </w:rPr>
        <w:t>八</w:t>
      </w:r>
      <w:r>
        <w:rPr>
          <w:rFonts w:hint="eastAsia" w:ascii="宋体" w:hAnsi="宋体" w:cs="宋体"/>
          <w:b/>
          <w:bCs/>
          <w:color w:val="auto"/>
          <w:sz w:val="32"/>
          <w:szCs w:val="32"/>
        </w:rPr>
        <w:t>、</w:t>
      </w:r>
      <w:bookmarkEnd w:id="166"/>
      <w:bookmarkEnd w:id="167"/>
      <w:r>
        <w:rPr>
          <w:rFonts w:hint="eastAsia" w:ascii="宋体" w:hAnsi="宋体" w:cs="宋体"/>
          <w:b/>
          <w:bCs/>
          <w:color w:val="auto"/>
          <w:sz w:val="32"/>
          <w:szCs w:val="32"/>
        </w:rPr>
        <w:t>确定成交供应商</w:t>
      </w:r>
      <w:bookmarkEnd w:id="168"/>
      <w:bookmarkEnd w:id="169"/>
      <w:bookmarkEnd w:id="170"/>
      <w:bookmarkEnd w:id="171"/>
    </w:p>
    <w:p w14:paraId="7EBA51CC">
      <w:pPr>
        <w:pStyle w:val="5"/>
        <w:numPr>
          <w:ilvl w:val="0"/>
          <w:numId w:val="0"/>
        </w:numPr>
        <w:spacing w:before="0" w:after="0" w:line="360" w:lineRule="auto"/>
        <w:ind w:leftChars="0"/>
        <w:rPr>
          <w:rFonts w:ascii="宋体" w:hAnsi="宋体"/>
          <w:b w:val="0"/>
        </w:rPr>
      </w:pPr>
      <w:bookmarkStart w:id="172" w:name="_Toc488673637"/>
      <w:bookmarkStart w:id="173" w:name="_Toc1575322"/>
      <w:r>
        <w:rPr>
          <w:rFonts w:hint="eastAsia" w:ascii="宋体" w:hAnsi="宋体"/>
          <w:b w:val="0"/>
          <w:lang w:val="en-US" w:eastAsia="zh-CN"/>
        </w:rPr>
        <w:t>23.</w:t>
      </w:r>
      <w:r>
        <w:rPr>
          <w:rFonts w:hint="eastAsia" w:ascii="宋体" w:hAnsi="宋体"/>
          <w:b w:val="0"/>
        </w:rPr>
        <w:t>推荐并确定中标磋商供应商</w:t>
      </w:r>
      <w:bookmarkEnd w:id="172"/>
      <w:bookmarkEnd w:id="173"/>
    </w:p>
    <w:p w14:paraId="346B2E0A">
      <w:pPr>
        <w:pStyle w:val="17"/>
        <w:numPr>
          <w:ilvl w:val="0"/>
          <w:numId w:val="0"/>
        </w:numPr>
        <w:spacing w:line="360" w:lineRule="auto"/>
        <w:ind w:left="141" w:leftChars="0" w:firstLine="241" w:firstLineChars="100"/>
        <w:jc w:val="left"/>
        <w:rPr>
          <w:rFonts w:hAnsi="宋体"/>
          <w:sz w:val="24"/>
          <w:szCs w:val="24"/>
        </w:rPr>
      </w:pPr>
      <w:r>
        <w:rPr>
          <w:rFonts w:hint="eastAsia" w:hAnsi="宋体" w:cs="宋体"/>
          <w:b/>
          <w:bCs/>
          <w:sz w:val="24"/>
          <w:szCs w:val="24"/>
          <w:lang w:val="en-US" w:eastAsia="zh-CN"/>
        </w:rPr>
        <w:t>23.1</w:t>
      </w: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14:paraId="1BB7E441">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23.2</w:t>
      </w:r>
      <w:r>
        <w:rPr>
          <w:rFonts w:hint="eastAsia" w:hAnsi="宋体"/>
          <w:sz w:val="24"/>
          <w:szCs w:val="28"/>
        </w:rPr>
        <w:t>中标磋商供应商因不可抗力或自身原因不能履行合同时，采购单位可以按照评审报告推荐的预中标候选磋商供应商名单排序，确定下一候选磋商供应商为中标磋商供应商，也可重新开展政府采购活动。</w:t>
      </w:r>
    </w:p>
    <w:p w14:paraId="51C6E098">
      <w:pPr>
        <w:pStyle w:val="17"/>
        <w:numPr>
          <w:ilvl w:val="0"/>
          <w:numId w:val="0"/>
        </w:numPr>
        <w:spacing w:line="360" w:lineRule="auto"/>
        <w:ind w:left="141" w:leftChars="0" w:firstLine="240" w:firstLineChars="100"/>
        <w:jc w:val="left"/>
        <w:rPr>
          <w:rFonts w:hAnsi="宋体"/>
          <w:sz w:val="24"/>
          <w:szCs w:val="24"/>
        </w:rPr>
      </w:pPr>
      <w:r>
        <w:rPr>
          <w:rFonts w:hint="eastAsia" w:hAnsi="宋体" w:cs="宋体"/>
          <w:sz w:val="24"/>
          <w:szCs w:val="24"/>
          <w:shd w:val="clear" w:color="auto" w:fill="FFFFFF"/>
          <w:lang w:val="en-US" w:eastAsia="zh-CN"/>
        </w:rPr>
        <w:t>23.3</w:t>
      </w:r>
      <w:r>
        <w:rPr>
          <w:rFonts w:hint="eastAsia" w:hAnsi="宋体" w:cs="宋体"/>
          <w:sz w:val="24"/>
          <w:szCs w:val="24"/>
          <w:shd w:val="clear" w:color="auto" w:fill="FFFFFF"/>
        </w:rPr>
        <w:t>评标结果汇总完成后，除下列情形外，任何人不得修改评标结果：</w:t>
      </w:r>
    </w:p>
    <w:p w14:paraId="77C3ADF4">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分值汇总计算错误的；</w:t>
      </w:r>
    </w:p>
    <w:p w14:paraId="5E93CAE2">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分项评分超出评分标准范围的；</w:t>
      </w:r>
    </w:p>
    <w:p w14:paraId="54A3F90F">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评标委员会成员对客观评审因素评分不一致的；</w:t>
      </w:r>
    </w:p>
    <w:p w14:paraId="4CA16DEC">
      <w:pPr>
        <w:pStyle w:val="17"/>
        <w:numPr>
          <w:ilvl w:val="0"/>
          <w:numId w:val="15"/>
        </w:numPr>
        <w:spacing w:line="360" w:lineRule="auto"/>
        <w:jc w:val="left"/>
        <w:rPr>
          <w:rFonts w:hAnsi="宋体"/>
          <w:sz w:val="24"/>
          <w:szCs w:val="24"/>
        </w:rPr>
      </w:pPr>
      <w:r>
        <w:rPr>
          <w:rFonts w:hint="eastAsia" w:hAnsi="宋体" w:cs="宋体"/>
          <w:sz w:val="24"/>
          <w:szCs w:val="24"/>
          <w:shd w:val="clear" w:color="auto" w:fill="FFFFFF"/>
        </w:rPr>
        <w:t>经评标委员会认定评分畸高、畸低的。</w:t>
      </w:r>
    </w:p>
    <w:p w14:paraId="2D3CFD0B">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3D8AD18">
      <w:pPr>
        <w:pStyle w:val="17"/>
        <w:spacing w:line="360" w:lineRule="auto"/>
        <w:ind w:firstLine="480" w:firstLineChars="200"/>
        <w:jc w:val="left"/>
        <w:rPr>
          <w:rFonts w:hAnsi="宋体"/>
          <w:sz w:val="24"/>
          <w:szCs w:val="24"/>
        </w:rPr>
      </w:pPr>
      <w:r>
        <w:rPr>
          <w:rFonts w:hint="eastAsia" w:hAnsi="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14:paraId="028723DF">
      <w:pPr>
        <w:pStyle w:val="5"/>
        <w:numPr>
          <w:ilvl w:val="0"/>
          <w:numId w:val="0"/>
        </w:numPr>
        <w:spacing w:before="0" w:after="0" w:line="360" w:lineRule="auto"/>
        <w:ind w:leftChars="0"/>
        <w:rPr>
          <w:rFonts w:ascii="宋体" w:hAnsi="宋体"/>
          <w:b w:val="0"/>
        </w:rPr>
      </w:pPr>
      <w:bookmarkStart w:id="174" w:name="_Toc1575323"/>
      <w:bookmarkStart w:id="175" w:name="_Toc488673638"/>
      <w:r>
        <w:rPr>
          <w:rFonts w:hint="eastAsia" w:ascii="宋体" w:hAnsi="宋体"/>
          <w:b w:val="0"/>
          <w:lang w:val="en-US" w:eastAsia="zh-CN"/>
        </w:rPr>
        <w:t>24.</w:t>
      </w:r>
      <w:r>
        <w:rPr>
          <w:rFonts w:hint="eastAsia" w:ascii="宋体" w:hAnsi="宋体"/>
          <w:b w:val="0"/>
        </w:rPr>
        <w:t>中标通知</w:t>
      </w:r>
      <w:bookmarkEnd w:id="174"/>
      <w:bookmarkEnd w:id="175"/>
    </w:p>
    <w:p w14:paraId="49E63419">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24.1</w:t>
      </w:r>
      <w:r>
        <w:rPr>
          <w:rFonts w:hint="eastAsia" w:hAnsi="宋体" w:cs="宋体"/>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磋商文件规定的方式确定中标人；磋商文件未规定的，采取随机抽取的方式确定。</w:t>
      </w:r>
    </w:p>
    <w:p w14:paraId="40673EB7">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24.2</w:t>
      </w:r>
      <w:r>
        <w:rPr>
          <w:rFonts w:hint="eastAsia" w:hAnsi="宋体" w:cs="宋体"/>
          <w:sz w:val="24"/>
          <w:szCs w:val="24"/>
        </w:rPr>
        <w:t>采购人在收到评标报告5个工作日内未按评标报告推荐的中标候选人顺序确定中标人，又不能说明合法理由的，视同按评标报告推荐的顺序确定排名第一的中标候选人为中标人。</w:t>
      </w:r>
    </w:p>
    <w:p w14:paraId="042E84EC">
      <w:pPr>
        <w:pStyle w:val="17"/>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24.3</w:t>
      </w:r>
      <w:r>
        <w:rPr>
          <w:rFonts w:hint="eastAsia" w:hAnsi="宋体"/>
          <w:sz w:val="24"/>
          <w:szCs w:val="28"/>
        </w:rPr>
        <w:t>采购代理机构自中标磋商供应商确定之日起2个工作日内发出《中标通知书》，并在发布本次磋商公告的网站上发布中标结果公告。</w:t>
      </w:r>
    </w:p>
    <w:p w14:paraId="59AD990F">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24.4</w:t>
      </w:r>
      <w:r>
        <w:rPr>
          <w:rFonts w:hint="eastAsia" w:hAnsi="宋体" w:cs="宋体"/>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576B6BB7">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24.5</w:t>
      </w:r>
      <w:r>
        <w:rPr>
          <w:rFonts w:hint="eastAsia" w:hAnsi="宋体" w:cs="宋体"/>
          <w:sz w:val="24"/>
          <w:szCs w:val="24"/>
        </w:rPr>
        <w:t>中标公告期限为1个工作日。</w:t>
      </w:r>
    </w:p>
    <w:p w14:paraId="26432010">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24.6</w:t>
      </w:r>
      <w:r>
        <w:rPr>
          <w:rFonts w:hint="eastAsia" w:hAnsi="宋体" w:cs="宋体"/>
          <w:sz w:val="24"/>
          <w:szCs w:val="24"/>
        </w:rPr>
        <w:t>在公告中标结果的同时，</w:t>
      </w:r>
      <w:r>
        <w:rPr>
          <w:rFonts w:hint="eastAsia" w:hAnsi="宋体" w:cs="宋体"/>
          <w:sz w:val="24"/>
          <w:szCs w:val="24"/>
          <w:shd w:val="clear" w:color="auto" w:fill="FFFFFF"/>
        </w:rPr>
        <w:t>采购人或者采购代理机构</w:t>
      </w:r>
      <w:r>
        <w:rPr>
          <w:rFonts w:hint="eastAsia" w:hAnsi="宋体" w:cs="宋体"/>
          <w:sz w:val="24"/>
          <w:szCs w:val="24"/>
        </w:rPr>
        <w:t>应当向中标人发出中标通知书；采用综合评分法评审的，还应当告知未中标人本人的评审得分与排序。</w:t>
      </w:r>
    </w:p>
    <w:p w14:paraId="30092983">
      <w:pPr>
        <w:pStyle w:val="17"/>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24.7</w:t>
      </w:r>
      <w:r>
        <w:rPr>
          <w:rFonts w:hint="eastAsia" w:hAnsi="宋体" w:cs="宋体"/>
          <w:sz w:val="24"/>
          <w:szCs w:val="24"/>
        </w:rPr>
        <w:t>中标通知书发出后，采购人不得违法改变中标结果，中标人无正当理由不得放弃中标。</w:t>
      </w:r>
    </w:p>
    <w:p w14:paraId="5D856DF5">
      <w:pPr>
        <w:pStyle w:val="17"/>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24.8</w:t>
      </w:r>
      <w:r>
        <w:rPr>
          <w:rFonts w:hint="eastAsia" w:hAnsi="宋体"/>
          <w:sz w:val="24"/>
          <w:szCs w:val="28"/>
        </w:rPr>
        <w:t>《中标通知书》对采购单位和中标磋商供应商具有同等效力，《中标通知书》发出后，采购单位改变中标结果的，或者中标磋商供应商无正当理由放弃中标项目的，依法承担法律责任。</w:t>
      </w:r>
    </w:p>
    <w:p w14:paraId="1DB04EAC">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6" w:name="_Toc1575324"/>
      <w:r>
        <w:rPr>
          <w:rFonts w:hint="eastAsia" w:ascii="宋体" w:hAnsi="宋体" w:eastAsia="宋体" w:cs="宋体"/>
          <w:b/>
          <w:bCs/>
          <w:color w:val="auto"/>
          <w:kern w:val="2"/>
          <w:sz w:val="32"/>
          <w:szCs w:val="32"/>
          <w:lang w:val="en-US" w:eastAsia="zh-CN" w:bidi="ar-SA"/>
        </w:rPr>
        <w:t>九、授予合同</w:t>
      </w:r>
      <w:bookmarkEnd w:id="176"/>
    </w:p>
    <w:p w14:paraId="68E52C1F">
      <w:pPr>
        <w:pStyle w:val="5"/>
        <w:numPr>
          <w:ilvl w:val="0"/>
          <w:numId w:val="0"/>
        </w:numPr>
        <w:spacing w:before="0" w:after="0" w:line="360" w:lineRule="auto"/>
        <w:ind w:leftChars="0"/>
        <w:rPr>
          <w:rFonts w:ascii="宋体" w:hAnsi="宋体"/>
          <w:b w:val="0"/>
        </w:rPr>
      </w:pPr>
      <w:bookmarkStart w:id="177" w:name="_Toc1575325"/>
      <w:bookmarkStart w:id="178" w:name="_Toc488673640"/>
      <w:r>
        <w:rPr>
          <w:rFonts w:hint="eastAsia" w:ascii="宋体" w:hAnsi="宋体"/>
          <w:b w:val="0"/>
          <w:lang w:val="en-US" w:eastAsia="zh-CN"/>
        </w:rPr>
        <w:t>25.</w:t>
      </w:r>
      <w:r>
        <w:rPr>
          <w:rFonts w:hint="eastAsia" w:ascii="宋体" w:hAnsi="宋体"/>
          <w:b w:val="0"/>
        </w:rPr>
        <w:t>签订合同</w:t>
      </w:r>
      <w:bookmarkEnd w:id="177"/>
      <w:bookmarkEnd w:id="178"/>
    </w:p>
    <w:p w14:paraId="058D47F1">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25.1</w:t>
      </w:r>
      <w:r>
        <w:rPr>
          <w:rFonts w:hint="eastAsia" w:hAnsi="宋体"/>
          <w:sz w:val="24"/>
          <w:szCs w:val="28"/>
        </w:rPr>
        <w:t>采购单位与中标磋商供应商双方应当自《中标通知书》发出之日起30日内，签订采购合同，送采购代理机构审核并备案；</w:t>
      </w:r>
    </w:p>
    <w:p w14:paraId="2EB9110E">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25.2</w:t>
      </w:r>
      <w:r>
        <w:rPr>
          <w:rFonts w:hint="eastAsia" w:hAnsi="宋体"/>
          <w:sz w:val="24"/>
          <w:szCs w:val="28"/>
        </w:rPr>
        <w:t>中标磋商供应商在法定期限内无正当理由拒签合同的，按违约处理。同时，采购代理机构和采购单位可依评标排序重新确定中标磋商供应商，并协调双方签订采购合同，或重新组织采购活动；</w:t>
      </w:r>
    </w:p>
    <w:p w14:paraId="37C95108">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25.3</w:t>
      </w:r>
      <w:r>
        <w:rPr>
          <w:rFonts w:hint="eastAsia" w:hAnsi="宋体"/>
          <w:sz w:val="24"/>
          <w:szCs w:val="28"/>
        </w:rPr>
        <w:t>采购单位不得向中标供应商提出任何不合理的要求作为订立合同的条件，采购单位和中标供应商不得私下订立背离合同实质性内容的协议；</w:t>
      </w:r>
    </w:p>
    <w:p w14:paraId="6A6A2122">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25.4</w:t>
      </w:r>
      <w:r>
        <w:rPr>
          <w:rFonts w:hint="eastAsia" w:hAnsi="宋体"/>
          <w:sz w:val="24"/>
          <w:szCs w:val="28"/>
        </w:rPr>
        <w:t>磋商文件、中标磋商供应商的磋商响应文件、《中标通知书》及其澄清、说明文件、承诺等，均为签订采购合同的依据，作为采购合同的组成部分；</w:t>
      </w:r>
    </w:p>
    <w:p w14:paraId="1FAF1598">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25.5</w:t>
      </w:r>
      <w:r>
        <w:rPr>
          <w:rFonts w:hint="eastAsia" w:hAnsi="宋体"/>
          <w:sz w:val="24"/>
          <w:szCs w:val="28"/>
        </w:rPr>
        <w:t>采购人与中标人应当根据合同的约定依法履行合同义务。政府采购合同的履行、违约责任和解决争议的方法等适用《中华人民共和国合同法》。</w:t>
      </w:r>
    </w:p>
    <w:p w14:paraId="6D12AC0D">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25.6</w:t>
      </w:r>
      <w:r>
        <w:rPr>
          <w:rFonts w:hint="eastAsia" w:hAnsi="宋体"/>
          <w:sz w:val="24"/>
          <w:szCs w:val="28"/>
        </w:rPr>
        <w:t>采购人应当及时对采购项目进行验收。采购人可以邀请参加本项目的其他磋商人或者第三方机构参与验收。参与验收的磋商人或者第三方机构的意见作为验收书的参考资料一并存档。</w:t>
      </w:r>
    </w:p>
    <w:p w14:paraId="7A174AE9">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25.7</w:t>
      </w:r>
      <w:r>
        <w:rPr>
          <w:rFonts w:hint="eastAsia" w:hAnsi="宋体"/>
          <w:sz w:val="24"/>
          <w:szCs w:val="28"/>
        </w:rPr>
        <w:t>采购人应当加强对中标人的履约管理，并按照采购合同约定，及时向中标人支付采购资金。对于中标人违反采购合同约定的行为，采购人应当及时处理，依法追究其违约责任。</w:t>
      </w:r>
    </w:p>
    <w:p w14:paraId="12051456">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25.8</w:t>
      </w:r>
      <w:r>
        <w:rPr>
          <w:rFonts w:hint="eastAsia" w:hAnsi="宋体"/>
          <w:sz w:val="24"/>
          <w:szCs w:val="28"/>
        </w:rPr>
        <w:t>采购合同签订之日起2个工作日内，由采购单位将采购合同在青海政府采购网上公告，但采购合同中涉及国家秘密、商业秘密的内容除外。</w:t>
      </w:r>
    </w:p>
    <w:p w14:paraId="5F1174A3">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28.9</w:t>
      </w:r>
      <w:r>
        <w:rPr>
          <w:rFonts w:hint="eastAsia" w:hAnsi="宋体"/>
          <w:sz w:val="24"/>
          <w:szCs w:val="28"/>
        </w:rPr>
        <w:t>采购人、采购代理机构应当建立真实完整的招标采购档案，妥善保存每项采购活动的磋商文件。</w:t>
      </w:r>
    </w:p>
    <w:p w14:paraId="45609920">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9" w:name="_Toc1575326"/>
      <w:r>
        <w:rPr>
          <w:rFonts w:hint="eastAsia" w:ascii="宋体" w:hAnsi="宋体" w:eastAsia="宋体" w:cs="宋体"/>
          <w:b/>
          <w:bCs/>
          <w:color w:val="auto"/>
          <w:kern w:val="2"/>
          <w:sz w:val="32"/>
          <w:szCs w:val="32"/>
          <w:lang w:val="en-US" w:eastAsia="zh-CN" w:bidi="ar-SA"/>
        </w:rPr>
        <w:t>十、废标条款</w:t>
      </w:r>
      <w:bookmarkEnd w:id="179"/>
    </w:p>
    <w:p w14:paraId="64753191">
      <w:pPr>
        <w:pStyle w:val="5"/>
        <w:numPr>
          <w:ilvl w:val="0"/>
          <w:numId w:val="0"/>
        </w:numPr>
        <w:spacing w:before="0" w:after="0" w:line="360" w:lineRule="auto"/>
        <w:ind w:leftChars="0"/>
        <w:rPr>
          <w:rFonts w:ascii="宋体" w:hAnsi="宋体"/>
          <w:b w:val="0"/>
        </w:rPr>
      </w:pPr>
      <w:bookmarkStart w:id="180" w:name="_Toc488673642"/>
      <w:bookmarkStart w:id="181" w:name="_Toc1575327"/>
      <w:r>
        <w:rPr>
          <w:rFonts w:hint="eastAsia" w:ascii="宋体" w:hAnsi="宋体"/>
          <w:b w:val="0"/>
          <w:lang w:val="en-US" w:eastAsia="zh-CN"/>
        </w:rPr>
        <w:t>29.</w:t>
      </w:r>
      <w:r>
        <w:rPr>
          <w:rFonts w:hint="eastAsia" w:ascii="宋体" w:hAnsi="宋体"/>
          <w:b w:val="0"/>
        </w:rPr>
        <w:t>废标情形</w:t>
      </w:r>
      <w:bookmarkEnd w:id="180"/>
      <w:bookmarkEnd w:id="181"/>
    </w:p>
    <w:p w14:paraId="1F7DAD0C">
      <w:pPr>
        <w:pStyle w:val="17"/>
        <w:numPr>
          <w:ilvl w:val="0"/>
          <w:numId w:val="0"/>
        </w:numPr>
        <w:spacing w:line="360" w:lineRule="auto"/>
        <w:ind w:firstLine="240" w:firstLineChars="100"/>
        <w:jc w:val="left"/>
        <w:rPr>
          <w:rFonts w:hAnsi="宋体"/>
          <w:sz w:val="24"/>
          <w:szCs w:val="28"/>
        </w:rPr>
      </w:pPr>
      <w:r>
        <w:rPr>
          <w:rFonts w:hint="eastAsia" w:hAnsi="宋体" w:cs="Arial"/>
          <w:sz w:val="24"/>
          <w:szCs w:val="24"/>
          <w:lang w:val="en-US" w:eastAsia="zh-CN"/>
        </w:rPr>
        <w:t>29.1</w:t>
      </w:r>
      <w:r>
        <w:rPr>
          <w:rFonts w:hAnsi="宋体" w:cs="Arial"/>
          <w:sz w:val="24"/>
          <w:szCs w:val="24"/>
        </w:rPr>
        <w:t>在磋商采购中，出现下列情形之一的，应予废标</w:t>
      </w:r>
      <w:r>
        <w:rPr>
          <w:rFonts w:hint="eastAsia" w:hAnsi="宋体" w:cs="Arial"/>
          <w:sz w:val="24"/>
          <w:szCs w:val="24"/>
        </w:rPr>
        <w:t>：</w:t>
      </w:r>
    </w:p>
    <w:p w14:paraId="09F63E3E">
      <w:pPr>
        <w:pStyle w:val="17"/>
        <w:numPr>
          <w:ilvl w:val="0"/>
          <w:numId w:val="16"/>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14:paraId="77F00DE4">
      <w:pPr>
        <w:pStyle w:val="17"/>
        <w:numPr>
          <w:ilvl w:val="0"/>
          <w:numId w:val="16"/>
        </w:numPr>
        <w:spacing w:line="360" w:lineRule="auto"/>
        <w:rPr>
          <w:rFonts w:hAnsi="宋体" w:cs="Arial"/>
          <w:sz w:val="24"/>
          <w:szCs w:val="24"/>
        </w:rPr>
      </w:pPr>
      <w:r>
        <w:rPr>
          <w:rFonts w:hint="eastAsia" w:hAnsi="宋体" w:cs="Arial"/>
          <w:sz w:val="24"/>
          <w:szCs w:val="24"/>
        </w:rPr>
        <w:t>出现影响采购活动正常推进的违法、违规行为的；</w:t>
      </w:r>
    </w:p>
    <w:p w14:paraId="46A3813D">
      <w:pPr>
        <w:pStyle w:val="17"/>
        <w:numPr>
          <w:ilvl w:val="0"/>
          <w:numId w:val="16"/>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14:paraId="6F128902">
      <w:pPr>
        <w:pStyle w:val="17"/>
        <w:numPr>
          <w:ilvl w:val="0"/>
          <w:numId w:val="16"/>
        </w:numPr>
        <w:spacing w:line="360" w:lineRule="auto"/>
        <w:rPr>
          <w:rFonts w:hAnsi="宋体" w:cs="Arial"/>
          <w:sz w:val="24"/>
          <w:szCs w:val="24"/>
        </w:rPr>
      </w:pPr>
      <w:r>
        <w:rPr>
          <w:rFonts w:hint="eastAsia" w:hAnsi="宋体" w:cs="Arial"/>
          <w:sz w:val="24"/>
          <w:szCs w:val="24"/>
        </w:rPr>
        <w:t>因重大变故，采购任务取消的。</w:t>
      </w:r>
    </w:p>
    <w:p w14:paraId="4C171A93">
      <w:pPr>
        <w:pStyle w:val="17"/>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29.2</w:t>
      </w:r>
      <w:r>
        <w:rPr>
          <w:rFonts w:hint="eastAsia" w:hAnsi="宋体"/>
          <w:sz w:val="24"/>
          <w:szCs w:val="28"/>
        </w:rPr>
        <w:t>废标后，由采购代理机构发布废标公告。</w:t>
      </w:r>
    </w:p>
    <w:p w14:paraId="39CB5FD3">
      <w:pPr>
        <w:pStyle w:val="4"/>
        <w:numPr>
          <w:ilvl w:val="2"/>
          <w:numId w:val="0"/>
        </w:numPr>
        <w:ind w:leftChars="0"/>
        <w:jc w:val="center"/>
        <w:rPr>
          <w:rFonts w:hint="eastAsia" w:ascii="宋体" w:hAnsi="宋体" w:eastAsia="宋体" w:cs="宋体"/>
          <w:b/>
          <w:bCs/>
          <w:color w:val="auto"/>
          <w:kern w:val="2"/>
          <w:sz w:val="32"/>
          <w:szCs w:val="32"/>
          <w:lang w:val="en-US" w:eastAsia="zh-CN" w:bidi="ar-SA"/>
        </w:rPr>
      </w:pPr>
      <w:bookmarkStart w:id="182" w:name="_Toc1575328"/>
      <w:r>
        <w:rPr>
          <w:rFonts w:hint="eastAsia" w:ascii="宋体" w:hAnsi="宋体" w:eastAsia="宋体" w:cs="宋体"/>
          <w:b/>
          <w:bCs/>
          <w:color w:val="auto"/>
          <w:kern w:val="2"/>
          <w:sz w:val="32"/>
          <w:szCs w:val="32"/>
          <w:lang w:val="en-US" w:eastAsia="zh-CN" w:bidi="ar-SA"/>
        </w:rPr>
        <w:t>十一、其他</w:t>
      </w:r>
      <w:bookmarkEnd w:id="182"/>
    </w:p>
    <w:p w14:paraId="6087B4D5">
      <w:pPr>
        <w:pStyle w:val="5"/>
        <w:numPr>
          <w:ilvl w:val="0"/>
          <w:numId w:val="0"/>
        </w:numPr>
        <w:spacing w:before="0" w:after="0" w:line="360" w:lineRule="auto"/>
        <w:ind w:leftChars="0"/>
        <w:rPr>
          <w:rFonts w:ascii="宋体" w:hAnsi="宋体"/>
          <w:b w:val="0"/>
        </w:rPr>
      </w:pPr>
      <w:bookmarkStart w:id="183" w:name="_Toc488673644"/>
      <w:bookmarkStart w:id="184" w:name="_Toc1575329"/>
      <w:r>
        <w:rPr>
          <w:rFonts w:hint="eastAsia" w:ascii="宋体" w:hAnsi="宋体"/>
          <w:b w:val="0"/>
          <w:lang w:val="en-US" w:eastAsia="zh-CN"/>
        </w:rPr>
        <w:t>30.</w:t>
      </w:r>
      <w:r>
        <w:rPr>
          <w:rFonts w:hint="eastAsia" w:ascii="宋体" w:hAnsi="宋体"/>
          <w:b w:val="0"/>
        </w:rPr>
        <w:t>串标情形</w:t>
      </w:r>
      <w:bookmarkEnd w:id="183"/>
      <w:bookmarkEnd w:id="184"/>
    </w:p>
    <w:p w14:paraId="7C93373B">
      <w:pPr>
        <w:pStyle w:val="17"/>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30.1</w:t>
      </w:r>
      <w:r>
        <w:rPr>
          <w:rFonts w:hint="eastAsia" w:hAnsi="宋体"/>
          <w:sz w:val="24"/>
          <w:szCs w:val="28"/>
        </w:rPr>
        <w:t>磋商人应当遵循公平竞争的原则，不得恶意串通，不得妨碍其他磋商人的竞争行为，不得损害采购人或者其他磋商人的合法权益</w:t>
      </w:r>
      <w:r>
        <w:rPr>
          <w:rFonts w:hint="eastAsia" w:hAnsi="宋体" w:cs="宋体"/>
        </w:rPr>
        <w:t>。</w:t>
      </w:r>
    </w:p>
    <w:p w14:paraId="699E977B">
      <w:pPr>
        <w:pStyle w:val="17"/>
        <w:spacing w:line="360" w:lineRule="auto"/>
        <w:ind w:firstLine="480" w:firstLineChars="200"/>
        <w:jc w:val="left"/>
        <w:rPr>
          <w:rFonts w:hAnsi="宋体" w:cs="宋体"/>
        </w:rPr>
      </w:pPr>
      <w:r>
        <w:rPr>
          <w:rFonts w:hint="eastAsia" w:hAnsi="宋体"/>
          <w:sz w:val="24"/>
          <w:szCs w:val="28"/>
        </w:rPr>
        <w:t>在评标过程中发现磋商人有上述情形的，评标委员会应当认定其投标无效，并书面报告本级财政部门</w:t>
      </w:r>
      <w:r>
        <w:rPr>
          <w:rFonts w:hint="eastAsia" w:hAnsi="宋体" w:cs="宋体"/>
        </w:rPr>
        <w:t>。</w:t>
      </w:r>
    </w:p>
    <w:p w14:paraId="135BEF08">
      <w:pPr>
        <w:pStyle w:val="17"/>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30.2</w:t>
      </w:r>
      <w:r>
        <w:rPr>
          <w:rFonts w:hint="eastAsia" w:hAnsi="宋体"/>
          <w:sz w:val="24"/>
          <w:szCs w:val="28"/>
        </w:rPr>
        <w:t>有下列情形之一的，视为磋商人串通投标，其投标无效：</w:t>
      </w:r>
    </w:p>
    <w:p w14:paraId="43AACD1E">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不同磋商人的磋商响应文件由同一单位或者个人编制；</w:t>
      </w:r>
    </w:p>
    <w:p w14:paraId="76342266">
      <w:pPr>
        <w:pStyle w:val="17"/>
        <w:numPr>
          <w:ilvl w:val="0"/>
          <w:numId w:val="17"/>
        </w:numPr>
        <w:spacing w:line="360" w:lineRule="auto"/>
        <w:jc w:val="left"/>
        <w:rPr>
          <w:rFonts w:hAnsi="宋体"/>
          <w:sz w:val="24"/>
          <w:szCs w:val="24"/>
        </w:rPr>
      </w:pPr>
      <w:r>
        <w:rPr>
          <w:rFonts w:hint="eastAsia" w:hAnsi="宋体" w:cs="宋体"/>
          <w:sz w:val="24"/>
          <w:szCs w:val="24"/>
        </w:rPr>
        <w:t>不同磋商人委托同一单位或者个人办理投标事宜；</w:t>
      </w:r>
    </w:p>
    <w:p w14:paraId="38B823A2">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不同磋商人的磋商响应文件载明的项目管理成员或者联系人员为同一人；</w:t>
      </w:r>
    </w:p>
    <w:p w14:paraId="551F0188">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不同磋商人的磋商响应文件异常一致或者投标报价呈规律性差异；</w:t>
      </w:r>
    </w:p>
    <w:p w14:paraId="7BBEF39C">
      <w:pPr>
        <w:pStyle w:val="17"/>
        <w:numPr>
          <w:ilvl w:val="0"/>
          <w:numId w:val="17"/>
        </w:numPr>
        <w:spacing w:line="360" w:lineRule="auto"/>
        <w:jc w:val="left"/>
        <w:rPr>
          <w:rFonts w:hAnsi="宋体"/>
          <w:sz w:val="24"/>
          <w:szCs w:val="24"/>
        </w:rPr>
      </w:pPr>
      <w:r>
        <w:rPr>
          <w:rFonts w:hint="eastAsia" w:hAnsi="宋体" w:cs="宋体"/>
          <w:sz w:val="24"/>
          <w:szCs w:val="24"/>
        </w:rPr>
        <w:t>不同磋商人的磋商响应文件相互混装；</w:t>
      </w:r>
    </w:p>
    <w:p w14:paraId="522C8E2B">
      <w:pPr>
        <w:pStyle w:val="17"/>
        <w:numPr>
          <w:ilvl w:val="0"/>
          <w:numId w:val="17"/>
        </w:numPr>
        <w:spacing w:line="360" w:lineRule="auto"/>
        <w:jc w:val="left"/>
        <w:rPr>
          <w:rFonts w:hAnsi="宋体"/>
          <w:sz w:val="24"/>
          <w:szCs w:val="24"/>
        </w:rPr>
      </w:pPr>
      <w:r>
        <w:rPr>
          <w:rFonts w:hint="eastAsia" w:hAnsi="宋体" w:cs="宋体"/>
          <w:sz w:val="24"/>
          <w:szCs w:val="24"/>
        </w:rPr>
        <w:t>不同磋商人的投标保证金从同一单位或者个人的账户转出。</w:t>
      </w:r>
    </w:p>
    <w:p w14:paraId="278A8E26">
      <w:pPr>
        <w:pStyle w:val="17"/>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30.3</w:t>
      </w:r>
      <w:r>
        <w:rPr>
          <w:rFonts w:hint="eastAsia" w:hAnsi="宋体"/>
          <w:sz w:val="24"/>
          <w:szCs w:val="28"/>
        </w:rPr>
        <w:t>其他未尽事宜，按照《中华人民共和国政府采购法》、《中华人民共和国合同法》、《中华人民共和国政府采购法实施条例》、《政府采购竞争性磋商采购方式管理暂行办法》等法律法规的有关条款执行。</w:t>
      </w:r>
    </w:p>
    <w:p w14:paraId="7FC150F9">
      <w:pPr>
        <w:pStyle w:val="24"/>
        <w:spacing w:before="0" w:after="0" w:line="360" w:lineRule="auto"/>
        <w:rPr>
          <w:rFonts w:ascii="宋体" w:hAnsi="宋体"/>
          <w:sz w:val="36"/>
          <w:szCs w:val="36"/>
        </w:rPr>
      </w:pPr>
      <w:r>
        <w:rPr>
          <w:rFonts w:hAnsi="宋体"/>
          <w:sz w:val="24"/>
          <w:szCs w:val="28"/>
        </w:rPr>
        <w:br w:type="page"/>
      </w:r>
      <w:bookmarkStart w:id="185" w:name="_Toc1575330"/>
      <w:r>
        <w:rPr>
          <w:rFonts w:hint="eastAsia" w:ascii="宋体" w:hAnsi="宋体"/>
          <w:sz w:val="36"/>
          <w:szCs w:val="36"/>
        </w:rPr>
        <w:t>第四部分青海省政府采购合同文本样式</w:t>
      </w:r>
      <w:bookmarkEnd w:id="185"/>
    </w:p>
    <w:p w14:paraId="5EFBC921">
      <w:pPr>
        <w:pStyle w:val="17"/>
        <w:spacing w:line="360" w:lineRule="auto"/>
        <w:ind w:firstLine="1124" w:firstLineChars="200"/>
        <w:jc w:val="left"/>
        <w:rPr>
          <w:rFonts w:hAnsi="宋体"/>
          <w:b/>
          <w:sz w:val="56"/>
          <w:szCs w:val="72"/>
        </w:rPr>
      </w:pPr>
    </w:p>
    <w:p w14:paraId="4F716572">
      <w:pPr>
        <w:spacing w:line="360" w:lineRule="auto"/>
        <w:jc w:val="center"/>
        <w:rPr>
          <w:rFonts w:ascii="宋体" w:hAnsi="宋体"/>
          <w:b/>
          <w:spacing w:val="120"/>
          <w:sz w:val="56"/>
          <w:szCs w:val="72"/>
        </w:rPr>
      </w:pPr>
    </w:p>
    <w:p w14:paraId="40E3EDCA">
      <w:pPr>
        <w:spacing w:line="360" w:lineRule="auto"/>
        <w:jc w:val="center"/>
        <w:rPr>
          <w:rFonts w:ascii="宋体" w:hAnsi="宋体"/>
          <w:b/>
          <w:spacing w:val="120"/>
          <w:sz w:val="56"/>
          <w:szCs w:val="72"/>
        </w:rPr>
      </w:pPr>
    </w:p>
    <w:p w14:paraId="47FC61A5">
      <w:pPr>
        <w:spacing w:line="360" w:lineRule="auto"/>
        <w:jc w:val="center"/>
        <w:rPr>
          <w:rFonts w:ascii="宋体" w:hAnsi="宋体"/>
          <w:b/>
          <w:spacing w:val="120"/>
          <w:sz w:val="56"/>
          <w:szCs w:val="72"/>
        </w:rPr>
      </w:pPr>
    </w:p>
    <w:p w14:paraId="0BCB50B0">
      <w:pPr>
        <w:spacing w:line="360" w:lineRule="auto"/>
        <w:jc w:val="center"/>
        <w:rPr>
          <w:rFonts w:ascii="宋体" w:hAnsi="宋体"/>
          <w:b/>
          <w:bCs/>
          <w:sz w:val="72"/>
          <w:szCs w:val="50"/>
          <w:lang w:val="zh-CN"/>
        </w:rPr>
      </w:pPr>
      <w:r>
        <w:rPr>
          <w:rFonts w:hint="eastAsia" w:ascii="宋体" w:hAnsi="宋体"/>
          <w:b/>
          <w:bCs/>
          <w:sz w:val="72"/>
          <w:szCs w:val="50"/>
          <w:lang w:val="zh-CN"/>
        </w:rPr>
        <w:t>青海省政府采购合同书</w:t>
      </w:r>
    </w:p>
    <w:p w14:paraId="0FB5C3A9">
      <w:pPr>
        <w:spacing w:line="360" w:lineRule="auto"/>
        <w:rPr>
          <w:rFonts w:ascii="宋体" w:hAnsi="宋体"/>
          <w:b/>
          <w:sz w:val="56"/>
          <w:szCs w:val="72"/>
        </w:rPr>
      </w:pPr>
    </w:p>
    <w:p w14:paraId="34EE4B2E">
      <w:pPr>
        <w:spacing w:line="360" w:lineRule="auto"/>
        <w:rPr>
          <w:rFonts w:ascii="宋体" w:hAnsi="宋体"/>
          <w:b/>
          <w:sz w:val="56"/>
          <w:szCs w:val="72"/>
        </w:rPr>
      </w:pPr>
    </w:p>
    <w:p w14:paraId="570E4F6F">
      <w:pPr>
        <w:spacing w:line="360" w:lineRule="auto"/>
        <w:rPr>
          <w:rFonts w:ascii="宋体" w:hAnsi="宋体"/>
          <w:b/>
          <w:sz w:val="24"/>
          <w:szCs w:val="28"/>
        </w:rPr>
      </w:pPr>
    </w:p>
    <w:p w14:paraId="3A2BE882">
      <w:pPr>
        <w:spacing w:line="360" w:lineRule="auto"/>
        <w:ind w:left="2316" w:leftChars="357" w:hanging="1566" w:hangingChars="650"/>
        <w:rPr>
          <w:rFonts w:hint="eastAsia" w:ascii="宋体" w:hAnsi="宋体" w:eastAsia="宋体"/>
          <w:b/>
          <w:sz w:val="24"/>
          <w:szCs w:val="28"/>
          <w:u w:val="single"/>
          <w:lang w:eastAsia="zh-CN"/>
        </w:rPr>
      </w:pPr>
      <w:r>
        <w:rPr>
          <w:rFonts w:hint="eastAsia" w:ascii="宋体" w:hAnsi="宋体"/>
          <w:b/>
          <w:sz w:val="24"/>
          <w:szCs w:val="28"/>
        </w:rPr>
        <w:t>采购项目名称：</w:t>
      </w:r>
      <w:r>
        <w:rPr>
          <w:rFonts w:hint="eastAsia" w:ascii="宋体" w:hAnsi="宋体"/>
          <w:b/>
          <w:sz w:val="24"/>
          <w:szCs w:val="28"/>
          <w:u w:val="single"/>
          <w:lang w:eastAsia="zh-CN"/>
        </w:rPr>
        <w:t>海西州高级中学信息化项目</w:t>
      </w:r>
    </w:p>
    <w:p w14:paraId="2D19E25D">
      <w:pPr>
        <w:spacing w:line="360" w:lineRule="auto"/>
        <w:ind w:firstLine="723" w:firstLineChars="300"/>
        <w:rPr>
          <w:rFonts w:ascii="宋体" w:hAnsi="宋体"/>
          <w:b/>
          <w:sz w:val="24"/>
          <w:szCs w:val="28"/>
          <w:u w:val="single"/>
        </w:rPr>
      </w:pPr>
      <w:r>
        <w:rPr>
          <w:rFonts w:ascii="宋体" w:hAnsi="宋体"/>
          <w:b/>
          <w:sz w:val="24"/>
          <w:szCs w:val="28"/>
        </w:rPr>
        <w:t>采购项目编号</w:t>
      </w:r>
      <w:r>
        <w:rPr>
          <w:rFonts w:hint="eastAsia" w:ascii="宋体" w:hAnsi="宋体"/>
          <w:b/>
          <w:sz w:val="24"/>
          <w:szCs w:val="28"/>
        </w:rPr>
        <w:t>：</w:t>
      </w:r>
      <w:r>
        <w:rPr>
          <w:rFonts w:hint="eastAsia" w:ascii="宋体" w:hAnsi="宋体"/>
          <w:b/>
          <w:sz w:val="24"/>
          <w:szCs w:val="28"/>
          <w:u w:val="single"/>
          <w:lang w:eastAsia="zh-CN"/>
        </w:rPr>
        <w:t>青海鹰扬竞磋（货物）2025-001</w:t>
      </w:r>
      <w:r>
        <w:rPr>
          <w:rFonts w:hint="eastAsia" w:ascii="宋体" w:hAnsi="宋体"/>
          <w:b/>
          <w:sz w:val="24"/>
          <w:szCs w:val="28"/>
          <w:u w:val="single"/>
        </w:rPr>
        <w:t xml:space="preserve">                   </w:t>
      </w:r>
    </w:p>
    <w:p w14:paraId="61F913B5">
      <w:pPr>
        <w:spacing w:line="360" w:lineRule="auto"/>
        <w:ind w:firstLine="723" w:firstLineChars="300"/>
        <w:rPr>
          <w:rFonts w:ascii="宋体" w:hAnsi="宋体"/>
          <w:b/>
          <w:sz w:val="24"/>
          <w:szCs w:val="28"/>
          <w:u w:val="single"/>
        </w:rPr>
      </w:pPr>
      <w:r>
        <w:rPr>
          <w:rFonts w:ascii="宋体" w:hAnsi="宋体"/>
          <w:b/>
          <w:sz w:val="24"/>
          <w:szCs w:val="28"/>
        </w:rPr>
        <w:t>采购合同编号</w:t>
      </w:r>
      <w:r>
        <w:rPr>
          <w:rFonts w:hint="eastAsia" w:ascii="宋体" w:hAnsi="宋体"/>
          <w:b/>
          <w:sz w:val="24"/>
          <w:szCs w:val="28"/>
        </w:rPr>
        <w:t>：</w:t>
      </w:r>
      <w:r>
        <w:rPr>
          <w:rFonts w:hint="eastAsia" w:ascii="宋体" w:hAnsi="宋体"/>
          <w:b/>
          <w:sz w:val="24"/>
          <w:szCs w:val="28"/>
          <w:u w:val="single"/>
          <w:lang w:val="en-US" w:eastAsia="zh-CN"/>
        </w:rPr>
        <w:t>QHYY</w:t>
      </w:r>
      <w:r>
        <w:rPr>
          <w:rFonts w:hint="eastAsia" w:ascii="宋体" w:hAnsi="宋体"/>
          <w:b/>
          <w:sz w:val="24"/>
          <w:szCs w:val="28"/>
          <w:u w:val="single"/>
        </w:rPr>
        <w:t>-20</w:t>
      </w:r>
      <w:r>
        <w:rPr>
          <w:rFonts w:hint="eastAsia" w:ascii="宋体" w:hAnsi="宋体" w:eastAsia="宋体" w:cs="Times New Roman"/>
          <w:b/>
          <w:sz w:val="24"/>
          <w:szCs w:val="28"/>
          <w:u w:val="single"/>
          <w:lang w:eastAsia="zh-CN"/>
        </w:rPr>
        <w:t>2</w:t>
      </w:r>
      <w:r>
        <w:rPr>
          <w:rFonts w:hint="eastAsia" w:ascii="宋体" w:hAnsi="宋体" w:cs="Times New Roman"/>
          <w:b/>
          <w:sz w:val="24"/>
          <w:szCs w:val="28"/>
          <w:u w:val="single"/>
          <w:lang w:val="en-US" w:eastAsia="zh-CN"/>
        </w:rPr>
        <w:t>5-0001</w:t>
      </w:r>
      <w:r>
        <w:rPr>
          <w:rFonts w:hint="eastAsia" w:ascii="宋体" w:hAnsi="宋体"/>
          <w:b/>
          <w:sz w:val="24"/>
          <w:szCs w:val="28"/>
          <w:u w:val="single"/>
        </w:rPr>
        <w:t xml:space="preserve">                   </w:t>
      </w:r>
      <w:r>
        <w:rPr>
          <w:rFonts w:hint="eastAsia" w:ascii="宋体" w:hAnsi="宋体"/>
          <w:b/>
          <w:sz w:val="24"/>
          <w:szCs w:val="28"/>
          <w:u w:val="single"/>
          <w:lang w:val="en-US" w:eastAsia="zh-CN"/>
        </w:rPr>
        <w:t xml:space="preserve">             </w:t>
      </w:r>
      <w:r>
        <w:rPr>
          <w:rFonts w:hint="eastAsia" w:ascii="宋体" w:hAnsi="宋体"/>
          <w:b/>
          <w:sz w:val="24"/>
          <w:szCs w:val="28"/>
          <w:u w:val="single"/>
        </w:rPr>
        <w:t xml:space="preserve">      </w:t>
      </w:r>
    </w:p>
    <w:p w14:paraId="50631B5D">
      <w:pPr>
        <w:spacing w:line="360" w:lineRule="auto"/>
        <w:ind w:firstLine="723" w:firstLineChars="3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p>
    <w:p w14:paraId="1EA7132B">
      <w:pPr>
        <w:spacing w:line="360" w:lineRule="auto"/>
        <w:ind w:firstLine="723" w:firstLineChars="300"/>
        <w:rPr>
          <w:rFonts w:ascii="宋体" w:hAnsi="宋体"/>
          <w:b/>
          <w:sz w:val="24"/>
          <w:szCs w:val="28"/>
          <w:u w:val="single"/>
        </w:rPr>
      </w:pPr>
      <w:r>
        <w:rPr>
          <w:rFonts w:hint="eastAsia" w:ascii="宋体" w:hAnsi="宋体"/>
          <w:b/>
          <w:sz w:val="24"/>
          <w:szCs w:val="28"/>
        </w:rPr>
        <w:t>采购单位（</w:t>
      </w:r>
      <w:r>
        <w:rPr>
          <w:rFonts w:ascii="宋体" w:hAnsi="宋体"/>
          <w:b/>
          <w:sz w:val="24"/>
          <w:szCs w:val="28"/>
        </w:rPr>
        <w:t>甲方</w:t>
      </w:r>
      <w:r>
        <w:rPr>
          <w:rFonts w:hint="eastAsia" w:ascii="宋体" w:hAnsi="宋体"/>
          <w:b/>
          <w:sz w:val="24"/>
          <w:szCs w:val="28"/>
        </w:rPr>
        <w:t>）：</w:t>
      </w:r>
      <w:r>
        <w:rPr>
          <w:rFonts w:hint="eastAsia" w:ascii="宋体" w:hAnsi="宋体"/>
          <w:b/>
          <w:sz w:val="24"/>
          <w:szCs w:val="28"/>
          <w:u w:val="single"/>
        </w:rPr>
        <w:t xml:space="preserve">                                        （盖章）</w:t>
      </w:r>
    </w:p>
    <w:p w14:paraId="56E15C64">
      <w:pPr>
        <w:spacing w:line="360" w:lineRule="auto"/>
        <w:ind w:firstLine="723" w:firstLineChars="300"/>
        <w:rPr>
          <w:rFonts w:ascii="宋体" w:hAnsi="宋体"/>
          <w:b/>
          <w:sz w:val="24"/>
          <w:szCs w:val="28"/>
          <w:u w:val="single"/>
        </w:rPr>
      </w:pPr>
      <w:r>
        <w:rPr>
          <w:rFonts w:hint="eastAsia" w:ascii="宋体" w:hAnsi="宋体"/>
          <w:b/>
          <w:sz w:val="24"/>
          <w:szCs w:val="28"/>
        </w:rPr>
        <w:t>成交</w:t>
      </w:r>
      <w:r>
        <w:rPr>
          <w:rFonts w:ascii="宋体" w:hAnsi="宋体"/>
          <w:b/>
          <w:sz w:val="24"/>
          <w:szCs w:val="28"/>
        </w:rPr>
        <w:t>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 xml:space="preserve">）： </w:t>
      </w:r>
      <w:r>
        <w:rPr>
          <w:rFonts w:hint="eastAsia" w:ascii="宋体" w:hAnsi="宋体"/>
          <w:b/>
          <w:sz w:val="24"/>
          <w:szCs w:val="28"/>
          <w:u w:val="single"/>
        </w:rPr>
        <w:t xml:space="preserve">                                 （盖章）</w:t>
      </w:r>
    </w:p>
    <w:p w14:paraId="0B8A1A87">
      <w:pPr>
        <w:spacing w:line="360" w:lineRule="auto"/>
        <w:ind w:firstLine="723" w:firstLineChars="300"/>
        <w:rPr>
          <w:rFonts w:ascii="宋体" w:hAnsi="宋体"/>
          <w:b/>
          <w:sz w:val="24"/>
          <w:szCs w:val="28"/>
          <w:u w:val="single"/>
        </w:rPr>
      </w:pPr>
      <w:r>
        <w:rPr>
          <w:rFonts w:ascii="宋体" w:hAnsi="宋体"/>
          <w:b/>
          <w:sz w:val="24"/>
          <w:szCs w:val="28"/>
        </w:rPr>
        <w:t>采购日期</w:t>
      </w:r>
      <w:r>
        <w:rPr>
          <w:rFonts w:hint="eastAsia" w:ascii="宋体" w:hAnsi="宋体"/>
          <w:b/>
          <w:sz w:val="24"/>
          <w:szCs w:val="28"/>
        </w:rPr>
        <w:t>：</w:t>
      </w:r>
      <w:r>
        <w:rPr>
          <w:rFonts w:hint="eastAsia" w:ascii="宋体" w:hAnsi="宋体"/>
          <w:b/>
          <w:sz w:val="24"/>
          <w:szCs w:val="28"/>
          <w:u w:val="single"/>
        </w:rPr>
        <w:t xml:space="preserve">                                                        </w:t>
      </w:r>
    </w:p>
    <w:p w14:paraId="5AA876DF">
      <w:pPr>
        <w:spacing w:line="360" w:lineRule="auto"/>
        <w:rPr>
          <w:rFonts w:ascii="宋体" w:hAnsi="宋体" w:cs="宋体"/>
          <w:b/>
          <w:sz w:val="24"/>
        </w:rPr>
      </w:pPr>
      <w:r>
        <w:rPr>
          <w:rFonts w:ascii="宋体" w:hAnsi="宋体"/>
          <w:sz w:val="28"/>
          <w:szCs w:val="28"/>
          <w:u w:val="single"/>
        </w:rPr>
        <w:br w:type="page"/>
      </w:r>
      <w:r>
        <w:rPr>
          <w:rFonts w:hint="eastAsia" w:ascii="宋体" w:hAnsi="宋体" w:cs="宋体"/>
          <w:b/>
          <w:sz w:val="24"/>
        </w:rPr>
        <w:t>采购单位（以下简称甲方）：</w:t>
      </w:r>
    </w:p>
    <w:p w14:paraId="3301ECB4">
      <w:pPr>
        <w:spacing w:line="360" w:lineRule="auto"/>
        <w:rPr>
          <w:rFonts w:ascii="宋体" w:hAnsi="宋体" w:cs="宋体"/>
          <w:b/>
          <w:sz w:val="24"/>
        </w:rPr>
      </w:pPr>
      <w:r>
        <w:rPr>
          <w:rFonts w:hint="eastAsia" w:ascii="宋体" w:hAnsi="宋体" w:cs="宋体"/>
          <w:b/>
          <w:sz w:val="24"/>
        </w:rPr>
        <w:t>成交</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14:paraId="3A15C77C">
      <w:pPr>
        <w:spacing w:line="360" w:lineRule="auto"/>
        <w:ind w:firstLine="480" w:firstLineChars="200"/>
        <w:rPr>
          <w:rFonts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val="zh-CN"/>
        </w:rPr>
        <w:t>海西州高级中学信息化项目</w:t>
      </w:r>
      <w:r>
        <w:rPr>
          <w:rFonts w:hint="eastAsia" w:ascii="宋体" w:hAnsi="宋体" w:cs="宋体"/>
          <w:sz w:val="24"/>
        </w:rPr>
        <w:t>（</w:t>
      </w:r>
      <w:r>
        <w:rPr>
          <w:rFonts w:hint="eastAsia" w:ascii="宋体" w:hAnsi="宋体" w:cs="宋体"/>
          <w:sz w:val="24"/>
          <w:lang w:eastAsia="zh-CN"/>
        </w:rPr>
        <w:t>青海鹰扬竞磋（货物）2025-001</w:t>
      </w:r>
      <w:r>
        <w:rPr>
          <w:rFonts w:hint="eastAsia" w:ascii="宋体" w:hAnsi="宋体" w:cs="宋体"/>
          <w:sz w:val="24"/>
        </w:rPr>
        <w:t>）的磋商文件要求和采购代理机构出具的《成交通知书》，并经双方协商一致，签订本合同协议书。</w:t>
      </w:r>
    </w:p>
    <w:p w14:paraId="0A003C6A">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14:paraId="3EDFD30B">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14:paraId="75D94819">
      <w:pPr>
        <w:spacing w:line="360" w:lineRule="auto"/>
        <w:rPr>
          <w:rFonts w:ascii="宋体" w:hAnsi="宋体" w:cs="宋体"/>
          <w:sz w:val="24"/>
        </w:rPr>
      </w:pPr>
      <w:r>
        <w:rPr>
          <w:rFonts w:hint="eastAsia" w:ascii="宋体" w:hAnsi="宋体" w:cs="宋体"/>
          <w:sz w:val="24"/>
        </w:rPr>
        <w:t>1．磋商文件；</w:t>
      </w:r>
    </w:p>
    <w:p w14:paraId="74202C3D">
      <w:pPr>
        <w:spacing w:line="360" w:lineRule="auto"/>
        <w:rPr>
          <w:rFonts w:ascii="宋体" w:hAnsi="宋体" w:cs="宋体"/>
          <w:sz w:val="24"/>
        </w:rPr>
      </w:pPr>
      <w:r>
        <w:rPr>
          <w:rFonts w:hint="eastAsia" w:ascii="宋体" w:hAnsi="宋体" w:cs="宋体"/>
          <w:sz w:val="24"/>
        </w:rPr>
        <w:t>2．磋商文件的更正、变更公告；</w:t>
      </w:r>
    </w:p>
    <w:p w14:paraId="64018424">
      <w:pPr>
        <w:spacing w:line="360" w:lineRule="auto"/>
        <w:rPr>
          <w:rFonts w:ascii="宋体" w:hAnsi="宋体" w:cs="宋体"/>
          <w:sz w:val="24"/>
        </w:rPr>
      </w:pPr>
      <w:r>
        <w:rPr>
          <w:rFonts w:hint="eastAsia" w:ascii="宋体" w:hAnsi="宋体" w:cs="宋体"/>
          <w:sz w:val="24"/>
        </w:rPr>
        <w:t>3．中标磋商供应商提交的磋商响应文件；</w:t>
      </w:r>
    </w:p>
    <w:p w14:paraId="455CEBBB">
      <w:pPr>
        <w:spacing w:line="360" w:lineRule="auto"/>
        <w:rPr>
          <w:rFonts w:ascii="宋体" w:hAnsi="宋体" w:cs="宋体"/>
          <w:sz w:val="24"/>
        </w:rPr>
      </w:pPr>
      <w:r>
        <w:rPr>
          <w:rFonts w:hint="eastAsia" w:ascii="宋体" w:hAnsi="宋体" w:cs="宋体"/>
          <w:sz w:val="24"/>
        </w:rPr>
        <w:t>4．磋商文件中规定的政府采购合同通用条款；</w:t>
      </w:r>
    </w:p>
    <w:p w14:paraId="334DA367">
      <w:pPr>
        <w:spacing w:line="360" w:lineRule="auto"/>
        <w:rPr>
          <w:rFonts w:ascii="宋体" w:hAnsi="宋体" w:cs="宋体"/>
          <w:sz w:val="24"/>
        </w:rPr>
      </w:pPr>
      <w:r>
        <w:rPr>
          <w:rFonts w:hint="eastAsia" w:ascii="宋体" w:hAnsi="宋体" w:cs="宋体"/>
          <w:sz w:val="24"/>
        </w:rPr>
        <w:t>5．成交通知书；</w:t>
      </w:r>
    </w:p>
    <w:p w14:paraId="0B7351A4">
      <w:pPr>
        <w:spacing w:line="360" w:lineRule="auto"/>
        <w:rPr>
          <w:rFonts w:ascii="宋体" w:hAnsi="宋体" w:cs="宋体"/>
          <w:sz w:val="24"/>
        </w:rPr>
      </w:pPr>
      <w:r>
        <w:rPr>
          <w:rFonts w:hint="eastAsia" w:ascii="宋体" w:hAnsi="宋体" w:cs="宋体"/>
          <w:sz w:val="24"/>
        </w:rPr>
        <w:t>6. 履约保证金缴纳证明。</w:t>
      </w:r>
    </w:p>
    <w:p w14:paraId="329B8BD5">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4"/>
        <w:tblW w:w="9644" w:type="dxa"/>
        <w:tblInd w:w="103" w:type="dxa"/>
        <w:tblLayout w:type="fixed"/>
        <w:tblCellMar>
          <w:top w:w="0" w:type="dxa"/>
          <w:left w:w="108" w:type="dxa"/>
          <w:bottom w:w="0" w:type="dxa"/>
          <w:right w:w="108" w:type="dxa"/>
        </w:tblCellMar>
      </w:tblPr>
      <w:tblGrid>
        <w:gridCol w:w="1265"/>
        <w:gridCol w:w="1260"/>
        <w:gridCol w:w="1308"/>
        <w:gridCol w:w="1583"/>
        <w:gridCol w:w="1350"/>
        <w:gridCol w:w="1590"/>
        <w:gridCol w:w="1288"/>
      </w:tblGrid>
      <w:tr w14:paraId="109E0B0C">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71A0A30D">
            <w:pPr>
              <w:spacing w:line="360" w:lineRule="auto"/>
              <w:jc w:val="center"/>
              <w:rPr>
                <w:rFonts w:ascii="宋体" w:hAnsi="宋体"/>
                <w:sz w:val="24"/>
              </w:rPr>
            </w:pPr>
            <w:r>
              <w:rPr>
                <w:rFonts w:hint="eastAsia" w:ascii="宋体" w:hAnsi="宋体"/>
                <w:sz w:val="24"/>
              </w:rPr>
              <w:t>序号</w:t>
            </w:r>
          </w:p>
        </w:tc>
        <w:tc>
          <w:tcPr>
            <w:tcW w:w="1260" w:type="dxa"/>
            <w:tcBorders>
              <w:top w:val="single" w:color="auto" w:sz="4" w:space="0"/>
              <w:left w:val="nil"/>
              <w:bottom w:val="single" w:color="auto" w:sz="4" w:space="0"/>
              <w:right w:val="single" w:color="auto" w:sz="4" w:space="0"/>
            </w:tcBorders>
            <w:shd w:val="clear" w:color="auto" w:fill="FFFFFF"/>
            <w:vAlign w:val="center"/>
          </w:tcPr>
          <w:p w14:paraId="33F332C0">
            <w:pPr>
              <w:spacing w:line="360" w:lineRule="auto"/>
              <w:jc w:val="center"/>
              <w:rPr>
                <w:rFonts w:ascii="宋体" w:hAnsi="宋体"/>
                <w:sz w:val="24"/>
              </w:rPr>
            </w:pPr>
            <w:r>
              <w:rPr>
                <w:rFonts w:hint="eastAsia" w:ascii="宋体" w:hAnsi="宋体"/>
                <w:sz w:val="24"/>
              </w:rPr>
              <w:t>标的名称</w:t>
            </w:r>
          </w:p>
        </w:tc>
        <w:tc>
          <w:tcPr>
            <w:tcW w:w="1308" w:type="dxa"/>
            <w:tcBorders>
              <w:top w:val="single" w:color="auto" w:sz="4" w:space="0"/>
              <w:left w:val="nil"/>
              <w:bottom w:val="single" w:color="auto" w:sz="4" w:space="0"/>
              <w:right w:val="single" w:color="auto" w:sz="4" w:space="0"/>
            </w:tcBorders>
            <w:shd w:val="clear" w:color="auto" w:fill="FFFFFF"/>
            <w:vAlign w:val="center"/>
          </w:tcPr>
          <w:p w14:paraId="0CBF3071">
            <w:pPr>
              <w:spacing w:line="360" w:lineRule="auto"/>
              <w:jc w:val="center"/>
              <w:rPr>
                <w:rFonts w:ascii="宋体" w:hAnsi="宋体"/>
                <w:sz w:val="24"/>
              </w:rPr>
            </w:pPr>
            <w:r>
              <w:rPr>
                <w:rFonts w:hint="eastAsia" w:ascii="宋体" w:hAnsi="宋体"/>
                <w:sz w:val="24"/>
              </w:rPr>
              <w:t>型号规格</w:t>
            </w:r>
          </w:p>
        </w:tc>
        <w:tc>
          <w:tcPr>
            <w:tcW w:w="1583" w:type="dxa"/>
            <w:tcBorders>
              <w:top w:val="single" w:color="auto" w:sz="4" w:space="0"/>
              <w:left w:val="nil"/>
              <w:bottom w:val="single" w:color="auto" w:sz="4" w:space="0"/>
              <w:right w:val="single" w:color="auto" w:sz="4" w:space="0"/>
            </w:tcBorders>
            <w:shd w:val="clear" w:color="auto" w:fill="FFFFFF"/>
            <w:vAlign w:val="center"/>
          </w:tcPr>
          <w:p w14:paraId="2EA02A1B">
            <w:pPr>
              <w:spacing w:line="360" w:lineRule="auto"/>
              <w:jc w:val="center"/>
              <w:rPr>
                <w:rFonts w:hint="default" w:ascii="宋体" w:hAnsi="宋体" w:eastAsia="宋体"/>
                <w:sz w:val="24"/>
                <w:lang w:val="en-US" w:eastAsia="zh-CN"/>
              </w:rPr>
            </w:pPr>
            <w:r>
              <w:rPr>
                <w:rFonts w:hint="eastAsia" w:ascii="宋体" w:hAnsi="宋体"/>
                <w:sz w:val="24"/>
              </w:rPr>
              <w:t>数量</w:t>
            </w:r>
            <w:r>
              <w:rPr>
                <w:rFonts w:hint="eastAsia" w:ascii="宋体" w:hAnsi="宋体"/>
                <w:sz w:val="24"/>
                <w:lang w:val="en-US" w:eastAsia="zh-CN"/>
              </w:rPr>
              <w:t>及单位</w:t>
            </w:r>
          </w:p>
        </w:tc>
        <w:tc>
          <w:tcPr>
            <w:tcW w:w="1350" w:type="dxa"/>
            <w:tcBorders>
              <w:top w:val="single" w:color="auto" w:sz="4" w:space="0"/>
              <w:left w:val="nil"/>
              <w:bottom w:val="single" w:color="auto" w:sz="4" w:space="0"/>
              <w:right w:val="single" w:color="auto" w:sz="4" w:space="0"/>
            </w:tcBorders>
            <w:shd w:val="clear" w:color="auto" w:fill="FFFFFF"/>
            <w:vAlign w:val="center"/>
          </w:tcPr>
          <w:p w14:paraId="6D17C13F">
            <w:pPr>
              <w:spacing w:line="360" w:lineRule="auto"/>
              <w:jc w:val="center"/>
              <w:rPr>
                <w:rFonts w:ascii="宋体" w:hAnsi="宋体"/>
                <w:sz w:val="24"/>
              </w:rPr>
            </w:pPr>
            <w:r>
              <w:rPr>
                <w:rFonts w:hint="eastAsia" w:ascii="宋体" w:hAnsi="宋体"/>
                <w:sz w:val="24"/>
              </w:rPr>
              <w:t>单价</w:t>
            </w:r>
          </w:p>
        </w:tc>
        <w:tc>
          <w:tcPr>
            <w:tcW w:w="1590" w:type="dxa"/>
            <w:tcBorders>
              <w:top w:val="single" w:color="auto" w:sz="4" w:space="0"/>
              <w:left w:val="nil"/>
              <w:bottom w:val="single" w:color="auto" w:sz="4" w:space="0"/>
              <w:right w:val="single" w:color="auto" w:sz="4" w:space="0"/>
            </w:tcBorders>
            <w:shd w:val="clear" w:color="auto" w:fill="FFFFFF"/>
            <w:vAlign w:val="center"/>
          </w:tcPr>
          <w:p w14:paraId="0BBCD170">
            <w:pPr>
              <w:spacing w:line="360" w:lineRule="auto"/>
              <w:jc w:val="center"/>
              <w:rPr>
                <w:rFonts w:ascii="宋体" w:hAnsi="宋体"/>
                <w:sz w:val="24"/>
              </w:rPr>
            </w:pPr>
            <w:r>
              <w:rPr>
                <w:rFonts w:hint="eastAsia" w:ascii="宋体" w:hAnsi="宋体"/>
                <w:sz w:val="24"/>
              </w:rPr>
              <w:t>总价</w:t>
            </w:r>
          </w:p>
        </w:tc>
        <w:tc>
          <w:tcPr>
            <w:tcW w:w="1288" w:type="dxa"/>
            <w:tcBorders>
              <w:top w:val="single" w:color="auto" w:sz="4" w:space="0"/>
              <w:left w:val="nil"/>
              <w:bottom w:val="single" w:color="auto" w:sz="4" w:space="0"/>
              <w:right w:val="single" w:color="auto" w:sz="4" w:space="0"/>
            </w:tcBorders>
            <w:shd w:val="clear" w:color="auto" w:fill="FFFFFF"/>
            <w:vAlign w:val="center"/>
          </w:tcPr>
          <w:p w14:paraId="2C323254">
            <w:pPr>
              <w:spacing w:line="360" w:lineRule="auto"/>
              <w:jc w:val="center"/>
              <w:rPr>
                <w:rFonts w:ascii="宋体" w:hAnsi="宋体"/>
                <w:sz w:val="24"/>
              </w:rPr>
            </w:pPr>
            <w:r>
              <w:rPr>
                <w:rFonts w:hint="eastAsia" w:ascii="宋体" w:hAnsi="宋体"/>
                <w:sz w:val="24"/>
              </w:rPr>
              <w:t>备注</w:t>
            </w:r>
          </w:p>
        </w:tc>
      </w:tr>
      <w:tr w14:paraId="01BE5B6E">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14:paraId="36363C42">
            <w:pPr>
              <w:spacing w:line="360" w:lineRule="auto"/>
              <w:jc w:val="center"/>
              <w:rPr>
                <w:rFonts w:ascii="宋体" w:hAnsi="宋体"/>
                <w:sz w:val="24"/>
              </w:rPr>
            </w:pPr>
            <w:r>
              <w:rPr>
                <w:rFonts w:hint="eastAsia" w:ascii="宋体" w:hAnsi="宋体"/>
                <w:sz w:val="24"/>
              </w:rPr>
              <w:t>1</w:t>
            </w:r>
          </w:p>
        </w:tc>
        <w:tc>
          <w:tcPr>
            <w:tcW w:w="1260" w:type="dxa"/>
            <w:tcBorders>
              <w:top w:val="nil"/>
              <w:left w:val="nil"/>
              <w:bottom w:val="single" w:color="auto" w:sz="4" w:space="0"/>
              <w:right w:val="single" w:color="auto" w:sz="4" w:space="0"/>
            </w:tcBorders>
            <w:shd w:val="clear" w:color="auto" w:fill="FFFFFF"/>
            <w:vAlign w:val="center"/>
          </w:tcPr>
          <w:p w14:paraId="3F453F39">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14:paraId="4425D21B">
            <w:pPr>
              <w:spacing w:line="360" w:lineRule="auto"/>
              <w:jc w:val="center"/>
              <w:rPr>
                <w:rFonts w:ascii="宋体" w:hAnsi="宋体"/>
                <w:sz w:val="24"/>
              </w:rPr>
            </w:pPr>
          </w:p>
        </w:tc>
        <w:tc>
          <w:tcPr>
            <w:tcW w:w="1583" w:type="dxa"/>
            <w:tcBorders>
              <w:top w:val="nil"/>
              <w:left w:val="nil"/>
              <w:bottom w:val="single" w:color="auto" w:sz="4" w:space="0"/>
              <w:right w:val="single" w:color="auto" w:sz="4" w:space="0"/>
            </w:tcBorders>
            <w:shd w:val="clear" w:color="auto" w:fill="FFFFFF"/>
            <w:vAlign w:val="center"/>
          </w:tcPr>
          <w:p w14:paraId="746FE86B">
            <w:pPr>
              <w:spacing w:line="360" w:lineRule="auto"/>
              <w:jc w:val="center"/>
              <w:rPr>
                <w:rFonts w:ascii="宋体" w:hAnsi="宋体"/>
                <w:sz w:val="24"/>
              </w:rPr>
            </w:pPr>
          </w:p>
        </w:tc>
        <w:tc>
          <w:tcPr>
            <w:tcW w:w="1350" w:type="dxa"/>
            <w:tcBorders>
              <w:top w:val="nil"/>
              <w:left w:val="nil"/>
              <w:bottom w:val="single" w:color="auto" w:sz="4" w:space="0"/>
              <w:right w:val="single" w:color="auto" w:sz="4" w:space="0"/>
            </w:tcBorders>
            <w:shd w:val="clear" w:color="auto" w:fill="FFFFFF"/>
            <w:vAlign w:val="center"/>
          </w:tcPr>
          <w:p w14:paraId="07C2BD3B">
            <w:pPr>
              <w:spacing w:line="360" w:lineRule="auto"/>
              <w:jc w:val="center"/>
              <w:rPr>
                <w:rFonts w:ascii="宋体" w:hAnsi="宋体"/>
                <w:sz w:val="24"/>
              </w:rPr>
            </w:pPr>
          </w:p>
        </w:tc>
        <w:tc>
          <w:tcPr>
            <w:tcW w:w="1590" w:type="dxa"/>
            <w:tcBorders>
              <w:top w:val="nil"/>
              <w:left w:val="nil"/>
              <w:bottom w:val="single" w:color="auto" w:sz="4" w:space="0"/>
              <w:right w:val="nil"/>
            </w:tcBorders>
            <w:shd w:val="clear" w:color="auto" w:fill="FFFFFF"/>
            <w:vAlign w:val="center"/>
          </w:tcPr>
          <w:p w14:paraId="2D18A37B">
            <w:pPr>
              <w:spacing w:line="360" w:lineRule="auto"/>
              <w:jc w:val="center"/>
              <w:rPr>
                <w:rFonts w:ascii="宋体" w:hAnsi="宋体"/>
                <w:sz w:val="24"/>
              </w:rPr>
            </w:pPr>
          </w:p>
        </w:tc>
        <w:tc>
          <w:tcPr>
            <w:tcW w:w="1288" w:type="dxa"/>
            <w:tcBorders>
              <w:top w:val="nil"/>
              <w:left w:val="single" w:color="auto" w:sz="4" w:space="0"/>
              <w:bottom w:val="single" w:color="auto" w:sz="4" w:space="0"/>
              <w:right w:val="single" w:color="auto" w:sz="4" w:space="0"/>
            </w:tcBorders>
            <w:shd w:val="clear" w:color="auto" w:fill="FFFFFF"/>
            <w:vAlign w:val="center"/>
          </w:tcPr>
          <w:p w14:paraId="2A4F934E">
            <w:pPr>
              <w:spacing w:line="360" w:lineRule="auto"/>
              <w:jc w:val="center"/>
              <w:rPr>
                <w:rFonts w:ascii="宋体" w:hAnsi="宋体"/>
                <w:sz w:val="24"/>
              </w:rPr>
            </w:pPr>
          </w:p>
        </w:tc>
      </w:tr>
      <w:tr w14:paraId="5E3203DA">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14:paraId="31DCB05E">
            <w:pPr>
              <w:spacing w:line="360" w:lineRule="auto"/>
              <w:jc w:val="center"/>
              <w:rPr>
                <w:rFonts w:ascii="宋体" w:hAnsi="宋体"/>
                <w:sz w:val="24"/>
              </w:rPr>
            </w:pPr>
            <w:r>
              <w:rPr>
                <w:rFonts w:hint="eastAsia" w:ascii="宋体" w:hAnsi="宋体"/>
                <w:sz w:val="24"/>
              </w:rPr>
              <w:t>2</w:t>
            </w:r>
          </w:p>
        </w:tc>
        <w:tc>
          <w:tcPr>
            <w:tcW w:w="1260" w:type="dxa"/>
            <w:tcBorders>
              <w:top w:val="nil"/>
              <w:left w:val="nil"/>
              <w:bottom w:val="single" w:color="auto" w:sz="4" w:space="0"/>
              <w:right w:val="single" w:color="auto" w:sz="4" w:space="0"/>
            </w:tcBorders>
            <w:shd w:val="clear" w:color="auto" w:fill="FFFFFF"/>
            <w:vAlign w:val="center"/>
          </w:tcPr>
          <w:p w14:paraId="408D225E">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14:paraId="77FF3EDE">
            <w:pPr>
              <w:spacing w:line="360" w:lineRule="auto"/>
              <w:jc w:val="center"/>
              <w:rPr>
                <w:rFonts w:ascii="宋体" w:hAnsi="宋体"/>
                <w:sz w:val="24"/>
              </w:rPr>
            </w:pPr>
          </w:p>
        </w:tc>
        <w:tc>
          <w:tcPr>
            <w:tcW w:w="1583" w:type="dxa"/>
            <w:tcBorders>
              <w:top w:val="single" w:color="auto" w:sz="4" w:space="0"/>
              <w:left w:val="nil"/>
              <w:bottom w:val="single" w:color="auto" w:sz="4" w:space="0"/>
              <w:right w:val="single" w:color="auto" w:sz="4" w:space="0"/>
            </w:tcBorders>
            <w:shd w:val="clear" w:color="auto" w:fill="FFFFFF"/>
            <w:vAlign w:val="center"/>
          </w:tcPr>
          <w:p w14:paraId="5D327E4C">
            <w:pPr>
              <w:spacing w:line="360" w:lineRule="auto"/>
              <w:jc w:val="center"/>
              <w:rPr>
                <w:rFonts w:ascii="宋体" w:hAnsi="宋体"/>
                <w:sz w:val="24"/>
              </w:rPr>
            </w:pPr>
          </w:p>
        </w:tc>
        <w:tc>
          <w:tcPr>
            <w:tcW w:w="1350" w:type="dxa"/>
            <w:tcBorders>
              <w:top w:val="nil"/>
              <w:left w:val="nil"/>
              <w:bottom w:val="single" w:color="auto" w:sz="4" w:space="0"/>
              <w:right w:val="single" w:color="auto" w:sz="4" w:space="0"/>
            </w:tcBorders>
            <w:shd w:val="clear" w:color="auto" w:fill="FFFFFF"/>
            <w:vAlign w:val="center"/>
          </w:tcPr>
          <w:p w14:paraId="793E5CFD">
            <w:pPr>
              <w:spacing w:line="360" w:lineRule="auto"/>
              <w:jc w:val="center"/>
              <w:rPr>
                <w:rFonts w:ascii="宋体" w:hAnsi="宋体"/>
                <w:sz w:val="24"/>
              </w:rPr>
            </w:pPr>
          </w:p>
        </w:tc>
        <w:tc>
          <w:tcPr>
            <w:tcW w:w="1590" w:type="dxa"/>
            <w:tcBorders>
              <w:top w:val="nil"/>
              <w:left w:val="nil"/>
              <w:bottom w:val="single" w:color="auto" w:sz="4" w:space="0"/>
              <w:right w:val="nil"/>
            </w:tcBorders>
            <w:shd w:val="clear" w:color="auto" w:fill="FFFFFF"/>
            <w:vAlign w:val="center"/>
          </w:tcPr>
          <w:p w14:paraId="067CE909">
            <w:pPr>
              <w:spacing w:line="360" w:lineRule="auto"/>
              <w:jc w:val="center"/>
              <w:rPr>
                <w:rFonts w:ascii="宋体" w:hAnsi="宋体"/>
                <w:sz w:val="24"/>
              </w:rPr>
            </w:pPr>
          </w:p>
        </w:tc>
        <w:tc>
          <w:tcPr>
            <w:tcW w:w="1288" w:type="dxa"/>
            <w:tcBorders>
              <w:top w:val="nil"/>
              <w:left w:val="single" w:color="auto" w:sz="4" w:space="0"/>
              <w:bottom w:val="single" w:color="auto" w:sz="4" w:space="0"/>
              <w:right w:val="single" w:color="auto" w:sz="4" w:space="0"/>
            </w:tcBorders>
            <w:shd w:val="clear" w:color="auto" w:fill="FFFFFF"/>
            <w:vAlign w:val="center"/>
          </w:tcPr>
          <w:p w14:paraId="5D3A9ECF">
            <w:pPr>
              <w:spacing w:line="360" w:lineRule="auto"/>
              <w:jc w:val="center"/>
              <w:rPr>
                <w:rFonts w:ascii="宋体" w:hAnsi="宋体"/>
                <w:sz w:val="24"/>
              </w:rPr>
            </w:pPr>
          </w:p>
        </w:tc>
      </w:tr>
      <w:tr w14:paraId="2A1F70C9">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14:paraId="6E0D2022">
            <w:pPr>
              <w:spacing w:line="360" w:lineRule="auto"/>
              <w:jc w:val="center"/>
              <w:rPr>
                <w:rFonts w:ascii="宋体" w:hAnsi="宋体"/>
                <w:sz w:val="24"/>
              </w:rPr>
            </w:pPr>
            <w:r>
              <w:rPr>
                <w:rFonts w:hint="eastAsia" w:ascii="宋体" w:hAnsi="宋体"/>
                <w:sz w:val="24"/>
              </w:rPr>
              <w:t>…</w:t>
            </w:r>
          </w:p>
        </w:tc>
        <w:tc>
          <w:tcPr>
            <w:tcW w:w="1260" w:type="dxa"/>
            <w:tcBorders>
              <w:top w:val="single" w:color="auto" w:sz="4" w:space="0"/>
              <w:left w:val="nil"/>
              <w:bottom w:val="single" w:color="auto" w:sz="4" w:space="0"/>
              <w:right w:val="single" w:color="auto" w:sz="4" w:space="0"/>
            </w:tcBorders>
            <w:shd w:val="clear" w:color="auto" w:fill="FFFFFF"/>
            <w:vAlign w:val="center"/>
          </w:tcPr>
          <w:p w14:paraId="48414F43">
            <w:pPr>
              <w:spacing w:line="360" w:lineRule="auto"/>
              <w:jc w:val="center"/>
              <w:rPr>
                <w:rFonts w:ascii="宋体" w:hAnsi="宋体"/>
                <w:sz w:val="24"/>
              </w:rPr>
            </w:pPr>
          </w:p>
        </w:tc>
        <w:tc>
          <w:tcPr>
            <w:tcW w:w="1308" w:type="dxa"/>
            <w:tcBorders>
              <w:top w:val="single" w:color="auto" w:sz="4" w:space="0"/>
              <w:left w:val="nil"/>
              <w:bottom w:val="single" w:color="auto" w:sz="4" w:space="0"/>
              <w:right w:val="single" w:color="auto" w:sz="4" w:space="0"/>
            </w:tcBorders>
            <w:shd w:val="clear" w:color="auto" w:fill="FFFFFF"/>
            <w:vAlign w:val="center"/>
          </w:tcPr>
          <w:p w14:paraId="6A311D23">
            <w:pPr>
              <w:spacing w:line="360" w:lineRule="auto"/>
              <w:jc w:val="center"/>
              <w:rPr>
                <w:rFonts w:ascii="宋体" w:hAnsi="宋体"/>
                <w:sz w:val="24"/>
              </w:rPr>
            </w:pPr>
          </w:p>
        </w:tc>
        <w:tc>
          <w:tcPr>
            <w:tcW w:w="1583" w:type="dxa"/>
            <w:tcBorders>
              <w:top w:val="single" w:color="auto" w:sz="4" w:space="0"/>
              <w:left w:val="nil"/>
              <w:bottom w:val="single" w:color="auto" w:sz="4" w:space="0"/>
              <w:right w:val="single" w:color="auto" w:sz="4" w:space="0"/>
            </w:tcBorders>
            <w:shd w:val="clear" w:color="auto" w:fill="FFFFFF"/>
            <w:vAlign w:val="center"/>
          </w:tcPr>
          <w:p w14:paraId="70643B27">
            <w:pPr>
              <w:spacing w:line="360" w:lineRule="auto"/>
              <w:jc w:val="center"/>
              <w:rPr>
                <w:rFonts w:ascii="宋体" w:hAnsi="宋体"/>
                <w:sz w:val="24"/>
              </w:rPr>
            </w:pPr>
          </w:p>
        </w:tc>
        <w:tc>
          <w:tcPr>
            <w:tcW w:w="1350" w:type="dxa"/>
            <w:tcBorders>
              <w:top w:val="single" w:color="auto" w:sz="4" w:space="0"/>
              <w:left w:val="nil"/>
              <w:bottom w:val="single" w:color="auto" w:sz="4" w:space="0"/>
              <w:right w:val="single" w:color="auto" w:sz="4" w:space="0"/>
            </w:tcBorders>
            <w:shd w:val="clear" w:color="auto" w:fill="FFFFFF"/>
            <w:vAlign w:val="center"/>
          </w:tcPr>
          <w:p w14:paraId="3442B10E">
            <w:pPr>
              <w:spacing w:line="360" w:lineRule="auto"/>
              <w:jc w:val="center"/>
              <w:rPr>
                <w:rFonts w:ascii="宋体" w:hAnsi="宋体"/>
                <w:sz w:val="24"/>
              </w:rPr>
            </w:pPr>
          </w:p>
        </w:tc>
        <w:tc>
          <w:tcPr>
            <w:tcW w:w="1590" w:type="dxa"/>
            <w:tcBorders>
              <w:top w:val="single" w:color="auto" w:sz="4" w:space="0"/>
              <w:left w:val="nil"/>
              <w:bottom w:val="single" w:color="auto" w:sz="4" w:space="0"/>
              <w:right w:val="nil"/>
            </w:tcBorders>
            <w:shd w:val="clear" w:color="auto" w:fill="FFFFFF"/>
            <w:vAlign w:val="center"/>
          </w:tcPr>
          <w:p w14:paraId="38CE27FB">
            <w:pPr>
              <w:spacing w:line="360" w:lineRule="auto"/>
              <w:jc w:val="center"/>
              <w:rPr>
                <w:rFonts w:ascii="宋体" w:hAnsi="宋体"/>
                <w:sz w:val="24"/>
              </w:rPr>
            </w:pPr>
          </w:p>
        </w:tc>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14:paraId="320D9F36">
            <w:pPr>
              <w:spacing w:line="360" w:lineRule="auto"/>
              <w:jc w:val="center"/>
              <w:rPr>
                <w:rFonts w:ascii="宋体" w:hAnsi="宋体"/>
                <w:sz w:val="24"/>
              </w:rPr>
            </w:pPr>
          </w:p>
        </w:tc>
      </w:tr>
    </w:tbl>
    <w:p w14:paraId="5EA78C3B">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w:t>
      </w:r>
    </w:p>
    <w:p w14:paraId="1E8383F6">
      <w:pPr>
        <w:spacing w:line="360" w:lineRule="auto"/>
        <w:ind w:firstLine="480" w:firstLineChars="200"/>
        <w:rPr>
          <w:rFonts w:ascii="宋体" w:hAnsi="宋体"/>
          <w:sz w:val="24"/>
        </w:rPr>
      </w:pPr>
      <w:r>
        <w:rPr>
          <w:rFonts w:hint="eastAsia" w:ascii="宋体" w:hAnsi="宋体"/>
          <w:sz w:val="24"/>
        </w:rPr>
        <w:t>本合同以人民币进行结算，合同总价包括：</w:t>
      </w:r>
      <w:r>
        <w:rPr>
          <w:rFonts w:hint="eastAsia" w:hAnsi="宋体"/>
          <w:sz w:val="24"/>
          <w:szCs w:val="28"/>
          <w:lang w:val="zh-CN"/>
        </w:rPr>
        <w:t>产品费、</w:t>
      </w:r>
      <w:r>
        <w:rPr>
          <w:rFonts w:hint="eastAsia" w:hAnsi="宋体"/>
          <w:sz w:val="24"/>
          <w:szCs w:val="28"/>
          <w:lang w:val="en-US" w:eastAsia="zh-CN"/>
        </w:rPr>
        <w:t>安装费、</w:t>
      </w:r>
      <w:r>
        <w:rPr>
          <w:rFonts w:hint="eastAsia" w:hAnsi="宋体"/>
          <w:sz w:val="24"/>
          <w:szCs w:val="28"/>
          <w:lang w:val="zh-CN"/>
        </w:rPr>
        <w:t>验收费、售前、售中、售后服务费、招标代理费、税金及不可预见费等全部费用。</w:t>
      </w:r>
    </w:p>
    <w:p w14:paraId="28ED1AF3">
      <w:pPr>
        <w:spacing w:line="360" w:lineRule="auto"/>
        <w:ind w:firstLine="480" w:firstLineChars="200"/>
        <w:rPr>
          <w:rFonts w:ascii="宋体" w:hAnsi="宋体"/>
          <w:sz w:val="24"/>
        </w:rPr>
      </w:pPr>
      <w:r>
        <w:rPr>
          <w:rFonts w:hint="eastAsia" w:ascii="宋体" w:hAnsi="宋体"/>
          <w:sz w:val="24"/>
        </w:rPr>
        <w:t>（说明：具体内容应根据项目特点实事求是的填写）</w:t>
      </w:r>
    </w:p>
    <w:p w14:paraId="22E4488D">
      <w:pPr>
        <w:spacing w:line="360" w:lineRule="auto"/>
        <w:rPr>
          <w:rFonts w:ascii="宋体" w:hAnsi="宋体"/>
          <w:b/>
          <w:sz w:val="24"/>
        </w:rPr>
      </w:pPr>
      <w:r>
        <w:rPr>
          <w:rFonts w:hint="eastAsia" w:ascii="宋体" w:hAnsi="宋体"/>
          <w:b/>
          <w:sz w:val="24"/>
        </w:rPr>
        <w:t>三、交付时间、地点和要求</w:t>
      </w:r>
    </w:p>
    <w:p w14:paraId="12BF3904">
      <w:pPr>
        <w:spacing w:line="360" w:lineRule="auto"/>
        <w:rPr>
          <w:rFonts w:ascii="宋体" w:hAnsi="宋体"/>
          <w:sz w:val="24"/>
        </w:rPr>
      </w:pPr>
      <w:r>
        <w:rPr>
          <w:rFonts w:hint="eastAsia" w:ascii="宋体" w:hAnsi="宋体"/>
          <w:sz w:val="24"/>
        </w:rPr>
        <w:t>1.交货期：</w:t>
      </w:r>
      <w:r>
        <w:rPr>
          <w:rFonts w:hint="eastAsia" w:ascii="宋体" w:hAnsi="宋体"/>
          <w:sz w:val="24"/>
          <w:u w:val="single"/>
          <w:lang w:val="en-US" w:eastAsia="zh-CN"/>
        </w:rPr>
        <w:t xml:space="preserve">                     </w:t>
      </w:r>
      <w:r>
        <w:rPr>
          <w:rFonts w:hint="eastAsia" w:ascii="宋体" w:hAnsi="宋体"/>
          <w:sz w:val="24"/>
        </w:rPr>
        <w:t>；</w:t>
      </w:r>
    </w:p>
    <w:p w14:paraId="54D9CCD4">
      <w:pPr>
        <w:spacing w:line="360" w:lineRule="auto"/>
        <w:ind w:firstLine="240" w:firstLineChars="100"/>
        <w:rPr>
          <w:rFonts w:ascii="宋体" w:hAnsi="宋体"/>
          <w:sz w:val="24"/>
        </w:rPr>
      </w:pPr>
      <w:r>
        <w:rPr>
          <w:rFonts w:hint="eastAsia" w:ascii="宋体" w:hAnsi="宋体"/>
          <w:sz w:val="24"/>
        </w:rPr>
        <w:t>交货地点：</w:t>
      </w:r>
      <w:bookmarkStart w:id="186" w:name="_Hlk497746416"/>
      <w:r>
        <w:rPr>
          <w:rFonts w:hint="eastAsia" w:ascii="宋体" w:hAnsi="宋体"/>
          <w:sz w:val="24"/>
          <w:u w:val="single"/>
          <w:lang w:val="en-US" w:eastAsia="zh-CN"/>
        </w:rPr>
        <w:t xml:space="preserve">                   </w:t>
      </w:r>
      <w:r>
        <w:rPr>
          <w:rFonts w:hint="eastAsia" w:ascii="宋体" w:hAnsi="宋体"/>
          <w:sz w:val="24"/>
        </w:rPr>
        <w:t>；</w:t>
      </w:r>
    </w:p>
    <w:p w14:paraId="7FF35BA9">
      <w:pPr>
        <w:spacing w:line="360" w:lineRule="auto"/>
        <w:ind w:firstLine="240" w:firstLineChars="100"/>
        <w:rPr>
          <w:rFonts w:ascii="宋体" w:hAnsi="宋体"/>
          <w:sz w:val="24"/>
        </w:rPr>
      </w:pPr>
      <w:r>
        <w:rPr>
          <w:rFonts w:hint="eastAsia" w:ascii="宋体" w:hAnsi="宋体"/>
          <w:sz w:val="24"/>
        </w:rPr>
        <w:t>质保期：</w:t>
      </w:r>
      <w:r>
        <w:rPr>
          <w:rFonts w:hint="eastAsia" w:ascii="宋体" w:hAnsi="宋体"/>
          <w:sz w:val="24"/>
          <w:u w:val="single"/>
          <w:lang w:val="en-US" w:eastAsia="zh-CN"/>
        </w:rPr>
        <w:t xml:space="preserve">                     </w:t>
      </w:r>
      <w:r>
        <w:rPr>
          <w:rFonts w:hint="eastAsia" w:ascii="宋体" w:hAnsi="宋体"/>
          <w:sz w:val="24"/>
        </w:rPr>
        <w:t>；</w:t>
      </w:r>
    </w:p>
    <w:bookmarkEnd w:id="186"/>
    <w:p w14:paraId="4AD61B42">
      <w:pPr>
        <w:spacing w:line="360" w:lineRule="auto"/>
        <w:rPr>
          <w:rFonts w:ascii="宋体" w:hAnsi="宋体"/>
          <w:sz w:val="24"/>
        </w:rPr>
      </w:pPr>
      <w:r>
        <w:rPr>
          <w:rFonts w:hint="eastAsia" w:ascii="宋体" w:hAnsi="宋体"/>
          <w:sz w:val="24"/>
        </w:rPr>
        <w:t>2.乙方提供不符合磋商响应文件和本合同规定的产品，甲方有权拒绝接受；</w:t>
      </w:r>
    </w:p>
    <w:p w14:paraId="0F6F7810">
      <w:pPr>
        <w:spacing w:line="360" w:lineRule="auto"/>
        <w:rPr>
          <w:rFonts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14:paraId="0B847553">
      <w:pPr>
        <w:spacing w:line="360" w:lineRule="auto"/>
        <w:rPr>
          <w:rFonts w:ascii="宋体" w:hAnsi="宋体"/>
          <w:sz w:val="24"/>
        </w:rPr>
      </w:pPr>
      <w:r>
        <w:rPr>
          <w:rFonts w:hint="eastAsia" w:ascii="宋体" w:hAnsi="宋体"/>
          <w:sz w:val="24"/>
        </w:rPr>
        <w:t>4.甲方应当在到货（安装、调试完）后10个工作日内进行验收，逾期不验收的，乙方可视为验收合格。验收合格后，由甲乙双方签署产品验收单并加盖采购单位公章，甲乙双方各执一份；</w:t>
      </w:r>
    </w:p>
    <w:p w14:paraId="2B7C2710">
      <w:pPr>
        <w:spacing w:line="360" w:lineRule="auto"/>
        <w:rPr>
          <w:rFonts w:ascii="宋体" w:hAnsi="宋体"/>
          <w:sz w:val="24"/>
        </w:rPr>
      </w:pPr>
      <w:r>
        <w:rPr>
          <w:rFonts w:hint="eastAsia" w:ascii="宋体" w:hAnsi="宋体"/>
          <w:sz w:val="24"/>
        </w:rPr>
        <w:t>5.甲方应提供该项目验收报告交同级财政监管部门，由财政部门按规定程序抽验后办理资金拨付；</w:t>
      </w:r>
    </w:p>
    <w:p w14:paraId="4FC40BD9">
      <w:pPr>
        <w:spacing w:line="360" w:lineRule="auto"/>
        <w:rPr>
          <w:rFonts w:ascii="宋体" w:hAnsi="宋体"/>
          <w:sz w:val="24"/>
        </w:rPr>
      </w:pPr>
      <w:r>
        <w:rPr>
          <w:rFonts w:hint="eastAsia" w:ascii="宋体" w:hAnsi="宋体"/>
          <w:sz w:val="24"/>
        </w:rPr>
        <w:t>6.甲方在验收过程中发现乙方有违约问题，可按磋商响应文件的规定要求乙方及时予以解决；</w:t>
      </w:r>
    </w:p>
    <w:p w14:paraId="213126B4">
      <w:pPr>
        <w:spacing w:line="360" w:lineRule="auto"/>
        <w:rPr>
          <w:rFonts w:ascii="宋体" w:hAnsi="宋体"/>
          <w:sz w:val="24"/>
        </w:rPr>
      </w:pPr>
      <w:r>
        <w:rPr>
          <w:rFonts w:hint="eastAsia" w:ascii="宋体" w:hAnsi="宋体"/>
          <w:sz w:val="24"/>
        </w:rPr>
        <w:t>7.乙方向甲方提供产品相关完税销售发票。</w:t>
      </w:r>
    </w:p>
    <w:p w14:paraId="57E8AD23">
      <w:pPr>
        <w:spacing w:line="360" w:lineRule="auto"/>
        <w:rPr>
          <w:rFonts w:ascii="宋体" w:hAnsi="宋体"/>
          <w:b/>
          <w:sz w:val="24"/>
        </w:rPr>
      </w:pPr>
      <w:r>
        <w:rPr>
          <w:rFonts w:hint="eastAsia" w:ascii="宋体" w:hAnsi="宋体"/>
          <w:b/>
          <w:sz w:val="24"/>
        </w:rPr>
        <w:t>四、付款方式</w:t>
      </w:r>
    </w:p>
    <w:p w14:paraId="4DCD7BD7">
      <w:pPr>
        <w:spacing w:line="360" w:lineRule="auto"/>
        <w:ind w:firstLine="480" w:firstLineChars="200"/>
        <w:rPr>
          <w:rFonts w:ascii="宋体" w:hAnsi="宋体"/>
          <w:sz w:val="24"/>
        </w:rPr>
      </w:pPr>
      <w:r>
        <w:rPr>
          <w:rFonts w:hint="eastAsia" w:ascii="宋体" w:hAnsi="宋体"/>
          <w:sz w:val="24"/>
        </w:rPr>
        <w:t>1．本项目是否支付预付款；</w:t>
      </w:r>
    </w:p>
    <w:p w14:paraId="30191EE0">
      <w:pPr>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乙方所交付的产品由甲方验收合格，验收合格后由甲方报同级财政监管部门，申请资金拨付,按合同金额向乙方支付合同总价款的</w:t>
      </w:r>
      <w:r>
        <w:rPr>
          <w:rFonts w:hint="eastAsia" w:ascii="宋体" w:hAnsi="宋体"/>
          <w:sz w:val="24"/>
          <w:u w:val="single"/>
        </w:rPr>
        <w:t xml:space="preserve">     </w:t>
      </w:r>
      <w:r>
        <w:rPr>
          <w:rFonts w:ascii="宋体" w:hAnsi="宋体"/>
          <w:sz w:val="24"/>
        </w:rPr>
        <w:t>%，即人民币（大写）：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元。</w:t>
      </w:r>
      <w:r>
        <w:rPr>
          <w:rFonts w:hint="eastAsia" w:ascii="宋体" w:hAnsi="宋体"/>
          <w:sz w:val="24"/>
        </w:rPr>
        <w:t>合同签订前乙方向甲方提交</w:t>
      </w:r>
      <w:r>
        <w:rPr>
          <w:rFonts w:hint="eastAsia" w:ascii="宋体" w:hAnsi="宋体"/>
          <w:sz w:val="24"/>
          <w:u w:val="single"/>
        </w:rPr>
        <w:t xml:space="preserve">    </w:t>
      </w:r>
      <w:r>
        <w:rPr>
          <w:rFonts w:ascii="宋体" w:hAnsi="宋体"/>
          <w:sz w:val="24"/>
        </w:rPr>
        <w:t>%</w:t>
      </w:r>
      <w:r>
        <w:rPr>
          <w:rFonts w:hint="eastAsia" w:ascii="宋体" w:hAnsi="宋体"/>
          <w:sz w:val="24"/>
        </w:rPr>
        <w:t>履约保证金计（大写）</w:t>
      </w:r>
      <w:r>
        <w:rPr>
          <w:rFonts w:hint="eastAsia" w:ascii="宋体" w:hAnsi="宋体"/>
          <w:sz w:val="24"/>
          <w:u w:val="single"/>
        </w:rPr>
        <w:t xml:space="preserve">              </w:t>
      </w:r>
      <w:r>
        <w:rPr>
          <w:rFonts w:hint="eastAsia" w:ascii="宋体" w:hAnsi="宋体"/>
          <w:sz w:val="24"/>
        </w:rPr>
        <w:t>元转为质量保证金。质量保证金待约定的质保期满</w:t>
      </w:r>
      <w:r>
        <w:rPr>
          <w:rFonts w:hint="eastAsia" w:ascii="宋体" w:hAnsi="宋体"/>
          <w:sz w:val="24"/>
          <w:u w:val="single"/>
        </w:rPr>
        <w:t xml:space="preserve">     </w:t>
      </w:r>
      <w:r>
        <w:rPr>
          <w:rFonts w:hint="eastAsia" w:ascii="宋体" w:hAnsi="宋体"/>
          <w:sz w:val="24"/>
        </w:rPr>
        <w:t>（年）且产品无质量问题后，由乙方提出书面申请，甲方以转账方式予以退还。</w:t>
      </w:r>
    </w:p>
    <w:p w14:paraId="375BCDDD">
      <w:pPr>
        <w:spacing w:line="360" w:lineRule="auto"/>
        <w:ind w:firstLine="480" w:firstLineChars="200"/>
        <w:jc w:val="left"/>
        <w:rPr>
          <w:rFonts w:ascii="宋体" w:hAnsi="宋体"/>
          <w:sz w:val="24"/>
        </w:rPr>
      </w:pPr>
      <w:r>
        <w:rPr>
          <w:rFonts w:hint="eastAsia" w:ascii="宋体" w:hAnsi="宋体"/>
          <w:sz w:val="24"/>
        </w:rPr>
        <w:t>注：付款方式甲乙双方签订合同时约定。</w:t>
      </w:r>
    </w:p>
    <w:p w14:paraId="5D22D7E1">
      <w:pPr>
        <w:autoSpaceDE w:val="0"/>
        <w:autoSpaceDN w:val="0"/>
        <w:spacing w:line="360" w:lineRule="auto"/>
        <w:rPr>
          <w:rFonts w:ascii="宋体" w:hAnsi="宋体"/>
          <w:b/>
          <w:sz w:val="24"/>
        </w:rPr>
      </w:pPr>
      <w:r>
        <w:rPr>
          <w:rFonts w:hint="eastAsia" w:ascii="宋体" w:hAnsi="宋体"/>
          <w:b/>
          <w:sz w:val="24"/>
        </w:rPr>
        <w:t>五、合同的变更、终止与转让</w:t>
      </w:r>
    </w:p>
    <w:p w14:paraId="652A4164">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14:paraId="2EED3CA7">
      <w:pPr>
        <w:spacing w:line="360" w:lineRule="auto"/>
        <w:rPr>
          <w:rFonts w:ascii="宋体" w:hAnsi="宋体"/>
          <w:sz w:val="24"/>
        </w:rPr>
      </w:pPr>
      <w:r>
        <w:rPr>
          <w:rFonts w:hint="eastAsia" w:ascii="宋体" w:hAnsi="宋体"/>
          <w:sz w:val="24"/>
        </w:rPr>
        <w:t>2．乙方不得擅自转让其应履行的合同义务。</w:t>
      </w:r>
    </w:p>
    <w:p w14:paraId="2BE72933">
      <w:pPr>
        <w:spacing w:line="360" w:lineRule="auto"/>
        <w:rPr>
          <w:rFonts w:ascii="宋体" w:hAnsi="宋体"/>
          <w:b/>
          <w:sz w:val="24"/>
        </w:rPr>
      </w:pPr>
      <w:r>
        <w:rPr>
          <w:rFonts w:hint="eastAsia" w:ascii="宋体" w:hAnsi="宋体"/>
          <w:b/>
          <w:sz w:val="24"/>
        </w:rPr>
        <w:t>六、违约责任</w:t>
      </w:r>
    </w:p>
    <w:p w14:paraId="57877A26">
      <w:pPr>
        <w:spacing w:line="360" w:lineRule="auto"/>
        <w:rPr>
          <w:rFonts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14:paraId="2E66F2B4">
      <w:pPr>
        <w:spacing w:line="360" w:lineRule="auto"/>
        <w:rPr>
          <w:rFonts w:ascii="宋体" w:hAnsi="宋体"/>
          <w:sz w:val="24"/>
        </w:rPr>
      </w:pPr>
      <w:r>
        <w:rPr>
          <w:rFonts w:hint="eastAsia" w:ascii="宋体" w:hAnsi="宋体"/>
          <w:sz w:val="24"/>
        </w:rPr>
        <w:t>2．乙方提供的货物如侵犯了第三方权益而引发纠纷或诉讼的，均由乙方负责交涉并承担全部责任；</w:t>
      </w:r>
    </w:p>
    <w:p w14:paraId="557E721A">
      <w:pPr>
        <w:spacing w:line="360" w:lineRule="auto"/>
        <w:rPr>
          <w:rFonts w:ascii="宋体" w:hAnsi="宋体"/>
          <w:sz w:val="24"/>
        </w:rPr>
      </w:pPr>
      <w:r>
        <w:rPr>
          <w:rFonts w:hint="eastAsia" w:ascii="宋体" w:hAnsi="宋体"/>
          <w:sz w:val="24"/>
        </w:rPr>
        <w:t>3．因包装、运输引起的货物损坏，按质量不合格处罚；</w:t>
      </w:r>
    </w:p>
    <w:p w14:paraId="06271773">
      <w:pPr>
        <w:spacing w:line="360" w:lineRule="auto"/>
        <w:rPr>
          <w:rFonts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14:paraId="41CDEDF4">
      <w:pPr>
        <w:spacing w:line="360" w:lineRule="auto"/>
        <w:rPr>
          <w:rFonts w:ascii="宋体" w:hAnsi="宋体"/>
          <w:sz w:val="24"/>
        </w:rPr>
      </w:pPr>
      <w:r>
        <w:rPr>
          <w:rFonts w:hint="eastAsia" w:ascii="宋体" w:hAnsi="宋体"/>
          <w:sz w:val="24"/>
        </w:rPr>
        <w:t>5．乙方未按本合同和磋商文件中规定的服务承诺提供售后服务的，乙方应按本合同合计金额的5%向甲方支付违约金；</w:t>
      </w:r>
    </w:p>
    <w:p w14:paraId="6826638C">
      <w:pPr>
        <w:spacing w:line="360" w:lineRule="auto"/>
        <w:rPr>
          <w:rFonts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14:paraId="3B760C24">
      <w:pPr>
        <w:spacing w:line="360" w:lineRule="auto"/>
        <w:rPr>
          <w:rFonts w:ascii="宋体" w:hAnsi="宋体"/>
          <w:sz w:val="24"/>
        </w:rPr>
      </w:pPr>
      <w:r>
        <w:rPr>
          <w:rFonts w:hint="eastAsia" w:ascii="宋体" w:hAnsi="宋体"/>
          <w:sz w:val="24"/>
        </w:rPr>
        <w:t>7．其它违约行为按违约货款额5%收取违约金并赔偿经济损失。</w:t>
      </w:r>
    </w:p>
    <w:p w14:paraId="2EC84199">
      <w:pPr>
        <w:spacing w:line="360" w:lineRule="auto"/>
        <w:rPr>
          <w:rFonts w:ascii="宋体" w:hAnsi="宋体"/>
          <w:b/>
          <w:sz w:val="24"/>
        </w:rPr>
      </w:pPr>
      <w:r>
        <w:rPr>
          <w:rFonts w:hint="eastAsia" w:ascii="宋体" w:hAnsi="宋体"/>
          <w:b/>
          <w:sz w:val="24"/>
        </w:rPr>
        <w:t>七、不可抗力</w:t>
      </w:r>
    </w:p>
    <w:p w14:paraId="43D3F45C">
      <w:pPr>
        <w:spacing w:line="360" w:lineRule="auto"/>
        <w:rPr>
          <w:rFonts w:ascii="宋体" w:hAnsi="宋体"/>
          <w:sz w:val="24"/>
        </w:rPr>
      </w:pPr>
      <w:r>
        <w:rPr>
          <w:rFonts w:hint="eastAsia" w:ascii="宋体" w:hAnsi="宋体"/>
          <w:sz w:val="24"/>
        </w:rPr>
        <w:t>1．不可抗力使合同的某些内容有变更必要的，双方应通过协商在</w:t>
      </w:r>
      <w:r>
        <w:rPr>
          <w:rFonts w:ascii="宋体" w:hAnsi="宋体"/>
          <w:sz w:val="24"/>
          <w:u w:val="single"/>
        </w:rPr>
        <w:t>3</w:t>
      </w:r>
      <w:r>
        <w:rPr>
          <w:rFonts w:hint="eastAsia" w:ascii="宋体" w:hAnsi="宋体"/>
          <w:sz w:val="24"/>
        </w:rPr>
        <w:t>天内达成进一步履行合同的协议，因不可抗力致使合同不能履行的，合同终止；</w:t>
      </w:r>
    </w:p>
    <w:p w14:paraId="6DC115EE">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14:paraId="0F0B0161">
      <w:pPr>
        <w:spacing w:line="360" w:lineRule="auto"/>
        <w:rPr>
          <w:rFonts w:ascii="宋体" w:hAnsi="宋体"/>
          <w:b/>
          <w:sz w:val="24"/>
        </w:rPr>
      </w:pPr>
      <w:r>
        <w:rPr>
          <w:rFonts w:hint="eastAsia" w:ascii="宋体" w:hAnsi="宋体"/>
          <w:b/>
          <w:sz w:val="24"/>
        </w:rPr>
        <w:t>八、知识产权：</w:t>
      </w:r>
    </w:p>
    <w:p w14:paraId="36D5801B">
      <w:pPr>
        <w:spacing w:line="360" w:lineRule="auto"/>
        <w:rPr>
          <w:rFonts w:ascii="宋体" w:hAnsi="宋体"/>
          <w:b/>
          <w:sz w:val="24"/>
        </w:rPr>
      </w:pPr>
      <w:r>
        <w:rPr>
          <w:rFonts w:hint="eastAsia" w:ascii="宋体" w:hAnsi="宋体"/>
          <w:b/>
          <w:sz w:val="24"/>
        </w:rPr>
        <w:t>九、其他约定：</w:t>
      </w:r>
    </w:p>
    <w:p w14:paraId="79526F22">
      <w:pPr>
        <w:spacing w:line="360" w:lineRule="auto"/>
        <w:rPr>
          <w:rFonts w:ascii="宋体" w:hAnsi="宋体"/>
          <w:b/>
          <w:sz w:val="24"/>
        </w:rPr>
      </w:pPr>
      <w:r>
        <w:rPr>
          <w:rFonts w:hint="eastAsia" w:ascii="宋体" w:hAnsi="宋体"/>
          <w:b/>
          <w:sz w:val="24"/>
        </w:rPr>
        <w:t>十、合同争议解决</w:t>
      </w:r>
    </w:p>
    <w:p w14:paraId="1A821E04">
      <w:pPr>
        <w:spacing w:line="360" w:lineRule="auto"/>
        <w:rPr>
          <w:rFonts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14:paraId="14BF2D87">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14:paraId="40E05D3C">
      <w:pPr>
        <w:spacing w:line="360" w:lineRule="auto"/>
        <w:rPr>
          <w:rFonts w:ascii="宋体" w:hAnsi="宋体"/>
          <w:sz w:val="24"/>
        </w:rPr>
      </w:pPr>
      <w:r>
        <w:rPr>
          <w:rFonts w:hint="eastAsia" w:ascii="宋体" w:hAnsi="宋体"/>
          <w:sz w:val="24"/>
        </w:rPr>
        <w:t>3．诉讼期间，本合同继续履行。</w:t>
      </w:r>
    </w:p>
    <w:p w14:paraId="4EE1788B">
      <w:pPr>
        <w:spacing w:line="360" w:lineRule="auto"/>
        <w:rPr>
          <w:rFonts w:ascii="宋体" w:hAnsi="宋体"/>
          <w:b/>
          <w:sz w:val="24"/>
        </w:rPr>
      </w:pPr>
      <w:r>
        <w:rPr>
          <w:rFonts w:hint="eastAsia" w:ascii="宋体" w:hAnsi="宋体"/>
          <w:b/>
          <w:sz w:val="24"/>
        </w:rPr>
        <w:t>十一、合同生效及其它：</w:t>
      </w:r>
    </w:p>
    <w:p w14:paraId="08A3EB0C">
      <w:pPr>
        <w:spacing w:line="360" w:lineRule="auto"/>
        <w:rPr>
          <w:rFonts w:ascii="宋体" w:hAnsi="宋体"/>
          <w:sz w:val="24"/>
        </w:rPr>
      </w:pPr>
      <w:r>
        <w:rPr>
          <w:rFonts w:hint="eastAsia" w:ascii="宋体" w:hAnsi="宋体"/>
          <w:sz w:val="24"/>
        </w:rPr>
        <w:t>1．本合同一式八份，经双方签字，并加盖公章即为生效；</w:t>
      </w:r>
    </w:p>
    <w:p w14:paraId="5C22637E">
      <w:pPr>
        <w:spacing w:line="360" w:lineRule="auto"/>
        <w:rPr>
          <w:rFonts w:ascii="宋体" w:hAnsi="宋体"/>
          <w:sz w:val="24"/>
        </w:rPr>
      </w:pPr>
      <w:r>
        <w:rPr>
          <w:rFonts w:hint="eastAsia" w:ascii="宋体" w:hAnsi="宋体"/>
          <w:sz w:val="24"/>
        </w:rPr>
        <w:t>2．本合同未尽事宜，按经济合同法有关规定处理；</w:t>
      </w:r>
    </w:p>
    <w:p w14:paraId="631962E6">
      <w:pPr>
        <w:spacing w:line="360" w:lineRule="auto"/>
        <w:rPr>
          <w:rFonts w:ascii="宋体" w:hAnsi="宋体"/>
          <w:sz w:val="24"/>
        </w:rPr>
      </w:pPr>
      <w:r>
        <w:rPr>
          <w:rFonts w:hint="eastAsia" w:ascii="宋体" w:hAnsi="宋体"/>
          <w:sz w:val="24"/>
        </w:rPr>
        <w:t>3．本合同的组成包含《合同通用条款》，可自行在青海政府采购网下载《合同通用条款》</w:t>
      </w:r>
    </w:p>
    <w:p w14:paraId="1E1AA0BC">
      <w:pPr>
        <w:rPr>
          <w:rFonts w:ascii="宋体" w:hAnsi="宋体"/>
          <w:sz w:val="24"/>
        </w:rPr>
      </w:pPr>
      <w:r>
        <w:rPr>
          <w:rFonts w:hint="eastAsia" w:ascii="宋体" w:hAnsi="宋体"/>
          <w:sz w:val="24"/>
        </w:rPr>
        <w:t>甲方（盖章）：                                  乙方（盖章）：</w:t>
      </w:r>
    </w:p>
    <w:p w14:paraId="02E96ED0">
      <w:pPr>
        <w:rPr>
          <w:rFonts w:ascii="宋体" w:hAnsi="宋体"/>
          <w:sz w:val="24"/>
        </w:rPr>
      </w:pPr>
      <w:r>
        <w:rPr>
          <w:rFonts w:hint="eastAsia" w:ascii="宋体" w:hAnsi="宋体"/>
          <w:sz w:val="24"/>
        </w:rPr>
        <w:t>法人或委托人（签字）：                          法人或委托人（签字）：</w:t>
      </w:r>
    </w:p>
    <w:p w14:paraId="499EEBC6">
      <w:pPr>
        <w:rPr>
          <w:rFonts w:ascii="宋体" w:hAnsi="宋体"/>
          <w:sz w:val="24"/>
        </w:rPr>
      </w:pPr>
      <w:r>
        <w:rPr>
          <w:rFonts w:hint="eastAsia" w:ascii="宋体" w:hAnsi="宋体"/>
          <w:sz w:val="24"/>
        </w:rPr>
        <w:t>联系电话：                                      开户银行：</w:t>
      </w:r>
    </w:p>
    <w:p w14:paraId="1671C4FE">
      <w:pPr>
        <w:ind w:firstLine="4320" w:firstLineChars="1800"/>
        <w:rPr>
          <w:rFonts w:ascii="宋体" w:hAnsi="宋体"/>
          <w:sz w:val="24"/>
        </w:rPr>
      </w:pPr>
      <w:r>
        <w:rPr>
          <w:rFonts w:hint="eastAsia" w:ascii="宋体" w:hAnsi="宋体"/>
          <w:sz w:val="24"/>
        </w:rPr>
        <w:t xml:space="preserve">            账号：</w:t>
      </w:r>
    </w:p>
    <w:p w14:paraId="33C9D6A0">
      <w:pPr>
        <w:ind w:firstLine="4320" w:firstLineChars="1800"/>
        <w:rPr>
          <w:rFonts w:ascii="宋体" w:hAnsi="宋体"/>
          <w:sz w:val="24"/>
        </w:rPr>
      </w:pPr>
      <w:r>
        <w:rPr>
          <w:rFonts w:hint="eastAsia" w:ascii="宋体" w:hAnsi="宋体"/>
          <w:sz w:val="24"/>
        </w:rPr>
        <w:t xml:space="preserve">            联系电话：</w:t>
      </w:r>
    </w:p>
    <w:p w14:paraId="37521715">
      <w:pPr>
        <w:jc w:val="center"/>
        <w:rPr>
          <w:rFonts w:ascii="宋体" w:hAnsi="宋体" w:cs="宋体"/>
          <w:kern w:val="0"/>
          <w:sz w:val="24"/>
        </w:rPr>
      </w:pPr>
      <w:r>
        <w:rPr>
          <w:rFonts w:hint="eastAsia" w:ascii="宋体" w:hAnsi="宋体"/>
          <w:sz w:val="24"/>
        </w:rPr>
        <w:t xml:space="preserve">                                      签约时间：    年  月  日</w:t>
      </w:r>
    </w:p>
    <w:p w14:paraId="61F5013E">
      <w:pPr>
        <w:spacing w:line="360" w:lineRule="auto"/>
        <w:rPr>
          <w:rFonts w:ascii="宋体" w:hAnsi="宋体"/>
          <w:sz w:val="24"/>
        </w:rPr>
      </w:pPr>
    </w:p>
    <w:p w14:paraId="3BE1940A">
      <w:pPr>
        <w:spacing w:line="360" w:lineRule="auto"/>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青海鹰扬招标代理有限公司</w:t>
      </w:r>
    </w:p>
    <w:p w14:paraId="0FFEBD93">
      <w:pPr>
        <w:spacing w:line="360" w:lineRule="auto"/>
        <w:rPr>
          <w:rFonts w:ascii="宋体" w:hAnsi="宋体"/>
          <w:sz w:val="24"/>
        </w:rPr>
      </w:pPr>
      <w:r>
        <w:rPr>
          <w:rFonts w:hint="eastAsia" w:ascii="宋体" w:hAnsi="宋体"/>
          <w:sz w:val="24"/>
        </w:rPr>
        <w:t>负责人或经办人：</w:t>
      </w:r>
    </w:p>
    <w:p w14:paraId="0345B7F2">
      <w:pPr>
        <w:spacing w:line="360" w:lineRule="auto"/>
        <w:rPr>
          <w:rFonts w:ascii="宋体" w:hAnsi="宋体"/>
          <w:sz w:val="24"/>
        </w:rPr>
      </w:pPr>
      <w:r>
        <w:rPr>
          <w:rFonts w:hint="eastAsia" w:ascii="宋体" w:hAnsi="宋体"/>
          <w:sz w:val="24"/>
        </w:rPr>
        <w:t>合同备案日期：    年   月   日</w:t>
      </w:r>
    </w:p>
    <w:p w14:paraId="3CDD4E0C">
      <w:pPr>
        <w:spacing w:line="360" w:lineRule="auto"/>
        <w:jc w:val="center"/>
        <w:rPr>
          <w:rFonts w:ascii="宋体" w:hAnsi="宋体" w:cs="宋体"/>
          <w:b/>
          <w:bCs/>
          <w:kern w:val="0"/>
          <w:sz w:val="28"/>
          <w:szCs w:val="28"/>
          <w:lang w:val="zh-CN"/>
        </w:rPr>
      </w:pPr>
      <w:r>
        <w:rPr>
          <w:rFonts w:ascii="宋体" w:hAnsi="宋体"/>
          <w:szCs w:val="28"/>
        </w:rPr>
        <w:br w:type="page"/>
      </w:r>
      <w:r>
        <w:rPr>
          <w:rFonts w:hint="eastAsia" w:ascii="宋体" w:hAnsi="宋体"/>
          <w:b/>
          <w:sz w:val="28"/>
          <w:szCs w:val="28"/>
        </w:rPr>
        <w:t>合同通用条款</w:t>
      </w:r>
    </w:p>
    <w:p w14:paraId="4F0A689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14:paraId="295B118B">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14:paraId="5E80416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14:paraId="282A5D1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14:paraId="2719DBA9">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14:paraId="2C7965E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14:paraId="181FB7C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14:paraId="5F5982C8">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14:paraId="5561E8A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14:paraId="6A06DD8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14:paraId="60FED19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14:paraId="361706D8">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14:paraId="5B4B1CB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14:paraId="5E778A39">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14:paraId="5D1FFEC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14:paraId="33E20A2F">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14:paraId="558647E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14:paraId="6BD63E9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14:paraId="563CF31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14:paraId="257AC9D1">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14:paraId="623A2CD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7B8589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14:paraId="43E865E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3E5364AA">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14:paraId="6BB79A2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14:paraId="27EC6D2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E3C4AE8">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14:paraId="20500FD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14:paraId="07343B2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14:paraId="27F1C458">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362F96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14:paraId="529698F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4347A43">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14:paraId="7A09C51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A6EABA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14:paraId="70EF80AB">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14:paraId="4174D93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14:paraId="5F955C70">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任何对方的技术秘密或专有知识、文件、报告、数据、客户软件、流程图、数据库、发明、知识、贸易秘密。</w:t>
      </w:r>
    </w:p>
    <w:p w14:paraId="71D1B184">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14:paraId="6E9AEED1">
      <w:pPr>
        <w:numPr>
          <w:ilvl w:val="0"/>
          <w:numId w:val="18"/>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14:paraId="1480CFC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14:paraId="64A78DBB">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14:paraId="1BE5795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2E50832C">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BB3E20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00D9137">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14:paraId="4AC256CA">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14:paraId="2023782C">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47F4DD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7CA40FAC">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14:paraId="100AA5E1">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14:paraId="706A1630">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14:paraId="24C4E1E7">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14:paraId="3B261F6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14:paraId="1DBC6A5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14:paraId="777ED92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14:paraId="21647722">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14:paraId="279EA68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5F1344A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14:paraId="23CEACE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14:paraId="5006411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14:paraId="66F19F50">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14:paraId="5A6F797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14:paraId="0E0E4801">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14:paraId="2A11CF21">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14:paraId="3FB91EB4">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14:paraId="0F3A5BBA">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14:paraId="4E769E14">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14:paraId="096748D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14:paraId="207EF49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14:paraId="7C49A898">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7DE03C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61A30C0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14:paraId="56B7C4AD">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14:paraId="682D49A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14:paraId="2DF97590">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14:paraId="45DB46A7">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14:paraId="4C11E929">
      <w:pPr>
        <w:numPr>
          <w:ilvl w:val="0"/>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14:paraId="2BE3E979">
      <w:pPr>
        <w:numPr>
          <w:ilvl w:val="0"/>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14:paraId="425460F7">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14:paraId="7EBFB2A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14:paraId="70AB186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D42B056">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14:paraId="3984F4CE">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14:paraId="7AEF65F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14:paraId="463F3B7D">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14:paraId="2DF8702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14:paraId="2C574FD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14:paraId="079BB96D">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14:paraId="3B1DA42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14:paraId="08FC8CF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14:paraId="65D6F6B6">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14:paraId="4B6BE36F">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14:paraId="18B9577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24694F0B">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14:paraId="268E402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CD270E4">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14:paraId="27DB1823">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9235AD7">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14:paraId="211211A9">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14:paraId="40FD9193">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14:paraId="72640B9C">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14:paraId="56A2AC68">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D1A0AA2">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14:paraId="7110FA8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14:paraId="67C1F759">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14:paraId="456AEBD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14:paraId="097221CE">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14:paraId="281D601A">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14:paraId="2801FB42">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14:paraId="3E86E15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14:paraId="48757D1A">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14:paraId="3A581564">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14:paraId="1F09DF85">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14:paraId="7FD88506">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14:paraId="6F0B2099">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14:paraId="633CDE3E">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14:paraId="029634C7">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14:paraId="72B7F082">
      <w:pPr>
        <w:numPr>
          <w:ilvl w:val="2"/>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14:paraId="3D36727C">
      <w:pPr>
        <w:numPr>
          <w:ilvl w:val="1"/>
          <w:numId w:val="18"/>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E463802">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14:paraId="04E5A1B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73720084">
      <w:pPr>
        <w:numPr>
          <w:ilvl w:val="0"/>
          <w:numId w:val="18"/>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14:paraId="32984D52">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14:paraId="4CAB1D1F">
      <w:pPr>
        <w:numPr>
          <w:ilvl w:val="1"/>
          <w:numId w:val="18"/>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A5989BB">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14:paraId="6D7BAE2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35E3EF52">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14:paraId="15CA254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14:paraId="6A22E786">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14:paraId="511B64D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14:paraId="1A2AE47B">
      <w:pPr>
        <w:numPr>
          <w:ilvl w:val="0"/>
          <w:numId w:val="18"/>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14:paraId="527B6D73">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14:paraId="0C4B0731">
      <w:pPr>
        <w:pStyle w:val="24"/>
        <w:spacing w:before="0" w:after="0" w:line="360" w:lineRule="auto"/>
        <w:rPr>
          <w:rFonts w:ascii="宋体" w:hAnsi="宋体"/>
        </w:rPr>
      </w:pPr>
      <w:r>
        <w:rPr>
          <w:rFonts w:ascii="宋体" w:hAnsi="宋体" w:cs="宋体"/>
          <w:kern w:val="0"/>
          <w:sz w:val="24"/>
          <w:lang w:val="zh-CN"/>
        </w:rPr>
        <w:br w:type="page"/>
      </w:r>
      <w:bookmarkStart w:id="187" w:name="_Toc1575331"/>
      <w:r>
        <w:rPr>
          <w:rFonts w:hint="eastAsia" w:ascii="宋体" w:hAnsi="宋体"/>
          <w:sz w:val="36"/>
          <w:szCs w:val="36"/>
        </w:rPr>
        <w:t>第五部分磋商响应文件格式</w:t>
      </w:r>
      <w:bookmarkEnd w:id="187"/>
    </w:p>
    <w:p w14:paraId="5791B614">
      <w:pPr>
        <w:spacing w:line="360" w:lineRule="auto"/>
        <w:rPr>
          <w:rFonts w:ascii="宋体" w:hAnsi="宋体"/>
          <w:sz w:val="32"/>
        </w:rPr>
      </w:pPr>
    </w:p>
    <w:p w14:paraId="6C2A1E01">
      <w:pPr>
        <w:widowControl/>
        <w:spacing w:line="360" w:lineRule="auto"/>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磋商供应商应严格按照本格式要求编制磋商响应文件，并编制相应页码。</w:t>
      </w:r>
    </w:p>
    <w:p w14:paraId="1832D729">
      <w:pPr>
        <w:rPr>
          <w:b/>
          <w:lang w:val="zh-CN"/>
        </w:rPr>
      </w:pPr>
      <w:r>
        <w:rPr>
          <w:rFonts w:cs="宋体"/>
          <w:kern w:val="0"/>
          <w:szCs w:val="28"/>
          <w:lang w:val="zh-CN"/>
        </w:rPr>
        <w:br w:type="page"/>
      </w:r>
    </w:p>
    <w:p w14:paraId="7402CCE0">
      <w:pPr>
        <w:pStyle w:val="4"/>
        <w:numPr>
          <w:ilvl w:val="0"/>
          <w:numId w:val="0"/>
        </w:numPr>
        <w:ind w:left="709" w:hanging="709"/>
        <w:rPr>
          <w:lang w:val="zh-CN"/>
        </w:rPr>
      </w:pPr>
      <w:bookmarkStart w:id="188" w:name="_Toc1575332"/>
      <w:r>
        <w:rPr>
          <w:rFonts w:hint="eastAsia" w:hAnsi="宋体"/>
          <w:b/>
          <w:sz w:val="32"/>
          <w:lang w:val="zh-CN"/>
        </w:rPr>
        <w:t>一、磋商响应文件封面(上册)</w:t>
      </w:r>
      <w:bookmarkEnd w:id="188"/>
    </w:p>
    <w:p w14:paraId="7D465FBD">
      <w:pPr>
        <w:spacing w:line="360" w:lineRule="auto"/>
        <w:rPr>
          <w:rFonts w:ascii="宋体" w:hAnsi="宋体"/>
          <w:sz w:val="32"/>
        </w:rPr>
      </w:pPr>
    </w:p>
    <w:p w14:paraId="7FD71F49">
      <w:pPr>
        <w:pStyle w:val="11"/>
        <w:rPr>
          <w:rFonts w:ascii="宋体" w:hAnsi="宋体"/>
          <w:sz w:val="32"/>
        </w:rPr>
      </w:pPr>
    </w:p>
    <w:p w14:paraId="2AA00525">
      <w:pPr>
        <w:spacing w:line="360" w:lineRule="auto"/>
        <w:ind w:firstLine="1446" w:firstLineChars="200"/>
        <w:jc w:val="both"/>
        <w:rPr>
          <w:rFonts w:ascii="宋体" w:hAnsi="宋体"/>
          <w:b/>
          <w:sz w:val="96"/>
        </w:rPr>
      </w:pPr>
      <w:r>
        <w:rPr>
          <w:rFonts w:hint="eastAsia" w:ascii="宋体" w:hAnsi="宋体"/>
          <w:b/>
          <w:sz w:val="72"/>
        </w:rPr>
        <w:t>青海省政府采购项目</w:t>
      </w:r>
    </w:p>
    <w:p w14:paraId="2FD30310">
      <w:pPr>
        <w:spacing w:line="360" w:lineRule="auto"/>
        <w:jc w:val="center"/>
        <w:rPr>
          <w:rFonts w:ascii="宋体" w:hAnsi="宋体"/>
          <w:b/>
          <w:sz w:val="48"/>
        </w:rPr>
      </w:pPr>
    </w:p>
    <w:p w14:paraId="4853E2DC">
      <w:pPr>
        <w:spacing w:line="360" w:lineRule="auto"/>
        <w:jc w:val="center"/>
        <w:rPr>
          <w:rFonts w:ascii="宋体" w:hAnsi="宋体"/>
          <w:b/>
          <w:sz w:val="48"/>
        </w:rPr>
      </w:pPr>
    </w:p>
    <w:p w14:paraId="50D5C3F9">
      <w:pPr>
        <w:spacing w:line="360" w:lineRule="auto"/>
        <w:jc w:val="center"/>
        <w:rPr>
          <w:rFonts w:ascii="宋体" w:hAnsi="宋体"/>
          <w:b/>
          <w:sz w:val="56"/>
        </w:rPr>
      </w:pPr>
      <w:r>
        <w:rPr>
          <w:rFonts w:hint="eastAsia" w:ascii="宋体" w:hAnsi="宋体"/>
          <w:b/>
          <w:sz w:val="52"/>
        </w:rPr>
        <w:t>磋商响应文件</w:t>
      </w:r>
    </w:p>
    <w:p w14:paraId="5BAA1646">
      <w:pPr>
        <w:spacing w:line="360" w:lineRule="auto"/>
        <w:jc w:val="center"/>
        <w:rPr>
          <w:rFonts w:ascii="宋体" w:hAnsi="宋体"/>
          <w:b/>
          <w:bCs/>
          <w:sz w:val="32"/>
        </w:rPr>
      </w:pPr>
      <w:r>
        <w:rPr>
          <w:rFonts w:hint="eastAsia" w:ascii="宋体" w:hAnsi="宋体"/>
          <w:b/>
          <w:bCs/>
          <w:sz w:val="32"/>
        </w:rPr>
        <w:t>（上册）</w:t>
      </w:r>
    </w:p>
    <w:p w14:paraId="53C16B31">
      <w:pPr>
        <w:adjustRightInd w:val="0"/>
        <w:spacing w:line="360" w:lineRule="auto"/>
        <w:textAlignment w:val="baseline"/>
        <w:rPr>
          <w:rFonts w:ascii="宋体" w:hAnsi="宋体"/>
          <w:b/>
          <w:bCs/>
          <w:sz w:val="32"/>
        </w:rPr>
      </w:pPr>
    </w:p>
    <w:p w14:paraId="02C828D3">
      <w:pPr>
        <w:adjustRightInd w:val="0"/>
        <w:spacing w:line="360" w:lineRule="auto"/>
        <w:ind w:firstLine="964" w:firstLineChars="300"/>
        <w:textAlignment w:val="baseline"/>
        <w:rPr>
          <w:rFonts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r>
        <w:rPr>
          <w:rFonts w:hint="eastAsia" w:ascii="宋体" w:hAnsi="宋体"/>
          <w:b/>
          <w:bCs/>
          <w:sz w:val="32"/>
          <w:szCs w:val="32"/>
          <w:u w:val="single"/>
        </w:rPr>
        <w:t xml:space="preserve">                        </w:t>
      </w:r>
    </w:p>
    <w:p w14:paraId="1F934AC3">
      <w:pPr>
        <w:adjustRightInd w:val="0"/>
        <w:spacing w:line="360" w:lineRule="auto"/>
        <w:ind w:firstLine="964" w:firstLineChars="3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p>
    <w:p w14:paraId="72B2A04A">
      <w:pPr>
        <w:adjustRightInd w:val="0"/>
        <w:spacing w:line="360" w:lineRule="auto"/>
        <w:ind w:firstLine="964" w:firstLineChars="300"/>
        <w:textAlignment w:val="baseline"/>
        <w:rPr>
          <w:rFonts w:hint="default" w:ascii="宋体" w:hAnsi="宋体" w:eastAsia="宋体"/>
          <w:b/>
          <w:bCs/>
          <w:sz w:val="32"/>
          <w:szCs w:val="32"/>
          <w:lang w:val="en-US" w:eastAsia="zh-CN"/>
        </w:rPr>
      </w:pPr>
      <w:r>
        <w:rPr>
          <w:rFonts w:hint="eastAsia" w:ascii="宋体" w:hAnsi="宋体"/>
          <w:b/>
          <w:bCs/>
          <w:sz w:val="32"/>
          <w:szCs w:val="32"/>
          <w:lang w:val="en-US" w:eastAsia="zh-CN"/>
        </w:rPr>
        <w:t>包        号：</w:t>
      </w:r>
      <w:r>
        <w:rPr>
          <w:rFonts w:hint="eastAsia" w:ascii="宋体" w:hAnsi="宋体"/>
          <w:b/>
          <w:bCs/>
          <w:sz w:val="32"/>
          <w:szCs w:val="32"/>
          <w:u w:val="single"/>
        </w:rPr>
        <w:t xml:space="preserve">                        </w:t>
      </w:r>
    </w:p>
    <w:p w14:paraId="1363B5DD">
      <w:pPr>
        <w:adjustRightInd w:val="0"/>
        <w:spacing w:line="360" w:lineRule="auto"/>
        <w:ind w:firstLine="964" w:firstLineChars="300"/>
        <w:textAlignment w:val="baseline"/>
        <w:rPr>
          <w:rFonts w:ascii="宋体" w:hAnsi="宋体"/>
          <w:b/>
          <w:bCs/>
          <w:sz w:val="32"/>
          <w:szCs w:val="32"/>
        </w:rPr>
      </w:pPr>
    </w:p>
    <w:p w14:paraId="5D0C350E">
      <w:pPr>
        <w:adjustRightInd w:val="0"/>
        <w:spacing w:line="360" w:lineRule="auto"/>
        <w:ind w:firstLine="964" w:firstLineChars="3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43658AA3">
      <w:pPr>
        <w:adjustRightInd w:val="0"/>
        <w:spacing w:line="360" w:lineRule="auto"/>
        <w:ind w:firstLine="964" w:firstLineChars="3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w:t>
      </w:r>
      <w:r>
        <w:rPr>
          <w:rFonts w:hint="eastAsia" w:ascii="宋体" w:hAnsi="宋体"/>
          <w:b/>
          <w:sz w:val="32"/>
          <w:szCs w:val="32"/>
          <w:u w:val="single"/>
        </w:rPr>
        <w:t>（</w:t>
      </w:r>
      <w:r>
        <w:rPr>
          <w:rFonts w:hint="eastAsia" w:ascii="宋体" w:hAnsi="宋体"/>
          <w:b/>
          <w:sz w:val="32"/>
          <w:u w:val="single"/>
        </w:rPr>
        <w:t>签字</w:t>
      </w:r>
      <w:r>
        <w:rPr>
          <w:rFonts w:hint="eastAsia" w:ascii="宋体" w:hAnsi="宋体"/>
          <w:b/>
          <w:sz w:val="32"/>
          <w:u w:val="single"/>
          <w:lang w:val="en-US" w:eastAsia="zh-CN"/>
        </w:rPr>
        <w:t>或盖章</w:t>
      </w:r>
      <w:r>
        <w:rPr>
          <w:rFonts w:hint="eastAsia" w:ascii="宋体" w:hAnsi="宋体"/>
          <w:b/>
          <w:sz w:val="32"/>
          <w:u w:val="single"/>
        </w:rPr>
        <w:t>）</w:t>
      </w:r>
    </w:p>
    <w:p w14:paraId="7BE8F81C">
      <w:pPr>
        <w:spacing w:line="360" w:lineRule="auto"/>
        <w:jc w:val="both"/>
        <w:rPr>
          <w:rFonts w:hint="eastAsia" w:ascii="宋体" w:hAnsi="宋体"/>
          <w:b/>
          <w:bCs/>
          <w:sz w:val="32"/>
        </w:rPr>
      </w:pPr>
    </w:p>
    <w:p w14:paraId="35AE5C3C">
      <w:pPr>
        <w:spacing w:line="360" w:lineRule="auto"/>
        <w:ind w:firstLine="3534" w:firstLineChars="1100"/>
        <w:jc w:val="both"/>
        <w:rPr>
          <w:rFonts w:ascii="宋体" w:hAnsi="宋体"/>
          <w:b/>
          <w:bCs/>
          <w:sz w:val="32"/>
        </w:rPr>
      </w:pPr>
      <w:r>
        <w:rPr>
          <w:rFonts w:hint="eastAsia" w:ascii="宋体" w:hAnsi="宋体"/>
          <w:b/>
          <w:bCs/>
          <w:sz w:val="32"/>
        </w:rPr>
        <w:t>日期： 年   月   日</w:t>
      </w:r>
      <w:bookmarkStart w:id="189" w:name="_Toc444715735"/>
    </w:p>
    <w:p w14:paraId="4FC10866">
      <w:pPr>
        <w:pStyle w:val="4"/>
        <w:numPr>
          <w:ilvl w:val="0"/>
          <w:numId w:val="0"/>
        </w:numPr>
        <w:ind w:left="709" w:hanging="709"/>
        <w:rPr>
          <w:rFonts w:hAnsi="宋体"/>
          <w:b/>
          <w:sz w:val="32"/>
          <w:lang w:val="zh-CN"/>
        </w:rPr>
      </w:pPr>
      <w:r>
        <w:rPr>
          <w:rFonts w:hAnsi="宋体"/>
        </w:rPr>
        <w:br w:type="page"/>
      </w:r>
      <w:bookmarkStart w:id="190" w:name="_Toc1575333"/>
      <w:r>
        <w:rPr>
          <w:rFonts w:hint="eastAsia" w:hAnsi="宋体"/>
          <w:b/>
        </w:rPr>
        <w:t>二、</w:t>
      </w:r>
      <w:r>
        <w:rPr>
          <w:rFonts w:hint="eastAsia" w:hAnsi="宋体"/>
          <w:b/>
          <w:sz w:val="32"/>
          <w:lang w:val="zh-CN"/>
        </w:rPr>
        <w:t>磋商响应文件目录</w:t>
      </w:r>
      <w:bookmarkEnd w:id="189"/>
      <w:r>
        <w:rPr>
          <w:rFonts w:hint="eastAsia" w:hAnsi="宋体"/>
          <w:b/>
          <w:sz w:val="32"/>
          <w:lang w:val="zh-CN"/>
        </w:rPr>
        <w:t>（上册）</w:t>
      </w:r>
      <w:bookmarkEnd w:id="190"/>
    </w:p>
    <w:p w14:paraId="2DEA984B">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函……………………………………………………………所在页码</w:t>
      </w:r>
    </w:p>
    <w:p w14:paraId="5701E0C1">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）法定代表人证明书………………………………………………所在页码</w:t>
      </w:r>
    </w:p>
    <w:p w14:paraId="3CA8AE7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）法定代表人授权书………………………………………………所在页码</w:t>
      </w:r>
    </w:p>
    <w:p w14:paraId="0D1A3314">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（4）磋商供应商承诺书………………………………………………所在页码</w:t>
      </w:r>
    </w:p>
    <w:p w14:paraId="54D23453">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）供应商诚信承诺书………………………………………………所在页码</w:t>
      </w:r>
    </w:p>
    <w:p w14:paraId="00330F1A">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）资格证明材料……………………………………………………所在页码</w:t>
      </w:r>
    </w:p>
    <w:p w14:paraId="2725D3B9">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14:paraId="517D7D4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（8）具备履行合同所必须的设备和专业技术能力证明……………所在页码</w:t>
      </w:r>
    </w:p>
    <w:p w14:paraId="2FF8329C">
      <w:pPr>
        <w:autoSpaceDE w:val="0"/>
        <w:autoSpaceDN w:val="0"/>
        <w:spacing w:line="360" w:lineRule="auto"/>
        <w:ind w:firstLine="1080" w:firstLineChars="450"/>
        <w:rPr>
          <w:rFonts w:ascii="宋体" w:hAnsi="宋体" w:cs="宋体"/>
          <w:kern w:val="0"/>
          <w:sz w:val="24"/>
          <w:lang w:val="zh-CN"/>
        </w:rPr>
      </w:pPr>
      <w:r>
        <w:rPr>
          <w:rFonts w:hint="eastAsia" w:ascii="宋体" w:hAnsi="宋体" w:cs="宋体"/>
          <w:kern w:val="0"/>
          <w:sz w:val="24"/>
          <w:lang w:val="zh-CN"/>
        </w:rPr>
        <w:t>（9）</w:t>
      </w:r>
      <w:r>
        <w:rPr>
          <w:rFonts w:hint="eastAsia" w:ascii="宋体" w:hAnsi="宋体" w:cs="宋体"/>
          <w:sz w:val="24"/>
        </w:rPr>
        <w:t>磋商保证金证明</w:t>
      </w:r>
      <w:r>
        <w:rPr>
          <w:rFonts w:hint="eastAsia" w:ascii="宋体" w:hAnsi="宋体" w:cs="宋体"/>
          <w:kern w:val="0"/>
          <w:sz w:val="24"/>
          <w:lang w:val="zh-CN"/>
        </w:rPr>
        <w:t>…………………………………………………所在页码</w:t>
      </w:r>
    </w:p>
    <w:p w14:paraId="18F42E3F">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（10）无重大违法记录声明……………………………………………所在页码</w:t>
      </w:r>
    </w:p>
    <w:p w14:paraId="5B3CDC41">
      <w:pPr>
        <w:autoSpaceDE w:val="0"/>
        <w:autoSpaceDN w:val="0"/>
        <w:spacing w:line="360" w:lineRule="auto"/>
        <w:ind w:firstLine="240" w:firstLineChars="100"/>
        <w:rPr>
          <w:rFonts w:ascii="宋体" w:hAnsi="宋体" w:cs="宋体"/>
          <w:kern w:val="0"/>
          <w:sz w:val="24"/>
          <w:lang w:val="zh-CN"/>
        </w:rPr>
      </w:pPr>
    </w:p>
    <w:p w14:paraId="5CADC45E">
      <w:pPr>
        <w:pStyle w:val="4"/>
        <w:numPr>
          <w:ilvl w:val="0"/>
          <w:numId w:val="0"/>
        </w:numPr>
        <w:ind w:left="709" w:hanging="709"/>
        <w:rPr>
          <w:rFonts w:hAnsi="宋体"/>
        </w:rPr>
      </w:pPr>
      <w:r>
        <w:rPr>
          <w:rFonts w:hAnsi="宋体"/>
          <w:b/>
          <w:bCs/>
        </w:rPr>
        <w:br w:type="page"/>
      </w:r>
      <w:bookmarkStart w:id="191" w:name="_Toc1575334"/>
      <w:r>
        <w:rPr>
          <w:rFonts w:hint="eastAsia" w:hAnsi="宋体"/>
          <w:b/>
          <w:sz w:val="32"/>
          <w:lang w:val="zh-CN"/>
        </w:rPr>
        <w:t>格式1、磋商函</w:t>
      </w:r>
      <w:bookmarkEnd w:id="191"/>
    </w:p>
    <w:p w14:paraId="24697A69">
      <w:pPr>
        <w:adjustRightInd w:val="0"/>
        <w:spacing w:line="360" w:lineRule="auto"/>
        <w:jc w:val="center"/>
        <w:textAlignment w:val="baseline"/>
        <w:rPr>
          <w:rFonts w:ascii="宋体" w:hAnsi="宋体"/>
          <w:b/>
          <w:sz w:val="30"/>
          <w:szCs w:val="30"/>
        </w:rPr>
      </w:pPr>
      <w:r>
        <w:rPr>
          <w:rFonts w:hint="eastAsia" w:ascii="宋体" w:hAnsi="宋体"/>
          <w:b/>
          <w:sz w:val="30"/>
          <w:szCs w:val="30"/>
        </w:rPr>
        <w:t>磋 商 函</w:t>
      </w:r>
    </w:p>
    <w:p w14:paraId="7974549E">
      <w:pPr>
        <w:adjustRightInd w:val="0"/>
        <w:spacing w:line="360" w:lineRule="auto"/>
        <w:ind w:left="482" w:hanging="482" w:hangingChars="200"/>
        <w:textAlignment w:val="baseline"/>
        <w:rPr>
          <w:rFonts w:hint="eastAsia" w:ascii="宋体" w:hAnsi="宋体" w:eastAsia="宋体"/>
          <w:b/>
          <w:sz w:val="24"/>
          <w:lang w:eastAsia="zh-CN"/>
        </w:rPr>
      </w:pPr>
      <w:r>
        <w:rPr>
          <w:rFonts w:hint="eastAsia" w:ascii="宋体" w:hAnsi="宋体"/>
          <w:b/>
          <w:sz w:val="24"/>
        </w:rPr>
        <w:t>致：</w:t>
      </w:r>
      <w:r>
        <w:rPr>
          <w:rFonts w:hint="eastAsia" w:ascii="宋体" w:hAnsi="宋体"/>
          <w:b/>
          <w:sz w:val="24"/>
          <w:lang w:eastAsia="zh-CN"/>
        </w:rPr>
        <w:t>青海鹰扬招标代理有限公司</w:t>
      </w:r>
    </w:p>
    <w:p w14:paraId="5B6FBBEC">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lang w:eastAsia="zh-CN"/>
        </w:rPr>
        <w:t>海西州高级中学信息化项目</w:t>
      </w:r>
      <w:r>
        <w:rPr>
          <w:rFonts w:hint="eastAsia" w:ascii="宋体" w:hAnsi="宋体"/>
          <w:sz w:val="24"/>
          <w:u w:val="single"/>
        </w:rPr>
        <w:t>（</w:t>
      </w:r>
      <w:r>
        <w:rPr>
          <w:rFonts w:hint="eastAsia" w:ascii="宋体" w:hAnsi="宋体"/>
          <w:sz w:val="24"/>
          <w:u w:val="single"/>
          <w:lang w:eastAsia="zh-CN"/>
        </w:rPr>
        <w:t>青海鹰扬竞磋（货物）2025-001</w:t>
      </w:r>
      <w:r>
        <w:rPr>
          <w:rFonts w:hint="eastAsia" w:ascii="宋体" w:hAnsi="宋体"/>
          <w:sz w:val="24"/>
          <w:u w:val="single"/>
        </w:rPr>
        <w:t>）</w:t>
      </w:r>
      <w:r>
        <w:rPr>
          <w:rFonts w:hint="eastAsia" w:ascii="宋体" w:hAnsi="宋体"/>
          <w:sz w:val="24"/>
        </w:rPr>
        <w:t>磋商文件，经研究，法定代表人（姓名、职务）正式授权（委托代理人姓名、职务）代表磋商供应商（磋商供应商名称、地址）提交磋商响应文件。</w:t>
      </w:r>
    </w:p>
    <w:p w14:paraId="232B25FF">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14:paraId="4674B30D">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14:paraId="280A59DC">
      <w:pPr>
        <w:adjustRightInd w:val="0"/>
        <w:spacing w:line="360" w:lineRule="auto"/>
        <w:ind w:firstLine="480" w:firstLineChars="200"/>
        <w:textAlignment w:val="baseline"/>
        <w:rPr>
          <w:rFonts w:ascii="宋体" w:hAnsi="宋体"/>
          <w:sz w:val="24"/>
        </w:rPr>
      </w:pPr>
      <w:r>
        <w:rPr>
          <w:rFonts w:hint="eastAsia" w:ascii="宋体" w:hAnsi="宋体"/>
          <w:sz w:val="24"/>
        </w:rPr>
        <w:t>2.磋商有效期自磋商之日起</w:t>
      </w:r>
      <w:r>
        <w:rPr>
          <w:rFonts w:hint="eastAsia" w:ascii="宋体" w:hAnsi="宋体"/>
          <w:sz w:val="24"/>
          <w:u w:val="single"/>
        </w:rPr>
        <w:t xml:space="preserve">       </w:t>
      </w:r>
      <w:r>
        <w:rPr>
          <w:rFonts w:hint="eastAsia" w:ascii="宋体" w:hAnsi="宋体"/>
          <w:sz w:val="24"/>
        </w:rPr>
        <w:t>日历日内有效。</w:t>
      </w:r>
    </w:p>
    <w:p w14:paraId="0CF146E9">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14:paraId="7CD11E0B">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14:paraId="047B7524">
      <w:pPr>
        <w:adjustRightInd w:val="0"/>
        <w:spacing w:line="360" w:lineRule="auto"/>
        <w:ind w:firstLine="480" w:firstLineChars="200"/>
        <w:textAlignment w:val="baseline"/>
        <w:rPr>
          <w:rFonts w:ascii="宋体" w:hAnsi="宋体"/>
          <w:sz w:val="24"/>
        </w:rPr>
      </w:pPr>
    </w:p>
    <w:p w14:paraId="157867C7">
      <w:pPr>
        <w:adjustRightInd w:val="0"/>
        <w:spacing w:line="360" w:lineRule="auto"/>
        <w:textAlignment w:val="baseline"/>
        <w:rPr>
          <w:rFonts w:ascii="宋体" w:hAnsi="宋体"/>
          <w:sz w:val="24"/>
        </w:rPr>
      </w:pPr>
      <w:r>
        <w:rPr>
          <w:rFonts w:hint="eastAsia" w:ascii="宋体" w:hAnsi="宋体"/>
          <w:sz w:val="24"/>
        </w:rPr>
        <w:t>地址：                               邮编：</w:t>
      </w:r>
    </w:p>
    <w:p w14:paraId="3473F008">
      <w:pPr>
        <w:adjustRightInd w:val="0"/>
        <w:spacing w:line="360" w:lineRule="auto"/>
        <w:textAlignment w:val="baseline"/>
        <w:rPr>
          <w:rFonts w:ascii="宋体" w:hAnsi="宋体"/>
          <w:sz w:val="24"/>
        </w:rPr>
      </w:pPr>
    </w:p>
    <w:p w14:paraId="67D0CD01">
      <w:pPr>
        <w:adjustRightInd w:val="0"/>
        <w:spacing w:line="360" w:lineRule="auto"/>
        <w:textAlignment w:val="baseline"/>
        <w:rPr>
          <w:rFonts w:ascii="宋体" w:hAnsi="宋体"/>
          <w:sz w:val="24"/>
        </w:rPr>
      </w:pPr>
      <w:r>
        <w:rPr>
          <w:rFonts w:hint="eastAsia" w:ascii="宋体" w:hAnsi="宋体"/>
          <w:sz w:val="24"/>
        </w:rPr>
        <w:t>电话：                               传真：</w:t>
      </w:r>
    </w:p>
    <w:p w14:paraId="466EA317">
      <w:pPr>
        <w:adjustRightInd w:val="0"/>
        <w:spacing w:line="360" w:lineRule="auto"/>
        <w:textAlignment w:val="baseline"/>
        <w:rPr>
          <w:rFonts w:ascii="宋体" w:hAnsi="宋体"/>
          <w:sz w:val="24"/>
        </w:rPr>
      </w:pPr>
    </w:p>
    <w:p w14:paraId="2EADFCCC">
      <w:pPr>
        <w:adjustRightInd w:val="0"/>
        <w:spacing w:line="360" w:lineRule="auto"/>
        <w:textAlignment w:val="baseline"/>
        <w:rPr>
          <w:rFonts w:ascii="宋体" w:hAnsi="宋体"/>
          <w:sz w:val="24"/>
        </w:rPr>
      </w:pPr>
      <w:r>
        <w:rPr>
          <w:rFonts w:hint="eastAsia" w:ascii="宋体" w:hAnsi="宋体"/>
          <w:sz w:val="24"/>
        </w:rPr>
        <w:t>法定代表人姓名：                     职务：</w:t>
      </w:r>
      <w:bookmarkStart w:id="192" w:name="_Toc444715736"/>
    </w:p>
    <w:p w14:paraId="05090425">
      <w:pPr>
        <w:tabs>
          <w:tab w:val="left" w:pos="168"/>
        </w:tabs>
        <w:adjustRightInd w:val="0"/>
        <w:spacing w:line="360" w:lineRule="auto"/>
        <w:ind w:right="480"/>
        <w:jc w:val="right"/>
        <w:textAlignment w:val="baseline"/>
        <w:rPr>
          <w:rFonts w:ascii="宋体" w:hAnsi="宋体"/>
          <w:bCs/>
          <w:sz w:val="24"/>
          <w:szCs w:val="28"/>
        </w:rPr>
      </w:pPr>
    </w:p>
    <w:p w14:paraId="545C474F">
      <w:pPr>
        <w:tabs>
          <w:tab w:val="left" w:pos="168"/>
        </w:tabs>
        <w:adjustRightInd w:val="0"/>
        <w:spacing w:line="360" w:lineRule="auto"/>
        <w:jc w:val="right"/>
        <w:textAlignment w:val="baseline"/>
        <w:rPr>
          <w:rFonts w:ascii="宋体" w:hAnsi="宋体"/>
          <w:bCs/>
          <w:sz w:val="24"/>
          <w:szCs w:val="28"/>
        </w:rPr>
      </w:pPr>
    </w:p>
    <w:p w14:paraId="3621B55C">
      <w:pPr>
        <w:tabs>
          <w:tab w:val="left" w:pos="168"/>
        </w:tabs>
        <w:adjustRightInd w:val="0"/>
        <w:spacing w:line="360" w:lineRule="auto"/>
        <w:jc w:val="right"/>
        <w:textAlignment w:val="baseline"/>
        <w:rPr>
          <w:rFonts w:ascii="宋体" w:hAnsi="宋体"/>
          <w:bCs/>
          <w:sz w:val="24"/>
          <w:szCs w:val="28"/>
        </w:rPr>
      </w:pPr>
    </w:p>
    <w:p w14:paraId="1B6964DD">
      <w:pPr>
        <w:tabs>
          <w:tab w:val="left" w:pos="168"/>
        </w:tabs>
        <w:adjustRightInd w:val="0"/>
        <w:spacing w:line="360" w:lineRule="auto"/>
        <w:jc w:val="right"/>
        <w:textAlignment w:val="baseline"/>
        <w:rPr>
          <w:rFonts w:ascii="宋体" w:hAnsi="宋体"/>
          <w:bCs/>
          <w:sz w:val="24"/>
          <w:szCs w:val="28"/>
        </w:rPr>
      </w:pPr>
    </w:p>
    <w:p w14:paraId="2E8C1E1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314A500A">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262A4DD8">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bookmarkEnd w:id="192"/>
    <w:p w14:paraId="611E4F72">
      <w:pPr>
        <w:numPr>
          <w:ilvl w:val="0"/>
          <w:numId w:val="0"/>
        </w:numPr>
        <w:tabs>
          <w:tab w:val="left" w:pos="425"/>
          <w:tab w:val="left" w:pos="720"/>
        </w:tabs>
        <w:outlineLvl w:val="9"/>
        <w:rPr>
          <w:rFonts w:hAnsi="宋体"/>
          <w:bCs/>
          <w:sz w:val="24"/>
          <w:szCs w:val="28"/>
        </w:rPr>
      </w:pPr>
      <w:bookmarkStart w:id="193" w:name="_Toc25583"/>
      <w:bookmarkStart w:id="194" w:name="_Toc444715737"/>
    </w:p>
    <w:bookmarkEnd w:id="193"/>
    <w:bookmarkEnd w:id="194"/>
    <w:p w14:paraId="1FF00E44">
      <w:pPr>
        <w:numPr>
          <w:ilvl w:val="0"/>
          <w:numId w:val="0"/>
        </w:numPr>
        <w:tabs>
          <w:tab w:val="left" w:pos="425"/>
          <w:tab w:val="left" w:pos="720"/>
        </w:tabs>
        <w:outlineLvl w:val="9"/>
        <w:rPr>
          <w:rFonts w:hAnsi="宋体"/>
          <w:bCs/>
          <w:sz w:val="24"/>
          <w:szCs w:val="28"/>
        </w:rPr>
      </w:pPr>
    </w:p>
    <w:p w14:paraId="4C09E2F2">
      <w:pPr>
        <w:pStyle w:val="4"/>
        <w:numPr>
          <w:ilvl w:val="0"/>
          <w:numId w:val="0"/>
        </w:numPr>
        <w:ind w:left="709" w:hanging="709"/>
        <w:rPr>
          <w:rFonts w:hint="eastAsia" w:hAnsi="宋体"/>
          <w:b/>
          <w:sz w:val="32"/>
          <w:lang w:val="zh-CN"/>
        </w:rPr>
      </w:pPr>
      <w:bookmarkStart w:id="195" w:name="_Toc1575335"/>
    </w:p>
    <w:p w14:paraId="2C8D5D50">
      <w:pPr>
        <w:pStyle w:val="4"/>
        <w:numPr>
          <w:ilvl w:val="0"/>
          <w:numId w:val="0"/>
        </w:numPr>
        <w:ind w:left="709" w:hanging="709"/>
        <w:rPr>
          <w:rFonts w:hAnsi="宋体"/>
          <w:lang w:val="zh-CN"/>
        </w:rPr>
      </w:pPr>
      <w:r>
        <w:rPr>
          <w:rFonts w:hint="eastAsia" w:hAnsi="宋体"/>
          <w:b/>
          <w:sz w:val="32"/>
          <w:lang w:val="zh-CN"/>
        </w:rPr>
        <w:t>格式2、法定代表人证明书</w:t>
      </w:r>
      <w:bookmarkEnd w:id="195"/>
    </w:p>
    <w:p w14:paraId="0EABDF16">
      <w:pPr>
        <w:spacing w:line="360" w:lineRule="auto"/>
        <w:rPr>
          <w:rFonts w:ascii="宋体" w:hAnsi="宋体"/>
          <w:lang w:val="zh-CN"/>
        </w:rPr>
      </w:pPr>
    </w:p>
    <w:p w14:paraId="1BE14AAC">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0"/>
          <w:szCs w:val="30"/>
          <w:lang w:val="zh-CN"/>
        </w:rPr>
        <w:t>法定代表人证明书</w:t>
      </w:r>
    </w:p>
    <w:p w14:paraId="4416C08D">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致：青海鹰扬招标代理有限公司</w:t>
      </w:r>
    </w:p>
    <w:p w14:paraId="50CABEC1">
      <w:pPr>
        <w:autoSpaceDE w:val="0"/>
        <w:autoSpaceDN w:val="0"/>
        <w:adjustRightInd w:val="0"/>
        <w:spacing w:line="360" w:lineRule="auto"/>
        <w:rPr>
          <w:rFonts w:ascii="宋体" w:hAnsi="宋体" w:cs="宋体"/>
          <w:kern w:val="0"/>
          <w:sz w:val="24"/>
          <w:lang w:val="zh-CN"/>
        </w:rPr>
      </w:pPr>
    </w:p>
    <w:p w14:paraId="4FF641D0">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rPr>
        <w:t xml:space="preserve">         </w:t>
      </w:r>
      <w:r>
        <w:rPr>
          <w:rFonts w:hint="eastAsia" w:ascii="宋体" w:hAnsi="宋体" w:cs="宋体"/>
          <w:kern w:val="0"/>
          <w:sz w:val="24"/>
          <w:lang w:val="zh-CN"/>
        </w:rPr>
        <w:t>职务，为法定代表人，特此证明。</w:t>
      </w:r>
    </w:p>
    <w:p w14:paraId="057A3EA6">
      <w:pPr>
        <w:autoSpaceDE w:val="0"/>
        <w:autoSpaceDN w:val="0"/>
        <w:adjustRightInd w:val="0"/>
        <w:spacing w:line="360" w:lineRule="auto"/>
        <w:rPr>
          <w:rFonts w:ascii="宋体" w:hAnsi="宋体" w:cs="宋体"/>
          <w:kern w:val="0"/>
          <w:sz w:val="24"/>
          <w:lang w:val="zh-CN"/>
        </w:rPr>
      </w:pPr>
    </w:p>
    <w:p w14:paraId="47901013">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法定代表人基本情况：</w:t>
      </w:r>
    </w:p>
    <w:p w14:paraId="1885EA8D">
      <w:pPr>
        <w:autoSpaceDE w:val="0"/>
        <w:autoSpaceDN w:val="0"/>
        <w:adjustRightInd w:val="0"/>
        <w:spacing w:line="360" w:lineRule="auto"/>
        <w:rPr>
          <w:rFonts w:ascii="宋体" w:hAnsi="宋体" w:cs="宋体"/>
          <w:kern w:val="0"/>
          <w:sz w:val="24"/>
          <w:lang w:val="zh-CN"/>
        </w:rPr>
      </w:pPr>
    </w:p>
    <w:p w14:paraId="17F74859">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性别：                      年龄：                   民族：</w:t>
      </w:r>
    </w:p>
    <w:p w14:paraId="494D08ED">
      <w:pPr>
        <w:autoSpaceDE w:val="0"/>
        <w:autoSpaceDN w:val="0"/>
        <w:adjustRightInd w:val="0"/>
        <w:spacing w:line="360" w:lineRule="auto"/>
        <w:rPr>
          <w:rFonts w:ascii="宋体" w:hAnsi="宋体" w:cs="宋体"/>
          <w:kern w:val="0"/>
          <w:sz w:val="24"/>
          <w:lang w:val="zh-CN"/>
        </w:rPr>
      </w:pPr>
    </w:p>
    <w:p w14:paraId="5D3DA8E2">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地址：</w:t>
      </w:r>
    </w:p>
    <w:p w14:paraId="071EB63B">
      <w:pPr>
        <w:autoSpaceDE w:val="0"/>
        <w:autoSpaceDN w:val="0"/>
        <w:adjustRightInd w:val="0"/>
        <w:spacing w:line="360" w:lineRule="auto"/>
        <w:rPr>
          <w:rFonts w:ascii="宋体" w:hAnsi="宋体" w:cs="宋体"/>
          <w:kern w:val="0"/>
          <w:sz w:val="24"/>
          <w:lang w:val="zh-CN"/>
        </w:rPr>
      </w:pPr>
    </w:p>
    <w:p w14:paraId="67F32E8B">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身份证号码：</w:t>
      </w:r>
    </w:p>
    <w:p w14:paraId="27CB43EF">
      <w:pPr>
        <w:autoSpaceDE w:val="0"/>
        <w:autoSpaceDN w:val="0"/>
        <w:adjustRightInd w:val="0"/>
        <w:spacing w:line="360" w:lineRule="auto"/>
        <w:rPr>
          <w:rFonts w:ascii="宋体" w:hAnsi="宋体" w:cs="宋体"/>
          <w:kern w:val="0"/>
          <w:sz w:val="24"/>
          <w:lang w:val="zh-CN"/>
        </w:rPr>
      </w:pPr>
    </w:p>
    <w:p w14:paraId="207A4E54">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14:paraId="2CF36BE1">
      <w:pPr>
        <w:autoSpaceDE w:val="0"/>
        <w:autoSpaceDN w:val="0"/>
        <w:adjustRightInd w:val="0"/>
        <w:spacing w:line="360" w:lineRule="auto"/>
        <w:rPr>
          <w:rFonts w:ascii="宋体" w:hAnsi="宋体" w:cs="宋体"/>
          <w:kern w:val="0"/>
          <w:sz w:val="24"/>
          <w:lang w:val="zh-CN"/>
        </w:rPr>
      </w:pPr>
    </w:p>
    <w:p w14:paraId="632B39FB">
      <w:pPr>
        <w:autoSpaceDE w:val="0"/>
        <w:autoSpaceDN w:val="0"/>
        <w:adjustRightInd w:val="0"/>
        <w:spacing w:line="360" w:lineRule="auto"/>
        <w:rPr>
          <w:rFonts w:ascii="宋体" w:hAnsi="宋体" w:cs="宋体"/>
          <w:kern w:val="0"/>
          <w:sz w:val="24"/>
          <w:lang w:val="zh-CN"/>
        </w:rPr>
      </w:pPr>
    </w:p>
    <w:p w14:paraId="0B6B2E1A">
      <w:pPr>
        <w:autoSpaceDE w:val="0"/>
        <w:autoSpaceDN w:val="0"/>
        <w:adjustRightInd w:val="0"/>
        <w:spacing w:line="360" w:lineRule="auto"/>
        <w:rPr>
          <w:rFonts w:ascii="宋体" w:hAnsi="宋体" w:cs="宋体"/>
          <w:kern w:val="0"/>
          <w:sz w:val="24"/>
          <w:lang w:val="zh-CN"/>
        </w:rPr>
      </w:pPr>
    </w:p>
    <w:p w14:paraId="7F8EE9F0">
      <w:pPr>
        <w:autoSpaceDE w:val="0"/>
        <w:autoSpaceDN w:val="0"/>
        <w:adjustRightInd w:val="0"/>
        <w:spacing w:line="360" w:lineRule="auto"/>
        <w:rPr>
          <w:rFonts w:ascii="宋体" w:hAnsi="宋体" w:cs="宋体"/>
          <w:kern w:val="0"/>
          <w:sz w:val="24"/>
          <w:lang w:val="zh-CN"/>
        </w:rPr>
      </w:pPr>
    </w:p>
    <w:p w14:paraId="19604109">
      <w:pPr>
        <w:autoSpaceDE w:val="0"/>
        <w:autoSpaceDN w:val="0"/>
        <w:adjustRightInd w:val="0"/>
        <w:spacing w:line="360" w:lineRule="auto"/>
        <w:rPr>
          <w:rFonts w:ascii="宋体" w:hAnsi="宋体" w:cs="宋体"/>
          <w:kern w:val="0"/>
          <w:sz w:val="24"/>
          <w:lang w:val="zh-CN"/>
        </w:rPr>
      </w:pPr>
    </w:p>
    <w:p w14:paraId="312E1F82">
      <w:pPr>
        <w:autoSpaceDE w:val="0"/>
        <w:autoSpaceDN w:val="0"/>
        <w:adjustRightInd w:val="0"/>
        <w:spacing w:line="360" w:lineRule="auto"/>
        <w:rPr>
          <w:rFonts w:ascii="宋体" w:hAnsi="宋体" w:cs="宋体"/>
          <w:kern w:val="0"/>
          <w:sz w:val="24"/>
          <w:lang w:val="zh-CN"/>
        </w:rPr>
      </w:pPr>
    </w:p>
    <w:p w14:paraId="791BD3A3">
      <w:pPr>
        <w:tabs>
          <w:tab w:val="left" w:pos="168"/>
        </w:tabs>
        <w:adjustRightInd w:val="0"/>
        <w:spacing w:line="360" w:lineRule="auto"/>
        <w:textAlignment w:val="baseline"/>
        <w:rPr>
          <w:rFonts w:ascii="宋体" w:hAnsi="宋体"/>
          <w:bCs/>
          <w:sz w:val="28"/>
          <w:szCs w:val="28"/>
        </w:rPr>
      </w:pPr>
      <w:bookmarkStart w:id="196" w:name="_Toc444715738"/>
      <w:bookmarkStart w:id="197" w:name="_Toc16858"/>
    </w:p>
    <w:p w14:paraId="1A4333F8">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55F9F6C6">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1E1BA0B3">
      <w:pPr>
        <w:pStyle w:val="4"/>
        <w:numPr>
          <w:ilvl w:val="0"/>
          <w:numId w:val="0"/>
        </w:numPr>
        <w:ind w:left="709" w:hanging="709"/>
        <w:rPr>
          <w:rFonts w:hAnsi="宋体"/>
          <w:szCs w:val="28"/>
        </w:rPr>
      </w:pPr>
      <w:r>
        <w:rPr>
          <w:rFonts w:hAnsi="宋体"/>
          <w:bCs/>
          <w:szCs w:val="28"/>
        </w:rPr>
        <w:br w:type="page"/>
      </w:r>
      <w:bookmarkStart w:id="198" w:name="_Toc1575336"/>
      <w:r>
        <w:rPr>
          <w:rFonts w:hint="eastAsia" w:hAnsi="宋体"/>
          <w:b/>
          <w:sz w:val="32"/>
          <w:lang w:val="zh-CN"/>
        </w:rPr>
        <w:t>格式3、法定代表人授权书</w:t>
      </w:r>
      <w:bookmarkEnd w:id="196"/>
      <w:bookmarkEnd w:id="197"/>
      <w:bookmarkEnd w:id="198"/>
    </w:p>
    <w:p w14:paraId="26031998">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法定代表人授权书</w:t>
      </w:r>
    </w:p>
    <w:p w14:paraId="3015A60D">
      <w:pPr>
        <w:spacing w:line="360" w:lineRule="auto"/>
        <w:rPr>
          <w:rFonts w:hint="eastAsia" w:ascii="宋体" w:hAnsi="宋体" w:eastAsia="宋体"/>
          <w:b/>
          <w:bCs/>
          <w:sz w:val="24"/>
          <w:lang w:eastAsia="zh-CN"/>
        </w:rPr>
      </w:pPr>
      <w:r>
        <w:rPr>
          <w:rFonts w:hint="eastAsia" w:ascii="宋体" w:hAnsi="宋体"/>
          <w:b/>
          <w:bCs/>
          <w:sz w:val="24"/>
        </w:rPr>
        <w:t>致：</w:t>
      </w:r>
      <w:r>
        <w:rPr>
          <w:rFonts w:hint="eastAsia" w:ascii="宋体" w:hAnsi="宋体"/>
          <w:b/>
          <w:bCs/>
          <w:sz w:val="24"/>
          <w:lang w:eastAsia="zh-CN"/>
        </w:rPr>
        <w:t>青海鹰扬招标代理有限公司</w:t>
      </w:r>
    </w:p>
    <w:p w14:paraId="1F242801">
      <w:pPr>
        <w:spacing w:line="360" w:lineRule="auto"/>
        <w:rPr>
          <w:rFonts w:ascii="宋体" w:hAnsi="宋体"/>
          <w:sz w:val="24"/>
          <w:u w:val="single"/>
        </w:rPr>
      </w:pPr>
    </w:p>
    <w:p w14:paraId="39D452A3">
      <w:pPr>
        <w:spacing w:line="360" w:lineRule="auto"/>
        <w:ind w:firstLine="480" w:firstLineChars="200"/>
        <w:rPr>
          <w:rFonts w:ascii="宋体" w:hAnsi="宋体"/>
          <w:sz w:val="24"/>
        </w:rPr>
      </w:pPr>
      <w:r>
        <w:rPr>
          <w:rFonts w:hint="eastAsia" w:ascii="宋体" w:hAnsi="宋体"/>
          <w:sz w:val="24"/>
          <w:u w:val="single"/>
        </w:rPr>
        <w:t>（磋商供应商名称）</w:t>
      </w:r>
      <w:r>
        <w:rPr>
          <w:rFonts w:hint="eastAsia" w:ascii="宋体" w:hAnsi="宋体"/>
          <w:sz w:val="24"/>
        </w:rPr>
        <w:t>系中华人民共和国合法企业，法定地址</w:t>
      </w:r>
      <w:r>
        <w:rPr>
          <w:rFonts w:hint="eastAsia" w:ascii="宋体" w:hAnsi="宋体"/>
          <w:sz w:val="24"/>
          <w:u w:val="single"/>
        </w:rPr>
        <w:t xml:space="preserve">               </w:t>
      </w:r>
      <w:r>
        <w:rPr>
          <w:rFonts w:hint="eastAsia" w:ascii="宋体" w:hAnsi="宋体"/>
          <w:sz w:val="24"/>
        </w:rPr>
        <w:t>。</w:t>
      </w:r>
    </w:p>
    <w:p w14:paraId="56A14E98">
      <w:pPr>
        <w:spacing w:line="360" w:lineRule="auto"/>
        <w:ind w:firstLine="480" w:firstLineChars="200"/>
        <w:rPr>
          <w:rFonts w:ascii="宋体" w:hAnsi="宋体"/>
          <w:sz w:val="24"/>
        </w:rPr>
      </w:pPr>
      <w:r>
        <w:rPr>
          <w:rFonts w:hint="eastAsia" w:ascii="宋体" w:hAnsi="宋体"/>
          <w:sz w:val="24"/>
          <w:u w:val="single"/>
        </w:rPr>
        <w:t>（法定代表人姓名）</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项目的磋商、答疑等具体工作，并签署全部有关的文件、协议及合同。</w:t>
      </w:r>
    </w:p>
    <w:p w14:paraId="009BB665">
      <w:pPr>
        <w:spacing w:line="360" w:lineRule="auto"/>
        <w:ind w:firstLine="480" w:firstLineChars="200"/>
        <w:rPr>
          <w:rFonts w:ascii="宋体" w:hAnsi="宋体"/>
          <w:sz w:val="24"/>
        </w:rPr>
      </w:pPr>
      <w:r>
        <w:rPr>
          <w:rFonts w:hint="eastAsia" w:ascii="宋体" w:hAnsi="宋体"/>
          <w:sz w:val="24"/>
        </w:rPr>
        <w:t>我单位对被授权人的签名负全部责任。</w:t>
      </w:r>
    </w:p>
    <w:p w14:paraId="3CE77E3E">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14:paraId="0EBDCF57">
      <w:pPr>
        <w:spacing w:line="360" w:lineRule="auto"/>
        <w:rPr>
          <w:rFonts w:ascii="宋体" w:hAnsi="宋体"/>
          <w:sz w:val="24"/>
        </w:rPr>
      </w:pPr>
    </w:p>
    <w:p w14:paraId="36D13C45">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p>
    <w:p w14:paraId="0404FC6A">
      <w:pPr>
        <w:spacing w:line="360" w:lineRule="auto"/>
        <w:rPr>
          <w:rFonts w:ascii="宋体" w:hAnsi="宋体"/>
          <w:sz w:val="24"/>
          <w:u w:val="single"/>
        </w:rPr>
      </w:pPr>
      <w:r>
        <w:rPr>
          <w:rFonts w:hint="eastAsia" w:ascii="宋体" w:hAnsi="宋体"/>
          <w:sz w:val="24"/>
        </w:rPr>
        <w:t>被授权人（委托代理人）签字：                   授权人（法定代表人）签字：</w:t>
      </w:r>
    </w:p>
    <w:p w14:paraId="06701E45">
      <w:pPr>
        <w:spacing w:line="360" w:lineRule="auto"/>
        <w:rPr>
          <w:rFonts w:ascii="宋体" w:hAnsi="宋体"/>
          <w:sz w:val="24"/>
          <w:u w:val="single"/>
        </w:rPr>
      </w:pPr>
      <w:r>
        <w:rPr>
          <w:rFonts w:hint="eastAsia" w:ascii="宋体" w:hAnsi="宋体"/>
          <w:sz w:val="24"/>
        </w:rPr>
        <w:t>职务：                                         职务：</w:t>
      </w:r>
    </w:p>
    <w:p w14:paraId="61EE3CA7">
      <w:pPr>
        <w:spacing w:line="360" w:lineRule="auto"/>
        <w:rPr>
          <w:rFonts w:ascii="宋体" w:hAnsi="宋体"/>
          <w:sz w:val="24"/>
        </w:rPr>
      </w:pPr>
      <w:r>
        <w:rPr>
          <w:rFonts w:hint="eastAsia" w:ascii="宋体" w:hAnsi="宋体"/>
          <w:sz w:val="24"/>
        </w:rPr>
        <w:t>附：被授权人身份证正、反面扫描（或复印）件</w:t>
      </w:r>
    </w:p>
    <w:p w14:paraId="01FE4CC0">
      <w:pPr>
        <w:tabs>
          <w:tab w:val="left" w:pos="168"/>
        </w:tabs>
        <w:adjustRightInd w:val="0"/>
        <w:spacing w:line="360" w:lineRule="auto"/>
        <w:textAlignment w:val="baseline"/>
        <w:rPr>
          <w:rFonts w:ascii="宋体" w:hAnsi="宋体"/>
          <w:bCs/>
          <w:sz w:val="28"/>
          <w:szCs w:val="28"/>
        </w:rPr>
      </w:pPr>
    </w:p>
    <w:p w14:paraId="6EFA4992">
      <w:pPr>
        <w:tabs>
          <w:tab w:val="left" w:pos="168"/>
        </w:tabs>
        <w:adjustRightInd w:val="0"/>
        <w:spacing w:line="360" w:lineRule="auto"/>
        <w:textAlignment w:val="baseline"/>
        <w:rPr>
          <w:rFonts w:ascii="宋体" w:hAnsi="宋体"/>
          <w:bCs/>
          <w:sz w:val="28"/>
          <w:szCs w:val="28"/>
        </w:rPr>
      </w:pPr>
    </w:p>
    <w:p w14:paraId="25CEA355">
      <w:pPr>
        <w:tabs>
          <w:tab w:val="left" w:pos="168"/>
        </w:tabs>
        <w:adjustRightInd w:val="0"/>
        <w:spacing w:line="360" w:lineRule="auto"/>
        <w:textAlignment w:val="baseline"/>
        <w:rPr>
          <w:rFonts w:ascii="宋体" w:hAnsi="宋体"/>
          <w:bCs/>
          <w:sz w:val="28"/>
          <w:szCs w:val="28"/>
        </w:rPr>
      </w:pPr>
    </w:p>
    <w:p w14:paraId="0D37B3A2">
      <w:pPr>
        <w:tabs>
          <w:tab w:val="left" w:pos="168"/>
        </w:tabs>
        <w:adjustRightInd w:val="0"/>
        <w:spacing w:line="360" w:lineRule="auto"/>
        <w:textAlignment w:val="baseline"/>
        <w:rPr>
          <w:rFonts w:ascii="宋体" w:hAnsi="宋体"/>
          <w:bCs/>
          <w:sz w:val="28"/>
          <w:szCs w:val="28"/>
        </w:rPr>
      </w:pPr>
    </w:p>
    <w:p w14:paraId="447533B2">
      <w:pPr>
        <w:tabs>
          <w:tab w:val="left" w:pos="168"/>
        </w:tabs>
        <w:adjustRightInd w:val="0"/>
        <w:spacing w:line="360" w:lineRule="auto"/>
        <w:textAlignment w:val="baseline"/>
        <w:rPr>
          <w:rFonts w:ascii="宋体" w:hAnsi="宋体"/>
          <w:bCs/>
          <w:sz w:val="28"/>
          <w:szCs w:val="28"/>
        </w:rPr>
      </w:pPr>
    </w:p>
    <w:p w14:paraId="490EC3A7">
      <w:pPr>
        <w:tabs>
          <w:tab w:val="left" w:pos="168"/>
        </w:tabs>
        <w:adjustRightInd w:val="0"/>
        <w:spacing w:line="360" w:lineRule="auto"/>
        <w:textAlignment w:val="baseline"/>
        <w:rPr>
          <w:rFonts w:ascii="宋体" w:hAnsi="宋体"/>
          <w:bCs/>
          <w:sz w:val="28"/>
          <w:szCs w:val="28"/>
        </w:rPr>
      </w:pPr>
    </w:p>
    <w:p w14:paraId="4AA79EB8">
      <w:pPr>
        <w:tabs>
          <w:tab w:val="left" w:pos="168"/>
        </w:tabs>
        <w:adjustRightInd w:val="0"/>
        <w:spacing w:line="360" w:lineRule="auto"/>
        <w:textAlignment w:val="baseline"/>
        <w:rPr>
          <w:rFonts w:ascii="宋体" w:hAnsi="宋体"/>
          <w:bCs/>
          <w:sz w:val="28"/>
          <w:szCs w:val="28"/>
        </w:rPr>
      </w:pPr>
    </w:p>
    <w:p w14:paraId="425910D5">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 xml:space="preserve">（公章） </w:t>
      </w:r>
    </w:p>
    <w:p w14:paraId="5B62E639">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26223AD5">
      <w:pPr>
        <w:pStyle w:val="4"/>
        <w:numPr>
          <w:ilvl w:val="0"/>
          <w:numId w:val="0"/>
        </w:numPr>
        <w:ind w:left="709" w:hanging="709"/>
        <w:rPr>
          <w:rFonts w:hAnsi="宋体"/>
          <w:lang w:val="zh-CN"/>
        </w:rPr>
      </w:pPr>
      <w:r>
        <w:rPr>
          <w:rFonts w:hAnsi="宋体"/>
          <w:bCs/>
          <w:sz w:val="24"/>
        </w:rPr>
        <w:br w:type="page"/>
      </w:r>
      <w:bookmarkStart w:id="199" w:name="_Toc1575337"/>
      <w:r>
        <w:rPr>
          <w:rFonts w:hint="eastAsia" w:hAnsi="宋体"/>
          <w:b/>
          <w:sz w:val="32"/>
          <w:lang w:val="zh-CN"/>
        </w:rPr>
        <w:t>格式4、磋商供应商承诺书</w:t>
      </w:r>
      <w:bookmarkEnd w:id="199"/>
    </w:p>
    <w:p w14:paraId="36886526">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磋商供应商承诺书</w:t>
      </w:r>
    </w:p>
    <w:p w14:paraId="1176E11D">
      <w:pPr>
        <w:spacing w:line="360" w:lineRule="auto"/>
        <w:rPr>
          <w:rFonts w:hint="eastAsia" w:ascii="宋体" w:hAnsi="宋体" w:eastAsia="宋体"/>
          <w:b/>
          <w:bCs/>
          <w:sz w:val="24"/>
          <w:szCs w:val="28"/>
          <w:lang w:eastAsia="zh-CN"/>
        </w:rPr>
      </w:pPr>
      <w:r>
        <w:rPr>
          <w:rFonts w:hint="eastAsia" w:ascii="宋体" w:hAnsi="宋体"/>
          <w:b/>
          <w:bCs/>
          <w:sz w:val="24"/>
          <w:szCs w:val="28"/>
        </w:rPr>
        <w:t>致：</w:t>
      </w:r>
      <w:r>
        <w:rPr>
          <w:rFonts w:hint="eastAsia" w:ascii="宋体" w:hAnsi="宋体"/>
          <w:b/>
          <w:bCs/>
          <w:sz w:val="24"/>
          <w:szCs w:val="28"/>
          <w:lang w:eastAsia="zh-CN"/>
        </w:rPr>
        <w:t>青海鹰扬招标代理有限公司</w:t>
      </w:r>
    </w:p>
    <w:p w14:paraId="10ACB13E">
      <w:pPr>
        <w:spacing w:line="360" w:lineRule="auto"/>
        <w:rPr>
          <w:rFonts w:ascii="宋体" w:hAnsi="宋体"/>
          <w:sz w:val="24"/>
          <w:szCs w:val="28"/>
        </w:rPr>
      </w:pPr>
    </w:p>
    <w:p w14:paraId="031A8D71">
      <w:pPr>
        <w:spacing w:line="360" w:lineRule="auto"/>
        <w:ind w:firstLine="480" w:firstLineChars="200"/>
        <w:rPr>
          <w:rFonts w:ascii="宋体" w:hAnsi="宋体"/>
          <w:sz w:val="24"/>
          <w:szCs w:val="28"/>
        </w:rPr>
      </w:pPr>
      <w:r>
        <w:rPr>
          <w:rFonts w:hint="eastAsia" w:ascii="宋体" w:hAnsi="宋体"/>
          <w:sz w:val="24"/>
          <w:szCs w:val="28"/>
        </w:rPr>
        <w:t>关于贵方</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(项目名称)</w:t>
      </w:r>
      <w:r>
        <w:rPr>
          <w:rFonts w:hint="eastAsia" w:ascii="宋体" w:hAnsi="宋体"/>
          <w:sz w:val="24"/>
          <w:szCs w:val="28"/>
        </w:rPr>
        <w:t>采购项目，本签字人愿意参加磋商，提供采购一览表中要求的所有产品，并证实提交的所有资料是准确的和真实的。同时，我代表</w:t>
      </w:r>
      <w:r>
        <w:rPr>
          <w:rFonts w:hint="eastAsia" w:ascii="宋体" w:hAnsi="宋体"/>
          <w:sz w:val="24"/>
          <w:szCs w:val="28"/>
          <w:u w:val="single"/>
        </w:rPr>
        <w:t>（磋商供应商名称）</w:t>
      </w:r>
      <w:r>
        <w:rPr>
          <w:rFonts w:hint="eastAsia" w:ascii="宋体" w:hAnsi="宋体"/>
          <w:sz w:val="24"/>
          <w:szCs w:val="28"/>
        </w:rPr>
        <w:t>，在此作如下承诺：</w:t>
      </w:r>
    </w:p>
    <w:p w14:paraId="7372595B">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14:paraId="0E69972C">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14:paraId="0A9D1934">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14:paraId="0EFA657F">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14:paraId="5BA46FF3">
      <w:pPr>
        <w:tabs>
          <w:tab w:val="left" w:pos="168"/>
        </w:tabs>
        <w:adjustRightInd w:val="0"/>
        <w:spacing w:line="360" w:lineRule="auto"/>
        <w:ind w:firstLine="560" w:firstLineChars="200"/>
        <w:textAlignment w:val="baseline"/>
        <w:rPr>
          <w:rFonts w:ascii="宋体" w:hAnsi="宋体"/>
          <w:bCs/>
          <w:sz w:val="28"/>
          <w:szCs w:val="28"/>
        </w:rPr>
      </w:pPr>
    </w:p>
    <w:p w14:paraId="0BCD7145">
      <w:pPr>
        <w:tabs>
          <w:tab w:val="left" w:pos="168"/>
        </w:tabs>
        <w:adjustRightInd w:val="0"/>
        <w:spacing w:line="360" w:lineRule="auto"/>
        <w:ind w:firstLine="560" w:firstLineChars="200"/>
        <w:textAlignment w:val="baseline"/>
        <w:rPr>
          <w:rFonts w:ascii="宋体" w:hAnsi="宋体"/>
          <w:bCs/>
          <w:sz w:val="28"/>
          <w:szCs w:val="28"/>
        </w:rPr>
      </w:pPr>
    </w:p>
    <w:p w14:paraId="3703D3A3">
      <w:pPr>
        <w:tabs>
          <w:tab w:val="left" w:pos="168"/>
        </w:tabs>
        <w:adjustRightInd w:val="0"/>
        <w:spacing w:line="360" w:lineRule="auto"/>
        <w:ind w:firstLine="560" w:firstLineChars="200"/>
        <w:textAlignment w:val="baseline"/>
        <w:rPr>
          <w:rFonts w:ascii="宋体" w:hAnsi="宋体"/>
          <w:bCs/>
          <w:sz w:val="28"/>
          <w:szCs w:val="28"/>
        </w:rPr>
      </w:pPr>
    </w:p>
    <w:p w14:paraId="2C23EE80">
      <w:pPr>
        <w:tabs>
          <w:tab w:val="left" w:pos="168"/>
        </w:tabs>
        <w:adjustRightInd w:val="0"/>
        <w:spacing w:line="360" w:lineRule="auto"/>
        <w:ind w:firstLine="560" w:firstLineChars="200"/>
        <w:textAlignment w:val="baseline"/>
        <w:rPr>
          <w:rFonts w:ascii="宋体" w:hAnsi="宋体"/>
          <w:bCs/>
          <w:sz w:val="28"/>
          <w:szCs w:val="28"/>
        </w:rPr>
      </w:pPr>
    </w:p>
    <w:p w14:paraId="754FD59E">
      <w:pPr>
        <w:tabs>
          <w:tab w:val="left" w:pos="168"/>
        </w:tabs>
        <w:adjustRightInd w:val="0"/>
        <w:spacing w:line="360" w:lineRule="auto"/>
        <w:ind w:firstLine="560" w:firstLineChars="200"/>
        <w:textAlignment w:val="baseline"/>
        <w:rPr>
          <w:rFonts w:ascii="宋体" w:hAnsi="宋体"/>
          <w:bCs/>
          <w:sz w:val="28"/>
          <w:szCs w:val="28"/>
        </w:rPr>
      </w:pPr>
    </w:p>
    <w:p w14:paraId="39096772">
      <w:pPr>
        <w:tabs>
          <w:tab w:val="left" w:pos="168"/>
        </w:tabs>
        <w:adjustRightInd w:val="0"/>
        <w:spacing w:line="360" w:lineRule="auto"/>
        <w:ind w:firstLine="560" w:firstLineChars="200"/>
        <w:textAlignment w:val="baseline"/>
        <w:rPr>
          <w:rFonts w:ascii="宋体" w:hAnsi="宋体"/>
          <w:bCs/>
          <w:sz w:val="28"/>
          <w:szCs w:val="28"/>
        </w:rPr>
      </w:pPr>
    </w:p>
    <w:p w14:paraId="2F536180">
      <w:pPr>
        <w:tabs>
          <w:tab w:val="left" w:pos="168"/>
        </w:tabs>
        <w:adjustRightInd w:val="0"/>
        <w:spacing w:line="360" w:lineRule="auto"/>
        <w:ind w:firstLine="560" w:firstLineChars="200"/>
        <w:textAlignment w:val="baseline"/>
        <w:rPr>
          <w:rFonts w:ascii="宋体" w:hAnsi="宋体"/>
          <w:bCs/>
          <w:sz w:val="28"/>
          <w:szCs w:val="28"/>
        </w:rPr>
      </w:pPr>
    </w:p>
    <w:p w14:paraId="3D5BF77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27798F0F">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271EC9DE">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5FFAFE74">
      <w:pPr>
        <w:pStyle w:val="4"/>
        <w:numPr>
          <w:ilvl w:val="0"/>
          <w:numId w:val="0"/>
        </w:numPr>
        <w:ind w:left="709" w:hanging="709"/>
        <w:rPr>
          <w:rFonts w:hAnsi="宋体"/>
          <w:lang w:val="zh-CN"/>
        </w:rPr>
      </w:pPr>
      <w:r>
        <w:rPr>
          <w:rFonts w:hAnsi="宋体"/>
          <w:bCs/>
          <w:sz w:val="24"/>
        </w:rPr>
        <w:br w:type="page"/>
      </w:r>
      <w:bookmarkStart w:id="200" w:name="_Toc1575338"/>
      <w:r>
        <w:rPr>
          <w:rFonts w:hint="eastAsia" w:hAnsi="宋体"/>
          <w:b/>
          <w:sz w:val="32"/>
          <w:lang w:val="zh-CN"/>
        </w:rPr>
        <w:t>格式5、供应商诚信承诺书</w:t>
      </w:r>
      <w:bookmarkEnd w:id="200"/>
    </w:p>
    <w:p w14:paraId="3E9C9803">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供应商诚信承诺书</w:t>
      </w:r>
    </w:p>
    <w:p w14:paraId="7AAF1D02">
      <w:pPr>
        <w:autoSpaceDE w:val="0"/>
        <w:autoSpaceDN w:val="0"/>
        <w:adjustRightInd w:val="0"/>
        <w:spacing w:line="360" w:lineRule="auto"/>
        <w:rPr>
          <w:rFonts w:ascii="宋体" w:hAnsi="宋体" w:cs="宋体"/>
          <w:kern w:val="0"/>
          <w:sz w:val="24"/>
          <w:lang w:val="zh-CN"/>
        </w:rPr>
      </w:pPr>
    </w:p>
    <w:p w14:paraId="466693D1">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致：青海鹰扬招标代理有限公司</w:t>
      </w:r>
    </w:p>
    <w:p w14:paraId="10EAB1C4">
      <w:pPr>
        <w:autoSpaceDE w:val="0"/>
        <w:autoSpaceDN w:val="0"/>
        <w:adjustRightInd w:val="0"/>
        <w:spacing w:line="360" w:lineRule="auto"/>
        <w:rPr>
          <w:rFonts w:ascii="宋体" w:hAnsi="宋体" w:cs="宋体"/>
          <w:kern w:val="0"/>
          <w:sz w:val="24"/>
          <w:lang w:val="zh-CN"/>
        </w:rPr>
      </w:pPr>
    </w:p>
    <w:p w14:paraId="39F3C27D">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14:paraId="283D3B61">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14:paraId="5A579E6B">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14:paraId="0CCDC48B">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14:paraId="4DBF3891">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14:paraId="05EE32C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68C32F1D">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14:paraId="70C93E0C">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02D90237">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本承诺是采购项目磋商响应文件的组成部分。</w:t>
      </w:r>
    </w:p>
    <w:p w14:paraId="0BF1207C">
      <w:pPr>
        <w:autoSpaceDE w:val="0"/>
        <w:autoSpaceDN w:val="0"/>
        <w:adjustRightInd w:val="0"/>
        <w:spacing w:line="360" w:lineRule="auto"/>
        <w:rPr>
          <w:rFonts w:ascii="宋体" w:hAnsi="宋体" w:cs="宋体"/>
          <w:kern w:val="0"/>
          <w:sz w:val="24"/>
          <w:lang w:val="zh-CN"/>
        </w:rPr>
      </w:pPr>
    </w:p>
    <w:p w14:paraId="080CE5A0">
      <w:pPr>
        <w:autoSpaceDE w:val="0"/>
        <w:autoSpaceDN w:val="0"/>
        <w:adjustRightInd w:val="0"/>
        <w:spacing w:line="360" w:lineRule="auto"/>
        <w:rPr>
          <w:rFonts w:ascii="宋体" w:hAnsi="宋体" w:cs="宋体"/>
          <w:kern w:val="0"/>
          <w:sz w:val="24"/>
          <w:lang w:val="zh-CN"/>
        </w:rPr>
      </w:pPr>
    </w:p>
    <w:p w14:paraId="3822D2AE">
      <w:pPr>
        <w:tabs>
          <w:tab w:val="left" w:pos="168"/>
        </w:tabs>
        <w:adjustRightInd w:val="0"/>
        <w:spacing w:line="360" w:lineRule="auto"/>
        <w:textAlignment w:val="baseline"/>
        <w:rPr>
          <w:rFonts w:ascii="宋体" w:hAnsi="宋体"/>
          <w:bCs/>
          <w:sz w:val="28"/>
          <w:szCs w:val="28"/>
        </w:rPr>
      </w:pPr>
      <w:bookmarkStart w:id="201" w:name="_Toc444715739"/>
      <w:bookmarkStart w:id="202" w:name="_Toc17097"/>
    </w:p>
    <w:p w14:paraId="444E0898">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09451E44">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1C29DAA8">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A0BDB3B">
      <w:pPr>
        <w:pStyle w:val="4"/>
        <w:numPr>
          <w:ilvl w:val="0"/>
          <w:numId w:val="0"/>
        </w:numPr>
        <w:ind w:left="709" w:hanging="709"/>
        <w:rPr>
          <w:rFonts w:hAnsi="宋体" w:cs="宋体"/>
          <w:lang w:val="zh-CN"/>
        </w:rPr>
      </w:pPr>
      <w:r>
        <w:rPr>
          <w:rFonts w:hAnsi="宋体"/>
          <w:bCs/>
          <w:sz w:val="24"/>
        </w:rPr>
        <w:br w:type="page"/>
      </w:r>
      <w:bookmarkStart w:id="203" w:name="_Toc1575339"/>
      <w:r>
        <w:rPr>
          <w:rFonts w:hint="eastAsia" w:hAnsi="宋体"/>
          <w:b/>
          <w:sz w:val="32"/>
          <w:lang w:val="zh-CN"/>
        </w:rPr>
        <w:t>格式6、资格证明材料</w:t>
      </w:r>
      <w:bookmarkEnd w:id="201"/>
      <w:bookmarkEnd w:id="202"/>
      <w:bookmarkEnd w:id="203"/>
    </w:p>
    <w:p w14:paraId="08312657">
      <w:pPr>
        <w:spacing w:line="360" w:lineRule="auto"/>
        <w:rPr>
          <w:rFonts w:ascii="宋体" w:hAnsi="宋体"/>
          <w:lang w:val="zh-CN"/>
        </w:rPr>
      </w:pPr>
    </w:p>
    <w:p w14:paraId="6B2EC5A4">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14:paraId="56D6FA6A">
      <w:pPr>
        <w:spacing w:line="360" w:lineRule="auto"/>
        <w:ind w:firstLine="424" w:firstLineChars="177"/>
        <w:rPr>
          <w:rFonts w:ascii="宋体" w:hAnsi="宋体" w:cs="Arial"/>
          <w:sz w:val="24"/>
        </w:rPr>
      </w:pPr>
      <w:r>
        <w:rPr>
          <w:rFonts w:ascii="宋体" w:hAnsi="宋体" w:cs="Arial"/>
          <w:sz w:val="24"/>
        </w:rPr>
        <w:t>资格证明材料包括：</w:t>
      </w:r>
    </w:p>
    <w:p w14:paraId="44B292A4">
      <w:pPr>
        <w:spacing w:line="360" w:lineRule="auto"/>
        <w:rPr>
          <w:rFonts w:ascii="宋体" w:hAnsi="宋体" w:cs="Arial"/>
          <w:sz w:val="24"/>
        </w:rPr>
      </w:pPr>
      <w:r>
        <w:rPr>
          <w:rFonts w:ascii="宋体" w:hAnsi="宋体" w:cs="Arial"/>
          <w:sz w:val="24"/>
        </w:rPr>
        <w:t>（1）单位法人营业执照、税务登记证、组织机构代码证；</w:t>
      </w:r>
    </w:p>
    <w:p w14:paraId="29741F55">
      <w:pPr>
        <w:spacing w:line="360" w:lineRule="auto"/>
        <w:rPr>
          <w:rFonts w:ascii="宋体" w:hAnsi="宋体" w:cs="Arial"/>
          <w:sz w:val="24"/>
        </w:rPr>
      </w:pPr>
      <w:r>
        <w:rPr>
          <w:rFonts w:ascii="宋体" w:hAnsi="宋体" w:cs="Arial"/>
          <w:sz w:val="24"/>
        </w:rPr>
        <w:t>（2）磋商文件规定的有关资格证书、许可证书、认证等；</w:t>
      </w:r>
    </w:p>
    <w:p w14:paraId="3D515AEA">
      <w:pPr>
        <w:spacing w:line="360" w:lineRule="auto"/>
        <w:rPr>
          <w:rFonts w:ascii="宋体" w:hAnsi="宋体" w:cs="Arial"/>
          <w:sz w:val="24"/>
        </w:rPr>
      </w:pPr>
      <w:r>
        <w:rPr>
          <w:rFonts w:ascii="宋体" w:hAnsi="宋体" w:cs="Arial"/>
          <w:sz w:val="24"/>
        </w:rPr>
        <w:t>（3）磋商供应商简介及获得相关证书证明文件；</w:t>
      </w:r>
    </w:p>
    <w:p w14:paraId="26438A30">
      <w:pPr>
        <w:spacing w:line="360" w:lineRule="auto"/>
        <w:rPr>
          <w:rFonts w:ascii="宋体" w:hAnsi="宋体" w:cs="Arial"/>
          <w:sz w:val="24"/>
        </w:rPr>
      </w:pPr>
      <w:r>
        <w:rPr>
          <w:rFonts w:ascii="宋体" w:hAnsi="宋体" w:cs="Arial"/>
          <w:sz w:val="24"/>
        </w:rPr>
        <w:t>（4）磋商供应商认为有必要提供的其他资格证明文件。</w:t>
      </w:r>
    </w:p>
    <w:p w14:paraId="6FDD115C">
      <w:pPr>
        <w:pStyle w:val="4"/>
        <w:numPr>
          <w:ilvl w:val="0"/>
          <w:numId w:val="0"/>
        </w:numPr>
        <w:ind w:left="709" w:hanging="709"/>
        <w:rPr>
          <w:rFonts w:hAnsi="宋体"/>
          <w:lang w:val="zh-CN"/>
        </w:rPr>
      </w:pPr>
      <w:r>
        <w:rPr>
          <w:rFonts w:hAnsi="宋体" w:cs="宋体"/>
          <w:kern w:val="0"/>
          <w:sz w:val="24"/>
          <w:lang w:val="zh-CN"/>
        </w:rPr>
        <w:br w:type="page"/>
      </w:r>
      <w:bookmarkStart w:id="204" w:name="_Toc1575340"/>
      <w:bookmarkStart w:id="205" w:name="_Toc20673"/>
      <w:bookmarkStart w:id="206" w:name="_Toc444715740"/>
      <w:r>
        <w:rPr>
          <w:rFonts w:hint="eastAsia" w:hAnsi="宋体"/>
          <w:b/>
          <w:sz w:val="32"/>
          <w:lang w:val="zh-CN"/>
        </w:rPr>
        <w:t>格式7、财务状况、缴纳税收和社会保障资金证明</w:t>
      </w:r>
      <w:bookmarkEnd w:id="204"/>
    </w:p>
    <w:p w14:paraId="218EE4E3">
      <w:pPr>
        <w:spacing w:line="360" w:lineRule="auto"/>
        <w:rPr>
          <w:rFonts w:ascii="宋体" w:hAnsi="宋体"/>
          <w:lang w:val="zh-CN"/>
        </w:rPr>
      </w:pPr>
    </w:p>
    <w:p w14:paraId="5A5EB9D0">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b/>
          <w:bCs/>
          <w:kern w:val="0"/>
          <w:sz w:val="30"/>
          <w:szCs w:val="30"/>
          <w:lang w:val="zh-CN"/>
        </w:rPr>
        <w:t>财务状况、缴纳税收和社会保障资金证明</w:t>
      </w:r>
    </w:p>
    <w:p w14:paraId="507071C4">
      <w:pPr>
        <w:autoSpaceDE w:val="0"/>
        <w:autoSpaceDN w:val="0"/>
        <w:spacing w:line="360" w:lineRule="auto"/>
        <w:rPr>
          <w:rFonts w:ascii="宋体" w:hAnsi="宋体" w:cs="Arial"/>
          <w:sz w:val="24"/>
          <w:lang w:val="zh-CN"/>
        </w:rPr>
      </w:pPr>
    </w:p>
    <w:p w14:paraId="17F7833C">
      <w:pPr>
        <w:spacing w:line="360" w:lineRule="auto"/>
        <w:ind w:firstLine="480" w:firstLineChars="200"/>
        <w:rPr>
          <w:rFonts w:ascii="宋体" w:hAnsi="宋体" w:cs="宋体"/>
          <w:sz w:val="24"/>
        </w:rPr>
      </w:pPr>
      <w:r>
        <w:rPr>
          <w:rFonts w:ascii="宋体" w:hAnsi="宋体" w:cs="宋体"/>
          <w:sz w:val="24"/>
        </w:rPr>
        <w:t>按照磋商文件第2.2款（1）中规定提供以下相关材料。</w:t>
      </w:r>
    </w:p>
    <w:p w14:paraId="10C86F7D">
      <w:pPr>
        <w:pStyle w:val="58"/>
        <w:numPr>
          <w:ilvl w:val="1"/>
          <w:numId w:val="20"/>
        </w:numPr>
        <w:spacing w:line="360" w:lineRule="auto"/>
        <w:ind w:left="851" w:hanging="360" w:firstLineChars="0"/>
        <w:rPr>
          <w:rFonts w:ascii="宋体" w:hAnsi="宋体" w:cs="宋体"/>
          <w:kern w:val="0"/>
          <w:sz w:val="24"/>
          <w:lang w:val="zh-CN"/>
        </w:rPr>
      </w:pPr>
      <w:r>
        <w:rPr>
          <w:rFonts w:hint="eastAsia" w:ascii="宋体" w:hAnsi="宋体" w:cs="宋体"/>
          <w:kern w:val="0"/>
          <w:sz w:val="24"/>
          <w:lang w:val="zh-CN"/>
        </w:rPr>
        <w:t>投标人是法人的，提供基本开户银行近三个月内出具的资信证明（同时提供基本存款账户开户许可证）或</w:t>
      </w:r>
      <w:r>
        <w:rPr>
          <w:rFonts w:hint="eastAsia" w:ascii="宋体" w:hAnsi="宋体" w:cs="宋体"/>
          <w:kern w:val="0"/>
          <w:sz w:val="24"/>
          <w:lang w:val="en-US" w:eastAsia="zh-CN"/>
        </w:rPr>
        <w:t>2024年</w:t>
      </w:r>
      <w:r>
        <w:rPr>
          <w:rFonts w:hint="eastAsia" w:ascii="宋体" w:hAnsi="宋体" w:cs="宋体"/>
          <w:kern w:val="0"/>
          <w:sz w:val="24"/>
          <w:lang w:val="zh-CN"/>
        </w:rPr>
        <w:t>经第三方审计的</w:t>
      </w:r>
      <w:r>
        <w:rPr>
          <w:rFonts w:hint="eastAsia" w:ascii="宋体" w:hAnsi="宋体" w:cs="宋体"/>
          <w:kern w:val="0"/>
          <w:sz w:val="24"/>
        </w:rPr>
        <w:t>完整</w:t>
      </w:r>
      <w:r>
        <w:rPr>
          <w:rFonts w:hint="eastAsia" w:ascii="宋体" w:hAnsi="宋体" w:cs="宋体"/>
          <w:kern w:val="0"/>
          <w:sz w:val="24"/>
          <w:lang w:val="zh-CN"/>
        </w:rPr>
        <w:t>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7886DAA8">
      <w:pPr>
        <w:pStyle w:val="58"/>
        <w:numPr>
          <w:ilvl w:val="1"/>
          <w:numId w:val="20"/>
        </w:numPr>
        <w:spacing w:line="360" w:lineRule="auto"/>
        <w:ind w:left="851" w:hanging="360" w:firstLineChars="0"/>
        <w:rPr>
          <w:rFonts w:ascii="宋体" w:hAnsi="宋体" w:cs="宋体"/>
          <w:sz w:val="24"/>
        </w:rPr>
      </w:pPr>
      <w:r>
        <w:rPr>
          <w:rFonts w:hint="eastAsia" w:ascii="宋体" w:hAnsi="宋体" w:cs="宋体"/>
          <w:kern w:val="0"/>
          <w:sz w:val="24"/>
        </w:rPr>
        <w:t>近</w:t>
      </w:r>
      <w:r>
        <w:rPr>
          <w:rFonts w:hint="eastAsia" w:ascii="宋体" w:hAnsi="宋体" w:cs="宋体"/>
          <w:kern w:val="0"/>
          <w:sz w:val="24"/>
          <w:lang w:val="en-US" w:eastAsia="zh-CN"/>
        </w:rPr>
        <w:t>半年内任意</w:t>
      </w:r>
      <w:r>
        <w:rPr>
          <w:rFonts w:hint="eastAsia" w:ascii="宋体" w:hAnsi="宋体" w:cs="宋体"/>
          <w:kern w:val="0"/>
          <w:sz w:val="24"/>
        </w:rPr>
        <w:t>三个月的</w:t>
      </w:r>
      <w:r>
        <w:rPr>
          <w:rFonts w:hint="eastAsia" w:ascii="宋体" w:hAnsi="宋体" w:cs="宋体"/>
          <w:kern w:val="0"/>
          <w:sz w:val="24"/>
          <w:lang w:val="zh-CN"/>
        </w:rPr>
        <w:t>依法缴纳税收和社会保障资金记录的证明材料；依法免税或不需要缴纳社会保障资金的投标人须提供相应文件证明其依法免税或不需要缴纳社会保障资金。</w:t>
      </w:r>
    </w:p>
    <w:p w14:paraId="3C51C4ED">
      <w:pPr>
        <w:pStyle w:val="4"/>
        <w:numPr>
          <w:ilvl w:val="0"/>
          <w:numId w:val="0"/>
        </w:numPr>
        <w:ind w:left="709" w:hanging="709"/>
        <w:rPr>
          <w:rFonts w:hAnsi="宋体"/>
          <w:lang w:val="zh-CN"/>
        </w:rPr>
      </w:pPr>
      <w:r>
        <w:rPr>
          <w:rFonts w:hAnsi="宋体"/>
          <w:b/>
          <w:sz w:val="32"/>
          <w:lang w:val="zh-CN"/>
        </w:rPr>
        <w:br w:type="page"/>
      </w:r>
      <w:bookmarkStart w:id="207" w:name="_Toc1575341"/>
      <w:r>
        <w:rPr>
          <w:rFonts w:hint="eastAsia" w:hAnsi="宋体"/>
          <w:b/>
          <w:sz w:val="32"/>
          <w:lang w:val="zh-CN"/>
        </w:rPr>
        <w:t>格式8、具备履行合同所必须的设备和专业技术能力证明</w:t>
      </w:r>
      <w:bookmarkEnd w:id="207"/>
    </w:p>
    <w:p w14:paraId="7E83E176">
      <w:pPr>
        <w:autoSpaceDE w:val="0"/>
        <w:autoSpaceDN w:val="0"/>
        <w:adjustRightInd w:val="0"/>
        <w:spacing w:line="360" w:lineRule="auto"/>
        <w:rPr>
          <w:rFonts w:ascii="宋体" w:hAnsi="宋体" w:cs="宋体"/>
          <w:kern w:val="0"/>
          <w:sz w:val="24"/>
          <w:lang w:val="zh-CN"/>
        </w:rPr>
      </w:pPr>
    </w:p>
    <w:p w14:paraId="79A29C45">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具备履行合同所必须的设备和专业技术能力证明</w:t>
      </w:r>
    </w:p>
    <w:p w14:paraId="59D31E09">
      <w:pPr>
        <w:autoSpaceDE w:val="0"/>
        <w:autoSpaceDN w:val="0"/>
        <w:adjustRightInd w:val="0"/>
        <w:spacing w:line="360" w:lineRule="auto"/>
        <w:rPr>
          <w:rFonts w:ascii="宋体" w:hAnsi="宋体" w:cs="宋体"/>
          <w:kern w:val="0"/>
          <w:sz w:val="24"/>
          <w:lang w:val="zh-CN"/>
        </w:rPr>
      </w:pPr>
    </w:p>
    <w:p w14:paraId="6FE2132A">
      <w:pPr>
        <w:autoSpaceDE w:val="0"/>
        <w:autoSpaceDN w:val="0"/>
        <w:adjustRightInd w:val="0"/>
        <w:spacing w:line="360" w:lineRule="auto"/>
        <w:ind w:firstLine="480"/>
        <w:rPr>
          <w:rFonts w:ascii="宋体" w:hAnsi="宋体" w:cs="宋体"/>
          <w:kern w:val="0"/>
          <w:sz w:val="24"/>
          <w:lang w:val="zh-CN"/>
        </w:rPr>
      </w:pPr>
      <w:r>
        <w:rPr>
          <w:kern w:val="0"/>
          <w:sz w:val="24"/>
          <w:lang w:val="zh-CN"/>
        </w:rPr>
        <w:t>为保证本项目合同的顺利履行，投标人必须具备履行合同的设备和专业技术能力，</w:t>
      </w:r>
      <w:r>
        <w:rPr>
          <w:rFonts w:hint="eastAsia"/>
          <w:kern w:val="0"/>
          <w:sz w:val="24"/>
          <w:lang w:val="zh-CN"/>
        </w:rPr>
        <w:t>须提供履行合同的设备和专业技术能力的承诺函（格式自拟）</w:t>
      </w:r>
      <w:r>
        <w:rPr>
          <w:kern w:val="0"/>
          <w:sz w:val="24"/>
          <w:lang w:val="zh-CN"/>
        </w:rPr>
        <w:t>。</w:t>
      </w:r>
    </w:p>
    <w:p w14:paraId="5750008C">
      <w:pPr>
        <w:pStyle w:val="4"/>
        <w:numPr>
          <w:ilvl w:val="0"/>
          <w:numId w:val="0"/>
        </w:numPr>
        <w:ind w:left="709" w:hanging="709"/>
        <w:rPr>
          <w:rFonts w:hAnsi="宋体" w:cs="宋体"/>
          <w:lang w:val="zh-CN"/>
        </w:rPr>
      </w:pPr>
      <w:r>
        <w:rPr>
          <w:rFonts w:hAnsi="宋体" w:cs="宋体"/>
          <w:kern w:val="0"/>
          <w:sz w:val="24"/>
          <w:lang w:val="zh-CN"/>
        </w:rPr>
        <w:br w:type="page"/>
      </w:r>
      <w:bookmarkStart w:id="208" w:name="_Toc1575342"/>
      <w:r>
        <w:rPr>
          <w:rFonts w:hint="eastAsia" w:hAnsi="宋体"/>
          <w:b/>
          <w:sz w:val="32"/>
          <w:lang w:val="zh-CN"/>
        </w:rPr>
        <w:t>格式</w:t>
      </w:r>
      <w:bookmarkEnd w:id="205"/>
      <w:bookmarkEnd w:id="206"/>
      <w:r>
        <w:rPr>
          <w:rFonts w:hint="eastAsia" w:hAnsi="宋体"/>
          <w:b/>
          <w:sz w:val="32"/>
          <w:lang w:val="zh-CN"/>
        </w:rPr>
        <w:t>9、磋商保证金证明</w:t>
      </w:r>
      <w:bookmarkEnd w:id="208"/>
    </w:p>
    <w:p w14:paraId="4DB1682B">
      <w:pPr>
        <w:spacing w:line="360" w:lineRule="auto"/>
        <w:rPr>
          <w:rFonts w:ascii="宋体" w:hAnsi="宋体" w:cs="宋体"/>
          <w:lang w:val="zh-CN"/>
        </w:rPr>
      </w:pPr>
    </w:p>
    <w:p w14:paraId="6241AC71">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eastAsia="zh-CN"/>
        </w:rPr>
        <w:t>此项目不要求缴纳磋商保证金。</w:t>
      </w:r>
    </w:p>
    <w:p w14:paraId="4B8A87C3">
      <w:pPr>
        <w:autoSpaceDE w:val="0"/>
        <w:autoSpaceDN w:val="0"/>
        <w:adjustRightInd w:val="0"/>
        <w:spacing w:line="360" w:lineRule="auto"/>
        <w:rPr>
          <w:rFonts w:ascii="宋体" w:hAnsi="宋体" w:cs="宋体"/>
          <w:b/>
          <w:bCs/>
          <w:kern w:val="0"/>
          <w:sz w:val="28"/>
          <w:szCs w:val="28"/>
          <w:lang w:val="zh-CN"/>
        </w:rPr>
      </w:pPr>
      <w:bookmarkStart w:id="209" w:name="_Toc325726048"/>
      <w:bookmarkEnd w:id="209"/>
    </w:p>
    <w:p w14:paraId="16224C73">
      <w:pPr>
        <w:pStyle w:val="4"/>
        <w:numPr>
          <w:ilvl w:val="0"/>
          <w:numId w:val="0"/>
        </w:numPr>
        <w:ind w:left="709" w:hanging="709"/>
        <w:rPr>
          <w:rFonts w:hAnsi="宋体" w:cs="宋体"/>
        </w:rPr>
      </w:pPr>
      <w:r>
        <w:rPr>
          <w:rFonts w:hAnsi="宋体" w:cs="宋体"/>
          <w:kern w:val="0"/>
          <w:sz w:val="24"/>
          <w:lang w:val="zh-CN"/>
        </w:rPr>
        <w:br w:type="page"/>
      </w:r>
      <w:bookmarkStart w:id="210" w:name="_Toc444715741"/>
      <w:bookmarkStart w:id="211" w:name="_Toc21450"/>
      <w:bookmarkStart w:id="212" w:name="_Toc1575343"/>
      <w:bookmarkStart w:id="213" w:name="_Toc428180589"/>
      <w:r>
        <w:rPr>
          <w:rFonts w:hint="eastAsia" w:hAnsi="宋体"/>
          <w:b/>
          <w:sz w:val="32"/>
          <w:lang w:val="zh-CN"/>
        </w:rPr>
        <w:t>格式10、无重大违法记录声明</w:t>
      </w:r>
      <w:bookmarkEnd w:id="210"/>
      <w:bookmarkEnd w:id="211"/>
      <w:bookmarkEnd w:id="212"/>
      <w:bookmarkEnd w:id="213"/>
    </w:p>
    <w:p w14:paraId="4BE9C022">
      <w:pPr>
        <w:autoSpaceDE w:val="0"/>
        <w:autoSpaceDN w:val="0"/>
        <w:adjustRightInd w:val="0"/>
        <w:spacing w:line="360" w:lineRule="auto"/>
        <w:rPr>
          <w:rFonts w:ascii="宋体" w:hAnsi="宋体" w:cs="宋体"/>
          <w:kern w:val="0"/>
          <w:sz w:val="24"/>
          <w:lang w:val="zh-CN"/>
        </w:rPr>
      </w:pPr>
    </w:p>
    <w:p w14:paraId="5E318F01">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无重大违法记录声明</w:t>
      </w:r>
    </w:p>
    <w:p w14:paraId="2B48130B">
      <w:pPr>
        <w:autoSpaceDE w:val="0"/>
        <w:autoSpaceDN w:val="0"/>
        <w:adjustRightInd w:val="0"/>
        <w:spacing w:line="360" w:lineRule="auto"/>
        <w:rPr>
          <w:rFonts w:ascii="宋体" w:hAnsi="宋体" w:cs="宋体"/>
          <w:kern w:val="0"/>
          <w:sz w:val="24"/>
          <w:lang w:val="zh-CN"/>
        </w:rPr>
      </w:pPr>
    </w:p>
    <w:p w14:paraId="58AB7E78">
      <w:pPr>
        <w:spacing w:line="360" w:lineRule="auto"/>
        <w:ind w:firstLine="498" w:firstLineChars="177"/>
        <w:rPr>
          <w:rFonts w:ascii="宋体" w:hAnsi="宋体" w:cs="Arial"/>
          <w:sz w:val="24"/>
        </w:rPr>
      </w:pPr>
      <w:r>
        <w:rPr>
          <w:rFonts w:hint="eastAsia" w:ascii="宋体" w:hAnsi="宋体" w:cs="宋体"/>
          <w:b/>
          <w:bCs/>
          <w:kern w:val="0"/>
          <w:sz w:val="28"/>
          <w:szCs w:val="28"/>
          <w:lang w:val="zh-CN"/>
        </w:rPr>
        <w:t>致：青海鹰扬招标代理有限公司</w:t>
      </w:r>
    </w:p>
    <w:p w14:paraId="53E38E85">
      <w:pPr>
        <w:spacing w:line="360" w:lineRule="auto"/>
        <w:ind w:firstLine="662" w:firstLineChars="276"/>
        <w:rPr>
          <w:rFonts w:ascii="宋体" w:hAnsi="宋体" w:cs="Arial"/>
          <w:sz w:val="24"/>
        </w:rPr>
      </w:pPr>
      <w:r>
        <w:rPr>
          <w:rFonts w:ascii="宋体" w:hAnsi="宋体" w:cs="Arial"/>
          <w:sz w:val="24"/>
        </w:rPr>
        <w:t>（</w:t>
      </w:r>
      <w:r>
        <w:rPr>
          <w:rFonts w:hint="eastAsia" w:ascii="宋体" w:hAnsi="宋体" w:cs="Arial"/>
          <w:sz w:val="24"/>
        </w:rPr>
        <w:t>磋商</w:t>
      </w: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14:paraId="79E6C75B">
      <w:pPr>
        <w:spacing w:line="360" w:lineRule="auto"/>
        <w:ind w:firstLine="424" w:firstLineChars="177"/>
        <w:rPr>
          <w:rFonts w:ascii="宋体" w:hAnsi="宋体" w:cs="Arial"/>
          <w:sz w:val="24"/>
        </w:rPr>
      </w:pPr>
    </w:p>
    <w:p w14:paraId="2EF1D6E3">
      <w:pPr>
        <w:spacing w:line="360" w:lineRule="auto"/>
        <w:ind w:firstLine="424" w:firstLineChars="177"/>
        <w:rPr>
          <w:rFonts w:ascii="宋体" w:hAnsi="宋体" w:cs="Arial"/>
          <w:sz w:val="24"/>
        </w:rPr>
      </w:pPr>
    </w:p>
    <w:p w14:paraId="0CF8C800">
      <w:pPr>
        <w:spacing w:line="360" w:lineRule="auto"/>
        <w:ind w:firstLine="662" w:firstLineChars="276"/>
        <w:rPr>
          <w:rFonts w:ascii="宋体" w:hAnsi="宋体" w:cs="Arial"/>
          <w:sz w:val="24"/>
        </w:rPr>
      </w:pPr>
      <w:r>
        <w:rPr>
          <w:rFonts w:ascii="宋体" w:hAnsi="宋体" w:cs="Arial"/>
          <w:sz w:val="24"/>
        </w:rPr>
        <w:t>特此声明。</w:t>
      </w:r>
    </w:p>
    <w:p w14:paraId="76F981EE">
      <w:pPr>
        <w:spacing w:line="360" w:lineRule="auto"/>
        <w:ind w:firstLine="424" w:firstLineChars="177"/>
        <w:rPr>
          <w:rFonts w:ascii="宋体" w:hAnsi="宋体" w:cs="Arial"/>
          <w:sz w:val="24"/>
        </w:rPr>
      </w:pPr>
    </w:p>
    <w:p w14:paraId="72D199DA">
      <w:pPr>
        <w:spacing w:line="360" w:lineRule="auto"/>
        <w:ind w:firstLine="424" w:firstLineChars="177"/>
        <w:rPr>
          <w:rFonts w:ascii="宋体" w:hAnsi="宋体" w:cs="Arial"/>
          <w:sz w:val="24"/>
        </w:rPr>
      </w:pPr>
    </w:p>
    <w:p w14:paraId="03EAF989">
      <w:pPr>
        <w:spacing w:line="360" w:lineRule="auto"/>
        <w:ind w:firstLine="424" w:firstLineChars="177"/>
        <w:rPr>
          <w:rFonts w:ascii="宋体" w:hAnsi="宋体" w:cs="Arial"/>
          <w:sz w:val="24"/>
        </w:rPr>
      </w:pPr>
    </w:p>
    <w:p w14:paraId="64B5E6A1">
      <w:pPr>
        <w:spacing w:line="360" w:lineRule="auto"/>
        <w:ind w:firstLine="662" w:firstLineChars="276"/>
        <w:rPr>
          <w:rFonts w:ascii="宋体" w:hAnsi="宋体" w:cs="Arial"/>
          <w:sz w:val="24"/>
        </w:rPr>
      </w:pPr>
      <w:r>
        <w:rPr>
          <w:rFonts w:hint="eastAsia" w:ascii="宋体" w:hAnsi="宋体" w:cs="Arial"/>
          <w:sz w:val="24"/>
          <w:lang w:val="zh-CN"/>
        </w:rPr>
        <w:t>附“信用中国、</w:t>
      </w:r>
      <w:r>
        <w:rPr>
          <w:rFonts w:hint="eastAsia" w:ascii="宋体" w:hAnsi="宋体" w:cs="Arial"/>
          <w:sz w:val="24"/>
        </w:rPr>
        <w:t>中国政府采购网</w:t>
      </w:r>
      <w:r>
        <w:rPr>
          <w:rFonts w:hint="eastAsia" w:ascii="宋体" w:hAnsi="宋体" w:cs="Arial"/>
          <w:sz w:val="24"/>
          <w:lang w:val="zh-CN"/>
        </w:rPr>
        <w:t>”网站查询截图。</w:t>
      </w:r>
    </w:p>
    <w:p w14:paraId="1337D604">
      <w:pPr>
        <w:spacing w:line="360" w:lineRule="auto"/>
        <w:ind w:firstLine="424" w:firstLineChars="177"/>
        <w:rPr>
          <w:rFonts w:ascii="宋体" w:hAnsi="宋体" w:cs="Arial"/>
          <w:sz w:val="24"/>
        </w:rPr>
      </w:pPr>
    </w:p>
    <w:p w14:paraId="1F1288B1">
      <w:pPr>
        <w:spacing w:line="360" w:lineRule="auto"/>
        <w:ind w:firstLine="424" w:firstLineChars="177"/>
        <w:rPr>
          <w:rFonts w:ascii="宋体" w:hAnsi="宋体" w:cs="Arial"/>
          <w:sz w:val="24"/>
        </w:rPr>
      </w:pPr>
    </w:p>
    <w:p w14:paraId="7EF83E87">
      <w:pPr>
        <w:spacing w:line="360" w:lineRule="auto"/>
        <w:ind w:firstLine="424" w:firstLineChars="177"/>
        <w:rPr>
          <w:rFonts w:ascii="宋体" w:hAnsi="宋体" w:cs="Arial"/>
          <w:sz w:val="24"/>
        </w:rPr>
      </w:pPr>
    </w:p>
    <w:p w14:paraId="209D5717">
      <w:pPr>
        <w:spacing w:line="360" w:lineRule="auto"/>
        <w:ind w:firstLine="424" w:firstLineChars="177"/>
        <w:rPr>
          <w:rFonts w:ascii="宋体" w:hAnsi="宋体" w:cs="Arial"/>
          <w:sz w:val="24"/>
        </w:rPr>
      </w:pPr>
    </w:p>
    <w:p w14:paraId="25E0F99E">
      <w:pPr>
        <w:spacing w:line="360" w:lineRule="auto"/>
        <w:ind w:firstLine="424" w:firstLineChars="177"/>
        <w:rPr>
          <w:rFonts w:ascii="宋体" w:hAnsi="宋体" w:cs="Arial"/>
          <w:sz w:val="24"/>
        </w:rPr>
      </w:pPr>
    </w:p>
    <w:p w14:paraId="2998B124">
      <w:pPr>
        <w:spacing w:line="360" w:lineRule="auto"/>
        <w:ind w:firstLine="424" w:firstLineChars="177"/>
        <w:rPr>
          <w:rFonts w:ascii="宋体" w:hAnsi="宋体" w:cs="Arial"/>
          <w:sz w:val="24"/>
        </w:rPr>
      </w:pPr>
    </w:p>
    <w:p w14:paraId="4899D1F0">
      <w:pPr>
        <w:spacing w:line="360" w:lineRule="auto"/>
        <w:ind w:firstLine="424" w:firstLineChars="177"/>
        <w:rPr>
          <w:rFonts w:ascii="宋体" w:hAnsi="宋体" w:cs="Arial"/>
          <w:sz w:val="24"/>
        </w:rPr>
      </w:pPr>
    </w:p>
    <w:p w14:paraId="5316F4F3">
      <w:pPr>
        <w:spacing w:line="360" w:lineRule="auto"/>
        <w:ind w:firstLine="424" w:firstLineChars="177"/>
        <w:rPr>
          <w:rFonts w:ascii="宋体" w:hAnsi="宋体" w:cs="Arial"/>
          <w:sz w:val="24"/>
        </w:rPr>
      </w:pPr>
    </w:p>
    <w:p w14:paraId="7EFB053C">
      <w:pPr>
        <w:spacing w:line="360" w:lineRule="auto"/>
        <w:ind w:firstLine="424" w:firstLineChars="177"/>
        <w:rPr>
          <w:rFonts w:ascii="宋体" w:hAnsi="宋体" w:cs="Arial"/>
          <w:sz w:val="24"/>
        </w:rPr>
      </w:pPr>
    </w:p>
    <w:p w14:paraId="05C34B5C">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投标供应商：</w:t>
      </w:r>
      <w:r>
        <w:rPr>
          <w:rFonts w:hint="eastAsia" w:ascii="宋体" w:hAnsi="宋体"/>
          <w:bCs/>
          <w:sz w:val="24"/>
          <w:szCs w:val="28"/>
          <w:u w:val="single"/>
        </w:rPr>
        <w:t xml:space="preserve">             </w:t>
      </w:r>
      <w:r>
        <w:rPr>
          <w:rFonts w:hint="eastAsia" w:ascii="宋体" w:hAnsi="宋体"/>
          <w:bCs/>
          <w:sz w:val="24"/>
          <w:szCs w:val="28"/>
        </w:rPr>
        <w:t>（公章）</w:t>
      </w:r>
    </w:p>
    <w:p w14:paraId="4D1F82BC">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384A1590">
      <w:pPr>
        <w:spacing w:line="360" w:lineRule="auto"/>
        <w:ind w:firstLine="424" w:firstLineChars="177"/>
        <w:rPr>
          <w:rFonts w:ascii="宋体" w:hAnsi="宋体" w:cs="Arial"/>
          <w:sz w:val="24"/>
        </w:rPr>
      </w:pPr>
      <w:r>
        <w:rPr>
          <w:rFonts w:hint="eastAsia" w:ascii="宋体" w:hAnsi="宋体"/>
          <w:bCs/>
          <w:sz w:val="24"/>
          <w:szCs w:val="28"/>
        </w:rPr>
        <w:t xml:space="preserve">                                            日期：   年   月   日</w:t>
      </w:r>
    </w:p>
    <w:p w14:paraId="45B84AE2">
      <w:pPr>
        <w:rPr>
          <w:b/>
          <w:lang w:val="zh-CN"/>
        </w:rPr>
      </w:pPr>
      <w:r>
        <w:rPr>
          <w:rFonts w:cs="宋体"/>
          <w:kern w:val="0"/>
          <w:sz w:val="24"/>
          <w:lang w:val="zh-CN"/>
        </w:rPr>
        <w:br w:type="page"/>
      </w:r>
    </w:p>
    <w:p w14:paraId="42BCCD8D">
      <w:pPr>
        <w:pStyle w:val="4"/>
        <w:numPr>
          <w:ilvl w:val="0"/>
          <w:numId w:val="0"/>
        </w:numPr>
        <w:ind w:left="709" w:hanging="709"/>
        <w:rPr>
          <w:rFonts w:hAnsi="宋体"/>
          <w:b/>
        </w:rPr>
      </w:pPr>
      <w:bookmarkStart w:id="214" w:name="_Toc1575344"/>
      <w:r>
        <w:rPr>
          <w:rFonts w:hint="eastAsia" w:hAnsi="宋体"/>
          <w:b/>
        </w:rPr>
        <w:t>三、磋商响应文件封面(下册)</w:t>
      </w:r>
      <w:bookmarkEnd w:id="214"/>
    </w:p>
    <w:p w14:paraId="5BA5725E">
      <w:pPr>
        <w:spacing w:line="360" w:lineRule="auto"/>
        <w:jc w:val="right"/>
        <w:rPr>
          <w:rFonts w:ascii="宋体" w:hAnsi="宋体"/>
          <w:sz w:val="32"/>
        </w:rPr>
      </w:pPr>
    </w:p>
    <w:p w14:paraId="68AF7833">
      <w:pPr>
        <w:pStyle w:val="11"/>
      </w:pPr>
    </w:p>
    <w:p w14:paraId="115B1162">
      <w:pPr>
        <w:spacing w:line="360" w:lineRule="auto"/>
        <w:rPr>
          <w:rFonts w:ascii="宋体" w:hAnsi="宋体"/>
          <w:sz w:val="32"/>
        </w:rPr>
      </w:pPr>
    </w:p>
    <w:p w14:paraId="6C3B29CC">
      <w:pPr>
        <w:spacing w:line="360" w:lineRule="auto"/>
        <w:rPr>
          <w:rFonts w:ascii="宋体" w:hAnsi="宋体"/>
          <w:sz w:val="32"/>
        </w:rPr>
      </w:pPr>
    </w:p>
    <w:p w14:paraId="1F33BB91">
      <w:pPr>
        <w:spacing w:line="360" w:lineRule="auto"/>
        <w:jc w:val="center"/>
        <w:rPr>
          <w:rFonts w:ascii="宋体" w:hAnsi="宋体"/>
          <w:b/>
          <w:sz w:val="96"/>
        </w:rPr>
      </w:pPr>
      <w:r>
        <w:rPr>
          <w:rFonts w:hint="eastAsia" w:ascii="宋体" w:hAnsi="宋体"/>
          <w:b/>
          <w:sz w:val="72"/>
        </w:rPr>
        <w:t>青海省政府采购项目</w:t>
      </w:r>
    </w:p>
    <w:p w14:paraId="17CE6452">
      <w:pPr>
        <w:spacing w:line="360" w:lineRule="auto"/>
        <w:jc w:val="center"/>
        <w:rPr>
          <w:rFonts w:ascii="宋体" w:hAnsi="宋体"/>
          <w:b/>
          <w:sz w:val="48"/>
        </w:rPr>
      </w:pPr>
    </w:p>
    <w:p w14:paraId="5E66FA47">
      <w:pPr>
        <w:spacing w:line="360" w:lineRule="auto"/>
        <w:jc w:val="center"/>
        <w:rPr>
          <w:rFonts w:ascii="宋体" w:hAnsi="宋体"/>
          <w:b/>
          <w:sz w:val="48"/>
        </w:rPr>
      </w:pPr>
    </w:p>
    <w:p w14:paraId="723F4CDE">
      <w:pPr>
        <w:spacing w:line="360" w:lineRule="auto"/>
        <w:jc w:val="center"/>
        <w:rPr>
          <w:rFonts w:ascii="宋体" w:hAnsi="宋体"/>
          <w:b/>
          <w:sz w:val="56"/>
        </w:rPr>
      </w:pPr>
      <w:r>
        <w:rPr>
          <w:rFonts w:hint="eastAsia" w:ascii="宋体" w:hAnsi="宋体"/>
          <w:b/>
          <w:sz w:val="52"/>
        </w:rPr>
        <w:t>磋商响应文件</w:t>
      </w:r>
    </w:p>
    <w:p w14:paraId="34B5A9C2">
      <w:pPr>
        <w:spacing w:line="360" w:lineRule="auto"/>
        <w:jc w:val="center"/>
        <w:rPr>
          <w:rFonts w:ascii="宋体" w:hAnsi="宋体"/>
          <w:b/>
          <w:bCs/>
          <w:sz w:val="32"/>
        </w:rPr>
      </w:pPr>
      <w:r>
        <w:rPr>
          <w:rFonts w:hint="eastAsia" w:ascii="宋体" w:hAnsi="宋体"/>
          <w:b/>
          <w:bCs/>
          <w:sz w:val="32"/>
        </w:rPr>
        <w:t>（下册）</w:t>
      </w:r>
    </w:p>
    <w:p w14:paraId="2804D59F">
      <w:pPr>
        <w:adjustRightInd w:val="0"/>
        <w:spacing w:line="360" w:lineRule="auto"/>
        <w:textAlignment w:val="baseline"/>
        <w:rPr>
          <w:rFonts w:ascii="宋体" w:hAnsi="宋体"/>
          <w:b/>
          <w:bCs/>
          <w:sz w:val="32"/>
        </w:rPr>
      </w:pPr>
    </w:p>
    <w:p w14:paraId="61C43A90">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采购项目编号：</w:t>
      </w:r>
      <w:r>
        <w:rPr>
          <w:rFonts w:hint="eastAsia" w:ascii="宋体" w:hAnsi="宋体"/>
          <w:b/>
          <w:bCs/>
          <w:sz w:val="32"/>
          <w:szCs w:val="32"/>
          <w:u w:val="single"/>
        </w:rPr>
        <w:t xml:space="preserve">                        </w:t>
      </w:r>
      <w:r>
        <w:rPr>
          <w:rFonts w:hint="eastAsia" w:ascii="宋体" w:hAnsi="宋体"/>
          <w:b/>
          <w:bCs/>
          <w:sz w:val="32"/>
          <w:szCs w:val="32"/>
        </w:rPr>
        <w:t xml:space="preserve">        </w:t>
      </w:r>
    </w:p>
    <w:p w14:paraId="28BBFEDE">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r>
        <w:rPr>
          <w:rFonts w:hint="eastAsia" w:ascii="宋体" w:hAnsi="宋体"/>
          <w:b/>
          <w:bCs/>
          <w:sz w:val="32"/>
          <w:szCs w:val="32"/>
        </w:rPr>
        <w:t xml:space="preserve"> </w:t>
      </w:r>
    </w:p>
    <w:p w14:paraId="7C2800D1">
      <w:pPr>
        <w:adjustRightInd w:val="0"/>
        <w:spacing w:line="360" w:lineRule="auto"/>
        <w:ind w:firstLine="643" w:firstLineChars="200"/>
        <w:textAlignment w:val="baseline"/>
        <w:rPr>
          <w:rFonts w:ascii="宋体" w:hAnsi="宋体"/>
          <w:b/>
          <w:bCs/>
          <w:sz w:val="32"/>
          <w:szCs w:val="32"/>
          <w:u w:val="single"/>
        </w:rPr>
      </w:pPr>
      <w:r>
        <w:rPr>
          <w:rFonts w:hint="eastAsia" w:ascii="宋体" w:hAnsi="宋体"/>
          <w:b/>
          <w:bCs/>
          <w:sz w:val="32"/>
          <w:szCs w:val="32"/>
          <w:lang w:val="en-US" w:eastAsia="zh-CN"/>
        </w:rPr>
        <w:t>包        号：</w:t>
      </w:r>
      <w:r>
        <w:rPr>
          <w:rFonts w:hint="eastAsia" w:ascii="宋体" w:hAnsi="宋体"/>
          <w:b/>
          <w:bCs/>
          <w:sz w:val="32"/>
          <w:szCs w:val="32"/>
          <w:u w:val="single"/>
        </w:rPr>
        <w:t xml:space="preserve">                        </w:t>
      </w:r>
    </w:p>
    <w:p w14:paraId="56FA6049">
      <w:pPr>
        <w:adjustRightInd w:val="0"/>
        <w:spacing w:line="360" w:lineRule="auto"/>
        <w:textAlignment w:val="baseline"/>
        <w:rPr>
          <w:rFonts w:hint="eastAsia" w:ascii="宋体" w:hAnsi="宋体" w:eastAsia="宋体"/>
          <w:b/>
          <w:bCs/>
          <w:sz w:val="32"/>
          <w:szCs w:val="32"/>
          <w:lang w:val="en-US" w:eastAsia="zh-CN"/>
        </w:rPr>
      </w:pPr>
    </w:p>
    <w:p w14:paraId="5797F2DE">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 xml:space="preserve">         </w:t>
      </w:r>
    </w:p>
    <w:p w14:paraId="15DEDD7C">
      <w:pPr>
        <w:adjustRightInd w:val="0"/>
        <w:spacing w:line="360" w:lineRule="auto"/>
        <w:ind w:firstLine="2570" w:firstLineChars="8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3F2B2A6F">
      <w:pPr>
        <w:adjustRightInd w:val="0"/>
        <w:spacing w:line="360" w:lineRule="auto"/>
        <w:ind w:firstLine="1928" w:firstLineChars="6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（签字</w:t>
      </w:r>
      <w:r>
        <w:rPr>
          <w:rFonts w:hint="eastAsia" w:ascii="宋体" w:hAnsi="宋体"/>
          <w:b/>
          <w:sz w:val="32"/>
          <w:u w:val="single"/>
          <w:lang w:val="en-US" w:eastAsia="zh-CN"/>
        </w:rPr>
        <w:t>或盖章</w:t>
      </w:r>
      <w:r>
        <w:rPr>
          <w:rFonts w:hint="eastAsia" w:ascii="宋体" w:hAnsi="宋体"/>
          <w:b/>
          <w:sz w:val="32"/>
          <w:u w:val="single"/>
        </w:rPr>
        <w:t>）</w:t>
      </w:r>
    </w:p>
    <w:p w14:paraId="70901B36">
      <w:pPr>
        <w:spacing w:line="360" w:lineRule="auto"/>
        <w:ind w:firstLine="645"/>
        <w:jc w:val="center"/>
        <w:rPr>
          <w:rFonts w:ascii="宋体" w:hAnsi="宋体"/>
          <w:sz w:val="32"/>
        </w:rPr>
      </w:pPr>
      <w:r>
        <w:rPr>
          <w:rFonts w:hint="eastAsia" w:ascii="宋体" w:hAnsi="宋体"/>
          <w:sz w:val="32"/>
        </w:rPr>
        <w:t xml:space="preserve">           </w:t>
      </w:r>
      <w:r>
        <w:rPr>
          <w:rFonts w:hint="eastAsia" w:ascii="宋体" w:hAnsi="宋体"/>
          <w:b/>
          <w:bCs/>
          <w:sz w:val="32"/>
        </w:rPr>
        <w:t xml:space="preserve"> 日期：年   月  日</w:t>
      </w:r>
    </w:p>
    <w:p w14:paraId="42EF48CE">
      <w:pPr>
        <w:pStyle w:val="4"/>
        <w:numPr>
          <w:ilvl w:val="0"/>
          <w:numId w:val="0"/>
        </w:numPr>
        <w:ind w:left="709" w:hanging="709"/>
        <w:rPr>
          <w:rFonts w:hAnsi="宋体"/>
          <w:b/>
          <w:sz w:val="32"/>
          <w:lang w:val="zh-CN"/>
        </w:rPr>
      </w:pPr>
      <w:r>
        <w:rPr>
          <w:rFonts w:hAnsi="宋体"/>
        </w:rPr>
        <w:br w:type="page"/>
      </w:r>
      <w:bookmarkStart w:id="215" w:name="_Toc1575345"/>
      <w:r>
        <w:rPr>
          <w:rFonts w:hint="eastAsia" w:hAnsi="宋体"/>
          <w:b/>
        </w:rPr>
        <w:t>四、</w:t>
      </w:r>
      <w:r>
        <w:rPr>
          <w:rFonts w:hint="eastAsia" w:hAnsi="宋体"/>
          <w:b/>
          <w:sz w:val="32"/>
          <w:lang w:val="zh-CN"/>
        </w:rPr>
        <w:t>磋商响应文件目录（下册）</w:t>
      </w:r>
      <w:bookmarkEnd w:id="215"/>
    </w:p>
    <w:p w14:paraId="360303D6">
      <w:pPr>
        <w:rPr>
          <w:lang w:val="zh-CN"/>
        </w:rPr>
      </w:pPr>
    </w:p>
    <w:p w14:paraId="7A94C4C7">
      <w:pPr>
        <w:rPr>
          <w:lang w:val="zh-CN"/>
        </w:rPr>
      </w:pPr>
    </w:p>
    <w:p w14:paraId="231BD221">
      <w:pPr>
        <w:spacing w:line="360" w:lineRule="auto"/>
        <w:ind w:left="420"/>
        <w:rPr>
          <w:rFonts w:ascii="宋体" w:hAnsi="宋体" w:cs="宋体"/>
          <w:kern w:val="0"/>
          <w:sz w:val="24"/>
          <w:lang w:val="zh-CN"/>
        </w:rPr>
      </w:pPr>
      <w:r>
        <w:rPr>
          <w:rFonts w:hint="eastAsia" w:ascii="宋体" w:hAnsi="宋体" w:cs="宋体"/>
          <w:kern w:val="0"/>
          <w:sz w:val="24"/>
          <w:lang w:val="zh-CN"/>
        </w:rPr>
        <w:t>（11）</w:t>
      </w:r>
      <w:bookmarkStart w:id="216" w:name="_Hlk503366915"/>
      <w:r>
        <w:rPr>
          <w:rFonts w:hint="eastAsia" w:ascii="宋体" w:hAnsi="宋体" w:cs="宋体"/>
          <w:kern w:val="0"/>
          <w:sz w:val="24"/>
          <w:lang w:val="zh-CN"/>
        </w:rPr>
        <w:t>评分对照表</w:t>
      </w:r>
      <w:bookmarkEnd w:id="216"/>
      <w:r>
        <w:rPr>
          <w:rFonts w:hint="eastAsia" w:ascii="宋体" w:hAnsi="宋体" w:cs="宋体"/>
          <w:kern w:val="0"/>
          <w:sz w:val="24"/>
          <w:lang w:val="zh-CN"/>
        </w:rPr>
        <w:t>………………………………………………………所在页码</w:t>
      </w:r>
    </w:p>
    <w:p w14:paraId="2C088151">
      <w:pPr>
        <w:spacing w:line="360" w:lineRule="auto"/>
        <w:ind w:left="420"/>
        <w:rPr>
          <w:rFonts w:ascii="宋体" w:hAnsi="宋体" w:cs="宋体"/>
          <w:kern w:val="0"/>
          <w:sz w:val="24"/>
          <w:lang w:val="zh-CN"/>
        </w:rPr>
      </w:pPr>
      <w:r>
        <w:rPr>
          <w:rFonts w:hint="eastAsia" w:ascii="宋体" w:hAnsi="宋体" w:cs="宋体"/>
          <w:kern w:val="0"/>
          <w:sz w:val="24"/>
          <w:lang w:val="zh-CN"/>
        </w:rPr>
        <w:t>（12）竞争性磋商首次报价表…………………………………………所在页码</w:t>
      </w:r>
    </w:p>
    <w:p w14:paraId="56C58524">
      <w:pPr>
        <w:spacing w:line="360" w:lineRule="auto"/>
        <w:ind w:left="420"/>
        <w:rPr>
          <w:rFonts w:ascii="宋体" w:hAnsi="宋体" w:cs="宋体"/>
          <w:kern w:val="0"/>
          <w:sz w:val="24"/>
          <w:lang w:val="zh-CN"/>
        </w:rPr>
      </w:pPr>
      <w:r>
        <w:rPr>
          <w:rFonts w:hint="eastAsia" w:ascii="宋体" w:hAnsi="宋体" w:cs="宋体"/>
          <w:kern w:val="0"/>
          <w:sz w:val="24"/>
          <w:lang w:val="zh-CN"/>
        </w:rPr>
        <w:t>（13）分项报价表………………………………………………………所在页码</w:t>
      </w:r>
    </w:p>
    <w:p w14:paraId="1E9C0DB0">
      <w:pPr>
        <w:spacing w:line="360" w:lineRule="auto"/>
        <w:ind w:left="420"/>
        <w:rPr>
          <w:rFonts w:ascii="宋体" w:hAnsi="宋体" w:cs="宋体"/>
          <w:kern w:val="0"/>
          <w:sz w:val="24"/>
          <w:lang w:val="zh-CN"/>
        </w:rPr>
      </w:pPr>
      <w:r>
        <w:rPr>
          <w:rFonts w:hint="eastAsia" w:ascii="宋体" w:hAnsi="宋体" w:cs="宋体"/>
          <w:kern w:val="0"/>
          <w:sz w:val="24"/>
          <w:lang w:val="zh-CN"/>
        </w:rPr>
        <w:t>（14）技术规格响应表…………………………………………………所在页码</w:t>
      </w:r>
    </w:p>
    <w:p w14:paraId="2745FA60">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5</w:t>
      </w:r>
      <w:r>
        <w:rPr>
          <w:rFonts w:hint="eastAsia" w:ascii="宋体" w:hAnsi="宋体" w:cs="宋体"/>
          <w:kern w:val="0"/>
          <w:sz w:val="24"/>
          <w:lang w:val="zh-CN"/>
        </w:rPr>
        <w:t>）磋商产品相关资料………………………………………………所在页码</w:t>
      </w:r>
    </w:p>
    <w:p w14:paraId="5866BE26">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6</w:t>
      </w:r>
      <w:r>
        <w:rPr>
          <w:rFonts w:hint="eastAsia" w:ascii="宋体" w:hAnsi="宋体" w:cs="宋体"/>
          <w:kern w:val="0"/>
          <w:sz w:val="24"/>
          <w:lang w:val="zh-CN"/>
        </w:rPr>
        <w:t>）磋商供应商的类似业绩证明材料………………………………所在页码</w:t>
      </w:r>
    </w:p>
    <w:p w14:paraId="1E0BF79C">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7</w:t>
      </w:r>
      <w:r>
        <w:rPr>
          <w:rFonts w:hint="eastAsia" w:ascii="宋体" w:hAnsi="宋体" w:cs="宋体"/>
          <w:kern w:val="0"/>
          <w:sz w:val="24"/>
          <w:lang w:val="zh-CN"/>
        </w:rPr>
        <w:t>）</w:t>
      </w:r>
      <w:r>
        <w:rPr>
          <w:rFonts w:hint="eastAsia" w:ascii="宋体" w:hAnsi="宋体" w:cs="宋体"/>
          <w:kern w:val="0"/>
          <w:sz w:val="24"/>
          <w:lang w:val="en-US" w:eastAsia="zh-CN"/>
        </w:rPr>
        <w:t>中小</w:t>
      </w:r>
      <w:r>
        <w:rPr>
          <w:rFonts w:hint="eastAsia" w:ascii="宋体" w:hAnsi="宋体" w:cs="宋体"/>
          <w:kern w:val="0"/>
          <w:sz w:val="24"/>
          <w:lang w:val="zh-CN"/>
        </w:rPr>
        <w:t>企业声明函…………………………………………………所在页码</w:t>
      </w:r>
    </w:p>
    <w:p w14:paraId="003150E4">
      <w:pPr>
        <w:spacing w:line="360" w:lineRule="auto"/>
        <w:ind w:firstLine="424" w:firstLineChars="177"/>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）残疾人福利性单位声明函………………………………………所在页码</w:t>
      </w:r>
    </w:p>
    <w:p w14:paraId="7E513E36">
      <w:pPr>
        <w:spacing w:line="360" w:lineRule="auto"/>
        <w:ind w:left="42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19</w:t>
      </w:r>
      <w:r>
        <w:rPr>
          <w:rFonts w:hint="eastAsia" w:ascii="宋体" w:hAnsi="宋体" w:cs="宋体"/>
          <w:kern w:val="0"/>
          <w:sz w:val="24"/>
          <w:lang w:val="zh-CN"/>
        </w:rPr>
        <w:t>）磋商供应商认为在其他方面有必要说明的事项………………所在页码</w:t>
      </w:r>
    </w:p>
    <w:p w14:paraId="735FE92A">
      <w:pPr>
        <w:spacing w:line="360" w:lineRule="auto"/>
        <w:ind w:left="42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0</w:t>
      </w:r>
      <w:r>
        <w:rPr>
          <w:rFonts w:hint="eastAsia" w:ascii="宋体" w:hAnsi="宋体" w:cs="宋体"/>
          <w:kern w:val="0"/>
          <w:sz w:val="24"/>
          <w:lang w:val="zh-CN"/>
        </w:rPr>
        <w:t>）磋商最终报价表…………………………………………………所在页码</w:t>
      </w:r>
    </w:p>
    <w:p w14:paraId="4FEC01BB">
      <w:pPr>
        <w:pStyle w:val="4"/>
        <w:numPr>
          <w:ilvl w:val="0"/>
          <w:numId w:val="0"/>
        </w:numPr>
        <w:ind w:left="709" w:hanging="709"/>
        <w:rPr>
          <w:rFonts w:hAnsi="宋体"/>
          <w:b/>
          <w:sz w:val="32"/>
          <w:lang w:val="zh-CN"/>
        </w:rPr>
      </w:pPr>
      <w:r>
        <w:rPr>
          <w:rFonts w:hAnsi="宋体"/>
          <w:bCs/>
          <w:sz w:val="24"/>
          <w:szCs w:val="28"/>
        </w:rPr>
        <w:br w:type="page"/>
      </w:r>
      <w:bookmarkStart w:id="217" w:name="_Toc1575346"/>
      <w:r>
        <w:rPr>
          <w:rFonts w:hint="eastAsia" w:hAnsi="宋体"/>
          <w:b/>
          <w:sz w:val="32"/>
          <w:lang w:val="zh-CN"/>
        </w:rPr>
        <w:t>格式11、评分对照表</w:t>
      </w:r>
      <w:bookmarkEnd w:id="217"/>
    </w:p>
    <w:p w14:paraId="538B2DE8">
      <w:pPr>
        <w:spacing w:line="360" w:lineRule="auto"/>
        <w:rPr>
          <w:rFonts w:ascii="宋体" w:hAnsi="宋体"/>
          <w:bCs/>
          <w:sz w:val="24"/>
          <w:szCs w:val="28"/>
        </w:rPr>
      </w:pPr>
    </w:p>
    <w:p w14:paraId="22A9D3FC">
      <w:pPr>
        <w:spacing w:line="360" w:lineRule="auto"/>
        <w:jc w:val="center"/>
        <w:rPr>
          <w:rFonts w:ascii="宋体" w:hAnsi="宋体" w:cs="宋体"/>
          <w:b/>
          <w:bCs/>
          <w:sz w:val="28"/>
          <w:szCs w:val="28"/>
        </w:rPr>
      </w:pPr>
      <w:r>
        <w:rPr>
          <w:rFonts w:hint="eastAsia" w:ascii="宋体" w:hAnsi="宋体" w:cs="宋体"/>
          <w:b/>
          <w:bCs/>
          <w:sz w:val="28"/>
          <w:szCs w:val="28"/>
        </w:rPr>
        <w:t>评分对照表</w:t>
      </w:r>
    </w:p>
    <w:tbl>
      <w:tblPr>
        <w:tblStyle w:val="3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4033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DF2F94F">
            <w:pPr>
              <w:pStyle w:val="9"/>
              <w:spacing w:line="360" w:lineRule="auto"/>
              <w:ind w:firstLine="0" w:firstLineChars="0"/>
              <w:jc w:val="center"/>
              <w:rPr>
                <w:rFonts w:ascii="宋体" w:hAnsi="宋体" w:cs="宋体"/>
                <w:sz w:val="24"/>
              </w:rPr>
            </w:pPr>
            <w:r>
              <w:rPr>
                <w:rFonts w:hint="eastAsia" w:ascii="宋体" w:hAnsi="宋体" w:cs="宋体"/>
                <w:sz w:val="24"/>
              </w:rPr>
              <w:t>序号</w:t>
            </w:r>
          </w:p>
        </w:tc>
        <w:tc>
          <w:tcPr>
            <w:tcW w:w="2514" w:type="dxa"/>
            <w:vAlign w:val="center"/>
          </w:tcPr>
          <w:p w14:paraId="260BACF3">
            <w:pPr>
              <w:pStyle w:val="9"/>
              <w:spacing w:line="360" w:lineRule="auto"/>
              <w:ind w:firstLine="0" w:firstLineChars="0"/>
              <w:jc w:val="center"/>
              <w:rPr>
                <w:rFonts w:ascii="宋体" w:hAnsi="宋体" w:cs="宋体"/>
                <w:sz w:val="24"/>
              </w:rPr>
            </w:pPr>
            <w:r>
              <w:rPr>
                <w:rFonts w:hint="eastAsia" w:ascii="宋体" w:hAnsi="宋体" w:cs="宋体"/>
                <w:sz w:val="24"/>
              </w:rPr>
              <w:t>磋商文件评分标准</w:t>
            </w:r>
          </w:p>
        </w:tc>
        <w:tc>
          <w:tcPr>
            <w:tcW w:w="2266" w:type="dxa"/>
            <w:vAlign w:val="center"/>
          </w:tcPr>
          <w:p w14:paraId="421A6976">
            <w:pPr>
              <w:pStyle w:val="9"/>
              <w:spacing w:line="360" w:lineRule="auto"/>
              <w:ind w:firstLine="0" w:firstLineChars="0"/>
              <w:jc w:val="center"/>
              <w:rPr>
                <w:rFonts w:ascii="宋体" w:hAnsi="宋体" w:cs="宋体"/>
                <w:sz w:val="24"/>
              </w:rPr>
            </w:pPr>
            <w:r>
              <w:rPr>
                <w:rFonts w:hint="eastAsia" w:ascii="宋体" w:hAnsi="宋体" w:cs="宋体"/>
                <w:sz w:val="24"/>
              </w:rPr>
              <w:t>磋商响应部分</w:t>
            </w:r>
          </w:p>
        </w:tc>
        <w:tc>
          <w:tcPr>
            <w:tcW w:w="2966" w:type="dxa"/>
            <w:vAlign w:val="center"/>
          </w:tcPr>
          <w:p w14:paraId="5B9EC0C6">
            <w:pPr>
              <w:pStyle w:val="9"/>
              <w:spacing w:line="360" w:lineRule="auto"/>
              <w:ind w:firstLine="0" w:firstLineChars="0"/>
              <w:jc w:val="center"/>
              <w:rPr>
                <w:rFonts w:ascii="宋体" w:hAnsi="宋体" w:cs="宋体"/>
                <w:sz w:val="24"/>
              </w:rPr>
            </w:pPr>
            <w:r>
              <w:rPr>
                <w:rFonts w:hint="eastAsia" w:ascii="宋体" w:hAnsi="宋体" w:cs="宋体"/>
                <w:sz w:val="24"/>
              </w:rPr>
              <w:t>磋商响应文件中对应页码</w:t>
            </w:r>
          </w:p>
        </w:tc>
      </w:tr>
      <w:tr w14:paraId="0C51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15687C6">
            <w:pPr>
              <w:pStyle w:val="9"/>
              <w:spacing w:line="360" w:lineRule="auto"/>
              <w:jc w:val="center"/>
              <w:rPr>
                <w:rFonts w:ascii="宋体" w:hAnsi="宋体" w:cs="宋体"/>
              </w:rPr>
            </w:pPr>
          </w:p>
        </w:tc>
        <w:tc>
          <w:tcPr>
            <w:tcW w:w="2514" w:type="dxa"/>
            <w:vAlign w:val="center"/>
          </w:tcPr>
          <w:p w14:paraId="0FF773B0">
            <w:pPr>
              <w:pStyle w:val="9"/>
              <w:spacing w:line="360" w:lineRule="auto"/>
              <w:jc w:val="center"/>
              <w:rPr>
                <w:rFonts w:ascii="宋体" w:hAnsi="宋体" w:cs="宋体"/>
              </w:rPr>
            </w:pPr>
          </w:p>
        </w:tc>
        <w:tc>
          <w:tcPr>
            <w:tcW w:w="2266" w:type="dxa"/>
            <w:vAlign w:val="center"/>
          </w:tcPr>
          <w:p w14:paraId="62A73CD6">
            <w:pPr>
              <w:pStyle w:val="9"/>
              <w:spacing w:line="360" w:lineRule="auto"/>
              <w:jc w:val="center"/>
              <w:rPr>
                <w:rFonts w:ascii="宋体" w:hAnsi="宋体" w:cs="宋体"/>
              </w:rPr>
            </w:pPr>
          </w:p>
        </w:tc>
        <w:tc>
          <w:tcPr>
            <w:tcW w:w="2966" w:type="dxa"/>
            <w:vAlign w:val="center"/>
          </w:tcPr>
          <w:p w14:paraId="01588C85">
            <w:pPr>
              <w:pStyle w:val="9"/>
              <w:spacing w:line="360" w:lineRule="auto"/>
              <w:jc w:val="center"/>
              <w:rPr>
                <w:rFonts w:ascii="宋体" w:hAnsi="宋体" w:cs="宋体"/>
              </w:rPr>
            </w:pPr>
          </w:p>
        </w:tc>
      </w:tr>
      <w:tr w14:paraId="1D31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E0F38E4">
            <w:pPr>
              <w:pStyle w:val="9"/>
              <w:spacing w:line="360" w:lineRule="auto"/>
              <w:jc w:val="center"/>
              <w:rPr>
                <w:rFonts w:ascii="宋体" w:hAnsi="宋体" w:cs="宋体"/>
              </w:rPr>
            </w:pPr>
          </w:p>
        </w:tc>
        <w:tc>
          <w:tcPr>
            <w:tcW w:w="2514" w:type="dxa"/>
            <w:vAlign w:val="center"/>
          </w:tcPr>
          <w:p w14:paraId="50B28EC9">
            <w:pPr>
              <w:pStyle w:val="9"/>
              <w:spacing w:line="360" w:lineRule="auto"/>
              <w:jc w:val="center"/>
              <w:rPr>
                <w:rFonts w:ascii="宋体" w:hAnsi="宋体" w:cs="宋体"/>
              </w:rPr>
            </w:pPr>
          </w:p>
        </w:tc>
        <w:tc>
          <w:tcPr>
            <w:tcW w:w="2266" w:type="dxa"/>
            <w:vAlign w:val="center"/>
          </w:tcPr>
          <w:p w14:paraId="4D22B9D9">
            <w:pPr>
              <w:pStyle w:val="9"/>
              <w:spacing w:line="360" w:lineRule="auto"/>
              <w:jc w:val="center"/>
              <w:rPr>
                <w:rFonts w:ascii="宋体" w:hAnsi="宋体" w:cs="宋体"/>
              </w:rPr>
            </w:pPr>
          </w:p>
        </w:tc>
        <w:tc>
          <w:tcPr>
            <w:tcW w:w="2966" w:type="dxa"/>
            <w:vAlign w:val="center"/>
          </w:tcPr>
          <w:p w14:paraId="7BD8CD91">
            <w:pPr>
              <w:pStyle w:val="9"/>
              <w:spacing w:line="360" w:lineRule="auto"/>
              <w:jc w:val="center"/>
              <w:rPr>
                <w:rFonts w:ascii="宋体" w:hAnsi="宋体" w:cs="宋体"/>
              </w:rPr>
            </w:pPr>
          </w:p>
        </w:tc>
      </w:tr>
      <w:tr w14:paraId="324D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F607FBE">
            <w:pPr>
              <w:pStyle w:val="9"/>
              <w:spacing w:line="360" w:lineRule="auto"/>
              <w:jc w:val="center"/>
              <w:rPr>
                <w:rFonts w:ascii="宋体" w:hAnsi="宋体" w:cs="宋体"/>
              </w:rPr>
            </w:pPr>
          </w:p>
        </w:tc>
        <w:tc>
          <w:tcPr>
            <w:tcW w:w="2514" w:type="dxa"/>
            <w:vAlign w:val="center"/>
          </w:tcPr>
          <w:p w14:paraId="1370AD2B">
            <w:pPr>
              <w:pStyle w:val="9"/>
              <w:spacing w:line="360" w:lineRule="auto"/>
              <w:jc w:val="center"/>
              <w:rPr>
                <w:rFonts w:ascii="宋体" w:hAnsi="宋体" w:cs="宋体"/>
              </w:rPr>
            </w:pPr>
          </w:p>
        </w:tc>
        <w:tc>
          <w:tcPr>
            <w:tcW w:w="2266" w:type="dxa"/>
            <w:vAlign w:val="center"/>
          </w:tcPr>
          <w:p w14:paraId="41846BC6">
            <w:pPr>
              <w:pStyle w:val="9"/>
              <w:spacing w:line="360" w:lineRule="auto"/>
              <w:jc w:val="center"/>
              <w:rPr>
                <w:rFonts w:ascii="宋体" w:hAnsi="宋体" w:cs="宋体"/>
              </w:rPr>
            </w:pPr>
          </w:p>
        </w:tc>
        <w:tc>
          <w:tcPr>
            <w:tcW w:w="2966" w:type="dxa"/>
            <w:vAlign w:val="center"/>
          </w:tcPr>
          <w:p w14:paraId="1B21BFC2">
            <w:pPr>
              <w:pStyle w:val="9"/>
              <w:spacing w:line="360" w:lineRule="auto"/>
              <w:jc w:val="center"/>
              <w:rPr>
                <w:rFonts w:ascii="宋体" w:hAnsi="宋体" w:cs="宋体"/>
              </w:rPr>
            </w:pPr>
          </w:p>
        </w:tc>
      </w:tr>
      <w:tr w14:paraId="6D76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8248B77">
            <w:pPr>
              <w:pStyle w:val="9"/>
              <w:spacing w:line="360" w:lineRule="auto"/>
              <w:jc w:val="center"/>
              <w:rPr>
                <w:rFonts w:ascii="宋体" w:hAnsi="宋体" w:cs="宋体"/>
              </w:rPr>
            </w:pPr>
          </w:p>
        </w:tc>
        <w:tc>
          <w:tcPr>
            <w:tcW w:w="2514" w:type="dxa"/>
            <w:vAlign w:val="center"/>
          </w:tcPr>
          <w:p w14:paraId="34B92B1E">
            <w:pPr>
              <w:pStyle w:val="9"/>
              <w:spacing w:line="360" w:lineRule="auto"/>
              <w:jc w:val="center"/>
              <w:rPr>
                <w:rFonts w:ascii="宋体" w:hAnsi="宋体" w:cs="宋体"/>
              </w:rPr>
            </w:pPr>
          </w:p>
        </w:tc>
        <w:tc>
          <w:tcPr>
            <w:tcW w:w="2266" w:type="dxa"/>
            <w:vAlign w:val="center"/>
          </w:tcPr>
          <w:p w14:paraId="15D58F49">
            <w:pPr>
              <w:pStyle w:val="9"/>
              <w:spacing w:line="360" w:lineRule="auto"/>
              <w:jc w:val="center"/>
              <w:rPr>
                <w:rFonts w:ascii="宋体" w:hAnsi="宋体" w:cs="宋体"/>
              </w:rPr>
            </w:pPr>
          </w:p>
        </w:tc>
        <w:tc>
          <w:tcPr>
            <w:tcW w:w="2966" w:type="dxa"/>
            <w:vAlign w:val="center"/>
          </w:tcPr>
          <w:p w14:paraId="1B99CCF8">
            <w:pPr>
              <w:pStyle w:val="9"/>
              <w:spacing w:line="360" w:lineRule="auto"/>
              <w:jc w:val="center"/>
              <w:rPr>
                <w:rFonts w:ascii="宋体" w:hAnsi="宋体" w:cs="宋体"/>
              </w:rPr>
            </w:pPr>
          </w:p>
        </w:tc>
      </w:tr>
      <w:tr w14:paraId="43F3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53C40E9">
            <w:pPr>
              <w:pStyle w:val="9"/>
              <w:spacing w:line="360" w:lineRule="auto"/>
              <w:jc w:val="center"/>
              <w:rPr>
                <w:rFonts w:ascii="宋体" w:hAnsi="宋体" w:cs="宋体"/>
              </w:rPr>
            </w:pPr>
          </w:p>
        </w:tc>
        <w:tc>
          <w:tcPr>
            <w:tcW w:w="2514" w:type="dxa"/>
            <w:vAlign w:val="center"/>
          </w:tcPr>
          <w:p w14:paraId="42C066FA">
            <w:pPr>
              <w:pStyle w:val="9"/>
              <w:spacing w:line="360" w:lineRule="auto"/>
              <w:jc w:val="center"/>
              <w:rPr>
                <w:rFonts w:ascii="宋体" w:hAnsi="宋体" w:cs="宋体"/>
              </w:rPr>
            </w:pPr>
          </w:p>
        </w:tc>
        <w:tc>
          <w:tcPr>
            <w:tcW w:w="2266" w:type="dxa"/>
            <w:vAlign w:val="center"/>
          </w:tcPr>
          <w:p w14:paraId="7677E8B7">
            <w:pPr>
              <w:pStyle w:val="9"/>
              <w:spacing w:line="360" w:lineRule="auto"/>
              <w:jc w:val="center"/>
              <w:rPr>
                <w:rFonts w:ascii="宋体" w:hAnsi="宋体" w:cs="宋体"/>
              </w:rPr>
            </w:pPr>
          </w:p>
        </w:tc>
        <w:tc>
          <w:tcPr>
            <w:tcW w:w="2966" w:type="dxa"/>
            <w:vAlign w:val="center"/>
          </w:tcPr>
          <w:p w14:paraId="34BB7AD4">
            <w:pPr>
              <w:pStyle w:val="9"/>
              <w:spacing w:line="360" w:lineRule="auto"/>
              <w:jc w:val="center"/>
              <w:rPr>
                <w:rFonts w:ascii="宋体" w:hAnsi="宋体" w:cs="宋体"/>
              </w:rPr>
            </w:pPr>
          </w:p>
        </w:tc>
      </w:tr>
      <w:tr w14:paraId="56E4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3CBC1C2">
            <w:pPr>
              <w:pStyle w:val="9"/>
              <w:spacing w:line="360" w:lineRule="auto"/>
              <w:jc w:val="center"/>
              <w:rPr>
                <w:rFonts w:ascii="宋体" w:hAnsi="宋体" w:cs="宋体"/>
              </w:rPr>
            </w:pPr>
          </w:p>
        </w:tc>
        <w:tc>
          <w:tcPr>
            <w:tcW w:w="2514" w:type="dxa"/>
            <w:vAlign w:val="center"/>
          </w:tcPr>
          <w:p w14:paraId="080D4E98">
            <w:pPr>
              <w:pStyle w:val="9"/>
              <w:spacing w:line="360" w:lineRule="auto"/>
              <w:jc w:val="center"/>
              <w:rPr>
                <w:rFonts w:ascii="宋体" w:hAnsi="宋体" w:cs="宋体"/>
              </w:rPr>
            </w:pPr>
          </w:p>
        </w:tc>
        <w:tc>
          <w:tcPr>
            <w:tcW w:w="2266" w:type="dxa"/>
            <w:vAlign w:val="center"/>
          </w:tcPr>
          <w:p w14:paraId="2063A32E">
            <w:pPr>
              <w:pStyle w:val="9"/>
              <w:spacing w:line="360" w:lineRule="auto"/>
              <w:jc w:val="center"/>
              <w:rPr>
                <w:rFonts w:ascii="宋体" w:hAnsi="宋体" w:cs="宋体"/>
              </w:rPr>
            </w:pPr>
          </w:p>
        </w:tc>
        <w:tc>
          <w:tcPr>
            <w:tcW w:w="2966" w:type="dxa"/>
            <w:vAlign w:val="center"/>
          </w:tcPr>
          <w:p w14:paraId="3E1EE83A">
            <w:pPr>
              <w:pStyle w:val="9"/>
              <w:spacing w:line="360" w:lineRule="auto"/>
              <w:jc w:val="center"/>
              <w:rPr>
                <w:rFonts w:ascii="宋体" w:hAnsi="宋体" w:cs="宋体"/>
              </w:rPr>
            </w:pPr>
          </w:p>
        </w:tc>
      </w:tr>
    </w:tbl>
    <w:p w14:paraId="287ADC46">
      <w:pPr>
        <w:spacing w:line="360" w:lineRule="auto"/>
        <w:jc w:val="center"/>
        <w:rPr>
          <w:rFonts w:ascii="宋体" w:hAnsi="宋体"/>
          <w:bCs/>
          <w:sz w:val="24"/>
          <w:szCs w:val="28"/>
        </w:rPr>
      </w:pPr>
    </w:p>
    <w:p w14:paraId="43D47337">
      <w:pPr>
        <w:pStyle w:val="4"/>
        <w:numPr>
          <w:ilvl w:val="0"/>
          <w:numId w:val="0"/>
        </w:numPr>
        <w:ind w:left="709" w:hanging="709"/>
        <w:rPr>
          <w:rFonts w:hAnsi="宋体"/>
          <w:lang w:val="zh-CN"/>
        </w:rPr>
      </w:pPr>
      <w:r>
        <w:rPr>
          <w:rFonts w:hAnsi="宋体"/>
          <w:bCs/>
          <w:sz w:val="24"/>
          <w:szCs w:val="28"/>
        </w:rPr>
        <w:br w:type="page"/>
      </w:r>
      <w:bookmarkStart w:id="218" w:name="_Toc1575347"/>
      <w:r>
        <w:rPr>
          <w:rFonts w:hint="eastAsia" w:hAnsi="宋体"/>
          <w:b/>
          <w:sz w:val="32"/>
          <w:lang w:val="zh-CN"/>
        </w:rPr>
        <w:t>格式12、</w:t>
      </w:r>
      <w:bookmarkStart w:id="219" w:name="_Toc487036155"/>
      <w:r>
        <w:rPr>
          <w:rFonts w:hint="eastAsia" w:hAnsi="宋体"/>
          <w:b/>
          <w:sz w:val="32"/>
          <w:szCs w:val="32"/>
        </w:rPr>
        <w:t>竞争性磋商首次报价表</w:t>
      </w:r>
      <w:bookmarkEnd w:id="218"/>
      <w:bookmarkEnd w:id="219"/>
    </w:p>
    <w:p w14:paraId="642FE85A">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p>
    <w:p w14:paraId="0836238F">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070C17F6">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62CEA70E">
      <w:pP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p w14:paraId="39911266">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tbl>
      <w:tblPr>
        <w:tblStyle w:val="34"/>
        <w:tblW w:w="9968" w:type="dxa"/>
        <w:jc w:val="center"/>
        <w:tblLayout w:type="fixed"/>
        <w:tblCellMar>
          <w:top w:w="0" w:type="dxa"/>
          <w:left w:w="108" w:type="dxa"/>
          <w:bottom w:w="0" w:type="dxa"/>
          <w:right w:w="108" w:type="dxa"/>
        </w:tblCellMar>
      </w:tblPr>
      <w:tblGrid>
        <w:gridCol w:w="3516"/>
        <w:gridCol w:w="2829"/>
        <w:gridCol w:w="2016"/>
        <w:gridCol w:w="1607"/>
      </w:tblGrid>
      <w:tr w14:paraId="7D32B630">
        <w:tblPrEx>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47E27E">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86687B">
            <w:pPr>
              <w:autoSpaceDE w:val="0"/>
              <w:autoSpaceDN w:val="0"/>
              <w:spacing w:line="360" w:lineRule="auto"/>
              <w:ind w:firstLine="482"/>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004701BB">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CBFB42">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71A1D9AC">
        <w:tblPrEx>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000000" w:fill="FFFFFF"/>
            <w:vAlign w:val="center"/>
          </w:tcPr>
          <w:p w14:paraId="6E5643D9">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075173">
            <w:pPr>
              <w:autoSpaceDE w:val="0"/>
              <w:autoSpaceDN w:val="0"/>
              <w:spacing w:line="360" w:lineRule="auto"/>
              <w:rPr>
                <w:rFonts w:ascii="Arial" w:hAnsi="Arial" w:cs="Arial"/>
                <w:lang w:val="zh-CN"/>
              </w:rPr>
            </w:pPr>
            <w:r>
              <w:rPr>
                <w:rFonts w:ascii="Arial" w:hAnsi="Arial" w:cs="Arial"/>
                <w:bCs/>
                <w:sz w:val="24"/>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6270C971">
            <w:pPr>
              <w:autoSpaceDE w:val="0"/>
              <w:autoSpaceDN w:val="0"/>
              <w:spacing w:line="360" w:lineRule="auto"/>
              <w:ind w:firstLine="197"/>
              <w:jc w:val="center"/>
              <w:rPr>
                <w:rFonts w:ascii="Arial" w:hAnsi="Arial" w:cs="Arial"/>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3A292FBF">
            <w:pPr>
              <w:autoSpaceDE w:val="0"/>
              <w:autoSpaceDN w:val="0"/>
              <w:spacing w:line="360" w:lineRule="auto"/>
              <w:jc w:val="center"/>
              <w:rPr>
                <w:rFonts w:ascii="Arial" w:hAnsi="Arial" w:cs="Arial"/>
                <w:lang w:val="zh-CN"/>
              </w:rPr>
            </w:pPr>
          </w:p>
        </w:tc>
      </w:tr>
      <w:tr w14:paraId="5255E8EC">
        <w:tblPrEx>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auto" w:sz="4" w:space="0"/>
              <w:right w:val="single" w:color="000000" w:sz="6" w:space="0"/>
            </w:tcBorders>
            <w:shd w:val="clear" w:color="000000" w:fill="FFFFFF"/>
            <w:vAlign w:val="center"/>
          </w:tcPr>
          <w:p w14:paraId="7E11D8DC">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4E599E65">
            <w:pPr>
              <w:autoSpaceDE w:val="0"/>
              <w:autoSpaceDN w:val="0"/>
              <w:spacing w:line="360" w:lineRule="auto"/>
              <w:rPr>
                <w:rFonts w:ascii="Arial" w:hAnsi="Arial" w:cs="Arial"/>
                <w:lang w:val="zh-CN"/>
              </w:rPr>
            </w:pPr>
            <w:r>
              <w:rPr>
                <w:rFonts w:ascii="Arial" w:hAnsi="Arial" w:cs="Arial"/>
                <w:bCs/>
                <w:sz w:val="24"/>
                <w:lang w:val="zh-CN"/>
              </w:rPr>
              <w:t>小写：</w:t>
            </w:r>
          </w:p>
        </w:tc>
        <w:tc>
          <w:tcPr>
            <w:tcW w:w="2016" w:type="dxa"/>
            <w:vMerge w:val="continue"/>
            <w:tcBorders>
              <w:top w:val="single" w:color="000000" w:sz="6" w:space="0"/>
              <w:left w:val="single" w:color="000000" w:sz="6" w:space="0"/>
              <w:bottom w:val="single" w:color="auto" w:sz="4" w:space="0"/>
              <w:right w:val="single" w:color="auto" w:sz="4" w:space="0"/>
            </w:tcBorders>
            <w:shd w:val="clear" w:color="000000" w:fill="FFFFFF"/>
            <w:vAlign w:val="center"/>
          </w:tcPr>
          <w:p w14:paraId="6B7FF251">
            <w:pPr>
              <w:autoSpaceDE w:val="0"/>
              <w:autoSpaceDN w:val="0"/>
              <w:spacing w:line="360" w:lineRule="auto"/>
              <w:jc w:val="center"/>
              <w:rPr>
                <w:rFonts w:ascii="Arial" w:hAnsi="Arial" w:cs="Arial"/>
                <w:lang w:val="zh-CN"/>
              </w:rPr>
            </w:pPr>
          </w:p>
        </w:tc>
        <w:tc>
          <w:tcPr>
            <w:tcW w:w="1607" w:type="dxa"/>
            <w:vMerge w:val="continue"/>
            <w:tcBorders>
              <w:top w:val="single" w:color="000000" w:sz="6" w:space="0"/>
              <w:left w:val="single" w:color="000000" w:sz="6" w:space="0"/>
              <w:bottom w:val="single" w:color="auto" w:sz="4" w:space="0"/>
              <w:right w:val="single" w:color="000000" w:sz="6" w:space="0"/>
            </w:tcBorders>
            <w:shd w:val="clear" w:color="000000" w:fill="FFFFFF"/>
            <w:vAlign w:val="center"/>
          </w:tcPr>
          <w:p w14:paraId="7CE4921E">
            <w:pPr>
              <w:autoSpaceDE w:val="0"/>
              <w:autoSpaceDN w:val="0"/>
              <w:spacing w:line="360" w:lineRule="auto"/>
              <w:jc w:val="center"/>
              <w:rPr>
                <w:rFonts w:ascii="Arial" w:hAnsi="Arial" w:cs="Arial"/>
                <w:lang w:val="zh-CN"/>
              </w:rPr>
            </w:pPr>
          </w:p>
        </w:tc>
      </w:tr>
      <w:tr w14:paraId="09A84C01">
        <w:tblPrEx>
          <w:tblCellMar>
            <w:top w:w="0" w:type="dxa"/>
            <w:left w:w="108" w:type="dxa"/>
            <w:bottom w:w="0" w:type="dxa"/>
            <w:right w:w="108" w:type="dxa"/>
          </w:tblCellMar>
        </w:tblPrEx>
        <w:trPr>
          <w:trHeight w:val="1782"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0D2AD592">
            <w:pPr>
              <w:autoSpaceDE w:val="0"/>
              <w:autoSpaceDN w:val="0"/>
              <w:spacing w:line="360" w:lineRule="auto"/>
              <w:rPr>
                <w:rFonts w:ascii="Arial" w:hAnsi="Arial" w:cs="Arial"/>
              </w:rPr>
            </w:pPr>
            <w:r>
              <w:rPr>
                <w:rFonts w:hint="eastAsia" w:ascii="Arial" w:hAnsi="Arial" w:cs="Arial"/>
                <w:bCs/>
                <w:sz w:val="24"/>
              </w:rPr>
              <w:t>优惠承诺及其他：</w:t>
            </w:r>
          </w:p>
        </w:tc>
      </w:tr>
    </w:tbl>
    <w:p w14:paraId="453214A3">
      <w:pPr>
        <w:autoSpaceDE w:val="0"/>
        <w:autoSpaceDN w:val="0"/>
        <w:spacing w:line="360" w:lineRule="auto"/>
        <w:rPr>
          <w:rFonts w:ascii="宋体" w:hAnsi="宋体" w:cs="Arial"/>
          <w:b/>
          <w:bCs/>
          <w:sz w:val="20"/>
          <w:lang w:val="zh-CN"/>
        </w:rPr>
      </w:pPr>
    </w:p>
    <w:p w14:paraId="73F9CAFC">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hint="eastAsia" w:ascii="宋体" w:hAnsi="宋体" w:cs="Arial"/>
          <w:b/>
          <w:sz w:val="20"/>
          <w:lang w:val="zh-CN"/>
        </w:rPr>
        <w:t>、</w:t>
      </w:r>
      <w:r>
        <w:rPr>
          <w:rFonts w:ascii="宋体" w:hAnsi="宋体" w:cs="Arial"/>
          <w:b/>
          <w:sz w:val="20"/>
          <w:lang w:val="zh-CN"/>
        </w:rPr>
        <w:t>填写此表时不得改变表格形式（可按所投包增加行）。</w:t>
      </w:r>
    </w:p>
    <w:p w14:paraId="5A8DC05D">
      <w:pPr>
        <w:spacing w:line="360" w:lineRule="auto"/>
        <w:ind w:firstLine="388" w:firstLineChars="193"/>
        <w:rPr>
          <w:rFonts w:ascii="宋体" w:hAnsi="宋体" w:cs="Arial"/>
          <w:b/>
          <w:sz w:val="20"/>
          <w:lang w:val="zh-CN"/>
        </w:rPr>
      </w:pPr>
      <w:r>
        <w:rPr>
          <w:rFonts w:ascii="宋体" w:hAnsi="宋体" w:cs="Arial"/>
          <w:b/>
          <w:sz w:val="20"/>
          <w:lang w:val="zh-CN"/>
        </w:rPr>
        <w:t>2</w:t>
      </w:r>
      <w:r>
        <w:rPr>
          <w:rFonts w:hint="eastAsia" w:ascii="宋体" w:hAnsi="宋体" w:cs="Arial"/>
          <w:b/>
          <w:sz w:val="20"/>
          <w:lang w:val="zh-CN"/>
        </w:rPr>
        <w:t>、“</w:t>
      </w:r>
      <w:r>
        <w:rPr>
          <w:rFonts w:ascii="宋体" w:hAnsi="宋体" w:cs="Arial"/>
          <w:b/>
          <w:sz w:val="20"/>
          <w:lang w:val="zh-CN"/>
        </w:rPr>
        <w:t>磋商报价</w:t>
      </w:r>
      <w:r>
        <w:rPr>
          <w:rFonts w:hint="eastAsia" w:ascii="宋体" w:hAnsi="宋体" w:cs="Arial"/>
          <w:b/>
          <w:sz w:val="20"/>
          <w:lang w:val="zh-CN"/>
        </w:rPr>
        <w:t>”</w:t>
      </w:r>
      <w:r>
        <w:rPr>
          <w:rFonts w:ascii="宋体" w:hAnsi="宋体" w:cs="Arial"/>
          <w:b/>
          <w:sz w:val="20"/>
          <w:lang w:val="zh-CN"/>
        </w:rPr>
        <w:t>为磋商总价。</w:t>
      </w:r>
      <w:r>
        <w:rPr>
          <w:rFonts w:hint="eastAsia" w:ascii="宋体" w:hAnsi="宋体" w:cs="Arial"/>
          <w:b/>
          <w:sz w:val="20"/>
          <w:lang w:val="zh-CN"/>
        </w:rPr>
        <w:t>磋商报价必须包括：产品费、</w:t>
      </w:r>
      <w:r>
        <w:rPr>
          <w:rFonts w:hint="eastAsia" w:ascii="宋体" w:hAnsi="宋体" w:cs="Arial"/>
          <w:b/>
          <w:sz w:val="20"/>
          <w:lang w:val="zh-CN" w:eastAsia="zh-CN"/>
        </w:rPr>
        <w:t>安装费、</w:t>
      </w:r>
      <w:r>
        <w:rPr>
          <w:rFonts w:hint="eastAsia" w:ascii="宋体" w:hAnsi="宋体" w:cs="Arial"/>
          <w:b/>
          <w:sz w:val="20"/>
          <w:lang w:val="zh-CN"/>
        </w:rPr>
        <w:t>验收费、售前、售中、售后服务费、招标代理费、税金及不可预见费等全部费用。</w:t>
      </w:r>
    </w:p>
    <w:p w14:paraId="38CBAFE0">
      <w:pPr>
        <w:spacing w:line="360" w:lineRule="auto"/>
        <w:ind w:firstLine="388" w:firstLineChars="193"/>
        <w:rPr>
          <w:rFonts w:ascii="宋体" w:hAnsi="宋体" w:cs="宋体"/>
          <w:b/>
          <w:bCs/>
          <w:kern w:val="0"/>
          <w:sz w:val="20"/>
          <w:lang w:val="zh-CN"/>
        </w:rPr>
      </w:pPr>
      <w:r>
        <w:rPr>
          <w:rFonts w:ascii="宋体" w:hAnsi="宋体" w:cs="Arial"/>
          <w:b/>
          <w:sz w:val="20"/>
          <w:lang w:val="zh-CN"/>
        </w:rPr>
        <w:t>3</w:t>
      </w:r>
      <w:r>
        <w:rPr>
          <w:rFonts w:hint="eastAsia" w:ascii="宋体" w:hAnsi="宋体" w:cs="Arial"/>
          <w:b/>
          <w:sz w:val="20"/>
          <w:lang w:val="zh-CN"/>
        </w:rPr>
        <w:t>、“</w:t>
      </w:r>
      <w:r>
        <w:rPr>
          <w:rFonts w:ascii="宋体" w:hAnsi="宋体" w:cs="Arial"/>
          <w:b/>
          <w:sz w:val="20"/>
          <w:lang w:val="zh-CN"/>
        </w:rPr>
        <w:t>交货</w:t>
      </w:r>
      <w:r>
        <w:rPr>
          <w:rFonts w:hint="eastAsia" w:ascii="宋体" w:hAnsi="宋体" w:cs="Arial"/>
          <w:b/>
          <w:sz w:val="20"/>
          <w:lang w:val="zh-CN"/>
        </w:rPr>
        <w:t>时间”是指产品能够交付使用的具体时间。</w:t>
      </w:r>
    </w:p>
    <w:p w14:paraId="1C2D0FBA">
      <w:pPr>
        <w:spacing w:line="360" w:lineRule="auto"/>
        <w:ind w:firstLine="388" w:firstLineChars="193"/>
        <w:rPr>
          <w:rFonts w:ascii="宋体" w:hAnsi="宋体" w:cs="Arial"/>
          <w:b/>
          <w:sz w:val="20"/>
          <w:lang w:val="zh-CN"/>
        </w:rPr>
      </w:pPr>
      <w:r>
        <w:rPr>
          <w:rFonts w:hint="eastAsia" w:ascii="宋体" w:hAnsi="宋体" w:cs="Arial"/>
          <w:b/>
          <w:sz w:val="20"/>
        </w:rPr>
        <w:t>4</w:t>
      </w:r>
      <w:r>
        <w:rPr>
          <w:rFonts w:hint="eastAsia" w:ascii="宋体" w:hAnsi="宋体" w:cs="Arial"/>
          <w:b/>
          <w:sz w:val="20"/>
          <w:lang w:val="zh-CN"/>
        </w:rPr>
        <w:t>、</w:t>
      </w:r>
      <w:r>
        <w:rPr>
          <w:rFonts w:ascii="宋体" w:hAnsi="宋体" w:cs="Arial"/>
          <w:b/>
          <w:sz w:val="20"/>
          <w:lang w:val="zh-CN"/>
        </w:rPr>
        <w:t>磋商报价不能有两个或两个以上的报价方案。</w:t>
      </w:r>
    </w:p>
    <w:p w14:paraId="37B9B38F">
      <w:pPr>
        <w:pStyle w:val="13"/>
      </w:pPr>
      <w:r>
        <w:rPr>
          <w:rFonts w:hint="eastAsia" w:ascii="宋体" w:hAnsi="宋体" w:cs="Arial"/>
          <w:b/>
        </w:rPr>
        <w:t xml:space="preserve">   </w:t>
      </w:r>
    </w:p>
    <w:p w14:paraId="0DC19976">
      <w:pPr>
        <w:spacing w:line="360" w:lineRule="auto"/>
        <w:ind w:firstLine="388" w:firstLineChars="193"/>
        <w:rPr>
          <w:rFonts w:ascii="宋体" w:hAnsi="宋体" w:cs="宋体"/>
          <w:b/>
          <w:bCs/>
          <w:kern w:val="0"/>
          <w:sz w:val="20"/>
          <w:lang w:val="zh-CN"/>
        </w:rPr>
      </w:pPr>
    </w:p>
    <w:p w14:paraId="1ECAA9F6">
      <w:pPr>
        <w:spacing w:line="360" w:lineRule="auto"/>
        <w:ind w:firstLine="388" w:firstLineChars="193"/>
        <w:rPr>
          <w:rFonts w:ascii="宋体" w:hAnsi="宋体" w:cs="宋体"/>
          <w:b/>
          <w:bCs/>
          <w:kern w:val="0"/>
          <w:sz w:val="20"/>
          <w:lang w:val="zh-CN"/>
        </w:rPr>
      </w:pPr>
    </w:p>
    <w:p w14:paraId="6A4C625F">
      <w:pPr>
        <w:spacing w:line="360" w:lineRule="auto"/>
        <w:ind w:firstLine="388" w:firstLineChars="193"/>
        <w:rPr>
          <w:rFonts w:ascii="宋体" w:hAnsi="宋体" w:cs="宋体"/>
          <w:b/>
          <w:bCs/>
          <w:kern w:val="0"/>
          <w:sz w:val="20"/>
          <w:lang w:val="zh-CN"/>
        </w:rPr>
      </w:pPr>
    </w:p>
    <w:p w14:paraId="56FA1AA0">
      <w:pPr>
        <w:spacing w:line="360" w:lineRule="auto"/>
        <w:ind w:firstLine="388" w:firstLineChars="193"/>
        <w:rPr>
          <w:rFonts w:ascii="宋体" w:hAnsi="宋体" w:cs="宋体"/>
          <w:b/>
          <w:bCs/>
          <w:kern w:val="0"/>
          <w:sz w:val="20"/>
          <w:szCs w:val="22"/>
          <w:lang w:val="zh-CN"/>
        </w:rPr>
      </w:pPr>
    </w:p>
    <w:p w14:paraId="43082CFF">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46027E94">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07000DF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565CE05">
      <w:pPr>
        <w:pStyle w:val="4"/>
        <w:numPr>
          <w:ilvl w:val="0"/>
          <w:numId w:val="0"/>
        </w:numPr>
        <w:ind w:left="709" w:hanging="709"/>
        <w:rPr>
          <w:rFonts w:hAnsi="宋体"/>
          <w:lang w:val="zh-CN"/>
        </w:rPr>
      </w:pPr>
      <w:r>
        <w:rPr>
          <w:rFonts w:hAnsi="宋体"/>
          <w:bCs/>
          <w:sz w:val="24"/>
          <w:szCs w:val="28"/>
        </w:rPr>
        <w:br w:type="page"/>
      </w:r>
      <w:bookmarkStart w:id="220" w:name="_Toc1575348"/>
      <w:r>
        <w:rPr>
          <w:rFonts w:hint="eastAsia" w:hAnsi="宋体"/>
          <w:b/>
          <w:sz w:val="32"/>
          <w:lang w:val="zh-CN"/>
        </w:rPr>
        <w:t>格式13、分项报价表</w:t>
      </w:r>
      <w:bookmarkEnd w:id="220"/>
    </w:p>
    <w:p w14:paraId="49AC687F">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分项报价表</w:t>
      </w:r>
    </w:p>
    <w:p w14:paraId="5A21070C">
      <w:pPr>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10C8FD2C">
      <w:pPr>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78538123">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4"/>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61025F1D">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42923F9A">
            <w:pPr>
              <w:jc w:val="center"/>
              <w:rPr>
                <w:rFonts w:ascii="宋体" w:hAnsi="宋体"/>
                <w:sz w:val="24"/>
                <w:lang w:val="zh-CN"/>
              </w:rPr>
            </w:pPr>
            <w:r>
              <w:rPr>
                <w:rFonts w:hint="eastAsia" w:ascii="宋体" w:hAnsi="宋体"/>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024A8FB">
            <w:pPr>
              <w:jc w:val="center"/>
              <w:rPr>
                <w:rFonts w:ascii="宋体" w:hAnsi="宋体"/>
                <w:sz w:val="24"/>
                <w:lang w:val="zh-CN"/>
              </w:rPr>
            </w:pPr>
            <w:r>
              <w:rPr>
                <w:rFonts w:hint="eastAsia" w:ascii="宋体" w:hAnsi="宋体"/>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798BC53">
            <w:pPr>
              <w:jc w:val="center"/>
              <w:rPr>
                <w:rFonts w:ascii="宋体" w:hAnsi="宋体"/>
                <w:sz w:val="24"/>
                <w:lang w:val="zh-CN"/>
              </w:rPr>
            </w:pPr>
            <w:r>
              <w:rPr>
                <w:rFonts w:hint="eastAsia" w:ascii="宋体" w:hAnsi="宋体"/>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48CCA59">
            <w:pPr>
              <w:jc w:val="center"/>
              <w:rPr>
                <w:rFonts w:ascii="宋体" w:hAnsi="宋体"/>
                <w:sz w:val="24"/>
                <w:lang w:val="zh-CN"/>
              </w:rPr>
            </w:pPr>
            <w:r>
              <w:rPr>
                <w:rFonts w:hint="eastAsia" w:ascii="宋体" w:hAnsi="宋体"/>
                <w:sz w:val="24"/>
                <w:lang w:val="zh-CN"/>
              </w:rPr>
              <w:t>规格</w:t>
            </w:r>
          </w:p>
          <w:p w14:paraId="5CE01C0F">
            <w:pPr>
              <w:jc w:val="center"/>
              <w:rPr>
                <w:rFonts w:ascii="宋体" w:hAnsi="宋体"/>
                <w:sz w:val="24"/>
                <w:lang w:val="zh-CN"/>
              </w:rPr>
            </w:pPr>
            <w:r>
              <w:rPr>
                <w:rFonts w:hint="eastAsia" w:ascii="宋体" w:hAnsi="宋体"/>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5D6E5A32">
            <w:pPr>
              <w:jc w:val="center"/>
              <w:rPr>
                <w:rFonts w:ascii="宋体" w:hAnsi="宋体"/>
                <w:sz w:val="24"/>
                <w:lang w:val="zh-CN"/>
              </w:rPr>
            </w:pPr>
            <w:r>
              <w:rPr>
                <w:rFonts w:hint="eastAsia" w:ascii="宋体" w:hAnsi="宋体"/>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AB8C132">
            <w:pPr>
              <w:jc w:val="center"/>
              <w:rPr>
                <w:rFonts w:ascii="宋体" w:hAnsi="宋体"/>
                <w:sz w:val="24"/>
                <w:lang w:val="zh-CN"/>
              </w:rPr>
            </w:pPr>
            <w:r>
              <w:rPr>
                <w:rFonts w:hint="eastAsia" w:ascii="宋体" w:hAnsi="宋体"/>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60879EDF">
            <w:pPr>
              <w:jc w:val="center"/>
              <w:rPr>
                <w:rFonts w:ascii="宋体" w:hAnsi="宋体"/>
                <w:sz w:val="24"/>
                <w:lang w:val="zh-CN"/>
              </w:rPr>
            </w:pPr>
            <w:r>
              <w:rPr>
                <w:rFonts w:hint="eastAsia" w:ascii="宋体" w:hAnsi="宋体"/>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049136A3">
            <w:pPr>
              <w:jc w:val="center"/>
              <w:rPr>
                <w:rFonts w:ascii="宋体" w:hAnsi="宋体"/>
                <w:sz w:val="24"/>
                <w:lang w:val="zh-CN"/>
              </w:rPr>
            </w:pPr>
            <w:r>
              <w:rPr>
                <w:rFonts w:hint="eastAsia" w:ascii="宋体" w:hAnsi="宋体"/>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72F71DB0">
            <w:pPr>
              <w:jc w:val="center"/>
              <w:rPr>
                <w:rFonts w:hint="default" w:ascii="宋体" w:hAnsi="宋体" w:eastAsia="宋体"/>
                <w:sz w:val="24"/>
                <w:lang w:val="en-US" w:eastAsia="zh-CN"/>
              </w:rPr>
            </w:pPr>
            <w:r>
              <w:rPr>
                <w:rFonts w:hint="eastAsia" w:ascii="宋体" w:hAnsi="宋体"/>
                <w:sz w:val="24"/>
                <w:lang w:val="en-US" w:eastAsia="zh-CN"/>
              </w:rPr>
              <w:t>质保期</w:t>
            </w:r>
          </w:p>
        </w:tc>
      </w:tr>
      <w:tr w14:paraId="39541ED1">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75E3F32">
            <w:pPr>
              <w:jc w:val="center"/>
              <w:rPr>
                <w:rFonts w:ascii="宋体" w:hAnsi="宋体"/>
                <w:sz w:val="24"/>
                <w:lang w:val="zh-CN"/>
              </w:rPr>
            </w:pPr>
            <w:r>
              <w:rPr>
                <w:rFonts w:ascii="宋体" w:hAnsi="宋体"/>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623552">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7943F3">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8C822E">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B526E1">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75B73C">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29804">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4A3E51">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D9EC64B">
            <w:pPr>
              <w:jc w:val="center"/>
              <w:rPr>
                <w:rFonts w:ascii="宋体" w:hAnsi="宋体"/>
                <w:sz w:val="24"/>
                <w:lang w:val="zh-CN"/>
              </w:rPr>
            </w:pPr>
          </w:p>
        </w:tc>
      </w:tr>
      <w:tr w14:paraId="47F29465">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97E505C">
            <w:pPr>
              <w:jc w:val="center"/>
              <w:rPr>
                <w:rFonts w:ascii="宋体" w:hAnsi="宋体"/>
                <w:sz w:val="24"/>
                <w:lang w:val="zh-CN"/>
              </w:rPr>
            </w:pPr>
            <w:r>
              <w:rPr>
                <w:rFonts w:ascii="宋体" w:hAnsi="宋体"/>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5FF51E">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9C2F27">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2073F3">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AEBD43">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FBF29E">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09AB49">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E7640C">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B568789">
            <w:pPr>
              <w:jc w:val="center"/>
              <w:rPr>
                <w:rFonts w:ascii="宋体" w:hAnsi="宋体"/>
                <w:sz w:val="24"/>
                <w:lang w:val="zh-CN"/>
              </w:rPr>
            </w:pPr>
          </w:p>
        </w:tc>
      </w:tr>
      <w:tr w14:paraId="75DBAF17">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50FC1859">
            <w:pPr>
              <w:jc w:val="center"/>
              <w:rPr>
                <w:rFonts w:ascii="宋体" w:hAnsi="宋体"/>
                <w:sz w:val="24"/>
                <w:lang w:val="zh-CN"/>
              </w:rPr>
            </w:pPr>
            <w:r>
              <w:rPr>
                <w:rFonts w:ascii="宋体" w:hAnsi="宋体"/>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4457E4">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ED4E02">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35B795">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2055B4">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43FC95">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796561">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C8D94E">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F1B69BD">
            <w:pPr>
              <w:jc w:val="center"/>
              <w:rPr>
                <w:rFonts w:ascii="宋体" w:hAnsi="宋体"/>
                <w:sz w:val="24"/>
                <w:lang w:val="zh-CN"/>
              </w:rPr>
            </w:pPr>
          </w:p>
        </w:tc>
      </w:tr>
      <w:tr w14:paraId="61741C76">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3DA1A918">
            <w:pPr>
              <w:jc w:val="center"/>
              <w:rPr>
                <w:rFonts w:ascii="宋体" w:hAnsi="宋体"/>
                <w:sz w:val="24"/>
                <w:lang w:val="zh-CN"/>
              </w:rPr>
            </w:pPr>
            <w:r>
              <w:rPr>
                <w:rFonts w:ascii="宋体" w:hAnsi="宋体"/>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1F832C">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B97DC6">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0A4044">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D1E07E">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19D6F5">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CA2D0A">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8CFD42">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7DC6607">
            <w:pPr>
              <w:jc w:val="center"/>
              <w:rPr>
                <w:rFonts w:ascii="宋体" w:hAnsi="宋体"/>
                <w:sz w:val="24"/>
                <w:lang w:val="zh-CN"/>
              </w:rPr>
            </w:pPr>
          </w:p>
        </w:tc>
      </w:tr>
      <w:tr w14:paraId="2382DD93">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D812B39">
            <w:pPr>
              <w:jc w:val="center"/>
              <w:rPr>
                <w:rFonts w:ascii="宋体" w:hAnsi="宋体"/>
                <w:sz w:val="24"/>
                <w:lang w:val="zh-CN"/>
              </w:rPr>
            </w:pPr>
            <w:r>
              <w:rPr>
                <w:rFonts w:ascii="宋体" w:hAnsi="宋体"/>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7C37D3">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14E07A">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19AE09">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E58F6A">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969184">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15E44E">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478C12">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5529EDA6">
            <w:pPr>
              <w:jc w:val="center"/>
              <w:rPr>
                <w:rFonts w:ascii="宋体" w:hAnsi="宋体"/>
                <w:sz w:val="24"/>
                <w:lang w:val="zh-CN"/>
              </w:rPr>
            </w:pPr>
          </w:p>
        </w:tc>
      </w:tr>
      <w:tr w14:paraId="09F716F1">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14:paraId="3F0C7CF6">
            <w:pPr>
              <w:rPr>
                <w:rFonts w:ascii="宋体" w:hAnsi="宋体"/>
                <w:sz w:val="24"/>
                <w:lang w:val="zh-CN"/>
              </w:rPr>
            </w:pPr>
            <w:r>
              <w:rPr>
                <w:rFonts w:hint="eastAsia" w:ascii="宋体" w:hAnsi="宋体"/>
                <w:sz w:val="24"/>
                <w:lang w:val="zh-CN"/>
              </w:rPr>
              <w:t>优惠承诺及其他：</w:t>
            </w:r>
          </w:p>
          <w:p w14:paraId="34D279FD">
            <w:pPr>
              <w:rPr>
                <w:rFonts w:ascii="宋体" w:hAnsi="宋体"/>
                <w:sz w:val="24"/>
                <w:lang w:val="zh-CN"/>
              </w:rPr>
            </w:pPr>
          </w:p>
        </w:tc>
      </w:tr>
      <w:tr w14:paraId="082DAA64">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0386FD36">
            <w:pPr>
              <w:rPr>
                <w:rFonts w:ascii="宋体" w:hAnsi="宋体"/>
                <w:sz w:val="24"/>
                <w:lang w:val="zh-CN"/>
              </w:rPr>
            </w:pPr>
            <w:r>
              <w:rPr>
                <w:rFonts w:hint="eastAsia" w:ascii="宋体" w:hAnsi="宋体"/>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14:paraId="5232C493">
            <w:pPr>
              <w:rPr>
                <w:rFonts w:ascii="宋体" w:hAnsi="宋体"/>
                <w:sz w:val="24"/>
                <w:lang w:val="zh-CN"/>
              </w:rPr>
            </w:pPr>
            <w:r>
              <w:rPr>
                <w:rFonts w:hint="eastAsia" w:ascii="宋体" w:hAnsi="宋体"/>
                <w:sz w:val="24"/>
                <w:lang w:val="zh-CN"/>
              </w:rPr>
              <w:t>小写：</w:t>
            </w:r>
          </w:p>
          <w:p w14:paraId="135C6B93">
            <w:pPr>
              <w:rPr>
                <w:rFonts w:ascii="宋体" w:hAnsi="宋体"/>
                <w:sz w:val="24"/>
                <w:lang w:val="zh-CN"/>
              </w:rPr>
            </w:pPr>
          </w:p>
          <w:p w14:paraId="707445C3">
            <w:pPr>
              <w:rPr>
                <w:rFonts w:ascii="宋体" w:hAnsi="宋体"/>
                <w:sz w:val="24"/>
                <w:lang w:val="zh-CN"/>
              </w:rPr>
            </w:pPr>
            <w:r>
              <w:rPr>
                <w:rFonts w:hint="eastAsia" w:ascii="宋体" w:hAnsi="宋体"/>
                <w:sz w:val="24"/>
                <w:lang w:val="zh-CN"/>
              </w:rPr>
              <w:t>大写：</w:t>
            </w:r>
          </w:p>
        </w:tc>
      </w:tr>
    </w:tbl>
    <w:p w14:paraId="6EFCD54B">
      <w:pPr>
        <w:autoSpaceDE w:val="0"/>
        <w:autoSpaceDN w:val="0"/>
        <w:spacing w:line="360" w:lineRule="auto"/>
        <w:rPr>
          <w:rFonts w:ascii="宋体" w:hAnsi="宋体" w:cs="Arial"/>
          <w:b/>
          <w:bCs/>
          <w:sz w:val="20"/>
          <w:lang w:val="zh-CN"/>
        </w:rPr>
      </w:pPr>
      <w:r>
        <w:rPr>
          <w:rFonts w:ascii="宋体" w:hAnsi="宋体" w:cs="Arial"/>
          <w:b/>
          <w:bCs/>
          <w:sz w:val="20"/>
          <w:lang w:val="zh-CN"/>
        </w:rPr>
        <w:t>注：1、本表应依照采购一览表中的产品序号按顺序逐项填写，不得遗漏。</w:t>
      </w:r>
    </w:p>
    <w:p w14:paraId="3151DB58">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、“分项报价</w:t>
      </w:r>
      <w:r>
        <w:rPr>
          <w:rFonts w:ascii="宋体" w:hAnsi="宋体" w:cs="Arial"/>
          <w:b/>
          <w:bCs/>
          <w:sz w:val="20"/>
          <w:lang w:val="zh-CN"/>
        </w:rPr>
        <w:t>表</w:t>
      </w:r>
      <w:r>
        <w:rPr>
          <w:rFonts w:hint="eastAsia" w:ascii="宋体" w:hAnsi="宋体" w:cs="Arial"/>
          <w:b/>
          <w:bCs/>
          <w:sz w:val="20"/>
          <w:lang w:val="zh-CN"/>
        </w:rPr>
        <w:t>”</w:t>
      </w:r>
      <w:r>
        <w:rPr>
          <w:rFonts w:ascii="宋体" w:hAnsi="宋体" w:cs="Arial"/>
          <w:b/>
          <w:bCs/>
          <w:sz w:val="20"/>
          <w:lang w:val="zh-CN"/>
        </w:rPr>
        <w:t>须为打印版，手写无效。</w:t>
      </w:r>
    </w:p>
    <w:p w14:paraId="21B6517C">
      <w:pPr>
        <w:spacing w:line="360" w:lineRule="auto"/>
        <w:rPr>
          <w:rFonts w:ascii="宋体" w:hAnsi="宋体"/>
          <w:lang w:val="zh-CN"/>
        </w:rPr>
      </w:pPr>
    </w:p>
    <w:p w14:paraId="2A9847FC">
      <w:pPr>
        <w:spacing w:line="360" w:lineRule="auto"/>
        <w:rPr>
          <w:rFonts w:ascii="宋体" w:hAnsi="宋体"/>
          <w:lang w:val="zh-CN"/>
        </w:rPr>
      </w:pPr>
    </w:p>
    <w:p w14:paraId="27D60275">
      <w:pPr>
        <w:spacing w:line="360" w:lineRule="auto"/>
        <w:rPr>
          <w:rFonts w:ascii="宋体" w:hAnsi="宋体"/>
          <w:lang w:val="zh-CN"/>
        </w:rPr>
      </w:pPr>
    </w:p>
    <w:p w14:paraId="60F5837D">
      <w:pPr>
        <w:spacing w:line="360" w:lineRule="auto"/>
        <w:rPr>
          <w:rFonts w:ascii="宋体" w:hAnsi="宋体"/>
          <w:lang w:val="zh-CN"/>
        </w:rPr>
      </w:pPr>
    </w:p>
    <w:p w14:paraId="42E4B67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1088BB5D">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09E0A2A3">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14CA6560">
      <w:pPr>
        <w:pStyle w:val="4"/>
        <w:numPr>
          <w:ilvl w:val="0"/>
          <w:numId w:val="0"/>
        </w:numPr>
        <w:ind w:left="709" w:hanging="709"/>
        <w:rPr>
          <w:rFonts w:hAnsi="宋体" w:cs="宋体"/>
        </w:rPr>
      </w:pPr>
      <w:r>
        <w:rPr>
          <w:rFonts w:hAnsi="宋体"/>
          <w:bCs/>
          <w:sz w:val="24"/>
          <w:szCs w:val="28"/>
        </w:rPr>
        <w:br w:type="page"/>
      </w:r>
      <w:bookmarkStart w:id="221" w:name="_Toc1575349"/>
      <w:r>
        <w:rPr>
          <w:rFonts w:hint="eastAsia" w:hAnsi="宋体"/>
          <w:b/>
          <w:sz w:val="32"/>
          <w:lang w:val="zh-CN"/>
        </w:rPr>
        <w:t>格式14、技术规格响应表</w:t>
      </w:r>
      <w:bookmarkEnd w:id="221"/>
    </w:p>
    <w:p w14:paraId="0FAAD6C6">
      <w:pPr>
        <w:autoSpaceDE w:val="0"/>
        <w:autoSpaceDN w:val="0"/>
        <w:adjustRightInd w:val="0"/>
        <w:spacing w:line="360" w:lineRule="auto"/>
        <w:jc w:val="center"/>
        <w:rPr>
          <w:rFonts w:ascii="宋体" w:hAnsi="宋体" w:cs="宋体"/>
          <w:b/>
          <w:bCs/>
          <w:kern w:val="0"/>
          <w:sz w:val="30"/>
          <w:szCs w:val="30"/>
          <w:lang w:val="zh-CN"/>
        </w:rPr>
      </w:pPr>
      <w:bookmarkStart w:id="222" w:name="_Toc25742"/>
      <w:bookmarkStart w:id="223" w:name="_Toc444715742"/>
      <w:bookmarkStart w:id="224" w:name="_Toc20510"/>
      <w:r>
        <w:rPr>
          <w:rFonts w:hint="eastAsia" w:ascii="宋体" w:hAnsi="宋体" w:cs="宋体"/>
          <w:b/>
          <w:bCs/>
          <w:kern w:val="0"/>
          <w:sz w:val="30"/>
          <w:szCs w:val="30"/>
          <w:lang w:val="zh-CN"/>
        </w:rPr>
        <w:t>技术规格响应表</w:t>
      </w:r>
    </w:p>
    <w:p w14:paraId="3C6B398F">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09F63830">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tbl>
      <w:tblPr>
        <w:tblStyle w:val="34"/>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5"/>
        <w:gridCol w:w="2666"/>
        <w:gridCol w:w="911"/>
        <w:gridCol w:w="1131"/>
        <w:gridCol w:w="2135"/>
        <w:gridCol w:w="851"/>
        <w:gridCol w:w="709"/>
      </w:tblGrid>
      <w:tr w14:paraId="2B71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vAlign w:val="center"/>
          </w:tcPr>
          <w:p w14:paraId="26121742">
            <w:pPr>
              <w:spacing w:line="360" w:lineRule="auto"/>
              <w:jc w:val="center"/>
              <w:rPr>
                <w:rFonts w:ascii="宋体" w:hAnsi="宋体"/>
              </w:rPr>
            </w:pPr>
            <w:r>
              <w:rPr>
                <w:rFonts w:hint="eastAsia" w:ascii="宋体" w:hAnsi="宋体"/>
              </w:rPr>
              <w:t>序号</w:t>
            </w:r>
          </w:p>
        </w:tc>
        <w:tc>
          <w:tcPr>
            <w:tcW w:w="4672" w:type="dxa"/>
            <w:gridSpan w:val="3"/>
            <w:vAlign w:val="center"/>
          </w:tcPr>
          <w:p w14:paraId="46A395DD">
            <w:pPr>
              <w:spacing w:line="360" w:lineRule="auto"/>
              <w:jc w:val="center"/>
              <w:rPr>
                <w:rFonts w:ascii="宋体" w:hAnsi="宋体"/>
              </w:rPr>
            </w:pPr>
            <w:r>
              <w:rPr>
                <w:rFonts w:hint="eastAsia" w:ascii="宋体" w:hAnsi="宋体" w:cs="仿宋_GB2312"/>
              </w:rPr>
              <w:t>采购需求技术参数、指标</w:t>
            </w:r>
          </w:p>
        </w:tc>
        <w:tc>
          <w:tcPr>
            <w:tcW w:w="4117" w:type="dxa"/>
            <w:gridSpan w:val="3"/>
            <w:vAlign w:val="center"/>
          </w:tcPr>
          <w:p w14:paraId="51123BBF">
            <w:pPr>
              <w:spacing w:line="360" w:lineRule="auto"/>
              <w:jc w:val="center"/>
              <w:rPr>
                <w:rFonts w:ascii="宋体" w:hAnsi="宋体"/>
              </w:rPr>
            </w:pPr>
            <w:r>
              <w:rPr>
                <w:rFonts w:hint="eastAsia" w:ascii="宋体" w:hAnsi="宋体"/>
              </w:rPr>
              <w:t>投标产品技术参数、指标</w:t>
            </w:r>
          </w:p>
        </w:tc>
        <w:tc>
          <w:tcPr>
            <w:tcW w:w="709" w:type="dxa"/>
            <w:vMerge w:val="restart"/>
            <w:vAlign w:val="center"/>
          </w:tcPr>
          <w:p w14:paraId="11BF2731">
            <w:pPr>
              <w:spacing w:line="360" w:lineRule="auto"/>
              <w:jc w:val="center"/>
              <w:rPr>
                <w:rFonts w:ascii="宋体" w:hAnsi="宋体"/>
              </w:rPr>
            </w:pPr>
            <w:r>
              <w:rPr>
                <w:rFonts w:hint="eastAsia" w:ascii="宋体" w:hAnsi="宋体"/>
              </w:rPr>
              <w:t>偏离</w:t>
            </w:r>
          </w:p>
        </w:tc>
      </w:tr>
      <w:tr w14:paraId="18B0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vAlign w:val="center"/>
          </w:tcPr>
          <w:p w14:paraId="725C7F69">
            <w:pPr>
              <w:spacing w:line="360" w:lineRule="auto"/>
              <w:jc w:val="center"/>
              <w:rPr>
                <w:rFonts w:ascii="宋体" w:hAnsi="宋体"/>
              </w:rPr>
            </w:pPr>
          </w:p>
        </w:tc>
        <w:tc>
          <w:tcPr>
            <w:tcW w:w="1095" w:type="dxa"/>
            <w:vAlign w:val="center"/>
          </w:tcPr>
          <w:p w14:paraId="1AD53303">
            <w:pPr>
              <w:spacing w:line="360" w:lineRule="auto"/>
              <w:jc w:val="center"/>
              <w:rPr>
                <w:rFonts w:ascii="宋体" w:hAnsi="宋体" w:cs="仿宋_GB2312"/>
              </w:rPr>
            </w:pPr>
            <w:r>
              <w:rPr>
                <w:rFonts w:hint="eastAsia" w:ascii="宋体" w:hAnsi="宋体" w:cs="仿宋_GB2312"/>
              </w:rPr>
              <w:t>名称</w:t>
            </w:r>
          </w:p>
        </w:tc>
        <w:tc>
          <w:tcPr>
            <w:tcW w:w="2666" w:type="dxa"/>
            <w:vAlign w:val="center"/>
          </w:tcPr>
          <w:p w14:paraId="02F99EF7">
            <w:pPr>
              <w:spacing w:line="360" w:lineRule="auto"/>
              <w:jc w:val="center"/>
              <w:rPr>
                <w:rFonts w:ascii="宋体" w:hAnsi="宋体" w:cs="仿宋_GB2312"/>
              </w:rPr>
            </w:pPr>
            <w:r>
              <w:rPr>
                <w:rFonts w:hint="eastAsia" w:ascii="宋体" w:hAnsi="宋体" w:cs="仿宋_GB2312"/>
              </w:rPr>
              <w:t>技术参数及配置</w:t>
            </w:r>
          </w:p>
        </w:tc>
        <w:tc>
          <w:tcPr>
            <w:tcW w:w="911" w:type="dxa"/>
            <w:vAlign w:val="center"/>
          </w:tcPr>
          <w:p w14:paraId="12DE3F3B">
            <w:pPr>
              <w:spacing w:line="360" w:lineRule="auto"/>
              <w:jc w:val="center"/>
              <w:rPr>
                <w:rFonts w:ascii="宋体" w:hAnsi="宋体" w:cs="仿宋_GB2312"/>
              </w:rPr>
            </w:pPr>
            <w:r>
              <w:rPr>
                <w:rFonts w:hint="eastAsia" w:ascii="宋体" w:hAnsi="宋体" w:cs="仿宋_GB2312"/>
              </w:rPr>
              <w:t>数量</w:t>
            </w:r>
          </w:p>
        </w:tc>
        <w:tc>
          <w:tcPr>
            <w:tcW w:w="1131" w:type="dxa"/>
            <w:vAlign w:val="center"/>
          </w:tcPr>
          <w:p w14:paraId="5534BB10">
            <w:pPr>
              <w:spacing w:line="360" w:lineRule="auto"/>
              <w:jc w:val="center"/>
              <w:rPr>
                <w:rFonts w:ascii="宋体" w:hAnsi="宋体"/>
              </w:rPr>
            </w:pPr>
            <w:r>
              <w:rPr>
                <w:rFonts w:hint="eastAsia" w:ascii="宋体" w:hAnsi="宋体"/>
              </w:rPr>
              <w:t>名称</w:t>
            </w:r>
          </w:p>
        </w:tc>
        <w:tc>
          <w:tcPr>
            <w:tcW w:w="2135" w:type="dxa"/>
            <w:vAlign w:val="center"/>
          </w:tcPr>
          <w:p w14:paraId="29CC6675">
            <w:pPr>
              <w:spacing w:line="360" w:lineRule="auto"/>
              <w:jc w:val="center"/>
              <w:rPr>
                <w:rFonts w:ascii="宋体" w:hAnsi="宋体"/>
              </w:rPr>
            </w:pPr>
            <w:r>
              <w:rPr>
                <w:rFonts w:hint="eastAsia" w:ascii="宋体" w:hAnsi="宋体"/>
              </w:rPr>
              <w:t>技术参数及配置</w:t>
            </w:r>
          </w:p>
        </w:tc>
        <w:tc>
          <w:tcPr>
            <w:tcW w:w="851" w:type="dxa"/>
            <w:vAlign w:val="center"/>
          </w:tcPr>
          <w:p w14:paraId="3F62BD07">
            <w:pPr>
              <w:spacing w:line="360" w:lineRule="auto"/>
              <w:jc w:val="center"/>
              <w:rPr>
                <w:rFonts w:ascii="宋体" w:hAnsi="宋体"/>
              </w:rPr>
            </w:pPr>
            <w:r>
              <w:rPr>
                <w:rFonts w:hint="eastAsia" w:ascii="宋体" w:hAnsi="宋体"/>
              </w:rPr>
              <w:t>数量</w:t>
            </w:r>
          </w:p>
        </w:tc>
        <w:tc>
          <w:tcPr>
            <w:tcW w:w="709" w:type="dxa"/>
            <w:vMerge w:val="continue"/>
            <w:vAlign w:val="center"/>
          </w:tcPr>
          <w:p w14:paraId="3BF92ACF">
            <w:pPr>
              <w:spacing w:line="360" w:lineRule="auto"/>
              <w:jc w:val="center"/>
              <w:rPr>
                <w:rFonts w:ascii="宋体" w:hAnsi="宋体"/>
              </w:rPr>
            </w:pPr>
          </w:p>
        </w:tc>
      </w:tr>
      <w:tr w14:paraId="4664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vAlign w:val="center"/>
          </w:tcPr>
          <w:p w14:paraId="4126817F">
            <w:pPr>
              <w:tabs>
                <w:tab w:val="left" w:pos="3327"/>
              </w:tabs>
              <w:spacing w:line="360" w:lineRule="auto"/>
              <w:jc w:val="center"/>
              <w:rPr>
                <w:rFonts w:ascii="宋体" w:hAnsi="宋体"/>
              </w:rPr>
            </w:pPr>
            <w:r>
              <w:rPr>
                <w:rFonts w:hint="eastAsia" w:ascii="宋体" w:hAnsi="宋体"/>
              </w:rPr>
              <w:t>1</w:t>
            </w:r>
          </w:p>
        </w:tc>
        <w:tc>
          <w:tcPr>
            <w:tcW w:w="1095" w:type="dxa"/>
            <w:vAlign w:val="center"/>
          </w:tcPr>
          <w:p w14:paraId="46BD6183">
            <w:pPr>
              <w:tabs>
                <w:tab w:val="left" w:pos="3327"/>
              </w:tabs>
              <w:spacing w:line="360" w:lineRule="auto"/>
              <w:rPr>
                <w:rFonts w:ascii="宋体" w:hAnsi="宋体"/>
              </w:rPr>
            </w:pPr>
          </w:p>
        </w:tc>
        <w:tc>
          <w:tcPr>
            <w:tcW w:w="2666" w:type="dxa"/>
            <w:vAlign w:val="center"/>
          </w:tcPr>
          <w:p w14:paraId="79C7A3DF">
            <w:pPr>
              <w:tabs>
                <w:tab w:val="left" w:pos="3327"/>
              </w:tabs>
              <w:spacing w:line="360" w:lineRule="auto"/>
              <w:rPr>
                <w:rFonts w:ascii="宋体" w:hAnsi="宋体"/>
              </w:rPr>
            </w:pPr>
          </w:p>
        </w:tc>
        <w:tc>
          <w:tcPr>
            <w:tcW w:w="911" w:type="dxa"/>
            <w:vAlign w:val="center"/>
          </w:tcPr>
          <w:p w14:paraId="005EBB18">
            <w:pPr>
              <w:tabs>
                <w:tab w:val="left" w:pos="3327"/>
              </w:tabs>
              <w:spacing w:line="360" w:lineRule="auto"/>
              <w:rPr>
                <w:rFonts w:ascii="宋体" w:hAnsi="宋体"/>
              </w:rPr>
            </w:pPr>
          </w:p>
        </w:tc>
        <w:tc>
          <w:tcPr>
            <w:tcW w:w="1131" w:type="dxa"/>
            <w:vAlign w:val="center"/>
          </w:tcPr>
          <w:p w14:paraId="4F214F23">
            <w:pPr>
              <w:tabs>
                <w:tab w:val="left" w:pos="3327"/>
              </w:tabs>
              <w:spacing w:line="360" w:lineRule="auto"/>
              <w:rPr>
                <w:rFonts w:ascii="宋体" w:hAnsi="宋体"/>
              </w:rPr>
            </w:pPr>
          </w:p>
        </w:tc>
        <w:tc>
          <w:tcPr>
            <w:tcW w:w="2135" w:type="dxa"/>
            <w:vAlign w:val="center"/>
          </w:tcPr>
          <w:p w14:paraId="0761E447">
            <w:pPr>
              <w:tabs>
                <w:tab w:val="left" w:pos="3327"/>
              </w:tabs>
              <w:spacing w:line="360" w:lineRule="auto"/>
              <w:rPr>
                <w:rFonts w:ascii="宋体" w:hAnsi="宋体"/>
              </w:rPr>
            </w:pPr>
          </w:p>
        </w:tc>
        <w:tc>
          <w:tcPr>
            <w:tcW w:w="851" w:type="dxa"/>
            <w:vAlign w:val="center"/>
          </w:tcPr>
          <w:p w14:paraId="240F0ABF">
            <w:pPr>
              <w:tabs>
                <w:tab w:val="left" w:pos="3327"/>
              </w:tabs>
              <w:spacing w:line="360" w:lineRule="auto"/>
              <w:rPr>
                <w:rFonts w:ascii="宋体" w:hAnsi="宋体"/>
              </w:rPr>
            </w:pPr>
          </w:p>
        </w:tc>
        <w:tc>
          <w:tcPr>
            <w:tcW w:w="709" w:type="dxa"/>
            <w:vAlign w:val="center"/>
          </w:tcPr>
          <w:p w14:paraId="3AB8EFE0">
            <w:pPr>
              <w:spacing w:line="360" w:lineRule="auto"/>
              <w:jc w:val="center"/>
              <w:rPr>
                <w:rFonts w:ascii="宋体" w:hAnsi="宋体"/>
              </w:rPr>
            </w:pPr>
          </w:p>
        </w:tc>
      </w:tr>
      <w:tr w14:paraId="456E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vAlign w:val="center"/>
          </w:tcPr>
          <w:p w14:paraId="401E307E">
            <w:pPr>
              <w:tabs>
                <w:tab w:val="left" w:pos="3327"/>
              </w:tabs>
              <w:spacing w:line="360" w:lineRule="auto"/>
              <w:jc w:val="center"/>
              <w:rPr>
                <w:rFonts w:ascii="宋体" w:hAnsi="宋体"/>
              </w:rPr>
            </w:pPr>
            <w:r>
              <w:rPr>
                <w:rFonts w:hint="eastAsia" w:ascii="宋体" w:hAnsi="宋体"/>
              </w:rPr>
              <w:t>2</w:t>
            </w:r>
          </w:p>
        </w:tc>
        <w:tc>
          <w:tcPr>
            <w:tcW w:w="1095" w:type="dxa"/>
            <w:vAlign w:val="center"/>
          </w:tcPr>
          <w:p w14:paraId="01062715">
            <w:pPr>
              <w:tabs>
                <w:tab w:val="left" w:pos="3327"/>
              </w:tabs>
              <w:spacing w:line="360" w:lineRule="auto"/>
              <w:rPr>
                <w:rFonts w:ascii="宋体" w:hAnsi="宋体"/>
              </w:rPr>
            </w:pPr>
          </w:p>
        </w:tc>
        <w:tc>
          <w:tcPr>
            <w:tcW w:w="2666" w:type="dxa"/>
            <w:vAlign w:val="center"/>
          </w:tcPr>
          <w:p w14:paraId="44F49D14">
            <w:pPr>
              <w:tabs>
                <w:tab w:val="left" w:pos="3327"/>
              </w:tabs>
              <w:spacing w:line="360" w:lineRule="auto"/>
              <w:rPr>
                <w:rFonts w:ascii="宋体" w:hAnsi="宋体"/>
              </w:rPr>
            </w:pPr>
          </w:p>
        </w:tc>
        <w:tc>
          <w:tcPr>
            <w:tcW w:w="911" w:type="dxa"/>
            <w:vAlign w:val="center"/>
          </w:tcPr>
          <w:p w14:paraId="3370F8B0">
            <w:pPr>
              <w:tabs>
                <w:tab w:val="left" w:pos="3327"/>
              </w:tabs>
              <w:spacing w:line="360" w:lineRule="auto"/>
              <w:rPr>
                <w:rFonts w:ascii="宋体" w:hAnsi="宋体"/>
              </w:rPr>
            </w:pPr>
          </w:p>
        </w:tc>
        <w:tc>
          <w:tcPr>
            <w:tcW w:w="1131" w:type="dxa"/>
            <w:vAlign w:val="center"/>
          </w:tcPr>
          <w:p w14:paraId="40B6B86B">
            <w:pPr>
              <w:tabs>
                <w:tab w:val="left" w:pos="3327"/>
              </w:tabs>
              <w:spacing w:line="360" w:lineRule="auto"/>
              <w:rPr>
                <w:rFonts w:ascii="宋体" w:hAnsi="宋体"/>
              </w:rPr>
            </w:pPr>
          </w:p>
        </w:tc>
        <w:tc>
          <w:tcPr>
            <w:tcW w:w="2135" w:type="dxa"/>
            <w:vAlign w:val="center"/>
          </w:tcPr>
          <w:p w14:paraId="07D38AA4">
            <w:pPr>
              <w:tabs>
                <w:tab w:val="left" w:pos="3327"/>
              </w:tabs>
              <w:spacing w:line="360" w:lineRule="auto"/>
              <w:rPr>
                <w:rFonts w:ascii="宋体" w:hAnsi="宋体"/>
              </w:rPr>
            </w:pPr>
          </w:p>
        </w:tc>
        <w:tc>
          <w:tcPr>
            <w:tcW w:w="851" w:type="dxa"/>
            <w:vAlign w:val="center"/>
          </w:tcPr>
          <w:p w14:paraId="7282A5EF">
            <w:pPr>
              <w:tabs>
                <w:tab w:val="left" w:pos="3327"/>
              </w:tabs>
              <w:spacing w:line="360" w:lineRule="auto"/>
              <w:rPr>
                <w:rFonts w:ascii="宋体" w:hAnsi="宋体"/>
              </w:rPr>
            </w:pPr>
          </w:p>
        </w:tc>
        <w:tc>
          <w:tcPr>
            <w:tcW w:w="709" w:type="dxa"/>
            <w:vAlign w:val="center"/>
          </w:tcPr>
          <w:p w14:paraId="737FA05A">
            <w:pPr>
              <w:spacing w:line="360" w:lineRule="auto"/>
              <w:jc w:val="center"/>
              <w:rPr>
                <w:rFonts w:ascii="宋体" w:hAnsi="宋体"/>
              </w:rPr>
            </w:pPr>
          </w:p>
        </w:tc>
      </w:tr>
      <w:tr w14:paraId="4009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vAlign w:val="center"/>
          </w:tcPr>
          <w:p w14:paraId="1D36B832">
            <w:pPr>
              <w:tabs>
                <w:tab w:val="left" w:pos="3327"/>
              </w:tabs>
              <w:spacing w:line="360" w:lineRule="auto"/>
              <w:jc w:val="center"/>
              <w:rPr>
                <w:rFonts w:ascii="宋体" w:hAnsi="宋体"/>
              </w:rPr>
            </w:pPr>
            <w:r>
              <w:rPr>
                <w:rFonts w:hint="eastAsia" w:ascii="宋体" w:hAnsi="宋体"/>
              </w:rPr>
              <w:t>3</w:t>
            </w:r>
          </w:p>
        </w:tc>
        <w:tc>
          <w:tcPr>
            <w:tcW w:w="1095" w:type="dxa"/>
            <w:vAlign w:val="center"/>
          </w:tcPr>
          <w:p w14:paraId="5EE3F7EA">
            <w:pPr>
              <w:tabs>
                <w:tab w:val="left" w:pos="3327"/>
              </w:tabs>
              <w:spacing w:line="360" w:lineRule="auto"/>
              <w:rPr>
                <w:rFonts w:ascii="宋体" w:hAnsi="宋体"/>
              </w:rPr>
            </w:pPr>
          </w:p>
        </w:tc>
        <w:tc>
          <w:tcPr>
            <w:tcW w:w="2666" w:type="dxa"/>
            <w:vAlign w:val="center"/>
          </w:tcPr>
          <w:p w14:paraId="3CFFA373">
            <w:pPr>
              <w:tabs>
                <w:tab w:val="left" w:pos="3327"/>
              </w:tabs>
              <w:spacing w:line="360" w:lineRule="auto"/>
              <w:rPr>
                <w:rFonts w:ascii="宋体" w:hAnsi="宋体"/>
              </w:rPr>
            </w:pPr>
          </w:p>
        </w:tc>
        <w:tc>
          <w:tcPr>
            <w:tcW w:w="911" w:type="dxa"/>
            <w:vAlign w:val="center"/>
          </w:tcPr>
          <w:p w14:paraId="41413833">
            <w:pPr>
              <w:tabs>
                <w:tab w:val="left" w:pos="3327"/>
              </w:tabs>
              <w:spacing w:line="360" w:lineRule="auto"/>
              <w:rPr>
                <w:rFonts w:ascii="宋体" w:hAnsi="宋体"/>
              </w:rPr>
            </w:pPr>
          </w:p>
        </w:tc>
        <w:tc>
          <w:tcPr>
            <w:tcW w:w="1131" w:type="dxa"/>
            <w:vAlign w:val="center"/>
          </w:tcPr>
          <w:p w14:paraId="35AB1095">
            <w:pPr>
              <w:tabs>
                <w:tab w:val="left" w:pos="3327"/>
              </w:tabs>
              <w:spacing w:line="360" w:lineRule="auto"/>
              <w:rPr>
                <w:rFonts w:ascii="宋体" w:hAnsi="宋体"/>
              </w:rPr>
            </w:pPr>
          </w:p>
        </w:tc>
        <w:tc>
          <w:tcPr>
            <w:tcW w:w="2135" w:type="dxa"/>
            <w:vAlign w:val="center"/>
          </w:tcPr>
          <w:p w14:paraId="60B3C6CA">
            <w:pPr>
              <w:tabs>
                <w:tab w:val="left" w:pos="3327"/>
              </w:tabs>
              <w:spacing w:line="360" w:lineRule="auto"/>
              <w:rPr>
                <w:rFonts w:ascii="宋体" w:hAnsi="宋体"/>
              </w:rPr>
            </w:pPr>
          </w:p>
        </w:tc>
        <w:tc>
          <w:tcPr>
            <w:tcW w:w="851" w:type="dxa"/>
            <w:vAlign w:val="center"/>
          </w:tcPr>
          <w:p w14:paraId="785E99B7">
            <w:pPr>
              <w:tabs>
                <w:tab w:val="left" w:pos="3327"/>
              </w:tabs>
              <w:spacing w:line="360" w:lineRule="auto"/>
              <w:rPr>
                <w:rFonts w:ascii="宋体" w:hAnsi="宋体"/>
              </w:rPr>
            </w:pPr>
          </w:p>
        </w:tc>
        <w:tc>
          <w:tcPr>
            <w:tcW w:w="709" w:type="dxa"/>
            <w:vAlign w:val="center"/>
          </w:tcPr>
          <w:p w14:paraId="17A8C019">
            <w:pPr>
              <w:spacing w:line="360" w:lineRule="auto"/>
              <w:jc w:val="center"/>
              <w:rPr>
                <w:rFonts w:ascii="宋体" w:hAnsi="宋体"/>
              </w:rPr>
            </w:pPr>
          </w:p>
        </w:tc>
      </w:tr>
      <w:tr w14:paraId="5C91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vAlign w:val="center"/>
          </w:tcPr>
          <w:p w14:paraId="3010B0F9">
            <w:pPr>
              <w:tabs>
                <w:tab w:val="left" w:pos="3327"/>
              </w:tabs>
              <w:spacing w:line="360" w:lineRule="auto"/>
              <w:jc w:val="center"/>
              <w:rPr>
                <w:rFonts w:ascii="宋体" w:hAnsi="宋体"/>
              </w:rPr>
            </w:pPr>
            <w:r>
              <w:rPr>
                <w:rFonts w:hint="eastAsia" w:ascii="宋体" w:hAnsi="宋体"/>
              </w:rPr>
              <w:t>4</w:t>
            </w:r>
          </w:p>
        </w:tc>
        <w:tc>
          <w:tcPr>
            <w:tcW w:w="1095" w:type="dxa"/>
            <w:vAlign w:val="center"/>
          </w:tcPr>
          <w:p w14:paraId="4F853EDE">
            <w:pPr>
              <w:tabs>
                <w:tab w:val="left" w:pos="3327"/>
              </w:tabs>
              <w:spacing w:line="360" w:lineRule="auto"/>
              <w:rPr>
                <w:rFonts w:ascii="宋体" w:hAnsi="宋体"/>
              </w:rPr>
            </w:pPr>
          </w:p>
        </w:tc>
        <w:tc>
          <w:tcPr>
            <w:tcW w:w="2666" w:type="dxa"/>
            <w:vAlign w:val="center"/>
          </w:tcPr>
          <w:p w14:paraId="26F32BF9">
            <w:pPr>
              <w:tabs>
                <w:tab w:val="left" w:pos="3327"/>
              </w:tabs>
              <w:spacing w:line="360" w:lineRule="auto"/>
              <w:rPr>
                <w:rFonts w:ascii="宋体" w:hAnsi="宋体"/>
              </w:rPr>
            </w:pPr>
          </w:p>
        </w:tc>
        <w:tc>
          <w:tcPr>
            <w:tcW w:w="911" w:type="dxa"/>
            <w:vAlign w:val="center"/>
          </w:tcPr>
          <w:p w14:paraId="71C7A232">
            <w:pPr>
              <w:tabs>
                <w:tab w:val="left" w:pos="3327"/>
              </w:tabs>
              <w:spacing w:line="360" w:lineRule="auto"/>
              <w:rPr>
                <w:rFonts w:ascii="宋体" w:hAnsi="宋体"/>
              </w:rPr>
            </w:pPr>
          </w:p>
        </w:tc>
        <w:tc>
          <w:tcPr>
            <w:tcW w:w="1131" w:type="dxa"/>
            <w:vAlign w:val="center"/>
          </w:tcPr>
          <w:p w14:paraId="04E23519">
            <w:pPr>
              <w:tabs>
                <w:tab w:val="left" w:pos="3327"/>
              </w:tabs>
              <w:spacing w:line="360" w:lineRule="auto"/>
              <w:rPr>
                <w:rFonts w:ascii="宋体" w:hAnsi="宋体"/>
              </w:rPr>
            </w:pPr>
          </w:p>
        </w:tc>
        <w:tc>
          <w:tcPr>
            <w:tcW w:w="2135" w:type="dxa"/>
            <w:vAlign w:val="center"/>
          </w:tcPr>
          <w:p w14:paraId="3F44E137">
            <w:pPr>
              <w:tabs>
                <w:tab w:val="left" w:pos="3327"/>
              </w:tabs>
              <w:spacing w:line="360" w:lineRule="auto"/>
              <w:rPr>
                <w:rFonts w:ascii="宋体" w:hAnsi="宋体"/>
              </w:rPr>
            </w:pPr>
          </w:p>
        </w:tc>
        <w:tc>
          <w:tcPr>
            <w:tcW w:w="851" w:type="dxa"/>
            <w:vAlign w:val="center"/>
          </w:tcPr>
          <w:p w14:paraId="7B196A3D">
            <w:pPr>
              <w:tabs>
                <w:tab w:val="left" w:pos="3327"/>
              </w:tabs>
              <w:spacing w:line="360" w:lineRule="auto"/>
              <w:rPr>
                <w:rFonts w:ascii="宋体" w:hAnsi="宋体"/>
              </w:rPr>
            </w:pPr>
          </w:p>
        </w:tc>
        <w:tc>
          <w:tcPr>
            <w:tcW w:w="709" w:type="dxa"/>
            <w:vAlign w:val="center"/>
          </w:tcPr>
          <w:p w14:paraId="5F817D6C">
            <w:pPr>
              <w:spacing w:line="360" w:lineRule="auto"/>
              <w:jc w:val="center"/>
              <w:rPr>
                <w:rFonts w:ascii="宋体" w:hAnsi="宋体"/>
              </w:rPr>
            </w:pPr>
          </w:p>
        </w:tc>
      </w:tr>
      <w:tr w14:paraId="2AD8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vAlign w:val="center"/>
          </w:tcPr>
          <w:p w14:paraId="3C1E3F81">
            <w:pPr>
              <w:tabs>
                <w:tab w:val="left" w:pos="3327"/>
              </w:tabs>
              <w:spacing w:line="360" w:lineRule="auto"/>
              <w:jc w:val="center"/>
              <w:rPr>
                <w:rFonts w:ascii="宋体" w:hAnsi="宋体"/>
              </w:rPr>
            </w:pPr>
            <w:r>
              <w:rPr>
                <w:rFonts w:hint="eastAsia" w:ascii="宋体" w:hAnsi="宋体"/>
              </w:rPr>
              <w:t>……</w:t>
            </w:r>
          </w:p>
        </w:tc>
        <w:tc>
          <w:tcPr>
            <w:tcW w:w="1095" w:type="dxa"/>
            <w:vAlign w:val="center"/>
          </w:tcPr>
          <w:p w14:paraId="29AAB28D">
            <w:pPr>
              <w:tabs>
                <w:tab w:val="left" w:pos="3327"/>
              </w:tabs>
              <w:spacing w:line="360" w:lineRule="auto"/>
              <w:rPr>
                <w:rFonts w:ascii="宋体" w:hAnsi="宋体"/>
              </w:rPr>
            </w:pPr>
          </w:p>
        </w:tc>
        <w:tc>
          <w:tcPr>
            <w:tcW w:w="2666" w:type="dxa"/>
            <w:vAlign w:val="center"/>
          </w:tcPr>
          <w:p w14:paraId="762092BD">
            <w:pPr>
              <w:tabs>
                <w:tab w:val="left" w:pos="3327"/>
              </w:tabs>
              <w:spacing w:line="360" w:lineRule="auto"/>
              <w:rPr>
                <w:rFonts w:ascii="宋体" w:hAnsi="宋体"/>
              </w:rPr>
            </w:pPr>
          </w:p>
        </w:tc>
        <w:tc>
          <w:tcPr>
            <w:tcW w:w="911" w:type="dxa"/>
            <w:vAlign w:val="center"/>
          </w:tcPr>
          <w:p w14:paraId="01923998">
            <w:pPr>
              <w:tabs>
                <w:tab w:val="left" w:pos="3327"/>
              </w:tabs>
              <w:spacing w:line="360" w:lineRule="auto"/>
              <w:rPr>
                <w:rFonts w:ascii="宋体" w:hAnsi="宋体"/>
              </w:rPr>
            </w:pPr>
          </w:p>
        </w:tc>
        <w:tc>
          <w:tcPr>
            <w:tcW w:w="1131" w:type="dxa"/>
            <w:vAlign w:val="center"/>
          </w:tcPr>
          <w:p w14:paraId="45E6755D">
            <w:pPr>
              <w:tabs>
                <w:tab w:val="left" w:pos="3327"/>
              </w:tabs>
              <w:spacing w:line="360" w:lineRule="auto"/>
              <w:rPr>
                <w:rFonts w:ascii="宋体" w:hAnsi="宋体"/>
              </w:rPr>
            </w:pPr>
          </w:p>
        </w:tc>
        <w:tc>
          <w:tcPr>
            <w:tcW w:w="2135" w:type="dxa"/>
            <w:vAlign w:val="center"/>
          </w:tcPr>
          <w:p w14:paraId="7A9EEC51">
            <w:pPr>
              <w:tabs>
                <w:tab w:val="left" w:pos="3327"/>
              </w:tabs>
              <w:spacing w:line="360" w:lineRule="auto"/>
              <w:rPr>
                <w:rFonts w:ascii="宋体" w:hAnsi="宋体"/>
              </w:rPr>
            </w:pPr>
          </w:p>
        </w:tc>
        <w:tc>
          <w:tcPr>
            <w:tcW w:w="851" w:type="dxa"/>
            <w:vAlign w:val="center"/>
          </w:tcPr>
          <w:p w14:paraId="417908FE">
            <w:pPr>
              <w:tabs>
                <w:tab w:val="left" w:pos="3327"/>
              </w:tabs>
              <w:spacing w:line="360" w:lineRule="auto"/>
              <w:rPr>
                <w:rFonts w:ascii="宋体" w:hAnsi="宋体"/>
              </w:rPr>
            </w:pPr>
          </w:p>
        </w:tc>
        <w:tc>
          <w:tcPr>
            <w:tcW w:w="709" w:type="dxa"/>
            <w:vAlign w:val="center"/>
          </w:tcPr>
          <w:p w14:paraId="7F5B8C11">
            <w:pPr>
              <w:spacing w:line="360" w:lineRule="auto"/>
              <w:jc w:val="center"/>
              <w:rPr>
                <w:rFonts w:ascii="宋体" w:hAnsi="宋体"/>
              </w:rPr>
            </w:pPr>
          </w:p>
        </w:tc>
      </w:tr>
    </w:tbl>
    <w:p w14:paraId="4D7DE011">
      <w:pPr>
        <w:autoSpaceDE w:val="0"/>
        <w:autoSpaceDN w:val="0"/>
        <w:spacing w:line="360" w:lineRule="auto"/>
        <w:rPr>
          <w:rFonts w:ascii="宋体" w:hAnsi="宋体" w:cs="Arial"/>
          <w:b/>
          <w:bCs/>
          <w:sz w:val="20"/>
          <w:lang w:val="zh-CN"/>
        </w:rPr>
      </w:pPr>
      <w:r>
        <w:rPr>
          <w:rFonts w:ascii="宋体" w:hAnsi="宋体" w:cs="Arial"/>
          <w:b/>
          <w:bCs/>
          <w:sz w:val="20"/>
          <w:lang w:val="zh-CN"/>
        </w:rPr>
        <w:t>注：1</w:t>
      </w:r>
      <w:r>
        <w:rPr>
          <w:rFonts w:hint="eastAsia" w:ascii="宋体" w:hAnsi="宋体" w:cs="Arial"/>
          <w:b/>
          <w:bCs/>
          <w:sz w:val="20"/>
          <w:lang w:val="zh-CN"/>
        </w:rPr>
        <w:t>、</w:t>
      </w:r>
      <w:r>
        <w:rPr>
          <w:rFonts w:ascii="宋体" w:hAnsi="宋体" w:cs="Arial"/>
          <w:b/>
          <w:bCs/>
          <w:sz w:val="20"/>
          <w:lang w:val="zh-CN"/>
        </w:rPr>
        <w:t>本表应按照每包采购一览表中产品序号的指标逐项填写，不得遗漏。</w:t>
      </w:r>
    </w:p>
    <w:p w14:paraId="1F322E99">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14:paraId="75DDC45E">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3</w:t>
      </w:r>
      <w:r>
        <w:rPr>
          <w:rFonts w:hint="eastAsia" w:ascii="宋体" w:hAnsi="宋体" w:cs="Arial"/>
          <w:b/>
          <w:bCs/>
          <w:sz w:val="20"/>
          <w:lang w:val="zh-CN"/>
        </w:rPr>
        <w:t>、投标供应商响应采购需求应具体、明确，应以招标项目参数要求为基本投标要求，对超出或不满足招标项目参数要求的指标需列出“</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”偏差，并做出详细说明；如果只注明“</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”或未填写，将视为该项指标不响应。</w:t>
      </w:r>
    </w:p>
    <w:p w14:paraId="72FEC931">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4</w:t>
      </w:r>
      <w:r>
        <w:rPr>
          <w:rFonts w:hint="eastAsia" w:ascii="宋体" w:hAnsi="宋体" w:cs="Arial"/>
          <w:b/>
          <w:bCs/>
          <w:sz w:val="20"/>
          <w:lang w:val="zh-CN"/>
        </w:rPr>
        <w:t>、投标供应商应按投标产品实际情况填写，不得照抄、复制招标文件技术参数要求。</w:t>
      </w:r>
    </w:p>
    <w:p w14:paraId="69A88947">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5</w:t>
      </w:r>
      <w:r>
        <w:rPr>
          <w:rFonts w:hint="eastAsia" w:ascii="宋体" w:hAnsi="宋体" w:cs="Arial"/>
          <w:b/>
          <w:bCs/>
          <w:sz w:val="20"/>
          <w:lang w:val="zh-CN"/>
        </w:rPr>
        <w:t>、投标供应商响应采购需求应具体、明确，含糊不清、不确切或伪造、编造证明材料的，按照实质性不响应处理。对伪造、编造证明材料的，将报送采购监管部门查处。</w:t>
      </w:r>
    </w:p>
    <w:p w14:paraId="5295D75B">
      <w:pPr>
        <w:autoSpaceDE w:val="0"/>
        <w:autoSpaceDN w:val="0"/>
        <w:adjustRightInd w:val="0"/>
        <w:spacing w:line="360" w:lineRule="auto"/>
        <w:rPr>
          <w:rFonts w:ascii="宋体" w:hAnsi="宋体" w:cs="宋体"/>
          <w:b/>
          <w:bCs/>
          <w:kern w:val="0"/>
          <w:sz w:val="24"/>
          <w:lang w:val="zh-CN"/>
        </w:rPr>
      </w:pPr>
    </w:p>
    <w:p w14:paraId="368B7733">
      <w:pPr>
        <w:tabs>
          <w:tab w:val="left" w:pos="168"/>
        </w:tabs>
        <w:adjustRightInd w:val="0"/>
        <w:spacing w:line="360" w:lineRule="auto"/>
        <w:textAlignment w:val="baseline"/>
        <w:rPr>
          <w:rFonts w:ascii="宋体" w:hAnsi="宋体"/>
          <w:bCs/>
          <w:sz w:val="28"/>
          <w:szCs w:val="28"/>
        </w:rPr>
      </w:pPr>
    </w:p>
    <w:p w14:paraId="7B042FDF">
      <w:pPr>
        <w:tabs>
          <w:tab w:val="left" w:pos="168"/>
        </w:tabs>
        <w:adjustRightInd w:val="0"/>
        <w:spacing w:line="360" w:lineRule="auto"/>
        <w:textAlignment w:val="baseline"/>
        <w:rPr>
          <w:rFonts w:ascii="宋体" w:hAnsi="宋体"/>
          <w:bCs/>
          <w:sz w:val="28"/>
          <w:szCs w:val="28"/>
        </w:rPr>
      </w:pPr>
    </w:p>
    <w:p w14:paraId="22AF9025">
      <w:pPr>
        <w:tabs>
          <w:tab w:val="left" w:pos="168"/>
        </w:tabs>
        <w:adjustRightInd w:val="0"/>
        <w:spacing w:line="360" w:lineRule="auto"/>
        <w:textAlignment w:val="baseline"/>
        <w:rPr>
          <w:rFonts w:ascii="宋体" w:hAnsi="宋体"/>
          <w:bCs/>
          <w:sz w:val="28"/>
          <w:szCs w:val="28"/>
        </w:rPr>
      </w:pPr>
    </w:p>
    <w:p w14:paraId="6AD1E958">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42DDDAB2">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457C7C59">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3C1B4B2D">
      <w:pPr>
        <w:numPr>
          <w:ilvl w:val="0"/>
          <w:numId w:val="0"/>
        </w:numPr>
        <w:tabs>
          <w:tab w:val="left" w:pos="425"/>
          <w:tab w:val="left" w:pos="720"/>
        </w:tabs>
        <w:ind w:left="709" w:hanging="709"/>
        <w:outlineLvl w:val="9"/>
        <w:rPr>
          <w:rFonts w:hAnsi="宋体"/>
          <w:b/>
          <w:sz w:val="32"/>
        </w:rPr>
      </w:pPr>
      <w:r>
        <w:rPr>
          <w:rFonts w:hAnsi="宋体"/>
          <w:bCs/>
          <w:szCs w:val="28"/>
        </w:rPr>
        <w:br w:type="page"/>
      </w:r>
      <w:bookmarkStart w:id="225" w:name="_Toc1575350"/>
    </w:p>
    <w:p w14:paraId="630E9C63">
      <w:pPr>
        <w:pStyle w:val="4"/>
        <w:numPr>
          <w:ilvl w:val="0"/>
          <w:numId w:val="0"/>
        </w:numPr>
        <w:ind w:left="709" w:hanging="709"/>
        <w:rPr>
          <w:rFonts w:hAnsi="宋体" w:cs="宋体"/>
          <w:bCs/>
          <w:sz w:val="24"/>
        </w:rPr>
      </w:pPr>
      <w:r>
        <w:rPr>
          <w:rFonts w:hint="eastAsia" w:hAnsi="宋体"/>
          <w:b/>
          <w:sz w:val="32"/>
        </w:rPr>
        <w:t>格式15、</w:t>
      </w:r>
      <w:r>
        <w:rPr>
          <w:rFonts w:hint="eastAsia" w:hAnsi="宋体"/>
          <w:b/>
          <w:sz w:val="32"/>
          <w:lang w:val="zh-CN"/>
        </w:rPr>
        <w:t>磋商产品相关资料</w:t>
      </w:r>
      <w:bookmarkEnd w:id="225"/>
    </w:p>
    <w:p w14:paraId="49CED092">
      <w:pPr>
        <w:spacing w:line="360" w:lineRule="auto"/>
        <w:rPr>
          <w:rFonts w:ascii="宋体" w:hAnsi="宋体"/>
          <w:b/>
          <w:bCs/>
          <w:kern w:val="28"/>
          <w:sz w:val="32"/>
          <w:szCs w:val="32"/>
          <w:lang w:val="zh-CN"/>
        </w:rPr>
      </w:pPr>
    </w:p>
    <w:p w14:paraId="3AAC5E56">
      <w:pPr>
        <w:autoSpaceDE w:val="0"/>
        <w:autoSpaceDN w:val="0"/>
        <w:adjustRightInd w:val="0"/>
        <w:spacing w:line="360" w:lineRule="auto"/>
        <w:jc w:val="center"/>
        <w:rPr>
          <w:rFonts w:ascii="宋体" w:hAnsi="宋体" w:cs="Arial"/>
          <w:bCs/>
          <w:sz w:val="36"/>
          <w:szCs w:val="36"/>
          <w:lang w:val="zh-CN"/>
        </w:rPr>
      </w:pPr>
      <w:r>
        <w:rPr>
          <w:rFonts w:hint="eastAsia" w:ascii="宋体" w:hAnsi="宋体" w:cs="宋体"/>
          <w:b/>
          <w:bCs/>
          <w:kern w:val="0"/>
          <w:sz w:val="30"/>
          <w:szCs w:val="30"/>
          <w:lang w:val="zh-CN"/>
        </w:rPr>
        <w:t>磋商</w:t>
      </w:r>
      <w:r>
        <w:rPr>
          <w:rFonts w:ascii="宋体" w:hAnsi="宋体" w:cs="宋体"/>
          <w:b/>
          <w:bCs/>
          <w:kern w:val="0"/>
          <w:sz w:val="30"/>
          <w:szCs w:val="30"/>
          <w:lang w:val="zh-CN"/>
        </w:rPr>
        <w:t>产品相关资料</w:t>
      </w:r>
    </w:p>
    <w:p w14:paraId="70ADA775">
      <w:pPr>
        <w:spacing w:line="360" w:lineRule="auto"/>
        <w:ind w:firstLine="424" w:firstLineChars="177"/>
        <w:rPr>
          <w:rFonts w:hAnsi="宋体"/>
          <w:b/>
          <w:sz w:val="32"/>
          <w:lang w:val="zh-CN"/>
        </w:rPr>
      </w:pPr>
      <w:r>
        <w:rPr>
          <w:rFonts w:hint="eastAsia" w:ascii="宋体" w:hAnsi="宋体" w:cs="Arial"/>
          <w:sz w:val="24"/>
        </w:rPr>
        <w:t>根据采购项目内容，磋商时提供国家认可的质监机构出具的磋商产品的产品材料的检验报告、证明技术参数响应的相关资料（或厂家公开发布的资料参数）、相关认证等资料。</w:t>
      </w:r>
      <w:bookmarkEnd w:id="222"/>
      <w:bookmarkEnd w:id="223"/>
      <w:bookmarkEnd w:id="224"/>
    </w:p>
    <w:p w14:paraId="05ABF32B">
      <w:pPr>
        <w:pStyle w:val="4"/>
        <w:numPr>
          <w:ilvl w:val="0"/>
          <w:numId w:val="0"/>
        </w:numPr>
        <w:ind w:left="709" w:hanging="709"/>
        <w:rPr>
          <w:rFonts w:hAnsi="宋体" w:cs="宋体"/>
        </w:rPr>
      </w:pPr>
      <w:r>
        <w:rPr>
          <w:rFonts w:hAnsi="宋体"/>
          <w:bCs/>
          <w:sz w:val="24"/>
          <w:szCs w:val="28"/>
        </w:rPr>
        <w:br w:type="page"/>
      </w:r>
      <w:bookmarkStart w:id="226" w:name="_Toc1575351"/>
      <w:r>
        <w:rPr>
          <w:rFonts w:hint="eastAsia" w:hAnsi="宋体"/>
          <w:b/>
          <w:sz w:val="32"/>
          <w:lang w:val="zh-CN"/>
        </w:rPr>
        <w:t>格式1</w:t>
      </w:r>
      <w:r>
        <w:rPr>
          <w:rFonts w:hint="eastAsia" w:hAnsi="宋体"/>
          <w:b/>
          <w:sz w:val="32"/>
        </w:rPr>
        <w:t>6</w:t>
      </w:r>
      <w:r>
        <w:rPr>
          <w:rFonts w:hint="eastAsia" w:hAnsi="宋体"/>
          <w:b/>
          <w:sz w:val="32"/>
          <w:lang w:val="zh-CN"/>
        </w:rPr>
        <w:t>、磋商供应商的类似业绩证明材料</w:t>
      </w:r>
      <w:bookmarkEnd w:id="226"/>
    </w:p>
    <w:p w14:paraId="007CBD57">
      <w:pPr>
        <w:autoSpaceDE w:val="0"/>
        <w:autoSpaceDN w:val="0"/>
        <w:adjustRightInd w:val="0"/>
        <w:spacing w:line="360" w:lineRule="auto"/>
        <w:rPr>
          <w:rFonts w:ascii="宋体" w:hAnsi="宋体" w:cs="宋体"/>
          <w:kern w:val="0"/>
          <w:sz w:val="24"/>
          <w:lang w:val="zh-CN"/>
        </w:rPr>
      </w:pPr>
    </w:p>
    <w:p w14:paraId="270618A3">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磋商供应商的类似业绩证明材料</w:t>
      </w:r>
    </w:p>
    <w:p w14:paraId="010027B8">
      <w:pPr>
        <w:autoSpaceDE w:val="0"/>
        <w:autoSpaceDN w:val="0"/>
        <w:adjustRightInd w:val="0"/>
        <w:spacing w:line="360" w:lineRule="auto"/>
        <w:rPr>
          <w:rFonts w:ascii="宋体" w:hAnsi="宋体" w:cs="宋体"/>
          <w:kern w:val="0"/>
          <w:sz w:val="24"/>
          <w:lang w:val="zh-CN"/>
        </w:rPr>
      </w:pPr>
    </w:p>
    <w:p w14:paraId="72B170CF">
      <w:pPr>
        <w:autoSpaceDE w:val="0"/>
        <w:autoSpaceDN w:val="0"/>
        <w:adjustRightInd w:val="0"/>
        <w:spacing w:line="360" w:lineRule="auto"/>
        <w:ind w:firstLine="600" w:firstLineChars="250"/>
        <w:rPr>
          <w:rFonts w:ascii="宋体" w:hAnsi="宋体" w:cs="宋体"/>
          <w:kern w:val="0"/>
          <w:sz w:val="24"/>
          <w:lang w:val="zh-CN"/>
        </w:rPr>
      </w:pPr>
      <w:r>
        <w:rPr>
          <w:rFonts w:hint="eastAsia" w:ascii="宋体" w:hAnsi="宋体" w:cs="宋体"/>
          <w:kern w:val="0"/>
          <w:sz w:val="24"/>
          <w:lang w:val="zh-CN"/>
        </w:rPr>
        <w:t>提供</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07月</w:t>
      </w:r>
      <w:r>
        <w:rPr>
          <w:rFonts w:hint="eastAsia" w:ascii="宋体" w:hAnsi="宋体" w:cs="宋体"/>
          <w:kern w:val="0"/>
          <w:sz w:val="24"/>
        </w:rPr>
        <w:t>以来</w:t>
      </w:r>
      <w:r>
        <w:rPr>
          <w:rFonts w:hint="eastAsia" w:ascii="宋体" w:hAnsi="宋体" w:cs="宋体"/>
          <w:kern w:val="0"/>
          <w:sz w:val="24"/>
          <w:lang w:val="zh-CN"/>
        </w:rPr>
        <w:t>的投标人类似业绩证明材料。类似业绩是指与采购项目在产品类型、使用功能、合同规模等方面相同或相近的项目。</w:t>
      </w:r>
      <w:r>
        <w:rPr>
          <w:rFonts w:ascii="宋体" w:hAnsi="宋体" w:cs="Arial"/>
          <w:sz w:val="24"/>
        </w:rPr>
        <w:t>需提供合同首页、标的及金额所在页、交货合同签字盖章页）的扫描（或复印）件）</w:t>
      </w:r>
      <w:r>
        <w:rPr>
          <w:rFonts w:hint="eastAsia" w:ascii="宋体" w:hAnsi="宋体" w:cs="宋体"/>
          <w:kern w:val="0"/>
          <w:sz w:val="24"/>
          <w:lang w:val="zh-CN"/>
        </w:rPr>
        <w:t>。</w:t>
      </w:r>
    </w:p>
    <w:p w14:paraId="2D905151">
      <w:pPr>
        <w:pStyle w:val="4"/>
        <w:numPr>
          <w:ilvl w:val="0"/>
          <w:numId w:val="0"/>
        </w:numPr>
        <w:ind w:left="709" w:hanging="709"/>
        <w:rPr>
          <w:rFonts w:ascii="宋体" w:hAnsi="宋体" w:cs="宋体"/>
          <w:kern w:val="0"/>
          <w:sz w:val="28"/>
          <w:szCs w:val="28"/>
          <w:lang w:val="zh-CN"/>
        </w:rPr>
      </w:pPr>
      <w:r>
        <w:rPr>
          <w:rFonts w:hAnsi="宋体"/>
          <w:bCs/>
          <w:sz w:val="24"/>
          <w:szCs w:val="28"/>
        </w:rPr>
        <w:br w:type="page"/>
      </w:r>
      <w:bookmarkStart w:id="227" w:name="_Toc1575352"/>
      <w:r>
        <w:rPr>
          <w:rFonts w:hint="eastAsia" w:hAnsi="宋体"/>
          <w:b/>
          <w:sz w:val="32"/>
          <w:lang w:val="zh-CN"/>
        </w:rPr>
        <w:t>格式1</w:t>
      </w:r>
      <w:r>
        <w:rPr>
          <w:rFonts w:hint="eastAsia" w:hAnsi="宋体"/>
          <w:b/>
          <w:sz w:val="32"/>
        </w:rPr>
        <w:t>7</w:t>
      </w:r>
      <w:r>
        <w:rPr>
          <w:rFonts w:hint="eastAsia" w:hAnsi="宋体"/>
          <w:b/>
          <w:sz w:val="32"/>
          <w:lang w:val="zh-CN"/>
        </w:rPr>
        <w:t>、</w:t>
      </w:r>
      <w:r>
        <w:rPr>
          <w:rFonts w:hint="eastAsia" w:hAnsi="宋体"/>
          <w:b/>
          <w:sz w:val="32"/>
          <w:lang w:val="en-US" w:eastAsia="zh-CN"/>
        </w:rPr>
        <w:t>中小</w:t>
      </w:r>
      <w:r>
        <w:rPr>
          <w:rFonts w:hint="eastAsia" w:hAnsi="宋体"/>
          <w:b/>
          <w:sz w:val="32"/>
          <w:lang w:val="zh-CN"/>
        </w:rPr>
        <w:t>企业声明函</w:t>
      </w:r>
      <w:bookmarkEnd w:id="227"/>
    </w:p>
    <w:p w14:paraId="7624C920">
      <w:pPr>
        <w:autoSpaceDE w:val="0"/>
        <w:autoSpaceDN w:val="0"/>
        <w:spacing w:line="360" w:lineRule="auto"/>
        <w:jc w:val="center"/>
        <w:rPr>
          <w:rFonts w:hint="eastAsia" w:ascii="宋体" w:hAnsi="宋体" w:cs="宋体"/>
          <w:b/>
          <w:bCs/>
          <w:kern w:val="0"/>
          <w:sz w:val="28"/>
          <w:szCs w:val="28"/>
          <w:lang w:val="en-US" w:eastAsia="zh-CN"/>
        </w:rPr>
      </w:pPr>
    </w:p>
    <w:p w14:paraId="1D9AFE90">
      <w:pPr>
        <w:autoSpaceDE w:val="0"/>
        <w:autoSpaceDN w:val="0"/>
        <w:spacing w:line="360" w:lineRule="auto"/>
        <w:jc w:val="center"/>
        <w:rPr>
          <w:rFonts w:ascii="宋体" w:hAnsi="宋体" w:cs="宋体"/>
          <w:kern w:val="0"/>
          <w:sz w:val="28"/>
          <w:szCs w:val="28"/>
          <w:lang w:val="zh-CN"/>
        </w:rPr>
      </w:pPr>
      <w:r>
        <w:rPr>
          <w:rFonts w:hint="eastAsia" w:ascii="宋体" w:hAnsi="宋体" w:cs="宋体"/>
          <w:b/>
          <w:bCs/>
          <w:kern w:val="0"/>
          <w:sz w:val="28"/>
          <w:szCs w:val="28"/>
          <w:lang w:val="en-US" w:eastAsia="zh-CN"/>
        </w:rPr>
        <w:t>中小</w:t>
      </w:r>
      <w:r>
        <w:rPr>
          <w:rFonts w:hint="eastAsia" w:ascii="宋体" w:hAnsi="宋体" w:cs="宋体"/>
          <w:b/>
          <w:bCs/>
          <w:kern w:val="0"/>
          <w:sz w:val="28"/>
          <w:szCs w:val="28"/>
          <w:lang w:val="zh-CN"/>
        </w:rPr>
        <w:t>企业声明函（</w:t>
      </w:r>
      <w:r>
        <w:rPr>
          <w:rFonts w:hint="eastAsia" w:ascii="宋体" w:hAnsi="宋体" w:cs="宋体"/>
          <w:b/>
          <w:bCs/>
          <w:kern w:val="0"/>
          <w:sz w:val="28"/>
          <w:szCs w:val="28"/>
          <w:lang w:val="en-US" w:eastAsia="zh-CN"/>
        </w:rPr>
        <w:t>货物</w:t>
      </w:r>
      <w:r>
        <w:rPr>
          <w:rFonts w:hint="eastAsia" w:ascii="宋体" w:hAnsi="宋体" w:cs="宋体"/>
          <w:b/>
          <w:bCs/>
          <w:kern w:val="0"/>
          <w:sz w:val="28"/>
          <w:szCs w:val="28"/>
          <w:lang w:val="zh-CN"/>
        </w:rPr>
        <w:t>）</w:t>
      </w:r>
    </w:p>
    <w:p w14:paraId="45A9061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766CC16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i w:val="0"/>
          <w:iCs/>
          <w:color w:val="000000"/>
          <w:kern w:val="0"/>
          <w:sz w:val="24"/>
          <w:szCs w:val="24"/>
          <w:u w:val="single"/>
          <w:lang w:val="en-US" w:eastAsia="zh-CN" w:bidi="ar"/>
        </w:rPr>
        <w:t>（</w:t>
      </w:r>
      <w:r>
        <w:rPr>
          <w:rFonts w:hint="eastAsia" w:ascii="宋体" w:hAnsi="宋体" w:cs="宋体"/>
          <w:i w:val="0"/>
          <w:iCs/>
          <w:color w:val="000000"/>
          <w:kern w:val="0"/>
          <w:sz w:val="24"/>
          <w:szCs w:val="24"/>
          <w:u w:val="single"/>
          <w:lang w:val="en-US" w:eastAsia="zh-CN" w:bidi="ar"/>
        </w:rPr>
        <w:t>工业</w:t>
      </w:r>
      <w:r>
        <w:rPr>
          <w:rFonts w:hint="eastAsia" w:ascii="宋体" w:hAnsi="宋体" w:eastAsia="宋体" w:cs="宋体"/>
          <w:i w:val="0"/>
          <w:iCs/>
          <w:color w:val="000000"/>
          <w:kern w:val="0"/>
          <w:sz w:val="24"/>
          <w:szCs w:val="24"/>
          <w:u w:val="single"/>
          <w:lang w:val="en-US" w:eastAsia="zh-CN" w:bidi="ar"/>
        </w:rPr>
        <w:t>）</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103EA55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i w:val="0"/>
          <w:iCs/>
          <w:color w:val="000000"/>
          <w:kern w:val="0"/>
          <w:sz w:val="24"/>
          <w:szCs w:val="24"/>
          <w:u w:val="single"/>
          <w:lang w:val="en-US" w:eastAsia="zh-CN" w:bidi="ar"/>
        </w:rPr>
        <w:t>（</w:t>
      </w:r>
      <w:r>
        <w:rPr>
          <w:rFonts w:hint="eastAsia" w:ascii="宋体" w:hAnsi="宋体" w:cs="宋体"/>
          <w:i w:val="0"/>
          <w:iCs/>
          <w:color w:val="000000"/>
          <w:kern w:val="0"/>
          <w:sz w:val="24"/>
          <w:szCs w:val="24"/>
          <w:u w:val="single"/>
          <w:lang w:val="en-US" w:eastAsia="zh-CN" w:bidi="ar"/>
        </w:rPr>
        <w:t>工业</w:t>
      </w:r>
      <w:r>
        <w:rPr>
          <w:rFonts w:hint="eastAsia" w:ascii="宋体" w:hAnsi="宋体" w:eastAsia="宋体" w:cs="宋体"/>
          <w:i w:val="0"/>
          <w:iCs/>
          <w:color w:val="000000"/>
          <w:kern w:val="0"/>
          <w:sz w:val="24"/>
          <w:szCs w:val="24"/>
          <w:u w:val="single"/>
          <w:lang w:val="en-US" w:eastAsia="zh-CN" w:bidi="ar"/>
        </w:rPr>
        <w:t>）</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2E4A353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0CD7020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2F14BB1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099EB168">
      <w:pPr>
        <w:keepNext w:val="0"/>
        <w:keepLines w:val="0"/>
        <w:pageBreakBefore w:val="0"/>
        <w:widowControl/>
        <w:suppressLineNumbers w:val="0"/>
        <w:kinsoku/>
        <w:wordWrap/>
        <w:overflowPunct/>
        <w:topLinePunct w:val="0"/>
        <w:autoSpaceDE/>
        <w:autoSpaceDN/>
        <w:bidi w:val="0"/>
        <w:adjustRightInd/>
        <w:snapToGrid/>
        <w:spacing w:line="560" w:lineRule="exact"/>
        <w:ind w:firstLine="3120" w:firstLineChars="1300"/>
        <w:jc w:val="left"/>
        <w:textAlignment w:val="auto"/>
        <w:rPr>
          <w:rFonts w:hint="eastAsia" w:ascii="宋体" w:hAnsi="宋体" w:eastAsia="宋体" w:cs="宋体"/>
          <w:color w:val="000000"/>
          <w:kern w:val="0"/>
          <w:sz w:val="24"/>
          <w:szCs w:val="24"/>
          <w:lang w:val="en-US" w:eastAsia="zh-CN" w:bidi="ar"/>
        </w:rPr>
      </w:pPr>
    </w:p>
    <w:p w14:paraId="47A2B314">
      <w:pPr>
        <w:pStyle w:val="30"/>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sz w:val="24"/>
          <w:szCs w:val="24"/>
          <w:lang w:val="en-US" w:eastAsia="zh-CN"/>
        </w:rPr>
      </w:pPr>
    </w:p>
    <w:p w14:paraId="3050FE94">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2C7047C5">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ascii="Calibri" w:hAnsi="Calibri" w:cs="Times New Roman"/>
          <w:sz w:val="21"/>
        </w:rPr>
      </w:pPr>
      <w:r>
        <w:rPr>
          <w:rFonts w:hint="eastAsia" w:ascii="宋体" w:hAnsi="宋体" w:eastAsia="宋体" w:cs="宋体"/>
          <w:color w:val="000000"/>
          <w:kern w:val="0"/>
          <w:sz w:val="24"/>
          <w:szCs w:val="24"/>
          <w:lang w:val="en-US" w:eastAsia="zh-CN" w:bidi="ar"/>
        </w:rPr>
        <w:t xml:space="preserve">日   期： </w:t>
      </w:r>
    </w:p>
    <w:p w14:paraId="61864BB9">
      <w:pPr>
        <w:pStyle w:val="4"/>
        <w:numPr>
          <w:ilvl w:val="0"/>
          <w:numId w:val="0"/>
        </w:numPr>
        <w:ind w:left="709" w:hanging="709"/>
        <w:rPr>
          <w:rFonts w:hAnsi="宋体"/>
        </w:rPr>
      </w:pPr>
      <w:r>
        <w:rPr>
          <w:lang w:val="zh-CN"/>
        </w:rPr>
        <w:br w:type="page"/>
      </w:r>
      <w:bookmarkStart w:id="228" w:name="_Toc1575353"/>
      <w:r>
        <w:rPr>
          <w:rFonts w:hint="eastAsia" w:hAnsi="宋体"/>
          <w:b/>
          <w:sz w:val="32"/>
          <w:lang w:val="zh-CN"/>
        </w:rPr>
        <w:t>格式1</w:t>
      </w:r>
      <w:r>
        <w:rPr>
          <w:rFonts w:hint="eastAsia" w:hAnsi="宋体"/>
          <w:b/>
          <w:sz w:val="32"/>
        </w:rPr>
        <w:t>8</w:t>
      </w:r>
      <w:r>
        <w:rPr>
          <w:rFonts w:hint="eastAsia" w:hAnsi="宋体"/>
          <w:b/>
          <w:sz w:val="32"/>
          <w:lang w:val="zh-CN"/>
        </w:rPr>
        <w:t>、</w:t>
      </w:r>
      <w:bookmarkStart w:id="229" w:name="_Toc500160598"/>
      <w:bookmarkStart w:id="230" w:name="_Toc5881"/>
      <w:bookmarkStart w:id="231" w:name="_Toc500160642"/>
      <w:r>
        <w:rPr>
          <w:rFonts w:hint="eastAsia" w:hAnsi="宋体"/>
          <w:b/>
          <w:sz w:val="32"/>
          <w:lang w:val="zh-CN"/>
        </w:rPr>
        <w:t>残疾人福利性单位声明函</w:t>
      </w:r>
      <w:bookmarkEnd w:id="228"/>
      <w:bookmarkEnd w:id="229"/>
      <w:bookmarkEnd w:id="230"/>
      <w:bookmarkEnd w:id="231"/>
    </w:p>
    <w:p w14:paraId="39B1AC92">
      <w:pPr>
        <w:jc w:val="center"/>
        <w:rPr>
          <w:rFonts w:ascii="宋体" w:hAnsi="宋体" w:cs="宋体"/>
          <w:b/>
          <w:sz w:val="36"/>
          <w:szCs w:val="36"/>
        </w:rPr>
      </w:pPr>
      <w:bookmarkStart w:id="232" w:name="OLE_LINK13"/>
      <w:bookmarkStart w:id="233" w:name="OLE_LINK14"/>
    </w:p>
    <w:p w14:paraId="43D8FA4E">
      <w:pPr>
        <w:autoSpaceDE w:val="0"/>
        <w:autoSpaceDN w:val="0"/>
        <w:spacing w:line="360" w:lineRule="auto"/>
        <w:jc w:val="center"/>
        <w:rPr>
          <w:rFonts w:ascii="宋体" w:hAnsi="宋体" w:cs="宋体"/>
          <w:b/>
          <w:bCs/>
          <w:sz w:val="28"/>
          <w:szCs w:val="28"/>
        </w:rPr>
      </w:pPr>
      <w:bookmarkStart w:id="234" w:name="_Hlk500164733"/>
      <w:r>
        <w:rPr>
          <w:rFonts w:hint="eastAsia" w:ascii="宋体" w:hAnsi="宋体" w:cs="宋体"/>
          <w:b/>
          <w:bCs/>
          <w:kern w:val="0"/>
          <w:sz w:val="28"/>
          <w:szCs w:val="28"/>
        </w:rPr>
        <w:t>残疾人福利性单位声明函</w:t>
      </w:r>
      <w:bookmarkEnd w:id="234"/>
    </w:p>
    <w:bookmarkEnd w:id="232"/>
    <w:bookmarkEnd w:id="233"/>
    <w:p w14:paraId="3B58A4AF">
      <w:pPr>
        <w:spacing w:after="120" w:afterLines="50"/>
        <w:rPr>
          <w:rFonts w:ascii="宋体" w:hAnsi="宋体" w:cs="宋体"/>
          <w:bCs/>
        </w:rPr>
      </w:pPr>
    </w:p>
    <w:p w14:paraId="4C83A9B3">
      <w:pPr>
        <w:autoSpaceDE w:val="0"/>
        <w:autoSpaceDN w:val="0"/>
        <w:spacing w:line="360" w:lineRule="auto"/>
        <w:rPr>
          <w:rFonts w:ascii="宋体" w:hAnsi="宋体" w:cs="宋体"/>
          <w:b/>
          <w:bCs/>
        </w:rPr>
      </w:pPr>
      <w:r>
        <w:rPr>
          <w:rFonts w:hint="eastAsia" w:ascii="宋体" w:hAnsi="宋体" w:cs="宋体"/>
          <w:b/>
          <w:bCs/>
          <w:kern w:val="0"/>
          <w:sz w:val="28"/>
          <w:szCs w:val="28"/>
          <w:lang w:val="zh-CN"/>
        </w:rPr>
        <w:t>致：青海鹰扬招标代理有限公司</w:t>
      </w:r>
    </w:p>
    <w:p w14:paraId="3C83EB6D">
      <w:pPr>
        <w:ind w:firstLine="480"/>
        <w:rPr>
          <w:rFonts w:ascii="宋体" w:hAnsi="宋体" w:cs="宋体"/>
        </w:rPr>
      </w:pPr>
    </w:p>
    <w:p w14:paraId="70F44464">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kern w:val="0"/>
          <w:sz w:val="24"/>
          <w:u w:val="single"/>
          <w:lang w:val="zh-CN"/>
        </w:rPr>
        <w:t xml:space="preserve">       </w:t>
      </w:r>
      <w:r>
        <w:rPr>
          <w:rFonts w:hint="eastAsia" w:ascii="宋体" w:hAnsi="宋体" w:cs="宋体"/>
          <w:kern w:val="0"/>
          <w:sz w:val="24"/>
          <w:lang w:val="zh-CN"/>
        </w:rPr>
        <w:t>人，安置的残疾人人数</w:t>
      </w:r>
      <w:r>
        <w:rPr>
          <w:rFonts w:hint="eastAsia" w:ascii="宋体" w:hAnsi="宋体" w:cs="宋体"/>
          <w:kern w:val="0"/>
          <w:sz w:val="24"/>
          <w:u w:val="single"/>
          <w:lang w:val="zh-CN"/>
        </w:rPr>
        <w:t xml:space="preserve">      </w:t>
      </w:r>
      <w:r>
        <w:rPr>
          <w:rFonts w:hint="eastAsia" w:ascii="宋体" w:hAnsi="宋体" w:cs="宋体"/>
          <w:kern w:val="0"/>
          <w:sz w:val="24"/>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79F9FBDB">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本单位对上述声明的真实性负责。如有虚假，将依法承担相应责任。</w:t>
      </w:r>
    </w:p>
    <w:p w14:paraId="7882282C">
      <w:pPr>
        <w:autoSpaceDE w:val="0"/>
        <w:autoSpaceDN w:val="0"/>
        <w:spacing w:line="360" w:lineRule="auto"/>
        <w:ind w:firstLine="360"/>
        <w:rPr>
          <w:rFonts w:ascii="宋体" w:hAnsi="宋体" w:cs="宋体"/>
          <w:kern w:val="0"/>
          <w:sz w:val="24"/>
          <w:lang w:val="zh-CN"/>
        </w:rPr>
      </w:pPr>
    </w:p>
    <w:p w14:paraId="179B11D7">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注：若无此项内容，可不提供此函。</w:t>
      </w:r>
    </w:p>
    <w:p w14:paraId="54B4E3EF">
      <w:pPr>
        <w:ind w:firstLine="480"/>
        <w:rPr>
          <w:rFonts w:ascii="宋体" w:hAnsi="宋体" w:cs="宋体"/>
        </w:rPr>
      </w:pPr>
    </w:p>
    <w:p w14:paraId="35A850BC">
      <w:pPr>
        <w:ind w:firstLine="480"/>
        <w:rPr>
          <w:rFonts w:ascii="宋体" w:hAnsi="宋体" w:cs="宋体"/>
        </w:rPr>
      </w:pPr>
    </w:p>
    <w:p w14:paraId="41F20A73">
      <w:pPr>
        <w:ind w:firstLine="480"/>
        <w:rPr>
          <w:rFonts w:ascii="宋体" w:hAnsi="宋体" w:cs="宋体"/>
        </w:rPr>
      </w:pPr>
    </w:p>
    <w:p w14:paraId="3A4B5701">
      <w:pPr>
        <w:ind w:firstLine="480"/>
        <w:rPr>
          <w:rFonts w:ascii="宋体" w:hAnsi="宋体" w:cs="宋体"/>
        </w:rPr>
      </w:pPr>
    </w:p>
    <w:p w14:paraId="16E6CCA5">
      <w:pPr>
        <w:ind w:firstLine="480"/>
        <w:rPr>
          <w:rFonts w:ascii="宋体" w:hAnsi="宋体" w:cs="宋体"/>
        </w:rPr>
      </w:pPr>
    </w:p>
    <w:p w14:paraId="5030B12B">
      <w:pPr>
        <w:ind w:firstLine="480"/>
        <w:rPr>
          <w:rFonts w:ascii="宋体" w:hAnsi="宋体" w:cs="宋体"/>
        </w:rPr>
      </w:pPr>
    </w:p>
    <w:p w14:paraId="41F11766">
      <w:pPr>
        <w:ind w:firstLine="480"/>
        <w:rPr>
          <w:rFonts w:ascii="宋体" w:hAnsi="宋体" w:cs="宋体"/>
        </w:rPr>
      </w:pPr>
    </w:p>
    <w:p w14:paraId="528480BA">
      <w:pPr>
        <w:ind w:firstLine="480"/>
        <w:rPr>
          <w:rFonts w:ascii="宋体" w:hAnsi="宋体" w:cs="宋体"/>
        </w:rPr>
      </w:pPr>
    </w:p>
    <w:p w14:paraId="0F011D68">
      <w:pPr>
        <w:ind w:firstLine="480"/>
        <w:rPr>
          <w:rFonts w:ascii="宋体" w:hAnsi="宋体" w:cs="宋体"/>
        </w:rPr>
      </w:pPr>
    </w:p>
    <w:p w14:paraId="09177657">
      <w:pPr>
        <w:ind w:firstLine="480"/>
        <w:rPr>
          <w:rFonts w:ascii="宋体" w:hAnsi="宋体" w:cs="宋体"/>
        </w:rPr>
      </w:pPr>
    </w:p>
    <w:p w14:paraId="16B7C42C">
      <w:pPr>
        <w:ind w:firstLine="480"/>
        <w:rPr>
          <w:rFonts w:ascii="宋体" w:hAnsi="宋体" w:cs="宋体"/>
        </w:rPr>
      </w:pPr>
    </w:p>
    <w:p w14:paraId="7C98048E">
      <w:pPr>
        <w:rPr>
          <w:rFonts w:ascii="宋体" w:hAnsi="宋体" w:cs="宋体"/>
        </w:rPr>
      </w:pPr>
    </w:p>
    <w:p w14:paraId="03182605">
      <w:pPr>
        <w:ind w:firstLine="480"/>
        <w:rPr>
          <w:rFonts w:ascii="宋体" w:hAnsi="宋体" w:cs="宋体"/>
        </w:rPr>
      </w:pPr>
    </w:p>
    <w:p w14:paraId="3B086677">
      <w:pPr>
        <w:ind w:firstLine="480"/>
        <w:rPr>
          <w:rFonts w:ascii="宋体" w:hAnsi="宋体" w:cs="宋体"/>
        </w:rPr>
      </w:pPr>
    </w:p>
    <w:p w14:paraId="445CACA7">
      <w:pPr>
        <w:autoSpaceDE w:val="0"/>
        <w:autoSpaceDN w:val="0"/>
        <w:spacing w:line="360" w:lineRule="auto"/>
        <w:jc w:val="right"/>
        <w:rPr>
          <w:rFonts w:ascii="宋体" w:hAnsi="宋体"/>
          <w:bCs/>
          <w:sz w:val="24"/>
          <w:szCs w:val="28"/>
        </w:rPr>
      </w:pPr>
      <w:r>
        <w:rPr>
          <w:rFonts w:hint="eastAsia" w:ascii="宋体" w:hAnsi="宋体"/>
          <w:bCs/>
          <w:sz w:val="24"/>
          <w:szCs w:val="28"/>
        </w:rPr>
        <w:t>企业名称：</w:t>
      </w:r>
      <w:r>
        <w:rPr>
          <w:rFonts w:hint="eastAsia" w:ascii="宋体" w:hAnsi="宋体"/>
          <w:bCs/>
          <w:sz w:val="24"/>
          <w:szCs w:val="28"/>
          <w:u w:val="single"/>
        </w:rPr>
        <w:t xml:space="preserve">       </w:t>
      </w:r>
      <w:r>
        <w:rPr>
          <w:rFonts w:hint="eastAsia" w:ascii="宋体" w:hAnsi="宋体"/>
          <w:bCs/>
          <w:sz w:val="24"/>
          <w:szCs w:val="28"/>
        </w:rPr>
        <w:t>（公章）</w:t>
      </w:r>
    </w:p>
    <w:p w14:paraId="45C20FC0">
      <w:pPr>
        <w:autoSpaceDE w:val="0"/>
        <w:autoSpaceDN w:val="0"/>
        <w:spacing w:line="360" w:lineRule="auto"/>
        <w:jc w:val="right"/>
        <w:rPr>
          <w:rFonts w:ascii="宋体" w:hAnsi="宋体"/>
          <w:bCs/>
          <w:sz w:val="24"/>
          <w:szCs w:val="28"/>
        </w:rPr>
      </w:pPr>
      <w:r>
        <w:rPr>
          <w:rFonts w:hint="eastAsia" w:ascii="宋体" w:hAnsi="宋体"/>
          <w:bCs/>
          <w:sz w:val="24"/>
          <w:szCs w:val="28"/>
        </w:rPr>
        <w:t xml:space="preserve">       企业法定代表人：</w:t>
      </w:r>
      <w:r>
        <w:rPr>
          <w:rFonts w:hint="eastAsia" w:ascii="宋体" w:hAnsi="宋体"/>
          <w:bCs/>
          <w:sz w:val="24"/>
          <w:szCs w:val="28"/>
          <w:u w:val="single"/>
        </w:rPr>
        <w:t xml:space="preserve">       </w:t>
      </w:r>
      <w:r>
        <w:rPr>
          <w:rFonts w:hint="eastAsia" w:ascii="宋体" w:hAnsi="宋体"/>
          <w:bCs/>
          <w:sz w:val="24"/>
          <w:szCs w:val="28"/>
        </w:rPr>
        <w:t>（签字或盖章）</w:t>
      </w:r>
    </w:p>
    <w:p w14:paraId="5F534BED">
      <w:pPr>
        <w:autoSpaceDE w:val="0"/>
        <w:autoSpaceDN w:val="0"/>
        <w:spacing w:line="360" w:lineRule="auto"/>
        <w:jc w:val="right"/>
        <w:rPr>
          <w:lang w:val="zh-CN"/>
        </w:rPr>
      </w:pPr>
      <w:r>
        <w:rPr>
          <w:rFonts w:hint="eastAsia" w:ascii="宋体" w:hAnsi="宋体"/>
          <w:bCs/>
          <w:sz w:val="24"/>
          <w:szCs w:val="28"/>
        </w:rPr>
        <w:t>日期：    年   月   日</w:t>
      </w:r>
    </w:p>
    <w:p w14:paraId="1B656C13">
      <w:pPr>
        <w:numPr>
          <w:ilvl w:val="0"/>
          <w:numId w:val="0"/>
        </w:numPr>
        <w:tabs>
          <w:tab w:val="left" w:pos="425"/>
          <w:tab w:val="left" w:pos="720"/>
        </w:tabs>
        <w:ind w:left="709" w:hanging="709"/>
        <w:outlineLvl w:val="9"/>
        <w:rPr>
          <w:lang w:val="zh-CN"/>
        </w:rPr>
      </w:pPr>
      <w:r>
        <w:rPr>
          <w:lang w:val="zh-CN"/>
        </w:rPr>
        <w:br w:type="page"/>
      </w:r>
    </w:p>
    <w:p w14:paraId="1A5EC93A">
      <w:pPr>
        <w:pStyle w:val="4"/>
        <w:numPr>
          <w:ilvl w:val="0"/>
          <w:numId w:val="0"/>
        </w:numPr>
        <w:ind w:left="709" w:hanging="709"/>
        <w:rPr>
          <w:rFonts w:hAnsi="宋体" w:cs="宋体"/>
        </w:rPr>
      </w:pPr>
      <w:bookmarkStart w:id="235" w:name="_Toc1575354"/>
      <w:bookmarkStart w:id="236" w:name="_Toc31287"/>
      <w:r>
        <w:rPr>
          <w:rFonts w:hint="eastAsia" w:hAnsi="宋体"/>
          <w:b/>
          <w:sz w:val="32"/>
          <w:lang w:val="zh-CN"/>
        </w:rPr>
        <w:t>格式</w:t>
      </w:r>
      <w:r>
        <w:rPr>
          <w:rFonts w:hint="eastAsia" w:hAnsi="宋体"/>
          <w:b/>
          <w:sz w:val="32"/>
        </w:rPr>
        <w:t>19</w:t>
      </w:r>
      <w:r>
        <w:rPr>
          <w:rFonts w:hint="eastAsia" w:hAnsi="宋体"/>
          <w:b/>
          <w:sz w:val="32"/>
          <w:lang w:val="zh-CN"/>
        </w:rPr>
        <w:t>、磋商供应商认为在其他方面有必要说明的事项</w:t>
      </w:r>
      <w:bookmarkEnd w:id="235"/>
      <w:bookmarkEnd w:id="236"/>
    </w:p>
    <w:p w14:paraId="62C14366">
      <w:pPr>
        <w:autoSpaceDE w:val="0"/>
        <w:autoSpaceDN w:val="0"/>
        <w:adjustRightInd w:val="0"/>
        <w:spacing w:line="360" w:lineRule="auto"/>
        <w:rPr>
          <w:rFonts w:ascii="宋体" w:hAnsi="宋体" w:cs="宋体"/>
          <w:kern w:val="0"/>
          <w:sz w:val="24"/>
          <w:lang w:val="zh-CN"/>
        </w:rPr>
      </w:pPr>
    </w:p>
    <w:p w14:paraId="0191EBE9">
      <w:pPr>
        <w:pStyle w:val="17"/>
        <w:spacing w:line="360" w:lineRule="auto"/>
        <w:jc w:val="center"/>
        <w:rPr>
          <w:rFonts w:hAnsi="宋体" w:cs="宋体"/>
          <w:b/>
          <w:bCs/>
          <w:sz w:val="30"/>
          <w:szCs w:val="30"/>
          <w:lang w:val="zh-CN"/>
        </w:rPr>
      </w:pPr>
      <w:r>
        <w:rPr>
          <w:rFonts w:hint="eastAsia" w:hAnsi="宋体" w:cs="宋体"/>
          <w:b/>
          <w:bCs/>
          <w:sz w:val="30"/>
          <w:szCs w:val="30"/>
          <w:lang w:val="zh-CN"/>
        </w:rPr>
        <w:t>磋商供应商认为在其他方面有必要说明的事项</w:t>
      </w:r>
    </w:p>
    <w:p w14:paraId="0A40D89F">
      <w:pPr>
        <w:autoSpaceDE w:val="0"/>
        <w:autoSpaceDN w:val="0"/>
        <w:adjustRightInd w:val="0"/>
        <w:spacing w:line="360" w:lineRule="auto"/>
        <w:rPr>
          <w:rFonts w:ascii="宋体" w:hAnsi="宋体" w:cs="宋体"/>
          <w:kern w:val="0"/>
          <w:sz w:val="24"/>
          <w:lang w:val="zh-CN"/>
        </w:rPr>
      </w:pPr>
    </w:p>
    <w:p w14:paraId="4BC4302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磋商供应商在参加本项目磋商中根据磋商文件的要求认为需要说明的事项，但不作为评标依据。如没有说明事项，此项可忽略。（格式可自定）</w:t>
      </w:r>
    </w:p>
    <w:p w14:paraId="2D6ACFF2">
      <w:pPr>
        <w:pStyle w:val="4"/>
        <w:numPr>
          <w:ilvl w:val="0"/>
          <w:numId w:val="0"/>
        </w:numPr>
        <w:ind w:left="709" w:hanging="709"/>
        <w:rPr>
          <w:rFonts w:hAnsi="宋体"/>
          <w:b/>
          <w:sz w:val="32"/>
          <w:lang w:val="zh-CN"/>
        </w:rPr>
      </w:pPr>
      <w:r>
        <w:rPr>
          <w:rFonts w:hAnsi="宋体"/>
          <w:bCs/>
          <w:sz w:val="24"/>
          <w:szCs w:val="28"/>
        </w:rPr>
        <w:br w:type="page"/>
      </w:r>
      <w:bookmarkStart w:id="237" w:name="_Toc1575355"/>
      <w:r>
        <w:rPr>
          <w:rFonts w:hint="eastAsia" w:hAnsi="宋体"/>
          <w:b/>
          <w:sz w:val="32"/>
          <w:lang w:val="zh-CN"/>
        </w:rPr>
        <w:t>格式2</w:t>
      </w:r>
      <w:r>
        <w:rPr>
          <w:rFonts w:hint="eastAsia" w:hAnsi="宋体"/>
          <w:b/>
          <w:sz w:val="32"/>
        </w:rPr>
        <w:t>0</w:t>
      </w:r>
      <w:r>
        <w:rPr>
          <w:rFonts w:hint="eastAsia" w:hAnsi="宋体"/>
          <w:b/>
          <w:sz w:val="32"/>
          <w:lang w:val="zh-CN"/>
        </w:rPr>
        <w:t>、磋商最终报价表</w:t>
      </w:r>
      <w:bookmarkEnd w:id="237"/>
    </w:p>
    <w:p w14:paraId="56C0E0EA">
      <w:pPr>
        <w:spacing w:line="360" w:lineRule="auto"/>
        <w:jc w:val="center"/>
        <w:rPr>
          <w:rFonts w:hint="eastAsia" w:ascii="宋体" w:hAnsi="宋体"/>
          <w:b/>
          <w:sz w:val="36"/>
          <w:szCs w:val="36"/>
        </w:rPr>
      </w:pPr>
    </w:p>
    <w:p w14:paraId="024FFABD">
      <w:pPr>
        <w:spacing w:line="360" w:lineRule="auto"/>
        <w:jc w:val="center"/>
        <w:rPr>
          <w:rFonts w:ascii="宋体" w:hAnsi="宋体"/>
          <w:b/>
          <w:sz w:val="36"/>
          <w:szCs w:val="36"/>
        </w:rPr>
      </w:pPr>
      <w:r>
        <w:rPr>
          <w:rFonts w:hint="eastAsia" w:ascii="宋体" w:hAnsi="宋体"/>
          <w:b/>
          <w:sz w:val="36"/>
          <w:szCs w:val="36"/>
        </w:rPr>
        <w:t>磋商最终报价表</w:t>
      </w:r>
    </w:p>
    <w:p w14:paraId="7250E88A">
      <w:pPr>
        <w:spacing w:line="360" w:lineRule="auto"/>
        <w:rPr>
          <w:rFonts w:ascii="宋体" w:hAnsi="宋体"/>
          <w:b/>
          <w:sz w:val="28"/>
          <w:szCs w:val="28"/>
        </w:rPr>
      </w:pPr>
      <w:r>
        <w:rPr>
          <w:rFonts w:hint="eastAsia" w:ascii="宋体" w:hAnsi="宋体"/>
          <w:b/>
          <w:sz w:val="28"/>
          <w:szCs w:val="28"/>
        </w:rPr>
        <w:t xml:space="preserve">磋商供应商名称：                                        </w:t>
      </w:r>
      <w:r>
        <w:rPr>
          <w:rFonts w:hint="eastAsia" w:ascii="宋体" w:hAnsi="宋体"/>
          <w:b/>
          <w:sz w:val="24"/>
        </w:rPr>
        <w:t>单位：元</w:t>
      </w:r>
    </w:p>
    <w:tbl>
      <w:tblPr>
        <w:tblStyle w:val="34"/>
        <w:tblW w:w="9968" w:type="dxa"/>
        <w:jc w:val="center"/>
        <w:tblLayout w:type="fixed"/>
        <w:tblCellMar>
          <w:top w:w="0" w:type="dxa"/>
          <w:left w:w="108" w:type="dxa"/>
          <w:bottom w:w="0" w:type="dxa"/>
          <w:right w:w="108" w:type="dxa"/>
        </w:tblCellMar>
      </w:tblPr>
      <w:tblGrid>
        <w:gridCol w:w="3458"/>
        <w:gridCol w:w="2951"/>
        <w:gridCol w:w="2313"/>
        <w:gridCol w:w="1246"/>
      </w:tblGrid>
      <w:tr w14:paraId="6EE0F788">
        <w:tblPrEx>
          <w:tblCellMar>
            <w:top w:w="0" w:type="dxa"/>
            <w:left w:w="108" w:type="dxa"/>
            <w:bottom w:w="0" w:type="dxa"/>
            <w:right w:w="108" w:type="dxa"/>
          </w:tblCellMar>
        </w:tblPrEx>
        <w:trPr>
          <w:trHeight w:val="699" w:hRule="atLeast"/>
          <w:jc w:val="center"/>
        </w:trPr>
        <w:tc>
          <w:tcPr>
            <w:tcW w:w="345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E97422">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D83399">
            <w:pPr>
              <w:autoSpaceDE w:val="0"/>
              <w:autoSpaceDN w:val="0"/>
              <w:spacing w:line="360" w:lineRule="auto"/>
              <w:ind w:firstLine="482"/>
              <w:jc w:val="center"/>
              <w:rPr>
                <w:rFonts w:ascii="Arial" w:hAnsi="Arial" w:cs="Arial"/>
                <w:lang w:val="zh-CN"/>
              </w:rPr>
            </w:pPr>
            <w:r>
              <w:rPr>
                <w:rFonts w:ascii="Arial" w:hAnsi="Arial" w:cs="Arial"/>
                <w:bCs/>
                <w:sz w:val="24"/>
                <w:lang w:val="zh-CN"/>
              </w:rPr>
              <w:t>投标报价</w:t>
            </w:r>
          </w:p>
        </w:tc>
        <w:tc>
          <w:tcPr>
            <w:tcW w:w="2313" w:type="dxa"/>
            <w:tcBorders>
              <w:top w:val="single" w:color="000000" w:sz="6" w:space="0"/>
              <w:left w:val="single" w:color="000000" w:sz="6" w:space="0"/>
              <w:bottom w:val="single" w:color="000000" w:sz="6" w:space="0"/>
              <w:right w:val="single" w:color="auto" w:sz="4" w:space="0"/>
            </w:tcBorders>
            <w:shd w:val="clear" w:color="000000" w:fill="FFFFFF"/>
            <w:vAlign w:val="center"/>
          </w:tcPr>
          <w:p w14:paraId="184E0EA3">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2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623326">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651E3A0F">
        <w:tblPrEx>
          <w:tblCellMar>
            <w:top w:w="0" w:type="dxa"/>
            <w:left w:w="108" w:type="dxa"/>
            <w:bottom w:w="0" w:type="dxa"/>
            <w:right w:w="108" w:type="dxa"/>
          </w:tblCellMar>
        </w:tblPrEx>
        <w:trPr>
          <w:trHeight w:val="680" w:hRule="atLeast"/>
          <w:jc w:val="center"/>
        </w:trPr>
        <w:tc>
          <w:tcPr>
            <w:tcW w:w="3458" w:type="dxa"/>
            <w:vMerge w:val="restart"/>
            <w:tcBorders>
              <w:top w:val="single" w:color="000000" w:sz="6" w:space="0"/>
              <w:left w:val="single" w:color="000000" w:sz="6" w:space="0"/>
              <w:right w:val="single" w:color="000000" w:sz="6" w:space="0"/>
            </w:tcBorders>
            <w:shd w:val="clear" w:color="000000" w:fill="FFFFFF"/>
            <w:vAlign w:val="center"/>
          </w:tcPr>
          <w:p w14:paraId="6B041A38">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04AFC2">
            <w:pPr>
              <w:autoSpaceDE w:val="0"/>
              <w:autoSpaceDN w:val="0"/>
              <w:spacing w:line="360" w:lineRule="auto"/>
              <w:rPr>
                <w:rFonts w:ascii="Arial" w:hAnsi="Arial" w:cs="Arial"/>
                <w:lang w:val="zh-CN"/>
              </w:rPr>
            </w:pPr>
            <w:r>
              <w:rPr>
                <w:rFonts w:ascii="Arial" w:hAnsi="Arial" w:cs="Arial"/>
                <w:bCs/>
                <w:sz w:val="24"/>
                <w:lang w:val="zh-CN"/>
              </w:rPr>
              <w:t>大写：</w:t>
            </w:r>
          </w:p>
        </w:tc>
        <w:tc>
          <w:tcPr>
            <w:tcW w:w="2313"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14:paraId="6D17F80A">
            <w:pPr>
              <w:autoSpaceDE w:val="0"/>
              <w:autoSpaceDN w:val="0"/>
              <w:spacing w:line="360" w:lineRule="auto"/>
              <w:ind w:firstLine="197"/>
              <w:jc w:val="center"/>
              <w:rPr>
                <w:rFonts w:ascii="Arial" w:hAnsi="Arial" w:cs="Arial"/>
                <w:lang w:val="zh-CN"/>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09299C94">
            <w:pPr>
              <w:autoSpaceDE w:val="0"/>
              <w:autoSpaceDN w:val="0"/>
              <w:spacing w:line="360" w:lineRule="auto"/>
              <w:jc w:val="center"/>
              <w:rPr>
                <w:rFonts w:ascii="Arial" w:hAnsi="Arial" w:cs="Arial"/>
                <w:lang w:val="zh-CN"/>
              </w:rPr>
            </w:pPr>
          </w:p>
        </w:tc>
      </w:tr>
      <w:tr w14:paraId="02893E10">
        <w:tblPrEx>
          <w:tblCellMar>
            <w:top w:w="0" w:type="dxa"/>
            <w:left w:w="108" w:type="dxa"/>
            <w:bottom w:w="0" w:type="dxa"/>
            <w:right w:w="108" w:type="dxa"/>
          </w:tblCellMar>
        </w:tblPrEx>
        <w:trPr>
          <w:trHeight w:val="653" w:hRule="atLeast"/>
          <w:jc w:val="center"/>
        </w:trPr>
        <w:tc>
          <w:tcPr>
            <w:tcW w:w="3458" w:type="dxa"/>
            <w:vMerge w:val="continue"/>
            <w:tcBorders>
              <w:left w:val="single" w:color="000000" w:sz="6" w:space="0"/>
              <w:bottom w:val="single" w:color="auto" w:sz="4" w:space="0"/>
              <w:right w:val="single" w:color="000000" w:sz="6" w:space="0"/>
            </w:tcBorders>
            <w:shd w:val="clear" w:color="000000" w:fill="FFFFFF"/>
            <w:vAlign w:val="center"/>
          </w:tcPr>
          <w:p w14:paraId="27791A55">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0292D1A0">
            <w:pPr>
              <w:autoSpaceDE w:val="0"/>
              <w:autoSpaceDN w:val="0"/>
              <w:spacing w:line="360" w:lineRule="auto"/>
              <w:rPr>
                <w:rFonts w:ascii="Arial" w:hAnsi="Arial" w:cs="Arial"/>
                <w:lang w:val="zh-CN"/>
              </w:rPr>
            </w:pPr>
            <w:r>
              <w:rPr>
                <w:rFonts w:ascii="Arial" w:hAnsi="Arial" w:cs="Arial"/>
                <w:bCs/>
                <w:sz w:val="24"/>
                <w:lang w:val="zh-CN"/>
              </w:rPr>
              <w:t>小写：</w:t>
            </w:r>
          </w:p>
        </w:tc>
        <w:tc>
          <w:tcPr>
            <w:tcW w:w="2313" w:type="dxa"/>
            <w:vMerge w:val="continue"/>
            <w:tcBorders>
              <w:top w:val="single" w:color="000000" w:sz="6" w:space="0"/>
              <w:left w:val="single" w:color="000000" w:sz="6" w:space="0"/>
              <w:bottom w:val="single" w:color="auto" w:sz="4" w:space="0"/>
              <w:right w:val="single" w:color="auto" w:sz="4" w:space="0"/>
            </w:tcBorders>
            <w:shd w:val="clear" w:color="000000" w:fill="FFFFFF"/>
            <w:vAlign w:val="center"/>
          </w:tcPr>
          <w:p w14:paraId="55B1805D">
            <w:pPr>
              <w:autoSpaceDE w:val="0"/>
              <w:autoSpaceDN w:val="0"/>
              <w:spacing w:line="360" w:lineRule="auto"/>
              <w:jc w:val="center"/>
              <w:rPr>
                <w:rFonts w:ascii="Arial" w:hAnsi="Arial" w:cs="Arial"/>
                <w:lang w:val="zh-CN"/>
              </w:rPr>
            </w:pPr>
          </w:p>
        </w:tc>
        <w:tc>
          <w:tcPr>
            <w:tcW w:w="1246" w:type="dxa"/>
            <w:vMerge w:val="continue"/>
            <w:tcBorders>
              <w:top w:val="single" w:color="000000" w:sz="6" w:space="0"/>
              <w:left w:val="single" w:color="000000" w:sz="6" w:space="0"/>
              <w:bottom w:val="single" w:color="auto" w:sz="4" w:space="0"/>
              <w:right w:val="single" w:color="000000" w:sz="6" w:space="0"/>
            </w:tcBorders>
            <w:shd w:val="clear" w:color="000000" w:fill="FFFFFF"/>
            <w:vAlign w:val="center"/>
          </w:tcPr>
          <w:p w14:paraId="7E8846F1">
            <w:pPr>
              <w:autoSpaceDE w:val="0"/>
              <w:autoSpaceDN w:val="0"/>
              <w:spacing w:line="360" w:lineRule="auto"/>
              <w:jc w:val="center"/>
              <w:rPr>
                <w:rFonts w:ascii="Arial" w:hAnsi="Arial" w:cs="Arial"/>
                <w:lang w:val="zh-CN"/>
              </w:rPr>
            </w:pPr>
          </w:p>
        </w:tc>
      </w:tr>
      <w:tr w14:paraId="041A2665">
        <w:tblPrEx>
          <w:tblCellMar>
            <w:top w:w="0" w:type="dxa"/>
            <w:left w:w="108" w:type="dxa"/>
            <w:bottom w:w="0" w:type="dxa"/>
            <w:right w:w="108" w:type="dxa"/>
          </w:tblCellMar>
        </w:tblPrEx>
        <w:trPr>
          <w:trHeight w:val="1661"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12316439">
            <w:pPr>
              <w:autoSpaceDE w:val="0"/>
              <w:autoSpaceDN w:val="0"/>
              <w:spacing w:line="360" w:lineRule="auto"/>
              <w:rPr>
                <w:rFonts w:ascii="Arial" w:hAnsi="Arial" w:cs="Arial"/>
              </w:rPr>
            </w:pPr>
            <w:r>
              <w:rPr>
                <w:rFonts w:hint="eastAsia" w:ascii="Arial" w:hAnsi="Arial" w:cs="Arial"/>
                <w:bCs/>
                <w:sz w:val="24"/>
              </w:rPr>
              <w:t>优惠承诺及其他：</w:t>
            </w:r>
          </w:p>
        </w:tc>
      </w:tr>
    </w:tbl>
    <w:p w14:paraId="1CA1F572">
      <w:pPr>
        <w:spacing w:line="360" w:lineRule="auto"/>
        <w:ind w:firstLine="732" w:firstLineChars="347"/>
        <w:jc w:val="left"/>
        <w:rPr>
          <w:rFonts w:ascii="宋体" w:hAnsi="宋体"/>
          <w:b/>
        </w:rPr>
      </w:pPr>
    </w:p>
    <w:p w14:paraId="7256B992">
      <w:pPr>
        <w:tabs>
          <w:tab w:val="left" w:pos="168"/>
        </w:tabs>
        <w:adjustRightInd w:val="0"/>
        <w:spacing w:line="360" w:lineRule="auto"/>
        <w:textAlignment w:val="baseline"/>
        <w:rPr>
          <w:rFonts w:hint="eastAsia" w:ascii="宋体" w:hAnsi="宋体"/>
          <w:b/>
          <w:lang w:val="en-US"/>
        </w:rPr>
      </w:pPr>
      <w:r>
        <w:rPr>
          <w:rFonts w:hint="eastAsia" w:ascii="宋体" w:hAnsi="宋体"/>
          <w:b/>
        </w:rPr>
        <w:t>注</w:t>
      </w:r>
      <w:r>
        <w:rPr>
          <w:rFonts w:ascii="宋体" w:hAnsi="宋体"/>
          <w:b/>
        </w:rPr>
        <w:t>：</w:t>
      </w:r>
      <w:r>
        <w:rPr>
          <w:rFonts w:hint="eastAsia" w:ascii="宋体" w:hAnsi="宋体"/>
          <w:b/>
        </w:rPr>
        <w:t>此表不需</w:t>
      </w:r>
      <w:r>
        <w:rPr>
          <w:rFonts w:hint="eastAsia" w:ascii="宋体" w:hAnsi="宋体"/>
          <w:b/>
          <w:lang w:val="en-US" w:eastAsia="zh-CN"/>
        </w:rPr>
        <w:t>编辑</w:t>
      </w:r>
      <w:r>
        <w:rPr>
          <w:rFonts w:hint="eastAsia" w:ascii="宋体" w:hAnsi="宋体"/>
          <w:b/>
        </w:rPr>
        <w:t>在磋商响应文件中，</w:t>
      </w:r>
      <w:r>
        <w:rPr>
          <w:rFonts w:hint="eastAsia" w:ascii="宋体" w:hAnsi="宋体"/>
          <w:b/>
          <w:lang w:val="en-US" w:eastAsia="zh-CN"/>
        </w:rPr>
        <w:t>最终报价表</w:t>
      </w:r>
      <w:r>
        <w:rPr>
          <w:rFonts w:hint="eastAsia" w:ascii="宋体" w:hAnsi="宋体"/>
          <w:b/>
        </w:rPr>
        <w:t>在</w:t>
      </w:r>
      <w:r>
        <w:rPr>
          <w:rFonts w:hint="eastAsia" w:ascii="宋体" w:hAnsi="宋体"/>
          <w:b/>
          <w:lang w:eastAsia="zh-CN"/>
        </w:rPr>
        <w:t>政采云平台（https://www.zcygov.cn/）</w:t>
      </w:r>
      <w:r>
        <w:rPr>
          <w:rFonts w:hint="eastAsia" w:ascii="宋体" w:hAnsi="宋体"/>
          <w:b/>
        </w:rPr>
        <w:t>上</w:t>
      </w:r>
      <w:r>
        <w:rPr>
          <w:rFonts w:hint="eastAsia" w:ascii="宋体" w:hAnsi="宋体"/>
          <w:b/>
          <w:lang w:val="en-US" w:eastAsia="zh-CN"/>
        </w:rPr>
        <w:t>发起，</w:t>
      </w:r>
      <w:r>
        <w:rPr>
          <w:rFonts w:hint="eastAsia" w:ascii="宋体" w:hAnsi="宋体"/>
          <w:b/>
        </w:rPr>
        <w:t>按规定的时间</w:t>
      </w:r>
      <w:r>
        <w:rPr>
          <w:rFonts w:hint="eastAsia" w:ascii="宋体" w:hAnsi="宋体"/>
          <w:b/>
          <w:lang w:eastAsia="zh-CN"/>
        </w:rPr>
        <w:t>（</w:t>
      </w:r>
      <w:r>
        <w:rPr>
          <w:rFonts w:hint="eastAsia" w:ascii="宋体" w:hAnsi="宋体"/>
          <w:b/>
          <w:lang w:val="en-US" w:eastAsia="zh-CN"/>
        </w:rPr>
        <w:t>30分钟</w:t>
      </w:r>
      <w:r>
        <w:rPr>
          <w:rFonts w:hint="eastAsia" w:ascii="宋体" w:hAnsi="宋体"/>
          <w:b/>
          <w:lang w:eastAsia="zh-CN"/>
        </w:rPr>
        <w:t>）</w:t>
      </w:r>
      <w:r>
        <w:rPr>
          <w:rFonts w:hint="eastAsia" w:ascii="宋体" w:hAnsi="宋体"/>
          <w:b/>
        </w:rPr>
        <w:t>填写最后报价。如果在规定的时间内</w:t>
      </w:r>
      <w:r>
        <w:rPr>
          <w:rFonts w:hint="eastAsia" w:ascii="宋体" w:hAnsi="宋体"/>
          <w:b/>
          <w:lang w:eastAsia="zh-CN"/>
        </w:rPr>
        <w:t>未提交的视为放弃最终报价</w:t>
      </w:r>
      <w:r>
        <w:rPr>
          <w:rFonts w:hint="eastAsia" w:ascii="宋体" w:hAnsi="宋体"/>
          <w:b/>
          <w:lang w:val="en-US" w:eastAsia="zh-CN"/>
        </w:rPr>
        <w:t>。</w:t>
      </w:r>
    </w:p>
    <w:p w14:paraId="189A6A0F">
      <w:pPr>
        <w:spacing w:line="360" w:lineRule="auto"/>
        <w:ind w:firstLine="732" w:firstLineChars="347"/>
        <w:jc w:val="left"/>
        <w:rPr>
          <w:rFonts w:ascii="宋体" w:hAnsi="宋体"/>
          <w:b/>
        </w:rPr>
      </w:pPr>
    </w:p>
    <w:p w14:paraId="39295C01">
      <w:pPr>
        <w:tabs>
          <w:tab w:val="left" w:pos="168"/>
        </w:tabs>
        <w:adjustRightInd w:val="0"/>
        <w:spacing w:line="360" w:lineRule="auto"/>
        <w:textAlignment w:val="baseline"/>
        <w:rPr>
          <w:rFonts w:ascii="宋体" w:hAnsi="宋体"/>
          <w:b/>
          <w:bCs/>
          <w:sz w:val="28"/>
        </w:rPr>
      </w:pPr>
    </w:p>
    <w:p w14:paraId="1A1CB9BC">
      <w:pPr>
        <w:tabs>
          <w:tab w:val="left" w:pos="168"/>
        </w:tabs>
        <w:adjustRightInd w:val="0"/>
        <w:spacing w:line="360" w:lineRule="auto"/>
        <w:textAlignment w:val="baseline"/>
        <w:rPr>
          <w:rFonts w:ascii="宋体" w:hAnsi="宋体"/>
          <w:b/>
          <w:bCs/>
          <w:sz w:val="28"/>
        </w:rPr>
      </w:pPr>
    </w:p>
    <w:p w14:paraId="7153D553">
      <w:pPr>
        <w:tabs>
          <w:tab w:val="left" w:pos="168"/>
        </w:tabs>
        <w:adjustRightInd w:val="0"/>
        <w:spacing w:line="360" w:lineRule="auto"/>
        <w:textAlignment w:val="baseline"/>
        <w:rPr>
          <w:rFonts w:ascii="宋体" w:hAnsi="宋体"/>
          <w:b/>
          <w:bCs/>
          <w:sz w:val="28"/>
        </w:rPr>
      </w:pPr>
    </w:p>
    <w:p w14:paraId="6EC9D4A7">
      <w:pPr>
        <w:tabs>
          <w:tab w:val="left" w:pos="168"/>
        </w:tabs>
        <w:adjustRightInd w:val="0"/>
        <w:spacing w:line="360" w:lineRule="auto"/>
        <w:textAlignment w:val="baseline"/>
        <w:rPr>
          <w:rFonts w:ascii="宋体" w:hAnsi="宋体"/>
          <w:b/>
          <w:bCs/>
          <w:sz w:val="28"/>
        </w:rPr>
      </w:pPr>
    </w:p>
    <w:p w14:paraId="50312F96">
      <w:pPr>
        <w:tabs>
          <w:tab w:val="left" w:pos="168"/>
        </w:tabs>
        <w:adjustRightInd w:val="0"/>
        <w:spacing w:line="360" w:lineRule="auto"/>
        <w:textAlignment w:val="baseline"/>
        <w:rPr>
          <w:rFonts w:ascii="宋体" w:hAnsi="宋体"/>
          <w:bCs/>
          <w:sz w:val="28"/>
          <w:szCs w:val="28"/>
        </w:rPr>
      </w:pPr>
    </w:p>
    <w:p w14:paraId="1145E425">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0EE3F402">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232E7324">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7B522E53">
      <w:pPr>
        <w:spacing w:line="360" w:lineRule="auto"/>
        <w:jc w:val="center"/>
        <w:rPr>
          <w:rFonts w:ascii="宋体" w:hAnsi="宋体"/>
          <w:bCs/>
          <w:sz w:val="24"/>
          <w:szCs w:val="28"/>
        </w:rPr>
      </w:pPr>
    </w:p>
    <w:p w14:paraId="3946E2B3">
      <w:pPr>
        <w:pStyle w:val="24"/>
        <w:spacing w:before="0" w:after="0" w:line="360" w:lineRule="auto"/>
        <w:rPr>
          <w:rFonts w:ascii="宋体" w:hAnsi="宋体"/>
          <w:sz w:val="36"/>
          <w:szCs w:val="36"/>
        </w:rPr>
      </w:pPr>
      <w:r>
        <w:rPr>
          <w:rFonts w:ascii="宋体" w:hAnsi="宋体"/>
          <w:b w:val="0"/>
          <w:szCs w:val="44"/>
        </w:rPr>
        <w:br w:type="page"/>
      </w:r>
      <w:bookmarkStart w:id="238" w:name="_Toc29404"/>
      <w:bookmarkStart w:id="239" w:name="_Toc444715745"/>
      <w:bookmarkStart w:id="240" w:name="_Toc1575356"/>
      <w:r>
        <w:rPr>
          <w:rFonts w:hint="eastAsia" w:ascii="宋体" w:hAnsi="宋体"/>
          <w:sz w:val="36"/>
          <w:szCs w:val="36"/>
        </w:rPr>
        <w:t>第六部分采购项目要求及技术参数</w:t>
      </w:r>
      <w:bookmarkEnd w:id="238"/>
      <w:bookmarkEnd w:id="239"/>
      <w:bookmarkEnd w:id="240"/>
    </w:p>
    <w:p w14:paraId="59E8D892">
      <w:pPr>
        <w:pStyle w:val="4"/>
        <w:keepNext/>
        <w:keepLines/>
        <w:numPr>
          <w:ilvl w:val="0"/>
          <w:numId w:val="0"/>
        </w:numPr>
        <w:tabs>
          <w:tab w:val="clear" w:pos="425"/>
        </w:tabs>
        <w:snapToGrid/>
        <w:ind w:left="567" w:hanging="567"/>
        <w:jc w:val="center"/>
        <w:rPr>
          <w:rFonts w:hAnsi="宋体"/>
          <w:b/>
          <w:bCs/>
          <w:kern w:val="0"/>
          <w:sz w:val="32"/>
          <w:szCs w:val="32"/>
        </w:rPr>
      </w:pPr>
      <w:bookmarkStart w:id="241" w:name="_Toc1575357"/>
      <w:bookmarkStart w:id="242" w:name="_Toc428180595"/>
      <w:r>
        <w:rPr>
          <w:rFonts w:hint="eastAsia" w:hAnsi="宋体"/>
          <w:b/>
          <w:bCs/>
          <w:kern w:val="0"/>
          <w:sz w:val="32"/>
          <w:szCs w:val="32"/>
        </w:rPr>
        <w:t>一、磋商要求</w:t>
      </w:r>
      <w:bookmarkEnd w:id="241"/>
      <w:bookmarkEnd w:id="242"/>
    </w:p>
    <w:p w14:paraId="6F977AD7">
      <w:pPr>
        <w:widowControl/>
        <w:adjustRightInd w:val="0"/>
        <w:snapToGrid w:val="0"/>
        <w:spacing w:line="360" w:lineRule="auto"/>
        <w:ind w:left="425" w:hanging="425"/>
        <w:jc w:val="left"/>
        <w:rPr>
          <w:rFonts w:ascii="宋体" w:hAnsi="宋体"/>
          <w:kern w:val="0"/>
          <w:sz w:val="24"/>
          <w:szCs w:val="22"/>
        </w:rPr>
      </w:pPr>
      <w:bookmarkStart w:id="243" w:name="_Toc428180596"/>
      <w:r>
        <w:rPr>
          <w:rFonts w:ascii="宋体" w:hAnsi="宋体"/>
          <w:kern w:val="0"/>
          <w:sz w:val="24"/>
          <w:szCs w:val="22"/>
        </w:rPr>
        <w:t>1.</w:t>
      </w:r>
      <w:r>
        <w:rPr>
          <w:rFonts w:hint="eastAsia" w:ascii="宋体" w:hAnsi="宋体"/>
          <w:kern w:val="0"/>
          <w:sz w:val="24"/>
          <w:szCs w:val="22"/>
        </w:rPr>
        <w:t>磋商说明</w:t>
      </w:r>
      <w:bookmarkEnd w:id="243"/>
    </w:p>
    <w:p w14:paraId="131777AE">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磋商供应商可以按照磋商文件的规定磋商，但必须对所投包号中的所有内容作为一个整体进行磋商，不能拆分或少报。否则，磋商无效。</w:t>
      </w:r>
    </w:p>
    <w:p w14:paraId="1213A1BA">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1.2.</w:t>
      </w:r>
      <w:r>
        <w:rPr>
          <w:rFonts w:hint="eastAsia" w:ascii="宋体" w:hAnsi="Calibri" w:cs="宋体"/>
          <w:kern w:val="0"/>
          <w:sz w:val="24"/>
          <w:lang w:val="zh-CN"/>
        </w:rPr>
        <w:t>磋商报价应包括</w:t>
      </w:r>
      <w:r>
        <w:rPr>
          <w:rFonts w:hint="eastAsia" w:hAnsi="宋体"/>
          <w:sz w:val="24"/>
          <w:szCs w:val="28"/>
          <w:lang w:val="zh-CN"/>
        </w:rPr>
        <w:t>产品费、</w:t>
      </w:r>
      <w:r>
        <w:rPr>
          <w:rFonts w:hint="eastAsia" w:hAnsi="宋体"/>
          <w:sz w:val="24"/>
          <w:szCs w:val="28"/>
          <w:lang w:val="en-US" w:eastAsia="zh-CN"/>
        </w:rPr>
        <w:t>安装费、</w:t>
      </w:r>
      <w:r>
        <w:rPr>
          <w:rFonts w:hint="eastAsia" w:hAnsi="宋体"/>
          <w:sz w:val="24"/>
          <w:szCs w:val="28"/>
          <w:lang w:val="zh-CN"/>
        </w:rPr>
        <w:t>验收费</w:t>
      </w:r>
      <w:r>
        <w:rPr>
          <w:rFonts w:hint="eastAsia" w:ascii="宋体" w:hAnsi="Calibri" w:cs="宋体"/>
          <w:kern w:val="0"/>
          <w:sz w:val="24"/>
          <w:lang w:val="zh-CN"/>
        </w:rPr>
        <w:t>、售前、售中、售后服务费、招标代理费、税金及不可预见费等全部费用</w:t>
      </w:r>
      <w:r>
        <w:rPr>
          <w:rFonts w:hint="eastAsia" w:hAnsi="宋体"/>
          <w:sz w:val="24"/>
          <w:szCs w:val="28"/>
        </w:rPr>
        <w:t>（说明：具体内容应根据项目特点实事求是的填写）</w:t>
      </w:r>
      <w:r>
        <w:rPr>
          <w:rFonts w:hint="eastAsia" w:ascii="宋体" w:hAnsi="Calibri" w:cs="宋体"/>
          <w:kern w:val="0"/>
          <w:sz w:val="24"/>
          <w:lang w:val="zh-CN"/>
        </w:rPr>
        <w:t>。若磋商报价不能完全包括上述内容，该磋商将被认为非实质性响应。</w:t>
      </w:r>
    </w:p>
    <w:p w14:paraId="6408C7CA">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1.3.</w:t>
      </w:r>
      <w:r>
        <w:rPr>
          <w:rFonts w:hint="eastAsia" w:ascii="宋体" w:hAnsi="Calibri" w:cs="宋体"/>
          <w:kern w:val="0"/>
          <w:sz w:val="24"/>
          <w:lang w:val="zh-CN"/>
        </w:rPr>
        <w:t>磋商供应商必须如实填写</w:t>
      </w:r>
      <w:r>
        <w:rPr>
          <w:rFonts w:ascii="宋体" w:hAnsi="Calibri" w:cs="宋体"/>
          <w:kern w:val="0"/>
          <w:sz w:val="24"/>
          <w:lang w:val="zh-CN"/>
        </w:rPr>
        <w:t>“</w:t>
      </w:r>
      <w:r>
        <w:rPr>
          <w:rFonts w:hint="eastAsia" w:ascii="宋体" w:hAnsi="Calibri" w:cs="宋体"/>
          <w:kern w:val="0"/>
          <w:sz w:val="24"/>
          <w:lang w:val="zh-CN"/>
        </w:rPr>
        <w:t>技术规格响应表</w:t>
      </w:r>
      <w:r>
        <w:rPr>
          <w:rFonts w:ascii="宋体" w:hAnsi="Calibri" w:cs="宋体"/>
          <w:kern w:val="0"/>
          <w:sz w:val="24"/>
          <w:lang w:val="zh-CN"/>
        </w:rPr>
        <w:t>”</w:t>
      </w:r>
      <w:r>
        <w:rPr>
          <w:rFonts w:hint="eastAsia" w:ascii="宋体" w:hAnsi="Calibri" w:cs="宋体"/>
          <w:kern w:val="0"/>
          <w:sz w:val="24"/>
          <w:lang w:val="zh-CN"/>
        </w:rPr>
        <w:t>，在</w:t>
      </w:r>
      <w:r>
        <w:rPr>
          <w:rFonts w:ascii="宋体" w:hAnsi="Calibri" w:cs="宋体"/>
          <w:kern w:val="0"/>
          <w:sz w:val="24"/>
          <w:lang w:val="zh-CN"/>
        </w:rPr>
        <w:t>“</w:t>
      </w:r>
      <w:r>
        <w:rPr>
          <w:rFonts w:hint="eastAsia" w:ascii="宋体" w:hAnsi="Calibri" w:cs="宋体"/>
          <w:kern w:val="0"/>
          <w:sz w:val="24"/>
          <w:lang w:val="zh-CN"/>
        </w:rPr>
        <w:t>磋商产品技术参数、指标</w:t>
      </w:r>
      <w:r>
        <w:rPr>
          <w:rFonts w:ascii="宋体" w:hAnsi="Calibri" w:cs="宋体"/>
          <w:kern w:val="0"/>
          <w:sz w:val="24"/>
          <w:lang w:val="zh-CN"/>
        </w:rPr>
        <w:t>”</w:t>
      </w:r>
      <w:r>
        <w:rPr>
          <w:rFonts w:hint="eastAsia" w:ascii="宋体" w:hAnsi="Calibri" w:cs="宋体"/>
          <w:kern w:val="0"/>
          <w:sz w:val="24"/>
          <w:lang w:val="zh-CN"/>
        </w:rPr>
        <w:t>栏中列出所投产品的具体规格型号和具体技术参数、指标；以招标人需求为最低指标要求，磋商供应商对超出或不满足最低指标要求的指标需列出</w:t>
      </w:r>
      <w:r>
        <w:rPr>
          <w:rFonts w:ascii="宋体" w:hAnsi="Calibri" w:cs="宋体"/>
          <w:kern w:val="0"/>
          <w:sz w:val="24"/>
          <w:lang w:val="zh-CN"/>
        </w:rPr>
        <w:t>“</w:t>
      </w:r>
      <w:r>
        <w:rPr>
          <w:rFonts w:hint="eastAsia" w:ascii="宋体" w:hAnsi="Calibri" w:cs="宋体"/>
          <w:kern w:val="0"/>
          <w:sz w:val="24"/>
          <w:lang w:val="zh-CN"/>
        </w:rPr>
        <w:t>＋、</w:t>
      </w:r>
      <w:r>
        <w:rPr>
          <w:rFonts w:ascii="宋体" w:hAnsi="Calibri" w:cs="宋体"/>
          <w:kern w:val="0"/>
          <w:sz w:val="24"/>
          <w:lang w:val="zh-CN"/>
        </w:rPr>
        <w:t>-</w:t>
      </w:r>
      <w:r>
        <w:rPr>
          <w:rFonts w:hint="eastAsia" w:ascii="宋体" w:hAnsi="Calibri" w:cs="宋体"/>
          <w:kern w:val="0"/>
          <w:sz w:val="24"/>
          <w:lang w:val="zh-CN"/>
        </w:rPr>
        <w:t>偏差。如果与磋商响应文件中提供的产品检测报告等证明材料中的实质性响应情况不一致或直接复制磋商文件</w:t>
      </w:r>
      <w:r>
        <w:rPr>
          <w:rFonts w:ascii="宋体" w:hAnsi="Calibri" w:cs="宋体"/>
          <w:kern w:val="0"/>
          <w:sz w:val="24"/>
          <w:lang w:val="zh-CN"/>
        </w:rPr>
        <w:t>“</w:t>
      </w:r>
      <w:r>
        <w:rPr>
          <w:rFonts w:hint="eastAsia" w:ascii="宋体" w:hAnsi="Calibri" w:cs="宋体"/>
          <w:kern w:val="0"/>
          <w:sz w:val="24"/>
          <w:lang w:val="zh-CN"/>
        </w:rPr>
        <w:t>采购需求技术参数、指标</w:t>
      </w:r>
      <w:r>
        <w:rPr>
          <w:rFonts w:ascii="宋体" w:hAnsi="Calibri" w:cs="宋体"/>
          <w:kern w:val="0"/>
          <w:sz w:val="24"/>
          <w:lang w:val="zh-CN"/>
        </w:rPr>
        <w:t>”</w:t>
      </w:r>
      <w:r>
        <w:rPr>
          <w:rFonts w:hint="eastAsia" w:ascii="宋体" w:hAnsi="Calibri" w:cs="宋体"/>
          <w:kern w:val="0"/>
          <w:sz w:val="24"/>
          <w:lang w:val="zh-CN"/>
        </w:rPr>
        <w:t>内容的，按无效磋商处理。</w:t>
      </w:r>
    </w:p>
    <w:p w14:paraId="62CD7E6C">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1.4.</w:t>
      </w:r>
      <w:r>
        <w:rPr>
          <w:rFonts w:hint="eastAsia" w:ascii="宋体" w:hAnsi="Calibri" w:cs="宋体"/>
          <w:kern w:val="0"/>
          <w:sz w:val="24"/>
          <w:lang w:val="zh-CN"/>
        </w:rPr>
        <w:t>交货时间、地点：按采购单位指定的时间、地点交货并安装交付使用。</w:t>
      </w:r>
    </w:p>
    <w:p w14:paraId="292CC6BC">
      <w:pPr>
        <w:widowControl/>
        <w:adjustRightInd w:val="0"/>
        <w:snapToGrid w:val="0"/>
        <w:spacing w:line="360" w:lineRule="auto"/>
        <w:ind w:left="425" w:hanging="425"/>
        <w:jc w:val="left"/>
        <w:rPr>
          <w:rFonts w:ascii="宋体" w:hAnsi="宋体"/>
          <w:kern w:val="0"/>
          <w:sz w:val="24"/>
          <w:szCs w:val="22"/>
        </w:rPr>
      </w:pPr>
      <w:bookmarkStart w:id="244" w:name="_Toc428180597"/>
      <w:r>
        <w:rPr>
          <w:rFonts w:ascii="宋体" w:hAnsi="宋体"/>
          <w:kern w:val="0"/>
          <w:sz w:val="24"/>
          <w:szCs w:val="22"/>
        </w:rPr>
        <w:t>2.</w:t>
      </w:r>
      <w:r>
        <w:rPr>
          <w:rFonts w:hint="eastAsia" w:ascii="宋体" w:hAnsi="宋体"/>
          <w:kern w:val="0"/>
          <w:sz w:val="24"/>
          <w:szCs w:val="22"/>
        </w:rPr>
        <w:t>报价说明</w:t>
      </w:r>
      <w:bookmarkEnd w:id="244"/>
    </w:p>
    <w:p w14:paraId="55F0FD63">
      <w:pPr>
        <w:autoSpaceDE w:val="0"/>
        <w:autoSpaceDN w:val="0"/>
        <w:adjustRightInd w:val="0"/>
        <w:spacing w:line="360" w:lineRule="auto"/>
        <w:ind w:firstLine="480"/>
        <w:rPr>
          <w:rFonts w:ascii="宋体" w:hAnsi="Calibri" w:cs="宋体"/>
          <w:kern w:val="0"/>
          <w:sz w:val="24"/>
          <w:lang w:val="zh-CN"/>
        </w:rPr>
      </w:pPr>
      <w:r>
        <w:rPr>
          <w:rFonts w:hint="eastAsia" w:ascii="宋体" w:hAnsi="Calibri" w:cs="宋体"/>
          <w:kern w:val="0"/>
          <w:sz w:val="24"/>
          <w:lang w:val="zh-CN"/>
        </w:rPr>
        <w:t>本次磋商文件中规定的采购预算额度为磋商最高限价，磋商供应商的磋商报价不得超出此额度。否则，磋商无效。</w:t>
      </w:r>
    </w:p>
    <w:p w14:paraId="11828F68">
      <w:pPr>
        <w:widowControl/>
        <w:adjustRightInd w:val="0"/>
        <w:snapToGrid w:val="0"/>
        <w:spacing w:line="360" w:lineRule="auto"/>
        <w:ind w:left="425" w:hanging="425"/>
        <w:jc w:val="left"/>
        <w:rPr>
          <w:rFonts w:ascii="宋体" w:hAnsi="宋体"/>
          <w:kern w:val="0"/>
          <w:sz w:val="24"/>
          <w:szCs w:val="22"/>
        </w:rPr>
      </w:pPr>
      <w:bookmarkStart w:id="245" w:name="_Toc428180598"/>
      <w:r>
        <w:rPr>
          <w:rFonts w:ascii="宋体" w:hAnsi="宋体"/>
          <w:kern w:val="0"/>
          <w:sz w:val="24"/>
          <w:szCs w:val="22"/>
        </w:rPr>
        <w:t>3.</w:t>
      </w:r>
      <w:r>
        <w:rPr>
          <w:rFonts w:hint="eastAsia" w:ascii="宋体" w:hAnsi="宋体"/>
          <w:kern w:val="0"/>
          <w:sz w:val="24"/>
          <w:szCs w:val="22"/>
        </w:rPr>
        <w:t>重要指标</w:t>
      </w:r>
      <w:bookmarkEnd w:id="245"/>
    </w:p>
    <w:p w14:paraId="7D7D4A74">
      <w:pPr>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.技术参数中除注明签订合同时提供的相关授权、服务承诺等资料以外，其余相关资料在磋商时必须附在磋商响应文件中。</w:t>
      </w:r>
    </w:p>
    <w:p w14:paraId="2D4B51DB">
      <w:pPr>
        <w:widowControl/>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3.2.</w:t>
      </w:r>
      <w:bookmarkStart w:id="246" w:name="_Toc428180599"/>
      <w:r>
        <w:rPr>
          <w:rFonts w:hint="eastAsia" w:ascii="宋体" w:hAnsi="宋体" w:cs="宋体"/>
          <w:color w:val="000000"/>
          <w:sz w:val="24"/>
        </w:rPr>
        <w:t>“技术参数”中用星号“</w:t>
      </w:r>
      <w:r>
        <w:rPr>
          <w:rFonts w:hint="eastAsia" w:ascii="宋体" w:hAnsi="宋体"/>
        </w:rPr>
        <w:t>▲</w:t>
      </w:r>
      <w:r>
        <w:rPr>
          <w:rFonts w:hint="eastAsia" w:ascii="宋体" w:hAnsi="宋体" w:cs="宋体"/>
          <w:color w:val="000000"/>
          <w:sz w:val="24"/>
        </w:rPr>
        <w:t>”符号标注的属于重要技术参数、指标，必须完全响应，此项按负偏离扣分，不作废标处理（若未标注，无视此项）。</w:t>
      </w:r>
    </w:p>
    <w:p w14:paraId="3E56CF6A">
      <w:pPr>
        <w:widowControl/>
        <w:adjustRightInd w:val="0"/>
        <w:snapToGrid w:val="0"/>
        <w:spacing w:line="360" w:lineRule="auto"/>
        <w:jc w:val="left"/>
        <w:rPr>
          <w:rFonts w:ascii="宋体" w:hAnsi="宋体"/>
          <w:kern w:val="0"/>
          <w:sz w:val="24"/>
          <w:szCs w:val="22"/>
        </w:rPr>
      </w:pPr>
      <w:r>
        <w:rPr>
          <w:rFonts w:ascii="宋体" w:hAnsi="宋体"/>
          <w:kern w:val="0"/>
          <w:sz w:val="24"/>
          <w:szCs w:val="22"/>
        </w:rPr>
        <w:t>4.</w:t>
      </w:r>
      <w:r>
        <w:rPr>
          <w:rFonts w:hint="eastAsia" w:ascii="宋体" w:hAnsi="宋体"/>
          <w:kern w:val="0"/>
          <w:sz w:val="24"/>
          <w:szCs w:val="22"/>
        </w:rPr>
        <w:t>商务要求</w:t>
      </w:r>
      <w:bookmarkEnd w:id="246"/>
    </w:p>
    <w:p w14:paraId="2B3E50FD">
      <w:pPr>
        <w:spacing w:line="360" w:lineRule="auto"/>
        <w:ind w:firstLine="240" w:firstLineChars="100"/>
      </w:pPr>
      <w:bookmarkStart w:id="247" w:name="_Toc488673674"/>
      <w:r>
        <w:rPr>
          <w:rFonts w:ascii="宋体" w:hAnsi="Calibri" w:cs="宋体"/>
          <w:kern w:val="0"/>
          <w:sz w:val="24"/>
          <w:lang w:val="zh-CN"/>
        </w:rPr>
        <w:t>4.1.</w:t>
      </w:r>
      <w:r>
        <w:rPr>
          <w:rFonts w:hint="eastAsia" w:ascii="宋体" w:hAnsi="Calibri" w:cs="宋体"/>
          <w:kern w:val="0"/>
          <w:sz w:val="24"/>
          <w:lang w:val="zh-CN"/>
        </w:rPr>
        <w:t>交货期</w:t>
      </w:r>
      <w:r>
        <w:rPr>
          <w:rFonts w:hint="eastAsia" w:ascii="宋体" w:hAnsi="Calibri" w:eastAsia="宋体" w:cs="宋体"/>
          <w:kern w:val="0"/>
          <w:sz w:val="24"/>
          <w:lang w:val="zh-CN" w:eastAsia="zh-CN"/>
        </w:rPr>
        <w:t>：</w:t>
      </w:r>
      <w:bookmarkEnd w:id="247"/>
      <w:r>
        <w:rPr>
          <w:rFonts w:hint="eastAsia" w:ascii="宋体" w:hAnsi="Calibri" w:eastAsia="宋体" w:cs="宋体"/>
          <w:kern w:val="0"/>
          <w:sz w:val="24"/>
          <w:lang w:val="en-US" w:eastAsia="zh-CN"/>
        </w:rPr>
        <w:t>自</w:t>
      </w:r>
      <w:r>
        <w:rPr>
          <w:rFonts w:hint="eastAsia" w:ascii="宋体" w:hAnsi="Calibri" w:eastAsia="宋体" w:cs="宋体"/>
          <w:kern w:val="0"/>
          <w:sz w:val="24"/>
          <w:lang w:val="zh-CN" w:eastAsia="zh-CN"/>
        </w:rPr>
        <w:t>合同签订之日起30日历天内完成设备供货及安装。</w:t>
      </w:r>
    </w:p>
    <w:p w14:paraId="2DFA6C20">
      <w:pPr>
        <w:autoSpaceDE w:val="0"/>
        <w:autoSpaceDN w:val="0"/>
        <w:adjustRightInd w:val="0"/>
        <w:spacing w:line="360" w:lineRule="auto"/>
        <w:ind w:firstLine="240" w:firstLineChars="100"/>
        <w:rPr>
          <w:rFonts w:hint="eastAsia" w:ascii="宋体" w:hAnsi="宋体" w:eastAsia="宋体"/>
          <w:sz w:val="24"/>
          <w:u w:val="single"/>
          <w:lang w:eastAsia="zh-CN"/>
        </w:rPr>
      </w:pPr>
      <w:bookmarkStart w:id="248" w:name="_Toc488673675"/>
      <w:r>
        <w:rPr>
          <w:rFonts w:ascii="宋体" w:hAnsi="Calibri" w:cs="宋体"/>
          <w:kern w:val="0"/>
          <w:sz w:val="24"/>
          <w:lang w:val="zh-CN"/>
        </w:rPr>
        <w:t>4.2.</w:t>
      </w:r>
      <w:r>
        <w:rPr>
          <w:rFonts w:hint="eastAsia" w:ascii="宋体" w:hAnsi="Calibri" w:cs="宋体"/>
          <w:kern w:val="0"/>
          <w:sz w:val="24"/>
          <w:lang w:val="zh-CN"/>
        </w:rPr>
        <w:t>交货地点：</w:t>
      </w:r>
      <w:bookmarkEnd w:id="248"/>
      <w:r>
        <w:rPr>
          <w:rFonts w:hint="eastAsia" w:ascii="宋体" w:hAnsi="Calibri" w:cs="宋体"/>
          <w:kern w:val="0"/>
          <w:sz w:val="24"/>
          <w:lang w:val="en-US" w:eastAsia="zh-CN"/>
        </w:rPr>
        <w:t>采购人指定地点</w:t>
      </w:r>
      <w:r>
        <w:rPr>
          <w:rFonts w:hint="eastAsia" w:ascii="宋体" w:hAnsi="宋体"/>
          <w:sz w:val="24"/>
          <w:lang w:eastAsia="zh-CN"/>
        </w:rPr>
        <w:t>。</w:t>
      </w:r>
    </w:p>
    <w:p w14:paraId="4211E1CB">
      <w:pPr>
        <w:autoSpaceDE w:val="0"/>
        <w:autoSpaceDN w:val="0"/>
        <w:adjustRightInd w:val="0"/>
        <w:spacing w:line="360" w:lineRule="auto"/>
        <w:ind w:firstLine="240" w:firstLineChars="100"/>
        <w:rPr>
          <w:rFonts w:hint="default" w:ascii="宋体" w:hAnsi="Calibri" w:eastAsia="宋体" w:cs="宋体"/>
          <w:kern w:val="0"/>
          <w:sz w:val="24"/>
          <w:lang w:val="en-US" w:eastAsia="zh-CN"/>
        </w:rPr>
      </w:pPr>
      <w:bookmarkStart w:id="249" w:name="_Toc488673676"/>
      <w:r>
        <w:rPr>
          <w:rFonts w:hint="eastAsia" w:ascii="宋体" w:hAnsi="Calibri" w:cs="宋体"/>
          <w:kern w:val="0"/>
          <w:sz w:val="24"/>
          <w:lang w:val="en-US" w:eastAsia="zh-CN"/>
        </w:rPr>
        <w:t>4.3.</w:t>
      </w:r>
      <w:r>
        <w:rPr>
          <w:rFonts w:hint="eastAsia" w:ascii="宋体" w:hAnsi="宋体"/>
          <w:sz w:val="24"/>
        </w:rPr>
        <w:t>质保期：</w:t>
      </w:r>
      <w:r>
        <w:rPr>
          <w:rFonts w:hint="eastAsia" w:ascii="宋体" w:hAnsi="Calibri" w:cs="宋体"/>
          <w:kern w:val="0"/>
          <w:sz w:val="24"/>
          <w:lang w:val="en-US" w:eastAsia="zh-CN"/>
        </w:rPr>
        <w:t>1年</w:t>
      </w:r>
      <w:r>
        <w:rPr>
          <w:rFonts w:hint="eastAsia" w:ascii="宋体" w:hAnsi="宋体"/>
          <w:sz w:val="24"/>
          <w:lang w:val="en-US" w:eastAsia="zh-CN"/>
        </w:rPr>
        <w:t>。</w:t>
      </w:r>
    </w:p>
    <w:p w14:paraId="72D3B555">
      <w:pPr>
        <w:autoSpaceDE w:val="0"/>
        <w:autoSpaceDN w:val="0"/>
        <w:adjustRightInd w:val="0"/>
        <w:spacing w:line="360" w:lineRule="auto"/>
        <w:ind w:firstLine="240" w:firstLineChars="100"/>
      </w:pPr>
      <w:r>
        <w:rPr>
          <w:rFonts w:hint="eastAsia" w:ascii="宋体" w:hAnsi="Calibri" w:cs="宋体"/>
          <w:kern w:val="0"/>
          <w:sz w:val="24"/>
          <w:lang w:val="zh-CN"/>
        </w:rPr>
        <w:t>4.</w:t>
      </w:r>
      <w:r>
        <w:rPr>
          <w:rFonts w:hint="eastAsia" w:ascii="宋体" w:hAnsi="Calibri" w:cs="宋体"/>
          <w:kern w:val="0"/>
          <w:sz w:val="24"/>
          <w:lang w:val="en-US" w:eastAsia="zh-CN"/>
        </w:rPr>
        <w:t>4</w:t>
      </w:r>
      <w:r>
        <w:rPr>
          <w:rFonts w:hint="eastAsia" w:ascii="宋体" w:hAnsi="Calibri" w:cs="宋体"/>
          <w:kern w:val="0"/>
          <w:sz w:val="24"/>
          <w:lang w:val="zh-CN"/>
        </w:rPr>
        <w:t>.付款方式：</w:t>
      </w:r>
      <w:bookmarkEnd w:id="249"/>
      <w:bookmarkStart w:id="250" w:name="_Toc480468113"/>
      <w:bookmarkStart w:id="251" w:name="_Toc459377899"/>
      <w:bookmarkStart w:id="252" w:name="_Hlk486599483"/>
      <w:r>
        <w:rPr>
          <w:kern w:val="0"/>
          <w:sz w:val="24"/>
        </w:rPr>
        <w:t>详见“第</w:t>
      </w:r>
      <w:r>
        <w:rPr>
          <w:rFonts w:hint="eastAsia"/>
          <w:kern w:val="0"/>
          <w:sz w:val="24"/>
        </w:rPr>
        <w:t>四</w:t>
      </w:r>
      <w:r>
        <w:rPr>
          <w:kern w:val="0"/>
          <w:sz w:val="24"/>
        </w:rPr>
        <w:t>部分  青海省政府采购项目合同书范本”中“四、付款方式”的规定。</w:t>
      </w:r>
    </w:p>
    <w:p w14:paraId="13B01EAD">
      <w:pPr>
        <w:autoSpaceDE w:val="0"/>
        <w:autoSpaceDN w:val="0"/>
        <w:adjustRightInd w:val="0"/>
        <w:spacing w:line="360" w:lineRule="auto"/>
        <w:rPr>
          <w:rFonts w:ascii="宋体" w:hAnsi="宋体"/>
          <w:b/>
          <w:bCs/>
          <w:kern w:val="0"/>
          <w:sz w:val="32"/>
          <w:szCs w:val="32"/>
        </w:rPr>
      </w:pPr>
    </w:p>
    <w:p w14:paraId="7DC13365">
      <w:pPr>
        <w:pStyle w:val="33"/>
        <w:rPr>
          <w:rFonts w:ascii="宋体" w:hAnsi="宋体"/>
          <w:b/>
          <w:bCs/>
          <w:kern w:val="0"/>
          <w:sz w:val="32"/>
          <w:szCs w:val="32"/>
        </w:rPr>
        <w:sectPr>
          <w:footerReference r:id="rId6" w:type="first"/>
          <w:footerReference r:id="rId5" w:type="default"/>
          <w:pgSz w:w="11906" w:h="16838"/>
          <w:pgMar w:top="1440" w:right="1077" w:bottom="1440" w:left="1077" w:header="851" w:footer="992" w:gutter="0"/>
          <w:pgNumType w:fmt="decimal" w:start="1"/>
          <w:cols w:space="720" w:num="1"/>
          <w:titlePg/>
          <w:docGrid w:linePitch="312" w:charSpace="0"/>
        </w:sectPr>
      </w:pPr>
    </w:p>
    <w:bookmarkEnd w:id="250"/>
    <w:bookmarkEnd w:id="251"/>
    <w:bookmarkEnd w:id="252"/>
    <w:p w14:paraId="2B00EBD4">
      <w:pPr>
        <w:widowControl/>
        <w:numPr>
          <w:ilvl w:val="0"/>
          <w:numId w:val="0"/>
        </w:numPr>
        <w:jc w:val="center"/>
        <w:textAlignment w:val="center"/>
        <w:rPr>
          <w:rFonts w:hint="eastAsia" w:ascii="宋体" w:hAnsi="宋体"/>
          <w:b/>
          <w:bCs/>
          <w:kern w:val="0"/>
          <w:sz w:val="32"/>
          <w:szCs w:val="32"/>
        </w:rPr>
      </w:pPr>
      <w:r>
        <w:rPr>
          <w:rFonts w:hint="eastAsia" w:ascii="宋体" w:hAnsi="宋体"/>
          <w:b/>
          <w:bCs/>
          <w:kern w:val="0"/>
          <w:sz w:val="32"/>
          <w:szCs w:val="32"/>
          <w:lang w:val="en-US" w:eastAsia="zh-CN"/>
        </w:rPr>
        <w:t>二、</w:t>
      </w:r>
      <w:r>
        <w:rPr>
          <w:rFonts w:hint="eastAsia" w:ascii="宋体" w:hAnsi="宋体"/>
          <w:b/>
          <w:bCs/>
          <w:kern w:val="0"/>
          <w:sz w:val="32"/>
          <w:szCs w:val="32"/>
        </w:rPr>
        <w:t>项目概况及技术参数</w:t>
      </w:r>
    </w:p>
    <w:tbl>
      <w:tblPr>
        <w:tblStyle w:val="34"/>
        <w:tblW w:w="9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1312"/>
        <w:gridCol w:w="825"/>
        <w:gridCol w:w="863"/>
        <w:gridCol w:w="5812"/>
      </w:tblGrid>
      <w:tr w14:paraId="5030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2420">
            <w:pPr>
              <w:keepNext w:val="0"/>
              <w:keepLines w:val="0"/>
              <w:widowControl/>
              <w:suppressLineNumbers w:val="0"/>
              <w:jc w:val="center"/>
              <w:textAlignment w:val="center"/>
              <w:rPr>
                <w:rFonts w:ascii="华文仿宋" w:hAnsi="华文仿宋" w:eastAsia="华文仿宋" w:cs="华文仿宋"/>
                <w:b/>
                <w:bCs/>
                <w:i w:val="0"/>
                <w:iCs w:val="0"/>
                <w:color w:val="000000"/>
                <w:sz w:val="24"/>
                <w:szCs w:val="24"/>
                <w:u w:val="none"/>
              </w:rPr>
            </w:pPr>
            <w:r>
              <w:rPr>
                <w:rFonts w:hint="default" w:ascii="华文仿宋" w:hAnsi="华文仿宋" w:eastAsia="华文仿宋" w:cs="华文仿宋"/>
                <w:b/>
                <w:bCs/>
                <w:i w:val="0"/>
                <w:iCs w:val="0"/>
                <w:color w:val="000000"/>
                <w:kern w:val="0"/>
                <w:sz w:val="24"/>
                <w:szCs w:val="24"/>
                <w:u w:val="none"/>
                <w:lang w:val="en-US" w:eastAsia="zh-CN" w:bidi="ar"/>
              </w:rPr>
              <w:t>序号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0BC5">
            <w:pPr>
              <w:keepNext w:val="0"/>
              <w:keepLines w:val="0"/>
              <w:widowControl/>
              <w:suppressLineNumbers w:val="0"/>
              <w:jc w:val="center"/>
              <w:textAlignment w:val="center"/>
              <w:rPr>
                <w:rFonts w:hint="default" w:ascii="华文仿宋" w:hAnsi="华文仿宋" w:eastAsia="华文仿宋" w:cs="华文仿宋"/>
                <w:b/>
                <w:bCs/>
                <w:i w:val="0"/>
                <w:iCs w:val="0"/>
                <w:color w:val="000000"/>
                <w:sz w:val="24"/>
                <w:szCs w:val="24"/>
                <w:u w:val="none"/>
              </w:rPr>
            </w:pPr>
            <w:r>
              <w:rPr>
                <w:rFonts w:hint="default" w:ascii="华文仿宋" w:hAnsi="华文仿宋" w:eastAsia="华文仿宋" w:cs="华文仿宋"/>
                <w:b/>
                <w:bCs/>
                <w:i w:val="0"/>
                <w:iCs w:val="0"/>
                <w:color w:val="000000"/>
                <w:kern w:val="0"/>
                <w:sz w:val="24"/>
                <w:szCs w:val="24"/>
                <w:u w:val="none"/>
                <w:lang w:val="en-US" w:eastAsia="zh-CN" w:bidi="ar"/>
              </w:rPr>
              <w:t>设备名称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5347">
            <w:pPr>
              <w:keepNext w:val="0"/>
              <w:keepLines w:val="0"/>
              <w:widowControl/>
              <w:suppressLineNumbers w:val="0"/>
              <w:jc w:val="center"/>
              <w:textAlignment w:val="center"/>
              <w:rPr>
                <w:rFonts w:hint="default" w:ascii="华文仿宋" w:hAnsi="华文仿宋" w:eastAsia="华文仿宋" w:cs="华文仿宋"/>
                <w:b/>
                <w:bCs/>
                <w:i w:val="0"/>
                <w:iCs w:val="0"/>
                <w:color w:val="000000"/>
                <w:sz w:val="24"/>
                <w:szCs w:val="24"/>
                <w:u w:val="none"/>
              </w:rPr>
            </w:pPr>
            <w:r>
              <w:rPr>
                <w:rFonts w:hint="default" w:ascii="华文仿宋" w:hAnsi="华文仿宋" w:eastAsia="华文仿宋" w:cs="华文仿宋"/>
                <w:b/>
                <w:bCs/>
                <w:i w:val="0"/>
                <w:iCs w:val="0"/>
                <w:color w:val="000000"/>
                <w:kern w:val="0"/>
                <w:sz w:val="24"/>
                <w:szCs w:val="24"/>
                <w:u w:val="none"/>
                <w:lang w:val="en-US" w:eastAsia="zh-CN" w:bidi="ar"/>
              </w:rPr>
              <w:t>数量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C4C4">
            <w:pPr>
              <w:keepNext w:val="0"/>
              <w:keepLines w:val="0"/>
              <w:widowControl/>
              <w:suppressLineNumbers w:val="0"/>
              <w:jc w:val="center"/>
              <w:textAlignment w:val="center"/>
              <w:rPr>
                <w:rFonts w:hint="default" w:ascii="华文仿宋" w:hAnsi="华文仿宋" w:eastAsia="华文仿宋" w:cs="华文仿宋"/>
                <w:b/>
                <w:bCs/>
                <w:i w:val="0"/>
                <w:iCs w:val="0"/>
                <w:color w:val="000000"/>
                <w:sz w:val="24"/>
                <w:szCs w:val="24"/>
                <w:u w:val="none"/>
              </w:rPr>
            </w:pPr>
            <w:r>
              <w:rPr>
                <w:rFonts w:hint="default" w:ascii="华文仿宋" w:hAnsi="华文仿宋" w:eastAsia="华文仿宋" w:cs="华文仿宋"/>
                <w:b/>
                <w:bCs/>
                <w:i w:val="0"/>
                <w:iCs w:val="0"/>
                <w:color w:val="000000"/>
                <w:kern w:val="0"/>
                <w:sz w:val="24"/>
                <w:szCs w:val="24"/>
                <w:u w:val="none"/>
                <w:lang w:val="en-US" w:eastAsia="zh-CN" w:bidi="ar"/>
              </w:rPr>
              <w:t>单位</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7D49">
            <w:pPr>
              <w:keepNext w:val="0"/>
              <w:keepLines w:val="0"/>
              <w:widowControl/>
              <w:suppressLineNumbers w:val="0"/>
              <w:jc w:val="center"/>
              <w:textAlignment w:val="center"/>
              <w:rPr>
                <w:rFonts w:hint="default" w:ascii="华文仿宋" w:hAnsi="华文仿宋" w:eastAsia="华文仿宋" w:cs="华文仿宋"/>
                <w:b/>
                <w:bCs/>
                <w:i w:val="0"/>
                <w:iCs w:val="0"/>
                <w:color w:val="000000"/>
                <w:sz w:val="24"/>
                <w:szCs w:val="24"/>
                <w:u w:val="none"/>
              </w:rPr>
            </w:pPr>
            <w:r>
              <w:rPr>
                <w:rFonts w:hint="default" w:ascii="华文仿宋" w:hAnsi="华文仿宋" w:eastAsia="华文仿宋" w:cs="华文仿宋"/>
                <w:b/>
                <w:bCs/>
                <w:i w:val="0"/>
                <w:iCs w:val="0"/>
                <w:color w:val="000000"/>
                <w:kern w:val="0"/>
                <w:sz w:val="24"/>
                <w:szCs w:val="24"/>
                <w:u w:val="none"/>
                <w:lang w:val="en-US" w:eastAsia="zh-CN" w:bidi="ar"/>
              </w:rPr>
              <w:t>技术参数/规格型号</w:t>
            </w:r>
          </w:p>
        </w:tc>
      </w:tr>
      <w:tr w14:paraId="521D6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9574">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3A96">
            <w:pPr>
              <w:keepNext w:val="0"/>
              <w:keepLines w:val="0"/>
              <w:widowControl/>
              <w:suppressLineNumbers w:val="0"/>
              <w:jc w:val="center"/>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教室改造</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103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96</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A03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A205">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 xml:space="preserve">材质：陶瓷防静电地板，规格：不小于600*600*30mm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系统电阻（Ω）：SJ/T 10796-2001 导静电型：&lt;1.0×10</w:t>
            </w:r>
            <w:r>
              <w:rPr>
                <w:rFonts w:hint="default" w:ascii="Times New Roman" w:hAnsi="Times New Roman" w:eastAsia="楷体" w:cs="Times New Roman"/>
                <w:i w:val="0"/>
                <w:iCs w:val="0"/>
                <w:color w:val="000000"/>
                <w:kern w:val="0"/>
                <w:sz w:val="28"/>
                <w:szCs w:val="28"/>
                <w:u w:val="none"/>
                <w:lang w:val="en-US" w:eastAsia="zh-CN" w:bidi="ar"/>
              </w:rPr>
              <w:t>⁶</w:t>
            </w:r>
            <w:r>
              <w:rPr>
                <w:rFonts w:hint="eastAsia" w:ascii="楷体" w:hAnsi="楷体" w:eastAsia="楷体" w:cs="楷体"/>
                <w:i w:val="0"/>
                <w:iCs w:val="0"/>
                <w:color w:val="000000"/>
                <w:kern w:val="0"/>
                <w:sz w:val="28"/>
                <w:szCs w:val="28"/>
                <w:u w:val="none"/>
                <w:lang w:val="en-US" w:eastAsia="zh-CN" w:bidi="ar"/>
              </w:rPr>
              <w:t xml:space="preserve"> Ω  静电耗散型：1.0×10</w:t>
            </w:r>
            <w:r>
              <w:rPr>
                <w:rFonts w:hint="default" w:ascii="Times New Roman" w:hAnsi="Times New Roman" w:eastAsia="楷体" w:cs="Times New Roman"/>
                <w:i w:val="0"/>
                <w:iCs w:val="0"/>
                <w:color w:val="000000"/>
                <w:kern w:val="0"/>
                <w:sz w:val="28"/>
                <w:szCs w:val="28"/>
                <w:u w:val="none"/>
                <w:lang w:val="en-US" w:eastAsia="zh-CN" w:bidi="ar"/>
              </w:rPr>
              <w:t>⁶</w:t>
            </w:r>
            <w:r>
              <w:rPr>
                <w:rFonts w:hint="eastAsia" w:ascii="楷体" w:hAnsi="楷体" w:eastAsia="楷体" w:cs="楷体"/>
                <w:i w:val="0"/>
                <w:iCs w:val="0"/>
                <w:color w:val="000000"/>
                <w:kern w:val="0"/>
                <w:sz w:val="28"/>
                <w:szCs w:val="28"/>
                <w:u w:val="none"/>
                <w:lang w:val="en-US" w:eastAsia="zh-CN" w:bidi="ar"/>
              </w:rPr>
              <w:t>Ω~1.0×10</w:t>
            </w:r>
            <w:r>
              <w:rPr>
                <w:rFonts w:hint="eastAsia" w:ascii="宋体" w:hAnsi="宋体" w:eastAsia="宋体" w:cs="宋体"/>
                <w:i w:val="0"/>
                <w:iCs w:val="0"/>
                <w:color w:val="000000"/>
                <w:kern w:val="0"/>
                <w:sz w:val="28"/>
                <w:szCs w:val="28"/>
                <w:u w:val="none"/>
                <w:lang w:val="en-US" w:eastAsia="zh-CN" w:bidi="ar"/>
              </w:rPr>
              <w:t>¹</w:t>
            </w:r>
            <w:r>
              <w:rPr>
                <w:rFonts w:hint="eastAsia" w:ascii="楷体" w:hAnsi="楷体" w:eastAsia="楷体" w:cs="楷体"/>
                <w:i w:val="0"/>
                <w:iCs w:val="0"/>
                <w:color w:val="000000"/>
                <w:kern w:val="0"/>
                <w:sz w:val="28"/>
                <w:szCs w:val="28"/>
                <w:u w:val="none"/>
                <w:lang w:val="en-US" w:eastAsia="zh-CN" w:bidi="ar"/>
              </w:rPr>
              <w:t>Ω 测试电压：100V</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集中荷载（mm）：SJ/T 10796-2001 集中荷载：N</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CQ=1960 Q=2950  B=4450  Z=5560</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挠度：≤2mm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永久变形： ≤0.25mm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均布荷载（mm）：SJ/T 10796-2001 均布荷载：N/m</w:t>
            </w:r>
            <w:r>
              <w:rPr>
                <w:rFonts w:hint="eastAsia" w:ascii="宋体" w:hAnsi="宋体" w:eastAsia="宋体" w:cs="宋体"/>
                <w:i w:val="0"/>
                <w:iCs w:val="0"/>
                <w:color w:val="000000"/>
                <w:kern w:val="0"/>
                <w:sz w:val="28"/>
                <w:szCs w:val="28"/>
                <w:u w:val="none"/>
                <w:lang w:val="en-US" w:eastAsia="zh-CN" w:bidi="ar"/>
              </w:rPr>
              <w:t>²</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CQ=9720 Q=12500 B=23000</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Z=33000</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挠度：≤2mm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极限集中荷载（N）：SJ/T 10796-2001  CQ≥5880N     Q≥8850N B≥13350N    Z≥16680N</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尺寸公差（mm）：SJ/T 10796-2001</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①边长公差：0</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-0.40mm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②板厚公差：±0.30mm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③表面平面度：≤0.60mm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④邻边垂直度：≤0.30mm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符合防静电活动地板通用规范SJ/T 10796-2001</w:t>
            </w:r>
          </w:p>
        </w:tc>
      </w:tr>
      <w:tr w14:paraId="5680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AA44">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E2F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教师实验机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779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4AE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台</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611F">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1.机箱:机箱≥17L，支持全高全长扩展卡</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2.处理器:配置1颗国产C86架构CPU，每颗CPU物理核心数≥8核，每颗CPU主频≥3.0GHz，所有核心智能频率可提升至≥3.3GHz，三级缓存≥16MB，支持超线程技术；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3.内存:配置≥16GB DDR4 UDIMM内存，配置≥4个内存插槽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4.显卡: 集成显卡；</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5.声卡：集成5.1声道卡，提供前2后3音频接口；</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6.配件：USB抗菌防水键盘鼠标，有源音响；</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7.硬盘:≥512GB M.2接口NVME协议SSD，最高可支持≥2块M.2 SSD，支持机械硬盘扩展；</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8.电源:电源功率≥300W；电源通过80PLUS认证，支持500W金牌电源；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9.网络:1个RJ45 10/100/1000自适应以太网口，标配1个内置M.2 WiFi接口；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10.接口扩展 :1个PCIe x16，1个PCIe x4，1个PCIe x1扩展槽；USB接口不少于9个（其中前置USB3.0 Type A数量≥4个，前置TYPE C数量≥1个，后置USB3.0接口≥2个，USB2.0接口≥2个；），串口1个；音频接口：麦克风1个，耳机1个；后端3个Audio音频接口；</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11.应用：内嵌本地大模型、个人智能体、个人知识库，提供设备管理、文档创作、知识问答、AI PPT一键生成等全场景AI生态体验。</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12.易用性:免工具拆卸机箱、带顶置提手，便于维护。</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13.操作系统：预装正版国产操作系统。</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14.数据安全:支持基于BIOS级的一键备份和恢复的功能（非操作系统自带功能），提供软件著作权证书；</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15.质控水平:MTBF≥1000000小时；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16.显示器 显示器：配置≥23.8寸LED显示器，与主机同品牌，分辨率≥1920*1080，刷新频率≥75Hz，对比度≥3000:1，视频接口VGA+HDMI；</w:t>
            </w:r>
          </w:p>
        </w:tc>
      </w:tr>
      <w:tr w14:paraId="42E19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2A40">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F8A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学生试验机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03A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54</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8BD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8245">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1.机箱:机箱≥13L，支持侧板挂环锁、Kensington锁和主板报警蜂鸣器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2.处理器:配置1颗国产C86架构CPU，每颗CPU物理核心数≥8核，每颗CPU主频≥3.0GHz，所有核心智能频率可提升至≥3.3GHz，三级缓存≥16MB，支持超线程技术；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3.内存:配置≥8GB DDR4 UDIMM内存，配置≥4个内存插槽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4.显卡: 集成显卡，</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5.声卡：集成5.1声道卡，提供前2后3音频接口；</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6.配件：USB抗菌防水键盘鼠标，教育耳麦；</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7.硬盘:≥512GB M.2接口NVME协议SSD，最高可支持≥1块M.2 SSD，支持机械硬盘扩展；</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8.电源:电源功率≥260W；电源通过80PLUS认证，支持500W金牌电源；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9.网络:1个RJ45 10/100/1000自适应以太网口，标配1个内置M.2 WiFi接口；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10.接口扩展 :1个PCIe x16，1个PCIe x4，1个PCIe x1扩展槽；USB接口不少于8个（其中前置USB3.0 数量≥4个，后置USB3.0接口≥4个；），串口1个；音频接口：麦克风1个，耳机1个；后端3个Audio音频接口；</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11.易用性:免工具拆卸机箱，顶置提手。</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12.操作系统：预装正版国产操作系统。</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13.数据安全:支持基于BIOS级的一键备份和恢复的功能（非操作系统自带功能），提供软件著作权证书；</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14.质控水平:MTBF≥1000000小时；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15.显示器：显示器 显示器：配置≥21.5寸LED显示器，与主机同品牌，分辨率≥1920*1080；</w:t>
            </w:r>
          </w:p>
        </w:tc>
      </w:tr>
      <w:tr w14:paraId="4452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46B0">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007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平台管理软件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06C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D40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72C6">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1、软件采用B/S架构，基于WEB的全中文图形化管理界面，支持跨网段、跨路由管理。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2、支持中央服务器管理模式，且可以在主流国产操作系统（UOS、kylin等）上运行部署；</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3、一台服务器可以同时管理多种架构的终端（ARM、AMD、X86、LongArch），支持主流国产操作系统（UOS、kylin）以及windows系列的下发部署。</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4、支持镜像集中管理，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5、同一个镜像可以在同类型架构的终端被使用，允许硬件差异的设备上运行。</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6、支持同一个镜像模板被不同的虚拟磁盘使用；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7、支持镜像模板的导入和导出功能；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8、支持同时在多个样机上对系统进行上传和更新的维护操作；</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9、支持多个教室同时管理，分组数量无上限，每个教室可最多管理254台终端；</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10、支持多个终端同时使用一个系统模板，且多个分组也可以同时使用一个虚拟磁盘；</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11、便于用户管理，对一个教室进行批量使用桌面模板；在同一个分组下独立对某个终端进行单独的模板关联</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12、支持每个分组的策略化管理，且每个桌面支持单独设置对应的管理策略</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13、软件支持对分组中的所有终端统一设置还原策略，也可以单独对某台终端进行还原策略的设置；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14、用户可通过浏览器，在任意客户端通过账号和密码访问服务器，对机房的镜像、磁盘、分组进行远程管理和维护；</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15、支持分级管理，多个管理员进行多任务管理操作，管理员可根据需求设置不同的权限；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16、为方便用户自管理，支持终端创建本地快照，终端本地可以自建本地快照。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17、支持多个不同的系统同时部署在同一个终端上，且每个系统可独立操作，互不影响，也可任意添加和删除某个系统，满足各种不同的教学环境；</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18、终端部署多系统时，无需逐个进入对应的系统进行部署，使得系统交付更方便、灵活，真正实现无人值守、智能交付；</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19、支持跨网络部署和管理，包括局域网、校园网、互联网等网络架构上使用；服务器支持端口映射、DMZ方式访问。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20、软件支持P2P部署，有效分解服务器的负载以及加快部署效率；</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21、支持断点续传功能，未部署完成的终端，重新开机会主动发现并自动部署终端的剩余数据或桌面需要更新数据；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22、服务端提供DHCP服务，也支持第三方DHCP服务。</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23、支持预占位功能，为故障终端预留机器名、IP地址等信息</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24、为保证用户个性化需求，提供数据盘划分及管理功能，由服务端统一分配数据盘空间，管理员可对批量、单独对终端的数据盘进行数据清除;</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25、为直观显示服务器当前资源状态，首页展现包括不限于CPU、内存、硬盘使用率；</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26、为方便用户管理，提供日志查看与导出功能；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27、服务端预置一键恢复增强版，支持在镜像上传后进行全盘备份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28、本次配置1套授权包含终端56个点，并配置方案授权服务器，处理器：8核处理器，主频2.7GHz，内存：配置16GB DDR4 SODIMM内存，配置≥2个内存插槽，硬盘：≥256GB M.2接口NVME协议SSD,最高可支持1块2.5寸HDD，接口：≥6个 USB3.0、≥1个USB3.0 type-C、≥1个DP接口 、≥1个HDMI、≥1个千兆RJ45，网络：1个RJ45 10/100/1000自适应以太网口。电源：电源功率≤90W，机箱：机箱≤1L，支持免工具拆卸、可立可卧，可隐藏部署。</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29、为确保国产化云教室系统的适配兼容性以及维护管理的便捷性，要求服务器、终端、所有软件均为国内品牌且为同一品牌；</w:t>
            </w:r>
          </w:p>
        </w:tc>
      </w:tr>
      <w:tr w14:paraId="0067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EEA4">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392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教学软件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8B2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51F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5EF9">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1、全面适配国产操作系统（kylin、UOS、Loongnix）</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2、具备班级管理功能，可以建立班级模型并保存</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3、具备桌面监视功能，教师端可远程监视学生端屏幕</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4、支持远程命令，执行应用操作</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5、具备黑屏肃静功能，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6、具备文件共享功能；可支持上传、下载、 音视频等功能。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7、广播教学：可以将教师机的屏幕广播给学生机,老师麦克风声音也可以同步被广播到学生机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8、学生演示：将计算机屏幕广播给其他学生机做演示；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9、学生举手：可以通过计算机点击举手；</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10、消息互动：可以通过发送远程消息，请求帮助。</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11、抢答竞赛：教师可以在教学过程中发起抢答竞赛及时检验课堂教学成果。</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12、截屏测验：截取教师机电脑屏幕内容做为考题分发到学生端，</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13、弹幕互动：提供教师开关弹幕功能，开启状态下，弹幕内容可在教学大屏上滚动显示。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14、抽答：随机抽选一名学生进行答题，并根据其表现进行评分奖惩。</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15、网络影院：支持常见的媒体音视频格式，包括MPG、,MPEG,、M2V、MPV、MP3、VCD、VOB、MOV、AVI、RM、RMVB、ASF、WMV、MP4等</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16、课件点播：对教学音视频资源进行管理，可以实现音视频资源的点播收看，方便自主学习，可添加多种格式文件包括音视频文件；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17、文件分发：可以将文件分发给学生端计算机，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18、作业提交：学生把做好的作业直接提交到教师机，方便教师批改作业要收取的麻烦。</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19、不需通过其它硬件设备，教师端对网络摄像机进行设置预置位、可左右上下转动和变焦控制，同时也可以点击跟踪摄像机方向转动，方便快捷地调度摄像机。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20、支持无线投屏功能，不接受如投屏器需人工切换网络的投屏方式，教师端可以直接将老师手机摄像头投屏到学生端，通过阿、老师授权，也可以将学员手机，平板等终端设备屏幕无线投屏到教师机屏幕，方便老师和学员移动对比教学。</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21、软件可以直接调用USB高拍仪镜头，自动免对焦，无需人为调焦，画面可以无级旋转或按90度旋转，能进行动态实物展示，具有视频展示、图像缩放、旋转画面共享到学生机屏幕。</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22、系统支持不少于三种加密方式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23、为适应不同的网络状况，至少需要两种传输模式可供用户可自行选择</w:t>
            </w:r>
          </w:p>
        </w:tc>
      </w:tr>
      <w:tr w14:paraId="0AA3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C7F2">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383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交换机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A15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F7B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台</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B66D">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尺寸：440*165*44mm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固定端口：24个10/100/1000M自适应电口,4个SFP千兆光口</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交换容量：336Gbps</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包转发率：78Mpps</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MAC地址：支持静态MAC地址、支持MAC地址过滤</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链路聚合：支持</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POE：不支持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工作温度：0℃~50℃</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工作湿度:5%~90%RH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存储湿度:-40℃~70℃</w:t>
            </w:r>
          </w:p>
        </w:tc>
      </w:tr>
      <w:tr w14:paraId="02D9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2FEC">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C65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教师桌椅</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92D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E28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394C">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结构规格：约1200*600*750mm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台面：采用25mm厚E1级三聚氰胺板,  满足室内装饰材料人造板及其制品中的甲醛释放量标准要求；1.5mm厚PVC本色封边,易清洁、耐磨、耐烟酌、抗污染，经久耐用，造型美观等特点，二节轨带底架一次成型塑料键盘托；一侧带三层抽屉，另侧为主机位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椅子尺寸：背高约83cm,底座约40*40cm。环保海绵；深灰布麻面。钢架2.0优质U型梅花管，国标1.2壁厚，内置橡胶套，环保无异味，电镀流水线工艺。</w:t>
            </w:r>
          </w:p>
        </w:tc>
      </w:tr>
      <w:tr w14:paraId="5F685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79D6">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742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学生桌椅</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CFB8">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54</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1BE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5B11">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结构规格：约800*600*750mm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台面：采用25mm厚E1级三聚氰胺板,  满足室内装饰材料人造板及其制品中的甲醛释放量标准要求；1.5mm厚PVC本色封边,易清洁、耐磨、耐烟酌、抗污染，经久耐用，造型美观等特点，台面上带有穿线盒。</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台身：立腿框架采用约40*40*1.0mm厚方管，立腿下封板采用0.6mm厚冷轧钢板，桌后背板钢制带通气孔，高度不小于400mm。上封板采用18mm厚三聚氰胺板带穿线孔。主机、电源线，网线隐藏式设计。</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学生凳</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1、规格尺寸≥340mm*240mm；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2、凳面采用2.5cm厚E1级别三聚氰胺板材，优质PVC圆角封边，硬度高，不易磨花，具有防火性能，经过防虫，防腐等化学处理，甲醛释放量符合国家标准；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3、凳腿采用25*25mm方管，壁管厚度不低于1.0mm，外表为全环保喷塑工艺，环保无味，耐用，桌脚底部使用专用ABS防滑垫，防止凳子滑动；</w:t>
            </w:r>
          </w:p>
        </w:tc>
      </w:tr>
      <w:tr w14:paraId="5CBE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90A3">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2BE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网络墙柜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62C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A1E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EB0A">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1、标准6U机柜，规格：530W*400D*310H；ANST/EIA R-310-D，IEC297-2，DIN41491,PART7标准，兼容ETS1标准。带锁玻璃前门、无侧门、后挡板可拆卸；墙柜底部有2个直径50mm进线孔；墙柜内设有配电源、风机、层板；可放置标准19英寸网络设备；颜色：电脑灰。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2、材质：材料采用优质冷轧钢板；厚度：方孔条1.2mm，其他1.0mm；表面防护处理：所有都经过脱脂、酸洗、防锈磷化、纯水清洗、静电喷塑；墙柜均采用焊接式设计机柜表面采用静电喷漆处理</w:t>
            </w:r>
          </w:p>
        </w:tc>
      </w:tr>
      <w:tr w14:paraId="38DD4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AF96">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10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B8BB">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稳压电源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AC8A">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C9DE">
            <w:pPr>
              <w:jc w:val="center"/>
              <w:rPr>
                <w:rFonts w:hint="eastAsia" w:ascii="楷体" w:hAnsi="楷体" w:eastAsia="楷体" w:cs="楷体"/>
                <w:i w:val="0"/>
                <w:iCs w:val="0"/>
                <w:color w:val="000000"/>
                <w:sz w:val="28"/>
                <w:szCs w:val="28"/>
                <w:u w:val="none"/>
              </w:rPr>
            </w:pP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F474">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尺寸：不小于520mm*285mm*320mm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输入电压:160V~250V</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输出电压:220V土4%</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频率:50/60HZ</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调整时间:≤6s[当输入电压变化20V时]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冷却方式:风扇</w:t>
            </w:r>
          </w:p>
        </w:tc>
      </w:tr>
      <w:tr w14:paraId="360FD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6417">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11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009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灭火器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927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32F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个</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765D">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不小于3公斤</w:t>
            </w:r>
          </w:p>
        </w:tc>
      </w:tr>
      <w:tr w14:paraId="51556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4DB5">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12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D007">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辅材</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897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0A9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批</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FF80">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3*16+10国标铜质电缆线，定制控制箱，定制配电柜，不低于六类的国标网线；国标电源线；线管；线槽；桥架等</w:t>
            </w:r>
          </w:p>
        </w:tc>
      </w:tr>
      <w:tr w14:paraId="47B3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B717">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13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965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智慧体育体质健康智能管理平台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C70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425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F603">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1、支持学生、教师、学校、年级、班级信息的录入及维护，包括学生、教师照片信息；</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2、支持体育锻炼，包括的作业管理、锻炼记录、数据报表等，多端数据汇聚，支撑跨数据来源统计分析；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3、支持体育教学，包括随堂测、随堂练等功能，多场景满足教学需求。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4、体育教学模块提供丰富的运动百科资源，并支持校本资源的上传及管理。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5、体育教学模块中，可提供按运动项目的班级整体水平分析报告。报告包含总人数、总合格率、测试记录排行榜、班级平均分和各运动技巧的测试人员等级分布，和共性问题分析，协助老师完成精准教学。</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体育测试，包括自主测试、组织测试、中考模考等功能；测试项目可自由配置、测试评分标准支持自定义管理、测试范围可通过学校/年级/班级/导入名单方式确定测试范围，提供学生成绩分数查询、统计与测试报告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7、支持组织测试的计划创建、时间设置、标准设置、项目设置、分数折算规则设置；测试计划支持下发至测试终端、支持终端的测试结果自动上传。</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体育赛事，支持赛事创建、自动下发、参赛数据查看等功能，通过移动端、智慧屏多端参与，组织成本低，丰富学校体育教学校外场景，达到“以赛促练”；平台可汇总各设备参数数据，进行赛事成绩分析与可视化呈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9、支持国家体质健康监测标准测试。支持体测成绩管理，历史成绩分析报告等。支持按照国家上报要求输出测试数据；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10、支持按区域/学校维度的差异化中考体育测试标准配置；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11、体育评价，学校-年级-班级-学生多维度评估学校日常锻炼与体测情况，帮助学校全面分析每学年体育现状。</w:t>
            </w:r>
          </w:p>
        </w:tc>
      </w:tr>
      <w:tr w14:paraId="20EF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468E">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14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6D9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青少年体育锻炼App软件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03C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14D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E00D">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1、移动端应用支持独立微信小程序、IOS APP、安卓APP三种运行环境；IOS APP可通过官方应用商城进行安装，安卓APP的安装可通过主流应用下载安装；</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2、提供体育作业、自主锻炼、赛事活动、体育百科、个人中心应用；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3、支持智慧大屏、SaaS平台、智慧操场多端用户统一认证；</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4、支持家长用户与学生用户（多个）通过关联绑定，实现在应用中快速完成用户切换，切换后即可使用对应用户的应用功能；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5、家长用户可通过绑定账号方式进行学生用户使用监控</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6、体育作业功能包括：支持从SaaS平台获取学生体育作业信息；作业信息展示功能（可查看历史作业）；完成作业功能（运动完成后语音引导自动进入下一作业运动）；个人作业数据统计功能。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7、作业支持单日作业、每日循环作业、按周循环作业三种作业模式，作业内容可包括作业前热身环节、作业环节、作业后放松环节；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8、作业支持40+体育运动自由组合，作业中运动完成方式支持定时完成、定量完成、定时定量完成三种完成方式，相同运动可支持多次重复；</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9、自主锻炼功能包括：自由锻炼、趣味运动，包括力量、速度、敏捷、耐力、协调、柔韧6类运动分类，锻炼可自由设置运动时长、运动目标（数量），锻炼排行榜快速跳转。自主锻炼运动项目不低于40项。</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10、赛事活动支持线上赛和闯关赛两种模式的赛事参与，支持从SaaS平台获取赛事信息，闯关赛支持自定义多种赛事内容、赛事环节参与条件控制；提供项目排行榜、个人赛事积分排行榜、学校赛事积分团队排行榜等多种实时赛事排行榜。</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11、赛事排行榜数据包含通过智慧大屏参与的赛事数据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12、体育百科支持SaaS统一配置百科分类、内容，提供百科查询功能。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13、个人中心提供个人信息维护、个人运行统计、个人运动报告、个人锻炼记录、运动排行榜、个人运动荣誉、账号管理等功能。锻炼记录包含校内锻炼和校外锻炼记录查询；运动报告支持按周、月统计分析个人运动指标及运动环比趋势分析；排行榜包括总榜和运动项目榜；运动荣誉包括个人运动积分、个人运动等级、运动勋章；账号管理包括新增、注销、关联关系管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14、个人中心-运动报告数据和个人中心-锻炼记录数据均包含智慧大屏运动数据；</w:t>
            </w:r>
          </w:p>
        </w:tc>
      </w:tr>
      <w:tr w14:paraId="7F5D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A2B0">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15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994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智慧移动站（通用版）</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C0B3">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174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BF61">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【硬件参数】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1.一体化设计，测试设备自带内置摄像机和AI算力，不依赖于其他边缘计算设备或外接摄像头即可工作，重量不超过1kg；</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2.交互屏幕≥11.5英寸，分辨率不低于2880*1800，平板电池容量不低于8600mAh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3.测试设备可根据实际测试点位快速移动与快速部署，不受供电与网络限制。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4.测试设备支持在没有外部供电与联网情况下独立完成测试工作，在具备网络条件下完成数据回传，确保测试的稳定可靠。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【功能参数】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1.支持校内随测、组织测试、数据管理模块。</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2.测试支持人脸识别、手动添加、扫码（扩展）、ID卡（扩展）四种身份识别方式；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基于AI机器视觉技术，实现无感自动采集用户的运动过程数据和动作指标。支持通过单套或多套设备组合立定跳远、AI跳绳、仰卧起坐、引体向上、斜身引体、实心球、50米等项目。以上项目测试精度符合GB/T19851.12-2005《学生体质健康测试器材》标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4.支持测试规则配置、违规播报、违规语音提示、违规计数；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5.支持实时显示违规计数、不同音效提示违规动作，支持项目的测试规则、违规播报、违规提示、违规计数等参数控制；</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6.提供架设引导页和陀螺仪等辅助功能；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7.支持测试过程全流程语音引导，测量结果自动播报；</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8.设备支持自动识别和截取当次测试相关视频，并支持基于学生信息搜索与查看。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立定跳远：</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9.立定跳远项目支持无跳远垫自动识别测试区域，自动识别时间不超过5秒。</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10.支持起跳踩线、脚后退、手部触地、臀部触地违规判定；</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11.测试完成后，自动生成测试报告。测试报告支持测试全程视频回放，标准动作、动作指标、动作评价和技巧改进意见。动作指标至少包括以下部分：预摆阶段指标：前摆幅度，后摆幅度；起跳阶段指标：起跳姿势，起跳角，起跳展体角度等；腾空阶段指标：收腿时间，空中摆臂幅度，腿部折叠角度等；落地阶段指标：收腿程度，落地膝角。提供运动轨迹图，包括垂直速度、水平速度、腾空时间、腾空高度等指标。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引体向上：</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13.支持上杆时身体未保持静止、未直臂悬垂、下颌未过杆、间隔时间超过10秒违规判定；</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14.测试完成后，自动生成测试报告。测试报告支持测试全程视频回放，标准动作、动作指标、动作评价和技巧改进意见。动作指标至少包括：速度曲线、动作间隔时间、握距、肘关节位置、肩胛骨激活（下旋+内收）、左右侧力量平衡、动作行程等。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斜身引体：</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15.支持下颌未过杠、斜身未达到45度、动作之间间隔超过10秒等违规判定。</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仰卧起坐：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16.支持双手未抱头、屈膝大于90°、垫臀违规判定。</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17.测试完成后，自动生成测试报告。测试报告支持测试全程视频回放，标准动作、动作指标、动作评价和技巧改进意见。动作指标至少包括：速度曲线、平均速度、疲劳和失误、屈膝角度、躯干姿势、臀部位置、抱头姿势、结束姿势等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实心球：</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18.支持踩线、球出界、未双手投掷过头顶违规判定；</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19.实心球项目支持自动识别测试区域，自动识别时间不超过5秒。</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20.测试完成后，自动生成测试报告。测试报告支持测试全程视频回放，标准动作、动作指标、动作评价和技巧改进意见。动作指标至少包括：出手速度、出手角度、反弓角度、动作行程、肘关节角度、前后脚距离、膝关节角度等。</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21.含跳远垫2个，仰卧起坐垫2个，实心球5个。</w:t>
            </w:r>
          </w:p>
        </w:tc>
      </w:tr>
      <w:tr w14:paraId="6640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1516">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16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D21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I型体育仓</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9D10">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8F02">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9ED8">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【硬件参数】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1.固定安装，稳固耐用。屏幕尺寸≥65寸、分辨率1920×1080、多点电容触摸交互屏；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2.屏幕尺寸：65英寸；</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3.屏幕：3840×2160 4K超高清分辨率，10亿色彩显示，支持10点红外触摸，提供3mm防爆保护，防蓝光不伤眼；</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4.CPU：集成8核高性能CPU，主频不低于2.8GHZ，满足AI运动项目算力需求；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5.存储：8G运行内存，128G存储空间；</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6.相机：配备200W/30FPS高清摄像机，满足人脸识别、动作捕捉需求；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7.运行环境：可在-10℃~40℃环境正常运行，使用寿命不低于30000小时，适用于操场等室外场景；</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8.防护等级：IP55，最大涉水高度≥40cm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【功能参数】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1、所有运动项目基于AI机器视觉技术，实现无感自动采集用户的运动过程数据和动作指标;</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2、一机多用，提供锻炼、教学、测试、赛事模块;</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3.支持无感人脸识别和学生IC卡识别（扩展），身份数据自动匹配；</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4.人性化界面交互设计，运动智能语音引导，有效提升学生运动积极性；</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5.锻炼功能：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5.1提供自由锻炼、趣味运动、双人对战三种运动模式和锻炼排行榜，其中自由锻炼至少支持15种运动（下蹲、开合跳、前后跳、高抬腿、跳绳），趣味运动至少支持7种运动；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5.2提供运动智能计时计数，基于管理平台可实现按区域/学校/年级/运动项目等不同维度的锻炼排行榜；</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6.教学模块</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6.1支持跳绳、立定跳远、仰卧起坐、引体向上运动随堂测试，并支持根据学生测试成绩分级和技巧水平（以立定跳远为例：支持按照起跳、腾空、预摆、落地、体能分组）智能分组教学；</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6.2需要支持随堂教、随堂练、随堂测（测试需至少支持跳绳、立定跳远、仰卧起坐、引体向上）等授课功能模块，“随堂教”功能支持运动百科及校本资源的播放；</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6.3支持随堂教、随堂练、随堂测等授课功能，提供画笔、分组教学、课堂数据看板等教学工具；</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6.4分组教学工具支持根据学生测试成绩和技巧水平自动智能分组，包括但不限于立定跳远项目按照起跳、预摆、腾空、落地等维度进行智能分组；支持手动调整分组，可在分组时自动提示用户学生相关运动信息。支持运动百科及视频资源的播放进行辅助教学；</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7.测试功能：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7.1单机可同时支持跳绳、立定跳远、仰卧起坐、引体向上等多个中考及体质健康监测项目智能测试， 测试精度符合GB/T19851.12-2005《学生体质健康测试器材》标准；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7.2、测试完成后，自动生成测试报告。测试报告支持测试全程视频回放，标准动作视频、动作指标、动作评价和技巧改进意见。</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7.3支持获取来自各测试端的数据指标，生成项目报告。跳绳：支持平均速度、速度曲线指标，支持跳跃姿势、起跳高度、双脚距离、摆臂姿态、高低肩、重心移动指标及建议；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7.4支持获取来自各测试端的数据指标，生成项目报告。立定跳远：支持预摆阶段-前摆幅度、后摆幅度，起跳阶段-起跳姿势、起跳角，腾空阶段-收腿程度，落地阶段-落地膝角的指标查看及建议；支持生成本此测试的运动轨迹图；</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7.5支持获取来自各测试端的数据指标，生成项目报告。仰卧起坐：支持平均速度、速度曲线指标，支持屈膝角度、躯干姿势、臀部位置、抱头姿势的指标查看及建议；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7.6支持获取来自各测试端的数据指标，生成项目报告。引体向上：支持单次动作时间、动作行程、双手握距的指标查看及建议；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8.赛事功能：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8.1支持自动获取管理平台发布的运动赛事，提供参赛引导和运动引导功能，运动结果支持实时上传管理平台；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8.2支持赛事活动的参与，排行榜查询，支持赛事排行榜查看；</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9.支持5人/3人/2人同时运动（跳绳等），无感交互，随来随练。</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【仓体】</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1.仓体最大支持6个I型体育仓固定安装，最大可满足2个班同时上体育课；也可支持单机位仓体独立拆分按装；单机位仓体尺寸不小于1400*500*1900mm；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2.仓体整体防雷，防静电，防漏电保护设计。</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3.仓内落地防水、分离式强弱电配电箱设计，保护电子设备安全，方便检修。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4.隐藏式布线设计，防止老鼠啃咬和意外发生。仓底管线预埋、防积水设计，保护电子设备安全。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5.支持4G/5G/无线wifi、有线数据上传等多种形式的网络支持。</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6.支持手机控制仓内多种设备的远程、定时开关机操作。</w:t>
            </w:r>
          </w:p>
        </w:tc>
      </w:tr>
      <w:tr w14:paraId="6816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34F2">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FBA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智慧操场-短跑起点田径站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31B1">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9E45">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7B6D">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【硬件参数】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1、安装支架满足户外监控国家安全安装标准，防风抗震，稳固耐用；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2、不小于20寸多点电容触摸交互屏或不小于10寸的手持终端，分辨率不低于1920×1080；</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3、无故障运行时间7*24H，抗振动、抗冲击、抗干扰；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4、网口：需支持10 M/100 M自适应网口；</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5、摄像头类型：网络摄像机；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   分辨率：最高分辨率不低于400万像素；</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   防护等级：不低于IP67；</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   摄像头满足宽动态（120 dB）、大视场角，能够在100lux的暗光条件下不依靠补光手段正常使用。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6、支持基于终点套件进行独立的有线或4G/5G无线组网；</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7、配套起点互动屏，支持十点触摸，屏幕配置大于等于21.5寸多点电容触摸交互屏、分辨率不小于1920×1080；</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【功能参数】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1、终端自带算力，基于机器视觉和AI算法，支持50米、50米*8、100米跑测试；</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2.基于机器视觉和AI分析算法对抢跑违规进行识别，并语音播报违规人员、赛道、违规类型</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3、支持人脸识别、刷卡识别、手动录入两种身份识别方式，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4、提供校内随测、校内组织测试两种测试模式；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5、支持自动编排、手动编排两种赛道编排方式；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6、支持免检录、免编排快速测试；</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7、支持引导提示，起跑倒计时、发令等语音指令；</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8、智能实时输出体育运动成绩，提供手动修正测试成绩功能；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9、项目成绩误差±1.5%（s），测试精度符合GB/T19851.12-2005《学生体质健康测试器材》标准； </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10、起跑时支持实时发令或者延时发令，延时时长可以配置；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11、测试完成后支持测试结果自动语音播报，并提供手动播报功能；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12、跑步项目相关测试操作仅基于固定安装设备即可完成；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13、无须在测试跑道上放置任何测试设备，避免干扰考试。</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14、各起点设备支持自动更新获取体育平台最新运动会编排结果，选择对应小组后可进行小组人员、对应赛道号或对应号码信息播报，可多次重复播报，无需按人进行检录。</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15、运动会比赛结果数据自动上传体育平台，仅保留最新比赛结果为有效成绩。</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16、支持50*8项目基于机器视觉和AI分析算法的撞线检测，测试结果语音播报、智能实时输出体育运动成绩，自动推送成绩显示屏进行成绩公布；</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17、提供取消成绩、违规信息、成绩显示、信息显示、成绩修正、视频回放等功能；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18、提供取消测试资格、填写号码牌、召回重新测试等功能；</w:t>
            </w:r>
          </w:p>
        </w:tc>
      </w:tr>
      <w:tr w14:paraId="6335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0715">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18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DBC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智慧操场-长跑起点田径站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5A0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32D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4F47">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【硬件参数】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1、安装支架满足户外监控国家安全安装标准，防风抗震，稳固耐用；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2、屏幕配置21.5寸多点电容触摸交互屏、分辨率1920×1080；</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3、无故障运行时间7*24H，抗振动、抗冲击、抗干扰；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4、网口：需支持10 M/100 M自适应网口；</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5、摄像头类型：网络摄像机；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   分辨率：最高分辨率不低于400万像素；</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   防护等级：不低于IP67；</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 xml:space="preserve">   摄像头满足宽动态（120 dB）、大视场角；</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6、支持基于终点套件进行独立的有线或4G/5G无线组网；</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7、配套起点互动屏，支持十点触摸，屏幕配置大于等于21.5寸多点电容触摸交互屏、分辨率不小于1920×1080；</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【功能参数】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1、终端自带算力，基于机器视觉和AI算法，支持800/1000米跑测试和锻炼（需和终点套件配合使用）；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2.基于机器视觉和AI分析算法对抢跑违规进行识别，并语音播报违规人员、赛道、违规类型</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3、支持人脸识别、刷卡识别、手动录入三种身份识别方式；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4、提供校内随测、校内组织测试两种测试模式；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5、支持自动编排、手动编排两种赛道编排方式；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6、支持免检录、免编排快速测试，参测者穿上背心即可直接参与800米测试，最大支持人数不低于60人；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7、支持引导提示，起跑倒计时、发令等语音指令；</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8、智能实时输出体育运动成绩，提供手动修正测试成绩功能；自动推送成绩显示屏进行成绩公布；</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9、项目成绩误差±1.5%（s），测试精度符合GB/T19851.12-2005《学生体质健康测试器材》标准；；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10、起跑时支持实时发令或者延时发令，延时时长可以配置；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11、测试完成后支持测试结果自动语音播报，并提供手动播报功能；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12、跑步项目相关测试操作仅基于固定安装设备即可完成；</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13、违规智能识别：踩线、抢跑（可实时进行语音干预提醒）；</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14、800米、1000米项目可同时独立测试；</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15、提供取消成绩、违规信息、成绩显示、信息显示、成绩修正、视频回放等功能；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16、提供取消测试资格、填写号码牌、召回重新测试等功能；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17、各起点设备支持自动更新获取体育平台最新运动会编排结果，选择对应小组后可进行小组人员、对应赛道号或对应号码信息播报，可多次重复播报，无需按人进行检录。</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18、运动会比赛结果数据自动上传体育平台，仅保留最新比赛结果为有效成绩。</w:t>
            </w:r>
          </w:p>
        </w:tc>
      </w:tr>
      <w:tr w14:paraId="69C16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C03E">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19</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F13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智慧操场-跑步终点田径站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14B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477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E864">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【硬件参数】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1.固定式金属立杆安装，稳固耐用。配置21.5寸、分辨率1920×1080、多点电容触摸交互屏；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2.提供4G/5G无线组网能力，实时监控接入设备状态、摄像机状态；</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3.需配套起点互动屏，支持十点触摸，屏幕配置大于等于21.5寸多点电容触摸交互屏、分辨率不小于1920×1080；</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4.摄像头满足宽动态、大视场角、400w星光级，支持人体识别。跑步时间精度的误差控制在0.1s内，能够在100lux的暗光条件下不依靠补光手段正常使用。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【功能参数】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1.集成AI算力，支持短跑、中长跑项目终点功能；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2.支持50米、100米等短跑固定赛道和1000米、800米等不固定赛道成绩计算；</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3.基于机器视觉和AI分析算法对冲线违规进行识别，并语音播报违规人员、赛道、违规类型；</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4.支持语音播报引导提示、语音发令；</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5.提供取消成绩、违规信息、成绩显示、信息显示、成绩补录、视频回放等功能；</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6.测试结果语音播报、智能实时输出体育运动成绩，自动推送成绩显示屏进行成绩公布；</w:t>
            </w:r>
          </w:p>
        </w:tc>
      </w:tr>
      <w:tr w14:paraId="3986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622C">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20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2896">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智慧操场-阳光跑套件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8FAD">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5B09">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6F46">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【硬件参数】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1.安装支架满足户外监控国家安全安装标准，防风抗震，稳固耐用。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2.支持4k分辨率，最高800万像素，再次分辨率下支持30fps实时图像，支持透雾，电子防抖</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3.支持最低彩色照度0.002 Lux，黑白照度0.0002 Lux</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4.支持2.7~13.5mm数码变焦，水平视场角：104°~41.2°，垂直视场角：54.2°~23.1°，对角视场角：126.5°-47.3°</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5.采用隐藏式灯珠设计，内含4颗灯珠，支持鳞镜补光，防补光过曝，手动支持根据距离等级控制补光灯亮度</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6.工作温度-30 °C~60 °C，湿度小于95%（无凝结）</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7.支持POE供电，IP67级防护</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8.支持基于终点套件进行独立的有线或4G/5G无线组网；</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9.无故障运行时间7*24H以上，抗振动、抗冲击、抗干扰；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【功能参数】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1.集成AI算力，支持基于机器视觉和AI算法，支持阳光跑锻炼。</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2.立杆式按照，独立供电供网，安装部署灵活。</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3.基于机器视觉和AI分析算法进行识别，进行人脸识别、跟踪、提取和比对。</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4.支持自由跑、班级跑、方阵跑多种跑步模式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5.单打卡点最大支持同时识别40人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6.支持跑步作弊检测，支持距离与时长补偿修正机制，支持无感自动结算成绩</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7.支持运动记录自动同步到交互终端进行查询</w:t>
            </w:r>
          </w:p>
        </w:tc>
      </w:tr>
      <w:tr w14:paraId="23262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83B1">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21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822F">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智慧操场阳光跑交互屏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6A5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367E">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套</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8A06">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1.固定安装。屏幕尺寸≥55寸、分辨率1920×1080、多点电容触摸交互屏；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2.支持10点红外触摸，178°超广水平/垂直可视角度，亮度最高可达2000cd/m</w:t>
            </w:r>
            <w:r>
              <w:rPr>
                <w:rFonts w:hint="eastAsia" w:ascii="宋体" w:hAnsi="宋体" w:eastAsia="宋体" w:cs="宋体"/>
                <w:i w:val="0"/>
                <w:iCs w:val="0"/>
                <w:color w:val="000000"/>
                <w:kern w:val="0"/>
                <w:sz w:val="28"/>
                <w:szCs w:val="28"/>
                <w:u w:val="none"/>
                <w:lang w:val="en-US" w:eastAsia="zh-CN" w:bidi="ar"/>
              </w:rPr>
              <w:t>²</w:t>
            </w:r>
            <w:r>
              <w:rPr>
                <w:rFonts w:hint="eastAsia" w:ascii="楷体" w:hAnsi="楷体" w:eastAsia="楷体" w:cs="楷体"/>
                <w:i w:val="0"/>
                <w:iCs w:val="0"/>
                <w:color w:val="000000"/>
                <w:kern w:val="0"/>
                <w:sz w:val="28"/>
                <w:szCs w:val="28"/>
                <w:u w:val="none"/>
                <w:lang w:val="en-US" w:eastAsia="zh-CN" w:bidi="ar"/>
              </w:rPr>
              <w:t>，提供4mm防爆保护，</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3.存储:8G运行内存,128G存储空间;</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4.视频采集：采用内置一体化摄像机设计，支持1920×1080@30fps 和 1920×1080@60fps，无需任何外置网络摄像机即可完成所有单人、双人和三人的AI锻炼和AI测试项目的视频采集；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5.声音：2 × 15W（8Ω）立体声防水喇叭，可根据校园不同环境音，调节音量大小</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6.运行环境:可在-30℃到55℃环境正常运行。可根据不同温度智能调节散热能力，智能感温系统，高温65℃自动关闭显示器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7.安全：漏保、防雷三级、涉水深度可达50cm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8.防护设计：防尘、防虫，防水，IP55</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9.一机多用，提供场所首页、阳光跑、运动会等多种应用场景切换，展示不同数据信息；</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10.支持学生、老师通过人脸识别、手动识别等方式发起自由跑，支持多人同时人脸识别，无需排队等待；</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11.支持老师身份识别发起班级热身跑，实时跑步计数；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12.支持发起方阵跑，按照整齐队形进行节奏跑步，自动统计班级出勤情况</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13.基于机器视觉和AI分析算法过杆进行识别，自动实时计算跑步里程、圈数、配速、时长；</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14.实时展示正在跑步的用户照片墙和即时运动数；</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15.支持汇总学校今日人数、累计跑步人次、今日里程、累计里程等统计数据</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16.支持展示人数变化趋势、打卡天数排行榜、个人里程排行榜、班级里程排行榜等多维度统计</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17.支持查询操场历史跑步数据，个人运动记录，汇总统计</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18.支持人脸数据维护管理，支持算力参数灵活配置，支持自动清理本地缓存数据，支持数据重传</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19.支持远程OTA</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20.须支持与校级智慧体育平台、大数据驾驶舱及移动端（含小程序/iOS APP/安卓APP）实现数据互联互通。</w:t>
            </w:r>
          </w:p>
        </w:tc>
      </w:tr>
      <w:tr w14:paraId="4BC99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5A09">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22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C43A">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辅材</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9CA0">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C522">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rPr>
            </w:pPr>
            <w:r>
              <w:rPr>
                <w:rFonts w:hint="default" w:ascii="华文仿宋" w:hAnsi="华文仿宋" w:eastAsia="华文仿宋" w:cs="华文仿宋"/>
                <w:i w:val="0"/>
                <w:iCs w:val="0"/>
                <w:color w:val="000000"/>
                <w:kern w:val="0"/>
                <w:sz w:val="28"/>
                <w:szCs w:val="28"/>
                <w:u w:val="none"/>
                <w:lang w:val="en-US" w:eastAsia="zh-CN" w:bidi="ar"/>
              </w:rPr>
              <w:t>批</w:t>
            </w:r>
          </w:p>
        </w:tc>
        <w:tc>
          <w:tcPr>
            <w:tcW w:w="5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1145">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预埋件、立杆、摄像头支架、开槽、四芯光纤线缆；光钎收发器；不低于六类的国标网线；水晶头；国标电源线；线管；线槽；电路等配件满足设备安装使用</w:t>
            </w:r>
          </w:p>
        </w:tc>
      </w:tr>
    </w:tbl>
    <w:p w14:paraId="01893F25">
      <w:pPr>
        <w:pStyle w:val="13"/>
        <w:rPr>
          <w:rFonts w:hint="eastAsia"/>
        </w:rPr>
      </w:pPr>
    </w:p>
    <w:p w14:paraId="70DF58C9">
      <w:pPr>
        <w:pStyle w:val="14"/>
        <w:ind w:left="0" w:leftChars="0" w:firstLine="0" w:firstLineChars="0"/>
        <w:rPr>
          <w:rFonts w:hint="eastAsia"/>
          <w:lang w:val="en-US" w:eastAsia="zh-CN"/>
        </w:rPr>
      </w:pPr>
    </w:p>
    <w:sectPr>
      <w:footerReference r:id="rId8" w:type="first"/>
      <w:footerReference r:id="rId7" w:type="default"/>
      <w:pgSz w:w="11906" w:h="16838"/>
      <w:pgMar w:top="1440" w:right="1077" w:bottom="1440" w:left="107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DE09">
    <w:pPr>
      <w:pStyle w:val="21"/>
      <w:rPr>
        <w:rFonts w:ascii="宋体" w:hAnsi="宋体"/>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E0A07">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9E0A07">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B25D">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1F45F">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51F45F">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68DAB">
    <w:pPr>
      <w:pStyle w:val="21"/>
      <w:rPr>
        <w:rFonts w:ascii="宋体" w:hAnsi="宋体"/>
        <w:b/>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1E377">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E1E377">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F35F2">
    <w:pPr>
      <w:pStyle w:val="21"/>
      <w:rPr>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574B0">
                          <w:pPr>
                            <w:pStyle w:val="2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E574B0">
                    <w:pPr>
                      <w:pStyle w:val="2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FECB">
    <w:pPr>
      <w:pStyle w:val="22"/>
      <w:pBdr>
        <w:bottom w:val="none" w:color="auto" w:sz="0" w:space="1"/>
      </w:pBdr>
      <w:jc w:val="both"/>
      <w:rPr>
        <w:rFonts w:ascii="楷体" w:hAnsi="楷体" w:eastAsia="楷体"/>
      </w:rPr>
    </w:pPr>
    <w:r>
      <w:rPr>
        <w:rFonts w:hint="eastAsia" w:ascii="楷体" w:hAnsi="楷体" w:eastAsia="楷体"/>
        <w:b/>
        <w:sz w:val="21"/>
        <w:szCs w:val="21"/>
      </w:rPr>
      <w:t xml:space="preserve">                                                                                </w:t>
    </w:r>
  </w:p>
  <w:p w14:paraId="3FA93E01">
    <w:pPr>
      <w:widowControl/>
      <w:adjustRightInd w:val="0"/>
      <w:snapToGrid w:val="0"/>
      <w:spacing w:line="360" w:lineRule="auto"/>
      <w:textAlignment w:val="baseline"/>
      <w:rPr>
        <w:rFonts w:ascii="楷体" w:hAnsi="楷体" w:eastAsia="楷体"/>
        <w:b/>
        <w:sz w:val="16"/>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85121">
    <w:pPr>
      <w:pStyle w:val="22"/>
      <w:pBdr>
        <w:bottom w:val="none" w:color="auto" w:sz="0" w:space="1"/>
      </w:pBdr>
    </w:pPr>
    <w:r>
      <w:rPr>
        <w:rFonts w:hint="eastAsia" w:ascii="楷体" w:hAnsi="楷体" w:eastAsia="楷体"/>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1">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5">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40CF13D4"/>
    <w:multiLevelType w:val="multilevel"/>
    <w:tmpl w:val="40CF13D4"/>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9">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561F52B1"/>
    <w:multiLevelType w:val="singleLevel"/>
    <w:tmpl w:val="561F52B1"/>
    <w:lvl w:ilvl="0" w:tentative="0">
      <w:start w:val="1"/>
      <w:numFmt w:val="decimal"/>
      <w:suff w:val="nothing"/>
      <w:lvlText w:val="%1"/>
      <w:lvlJc w:val="left"/>
      <w:pPr>
        <w:tabs>
          <w:tab w:val="left" w:pos="0"/>
        </w:tabs>
        <w:ind w:left="210" w:firstLine="0"/>
      </w:pPr>
      <w:rPr>
        <w:rFonts w:hint="default"/>
      </w:rPr>
    </w:lvl>
  </w:abstractNum>
  <w:abstractNum w:abstractNumId="11">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4">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5">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6">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7">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8">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9">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7"/>
  </w:num>
  <w:num w:numId="2">
    <w:abstractNumId w:val="10"/>
  </w:num>
  <w:num w:numId="3">
    <w:abstractNumId w:val="1"/>
  </w:num>
  <w:num w:numId="4">
    <w:abstractNumId w:val="4"/>
  </w:num>
  <w:num w:numId="5">
    <w:abstractNumId w:val="18"/>
  </w:num>
  <w:num w:numId="6">
    <w:abstractNumId w:val="3"/>
  </w:num>
  <w:num w:numId="7">
    <w:abstractNumId w:val="15"/>
  </w:num>
  <w:num w:numId="8">
    <w:abstractNumId w:val="5"/>
  </w:num>
  <w:num w:numId="9">
    <w:abstractNumId w:val="13"/>
  </w:num>
  <w:num w:numId="10">
    <w:abstractNumId w:val="16"/>
  </w:num>
  <w:num w:numId="11">
    <w:abstractNumId w:val="14"/>
  </w:num>
  <w:num w:numId="12">
    <w:abstractNumId w:val="17"/>
  </w:num>
  <w:num w:numId="13">
    <w:abstractNumId w:val="9"/>
  </w:num>
  <w:num w:numId="14">
    <w:abstractNumId w:val="6"/>
  </w:num>
  <w:num w:numId="15">
    <w:abstractNumId w:val="0"/>
  </w:num>
  <w:num w:numId="16">
    <w:abstractNumId w:val="12"/>
  </w:num>
  <w:num w:numId="17">
    <w:abstractNumId w:val="8"/>
  </w:num>
  <w:num w:numId="18">
    <w:abstractNumId w:val="2"/>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1MDZmZGU3NWQxZTNjMmIwOWY3MGI1NWFmMjUxOGYifQ=="/>
  </w:docVars>
  <w:rsids>
    <w:rsidRoot w:val="00B64A69"/>
    <w:rsid w:val="00002BF7"/>
    <w:rsid w:val="000038F3"/>
    <w:rsid w:val="0000523C"/>
    <w:rsid w:val="00005A48"/>
    <w:rsid w:val="000067C2"/>
    <w:rsid w:val="00006833"/>
    <w:rsid w:val="00010612"/>
    <w:rsid w:val="0001239E"/>
    <w:rsid w:val="00014941"/>
    <w:rsid w:val="000150EB"/>
    <w:rsid w:val="00015785"/>
    <w:rsid w:val="0001710E"/>
    <w:rsid w:val="0001758F"/>
    <w:rsid w:val="0002211A"/>
    <w:rsid w:val="00022EC9"/>
    <w:rsid w:val="00023E42"/>
    <w:rsid w:val="0002411A"/>
    <w:rsid w:val="000270B5"/>
    <w:rsid w:val="000273BF"/>
    <w:rsid w:val="0003102F"/>
    <w:rsid w:val="00034AC1"/>
    <w:rsid w:val="00044157"/>
    <w:rsid w:val="000446E2"/>
    <w:rsid w:val="000457A3"/>
    <w:rsid w:val="00046F57"/>
    <w:rsid w:val="00047F62"/>
    <w:rsid w:val="00051006"/>
    <w:rsid w:val="00051784"/>
    <w:rsid w:val="00053076"/>
    <w:rsid w:val="000532B7"/>
    <w:rsid w:val="00053663"/>
    <w:rsid w:val="00053D3B"/>
    <w:rsid w:val="0005473E"/>
    <w:rsid w:val="000558CC"/>
    <w:rsid w:val="00057DDD"/>
    <w:rsid w:val="00060656"/>
    <w:rsid w:val="00064C22"/>
    <w:rsid w:val="00070389"/>
    <w:rsid w:val="00071AFA"/>
    <w:rsid w:val="00071E6B"/>
    <w:rsid w:val="0007472D"/>
    <w:rsid w:val="00075EB8"/>
    <w:rsid w:val="0007617E"/>
    <w:rsid w:val="0007773A"/>
    <w:rsid w:val="000806B7"/>
    <w:rsid w:val="00081E42"/>
    <w:rsid w:val="00083F67"/>
    <w:rsid w:val="000846AA"/>
    <w:rsid w:val="0008494D"/>
    <w:rsid w:val="000872D0"/>
    <w:rsid w:val="00090332"/>
    <w:rsid w:val="00091938"/>
    <w:rsid w:val="00094715"/>
    <w:rsid w:val="00095A45"/>
    <w:rsid w:val="00095B69"/>
    <w:rsid w:val="00095F54"/>
    <w:rsid w:val="000A3E69"/>
    <w:rsid w:val="000A4266"/>
    <w:rsid w:val="000A4A29"/>
    <w:rsid w:val="000A5B2E"/>
    <w:rsid w:val="000A5D96"/>
    <w:rsid w:val="000A5E33"/>
    <w:rsid w:val="000A670C"/>
    <w:rsid w:val="000A79BC"/>
    <w:rsid w:val="000A7AA9"/>
    <w:rsid w:val="000B04C5"/>
    <w:rsid w:val="000B0C19"/>
    <w:rsid w:val="000B0F1F"/>
    <w:rsid w:val="000B1F19"/>
    <w:rsid w:val="000B46FC"/>
    <w:rsid w:val="000B6C24"/>
    <w:rsid w:val="000C18FF"/>
    <w:rsid w:val="000C2843"/>
    <w:rsid w:val="000C3CC9"/>
    <w:rsid w:val="000C4278"/>
    <w:rsid w:val="000C43F0"/>
    <w:rsid w:val="000C57AF"/>
    <w:rsid w:val="000C60A4"/>
    <w:rsid w:val="000C6505"/>
    <w:rsid w:val="000C6B3B"/>
    <w:rsid w:val="000D1FC0"/>
    <w:rsid w:val="000D3929"/>
    <w:rsid w:val="000D64A4"/>
    <w:rsid w:val="000D7068"/>
    <w:rsid w:val="000D7CD3"/>
    <w:rsid w:val="000E0567"/>
    <w:rsid w:val="000E09CB"/>
    <w:rsid w:val="000E0E00"/>
    <w:rsid w:val="000E346D"/>
    <w:rsid w:val="000E791D"/>
    <w:rsid w:val="000F03C2"/>
    <w:rsid w:val="000F095F"/>
    <w:rsid w:val="000F5C6D"/>
    <w:rsid w:val="00100215"/>
    <w:rsid w:val="001003FB"/>
    <w:rsid w:val="00101C28"/>
    <w:rsid w:val="001033A1"/>
    <w:rsid w:val="00103A39"/>
    <w:rsid w:val="001042F0"/>
    <w:rsid w:val="00104CCA"/>
    <w:rsid w:val="001100C2"/>
    <w:rsid w:val="00110842"/>
    <w:rsid w:val="00110AF9"/>
    <w:rsid w:val="0011125A"/>
    <w:rsid w:val="0011163B"/>
    <w:rsid w:val="00114C0A"/>
    <w:rsid w:val="00114D98"/>
    <w:rsid w:val="001164D8"/>
    <w:rsid w:val="00117E99"/>
    <w:rsid w:val="001209A9"/>
    <w:rsid w:val="00120EB7"/>
    <w:rsid w:val="00121135"/>
    <w:rsid w:val="00123F0F"/>
    <w:rsid w:val="00124055"/>
    <w:rsid w:val="001254F6"/>
    <w:rsid w:val="00125A2E"/>
    <w:rsid w:val="0012666C"/>
    <w:rsid w:val="001309C1"/>
    <w:rsid w:val="00130E28"/>
    <w:rsid w:val="00132691"/>
    <w:rsid w:val="00133612"/>
    <w:rsid w:val="001337D1"/>
    <w:rsid w:val="00134A4A"/>
    <w:rsid w:val="00135CE1"/>
    <w:rsid w:val="0013606C"/>
    <w:rsid w:val="00141D84"/>
    <w:rsid w:val="0014227A"/>
    <w:rsid w:val="0014346E"/>
    <w:rsid w:val="00144745"/>
    <w:rsid w:val="00150B55"/>
    <w:rsid w:val="00153051"/>
    <w:rsid w:val="001538F6"/>
    <w:rsid w:val="00153B72"/>
    <w:rsid w:val="00161442"/>
    <w:rsid w:val="00163370"/>
    <w:rsid w:val="00163BF1"/>
    <w:rsid w:val="00164B21"/>
    <w:rsid w:val="00165018"/>
    <w:rsid w:val="001655A7"/>
    <w:rsid w:val="001659BA"/>
    <w:rsid w:val="001673A5"/>
    <w:rsid w:val="00170482"/>
    <w:rsid w:val="00172D02"/>
    <w:rsid w:val="00174D3A"/>
    <w:rsid w:val="00174F7A"/>
    <w:rsid w:val="00175247"/>
    <w:rsid w:val="00176770"/>
    <w:rsid w:val="001801DD"/>
    <w:rsid w:val="00180A83"/>
    <w:rsid w:val="00181301"/>
    <w:rsid w:val="001829C0"/>
    <w:rsid w:val="00184ADA"/>
    <w:rsid w:val="00185FA7"/>
    <w:rsid w:val="00187489"/>
    <w:rsid w:val="00191300"/>
    <w:rsid w:val="00194DC7"/>
    <w:rsid w:val="00197375"/>
    <w:rsid w:val="001A1F4C"/>
    <w:rsid w:val="001A27B9"/>
    <w:rsid w:val="001A589B"/>
    <w:rsid w:val="001A5D19"/>
    <w:rsid w:val="001A6164"/>
    <w:rsid w:val="001A6395"/>
    <w:rsid w:val="001B258F"/>
    <w:rsid w:val="001B3A0B"/>
    <w:rsid w:val="001B5289"/>
    <w:rsid w:val="001B6AEF"/>
    <w:rsid w:val="001C1E19"/>
    <w:rsid w:val="001C3362"/>
    <w:rsid w:val="001C4112"/>
    <w:rsid w:val="001C5860"/>
    <w:rsid w:val="001C7E11"/>
    <w:rsid w:val="001D0BB0"/>
    <w:rsid w:val="001D2B64"/>
    <w:rsid w:val="001D704B"/>
    <w:rsid w:val="001E08C0"/>
    <w:rsid w:val="001E1452"/>
    <w:rsid w:val="001E1C73"/>
    <w:rsid w:val="001E62CF"/>
    <w:rsid w:val="001E78D7"/>
    <w:rsid w:val="001F15AA"/>
    <w:rsid w:val="001F165B"/>
    <w:rsid w:val="001F37EE"/>
    <w:rsid w:val="001F6CA1"/>
    <w:rsid w:val="002002AB"/>
    <w:rsid w:val="00202142"/>
    <w:rsid w:val="002027BC"/>
    <w:rsid w:val="002062BB"/>
    <w:rsid w:val="00206488"/>
    <w:rsid w:val="002069D8"/>
    <w:rsid w:val="00210596"/>
    <w:rsid w:val="00210EEA"/>
    <w:rsid w:val="0021138A"/>
    <w:rsid w:val="002118EC"/>
    <w:rsid w:val="00212E60"/>
    <w:rsid w:val="002136BF"/>
    <w:rsid w:val="00213F9D"/>
    <w:rsid w:val="00221B90"/>
    <w:rsid w:val="00224136"/>
    <w:rsid w:val="0022430C"/>
    <w:rsid w:val="002249FE"/>
    <w:rsid w:val="002307FD"/>
    <w:rsid w:val="0023168C"/>
    <w:rsid w:val="0023487E"/>
    <w:rsid w:val="00234B46"/>
    <w:rsid w:val="00234FAA"/>
    <w:rsid w:val="0023585A"/>
    <w:rsid w:val="00235CAF"/>
    <w:rsid w:val="00237D6B"/>
    <w:rsid w:val="00240485"/>
    <w:rsid w:val="002411CA"/>
    <w:rsid w:val="00242D84"/>
    <w:rsid w:val="002471F8"/>
    <w:rsid w:val="002475F8"/>
    <w:rsid w:val="00247938"/>
    <w:rsid w:val="00250300"/>
    <w:rsid w:val="00250E43"/>
    <w:rsid w:val="0025211E"/>
    <w:rsid w:val="002550B8"/>
    <w:rsid w:val="002554DC"/>
    <w:rsid w:val="002565A6"/>
    <w:rsid w:val="00256BE3"/>
    <w:rsid w:val="00260023"/>
    <w:rsid w:val="0026098D"/>
    <w:rsid w:val="002612E7"/>
    <w:rsid w:val="00262A92"/>
    <w:rsid w:val="00263995"/>
    <w:rsid w:val="00263C2D"/>
    <w:rsid w:val="00263CBE"/>
    <w:rsid w:val="00263CC7"/>
    <w:rsid w:val="00264625"/>
    <w:rsid w:val="00264E70"/>
    <w:rsid w:val="00265C78"/>
    <w:rsid w:val="00266513"/>
    <w:rsid w:val="00271723"/>
    <w:rsid w:val="0027217E"/>
    <w:rsid w:val="00273870"/>
    <w:rsid w:val="00273EF6"/>
    <w:rsid w:val="00280EEC"/>
    <w:rsid w:val="002812BE"/>
    <w:rsid w:val="00281F11"/>
    <w:rsid w:val="0028262A"/>
    <w:rsid w:val="002839E2"/>
    <w:rsid w:val="00284776"/>
    <w:rsid w:val="00285653"/>
    <w:rsid w:val="002863DA"/>
    <w:rsid w:val="002867B9"/>
    <w:rsid w:val="00287023"/>
    <w:rsid w:val="00287F14"/>
    <w:rsid w:val="00292A1E"/>
    <w:rsid w:val="0029318E"/>
    <w:rsid w:val="00293AFC"/>
    <w:rsid w:val="002948C0"/>
    <w:rsid w:val="00294A2B"/>
    <w:rsid w:val="002A252B"/>
    <w:rsid w:val="002B0774"/>
    <w:rsid w:val="002B0B5B"/>
    <w:rsid w:val="002B11BE"/>
    <w:rsid w:val="002B3C13"/>
    <w:rsid w:val="002B3D73"/>
    <w:rsid w:val="002B3D9A"/>
    <w:rsid w:val="002B40F9"/>
    <w:rsid w:val="002B5212"/>
    <w:rsid w:val="002B6CF5"/>
    <w:rsid w:val="002B7080"/>
    <w:rsid w:val="002C0A84"/>
    <w:rsid w:val="002C225A"/>
    <w:rsid w:val="002C59C7"/>
    <w:rsid w:val="002C6A48"/>
    <w:rsid w:val="002C6AFF"/>
    <w:rsid w:val="002C7F49"/>
    <w:rsid w:val="002D5143"/>
    <w:rsid w:val="002D56ED"/>
    <w:rsid w:val="002D7C5E"/>
    <w:rsid w:val="002E0050"/>
    <w:rsid w:val="002E120E"/>
    <w:rsid w:val="002E18F2"/>
    <w:rsid w:val="002E27F1"/>
    <w:rsid w:val="002E2E37"/>
    <w:rsid w:val="002E5C15"/>
    <w:rsid w:val="002E6972"/>
    <w:rsid w:val="002F1F0A"/>
    <w:rsid w:val="002F29A0"/>
    <w:rsid w:val="002F2BA1"/>
    <w:rsid w:val="002F3D64"/>
    <w:rsid w:val="002F45B9"/>
    <w:rsid w:val="002F4602"/>
    <w:rsid w:val="002F4AE4"/>
    <w:rsid w:val="002F611D"/>
    <w:rsid w:val="002F750C"/>
    <w:rsid w:val="002F7D44"/>
    <w:rsid w:val="00301408"/>
    <w:rsid w:val="00301577"/>
    <w:rsid w:val="003015BD"/>
    <w:rsid w:val="003028D3"/>
    <w:rsid w:val="00302F31"/>
    <w:rsid w:val="003035D3"/>
    <w:rsid w:val="003035EC"/>
    <w:rsid w:val="00305706"/>
    <w:rsid w:val="003103AB"/>
    <w:rsid w:val="003106A7"/>
    <w:rsid w:val="00310A22"/>
    <w:rsid w:val="00310E13"/>
    <w:rsid w:val="0031377B"/>
    <w:rsid w:val="00314AA7"/>
    <w:rsid w:val="00315066"/>
    <w:rsid w:val="003158A9"/>
    <w:rsid w:val="003163D0"/>
    <w:rsid w:val="0031651E"/>
    <w:rsid w:val="00317608"/>
    <w:rsid w:val="00321269"/>
    <w:rsid w:val="00321E99"/>
    <w:rsid w:val="003233E5"/>
    <w:rsid w:val="003244B0"/>
    <w:rsid w:val="003304B9"/>
    <w:rsid w:val="0033150D"/>
    <w:rsid w:val="00331ABE"/>
    <w:rsid w:val="00341D0D"/>
    <w:rsid w:val="003440F7"/>
    <w:rsid w:val="00344401"/>
    <w:rsid w:val="0034606E"/>
    <w:rsid w:val="00347405"/>
    <w:rsid w:val="0034743D"/>
    <w:rsid w:val="00347C5C"/>
    <w:rsid w:val="0035056F"/>
    <w:rsid w:val="00353663"/>
    <w:rsid w:val="00354055"/>
    <w:rsid w:val="003560BD"/>
    <w:rsid w:val="00356255"/>
    <w:rsid w:val="00357C79"/>
    <w:rsid w:val="00361505"/>
    <w:rsid w:val="00362A2D"/>
    <w:rsid w:val="00363694"/>
    <w:rsid w:val="00370C11"/>
    <w:rsid w:val="00373EBB"/>
    <w:rsid w:val="00374189"/>
    <w:rsid w:val="00375A67"/>
    <w:rsid w:val="00382732"/>
    <w:rsid w:val="00386E74"/>
    <w:rsid w:val="003871E6"/>
    <w:rsid w:val="00390084"/>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E68"/>
    <w:rsid w:val="003B45D2"/>
    <w:rsid w:val="003C0201"/>
    <w:rsid w:val="003C4D8F"/>
    <w:rsid w:val="003C644F"/>
    <w:rsid w:val="003C7A96"/>
    <w:rsid w:val="003D0248"/>
    <w:rsid w:val="003D0529"/>
    <w:rsid w:val="003D1776"/>
    <w:rsid w:val="003D1CBD"/>
    <w:rsid w:val="003D322B"/>
    <w:rsid w:val="003D4271"/>
    <w:rsid w:val="003D46EA"/>
    <w:rsid w:val="003D5817"/>
    <w:rsid w:val="003D6B4E"/>
    <w:rsid w:val="003D7DDD"/>
    <w:rsid w:val="003E0378"/>
    <w:rsid w:val="003E0BFB"/>
    <w:rsid w:val="003E1052"/>
    <w:rsid w:val="003E4F99"/>
    <w:rsid w:val="003E536F"/>
    <w:rsid w:val="003E625F"/>
    <w:rsid w:val="003E68AA"/>
    <w:rsid w:val="003E7FCD"/>
    <w:rsid w:val="003F1EDC"/>
    <w:rsid w:val="003F374E"/>
    <w:rsid w:val="003F6B9A"/>
    <w:rsid w:val="003F70BB"/>
    <w:rsid w:val="003F7545"/>
    <w:rsid w:val="003F78B4"/>
    <w:rsid w:val="003F794B"/>
    <w:rsid w:val="00400FFB"/>
    <w:rsid w:val="00402BE9"/>
    <w:rsid w:val="004060D8"/>
    <w:rsid w:val="00411025"/>
    <w:rsid w:val="00415A34"/>
    <w:rsid w:val="004165A2"/>
    <w:rsid w:val="00416D43"/>
    <w:rsid w:val="00417367"/>
    <w:rsid w:val="0041793E"/>
    <w:rsid w:val="00417C36"/>
    <w:rsid w:val="00420E67"/>
    <w:rsid w:val="004239FA"/>
    <w:rsid w:val="004245B7"/>
    <w:rsid w:val="00425183"/>
    <w:rsid w:val="00426906"/>
    <w:rsid w:val="004273F5"/>
    <w:rsid w:val="004318C5"/>
    <w:rsid w:val="00433A07"/>
    <w:rsid w:val="00436011"/>
    <w:rsid w:val="004429E4"/>
    <w:rsid w:val="004435F8"/>
    <w:rsid w:val="00443800"/>
    <w:rsid w:val="00443869"/>
    <w:rsid w:val="004443A4"/>
    <w:rsid w:val="00446641"/>
    <w:rsid w:val="00450E42"/>
    <w:rsid w:val="00451525"/>
    <w:rsid w:val="00451913"/>
    <w:rsid w:val="00451ED2"/>
    <w:rsid w:val="0045206A"/>
    <w:rsid w:val="00452B6F"/>
    <w:rsid w:val="00452FAD"/>
    <w:rsid w:val="004569F1"/>
    <w:rsid w:val="00457735"/>
    <w:rsid w:val="00461142"/>
    <w:rsid w:val="00461184"/>
    <w:rsid w:val="00461E9F"/>
    <w:rsid w:val="00462027"/>
    <w:rsid w:val="0046364C"/>
    <w:rsid w:val="00463BB6"/>
    <w:rsid w:val="00464C20"/>
    <w:rsid w:val="00466044"/>
    <w:rsid w:val="004704BB"/>
    <w:rsid w:val="00473DDA"/>
    <w:rsid w:val="004746F6"/>
    <w:rsid w:val="00475DE5"/>
    <w:rsid w:val="00475FE2"/>
    <w:rsid w:val="00476424"/>
    <w:rsid w:val="004766AB"/>
    <w:rsid w:val="004773FB"/>
    <w:rsid w:val="004777F0"/>
    <w:rsid w:val="004802FC"/>
    <w:rsid w:val="00480C84"/>
    <w:rsid w:val="00481C49"/>
    <w:rsid w:val="0048253D"/>
    <w:rsid w:val="00482CF8"/>
    <w:rsid w:val="00482F1A"/>
    <w:rsid w:val="004844D1"/>
    <w:rsid w:val="00490F61"/>
    <w:rsid w:val="004938FF"/>
    <w:rsid w:val="00494755"/>
    <w:rsid w:val="004955F0"/>
    <w:rsid w:val="0049591A"/>
    <w:rsid w:val="0049768E"/>
    <w:rsid w:val="004A1B0D"/>
    <w:rsid w:val="004A2070"/>
    <w:rsid w:val="004A2FAE"/>
    <w:rsid w:val="004A3ED2"/>
    <w:rsid w:val="004A4982"/>
    <w:rsid w:val="004A732D"/>
    <w:rsid w:val="004A7B50"/>
    <w:rsid w:val="004A7C28"/>
    <w:rsid w:val="004B244C"/>
    <w:rsid w:val="004B489F"/>
    <w:rsid w:val="004B5A65"/>
    <w:rsid w:val="004B6399"/>
    <w:rsid w:val="004C0CD5"/>
    <w:rsid w:val="004C1069"/>
    <w:rsid w:val="004C6759"/>
    <w:rsid w:val="004D249E"/>
    <w:rsid w:val="004D282F"/>
    <w:rsid w:val="004D2858"/>
    <w:rsid w:val="004D3CFB"/>
    <w:rsid w:val="004E0FA5"/>
    <w:rsid w:val="004E1822"/>
    <w:rsid w:val="004E26CF"/>
    <w:rsid w:val="004E6FBE"/>
    <w:rsid w:val="004F0575"/>
    <w:rsid w:val="004F193D"/>
    <w:rsid w:val="004F2EB9"/>
    <w:rsid w:val="004F305B"/>
    <w:rsid w:val="004F3B9C"/>
    <w:rsid w:val="004F4D1B"/>
    <w:rsid w:val="004F7309"/>
    <w:rsid w:val="004F7C4F"/>
    <w:rsid w:val="00500775"/>
    <w:rsid w:val="00500AC0"/>
    <w:rsid w:val="00504944"/>
    <w:rsid w:val="005053C9"/>
    <w:rsid w:val="00505B0A"/>
    <w:rsid w:val="00506FCA"/>
    <w:rsid w:val="00510EB0"/>
    <w:rsid w:val="00511A7C"/>
    <w:rsid w:val="00511E57"/>
    <w:rsid w:val="00511FD7"/>
    <w:rsid w:val="0051425A"/>
    <w:rsid w:val="005146F9"/>
    <w:rsid w:val="005151EB"/>
    <w:rsid w:val="0051535D"/>
    <w:rsid w:val="00515EE5"/>
    <w:rsid w:val="00515EF3"/>
    <w:rsid w:val="005166FC"/>
    <w:rsid w:val="00521E96"/>
    <w:rsid w:val="005234AC"/>
    <w:rsid w:val="005278AC"/>
    <w:rsid w:val="00527F7E"/>
    <w:rsid w:val="005315A3"/>
    <w:rsid w:val="00531A76"/>
    <w:rsid w:val="0053263F"/>
    <w:rsid w:val="005354DE"/>
    <w:rsid w:val="00535DA6"/>
    <w:rsid w:val="00536BD8"/>
    <w:rsid w:val="00541B49"/>
    <w:rsid w:val="005468E9"/>
    <w:rsid w:val="00546EDF"/>
    <w:rsid w:val="005476BB"/>
    <w:rsid w:val="0055015E"/>
    <w:rsid w:val="00552132"/>
    <w:rsid w:val="00552880"/>
    <w:rsid w:val="0055309F"/>
    <w:rsid w:val="005530FE"/>
    <w:rsid w:val="00553AC2"/>
    <w:rsid w:val="00553E6B"/>
    <w:rsid w:val="005553DD"/>
    <w:rsid w:val="00556754"/>
    <w:rsid w:val="00556F99"/>
    <w:rsid w:val="00561DC2"/>
    <w:rsid w:val="00562FD5"/>
    <w:rsid w:val="00563186"/>
    <w:rsid w:val="0056552C"/>
    <w:rsid w:val="00574777"/>
    <w:rsid w:val="00583185"/>
    <w:rsid w:val="00583C82"/>
    <w:rsid w:val="00584EFC"/>
    <w:rsid w:val="0058630A"/>
    <w:rsid w:val="005864CE"/>
    <w:rsid w:val="00592F25"/>
    <w:rsid w:val="0059310B"/>
    <w:rsid w:val="005936E2"/>
    <w:rsid w:val="005A075B"/>
    <w:rsid w:val="005A0E7D"/>
    <w:rsid w:val="005A196F"/>
    <w:rsid w:val="005A2653"/>
    <w:rsid w:val="005A3726"/>
    <w:rsid w:val="005A3934"/>
    <w:rsid w:val="005A4403"/>
    <w:rsid w:val="005A47D2"/>
    <w:rsid w:val="005A4B0F"/>
    <w:rsid w:val="005B11B1"/>
    <w:rsid w:val="005B2A68"/>
    <w:rsid w:val="005B2E8A"/>
    <w:rsid w:val="005B71FE"/>
    <w:rsid w:val="005C0030"/>
    <w:rsid w:val="005C1590"/>
    <w:rsid w:val="005C16B4"/>
    <w:rsid w:val="005C3128"/>
    <w:rsid w:val="005C3AFA"/>
    <w:rsid w:val="005C519E"/>
    <w:rsid w:val="005C77E3"/>
    <w:rsid w:val="005D0243"/>
    <w:rsid w:val="005D1809"/>
    <w:rsid w:val="005D2508"/>
    <w:rsid w:val="005D62D3"/>
    <w:rsid w:val="005D6984"/>
    <w:rsid w:val="005D7465"/>
    <w:rsid w:val="005D7FE4"/>
    <w:rsid w:val="005E10F4"/>
    <w:rsid w:val="005E6FAC"/>
    <w:rsid w:val="005E713D"/>
    <w:rsid w:val="005F449B"/>
    <w:rsid w:val="005F47F0"/>
    <w:rsid w:val="005F489F"/>
    <w:rsid w:val="005F51C8"/>
    <w:rsid w:val="005F54A6"/>
    <w:rsid w:val="005F5C48"/>
    <w:rsid w:val="005F7412"/>
    <w:rsid w:val="005F76F1"/>
    <w:rsid w:val="00600293"/>
    <w:rsid w:val="0060118C"/>
    <w:rsid w:val="00601782"/>
    <w:rsid w:val="00601B0F"/>
    <w:rsid w:val="00605754"/>
    <w:rsid w:val="00607D57"/>
    <w:rsid w:val="00615373"/>
    <w:rsid w:val="00617319"/>
    <w:rsid w:val="0061747E"/>
    <w:rsid w:val="00617B01"/>
    <w:rsid w:val="00617C82"/>
    <w:rsid w:val="00617E12"/>
    <w:rsid w:val="006212DE"/>
    <w:rsid w:val="006222CF"/>
    <w:rsid w:val="00623FB7"/>
    <w:rsid w:val="0062460E"/>
    <w:rsid w:val="00625C34"/>
    <w:rsid w:val="00627D6F"/>
    <w:rsid w:val="00627E81"/>
    <w:rsid w:val="00630504"/>
    <w:rsid w:val="00633C11"/>
    <w:rsid w:val="006341AF"/>
    <w:rsid w:val="006348D7"/>
    <w:rsid w:val="00640890"/>
    <w:rsid w:val="00640AEB"/>
    <w:rsid w:val="00640CB5"/>
    <w:rsid w:val="00641042"/>
    <w:rsid w:val="006412F8"/>
    <w:rsid w:val="00643FA8"/>
    <w:rsid w:val="00645286"/>
    <w:rsid w:val="00645415"/>
    <w:rsid w:val="00647FF2"/>
    <w:rsid w:val="006509E1"/>
    <w:rsid w:val="0065116F"/>
    <w:rsid w:val="0065148E"/>
    <w:rsid w:val="00651C89"/>
    <w:rsid w:val="0065351A"/>
    <w:rsid w:val="00654177"/>
    <w:rsid w:val="00654E30"/>
    <w:rsid w:val="006552D2"/>
    <w:rsid w:val="006553E6"/>
    <w:rsid w:val="00656667"/>
    <w:rsid w:val="006613FE"/>
    <w:rsid w:val="006629DD"/>
    <w:rsid w:val="00662A00"/>
    <w:rsid w:val="00665B15"/>
    <w:rsid w:val="00665CD3"/>
    <w:rsid w:val="0066628F"/>
    <w:rsid w:val="00667584"/>
    <w:rsid w:val="00670377"/>
    <w:rsid w:val="0067228E"/>
    <w:rsid w:val="006730A4"/>
    <w:rsid w:val="006730CA"/>
    <w:rsid w:val="006734DC"/>
    <w:rsid w:val="00677B8E"/>
    <w:rsid w:val="00680F53"/>
    <w:rsid w:val="006823C9"/>
    <w:rsid w:val="00682AAA"/>
    <w:rsid w:val="00683DB1"/>
    <w:rsid w:val="00684781"/>
    <w:rsid w:val="0068487D"/>
    <w:rsid w:val="006856F1"/>
    <w:rsid w:val="00685DC3"/>
    <w:rsid w:val="00690057"/>
    <w:rsid w:val="006911C8"/>
    <w:rsid w:val="006915A7"/>
    <w:rsid w:val="00691E36"/>
    <w:rsid w:val="006923A3"/>
    <w:rsid w:val="00692C09"/>
    <w:rsid w:val="0069396F"/>
    <w:rsid w:val="006939DB"/>
    <w:rsid w:val="00694FA6"/>
    <w:rsid w:val="00695987"/>
    <w:rsid w:val="006968BC"/>
    <w:rsid w:val="006977B3"/>
    <w:rsid w:val="006A13F2"/>
    <w:rsid w:val="006A4AEA"/>
    <w:rsid w:val="006A757E"/>
    <w:rsid w:val="006A7D4C"/>
    <w:rsid w:val="006B1E3B"/>
    <w:rsid w:val="006B489C"/>
    <w:rsid w:val="006B7A72"/>
    <w:rsid w:val="006C00C2"/>
    <w:rsid w:val="006C17EB"/>
    <w:rsid w:val="006C722E"/>
    <w:rsid w:val="006C76D2"/>
    <w:rsid w:val="006C7D4B"/>
    <w:rsid w:val="006D0531"/>
    <w:rsid w:val="006D08B1"/>
    <w:rsid w:val="006D23BD"/>
    <w:rsid w:val="006D2C3B"/>
    <w:rsid w:val="006D2F46"/>
    <w:rsid w:val="006D6A3A"/>
    <w:rsid w:val="006D6A9B"/>
    <w:rsid w:val="006D7AF3"/>
    <w:rsid w:val="006E17F0"/>
    <w:rsid w:val="006E2449"/>
    <w:rsid w:val="006E3235"/>
    <w:rsid w:val="006E3F95"/>
    <w:rsid w:val="006E46B1"/>
    <w:rsid w:val="006E4D3F"/>
    <w:rsid w:val="006E62FC"/>
    <w:rsid w:val="006E747E"/>
    <w:rsid w:val="006E78EB"/>
    <w:rsid w:val="006E7AD5"/>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147AC"/>
    <w:rsid w:val="007161D7"/>
    <w:rsid w:val="00721ED0"/>
    <w:rsid w:val="00722462"/>
    <w:rsid w:val="00725686"/>
    <w:rsid w:val="00725CB3"/>
    <w:rsid w:val="007344C1"/>
    <w:rsid w:val="007355A5"/>
    <w:rsid w:val="00736326"/>
    <w:rsid w:val="007364E9"/>
    <w:rsid w:val="00737626"/>
    <w:rsid w:val="007376A4"/>
    <w:rsid w:val="0074048C"/>
    <w:rsid w:val="0074198E"/>
    <w:rsid w:val="00741F64"/>
    <w:rsid w:val="00743A70"/>
    <w:rsid w:val="007444D7"/>
    <w:rsid w:val="00747B55"/>
    <w:rsid w:val="00747D95"/>
    <w:rsid w:val="007503A1"/>
    <w:rsid w:val="007511E0"/>
    <w:rsid w:val="0075218F"/>
    <w:rsid w:val="0075230D"/>
    <w:rsid w:val="0075345E"/>
    <w:rsid w:val="00754E2C"/>
    <w:rsid w:val="0075612C"/>
    <w:rsid w:val="0075640C"/>
    <w:rsid w:val="00757391"/>
    <w:rsid w:val="00757473"/>
    <w:rsid w:val="007574F7"/>
    <w:rsid w:val="00757975"/>
    <w:rsid w:val="007625B4"/>
    <w:rsid w:val="00763072"/>
    <w:rsid w:val="007636B2"/>
    <w:rsid w:val="00766562"/>
    <w:rsid w:val="00770111"/>
    <w:rsid w:val="007716E5"/>
    <w:rsid w:val="00775E29"/>
    <w:rsid w:val="0077662D"/>
    <w:rsid w:val="00777E33"/>
    <w:rsid w:val="00781110"/>
    <w:rsid w:val="00784E87"/>
    <w:rsid w:val="007857CA"/>
    <w:rsid w:val="00786E76"/>
    <w:rsid w:val="00790229"/>
    <w:rsid w:val="00790933"/>
    <w:rsid w:val="00793135"/>
    <w:rsid w:val="007965CC"/>
    <w:rsid w:val="00796C6D"/>
    <w:rsid w:val="0079732D"/>
    <w:rsid w:val="00797DEF"/>
    <w:rsid w:val="00797F6F"/>
    <w:rsid w:val="007A04A0"/>
    <w:rsid w:val="007A1690"/>
    <w:rsid w:val="007A1AE0"/>
    <w:rsid w:val="007A4F27"/>
    <w:rsid w:val="007A6A33"/>
    <w:rsid w:val="007B0EBE"/>
    <w:rsid w:val="007B1E2E"/>
    <w:rsid w:val="007B33D6"/>
    <w:rsid w:val="007B6126"/>
    <w:rsid w:val="007B663F"/>
    <w:rsid w:val="007B6E26"/>
    <w:rsid w:val="007B71CF"/>
    <w:rsid w:val="007B7DFC"/>
    <w:rsid w:val="007C08A8"/>
    <w:rsid w:val="007C1D0A"/>
    <w:rsid w:val="007C2716"/>
    <w:rsid w:val="007C2854"/>
    <w:rsid w:val="007C5D11"/>
    <w:rsid w:val="007C5EEB"/>
    <w:rsid w:val="007C6874"/>
    <w:rsid w:val="007D440C"/>
    <w:rsid w:val="007D452A"/>
    <w:rsid w:val="007D4AC6"/>
    <w:rsid w:val="007E14CA"/>
    <w:rsid w:val="007E1910"/>
    <w:rsid w:val="007E1990"/>
    <w:rsid w:val="007E378F"/>
    <w:rsid w:val="007E3A0B"/>
    <w:rsid w:val="007E3CEB"/>
    <w:rsid w:val="007E6A9F"/>
    <w:rsid w:val="007E6FBA"/>
    <w:rsid w:val="007E75C5"/>
    <w:rsid w:val="007F1082"/>
    <w:rsid w:val="007F39A1"/>
    <w:rsid w:val="007F5058"/>
    <w:rsid w:val="007F77E1"/>
    <w:rsid w:val="007F7A13"/>
    <w:rsid w:val="00802677"/>
    <w:rsid w:val="00802AB0"/>
    <w:rsid w:val="00806850"/>
    <w:rsid w:val="00814F4D"/>
    <w:rsid w:val="008152A0"/>
    <w:rsid w:val="0081697B"/>
    <w:rsid w:val="00817241"/>
    <w:rsid w:val="008251D4"/>
    <w:rsid w:val="00825455"/>
    <w:rsid w:val="00825D4C"/>
    <w:rsid w:val="00826813"/>
    <w:rsid w:val="00836013"/>
    <w:rsid w:val="00842137"/>
    <w:rsid w:val="0084233F"/>
    <w:rsid w:val="0084267A"/>
    <w:rsid w:val="008441EC"/>
    <w:rsid w:val="0084557F"/>
    <w:rsid w:val="0084590C"/>
    <w:rsid w:val="0084772E"/>
    <w:rsid w:val="00855832"/>
    <w:rsid w:val="00856A9B"/>
    <w:rsid w:val="00861847"/>
    <w:rsid w:val="00861D6D"/>
    <w:rsid w:val="0086215A"/>
    <w:rsid w:val="0086269C"/>
    <w:rsid w:val="00863D0C"/>
    <w:rsid w:val="0087022A"/>
    <w:rsid w:val="0087096E"/>
    <w:rsid w:val="0087111C"/>
    <w:rsid w:val="00871CDC"/>
    <w:rsid w:val="00872472"/>
    <w:rsid w:val="00873425"/>
    <w:rsid w:val="00877BF5"/>
    <w:rsid w:val="00882BF7"/>
    <w:rsid w:val="00882D04"/>
    <w:rsid w:val="00884917"/>
    <w:rsid w:val="0088681B"/>
    <w:rsid w:val="00887206"/>
    <w:rsid w:val="00887706"/>
    <w:rsid w:val="008878F6"/>
    <w:rsid w:val="0089181E"/>
    <w:rsid w:val="008958F5"/>
    <w:rsid w:val="008A02DB"/>
    <w:rsid w:val="008A2660"/>
    <w:rsid w:val="008A35BE"/>
    <w:rsid w:val="008A3E2F"/>
    <w:rsid w:val="008A46F7"/>
    <w:rsid w:val="008A560A"/>
    <w:rsid w:val="008A6B8E"/>
    <w:rsid w:val="008A7E5E"/>
    <w:rsid w:val="008B3C23"/>
    <w:rsid w:val="008B54D7"/>
    <w:rsid w:val="008B5E77"/>
    <w:rsid w:val="008B5E94"/>
    <w:rsid w:val="008C3631"/>
    <w:rsid w:val="008C4B00"/>
    <w:rsid w:val="008C748A"/>
    <w:rsid w:val="008D0DE3"/>
    <w:rsid w:val="008D267D"/>
    <w:rsid w:val="008D2A93"/>
    <w:rsid w:val="008D5F9D"/>
    <w:rsid w:val="008D72FE"/>
    <w:rsid w:val="008D7A9C"/>
    <w:rsid w:val="008E004E"/>
    <w:rsid w:val="008E4609"/>
    <w:rsid w:val="008E5310"/>
    <w:rsid w:val="008E5FAD"/>
    <w:rsid w:val="008E673D"/>
    <w:rsid w:val="008F1533"/>
    <w:rsid w:val="008F3DCD"/>
    <w:rsid w:val="008F51A5"/>
    <w:rsid w:val="008F6925"/>
    <w:rsid w:val="008F72EF"/>
    <w:rsid w:val="0090236C"/>
    <w:rsid w:val="009026AD"/>
    <w:rsid w:val="0090541D"/>
    <w:rsid w:val="009054B8"/>
    <w:rsid w:val="009101C1"/>
    <w:rsid w:val="00910B88"/>
    <w:rsid w:val="00911107"/>
    <w:rsid w:val="0091331B"/>
    <w:rsid w:val="00913443"/>
    <w:rsid w:val="00915FF3"/>
    <w:rsid w:val="00917D96"/>
    <w:rsid w:val="00920A97"/>
    <w:rsid w:val="00921BBA"/>
    <w:rsid w:val="00923BFF"/>
    <w:rsid w:val="009261BF"/>
    <w:rsid w:val="009268CF"/>
    <w:rsid w:val="009301E4"/>
    <w:rsid w:val="00930A61"/>
    <w:rsid w:val="00930D70"/>
    <w:rsid w:val="00934E60"/>
    <w:rsid w:val="0093621F"/>
    <w:rsid w:val="00940C26"/>
    <w:rsid w:val="0094161D"/>
    <w:rsid w:val="00942C2C"/>
    <w:rsid w:val="00943987"/>
    <w:rsid w:val="00950149"/>
    <w:rsid w:val="00951B84"/>
    <w:rsid w:val="00956908"/>
    <w:rsid w:val="0095717A"/>
    <w:rsid w:val="00960E06"/>
    <w:rsid w:val="00966D4C"/>
    <w:rsid w:val="009674BE"/>
    <w:rsid w:val="00970037"/>
    <w:rsid w:val="00973A76"/>
    <w:rsid w:val="00976557"/>
    <w:rsid w:val="0097741C"/>
    <w:rsid w:val="00977562"/>
    <w:rsid w:val="0097795F"/>
    <w:rsid w:val="009828B4"/>
    <w:rsid w:val="00982F4D"/>
    <w:rsid w:val="00985A6C"/>
    <w:rsid w:val="00985FB9"/>
    <w:rsid w:val="009873DE"/>
    <w:rsid w:val="009915BB"/>
    <w:rsid w:val="00993AF9"/>
    <w:rsid w:val="0099454B"/>
    <w:rsid w:val="00997DE3"/>
    <w:rsid w:val="009B0593"/>
    <w:rsid w:val="009B2F53"/>
    <w:rsid w:val="009B5C2D"/>
    <w:rsid w:val="009B6178"/>
    <w:rsid w:val="009B6658"/>
    <w:rsid w:val="009B6D0A"/>
    <w:rsid w:val="009B756E"/>
    <w:rsid w:val="009C03D7"/>
    <w:rsid w:val="009C25BA"/>
    <w:rsid w:val="009C3E03"/>
    <w:rsid w:val="009C40F6"/>
    <w:rsid w:val="009C48AA"/>
    <w:rsid w:val="009C4AFD"/>
    <w:rsid w:val="009D297C"/>
    <w:rsid w:val="009D2CDA"/>
    <w:rsid w:val="009D6249"/>
    <w:rsid w:val="009D6CAB"/>
    <w:rsid w:val="009D7643"/>
    <w:rsid w:val="009E3F8B"/>
    <w:rsid w:val="009E5347"/>
    <w:rsid w:val="009E6666"/>
    <w:rsid w:val="009E6B13"/>
    <w:rsid w:val="009E6C38"/>
    <w:rsid w:val="009E7ABE"/>
    <w:rsid w:val="009F0213"/>
    <w:rsid w:val="009F0DD2"/>
    <w:rsid w:val="009F14AA"/>
    <w:rsid w:val="009F29D6"/>
    <w:rsid w:val="009F4D27"/>
    <w:rsid w:val="009F61B2"/>
    <w:rsid w:val="00A00AE9"/>
    <w:rsid w:val="00A047DC"/>
    <w:rsid w:val="00A124DF"/>
    <w:rsid w:val="00A128E0"/>
    <w:rsid w:val="00A12AD7"/>
    <w:rsid w:val="00A13BC5"/>
    <w:rsid w:val="00A14D97"/>
    <w:rsid w:val="00A16C28"/>
    <w:rsid w:val="00A171B4"/>
    <w:rsid w:val="00A17C8F"/>
    <w:rsid w:val="00A20362"/>
    <w:rsid w:val="00A21327"/>
    <w:rsid w:val="00A21E8B"/>
    <w:rsid w:val="00A223C2"/>
    <w:rsid w:val="00A235B1"/>
    <w:rsid w:val="00A26A7D"/>
    <w:rsid w:val="00A27724"/>
    <w:rsid w:val="00A27EEB"/>
    <w:rsid w:val="00A34447"/>
    <w:rsid w:val="00A348F7"/>
    <w:rsid w:val="00A3544C"/>
    <w:rsid w:val="00A37371"/>
    <w:rsid w:val="00A40343"/>
    <w:rsid w:val="00A40760"/>
    <w:rsid w:val="00A415F3"/>
    <w:rsid w:val="00A416E7"/>
    <w:rsid w:val="00A4197A"/>
    <w:rsid w:val="00A435B7"/>
    <w:rsid w:val="00A44FCA"/>
    <w:rsid w:val="00A4547C"/>
    <w:rsid w:val="00A5192A"/>
    <w:rsid w:val="00A54024"/>
    <w:rsid w:val="00A5428B"/>
    <w:rsid w:val="00A5540B"/>
    <w:rsid w:val="00A60C9B"/>
    <w:rsid w:val="00A619FF"/>
    <w:rsid w:val="00A621C5"/>
    <w:rsid w:val="00A63CB1"/>
    <w:rsid w:val="00A64B39"/>
    <w:rsid w:val="00A65348"/>
    <w:rsid w:val="00A6568B"/>
    <w:rsid w:val="00A662CA"/>
    <w:rsid w:val="00A700C1"/>
    <w:rsid w:val="00A71155"/>
    <w:rsid w:val="00A71750"/>
    <w:rsid w:val="00A73684"/>
    <w:rsid w:val="00A773C2"/>
    <w:rsid w:val="00A81823"/>
    <w:rsid w:val="00A8257C"/>
    <w:rsid w:val="00A8710E"/>
    <w:rsid w:val="00A87FBA"/>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1ABB"/>
    <w:rsid w:val="00AA1C23"/>
    <w:rsid w:val="00AA4361"/>
    <w:rsid w:val="00AA4700"/>
    <w:rsid w:val="00AA4C43"/>
    <w:rsid w:val="00AA672B"/>
    <w:rsid w:val="00AB2871"/>
    <w:rsid w:val="00AB2A08"/>
    <w:rsid w:val="00AB2A35"/>
    <w:rsid w:val="00AB2BD5"/>
    <w:rsid w:val="00AB3145"/>
    <w:rsid w:val="00AB317D"/>
    <w:rsid w:val="00AB4A16"/>
    <w:rsid w:val="00AB51B3"/>
    <w:rsid w:val="00AB5DBA"/>
    <w:rsid w:val="00AB6A3E"/>
    <w:rsid w:val="00AB6D16"/>
    <w:rsid w:val="00AB720B"/>
    <w:rsid w:val="00AC1C92"/>
    <w:rsid w:val="00AC3302"/>
    <w:rsid w:val="00AC6E70"/>
    <w:rsid w:val="00AD20C4"/>
    <w:rsid w:val="00AD3FC7"/>
    <w:rsid w:val="00AD47C8"/>
    <w:rsid w:val="00AD6081"/>
    <w:rsid w:val="00AD72EB"/>
    <w:rsid w:val="00AE02A9"/>
    <w:rsid w:val="00AE0954"/>
    <w:rsid w:val="00AE130E"/>
    <w:rsid w:val="00AE161C"/>
    <w:rsid w:val="00AE51B0"/>
    <w:rsid w:val="00AE67E5"/>
    <w:rsid w:val="00AF22E0"/>
    <w:rsid w:val="00AF2438"/>
    <w:rsid w:val="00B02254"/>
    <w:rsid w:val="00B04E1D"/>
    <w:rsid w:val="00B0638F"/>
    <w:rsid w:val="00B10B98"/>
    <w:rsid w:val="00B13683"/>
    <w:rsid w:val="00B13CBF"/>
    <w:rsid w:val="00B2088A"/>
    <w:rsid w:val="00B2366B"/>
    <w:rsid w:val="00B2428A"/>
    <w:rsid w:val="00B2652E"/>
    <w:rsid w:val="00B274E3"/>
    <w:rsid w:val="00B34B22"/>
    <w:rsid w:val="00B3682F"/>
    <w:rsid w:val="00B408B8"/>
    <w:rsid w:val="00B438A2"/>
    <w:rsid w:val="00B469A4"/>
    <w:rsid w:val="00B53B19"/>
    <w:rsid w:val="00B53FB6"/>
    <w:rsid w:val="00B54AA4"/>
    <w:rsid w:val="00B56EAB"/>
    <w:rsid w:val="00B574B3"/>
    <w:rsid w:val="00B575A6"/>
    <w:rsid w:val="00B615F5"/>
    <w:rsid w:val="00B61E76"/>
    <w:rsid w:val="00B64A69"/>
    <w:rsid w:val="00B703C9"/>
    <w:rsid w:val="00B7155D"/>
    <w:rsid w:val="00B71C5F"/>
    <w:rsid w:val="00B80E7E"/>
    <w:rsid w:val="00B81EC6"/>
    <w:rsid w:val="00B83CEA"/>
    <w:rsid w:val="00B855A5"/>
    <w:rsid w:val="00B8715D"/>
    <w:rsid w:val="00B92AAF"/>
    <w:rsid w:val="00B92CE2"/>
    <w:rsid w:val="00B953CD"/>
    <w:rsid w:val="00B95544"/>
    <w:rsid w:val="00B96E1A"/>
    <w:rsid w:val="00B97D84"/>
    <w:rsid w:val="00BA02C4"/>
    <w:rsid w:val="00BA06DE"/>
    <w:rsid w:val="00BA2610"/>
    <w:rsid w:val="00BA2C35"/>
    <w:rsid w:val="00BA4E56"/>
    <w:rsid w:val="00BA5209"/>
    <w:rsid w:val="00BA7388"/>
    <w:rsid w:val="00BB29A0"/>
    <w:rsid w:val="00BB4F06"/>
    <w:rsid w:val="00BB564A"/>
    <w:rsid w:val="00BB6646"/>
    <w:rsid w:val="00BB7E4E"/>
    <w:rsid w:val="00BB7F5E"/>
    <w:rsid w:val="00BC21FF"/>
    <w:rsid w:val="00BC38C0"/>
    <w:rsid w:val="00BC412B"/>
    <w:rsid w:val="00BC429B"/>
    <w:rsid w:val="00BC5685"/>
    <w:rsid w:val="00BD107F"/>
    <w:rsid w:val="00BD2868"/>
    <w:rsid w:val="00BD3C3F"/>
    <w:rsid w:val="00BD4955"/>
    <w:rsid w:val="00BD56EE"/>
    <w:rsid w:val="00BE00AE"/>
    <w:rsid w:val="00BE0E79"/>
    <w:rsid w:val="00BE1010"/>
    <w:rsid w:val="00BF1160"/>
    <w:rsid w:val="00BF2453"/>
    <w:rsid w:val="00BF252F"/>
    <w:rsid w:val="00BF29BD"/>
    <w:rsid w:val="00BF360F"/>
    <w:rsid w:val="00BF3A9B"/>
    <w:rsid w:val="00BF41B3"/>
    <w:rsid w:val="00BF6684"/>
    <w:rsid w:val="00BF739E"/>
    <w:rsid w:val="00BF76F9"/>
    <w:rsid w:val="00BF7DC4"/>
    <w:rsid w:val="00BF7E77"/>
    <w:rsid w:val="00C00EB6"/>
    <w:rsid w:val="00C02CDD"/>
    <w:rsid w:val="00C035D4"/>
    <w:rsid w:val="00C04555"/>
    <w:rsid w:val="00C05D98"/>
    <w:rsid w:val="00C0668E"/>
    <w:rsid w:val="00C1140D"/>
    <w:rsid w:val="00C11C36"/>
    <w:rsid w:val="00C1234B"/>
    <w:rsid w:val="00C13FD0"/>
    <w:rsid w:val="00C1647E"/>
    <w:rsid w:val="00C16FED"/>
    <w:rsid w:val="00C17C0C"/>
    <w:rsid w:val="00C2056C"/>
    <w:rsid w:val="00C26D03"/>
    <w:rsid w:val="00C26EC5"/>
    <w:rsid w:val="00C30ADD"/>
    <w:rsid w:val="00C32130"/>
    <w:rsid w:val="00C3338E"/>
    <w:rsid w:val="00C40C0F"/>
    <w:rsid w:val="00C426E1"/>
    <w:rsid w:val="00C42A87"/>
    <w:rsid w:val="00C44494"/>
    <w:rsid w:val="00C45893"/>
    <w:rsid w:val="00C46213"/>
    <w:rsid w:val="00C507E6"/>
    <w:rsid w:val="00C52C62"/>
    <w:rsid w:val="00C53499"/>
    <w:rsid w:val="00C57BB8"/>
    <w:rsid w:val="00C60B36"/>
    <w:rsid w:val="00C63BB4"/>
    <w:rsid w:val="00C64D9E"/>
    <w:rsid w:val="00C659CE"/>
    <w:rsid w:val="00C66EFD"/>
    <w:rsid w:val="00C675A6"/>
    <w:rsid w:val="00C71456"/>
    <w:rsid w:val="00C71DCD"/>
    <w:rsid w:val="00C720A9"/>
    <w:rsid w:val="00C75470"/>
    <w:rsid w:val="00C75C88"/>
    <w:rsid w:val="00C76992"/>
    <w:rsid w:val="00C7769A"/>
    <w:rsid w:val="00C8015D"/>
    <w:rsid w:val="00C80213"/>
    <w:rsid w:val="00C80B98"/>
    <w:rsid w:val="00C81676"/>
    <w:rsid w:val="00C84C9A"/>
    <w:rsid w:val="00C854C8"/>
    <w:rsid w:val="00C864FA"/>
    <w:rsid w:val="00C8720D"/>
    <w:rsid w:val="00C87AA4"/>
    <w:rsid w:val="00C91AF0"/>
    <w:rsid w:val="00C9234F"/>
    <w:rsid w:val="00C92394"/>
    <w:rsid w:val="00C92C12"/>
    <w:rsid w:val="00C93443"/>
    <w:rsid w:val="00C94B4B"/>
    <w:rsid w:val="00CA4273"/>
    <w:rsid w:val="00CA5E08"/>
    <w:rsid w:val="00CA79B5"/>
    <w:rsid w:val="00CB082D"/>
    <w:rsid w:val="00CB2357"/>
    <w:rsid w:val="00CB434F"/>
    <w:rsid w:val="00CB49BC"/>
    <w:rsid w:val="00CB4A65"/>
    <w:rsid w:val="00CB747B"/>
    <w:rsid w:val="00CC00A9"/>
    <w:rsid w:val="00CC23F6"/>
    <w:rsid w:val="00CC24CC"/>
    <w:rsid w:val="00CC2CE4"/>
    <w:rsid w:val="00CC307B"/>
    <w:rsid w:val="00CC3F73"/>
    <w:rsid w:val="00CC5B22"/>
    <w:rsid w:val="00CC5B72"/>
    <w:rsid w:val="00CC6C0B"/>
    <w:rsid w:val="00CD0766"/>
    <w:rsid w:val="00CD2294"/>
    <w:rsid w:val="00CD3105"/>
    <w:rsid w:val="00CD4F9B"/>
    <w:rsid w:val="00CE274E"/>
    <w:rsid w:val="00CE410A"/>
    <w:rsid w:val="00CE5BC0"/>
    <w:rsid w:val="00CF181E"/>
    <w:rsid w:val="00CF2690"/>
    <w:rsid w:val="00D00C1C"/>
    <w:rsid w:val="00D019FE"/>
    <w:rsid w:val="00D01A2B"/>
    <w:rsid w:val="00D038BD"/>
    <w:rsid w:val="00D04FAA"/>
    <w:rsid w:val="00D052C7"/>
    <w:rsid w:val="00D05DDF"/>
    <w:rsid w:val="00D120C5"/>
    <w:rsid w:val="00D12AD0"/>
    <w:rsid w:val="00D136F8"/>
    <w:rsid w:val="00D21155"/>
    <w:rsid w:val="00D2152B"/>
    <w:rsid w:val="00D22568"/>
    <w:rsid w:val="00D24E43"/>
    <w:rsid w:val="00D24EFD"/>
    <w:rsid w:val="00D25E80"/>
    <w:rsid w:val="00D264DF"/>
    <w:rsid w:val="00D30074"/>
    <w:rsid w:val="00D34E96"/>
    <w:rsid w:val="00D352F6"/>
    <w:rsid w:val="00D35BB3"/>
    <w:rsid w:val="00D4019B"/>
    <w:rsid w:val="00D46659"/>
    <w:rsid w:val="00D469F5"/>
    <w:rsid w:val="00D47322"/>
    <w:rsid w:val="00D50E50"/>
    <w:rsid w:val="00D56943"/>
    <w:rsid w:val="00D640C3"/>
    <w:rsid w:val="00D6426D"/>
    <w:rsid w:val="00D648D1"/>
    <w:rsid w:val="00D66787"/>
    <w:rsid w:val="00D67014"/>
    <w:rsid w:val="00D716AA"/>
    <w:rsid w:val="00D71830"/>
    <w:rsid w:val="00D72D4B"/>
    <w:rsid w:val="00D766E2"/>
    <w:rsid w:val="00D80175"/>
    <w:rsid w:val="00D82045"/>
    <w:rsid w:val="00D8324F"/>
    <w:rsid w:val="00D8437A"/>
    <w:rsid w:val="00D87241"/>
    <w:rsid w:val="00D87345"/>
    <w:rsid w:val="00D91CF5"/>
    <w:rsid w:val="00D952AA"/>
    <w:rsid w:val="00D976CD"/>
    <w:rsid w:val="00D97C77"/>
    <w:rsid w:val="00DA65FD"/>
    <w:rsid w:val="00DA726B"/>
    <w:rsid w:val="00DB1B9F"/>
    <w:rsid w:val="00DB2057"/>
    <w:rsid w:val="00DB640C"/>
    <w:rsid w:val="00DB6C1F"/>
    <w:rsid w:val="00DC13ED"/>
    <w:rsid w:val="00DC2156"/>
    <w:rsid w:val="00DC2A7A"/>
    <w:rsid w:val="00DC7A94"/>
    <w:rsid w:val="00DD37B9"/>
    <w:rsid w:val="00DD3F6D"/>
    <w:rsid w:val="00DD40DE"/>
    <w:rsid w:val="00DD5BF5"/>
    <w:rsid w:val="00DD6979"/>
    <w:rsid w:val="00DE026E"/>
    <w:rsid w:val="00DE1C04"/>
    <w:rsid w:val="00DE2173"/>
    <w:rsid w:val="00DE3FB4"/>
    <w:rsid w:val="00DE5B86"/>
    <w:rsid w:val="00DE5DD3"/>
    <w:rsid w:val="00DF3B1E"/>
    <w:rsid w:val="00DF56B6"/>
    <w:rsid w:val="00DF57FE"/>
    <w:rsid w:val="00DF7194"/>
    <w:rsid w:val="00E001EA"/>
    <w:rsid w:val="00E02E1D"/>
    <w:rsid w:val="00E03C78"/>
    <w:rsid w:val="00E066B7"/>
    <w:rsid w:val="00E06791"/>
    <w:rsid w:val="00E10C55"/>
    <w:rsid w:val="00E137C3"/>
    <w:rsid w:val="00E13C8E"/>
    <w:rsid w:val="00E1650E"/>
    <w:rsid w:val="00E16611"/>
    <w:rsid w:val="00E205D8"/>
    <w:rsid w:val="00E22299"/>
    <w:rsid w:val="00E22AB6"/>
    <w:rsid w:val="00E3223C"/>
    <w:rsid w:val="00E32F66"/>
    <w:rsid w:val="00E3515E"/>
    <w:rsid w:val="00E4106A"/>
    <w:rsid w:val="00E428A4"/>
    <w:rsid w:val="00E42E05"/>
    <w:rsid w:val="00E42E3F"/>
    <w:rsid w:val="00E43626"/>
    <w:rsid w:val="00E43BDB"/>
    <w:rsid w:val="00E47254"/>
    <w:rsid w:val="00E50214"/>
    <w:rsid w:val="00E50999"/>
    <w:rsid w:val="00E51289"/>
    <w:rsid w:val="00E51566"/>
    <w:rsid w:val="00E51E31"/>
    <w:rsid w:val="00E523AA"/>
    <w:rsid w:val="00E523D3"/>
    <w:rsid w:val="00E5353D"/>
    <w:rsid w:val="00E54143"/>
    <w:rsid w:val="00E629B0"/>
    <w:rsid w:val="00E629C2"/>
    <w:rsid w:val="00E6339F"/>
    <w:rsid w:val="00E63B15"/>
    <w:rsid w:val="00E6407B"/>
    <w:rsid w:val="00E64F05"/>
    <w:rsid w:val="00E6724A"/>
    <w:rsid w:val="00E67482"/>
    <w:rsid w:val="00E676AC"/>
    <w:rsid w:val="00E71966"/>
    <w:rsid w:val="00E739D3"/>
    <w:rsid w:val="00E7503E"/>
    <w:rsid w:val="00E75194"/>
    <w:rsid w:val="00E76345"/>
    <w:rsid w:val="00E7754C"/>
    <w:rsid w:val="00E80A49"/>
    <w:rsid w:val="00E850EA"/>
    <w:rsid w:val="00E857DE"/>
    <w:rsid w:val="00E85F02"/>
    <w:rsid w:val="00E863E4"/>
    <w:rsid w:val="00E903F3"/>
    <w:rsid w:val="00E91FDC"/>
    <w:rsid w:val="00E94002"/>
    <w:rsid w:val="00E9488F"/>
    <w:rsid w:val="00E94CFB"/>
    <w:rsid w:val="00E94E2B"/>
    <w:rsid w:val="00E9526F"/>
    <w:rsid w:val="00E96018"/>
    <w:rsid w:val="00E97934"/>
    <w:rsid w:val="00EA08BE"/>
    <w:rsid w:val="00EA4FD4"/>
    <w:rsid w:val="00EB05A8"/>
    <w:rsid w:val="00EB155B"/>
    <w:rsid w:val="00EB32DF"/>
    <w:rsid w:val="00EB3B69"/>
    <w:rsid w:val="00EB453C"/>
    <w:rsid w:val="00EC1D36"/>
    <w:rsid w:val="00EC3658"/>
    <w:rsid w:val="00EC3783"/>
    <w:rsid w:val="00EC3F72"/>
    <w:rsid w:val="00EC4AE2"/>
    <w:rsid w:val="00EC5FA5"/>
    <w:rsid w:val="00ED00C2"/>
    <w:rsid w:val="00ED11C5"/>
    <w:rsid w:val="00ED13D2"/>
    <w:rsid w:val="00ED2034"/>
    <w:rsid w:val="00ED2B6B"/>
    <w:rsid w:val="00ED69EA"/>
    <w:rsid w:val="00ED6D93"/>
    <w:rsid w:val="00EE0FA3"/>
    <w:rsid w:val="00EE1CC1"/>
    <w:rsid w:val="00EE3D8E"/>
    <w:rsid w:val="00EE4DAC"/>
    <w:rsid w:val="00EE65FC"/>
    <w:rsid w:val="00EE69CB"/>
    <w:rsid w:val="00EF0785"/>
    <w:rsid w:val="00EF352F"/>
    <w:rsid w:val="00EF7276"/>
    <w:rsid w:val="00F01A98"/>
    <w:rsid w:val="00F0360C"/>
    <w:rsid w:val="00F040F9"/>
    <w:rsid w:val="00F06FDA"/>
    <w:rsid w:val="00F10E2E"/>
    <w:rsid w:val="00F14DDC"/>
    <w:rsid w:val="00F1551E"/>
    <w:rsid w:val="00F1566D"/>
    <w:rsid w:val="00F17B79"/>
    <w:rsid w:val="00F24250"/>
    <w:rsid w:val="00F2591F"/>
    <w:rsid w:val="00F2646C"/>
    <w:rsid w:val="00F307EE"/>
    <w:rsid w:val="00F32226"/>
    <w:rsid w:val="00F35D0E"/>
    <w:rsid w:val="00F40076"/>
    <w:rsid w:val="00F40354"/>
    <w:rsid w:val="00F40436"/>
    <w:rsid w:val="00F40AE3"/>
    <w:rsid w:val="00F41A6C"/>
    <w:rsid w:val="00F44A0B"/>
    <w:rsid w:val="00F45240"/>
    <w:rsid w:val="00F52B42"/>
    <w:rsid w:val="00F545E6"/>
    <w:rsid w:val="00F54911"/>
    <w:rsid w:val="00F5607B"/>
    <w:rsid w:val="00F565AD"/>
    <w:rsid w:val="00F63C45"/>
    <w:rsid w:val="00F64E03"/>
    <w:rsid w:val="00F6717C"/>
    <w:rsid w:val="00F67930"/>
    <w:rsid w:val="00F70B79"/>
    <w:rsid w:val="00F71700"/>
    <w:rsid w:val="00F7303F"/>
    <w:rsid w:val="00F736B7"/>
    <w:rsid w:val="00F83881"/>
    <w:rsid w:val="00F86599"/>
    <w:rsid w:val="00F8784A"/>
    <w:rsid w:val="00F904DE"/>
    <w:rsid w:val="00F909FE"/>
    <w:rsid w:val="00F90CA3"/>
    <w:rsid w:val="00F92111"/>
    <w:rsid w:val="00F93087"/>
    <w:rsid w:val="00F93535"/>
    <w:rsid w:val="00F96460"/>
    <w:rsid w:val="00FA1534"/>
    <w:rsid w:val="00FA3153"/>
    <w:rsid w:val="00FA4582"/>
    <w:rsid w:val="00FA5A06"/>
    <w:rsid w:val="00FB1454"/>
    <w:rsid w:val="00FB1504"/>
    <w:rsid w:val="00FB260D"/>
    <w:rsid w:val="00FB3A04"/>
    <w:rsid w:val="00FB3BEB"/>
    <w:rsid w:val="00FC1155"/>
    <w:rsid w:val="00FC13A8"/>
    <w:rsid w:val="00FC296D"/>
    <w:rsid w:val="00FC31C0"/>
    <w:rsid w:val="00FC3B2E"/>
    <w:rsid w:val="00FC53FC"/>
    <w:rsid w:val="00FD0A4E"/>
    <w:rsid w:val="00FD1E2C"/>
    <w:rsid w:val="00FD45C7"/>
    <w:rsid w:val="00FD5632"/>
    <w:rsid w:val="00FD6E57"/>
    <w:rsid w:val="00FD74CC"/>
    <w:rsid w:val="00FE18DB"/>
    <w:rsid w:val="00FE1D0D"/>
    <w:rsid w:val="00FE5BFA"/>
    <w:rsid w:val="00FE749B"/>
    <w:rsid w:val="00FF3BC6"/>
    <w:rsid w:val="00FF529F"/>
    <w:rsid w:val="00FF7082"/>
    <w:rsid w:val="011E6386"/>
    <w:rsid w:val="01276B70"/>
    <w:rsid w:val="012E0762"/>
    <w:rsid w:val="01626374"/>
    <w:rsid w:val="0175658C"/>
    <w:rsid w:val="01DB7918"/>
    <w:rsid w:val="01FC290E"/>
    <w:rsid w:val="02164AA3"/>
    <w:rsid w:val="021A6C4F"/>
    <w:rsid w:val="021B04CD"/>
    <w:rsid w:val="02466BF8"/>
    <w:rsid w:val="02975CC9"/>
    <w:rsid w:val="029C3B08"/>
    <w:rsid w:val="02B028CE"/>
    <w:rsid w:val="02CF2A1F"/>
    <w:rsid w:val="02F55960"/>
    <w:rsid w:val="03337ABC"/>
    <w:rsid w:val="03373831"/>
    <w:rsid w:val="034D6BB0"/>
    <w:rsid w:val="03847EFB"/>
    <w:rsid w:val="041D6970"/>
    <w:rsid w:val="04A30F53"/>
    <w:rsid w:val="04C5285F"/>
    <w:rsid w:val="04E35A1E"/>
    <w:rsid w:val="04ED23F9"/>
    <w:rsid w:val="05146ED2"/>
    <w:rsid w:val="052B18D9"/>
    <w:rsid w:val="0563529E"/>
    <w:rsid w:val="05924D4E"/>
    <w:rsid w:val="059406CC"/>
    <w:rsid w:val="05A607FA"/>
    <w:rsid w:val="05C0366A"/>
    <w:rsid w:val="05E13AF5"/>
    <w:rsid w:val="05ED6429"/>
    <w:rsid w:val="05F477B7"/>
    <w:rsid w:val="06385784"/>
    <w:rsid w:val="063B259D"/>
    <w:rsid w:val="065B11C0"/>
    <w:rsid w:val="06782196"/>
    <w:rsid w:val="067A2563"/>
    <w:rsid w:val="06E17D3B"/>
    <w:rsid w:val="06E96BF0"/>
    <w:rsid w:val="07187830"/>
    <w:rsid w:val="073E1E56"/>
    <w:rsid w:val="0743769E"/>
    <w:rsid w:val="07990616"/>
    <w:rsid w:val="07A50C80"/>
    <w:rsid w:val="07A72D26"/>
    <w:rsid w:val="07C5140B"/>
    <w:rsid w:val="07CF4038"/>
    <w:rsid w:val="07E772B6"/>
    <w:rsid w:val="0824153B"/>
    <w:rsid w:val="08362309"/>
    <w:rsid w:val="08464BF2"/>
    <w:rsid w:val="086724C2"/>
    <w:rsid w:val="08B33959"/>
    <w:rsid w:val="08B34FE0"/>
    <w:rsid w:val="08C43471"/>
    <w:rsid w:val="08EA71FD"/>
    <w:rsid w:val="08FB0F86"/>
    <w:rsid w:val="090772DC"/>
    <w:rsid w:val="09D74BCD"/>
    <w:rsid w:val="09E83B23"/>
    <w:rsid w:val="0A3129D3"/>
    <w:rsid w:val="0A326B00"/>
    <w:rsid w:val="0A3960E0"/>
    <w:rsid w:val="0A3F0CAF"/>
    <w:rsid w:val="0A4A10A6"/>
    <w:rsid w:val="0A5115FC"/>
    <w:rsid w:val="0A75018E"/>
    <w:rsid w:val="0A790A2A"/>
    <w:rsid w:val="0A944F0D"/>
    <w:rsid w:val="0AA42F62"/>
    <w:rsid w:val="0AC7549A"/>
    <w:rsid w:val="0AC96687"/>
    <w:rsid w:val="0AEE5286"/>
    <w:rsid w:val="0B28053B"/>
    <w:rsid w:val="0B4B1442"/>
    <w:rsid w:val="0B6F782F"/>
    <w:rsid w:val="0B794E74"/>
    <w:rsid w:val="0B7C5F4A"/>
    <w:rsid w:val="0B995089"/>
    <w:rsid w:val="0BBC2F75"/>
    <w:rsid w:val="0BE40111"/>
    <w:rsid w:val="0BF262A2"/>
    <w:rsid w:val="0C1D53EF"/>
    <w:rsid w:val="0C59767E"/>
    <w:rsid w:val="0C956483"/>
    <w:rsid w:val="0C9807BE"/>
    <w:rsid w:val="0CCC4FEA"/>
    <w:rsid w:val="0D0E5602"/>
    <w:rsid w:val="0D176414"/>
    <w:rsid w:val="0D562B05"/>
    <w:rsid w:val="0DC5380A"/>
    <w:rsid w:val="0DE749EF"/>
    <w:rsid w:val="0E6179B4"/>
    <w:rsid w:val="0E7D2A40"/>
    <w:rsid w:val="0ED4462A"/>
    <w:rsid w:val="0EED4651"/>
    <w:rsid w:val="0EEF0419"/>
    <w:rsid w:val="0F2C1620"/>
    <w:rsid w:val="0F380715"/>
    <w:rsid w:val="0F517A28"/>
    <w:rsid w:val="0F6C18C4"/>
    <w:rsid w:val="0F8D4B4A"/>
    <w:rsid w:val="0FF43131"/>
    <w:rsid w:val="0FFB57D8"/>
    <w:rsid w:val="100738A5"/>
    <w:rsid w:val="10525806"/>
    <w:rsid w:val="10975702"/>
    <w:rsid w:val="10C57798"/>
    <w:rsid w:val="10C9499A"/>
    <w:rsid w:val="10DC6729"/>
    <w:rsid w:val="10EC29A0"/>
    <w:rsid w:val="11146E66"/>
    <w:rsid w:val="11292E3F"/>
    <w:rsid w:val="113F222E"/>
    <w:rsid w:val="115C0473"/>
    <w:rsid w:val="11A404CB"/>
    <w:rsid w:val="11E12C61"/>
    <w:rsid w:val="129144C2"/>
    <w:rsid w:val="12AB1A59"/>
    <w:rsid w:val="12AE7B96"/>
    <w:rsid w:val="12C425C5"/>
    <w:rsid w:val="12DD66C7"/>
    <w:rsid w:val="12EB2FD4"/>
    <w:rsid w:val="13531FC1"/>
    <w:rsid w:val="13753B4B"/>
    <w:rsid w:val="13881127"/>
    <w:rsid w:val="138E4DA7"/>
    <w:rsid w:val="13912AE9"/>
    <w:rsid w:val="140028FF"/>
    <w:rsid w:val="1402730E"/>
    <w:rsid w:val="14256557"/>
    <w:rsid w:val="142660CC"/>
    <w:rsid w:val="146D1C5D"/>
    <w:rsid w:val="14802ECF"/>
    <w:rsid w:val="14893727"/>
    <w:rsid w:val="14E264DB"/>
    <w:rsid w:val="14E82BDD"/>
    <w:rsid w:val="14FE7A54"/>
    <w:rsid w:val="158F3058"/>
    <w:rsid w:val="15A07A16"/>
    <w:rsid w:val="15A85EC8"/>
    <w:rsid w:val="15C71D60"/>
    <w:rsid w:val="16376A10"/>
    <w:rsid w:val="164005C6"/>
    <w:rsid w:val="16407305"/>
    <w:rsid w:val="1653052A"/>
    <w:rsid w:val="165779D0"/>
    <w:rsid w:val="167D2C2C"/>
    <w:rsid w:val="168B3820"/>
    <w:rsid w:val="16C05047"/>
    <w:rsid w:val="179D7DD8"/>
    <w:rsid w:val="17B42A74"/>
    <w:rsid w:val="17C3078E"/>
    <w:rsid w:val="17EB35BA"/>
    <w:rsid w:val="181F6590"/>
    <w:rsid w:val="18550589"/>
    <w:rsid w:val="1870795C"/>
    <w:rsid w:val="189D2444"/>
    <w:rsid w:val="18BB4682"/>
    <w:rsid w:val="18C74DBF"/>
    <w:rsid w:val="192561AE"/>
    <w:rsid w:val="192743A9"/>
    <w:rsid w:val="195C1EDE"/>
    <w:rsid w:val="198637F4"/>
    <w:rsid w:val="19A27473"/>
    <w:rsid w:val="19B23BDB"/>
    <w:rsid w:val="19B7492C"/>
    <w:rsid w:val="19C07E73"/>
    <w:rsid w:val="19CC15D0"/>
    <w:rsid w:val="19F85670"/>
    <w:rsid w:val="1A667F4C"/>
    <w:rsid w:val="1A670E6E"/>
    <w:rsid w:val="1A7F24A1"/>
    <w:rsid w:val="1A88290A"/>
    <w:rsid w:val="1AB217DB"/>
    <w:rsid w:val="1AC11F06"/>
    <w:rsid w:val="1ACB55E4"/>
    <w:rsid w:val="1AD1041E"/>
    <w:rsid w:val="1AE51725"/>
    <w:rsid w:val="1AE6371B"/>
    <w:rsid w:val="1AF31A23"/>
    <w:rsid w:val="1B38198B"/>
    <w:rsid w:val="1B46065D"/>
    <w:rsid w:val="1BF92CA9"/>
    <w:rsid w:val="1C1D7807"/>
    <w:rsid w:val="1C447428"/>
    <w:rsid w:val="1C60574F"/>
    <w:rsid w:val="1C6778A4"/>
    <w:rsid w:val="1C6B42A6"/>
    <w:rsid w:val="1C9A77A6"/>
    <w:rsid w:val="1CB304DE"/>
    <w:rsid w:val="1CD0128B"/>
    <w:rsid w:val="1D0600A4"/>
    <w:rsid w:val="1D064F3E"/>
    <w:rsid w:val="1D15028C"/>
    <w:rsid w:val="1D5036D3"/>
    <w:rsid w:val="1D561530"/>
    <w:rsid w:val="1D571C33"/>
    <w:rsid w:val="1D5801D4"/>
    <w:rsid w:val="1D5A0D1E"/>
    <w:rsid w:val="1D7112EF"/>
    <w:rsid w:val="1D880A05"/>
    <w:rsid w:val="1D9236E6"/>
    <w:rsid w:val="1DFF1483"/>
    <w:rsid w:val="1E3B36DD"/>
    <w:rsid w:val="1E751E6B"/>
    <w:rsid w:val="1E932000"/>
    <w:rsid w:val="1EA4227C"/>
    <w:rsid w:val="1EAD4C00"/>
    <w:rsid w:val="1EE50EBF"/>
    <w:rsid w:val="1EF86786"/>
    <w:rsid w:val="1F06438B"/>
    <w:rsid w:val="1F1048C5"/>
    <w:rsid w:val="1F2428AA"/>
    <w:rsid w:val="1F296BC7"/>
    <w:rsid w:val="1F3E4740"/>
    <w:rsid w:val="1F47355B"/>
    <w:rsid w:val="1F55307A"/>
    <w:rsid w:val="1F6A2B6C"/>
    <w:rsid w:val="1F965B7C"/>
    <w:rsid w:val="1FB042F7"/>
    <w:rsid w:val="1FE51A9A"/>
    <w:rsid w:val="1FF0769D"/>
    <w:rsid w:val="20245CB6"/>
    <w:rsid w:val="202D6E78"/>
    <w:rsid w:val="208C46E1"/>
    <w:rsid w:val="20A346D0"/>
    <w:rsid w:val="20F32178"/>
    <w:rsid w:val="20F43A76"/>
    <w:rsid w:val="21020B82"/>
    <w:rsid w:val="21501F75"/>
    <w:rsid w:val="216A43D5"/>
    <w:rsid w:val="216B6728"/>
    <w:rsid w:val="222614A8"/>
    <w:rsid w:val="22370D00"/>
    <w:rsid w:val="22E378A3"/>
    <w:rsid w:val="22E62C3A"/>
    <w:rsid w:val="22E6577D"/>
    <w:rsid w:val="230C462D"/>
    <w:rsid w:val="23607DE2"/>
    <w:rsid w:val="23D04AC9"/>
    <w:rsid w:val="23FE47A6"/>
    <w:rsid w:val="24342C84"/>
    <w:rsid w:val="243C16BF"/>
    <w:rsid w:val="25023016"/>
    <w:rsid w:val="25076767"/>
    <w:rsid w:val="251001B8"/>
    <w:rsid w:val="25591A7F"/>
    <w:rsid w:val="259F28AE"/>
    <w:rsid w:val="264C3F6C"/>
    <w:rsid w:val="267B565F"/>
    <w:rsid w:val="2699409E"/>
    <w:rsid w:val="26A82602"/>
    <w:rsid w:val="26AE3704"/>
    <w:rsid w:val="26BF75F8"/>
    <w:rsid w:val="26D02186"/>
    <w:rsid w:val="26DB1A50"/>
    <w:rsid w:val="26DB3441"/>
    <w:rsid w:val="271F5872"/>
    <w:rsid w:val="27524813"/>
    <w:rsid w:val="2763434C"/>
    <w:rsid w:val="277934CE"/>
    <w:rsid w:val="277A3B68"/>
    <w:rsid w:val="277C78CF"/>
    <w:rsid w:val="27E47234"/>
    <w:rsid w:val="27EB0EC7"/>
    <w:rsid w:val="27F136FF"/>
    <w:rsid w:val="283C5FD5"/>
    <w:rsid w:val="284952E9"/>
    <w:rsid w:val="286333C7"/>
    <w:rsid w:val="287D36CF"/>
    <w:rsid w:val="28C57065"/>
    <w:rsid w:val="28CB21A2"/>
    <w:rsid w:val="28E13773"/>
    <w:rsid w:val="291C22BF"/>
    <w:rsid w:val="2987431B"/>
    <w:rsid w:val="29891E41"/>
    <w:rsid w:val="298C1931"/>
    <w:rsid w:val="299E1CB4"/>
    <w:rsid w:val="29D831D3"/>
    <w:rsid w:val="29F85218"/>
    <w:rsid w:val="2A225BAB"/>
    <w:rsid w:val="2A32072A"/>
    <w:rsid w:val="2AC04004"/>
    <w:rsid w:val="2AC82E3D"/>
    <w:rsid w:val="2B177920"/>
    <w:rsid w:val="2BE84A20"/>
    <w:rsid w:val="2C087541"/>
    <w:rsid w:val="2C374C20"/>
    <w:rsid w:val="2C610E53"/>
    <w:rsid w:val="2C6703F1"/>
    <w:rsid w:val="2C726454"/>
    <w:rsid w:val="2C7D1033"/>
    <w:rsid w:val="2D0B5263"/>
    <w:rsid w:val="2D705672"/>
    <w:rsid w:val="2D7A3C56"/>
    <w:rsid w:val="2DAE2509"/>
    <w:rsid w:val="2DFC255E"/>
    <w:rsid w:val="2E11034D"/>
    <w:rsid w:val="2E625356"/>
    <w:rsid w:val="2E660AAD"/>
    <w:rsid w:val="2E69123B"/>
    <w:rsid w:val="2E70574E"/>
    <w:rsid w:val="2E855ADF"/>
    <w:rsid w:val="2E8A1B51"/>
    <w:rsid w:val="2EAB562A"/>
    <w:rsid w:val="2EBD2297"/>
    <w:rsid w:val="2ED23ED7"/>
    <w:rsid w:val="2F414F6C"/>
    <w:rsid w:val="2F874086"/>
    <w:rsid w:val="2FB93B26"/>
    <w:rsid w:val="2FC03056"/>
    <w:rsid w:val="2FCF4325"/>
    <w:rsid w:val="2FD1327C"/>
    <w:rsid w:val="2FD951A4"/>
    <w:rsid w:val="30013C82"/>
    <w:rsid w:val="302E39CE"/>
    <w:rsid w:val="30472681"/>
    <w:rsid w:val="30562C99"/>
    <w:rsid w:val="305A7E44"/>
    <w:rsid w:val="307A4C95"/>
    <w:rsid w:val="309317F7"/>
    <w:rsid w:val="30A809F3"/>
    <w:rsid w:val="310023E7"/>
    <w:rsid w:val="31377344"/>
    <w:rsid w:val="31501DEB"/>
    <w:rsid w:val="315E0057"/>
    <w:rsid w:val="31811153"/>
    <w:rsid w:val="31B7469D"/>
    <w:rsid w:val="320504D2"/>
    <w:rsid w:val="320878FA"/>
    <w:rsid w:val="32123C90"/>
    <w:rsid w:val="32131E5F"/>
    <w:rsid w:val="322E3BC4"/>
    <w:rsid w:val="323A1719"/>
    <w:rsid w:val="3255145A"/>
    <w:rsid w:val="32700042"/>
    <w:rsid w:val="329F5684"/>
    <w:rsid w:val="32A0784F"/>
    <w:rsid w:val="32A45EAA"/>
    <w:rsid w:val="32AE598A"/>
    <w:rsid w:val="32E5730D"/>
    <w:rsid w:val="330A7DB8"/>
    <w:rsid w:val="33273B96"/>
    <w:rsid w:val="33635A3C"/>
    <w:rsid w:val="33C46F2A"/>
    <w:rsid w:val="33EE4838"/>
    <w:rsid w:val="341744ED"/>
    <w:rsid w:val="341D4CDF"/>
    <w:rsid w:val="342049AE"/>
    <w:rsid w:val="342879A4"/>
    <w:rsid w:val="342C3CC6"/>
    <w:rsid w:val="344202C5"/>
    <w:rsid w:val="345D7966"/>
    <w:rsid w:val="34C955FA"/>
    <w:rsid w:val="34D43266"/>
    <w:rsid w:val="35142AAA"/>
    <w:rsid w:val="3535277C"/>
    <w:rsid w:val="35354280"/>
    <w:rsid w:val="353C245D"/>
    <w:rsid w:val="35471AED"/>
    <w:rsid w:val="35476187"/>
    <w:rsid w:val="354C1E11"/>
    <w:rsid w:val="354E557C"/>
    <w:rsid w:val="35700359"/>
    <w:rsid w:val="358F4C83"/>
    <w:rsid w:val="35FE0BA4"/>
    <w:rsid w:val="361F75F1"/>
    <w:rsid w:val="362E26F6"/>
    <w:rsid w:val="36314876"/>
    <w:rsid w:val="363E4EDB"/>
    <w:rsid w:val="3642008C"/>
    <w:rsid w:val="36687282"/>
    <w:rsid w:val="36C22E36"/>
    <w:rsid w:val="36D62057"/>
    <w:rsid w:val="372B09DB"/>
    <w:rsid w:val="37426F96"/>
    <w:rsid w:val="37736BC5"/>
    <w:rsid w:val="38025E2A"/>
    <w:rsid w:val="3814146F"/>
    <w:rsid w:val="381738C2"/>
    <w:rsid w:val="38397128"/>
    <w:rsid w:val="3855295A"/>
    <w:rsid w:val="388B0B2F"/>
    <w:rsid w:val="38983E4E"/>
    <w:rsid w:val="38AD639A"/>
    <w:rsid w:val="3931104F"/>
    <w:rsid w:val="39666B02"/>
    <w:rsid w:val="39AB3A35"/>
    <w:rsid w:val="39BF24C9"/>
    <w:rsid w:val="3A1219DE"/>
    <w:rsid w:val="3A153C47"/>
    <w:rsid w:val="3A573895"/>
    <w:rsid w:val="3A6C6DF6"/>
    <w:rsid w:val="3A7F4CDA"/>
    <w:rsid w:val="3A886145"/>
    <w:rsid w:val="3A90686B"/>
    <w:rsid w:val="3A9F3029"/>
    <w:rsid w:val="3AAA0589"/>
    <w:rsid w:val="3AF35C04"/>
    <w:rsid w:val="3B007EDC"/>
    <w:rsid w:val="3B36794F"/>
    <w:rsid w:val="3B48477A"/>
    <w:rsid w:val="3B671FD2"/>
    <w:rsid w:val="3BBA7728"/>
    <w:rsid w:val="3BD645B3"/>
    <w:rsid w:val="3BDB2D32"/>
    <w:rsid w:val="3BDC7F8C"/>
    <w:rsid w:val="3BDE11D1"/>
    <w:rsid w:val="3C276DDC"/>
    <w:rsid w:val="3C3D4E3E"/>
    <w:rsid w:val="3C7A3AB9"/>
    <w:rsid w:val="3CE37662"/>
    <w:rsid w:val="3D073351"/>
    <w:rsid w:val="3D0F11C1"/>
    <w:rsid w:val="3D736C38"/>
    <w:rsid w:val="3D741898"/>
    <w:rsid w:val="3DB01D5C"/>
    <w:rsid w:val="3DD3580C"/>
    <w:rsid w:val="3E09134A"/>
    <w:rsid w:val="3E0B5057"/>
    <w:rsid w:val="3E6D13D8"/>
    <w:rsid w:val="3EEC2191"/>
    <w:rsid w:val="3F0F0AE4"/>
    <w:rsid w:val="3F823162"/>
    <w:rsid w:val="3FA31841"/>
    <w:rsid w:val="3FDD2A8F"/>
    <w:rsid w:val="3FDD483D"/>
    <w:rsid w:val="40385959"/>
    <w:rsid w:val="40530676"/>
    <w:rsid w:val="407B1AFB"/>
    <w:rsid w:val="40CB6D8B"/>
    <w:rsid w:val="40D07EFD"/>
    <w:rsid w:val="410A5959"/>
    <w:rsid w:val="41172790"/>
    <w:rsid w:val="41727207"/>
    <w:rsid w:val="41A2189A"/>
    <w:rsid w:val="41AE6491"/>
    <w:rsid w:val="41C745EA"/>
    <w:rsid w:val="41EE64FE"/>
    <w:rsid w:val="41FB71FC"/>
    <w:rsid w:val="421E7B0E"/>
    <w:rsid w:val="42332E3A"/>
    <w:rsid w:val="42394C8E"/>
    <w:rsid w:val="425C5EED"/>
    <w:rsid w:val="42786A9F"/>
    <w:rsid w:val="42790F59"/>
    <w:rsid w:val="42B5384F"/>
    <w:rsid w:val="42DE1098"/>
    <w:rsid w:val="42E934F8"/>
    <w:rsid w:val="42ED123B"/>
    <w:rsid w:val="430345BA"/>
    <w:rsid w:val="43094B53"/>
    <w:rsid w:val="430A1DED"/>
    <w:rsid w:val="43761230"/>
    <w:rsid w:val="438C45B0"/>
    <w:rsid w:val="43AB7211"/>
    <w:rsid w:val="43B804E0"/>
    <w:rsid w:val="43CC0E50"/>
    <w:rsid w:val="43EA25A2"/>
    <w:rsid w:val="44047301"/>
    <w:rsid w:val="440A5346"/>
    <w:rsid w:val="44136A7F"/>
    <w:rsid w:val="442C194F"/>
    <w:rsid w:val="443B7CB5"/>
    <w:rsid w:val="445552E9"/>
    <w:rsid w:val="44B21462"/>
    <w:rsid w:val="44C056C5"/>
    <w:rsid w:val="45025D73"/>
    <w:rsid w:val="450A17A0"/>
    <w:rsid w:val="45356EC9"/>
    <w:rsid w:val="45593A55"/>
    <w:rsid w:val="45957997"/>
    <w:rsid w:val="46434C66"/>
    <w:rsid w:val="466616D3"/>
    <w:rsid w:val="468D70CB"/>
    <w:rsid w:val="46B745EF"/>
    <w:rsid w:val="46B84C96"/>
    <w:rsid w:val="46E2098A"/>
    <w:rsid w:val="46E55F50"/>
    <w:rsid w:val="475D7EB0"/>
    <w:rsid w:val="47BC6A24"/>
    <w:rsid w:val="47D66741"/>
    <w:rsid w:val="48452AE4"/>
    <w:rsid w:val="486971F4"/>
    <w:rsid w:val="48CB00A1"/>
    <w:rsid w:val="4907292A"/>
    <w:rsid w:val="491A6F1F"/>
    <w:rsid w:val="491A705F"/>
    <w:rsid w:val="497E2BEC"/>
    <w:rsid w:val="498502F1"/>
    <w:rsid w:val="49956348"/>
    <w:rsid w:val="49CC0887"/>
    <w:rsid w:val="49DF2815"/>
    <w:rsid w:val="49F72ED4"/>
    <w:rsid w:val="4A3D4856"/>
    <w:rsid w:val="4A5C388E"/>
    <w:rsid w:val="4A8A3813"/>
    <w:rsid w:val="4A934476"/>
    <w:rsid w:val="4B1403EE"/>
    <w:rsid w:val="4B1D199C"/>
    <w:rsid w:val="4B2535C5"/>
    <w:rsid w:val="4B4614C9"/>
    <w:rsid w:val="4BAA19EA"/>
    <w:rsid w:val="4BEA4569"/>
    <w:rsid w:val="4C192899"/>
    <w:rsid w:val="4C1C0AF3"/>
    <w:rsid w:val="4C27383E"/>
    <w:rsid w:val="4C516396"/>
    <w:rsid w:val="4C6007C5"/>
    <w:rsid w:val="4C854292"/>
    <w:rsid w:val="4CA822ED"/>
    <w:rsid w:val="4CD6134A"/>
    <w:rsid w:val="4CDE587E"/>
    <w:rsid w:val="4D191CF7"/>
    <w:rsid w:val="4DAB6299"/>
    <w:rsid w:val="4DB14896"/>
    <w:rsid w:val="4DBA61BD"/>
    <w:rsid w:val="4DD0778F"/>
    <w:rsid w:val="4DDB098B"/>
    <w:rsid w:val="4E233D62"/>
    <w:rsid w:val="4E725FAD"/>
    <w:rsid w:val="4E89713C"/>
    <w:rsid w:val="4E905A63"/>
    <w:rsid w:val="4F4E63B8"/>
    <w:rsid w:val="4F633D97"/>
    <w:rsid w:val="4F90367A"/>
    <w:rsid w:val="4F9743C4"/>
    <w:rsid w:val="4FA12ADE"/>
    <w:rsid w:val="4FDE4134"/>
    <w:rsid w:val="5003386C"/>
    <w:rsid w:val="501D548A"/>
    <w:rsid w:val="50250051"/>
    <w:rsid w:val="508605D9"/>
    <w:rsid w:val="509B5ED9"/>
    <w:rsid w:val="50F05098"/>
    <w:rsid w:val="50F13BB1"/>
    <w:rsid w:val="50F70FCF"/>
    <w:rsid w:val="5121482B"/>
    <w:rsid w:val="51551608"/>
    <w:rsid w:val="516B614C"/>
    <w:rsid w:val="51937451"/>
    <w:rsid w:val="519A07FB"/>
    <w:rsid w:val="51A75942"/>
    <w:rsid w:val="51E15C5A"/>
    <w:rsid w:val="52145806"/>
    <w:rsid w:val="52171E30"/>
    <w:rsid w:val="522B3D77"/>
    <w:rsid w:val="523E560F"/>
    <w:rsid w:val="52432C25"/>
    <w:rsid w:val="52717C3F"/>
    <w:rsid w:val="52EA30A1"/>
    <w:rsid w:val="53760C7E"/>
    <w:rsid w:val="5384749A"/>
    <w:rsid w:val="53B71393"/>
    <w:rsid w:val="53C945FB"/>
    <w:rsid w:val="53F71F19"/>
    <w:rsid w:val="54273E81"/>
    <w:rsid w:val="5428356D"/>
    <w:rsid w:val="54333971"/>
    <w:rsid w:val="54392198"/>
    <w:rsid w:val="54477C90"/>
    <w:rsid w:val="547217D4"/>
    <w:rsid w:val="54924B88"/>
    <w:rsid w:val="54AD25D8"/>
    <w:rsid w:val="54AF45A2"/>
    <w:rsid w:val="54BE2A37"/>
    <w:rsid w:val="54D27AA0"/>
    <w:rsid w:val="54D57AF7"/>
    <w:rsid w:val="54E72A65"/>
    <w:rsid w:val="54EF0E42"/>
    <w:rsid w:val="550C0D66"/>
    <w:rsid w:val="554029B4"/>
    <w:rsid w:val="558E065B"/>
    <w:rsid w:val="55AE1778"/>
    <w:rsid w:val="55AE17EE"/>
    <w:rsid w:val="55F743AA"/>
    <w:rsid w:val="56075AAA"/>
    <w:rsid w:val="561F6ACD"/>
    <w:rsid w:val="566D3FD2"/>
    <w:rsid w:val="567B1001"/>
    <w:rsid w:val="56892BD1"/>
    <w:rsid w:val="56BA5480"/>
    <w:rsid w:val="56F13A35"/>
    <w:rsid w:val="56F227A2"/>
    <w:rsid w:val="56FF58CA"/>
    <w:rsid w:val="57112F61"/>
    <w:rsid w:val="57346FE0"/>
    <w:rsid w:val="574F4D3C"/>
    <w:rsid w:val="5790592E"/>
    <w:rsid w:val="5794004E"/>
    <w:rsid w:val="587D473C"/>
    <w:rsid w:val="58CB6A3A"/>
    <w:rsid w:val="58DD285C"/>
    <w:rsid w:val="58E0461F"/>
    <w:rsid w:val="58FB2E9E"/>
    <w:rsid w:val="594D0780"/>
    <w:rsid w:val="594E437D"/>
    <w:rsid w:val="595C6FA3"/>
    <w:rsid w:val="59CD78E2"/>
    <w:rsid w:val="59F34F31"/>
    <w:rsid w:val="5A075C5D"/>
    <w:rsid w:val="5A3B477C"/>
    <w:rsid w:val="5A4A2677"/>
    <w:rsid w:val="5A563900"/>
    <w:rsid w:val="5A713115"/>
    <w:rsid w:val="5A882213"/>
    <w:rsid w:val="5A9459DA"/>
    <w:rsid w:val="5AA021EA"/>
    <w:rsid w:val="5AB3021C"/>
    <w:rsid w:val="5AB51DED"/>
    <w:rsid w:val="5AB83A84"/>
    <w:rsid w:val="5AE67BE6"/>
    <w:rsid w:val="5B1C2265"/>
    <w:rsid w:val="5B231846"/>
    <w:rsid w:val="5B4041A6"/>
    <w:rsid w:val="5B727E44"/>
    <w:rsid w:val="5BC8419B"/>
    <w:rsid w:val="5BCC5A39"/>
    <w:rsid w:val="5BDF612D"/>
    <w:rsid w:val="5C0830E9"/>
    <w:rsid w:val="5C4D3844"/>
    <w:rsid w:val="5C531C3C"/>
    <w:rsid w:val="5CD240E6"/>
    <w:rsid w:val="5D2613BD"/>
    <w:rsid w:val="5D2676FF"/>
    <w:rsid w:val="5D4019D1"/>
    <w:rsid w:val="5D99624C"/>
    <w:rsid w:val="5DBB20CE"/>
    <w:rsid w:val="5DEB2C03"/>
    <w:rsid w:val="5DF07947"/>
    <w:rsid w:val="5E262101"/>
    <w:rsid w:val="5E7E3218"/>
    <w:rsid w:val="5EA66A16"/>
    <w:rsid w:val="5EAE2B21"/>
    <w:rsid w:val="5EB153BA"/>
    <w:rsid w:val="5EBD2F7D"/>
    <w:rsid w:val="5EE741E5"/>
    <w:rsid w:val="5F175599"/>
    <w:rsid w:val="5F327661"/>
    <w:rsid w:val="5F3F0CC7"/>
    <w:rsid w:val="5F555D46"/>
    <w:rsid w:val="5F6A3D1E"/>
    <w:rsid w:val="5F7408C2"/>
    <w:rsid w:val="5F775C2F"/>
    <w:rsid w:val="5F9304B0"/>
    <w:rsid w:val="5FAB1E0A"/>
    <w:rsid w:val="5FC20162"/>
    <w:rsid w:val="5FCD7E8B"/>
    <w:rsid w:val="600971B1"/>
    <w:rsid w:val="60110E2F"/>
    <w:rsid w:val="60427088"/>
    <w:rsid w:val="604E0D70"/>
    <w:rsid w:val="60665673"/>
    <w:rsid w:val="60A36A93"/>
    <w:rsid w:val="60E86BDC"/>
    <w:rsid w:val="61083DD7"/>
    <w:rsid w:val="611B40F0"/>
    <w:rsid w:val="611B4D6D"/>
    <w:rsid w:val="611D7F37"/>
    <w:rsid w:val="612C0BA8"/>
    <w:rsid w:val="612C182B"/>
    <w:rsid w:val="61350A99"/>
    <w:rsid w:val="61896C5F"/>
    <w:rsid w:val="618A6458"/>
    <w:rsid w:val="61B96524"/>
    <w:rsid w:val="621F77EB"/>
    <w:rsid w:val="623F2BBF"/>
    <w:rsid w:val="6264757B"/>
    <w:rsid w:val="628A03FC"/>
    <w:rsid w:val="62BB5F31"/>
    <w:rsid w:val="6300250C"/>
    <w:rsid w:val="63212B0F"/>
    <w:rsid w:val="63267681"/>
    <w:rsid w:val="63727E5F"/>
    <w:rsid w:val="63927A28"/>
    <w:rsid w:val="63B20856"/>
    <w:rsid w:val="63EF49BB"/>
    <w:rsid w:val="63F25405"/>
    <w:rsid w:val="64096D82"/>
    <w:rsid w:val="6453793B"/>
    <w:rsid w:val="64715470"/>
    <w:rsid w:val="64760C38"/>
    <w:rsid w:val="6489003B"/>
    <w:rsid w:val="64D578CD"/>
    <w:rsid w:val="64E65EA4"/>
    <w:rsid w:val="650A5824"/>
    <w:rsid w:val="65AE65BE"/>
    <w:rsid w:val="65E80907"/>
    <w:rsid w:val="660B53B0"/>
    <w:rsid w:val="6615324D"/>
    <w:rsid w:val="661C580F"/>
    <w:rsid w:val="664214F6"/>
    <w:rsid w:val="665151C5"/>
    <w:rsid w:val="66551F2A"/>
    <w:rsid w:val="667D2CFF"/>
    <w:rsid w:val="66A17AC3"/>
    <w:rsid w:val="66B47905"/>
    <w:rsid w:val="66EC3434"/>
    <w:rsid w:val="672F31ED"/>
    <w:rsid w:val="67713512"/>
    <w:rsid w:val="67BD1FF0"/>
    <w:rsid w:val="67C70996"/>
    <w:rsid w:val="67F15358"/>
    <w:rsid w:val="681D761D"/>
    <w:rsid w:val="683935C5"/>
    <w:rsid w:val="68896A60"/>
    <w:rsid w:val="688F4618"/>
    <w:rsid w:val="68B305AC"/>
    <w:rsid w:val="68C76282"/>
    <w:rsid w:val="68ED34F2"/>
    <w:rsid w:val="69BB70ED"/>
    <w:rsid w:val="69FB6C48"/>
    <w:rsid w:val="6A3749C6"/>
    <w:rsid w:val="6A947FA1"/>
    <w:rsid w:val="6ABB364B"/>
    <w:rsid w:val="6AC56475"/>
    <w:rsid w:val="6AEE797A"/>
    <w:rsid w:val="6B2B6AE0"/>
    <w:rsid w:val="6B680BAF"/>
    <w:rsid w:val="6B9B0F84"/>
    <w:rsid w:val="6BB32772"/>
    <w:rsid w:val="6BBB50D5"/>
    <w:rsid w:val="6C313697"/>
    <w:rsid w:val="6C3E6CDB"/>
    <w:rsid w:val="6C4B5D4D"/>
    <w:rsid w:val="6C4E249B"/>
    <w:rsid w:val="6CAC6281"/>
    <w:rsid w:val="6CFE17CB"/>
    <w:rsid w:val="6D6B018C"/>
    <w:rsid w:val="6D810075"/>
    <w:rsid w:val="6D8220B7"/>
    <w:rsid w:val="6DB31B27"/>
    <w:rsid w:val="6DD8306F"/>
    <w:rsid w:val="6DFB3FB2"/>
    <w:rsid w:val="6E3B07FD"/>
    <w:rsid w:val="6E495A0D"/>
    <w:rsid w:val="6E970AB9"/>
    <w:rsid w:val="6EA152D5"/>
    <w:rsid w:val="6EA350FB"/>
    <w:rsid w:val="6ECE06F6"/>
    <w:rsid w:val="6F084B83"/>
    <w:rsid w:val="6F0E07F9"/>
    <w:rsid w:val="6F4431AF"/>
    <w:rsid w:val="6F4831D1"/>
    <w:rsid w:val="6F4E211B"/>
    <w:rsid w:val="6F7C7252"/>
    <w:rsid w:val="6F802595"/>
    <w:rsid w:val="6F9540A0"/>
    <w:rsid w:val="6F995618"/>
    <w:rsid w:val="6FA32AFD"/>
    <w:rsid w:val="6FC767EC"/>
    <w:rsid w:val="6FEE196D"/>
    <w:rsid w:val="705C7381"/>
    <w:rsid w:val="70691DC8"/>
    <w:rsid w:val="70AE175A"/>
    <w:rsid w:val="70B20A00"/>
    <w:rsid w:val="70C26FB3"/>
    <w:rsid w:val="70E84C6C"/>
    <w:rsid w:val="71072C18"/>
    <w:rsid w:val="71436346"/>
    <w:rsid w:val="71461992"/>
    <w:rsid w:val="71536AB4"/>
    <w:rsid w:val="716E0C2D"/>
    <w:rsid w:val="717C1858"/>
    <w:rsid w:val="71917A25"/>
    <w:rsid w:val="71BE3C1E"/>
    <w:rsid w:val="72031631"/>
    <w:rsid w:val="72200435"/>
    <w:rsid w:val="722D38AF"/>
    <w:rsid w:val="724A4E33"/>
    <w:rsid w:val="726E0FA5"/>
    <w:rsid w:val="727A5D97"/>
    <w:rsid w:val="728C6382"/>
    <w:rsid w:val="72A43F8F"/>
    <w:rsid w:val="72A83A22"/>
    <w:rsid w:val="72B549B1"/>
    <w:rsid w:val="72C243EF"/>
    <w:rsid w:val="72D94F8E"/>
    <w:rsid w:val="73056C60"/>
    <w:rsid w:val="733608AB"/>
    <w:rsid w:val="735F328E"/>
    <w:rsid w:val="738D1AFA"/>
    <w:rsid w:val="73904CCD"/>
    <w:rsid w:val="73AF514C"/>
    <w:rsid w:val="73CB2E12"/>
    <w:rsid w:val="73FB2F08"/>
    <w:rsid w:val="74381A66"/>
    <w:rsid w:val="74626AE3"/>
    <w:rsid w:val="748B700A"/>
    <w:rsid w:val="74CF68BC"/>
    <w:rsid w:val="74DC4AE7"/>
    <w:rsid w:val="74F20D8C"/>
    <w:rsid w:val="75126594"/>
    <w:rsid w:val="752B15CB"/>
    <w:rsid w:val="75492F63"/>
    <w:rsid w:val="756845CD"/>
    <w:rsid w:val="756E14B8"/>
    <w:rsid w:val="7591430D"/>
    <w:rsid w:val="759F0839"/>
    <w:rsid w:val="75CB690A"/>
    <w:rsid w:val="7611596B"/>
    <w:rsid w:val="7614205F"/>
    <w:rsid w:val="762545B5"/>
    <w:rsid w:val="7682052C"/>
    <w:rsid w:val="76834336"/>
    <w:rsid w:val="76A21419"/>
    <w:rsid w:val="76C4266E"/>
    <w:rsid w:val="775C0430"/>
    <w:rsid w:val="776754A6"/>
    <w:rsid w:val="78443C7C"/>
    <w:rsid w:val="78D01BFD"/>
    <w:rsid w:val="78D06968"/>
    <w:rsid w:val="78DF66FC"/>
    <w:rsid w:val="78E615EA"/>
    <w:rsid w:val="78FB12B4"/>
    <w:rsid w:val="78FE3EFB"/>
    <w:rsid w:val="79394CEB"/>
    <w:rsid w:val="798474FC"/>
    <w:rsid w:val="799618A5"/>
    <w:rsid w:val="799A7EFC"/>
    <w:rsid w:val="79C43D9C"/>
    <w:rsid w:val="79C97604"/>
    <w:rsid w:val="79CA4A60"/>
    <w:rsid w:val="79DC7338"/>
    <w:rsid w:val="79EF2C25"/>
    <w:rsid w:val="7A6B66F1"/>
    <w:rsid w:val="7AAB394B"/>
    <w:rsid w:val="7AB83901"/>
    <w:rsid w:val="7ADE2C3C"/>
    <w:rsid w:val="7AEB3685"/>
    <w:rsid w:val="7B22521E"/>
    <w:rsid w:val="7B8703D3"/>
    <w:rsid w:val="7BC03CE3"/>
    <w:rsid w:val="7BED36C5"/>
    <w:rsid w:val="7C142DB9"/>
    <w:rsid w:val="7C15268D"/>
    <w:rsid w:val="7C4372B2"/>
    <w:rsid w:val="7C715447"/>
    <w:rsid w:val="7C8E01D2"/>
    <w:rsid w:val="7CEB331A"/>
    <w:rsid w:val="7D3A2B3F"/>
    <w:rsid w:val="7D67516A"/>
    <w:rsid w:val="7D9B4A19"/>
    <w:rsid w:val="7DAB7649"/>
    <w:rsid w:val="7DC54411"/>
    <w:rsid w:val="7DF63CAB"/>
    <w:rsid w:val="7E0D07A6"/>
    <w:rsid w:val="7E8A7362"/>
    <w:rsid w:val="7EB625EF"/>
    <w:rsid w:val="7EFC4CB5"/>
    <w:rsid w:val="7F08297D"/>
    <w:rsid w:val="7F092441"/>
    <w:rsid w:val="7F3C0D77"/>
    <w:rsid w:val="7F3C6061"/>
    <w:rsid w:val="7F7D2A23"/>
    <w:rsid w:val="7FAA3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autoRedefine/>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3">
    <w:name w:val="heading 2"/>
    <w:basedOn w:val="1"/>
    <w:next w:val="1"/>
    <w:link w:val="78"/>
    <w:autoRedefine/>
    <w:qFormat/>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3"/>
    <w:next w:val="1"/>
    <w:link w:val="86"/>
    <w:autoRedefine/>
    <w:qFormat/>
    <w:uiPriority w:val="0"/>
    <w:pPr>
      <w:numPr>
        <w:ilvl w:val="2"/>
      </w:numPr>
      <w:outlineLvl w:val="2"/>
    </w:pPr>
  </w:style>
  <w:style w:type="paragraph" w:styleId="5">
    <w:name w:val="heading 4"/>
    <w:basedOn w:val="1"/>
    <w:next w:val="1"/>
    <w:link w:val="81"/>
    <w:autoRedefine/>
    <w:qFormat/>
    <w:uiPriority w:val="0"/>
    <w:pPr>
      <w:keepNext/>
      <w:keepLines/>
      <w:spacing w:before="280" w:after="290" w:line="376" w:lineRule="auto"/>
      <w:outlineLvl w:val="3"/>
    </w:pPr>
    <w:rPr>
      <w:rFonts w:ascii="Calibri Light" w:hAnsi="Calibri Light"/>
      <w:b/>
      <w:bCs/>
      <w:kern w:val="0"/>
      <w:sz w:val="28"/>
      <w:szCs w:val="28"/>
    </w:rPr>
  </w:style>
  <w:style w:type="paragraph" w:styleId="6">
    <w:name w:val="heading 5"/>
    <w:basedOn w:val="1"/>
    <w:next w:val="1"/>
    <w:link w:val="84"/>
    <w:autoRedefine/>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77"/>
    <w:autoRedefine/>
    <w:qFormat/>
    <w:uiPriority w:val="0"/>
    <w:pPr>
      <w:keepNext/>
      <w:keepLines/>
      <w:spacing w:before="240" w:after="64" w:line="320" w:lineRule="auto"/>
      <w:outlineLvl w:val="5"/>
    </w:pPr>
    <w:rPr>
      <w:rFonts w:ascii="Calibri Light" w:hAnsi="Calibri Light"/>
      <w:b/>
      <w:bCs/>
      <w:kern w:val="0"/>
      <w:sz w:val="24"/>
    </w:rPr>
  </w:style>
  <w:style w:type="paragraph" w:styleId="8">
    <w:name w:val="heading 7"/>
    <w:basedOn w:val="1"/>
    <w:next w:val="1"/>
    <w:link w:val="94"/>
    <w:autoRedefine/>
    <w:qFormat/>
    <w:uiPriority w:val="9"/>
    <w:pPr>
      <w:keepNext/>
      <w:keepLines/>
      <w:spacing w:before="240" w:after="64" w:line="320" w:lineRule="auto"/>
      <w:outlineLvl w:val="6"/>
    </w:pPr>
    <w:rPr>
      <w:b/>
      <w:bCs/>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firstLineChars="200"/>
    </w:pPr>
  </w:style>
  <w:style w:type="paragraph" w:styleId="10">
    <w:name w:val="Document Map"/>
    <w:basedOn w:val="1"/>
    <w:link w:val="79"/>
    <w:autoRedefine/>
    <w:unhideWhenUsed/>
    <w:qFormat/>
    <w:uiPriority w:val="99"/>
    <w:rPr>
      <w:rFonts w:ascii="Microsoft YaHei UI" w:eastAsia="Microsoft YaHei UI"/>
      <w:kern w:val="0"/>
      <w:sz w:val="18"/>
      <w:szCs w:val="18"/>
    </w:rPr>
  </w:style>
  <w:style w:type="paragraph" w:styleId="11">
    <w:name w:val="toa heading"/>
    <w:basedOn w:val="1"/>
    <w:next w:val="1"/>
    <w:autoRedefine/>
    <w:qFormat/>
    <w:uiPriority w:val="0"/>
    <w:rPr>
      <w:rFonts w:ascii="Arial" w:hAnsi="Arial"/>
      <w:sz w:val="24"/>
      <w:szCs w:val="20"/>
    </w:rPr>
  </w:style>
  <w:style w:type="paragraph" w:styleId="12">
    <w:name w:val="annotation text"/>
    <w:basedOn w:val="1"/>
    <w:link w:val="95"/>
    <w:autoRedefine/>
    <w:qFormat/>
    <w:uiPriority w:val="0"/>
    <w:pPr>
      <w:jc w:val="left"/>
    </w:pPr>
    <w:rPr>
      <w:kern w:val="0"/>
      <w:sz w:val="20"/>
    </w:rPr>
  </w:style>
  <w:style w:type="paragraph" w:styleId="13">
    <w:name w:val="Body Text"/>
    <w:basedOn w:val="1"/>
    <w:next w:val="14"/>
    <w:link w:val="88"/>
    <w:autoRedefine/>
    <w:qFormat/>
    <w:uiPriority w:val="0"/>
    <w:pPr>
      <w:spacing w:after="120"/>
    </w:pPr>
    <w:rPr>
      <w:kern w:val="0"/>
      <w:sz w:val="20"/>
    </w:rPr>
  </w:style>
  <w:style w:type="paragraph" w:styleId="14">
    <w:name w:val="Body Text Indent"/>
    <w:basedOn w:val="1"/>
    <w:next w:val="1"/>
    <w:link w:val="97"/>
    <w:autoRedefine/>
    <w:qFormat/>
    <w:uiPriority w:val="0"/>
    <w:pPr>
      <w:tabs>
        <w:tab w:val="left" w:pos="2160"/>
      </w:tabs>
      <w:ind w:left="2159" w:leftChars="1028" w:firstLine="1"/>
    </w:pPr>
    <w:rPr>
      <w:rFonts w:ascii="宋体" w:hAnsi="宋体"/>
      <w:kern w:val="0"/>
      <w:sz w:val="20"/>
      <w:szCs w:val="21"/>
    </w:rPr>
  </w:style>
  <w:style w:type="paragraph" w:styleId="15">
    <w:name w:val="index 4"/>
    <w:basedOn w:val="1"/>
    <w:next w:val="1"/>
    <w:autoRedefine/>
    <w:semiHidden/>
    <w:unhideWhenUsed/>
    <w:qFormat/>
    <w:uiPriority w:val="99"/>
    <w:pPr>
      <w:ind w:left="600" w:leftChars="600"/>
    </w:pPr>
  </w:style>
  <w:style w:type="paragraph" w:styleId="16">
    <w:name w:val="toc 3"/>
    <w:basedOn w:val="1"/>
    <w:next w:val="1"/>
    <w:autoRedefine/>
    <w:unhideWhenUsed/>
    <w:qFormat/>
    <w:uiPriority w:val="39"/>
    <w:pPr>
      <w:widowControl/>
      <w:spacing w:after="100" w:line="259" w:lineRule="auto"/>
      <w:ind w:left="440"/>
      <w:jc w:val="left"/>
    </w:pPr>
    <w:rPr>
      <w:rFonts w:ascii="Calibri" w:hAnsi="Calibri"/>
      <w:kern w:val="0"/>
      <w:sz w:val="22"/>
      <w:szCs w:val="22"/>
    </w:rPr>
  </w:style>
  <w:style w:type="paragraph" w:styleId="17">
    <w:name w:val="Plain Text"/>
    <w:basedOn w:val="1"/>
    <w:next w:val="1"/>
    <w:link w:val="90"/>
    <w:autoRedefine/>
    <w:qFormat/>
    <w:uiPriority w:val="0"/>
    <w:rPr>
      <w:rFonts w:ascii="宋体" w:hAnsi="Courier New"/>
      <w:kern w:val="0"/>
      <w:sz w:val="20"/>
      <w:szCs w:val="20"/>
    </w:rPr>
  </w:style>
  <w:style w:type="paragraph" w:styleId="18">
    <w:name w:val="Date"/>
    <w:basedOn w:val="1"/>
    <w:next w:val="1"/>
    <w:link w:val="98"/>
    <w:autoRedefine/>
    <w:qFormat/>
    <w:uiPriority w:val="0"/>
    <w:pPr>
      <w:ind w:left="100" w:leftChars="2500"/>
    </w:pPr>
    <w:rPr>
      <w:kern w:val="0"/>
      <w:sz w:val="20"/>
    </w:rPr>
  </w:style>
  <w:style w:type="paragraph" w:styleId="19">
    <w:name w:val="Body Text Indent 2"/>
    <w:basedOn w:val="1"/>
    <w:autoRedefine/>
    <w:qFormat/>
    <w:uiPriority w:val="0"/>
    <w:pPr>
      <w:spacing w:after="120" w:line="480" w:lineRule="auto"/>
      <w:ind w:left="420" w:leftChars="200"/>
    </w:pPr>
    <w:rPr>
      <w:rFonts w:ascii="Calibri" w:hAnsi="Calibri" w:cs="Times New Roman"/>
      <w:kern w:val="2"/>
      <w:sz w:val="21"/>
      <w:szCs w:val="20"/>
    </w:rPr>
  </w:style>
  <w:style w:type="paragraph" w:styleId="20">
    <w:name w:val="Balloon Text"/>
    <w:basedOn w:val="1"/>
    <w:link w:val="75"/>
    <w:autoRedefine/>
    <w:qFormat/>
    <w:uiPriority w:val="0"/>
    <w:rPr>
      <w:kern w:val="0"/>
      <w:sz w:val="18"/>
      <w:szCs w:val="18"/>
    </w:rPr>
  </w:style>
  <w:style w:type="paragraph" w:styleId="21">
    <w:name w:val="footer"/>
    <w:basedOn w:val="1"/>
    <w:link w:val="74"/>
    <w:autoRedefine/>
    <w:qFormat/>
    <w:uiPriority w:val="99"/>
    <w:pPr>
      <w:tabs>
        <w:tab w:val="center" w:pos="4153"/>
        <w:tab w:val="right" w:pos="8306"/>
      </w:tabs>
      <w:snapToGrid w:val="0"/>
      <w:jc w:val="left"/>
    </w:pPr>
    <w:rPr>
      <w:kern w:val="0"/>
      <w:sz w:val="18"/>
      <w:szCs w:val="20"/>
    </w:rPr>
  </w:style>
  <w:style w:type="paragraph" w:styleId="22">
    <w:name w:val="header"/>
    <w:basedOn w:val="1"/>
    <w:link w:val="93"/>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3">
    <w:name w:val="toc 1"/>
    <w:basedOn w:val="1"/>
    <w:next w:val="1"/>
    <w:autoRedefine/>
    <w:qFormat/>
    <w:uiPriority w:val="39"/>
    <w:pPr>
      <w:tabs>
        <w:tab w:val="right" w:leader="dot" w:pos="8296"/>
      </w:tabs>
      <w:jc w:val="left"/>
    </w:pPr>
  </w:style>
  <w:style w:type="paragraph" w:styleId="24">
    <w:name w:val="Subtitle"/>
    <w:basedOn w:val="1"/>
    <w:next w:val="1"/>
    <w:link w:val="80"/>
    <w:autoRedefine/>
    <w:qFormat/>
    <w:uiPriority w:val="0"/>
    <w:pPr>
      <w:spacing w:before="240" w:after="60" w:line="312" w:lineRule="auto"/>
      <w:jc w:val="center"/>
      <w:outlineLvl w:val="1"/>
    </w:pPr>
    <w:rPr>
      <w:rFonts w:ascii="Calibri Light" w:hAnsi="Calibri Light"/>
      <w:b/>
      <w:bCs/>
      <w:kern w:val="28"/>
      <w:sz w:val="32"/>
      <w:szCs w:val="32"/>
    </w:rPr>
  </w:style>
  <w:style w:type="paragraph" w:styleId="25">
    <w:name w:val="Body Text Indent 3"/>
    <w:basedOn w:val="1"/>
    <w:link w:val="76"/>
    <w:autoRedefine/>
    <w:qFormat/>
    <w:uiPriority w:val="0"/>
    <w:pPr>
      <w:spacing w:after="120"/>
      <w:ind w:left="420" w:leftChars="200"/>
    </w:pPr>
    <w:rPr>
      <w:kern w:val="0"/>
      <w:sz w:val="16"/>
      <w:szCs w:val="16"/>
    </w:rPr>
  </w:style>
  <w:style w:type="paragraph" w:styleId="26">
    <w:name w:val="toc 2"/>
    <w:basedOn w:val="1"/>
    <w:next w:val="1"/>
    <w:autoRedefine/>
    <w:unhideWhenUsed/>
    <w:qFormat/>
    <w:uiPriority w:val="39"/>
    <w:pPr>
      <w:widowControl/>
      <w:spacing w:after="100" w:line="259" w:lineRule="auto"/>
      <w:ind w:left="220"/>
      <w:jc w:val="left"/>
    </w:pPr>
    <w:rPr>
      <w:rFonts w:ascii="Calibri" w:hAnsi="Calibri"/>
      <w:kern w:val="0"/>
      <w:sz w:val="22"/>
      <w:szCs w:val="22"/>
    </w:rPr>
  </w:style>
  <w:style w:type="paragraph" w:styleId="27">
    <w:name w:val="toc 9"/>
    <w:basedOn w:val="1"/>
    <w:next w:val="1"/>
    <w:autoRedefine/>
    <w:qFormat/>
    <w:uiPriority w:val="0"/>
    <w:pPr>
      <w:ind w:left="3360" w:leftChars="1600"/>
    </w:pPr>
  </w:style>
  <w:style w:type="paragraph" w:styleId="28">
    <w:name w:val="HTML Preformatted"/>
    <w:basedOn w:val="1"/>
    <w:link w:val="11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9">
    <w:name w:val="Normal (Web)"/>
    <w:basedOn w:val="1"/>
    <w:next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link w:val="96"/>
    <w:autoRedefine/>
    <w:qFormat/>
    <w:uiPriority w:val="0"/>
    <w:pPr>
      <w:spacing w:before="240" w:after="60"/>
      <w:jc w:val="center"/>
      <w:outlineLvl w:val="0"/>
    </w:pPr>
    <w:rPr>
      <w:rFonts w:ascii="Cambria" w:hAnsi="Cambria"/>
      <w:b/>
      <w:bCs/>
      <w:kern w:val="0"/>
      <w:sz w:val="36"/>
      <w:szCs w:val="32"/>
    </w:rPr>
  </w:style>
  <w:style w:type="paragraph" w:styleId="31">
    <w:name w:val="annotation subject"/>
    <w:basedOn w:val="12"/>
    <w:next w:val="12"/>
    <w:link w:val="72"/>
    <w:autoRedefine/>
    <w:qFormat/>
    <w:uiPriority w:val="99"/>
    <w:rPr>
      <w:b/>
      <w:bCs/>
    </w:rPr>
  </w:style>
  <w:style w:type="paragraph" w:styleId="32">
    <w:name w:val="Body Text First Indent"/>
    <w:basedOn w:val="13"/>
    <w:next w:val="1"/>
    <w:link w:val="87"/>
    <w:autoRedefine/>
    <w:qFormat/>
    <w:uiPriority w:val="0"/>
    <w:pPr>
      <w:ind w:firstLine="420" w:firstLineChars="100"/>
    </w:pPr>
  </w:style>
  <w:style w:type="paragraph" w:styleId="33">
    <w:name w:val="Body Text First Indent 2"/>
    <w:basedOn w:val="14"/>
    <w:next w:val="1"/>
    <w:autoRedefine/>
    <w:qFormat/>
    <w:uiPriority w:val="0"/>
    <w:pPr>
      <w:tabs>
        <w:tab w:val="left" w:pos="738"/>
        <w:tab w:val="left" w:pos="4537"/>
        <w:tab w:val="left" w:pos="7112"/>
        <w:tab w:val="left" w:pos="8039"/>
        <w:tab w:val="left" w:pos="9687"/>
      </w:tabs>
      <w:ind w:firstLine="420" w:firstLineChars="200"/>
    </w:p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22"/>
  </w:style>
  <w:style w:type="character" w:styleId="38">
    <w:name w:val="page number"/>
    <w:autoRedefine/>
    <w:qFormat/>
    <w:uiPriority w:val="0"/>
  </w:style>
  <w:style w:type="character" w:styleId="39">
    <w:name w:val="FollowedHyperlink"/>
    <w:autoRedefine/>
    <w:qFormat/>
    <w:uiPriority w:val="99"/>
    <w:rPr>
      <w:color w:val="0000FF"/>
      <w:u w:val="single"/>
    </w:rPr>
  </w:style>
  <w:style w:type="character" w:styleId="40">
    <w:name w:val="Emphasis"/>
    <w:autoRedefine/>
    <w:qFormat/>
    <w:uiPriority w:val="0"/>
    <w:rPr>
      <w:i/>
      <w:iCs/>
    </w:rPr>
  </w:style>
  <w:style w:type="character" w:styleId="41">
    <w:name w:val="HTML Definition"/>
    <w:basedOn w:val="36"/>
    <w:autoRedefine/>
    <w:semiHidden/>
    <w:unhideWhenUsed/>
    <w:qFormat/>
    <w:uiPriority w:val="99"/>
  </w:style>
  <w:style w:type="character" w:styleId="42">
    <w:name w:val="HTML Typewriter"/>
    <w:basedOn w:val="36"/>
    <w:autoRedefine/>
    <w:semiHidden/>
    <w:unhideWhenUsed/>
    <w:qFormat/>
    <w:uiPriority w:val="99"/>
    <w:rPr>
      <w:rFonts w:hint="default" w:ascii="monospace" w:hAnsi="monospace" w:eastAsia="monospace" w:cs="monospace"/>
      <w:sz w:val="20"/>
    </w:rPr>
  </w:style>
  <w:style w:type="character" w:styleId="43">
    <w:name w:val="HTML Acronym"/>
    <w:basedOn w:val="36"/>
    <w:autoRedefine/>
    <w:semiHidden/>
    <w:unhideWhenUsed/>
    <w:qFormat/>
    <w:uiPriority w:val="99"/>
  </w:style>
  <w:style w:type="character" w:styleId="44">
    <w:name w:val="HTML Variable"/>
    <w:basedOn w:val="36"/>
    <w:autoRedefine/>
    <w:semiHidden/>
    <w:unhideWhenUsed/>
    <w:qFormat/>
    <w:uiPriority w:val="99"/>
  </w:style>
  <w:style w:type="character" w:styleId="45">
    <w:name w:val="Hyperlink"/>
    <w:autoRedefine/>
    <w:qFormat/>
    <w:uiPriority w:val="99"/>
    <w:rPr>
      <w:color w:val="000099"/>
      <w:u w:val="none"/>
    </w:rPr>
  </w:style>
  <w:style w:type="character" w:styleId="46">
    <w:name w:val="HTML Code"/>
    <w:basedOn w:val="36"/>
    <w:autoRedefine/>
    <w:semiHidden/>
    <w:unhideWhenUsed/>
    <w:qFormat/>
    <w:uiPriority w:val="99"/>
    <w:rPr>
      <w:rFonts w:hint="default" w:ascii="monospace" w:hAnsi="monospace" w:eastAsia="monospace" w:cs="monospace"/>
      <w:sz w:val="20"/>
    </w:rPr>
  </w:style>
  <w:style w:type="character" w:styleId="47">
    <w:name w:val="annotation reference"/>
    <w:autoRedefine/>
    <w:qFormat/>
    <w:uiPriority w:val="0"/>
    <w:rPr>
      <w:sz w:val="21"/>
      <w:szCs w:val="21"/>
    </w:rPr>
  </w:style>
  <w:style w:type="character" w:styleId="48">
    <w:name w:val="HTML Cite"/>
    <w:basedOn w:val="36"/>
    <w:autoRedefine/>
    <w:semiHidden/>
    <w:unhideWhenUsed/>
    <w:qFormat/>
    <w:uiPriority w:val="99"/>
  </w:style>
  <w:style w:type="character" w:styleId="49">
    <w:name w:val="HTML Keyboard"/>
    <w:basedOn w:val="36"/>
    <w:autoRedefine/>
    <w:semiHidden/>
    <w:unhideWhenUsed/>
    <w:qFormat/>
    <w:uiPriority w:val="99"/>
    <w:rPr>
      <w:rFonts w:ascii="monospace" w:hAnsi="monospace" w:eastAsia="monospace" w:cs="monospace"/>
      <w:sz w:val="20"/>
    </w:rPr>
  </w:style>
  <w:style w:type="character" w:styleId="50">
    <w:name w:val="HTML Sample"/>
    <w:basedOn w:val="36"/>
    <w:autoRedefine/>
    <w:semiHidden/>
    <w:unhideWhenUsed/>
    <w:qFormat/>
    <w:uiPriority w:val="99"/>
    <w:rPr>
      <w:rFonts w:hint="default" w:ascii="monospace" w:hAnsi="monospace" w:eastAsia="monospace" w:cs="monospace"/>
    </w:rPr>
  </w:style>
  <w:style w:type="paragraph" w:customStyle="1" w:styleId="51">
    <w:name w:val="table of authorities1"/>
    <w:basedOn w:val="1"/>
    <w:next w:val="1"/>
    <w:autoRedefine/>
    <w:qFormat/>
    <w:uiPriority w:val="0"/>
    <w:pPr>
      <w:ind w:left="420" w:leftChars="200"/>
    </w:pPr>
  </w:style>
  <w:style w:type="paragraph" w:customStyle="1" w:styleId="52">
    <w:name w:val="一级条标题"/>
    <w:basedOn w:val="53"/>
    <w:next w:val="54"/>
    <w:link w:val="111"/>
    <w:autoRedefine/>
    <w:qFormat/>
    <w:uiPriority w:val="0"/>
    <w:pPr>
      <w:tabs>
        <w:tab w:val="left" w:pos="720"/>
      </w:tabs>
      <w:spacing w:beforeLines="0" w:afterLines="0"/>
      <w:outlineLvl w:val="2"/>
    </w:pPr>
  </w:style>
  <w:style w:type="paragraph" w:customStyle="1" w:styleId="53">
    <w:name w:val="章标题"/>
    <w:next w:val="1"/>
    <w:link w:val="110"/>
    <w:autoRedefine/>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54">
    <w:name w:val="段"/>
    <w:link w:val="105"/>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5">
    <w:name w:val="引文目录1"/>
    <w:basedOn w:val="1"/>
    <w:next w:val="1"/>
    <w:autoRedefine/>
    <w:qFormat/>
    <w:uiPriority w:val="0"/>
    <w:pPr>
      <w:ind w:left="420" w:leftChars="200"/>
    </w:pPr>
  </w:style>
  <w:style w:type="paragraph" w:customStyle="1" w:styleId="56">
    <w:name w:val="_Style 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0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8">
    <w:name w:val="3"/>
    <w:basedOn w:val="1"/>
    <w:autoRedefine/>
    <w:qFormat/>
    <w:uiPriority w:val="34"/>
    <w:pPr>
      <w:ind w:firstLine="420" w:firstLineChars="200"/>
    </w:pPr>
  </w:style>
  <w:style w:type="paragraph" w:customStyle="1" w:styleId="59">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60">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2"/>
    <w:link w:val="9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63">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64">
    <w:name w:val="_Style 3"/>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Char1"/>
    <w:basedOn w:val="10"/>
    <w:autoRedefine/>
    <w:qFormat/>
    <w:uiPriority w:val="0"/>
    <w:pPr>
      <w:shd w:val="clear" w:color="auto" w:fill="000080"/>
    </w:pPr>
    <w:rPr>
      <w:rFonts w:ascii="Times New Roman" w:eastAsia="宋体"/>
      <w:sz w:val="21"/>
      <w:szCs w:val="20"/>
      <w:shd w:val="clear" w:color="auto" w:fill="000080"/>
    </w:rPr>
  </w:style>
  <w:style w:type="paragraph" w:customStyle="1" w:styleId="66">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7">
    <w:name w:val="列出段落111"/>
    <w:basedOn w:val="1"/>
    <w:autoRedefine/>
    <w:qFormat/>
    <w:uiPriority w:val="0"/>
    <w:pPr>
      <w:ind w:firstLine="420" w:firstLineChars="200"/>
    </w:pPr>
    <w:rPr>
      <w:rFonts w:ascii="Calibri" w:hAnsi="Calibri"/>
      <w:sz w:val="28"/>
    </w:rPr>
  </w:style>
  <w:style w:type="paragraph" w:customStyle="1" w:styleId="68">
    <w:name w:val="样式1"/>
    <w:basedOn w:val="1"/>
    <w:autoRedefine/>
    <w:qFormat/>
    <w:uiPriority w:val="0"/>
    <w:rPr>
      <w:rFonts w:eastAsia="仿宋_GB2312"/>
      <w:kern w:val="0"/>
      <w:sz w:val="32"/>
      <w:szCs w:val="20"/>
    </w:rPr>
  </w:style>
  <w:style w:type="paragraph" w:customStyle="1" w:styleId="69">
    <w:name w:val="1"/>
    <w:basedOn w:val="2"/>
    <w:next w:val="1"/>
    <w:autoRedefine/>
    <w:qFormat/>
    <w:uiPriority w:val="39"/>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70">
    <w:name w:val="列出段落11"/>
    <w:basedOn w:val="1"/>
    <w:autoRedefine/>
    <w:qFormat/>
    <w:uiPriority w:val="0"/>
    <w:pPr>
      <w:ind w:firstLine="420" w:firstLineChars="200"/>
    </w:pPr>
  </w:style>
  <w:style w:type="paragraph" w:customStyle="1" w:styleId="71">
    <w:name w:val="正文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72">
    <w:name w:val="批注主题 Char1"/>
    <w:link w:val="31"/>
    <w:autoRedefine/>
    <w:qFormat/>
    <w:uiPriority w:val="99"/>
    <w:rPr>
      <w:rFonts w:ascii="Times New Roman" w:hAnsi="Times New Roman" w:eastAsia="宋体" w:cs="Times New Roman"/>
      <w:b/>
      <w:bCs/>
      <w:szCs w:val="24"/>
    </w:rPr>
  </w:style>
  <w:style w:type="character" w:customStyle="1" w:styleId="73">
    <w:name w:val="标题 1 Char"/>
    <w:link w:val="2"/>
    <w:autoRedefine/>
    <w:qFormat/>
    <w:uiPriority w:val="0"/>
    <w:rPr>
      <w:rFonts w:ascii="宋体" w:hAnsi="Times New Roman" w:eastAsia="黑体"/>
      <w:kern w:val="28"/>
      <w:sz w:val="28"/>
    </w:rPr>
  </w:style>
  <w:style w:type="character" w:customStyle="1" w:styleId="74">
    <w:name w:val="页脚 Char"/>
    <w:link w:val="21"/>
    <w:autoRedefine/>
    <w:qFormat/>
    <w:uiPriority w:val="99"/>
    <w:rPr>
      <w:rFonts w:ascii="Times New Roman" w:hAnsi="Times New Roman" w:eastAsia="宋体" w:cs="Times New Roman"/>
      <w:sz w:val="18"/>
      <w:szCs w:val="20"/>
    </w:rPr>
  </w:style>
  <w:style w:type="character" w:customStyle="1" w:styleId="75">
    <w:name w:val="批注框文本 Char"/>
    <w:link w:val="20"/>
    <w:autoRedefine/>
    <w:qFormat/>
    <w:uiPriority w:val="0"/>
    <w:rPr>
      <w:rFonts w:ascii="Times New Roman" w:hAnsi="Times New Roman" w:eastAsia="宋体" w:cs="Times New Roman"/>
      <w:sz w:val="18"/>
      <w:szCs w:val="18"/>
    </w:rPr>
  </w:style>
  <w:style w:type="character" w:customStyle="1" w:styleId="76">
    <w:name w:val="正文文本缩进 3 Char"/>
    <w:link w:val="25"/>
    <w:autoRedefine/>
    <w:qFormat/>
    <w:uiPriority w:val="0"/>
    <w:rPr>
      <w:rFonts w:ascii="Times New Roman" w:hAnsi="Times New Roman" w:eastAsia="宋体" w:cs="Times New Roman"/>
      <w:sz w:val="16"/>
      <w:szCs w:val="16"/>
    </w:rPr>
  </w:style>
  <w:style w:type="character" w:customStyle="1" w:styleId="77">
    <w:name w:val="标题 6 Char"/>
    <w:link w:val="7"/>
    <w:autoRedefine/>
    <w:qFormat/>
    <w:uiPriority w:val="0"/>
    <w:rPr>
      <w:rFonts w:ascii="Calibri Light" w:hAnsi="Calibri Light" w:eastAsia="宋体" w:cs="Times New Roman"/>
      <w:b/>
      <w:bCs/>
      <w:sz w:val="24"/>
      <w:szCs w:val="24"/>
    </w:rPr>
  </w:style>
  <w:style w:type="character" w:customStyle="1" w:styleId="78">
    <w:name w:val="标题 2 Char"/>
    <w:link w:val="3"/>
    <w:autoRedefine/>
    <w:qFormat/>
    <w:uiPriority w:val="0"/>
    <w:rPr>
      <w:rFonts w:ascii="宋体" w:hAnsi="Times New Roman"/>
      <w:kern w:val="2"/>
      <w:sz w:val="28"/>
    </w:rPr>
  </w:style>
  <w:style w:type="character" w:customStyle="1" w:styleId="79">
    <w:name w:val="文档结构图 Char"/>
    <w:link w:val="10"/>
    <w:autoRedefine/>
    <w:semiHidden/>
    <w:qFormat/>
    <w:uiPriority w:val="99"/>
    <w:rPr>
      <w:rFonts w:ascii="Microsoft YaHei UI" w:hAnsi="Times New Roman" w:eastAsia="Microsoft YaHei UI" w:cs="Times New Roman"/>
      <w:sz w:val="18"/>
      <w:szCs w:val="18"/>
    </w:rPr>
  </w:style>
  <w:style w:type="character" w:customStyle="1" w:styleId="80">
    <w:name w:val="副标题 Char"/>
    <w:link w:val="24"/>
    <w:autoRedefine/>
    <w:qFormat/>
    <w:uiPriority w:val="0"/>
    <w:rPr>
      <w:rFonts w:ascii="Calibri Light" w:hAnsi="Calibri Light" w:eastAsia="宋体" w:cs="Times New Roman"/>
      <w:b/>
      <w:bCs/>
      <w:kern w:val="28"/>
      <w:sz w:val="32"/>
      <w:szCs w:val="32"/>
    </w:rPr>
  </w:style>
  <w:style w:type="character" w:customStyle="1" w:styleId="81">
    <w:name w:val="标题 4 Char"/>
    <w:link w:val="5"/>
    <w:autoRedefine/>
    <w:qFormat/>
    <w:uiPriority w:val="0"/>
    <w:rPr>
      <w:rFonts w:ascii="Calibri Light" w:hAnsi="Calibri Light" w:eastAsia="宋体" w:cs="Times New Roman"/>
      <w:b/>
      <w:bCs/>
      <w:sz w:val="28"/>
      <w:szCs w:val="28"/>
    </w:rPr>
  </w:style>
  <w:style w:type="character" w:customStyle="1" w:styleId="82">
    <w:name w:val="标题 Char1"/>
    <w:autoRedefine/>
    <w:qFormat/>
    <w:uiPriority w:val="0"/>
    <w:rPr>
      <w:rFonts w:ascii="Calibri Light" w:hAnsi="Calibri Light" w:eastAsia="宋体" w:cs="Times New Roman"/>
      <w:b/>
      <w:bCs/>
      <w:sz w:val="32"/>
      <w:szCs w:val="32"/>
    </w:rPr>
  </w:style>
  <w:style w:type="character" w:customStyle="1" w:styleId="83">
    <w:name w:val="批注文字 Char"/>
    <w:autoRedefine/>
    <w:qFormat/>
    <w:uiPriority w:val="0"/>
    <w:rPr>
      <w:rFonts w:ascii="Times New Roman" w:hAnsi="Times New Roman" w:eastAsia="宋体" w:cs="Times New Roman"/>
      <w:szCs w:val="24"/>
    </w:rPr>
  </w:style>
  <w:style w:type="character" w:customStyle="1" w:styleId="84">
    <w:name w:val="标题 5 Char"/>
    <w:link w:val="6"/>
    <w:autoRedefine/>
    <w:qFormat/>
    <w:uiPriority w:val="0"/>
    <w:rPr>
      <w:rFonts w:ascii="Times New Roman" w:hAnsi="Times New Roman" w:eastAsia="宋体" w:cs="Times New Roman"/>
      <w:b/>
      <w:bCs/>
      <w:sz w:val="28"/>
      <w:szCs w:val="28"/>
    </w:rPr>
  </w:style>
  <w:style w:type="character" w:customStyle="1" w:styleId="85">
    <w:name w:val="Table Text Char Char Char"/>
    <w:autoRedefine/>
    <w:qFormat/>
    <w:uiPriority w:val="0"/>
    <w:rPr>
      <w:rFonts w:ascii="Arial" w:hAnsi="Arial" w:eastAsia="宋体" w:cs="Arial"/>
      <w:sz w:val="18"/>
      <w:szCs w:val="18"/>
      <w:lang w:val="en-US" w:eastAsia="zh-CN" w:bidi="ar-SA"/>
    </w:rPr>
  </w:style>
  <w:style w:type="character" w:customStyle="1" w:styleId="86">
    <w:name w:val="标题 3 Char"/>
    <w:link w:val="4"/>
    <w:autoRedefine/>
    <w:qFormat/>
    <w:uiPriority w:val="0"/>
    <w:rPr>
      <w:rFonts w:ascii="宋体" w:hAnsi="Times New Roman"/>
      <w:kern w:val="2"/>
      <w:sz w:val="28"/>
    </w:rPr>
  </w:style>
  <w:style w:type="character" w:customStyle="1" w:styleId="87">
    <w:name w:val="正文首行缩进 Char"/>
    <w:link w:val="32"/>
    <w:autoRedefine/>
    <w:qFormat/>
    <w:uiPriority w:val="0"/>
    <w:rPr>
      <w:rFonts w:ascii="Times New Roman" w:hAnsi="Times New Roman" w:eastAsia="宋体" w:cs="Times New Roman"/>
      <w:szCs w:val="24"/>
    </w:rPr>
  </w:style>
  <w:style w:type="character" w:customStyle="1" w:styleId="88">
    <w:name w:val="正文文本 Char"/>
    <w:link w:val="13"/>
    <w:autoRedefine/>
    <w:qFormat/>
    <w:uiPriority w:val="0"/>
    <w:rPr>
      <w:rFonts w:ascii="Times New Roman" w:hAnsi="Times New Roman" w:eastAsia="宋体" w:cs="Times New Roman"/>
      <w:szCs w:val="24"/>
    </w:rPr>
  </w:style>
  <w:style w:type="character" w:customStyle="1" w:styleId="89">
    <w:name w:val="纯文本 Char"/>
    <w:autoRedefine/>
    <w:qFormat/>
    <w:uiPriority w:val="0"/>
    <w:rPr>
      <w:rFonts w:ascii="宋体" w:hAnsi="Courier New" w:eastAsia="宋体" w:cs="Courier New"/>
      <w:szCs w:val="21"/>
    </w:rPr>
  </w:style>
  <w:style w:type="character" w:customStyle="1" w:styleId="90">
    <w:name w:val="纯文本 Char2"/>
    <w:link w:val="17"/>
    <w:autoRedefine/>
    <w:qFormat/>
    <w:uiPriority w:val="0"/>
    <w:rPr>
      <w:rFonts w:ascii="宋体" w:hAnsi="Courier New" w:eastAsia="宋体" w:cs="Times New Roman"/>
      <w:szCs w:val="20"/>
    </w:rPr>
  </w:style>
  <w:style w:type="character" w:customStyle="1" w:styleId="91">
    <w:name w:val="Table Text Char"/>
    <w:autoRedefine/>
    <w:qFormat/>
    <w:uiPriority w:val="0"/>
    <w:rPr>
      <w:rFonts w:ascii="Arial" w:hAnsi="Arial" w:eastAsia="宋体"/>
      <w:sz w:val="18"/>
      <w:lang w:val="en-US" w:eastAsia="zh-CN" w:bidi="ar-SA"/>
    </w:rPr>
  </w:style>
  <w:style w:type="character" w:customStyle="1" w:styleId="92">
    <w:name w:val="无间隔 Char"/>
    <w:link w:val="61"/>
    <w:autoRedefine/>
    <w:qFormat/>
    <w:uiPriority w:val="1"/>
    <w:rPr>
      <w:rFonts w:ascii="Times New Roman" w:hAnsi="Times New Roman"/>
      <w:kern w:val="2"/>
      <w:sz w:val="21"/>
      <w:szCs w:val="24"/>
      <w:lang w:val="en-US" w:eastAsia="zh-CN" w:bidi="ar-SA"/>
    </w:rPr>
  </w:style>
  <w:style w:type="character" w:customStyle="1" w:styleId="93">
    <w:name w:val="页眉 Char1"/>
    <w:link w:val="22"/>
    <w:autoRedefine/>
    <w:qFormat/>
    <w:uiPriority w:val="99"/>
    <w:rPr>
      <w:rFonts w:ascii="Times New Roman" w:hAnsi="Times New Roman" w:eastAsia="宋体" w:cs="Times New Roman"/>
      <w:sz w:val="18"/>
      <w:szCs w:val="20"/>
    </w:rPr>
  </w:style>
  <w:style w:type="character" w:customStyle="1" w:styleId="94">
    <w:name w:val="标题 7 Char"/>
    <w:link w:val="8"/>
    <w:autoRedefine/>
    <w:semiHidden/>
    <w:qFormat/>
    <w:uiPriority w:val="9"/>
    <w:rPr>
      <w:rFonts w:ascii="Times New Roman" w:hAnsi="Times New Roman"/>
      <w:b/>
      <w:bCs/>
      <w:kern w:val="2"/>
      <w:sz w:val="24"/>
      <w:szCs w:val="24"/>
    </w:rPr>
  </w:style>
  <w:style w:type="character" w:customStyle="1" w:styleId="95">
    <w:name w:val="批注文字 Char1"/>
    <w:link w:val="12"/>
    <w:autoRedefine/>
    <w:qFormat/>
    <w:uiPriority w:val="0"/>
    <w:rPr>
      <w:rFonts w:ascii="Times New Roman" w:hAnsi="Times New Roman" w:eastAsia="宋体" w:cs="Times New Roman"/>
      <w:szCs w:val="24"/>
    </w:rPr>
  </w:style>
  <w:style w:type="character" w:customStyle="1" w:styleId="96">
    <w:name w:val="标题 Char"/>
    <w:link w:val="30"/>
    <w:autoRedefine/>
    <w:qFormat/>
    <w:uiPriority w:val="0"/>
    <w:rPr>
      <w:rFonts w:ascii="Cambria" w:hAnsi="Cambria"/>
      <w:b/>
      <w:bCs/>
      <w:sz w:val="36"/>
      <w:szCs w:val="32"/>
    </w:rPr>
  </w:style>
  <w:style w:type="character" w:customStyle="1" w:styleId="97">
    <w:name w:val="正文文本缩进 Char"/>
    <w:link w:val="14"/>
    <w:autoRedefine/>
    <w:qFormat/>
    <w:uiPriority w:val="0"/>
    <w:rPr>
      <w:rFonts w:ascii="宋体" w:hAnsi="宋体" w:eastAsia="宋体" w:cs="Times New Roman"/>
      <w:szCs w:val="21"/>
    </w:rPr>
  </w:style>
  <w:style w:type="character" w:customStyle="1" w:styleId="98">
    <w:name w:val="日期 Char"/>
    <w:link w:val="18"/>
    <w:autoRedefine/>
    <w:qFormat/>
    <w:uiPriority w:val="0"/>
    <w:rPr>
      <w:rFonts w:ascii="Times New Roman" w:hAnsi="Times New Roman" w:eastAsia="宋体" w:cs="Times New Roman"/>
      <w:szCs w:val="24"/>
    </w:rPr>
  </w:style>
  <w:style w:type="character" w:customStyle="1" w:styleId="99">
    <w:name w:val="批注主题 Char"/>
    <w:autoRedefine/>
    <w:semiHidden/>
    <w:qFormat/>
    <w:uiPriority w:val="99"/>
    <w:rPr>
      <w:rFonts w:ascii="Times New Roman" w:hAnsi="Times New Roman" w:eastAsia="宋体" w:cs="Times New Roman"/>
      <w:b/>
      <w:bCs/>
      <w:szCs w:val="24"/>
    </w:rPr>
  </w:style>
  <w:style w:type="paragraph" w:customStyle="1" w:styleId="100">
    <w:name w:val="p16"/>
    <w:basedOn w:val="1"/>
    <w:autoRedefine/>
    <w:qFormat/>
    <w:uiPriority w:val="0"/>
    <w:pPr>
      <w:widowControl/>
    </w:pPr>
    <w:rPr>
      <w:rFonts w:ascii="宋体" w:hAnsi="宋体" w:cs="宋体"/>
      <w:kern w:val="0"/>
      <w:szCs w:val="21"/>
    </w:rPr>
  </w:style>
  <w:style w:type="paragraph" w:styleId="101">
    <w:name w:val="List Paragraph"/>
    <w:basedOn w:val="1"/>
    <w:autoRedefine/>
    <w:unhideWhenUsed/>
    <w:qFormat/>
    <w:uiPriority w:val="34"/>
    <w:pPr>
      <w:ind w:firstLine="420" w:firstLineChars="200"/>
    </w:pPr>
  </w:style>
  <w:style w:type="paragraph" w:customStyle="1" w:styleId="102">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03">
    <w:name w:val="列出段落1"/>
    <w:basedOn w:val="1"/>
    <w:autoRedefine/>
    <w:qFormat/>
    <w:uiPriority w:val="34"/>
    <w:pPr>
      <w:ind w:firstLine="420" w:firstLineChars="200"/>
    </w:pPr>
    <w:rPr>
      <w:rFonts w:ascii="Calibri" w:hAnsi="Calibri" w:cs="黑体"/>
      <w:szCs w:val="22"/>
    </w:rPr>
  </w:style>
  <w:style w:type="paragraph" w:styleId="104">
    <w:name w:val="No Spacing"/>
    <w:link w:val="116"/>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段 Char Char"/>
    <w:link w:val="54"/>
    <w:autoRedefine/>
    <w:qFormat/>
    <w:uiPriority w:val="0"/>
    <w:rPr>
      <w:rFonts w:ascii="宋体"/>
      <w:sz w:val="21"/>
      <w:lang w:val="en-US" w:eastAsia="zh-CN" w:bidi="ar-SA"/>
    </w:rPr>
  </w:style>
  <w:style w:type="character" w:customStyle="1" w:styleId="106">
    <w:name w:val="三级条标题 Char Char"/>
    <w:link w:val="107"/>
    <w:autoRedefine/>
    <w:qFormat/>
    <w:uiPriority w:val="0"/>
    <w:rPr>
      <w:rFonts w:ascii="黑体" w:eastAsia="黑体"/>
      <w:sz w:val="21"/>
    </w:rPr>
  </w:style>
  <w:style w:type="paragraph" w:customStyle="1" w:styleId="107">
    <w:name w:val="三级条标题"/>
    <w:basedOn w:val="108"/>
    <w:next w:val="54"/>
    <w:link w:val="106"/>
    <w:autoRedefine/>
    <w:qFormat/>
    <w:uiPriority w:val="0"/>
    <w:pPr>
      <w:tabs>
        <w:tab w:val="left" w:pos="720"/>
        <w:tab w:val="left" w:pos="992"/>
      </w:tabs>
      <w:ind w:left="992" w:hanging="992"/>
      <w:outlineLvl w:val="4"/>
    </w:pPr>
  </w:style>
  <w:style w:type="paragraph" w:customStyle="1" w:styleId="108">
    <w:name w:val="二级条标题"/>
    <w:basedOn w:val="52"/>
    <w:next w:val="54"/>
    <w:link w:val="109"/>
    <w:autoRedefine/>
    <w:qFormat/>
    <w:uiPriority w:val="0"/>
    <w:pPr>
      <w:outlineLvl w:val="3"/>
    </w:pPr>
  </w:style>
  <w:style w:type="character" w:customStyle="1" w:styleId="109">
    <w:name w:val="二级条标题 Char Char"/>
    <w:link w:val="108"/>
    <w:autoRedefine/>
    <w:qFormat/>
    <w:uiPriority w:val="0"/>
    <w:rPr>
      <w:rFonts w:ascii="黑体" w:eastAsia="黑体"/>
      <w:sz w:val="21"/>
    </w:rPr>
  </w:style>
  <w:style w:type="character" w:customStyle="1" w:styleId="110">
    <w:name w:val="章标题 Char Char"/>
    <w:link w:val="53"/>
    <w:autoRedefine/>
    <w:qFormat/>
    <w:uiPriority w:val="0"/>
    <w:rPr>
      <w:rFonts w:ascii="黑体" w:eastAsia="黑体"/>
      <w:sz w:val="21"/>
      <w:lang w:val="en-US" w:eastAsia="zh-CN" w:bidi="ar-SA"/>
    </w:rPr>
  </w:style>
  <w:style w:type="character" w:customStyle="1" w:styleId="111">
    <w:name w:val="一级条标题 Char Char"/>
    <w:link w:val="52"/>
    <w:autoRedefine/>
    <w:qFormat/>
    <w:uiPriority w:val="0"/>
    <w:rPr>
      <w:rFonts w:ascii="黑体" w:eastAsia="黑体"/>
      <w:sz w:val="21"/>
    </w:rPr>
  </w:style>
  <w:style w:type="paragraph" w:customStyle="1" w:styleId="112">
    <w:name w:val="正文图标题"/>
    <w:next w:val="54"/>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3">
    <w:name w:val="正文表标题"/>
    <w:next w:val="54"/>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4">
    <w:name w:val="目次、标准名称标题"/>
    <w:basedOn w:val="1"/>
    <w:next w:val="54"/>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15">
    <w:name w:val="纯文本 Char1"/>
    <w:autoRedefine/>
    <w:qFormat/>
    <w:uiPriority w:val="0"/>
    <w:rPr>
      <w:rFonts w:ascii="宋体" w:hAnsi="Courier New" w:eastAsia="宋体" w:cs="Courier New"/>
      <w:sz w:val="21"/>
      <w:szCs w:val="21"/>
    </w:rPr>
  </w:style>
  <w:style w:type="character" w:customStyle="1" w:styleId="116">
    <w:name w:val="无间隔 Char1"/>
    <w:link w:val="104"/>
    <w:autoRedefine/>
    <w:qFormat/>
    <w:uiPriority w:val="1"/>
    <w:rPr>
      <w:rFonts w:ascii="Times New Roman" w:hAnsi="Times New Roman"/>
      <w:kern w:val="2"/>
      <w:sz w:val="21"/>
      <w:szCs w:val="24"/>
      <w:lang w:bidi="ar-SA"/>
    </w:rPr>
  </w:style>
  <w:style w:type="character" w:customStyle="1" w:styleId="117">
    <w:name w:val="HTML 预设格式 Char"/>
    <w:link w:val="28"/>
    <w:autoRedefine/>
    <w:qFormat/>
    <w:uiPriority w:val="99"/>
    <w:rPr>
      <w:rFonts w:ascii="宋体" w:hAnsi="宋体" w:cs="宋体"/>
      <w:sz w:val="24"/>
      <w:szCs w:val="24"/>
    </w:rPr>
  </w:style>
  <w:style w:type="character" w:customStyle="1" w:styleId="118">
    <w:name w:val="页眉 Char"/>
    <w:autoRedefine/>
    <w:qFormat/>
    <w:uiPriority w:val="99"/>
    <w:rPr>
      <w:lang w:eastAsia="zh-CN"/>
    </w:rPr>
  </w:style>
  <w:style w:type="character" w:customStyle="1" w:styleId="119">
    <w:name w:val="textcontents"/>
    <w:autoRedefine/>
    <w:qFormat/>
    <w:uiPriority w:val="0"/>
    <w:rPr>
      <w:rFonts w:cs="Times New Roman"/>
    </w:rPr>
  </w:style>
  <w:style w:type="character" w:customStyle="1" w:styleId="120">
    <w:name w:val="标题4 Char Char"/>
    <w:link w:val="121"/>
    <w:autoRedefine/>
    <w:qFormat/>
    <w:uiPriority w:val="0"/>
    <w:rPr>
      <w:rFonts w:ascii="Arial" w:hAnsi="Arial"/>
      <w:b/>
      <w:bCs/>
      <w:sz w:val="24"/>
      <w:szCs w:val="32"/>
    </w:rPr>
  </w:style>
  <w:style w:type="paragraph" w:customStyle="1" w:styleId="121">
    <w:name w:val="标题4"/>
    <w:basedOn w:val="3"/>
    <w:next w:val="15"/>
    <w:link w:val="120"/>
    <w:autoRedefine/>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22">
    <w:name w:val="tabg"/>
    <w:autoRedefine/>
    <w:qFormat/>
    <w:uiPriority w:val="0"/>
    <w:rPr>
      <w:rFonts w:ascii="微软雅黑" w:hAnsi="微软雅黑" w:eastAsia="微软雅黑" w:cs="微软雅黑"/>
      <w:color w:val="FFFFFF"/>
      <w:sz w:val="27"/>
      <w:szCs w:val="27"/>
    </w:rPr>
  </w:style>
  <w:style w:type="paragraph" w:customStyle="1" w:styleId="123">
    <w:name w:val="xl1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124">
    <w:name w:val="Table Paragraph"/>
    <w:basedOn w:val="1"/>
    <w:autoRedefine/>
    <w:qFormat/>
    <w:uiPriority w:val="1"/>
    <w:rPr>
      <w:rFonts w:ascii="宋体" w:hAnsi="宋体" w:cs="宋体"/>
      <w:lang w:val="zh-CN" w:bidi="zh-CN"/>
    </w:rPr>
  </w:style>
  <w:style w:type="character" w:customStyle="1" w:styleId="125">
    <w:name w:val="font01"/>
    <w:basedOn w:val="36"/>
    <w:autoRedefine/>
    <w:qFormat/>
    <w:uiPriority w:val="0"/>
    <w:rPr>
      <w:rFonts w:hint="eastAsia" w:ascii="宋体" w:hAnsi="宋体" w:eastAsia="宋体" w:cs="宋体"/>
      <w:color w:val="000000"/>
      <w:sz w:val="20"/>
      <w:szCs w:val="20"/>
      <w:u w:val="none"/>
    </w:rPr>
  </w:style>
  <w:style w:type="character" w:customStyle="1" w:styleId="126">
    <w:name w:val="font191"/>
    <w:basedOn w:val="36"/>
    <w:autoRedefine/>
    <w:qFormat/>
    <w:uiPriority w:val="0"/>
    <w:rPr>
      <w:rFonts w:hint="eastAsia" w:ascii="宋体" w:hAnsi="宋体" w:eastAsia="宋体" w:cs="宋体"/>
      <w:color w:val="000000"/>
      <w:sz w:val="16"/>
      <w:szCs w:val="16"/>
      <w:u w:val="none"/>
    </w:rPr>
  </w:style>
  <w:style w:type="character" w:customStyle="1" w:styleId="127">
    <w:name w:val="font51"/>
    <w:basedOn w:val="36"/>
    <w:autoRedefine/>
    <w:qFormat/>
    <w:uiPriority w:val="0"/>
    <w:rPr>
      <w:rFonts w:hint="eastAsia" w:ascii="宋体" w:hAnsi="宋体" w:eastAsia="宋体" w:cs="宋体"/>
      <w:color w:val="000000"/>
      <w:sz w:val="18"/>
      <w:szCs w:val="18"/>
      <w:u w:val="none"/>
    </w:rPr>
  </w:style>
  <w:style w:type="character" w:customStyle="1" w:styleId="128">
    <w:name w:val="font151"/>
    <w:basedOn w:val="36"/>
    <w:autoRedefine/>
    <w:qFormat/>
    <w:uiPriority w:val="0"/>
    <w:rPr>
      <w:rFonts w:hint="eastAsia" w:ascii="宋体" w:hAnsi="宋体" w:eastAsia="宋体" w:cs="宋体"/>
      <w:color w:val="000000"/>
      <w:sz w:val="16"/>
      <w:szCs w:val="16"/>
      <w:u w:val="none"/>
    </w:rPr>
  </w:style>
  <w:style w:type="paragraph" w:customStyle="1" w:styleId="129">
    <w:name w:val="图片表格"/>
    <w:basedOn w:val="1"/>
    <w:next w:val="1"/>
    <w:autoRedefine/>
    <w:qFormat/>
    <w:uiPriority w:val="6"/>
    <w:pPr>
      <w:jc w:val="center"/>
    </w:pPr>
  </w:style>
  <w:style w:type="paragraph" w:customStyle="1" w:styleId="130">
    <w:name w:val="正文1"/>
    <w:basedOn w:val="1"/>
    <w:autoRedefine/>
    <w:qFormat/>
    <w:uiPriority w:val="0"/>
    <w:pPr>
      <w:spacing w:before="60" w:after="60" w:line="360" w:lineRule="auto"/>
      <w:ind w:left="360"/>
      <w:outlineLvl w:val="6"/>
    </w:pPr>
  </w:style>
  <w:style w:type="paragraph" w:customStyle="1" w:styleId="131">
    <w:name w:val="表格"/>
    <w:basedOn w:val="1"/>
    <w:autoRedefine/>
    <w:qFormat/>
    <w:uiPriority w:val="0"/>
    <w:pPr>
      <w:widowControl/>
      <w:spacing w:line="240" w:lineRule="auto"/>
      <w:ind w:firstLine="0" w:firstLineChars="0"/>
      <w:jc w:val="center"/>
      <w:textAlignment w:val="center"/>
    </w:pPr>
    <w:rPr>
      <w:rFonts w:cs="Times New Roman"/>
      <w:bCs/>
      <w:color w:val="000000"/>
      <w:kern w:val="0"/>
      <w:sz w:val="21"/>
      <w:szCs w:val="40"/>
    </w:rPr>
  </w:style>
  <w:style w:type="character" w:customStyle="1" w:styleId="132">
    <w:name w:val="font61"/>
    <w:basedOn w:val="36"/>
    <w:autoRedefine/>
    <w:qFormat/>
    <w:uiPriority w:val="0"/>
    <w:rPr>
      <w:rFonts w:hint="eastAsia" w:ascii="宋体" w:hAnsi="宋体" w:eastAsia="宋体" w:cs="宋体"/>
      <w:color w:val="000000"/>
      <w:sz w:val="18"/>
      <w:szCs w:val="18"/>
      <w:u w:val="none"/>
    </w:rPr>
  </w:style>
  <w:style w:type="character" w:customStyle="1" w:styleId="133">
    <w:name w:val="font11"/>
    <w:basedOn w:val="36"/>
    <w:autoRedefine/>
    <w:qFormat/>
    <w:uiPriority w:val="0"/>
    <w:rPr>
      <w:rFonts w:hint="eastAsia" w:ascii="宋体" w:hAnsi="宋体" w:eastAsia="宋体" w:cs="宋体"/>
      <w:color w:val="000000"/>
      <w:sz w:val="22"/>
      <w:szCs w:val="22"/>
      <w:u w:val="none"/>
    </w:rPr>
  </w:style>
  <w:style w:type="paragraph" w:customStyle="1" w:styleId="134">
    <w:name w:val="_Style 32"/>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135">
    <w:name w:val="Table Normal"/>
    <w:autoRedefine/>
    <w:semiHidden/>
    <w:unhideWhenUsed/>
    <w:qFormat/>
    <w:uiPriority w:val="0"/>
    <w:tblPr>
      <w:tblCellMar>
        <w:top w:w="0" w:type="dxa"/>
        <w:left w:w="0" w:type="dxa"/>
        <w:bottom w:w="0" w:type="dxa"/>
        <w:right w:w="0" w:type="dxa"/>
      </w:tblCellMar>
    </w:tblPr>
  </w:style>
  <w:style w:type="paragraph" w:customStyle="1" w:styleId="136">
    <w:name w:val="表格文字"/>
    <w:basedOn w:val="1"/>
    <w:qFormat/>
    <w:uiPriority w:val="0"/>
    <w:pPr>
      <w:widowControl w:val="0"/>
      <w:spacing w:before="25" w:after="25"/>
      <w:jc w:val="both"/>
    </w:pPr>
    <w:rPr>
      <w:bCs/>
      <w:spacing w:val="10"/>
      <w:kern w:val="2"/>
      <w:sz w:val="21"/>
      <w:szCs w:val="20"/>
    </w:rPr>
  </w:style>
  <w:style w:type="character" w:customStyle="1" w:styleId="137">
    <w:name w:val="font21"/>
    <w:basedOn w:val="36"/>
    <w:qFormat/>
    <w:uiPriority w:val="0"/>
    <w:rPr>
      <w:rFonts w:hint="default" w:ascii="仿宋_GB2312" w:eastAsia="仿宋_GB2312" w:cs="仿宋_GB2312"/>
      <w:color w:val="000000"/>
      <w:sz w:val="22"/>
      <w:szCs w:val="22"/>
      <w:u w:val="none"/>
    </w:rPr>
  </w:style>
  <w:style w:type="character" w:customStyle="1" w:styleId="138">
    <w:name w:val="font31"/>
    <w:basedOn w:val="36"/>
    <w:qFormat/>
    <w:uiPriority w:val="0"/>
    <w:rPr>
      <w:rFonts w:hint="default" w:ascii="仿宋_GB2312" w:eastAsia="仿宋_GB2312" w:cs="仿宋_GB2312"/>
      <w:color w:val="000000"/>
      <w:sz w:val="22"/>
      <w:szCs w:val="22"/>
      <w:u w:val="none"/>
      <w:vertAlign w:val="superscript"/>
    </w:rPr>
  </w:style>
  <w:style w:type="character" w:customStyle="1" w:styleId="139">
    <w:name w:val="font41"/>
    <w:basedOn w:val="36"/>
    <w:qFormat/>
    <w:uiPriority w:val="0"/>
    <w:rPr>
      <w:rFonts w:hint="eastAsia" w:ascii="宋体" w:hAnsi="宋体" w:eastAsia="宋体" w:cs="宋体"/>
      <w:color w:val="000000"/>
      <w:sz w:val="22"/>
      <w:szCs w:val="22"/>
      <w:u w:val="none"/>
      <w:vertAlign w:val="superscript"/>
    </w:rPr>
  </w:style>
  <w:style w:type="character" w:customStyle="1" w:styleId="140">
    <w:name w:val="font71"/>
    <w:basedOn w:val="3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81</Pages>
  <Words>24480</Words>
  <Characters>25654</Characters>
  <Lines>403</Lines>
  <Paragraphs>113</Paragraphs>
  <TotalTime>309</TotalTime>
  <ScaleCrop>false</ScaleCrop>
  <LinksUpToDate>false</LinksUpToDate>
  <CharactersWithSpaces>34006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2022-08-02T03:10:00Z</dcterms:created>
  <dc:creator>李青</dc:creator>
  <cp:lastModifiedBy>我就是我，不一样的烟火</cp:lastModifiedBy>
  <cp:lastPrinted>2021-06-06T13:06:00Z</cp:lastPrinted>
  <dcterms:modified xsi:type="dcterms:W3CDTF">2025-07-01T07:45:02Z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F73EDF05E52F400C87DEA4CB83A0AC99_13</vt:lpwstr>
  </property>
  <property fmtid="{D5CDD505-2E9C-101B-9397-08002B2CF9AE}" pid="4" name="KSOTemplateDocerSaveRecord">
    <vt:lpwstr>eyJoZGlkIjoiZGEzYWM5ZWM2NjA3OWFkZmJmZjM4MzAzN2I2NmViMmYiLCJ1c2VySWQiOiI3MDkwMjQzMzAifQ==</vt:lpwstr>
  </property>
</Properties>
</file>