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1FE50">
      <w:pPr>
        <w:spacing w:line="255" w:lineRule="auto"/>
        <w:rPr>
          <w:rFonts w:hint="eastAsia" w:ascii="宋体" w:hAnsi="宋体" w:eastAsia="宋体" w:cs="宋体"/>
          <w:color w:val="auto"/>
          <w:sz w:val="21"/>
          <w:highlight w:val="none"/>
        </w:rPr>
      </w:pPr>
    </w:p>
    <w:p w14:paraId="6071EE81">
      <w:pPr>
        <w:spacing w:line="255" w:lineRule="auto"/>
        <w:rPr>
          <w:rFonts w:hint="eastAsia" w:ascii="宋体" w:hAnsi="宋体" w:eastAsia="宋体" w:cs="宋体"/>
          <w:color w:val="auto"/>
          <w:sz w:val="21"/>
          <w:highlight w:val="none"/>
        </w:rPr>
      </w:pPr>
    </w:p>
    <w:p w14:paraId="2A9DBF1A">
      <w:pPr>
        <w:spacing w:line="255" w:lineRule="auto"/>
        <w:rPr>
          <w:rFonts w:hint="eastAsia" w:ascii="宋体" w:hAnsi="宋体" w:eastAsia="宋体" w:cs="宋体"/>
          <w:color w:val="auto"/>
          <w:sz w:val="21"/>
          <w:highlight w:val="none"/>
        </w:rPr>
      </w:pPr>
    </w:p>
    <w:p w14:paraId="20A7710D">
      <w:pPr>
        <w:spacing w:line="256" w:lineRule="auto"/>
        <w:rPr>
          <w:rFonts w:hint="eastAsia" w:ascii="宋体" w:hAnsi="宋体" w:eastAsia="宋体" w:cs="宋体"/>
          <w:color w:val="auto"/>
          <w:sz w:val="21"/>
          <w:highlight w:val="none"/>
        </w:rPr>
      </w:pPr>
    </w:p>
    <w:p w14:paraId="70D12028">
      <w:pPr>
        <w:spacing w:line="256" w:lineRule="auto"/>
        <w:rPr>
          <w:rFonts w:hint="eastAsia" w:ascii="宋体" w:hAnsi="宋体" w:eastAsia="宋体" w:cs="宋体"/>
          <w:color w:val="auto"/>
          <w:sz w:val="21"/>
          <w:highlight w:val="none"/>
        </w:rPr>
      </w:pPr>
    </w:p>
    <w:p w14:paraId="0A302129">
      <w:pPr>
        <w:spacing w:line="256" w:lineRule="auto"/>
        <w:rPr>
          <w:rFonts w:hint="eastAsia" w:ascii="宋体" w:hAnsi="宋体" w:eastAsia="宋体" w:cs="宋体"/>
          <w:color w:val="auto"/>
          <w:sz w:val="21"/>
          <w:highlight w:val="none"/>
        </w:rPr>
      </w:pPr>
    </w:p>
    <w:p w14:paraId="62128471">
      <w:pPr>
        <w:spacing w:line="256" w:lineRule="auto"/>
        <w:rPr>
          <w:rFonts w:hint="eastAsia" w:ascii="宋体" w:hAnsi="宋体" w:eastAsia="宋体" w:cs="宋体"/>
          <w:color w:val="auto"/>
          <w:sz w:val="21"/>
          <w:highlight w:val="none"/>
        </w:rPr>
      </w:pPr>
    </w:p>
    <w:p w14:paraId="0B5332F7">
      <w:pPr>
        <w:spacing w:before="270" w:line="222" w:lineRule="auto"/>
        <w:jc w:val="center"/>
        <w:outlineLvl w:val="9"/>
        <w:rPr>
          <w:rFonts w:hint="eastAsia" w:ascii="宋体" w:hAnsi="宋体" w:eastAsia="宋体" w:cs="宋体"/>
          <w:color w:val="auto"/>
          <w:sz w:val="72"/>
          <w:szCs w:val="72"/>
          <w:highlight w:val="none"/>
        </w:rPr>
      </w:pPr>
      <w:r>
        <w:rPr>
          <w:rFonts w:hint="eastAsia" w:cs="Calibri" w:asciiTheme="minorEastAsia" w:hAnsiTheme="minorEastAsia"/>
          <w:b/>
          <w:color w:val="auto"/>
          <w:kern w:val="0"/>
          <w:sz w:val="72"/>
          <w:szCs w:val="72"/>
          <w:highlight w:val="none"/>
        </w:rPr>
        <w:t>政府采购竞争性谈判文件</w:t>
      </w:r>
    </w:p>
    <w:p w14:paraId="31C5A248">
      <w:pPr>
        <w:spacing w:line="247" w:lineRule="auto"/>
        <w:outlineLvl w:val="9"/>
        <w:rPr>
          <w:rFonts w:hint="eastAsia" w:ascii="宋体" w:hAnsi="宋体" w:eastAsia="宋体" w:cs="宋体"/>
          <w:color w:val="auto"/>
          <w:sz w:val="21"/>
          <w:highlight w:val="none"/>
        </w:rPr>
      </w:pPr>
    </w:p>
    <w:p w14:paraId="5461B780">
      <w:pPr>
        <w:spacing w:line="247" w:lineRule="auto"/>
        <w:outlineLvl w:val="9"/>
        <w:rPr>
          <w:rFonts w:hint="eastAsia" w:ascii="宋体" w:hAnsi="宋体" w:eastAsia="宋体" w:cs="宋体"/>
          <w:color w:val="auto"/>
          <w:sz w:val="21"/>
          <w:highlight w:val="none"/>
        </w:rPr>
      </w:pPr>
    </w:p>
    <w:p w14:paraId="17164B5A">
      <w:pPr>
        <w:spacing w:line="248" w:lineRule="auto"/>
        <w:outlineLvl w:val="9"/>
        <w:rPr>
          <w:rFonts w:hint="eastAsia" w:ascii="宋体" w:hAnsi="宋体" w:eastAsia="宋体" w:cs="宋体"/>
          <w:color w:val="auto"/>
          <w:sz w:val="21"/>
          <w:highlight w:val="none"/>
        </w:rPr>
      </w:pPr>
    </w:p>
    <w:p w14:paraId="250BE71D">
      <w:pPr>
        <w:spacing w:line="248" w:lineRule="auto"/>
        <w:outlineLvl w:val="9"/>
        <w:rPr>
          <w:rFonts w:hint="eastAsia" w:ascii="宋体" w:hAnsi="宋体" w:eastAsia="宋体" w:cs="宋体"/>
          <w:color w:val="auto"/>
          <w:sz w:val="21"/>
          <w:highlight w:val="none"/>
        </w:rPr>
      </w:pPr>
    </w:p>
    <w:p w14:paraId="250EB37A">
      <w:pPr>
        <w:spacing w:line="248" w:lineRule="auto"/>
        <w:outlineLvl w:val="9"/>
        <w:rPr>
          <w:rFonts w:hint="eastAsia" w:ascii="宋体" w:hAnsi="宋体" w:eastAsia="宋体" w:cs="宋体"/>
          <w:color w:val="auto"/>
          <w:sz w:val="21"/>
          <w:highlight w:val="none"/>
        </w:rPr>
      </w:pPr>
    </w:p>
    <w:p w14:paraId="31B362A7">
      <w:pPr>
        <w:spacing w:line="248" w:lineRule="auto"/>
        <w:outlineLvl w:val="9"/>
        <w:rPr>
          <w:rFonts w:hint="eastAsia" w:ascii="宋体" w:hAnsi="宋体" w:eastAsia="宋体" w:cs="宋体"/>
          <w:color w:val="auto"/>
          <w:sz w:val="21"/>
          <w:highlight w:val="none"/>
        </w:rPr>
      </w:pPr>
    </w:p>
    <w:p w14:paraId="44D8DFAC">
      <w:pPr>
        <w:spacing w:line="248" w:lineRule="auto"/>
        <w:outlineLvl w:val="9"/>
        <w:rPr>
          <w:rFonts w:hint="eastAsia" w:ascii="宋体" w:hAnsi="宋体" w:eastAsia="宋体" w:cs="宋体"/>
          <w:color w:val="auto"/>
          <w:sz w:val="21"/>
          <w:highlight w:val="none"/>
        </w:rPr>
      </w:pPr>
    </w:p>
    <w:p w14:paraId="3E875EB9">
      <w:pPr>
        <w:spacing w:line="248" w:lineRule="auto"/>
        <w:outlineLvl w:val="9"/>
        <w:rPr>
          <w:rFonts w:hint="eastAsia" w:ascii="宋体" w:hAnsi="宋体" w:eastAsia="宋体" w:cs="宋体"/>
          <w:color w:val="auto"/>
          <w:sz w:val="21"/>
          <w:highlight w:val="none"/>
        </w:rPr>
      </w:pPr>
    </w:p>
    <w:p w14:paraId="245B3E9B">
      <w:pPr>
        <w:spacing w:line="248" w:lineRule="auto"/>
        <w:outlineLvl w:val="9"/>
        <w:rPr>
          <w:rFonts w:hint="eastAsia" w:ascii="宋体" w:hAnsi="宋体" w:eastAsia="宋体" w:cs="宋体"/>
          <w:color w:val="auto"/>
          <w:sz w:val="21"/>
          <w:highlight w:val="none"/>
        </w:rPr>
      </w:pPr>
    </w:p>
    <w:p w14:paraId="16472643">
      <w:pPr>
        <w:spacing w:line="248" w:lineRule="auto"/>
        <w:outlineLvl w:val="9"/>
        <w:rPr>
          <w:rFonts w:hint="eastAsia" w:ascii="宋体" w:hAnsi="宋体" w:eastAsia="宋体" w:cs="宋体"/>
          <w:color w:val="auto"/>
          <w:sz w:val="21"/>
          <w:highlight w:val="none"/>
        </w:rPr>
      </w:pPr>
    </w:p>
    <w:p w14:paraId="1861926B">
      <w:pPr>
        <w:spacing w:line="248" w:lineRule="auto"/>
        <w:outlineLvl w:val="9"/>
        <w:rPr>
          <w:rFonts w:hint="eastAsia" w:ascii="宋体" w:hAnsi="宋体" w:eastAsia="宋体" w:cs="宋体"/>
          <w:color w:val="auto"/>
          <w:sz w:val="21"/>
          <w:highlight w:val="none"/>
        </w:rPr>
      </w:pPr>
    </w:p>
    <w:p w14:paraId="3B6BD1B7">
      <w:pPr>
        <w:spacing w:line="248" w:lineRule="auto"/>
        <w:outlineLvl w:val="9"/>
        <w:rPr>
          <w:rFonts w:hint="eastAsia" w:ascii="宋体" w:hAnsi="宋体" w:eastAsia="宋体" w:cs="宋体"/>
          <w:color w:val="auto"/>
          <w:sz w:val="21"/>
          <w:highlight w:val="none"/>
        </w:rPr>
      </w:pPr>
    </w:p>
    <w:p w14:paraId="1C77DE59">
      <w:pPr>
        <w:spacing w:line="248" w:lineRule="auto"/>
        <w:outlineLvl w:val="9"/>
        <w:rPr>
          <w:rFonts w:hint="eastAsia" w:ascii="宋体" w:hAnsi="宋体" w:eastAsia="宋体" w:cs="宋体"/>
          <w:color w:val="auto"/>
          <w:sz w:val="21"/>
          <w:highlight w:val="none"/>
        </w:rPr>
      </w:pPr>
    </w:p>
    <w:p w14:paraId="7C925D53">
      <w:pPr>
        <w:spacing w:line="248" w:lineRule="auto"/>
        <w:outlineLvl w:val="9"/>
        <w:rPr>
          <w:rFonts w:hint="eastAsia" w:ascii="宋体" w:hAnsi="宋体" w:eastAsia="宋体" w:cs="宋体"/>
          <w:color w:val="auto"/>
          <w:sz w:val="21"/>
          <w:highlight w:val="none"/>
        </w:rPr>
      </w:pPr>
    </w:p>
    <w:p w14:paraId="1F241A83">
      <w:pPr>
        <w:tabs>
          <w:tab w:val="left" w:pos="0"/>
        </w:tabs>
        <w:spacing w:before="114" w:line="433" w:lineRule="auto"/>
        <w:ind w:right="0" w:rightChars="0" w:firstLine="340" w:firstLineChars="100"/>
        <w:outlineLvl w:val="9"/>
        <w:rPr>
          <w:rFonts w:hint="eastAsia" w:ascii="宋体" w:hAnsi="宋体" w:eastAsia="宋体" w:cs="宋体"/>
          <w:color w:val="FF0000"/>
          <w:spacing w:val="10"/>
          <w:sz w:val="32"/>
          <w:szCs w:val="32"/>
          <w:highlight w:val="none"/>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10"/>
          <w:sz w:val="32"/>
          <w:szCs w:val="32"/>
          <w:highlight w:val="none"/>
          <w14:textOutline w14:w="6537" w14:cap="sq" w14:cmpd="sng">
            <w14:solidFill>
              <w14:srgbClr w14:val="000000"/>
            </w14:solidFill>
            <w14:prstDash w14:val="solid"/>
            <w14:bevel/>
          </w14:textOutline>
        </w:rPr>
        <w:t>采购项目名称：</w:t>
      </w:r>
      <w:r>
        <w:rPr>
          <w:rFonts w:hint="eastAsia" w:ascii="宋体" w:hAnsi="宋体" w:eastAsia="宋体" w:cs="宋体"/>
          <w:color w:val="FF0000"/>
          <w:spacing w:val="10"/>
          <w:sz w:val="32"/>
          <w:szCs w:val="32"/>
          <w:highlight w:val="none"/>
          <w:lang w:eastAsia="zh-CN"/>
          <w14:textOutline w14:w="6537" w14:cap="sq" w14:cmpd="sng">
            <w14:solidFill>
              <w14:srgbClr w14:val="000000"/>
            </w14:solidFill>
            <w14:prstDash w14:val="solid"/>
            <w14:bevel/>
          </w14:textOutline>
        </w:rPr>
        <w:t>乌兰县柯柯镇新村养殖小区配套项目（二次）</w:t>
      </w:r>
    </w:p>
    <w:p w14:paraId="6EE05635">
      <w:pPr>
        <w:spacing w:before="114" w:line="433" w:lineRule="auto"/>
        <w:ind w:right="0" w:rightChars="0" w:firstLine="340" w:firstLineChars="100"/>
        <w:outlineLvl w:val="9"/>
        <w:rPr>
          <w:rFonts w:hint="eastAsia" w:ascii="宋体" w:hAnsi="宋体" w:eastAsia="宋体" w:cs="宋体"/>
          <w:color w:val="auto"/>
          <w:spacing w:val="10"/>
          <w:sz w:val="32"/>
          <w:szCs w:val="32"/>
          <w:highlight w:val="none"/>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10"/>
          <w:sz w:val="32"/>
          <w:szCs w:val="32"/>
          <w:highlight w:val="none"/>
          <w14:textOutline w14:w="6537" w14:cap="sq" w14:cmpd="sng">
            <w14:solidFill>
              <w14:srgbClr w14:val="000000"/>
            </w14:solidFill>
            <w14:prstDash w14:val="solid"/>
            <w14:bevel/>
          </w14:textOutline>
        </w:rPr>
        <w:t>采购编号：</w:t>
      </w:r>
      <w:bookmarkStart w:id="559" w:name="_GoBack"/>
      <w:r>
        <w:rPr>
          <w:rFonts w:hint="eastAsia" w:ascii="宋体" w:hAnsi="宋体" w:eastAsia="宋体" w:cs="宋体"/>
          <w:color w:val="auto"/>
          <w:spacing w:val="10"/>
          <w:sz w:val="32"/>
          <w:szCs w:val="32"/>
          <w:highlight w:val="none"/>
          <w:lang w:val="zh-CN"/>
          <w14:textOutline w14:w="6537" w14:cap="sq" w14:cmpd="sng">
            <w14:solidFill>
              <w14:srgbClr w14:val="000000"/>
            </w14:solidFill>
            <w14:prstDash w14:val="solid"/>
            <w14:bevel/>
          </w14:textOutline>
        </w:rPr>
        <w:t>青海创研竞谈（货物）2025</w:t>
      </w:r>
      <w:bookmarkEnd w:id="559"/>
      <w:r>
        <w:rPr>
          <w:rFonts w:hint="eastAsia" w:ascii="宋体" w:hAnsi="宋体" w:eastAsia="宋体" w:cs="宋体"/>
          <w:color w:val="auto"/>
          <w:spacing w:val="10"/>
          <w:sz w:val="32"/>
          <w:szCs w:val="32"/>
          <w:highlight w:val="none"/>
          <w:lang w:val="zh-CN"/>
          <w14:textOutline w14:w="6537" w14:cap="sq" w14:cmpd="sng">
            <w14:solidFill>
              <w14:srgbClr w14:val="000000"/>
            </w14:solidFill>
            <w14:prstDash w14:val="solid"/>
            <w14:bevel/>
          </w14:textOutline>
        </w:rPr>
        <w:t>-</w:t>
      </w:r>
      <w:r>
        <w:rPr>
          <w:rFonts w:hint="eastAsia" w:ascii="宋体" w:hAnsi="宋体" w:eastAsia="宋体" w:cs="宋体"/>
          <w:color w:val="auto"/>
          <w:spacing w:val="10"/>
          <w:sz w:val="32"/>
          <w:szCs w:val="32"/>
          <w:highlight w:val="none"/>
          <w:lang w:val="en-US"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10"/>
          <w:sz w:val="32"/>
          <w:szCs w:val="32"/>
          <w:highlight w:val="none"/>
          <w:lang w:val="zh-CN"/>
          <w14:textOutline w14:w="6537" w14:cap="sq" w14:cmpd="sng">
            <w14:solidFill>
              <w14:srgbClr w14:val="000000"/>
            </w14:solidFill>
            <w14:prstDash w14:val="solid"/>
            <w14:bevel/>
          </w14:textOutline>
        </w:rPr>
        <w:t>021</w:t>
      </w:r>
    </w:p>
    <w:p w14:paraId="7D76888C">
      <w:pPr>
        <w:spacing w:before="114" w:line="433" w:lineRule="auto"/>
        <w:ind w:right="0" w:rightChars="0" w:firstLine="340" w:firstLineChars="100"/>
        <w:outlineLvl w:val="9"/>
        <w:rPr>
          <w:rFonts w:hint="eastAsia" w:ascii="宋体" w:hAnsi="宋体" w:eastAsia="宋体" w:cs="宋体"/>
          <w:color w:val="auto"/>
          <w:spacing w:val="10"/>
          <w:sz w:val="32"/>
          <w:szCs w:val="32"/>
          <w:highlight w:val="none"/>
          <w:lang w:eastAsia="zh-CN"/>
          <w14:textOutline w14:w="6537" w14:cap="sq" w14:cmpd="sng">
            <w14:solidFill>
              <w14:srgbClr w14:val="000000"/>
            </w14:solidFill>
            <w14:prstDash w14:val="solid"/>
            <w14:bevel/>
          </w14:textOutline>
        </w:rPr>
      </w:pPr>
      <w:bookmarkStart w:id="0" w:name="_Toc9589"/>
      <w:r>
        <w:rPr>
          <w:rFonts w:hint="eastAsia" w:ascii="宋体" w:hAnsi="宋体" w:eastAsia="宋体" w:cs="宋体"/>
          <w:color w:val="auto"/>
          <w:spacing w:val="10"/>
          <w:sz w:val="32"/>
          <w:szCs w:val="32"/>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10"/>
          <w:sz w:val="32"/>
          <w:szCs w:val="32"/>
          <w:highlight w:val="none"/>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color w:val="auto"/>
          <w:spacing w:val="10"/>
          <w:sz w:val="32"/>
          <w:szCs w:val="32"/>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10"/>
          <w:sz w:val="32"/>
          <w:szCs w:val="32"/>
          <w:highlight w:val="none"/>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color w:val="auto"/>
          <w:spacing w:val="10"/>
          <w:sz w:val="32"/>
          <w:szCs w:val="32"/>
          <w:highlight w:val="none"/>
          <w14:textOutline w14:w="6537" w14:cap="sq" w14:cmpd="sng">
            <w14:solidFill>
              <w14:srgbClr w14:val="000000"/>
            </w14:solidFill>
            <w14:prstDash w14:val="solid"/>
            <w14:bevel/>
          </w14:textOutline>
        </w:rPr>
        <w:t>人：</w:t>
      </w:r>
      <w:bookmarkEnd w:id="0"/>
      <w:r>
        <w:rPr>
          <w:rFonts w:hint="eastAsia" w:ascii="宋体" w:hAnsi="宋体" w:eastAsia="宋体" w:cs="宋体"/>
          <w:color w:val="auto"/>
          <w:spacing w:val="10"/>
          <w:sz w:val="32"/>
          <w:szCs w:val="32"/>
          <w:highlight w:val="none"/>
          <w:lang w:eastAsia="zh-CN"/>
          <w14:textOutline w14:w="6537" w14:cap="sq" w14:cmpd="sng">
            <w14:solidFill>
              <w14:srgbClr w14:val="000000"/>
            </w14:solidFill>
            <w14:prstDash w14:val="solid"/>
            <w14:bevel/>
          </w14:textOutline>
        </w:rPr>
        <w:t>乌兰县柯柯镇人民政府</w:t>
      </w:r>
    </w:p>
    <w:p w14:paraId="5CFDD1AA">
      <w:pPr>
        <w:spacing w:before="114" w:line="433" w:lineRule="auto"/>
        <w:ind w:right="0" w:rightChars="0" w:firstLine="340" w:firstLineChars="100"/>
        <w:outlineLvl w:val="9"/>
        <w:rPr>
          <w:rFonts w:hint="eastAsia" w:ascii="宋体" w:hAnsi="宋体" w:eastAsia="宋体" w:cs="宋体"/>
          <w:color w:val="auto"/>
          <w:spacing w:val="10"/>
          <w:sz w:val="32"/>
          <w:szCs w:val="32"/>
          <w:highlight w:val="none"/>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10"/>
          <w:sz w:val="32"/>
          <w:szCs w:val="32"/>
          <w:highlight w:val="none"/>
          <w14:textOutline w14:w="6537" w14:cap="sq" w14:cmpd="sng">
            <w14:solidFill>
              <w14:srgbClr w14:val="000000"/>
            </w14:solidFill>
            <w14:prstDash w14:val="solid"/>
            <w14:bevel/>
          </w14:textOutline>
        </w:rPr>
        <w:t>采购代理机构：</w:t>
      </w:r>
      <w:r>
        <w:rPr>
          <w:rFonts w:hint="eastAsia" w:ascii="宋体" w:hAnsi="宋体" w:eastAsia="宋体" w:cs="宋体"/>
          <w:color w:val="auto"/>
          <w:spacing w:val="10"/>
          <w:sz w:val="32"/>
          <w:szCs w:val="32"/>
          <w:highlight w:val="none"/>
          <w:lang w:eastAsia="zh-CN"/>
          <w14:textOutline w14:w="6537" w14:cap="sq" w14:cmpd="sng">
            <w14:solidFill>
              <w14:srgbClr w14:val="000000"/>
            </w14:solidFill>
            <w14:prstDash w14:val="solid"/>
            <w14:bevel/>
          </w14:textOutline>
        </w:rPr>
        <w:t>青海创研工程咨询有限公司</w:t>
      </w:r>
    </w:p>
    <w:p w14:paraId="094B160D">
      <w:pPr>
        <w:pStyle w:val="22"/>
        <w:ind w:left="0" w:leftChars="0" w:firstLine="0" w:firstLineChars="0"/>
        <w:outlineLvl w:val="9"/>
        <w:rPr>
          <w:rFonts w:hint="eastAsia" w:ascii="宋体" w:hAnsi="宋体" w:eastAsia="宋体" w:cs="宋体"/>
          <w:color w:val="auto"/>
          <w:sz w:val="32"/>
          <w:szCs w:val="32"/>
          <w:highlight w:val="none"/>
        </w:rPr>
      </w:pPr>
    </w:p>
    <w:p w14:paraId="14B8F77E">
      <w:pPr>
        <w:spacing w:line="274" w:lineRule="auto"/>
        <w:outlineLvl w:val="9"/>
        <w:rPr>
          <w:rFonts w:hint="eastAsia" w:ascii="宋体" w:hAnsi="宋体" w:eastAsia="宋体" w:cs="宋体"/>
          <w:color w:val="auto"/>
          <w:sz w:val="32"/>
          <w:szCs w:val="32"/>
          <w:highlight w:val="none"/>
        </w:rPr>
      </w:pPr>
    </w:p>
    <w:p w14:paraId="3FC0207F">
      <w:pPr>
        <w:pStyle w:val="22"/>
        <w:outlineLvl w:val="9"/>
        <w:rPr>
          <w:rFonts w:hint="eastAsia" w:ascii="宋体" w:hAnsi="宋体" w:eastAsia="宋体" w:cs="宋体"/>
          <w:color w:val="auto"/>
          <w:sz w:val="32"/>
          <w:szCs w:val="32"/>
          <w:highlight w:val="none"/>
        </w:rPr>
      </w:pPr>
    </w:p>
    <w:p w14:paraId="4714F339">
      <w:pPr>
        <w:spacing w:line="275" w:lineRule="auto"/>
        <w:outlineLvl w:val="9"/>
        <w:rPr>
          <w:rFonts w:hint="eastAsia" w:ascii="宋体" w:hAnsi="宋体" w:eastAsia="宋体" w:cs="宋体"/>
          <w:color w:val="auto"/>
          <w:sz w:val="32"/>
          <w:szCs w:val="32"/>
          <w:highlight w:val="none"/>
        </w:rPr>
      </w:pPr>
    </w:p>
    <w:p w14:paraId="780A0412">
      <w:pPr>
        <w:spacing w:before="113" w:line="225" w:lineRule="auto"/>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highlight w:val="none"/>
          <w14:textOutline w14:w="6537" w14:cap="sq" w14:cmpd="sng">
            <w14:solidFill>
              <w14:srgbClr w14:val="000000"/>
            </w14:solidFill>
            <w14:prstDash w14:val="solid"/>
            <w14:bevel/>
          </w14:textOutline>
        </w:rPr>
        <w:t>二</w:t>
      </w:r>
      <w:r>
        <w:rPr>
          <w:rFonts w:hint="eastAsia" w:ascii="宋体" w:hAnsi="宋体" w:eastAsia="宋体" w:cs="宋体"/>
          <w:color w:val="auto"/>
          <w:spacing w:val="8"/>
          <w:sz w:val="32"/>
          <w:szCs w:val="32"/>
          <w:highlight w:val="none"/>
          <w14:textOutline w14:w="6537" w14:cap="sq" w14:cmpd="sng">
            <w14:solidFill>
              <w14:srgbClr w14:val="000000"/>
            </w14:solidFill>
            <w14:prstDash w14:val="solid"/>
            <w14:bevel/>
          </w14:textOutline>
        </w:rPr>
        <w:t>〇二</w:t>
      </w:r>
      <w:r>
        <w:rPr>
          <w:rFonts w:hint="eastAsia" w:ascii="宋体" w:hAnsi="宋体" w:eastAsia="宋体" w:cs="宋体"/>
          <w:color w:val="auto"/>
          <w:spacing w:val="8"/>
          <w:sz w:val="32"/>
          <w:szCs w:val="32"/>
          <w:highlight w:val="none"/>
          <w:lang w:val="en-US" w:eastAsia="zh-CN"/>
          <w14:textOutline w14:w="6537" w14:cap="sq" w14:cmpd="sng">
            <w14:solidFill>
              <w14:srgbClr w14:val="000000"/>
            </w14:solidFill>
            <w14:prstDash w14:val="solid"/>
            <w14:bevel/>
          </w14:textOutline>
        </w:rPr>
        <w:t>五</w:t>
      </w:r>
      <w:r>
        <w:rPr>
          <w:rFonts w:hint="eastAsia" w:ascii="宋体" w:hAnsi="宋体" w:eastAsia="宋体" w:cs="宋体"/>
          <w:color w:val="auto"/>
          <w:spacing w:val="8"/>
          <w:sz w:val="32"/>
          <w:szCs w:val="32"/>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8"/>
          <w:sz w:val="32"/>
          <w:szCs w:val="32"/>
          <w:highlight w:val="none"/>
          <w:lang w:val="en-US" w:eastAsia="zh-CN"/>
          <w14:textOutline w14:w="6537" w14:cap="sq" w14:cmpd="sng">
            <w14:solidFill>
              <w14:srgbClr w14:val="000000"/>
            </w14:solidFill>
            <w14:prstDash w14:val="solid"/>
            <w14:bevel/>
          </w14:textOutline>
        </w:rPr>
        <w:t>六</w:t>
      </w:r>
      <w:r>
        <w:rPr>
          <w:rFonts w:hint="eastAsia" w:ascii="宋体" w:hAnsi="宋体" w:eastAsia="宋体" w:cs="宋体"/>
          <w:color w:val="auto"/>
          <w:spacing w:val="8"/>
          <w:sz w:val="32"/>
          <w:szCs w:val="32"/>
          <w:highlight w:val="none"/>
          <w14:textOutline w14:w="6537" w14:cap="sq" w14:cmpd="sng">
            <w14:solidFill>
              <w14:srgbClr w14:val="000000"/>
            </w14:solidFill>
            <w14:prstDash w14:val="solid"/>
            <w14:bevel/>
          </w14:textOutline>
        </w:rPr>
        <w:t>月</w:t>
      </w:r>
    </w:p>
    <w:p w14:paraId="27857D53">
      <w:pPr>
        <w:outlineLvl w:val="9"/>
        <w:rPr>
          <w:rFonts w:hint="eastAsia" w:ascii="宋体" w:hAnsi="宋体" w:eastAsia="宋体" w:cs="宋体"/>
          <w:color w:val="auto"/>
          <w:sz w:val="32"/>
          <w:szCs w:val="32"/>
          <w:highlight w:val="none"/>
        </w:rPr>
        <w:sectPr>
          <w:pgSz w:w="11850" w:h="16783"/>
          <w:pgMar w:top="1426" w:right="1465" w:bottom="0" w:left="1145" w:header="0" w:footer="0" w:gutter="0"/>
          <w:pgNumType w:fmt="decimal"/>
          <w:cols w:space="720" w:num="1"/>
        </w:sectPr>
      </w:pPr>
    </w:p>
    <w:sdt>
      <w:sdtPr>
        <w:rPr>
          <w:rFonts w:ascii="宋体" w:hAnsi="宋体" w:eastAsia="宋体" w:cs="Arial"/>
          <w:b/>
          <w:bCs/>
          <w:snapToGrid w:val="0"/>
          <w:color w:val="auto"/>
          <w:kern w:val="0"/>
          <w:sz w:val="24"/>
          <w:szCs w:val="24"/>
          <w:highlight w:val="none"/>
        </w:rPr>
        <w:id w:val="147463594"/>
        <w15:color w:val="DBDBDB"/>
        <w:docPartObj>
          <w:docPartGallery w:val="Table of Contents"/>
          <w:docPartUnique/>
        </w:docPartObj>
      </w:sdtPr>
      <w:sdtEndPr>
        <w:rPr>
          <w:rFonts w:ascii="宋体" w:hAnsi="宋体" w:eastAsia="宋体" w:cs="Arial"/>
          <w:b/>
          <w:bCs/>
          <w:snapToGrid w:val="0"/>
          <w:color w:val="auto"/>
          <w:kern w:val="0"/>
          <w:sz w:val="24"/>
          <w:szCs w:val="24"/>
          <w:highlight w:val="none"/>
        </w:rPr>
      </w:sdtEndPr>
      <w:sdtContent>
        <w:p w14:paraId="2893AB40">
          <w:pPr>
            <w:spacing w:before="0" w:beforeLines="0" w:after="0" w:afterLines="0" w:line="240" w:lineRule="auto"/>
            <w:ind w:left="0" w:leftChars="0" w:right="0" w:rightChars="0" w:firstLine="0" w:firstLineChars="0"/>
            <w:jc w:val="center"/>
            <w:rPr>
              <w:rFonts w:ascii="宋体" w:hAnsi="宋体" w:eastAsia="宋体"/>
              <w:b/>
              <w:bCs/>
              <w:color w:val="auto"/>
              <w:sz w:val="24"/>
              <w:szCs w:val="24"/>
              <w:highlight w:val="none"/>
            </w:rPr>
          </w:pPr>
          <w:r>
            <w:rPr>
              <w:rFonts w:ascii="宋体" w:hAnsi="宋体" w:eastAsia="宋体"/>
              <w:b/>
              <w:bCs/>
              <w:color w:val="auto"/>
              <w:sz w:val="24"/>
              <w:szCs w:val="24"/>
              <w:highlight w:val="none"/>
            </w:rPr>
            <w:t>目</w:t>
          </w:r>
          <w:r>
            <w:rPr>
              <w:rFonts w:hint="eastAsia" w:ascii="宋体" w:hAnsi="宋体" w:eastAsia="宋体"/>
              <w:b/>
              <w:bCs/>
              <w:color w:val="auto"/>
              <w:sz w:val="24"/>
              <w:szCs w:val="24"/>
              <w:highlight w:val="none"/>
              <w:lang w:val="en-US" w:eastAsia="zh-CN"/>
            </w:rPr>
            <w:t xml:space="preserve"> </w:t>
          </w:r>
          <w:r>
            <w:rPr>
              <w:rFonts w:ascii="宋体" w:hAnsi="宋体" w:eastAsia="宋体"/>
              <w:b/>
              <w:bCs/>
              <w:color w:val="auto"/>
              <w:sz w:val="24"/>
              <w:szCs w:val="24"/>
              <w:highlight w:val="none"/>
            </w:rPr>
            <w:t>录</w:t>
          </w:r>
        </w:p>
        <w:p w14:paraId="1577A186">
          <w:pPr>
            <w:spacing w:before="0" w:beforeLines="0" w:after="0" w:afterLines="0" w:line="240" w:lineRule="auto"/>
            <w:ind w:left="0" w:leftChars="0" w:right="0" w:rightChars="0" w:firstLine="0" w:firstLineChars="0"/>
            <w:jc w:val="center"/>
            <w:rPr>
              <w:rFonts w:ascii="宋体" w:hAnsi="宋体" w:eastAsia="宋体"/>
              <w:b/>
              <w:bCs/>
              <w:color w:val="auto"/>
              <w:sz w:val="24"/>
              <w:szCs w:val="24"/>
              <w:highlight w:val="none"/>
            </w:rPr>
          </w:pPr>
        </w:p>
        <w:p w14:paraId="6B636622">
          <w:pPr>
            <w:pStyle w:val="8"/>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"1-3" \h \u </w:instrText>
          </w:r>
          <w:r>
            <w:rPr>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_Toc5247 </w:instrText>
          </w:r>
          <w:r>
            <w:rPr>
              <w:color w:val="auto"/>
              <w:sz w:val="24"/>
              <w:szCs w:val="24"/>
              <w:highlight w:val="none"/>
            </w:rPr>
            <w:fldChar w:fldCharType="separate"/>
          </w:r>
          <w:r>
            <w:rPr>
              <w:rFonts w:hint="eastAsia" w:ascii="宋体" w:hAnsi="宋体" w:eastAsia="宋体" w:cs="宋体"/>
              <w:color w:val="auto"/>
              <w:spacing w:val="18"/>
              <w:sz w:val="24"/>
              <w:szCs w:val="24"/>
              <w:highlight w:val="none"/>
              <w14:textOutline w14:w="5793" w14:cap="sq" w14:cmpd="sng">
                <w14:solidFill>
                  <w14:srgbClr w14:val="000000"/>
                </w14:solidFill>
                <w14:prstDash w14:val="solid"/>
                <w14:bevel/>
              </w14:textOutline>
            </w:rPr>
            <w:t>第</w:t>
          </w:r>
          <w:r>
            <w:rPr>
              <w:rFonts w:hint="eastAsia" w:ascii="宋体" w:hAnsi="宋体" w:eastAsia="宋体" w:cs="宋体"/>
              <w:color w:val="auto"/>
              <w:spacing w:val="10"/>
              <w:sz w:val="24"/>
              <w:szCs w:val="24"/>
              <w:highlight w:val="none"/>
              <w14:textOutline w14:w="5793" w14:cap="sq" w14:cmpd="sng">
                <w14:solidFill>
                  <w14:srgbClr w14:val="000000"/>
                </w14:solidFill>
                <w14:prstDash w14:val="solid"/>
                <w14:bevel/>
              </w14:textOutline>
            </w:rPr>
            <w:t>一</w:t>
          </w:r>
          <w:r>
            <w:rPr>
              <w:rFonts w:hint="eastAsia" w:ascii="宋体" w:hAnsi="宋体" w:eastAsia="宋体" w:cs="宋体"/>
              <w:color w:val="auto"/>
              <w:spacing w:val="9"/>
              <w:sz w:val="24"/>
              <w:szCs w:val="24"/>
              <w:highlight w:val="none"/>
              <w14:textOutline w14:w="5793" w14:cap="sq" w14:cmpd="sng">
                <w14:solidFill>
                  <w14:srgbClr w14:val="000000"/>
                </w14:solidFill>
                <w14:prstDash w14:val="solid"/>
                <w14:bevel/>
              </w14:textOutline>
            </w:rPr>
            <w:t>部分</w:t>
          </w:r>
          <w:r>
            <w:rPr>
              <w:rFonts w:hint="eastAsia" w:ascii="宋体" w:hAnsi="宋体" w:eastAsia="宋体" w:cs="宋体"/>
              <w:color w:val="auto"/>
              <w:spacing w:val="9"/>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9"/>
              <w:sz w:val="24"/>
              <w:szCs w:val="24"/>
              <w:highlight w:val="none"/>
              <w14:textOutline w14:w="5793" w14:cap="sq" w14:cmpd="sng">
                <w14:solidFill>
                  <w14:srgbClr w14:val="000000"/>
                </w14:solidFill>
                <w14:prstDash w14:val="solid"/>
                <w14:bevel/>
              </w14:textOutline>
            </w:rPr>
            <w:t>谈判邀请/谈判须知前附表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_Toc5247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06140F7E">
          <w:pPr>
            <w:pStyle w:val="8"/>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_Toc27002 </w:instrText>
          </w:r>
          <w:r>
            <w:rPr>
              <w:color w:val="auto"/>
              <w:sz w:val="24"/>
              <w:szCs w:val="24"/>
              <w:highlight w:val="none"/>
            </w:rPr>
            <w:fldChar w:fldCharType="separate"/>
          </w:r>
          <w:r>
            <w:rPr>
              <w:rFonts w:hint="eastAsia" w:ascii="宋体" w:hAnsi="宋体" w:eastAsia="宋体" w:cs="宋体"/>
              <w:color w:val="auto"/>
              <w:spacing w:val="18"/>
              <w:sz w:val="24"/>
              <w:szCs w:val="24"/>
              <w:highlight w:val="none"/>
              <w14:textOutline w14:w="5793" w14:cap="sq" w14:cmpd="sng">
                <w14:solidFill>
                  <w14:srgbClr w14:val="000000"/>
                </w14:solidFill>
                <w14:prstDash w14:val="solid"/>
                <w14:bevel/>
              </w14:textOutline>
            </w:rPr>
            <w:t>第二部分</w:t>
          </w:r>
          <w:r>
            <w:rPr>
              <w:rFonts w:hint="eastAsia" w:ascii="宋体" w:hAnsi="宋体" w:eastAsia="宋体" w:cs="宋体"/>
              <w:color w:val="auto"/>
              <w:spacing w:val="18"/>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18"/>
              <w:sz w:val="24"/>
              <w:szCs w:val="24"/>
              <w:highlight w:val="none"/>
              <w14:textOutline w14:w="5793" w14:cap="sq" w14:cmpd="sng">
                <w14:solidFill>
                  <w14:srgbClr w14:val="000000"/>
                </w14:solidFill>
                <w14:prstDash w14:val="solid"/>
                <w14:bevel/>
              </w14:textOutline>
            </w:rPr>
            <w:t>谈判须知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_Toc27002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1185476F">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_Toc31799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一</w:t>
          </w:r>
          <w:r>
            <w:rPr>
              <w:rFonts w:hint="eastAsia" w:ascii="宋体" w:hAnsi="宋体" w:eastAsia="宋体" w:cs="宋体"/>
              <w:color w:val="auto"/>
              <w:spacing w:val="6"/>
              <w:position w:val="2"/>
              <w:sz w:val="24"/>
              <w:szCs w:val="24"/>
              <w:highlight w:val="none"/>
              <w14:textOutline w14:w="5448" w14:cap="sq" w14:cmpd="sng">
                <w14:solidFill>
                  <w14:srgbClr w14:val="000000"/>
                </w14:solidFill>
                <w14:prstDash w14:val="solid"/>
                <w14:bevel/>
              </w14:textOutline>
            </w:rPr>
            <w:t>、说明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_Toc31799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730CCECD">
          <w:pPr>
            <w:pStyle w:val="10"/>
            <w:tabs>
              <w:tab w:val="right" w:leader="dot" w:pos="9546"/>
            </w:tabs>
            <w:spacing w:line="360" w:lineRule="auto"/>
            <w:rPr>
              <w:b w:val="0"/>
              <w:bCs w:val="0"/>
              <w:color w:val="auto"/>
              <w:sz w:val="24"/>
              <w:szCs w:val="24"/>
              <w:highlight w:val="none"/>
            </w:rPr>
          </w:pPr>
          <w:r>
            <w:rPr>
              <w:b w:val="0"/>
              <w:bCs w:val="0"/>
              <w:color w:val="auto"/>
              <w:sz w:val="24"/>
              <w:szCs w:val="24"/>
              <w:highlight w:val="none"/>
            </w:rPr>
            <w:fldChar w:fldCharType="begin"/>
          </w:r>
          <w:r>
            <w:rPr>
              <w:b w:val="0"/>
              <w:bCs w:val="0"/>
              <w:color w:val="auto"/>
              <w:sz w:val="24"/>
              <w:szCs w:val="24"/>
              <w:highlight w:val="none"/>
            </w:rPr>
            <w:instrText xml:space="preserve"> HYPERLINK \l _Toc16165 </w:instrText>
          </w:r>
          <w:r>
            <w:rPr>
              <w:b w:val="0"/>
              <w:bCs w:val="0"/>
              <w:color w:val="auto"/>
              <w:sz w:val="24"/>
              <w:szCs w:val="24"/>
              <w:highlight w:val="none"/>
            </w:rPr>
            <w:fldChar w:fldCharType="separate"/>
          </w:r>
          <w:r>
            <w:rPr>
              <w:rFonts w:hint="eastAsia" w:ascii="宋体" w:hAnsi="宋体" w:eastAsia="宋体" w:cs="宋体"/>
              <w:b w:val="0"/>
              <w:bCs w:val="0"/>
              <w:color w:val="auto"/>
              <w:spacing w:val="-1"/>
              <w:sz w:val="24"/>
              <w:szCs w:val="24"/>
              <w:highlight w:val="none"/>
              <w14:textOutline w14:w="5103" w14:cap="sq" w14:cmpd="sng">
                <w14:solidFill>
                  <w14:srgbClr w14:val="000000"/>
                </w14:solidFill>
                <w14:prstDash w14:val="solid"/>
                <w14:bevel/>
              </w14:textOutline>
            </w:rPr>
            <w:t>1.适用范围</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_Toc16165 \h </w:instrText>
          </w:r>
          <w:r>
            <w:rPr>
              <w:b w:val="0"/>
              <w:bCs w:val="0"/>
              <w:color w:val="auto"/>
              <w:sz w:val="24"/>
              <w:szCs w:val="24"/>
              <w:highlight w:val="none"/>
            </w:rPr>
            <w:fldChar w:fldCharType="separate"/>
          </w:r>
          <w:r>
            <w:rPr>
              <w:b w:val="0"/>
              <w:bCs w:val="0"/>
              <w:color w:val="auto"/>
              <w:sz w:val="24"/>
              <w:szCs w:val="24"/>
              <w:highlight w:val="none"/>
            </w:rPr>
            <w:t>4</w:t>
          </w:r>
          <w:r>
            <w:rPr>
              <w:b w:val="0"/>
              <w:bCs w:val="0"/>
              <w:color w:val="auto"/>
              <w:sz w:val="24"/>
              <w:szCs w:val="24"/>
              <w:highlight w:val="none"/>
            </w:rPr>
            <w:fldChar w:fldCharType="end"/>
          </w:r>
          <w:r>
            <w:rPr>
              <w:b w:val="0"/>
              <w:bCs w:val="0"/>
              <w:color w:val="auto"/>
              <w:sz w:val="24"/>
              <w:szCs w:val="24"/>
              <w:highlight w:val="none"/>
            </w:rPr>
            <w:fldChar w:fldCharType="end"/>
          </w:r>
        </w:p>
        <w:p w14:paraId="3F32D7EF">
          <w:pPr>
            <w:pStyle w:val="10"/>
            <w:tabs>
              <w:tab w:val="right" w:leader="dot" w:pos="9546"/>
            </w:tabs>
            <w:spacing w:line="360" w:lineRule="auto"/>
            <w:rPr>
              <w:b w:val="0"/>
              <w:bCs w:val="0"/>
              <w:color w:val="auto"/>
              <w:sz w:val="24"/>
              <w:szCs w:val="24"/>
              <w:highlight w:val="none"/>
            </w:rPr>
          </w:pPr>
          <w:r>
            <w:rPr>
              <w:b w:val="0"/>
              <w:bCs w:val="0"/>
              <w:color w:val="auto"/>
              <w:sz w:val="24"/>
              <w:szCs w:val="24"/>
              <w:highlight w:val="none"/>
            </w:rPr>
            <w:fldChar w:fldCharType="begin"/>
          </w:r>
          <w:r>
            <w:rPr>
              <w:b w:val="0"/>
              <w:bCs w:val="0"/>
              <w:color w:val="auto"/>
              <w:sz w:val="24"/>
              <w:szCs w:val="24"/>
              <w:highlight w:val="none"/>
            </w:rPr>
            <w:instrText xml:space="preserve"> HYPERLINK \l _Toc13403 </w:instrText>
          </w:r>
          <w:r>
            <w:rPr>
              <w:b w:val="0"/>
              <w:bCs w:val="0"/>
              <w:color w:val="auto"/>
              <w:sz w:val="24"/>
              <w:szCs w:val="24"/>
              <w:highlight w:val="none"/>
            </w:rPr>
            <w:fldChar w:fldCharType="separate"/>
          </w:r>
          <w:r>
            <w:rPr>
              <w:rFonts w:hint="eastAsia" w:ascii="宋体" w:hAnsi="宋体" w:eastAsia="宋体" w:cs="宋体"/>
              <w:b w:val="0"/>
              <w:bCs w:val="0"/>
              <w:color w:val="auto"/>
              <w:spacing w:val="-1"/>
              <w:sz w:val="24"/>
              <w:szCs w:val="24"/>
              <w:highlight w:val="none"/>
              <w14:textOutline w14:w="5103" w14:cap="sq" w14:cmpd="sng">
                <w14:solidFill>
                  <w14:srgbClr w14:val="000000"/>
                </w14:solidFill>
                <w14:prstDash w14:val="solid"/>
                <w14:bevel/>
              </w14:textOutline>
            </w:rPr>
            <w:t>2.采购人及代理机构</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_Toc13403 \h </w:instrText>
          </w:r>
          <w:r>
            <w:rPr>
              <w:b w:val="0"/>
              <w:bCs w:val="0"/>
              <w:color w:val="auto"/>
              <w:sz w:val="24"/>
              <w:szCs w:val="24"/>
              <w:highlight w:val="none"/>
            </w:rPr>
            <w:fldChar w:fldCharType="separate"/>
          </w:r>
          <w:r>
            <w:rPr>
              <w:b w:val="0"/>
              <w:bCs w:val="0"/>
              <w:color w:val="auto"/>
              <w:sz w:val="24"/>
              <w:szCs w:val="24"/>
              <w:highlight w:val="none"/>
            </w:rPr>
            <w:t>4</w:t>
          </w:r>
          <w:r>
            <w:rPr>
              <w:b w:val="0"/>
              <w:bCs w:val="0"/>
              <w:color w:val="auto"/>
              <w:sz w:val="24"/>
              <w:szCs w:val="24"/>
              <w:highlight w:val="none"/>
            </w:rPr>
            <w:fldChar w:fldCharType="end"/>
          </w:r>
          <w:r>
            <w:rPr>
              <w:b w:val="0"/>
              <w:bCs w:val="0"/>
              <w:color w:val="auto"/>
              <w:sz w:val="24"/>
              <w:szCs w:val="24"/>
              <w:highlight w:val="none"/>
            </w:rPr>
            <w:fldChar w:fldCharType="end"/>
          </w:r>
        </w:p>
        <w:p w14:paraId="165F4BF6">
          <w:pPr>
            <w:pStyle w:val="10"/>
            <w:tabs>
              <w:tab w:val="right" w:leader="dot" w:pos="9546"/>
            </w:tabs>
            <w:spacing w:line="360" w:lineRule="auto"/>
            <w:rPr>
              <w:b w:val="0"/>
              <w:bCs w:val="0"/>
              <w:color w:val="auto"/>
              <w:sz w:val="24"/>
              <w:szCs w:val="24"/>
              <w:highlight w:val="none"/>
            </w:rPr>
          </w:pPr>
          <w:r>
            <w:rPr>
              <w:b w:val="0"/>
              <w:bCs w:val="0"/>
              <w:color w:val="auto"/>
              <w:sz w:val="24"/>
              <w:szCs w:val="24"/>
              <w:highlight w:val="none"/>
            </w:rPr>
            <w:fldChar w:fldCharType="begin"/>
          </w:r>
          <w:r>
            <w:rPr>
              <w:b w:val="0"/>
              <w:bCs w:val="0"/>
              <w:color w:val="auto"/>
              <w:sz w:val="24"/>
              <w:szCs w:val="24"/>
              <w:highlight w:val="none"/>
            </w:rPr>
            <w:instrText xml:space="preserve"> HYPERLINK \l _Toc19560 </w:instrText>
          </w:r>
          <w:r>
            <w:rPr>
              <w:b w:val="0"/>
              <w:bCs w:val="0"/>
              <w:color w:val="auto"/>
              <w:sz w:val="24"/>
              <w:szCs w:val="24"/>
              <w:highlight w:val="none"/>
            </w:rPr>
            <w:fldChar w:fldCharType="separate"/>
          </w:r>
          <w:r>
            <w:rPr>
              <w:rFonts w:hint="eastAsia" w:ascii="宋体" w:hAnsi="宋体" w:eastAsia="宋体" w:cs="宋体"/>
              <w:b w:val="0"/>
              <w:bCs w:val="0"/>
              <w:color w:val="auto"/>
              <w:spacing w:val="-1"/>
              <w:sz w:val="24"/>
              <w:szCs w:val="24"/>
              <w:highlight w:val="none"/>
              <w14:textOutline w14:w="5103" w14:cap="sq" w14:cmpd="sng">
                <w14:solidFill>
                  <w14:srgbClr w14:val="000000"/>
                </w14:solidFill>
                <w14:prstDash w14:val="solid"/>
                <w14:bevel/>
              </w14:textOutline>
            </w:rPr>
            <w:t>3.供应商的资格要求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_Toc19560 \h </w:instrText>
          </w:r>
          <w:r>
            <w:rPr>
              <w:b w:val="0"/>
              <w:bCs w:val="0"/>
              <w:color w:val="auto"/>
              <w:sz w:val="24"/>
              <w:szCs w:val="24"/>
              <w:highlight w:val="none"/>
            </w:rPr>
            <w:fldChar w:fldCharType="separate"/>
          </w:r>
          <w:r>
            <w:rPr>
              <w:b w:val="0"/>
              <w:bCs w:val="0"/>
              <w:color w:val="auto"/>
              <w:sz w:val="24"/>
              <w:szCs w:val="24"/>
              <w:highlight w:val="none"/>
            </w:rPr>
            <w:t>4</w:t>
          </w:r>
          <w:r>
            <w:rPr>
              <w:b w:val="0"/>
              <w:bCs w:val="0"/>
              <w:color w:val="auto"/>
              <w:sz w:val="24"/>
              <w:szCs w:val="24"/>
              <w:highlight w:val="none"/>
            </w:rPr>
            <w:fldChar w:fldCharType="end"/>
          </w:r>
          <w:r>
            <w:rPr>
              <w:b w:val="0"/>
              <w:bCs w:val="0"/>
              <w:color w:val="auto"/>
              <w:sz w:val="24"/>
              <w:szCs w:val="24"/>
              <w:highlight w:val="none"/>
            </w:rPr>
            <w:fldChar w:fldCharType="end"/>
          </w:r>
        </w:p>
        <w:p w14:paraId="0CC4417E">
          <w:pPr>
            <w:pStyle w:val="10"/>
            <w:tabs>
              <w:tab w:val="right" w:leader="dot" w:pos="9546"/>
            </w:tabs>
            <w:spacing w:line="360" w:lineRule="auto"/>
            <w:rPr>
              <w:color w:val="auto"/>
              <w:sz w:val="24"/>
              <w:szCs w:val="24"/>
              <w:highlight w:val="none"/>
            </w:rPr>
          </w:pPr>
          <w:r>
            <w:rPr>
              <w:b w:val="0"/>
              <w:bCs w:val="0"/>
              <w:color w:val="auto"/>
              <w:sz w:val="24"/>
              <w:szCs w:val="24"/>
              <w:highlight w:val="none"/>
            </w:rPr>
            <w:fldChar w:fldCharType="begin"/>
          </w:r>
          <w:r>
            <w:rPr>
              <w:b w:val="0"/>
              <w:bCs w:val="0"/>
              <w:color w:val="auto"/>
              <w:sz w:val="24"/>
              <w:szCs w:val="24"/>
              <w:highlight w:val="none"/>
            </w:rPr>
            <w:instrText xml:space="preserve"> HYPERLINK \l _Toc18471 </w:instrText>
          </w:r>
          <w:r>
            <w:rPr>
              <w:b w:val="0"/>
              <w:bCs w:val="0"/>
              <w:color w:val="auto"/>
              <w:sz w:val="24"/>
              <w:szCs w:val="24"/>
              <w:highlight w:val="none"/>
            </w:rPr>
            <w:fldChar w:fldCharType="separate"/>
          </w:r>
          <w:r>
            <w:rPr>
              <w:rFonts w:hint="eastAsia" w:ascii="宋体" w:hAnsi="宋体" w:eastAsia="宋体" w:cs="宋体"/>
              <w:b w:val="0"/>
              <w:bCs w:val="0"/>
              <w:color w:val="auto"/>
              <w:spacing w:val="-1"/>
              <w:sz w:val="24"/>
              <w:szCs w:val="24"/>
              <w:highlight w:val="none"/>
              <w14:textOutline w14:w="5103" w14:cap="sq" w14:cmpd="sng">
                <w14:solidFill>
                  <w14:srgbClr w14:val="000000"/>
                </w14:solidFill>
                <w14:prstDash w14:val="solid"/>
                <w14:bevel/>
              </w14:textOutline>
            </w:rPr>
            <w:t>4.谈判费用</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_Toc18471 \h </w:instrText>
          </w:r>
          <w:r>
            <w:rPr>
              <w:b w:val="0"/>
              <w:bCs w:val="0"/>
              <w:color w:val="auto"/>
              <w:sz w:val="24"/>
              <w:szCs w:val="24"/>
              <w:highlight w:val="none"/>
            </w:rPr>
            <w:fldChar w:fldCharType="separate"/>
          </w:r>
          <w:r>
            <w:rPr>
              <w:b w:val="0"/>
              <w:bCs w:val="0"/>
              <w:color w:val="auto"/>
              <w:sz w:val="24"/>
              <w:szCs w:val="24"/>
              <w:highlight w:val="none"/>
            </w:rPr>
            <w:t>4</w:t>
          </w:r>
          <w:r>
            <w:rPr>
              <w:b w:val="0"/>
              <w:bCs w:val="0"/>
              <w:color w:val="auto"/>
              <w:sz w:val="24"/>
              <w:szCs w:val="24"/>
              <w:highlight w:val="none"/>
            </w:rPr>
            <w:fldChar w:fldCharType="end"/>
          </w:r>
          <w:r>
            <w:rPr>
              <w:b w:val="0"/>
              <w:bCs w:val="0"/>
              <w:color w:val="auto"/>
              <w:sz w:val="24"/>
              <w:szCs w:val="24"/>
              <w:highlight w:val="none"/>
            </w:rPr>
            <w:fldChar w:fldCharType="end"/>
          </w:r>
        </w:p>
        <w:p w14:paraId="036D577D">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_Toc18534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二、谈判文件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_Toc18534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51037987">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_Toc28576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5.谈判文件的组成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_Toc28576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2016F22A">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_Toc15039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6.谈判文件的澄清或者修改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_Toc15039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6634E89B">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_Toc11500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7.谈判文件的询问或质疑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_Toc11500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568D3DAB">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_Toc23031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三、响应文件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_Toc23031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19A1DA93">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_Toc3470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8.一般要求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_Toc3470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7085C8E6">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_Toc12881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9.报价要求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_Toc12881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77BE8117">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_Toc30306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10.保证金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_Toc30306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151738C7">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_Toc82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11.响应文件的组成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_Toc82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14:paraId="58DE1B34">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_Toc22664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12.响应文件有效期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_Toc22664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14:paraId="6C91F895">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_Toc17541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13.响应文件的签署及规定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_Toc17541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14:paraId="5624AC34">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_Toc24227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四、响应文件的递交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_Toc24227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14:paraId="7B2E4804">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_Toc569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14.响应文件的密封和标记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_Toc569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14:paraId="214C7FEC">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_Toc23831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15.响应文件的递交与接收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_Toc23831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14:paraId="58FC7583">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_Toc26956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16.响应文件的补充、修改或者撤回</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_Toc26956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14:paraId="1C04F4AB">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_Toc25898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五、响应文件的评审与谈判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_Toc25898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14:paraId="7ACBFD7C">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_Toc27465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17.谈判小组</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_Toc27465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14:paraId="5FB2319B">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_Toc6706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18.响应文件审查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_Toc6706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color w:val="auto"/>
              <w:sz w:val="24"/>
              <w:szCs w:val="24"/>
              <w:highlight w:val="none"/>
            </w:rPr>
            <w:fldChar w:fldCharType="end"/>
          </w:r>
        </w:p>
        <w:p w14:paraId="18FD134A">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_Toc32343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19.谈判程序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_Toc32343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color w:val="auto"/>
              <w:sz w:val="24"/>
              <w:szCs w:val="24"/>
              <w:highlight w:val="none"/>
            </w:rPr>
            <w:fldChar w:fldCharType="end"/>
          </w:r>
        </w:p>
        <w:p w14:paraId="6545AAF1">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_Toc8505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20.澄清</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_Toc8505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14:paraId="2BCF305C">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_Toc9426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21.退出谈判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_Toc9426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14:paraId="59B37C04">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_Toc1725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22.最后报价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_Toc1725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14:paraId="74DEB175">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_Toc18056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23.确定成交供应商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_Toc18056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14:paraId="2D7E69F6">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_Toc4983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24.重新评审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_Toc4983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6645E1F8">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_Toc4326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25.谈判终止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_Toc4326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6B9E63B2">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_Toc4175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26.串通情形认定及处理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_Toc4175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48CC90AE">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_Toc32166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六、成交结果信息公布与授予合同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_Toc32166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14:paraId="19817CFD">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_Toc15070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27.成交信息的公布与通知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_Toc15070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14:paraId="5673D47C">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_Toc23472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28.授予合同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_Toc23472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color w:val="auto"/>
              <w:sz w:val="24"/>
              <w:szCs w:val="24"/>
              <w:highlight w:val="none"/>
            </w:rPr>
            <w:fldChar w:fldCharType="end"/>
          </w:r>
        </w:p>
        <w:p w14:paraId="19A4D4DE">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_Toc30520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29.履约验收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_Toc30520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color w:val="auto"/>
              <w:sz w:val="24"/>
              <w:szCs w:val="24"/>
              <w:highlight w:val="none"/>
            </w:rPr>
            <w:fldChar w:fldCharType="end"/>
          </w:r>
        </w:p>
        <w:p w14:paraId="56294462">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_Toc21588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七、询问与质疑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_Toc21588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14:paraId="774CA36A">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_Toc28884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30.对采购过程、结果的询问及质疑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_Toc28884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14:paraId="208E3B2C">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_Toc30471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八、政府采购政策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_Toc30471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14:paraId="61177F10">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_Toc11203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31.政府采购政策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_Toc11203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14:paraId="6093F63A">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_Toc26692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九、其他规定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_Toc26692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14:paraId="08269DD5">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_Toc20632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32.代理服务费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_Toc20632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14:paraId="3C280CB7">
          <w:pPr>
            <w:pStyle w:val="10"/>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_Toc29763 </w:instrText>
          </w:r>
          <w:r>
            <w:rPr>
              <w:color w:val="auto"/>
              <w:sz w:val="24"/>
              <w:szCs w:val="24"/>
              <w:highlight w:val="none"/>
            </w:rPr>
            <w:fldChar w:fldCharType="separate"/>
          </w: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33.其他规定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_Toc29763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14:paraId="6539EF63">
          <w:pPr>
            <w:pStyle w:val="8"/>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_Toc4280 </w:instrText>
          </w:r>
          <w:r>
            <w:rPr>
              <w:color w:val="auto"/>
              <w:sz w:val="24"/>
              <w:szCs w:val="24"/>
              <w:highlight w:val="none"/>
            </w:rPr>
            <w:fldChar w:fldCharType="separate"/>
          </w:r>
          <w:r>
            <w:rPr>
              <w:rFonts w:hint="eastAsia" w:ascii="宋体" w:hAnsi="宋体" w:eastAsia="宋体" w:cs="宋体"/>
              <w:color w:val="auto"/>
              <w:spacing w:val="18"/>
              <w:sz w:val="24"/>
              <w:szCs w:val="24"/>
              <w:highlight w:val="none"/>
              <w14:textOutline w14:w="5793" w14:cap="sq" w14:cmpd="sng">
                <w14:solidFill>
                  <w14:srgbClr w14:val="000000"/>
                </w14:solidFill>
                <w14:prstDash w14:val="solid"/>
                <w14:bevel/>
              </w14:textOutline>
            </w:rPr>
            <w:t>第三部分</w:t>
          </w:r>
          <w:r>
            <w:rPr>
              <w:rFonts w:hint="eastAsia" w:ascii="宋体" w:hAnsi="宋体" w:eastAsia="宋体" w:cs="宋体"/>
              <w:color w:val="auto"/>
              <w:spacing w:val="18"/>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18"/>
              <w:sz w:val="24"/>
              <w:szCs w:val="24"/>
              <w:highlight w:val="none"/>
              <w14:textOutline w14:w="5793" w14:cap="sq" w14:cmpd="sng">
                <w14:solidFill>
                  <w14:srgbClr w14:val="000000"/>
                </w14:solidFill>
                <w14:prstDash w14:val="solid"/>
                <w14:bevel/>
              </w14:textOutline>
            </w:rPr>
            <w:t>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_Toc4280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14:paraId="029507E9">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_Toc3240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14:textOutline w14:w="5448" w14:cap="sq" w14:cmpd="sng">
                <w14:solidFill>
                  <w14:srgbClr w14:val="000000"/>
                </w14:solidFill>
                <w14:prstDash w14:val="solid"/>
                <w14:bevel/>
              </w14:textOutline>
            </w:rPr>
            <w:t>十、响应说明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_Toc3240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14:paraId="3F7321E7">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_Toc11744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lang w:val="zh-CN" w:eastAsia="zh-CN"/>
              <w14:textOutline w14:w="5448" w14:cap="sq" w14:cmpd="sng">
                <w14:solidFill>
                  <w14:srgbClr w14:val="000000"/>
                </w14:solidFill>
                <w14:prstDash w14:val="solid"/>
                <w14:bevel/>
              </w14:textOutline>
            </w:rPr>
            <w:t>十一、重要指标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_Toc11744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4F95F19B">
          <w:pPr>
            <w:pStyle w:val="8"/>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_Toc12368 </w:instrText>
          </w:r>
          <w:r>
            <w:rPr>
              <w:color w:val="auto"/>
              <w:sz w:val="24"/>
              <w:szCs w:val="24"/>
              <w:highlight w:val="none"/>
            </w:rPr>
            <w:fldChar w:fldCharType="separate"/>
          </w:r>
          <w:r>
            <w:rPr>
              <w:rFonts w:hint="eastAsia" w:ascii="宋体" w:hAnsi="宋体" w:eastAsia="宋体" w:cs="宋体"/>
              <w:color w:val="auto"/>
              <w:spacing w:val="18"/>
              <w:sz w:val="24"/>
              <w:szCs w:val="24"/>
              <w:highlight w:val="none"/>
              <w:lang w:eastAsia="zh-CN"/>
              <w14:textOutline w14:w="5793" w14:cap="sq" w14:cmpd="sng">
                <w14:solidFill>
                  <w14:srgbClr w14:val="000000"/>
                </w14:solidFill>
                <w14:prstDash w14:val="solid"/>
                <w14:bevel/>
              </w14:textOutline>
            </w:rPr>
            <w:t>第四部分</w:t>
          </w:r>
          <w:r>
            <w:rPr>
              <w:rFonts w:hint="eastAsia" w:ascii="宋体" w:hAnsi="宋体" w:eastAsia="宋体" w:cs="宋体"/>
              <w:color w:val="auto"/>
              <w:spacing w:val="18"/>
              <w:sz w:val="24"/>
              <w:szCs w:val="24"/>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18"/>
              <w:sz w:val="24"/>
              <w:szCs w:val="24"/>
              <w:highlight w:val="none"/>
              <w:lang w:eastAsia="zh-CN"/>
              <w14:textOutline w14:w="5793" w14:cap="sq" w14:cmpd="sng">
                <w14:solidFill>
                  <w14:srgbClr w14:val="000000"/>
                </w14:solidFill>
                <w14:prstDash w14:val="solid"/>
                <w14:bevel/>
              </w14:textOutline>
            </w:rPr>
            <w:t>谈判响应文件格式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_Toc12368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color w:val="auto"/>
              <w:sz w:val="24"/>
              <w:szCs w:val="24"/>
              <w:highlight w:val="none"/>
            </w:rPr>
            <w:fldChar w:fldCharType="end"/>
          </w:r>
        </w:p>
        <w:p w14:paraId="5AB0C989">
          <w:pPr>
            <w:pStyle w:val="14"/>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_Toc18213 </w:instrText>
          </w:r>
          <w:r>
            <w:rPr>
              <w:color w:val="auto"/>
              <w:sz w:val="24"/>
              <w:szCs w:val="24"/>
              <w:highlight w:val="none"/>
            </w:rPr>
            <w:fldChar w:fldCharType="separate"/>
          </w:r>
          <w:r>
            <w:rPr>
              <w:rFonts w:hint="eastAsia" w:ascii="宋体" w:hAnsi="宋体" w:eastAsia="宋体" w:cs="宋体"/>
              <w:color w:val="auto"/>
              <w:spacing w:val="7"/>
              <w:position w:val="2"/>
              <w:sz w:val="24"/>
              <w:szCs w:val="24"/>
              <w:highlight w:val="none"/>
              <w:lang w:val="en-US" w:eastAsia="zh-CN"/>
              <w14:textOutline w14:w="5448" w14:cap="sq" w14:cmpd="sng">
                <w14:solidFill>
                  <w14:srgbClr w14:val="000000"/>
                </w14:solidFill>
                <w14:prstDash w14:val="solid"/>
                <w14:bevel/>
              </w14:textOutline>
            </w:rPr>
            <w:t>十二、谈判响应文件的组成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_Toc18213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color w:val="auto"/>
              <w:sz w:val="24"/>
              <w:szCs w:val="24"/>
              <w:highlight w:val="none"/>
            </w:rPr>
            <w:fldChar w:fldCharType="end"/>
          </w:r>
        </w:p>
        <w:p w14:paraId="4AFF0254">
          <w:pPr>
            <w:pStyle w:val="8"/>
            <w:tabs>
              <w:tab w:val="right" w:leader="dot" w:pos="9546"/>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_Toc30441 </w:instrText>
          </w:r>
          <w:r>
            <w:rPr>
              <w:color w:val="auto"/>
              <w:sz w:val="24"/>
              <w:szCs w:val="24"/>
              <w:highlight w:val="none"/>
            </w:rPr>
            <w:fldChar w:fldCharType="separate"/>
          </w:r>
          <w:r>
            <w:rPr>
              <w:rFonts w:hint="eastAsia" w:ascii="宋体" w:hAnsi="宋体" w:eastAsia="宋体" w:cs="宋体"/>
              <w:color w:val="auto"/>
              <w:spacing w:val="18"/>
              <w:sz w:val="24"/>
              <w:szCs w:val="24"/>
              <w:highlight w:val="none"/>
              <w:lang w:eastAsia="zh-CN"/>
              <w14:textOutline w14:w="5793" w14:cap="sq" w14:cmpd="sng">
                <w14:solidFill>
                  <w14:srgbClr w14:val="000000"/>
                </w14:solidFill>
                <w14:prstDash w14:val="solid"/>
                <w14:bevel/>
              </w14:textOutline>
            </w:rPr>
            <w:t>第五部分</w:t>
          </w:r>
          <w:r>
            <w:rPr>
              <w:rFonts w:hint="eastAsia" w:ascii="宋体" w:hAnsi="宋体" w:eastAsia="宋体" w:cs="宋体"/>
              <w:color w:val="auto"/>
              <w:spacing w:val="18"/>
              <w:sz w:val="24"/>
              <w:szCs w:val="24"/>
              <w:highlight w:val="none"/>
              <w14:textOutline w14:w="5793" w14:cap="sq" w14:cmpd="sng">
                <w14:solidFill>
                  <w14:srgbClr w14:val="000000"/>
                </w14:solidFill>
                <w14:prstDash w14:val="solid"/>
                <w14:bevel/>
              </w14:textOutline>
            </w:rPr>
            <w:t xml:space="preserve"> 青海省政府采购项目合同书范本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_Toc30441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color w:val="auto"/>
              <w:sz w:val="24"/>
              <w:szCs w:val="24"/>
              <w:highlight w:val="none"/>
            </w:rPr>
            <w:fldChar w:fldCharType="end"/>
          </w:r>
        </w:p>
        <w:p w14:paraId="424AF4E6">
          <w:pPr>
            <w:rPr>
              <w:color w:val="auto"/>
              <w:highlight w:val="none"/>
            </w:rPr>
          </w:pPr>
          <w:r>
            <w:rPr>
              <w:color w:val="auto"/>
              <w:sz w:val="24"/>
              <w:szCs w:val="24"/>
              <w:highlight w:val="none"/>
            </w:rPr>
            <w:fldChar w:fldCharType="end"/>
          </w:r>
        </w:p>
      </w:sdtContent>
    </w:sdt>
    <w:p w14:paraId="6BAECD06">
      <w:pPr>
        <w:spacing w:before="63" w:line="225" w:lineRule="auto"/>
        <w:jc w:val="center"/>
        <w:outlineLvl w:val="0"/>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sectPr>
          <w:footerReference r:id="rId5" w:type="default"/>
          <w:pgSz w:w="11850" w:h="16783"/>
          <w:pgMar w:top="1134" w:right="1152" w:bottom="960" w:left="1152" w:header="0" w:footer="718" w:gutter="0"/>
          <w:pgNumType w:fmt="decimal" w:start="1"/>
          <w:cols w:space="720" w:num="1"/>
        </w:sectPr>
      </w:pPr>
    </w:p>
    <w:p w14:paraId="5E231000">
      <w:pPr>
        <w:spacing w:before="63" w:line="225" w:lineRule="auto"/>
        <w:jc w:val="center"/>
        <w:outlineLvl w:val="0"/>
        <w:rPr>
          <w:rFonts w:hint="eastAsia" w:ascii="宋体" w:hAnsi="宋体" w:eastAsia="宋体" w:cs="宋体"/>
          <w:color w:val="auto"/>
          <w:sz w:val="32"/>
          <w:szCs w:val="32"/>
          <w:highlight w:val="none"/>
        </w:rPr>
      </w:pPr>
      <w:bookmarkStart w:id="1" w:name="_Toc5247"/>
      <w:r>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t>第</w:t>
      </w:r>
      <w:r>
        <w:rPr>
          <w:rFonts w:hint="eastAsia" w:ascii="宋体" w:hAnsi="宋体" w:eastAsia="宋体" w:cs="宋体"/>
          <w:color w:val="auto"/>
          <w:spacing w:val="10"/>
          <w:sz w:val="32"/>
          <w:szCs w:val="32"/>
          <w:highlight w:val="none"/>
          <w14:textOutline w14:w="5793" w14:cap="sq" w14:cmpd="sng">
            <w14:solidFill>
              <w14:srgbClr w14:val="000000"/>
            </w14:solidFill>
            <w14:prstDash w14:val="solid"/>
            <w14:bevel/>
          </w14:textOutline>
        </w:rPr>
        <w:t>一</w:t>
      </w:r>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部分</w:t>
      </w:r>
      <w:r>
        <w:rPr>
          <w:rFonts w:hint="eastAsia" w:ascii="宋体" w:hAnsi="宋体" w:eastAsia="宋体" w:cs="宋体"/>
          <w:color w:val="auto"/>
          <w:spacing w:val="9"/>
          <w:sz w:val="32"/>
          <w:szCs w:val="32"/>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谈判邀请/谈判须知前附表</w:t>
      </w:r>
      <w:bookmarkEnd w:id="1"/>
    </w:p>
    <w:p w14:paraId="01D7C0BA">
      <w:pPr>
        <w:spacing w:line="47" w:lineRule="exact"/>
        <w:rPr>
          <w:rFonts w:hint="eastAsia" w:ascii="宋体" w:hAnsi="宋体" w:eastAsia="宋体" w:cs="宋体"/>
          <w:color w:val="auto"/>
          <w:sz w:val="21"/>
          <w:szCs w:val="21"/>
          <w:highlight w:val="none"/>
        </w:rPr>
      </w:pPr>
    </w:p>
    <w:tbl>
      <w:tblPr>
        <w:tblStyle w:val="25"/>
        <w:tblW w:w="9959"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7"/>
        <w:gridCol w:w="6782"/>
      </w:tblGrid>
      <w:tr w14:paraId="7C100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77" w:type="dxa"/>
            <w:vAlign w:val="top"/>
          </w:tcPr>
          <w:p w14:paraId="34734EE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采购项目名称</w:t>
            </w:r>
          </w:p>
        </w:tc>
        <w:tc>
          <w:tcPr>
            <w:tcW w:w="6782" w:type="dxa"/>
            <w:vAlign w:val="top"/>
          </w:tcPr>
          <w:p w14:paraId="75D7A902">
            <w:pPr>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乌兰县柯柯镇新村养殖小区配套项目（二次）</w:t>
            </w:r>
            <w:r>
              <w:rPr>
                <w:rFonts w:hint="eastAsia" w:ascii="宋体" w:hAnsi="宋体" w:eastAsia="宋体" w:cs="宋体"/>
                <w:color w:val="auto"/>
                <w:sz w:val="24"/>
                <w:szCs w:val="24"/>
                <w:highlight w:val="none"/>
                <w:lang w:eastAsia="zh-CN"/>
              </w:rPr>
              <w:tab/>
            </w:r>
          </w:p>
        </w:tc>
      </w:tr>
      <w:tr w14:paraId="111FD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77" w:type="dxa"/>
            <w:vAlign w:val="top"/>
          </w:tcPr>
          <w:p w14:paraId="43ABFDE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采购项目编号</w:t>
            </w:r>
          </w:p>
        </w:tc>
        <w:tc>
          <w:tcPr>
            <w:tcW w:w="6782" w:type="dxa"/>
            <w:vAlign w:val="top"/>
          </w:tcPr>
          <w:p w14:paraId="2D03A54F">
            <w:pPr>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2"/>
                <w:sz w:val="24"/>
                <w:szCs w:val="24"/>
                <w:highlight w:val="none"/>
                <w:lang w:eastAsia="zh-CN"/>
              </w:rPr>
              <w:t>青海创研竞谈（货物）2025-</w:t>
            </w:r>
            <w:r>
              <w:rPr>
                <w:rFonts w:hint="eastAsia" w:ascii="宋体" w:hAnsi="宋体" w:eastAsia="宋体" w:cs="宋体"/>
                <w:color w:val="auto"/>
                <w:spacing w:val="12"/>
                <w:sz w:val="24"/>
                <w:szCs w:val="24"/>
                <w:highlight w:val="none"/>
                <w:lang w:val="en-US" w:eastAsia="zh-CN"/>
              </w:rPr>
              <w:t>-</w:t>
            </w:r>
            <w:r>
              <w:rPr>
                <w:rFonts w:hint="eastAsia" w:ascii="宋体" w:hAnsi="宋体" w:eastAsia="宋体" w:cs="宋体"/>
                <w:color w:val="auto"/>
                <w:spacing w:val="12"/>
                <w:sz w:val="24"/>
                <w:szCs w:val="24"/>
                <w:highlight w:val="none"/>
                <w:lang w:eastAsia="zh-CN"/>
              </w:rPr>
              <w:t>021</w:t>
            </w:r>
          </w:p>
        </w:tc>
      </w:tr>
      <w:tr w14:paraId="63DCB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177" w:type="dxa"/>
            <w:vAlign w:val="top"/>
          </w:tcPr>
          <w:p w14:paraId="325E3F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采购方式</w:t>
            </w:r>
          </w:p>
        </w:tc>
        <w:tc>
          <w:tcPr>
            <w:tcW w:w="6782" w:type="dxa"/>
            <w:vAlign w:val="top"/>
          </w:tcPr>
          <w:p w14:paraId="1080D385">
            <w:pPr>
              <w:keepNext w:val="0"/>
              <w:keepLines w:val="0"/>
              <w:pageBreakBefore w:val="0"/>
              <w:widowControl/>
              <w:kinsoku w:val="0"/>
              <w:wordWrap/>
              <w:overflowPunct/>
              <w:topLinePunct w:val="0"/>
              <w:autoSpaceDE w:val="0"/>
              <w:autoSpaceDN w:val="0"/>
              <w:bidi w:val="0"/>
              <w:adjustRightInd w:val="0"/>
              <w:snapToGrid w:val="0"/>
              <w:spacing w:line="400" w:lineRule="exact"/>
              <w:ind w:left="11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竞</w:t>
            </w:r>
            <w:r>
              <w:rPr>
                <w:rFonts w:hint="eastAsia" w:ascii="宋体" w:hAnsi="宋体" w:eastAsia="宋体" w:cs="宋体"/>
                <w:color w:val="auto"/>
                <w:spacing w:val="7"/>
                <w:sz w:val="24"/>
                <w:szCs w:val="24"/>
                <w:highlight w:val="none"/>
              </w:rPr>
              <w:t>争性谈判</w:t>
            </w:r>
          </w:p>
        </w:tc>
      </w:tr>
      <w:tr w14:paraId="01134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177" w:type="dxa"/>
            <w:vAlign w:val="top"/>
          </w:tcPr>
          <w:p w14:paraId="609ECB4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采购预算额度</w:t>
            </w:r>
          </w:p>
        </w:tc>
        <w:tc>
          <w:tcPr>
            <w:tcW w:w="6782" w:type="dxa"/>
            <w:vAlign w:val="top"/>
          </w:tcPr>
          <w:p w14:paraId="154C4A9A">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597192.91元</w:t>
            </w:r>
          </w:p>
        </w:tc>
      </w:tr>
      <w:tr w14:paraId="10C32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177" w:type="dxa"/>
            <w:vAlign w:val="top"/>
          </w:tcPr>
          <w:p w14:paraId="7D0BEFB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采购最高限价</w:t>
            </w:r>
          </w:p>
        </w:tc>
        <w:tc>
          <w:tcPr>
            <w:tcW w:w="6782" w:type="dxa"/>
            <w:vAlign w:val="top"/>
          </w:tcPr>
          <w:p w14:paraId="3522D801">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597192.91元</w:t>
            </w:r>
          </w:p>
        </w:tc>
      </w:tr>
      <w:tr w14:paraId="10E85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177" w:type="dxa"/>
            <w:vAlign w:val="top"/>
          </w:tcPr>
          <w:p w14:paraId="66B946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项目分包个数</w:t>
            </w:r>
          </w:p>
        </w:tc>
        <w:tc>
          <w:tcPr>
            <w:tcW w:w="6782" w:type="dxa"/>
            <w:vAlign w:val="top"/>
          </w:tcPr>
          <w:p w14:paraId="2E258076">
            <w:pPr>
              <w:keepNext w:val="0"/>
              <w:keepLines w:val="0"/>
              <w:pageBreakBefore w:val="0"/>
              <w:widowControl/>
              <w:kinsoku w:val="0"/>
              <w:wordWrap/>
              <w:overflowPunct/>
              <w:topLinePunct w:val="0"/>
              <w:autoSpaceDE w:val="0"/>
              <w:autoSpaceDN w:val="0"/>
              <w:bidi w:val="0"/>
              <w:adjustRightInd w:val="0"/>
              <w:snapToGrid w:val="0"/>
              <w:spacing w:line="400" w:lineRule="exact"/>
              <w:ind w:left="11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75C0C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177" w:type="dxa"/>
            <w:vAlign w:val="top"/>
          </w:tcPr>
          <w:p w14:paraId="7D637A1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b/>
                <w:bCs/>
                <w:color w:val="auto"/>
                <w:spacing w:val="8"/>
                <w:sz w:val="24"/>
                <w:szCs w:val="24"/>
                <w:highlight w:val="none"/>
                <w:lang w:val="en-US" w:eastAsia="zh-CN"/>
              </w:rPr>
            </w:pPr>
            <w:r>
              <w:rPr>
                <w:rFonts w:hint="eastAsia" w:ascii="宋体" w:hAnsi="宋体" w:eastAsia="宋体" w:cs="宋体"/>
                <w:b/>
                <w:bCs/>
                <w:color w:val="auto"/>
                <w:spacing w:val="8"/>
                <w:sz w:val="24"/>
                <w:szCs w:val="24"/>
                <w:highlight w:val="none"/>
                <w:lang w:val="en-US" w:eastAsia="zh-CN"/>
              </w:rPr>
              <w:t>采购要求</w:t>
            </w:r>
          </w:p>
        </w:tc>
        <w:tc>
          <w:tcPr>
            <w:tcW w:w="6782" w:type="dxa"/>
            <w:vAlign w:val="top"/>
          </w:tcPr>
          <w:p w14:paraId="484DBDC5">
            <w:pPr>
              <w:keepNext w:val="0"/>
              <w:keepLines w:val="0"/>
              <w:pageBreakBefore w:val="0"/>
              <w:widowControl/>
              <w:kinsoku w:val="0"/>
              <w:wordWrap/>
              <w:overflowPunct/>
              <w:topLinePunct w:val="0"/>
              <w:autoSpaceDE w:val="0"/>
              <w:autoSpaceDN w:val="0"/>
              <w:bidi w:val="0"/>
              <w:adjustRightInd w:val="0"/>
              <w:snapToGrid w:val="0"/>
              <w:spacing w:line="400" w:lineRule="exact"/>
              <w:ind w:left="115"/>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乌兰县柯柯镇新村养殖小区配套项目（二次）</w:t>
            </w:r>
            <w:r>
              <w:rPr>
                <w:rFonts w:hint="eastAsia" w:ascii="宋体" w:hAnsi="宋体" w:eastAsia="宋体" w:cs="宋体"/>
                <w:color w:val="auto"/>
                <w:sz w:val="24"/>
                <w:szCs w:val="24"/>
                <w:highlight w:val="none"/>
                <w:lang w:val="en-US" w:eastAsia="zh-CN"/>
              </w:rPr>
              <w:t>，具体内容详见项目概况及技术参数</w:t>
            </w:r>
            <w:r>
              <w:rPr>
                <w:rFonts w:ascii="宋体" w:hAnsi="宋体" w:eastAsia="宋体" w:cs="宋体"/>
                <w:color w:val="auto"/>
                <w:sz w:val="24"/>
                <w:szCs w:val="24"/>
                <w:highlight w:val="none"/>
              </w:rPr>
              <w:t>。</w:t>
            </w:r>
          </w:p>
        </w:tc>
      </w:tr>
      <w:tr w14:paraId="27A6B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4" w:hRule="atLeast"/>
        </w:trPr>
        <w:tc>
          <w:tcPr>
            <w:tcW w:w="3177" w:type="dxa"/>
            <w:vAlign w:val="top"/>
          </w:tcPr>
          <w:p w14:paraId="24E4817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18E34CC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4D2B20A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2EB8C6E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4E29F54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6D2D1B6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供应商资格条件</w:t>
            </w:r>
          </w:p>
        </w:tc>
        <w:tc>
          <w:tcPr>
            <w:tcW w:w="6782" w:type="dxa"/>
            <w:vAlign w:val="top"/>
          </w:tcPr>
          <w:p w14:paraId="65CCF4AC">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1、满足《政府采购法》第22条条件，并提供以下材料：</w:t>
            </w:r>
          </w:p>
          <w:p w14:paraId="1A12FCFA">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（1）供应商的营业执照等证明文件，自然人的身份证明；</w:t>
            </w:r>
          </w:p>
          <w:p w14:paraId="62418323">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（2）财务状况报告和依法缴纳税收和社会保障资金的相关材料；</w:t>
            </w:r>
          </w:p>
          <w:p w14:paraId="6B4CBE10">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（3）具备履行合同所必须的设备和专业技术能力的证明材料；</w:t>
            </w:r>
          </w:p>
          <w:p w14:paraId="5E28E59A">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w:t>
            </w:r>
          </w:p>
          <w:p w14:paraId="181F114D">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14:paraId="2D29FDF8">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2、单位负责人为同一人或者存在直接控股、管理关系的不同供应商，不得参加同一合同项下的政府采购活动。否则，皆取消投标资格。</w:t>
            </w:r>
          </w:p>
          <w:p w14:paraId="3939DC8A">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3、为本采购项目提供整体设计、规范编制或者项目管理、监理、检测等服务的供应商，不得再参加该采购项目的其他采购活动。</w:t>
            </w:r>
          </w:p>
          <w:p w14:paraId="213CA46A">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4、本项目不接受供应商以联合体方式进行投标。</w:t>
            </w:r>
          </w:p>
          <w:p w14:paraId="6A7CEE04">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z w:val="24"/>
                <w:szCs w:val="24"/>
                <w:highlight w:val="none"/>
              </w:rPr>
              <w:t>5、经信用中国（www.creditchina.gov.cn）、中国政府采购</w:t>
            </w:r>
            <w:r>
              <w:rPr>
                <w:rFonts w:hint="eastAsia" w:ascii="宋体" w:hAnsi="宋体" w:eastAsia="宋体" w:cs="宋体"/>
                <w:color w:val="auto"/>
                <w:sz w:val="24"/>
                <w:szCs w:val="24"/>
                <w:highlight w:val="none"/>
                <w:lang w:val="en-US" w:eastAsia="zh-CN"/>
              </w:rPr>
              <w:t>网</w:t>
            </w:r>
            <w:r>
              <w:rPr>
                <w:rFonts w:hint="eastAsia" w:ascii="宋体" w:hAnsi="宋体" w:eastAsia="宋体" w:cs="宋体"/>
                <w:color w:val="auto"/>
                <w:sz w:val="24"/>
                <w:szCs w:val="24"/>
                <w:highlight w:val="none"/>
              </w:rPr>
              <w:t>（www.ccgp.gov.cn）等渠道查询后，列入失信被执行人、重大税收违法失信主体、政府采购严重违法失信行为记录名单的，取消投标资格。（提供“信用中国”“中国政府采购网”</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网站的查询截图，时间为</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截止时间前10天内）。</w:t>
            </w:r>
          </w:p>
        </w:tc>
      </w:tr>
      <w:tr w14:paraId="7C89C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177" w:type="dxa"/>
            <w:vAlign w:val="top"/>
          </w:tcPr>
          <w:p w14:paraId="5F77E4C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是否接收联合体形式</w:t>
            </w:r>
          </w:p>
        </w:tc>
        <w:tc>
          <w:tcPr>
            <w:tcW w:w="6782" w:type="dxa"/>
            <w:vAlign w:val="top"/>
          </w:tcPr>
          <w:p w14:paraId="1ADEB081">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本项目不接受供应商以联合体方式进行谈判</w:t>
            </w:r>
          </w:p>
        </w:tc>
      </w:tr>
      <w:tr w14:paraId="1E8AC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3177" w:type="dxa"/>
            <w:vAlign w:val="center"/>
          </w:tcPr>
          <w:p w14:paraId="44F09A2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lang w:eastAsia="zh-CN"/>
              </w:rPr>
              <w:t>进口产品</w:t>
            </w:r>
          </w:p>
        </w:tc>
        <w:tc>
          <w:tcPr>
            <w:tcW w:w="6782" w:type="dxa"/>
            <w:vAlign w:val="center"/>
          </w:tcPr>
          <w:p w14:paraId="315259A9">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本项目拒绝（接受/拒绝）进口产品参加谈判采购。</w:t>
            </w:r>
          </w:p>
        </w:tc>
      </w:tr>
      <w:tr w14:paraId="35BD0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3177" w:type="dxa"/>
            <w:vAlign w:val="top"/>
          </w:tcPr>
          <w:p w14:paraId="307DC8D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谈判文件的</w:t>
            </w:r>
          </w:p>
          <w:p w14:paraId="51990D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实质性变动内容</w:t>
            </w:r>
          </w:p>
        </w:tc>
        <w:tc>
          <w:tcPr>
            <w:tcW w:w="6782" w:type="dxa"/>
            <w:vAlign w:val="top"/>
          </w:tcPr>
          <w:p w14:paraId="28A9D96D">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允许根据谈判工作实际情况，对技术内容进行实质性修改(包括技术、服务和合同条款）</w:t>
            </w:r>
          </w:p>
        </w:tc>
      </w:tr>
      <w:tr w14:paraId="6B32B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177" w:type="dxa"/>
            <w:vAlign w:val="top"/>
          </w:tcPr>
          <w:p w14:paraId="622DC90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公告发布时间</w:t>
            </w:r>
          </w:p>
        </w:tc>
        <w:tc>
          <w:tcPr>
            <w:tcW w:w="6782" w:type="dxa"/>
            <w:vAlign w:val="top"/>
          </w:tcPr>
          <w:p w14:paraId="5AC70114">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2025年6月18日(北京时间)</w:t>
            </w:r>
          </w:p>
        </w:tc>
      </w:tr>
      <w:tr w14:paraId="22117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177" w:type="dxa"/>
            <w:vAlign w:val="top"/>
          </w:tcPr>
          <w:p w14:paraId="4FD0BDE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0F55A11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文件发售起止时间</w:t>
            </w:r>
          </w:p>
        </w:tc>
        <w:tc>
          <w:tcPr>
            <w:tcW w:w="6782" w:type="dxa"/>
            <w:vAlign w:val="top"/>
          </w:tcPr>
          <w:p w14:paraId="511F8AD0">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2025年6月18日</w:t>
            </w:r>
            <w:r>
              <w:rPr>
                <w:rFonts w:hint="eastAsia" w:ascii="宋体" w:hAnsi="宋体" w:eastAsia="宋体" w:cs="宋体"/>
                <w:color w:val="auto"/>
                <w:spacing w:val="-1"/>
                <w:sz w:val="24"/>
                <w:szCs w:val="24"/>
                <w:highlight w:val="none"/>
                <w:lang w:val="en-US" w:eastAsia="zh-CN"/>
              </w:rPr>
              <w:t>至2025年6月23日</w:t>
            </w:r>
            <w:r>
              <w:rPr>
                <w:rFonts w:hint="eastAsia" w:ascii="宋体" w:hAnsi="宋体" w:eastAsia="宋体" w:cs="宋体"/>
                <w:color w:val="auto"/>
                <w:spacing w:val="-1"/>
                <w:sz w:val="24"/>
                <w:szCs w:val="24"/>
                <w:highlight w:val="none"/>
                <w:lang w:val="en-US" w:eastAsia="zh-CN"/>
              </w:rPr>
              <w:t>(北京时间)（法定节假日除外）</w:t>
            </w:r>
          </w:p>
          <w:p w14:paraId="27C901BA">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上午：00时00分至12时00分(采用北京时间24小时制)</w:t>
            </w:r>
          </w:p>
          <w:p w14:paraId="7DCB72C1">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下午：12时00分至23时59分(采用北京时间24小时制)</w:t>
            </w:r>
          </w:p>
        </w:tc>
      </w:tr>
      <w:tr w14:paraId="6FC39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3177" w:type="dxa"/>
            <w:vAlign w:val="top"/>
          </w:tcPr>
          <w:p w14:paraId="34C033B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获取方式</w:t>
            </w:r>
          </w:p>
        </w:tc>
        <w:tc>
          <w:tcPr>
            <w:tcW w:w="6782" w:type="dxa"/>
            <w:vAlign w:val="top"/>
          </w:tcPr>
          <w:p w14:paraId="15581E19">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供应商登录政采云平台https://www.zcygov.cn/在线申请获取采购文件（进入“项目采购”应用，在获取采购文件菜单中选择项目，申请获取采购文件）</w:t>
            </w:r>
          </w:p>
        </w:tc>
      </w:tr>
      <w:tr w14:paraId="40AFA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177" w:type="dxa"/>
            <w:vAlign w:val="top"/>
          </w:tcPr>
          <w:p w14:paraId="33CE32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文件售价</w:t>
            </w:r>
          </w:p>
        </w:tc>
        <w:tc>
          <w:tcPr>
            <w:tcW w:w="6782" w:type="dxa"/>
            <w:vAlign w:val="top"/>
          </w:tcPr>
          <w:p w14:paraId="12E7FA8F">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0元/份(谈判文件售后不退,谈判资格不能转让)</w:t>
            </w:r>
          </w:p>
        </w:tc>
      </w:tr>
      <w:tr w14:paraId="732D6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177" w:type="dxa"/>
            <w:vAlign w:val="top"/>
          </w:tcPr>
          <w:p w14:paraId="76DDDE5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文件发售地点</w:t>
            </w:r>
          </w:p>
        </w:tc>
        <w:tc>
          <w:tcPr>
            <w:tcW w:w="6782" w:type="dxa"/>
            <w:vAlign w:val="top"/>
          </w:tcPr>
          <w:p w14:paraId="18E79096">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地址：供应商登录政采云平台https://www.zcygov.cn/在线申请获取</w:t>
            </w:r>
          </w:p>
        </w:tc>
      </w:tr>
      <w:tr w14:paraId="4EEE9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3177" w:type="dxa"/>
            <w:vAlign w:val="top"/>
          </w:tcPr>
          <w:p w14:paraId="3F0DC4F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1956E76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采购人名称、地址、</w:t>
            </w:r>
          </w:p>
          <w:p w14:paraId="05614CC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电话、联系人</w:t>
            </w:r>
          </w:p>
        </w:tc>
        <w:tc>
          <w:tcPr>
            <w:tcW w:w="6782" w:type="dxa"/>
            <w:vAlign w:val="top"/>
          </w:tcPr>
          <w:p w14:paraId="755C10A7">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名称：乌兰县柯柯镇人民政府</w:t>
            </w:r>
          </w:p>
          <w:p w14:paraId="015B3546">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联系人：石先生</w:t>
            </w:r>
          </w:p>
          <w:p w14:paraId="6EE16E0C">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联系电话：</w:t>
            </w:r>
            <w:r>
              <w:rPr>
                <w:rFonts w:hint="eastAsia" w:ascii="宋体" w:hAnsi="宋体" w:eastAsia="宋体" w:cs="宋体"/>
                <w:color w:val="auto"/>
                <w:spacing w:val="-1"/>
                <w:sz w:val="24"/>
                <w:szCs w:val="24"/>
                <w:highlight w:val="none"/>
                <w:lang w:val="zh-CN" w:eastAsia="zh-CN"/>
              </w:rPr>
              <w:t>0977-8248</w:t>
            </w:r>
            <w:r>
              <w:rPr>
                <w:rFonts w:hint="eastAsia" w:ascii="宋体" w:hAnsi="宋体" w:eastAsia="宋体" w:cs="宋体"/>
                <w:color w:val="auto"/>
                <w:spacing w:val="-1"/>
                <w:sz w:val="24"/>
                <w:szCs w:val="24"/>
                <w:highlight w:val="none"/>
                <w:lang w:val="en-US" w:eastAsia="zh-CN"/>
              </w:rPr>
              <w:t>039</w:t>
            </w:r>
          </w:p>
          <w:p w14:paraId="677F2DA1">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地址：</w:t>
            </w:r>
            <w:r>
              <w:rPr>
                <w:rFonts w:hint="eastAsia" w:ascii="宋体" w:hAnsi="宋体" w:eastAsia="宋体" w:cs="宋体"/>
                <w:color w:val="auto"/>
                <w:spacing w:val="-1"/>
                <w:sz w:val="24"/>
                <w:szCs w:val="24"/>
                <w:highlight w:val="none"/>
                <w:lang w:val="zh-CN" w:eastAsia="zh-CN"/>
              </w:rPr>
              <w:t>乌兰县柯柯镇人民政府</w:t>
            </w:r>
          </w:p>
        </w:tc>
      </w:tr>
      <w:tr w14:paraId="4EABB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3177" w:type="dxa"/>
            <w:vAlign w:val="top"/>
          </w:tcPr>
          <w:p w14:paraId="7AAE119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4C831F3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5DFD4C0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采购代理机构及联系人电话</w:t>
            </w:r>
          </w:p>
        </w:tc>
        <w:tc>
          <w:tcPr>
            <w:tcW w:w="6782" w:type="dxa"/>
            <w:vAlign w:val="top"/>
          </w:tcPr>
          <w:p w14:paraId="4D7C61CD">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zh-CN" w:eastAsia="zh-CN"/>
              </w:rPr>
              <w:t>采购代理机构：青海创研工程咨询有限公司</w:t>
            </w:r>
          </w:p>
          <w:p w14:paraId="7833056F">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zh-CN" w:eastAsia="zh-CN"/>
              </w:rPr>
              <w:t>联系人：</w:t>
            </w:r>
            <w:r>
              <w:rPr>
                <w:rFonts w:hint="eastAsia" w:ascii="宋体" w:hAnsi="宋体" w:eastAsia="宋体" w:cs="宋体"/>
                <w:color w:val="auto"/>
                <w:spacing w:val="-1"/>
                <w:sz w:val="24"/>
                <w:szCs w:val="24"/>
                <w:highlight w:val="none"/>
                <w:lang w:val="en-US" w:eastAsia="zh-CN"/>
              </w:rPr>
              <w:t>李女士</w:t>
            </w:r>
          </w:p>
          <w:p w14:paraId="1D7E55F6">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zh-CN" w:eastAsia="zh-CN"/>
              </w:rPr>
              <w:t>联系电话：</w:t>
            </w:r>
            <w:r>
              <w:rPr>
                <w:rFonts w:hint="eastAsia" w:ascii="宋体" w:hAnsi="宋体" w:eastAsia="宋体" w:cs="宋体"/>
                <w:color w:val="auto"/>
                <w:spacing w:val="-1"/>
                <w:sz w:val="24"/>
                <w:szCs w:val="24"/>
                <w:highlight w:val="none"/>
                <w:lang w:val="en-US" w:eastAsia="zh-CN"/>
              </w:rPr>
              <w:t>0971-6375193</w:t>
            </w:r>
          </w:p>
          <w:p w14:paraId="3FC7F241">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zh-CN" w:eastAsia="zh-CN"/>
              </w:rPr>
              <w:t>联系地址：青海省西宁市城西区财富广场B座13楼2134室</w:t>
            </w:r>
          </w:p>
        </w:tc>
      </w:tr>
      <w:tr w14:paraId="563E1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3177" w:type="dxa"/>
            <w:vAlign w:val="top"/>
          </w:tcPr>
          <w:p w14:paraId="2BF4690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25BE845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74B4CA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64E7E28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27C184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保证金</w:t>
            </w:r>
          </w:p>
        </w:tc>
        <w:tc>
          <w:tcPr>
            <w:tcW w:w="6782" w:type="dxa"/>
            <w:vAlign w:val="top"/>
          </w:tcPr>
          <w:p w14:paraId="3696398E">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val="zh-CN" w:eastAsia="zh-CN"/>
              </w:rPr>
              <w:t>竞谈保证金：¥</w:t>
            </w:r>
            <w:r>
              <w:rPr>
                <w:rFonts w:hint="eastAsia" w:ascii="宋体" w:hAnsi="宋体" w:eastAsia="宋体" w:cs="宋体"/>
                <w:color w:val="auto"/>
                <w:spacing w:val="-1"/>
                <w:sz w:val="24"/>
                <w:szCs w:val="24"/>
                <w:highlight w:val="none"/>
                <w:lang w:val="en-US" w:eastAsia="zh-CN"/>
              </w:rPr>
              <w:t>11000</w:t>
            </w:r>
            <w:r>
              <w:rPr>
                <w:rFonts w:hint="eastAsia" w:ascii="宋体" w:hAnsi="宋体" w:eastAsia="宋体" w:cs="宋体"/>
                <w:color w:val="auto"/>
                <w:spacing w:val="-1"/>
                <w:sz w:val="24"/>
                <w:szCs w:val="24"/>
                <w:highlight w:val="none"/>
                <w:lang w:val="zh-CN" w:eastAsia="zh-CN"/>
              </w:rPr>
              <w:t>元（大写：</w:t>
            </w:r>
            <w:r>
              <w:rPr>
                <w:rFonts w:hint="eastAsia" w:ascii="宋体" w:hAnsi="宋体" w:eastAsia="宋体" w:cs="宋体"/>
                <w:color w:val="auto"/>
                <w:spacing w:val="-1"/>
                <w:sz w:val="24"/>
                <w:szCs w:val="24"/>
                <w:highlight w:val="none"/>
                <w:lang w:val="en-US" w:eastAsia="zh-CN"/>
              </w:rPr>
              <w:t>壹万壹仟元整</w:t>
            </w:r>
            <w:r>
              <w:rPr>
                <w:rFonts w:hint="eastAsia" w:ascii="宋体" w:hAnsi="宋体" w:eastAsia="宋体" w:cs="宋体"/>
                <w:color w:val="auto"/>
                <w:spacing w:val="-1"/>
                <w:sz w:val="24"/>
                <w:szCs w:val="24"/>
                <w:highlight w:val="none"/>
                <w:lang w:val="zh-CN" w:eastAsia="zh-CN"/>
              </w:rPr>
              <w:t>）</w:t>
            </w:r>
          </w:p>
          <w:p w14:paraId="786796F0">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val="zh-CN" w:eastAsia="zh-CN"/>
              </w:rPr>
              <w:t>收款单位：青海创研工程咨询有限公司</w:t>
            </w:r>
          </w:p>
          <w:p w14:paraId="5DEFDC8C">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val="zh-CN" w:eastAsia="zh-CN"/>
              </w:rPr>
              <w:t>开户行：中国银行青海省分行营业部</w:t>
            </w:r>
          </w:p>
          <w:p w14:paraId="3AC68E22">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val="zh-CN" w:eastAsia="zh-CN"/>
              </w:rPr>
              <w:t>银行账号：1050 5686 3423</w:t>
            </w:r>
          </w:p>
          <w:p w14:paraId="1D302D48">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lang w:val="zh-CN" w:eastAsia="zh-CN"/>
              </w:rPr>
              <w:t>开户行号：1048 5100 3012</w:t>
            </w:r>
          </w:p>
          <w:p w14:paraId="6B52A6DE">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6、交付方式：谈判保证金应当以转账、支票、本票或者金融机构、担保机构出具的保函等非现金形式提交。供应商未按照谈判文件要求提交谈判保证金的，谈判无效。</w:t>
            </w:r>
          </w:p>
          <w:p w14:paraId="10684F55">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7、其他注意事项(详见谈判文件)</w:t>
            </w:r>
          </w:p>
        </w:tc>
      </w:tr>
      <w:tr w14:paraId="0D2B1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3177" w:type="dxa"/>
            <w:vAlign w:val="center"/>
          </w:tcPr>
          <w:p w14:paraId="1A9E79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响应文件有效期</w:t>
            </w:r>
          </w:p>
        </w:tc>
        <w:tc>
          <w:tcPr>
            <w:tcW w:w="6782" w:type="dxa"/>
            <w:vAlign w:val="center"/>
          </w:tcPr>
          <w:p w14:paraId="3A6BD61A">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自谈判提交响应文件截止之日起60日历日</w:t>
            </w:r>
          </w:p>
        </w:tc>
      </w:tr>
      <w:tr w14:paraId="1F6F6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3177" w:type="dxa"/>
            <w:vAlign w:val="center"/>
          </w:tcPr>
          <w:p w14:paraId="116E1D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响应文件份数</w:t>
            </w:r>
          </w:p>
        </w:tc>
        <w:tc>
          <w:tcPr>
            <w:tcW w:w="6782" w:type="dxa"/>
            <w:vAlign w:val="center"/>
          </w:tcPr>
          <w:p w14:paraId="2F6C3A2A">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线上政采云平台上传投标文件（政采云平台（https://www.zcygov.cn/））</w:t>
            </w:r>
          </w:p>
        </w:tc>
      </w:tr>
      <w:tr w14:paraId="1D106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177" w:type="dxa"/>
            <w:vAlign w:val="center"/>
          </w:tcPr>
          <w:p w14:paraId="2838A8F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响应文件的递交截止时间</w:t>
            </w:r>
          </w:p>
        </w:tc>
        <w:tc>
          <w:tcPr>
            <w:tcW w:w="6782" w:type="dxa"/>
            <w:vAlign w:val="center"/>
          </w:tcPr>
          <w:p w14:paraId="6462811F">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2025年6月26日09时30分</w:t>
            </w:r>
            <w:r>
              <w:rPr>
                <w:rFonts w:hint="eastAsia" w:ascii="宋体" w:hAnsi="宋体" w:eastAsia="宋体" w:cs="宋体"/>
                <w:color w:val="auto"/>
                <w:spacing w:val="-1"/>
                <w:sz w:val="24"/>
                <w:szCs w:val="24"/>
                <w:highlight w:val="none"/>
                <w:lang w:val="en-US" w:eastAsia="zh-CN"/>
              </w:rPr>
              <w:t>(采用北京时间24小时制)</w:t>
            </w:r>
          </w:p>
        </w:tc>
      </w:tr>
      <w:tr w14:paraId="16392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3177" w:type="dxa"/>
            <w:vAlign w:val="top"/>
          </w:tcPr>
          <w:p w14:paraId="3A31562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7E8D0DA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3FE493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政策功能</w:t>
            </w:r>
          </w:p>
        </w:tc>
        <w:tc>
          <w:tcPr>
            <w:tcW w:w="6782" w:type="dxa"/>
            <w:vAlign w:val="top"/>
          </w:tcPr>
          <w:p w14:paraId="4F6965D7">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zh-CN" w:eastAsia="zh-CN"/>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hint="eastAsia" w:ascii="宋体" w:hAnsi="宋体" w:eastAsia="宋体" w:cs="宋体"/>
                <w:color w:val="auto"/>
                <w:spacing w:val="-1"/>
                <w:sz w:val="24"/>
                <w:szCs w:val="24"/>
                <w:highlight w:val="none"/>
                <w:lang w:val="en-US" w:eastAsia="zh-CN"/>
              </w:rPr>
              <w:t>10</w:t>
            </w:r>
            <w:r>
              <w:rPr>
                <w:rFonts w:hint="eastAsia" w:ascii="宋体" w:hAnsi="宋体" w:eastAsia="宋体" w:cs="宋体"/>
                <w:color w:val="auto"/>
                <w:spacing w:val="-1"/>
                <w:sz w:val="24"/>
                <w:szCs w:val="24"/>
                <w:highlight w:val="none"/>
                <w:lang w:val="zh-CN" w:eastAsia="zh-CN"/>
              </w:rPr>
              <w:t>%的价格扣除。</w:t>
            </w:r>
          </w:p>
        </w:tc>
      </w:tr>
      <w:tr w14:paraId="1B0E2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3177" w:type="dxa"/>
            <w:vAlign w:val="center"/>
          </w:tcPr>
          <w:p w14:paraId="0CBFE9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代理服务费</w:t>
            </w:r>
          </w:p>
        </w:tc>
        <w:tc>
          <w:tcPr>
            <w:tcW w:w="6782" w:type="dxa"/>
            <w:vAlign w:val="top"/>
          </w:tcPr>
          <w:p w14:paraId="3B59EA40">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val="zh-CN" w:eastAsia="zh-CN"/>
              </w:rPr>
              <w:t>参照《招标代理服务收费管理暂行办法》招标代理服务收费标准（计价格[2002]1980号以及《关于进一步放开建设项目专项业务服务价格的通知》（发改价格[2015]299号）规定执行。</w:t>
            </w:r>
          </w:p>
          <w:p w14:paraId="124F28B3">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val="zh-CN" w:eastAsia="zh-CN"/>
              </w:rPr>
              <w:t>本项目</w:t>
            </w:r>
            <w:r>
              <w:rPr>
                <w:rFonts w:hint="eastAsia" w:ascii="宋体" w:hAnsi="宋体" w:eastAsia="宋体" w:cs="宋体"/>
                <w:color w:val="auto"/>
                <w:spacing w:val="-1"/>
                <w:sz w:val="24"/>
                <w:szCs w:val="24"/>
                <w:highlight w:val="none"/>
                <w:lang w:val="en-US" w:eastAsia="zh-CN"/>
              </w:rPr>
              <w:t>采购</w:t>
            </w:r>
            <w:r>
              <w:rPr>
                <w:rFonts w:hint="eastAsia" w:ascii="宋体" w:hAnsi="宋体" w:eastAsia="宋体" w:cs="宋体"/>
                <w:color w:val="auto"/>
                <w:spacing w:val="-1"/>
                <w:sz w:val="24"/>
                <w:szCs w:val="24"/>
                <w:highlight w:val="none"/>
                <w:lang w:val="zh-CN" w:eastAsia="zh-CN"/>
              </w:rPr>
              <w:t>代理服务费由</w:t>
            </w:r>
            <w:r>
              <w:rPr>
                <w:rFonts w:hint="eastAsia" w:ascii="宋体" w:hAnsi="宋体" w:eastAsia="宋体" w:cs="宋体"/>
                <w:color w:val="auto"/>
                <w:spacing w:val="-1"/>
                <w:sz w:val="24"/>
                <w:szCs w:val="24"/>
                <w:highlight w:val="none"/>
                <w:lang w:val="en-US" w:eastAsia="zh-CN"/>
              </w:rPr>
              <w:t>采购人</w:t>
            </w:r>
            <w:r>
              <w:rPr>
                <w:rFonts w:hint="eastAsia" w:ascii="宋体" w:hAnsi="宋体" w:eastAsia="宋体" w:cs="宋体"/>
                <w:color w:val="auto"/>
                <w:spacing w:val="-1"/>
                <w:sz w:val="24"/>
                <w:szCs w:val="24"/>
                <w:highlight w:val="none"/>
                <w:lang w:val="zh-CN" w:eastAsia="zh-CN"/>
              </w:rPr>
              <w:t>支付，支付金额为：</w:t>
            </w:r>
          </w:p>
          <w:p w14:paraId="2E878D33">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zh-CN" w:eastAsia="zh-CN"/>
              </w:rPr>
              <w:t>大写：</w:t>
            </w:r>
            <w:r>
              <w:rPr>
                <w:rFonts w:hint="eastAsia" w:ascii="宋体" w:hAnsi="宋体" w:eastAsia="宋体" w:cs="宋体"/>
                <w:color w:val="auto"/>
                <w:spacing w:val="-1"/>
                <w:sz w:val="24"/>
                <w:szCs w:val="24"/>
                <w:highlight w:val="none"/>
                <w:lang w:val="en-US" w:eastAsia="zh-CN"/>
              </w:rPr>
              <w:t>伍仟</w:t>
            </w:r>
            <w:r>
              <w:rPr>
                <w:rFonts w:hint="eastAsia" w:ascii="宋体" w:hAnsi="宋体" w:eastAsia="宋体" w:cs="宋体"/>
                <w:color w:val="auto"/>
                <w:spacing w:val="-1"/>
                <w:sz w:val="24"/>
                <w:szCs w:val="24"/>
                <w:highlight w:val="none"/>
                <w:lang w:val="zh-CN" w:eastAsia="zh-CN"/>
              </w:rPr>
              <w:t>元整；小写：</w:t>
            </w:r>
            <w:r>
              <w:rPr>
                <w:rFonts w:hint="eastAsia" w:ascii="宋体" w:hAnsi="宋体" w:eastAsia="宋体" w:cs="宋体"/>
                <w:color w:val="auto"/>
                <w:spacing w:val="-1"/>
                <w:sz w:val="24"/>
                <w:szCs w:val="24"/>
                <w:highlight w:val="none"/>
                <w:lang w:val="en-US" w:eastAsia="zh-CN"/>
              </w:rPr>
              <w:t>5000.</w:t>
            </w:r>
            <w:r>
              <w:rPr>
                <w:rFonts w:hint="eastAsia" w:ascii="宋体" w:hAnsi="宋体" w:eastAsia="宋体" w:cs="宋体"/>
                <w:color w:val="auto"/>
                <w:spacing w:val="-1"/>
                <w:sz w:val="24"/>
                <w:szCs w:val="24"/>
                <w:highlight w:val="none"/>
                <w:lang w:val="zh-CN" w:eastAsia="zh-CN"/>
              </w:rPr>
              <w:t>00元。</w:t>
            </w:r>
          </w:p>
        </w:tc>
      </w:tr>
      <w:tr w14:paraId="58E25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3177" w:type="dxa"/>
            <w:vAlign w:val="top"/>
          </w:tcPr>
          <w:p w14:paraId="673795F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其他规定</w:t>
            </w:r>
          </w:p>
        </w:tc>
        <w:tc>
          <w:tcPr>
            <w:tcW w:w="6782" w:type="dxa"/>
            <w:vAlign w:val="top"/>
          </w:tcPr>
          <w:p w14:paraId="19A8824B">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本项目公告将在</w:t>
            </w:r>
            <w:r>
              <w:rPr>
                <w:rFonts w:hint="eastAsia" w:ascii="宋体" w:hAnsi="宋体" w:eastAsia="宋体" w:cs="宋体"/>
                <w:color w:val="auto"/>
                <w:spacing w:val="-1"/>
                <w:sz w:val="24"/>
                <w:szCs w:val="24"/>
                <w:highlight w:val="none"/>
                <w:lang w:val="zh-CN" w:eastAsia="zh-CN"/>
              </w:rPr>
              <w:t>《青海</w:t>
            </w:r>
            <w:r>
              <w:rPr>
                <w:rFonts w:hint="eastAsia" w:ascii="宋体" w:hAnsi="宋体" w:eastAsia="宋体" w:cs="宋体"/>
                <w:color w:val="auto"/>
                <w:spacing w:val="-1"/>
                <w:sz w:val="24"/>
                <w:szCs w:val="24"/>
                <w:highlight w:val="none"/>
                <w:lang w:val="en-US" w:eastAsia="zh-CN"/>
              </w:rPr>
              <w:t>省</w:t>
            </w:r>
            <w:r>
              <w:rPr>
                <w:rFonts w:hint="eastAsia" w:ascii="宋体" w:hAnsi="宋体" w:eastAsia="宋体" w:cs="宋体"/>
                <w:color w:val="auto"/>
                <w:spacing w:val="-1"/>
                <w:sz w:val="24"/>
                <w:szCs w:val="24"/>
                <w:highlight w:val="none"/>
                <w:lang w:val="zh-CN" w:eastAsia="zh-CN"/>
              </w:rPr>
              <w:t>政府采购网》</w:t>
            </w:r>
            <w:r>
              <w:rPr>
                <w:rFonts w:hint="eastAsia" w:ascii="宋体" w:hAnsi="宋体" w:eastAsia="宋体" w:cs="宋体"/>
                <w:color w:val="auto"/>
                <w:spacing w:val="-1"/>
                <w:sz w:val="24"/>
                <w:szCs w:val="24"/>
                <w:highlight w:val="none"/>
                <w:lang w:val="en-US" w:eastAsia="zh-CN"/>
              </w:rPr>
              <w:t>发布。</w:t>
            </w:r>
          </w:p>
        </w:tc>
      </w:tr>
      <w:tr w14:paraId="50176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3177" w:type="dxa"/>
            <w:vAlign w:val="top"/>
          </w:tcPr>
          <w:p w14:paraId="0A6068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57F232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监管部门及电话</w:t>
            </w:r>
          </w:p>
        </w:tc>
        <w:tc>
          <w:tcPr>
            <w:tcW w:w="6782" w:type="dxa"/>
            <w:vAlign w:val="top"/>
          </w:tcPr>
          <w:p w14:paraId="65A10A08">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监督单位：乌兰县财政局</w:t>
            </w:r>
          </w:p>
          <w:p w14:paraId="6FEEC4CD">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联系电话：0977-8243909</w:t>
            </w:r>
          </w:p>
        </w:tc>
      </w:tr>
      <w:tr w14:paraId="24D93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5" w:hRule="atLeast"/>
        </w:trPr>
        <w:tc>
          <w:tcPr>
            <w:tcW w:w="3177" w:type="dxa"/>
            <w:vAlign w:val="top"/>
          </w:tcPr>
          <w:p w14:paraId="35F642C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7C1BCA3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656D9BB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12C36D8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p>
          <w:p w14:paraId="7095C55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其他补充事宜</w:t>
            </w:r>
          </w:p>
        </w:tc>
        <w:tc>
          <w:tcPr>
            <w:tcW w:w="6782" w:type="dxa"/>
            <w:vAlign w:val="top"/>
          </w:tcPr>
          <w:p w14:paraId="385ADA2E">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zh-CN" w:eastAsia="zh-CN"/>
              </w:rPr>
              <w:t>1、公告发布媒体：《青海省政府采购网》</w:t>
            </w:r>
          </w:p>
          <w:p w14:paraId="4C96831B">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zh-CN" w:eastAsia="zh-CN"/>
              </w:rPr>
            </w:pPr>
            <w:r>
              <w:rPr>
                <w:rFonts w:hint="eastAsia" w:ascii="宋体" w:hAnsi="宋体" w:eastAsia="宋体" w:cs="宋体"/>
                <w:color w:val="auto"/>
                <w:spacing w:val="-1"/>
                <w:sz w:val="24"/>
                <w:szCs w:val="24"/>
                <w:highlight w:val="none"/>
                <w:lang w:val="zh-CN" w:eastAsia="zh-CN"/>
              </w:rPr>
              <w:t>2、本次项目</w:t>
            </w:r>
            <w:r>
              <w:rPr>
                <w:rFonts w:hint="eastAsia" w:ascii="宋体" w:hAnsi="宋体" w:eastAsia="宋体" w:cs="宋体"/>
                <w:color w:val="auto"/>
                <w:spacing w:val="-1"/>
                <w:sz w:val="24"/>
                <w:szCs w:val="24"/>
                <w:highlight w:val="none"/>
                <w:lang w:val="en-US" w:eastAsia="zh-CN"/>
              </w:rPr>
              <w:t>谈判</w:t>
            </w:r>
            <w:r>
              <w:rPr>
                <w:rFonts w:hint="eastAsia" w:ascii="宋体" w:hAnsi="宋体" w:eastAsia="宋体" w:cs="宋体"/>
                <w:color w:val="auto"/>
                <w:spacing w:val="-1"/>
                <w:sz w:val="24"/>
                <w:szCs w:val="24"/>
                <w:highlight w:val="none"/>
                <w:lang w:val="zh-CN" w:eastAsia="zh-CN"/>
              </w:rPr>
              <w:t>活动采用线上进行，供应商无需到现场；如非系统原因造成无法解密的或非系统原因加密文件上传不成功的或未办理CA锁而造成加密响应文件无法解密、加密响应文件无法上传的视为无效响应文件，线上电子加密响应文件必须在响应文件提交截止时间前上传至政采云电子开评标系统。</w:t>
            </w:r>
          </w:p>
          <w:p w14:paraId="7992C998">
            <w:pPr>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zh-CN" w:eastAsia="zh-CN"/>
              </w:rPr>
              <w:t>3、若对项目采购电子交易系统操作有疑问，可登录政采云平台点击右侧咨询小采或拨打政采云服务热线95763。</w:t>
            </w:r>
          </w:p>
        </w:tc>
      </w:tr>
    </w:tbl>
    <w:p w14:paraId="266783F4">
      <w:pPr>
        <w:rPr>
          <w:rFonts w:hint="eastAsia" w:ascii="宋体" w:hAnsi="宋体" w:eastAsia="宋体" w:cs="宋体"/>
          <w:color w:val="auto"/>
          <w:sz w:val="21"/>
          <w:highlight w:val="none"/>
        </w:rPr>
      </w:pPr>
    </w:p>
    <w:p w14:paraId="0B9BDD35">
      <w:pPr>
        <w:rPr>
          <w:rFonts w:hint="eastAsia" w:ascii="宋体" w:hAnsi="宋体" w:eastAsia="宋体" w:cs="宋体"/>
          <w:color w:val="auto"/>
          <w:highlight w:val="none"/>
        </w:rPr>
        <w:sectPr>
          <w:footerReference r:id="rId6" w:type="default"/>
          <w:pgSz w:w="11850" w:h="16783"/>
          <w:pgMar w:top="1134" w:right="1152" w:bottom="960" w:left="1152" w:header="0" w:footer="718" w:gutter="0"/>
          <w:pgNumType w:fmt="decimal" w:start="1"/>
          <w:cols w:space="720" w:num="1"/>
        </w:sectPr>
      </w:pPr>
    </w:p>
    <w:p w14:paraId="3EF5F0E3">
      <w:pPr>
        <w:spacing w:before="63" w:line="225" w:lineRule="auto"/>
        <w:jc w:val="center"/>
        <w:outlineLvl w:val="0"/>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pPr>
      <w:bookmarkStart w:id="2" w:name="_Toc27002"/>
      <w:r>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t>第二部分</w:t>
      </w:r>
      <w:r>
        <w:rPr>
          <w:rFonts w:hint="eastAsia" w:ascii="宋体" w:hAnsi="宋体" w:eastAsia="宋体" w:cs="宋体"/>
          <w:color w:val="auto"/>
          <w:spacing w:val="18"/>
          <w:sz w:val="32"/>
          <w:szCs w:val="32"/>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t>谈判须知</w:t>
      </w:r>
      <w:bookmarkEnd w:id="2"/>
    </w:p>
    <w:p w14:paraId="10D9B9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z w:val="28"/>
          <w:szCs w:val="28"/>
          <w:highlight w:val="none"/>
        </w:rPr>
      </w:pPr>
      <w:bookmarkStart w:id="3" w:name="_Toc31799"/>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一</w:t>
      </w:r>
      <w:r>
        <w:rPr>
          <w:rFonts w:hint="eastAsia" w:ascii="宋体" w:hAnsi="宋体" w:eastAsia="宋体" w:cs="宋体"/>
          <w:color w:val="auto"/>
          <w:spacing w:val="6"/>
          <w:position w:val="2"/>
          <w:sz w:val="28"/>
          <w:szCs w:val="28"/>
          <w:highlight w:val="none"/>
          <w14:textOutline w14:w="5448" w14:cap="sq" w14:cmpd="sng">
            <w14:solidFill>
              <w14:srgbClr w14:val="000000"/>
            </w14:solidFill>
            <w14:prstDash w14:val="solid"/>
            <w14:bevel/>
          </w14:textOutline>
        </w:rPr>
        <w:t>、说明</w:t>
      </w:r>
      <w:bookmarkEnd w:id="3"/>
    </w:p>
    <w:p w14:paraId="15AD3EFB">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4" w:name="_Toc16165"/>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1.适用范围</w:t>
      </w:r>
      <w:bookmarkEnd w:id="4"/>
    </w:p>
    <w:p w14:paraId="532B05A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6"/>
          <w:sz w:val="24"/>
          <w:szCs w:val="24"/>
          <w:highlight w:val="none"/>
        </w:rPr>
        <w:t>1.</w:t>
      </w:r>
      <w:r>
        <w:rPr>
          <w:rFonts w:hint="eastAsia" w:ascii="宋体" w:hAnsi="宋体" w:eastAsia="宋体" w:cs="宋体"/>
          <w:color w:val="auto"/>
          <w:spacing w:val="8"/>
          <w:sz w:val="24"/>
          <w:szCs w:val="24"/>
          <w:highlight w:val="none"/>
        </w:rPr>
        <w:t>1本竞争性谈判文件仅适用于前述【谈判须知前附表】中所叙述的采购项目。</w:t>
      </w:r>
    </w:p>
    <w:p w14:paraId="471F9F14">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5" w:name="_Toc13403"/>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2.采购人及代理机构</w:t>
      </w:r>
      <w:bookmarkEnd w:id="5"/>
    </w:p>
    <w:p w14:paraId="2247069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2.1采购人名称、地址、电话、联系人见【谈判须知前附表】。</w:t>
      </w:r>
    </w:p>
    <w:p w14:paraId="3FFFDF2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2.2采购代理机构名称、地址、电话、联系人见【谈判须知前附表】。</w:t>
      </w:r>
    </w:p>
    <w:p w14:paraId="70B0AA49">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6" w:name="_Toc19560"/>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3.供应商的资格要求</w:t>
      </w:r>
      <w:bookmarkEnd w:id="6"/>
    </w:p>
    <w:p w14:paraId="49DE7FD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3.1供应商是指响应谈判文件要求、参加竞争性谈判采购的法人、其他组织或者自然人。</w:t>
      </w:r>
    </w:p>
    <w:p w14:paraId="2B9D01F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3.2供应商应当符合【谈判须知前附表】规定的供应商资格条件。</w:t>
      </w:r>
    </w:p>
    <w:p w14:paraId="7AAFA70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3.3【谈判须知前附表】规定接受联合体形式的，供应商除应符合上述资格条件的规定外，还应遵守以下规定：</w:t>
      </w:r>
    </w:p>
    <w:p w14:paraId="7337EE0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(l)联合体中有同类资质的供应商按照联合体分工承担相同工作的，应当按照资质等级较低的供应商确定资质等级。</w:t>
      </w:r>
    </w:p>
    <w:p w14:paraId="497EFF9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(2)联合体各方应按谈判文件提供的格式签订联合体协议书，明确联合体牵头人和各方的权利义务、合同工作量比例；</w:t>
      </w:r>
    </w:p>
    <w:p w14:paraId="3E3E877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(3)联合体各方签订联合体协议书后，不得再单独参加或者与其他供应商组成新的联合体参加同一合同项下的采购活动。</w:t>
      </w:r>
    </w:p>
    <w:p w14:paraId="6EBAE360">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7" w:name="_Toc18471"/>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4.谈判费用</w:t>
      </w:r>
      <w:bookmarkEnd w:id="7"/>
    </w:p>
    <w:p w14:paraId="314C675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无论谈判的结果如何，供应商应自行承担所有与竞争性谈判采购活动有关的全部费用。</w:t>
      </w:r>
    </w:p>
    <w:p w14:paraId="0621B2F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p>
    <w:p w14:paraId="1BE0F71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pPr>
      <w:bookmarkStart w:id="8" w:name="_Toc18534"/>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二、谈判文件</w:t>
      </w:r>
      <w:bookmarkEnd w:id="8"/>
    </w:p>
    <w:p w14:paraId="5E754DD7">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9" w:name="_Toc2857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5.谈判文件的组成</w:t>
      </w:r>
      <w:bookmarkEnd w:id="9"/>
    </w:p>
    <w:p w14:paraId="18AA2F9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5.1谈判文件由下列文件组成：</w:t>
      </w:r>
    </w:p>
    <w:p w14:paraId="0CB4152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(1)谈判邀请/谈判须知前附表</w:t>
      </w:r>
    </w:p>
    <w:p w14:paraId="4478D39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(2)谈判须知</w:t>
      </w:r>
    </w:p>
    <w:p w14:paraId="1A209D5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(3)采购需求</w:t>
      </w:r>
    </w:p>
    <w:p w14:paraId="79B72BA4">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(4)谈判响应文件格式</w:t>
      </w:r>
    </w:p>
    <w:p w14:paraId="2AEE60D1">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(5)采购项目合同书范本</w:t>
      </w:r>
    </w:p>
    <w:p w14:paraId="0BD0D6D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5.2采购人、采购代理机构或者谈判小组在提交首次响应文件截止之日前对已发出的谈判文件进行的澄清或者修改，构成谈判文件的组成部分。</w:t>
      </w:r>
    </w:p>
    <w:p w14:paraId="256DF66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5.3谈判文件中，谈判小组根据与供应商谈判情况可能实质性变动的内容见【谈判须知前附表】。对谈判文件作出的实质性变动是谈判文件的有效组成部分。</w:t>
      </w:r>
    </w:p>
    <w:p w14:paraId="3F5E3BA2">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10" w:name="_Toc15039"/>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6.谈判文件的澄清或者修改</w:t>
      </w:r>
      <w:bookmarkEnd w:id="10"/>
    </w:p>
    <w:p w14:paraId="2D6AE9A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6.1在提交首次响应文件截止之日前，采购人、采购代理机构或者谈判小组可以对已发出的谈判文件进行必要的澄清或者修改。</w:t>
      </w:r>
    </w:p>
    <w:p w14:paraId="46B625A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6B873C28">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11" w:name="_Toc11500"/>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7.谈判文件的询问或质疑</w:t>
      </w:r>
      <w:bookmarkEnd w:id="11"/>
    </w:p>
    <w:p w14:paraId="2E808A1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7.1供应商对谈判文件有疑问的，可以向采购人、采购代理机构提出询问。</w:t>
      </w:r>
    </w:p>
    <w:p w14:paraId="0E324A4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7B2F630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7.3供应商认为谈判文件使自己的权益受到损害的，应以书面形式提出质疑(不接受匿名质疑)，供应商须在法定质疑期内一次性提出针对同一采购程序环节的质疑。</w:t>
      </w:r>
    </w:p>
    <w:p w14:paraId="6544291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pPr>
      <w:bookmarkStart w:id="12" w:name="_Toc23031"/>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三、响应文件</w:t>
      </w:r>
      <w:bookmarkEnd w:id="12"/>
    </w:p>
    <w:p w14:paraId="2E9F9C57">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13" w:name="_Toc3470"/>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8.一般要求</w:t>
      </w:r>
      <w:bookmarkEnd w:id="13"/>
    </w:p>
    <w:p w14:paraId="0706711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4796724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4C371D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8.3除谈判文件中另有规定外，谈判响应文件所使用的度量衡单位，均须采用国家法定计量单位。未列明时应默认为我国法定计量单位。</w:t>
      </w:r>
    </w:p>
    <w:p w14:paraId="1C32FCE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8.4响应文件应采用书面形式，电报、传真、电子邮件形式的响应文件概不接受。</w:t>
      </w:r>
    </w:p>
    <w:p w14:paraId="4DBAF2A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16"/>
          <w:sz w:val="24"/>
          <w:szCs w:val="24"/>
          <w:highlight w:val="none"/>
        </w:rPr>
        <w:t>8.5供应商应按谈判文件中提供的响应文件格式进行填写。</w:t>
      </w:r>
    </w:p>
    <w:p w14:paraId="22C0294D">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14" w:name="_Toc12881"/>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9.报价要求</w:t>
      </w:r>
      <w:bookmarkEnd w:id="14"/>
    </w:p>
    <w:p w14:paraId="160E224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9.1在首次报价表、最后报价表填写报价时应注意下列要求：</w:t>
      </w:r>
    </w:p>
    <w:p w14:paraId="5EF7248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rPr>
        <w:t>(1)采购需求要求的</w:t>
      </w:r>
      <w:r>
        <w:rPr>
          <w:rFonts w:hint="eastAsia" w:ascii="宋体" w:hAnsi="宋体" w:eastAsia="宋体" w:cs="宋体"/>
          <w:color w:val="auto"/>
          <w:spacing w:val="16"/>
          <w:sz w:val="24"/>
          <w:szCs w:val="24"/>
          <w:highlight w:val="none"/>
          <w:lang w:eastAsia="zh-CN"/>
        </w:rPr>
        <w:t>配套该项目提供的包括产品费、检验费、手续费、包装费、运输费、安装调试费、保险费、税金及其他不可预见费等全部费用。</w:t>
      </w:r>
    </w:p>
    <w:p w14:paraId="61F0325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(2)所有根据合同或其它原因应由供应商交纳和支付的税款和费用。</w:t>
      </w:r>
    </w:p>
    <w:p w14:paraId="7C09B0F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(3)供应商报价应为完成本竞争性谈判文件中所要求的货物/服务/工程所应包括内容的所有价格。</w:t>
      </w:r>
    </w:p>
    <w:p w14:paraId="39F35B1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9.2供应商的每次报价均不得超过采购项目预算，否则视为无效响应。采购项目预算见【谈判须知前附表】。</w:t>
      </w:r>
    </w:p>
    <w:p w14:paraId="0F02004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9.3供应商提交的最后报价在合同执行过程中是固定不变的，不得以任何理由予以变更。以可变动价格提交的报价将被认为是非实质响应而被拒绝。</w:t>
      </w:r>
    </w:p>
    <w:p w14:paraId="3F80D55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9.4谈判报价为单价、数量。供应商须按要求填写谈判报价，最后报价不得出现两个或两个以上的报价方案。</w:t>
      </w:r>
    </w:p>
    <w:p w14:paraId="2DE9512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16"/>
          <w:sz w:val="24"/>
          <w:szCs w:val="24"/>
          <w:highlight w:val="none"/>
        </w:rPr>
        <w:t>9.5报价币种为人民币。</w:t>
      </w:r>
    </w:p>
    <w:p w14:paraId="6F58E0B7">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15" w:name="_Toc3030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10.保证金</w:t>
      </w:r>
      <w:bookmarkEnd w:id="15"/>
    </w:p>
    <w:p w14:paraId="35E8DC51">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7C80AF2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10.2供应商为联合体的，可以由联合体中的一方或者共同交纳保证金，其交纳的保证金，对联合体各方均具有约束力。</w:t>
      </w:r>
    </w:p>
    <w:p w14:paraId="4CF93E6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10.3保证金的退还按以下规定办理：</w:t>
      </w:r>
    </w:p>
    <w:p w14:paraId="1F65826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(1)成交供应商的保证金，在采购合同签订后5个工作日内退还，但因供应商自身原因导致无法退还的除外。</w:t>
      </w:r>
    </w:p>
    <w:p w14:paraId="2AB61D3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(2)未成交供应商的保证金，在成交通知书发出后5个工作日内退还。</w:t>
      </w:r>
    </w:p>
    <w:p w14:paraId="056FD58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(3)终止竞争性谈判采购活动的，在发布项目终止公告后5个工作日内退还。</w:t>
      </w:r>
    </w:p>
    <w:p w14:paraId="0E9EF82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10.4有下列情形之一的，保证金不予退还，并上缴同级财政国库：</w:t>
      </w:r>
    </w:p>
    <w:p w14:paraId="70E4F0F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(1)供应商在提交响应文件截止时间后撤回响应文件的；</w:t>
      </w:r>
    </w:p>
    <w:p w14:paraId="1474B891">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(2)供应商在响应文件中提供虚假材料的；</w:t>
      </w:r>
    </w:p>
    <w:p w14:paraId="1732E70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(3)除因不可抗力或谈判文件认可的情形以外，成交供应商不与采购人签订合同的；</w:t>
      </w:r>
    </w:p>
    <w:p w14:paraId="180EC25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(4)供应商与采购人、其他供应商或者采购代理机构恶意串通的；</w:t>
      </w:r>
    </w:p>
    <w:p w14:paraId="2862AF1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(5)谈判文件规定的其他情形。</w:t>
      </w:r>
    </w:p>
    <w:p w14:paraId="37027757">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16" w:name="_Toc82"/>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11.响应文件的组成</w:t>
      </w:r>
      <w:bookmarkEnd w:id="16"/>
    </w:p>
    <w:p w14:paraId="4BC290E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11.1响应文件包括下列内容：</w:t>
      </w:r>
    </w:p>
    <w:p w14:paraId="2941348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供应商应提交相关证明材料，作为其参加谈判和成交后有能力履行合同的证明。编写的谈判响应文件须包括以下内容(格式详见谈判文件第四部分内容)：</w:t>
      </w:r>
    </w:p>
    <w:p w14:paraId="3BBE816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11.1.1资格审查部分</w:t>
      </w:r>
    </w:p>
    <w:p w14:paraId="349E4221">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1、响应函</w:t>
      </w:r>
    </w:p>
    <w:p w14:paraId="70B5B11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2、法定代表人证明书</w:t>
      </w:r>
    </w:p>
    <w:p w14:paraId="4CAF74D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3、法定代表人授权书</w:t>
      </w:r>
    </w:p>
    <w:p w14:paraId="2A6144E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4、供应商承诺函</w:t>
      </w:r>
    </w:p>
    <w:p w14:paraId="34D5209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5、供应商诚信承诺书</w:t>
      </w:r>
    </w:p>
    <w:p w14:paraId="2BD4CBB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6、供应商资格证明文件</w:t>
      </w:r>
    </w:p>
    <w:p w14:paraId="6D6CD03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7、财务状况、缴纳税收和社会保障资金证明</w:t>
      </w:r>
    </w:p>
    <w:p w14:paraId="4D75ABD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8、无重大违法记录声明</w:t>
      </w:r>
    </w:p>
    <w:p w14:paraId="62FD24E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9、谈判保证金证明</w:t>
      </w:r>
    </w:p>
    <w:p w14:paraId="37AEDD2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11.1.2有效性、完整性、响应程度审查部分</w:t>
      </w:r>
    </w:p>
    <w:p w14:paraId="27D3657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cs="宋体"/>
          <w:color w:val="auto"/>
          <w:spacing w:val="16"/>
          <w:sz w:val="24"/>
          <w:szCs w:val="24"/>
          <w:highlight w:val="none"/>
        </w:rPr>
        <w:t>谈判首次报价表</w:t>
      </w:r>
    </w:p>
    <w:p w14:paraId="349909A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分项报价表</w:t>
      </w:r>
    </w:p>
    <w:p w14:paraId="2C43EBF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技术规格响应表</w:t>
      </w:r>
    </w:p>
    <w:p w14:paraId="2361CBE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both"/>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en-US" w:eastAsia="zh-CN"/>
        </w:rPr>
        <w:t>4</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lang w:val="en-US" w:eastAsia="zh-CN"/>
        </w:rPr>
        <w:t>产品相关资料（具备履行合同所必须的设备和专业技术能力证明）</w:t>
      </w:r>
    </w:p>
    <w:p w14:paraId="1A25CB44">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en-US" w:eastAsia="zh-CN"/>
        </w:rPr>
        <w:t>5</w:t>
      </w:r>
      <w:r>
        <w:rPr>
          <w:rFonts w:hint="eastAsia" w:ascii="宋体" w:hAnsi="宋体" w:eastAsia="宋体" w:cs="宋体"/>
          <w:color w:val="auto"/>
          <w:spacing w:val="16"/>
          <w:sz w:val="24"/>
          <w:szCs w:val="24"/>
          <w:highlight w:val="none"/>
        </w:rPr>
        <w:t>、享受政府采购政策优惠的证明资料</w:t>
      </w:r>
    </w:p>
    <w:p w14:paraId="331F9A4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en-US" w:eastAsia="zh-CN"/>
        </w:rPr>
        <w:t>6</w:t>
      </w:r>
      <w:r>
        <w:rPr>
          <w:rFonts w:hint="eastAsia" w:ascii="宋体" w:hAnsi="宋体" w:eastAsia="宋体" w:cs="宋体"/>
          <w:color w:val="auto"/>
          <w:spacing w:val="16"/>
          <w:sz w:val="24"/>
          <w:szCs w:val="24"/>
          <w:highlight w:val="none"/>
        </w:rPr>
        <w:t>、供应商认为在其他方面有必要说明的事项</w:t>
      </w:r>
    </w:p>
    <w:p w14:paraId="7A30761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供应商须按上述内容、顺序和格式编制响应文件，并按要求编制目录、页码，并保证所提供的全部资料真实可信，自愿承担相应责任。</w:t>
      </w:r>
    </w:p>
    <w:p w14:paraId="2A1F9F1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11.2在谈判过程中，供应商根据谈判小组书面形式要求提交的最后报价(或者重新提交的响应文件和最后报价)是响应文件的有效组成部分。</w:t>
      </w:r>
    </w:p>
    <w:p w14:paraId="7AB9FAC0">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17" w:name="_Toc22664"/>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12.响应文件有效期</w:t>
      </w:r>
      <w:bookmarkEnd w:id="17"/>
    </w:p>
    <w:p w14:paraId="6ED886E1">
      <w:pPr>
        <w:spacing w:before="2" w:line="374" w:lineRule="auto"/>
        <w:ind w:right="81" w:firstLine="371"/>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响应文件有效期见【谈判须知前附表】，在此期间响应文件对供应商具有法律约束力，从提交首次响应文件截止时间之日起计算。响应文件有效期不足的将被视为无效响应。</w:t>
      </w:r>
    </w:p>
    <w:p w14:paraId="6E93EDD7">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18" w:name="_Toc17541"/>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13.响应文件的签署及规定</w:t>
      </w:r>
      <w:bookmarkEnd w:id="18"/>
    </w:p>
    <w:p w14:paraId="06E1E2A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A3EE91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13.2供应商应按照谈判文件所提供的文件格式，分别填写谈判文件第四部分的内容，应分别注明所提供</w:t>
      </w:r>
      <w:r>
        <w:rPr>
          <w:rFonts w:hint="eastAsia" w:ascii="宋体" w:hAnsi="宋体" w:eastAsia="宋体" w:cs="宋体"/>
          <w:color w:val="auto"/>
          <w:spacing w:val="16"/>
          <w:sz w:val="24"/>
          <w:szCs w:val="24"/>
          <w:highlight w:val="none"/>
          <w:lang w:val="en-US" w:eastAsia="zh-CN"/>
        </w:rPr>
        <w:t>产品</w:t>
      </w:r>
      <w:r>
        <w:rPr>
          <w:rFonts w:hint="eastAsia" w:ascii="宋体" w:hAnsi="宋体" w:eastAsia="宋体" w:cs="宋体"/>
          <w:color w:val="auto"/>
          <w:spacing w:val="16"/>
          <w:sz w:val="24"/>
          <w:szCs w:val="24"/>
          <w:highlight w:val="none"/>
        </w:rPr>
        <w:t>的名称、技术配置及参数、数量和价格等内容；谈判文件要求签字、盖章的地方必须由供应商的法定代表人或委托代理人签字、盖章。</w:t>
      </w:r>
    </w:p>
    <w:p w14:paraId="2922541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13.3响应文件不得行间插字，若有修改错漏处，应由供应商法定代表人或者其委托代理人签字、加盖公章。否则，将导致响应文件无效。</w:t>
      </w:r>
    </w:p>
    <w:p w14:paraId="767F455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13.</w:t>
      </w:r>
      <w:r>
        <w:rPr>
          <w:rFonts w:hint="eastAsia" w:ascii="宋体" w:hAnsi="宋体" w:eastAsia="宋体" w:cs="宋体"/>
          <w:color w:val="auto"/>
          <w:spacing w:val="16"/>
          <w:sz w:val="24"/>
          <w:szCs w:val="24"/>
          <w:highlight w:val="none"/>
          <w:lang w:val="en-US" w:eastAsia="zh-CN"/>
        </w:rPr>
        <w:t>4</w:t>
      </w:r>
      <w:r>
        <w:rPr>
          <w:rFonts w:hint="eastAsia" w:ascii="宋体" w:hAnsi="宋体" w:eastAsia="宋体" w:cs="宋体"/>
          <w:color w:val="auto"/>
          <w:spacing w:val="16"/>
          <w:sz w:val="24"/>
          <w:szCs w:val="24"/>
          <w:highlight w:val="none"/>
        </w:rPr>
        <w:t>在谈判过程中，供应商按谈判文件规定和谈判小组要求提交的最后报价(或者重新提交的响应文件和最后报价)，须加盖供应商单位公章。否则，将导致响应文件无效。</w:t>
      </w:r>
    </w:p>
    <w:p w14:paraId="0951FD6A">
      <w:pPr>
        <w:spacing w:line="336" w:lineRule="auto"/>
        <w:rPr>
          <w:rFonts w:hint="eastAsia" w:ascii="宋体" w:hAnsi="宋体" w:eastAsia="宋体" w:cs="宋体"/>
          <w:color w:val="auto"/>
          <w:sz w:val="21"/>
          <w:highlight w:val="none"/>
        </w:rPr>
      </w:pPr>
    </w:p>
    <w:p w14:paraId="0762778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pPr>
      <w:bookmarkStart w:id="19" w:name="_Toc24227"/>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四、响应文件的递交</w:t>
      </w:r>
      <w:bookmarkEnd w:id="19"/>
    </w:p>
    <w:p w14:paraId="37CE4DB1">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20" w:name="_Toc569"/>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14.响应文件的密封和标记</w:t>
      </w:r>
      <w:bookmarkEnd w:id="20"/>
    </w:p>
    <w:p w14:paraId="5B66041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lang w:val="zh-CN"/>
        </w:rPr>
      </w:pPr>
      <w:r>
        <w:rPr>
          <w:rFonts w:hint="eastAsia" w:ascii="宋体" w:hAnsi="宋体" w:eastAsia="宋体" w:cs="宋体"/>
          <w:color w:val="auto"/>
          <w:spacing w:val="16"/>
          <w:sz w:val="24"/>
          <w:szCs w:val="24"/>
          <w:highlight w:val="none"/>
        </w:rPr>
        <w:t>14.1</w:t>
      </w:r>
      <w:r>
        <w:rPr>
          <w:rFonts w:hint="eastAsia" w:ascii="宋体" w:hAnsi="宋体" w:eastAsia="宋体" w:cs="宋体"/>
          <w:color w:val="auto"/>
          <w:spacing w:val="16"/>
          <w:sz w:val="24"/>
          <w:szCs w:val="24"/>
          <w:highlight w:val="none"/>
          <w:lang w:val="zh-CN"/>
        </w:rPr>
        <w:t>响应文件的密封和标记：本次采用政采云平台线上上传</w:t>
      </w:r>
      <w:r>
        <w:rPr>
          <w:rFonts w:hint="eastAsia" w:ascii="宋体" w:hAnsi="宋体" w:eastAsia="宋体" w:cs="宋体"/>
          <w:color w:val="auto"/>
          <w:spacing w:val="16"/>
          <w:sz w:val="24"/>
          <w:szCs w:val="24"/>
          <w:highlight w:val="none"/>
          <w:lang w:val="en-US" w:eastAsia="zh-CN"/>
        </w:rPr>
        <w:t>谈判</w:t>
      </w:r>
      <w:r>
        <w:rPr>
          <w:rFonts w:hint="eastAsia" w:ascii="宋体" w:hAnsi="宋体" w:eastAsia="宋体" w:cs="宋体"/>
          <w:color w:val="auto"/>
          <w:spacing w:val="16"/>
          <w:sz w:val="24"/>
          <w:szCs w:val="24"/>
          <w:highlight w:val="none"/>
          <w:lang w:val="zh-CN"/>
        </w:rPr>
        <w:t>响应文件。</w:t>
      </w:r>
    </w:p>
    <w:p w14:paraId="32223CB0">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21" w:name="_Toc23831"/>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15.响应文件的递交与接收</w:t>
      </w:r>
      <w:bookmarkEnd w:id="21"/>
    </w:p>
    <w:p w14:paraId="72F36591">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lang w:val="zh-CN"/>
        </w:rPr>
      </w:pPr>
      <w:r>
        <w:rPr>
          <w:rFonts w:hint="eastAsia" w:ascii="宋体" w:hAnsi="宋体" w:eastAsia="宋体" w:cs="宋体"/>
          <w:color w:val="auto"/>
          <w:spacing w:val="16"/>
          <w:sz w:val="24"/>
          <w:szCs w:val="24"/>
          <w:highlight w:val="none"/>
          <w:lang w:val="en-US" w:eastAsia="zh-CN"/>
        </w:rPr>
        <w:t>15.1</w:t>
      </w:r>
      <w:r>
        <w:rPr>
          <w:rFonts w:hint="eastAsia" w:ascii="宋体" w:hAnsi="宋体" w:eastAsia="宋体" w:cs="宋体"/>
          <w:color w:val="auto"/>
          <w:spacing w:val="16"/>
          <w:sz w:val="24"/>
          <w:szCs w:val="24"/>
          <w:highlight w:val="none"/>
          <w:lang w:val="zh-CN"/>
        </w:rPr>
        <w:t>供应商应在【谈判须知前附表】规定的时间和地点提交响应文件。</w:t>
      </w:r>
    </w:p>
    <w:p w14:paraId="530A5A7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zh-CN"/>
        </w:rPr>
        <w:t>1</w:t>
      </w:r>
      <w:r>
        <w:rPr>
          <w:rFonts w:hint="eastAsia" w:ascii="宋体" w:hAnsi="宋体" w:eastAsia="宋体" w:cs="宋体"/>
          <w:color w:val="auto"/>
          <w:spacing w:val="16"/>
          <w:sz w:val="24"/>
          <w:szCs w:val="24"/>
          <w:highlight w:val="none"/>
          <w:lang w:val="en-US" w:eastAsia="zh-CN"/>
        </w:rPr>
        <w:t>5</w:t>
      </w:r>
      <w:r>
        <w:rPr>
          <w:rFonts w:hint="eastAsia" w:ascii="宋体" w:hAnsi="宋体" w:eastAsia="宋体" w:cs="宋体"/>
          <w:color w:val="auto"/>
          <w:spacing w:val="16"/>
          <w:sz w:val="24"/>
          <w:szCs w:val="24"/>
          <w:highlight w:val="none"/>
          <w:lang w:val="zh-CN"/>
        </w:rPr>
        <w:t>.2采购代理机构将拒绝接受在提交首次响应文件截止时间之后送达的响应文件。</w:t>
      </w:r>
    </w:p>
    <w:p w14:paraId="28E7ECA8">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22" w:name="_Toc2695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16.响应文件的补充、修改或者撤回</w:t>
      </w:r>
      <w:bookmarkEnd w:id="22"/>
    </w:p>
    <w:p w14:paraId="2A828E7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p>
    <w:p w14:paraId="0255EDD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pPr>
      <w:bookmarkStart w:id="23" w:name="_Toc25898"/>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五、响应文件的评审与谈判</w:t>
      </w:r>
      <w:bookmarkEnd w:id="23"/>
    </w:p>
    <w:p w14:paraId="649F44A3">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24" w:name="_Toc27465"/>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17.谈判小组</w:t>
      </w:r>
      <w:bookmarkEnd w:id="24"/>
    </w:p>
    <w:p w14:paraId="7F32749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17.1竞争性谈判小组由采购人代表和评审专家共</w:t>
      </w:r>
      <w:r>
        <w:rPr>
          <w:rFonts w:hint="eastAsia" w:ascii="宋体" w:hAnsi="宋体" w:eastAsia="宋体" w:cs="宋体"/>
          <w:color w:val="auto"/>
          <w:spacing w:val="16"/>
          <w:sz w:val="24"/>
          <w:szCs w:val="24"/>
          <w:highlight w:val="none"/>
          <w:lang w:val="en-US" w:eastAsia="zh-CN"/>
        </w:rPr>
        <w:t>3</w:t>
      </w:r>
      <w:r>
        <w:rPr>
          <w:rFonts w:hint="eastAsia" w:ascii="宋体" w:hAnsi="宋体" w:eastAsia="宋体" w:cs="宋体"/>
          <w:color w:val="auto"/>
          <w:spacing w:val="16"/>
          <w:sz w:val="24"/>
          <w:szCs w:val="24"/>
          <w:highlight w:val="none"/>
        </w:rPr>
        <w:t>人组成(</w:t>
      </w:r>
      <w:r>
        <w:rPr>
          <w:rFonts w:hint="eastAsia" w:ascii="宋体" w:hAnsi="宋体" w:eastAsia="宋体" w:cs="宋体"/>
          <w:color w:val="auto"/>
          <w:spacing w:val="16"/>
          <w:sz w:val="24"/>
          <w:szCs w:val="24"/>
          <w:highlight w:val="none"/>
          <w:lang w:val="en-US" w:eastAsia="zh-CN"/>
        </w:rPr>
        <w:t>3</w:t>
      </w:r>
      <w:r>
        <w:rPr>
          <w:rFonts w:hint="eastAsia" w:ascii="宋体" w:hAnsi="宋体" w:eastAsia="宋体" w:cs="宋体"/>
          <w:color w:val="auto"/>
          <w:spacing w:val="16"/>
          <w:sz w:val="24"/>
          <w:szCs w:val="24"/>
          <w:highlight w:val="none"/>
        </w:rPr>
        <w:t>人以上单数组成)，其中评审专家</w:t>
      </w:r>
      <w:r>
        <w:rPr>
          <w:rFonts w:hint="eastAsia" w:ascii="宋体" w:hAnsi="宋体" w:eastAsia="宋体" w:cs="宋体"/>
          <w:color w:val="auto"/>
          <w:spacing w:val="16"/>
          <w:sz w:val="24"/>
          <w:szCs w:val="24"/>
          <w:highlight w:val="none"/>
          <w:lang w:val="en-US" w:eastAsia="zh-CN"/>
        </w:rPr>
        <w:t>2</w:t>
      </w:r>
      <w:r>
        <w:rPr>
          <w:rFonts w:hint="eastAsia" w:ascii="宋体" w:hAnsi="宋体" w:eastAsia="宋体" w:cs="宋体"/>
          <w:color w:val="auto"/>
          <w:spacing w:val="16"/>
          <w:sz w:val="24"/>
          <w:szCs w:val="24"/>
          <w:highlight w:val="none"/>
        </w:rPr>
        <w:t>名(评审专家人数不得少于竞争性谈判小组成员总数的</w:t>
      </w:r>
      <w:r>
        <w:rPr>
          <w:rFonts w:hint="eastAsia" w:ascii="宋体" w:hAnsi="宋体" w:eastAsia="宋体" w:cs="宋体"/>
          <w:color w:val="auto"/>
          <w:spacing w:val="16"/>
          <w:sz w:val="24"/>
          <w:szCs w:val="24"/>
          <w:highlight w:val="none"/>
          <w:lang w:val="en-US" w:eastAsia="zh-CN"/>
        </w:rPr>
        <w:t>2</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lang w:val="en-US" w:eastAsia="zh-CN"/>
        </w:rPr>
        <w:t>3</w:t>
      </w:r>
      <w:r>
        <w:rPr>
          <w:rFonts w:hint="eastAsia" w:ascii="宋体" w:hAnsi="宋体" w:eastAsia="宋体" w:cs="宋体"/>
          <w:color w:val="auto"/>
          <w:spacing w:val="16"/>
          <w:sz w:val="24"/>
          <w:szCs w:val="24"/>
          <w:highlight w:val="none"/>
        </w:rPr>
        <w:t>)。采购人不得以评审专家身份参加本采购项目的评审。谈判小组评审专家从政府采购评审专家库内相关专业的专家名单中随机抽选。</w:t>
      </w:r>
    </w:p>
    <w:p w14:paraId="465070A9">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17.2谈判由采购代理机构负责组织，具体谈判事务由依法组建的谈判小组负责，并独立履行下列职责：</w:t>
      </w:r>
    </w:p>
    <w:p w14:paraId="79774B3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(1)确认谈判文件；</w:t>
      </w:r>
    </w:p>
    <w:p w14:paraId="4695DC0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(2)审查供应商的响应文件并作出评价；</w:t>
      </w:r>
    </w:p>
    <w:p w14:paraId="5E27272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(3)要求供应商对谈判文件有关事项作出澄清或者说明；</w:t>
      </w:r>
    </w:p>
    <w:p w14:paraId="184045B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(4)编写评审报告；</w:t>
      </w:r>
    </w:p>
    <w:p w14:paraId="541537D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(5)确定成交候选人名单，以及根据采购人委托直接确定成交供应商；</w:t>
      </w:r>
    </w:p>
    <w:p w14:paraId="13814EE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(6)告知采购人、采购代理机构在评审过程中发现的供应商的违法违规行为。</w:t>
      </w:r>
    </w:p>
    <w:p w14:paraId="07FD3044">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17.3谈判小组应遵守并履行下列义务：</w:t>
      </w:r>
    </w:p>
    <w:p w14:paraId="29F3B94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(1)遵纪守法，客观、公正、廉洁地履行职责；</w:t>
      </w:r>
    </w:p>
    <w:p w14:paraId="48A6449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(2)按照谈判文件规定的成交方法评审，对评审意见承担谈判小组成员责任；</w:t>
      </w:r>
    </w:p>
    <w:p w14:paraId="5416408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(3)对谈判响应文件、谈判情况和谈判中获悉的国家秘密、商业秘密保密；</w:t>
      </w:r>
    </w:p>
    <w:p w14:paraId="176CC70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(4)参与评审报告的起草；</w:t>
      </w:r>
    </w:p>
    <w:p w14:paraId="786C2CF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(5)配合采购人、采购代理机构答复供应商提出的质疑；</w:t>
      </w:r>
    </w:p>
    <w:p w14:paraId="3F55C41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(6)配合监督部门的投诉处理和监督检查工作。</w:t>
      </w:r>
    </w:p>
    <w:p w14:paraId="7B098B2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17.4谈判小组成员有下列情形之一的，应当回避：</w:t>
      </w:r>
    </w:p>
    <w:p w14:paraId="4A96D5C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(1)参加采购活动前3年内与供应商存在劳动关系；</w:t>
      </w:r>
    </w:p>
    <w:p w14:paraId="120F839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(2)参加采购活动前3年内担任供应商的董事、监事；</w:t>
      </w:r>
    </w:p>
    <w:p w14:paraId="1DB7147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(3)参加采购活动前3年内是供应商的控股股东或者实际控制人；</w:t>
      </w:r>
    </w:p>
    <w:p w14:paraId="173D340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(4)与供应商的法定代表人或者负责人有夫妻、直系血亲、三代以内旁系血亲或者近姻亲关系；</w:t>
      </w:r>
    </w:p>
    <w:p w14:paraId="2FB2C9B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16"/>
          <w:sz w:val="24"/>
          <w:szCs w:val="24"/>
          <w:highlight w:val="none"/>
        </w:rPr>
        <w:t>(5)与供应商有其他可能影响采购活动公平、公正进行的关系。</w:t>
      </w:r>
    </w:p>
    <w:p w14:paraId="6D0C514C">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25" w:name="_Toc670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18.响应文件审查</w:t>
      </w:r>
      <w:bookmarkEnd w:id="25"/>
    </w:p>
    <w:p w14:paraId="4E51384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18.1谈判小组应当对响应文件进行评审，并根据谈判文件规定的程序、评定成交的标准等事项与实质性响应谈判文件要求的供应商进行谈判。</w:t>
      </w:r>
    </w:p>
    <w:p w14:paraId="489F00B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18.2在对供应商进行审查时，存在下列情况之一的，按无效处理：</w:t>
      </w:r>
    </w:p>
    <w:p w14:paraId="6F53D98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(1)不符合谈判文件第一部分谈判须知前附表“供应商资格条件”的；</w:t>
      </w:r>
    </w:p>
    <w:p w14:paraId="12B8027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(2)未按第11.1款要求提供相关资料的；</w:t>
      </w:r>
    </w:p>
    <w:p w14:paraId="75DECD3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(3)响应文件没有按谈判文件规定和要求签字、盖章的；</w:t>
      </w:r>
    </w:p>
    <w:p w14:paraId="445405B1">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(4)谈判有效期、</w:t>
      </w:r>
      <w:r>
        <w:rPr>
          <w:rFonts w:hint="eastAsia" w:ascii="宋体" w:hAnsi="宋体" w:eastAsia="宋体" w:cs="宋体"/>
          <w:color w:val="auto"/>
          <w:spacing w:val="16"/>
          <w:sz w:val="24"/>
          <w:szCs w:val="24"/>
          <w:highlight w:val="none"/>
          <w:lang w:val="en-US" w:eastAsia="zh-CN"/>
        </w:rPr>
        <w:t>交货</w:t>
      </w:r>
      <w:r>
        <w:rPr>
          <w:rFonts w:hint="eastAsia" w:ascii="宋体" w:hAnsi="宋体" w:eastAsia="宋体" w:cs="宋体"/>
          <w:color w:val="auto"/>
          <w:spacing w:val="16"/>
          <w:sz w:val="24"/>
          <w:szCs w:val="24"/>
          <w:highlight w:val="none"/>
        </w:rPr>
        <w:t>期限不能满足谈判文件要求的；</w:t>
      </w:r>
    </w:p>
    <w:p w14:paraId="5CB0666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(5)谈判报价超过谈判文件规定的采购预算额度的；</w:t>
      </w:r>
    </w:p>
    <w:p w14:paraId="582C3CC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w:t>
      </w:r>
      <w:r>
        <w:rPr>
          <w:rFonts w:hint="eastAsia" w:asciiTheme="minorEastAsia" w:hAnsiTheme="minorEastAsia" w:eastAsiaTheme="minorEastAsia" w:cstheme="minorEastAsia"/>
          <w:color w:val="auto"/>
          <w:sz w:val="24"/>
          <w:szCs w:val="24"/>
          <w:highlight w:val="none"/>
        </w:rPr>
        <w:t>所提供产品的技术规格、技术标准不符合采购项目要求的</w:t>
      </w:r>
      <w:r>
        <w:rPr>
          <w:rFonts w:hint="eastAsia" w:ascii="宋体" w:hAnsi="宋体" w:eastAsia="宋体" w:cs="宋体"/>
          <w:color w:val="auto"/>
          <w:spacing w:val="16"/>
          <w:sz w:val="24"/>
          <w:szCs w:val="24"/>
          <w:highlight w:val="none"/>
        </w:rPr>
        <w:t>；</w:t>
      </w:r>
    </w:p>
    <w:p w14:paraId="0BED461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(7)谈判响应文件含有采购人不能接受的附加条件的；</w:t>
      </w:r>
    </w:p>
    <w:p w14:paraId="60D5294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(8)响应文件不满足谈判文件实质性要求和条件的；</w:t>
      </w:r>
    </w:p>
    <w:p w14:paraId="1268A54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lang w:val="en-US" w:eastAsia="zh-CN"/>
        </w:rPr>
        <w:t>9</w:t>
      </w:r>
      <w:r>
        <w:rPr>
          <w:rFonts w:hint="eastAsia" w:ascii="宋体" w:hAnsi="宋体" w:eastAsia="宋体" w:cs="宋体"/>
          <w:color w:val="auto"/>
          <w:spacing w:val="16"/>
          <w:sz w:val="24"/>
          <w:szCs w:val="24"/>
          <w:highlight w:val="none"/>
        </w:rPr>
        <w:t>)谈判小组认为应按无效谈判处理的其他情况；</w:t>
      </w:r>
    </w:p>
    <w:p w14:paraId="6240CD1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lang w:val="en-US" w:eastAsia="zh-CN"/>
        </w:rPr>
        <w:t>10</w:t>
      </w:r>
      <w:r>
        <w:rPr>
          <w:rFonts w:hint="eastAsia" w:ascii="宋体" w:hAnsi="宋体" w:eastAsia="宋体" w:cs="宋体"/>
          <w:color w:val="auto"/>
          <w:spacing w:val="16"/>
          <w:sz w:val="24"/>
          <w:szCs w:val="24"/>
          <w:highlight w:val="none"/>
        </w:rPr>
        <w:t>)法律、法规规定的其他情形。</w:t>
      </w:r>
    </w:p>
    <w:p w14:paraId="52DDACD6">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26" w:name="_Toc32343"/>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19.谈判程序</w:t>
      </w:r>
      <w:bookmarkEnd w:id="26"/>
    </w:p>
    <w:p w14:paraId="3720065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19.1在谈判过程中，谈判小组所有成员集中与单一供应商分别进行谈判，负责审议所有通过资格条件供应商的谈判响应文件，给予所有参加谈判的供应商平等的谈判机会。在谈判过程中谈判的任何一方不得向他人透露与谈判有关的技术资料、价格或其他信息。</w:t>
      </w:r>
    </w:p>
    <w:p w14:paraId="5C2522B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19.2在谈判过程中，谈判小组可以根据谈判文件和谈判情况实质性变动技术标准及要求中的技术、服务要求以及合同草案条款，但不得变动谈判文件中的其他内容。实质性变动的内容，须经采购人代表确认，谈判小组将以</w:t>
      </w:r>
      <w:r>
        <w:rPr>
          <w:rFonts w:hint="eastAsia" w:ascii="宋体" w:hAnsi="宋体" w:eastAsia="宋体" w:cs="宋体"/>
          <w:color w:val="auto"/>
          <w:spacing w:val="16"/>
          <w:sz w:val="24"/>
          <w:szCs w:val="24"/>
          <w:highlight w:val="none"/>
          <w:lang w:val="en-US" w:eastAsia="zh-CN"/>
        </w:rPr>
        <w:t>电子</w:t>
      </w:r>
      <w:r>
        <w:rPr>
          <w:rFonts w:hint="eastAsia" w:ascii="宋体" w:hAnsi="宋体" w:eastAsia="宋体" w:cs="宋体"/>
          <w:color w:val="auto"/>
          <w:spacing w:val="16"/>
          <w:sz w:val="24"/>
          <w:szCs w:val="24"/>
          <w:highlight w:val="none"/>
        </w:rPr>
        <w:t>形式将修改内容同时通知所有参加谈判的供应商。</w:t>
      </w:r>
    </w:p>
    <w:p w14:paraId="4E0FB27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19.3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A5BB3A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19.4响应文件中首次报价表内的报价为首次报价，根据技术、服务等满足谈判文件要求的情况，供应商可进行最后报价。</w:t>
      </w:r>
    </w:p>
    <w:p w14:paraId="260850A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19.5谈判小组认为供应商的最后报价明显低于其他通过有效性、完整性、响应程度审查供应商的报价，有可能影响产品质量或者不能诚信履约的，应当要求其在谈判现场合理的时间内提供说明，必要时提交相关证明材料；供应商不能证明其报价合理性的，谈判小组应当将其作为无效谈判处理。</w:t>
      </w:r>
    </w:p>
    <w:p w14:paraId="7D0F9B2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19.6谈判工作在有关部门的监督下依法开展，任何单位和个人不得非法干预、影响谈判工作和谈判结果。</w:t>
      </w:r>
    </w:p>
    <w:p w14:paraId="02770D2D">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27" w:name="_Toc8505"/>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20.澄清</w:t>
      </w:r>
      <w:bookmarkEnd w:id="27"/>
    </w:p>
    <w:p w14:paraId="2A15EE9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2C55645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35E0BCC2">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28" w:name="_Toc942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21.退出谈判</w:t>
      </w:r>
      <w:bookmarkEnd w:id="28"/>
    </w:p>
    <w:p w14:paraId="37386BE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348B0284">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29" w:name="_Toc1725"/>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22.最后报价</w:t>
      </w:r>
      <w:bookmarkEnd w:id="29"/>
    </w:p>
    <w:p w14:paraId="1EEB4CE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1CDF2BF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631298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22.3最后报价的评审</w:t>
      </w:r>
    </w:p>
    <w:p w14:paraId="71665BD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(1)最后报价出现大写金额和小写金额不一致的，以大写金额为准。</w:t>
      </w:r>
    </w:p>
    <w:p w14:paraId="79F6B79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(2)需落实政府采购政策的，按相关规定进行价格扣除。</w:t>
      </w:r>
    </w:p>
    <w:p w14:paraId="4C280F31">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22.4最后报价如果高于其响应文件中的首次报价，以最后报价为准。</w:t>
      </w:r>
    </w:p>
    <w:p w14:paraId="2DD3581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22.5采购人、采购代理机构在按规定公布供应商的最后报价前，不得公开供应商的技术资料、价格和其他信息。</w:t>
      </w:r>
    </w:p>
    <w:p w14:paraId="0DAD0E1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22.6若最后报价时出现最低价相同的情形，谈判小组应召集报价相同的供应商进行再次报价。</w:t>
      </w:r>
    </w:p>
    <w:p w14:paraId="0D0948AF">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30" w:name="_Toc1805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23.确定成交供应商</w:t>
      </w:r>
      <w:bookmarkEnd w:id="30"/>
    </w:p>
    <w:p w14:paraId="19F66B9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23.1谈判小组应当从质量和服务均能满足采购文件实质性响应要求的供应商中，按照最后报价由低到高的顺序提出3名</w:t>
      </w:r>
      <w:r>
        <w:rPr>
          <w:rFonts w:hint="eastAsia" w:ascii="宋体" w:hAnsi="宋体" w:eastAsia="宋体" w:cs="宋体"/>
          <w:color w:val="auto"/>
          <w:spacing w:val="16"/>
          <w:sz w:val="24"/>
          <w:szCs w:val="24"/>
          <w:highlight w:val="none"/>
          <w:lang w:val="en-US" w:eastAsia="zh-CN"/>
        </w:rPr>
        <w:t>及</w:t>
      </w:r>
      <w:r>
        <w:rPr>
          <w:rFonts w:hint="eastAsia" w:ascii="宋体" w:hAnsi="宋体" w:eastAsia="宋体" w:cs="宋体"/>
          <w:color w:val="auto"/>
          <w:spacing w:val="16"/>
          <w:sz w:val="24"/>
          <w:szCs w:val="24"/>
          <w:highlight w:val="none"/>
        </w:rPr>
        <w:t>以上成交候选人，并编写评审报告。供应商最后报价涉及算术修正、需落实政府采购政策的，按上款规定由低到高顺序排序。</w:t>
      </w:r>
    </w:p>
    <w:p w14:paraId="3F538D8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94B2DA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23.3采购代理机构应当在评审结束后2个工作日内将评审报告送采购人确认。</w:t>
      </w:r>
    </w:p>
    <w:p w14:paraId="2E51D94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58314851">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23.5采购人逾期未确定成交供应商且不提出异议的，视为确定评审报告提出的最后报价最低的供应商为成交供应商。</w:t>
      </w:r>
    </w:p>
    <w:p w14:paraId="27839F31">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31" w:name="_Toc4983"/>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24.重新评审</w:t>
      </w:r>
      <w:bookmarkEnd w:id="31"/>
    </w:p>
    <w:p w14:paraId="566D67F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24.1除资格审查认定错误和价格计算错误外，采购人、采购代理机构不以任何理由组织重新评审。</w:t>
      </w:r>
    </w:p>
    <w:p w14:paraId="5B033D5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24.2采购人、采购代理机构发现谈判小组未按照谈判文件规定的评定成交标准进行评审的，应当重新开展采购活动，并同时书面报告同级监督部门。</w:t>
      </w:r>
    </w:p>
    <w:p w14:paraId="5BC7FD5E">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32" w:name="_Toc432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25.谈判终止</w:t>
      </w:r>
      <w:bookmarkEnd w:id="32"/>
    </w:p>
    <w:p w14:paraId="7D660D7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25.1出现下列情形之一的，采购人、采购代理机构应当终止竞争性谈判采购活动，在指定的媒体上发布项目终止公告并说明原因，重新开展采购活动：</w:t>
      </w:r>
    </w:p>
    <w:p w14:paraId="11B140C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(1)因情况变化，不再符合规定的竞争性谈判采购方式适用情形的；</w:t>
      </w:r>
    </w:p>
    <w:p w14:paraId="2FD372E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(2)出现影响采购公正的违法、违规行为的；</w:t>
      </w:r>
    </w:p>
    <w:p w14:paraId="2D783359">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(3)在采购过程中符合谈判要求的供应商或者报价未超过采购预算的供应商不足3家的，或者提交最后报价的供应商少于3家的；</w:t>
      </w:r>
    </w:p>
    <w:p w14:paraId="223073B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(4)因重大变故，采购任务取消的。</w:t>
      </w:r>
    </w:p>
    <w:p w14:paraId="45DDC7C8">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33" w:name="_Toc4175"/>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26.串通情形认定及处理</w:t>
      </w:r>
      <w:bookmarkEnd w:id="33"/>
    </w:p>
    <w:p w14:paraId="7702828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26.1供应商不得与采购人、采购代理机构、其他供应商恶意串通；不得向采购人、采购代理机构或者谈判小组成员行贿或者提供其他不正当利益；不得提供虚假材料谋取成交；不得以任何方式干扰、影响采购工作。</w:t>
      </w:r>
    </w:p>
    <w:p w14:paraId="6988196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26.2有下列情形之一的，成交无效，对供应商依照《政府采购法》第七十七条的规定追究法律责任：</w:t>
      </w:r>
    </w:p>
    <w:p w14:paraId="081C47C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(1)供应商直接或者间接从采购人或者采购代理机构处获得其他供应商的相关情况并修改其响应文件；</w:t>
      </w:r>
    </w:p>
    <w:p w14:paraId="7C819EA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(2)供应商按照采购人或者采购代理机构的授意撤换、修改响应文件；</w:t>
      </w:r>
    </w:p>
    <w:p w14:paraId="7934D70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(3)供应商之间协商报价、技术方案等响应文件的实质性内容；</w:t>
      </w:r>
    </w:p>
    <w:p w14:paraId="37C1938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(4)属于同一集团、协会、商会等组织成员的供应商按照该组织要求协同参加采购活动；</w:t>
      </w:r>
    </w:p>
    <w:p w14:paraId="3DBF13D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(5)供应商之间事先约定由某一特定供应商成交；</w:t>
      </w:r>
    </w:p>
    <w:p w14:paraId="5272157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(6)供应商之间商定部分供应商放弃参加采购活动或者放弃成交；</w:t>
      </w:r>
    </w:p>
    <w:p w14:paraId="6A26629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(7)供应商与采购人或者采购代理机构之间、供应商相互之间，为谋求特定供应商成交或者排斥其他供应商的其他串通行为。</w:t>
      </w:r>
    </w:p>
    <w:p w14:paraId="6C52410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26.3有下列情形之一的，视为供应商串通，其响应无效：</w:t>
      </w:r>
    </w:p>
    <w:p w14:paraId="42FB811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(1)不同供应商的响应文件由同一单位或者个人编制；</w:t>
      </w:r>
    </w:p>
    <w:p w14:paraId="641413F4">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(2)不同供应商委托同一单位或者个人办理谈判事宜；</w:t>
      </w:r>
    </w:p>
    <w:p w14:paraId="014DABA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(3)不同供应商的响应文件载明的项目管理成员或者联系人员为同一人；</w:t>
      </w:r>
    </w:p>
    <w:p w14:paraId="114630E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(4)不同供应商的响应文件异常一致或者报价呈规律性差异；</w:t>
      </w:r>
    </w:p>
    <w:p w14:paraId="1B1D62C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(5)不同供应商的响应文件相互混装；</w:t>
      </w:r>
    </w:p>
    <w:p w14:paraId="1AB3A5C9">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16"/>
          <w:sz w:val="24"/>
          <w:szCs w:val="24"/>
          <w:highlight w:val="none"/>
        </w:rPr>
        <w:t>(6)不同供应商的保证金从同一单位或者个人的账户转出。</w:t>
      </w:r>
    </w:p>
    <w:p w14:paraId="19C5B01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pPr>
      <w:bookmarkStart w:id="34" w:name="_Toc32166"/>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六、成交结果信息公布与授予合同</w:t>
      </w:r>
      <w:bookmarkEnd w:id="34"/>
    </w:p>
    <w:p w14:paraId="3F773D6F">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35" w:name="_Toc15070"/>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27.成交信息的公布与通知</w:t>
      </w:r>
      <w:bookmarkEnd w:id="35"/>
    </w:p>
    <w:p w14:paraId="2E410C0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27.1代理机构应自确定成交供应商之日起2个工作日内在发布采购公告同一网站上发布成交结果公告，同时向成交供应商发出《成交通知书》。成交通知书对采购人和成交供应商具有同等法律效力。</w:t>
      </w:r>
    </w:p>
    <w:p w14:paraId="009F043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27.2成交结果公告应当包括以下内容：</w:t>
      </w:r>
    </w:p>
    <w:p w14:paraId="4D883D8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(1)采购人和采购代理机构的名称、地址和联系方式；</w:t>
      </w:r>
    </w:p>
    <w:p w14:paraId="141CC4F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(2)项目名称和项目编号；</w:t>
      </w:r>
    </w:p>
    <w:p w14:paraId="1656346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(3)成交供应商名称、地址和成交金额；</w:t>
      </w:r>
    </w:p>
    <w:p w14:paraId="3C8A9E08">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(4)主要成交标的的名称、规格型号、数量、单价、服务要求；</w:t>
      </w:r>
    </w:p>
    <w:p w14:paraId="1E8F203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(5)谈判小组成员名单。</w:t>
      </w:r>
    </w:p>
    <w:p w14:paraId="3881106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27.3《成交通知书》发出后，采购人不得违法改变采购结果，成交供应商无正当理由不得放弃。</w:t>
      </w:r>
    </w:p>
    <w:p w14:paraId="63C669A6">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36" w:name="_Toc23472"/>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28.授予合同</w:t>
      </w:r>
      <w:bookmarkEnd w:id="36"/>
    </w:p>
    <w:p w14:paraId="6A990561">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28.1谈判文件、成交供应商的响应文件及其补充的响应文件、成交通知书等均为签订采购合同的依据。</w:t>
      </w:r>
    </w:p>
    <w:p w14:paraId="2888003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28.2采购人与成交供应商双方应当自《成交通知书》发出之日起30日内，按照谈判文件确定的合同文本以及采购标的、规格型号、采购金额、采购数量、技术和服务要求等事项签订采购合同。</w:t>
      </w:r>
    </w:p>
    <w:p w14:paraId="41D4DC9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32C180F7">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37" w:name="_Toc30520"/>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29.履约验收</w:t>
      </w:r>
      <w:bookmarkEnd w:id="37"/>
    </w:p>
    <w:p w14:paraId="55F5FB8A">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29.1采购人或者采购代理机构应当按照采购合同规定的技术、服务、安全标准组织对供应商履约情况进行验收，并出具验收书。验收书应当包括每一项技术、服务、安全标准的履约情况。</w:t>
      </w:r>
    </w:p>
    <w:p w14:paraId="37EE6FD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29.</w:t>
      </w:r>
      <w:r>
        <w:rPr>
          <w:rFonts w:hint="eastAsia" w:ascii="宋体" w:hAnsi="宋体" w:eastAsia="宋体" w:cs="宋体"/>
          <w:color w:val="auto"/>
          <w:spacing w:val="16"/>
          <w:sz w:val="24"/>
          <w:szCs w:val="24"/>
          <w:highlight w:val="none"/>
          <w:lang w:val="en-US" w:eastAsia="zh-CN"/>
        </w:rPr>
        <w:t>2</w:t>
      </w:r>
      <w:r>
        <w:rPr>
          <w:rFonts w:hint="eastAsia" w:ascii="宋体" w:hAnsi="宋体" w:eastAsia="宋体" w:cs="宋体"/>
          <w:color w:val="auto"/>
          <w:spacing w:val="16"/>
          <w:sz w:val="24"/>
          <w:szCs w:val="24"/>
          <w:highlight w:val="none"/>
        </w:rPr>
        <w:t>采购人可以邀请参加本项目的其他供应商或者第三方机构参与验收。参与验收的供应商或者第三方机构的意见作为验收书的参考资料一并存档。</w:t>
      </w:r>
    </w:p>
    <w:p w14:paraId="789DC74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29.</w:t>
      </w:r>
      <w:r>
        <w:rPr>
          <w:rFonts w:hint="eastAsia" w:ascii="宋体" w:hAnsi="宋体" w:eastAsia="宋体" w:cs="宋体"/>
          <w:color w:val="auto"/>
          <w:spacing w:val="16"/>
          <w:sz w:val="24"/>
          <w:szCs w:val="24"/>
          <w:highlight w:val="none"/>
          <w:lang w:val="en-US" w:eastAsia="zh-CN"/>
        </w:rPr>
        <w:t>3</w:t>
      </w:r>
      <w:r>
        <w:rPr>
          <w:rFonts w:hint="eastAsia" w:ascii="宋体" w:hAnsi="宋体" w:eastAsia="宋体" w:cs="宋体"/>
          <w:color w:val="auto"/>
          <w:spacing w:val="16"/>
          <w:sz w:val="24"/>
          <w:szCs w:val="24"/>
          <w:highlight w:val="none"/>
        </w:rPr>
        <w:t>采购人应当加强履约管理，并按照采购合同约定，及时向成交供应商支付采购资金。对于成交供应商违反采购合同约定的行为，采购人应当及时处理，依法追究其违约责任。</w:t>
      </w:r>
    </w:p>
    <w:p w14:paraId="652EADB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29.</w:t>
      </w:r>
      <w:r>
        <w:rPr>
          <w:rFonts w:hint="eastAsia" w:ascii="宋体" w:hAnsi="宋体" w:eastAsia="宋体" w:cs="宋体"/>
          <w:color w:val="auto"/>
          <w:spacing w:val="16"/>
          <w:sz w:val="24"/>
          <w:szCs w:val="24"/>
          <w:highlight w:val="none"/>
          <w:lang w:val="en-US" w:eastAsia="zh-CN"/>
        </w:rPr>
        <w:t>4</w:t>
      </w:r>
      <w:r>
        <w:rPr>
          <w:rFonts w:hint="eastAsia" w:ascii="宋体" w:hAnsi="宋体" w:eastAsia="宋体" w:cs="宋体"/>
          <w:color w:val="auto"/>
          <w:spacing w:val="16"/>
          <w:sz w:val="24"/>
          <w:szCs w:val="24"/>
          <w:highlight w:val="none"/>
        </w:rPr>
        <w:t>采购人、采购代理机构应当建立真实完整的谈判档案，妥善保存谈判的相关资料。</w:t>
      </w:r>
    </w:p>
    <w:p w14:paraId="74D5D6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6"/>
          <w:sz w:val="24"/>
          <w:szCs w:val="24"/>
          <w:highlight w:val="none"/>
        </w:rPr>
      </w:pPr>
    </w:p>
    <w:p w14:paraId="737CB45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pPr>
      <w:bookmarkStart w:id="38" w:name="_Toc21588"/>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七、询问与质疑</w:t>
      </w:r>
      <w:bookmarkEnd w:id="38"/>
    </w:p>
    <w:p w14:paraId="253AD89B">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39" w:name="_Toc28884"/>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30.对采购过程、结果的询问及质疑</w:t>
      </w:r>
      <w:bookmarkEnd w:id="39"/>
    </w:p>
    <w:p w14:paraId="32EE947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30.1供应商对采购过程、结果有疑问的，可以向采购人、采购代理机构提出询问。</w:t>
      </w:r>
    </w:p>
    <w:p w14:paraId="06DC5B3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30.2参与所质疑项目的供应商认为采购过程、成交结果使自己的权益受到损害的，可以在知道或者应知其权益受到损害之日起7个工作日内，以书面形式向采购人、采购代理机构提出质疑。</w:t>
      </w:r>
    </w:p>
    <w:p w14:paraId="70232019">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30.3供应商应在法定质疑期内一次性提出针对同一采购程序环节的质疑。</w:t>
      </w:r>
    </w:p>
    <w:p w14:paraId="640D5D67">
      <w:pPr>
        <w:spacing w:line="337" w:lineRule="auto"/>
        <w:rPr>
          <w:rFonts w:hint="eastAsia" w:ascii="宋体" w:hAnsi="宋体" w:eastAsia="宋体" w:cs="宋体"/>
          <w:color w:val="auto"/>
          <w:sz w:val="21"/>
          <w:highlight w:val="none"/>
        </w:rPr>
      </w:pPr>
    </w:p>
    <w:p w14:paraId="77CE49E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pPr>
      <w:bookmarkStart w:id="40" w:name="_Toc30471"/>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八、政府采购政策</w:t>
      </w:r>
      <w:bookmarkEnd w:id="40"/>
    </w:p>
    <w:p w14:paraId="68456834">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41" w:name="_Toc11203"/>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31.政府采购政策</w:t>
      </w:r>
      <w:bookmarkEnd w:id="41"/>
    </w:p>
    <w:p w14:paraId="43E28CA3">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31.1节能产品、环境标志产品的采购：</w:t>
      </w:r>
    </w:p>
    <w:p w14:paraId="40C15090">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93764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31.2价格评审优惠：</w:t>
      </w:r>
    </w:p>
    <w:p w14:paraId="2CC9735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(1)供应商为小型、微型企业，且提供本企业生产的货物</w:t>
      </w:r>
      <w:r>
        <w:rPr>
          <w:rFonts w:hint="eastAsia" w:ascii="宋体" w:hAnsi="宋体" w:eastAsia="宋体" w:cs="宋体"/>
          <w:color w:val="auto"/>
          <w:spacing w:val="16"/>
          <w:sz w:val="24"/>
          <w:szCs w:val="24"/>
          <w:highlight w:val="none"/>
          <w:lang w:val="en-US" w:eastAsia="zh-CN"/>
        </w:rPr>
        <w:t>服务</w:t>
      </w:r>
      <w:r>
        <w:rPr>
          <w:rFonts w:hint="eastAsia" w:ascii="宋体" w:hAnsi="宋体" w:eastAsia="宋体" w:cs="宋体"/>
          <w:color w:val="auto"/>
          <w:spacing w:val="16"/>
          <w:sz w:val="24"/>
          <w:szCs w:val="24"/>
          <w:highlight w:val="none"/>
        </w:rPr>
        <w:t>或者提供其他小型、微型企业生产的货物</w:t>
      </w:r>
      <w:r>
        <w:rPr>
          <w:rFonts w:hint="eastAsia" w:ascii="宋体" w:hAnsi="宋体" w:eastAsia="宋体" w:cs="宋体"/>
          <w:color w:val="auto"/>
          <w:spacing w:val="16"/>
          <w:sz w:val="24"/>
          <w:szCs w:val="24"/>
          <w:highlight w:val="none"/>
          <w:lang w:val="en-US" w:eastAsia="zh-CN"/>
        </w:rPr>
        <w:t>服务</w:t>
      </w:r>
      <w:r>
        <w:rPr>
          <w:rFonts w:hint="eastAsia" w:ascii="宋体" w:hAnsi="宋体" w:eastAsia="宋体" w:cs="宋体"/>
          <w:color w:val="auto"/>
          <w:spacing w:val="16"/>
          <w:sz w:val="24"/>
          <w:szCs w:val="24"/>
          <w:highlight w:val="none"/>
        </w:rPr>
        <w:t>，价格按相关规定给予</w:t>
      </w:r>
      <w:r>
        <w:rPr>
          <w:rFonts w:hint="eastAsia" w:ascii="宋体" w:hAnsi="宋体" w:eastAsia="宋体" w:cs="宋体"/>
          <w:color w:val="auto"/>
          <w:spacing w:val="16"/>
          <w:sz w:val="24"/>
          <w:szCs w:val="24"/>
          <w:highlight w:val="none"/>
          <w:lang w:val="en-US" w:eastAsia="zh-CN"/>
        </w:rPr>
        <w:t>10</w:t>
      </w:r>
      <w:r>
        <w:rPr>
          <w:rFonts w:hint="eastAsia" w:ascii="宋体" w:hAnsi="宋体" w:eastAsia="宋体" w:cs="宋体"/>
          <w:color w:val="auto"/>
          <w:spacing w:val="16"/>
          <w:sz w:val="24"/>
          <w:szCs w:val="24"/>
          <w:highlight w:val="none"/>
        </w:rPr>
        <w:t>%的价格折扣，用扣除后的价格参与评审。本项所称货物</w:t>
      </w:r>
      <w:r>
        <w:rPr>
          <w:rFonts w:hint="eastAsia" w:ascii="宋体" w:hAnsi="宋体" w:eastAsia="宋体" w:cs="宋体"/>
          <w:color w:val="auto"/>
          <w:spacing w:val="16"/>
          <w:sz w:val="24"/>
          <w:szCs w:val="24"/>
          <w:highlight w:val="none"/>
          <w:lang w:val="en-US" w:eastAsia="zh-CN"/>
        </w:rPr>
        <w:t>服务</w:t>
      </w:r>
      <w:r>
        <w:rPr>
          <w:rFonts w:hint="eastAsia" w:ascii="宋体" w:hAnsi="宋体" w:eastAsia="宋体" w:cs="宋体"/>
          <w:color w:val="auto"/>
          <w:spacing w:val="16"/>
          <w:sz w:val="24"/>
          <w:szCs w:val="24"/>
          <w:highlight w:val="none"/>
        </w:rPr>
        <w:t>不包括使用大型企业注册商标的货物</w:t>
      </w:r>
      <w:r>
        <w:rPr>
          <w:rFonts w:hint="eastAsia" w:ascii="宋体" w:hAnsi="宋体" w:eastAsia="宋体" w:cs="宋体"/>
          <w:color w:val="auto"/>
          <w:spacing w:val="16"/>
          <w:sz w:val="24"/>
          <w:szCs w:val="24"/>
          <w:highlight w:val="none"/>
          <w:lang w:val="en-US" w:eastAsia="zh-CN"/>
        </w:rPr>
        <w:t>服务</w:t>
      </w:r>
      <w:r>
        <w:rPr>
          <w:rFonts w:hint="eastAsia" w:ascii="宋体" w:hAnsi="宋体" w:eastAsia="宋体" w:cs="宋体"/>
          <w:color w:val="auto"/>
          <w:spacing w:val="16"/>
          <w:sz w:val="24"/>
          <w:szCs w:val="24"/>
          <w:highlight w:val="none"/>
        </w:rPr>
        <w:t>；</w:t>
      </w:r>
    </w:p>
    <w:p w14:paraId="58629024">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(2)接受大中型企业与小微企业组成联合体或者允许大中型企业向一家或多家小微企业分包的采购项目，对于联合体协议或者分包意向协议约定小微企业的协议金额占到合同总金额</w:t>
      </w:r>
      <w:r>
        <w:rPr>
          <w:rFonts w:hint="eastAsia" w:ascii="宋体" w:hAnsi="宋体" w:eastAsia="宋体" w:cs="宋体"/>
          <w:color w:val="auto"/>
          <w:spacing w:val="16"/>
          <w:sz w:val="24"/>
          <w:szCs w:val="24"/>
          <w:highlight w:val="none"/>
          <w:lang w:val="en-US" w:eastAsia="zh-CN"/>
        </w:rPr>
        <w:t>4</w:t>
      </w:r>
      <w:r>
        <w:rPr>
          <w:rFonts w:hint="eastAsia" w:ascii="宋体" w:hAnsi="宋体" w:eastAsia="宋体" w:cs="宋体"/>
          <w:color w:val="auto"/>
          <w:spacing w:val="16"/>
          <w:sz w:val="24"/>
          <w:szCs w:val="24"/>
          <w:highlight w:val="none"/>
        </w:rPr>
        <w:t>0%以上的，对联合体或大中型企业的报价给与</w:t>
      </w:r>
      <w:r>
        <w:rPr>
          <w:rFonts w:hint="eastAsia" w:ascii="宋体" w:hAnsi="宋体" w:eastAsia="宋体" w:cs="宋体"/>
          <w:color w:val="auto"/>
          <w:spacing w:val="16"/>
          <w:sz w:val="24"/>
          <w:szCs w:val="24"/>
          <w:highlight w:val="none"/>
          <w:lang w:val="en-US" w:eastAsia="zh-CN"/>
        </w:rPr>
        <w:t>4</w:t>
      </w:r>
      <w:r>
        <w:rPr>
          <w:rFonts w:hint="eastAsia" w:ascii="宋体" w:hAnsi="宋体" w:eastAsia="宋体" w:cs="宋体"/>
          <w:color w:val="auto"/>
          <w:spacing w:val="16"/>
          <w:sz w:val="24"/>
          <w:szCs w:val="24"/>
          <w:highlight w:val="none"/>
        </w:rPr>
        <w:t>%的扣除，用扣除后的价格参加评审；</w:t>
      </w:r>
    </w:p>
    <w:p w14:paraId="39F9B61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(3)监狱企业、残疾人福利性单位视同小型、微型企业，享受评审中价格扣除等促进中小企业发展的政府采购政策。</w:t>
      </w:r>
    </w:p>
    <w:p w14:paraId="4CC1D63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31.3供应商同时符合小型、微型企业及监狱企业、残疾人福利性单位要求的，评审时只有一种类型享受价格评审优惠政策；</w:t>
      </w:r>
    </w:p>
    <w:p w14:paraId="3650EF0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31.4响应文件符合本章前款规定的，供应商应提供相关证明资料，且所提供资料必须真实可信。如有虚假，将依法承担相应责任。</w:t>
      </w:r>
    </w:p>
    <w:p w14:paraId="1E582342">
      <w:pPr>
        <w:keepNext w:val="0"/>
        <w:keepLines w:val="0"/>
        <w:pageBreakBefore w:val="0"/>
        <w:widowControl/>
        <w:kinsoku w:val="0"/>
        <w:wordWrap/>
        <w:overflowPunct/>
        <w:topLinePunct w:val="0"/>
        <w:autoSpaceDE w:val="0"/>
        <w:autoSpaceDN w:val="0"/>
        <w:bidi w:val="0"/>
        <w:adjustRightInd w:val="0"/>
        <w:snapToGrid w:val="0"/>
        <w:spacing w:afterAutospacing="0"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2F758316">
      <w:pPr>
        <w:keepNext w:val="0"/>
        <w:keepLines w:val="0"/>
        <w:pageBreakBefore w:val="0"/>
        <w:widowControl/>
        <w:kinsoku w:val="0"/>
        <w:wordWrap/>
        <w:overflowPunct/>
        <w:topLinePunct w:val="0"/>
        <w:autoSpaceDE w:val="0"/>
        <w:autoSpaceDN w:val="0"/>
        <w:bidi w:val="0"/>
        <w:adjustRightInd w:val="0"/>
        <w:snapToGrid w:val="0"/>
        <w:spacing w:beforeAutospacing="0" w:after="159" w:afterLines="50" w:afterAutospacing="0" w:line="240" w:lineRule="auto"/>
        <w:ind w:left="0"/>
        <w:jc w:val="center"/>
        <w:textAlignment w:val="baseline"/>
        <w:outlineLvl w:val="1"/>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pPr>
      <w:bookmarkStart w:id="42" w:name="_Toc26692"/>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九、其他规定</w:t>
      </w:r>
      <w:bookmarkEnd w:id="42"/>
    </w:p>
    <w:p w14:paraId="7E66DDDF">
      <w:pPr>
        <w:keepNext w:val="0"/>
        <w:keepLines w:val="0"/>
        <w:pageBreakBefore w:val="0"/>
        <w:widowControl/>
        <w:kinsoku w:val="0"/>
        <w:wordWrap/>
        <w:overflowPunct/>
        <w:topLinePunct w:val="0"/>
        <w:autoSpaceDE w:val="0"/>
        <w:autoSpaceDN w:val="0"/>
        <w:bidi w:val="0"/>
        <w:adjustRightInd w:val="0"/>
        <w:snapToGrid w:val="0"/>
        <w:spacing w:beforeAutospacing="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43" w:name="_Toc20632"/>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32.代理服务费</w:t>
      </w:r>
      <w:bookmarkEnd w:id="43"/>
    </w:p>
    <w:p w14:paraId="1204B94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按【谈判须知前附表】规定向采购代理机构交纳代理服务费。</w:t>
      </w:r>
    </w:p>
    <w:p w14:paraId="3CD88D15">
      <w:pPr>
        <w:keepNext w:val="0"/>
        <w:keepLines w:val="0"/>
        <w:pageBreakBefore w:val="0"/>
        <w:widowControl/>
        <w:kinsoku w:val="0"/>
        <w:wordWrap/>
        <w:overflowPunct/>
        <w:topLinePunct w:val="0"/>
        <w:autoSpaceDE w:val="0"/>
        <w:autoSpaceDN w:val="0"/>
        <w:bidi w:val="0"/>
        <w:adjustRightInd w:val="0"/>
        <w:snapToGrid w:val="0"/>
        <w:spacing w:before="313" w:beforeLines="100" w:after="157" w:afterLines="50" w:line="240" w:lineRule="auto"/>
        <w:ind w:left="0"/>
        <w:textAlignment w:val="baseline"/>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44" w:name="_Toc29763"/>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33.其他规定</w:t>
      </w:r>
      <w:bookmarkEnd w:id="44"/>
    </w:p>
    <w:p w14:paraId="5A519929">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谈判文件的其他规定见【谈判须知前附表】。</w:t>
      </w:r>
    </w:p>
    <w:p w14:paraId="48005ED7">
      <w:pPr>
        <w:spacing w:before="63" w:line="225" w:lineRule="auto"/>
        <w:jc w:val="center"/>
        <w:outlineLvl w:val="0"/>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pPr>
      <w:bookmarkStart w:id="45" w:name="_Toc4280"/>
    </w:p>
    <w:p w14:paraId="068BA381">
      <w:pPr>
        <w:spacing w:before="63" w:line="225" w:lineRule="auto"/>
        <w:jc w:val="center"/>
        <w:outlineLvl w:val="0"/>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pPr>
    </w:p>
    <w:p w14:paraId="45506228">
      <w:pPr>
        <w:spacing w:before="63" w:line="225" w:lineRule="auto"/>
        <w:jc w:val="center"/>
        <w:outlineLvl w:val="0"/>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t>第三部分</w:t>
      </w:r>
      <w:r>
        <w:rPr>
          <w:rFonts w:hint="eastAsia" w:ascii="宋体" w:hAnsi="宋体" w:eastAsia="宋体" w:cs="宋体"/>
          <w:color w:val="auto"/>
          <w:spacing w:val="18"/>
          <w:sz w:val="32"/>
          <w:szCs w:val="32"/>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t>采购需求</w:t>
      </w:r>
      <w:bookmarkEnd w:id="45"/>
    </w:p>
    <w:p w14:paraId="75CFDF5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pPr>
      <w:bookmarkStart w:id="46" w:name="_Toc3240"/>
      <w:r>
        <w:rPr>
          <w:rFonts w:hint="eastAsia" w:ascii="宋体" w:hAnsi="宋体" w:eastAsia="宋体" w:cs="宋体"/>
          <w:color w:val="auto"/>
          <w:spacing w:val="7"/>
          <w:position w:val="2"/>
          <w:sz w:val="28"/>
          <w:szCs w:val="28"/>
          <w:highlight w:val="none"/>
          <w14:textOutline w14:w="5448" w14:cap="sq" w14:cmpd="sng">
            <w14:solidFill>
              <w14:srgbClr w14:val="000000"/>
            </w14:solidFill>
            <w14:prstDash w14:val="solid"/>
            <w14:bevel/>
          </w14:textOutline>
        </w:rPr>
        <w:t>十、响应说明</w:t>
      </w:r>
      <w:bookmarkEnd w:id="46"/>
    </w:p>
    <w:p w14:paraId="7622444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1.供应商可以按照谈判文件规定的包号选择响应，但必须对所响应包号中的所有内容作为一个整体进行响应，不能拆分或少报，如有缺项、漏项，其响应无效。</w:t>
      </w:r>
    </w:p>
    <w:p w14:paraId="4E6467F2">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2.供应商必须如实填写“技术</w:t>
      </w:r>
      <w:r>
        <w:rPr>
          <w:rFonts w:hint="eastAsia" w:ascii="宋体" w:hAnsi="宋体" w:eastAsia="宋体" w:cs="宋体"/>
          <w:color w:val="auto"/>
          <w:spacing w:val="16"/>
          <w:sz w:val="24"/>
          <w:szCs w:val="24"/>
          <w:highlight w:val="none"/>
          <w:lang w:val="en-US" w:eastAsia="zh-CN"/>
        </w:rPr>
        <w:t>规格响应</w:t>
      </w:r>
      <w:r>
        <w:rPr>
          <w:rFonts w:hint="eastAsia" w:ascii="宋体" w:hAnsi="宋体" w:eastAsia="宋体" w:cs="宋体"/>
          <w:color w:val="auto"/>
          <w:spacing w:val="16"/>
          <w:sz w:val="24"/>
          <w:szCs w:val="24"/>
          <w:highlight w:val="none"/>
        </w:rPr>
        <w:t>表”，在响应产品“技术参数”栏中列出所响应产品的具体技术参数、指标；如果与谈判文件中提供的产品检测报告、彩页等证明材料中的实质性响应情况不一致或直接复制谈判文件“技术参数”内容的，按无效响应处理。</w:t>
      </w:r>
    </w:p>
    <w:p w14:paraId="58A8CBD9">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谈判内容中未特别标注为“原装进口”字样的产品，供应商必须提供国产产品；标注为“原装进口”字样的产品，供应商应该提供进口产品，但如果因信息不对称等原因，仍有满足采购需求的国内产品要求参与采购竞争的，可以提供国产产品，并且按照公平竞争原则实施采购。</w:t>
      </w:r>
    </w:p>
    <w:p w14:paraId="469EF0B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4.所提供产品或其任何一部分不得侵犯专利权、著作权、商标权和工业设计权等知识产权。</w:t>
      </w:r>
    </w:p>
    <w:p w14:paraId="2A76A2A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lang w:val="zh-CN" w:eastAsia="zh-CN"/>
          <w14:textOutline w14:w="5448" w14:cap="sq" w14:cmpd="sng">
            <w14:solidFill>
              <w14:srgbClr w14:val="000000"/>
            </w14:solidFill>
            <w14:prstDash w14:val="solid"/>
            <w14:bevel/>
          </w14:textOutline>
        </w:rPr>
      </w:pPr>
      <w:bookmarkStart w:id="47" w:name="_Toc11744"/>
      <w:bookmarkStart w:id="48" w:name="_Toc19609_WPSOffice_Level2"/>
      <w:bookmarkStart w:id="49" w:name="_Toc1475"/>
      <w:bookmarkStart w:id="50" w:name="_Toc26560_WPSOffice_Level2"/>
      <w:bookmarkStart w:id="51" w:name="_Toc515908233"/>
      <w:bookmarkStart w:id="52" w:name="_Toc10839"/>
      <w:bookmarkStart w:id="53" w:name="_Toc28791"/>
      <w:bookmarkStart w:id="54" w:name="_Toc16271_WPSOffice_Level2"/>
      <w:bookmarkStart w:id="55" w:name="_Toc22092"/>
      <w:r>
        <w:rPr>
          <w:rFonts w:hint="eastAsia" w:ascii="宋体" w:hAnsi="宋体" w:eastAsia="宋体" w:cs="宋体"/>
          <w:color w:val="auto"/>
          <w:spacing w:val="7"/>
          <w:position w:val="2"/>
          <w:sz w:val="28"/>
          <w:szCs w:val="28"/>
          <w:highlight w:val="none"/>
          <w:lang w:val="zh-CN" w:eastAsia="zh-CN"/>
          <w14:textOutline w14:w="5448" w14:cap="sq" w14:cmpd="sng">
            <w14:solidFill>
              <w14:srgbClr w14:val="000000"/>
            </w14:solidFill>
            <w14:prstDash w14:val="solid"/>
            <w14:bevel/>
          </w14:textOutline>
        </w:rPr>
        <w:t>十一、重要指标</w:t>
      </w:r>
      <w:bookmarkEnd w:id="47"/>
      <w:bookmarkEnd w:id="48"/>
      <w:bookmarkEnd w:id="49"/>
      <w:bookmarkEnd w:id="50"/>
      <w:bookmarkEnd w:id="51"/>
      <w:bookmarkEnd w:id="52"/>
      <w:bookmarkEnd w:id="53"/>
      <w:bookmarkEnd w:id="54"/>
      <w:bookmarkEnd w:id="55"/>
    </w:p>
    <w:p w14:paraId="182D149B">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lang w:val="zh-CN" w:eastAsia="zh-CN"/>
        </w:rPr>
      </w:pPr>
      <w:r>
        <w:rPr>
          <w:rFonts w:hint="eastAsia" w:ascii="宋体" w:hAnsi="宋体" w:eastAsia="宋体" w:cs="宋体"/>
          <w:color w:val="auto"/>
          <w:spacing w:val="16"/>
          <w:sz w:val="24"/>
          <w:szCs w:val="24"/>
          <w:highlight w:val="none"/>
          <w:lang w:val="en-US" w:eastAsia="zh-CN"/>
        </w:rPr>
        <w:t>1.</w:t>
      </w:r>
      <w:r>
        <w:rPr>
          <w:rFonts w:hint="eastAsia" w:ascii="宋体" w:hAnsi="宋体" w:eastAsia="宋体" w:cs="宋体"/>
          <w:color w:val="auto"/>
          <w:spacing w:val="16"/>
          <w:sz w:val="24"/>
          <w:szCs w:val="24"/>
          <w:highlight w:val="none"/>
          <w:lang w:val="zh-CN" w:eastAsia="zh-CN"/>
        </w:rPr>
        <w:t>谈判文件在技术参数中列出了采购人可以接受的最低技术指标，供应商必须对“项目概况及技术参数表”中各项产品和指标进行实质性响应，所推荐的每一项产品在性能上不能低于所列的各项指标。否则，响应无效。</w:t>
      </w:r>
    </w:p>
    <w:p w14:paraId="0B193A4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lang w:val="zh-CN" w:eastAsia="zh-CN"/>
        </w:rPr>
      </w:pPr>
      <w:r>
        <w:rPr>
          <w:rFonts w:hint="eastAsia" w:ascii="宋体" w:hAnsi="宋体" w:eastAsia="宋体" w:cs="宋体"/>
          <w:color w:val="auto"/>
          <w:spacing w:val="16"/>
          <w:sz w:val="24"/>
          <w:szCs w:val="24"/>
          <w:highlight w:val="none"/>
          <w:lang w:val="en-US" w:eastAsia="zh-CN"/>
        </w:rPr>
        <w:t>2.</w:t>
      </w:r>
      <w:r>
        <w:rPr>
          <w:rFonts w:hint="eastAsia" w:ascii="宋体" w:hAnsi="宋体" w:eastAsia="宋体" w:cs="宋体"/>
          <w:color w:val="auto"/>
          <w:spacing w:val="16"/>
          <w:sz w:val="24"/>
          <w:szCs w:val="24"/>
          <w:highlight w:val="none"/>
          <w:lang w:val="zh-CN" w:eastAsia="zh-CN"/>
        </w:rPr>
        <w:t>谈判文件中凡需与原有设备、系统并机、兼容、匹配等要求的，请主动和采购人联系，取得原有设备、系统相关资料。若有谈判文件未提及或变更内容的，请及时与采购人或者采购代理机构联系。</w:t>
      </w:r>
    </w:p>
    <w:p w14:paraId="308FDA9E">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3.“</w:t>
      </w:r>
      <w:r>
        <w:rPr>
          <w:rFonts w:hint="eastAsia" w:ascii="宋体" w:hAnsi="宋体" w:eastAsia="宋体" w:cs="宋体"/>
          <w:color w:val="auto"/>
          <w:spacing w:val="16"/>
          <w:sz w:val="24"/>
          <w:szCs w:val="24"/>
          <w:highlight w:val="none"/>
          <w:lang w:val="zh-CN" w:eastAsia="zh-CN"/>
        </w:rPr>
        <w:t>技术参数”中除注明签订合同时提供</w:t>
      </w:r>
      <w:r>
        <w:rPr>
          <w:rFonts w:hint="eastAsia" w:ascii="宋体" w:hAnsi="宋体" w:eastAsia="宋体" w:cs="宋体"/>
          <w:color w:val="auto"/>
          <w:spacing w:val="16"/>
          <w:sz w:val="24"/>
          <w:szCs w:val="24"/>
          <w:highlight w:val="none"/>
          <w:lang w:val="en-US" w:eastAsia="zh-CN"/>
        </w:rPr>
        <w:t>的相关授权、服务承诺等资料以外，其余相关资料在响应时必须附在响应文件中。</w:t>
      </w:r>
    </w:p>
    <w:p w14:paraId="0E740FB6">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lang w:val="zh-CN" w:eastAsia="zh-CN"/>
        </w:rPr>
      </w:pPr>
      <w:r>
        <w:rPr>
          <w:rFonts w:hint="eastAsia" w:ascii="宋体" w:hAnsi="宋体" w:eastAsia="宋体" w:cs="宋体"/>
          <w:color w:val="auto"/>
          <w:spacing w:val="16"/>
          <w:sz w:val="24"/>
          <w:szCs w:val="24"/>
          <w:highlight w:val="none"/>
          <w:lang w:val="en-US" w:eastAsia="zh-CN"/>
        </w:rPr>
        <w:t>4.投标时</w:t>
      </w:r>
      <w:r>
        <w:rPr>
          <w:rFonts w:hint="eastAsia" w:asciiTheme="minorEastAsia" w:hAnsiTheme="minorEastAsia" w:eastAsiaTheme="minorEastAsia" w:cstheme="minorEastAsia"/>
          <w:color w:val="auto"/>
          <w:sz w:val="24"/>
          <w:szCs w:val="24"/>
          <w:highlight w:val="none"/>
          <w:lang w:val="en-US" w:eastAsia="zh-CN"/>
        </w:rPr>
        <w:t>供应商须提供投标产品在质保期内出现质量问题后无条件解决的承诺函，否则，</w:t>
      </w:r>
      <w:r>
        <w:rPr>
          <w:rFonts w:hint="eastAsia" w:ascii="宋体" w:hAnsi="宋体" w:eastAsia="宋体" w:cs="宋体"/>
          <w:color w:val="auto"/>
          <w:spacing w:val="16"/>
          <w:sz w:val="24"/>
          <w:szCs w:val="24"/>
          <w:highlight w:val="none"/>
          <w:lang w:val="zh-CN" w:eastAsia="zh-CN"/>
        </w:rPr>
        <w:t>响应无效。</w:t>
      </w:r>
    </w:p>
    <w:p w14:paraId="7F1C4340">
      <w:pPr>
        <w:pStyle w:val="15"/>
        <w:rPr>
          <w:rFonts w:hint="eastAsia" w:ascii="宋体" w:hAnsi="宋体" w:eastAsia="宋体" w:cs="宋体"/>
          <w:color w:val="auto"/>
          <w:spacing w:val="16"/>
          <w:sz w:val="24"/>
          <w:szCs w:val="24"/>
          <w:highlight w:val="none"/>
          <w:lang w:val="zh-CN" w:eastAsia="zh-CN"/>
        </w:rPr>
      </w:pPr>
    </w:p>
    <w:p w14:paraId="75ABECFD">
      <w:pPr>
        <w:rPr>
          <w:rFonts w:hint="eastAsia" w:ascii="宋体" w:hAnsi="宋体" w:eastAsia="宋体" w:cs="宋体"/>
          <w:color w:val="auto"/>
          <w:spacing w:val="16"/>
          <w:sz w:val="24"/>
          <w:szCs w:val="24"/>
          <w:highlight w:val="none"/>
          <w:lang w:val="zh-CN" w:eastAsia="zh-CN"/>
        </w:rPr>
      </w:pPr>
    </w:p>
    <w:p w14:paraId="62491F44">
      <w:pPr>
        <w:pStyle w:val="15"/>
        <w:rPr>
          <w:rFonts w:hint="default"/>
          <w:lang w:val="en-US" w:eastAsia="zh-CN"/>
        </w:rPr>
      </w:pPr>
    </w:p>
    <w:p w14:paraId="0901EE90">
      <w:pPr>
        <w:widowControl w:val="0"/>
        <w:wordWrap/>
        <w:adjustRightInd w:val="0"/>
        <w:snapToGrid w:val="0"/>
        <w:spacing w:line="560" w:lineRule="exact"/>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项目概况及技术参数</w:t>
      </w:r>
    </w:p>
    <w:p w14:paraId="7EC28D51">
      <w:pPr>
        <w:pStyle w:val="3"/>
        <w:outlineLvl w:val="9"/>
        <w:rPr>
          <w:rFonts w:hint="eastAsia" w:ascii="宋体" w:hAnsi="宋体" w:eastAsia="宋体" w:cs="宋体"/>
          <w:b/>
          <w:bCs/>
          <w:iCs w:val="0"/>
          <w:snapToGrid w:val="0"/>
          <w:color w:val="auto"/>
          <w:spacing w:val="10"/>
          <w:kern w:val="0"/>
          <w:sz w:val="23"/>
          <w:szCs w:val="23"/>
          <w:highlight w:val="none"/>
          <w:lang w:val="en-US" w:eastAsia="zh-CN"/>
        </w:rPr>
      </w:pPr>
    </w:p>
    <w:p w14:paraId="20A222CF">
      <w:pPr>
        <w:spacing w:before="2" w:line="374" w:lineRule="auto"/>
        <w:ind w:right="81" w:firstLine="371"/>
        <w:outlineLvl w:val="9"/>
        <w:rPr>
          <w:rFonts w:hint="eastAsia" w:ascii="宋体" w:hAnsi="宋体" w:eastAsia="宋体" w:cs="宋体"/>
          <w:b/>
          <w:bCs/>
          <w:color w:val="auto"/>
          <w:spacing w:val="12"/>
          <w:sz w:val="24"/>
          <w:szCs w:val="24"/>
          <w:highlight w:val="none"/>
          <w:lang w:val="en-US" w:eastAsia="zh-CN"/>
        </w:rPr>
      </w:pPr>
      <w:r>
        <w:rPr>
          <w:rFonts w:hint="eastAsia" w:ascii="宋体" w:hAnsi="宋体" w:eastAsia="宋体" w:cs="宋体"/>
          <w:b/>
          <w:bCs/>
          <w:color w:val="auto"/>
          <w:spacing w:val="12"/>
          <w:sz w:val="24"/>
          <w:szCs w:val="24"/>
          <w:highlight w:val="none"/>
          <w:lang w:val="en-US" w:eastAsia="zh-CN"/>
        </w:rPr>
        <w:t>一、项目概况：</w:t>
      </w:r>
    </w:p>
    <w:p w14:paraId="6FBAC1DD">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乌兰县柯柯镇新村养殖小区配套项目（二次），建设地点为</w:t>
      </w:r>
      <w:r>
        <w:rPr>
          <w:rFonts w:hint="eastAsia" w:ascii="宋体" w:hAnsi="宋体" w:eastAsia="宋体" w:cs="宋体"/>
          <w:color w:val="auto"/>
          <w:spacing w:val="-1"/>
          <w:sz w:val="24"/>
          <w:szCs w:val="24"/>
          <w:highlight w:val="none"/>
          <w:lang w:val="en-US" w:eastAsia="zh-CN"/>
        </w:rPr>
        <w:t>乌兰县柯柯镇新村养殖小区</w:t>
      </w:r>
      <w:r>
        <w:rPr>
          <w:rFonts w:hint="eastAsia" w:ascii="宋体" w:hAnsi="宋体" w:eastAsia="宋体" w:cs="宋体"/>
          <w:color w:val="auto"/>
          <w:spacing w:val="16"/>
          <w:sz w:val="24"/>
          <w:szCs w:val="24"/>
          <w:highlight w:val="none"/>
          <w:lang w:val="en-US" w:eastAsia="zh-CN"/>
        </w:rPr>
        <w:t>，根据乌兰县柯柯镇新村养殖小区牧业生产需求情况，本次购置柴油发电机、电动投料机等配套机械14台。</w:t>
      </w:r>
    </w:p>
    <w:p w14:paraId="38877AF9">
      <w:pPr>
        <w:spacing w:before="2" w:line="374" w:lineRule="auto"/>
        <w:ind w:right="81" w:firstLine="371"/>
        <w:rPr>
          <w:rFonts w:hint="default" w:ascii="宋体" w:hAnsi="宋体" w:eastAsia="宋体" w:cs="宋体"/>
          <w:b/>
          <w:bCs/>
          <w:color w:val="auto"/>
          <w:spacing w:val="12"/>
          <w:sz w:val="24"/>
          <w:szCs w:val="24"/>
          <w:highlight w:val="none"/>
          <w:lang w:val="en-US" w:eastAsia="zh-CN"/>
        </w:rPr>
      </w:pPr>
      <w:r>
        <w:rPr>
          <w:rFonts w:hint="eastAsia" w:ascii="宋体" w:hAnsi="宋体" w:eastAsia="宋体" w:cs="宋体"/>
          <w:b/>
          <w:bCs/>
          <w:color w:val="auto"/>
          <w:spacing w:val="12"/>
          <w:sz w:val="24"/>
          <w:szCs w:val="24"/>
          <w:highlight w:val="none"/>
          <w:lang w:val="en-US" w:eastAsia="zh-CN"/>
        </w:rPr>
        <w:t>二、交货期：</w:t>
      </w:r>
      <w:r>
        <w:rPr>
          <w:rFonts w:hint="eastAsia" w:ascii="宋体" w:hAnsi="宋体" w:eastAsia="宋体" w:cs="宋体"/>
          <w:color w:val="auto"/>
          <w:spacing w:val="12"/>
          <w:sz w:val="24"/>
          <w:szCs w:val="24"/>
          <w:highlight w:val="none"/>
          <w:lang w:val="en-US" w:eastAsia="zh-CN"/>
        </w:rPr>
        <w:t>合同签订后1个月内。</w:t>
      </w:r>
    </w:p>
    <w:p w14:paraId="5A500F1C">
      <w:pPr>
        <w:spacing w:before="2" w:line="374" w:lineRule="auto"/>
        <w:ind w:right="81" w:firstLine="371"/>
        <w:rPr>
          <w:rFonts w:hint="eastAsia" w:ascii="宋体" w:hAnsi="宋体" w:eastAsia="宋体" w:cs="宋体"/>
          <w:color w:val="auto"/>
          <w:spacing w:val="12"/>
          <w:sz w:val="24"/>
          <w:szCs w:val="24"/>
          <w:highlight w:val="none"/>
          <w:lang w:val="en-US" w:eastAsia="zh-CN"/>
        </w:rPr>
      </w:pPr>
      <w:r>
        <w:rPr>
          <w:rFonts w:hint="eastAsia" w:ascii="宋体" w:hAnsi="宋体" w:eastAsia="宋体" w:cs="宋体"/>
          <w:b/>
          <w:bCs/>
          <w:color w:val="auto"/>
          <w:spacing w:val="12"/>
          <w:sz w:val="24"/>
          <w:szCs w:val="24"/>
          <w:highlight w:val="none"/>
          <w:lang w:val="en-US" w:eastAsia="zh-CN"/>
        </w:rPr>
        <w:t>三、交货地点：</w:t>
      </w:r>
      <w:r>
        <w:rPr>
          <w:rFonts w:hint="eastAsia" w:ascii="宋体" w:hAnsi="宋体" w:eastAsia="宋体" w:cs="宋体"/>
          <w:color w:val="auto"/>
          <w:spacing w:val="12"/>
          <w:sz w:val="24"/>
          <w:szCs w:val="24"/>
          <w:highlight w:val="none"/>
          <w:lang w:val="en-US" w:eastAsia="zh-CN"/>
        </w:rPr>
        <w:t>乌兰县柯柯镇新村养殖小区。</w:t>
      </w:r>
    </w:p>
    <w:p w14:paraId="6E68E371">
      <w:pPr>
        <w:spacing w:before="2" w:line="374" w:lineRule="auto"/>
        <w:ind w:right="81" w:firstLine="371"/>
        <w:rPr>
          <w:rFonts w:hint="default" w:ascii="宋体" w:hAnsi="宋体" w:eastAsia="宋体" w:cs="宋体"/>
          <w:b/>
          <w:bCs/>
          <w:color w:val="auto"/>
          <w:spacing w:val="12"/>
          <w:sz w:val="24"/>
          <w:szCs w:val="24"/>
          <w:highlight w:val="none"/>
          <w:lang w:val="en-US" w:eastAsia="zh-CN"/>
        </w:rPr>
      </w:pPr>
      <w:r>
        <w:rPr>
          <w:rFonts w:hint="eastAsia" w:ascii="宋体" w:hAnsi="宋体" w:eastAsia="宋体" w:cs="宋体"/>
          <w:b/>
          <w:bCs/>
          <w:color w:val="auto"/>
          <w:spacing w:val="12"/>
          <w:sz w:val="24"/>
          <w:szCs w:val="24"/>
          <w:highlight w:val="none"/>
          <w:lang w:val="en-US" w:eastAsia="zh-CN"/>
        </w:rPr>
        <w:t>四、质保期：</w:t>
      </w:r>
      <w:r>
        <w:rPr>
          <w:rFonts w:hint="eastAsia" w:ascii="宋体" w:hAnsi="宋体" w:eastAsia="宋体" w:cs="宋体"/>
          <w:color w:val="auto"/>
          <w:spacing w:val="12"/>
          <w:sz w:val="24"/>
          <w:szCs w:val="24"/>
          <w:highlight w:val="none"/>
          <w:lang w:val="en-US" w:eastAsia="zh-CN"/>
        </w:rPr>
        <w:t>1年。</w:t>
      </w:r>
    </w:p>
    <w:p w14:paraId="75894DDF">
      <w:pPr>
        <w:spacing w:before="2" w:line="374" w:lineRule="auto"/>
        <w:ind w:right="81" w:firstLine="371"/>
        <w:rPr>
          <w:rFonts w:hint="default" w:ascii="宋体" w:hAnsi="宋体" w:eastAsia="宋体" w:cs="宋体"/>
          <w:color w:val="auto"/>
          <w:spacing w:val="12"/>
          <w:sz w:val="24"/>
          <w:szCs w:val="24"/>
          <w:highlight w:val="none"/>
          <w:lang w:val="en-US" w:eastAsia="zh-CN"/>
        </w:rPr>
      </w:pPr>
      <w:r>
        <w:rPr>
          <w:rFonts w:hint="eastAsia" w:ascii="宋体" w:hAnsi="宋体" w:eastAsia="宋体" w:cs="宋体"/>
          <w:b/>
          <w:bCs/>
          <w:color w:val="auto"/>
          <w:spacing w:val="12"/>
          <w:sz w:val="24"/>
          <w:szCs w:val="24"/>
          <w:highlight w:val="none"/>
          <w:lang w:val="en-US" w:eastAsia="zh-CN"/>
        </w:rPr>
        <w:t>五、付款方式：</w:t>
      </w:r>
      <w:r>
        <w:rPr>
          <w:rFonts w:hint="eastAsia" w:ascii="宋体" w:hAnsi="宋体" w:eastAsia="宋体" w:cs="宋体"/>
          <w:color w:val="auto"/>
          <w:spacing w:val="12"/>
          <w:sz w:val="24"/>
          <w:szCs w:val="24"/>
          <w:highlight w:val="none"/>
          <w:lang w:val="en-US" w:eastAsia="zh-CN"/>
        </w:rPr>
        <w:t>第五部分 青海省政府采购项目合同书范本。</w:t>
      </w:r>
    </w:p>
    <w:p w14:paraId="5CC70006">
      <w:pPr>
        <w:spacing w:before="2" w:line="374" w:lineRule="auto"/>
        <w:ind w:right="81" w:firstLine="371"/>
        <w:rPr>
          <w:rFonts w:hint="eastAsia" w:ascii="宋体" w:hAnsi="宋体" w:eastAsia="宋体" w:cs="宋体"/>
          <w:b/>
          <w:bCs/>
          <w:color w:val="auto"/>
          <w:spacing w:val="12"/>
          <w:sz w:val="24"/>
          <w:szCs w:val="24"/>
          <w:highlight w:val="none"/>
          <w:lang w:val="en-US" w:eastAsia="zh-CN"/>
        </w:rPr>
      </w:pPr>
      <w:r>
        <w:rPr>
          <w:rFonts w:hint="eastAsia" w:ascii="宋体" w:hAnsi="宋体" w:eastAsia="宋体" w:cs="宋体"/>
          <w:b/>
          <w:bCs/>
          <w:color w:val="auto"/>
          <w:spacing w:val="12"/>
          <w:sz w:val="24"/>
          <w:szCs w:val="24"/>
          <w:highlight w:val="none"/>
          <w:lang w:val="en-US" w:eastAsia="zh-CN"/>
        </w:rPr>
        <w:t>六、技术参数</w:t>
      </w:r>
    </w:p>
    <w:p w14:paraId="1B5CD277">
      <w:pPr>
        <w:rPr>
          <w:rFonts w:hint="eastAsia" w:ascii="宋体" w:hAnsi="宋体" w:eastAsia="宋体" w:cs="宋体"/>
          <w:b/>
          <w:bCs/>
          <w:color w:val="auto"/>
          <w:spacing w:val="12"/>
          <w:sz w:val="24"/>
          <w:szCs w:val="24"/>
          <w:highlight w:val="none"/>
          <w:lang w:val="en-US" w:eastAsia="zh-CN"/>
        </w:rPr>
      </w:pPr>
      <w:r>
        <w:rPr>
          <w:rFonts w:hint="eastAsia" w:ascii="宋体" w:hAnsi="宋体" w:eastAsia="宋体" w:cs="宋体"/>
          <w:b/>
          <w:bCs/>
          <w:color w:val="auto"/>
          <w:spacing w:val="12"/>
          <w:sz w:val="24"/>
          <w:szCs w:val="24"/>
          <w:highlight w:val="none"/>
          <w:lang w:val="en-US" w:eastAsia="zh-CN"/>
        </w:rPr>
        <w:br w:type="page"/>
      </w:r>
    </w:p>
    <w:p w14:paraId="6865053B">
      <w:pPr>
        <w:widowControl w:val="0"/>
        <w:wordWrap/>
        <w:adjustRightInd w:val="0"/>
        <w:snapToGrid w:val="0"/>
        <w:spacing w:line="560" w:lineRule="exact"/>
        <w:jc w:val="center"/>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乌兰县柯柯镇新村养殖小区配套项目（二次）技术参数</w:t>
      </w:r>
    </w:p>
    <w:tbl>
      <w:tblPr>
        <w:tblStyle w:val="18"/>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83"/>
        <w:gridCol w:w="5200"/>
        <w:gridCol w:w="749"/>
        <w:gridCol w:w="749"/>
      </w:tblGrid>
      <w:tr w14:paraId="0C88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56" w:type="dxa"/>
            <w:noWrap w:val="0"/>
            <w:vAlign w:val="center"/>
          </w:tcPr>
          <w:p w14:paraId="1BEB76BC">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783" w:type="dxa"/>
            <w:noWrap w:val="0"/>
            <w:vAlign w:val="center"/>
          </w:tcPr>
          <w:p w14:paraId="7BFDEEE1">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产品名称</w:t>
            </w:r>
          </w:p>
        </w:tc>
        <w:tc>
          <w:tcPr>
            <w:tcW w:w="5200" w:type="dxa"/>
            <w:noWrap w:val="0"/>
            <w:vAlign w:val="center"/>
          </w:tcPr>
          <w:p w14:paraId="27EDA69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参数</w:t>
            </w:r>
          </w:p>
        </w:tc>
        <w:tc>
          <w:tcPr>
            <w:tcW w:w="749" w:type="dxa"/>
            <w:noWrap w:val="0"/>
            <w:vAlign w:val="center"/>
          </w:tcPr>
          <w:p w14:paraId="5678EE34">
            <w:pPr>
              <w:widowControl w:val="0"/>
              <w:ind w:left="0" w:leftChars="0" w:right="0" w:rightChars="0"/>
              <w:jc w:val="center"/>
              <w:rPr>
                <w:rFonts w:hint="eastAsia" w:ascii="宋体" w:hAnsi="宋体" w:eastAsia="宋体" w:cs="宋体"/>
                <w:color w:val="auto"/>
                <w:sz w:val="24"/>
                <w:szCs w:val="24"/>
                <w:highlight w:val="none"/>
                <w:vertAlign w:val="baseline"/>
                <w:lang w:val="en-US" w:eastAsia="zh-CN" w:bidi="zh-CN"/>
              </w:rPr>
            </w:pPr>
            <w:r>
              <w:rPr>
                <w:rFonts w:hint="eastAsia" w:ascii="宋体" w:hAnsi="宋体" w:eastAsia="宋体" w:cs="宋体"/>
                <w:color w:val="auto"/>
                <w:sz w:val="24"/>
                <w:szCs w:val="24"/>
                <w:highlight w:val="none"/>
                <w:vertAlign w:val="baseline"/>
                <w:lang w:val="en-US" w:eastAsia="zh-CN"/>
              </w:rPr>
              <w:t>单位</w:t>
            </w:r>
          </w:p>
        </w:tc>
        <w:tc>
          <w:tcPr>
            <w:tcW w:w="749" w:type="dxa"/>
            <w:noWrap w:val="0"/>
            <w:vAlign w:val="center"/>
          </w:tcPr>
          <w:p w14:paraId="181113EA">
            <w:pPr>
              <w:widowControl w:val="0"/>
              <w:ind w:left="0" w:leftChars="0" w:right="0" w:rightChars="0"/>
              <w:jc w:val="center"/>
              <w:rPr>
                <w:rFonts w:hint="eastAsia" w:ascii="宋体" w:hAnsi="宋体" w:eastAsia="宋体" w:cs="宋体"/>
                <w:color w:val="auto"/>
                <w:sz w:val="24"/>
                <w:szCs w:val="24"/>
                <w:highlight w:val="none"/>
                <w:vertAlign w:val="baseline"/>
                <w:lang w:val="en-US" w:eastAsia="zh-CN" w:bidi="zh-CN"/>
              </w:rPr>
            </w:pPr>
            <w:r>
              <w:rPr>
                <w:rFonts w:hint="eastAsia" w:ascii="宋体" w:hAnsi="宋体" w:eastAsia="宋体" w:cs="宋体"/>
                <w:color w:val="auto"/>
                <w:sz w:val="24"/>
                <w:szCs w:val="24"/>
                <w:highlight w:val="none"/>
                <w:vertAlign w:val="baseline"/>
                <w:lang w:val="en-US" w:eastAsia="zh-CN"/>
              </w:rPr>
              <w:t>数量</w:t>
            </w:r>
          </w:p>
        </w:tc>
      </w:tr>
      <w:tr w14:paraId="1CEC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56" w:type="dxa"/>
            <w:noWrap w:val="0"/>
            <w:vAlign w:val="center"/>
          </w:tcPr>
          <w:p w14:paraId="33CDCCC9">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783" w:type="dxa"/>
            <w:noWrap w:val="0"/>
            <w:vAlign w:val="center"/>
          </w:tcPr>
          <w:p w14:paraId="581256F3">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柴油发电机三相/单相</w:t>
            </w:r>
          </w:p>
        </w:tc>
        <w:tc>
          <w:tcPr>
            <w:tcW w:w="5200" w:type="dxa"/>
            <w:noWrap w:val="0"/>
            <w:vAlign w:val="center"/>
          </w:tcPr>
          <w:p w14:paraId="4D2B21F2">
            <w:pPr>
              <w:keepNext w:val="0"/>
              <w:keepLines w:val="0"/>
              <w:widowControl/>
              <w:suppressLineNumbers w:val="0"/>
              <w:ind w:left="0" w:leftChars="0" w:right="0" w:right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1.功率:额定功率≥20KW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2.冷却方式:风冷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3.启动方式:电启动</w:t>
            </w:r>
          </w:p>
        </w:tc>
        <w:tc>
          <w:tcPr>
            <w:tcW w:w="749" w:type="dxa"/>
            <w:noWrap w:val="0"/>
            <w:vAlign w:val="center"/>
          </w:tcPr>
          <w:p w14:paraId="7F60E482">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noWrap w:val="0"/>
            <w:vAlign w:val="center"/>
          </w:tcPr>
          <w:p w14:paraId="63380893">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1</w:t>
            </w:r>
          </w:p>
        </w:tc>
      </w:tr>
      <w:tr w14:paraId="7115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56" w:type="dxa"/>
            <w:noWrap w:val="0"/>
            <w:vAlign w:val="center"/>
          </w:tcPr>
          <w:p w14:paraId="766FDBCF">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1783" w:type="dxa"/>
            <w:noWrap w:val="0"/>
            <w:vAlign w:val="center"/>
          </w:tcPr>
          <w:p w14:paraId="1676D890">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三轮车</w:t>
            </w:r>
          </w:p>
        </w:tc>
        <w:tc>
          <w:tcPr>
            <w:tcW w:w="5200" w:type="dxa"/>
            <w:noWrap w:val="0"/>
            <w:vAlign w:val="center"/>
          </w:tcPr>
          <w:p w14:paraId="7B84E2C9">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1.永磁电机≥1500W   电池≥72V45A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2.车厢尺寸:≥2m*1.3m</w:t>
            </w:r>
          </w:p>
        </w:tc>
        <w:tc>
          <w:tcPr>
            <w:tcW w:w="749" w:type="dxa"/>
            <w:noWrap w:val="0"/>
            <w:vAlign w:val="center"/>
          </w:tcPr>
          <w:p w14:paraId="5347B203">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noWrap w:val="0"/>
            <w:vAlign w:val="center"/>
          </w:tcPr>
          <w:p w14:paraId="5D4F25C5">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2</w:t>
            </w:r>
          </w:p>
        </w:tc>
      </w:tr>
      <w:tr w14:paraId="0873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556" w:type="dxa"/>
            <w:noWrap w:val="0"/>
            <w:vAlign w:val="center"/>
          </w:tcPr>
          <w:p w14:paraId="2867914E">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1783" w:type="dxa"/>
            <w:noWrap w:val="0"/>
            <w:vAlign w:val="center"/>
          </w:tcPr>
          <w:p w14:paraId="26B8FC30">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电动投料机（3立方）</w:t>
            </w:r>
          </w:p>
        </w:tc>
        <w:tc>
          <w:tcPr>
            <w:tcW w:w="5200" w:type="dxa"/>
            <w:noWrap w:val="0"/>
            <w:vAlign w:val="center"/>
          </w:tcPr>
          <w:p w14:paraId="2DA8E37A">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1.容积:≥3立方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2.整体外形寸:≥3600*1800*2000mm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3.箱体尺寸:≥2400*1500*1500mm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4.整机质量:≥1000kg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5.结构形式:搅龙式，出料方式双侧出料，行驶车速≤20km/h</w:t>
            </w:r>
          </w:p>
        </w:tc>
        <w:tc>
          <w:tcPr>
            <w:tcW w:w="749" w:type="dxa"/>
            <w:noWrap w:val="0"/>
            <w:vAlign w:val="center"/>
          </w:tcPr>
          <w:p w14:paraId="08CD95C6">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noWrap w:val="0"/>
            <w:vAlign w:val="center"/>
          </w:tcPr>
          <w:p w14:paraId="17781009">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2</w:t>
            </w:r>
          </w:p>
        </w:tc>
      </w:tr>
      <w:tr w14:paraId="4159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556" w:type="dxa"/>
            <w:noWrap w:val="0"/>
            <w:vAlign w:val="center"/>
          </w:tcPr>
          <w:p w14:paraId="15778280">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1783" w:type="dxa"/>
            <w:noWrap w:val="0"/>
            <w:vAlign w:val="center"/>
          </w:tcPr>
          <w:p w14:paraId="26040784">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拉羊农用车包括架子运输车（4.1米）</w:t>
            </w:r>
          </w:p>
        </w:tc>
        <w:tc>
          <w:tcPr>
            <w:tcW w:w="5200" w:type="dxa"/>
            <w:noWrap w:val="0"/>
            <w:vAlign w:val="center"/>
          </w:tcPr>
          <w:p w14:paraId="7E9D4DDE">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1.功率:≥100kw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2.排量:≥2490ml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3.外廓尺寸:≥5980*2110*2330mm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4.轴距:≥3280mm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5.轮距（前/后）:≥1595/1560mm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6.总质量:≥4485kg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7.整备质量:≥2560kg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8.额定载质量:≥1730kg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9.排放标准:国六，配架子运输车</w:t>
            </w:r>
          </w:p>
        </w:tc>
        <w:tc>
          <w:tcPr>
            <w:tcW w:w="749" w:type="dxa"/>
            <w:noWrap w:val="0"/>
            <w:vAlign w:val="center"/>
          </w:tcPr>
          <w:p w14:paraId="4360DA8C">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noWrap w:val="0"/>
            <w:vAlign w:val="center"/>
          </w:tcPr>
          <w:p w14:paraId="5C80B8BC">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1</w:t>
            </w:r>
          </w:p>
        </w:tc>
      </w:tr>
      <w:tr w14:paraId="3EE3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556" w:type="dxa"/>
            <w:noWrap w:val="0"/>
            <w:vAlign w:val="center"/>
          </w:tcPr>
          <w:p w14:paraId="25130C16">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1783" w:type="dxa"/>
            <w:noWrap w:val="0"/>
            <w:vAlign w:val="center"/>
          </w:tcPr>
          <w:p w14:paraId="367965FF">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拉用排半微型车</w:t>
            </w:r>
          </w:p>
        </w:tc>
        <w:tc>
          <w:tcPr>
            <w:tcW w:w="5200" w:type="dxa"/>
            <w:noWrap w:val="0"/>
            <w:vAlign w:val="center"/>
          </w:tcPr>
          <w:p w14:paraId="63F65F80">
            <w:pPr>
              <w:keepNext w:val="0"/>
              <w:keepLines w:val="0"/>
              <w:widowControl/>
              <w:suppressLineNumbers w:val="0"/>
              <w:ind w:left="0" w:leftChars="0" w:right="0" w:rightChars="0"/>
              <w:jc w:val="left"/>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1.车身材质:整体式加重后桥+高强度板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2.货箱:≥2450*1600*360mm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3.外廓尺寸:≥5220*1760*1900mm</w:t>
            </w:r>
          </w:p>
        </w:tc>
        <w:tc>
          <w:tcPr>
            <w:tcW w:w="749" w:type="dxa"/>
            <w:noWrap w:val="0"/>
            <w:vAlign w:val="center"/>
          </w:tcPr>
          <w:p w14:paraId="17C343FE">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noWrap w:val="0"/>
            <w:vAlign w:val="center"/>
          </w:tcPr>
          <w:p w14:paraId="40016E12">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1</w:t>
            </w:r>
          </w:p>
        </w:tc>
      </w:tr>
      <w:tr w14:paraId="2AFD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556" w:type="dxa"/>
            <w:noWrap w:val="0"/>
            <w:vAlign w:val="center"/>
          </w:tcPr>
          <w:p w14:paraId="7D781656">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783" w:type="dxa"/>
            <w:noWrap w:val="0"/>
            <w:vAlign w:val="center"/>
          </w:tcPr>
          <w:p w14:paraId="3DC4DD4E">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30型叉（饲料转运）</w:t>
            </w:r>
          </w:p>
        </w:tc>
        <w:tc>
          <w:tcPr>
            <w:tcW w:w="5200" w:type="dxa"/>
            <w:noWrap w:val="0"/>
            <w:vAlign w:val="center"/>
          </w:tcPr>
          <w:p w14:paraId="191B998F">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1.额定荷载:≥3000kg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2.最大起升高度:≥3000mm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3.最小转弯半径:≥2400mm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4.最小间隙:≥135mm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5.外形尺寸（长*宽*高）:≥2510*1150*2050mm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6.额定功率:≥36.8KW</w:t>
            </w:r>
          </w:p>
        </w:tc>
        <w:tc>
          <w:tcPr>
            <w:tcW w:w="749" w:type="dxa"/>
            <w:noWrap w:val="0"/>
            <w:vAlign w:val="center"/>
          </w:tcPr>
          <w:p w14:paraId="77F18B3B">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noWrap w:val="0"/>
            <w:vAlign w:val="center"/>
          </w:tcPr>
          <w:p w14:paraId="5B5518FE">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1</w:t>
            </w:r>
          </w:p>
        </w:tc>
      </w:tr>
      <w:tr w14:paraId="2B12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2" w:hRule="atLeast"/>
        </w:trPr>
        <w:tc>
          <w:tcPr>
            <w:tcW w:w="556" w:type="dxa"/>
            <w:noWrap w:val="0"/>
            <w:vAlign w:val="center"/>
          </w:tcPr>
          <w:p w14:paraId="3E51B9C3">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7</w:t>
            </w:r>
          </w:p>
        </w:tc>
        <w:tc>
          <w:tcPr>
            <w:tcW w:w="1783" w:type="dxa"/>
            <w:noWrap w:val="0"/>
            <w:vAlign w:val="center"/>
          </w:tcPr>
          <w:p w14:paraId="706D8CBD">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疫苗注射洗羊机装羊台一体机</w:t>
            </w:r>
          </w:p>
        </w:tc>
        <w:tc>
          <w:tcPr>
            <w:tcW w:w="5200" w:type="dxa"/>
            <w:noWrap w:val="0"/>
            <w:vAlign w:val="center"/>
          </w:tcPr>
          <w:p w14:paraId="3BD350DA">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1.洗羊池规格:≥4m×1.5m，深≥1.2m，池底由不锈钢板焊接。池底为弧面，铺设防滑橡胶垫。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2.框架结构规格:≥40*40mm不锈钢方管焊接。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3.进水:≥1.5KW潜水泵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4.排水:排水阀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5.高压冲洗泵:≥220V/3KW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6.洗羊池步道:洗羊机、装羊机通用电梯，≥6m×0.8m，步道护栏高≥0.8米；带人力拖行轮，可调节高度，配≥220v/1.5kw电机，带变频器可调节步道行进速度</w:t>
            </w:r>
          </w:p>
          <w:p w14:paraId="14C3431C">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7.圈体总边长为≥60m；总面积约为≥107㎡，其中注射栏面积≥7㎡。</w:t>
            </w:r>
          </w:p>
          <w:p w14:paraId="33784617">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8.注射栏:注苗栏安装高度≥1500mm，长≥10m，宽≥0.7米 框架尺寸（高度*宽度）；每档围栏≥1500mm*2500mm（误差不超过10mm）</w:t>
            </w:r>
          </w:p>
          <w:p w14:paraId="49ED7268">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9.围栏板材质和尺寸:板材为金属冷轧钢板，壁厚≥2mm（±0.2mm）；长边≥2400mm（±2mm），短边≥160mm（260mm压制成型瓦楞钢板±2mm），防腐喷塑和折边、打磨处理；每档五片</w:t>
            </w:r>
          </w:p>
          <w:p w14:paraId="35D90008">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10.立柱材质和尺寸:无缝钢管≥Φ50mm×1700mm×壁厚3mm（插入螺旋桩后高度≥1500mm），防腐喷塑处理，顶端防雨水灌入处理</w:t>
            </w:r>
          </w:p>
          <w:p w14:paraId="320BA5B2">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11.斜撑杆材质和尺寸:无缝钢管≥Φ50mm×1500mm×壁厚3mm（插入螺旋桩后高度≥1500mm），防腐喷塑处理，顶端防雨水灌入处理</w:t>
            </w:r>
          </w:p>
          <w:p w14:paraId="12944921">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12.链接卡扣技术参数:规格不小于：钢制</w:t>
            </w:r>
            <w:r>
              <w:rPr>
                <w:rFonts w:hint="eastAsia" w:ascii="宋体" w:hAnsi="宋体" w:eastAsia="宋体" w:cs="宋体"/>
                <w:i w:val="0"/>
                <w:iCs w:val="0"/>
                <w:color w:val="auto"/>
                <w:kern w:val="0"/>
                <w:sz w:val="24"/>
                <w:szCs w:val="24"/>
                <w:highlight w:val="none"/>
                <w:u w:val="none"/>
                <w:lang w:val="en-US" w:eastAsia="zh-CN" w:bidi="ar"/>
              </w:rPr>
              <w:t>止退螺丝、螺帽、规格M10*20mm、M10*30mm、M10*70mm；连接片规格长220mm×宽120mm×厚4.5mm与立柱焊接。钢制</w:t>
            </w:r>
            <w:r>
              <w:rPr>
                <w:rFonts w:hint="eastAsia" w:ascii="宋体" w:hAnsi="宋体" w:eastAsia="宋体" w:cs="宋体"/>
                <w:i w:val="0"/>
                <w:iCs w:val="0"/>
                <w:color w:val="auto"/>
                <w:kern w:val="0"/>
                <w:sz w:val="24"/>
                <w:szCs w:val="24"/>
                <w:highlight w:val="none"/>
                <w:u w:val="none"/>
                <w:lang w:val="en-US" w:eastAsia="zh-CN" w:bidi="ar"/>
              </w:rPr>
              <w:t>精铸链接卡扣与斜撑杆、立杆焊接。</w:t>
            </w:r>
          </w:p>
          <w:p w14:paraId="60CD575F">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13.螺旋地桩技术参数:材质为镀锌炭素钢；规格不小于：螺旋上部高度270mm，壁厚3mm；螺旋下部高度530mm，螺旋片厚度6mm</w:t>
            </w:r>
          </w:p>
          <w:p w14:paraId="7AAE898E">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14.抗拔螺旋地钉:镀锌碳素钢一体成型，全长≥48mm，其中螺旋部≥45mm，螺旋片厚度≥6mm</w:t>
            </w:r>
          </w:p>
        </w:tc>
        <w:tc>
          <w:tcPr>
            <w:tcW w:w="749" w:type="dxa"/>
            <w:noWrap w:val="0"/>
            <w:vAlign w:val="center"/>
          </w:tcPr>
          <w:p w14:paraId="4BF1C081">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noWrap w:val="0"/>
            <w:vAlign w:val="center"/>
          </w:tcPr>
          <w:p w14:paraId="48C4EF4D">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1</w:t>
            </w:r>
          </w:p>
        </w:tc>
      </w:tr>
      <w:tr w14:paraId="5A47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556" w:type="dxa"/>
            <w:noWrap w:val="0"/>
            <w:vAlign w:val="center"/>
          </w:tcPr>
          <w:p w14:paraId="5214E918">
            <w:pPr>
              <w:keepNext w:val="0"/>
              <w:keepLines w:val="0"/>
              <w:widowControl/>
              <w:suppressLineNumbers w:val="0"/>
              <w:ind w:left="0" w:leftChars="0" w:right="0" w:right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1783" w:type="dxa"/>
            <w:noWrap w:val="0"/>
            <w:vAlign w:val="center"/>
          </w:tcPr>
          <w:p w14:paraId="32304B5A">
            <w:pPr>
              <w:keepNext w:val="0"/>
              <w:keepLines w:val="0"/>
              <w:widowControl/>
              <w:suppressLineNumbers w:val="0"/>
              <w:ind w:left="0" w:leftChars="0" w:right="0" w:right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除粪车（小型装载机）</w:t>
            </w:r>
          </w:p>
        </w:tc>
        <w:tc>
          <w:tcPr>
            <w:tcW w:w="5200" w:type="dxa"/>
            <w:noWrap w:val="0"/>
            <w:vAlign w:val="center"/>
          </w:tcPr>
          <w:p w14:paraId="0C9C96D1">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1.斗容:≥1.2m³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2.整机工作质量:≥3200kg</w:t>
            </w:r>
          </w:p>
          <w:p w14:paraId="5D2FDC9A">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3.标配轮胎:≥16/70-20</w:t>
            </w:r>
          </w:p>
          <w:p w14:paraId="08E8FF53">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4.额定功率:≥36.8kw（可调功率61.8KW）</w:t>
            </w:r>
          </w:p>
          <w:p w14:paraId="14AFBFD6">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5.最大卸料高度:≥3200mm</w:t>
            </w:r>
          </w:p>
          <w:p w14:paraId="4EB52175">
            <w:pPr>
              <w:keepNext w:val="0"/>
              <w:keepLines w:val="0"/>
              <w:widowControl/>
              <w:suppressLineNumbers w:val="0"/>
              <w:ind w:left="0" w:leftChars="0" w:right="0" w:rightChars="0"/>
              <w:jc w:val="left"/>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6.举料高度:≥4200mm</w:t>
            </w:r>
          </w:p>
        </w:tc>
        <w:tc>
          <w:tcPr>
            <w:tcW w:w="749" w:type="dxa"/>
            <w:noWrap w:val="0"/>
            <w:vAlign w:val="center"/>
          </w:tcPr>
          <w:p w14:paraId="7AF23BCB">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noWrap w:val="0"/>
            <w:vAlign w:val="center"/>
          </w:tcPr>
          <w:p w14:paraId="5DD623B2">
            <w:pPr>
              <w:keepNext w:val="0"/>
              <w:keepLines w:val="0"/>
              <w:widowControl/>
              <w:suppressLineNumbers w:val="0"/>
              <w:ind w:left="0" w:leftChars="0" w:right="0" w:rightChars="0"/>
              <w:jc w:val="center"/>
              <w:textAlignment w:val="center"/>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u w:val="none"/>
                <w:lang w:val="en-US" w:eastAsia="zh-CN" w:bidi="ar"/>
              </w:rPr>
              <w:t>1</w:t>
            </w:r>
          </w:p>
        </w:tc>
      </w:tr>
      <w:tr w14:paraId="1D90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556" w:type="dxa"/>
            <w:shd w:val="clear" w:color="FFFFFF" w:fill="FFFFFF"/>
            <w:noWrap w:val="0"/>
            <w:vAlign w:val="center"/>
          </w:tcPr>
          <w:p w14:paraId="19BB65C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w:t>
            </w:r>
          </w:p>
        </w:tc>
        <w:tc>
          <w:tcPr>
            <w:tcW w:w="1783" w:type="dxa"/>
            <w:shd w:val="clear" w:color="FFFFFF" w:fill="FFFFFF"/>
            <w:noWrap w:val="0"/>
            <w:vAlign w:val="center"/>
          </w:tcPr>
          <w:p w14:paraId="148B859E">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饲料混合粉碎机</w:t>
            </w:r>
          </w:p>
        </w:tc>
        <w:tc>
          <w:tcPr>
            <w:tcW w:w="5200" w:type="dxa"/>
            <w:shd w:val="clear" w:color="FFFFFF" w:fill="FFFFFF"/>
            <w:noWrap w:val="0"/>
            <w:vAlign w:val="center"/>
          </w:tcPr>
          <w:p w14:paraId="7A2FD005">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1.结构型式:立式单轴螺旋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2.外形尺寸（长×宽×高）:≥1700×1260×2770mm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3.混合轴额定转速:≥415r/min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4.混合室容积:≥2.05m³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5.粉碎机电机功率≥11kw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6.含粉碎机及电动机</w:t>
            </w:r>
          </w:p>
        </w:tc>
        <w:tc>
          <w:tcPr>
            <w:tcW w:w="749" w:type="dxa"/>
            <w:shd w:val="clear" w:color="FFFFFF" w:fill="FFFFFF"/>
            <w:noWrap w:val="0"/>
            <w:vAlign w:val="center"/>
          </w:tcPr>
          <w:p w14:paraId="5CD3467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shd w:val="clear" w:color="FFFFFF" w:fill="FFFFFF"/>
            <w:noWrap w:val="0"/>
            <w:vAlign w:val="center"/>
          </w:tcPr>
          <w:p w14:paraId="1C14FFD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r>
      <w:tr w14:paraId="3198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556" w:type="dxa"/>
            <w:shd w:val="clear" w:color="FFFFFF" w:fill="FFFFFF"/>
            <w:noWrap w:val="0"/>
            <w:vAlign w:val="center"/>
          </w:tcPr>
          <w:p w14:paraId="0BFFB64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1783" w:type="dxa"/>
            <w:shd w:val="clear" w:color="FFFFFF" w:fill="FFFFFF"/>
            <w:noWrap w:val="0"/>
            <w:vAlign w:val="center"/>
          </w:tcPr>
          <w:p w14:paraId="660220FE">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卧式揉丝搅拌机（9立方）</w:t>
            </w:r>
          </w:p>
        </w:tc>
        <w:tc>
          <w:tcPr>
            <w:tcW w:w="5200" w:type="dxa"/>
            <w:shd w:val="clear" w:color="FFFFFF" w:fill="FFFFFF"/>
            <w:noWrap w:val="0"/>
            <w:vAlign w:val="center"/>
          </w:tcPr>
          <w:p w14:paraId="0E376DD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型式:固定卧式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2.称重系统最大称量:≥32000kg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3.搅拌仓容积:≥9m³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4.搅拌仓体外形尺寸（长×宽×高）:≥3520×1740×1850mm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5.配套动力型式:电动机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6.配套动力功率范围kw:≥22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7.仓门电机功率≥1.5kW</w:t>
            </w:r>
          </w:p>
          <w:p w14:paraId="53C5D26C">
            <w:pPr>
              <w:keepNext w:val="0"/>
              <w:keepLines w:val="0"/>
              <w:widowControl/>
              <w:numPr>
                <w:ilvl w:val="0"/>
                <w:numId w:val="0"/>
              </w:numPr>
              <w:suppressLineNumbers w:val="0"/>
              <w:ind w:left="0" w:leftChars="0" w:right="0" w:rightChars="0" w:firstLine="0" w:firstLineChars="0"/>
              <w:jc w:val="left"/>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8.主搅龙数量：1个；副搅龙数量：2个</w:t>
            </w:r>
          </w:p>
        </w:tc>
        <w:tc>
          <w:tcPr>
            <w:tcW w:w="749" w:type="dxa"/>
            <w:shd w:val="clear" w:color="FFFFFF" w:fill="FFFFFF"/>
            <w:noWrap w:val="0"/>
            <w:vAlign w:val="center"/>
          </w:tcPr>
          <w:p w14:paraId="0C960D5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shd w:val="clear" w:color="FFFFFF" w:fill="FFFFFF"/>
            <w:noWrap w:val="0"/>
            <w:vAlign w:val="center"/>
          </w:tcPr>
          <w:p w14:paraId="0664B2C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r>
      <w:tr w14:paraId="132F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56" w:type="dxa"/>
            <w:shd w:val="clear" w:color="FFFFFF" w:fill="FFFFFF"/>
            <w:noWrap w:val="0"/>
            <w:vAlign w:val="center"/>
          </w:tcPr>
          <w:p w14:paraId="2FD52E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783" w:type="dxa"/>
            <w:shd w:val="clear" w:color="FFFFFF" w:fill="FFFFFF"/>
            <w:noWrap w:val="0"/>
            <w:vAlign w:val="center"/>
          </w:tcPr>
          <w:p w14:paraId="419E99C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输送带（5米）</w:t>
            </w:r>
          </w:p>
        </w:tc>
        <w:tc>
          <w:tcPr>
            <w:tcW w:w="5200" w:type="dxa"/>
            <w:shd w:val="clear" w:color="FFFFFF" w:fill="FFFFFF"/>
            <w:noWrap w:val="0"/>
            <w:vAlign w:val="center"/>
          </w:tcPr>
          <w:p w14:paraId="3058198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1.长度：≥5米，宽度：≥0.6米</w:t>
            </w:r>
          </w:p>
        </w:tc>
        <w:tc>
          <w:tcPr>
            <w:tcW w:w="749" w:type="dxa"/>
            <w:shd w:val="clear" w:color="FFFFFF" w:fill="FFFFFF"/>
            <w:noWrap w:val="0"/>
            <w:vAlign w:val="center"/>
          </w:tcPr>
          <w:p w14:paraId="4F24EC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shd w:val="clear" w:color="FFFFFF" w:fill="FFFFFF"/>
            <w:noWrap w:val="0"/>
            <w:vAlign w:val="center"/>
          </w:tcPr>
          <w:p w14:paraId="2A0DDB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14:paraId="2D58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556" w:type="dxa"/>
            <w:shd w:val="clear" w:color="FFFFFF" w:fill="FFFFFF"/>
            <w:noWrap w:val="0"/>
            <w:vAlign w:val="center"/>
          </w:tcPr>
          <w:p w14:paraId="231273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783" w:type="dxa"/>
            <w:shd w:val="clear" w:color="FFFFFF" w:fill="FFFFFF"/>
            <w:noWrap w:val="0"/>
            <w:vAlign w:val="center"/>
          </w:tcPr>
          <w:p w14:paraId="05C6041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拉羊粪奔马车</w:t>
            </w:r>
          </w:p>
        </w:tc>
        <w:tc>
          <w:tcPr>
            <w:tcW w:w="5200" w:type="dxa"/>
            <w:shd w:val="clear" w:color="FFFFFF" w:fill="FFFFFF"/>
            <w:noWrap w:val="0"/>
            <w:vAlign w:val="center"/>
          </w:tcPr>
          <w:p w14:paraId="213B15B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1.功率≥18.4kw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2.排量≥1473ml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3.外廓尺寸≥4010*1500*1690mm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4.轴距≥2680mm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5.总质量≥1998kg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6.整备质量≥1288kg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7.额定载质量≥580kg</w:t>
            </w:r>
          </w:p>
        </w:tc>
        <w:tc>
          <w:tcPr>
            <w:tcW w:w="749" w:type="dxa"/>
            <w:shd w:val="clear" w:color="FFFFFF" w:fill="FFFFFF"/>
            <w:noWrap w:val="0"/>
            <w:vAlign w:val="center"/>
          </w:tcPr>
          <w:p w14:paraId="208B5C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749" w:type="dxa"/>
            <w:shd w:val="clear" w:color="FFFFFF" w:fill="FFFFFF"/>
            <w:noWrap w:val="0"/>
            <w:vAlign w:val="center"/>
          </w:tcPr>
          <w:p w14:paraId="58AB40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bl>
    <w:p w14:paraId="0654BA94">
      <w:pPr>
        <w:spacing w:before="2" w:line="374" w:lineRule="auto"/>
        <w:ind w:right="81"/>
        <w:jc w:val="center"/>
        <w:rPr>
          <w:rFonts w:hint="eastAsia" w:ascii="宋体" w:hAnsi="宋体" w:eastAsia="宋体" w:cs="宋体"/>
          <w:b/>
          <w:bCs/>
          <w:color w:val="auto"/>
          <w:kern w:val="2"/>
          <w:sz w:val="28"/>
          <w:szCs w:val="28"/>
          <w:highlight w:val="none"/>
          <w:lang w:eastAsia="zh-CN"/>
        </w:rPr>
      </w:pPr>
    </w:p>
    <w:p w14:paraId="00E07BAE">
      <w:pPr>
        <w:wordWrap/>
        <w:adjustRightInd/>
        <w:spacing w:line="560" w:lineRule="exac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8"/>
          <w:szCs w:val="28"/>
          <w:highlight w:val="none"/>
          <w:lang w:val="en-US" w:eastAsia="zh-CN"/>
        </w:rPr>
        <w:t>注：</w:t>
      </w:r>
      <w:r>
        <w:rPr>
          <w:rFonts w:hint="eastAsia" w:ascii="宋体" w:hAnsi="宋体" w:eastAsia="宋体" w:cs="宋体"/>
          <w:b/>
          <w:bCs/>
          <w:color w:val="auto"/>
          <w:sz w:val="24"/>
          <w:szCs w:val="24"/>
          <w:highlight w:val="none"/>
        </w:rPr>
        <w:t>提供国家认可的质监机构出具的产品的产品检验报告</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rPr>
        <w:t>生产厂家出具的产品彩页（或网页原始截图）等能够证明技术参数响应的相关资料。</w:t>
      </w:r>
    </w:p>
    <w:p w14:paraId="4BB861F5">
      <w:pPr>
        <w:pStyle w:val="6"/>
        <w:rPr>
          <w:rFonts w:hint="eastAsia" w:ascii="宋体" w:hAnsi="宋体" w:eastAsia="宋体" w:cs="宋体"/>
          <w:b/>
          <w:bCs/>
          <w:color w:val="auto"/>
          <w:sz w:val="24"/>
          <w:szCs w:val="24"/>
          <w:highlight w:val="none"/>
        </w:rPr>
      </w:pPr>
    </w:p>
    <w:p w14:paraId="0FD81B5D">
      <w:pPr>
        <w:spacing w:before="63" w:line="225" w:lineRule="auto"/>
        <w:jc w:val="center"/>
        <w:outlineLvl w:val="0"/>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pPr>
      <w:bookmarkStart w:id="56" w:name="_Toc18208_WPSOffice_Level1"/>
      <w:bookmarkStart w:id="57" w:name="_Toc31138"/>
      <w:bookmarkStart w:id="58" w:name="_Toc5732_WPSOffice_Level1"/>
      <w:bookmarkStart w:id="59" w:name="_Toc22544"/>
      <w:bookmarkStart w:id="60" w:name="_Toc15487_WPSOffice_Level1"/>
      <w:bookmarkStart w:id="61" w:name="_Toc955_WPSOffice_Level1"/>
      <w:bookmarkStart w:id="62" w:name="_Toc18643_WPSOffice_Level1"/>
      <w:bookmarkStart w:id="63" w:name="_Toc6923_WPSOffice_Level1"/>
      <w:bookmarkStart w:id="64" w:name="_Toc12368"/>
      <w:bookmarkStart w:id="65" w:name="_Toc1325"/>
      <w:bookmarkStart w:id="66" w:name="_Toc32479_WPSOffice_Level3"/>
      <w:bookmarkStart w:id="67" w:name="_Toc27597"/>
      <w:bookmarkStart w:id="68" w:name="_Toc27578"/>
      <w:bookmarkStart w:id="69" w:name="_Toc19203"/>
      <w:bookmarkStart w:id="70" w:name="_Toc27464"/>
      <w:r>
        <w:rPr>
          <w:rFonts w:hint="eastAsia" w:ascii="宋体" w:hAnsi="宋体" w:eastAsia="宋体" w:cs="宋体"/>
          <w:color w:val="auto"/>
          <w:spacing w:val="18"/>
          <w:sz w:val="32"/>
          <w:szCs w:val="32"/>
          <w:highlight w:val="none"/>
          <w:lang w:eastAsia="zh-CN"/>
          <w14:textOutline w14:w="5793" w14:cap="sq" w14:cmpd="sng">
            <w14:solidFill>
              <w14:srgbClr w14:val="000000"/>
            </w14:solidFill>
            <w14:prstDash w14:val="solid"/>
            <w14:bevel/>
          </w14:textOutline>
        </w:rPr>
        <w:t>第四部分</w:t>
      </w:r>
      <w:r>
        <w:rPr>
          <w:rFonts w:hint="eastAsia" w:ascii="宋体" w:hAnsi="宋体" w:eastAsia="宋体" w:cs="宋体"/>
          <w:color w:val="auto"/>
          <w:spacing w:val="18"/>
          <w:sz w:val="32"/>
          <w:szCs w:val="32"/>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18"/>
          <w:sz w:val="32"/>
          <w:szCs w:val="32"/>
          <w:highlight w:val="none"/>
          <w:lang w:eastAsia="zh-CN"/>
          <w14:textOutline w14:w="5793" w14:cap="sq" w14:cmpd="sng">
            <w14:solidFill>
              <w14:srgbClr w14:val="000000"/>
            </w14:solidFill>
            <w14:prstDash w14:val="solid"/>
            <w14:bevel/>
          </w14:textOutline>
        </w:rPr>
        <w:t>谈判响应文件格式</w:t>
      </w:r>
      <w:bookmarkEnd w:id="56"/>
      <w:bookmarkEnd w:id="57"/>
      <w:bookmarkEnd w:id="58"/>
      <w:bookmarkEnd w:id="59"/>
      <w:bookmarkEnd w:id="60"/>
      <w:bookmarkEnd w:id="61"/>
      <w:bookmarkEnd w:id="62"/>
      <w:bookmarkEnd w:id="63"/>
      <w:bookmarkEnd w:id="64"/>
      <w:bookmarkEnd w:id="65"/>
    </w:p>
    <w:p w14:paraId="2F6D067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jc w:val="center"/>
        <w:textAlignment w:val="baseline"/>
        <w:outlineLvl w:val="1"/>
        <w:rPr>
          <w:rFonts w:hint="eastAsia" w:ascii="宋体" w:hAnsi="宋体" w:eastAsia="宋体" w:cs="宋体"/>
          <w:color w:val="auto"/>
          <w:spacing w:val="7"/>
          <w:position w:val="2"/>
          <w:sz w:val="28"/>
          <w:szCs w:val="28"/>
          <w:highlight w:val="none"/>
          <w:lang w:val="en-US" w:eastAsia="zh-CN"/>
          <w14:textOutline w14:w="5448" w14:cap="sq" w14:cmpd="sng">
            <w14:solidFill>
              <w14:srgbClr w14:val="000000"/>
            </w14:solidFill>
            <w14:prstDash w14:val="solid"/>
            <w14:bevel/>
          </w14:textOutline>
        </w:rPr>
      </w:pPr>
      <w:bookmarkStart w:id="71" w:name="_Toc2376"/>
      <w:bookmarkStart w:id="72" w:name="_Toc11968"/>
      <w:bookmarkStart w:id="73" w:name="_Toc18213"/>
      <w:bookmarkStart w:id="74" w:name="_Toc4945_WPSOffice_Level2"/>
      <w:bookmarkStart w:id="75" w:name="_Toc20166_WPSOffice_Level2"/>
      <w:bookmarkStart w:id="76" w:name="_Toc12691_WPSOffice_Level2"/>
      <w:r>
        <w:rPr>
          <w:rFonts w:hint="eastAsia" w:ascii="宋体" w:hAnsi="宋体" w:eastAsia="宋体" w:cs="宋体"/>
          <w:color w:val="auto"/>
          <w:spacing w:val="7"/>
          <w:position w:val="2"/>
          <w:sz w:val="28"/>
          <w:szCs w:val="28"/>
          <w:highlight w:val="none"/>
          <w:lang w:val="en-US" w:eastAsia="zh-CN"/>
          <w14:textOutline w14:w="5448" w14:cap="sq" w14:cmpd="sng">
            <w14:solidFill>
              <w14:srgbClr w14:val="000000"/>
            </w14:solidFill>
            <w14:prstDash w14:val="solid"/>
            <w14:bevel/>
          </w14:textOutline>
        </w:rPr>
        <w:t>十二、谈判响应文件的组成</w:t>
      </w:r>
      <w:bookmarkEnd w:id="71"/>
      <w:bookmarkEnd w:id="72"/>
      <w:bookmarkEnd w:id="73"/>
      <w:bookmarkEnd w:id="74"/>
      <w:bookmarkEnd w:id="75"/>
      <w:bookmarkEnd w:id="76"/>
    </w:p>
    <w:p w14:paraId="0108392E">
      <w:pPr>
        <w:widowControl w:val="0"/>
        <w:wordWrap/>
        <w:adjustRightInd w:val="0"/>
        <w:snapToGrid w:val="0"/>
        <w:spacing w:line="560" w:lineRule="exact"/>
        <w:jc w:val="left"/>
        <w:textAlignment w:val="auto"/>
        <w:outlineLvl w:val="9"/>
        <w:rPr>
          <w:rFonts w:hint="eastAsia" w:ascii="宋体" w:hAnsi="宋体" w:eastAsia="宋体" w:cs="宋体"/>
          <w:b/>
          <w:bCs/>
          <w:color w:val="auto"/>
          <w:kern w:val="2"/>
          <w:sz w:val="24"/>
          <w:szCs w:val="24"/>
          <w:highlight w:val="none"/>
          <w:lang w:val="zh-CN" w:eastAsia="zh-CN" w:bidi="ar-SA"/>
        </w:rPr>
      </w:pPr>
      <w:bookmarkStart w:id="77" w:name="_Toc31451_WPSOffice_Level3"/>
      <w:bookmarkStart w:id="78" w:name="_Toc4049"/>
      <w:bookmarkStart w:id="79" w:name="_Toc22172"/>
      <w:bookmarkStart w:id="80" w:name="_Toc185_WPSOffice_Level2"/>
      <w:r>
        <w:rPr>
          <w:rFonts w:hint="eastAsia" w:ascii="宋体" w:hAnsi="宋体" w:eastAsia="宋体" w:cs="宋体"/>
          <w:b/>
          <w:bCs/>
          <w:color w:val="auto"/>
          <w:kern w:val="2"/>
          <w:sz w:val="24"/>
          <w:szCs w:val="24"/>
          <w:highlight w:val="none"/>
          <w:lang w:val="zh-CN" w:eastAsia="zh-CN" w:bidi="ar-SA"/>
        </w:rPr>
        <w:t>（一）资格审查部分</w:t>
      </w:r>
      <w:bookmarkEnd w:id="77"/>
      <w:bookmarkEnd w:id="78"/>
      <w:bookmarkEnd w:id="79"/>
      <w:bookmarkEnd w:id="80"/>
    </w:p>
    <w:p w14:paraId="5D87CC8F">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81" w:name="_Toc19260_WPSOffice_Level3"/>
      <w:r>
        <w:rPr>
          <w:rFonts w:hint="eastAsia" w:ascii="宋体" w:hAnsi="宋体" w:eastAsia="宋体" w:cs="宋体"/>
          <w:color w:val="auto"/>
          <w:kern w:val="2"/>
          <w:sz w:val="24"/>
          <w:szCs w:val="24"/>
          <w:highlight w:val="none"/>
          <w:lang w:val="zh-CN" w:eastAsia="zh-CN" w:bidi="ar-SA"/>
        </w:rPr>
        <w:t>1、响应函（见附件1）</w:t>
      </w:r>
      <w:bookmarkEnd w:id="81"/>
    </w:p>
    <w:p w14:paraId="6882A793">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82" w:name="_Toc13122_WPSOffice_Level3"/>
      <w:r>
        <w:rPr>
          <w:rFonts w:hint="eastAsia" w:ascii="宋体" w:hAnsi="宋体" w:eastAsia="宋体" w:cs="宋体"/>
          <w:color w:val="auto"/>
          <w:kern w:val="2"/>
          <w:sz w:val="24"/>
          <w:szCs w:val="24"/>
          <w:highlight w:val="none"/>
          <w:lang w:val="zh-CN" w:eastAsia="zh-CN" w:bidi="ar-SA"/>
        </w:rPr>
        <w:t>2、法定代表人证明书（见附件2）</w:t>
      </w:r>
      <w:bookmarkEnd w:id="82"/>
    </w:p>
    <w:p w14:paraId="5A08ADA1">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83" w:name="_Toc5677_WPSOffice_Level3"/>
      <w:r>
        <w:rPr>
          <w:rFonts w:hint="eastAsia" w:ascii="宋体" w:hAnsi="宋体" w:eastAsia="宋体" w:cs="宋体"/>
          <w:color w:val="auto"/>
          <w:kern w:val="2"/>
          <w:sz w:val="24"/>
          <w:szCs w:val="24"/>
          <w:highlight w:val="none"/>
          <w:lang w:val="zh-CN" w:eastAsia="zh-CN" w:bidi="ar-SA"/>
        </w:rPr>
        <w:t>3、法定代表人授权书（见附件3）</w:t>
      </w:r>
      <w:bookmarkEnd w:id="83"/>
    </w:p>
    <w:p w14:paraId="20B8E606">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84" w:name="_Toc1890_WPSOffice_Level3"/>
      <w:r>
        <w:rPr>
          <w:rFonts w:hint="eastAsia" w:ascii="宋体" w:hAnsi="宋体" w:eastAsia="宋体" w:cs="宋体"/>
          <w:color w:val="auto"/>
          <w:kern w:val="2"/>
          <w:sz w:val="24"/>
          <w:szCs w:val="24"/>
          <w:highlight w:val="none"/>
          <w:lang w:val="zh-CN" w:eastAsia="zh-CN" w:bidi="ar-SA"/>
        </w:rPr>
        <w:t>4、供应商承诺函（见附件4）</w:t>
      </w:r>
      <w:bookmarkEnd w:id="84"/>
    </w:p>
    <w:p w14:paraId="760ADA2E">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85" w:name="_Toc25873_WPSOffice_Level3"/>
      <w:r>
        <w:rPr>
          <w:rFonts w:hint="eastAsia" w:ascii="宋体" w:hAnsi="宋体" w:eastAsia="宋体" w:cs="宋体"/>
          <w:color w:val="auto"/>
          <w:kern w:val="2"/>
          <w:sz w:val="24"/>
          <w:szCs w:val="24"/>
          <w:highlight w:val="none"/>
          <w:lang w:val="zh-CN" w:eastAsia="zh-CN" w:bidi="ar-SA"/>
        </w:rPr>
        <w:t>5、供应商诚信承诺书（见附件5）</w:t>
      </w:r>
      <w:bookmarkEnd w:id="85"/>
    </w:p>
    <w:p w14:paraId="13B868B4">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86" w:name="_Toc31370_WPSOffice_Level3"/>
      <w:r>
        <w:rPr>
          <w:rFonts w:hint="eastAsia" w:ascii="宋体" w:hAnsi="宋体" w:eastAsia="宋体" w:cs="宋体"/>
          <w:color w:val="auto"/>
          <w:kern w:val="2"/>
          <w:sz w:val="24"/>
          <w:szCs w:val="24"/>
          <w:highlight w:val="none"/>
          <w:lang w:val="zh-CN" w:eastAsia="zh-CN" w:bidi="ar-SA"/>
        </w:rPr>
        <w:t>6、供应商资格证明文件（见附件6）</w:t>
      </w:r>
      <w:bookmarkEnd w:id="86"/>
    </w:p>
    <w:p w14:paraId="2C1BB7F3">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87" w:name="_Toc10045_WPSOffice_Level3"/>
      <w:r>
        <w:rPr>
          <w:rFonts w:hint="eastAsia" w:ascii="宋体" w:hAnsi="宋体" w:eastAsia="宋体" w:cs="宋体"/>
          <w:color w:val="auto"/>
          <w:kern w:val="2"/>
          <w:sz w:val="24"/>
          <w:szCs w:val="24"/>
          <w:highlight w:val="none"/>
          <w:lang w:val="zh-CN" w:eastAsia="zh-CN" w:bidi="ar-SA"/>
        </w:rPr>
        <w:t>7、财务状况、缴纳税收和社会保障资金证明（见附件7）</w:t>
      </w:r>
      <w:bookmarkEnd w:id="87"/>
    </w:p>
    <w:p w14:paraId="0567F659">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88" w:name="_Toc12223_WPSOffice_Level3"/>
      <w:r>
        <w:rPr>
          <w:rFonts w:hint="eastAsia" w:ascii="宋体" w:hAnsi="宋体" w:eastAsia="宋体" w:cs="宋体"/>
          <w:color w:val="auto"/>
          <w:kern w:val="2"/>
          <w:sz w:val="24"/>
          <w:szCs w:val="24"/>
          <w:highlight w:val="none"/>
          <w:lang w:val="zh-CN" w:eastAsia="zh-CN" w:bidi="ar-SA"/>
        </w:rPr>
        <w:t>8、无重大违法记录声明（见附件</w:t>
      </w: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zh-CN" w:eastAsia="zh-CN" w:bidi="ar-SA"/>
        </w:rPr>
        <w:t>）</w:t>
      </w:r>
      <w:bookmarkEnd w:id="88"/>
    </w:p>
    <w:p w14:paraId="2607E911">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en-US" w:eastAsia="zh-CN" w:bidi="ar-SA"/>
        </w:rPr>
      </w:pPr>
      <w:bookmarkStart w:id="89" w:name="_Toc10394_WPSOffice_Level3"/>
      <w:r>
        <w:rPr>
          <w:rFonts w:hint="eastAsia" w:ascii="宋体" w:hAnsi="宋体" w:eastAsia="宋体" w:cs="宋体"/>
          <w:color w:val="auto"/>
          <w:kern w:val="2"/>
          <w:sz w:val="24"/>
          <w:szCs w:val="24"/>
          <w:highlight w:val="none"/>
          <w:lang w:val="en-US" w:eastAsia="zh-CN" w:bidi="ar-SA"/>
        </w:rPr>
        <w:t>9、谈判保证金证明（见附件9）</w:t>
      </w:r>
      <w:bookmarkEnd w:id="89"/>
    </w:p>
    <w:p w14:paraId="74F6816E">
      <w:pPr>
        <w:widowControl w:val="0"/>
        <w:wordWrap/>
        <w:adjustRightInd w:val="0"/>
        <w:snapToGrid w:val="0"/>
        <w:spacing w:line="560" w:lineRule="exact"/>
        <w:jc w:val="left"/>
        <w:textAlignment w:val="auto"/>
        <w:outlineLvl w:val="9"/>
        <w:rPr>
          <w:rFonts w:hint="eastAsia" w:ascii="宋体" w:hAnsi="宋体" w:eastAsia="宋体" w:cs="宋体"/>
          <w:b/>
          <w:bCs/>
          <w:color w:val="auto"/>
          <w:kern w:val="2"/>
          <w:sz w:val="24"/>
          <w:szCs w:val="24"/>
          <w:highlight w:val="none"/>
          <w:lang w:val="zh-CN" w:eastAsia="zh-CN" w:bidi="ar-SA"/>
        </w:rPr>
      </w:pPr>
      <w:bookmarkStart w:id="90" w:name="_Toc3154_WPSOffice_Level2"/>
      <w:bookmarkStart w:id="91" w:name="_Toc18301_WPSOffice_Level3"/>
      <w:bookmarkStart w:id="92" w:name="_Toc21135"/>
      <w:bookmarkStart w:id="93" w:name="_Toc4501"/>
      <w:r>
        <w:rPr>
          <w:rFonts w:hint="eastAsia" w:ascii="宋体" w:hAnsi="宋体" w:eastAsia="宋体" w:cs="宋体"/>
          <w:b/>
          <w:bCs/>
          <w:color w:val="auto"/>
          <w:kern w:val="2"/>
          <w:sz w:val="24"/>
          <w:szCs w:val="24"/>
          <w:highlight w:val="none"/>
          <w:lang w:val="zh-CN" w:eastAsia="zh-CN" w:bidi="ar-SA"/>
        </w:rPr>
        <w:t>（二）有效性、完整性、响应程度审查部分</w:t>
      </w:r>
      <w:bookmarkEnd w:id="90"/>
      <w:bookmarkEnd w:id="91"/>
      <w:bookmarkEnd w:id="92"/>
      <w:bookmarkEnd w:id="93"/>
    </w:p>
    <w:p w14:paraId="02367802">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94" w:name="_Toc9730_WPSOffice_Level3"/>
      <w:r>
        <w:rPr>
          <w:rFonts w:hint="eastAsia" w:ascii="宋体" w:hAnsi="宋体" w:eastAsia="宋体" w:cs="宋体"/>
          <w:color w:val="auto"/>
          <w:kern w:val="2"/>
          <w:sz w:val="24"/>
          <w:szCs w:val="24"/>
          <w:highlight w:val="none"/>
          <w:lang w:val="zh-CN" w:eastAsia="zh-CN" w:bidi="ar-SA"/>
        </w:rPr>
        <w:t>1、谈判首次报价表（见附件</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eastAsia="zh-CN" w:bidi="ar-SA"/>
        </w:rPr>
        <w:t>）</w:t>
      </w:r>
      <w:bookmarkEnd w:id="94"/>
    </w:p>
    <w:p w14:paraId="7E9D9D30">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95" w:name="_Toc15196_WPSOffice_Level3"/>
      <w:r>
        <w:rPr>
          <w:rFonts w:hint="eastAsia" w:ascii="宋体" w:hAnsi="宋体" w:eastAsia="宋体" w:cs="宋体"/>
          <w:color w:val="auto"/>
          <w:kern w:val="2"/>
          <w:sz w:val="24"/>
          <w:szCs w:val="24"/>
          <w:highlight w:val="none"/>
          <w:lang w:val="zh-CN" w:eastAsia="zh-CN" w:bidi="ar-SA"/>
        </w:rPr>
        <w:t>2、分项报价表（见附件1</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w:t>
      </w:r>
      <w:bookmarkEnd w:id="95"/>
    </w:p>
    <w:p w14:paraId="0B336F00">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96" w:name="_Toc319_WPSOffice_Level3"/>
      <w:r>
        <w:rPr>
          <w:rFonts w:hint="eastAsia" w:ascii="宋体" w:hAnsi="宋体" w:eastAsia="宋体" w:cs="宋体"/>
          <w:color w:val="auto"/>
          <w:kern w:val="2"/>
          <w:sz w:val="24"/>
          <w:szCs w:val="24"/>
          <w:highlight w:val="none"/>
          <w:lang w:val="zh-CN" w:eastAsia="zh-CN" w:bidi="ar-SA"/>
        </w:rPr>
        <w:t>3、技术规格响应表（见附件1</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bookmarkEnd w:id="96"/>
    </w:p>
    <w:p w14:paraId="018F581B">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97" w:name="_Toc22060_WPSOffice_Level3"/>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、产品相关资料（具备履行合同所必须的设备和专业技术能力证明）（附件1</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w:t>
      </w:r>
    </w:p>
    <w:bookmarkEnd w:id="97"/>
    <w:p w14:paraId="34F39205">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98" w:name="_Toc1748_WPSOffice_Level3"/>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享受政府采购政策优惠的证明资料（见附件</w:t>
      </w: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zh-CN" w:eastAsia="zh-CN" w:bidi="ar-SA"/>
        </w:rPr>
        <w:t>）</w:t>
      </w:r>
      <w:bookmarkEnd w:id="98"/>
    </w:p>
    <w:p w14:paraId="2095ECE2">
      <w:pPr>
        <w:widowControl w:val="0"/>
        <w:wordWrap/>
        <w:adjustRightInd w:val="0"/>
        <w:snapToGrid w:val="0"/>
        <w:spacing w:line="560" w:lineRule="exact"/>
        <w:jc w:val="left"/>
        <w:textAlignment w:val="auto"/>
        <w:rPr>
          <w:rFonts w:hint="eastAsia" w:ascii="宋体" w:hAnsi="宋体" w:eastAsia="宋体" w:cs="宋体"/>
          <w:color w:val="auto"/>
          <w:kern w:val="2"/>
          <w:sz w:val="24"/>
          <w:szCs w:val="24"/>
          <w:highlight w:val="none"/>
          <w:lang w:val="zh-CN" w:eastAsia="zh-CN" w:bidi="ar-SA"/>
        </w:rPr>
      </w:pPr>
      <w:bookmarkStart w:id="99" w:name="_Toc16307_WPSOffice_Level3"/>
      <w:bookmarkStart w:id="100" w:name="_Toc5088_WPSOffice_Level3"/>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、供应商认为在其他方面有必要说明的事项（格式自定）</w:t>
      </w:r>
      <w:bookmarkEnd w:id="99"/>
    </w:p>
    <w:bookmarkEnd w:id="100"/>
    <w:p w14:paraId="2EFC3C87">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14:paraId="5E567023">
      <w:pPr>
        <w:adjustRightInd w:val="0"/>
        <w:snapToGrid w:val="0"/>
        <w:spacing w:line="560" w:lineRule="exact"/>
        <w:jc w:val="center"/>
        <w:outlineLvl w:val="1"/>
        <w:rPr>
          <w:rFonts w:hint="eastAsia" w:asciiTheme="minorEastAsia" w:hAnsiTheme="minorEastAsia" w:eastAsiaTheme="minorEastAsia" w:cstheme="minorEastAsia"/>
          <w:b/>
          <w:bCs/>
          <w:color w:val="auto"/>
          <w:sz w:val="32"/>
          <w:szCs w:val="32"/>
          <w:highlight w:val="none"/>
        </w:rPr>
      </w:pPr>
      <w:bookmarkStart w:id="101" w:name="_Toc938"/>
      <w:bookmarkStart w:id="102" w:name="_Toc1684_WPSOffice_Level2"/>
      <w:bookmarkStart w:id="103" w:name="_Toc5252_WPSOffice_Level2"/>
      <w:bookmarkStart w:id="104" w:name="_Toc11918"/>
      <w:bookmarkStart w:id="105" w:name="_Toc14930_WPSOffice_Level2"/>
      <w:r>
        <w:rPr>
          <w:rFonts w:hint="eastAsia" w:asciiTheme="minorEastAsia" w:hAnsiTheme="minorEastAsia" w:eastAsiaTheme="minorEastAsia" w:cstheme="minorEastAsia"/>
          <w:b/>
          <w:bCs/>
          <w:color w:val="auto"/>
          <w:sz w:val="32"/>
          <w:szCs w:val="32"/>
          <w:highlight w:val="none"/>
        </w:rPr>
        <w:t>十三、谈判响应文件</w:t>
      </w:r>
      <w:bookmarkEnd w:id="101"/>
      <w:bookmarkEnd w:id="102"/>
      <w:bookmarkEnd w:id="103"/>
      <w:bookmarkEnd w:id="104"/>
      <w:bookmarkEnd w:id="105"/>
    </w:p>
    <w:p w14:paraId="117C1213">
      <w:pPr>
        <w:spacing w:beforeLines="50" w:line="560" w:lineRule="exact"/>
        <w:ind w:firstLine="964" w:firstLineChars="400"/>
        <w:rPr>
          <w:rFonts w:hint="eastAsia" w:asciiTheme="minorEastAsia" w:hAnsiTheme="minorEastAsia" w:eastAsiaTheme="minorEastAsia" w:cstheme="minorEastAsia"/>
          <w:b/>
          <w:color w:val="auto"/>
          <w:sz w:val="24"/>
          <w:szCs w:val="24"/>
          <w:highlight w:val="none"/>
        </w:rPr>
      </w:pPr>
      <w:bookmarkStart w:id="106" w:name="_Toc28269_WPSOffice_Level3"/>
    </w:p>
    <w:p w14:paraId="3C2CDC31">
      <w:pPr>
        <w:pStyle w:val="36"/>
        <w:rPr>
          <w:rFonts w:hint="eastAsia" w:asciiTheme="minorEastAsia" w:hAnsiTheme="minorEastAsia" w:eastAsiaTheme="minorEastAsia" w:cstheme="minorEastAsia"/>
          <w:b/>
          <w:color w:val="auto"/>
          <w:sz w:val="24"/>
          <w:szCs w:val="24"/>
          <w:highlight w:val="none"/>
        </w:rPr>
      </w:pPr>
    </w:p>
    <w:p w14:paraId="28DC6F87">
      <w:pPr>
        <w:pStyle w:val="36"/>
        <w:rPr>
          <w:rFonts w:hint="eastAsia" w:asciiTheme="minorEastAsia" w:hAnsiTheme="minorEastAsia" w:eastAsiaTheme="minorEastAsia" w:cstheme="minorEastAsia"/>
          <w:b/>
          <w:color w:val="auto"/>
          <w:sz w:val="24"/>
          <w:szCs w:val="24"/>
          <w:highlight w:val="none"/>
        </w:rPr>
      </w:pPr>
    </w:p>
    <w:p w14:paraId="284368C5">
      <w:pPr>
        <w:pStyle w:val="36"/>
        <w:rPr>
          <w:rFonts w:hint="eastAsia" w:asciiTheme="minorEastAsia" w:hAnsiTheme="minorEastAsia" w:eastAsiaTheme="minorEastAsia" w:cstheme="minorEastAsia"/>
          <w:b/>
          <w:color w:val="auto"/>
          <w:sz w:val="24"/>
          <w:szCs w:val="24"/>
          <w:highlight w:val="none"/>
        </w:rPr>
      </w:pPr>
    </w:p>
    <w:p w14:paraId="6A319B97">
      <w:pPr>
        <w:pStyle w:val="36"/>
        <w:ind w:left="0" w:leftChars="0" w:firstLine="0" w:firstLineChars="0"/>
        <w:rPr>
          <w:rFonts w:hint="eastAsia" w:asciiTheme="minorEastAsia" w:hAnsiTheme="minorEastAsia" w:eastAsiaTheme="minorEastAsia" w:cstheme="minorEastAsia"/>
          <w:b/>
          <w:color w:val="auto"/>
          <w:sz w:val="24"/>
          <w:szCs w:val="24"/>
          <w:highlight w:val="none"/>
        </w:rPr>
      </w:pPr>
    </w:p>
    <w:p w14:paraId="421CD88F">
      <w:pPr>
        <w:pStyle w:val="36"/>
        <w:rPr>
          <w:rFonts w:hint="eastAsia" w:asciiTheme="minorEastAsia" w:hAnsiTheme="minorEastAsia" w:eastAsiaTheme="minorEastAsia" w:cstheme="minorEastAsia"/>
          <w:b/>
          <w:color w:val="auto"/>
          <w:sz w:val="24"/>
          <w:szCs w:val="24"/>
          <w:highlight w:val="none"/>
        </w:rPr>
      </w:pPr>
    </w:p>
    <w:p w14:paraId="60E9CA85">
      <w:pPr>
        <w:spacing w:beforeLines="50" w:line="560" w:lineRule="exact"/>
        <w:jc w:val="center"/>
        <w:rPr>
          <w:rFonts w:hint="eastAsia" w:asciiTheme="minorEastAsia" w:hAnsiTheme="minorEastAsia" w:eastAsiaTheme="minorEastAsia" w:cstheme="minorEastAsia"/>
          <w:b/>
          <w:color w:val="auto"/>
          <w:sz w:val="52"/>
          <w:szCs w:val="52"/>
          <w:highlight w:val="none"/>
        </w:rPr>
      </w:pPr>
      <w:bookmarkStart w:id="107" w:name="_Toc10997_WPSOffice_Level2"/>
      <w:bookmarkStart w:id="108" w:name="_Toc31682_WPSOffice_Level2"/>
      <w:r>
        <w:rPr>
          <w:rFonts w:hint="eastAsia" w:asciiTheme="minorEastAsia" w:hAnsiTheme="minorEastAsia" w:eastAsiaTheme="minorEastAsia" w:cstheme="minorEastAsia"/>
          <w:b/>
          <w:color w:val="auto"/>
          <w:sz w:val="52"/>
          <w:szCs w:val="52"/>
          <w:highlight w:val="none"/>
        </w:rPr>
        <w:t>青海省政府采购项目</w:t>
      </w:r>
      <w:bookmarkEnd w:id="106"/>
      <w:bookmarkEnd w:id="107"/>
      <w:bookmarkEnd w:id="108"/>
      <w:bookmarkStart w:id="109" w:name="_Toc23622_WPSOffice_Level2"/>
      <w:bookmarkStart w:id="110" w:name="_Toc25378_WPSOffice_Level2"/>
    </w:p>
    <w:p w14:paraId="681D4A18">
      <w:pPr>
        <w:spacing w:beforeLines="50" w:line="560" w:lineRule="exact"/>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谈判响应文件</w:t>
      </w:r>
      <w:bookmarkEnd w:id="109"/>
      <w:bookmarkEnd w:id="110"/>
    </w:p>
    <w:p w14:paraId="5C500DD5">
      <w:pPr>
        <w:adjustRightInd w:val="0"/>
        <w:spacing w:beforeLines="50" w:line="560" w:lineRule="exact"/>
        <w:jc w:val="center"/>
        <w:textAlignment w:val="baseline"/>
        <w:rPr>
          <w:rFonts w:hint="eastAsia" w:asciiTheme="minorEastAsia" w:hAnsiTheme="minorEastAsia" w:eastAsiaTheme="minorEastAsia" w:cstheme="minorEastAsia"/>
          <w:b/>
          <w:bCs/>
          <w:color w:val="auto"/>
          <w:sz w:val="32"/>
          <w:szCs w:val="32"/>
          <w:highlight w:val="none"/>
        </w:rPr>
      </w:pPr>
      <w:bookmarkStart w:id="111" w:name="_Toc13231_WPSOffice_Level2"/>
      <w:bookmarkStart w:id="112" w:name="_Toc28825_WPSOffice_Level2"/>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color w:val="auto"/>
          <w:sz w:val="32"/>
          <w:szCs w:val="32"/>
          <w:highlight w:val="none"/>
        </w:rPr>
        <w:t>资格审查部分</w:t>
      </w:r>
      <w:r>
        <w:rPr>
          <w:rFonts w:hint="eastAsia" w:asciiTheme="minorEastAsia" w:hAnsiTheme="minorEastAsia" w:eastAsiaTheme="minorEastAsia" w:cstheme="minorEastAsia"/>
          <w:b/>
          <w:bCs/>
          <w:color w:val="auto"/>
          <w:sz w:val="32"/>
          <w:szCs w:val="32"/>
          <w:highlight w:val="none"/>
        </w:rPr>
        <w:t>）</w:t>
      </w:r>
      <w:bookmarkEnd w:id="111"/>
      <w:bookmarkEnd w:id="112"/>
    </w:p>
    <w:p w14:paraId="46B42919">
      <w:pPr>
        <w:adjustRightInd w:val="0"/>
        <w:spacing w:beforeLines="50" w:line="560" w:lineRule="exact"/>
        <w:textAlignment w:val="baseline"/>
        <w:rPr>
          <w:rFonts w:hint="eastAsia" w:asciiTheme="minorEastAsia" w:hAnsiTheme="minorEastAsia" w:eastAsiaTheme="minorEastAsia" w:cstheme="minorEastAsia"/>
          <w:b/>
          <w:bCs/>
          <w:color w:val="auto"/>
          <w:sz w:val="24"/>
          <w:szCs w:val="24"/>
          <w:highlight w:val="none"/>
        </w:rPr>
      </w:pPr>
    </w:p>
    <w:p w14:paraId="64451362">
      <w:pPr>
        <w:adjustRightInd w:val="0"/>
        <w:spacing w:beforeLines="50" w:line="560" w:lineRule="exact"/>
        <w:textAlignment w:val="baseline"/>
        <w:rPr>
          <w:rFonts w:hint="eastAsia" w:asciiTheme="minorEastAsia" w:hAnsiTheme="minorEastAsia" w:eastAsiaTheme="minorEastAsia" w:cstheme="minorEastAsia"/>
          <w:b/>
          <w:bCs/>
          <w:color w:val="auto"/>
          <w:sz w:val="24"/>
          <w:szCs w:val="24"/>
          <w:highlight w:val="none"/>
        </w:rPr>
      </w:pPr>
    </w:p>
    <w:p w14:paraId="740AD9B9">
      <w:pPr>
        <w:adjustRightInd w:val="0"/>
        <w:spacing w:beforeLines="50" w:line="560" w:lineRule="exact"/>
        <w:textAlignment w:val="baseline"/>
        <w:rPr>
          <w:rFonts w:hint="eastAsia" w:asciiTheme="minorEastAsia" w:hAnsiTheme="minorEastAsia" w:eastAsiaTheme="minorEastAsia" w:cstheme="minorEastAsia"/>
          <w:b/>
          <w:bCs/>
          <w:color w:val="auto"/>
          <w:sz w:val="28"/>
          <w:szCs w:val="28"/>
          <w:highlight w:val="none"/>
        </w:rPr>
      </w:pPr>
      <w:bookmarkStart w:id="113" w:name="_Toc29803_WPSOffice_Level2"/>
      <w:bookmarkStart w:id="114" w:name="_Toc19521_WPSOffice_Level2"/>
      <w:r>
        <w:rPr>
          <w:rFonts w:hint="eastAsia" w:asciiTheme="minorEastAsia" w:hAnsiTheme="minorEastAsia" w:eastAsiaTheme="minorEastAsia" w:cstheme="minorEastAsia"/>
          <w:b/>
          <w:bCs/>
          <w:color w:val="auto"/>
          <w:sz w:val="28"/>
          <w:szCs w:val="28"/>
          <w:highlight w:val="none"/>
        </w:rPr>
        <w:t>采购项目编号:</w:t>
      </w:r>
      <w:bookmarkEnd w:id="113"/>
      <w:bookmarkEnd w:id="114"/>
    </w:p>
    <w:p w14:paraId="6D965499">
      <w:pPr>
        <w:spacing w:beforeLines="50" w:line="560" w:lineRule="exact"/>
        <w:ind w:left="2249" w:hanging="1968" w:hangingChars="700"/>
        <w:jc w:val="left"/>
        <w:rPr>
          <w:rFonts w:hint="eastAsia" w:asciiTheme="minorEastAsia" w:hAnsiTheme="minorEastAsia" w:eastAsiaTheme="minorEastAsia" w:cstheme="minorEastAsia"/>
          <w:b/>
          <w:bCs/>
          <w:color w:val="auto"/>
          <w:sz w:val="28"/>
          <w:szCs w:val="28"/>
          <w:highlight w:val="none"/>
        </w:rPr>
      </w:pPr>
      <w:bookmarkStart w:id="115" w:name="_Toc14786_WPSOffice_Level2"/>
      <w:bookmarkStart w:id="116" w:name="_Toc18713_WPSOffice_Level2"/>
      <w:r>
        <w:rPr>
          <w:rFonts w:hint="eastAsia" w:asciiTheme="minorEastAsia" w:hAnsiTheme="minorEastAsia" w:eastAsiaTheme="minorEastAsia" w:cstheme="minorEastAsia"/>
          <w:b/>
          <w:bCs/>
          <w:color w:val="auto"/>
          <w:sz w:val="28"/>
          <w:szCs w:val="28"/>
          <w:highlight w:val="none"/>
        </w:rPr>
        <w:t>采购项目名称:</w:t>
      </w:r>
      <w:bookmarkEnd w:id="115"/>
      <w:bookmarkEnd w:id="116"/>
      <w:r>
        <w:rPr>
          <w:rFonts w:hint="eastAsia" w:asciiTheme="minorEastAsia" w:hAnsiTheme="minorEastAsia" w:eastAsiaTheme="minorEastAsia" w:cstheme="minorEastAsia"/>
          <w:b/>
          <w:bCs/>
          <w:color w:val="auto"/>
          <w:sz w:val="28"/>
          <w:szCs w:val="28"/>
          <w:highlight w:val="none"/>
        </w:rPr>
        <w:t xml:space="preserve"> </w:t>
      </w:r>
    </w:p>
    <w:p w14:paraId="2DCECC89">
      <w:pPr>
        <w:spacing w:beforeLines="50" w:line="560" w:lineRule="exact"/>
        <w:ind w:left="2249" w:hanging="1968" w:hangingChars="700"/>
        <w:jc w:val="left"/>
        <w:rPr>
          <w:rFonts w:hint="eastAsia" w:asciiTheme="minorEastAsia" w:hAnsiTheme="minorEastAsia" w:eastAsiaTheme="minorEastAsia" w:cstheme="minorEastAsia"/>
          <w:b/>
          <w:bCs/>
          <w:color w:val="auto"/>
          <w:sz w:val="28"/>
          <w:szCs w:val="28"/>
          <w:highlight w:val="none"/>
        </w:rPr>
      </w:pPr>
      <w:bookmarkStart w:id="117" w:name="_Toc22044_WPSOffice_Level2"/>
      <w:bookmarkStart w:id="118" w:name="_Toc14087_WPSOffice_Level2"/>
      <w:r>
        <w:rPr>
          <w:rFonts w:hint="eastAsia" w:asciiTheme="minorEastAsia" w:hAnsiTheme="minorEastAsia" w:eastAsiaTheme="minorEastAsia" w:cstheme="minorEastAsia"/>
          <w:b/>
          <w:bCs/>
          <w:color w:val="auto"/>
          <w:sz w:val="28"/>
          <w:szCs w:val="28"/>
          <w:highlight w:val="none"/>
        </w:rPr>
        <w:t>供应商名称：</w:t>
      </w:r>
      <w:bookmarkEnd w:id="117"/>
      <w:bookmarkEnd w:id="118"/>
    </w:p>
    <w:p w14:paraId="021C17D1">
      <w:pPr>
        <w:spacing w:beforeLines="50" w:line="560" w:lineRule="exact"/>
        <w:jc w:val="center"/>
        <w:rPr>
          <w:rFonts w:hint="eastAsia" w:asciiTheme="minorEastAsia" w:hAnsiTheme="minorEastAsia" w:eastAsiaTheme="minorEastAsia" w:cstheme="minorEastAsia"/>
          <w:b/>
          <w:bCs/>
          <w:color w:val="auto"/>
          <w:sz w:val="28"/>
          <w:szCs w:val="28"/>
          <w:highlight w:val="none"/>
        </w:rPr>
      </w:pPr>
    </w:p>
    <w:p w14:paraId="7E78EB8D">
      <w:pPr>
        <w:spacing w:beforeLines="50" w:line="560" w:lineRule="exact"/>
        <w:jc w:val="center"/>
        <w:rPr>
          <w:rFonts w:hint="eastAsia" w:asciiTheme="minorEastAsia" w:hAnsiTheme="minorEastAsia" w:eastAsiaTheme="minorEastAsia" w:cstheme="minorEastAsia"/>
          <w:b/>
          <w:color w:val="auto"/>
          <w:sz w:val="28"/>
          <w:szCs w:val="28"/>
          <w:highlight w:val="none"/>
        </w:rPr>
      </w:pPr>
      <w:bookmarkStart w:id="119" w:name="_Toc1142_WPSOffice_Level3"/>
      <w:r>
        <w:rPr>
          <w:rFonts w:hint="eastAsia" w:asciiTheme="minorEastAsia" w:hAnsiTheme="minorEastAsia" w:eastAsiaTheme="minorEastAsia" w:cstheme="minorEastAsia"/>
          <w:b/>
          <w:color w:val="auto"/>
          <w:sz w:val="28"/>
          <w:szCs w:val="28"/>
          <w:highlight w:val="none"/>
        </w:rPr>
        <w:t>年  月  日</w:t>
      </w:r>
      <w:bookmarkEnd w:id="119"/>
    </w:p>
    <w:p w14:paraId="0C6C3909">
      <w:pPr>
        <w:widowControl/>
        <w:wordWrap/>
        <w:snapToGrid w:val="0"/>
        <w:spacing w:before="157" w:beforeLines="50" w:line="560" w:lineRule="exact"/>
        <w:jc w:val="left"/>
        <w:outlineLvl w:val="9"/>
        <w:rPr>
          <w:rFonts w:hint="eastAsia" w:ascii="宋体" w:hAnsi="宋体" w:eastAsia="宋体" w:cs="宋体"/>
          <w:b/>
          <w:color w:val="auto"/>
          <w:sz w:val="24"/>
          <w:szCs w:val="24"/>
          <w:highlight w:val="none"/>
          <w:lang w:eastAsia="zh-CN"/>
        </w:rPr>
      </w:pPr>
    </w:p>
    <w:p w14:paraId="7F63986B">
      <w:pPr>
        <w:pStyle w:val="15"/>
        <w:rPr>
          <w:rFonts w:hint="eastAsia" w:ascii="宋体" w:hAnsi="宋体" w:eastAsia="宋体" w:cs="宋体"/>
          <w:b/>
          <w:color w:val="auto"/>
          <w:sz w:val="24"/>
          <w:szCs w:val="24"/>
          <w:highlight w:val="none"/>
          <w:lang w:eastAsia="zh-CN"/>
        </w:rPr>
      </w:pPr>
    </w:p>
    <w:p w14:paraId="5092CABD">
      <w:pPr>
        <w:rPr>
          <w:rFonts w:hint="eastAsia"/>
          <w:color w:val="auto"/>
          <w:highlight w:val="none"/>
          <w:lang w:eastAsia="zh-CN"/>
        </w:rPr>
      </w:pPr>
    </w:p>
    <w:p w14:paraId="13E0BF00">
      <w:pPr>
        <w:widowControl/>
        <w:wordWrap/>
        <w:snapToGrid w:val="0"/>
        <w:spacing w:before="157" w:beforeLines="50" w:line="560" w:lineRule="exact"/>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附件1：响应函</w:t>
      </w:r>
      <w:bookmarkEnd w:id="66"/>
      <w:bookmarkEnd w:id="67"/>
      <w:bookmarkEnd w:id="68"/>
      <w:bookmarkEnd w:id="69"/>
      <w:bookmarkEnd w:id="70"/>
    </w:p>
    <w:p w14:paraId="4C36A456">
      <w:pPr>
        <w:widowControl w:val="0"/>
        <w:wordWrap/>
        <w:spacing w:before="157" w:beforeLines="50" w:line="560" w:lineRule="exact"/>
        <w:jc w:val="center"/>
        <w:textAlignment w:val="auto"/>
        <w:outlineLvl w:val="9"/>
        <w:rPr>
          <w:rFonts w:hint="eastAsia" w:ascii="宋体" w:hAnsi="宋体" w:eastAsia="宋体" w:cs="宋体"/>
          <w:b/>
          <w:color w:val="auto"/>
          <w:sz w:val="24"/>
          <w:szCs w:val="24"/>
          <w:highlight w:val="none"/>
        </w:rPr>
      </w:pPr>
      <w:bookmarkStart w:id="120" w:name="_Toc22598_WPSOffice_Level2"/>
      <w:bookmarkStart w:id="121" w:name="_Toc24288_WPSOffice_Level2"/>
      <w:r>
        <w:rPr>
          <w:rFonts w:hint="eastAsia" w:ascii="宋体" w:hAnsi="宋体" w:eastAsia="宋体" w:cs="宋体"/>
          <w:b/>
          <w:color w:val="auto"/>
          <w:sz w:val="24"/>
          <w:szCs w:val="24"/>
          <w:highlight w:val="none"/>
          <w:lang w:eastAsia="zh-CN"/>
        </w:rPr>
        <w:t>响</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应</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函</w:t>
      </w:r>
      <w:bookmarkEnd w:id="120"/>
      <w:bookmarkEnd w:id="121"/>
    </w:p>
    <w:p w14:paraId="49E01B59">
      <w:pPr>
        <w:widowControl w:val="0"/>
        <w:wordWrap/>
        <w:adjustRightInd w:val="0"/>
        <w:snapToGrid w:val="0"/>
        <w:spacing w:line="560" w:lineRule="exact"/>
        <w:ind w:firstLine="480" w:firstLineChars="200"/>
        <w:textAlignment w:val="auto"/>
        <w:outlineLvl w:val="9"/>
        <w:rPr>
          <w:rFonts w:hint="eastAsia" w:ascii="宋体" w:hAnsi="宋体" w:eastAsia="宋体" w:cs="宋体"/>
          <w:b w:val="0"/>
          <w:bCs w:val="0"/>
          <w:color w:val="auto"/>
          <w:sz w:val="24"/>
          <w:szCs w:val="24"/>
          <w:highlight w:val="none"/>
        </w:rPr>
      </w:pPr>
      <w:bookmarkStart w:id="122" w:name="_Toc16867_WPSOffice_Level2"/>
      <w:r>
        <w:rPr>
          <w:rFonts w:hint="eastAsia" w:ascii="宋体" w:hAnsi="宋体" w:eastAsia="宋体" w:cs="宋体"/>
          <w:b w:val="0"/>
          <w:bCs w:val="0"/>
          <w:color w:val="auto"/>
          <w:sz w:val="24"/>
          <w:szCs w:val="24"/>
          <w:highlight w:val="none"/>
        </w:rPr>
        <w:t>致：</w:t>
      </w:r>
      <w:r>
        <w:rPr>
          <w:rFonts w:hint="eastAsia" w:ascii="宋体" w:hAnsi="宋体" w:eastAsia="宋体" w:cs="宋体"/>
          <w:b w:val="0"/>
          <w:bCs w:val="0"/>
          <w:color w:val="auto"/>
          <w:sz w:val="24"/>
          <w:szCs w:val="24"/>
          <w:highlight w:val="none"/>
          <w:u w:val="single"/>
          <w:lang w:eastAsia="zh-CN"/>
        </w:rPr>
        <w:t>（代理机构名称）</w:t>
      </w:r>
      <w:bookmarkEnd w:id="122"/>
    </w:p>
    <w:p w14:paraId="7DD06481">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我们收到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（项目名称及编号）</w:t>
      </w:r>
      <w:r>
        <w:rPr>
          <w:rFonts w:hint="eastAsia" w:ascii="宋体" w:hAnsi="宋体" w:eastAsia="宋体" w:cs="宋体"/>
          <w:color w:val="auto"/>
          <w:sz w:val="24"/>
          <w:szCs w:val="24"/>
          <w:highlight w:val="none"/>
        </w:rPr>
        <w:t xml:space="preserve">谈判文件，经研究，法定代表人（姓名、职务）正式授权（委托代理人姓名、职务）代表供应商（供应商名称、地址）提交谈判响应文件。    </w:t>
      </w:r>
    </w:p>
    <w:p w14:paraId="12C3B858">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05F71092">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1、我方已详阅谈判文件的全部内容，包括澄清、修改条款等有关附件，承诺对其完全理解并接受。</w:t>
      </w:r>
    </w:p>
    <w:p w14:paraId="5FBCB8F6">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有效期自开标之日起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日历日内有效</w:t>
      </w:r>
      <w:r>
        <w:rPr>
          <w:rFonts w:hint="eastAsia" w:ascii="宋体" w:hAnsi="宋体" w:eastAsia="宋体" w:cs="宋体"/>
          <w:color w:val="auto"/>
          <w:sz w:val="24"/>
          <w:szCs w:val="24"/>
          <w:highlight w:val="none"/>
          <w:lang w:eastAsia="zh-CN"/>
        </w:rPr>
        <w:t>。若在响应文件发出后，</w:t>
      </w:r>
      <w:r>
        <w:rPr>
          <w:rFonts w:hint="eastAsia" w:ascii="宋体" w:hAnsi="宋体" w:eastAsia="宋体" w:cs="宋体"/>
          <w:color w:val="auto"/>
          <w:sz w:val="24"/>
          <w:szCs w:val="24"/>
          <w:highlight w:val="none"/>
        </w:rPr>
        <w:t>我方在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有效期内撤回或成交后不签约的，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保证金将被贵方没收。</w:t>
      </w:r>
    </w:p>
    <w:p w14:paraId="5BD8CC78">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3、我方同意按照贵方要求提供与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有关的一切数据或资料，理解并接受贵方制定的评标办法。</w:t>
      </w:r>
    </w:p>
    <w:p w14:paraId="76354157">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w:t>
      </w:r>
      <w:r>
        <w:rPr>
          <w:rFonts w:hint="eastAsia" w:ascii="宋体" w:hAnsi="宋体" w:eastAsia="宋体" w:cs="宋体"/>
          <w:color w:val="auto"/>
          <w:sz w:val="24"/>
          <w:szCs w:val="24"/>
          <w:highlight w:val="none"/>
          <w:lang w:eastAsia="zh-CN"/>
        </w:rPr>
        <w:t>次竞争性谈判</w:t>
      </w:r>
      <w:r>
        <w:rPr>
          <w:rFonts w:hint="eastAsia" w:ascii="宋体" w:hAnsi="宋体" w:eastAsia="宋体" w:cs="宋体"/>
          <w:color w:val="auto"/>
          <w:sz w:val="24"/>
          <w:szCs w:val="24"/>
          <w:highlight w:val="none"/>
        </w:rPr>
        <w:t>有关的一切正式往来通讯请寄：</w:t>
      </w:r>
    </w:p>
    <w:p w14:paraId="0257A9B3">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   邮编：______________</w:t>
      </w:r>
    </w:p>
    <w:p w14:paraId="38037AF9">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电话：_______________   传真：______________</w:t>
      </w:r>
    </w:p>
    <w:p w14:paraId="06417BFD">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 ___________ 职务：_________</w:t>
      </w:r>
    </w:p>
    <w:p w14:paraId="43482CD4">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bookmarkStart w:id="123" w:name="_Toc1506_WPSOffice_Level3"/>
      <w:r>
        <w:rPr>
          <w:rFonts w:hint="eastAsia" w:ascii="宋体" w:hAnsi="宋体" w:eastAsia="宋体" w:cs="宋体"/>
          <w:b w:val="0"/>
          <w:bCs/>
          <w:color w:val="auto"/>
          <w:sz w:val="24"/>
          <w:szCs w:val="24"/>
          <w:highlight w:val="none"/>
          <w:lang w:val="en-US" w:eastAsia="zh-CN"/>
        </w:rPr>
        <w:t xml:space="preserve">               </w:t>
      </w:r>
      <w:bookmarkStart w:id="124" w:name="_Toc28112_WPSOffice_Level3"/>
      <w:r>
        <w:rPr>
          <w:rFonts w:hint="eastAsia" w:ascii="宋体" w:hAnsi="宋体" w:eastAsia="宋体" w:cs="宋体"/>
          <w:b w:val="0"/>
          <w:bCs/>
          <w:color w:val="auto"/>
          <w:sz w:val="24"/>
          <w:szCs w:val="24"/>
          <w:highlight w:val="none"/>
          <w:lang w:eastAsia="zh-CN"/>
        </w:rPr>
        <w:t>单</w:t>
      </w:r>
      <w:r>
        <w:rPr>
          <w:rFonts w:hint="eastAsia" w:ascii="宋体" w:hAnsi="宋体" w:eastAsia="宋体" w:cs="宋体"/>
          <w:b w:val="0"/>
          <w:bCs/>
          <w:color w:val="auto"/>
          <w:sz w:val="24"/>
          <w:szCs w:val="24"/>
          <w:highlight w:val="none"/>
        </w:rPr>
        <w:t>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123"/>
      <w:bookmarkEnd w:id="124"/>
    </w:p>
    <w:p w14:paraId="07F6283F">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125" w:name="_Toc28651_WPSOffice_Level3"/>
      <w:bookmarkStart w:id="126" w:name="_Toc6385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125"/>
      <w:bookmarkEnd w:id="126"/>
    </w:p>
    <w:p w14:paraId="6AD01BF7">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bookmarkStart w:id="127" w:name="_Toc130_WPSOffice_Level3"/>
      <w:bookmarkStart w:id="128" w:name="_Toc13325_WPSOffice_Level3"/>
      <w:r>
        <w:rPr>
          <w:rFonts w:hint="eastAsia" w:ascii="宋体" w:hAnsi="宋体" w:eastAsia="宋体" w:cs="宋体"/>
          <w:b w:val="0"/>
          <w:bCs/>
          <w:color w:val="auto"/>
          <w:sz w:val="24"/>
          <w:szCs w:val="24"/>
          <w:highlight w:val="none"/>
        </w:rPr>
        <w:t>年   月  日</w:t>
      </w:r>
      <w:bookmarkEnd w:id="127"/>
      <w:bookmarkEnd w:id="128"/>
    </w:p>
    <w:p w14:paraId="5CFC8020">
      <w:pPr>
        <w:rPr>
          <w:rFonts w:hint="eastAsia" w:ascii="宋体" w:hAnsi="宋体" w:eastAsia="宋体" w:cs="宋体"/>
          <w:b/>
          <w:color w:val="auto"/>
          <w:sz w:val="24"/>
          <w:szCs w:val="24"/>
          <w:highlight w:val="none"/>
          <w:lang w:eastAsia="zh-CN"/>
        </w:rPr>
      </w:pPr>
      <w:bookmarkStart w:id="129" w:name="_Toc9845"/>
      <w:bookmarkStart w:id="130" w:name="_Toc26257_WPSOffice_Level2"/>
      <w:bookmarkStart w:id="131" w:name="_Toc3082"/>
      <w:bookmarkStart w:id="132" w:name="_Toc16050"/>
      <w:bookmarkStart w:id="133" w:name="_Toc17887_WPSOffice_Level2"/>
      <w:bookmarkStart w:id="134" w:name="_Toc20882_WPSOffice_Level3"/>
      <w:bookmarkStart w:id="135" w:name="_Toc12487"/>
      <w:r>
        <w:rPr>
          <w:rFonts w:hint="eastAsia" w:ascii="宋体" w:hAnsi="宋体" w:eastAsia="宋体" w:cs="宋体"/>
          <w:b/>
          <w:color w:val="auto"/>
          <w:sz w:val="24"/>
          <w:szCs w:val="24"/>
          <w:highlight w:val="none"/>
          <w:lang w:eastAsia="zh-CN"/>
        </w:rPr>
        <w:br w:type="page"/>
      </w:r>
    </w:p>
    <w:p w14:paraId="6B3E70AA">
      <w:pPr>
        <w:widowControl/>
        <w:wordWrap/>
        <w:snapToGrid w:val="0"/>
        <w:spacing w:before="157" w:beforeLines="50" w:line="560" w:lineRule="exact"/>
        <w:jc w:val="left"/>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eastAsia="zh-CN"/>
        </w:rPr>
        <w:t>附件2：法定代表人证明书</w:t>
      </w:r>
      <w:bookmarkEnd w:id="129"/>
      <w:bookmarkEnd w:id="130"/>
      <w:bookmarkEnd w:id="131"/>
      <w:bookmarkEnd w:id="132"/>
      <w:bookmarkEnd w:id="133"/>
      <w:bookmarkEnd w:id="134"/>
      <w:bookmarkEnd w:id="135"/>
    </w:p>
    <w:p w14:paraId="33D38440">
      <w:pPr>
        <w:widowControl w:val="0"/>
        <w:wordWrap/>
        <w:spacing w:before="157" w:beforeLines="50" w:line="560" w:lineRule="exact"/>
        <w:jc w:val="center"/>
        <w:textAlignment w:val="auto"/>
        <w:outlineLvl w:val="9"/>
        <w:rPr>
          <w:rFonts w:hint="eastAsia" w:ascii="宋体" w:hAnsi="宋体" w:eastAsia="宋体" w:cs="宋体"/>
          <w:b/>
          <w:color w:val="auto"/>
          <w:sz w:val="24"/>
          <w:szCs w:val="24"/>
          <w:highlight w:val="none"/>
          <w:lang w:eastAsia="zh-CN"/>
        </w:rPr>
      </w:pPr>
      <w:bookmarkStart w:id="136" w:name="_Toc32036_WPSOffice_Level1"/>
      <w:bookmarkStart w:id="137" w:name="_Toc14917_WPSOffice_Level1"/>
      <w:bookmarkStart w:id="138" w:name="_Toc28170_WPSOffice_Level2"/>
      <w:bookmarkStart w:id="139" w:name="_Toc6898_WPSOffice_Level2"/>
      <w:r>
        <w:rPr>
          <w:rFonts w:hint="eastAsia" w:ascii="宋体" w:hAnsi="宋体" w:eastAsia="宋体" w:cs="宋体"/>
          <w:b/>
          <w:color w:val="auto"/>
          <w:sz w:val="24"/>
          <w:szCs w:val="24"/>
          <w:highlight w:val="none"/>
          <w:lang w:eastAsia="zh-CN"/>
        </w:rPr>
        <w:t>法定代表人证明书</w:t>
      </w:r>
      <w:bookmarkEnd w:id="136"/>
      <w:bookmarkEnd w:id="137"/>
      <w:bookmarkEnd w:id="138"/>
      <w:bookmarkEnd w:id="139"/>
    </w:p>
    <w:p w14:paraId="4B8FF7A4">
      <w:pPr>
        <w:wordWrap/>
        <w:spacing w:before="157" w:beforeLines="50" w:line="560" w:lineRule="exac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致：</w:t>
      </w:r>
      <w:r>
        <w:rPr>
          <w:rFonts w:hint="eastAsia" w:ascii="宋体" w:hAnsi="宋体" w:eastAsia="宋体" w:cs="宋体"/>
          <w:b w:val="0"/>
          <w:bCs w:val="0"/>
          <w:color w:val="auto"/>
          <w:sz w:val="24"/>
          <w:szCs w:val="24"/>
          <w:highlight w:val="none"/>
          <w:u w:val="single"/>
          <w:lang w:eastAsia="zh-CN"/>
        </w:rPr>
        <w:t>（代理机构名称）</w:t>
      </w:r>
    </w:p>
    <w:p w14:paraId="16C73806">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（法定代表人姓名）  </w:t>
      </w:r>
      <w:r>
        <w:rPr>
          <w:rFonts w:hint="eastAsia" w:ascii="宋体" w:hAnsi="宋体" w:eastAsia="宋体" w:cs="宋体"/>
          <w:b w:val="0"/>
          <w:bCs w:val="0"/>
          <w:color w:val="auto"/>
          <w:sz w:val="24"/>
          <w:szCs w:val="24"/>
          <w:highlight w:val="none"/>
        </w:rPr>
        <w:t>现任我单位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职务，为法定代表人，特此证明。</w:t>
      </w:r>
    </w:p>
    <w:p w14:paraId="146E55E2">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法定代表人基本情况：</w:t>
      </w:r>
    </w:p>
    <w:p w14:paraId="173BBE8E">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性别：</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民族：</w:t>
      </w:r>
      <w:r>
        <w:rPr>
          <w:rFonts w:hint="eastAsia" w:ascii="宋体" w:hAnsi="宋体" w:eastAsia="宋体" w:cs="宋体"/>
          <w:b w:val="0"/>
          <w:bCs w:val="0"/>
          <w:color w:val="auto"/>
          <w:sz w:val="24"/>
          <w:szCs w:val="24"/>
          <w:highlight w:val="none"/>
          <w:u w:val="single"/>
        </w:rPr>
        <w:t xml:space="preserve">     </w:t>
      </w:r>
    </w:p>
    <w:p w14:paraId="19BBA042">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u w:val="single"/>
        </w:rPr>
        <w:t xml:space="preserve">                             </w:t>
      </w:r>
    </w:p>
    <w:p w14:paraId="5FA845F9">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身份证号码：</w:t>
      </w:r>
      <w:r>
        <w:rPr>
          <w:rFonts w:hint="eastAsia" w:ascii="宋体" w:hAnsi="宋体" w:eastAsia="宋体" w:cs="宋体"/>
          <w:b w:val="0"/>
          <w:bCs w:val="0"/>
          <w:color w:val="auto"/>
          <w:sz w:val="24"/>
          <w:szCs w:val="24"/>
          <w:highlight w:val="none"/>
          <w:u w:val="single"/>
        </w:rPr>
        <w:t xml:space="preserve">                       </w:t>
      </w:r>
    </w:p>
    <w:p w14:paraId="05FC8F06">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附法定代表人第二代身份证双面扫描</w:t>
      </w:r>
      <w:r>
        <w:rPr>
          <w:rFonts w:hint="eastAsia" w:ascii="宋体" w:hAnsi="宋体" w:eastAsia="宋体" w:cs="宋体"/>
          <w:b w:val="0"/>
          <w:bCs w:val="0"/>
          <w:color w:val="auto"/>
          <w:sz w:val="24"/>
          <w:szCs w:val="24"/>
          <w:highlight w:val="none"/>
          <w:lang w:eastAsia="zh-CN"/>
        </w:rPr>
        <w:t>或其他身份证明材料</w:t>
      </w:r>
      <w:r>
        <w:rPr>
          <w:rFonts w:hint="eastAsia" w:ascii="宋体" w:hAnsi="宋体" w:eastAsia="宋体" w:cs="宋体"/>
          <w:b w:val="0"/>
          <w:bCs w:val="0"/>
          <w:color w:val="auto"/>
          <w:sz w:val="24"/>
          <w:szCs w:val="24"/>
          <w:highlight w:val="none"/>
        </w:rPr>
        <w:t>（复印件</w:t>
      </w:r>
      <w:r>
        <w:rPr>
          <w:rFonts w:hint="eastAsia" w:ascii="宋体" w:hAnsi="宋体" w:eastAsia="宋体" w:cs="宋体"/>
          <w:color w:val="auto"/>
          <w:sz w:val="24"/>
          <w:szCs w:val="24"/>
          <w:highlight w:val="none"/>
          <w:lang w:eastAsia="zh-CN"/>
        </w:rPr>
        <w:t>）</w:t>
      </w:r>
    </w:p>
    <w:p w14:paraId="6964D7F3">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color w:val="auto"/>
          <w:kern w:val="0"/>
          <w:sz w:val="24"/>
          <w:szCs w:val="24"/>
          <w:highlight w:val="none"/>
        </w:rPr>
      </w:pPr>
    </w:p>
    <w:p w14:paraId="5A36E0A7">
      <w:pPr>
        <w:wordWrap/>
        <w:autoSpaceDE w:val="0"/>
        <w:autoSpaceDN w:val="0"/>
        <w:adjustRightInd w:val="0"/>
        <w:spacing w:before="157" w:beforeLines="50" w:line="560" w:lineRule="exact"/>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eastAsia="zh-CN"/>
        </w:rPr>
        <w:t>名称</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（公章）</w:t>
      </w:r>
    </w:p>
    <w:p w14:paraId="35D1A116">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color w:val="auto"/>
          <w:sz w:val="24"/>
          <w:szCs w:val="24"/>
          <w:highlight w:val="none"/>
        </w:rPr>
        <w:t xml:space="preserve">   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p>
    <w:p w14:paraId="1522548F">
      <w:pPr>
        <w:wordWrap/>
        <w:autoSpaceDE w:val="0"/>
        <w:autoSpaceDN w:val="0"/>
        <w:adjustRightInd w:val="0"/>
        <w:spacing w:before="157" w:beforeLines="50" w:line="560" w:lineRule="exact"/>
        <w:jc w:val="center"/>
        <w:outlineLvl w:val="9"/>
        <w:rPr>
          <w:rFonts w:hint="eastAsia" w:ascii="宋体" w:hAnsi="宋体" w:eastAsia="宋体" w:cs="宋体"/>
          <w:b w:val="0"/>
          <w:bCs w:val="0"/>
          <w:color w:val="auto"/>
          <w:sz w:val="24"/>
          <w:szCs w:val="24"/>
          <w:highlight w:val="none"/>
        </w:rPr>
      </w:pPr>
      <w:bookmarkStart w:id="140" w:name="_Toc10597_WPSOffice_Level3"/>
      <w:r>
        <w:rPr>
          <w:rFonts w:hint="eastAsia" w:ascii="宋体" w:hAnsi="宋体" w:eastAsia="宋体" w:cs="宋体"/>
          <w:b w:val="0"/>
          <w:bCs w:val="0"/>
          <w:color w:val="auto"/>
          <w:sz w:val="24"/>
          <w:szCs w:val="24"/>
          <w:highlight w:val="none"/>
          <w:lang w:val="en-US" w:eastAsia="zh-CN"/>
        </w:rPr>
        <w:t xml:space="preserve">                                       </w:t>
      </w:r>
      <w:bookmarkStart w:id="141" w:name="_Toc16117_WPSOffice_Level3"/>
      <w:r>
        <w:rPr>
          <w:rFonts w:hint="eastAsia" w:ascii="宋体" w:hAnsi="宋体" w:eastAsia="宋体" w:cs="宋体"/>
          <w:b w:val="0"/>
          <w:bCs w:val="0"/>
          <w:color w:val="auto"/>
          <w:sz w:val="24"/>
          <w:szCs w:val="24"/>
          <w:highlight w:val="none"/>
        </w:rPr>
        <w:t>年   月   日</w:t>
      </w:r>
      <w:bookmarkEnd w:id="140"/>
      <w:bookmarkEnd w:id="141"/>
    </w:p>
    <w:p w14:paraId="013C722C">
      <w:pPr>
        <w:rPr>
          <w:rFonts w:hint="eastAsia" w:ascii="宋体" w:hAnsi="宋体" w:eastAsia="宋体" w:cs="宋体"/>
          <w:b/>
          <w:color w:val="auto"/>
          <w:sz w:val="24"/>
          <w:szCs w:val="24"/>
          <w:highlight w:val="none"/>
          <w:lang w:eastAsia="zh-CN"/>
        </w:rPr>
      </w:pPr>
      <w:bookmarkStart w:id="142" w:name="_Toc21545_WPSOffice_Level3"/>
      <w:bookmarkStart w:id="143" w:name="_Toc27782"/>
      <w:bookmarkStart w:id="144" w:name="_Toc23551"/>
      <w:bookmarkStart w:id="145" w:name="_Toc23035_WPSOffice_Level2"/>
      <w:bookmarkStart w:id="146" w:name="_Toc18183"/>
      <w:bookmarkStart w:id="147" w:name="_Toc31901"/>
      <w:r>
        <w:rPr>
          <w:rFonts w:hint="eastAsia" w:ascii="宋体" w:hAnsi="宋体" w:eastAsia="宋体" w:cs="宋体"/>
          <w:b/>
          <w:color w:val="auto"/>
          <w:sz w:val="24"/>
          <w:szCs w:val="24"/>
          <w:highlight w:val="none"/>
          <w:lang w:eastAsia="zh-CN"/>
        </w:rPr>
        <w:br w:type="page"/>
      </w:r>
    </w:p>
    <w:p w14:paraId="07C6CED1">
      <w:pPr>
        <w:widowControl/>
        <w:wordWrap/>
        <w:snapToGrid w:val="0"/>
        <w:spacing w:before="157" w:beforeLines="50" w:line="560" w:lineRule="exact"/>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附件3：法定代表人授权书</w:t>
      </w:r>
      <w:bookmarkEnd w:id="142"/>
      <w:bookmarkEnd w:id="143"/>
      <w:bookmarkEnd w:id="144"/>
      <w:bookmarkEnd w:id="145"/>
      <w:bookmarkEnd w:id="146"/>
      <w:bookmarkEnd w:id="147"/>
    </w:p>
    <w:p w14:paraId="1DDB325F">
      <w:pPr>
        <w:widowControl w:val="0"/>
        <w:wordWrap/>
        <w:spacing w:before="157" w:beforeLines="50" w:line="560" w:lineRule="exact"/>
        <w:jc w:val="center"/>
        <w:textAlignment w:val="auto"/>
        <w:outlineLvl w:val="9"/>
        <w:rPr>
          <w:rFonts w:hint="eastAsia" w:ascii="宋体" w:hAnsi="宋体" w:eastAsia="宋体" w:cs="宋体"/>
          <w:b/>
          <w:color w:val="auto"/>
          <w:sz w:val="24"/>
          <w:szCs w:val="24"/>
          <w:highlight w:val="none"/>
          <w:lang w:eastAsia="zh-CN"/>
        </w:rPr>
      </w:pPr>
      <w:bookmarkStart w:id="148" w:name="_Toc5048_WPSOffice_Level2"/>
      <w:bookmarkStart w:id="149" w:name="_Toc26434_WPSOffice_Level2"/>
      <w:bookmarkStart w:id="150" w:name="_Toc1148_WPSOffice_Level3"/>
      <w:r>
        <w:rPr>
          <w:rFonts w:hint="eastAsia" w:ascii="宋体" w:hAnsi="宋体" w:eastAsia="宋体" w:cs="宋体"/>
          <w:b/>
          <w:color w:val="auto"/>
          <w:sz w:val="24"/>
          <w:szCs w:val="24"/>
          <w:highlight w:val="none"/>
          <w:lang w:eastAsia="zh-CN"/>
        </w:rPr>
        <w:t>法定代表人授权书</w:t>
      </w:r>
      <w:bookmarkEnd w:id="148"/>
      <w:bookmarkEnd w:id="149"/>
      <w:bookmarkEnd w:id="150"/>
    </w:p>
    <w:p w14:paraId="63AC96EF">
      <w:pPr>
        <w:widowControl w:val="0"/>
        <w:wordWrap/>
        <w:adjustRightInd/>
        <w:snapToGrid/>
        <w:spacing w:line="560" w:lineRule="exact"/>
        <w:ind w:firstLine="198" w:firstLineChars="82"/>
        <w:textAlignment w:val="auto"/>
        <w:outlineLvl w:val="9"/>
        <w:rPr>
          <w:rFonts w:hint="eastAsia" w:ascii="宋体" w:hAnsi="宋体" w:eastAsia="宋体" w:cs="宋体"/>
          <w:color w:val="auto"/>
          <w:sz w:val="24"/>
          <w:szCs w:val="24"/>
          <w:highlight w:val="none"/>
          <w:u w:val="single"/>
        </w:rPr>
      </w:pPr>
      <w:bookmarkStart w:id="151" w:name="_Toc6307_WPSOffice_Level2"/>
      <w:bookmarkStart w:id="152" w:name="_Toc16084_WPSOffice_Level2"/>
      <w:bookmarkStart w:id="153" w:name="_Toc25306_WPSOffice_Level2"/>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lang w:eastAsia="zh-CN"/>
        </w:rPr>
        <w:t>（代理机构名称）</w:t>
      </w:r>
      <w:bookmarkEnd w:id="151"/>
      <w:bookmarkEnd w:id="152"/>
      <w:bookmarkEnd w:id="153"/>
    </w:p>
    <w:p w14:paraId="4095B87E">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系中华人民共和国合法企业，法定地址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E4061D">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（法定代表人姓名）   </w:t>
      </w:r>
      <w:r>
        <w:rPr>
          <w:rFonts w:hint="eastAsia" w:ascii="宋体" w:hAnsi="宋体" w:eastAsia="宋体" w:cs="宋体"/>
          <w:color w:val="auto"/>
          <w:sz w:val="24"/>
          <w:szCs w:val="24"/>
          <w:highlight w:val="none"/>
        </w:rPr>
        <w:t>特授权</w:t>
      </w:r>
      <w:r>
        <w:rPr>
          <w:rFonts w:hint="eastAsia" w:ascii="宋体" w:hAnsi="宋体" w:eastAsia="宋体" w:cs="宋体"/>
          <w:color w:val="auto"/>
          <w:sz w:val="24"/>
          <w:szCs w:val="24"/>
          <w:highlight w:val="none"/>
          <w:u w:val="single"/>
        </w:rPr>
        <w:t xml:space="preserve"> （委托代理人姓名）    </w:t>
      </w:r>
      <w:r>
        <w:rPr>
          <w:rFonts w:hint="eastAsia" w:ascii="宋体" w:hAnsi="宋体" w:eastAsia="宋体" w:cs="宋体"/>
          <w:color w:val="auto"/>
          <w:sz w:val="24"/>
          <w:szCs w:val="24"/>
          <w:highlight w:val="none"/>
        </w:rPr>
        <w:t>代表我单位全权办理针对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eastAsia="zh-CN"/>
        </w:rPr>
        <w:t>谈判、答疑</w:t>
      </w:r>
      <w:r>
        <w:rPr>
          <w:rFonts w:hint="eastAsia" w:ascii="宋体" w:hAnsi="宋体" w:eastAsia="宋体" w:cs="宋体"/>
          <w:color w:val="auto"/>
          <w:sz w:val="24"/>
          <w:szCs w:val="24"/>
          <w:highlight w:val="none"/>
        </w:rPr>
        <w:t>等具体工作，并签署全部有关的文件、资料。</w:t>
      </w:r>
    </w:p>
    <w:p w14:paraId="3E8C6826">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我单位对被授权人的签名负全部责任。</w:t>
      </w:r>
    </w:p>
    <w:p w14:paraId="14A2DB82">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在撤销授权的书面通知以前，本授权书一直有效，被授权人签署的所有文件（在授权书有效期内签署的）不因授权的撤销而失效。</w:t>
      </w:r>
    </w:p>
    <w:p w14:paraId="5B542EDE">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14:paraId="52AEFDB8">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被授权人联系电话：</w:t>
      </w:r>
      <w:r>
        <w:rPr>
          <w:rFonts w:hint="eastAsia" w:ascii="宋体" w:hAnsi="宋体" w:eastAsia="宋体" w:cs="宋体"/>
          <w:color w:val="auto"/>
          <w:sz w:val="24"/>
          <w:szCs w:val="24"/>
          <w:highlight w:val="none"/>
          <w:u w:val="single"/>
        </w:rPr>
        <w:t xml:space="preserve">          </w:t>
      </w:r>
    </w:p>
    <w:p w14:paraId="4C34D370">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被授权人（委托代理人）签字或盖章：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6DAA44EC">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授权人（法定代表人）签字或盖章：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58092EC5">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附被授权人第二代身份证双面扫描（或复印）件</w:t>
      </w:r>
    </w:p>
    <w:p w14:paraId="3EC9F4F8">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highlight w:val="none"/>
        </w:rPr>
      </w:pPr>
      <w:bookmarkStart w:id="154" w:name="_Toc13837_WPSOffice_Level3"/>
    </w:p>
    <w:p w14:paraId="5CE86577">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154"/>
      <w:r>
        <w:rPr>
          <w:rFonts w:hint="eastAsia" w:ascii="宋体" w:hAnsi="宋体" w:eastAsia="宋体" w:cs="宋体"/>
          <w:b w:val="0"/>
          <w:bCs/>
          <w:color w:val="auto"/>
          <w:sz w:val="24"/>
          <w:szCs w:val="24"/>
          <w:highlight w:val="none"/>
        </w:rPr>
        <w:t xml:space="preserve">    </w:t>
      </w:r>
    </w:p>
    <w:p w14:paraId="3A7341D9">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color w:val="auto"/>
          <w:sz w:val="24"/>
          <w:szCs w:val="24"/>
          <w:highlight w:val="none"/>
        </w:rPr>
        <w:t xml:space="preserve">   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（签字或盖章）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bookmarkStart w:id="155" w:name="_Toc32599_WPSOffice_Level3"/>
      <w:bookmarkStart w:id="156" w:name="_Toc6591_WPSOffice_Level3"/>
      <w:r>
        <w:rPr>
          <w:rFonts w:hint="eastAsia" w:ascii="宋体" w:hAnsi="宋体" w:eastAsia="宋体" w:cs="宋体"/>
          <w:b w:val="0"/>
          <w:bCs/>
          <w:color w:val="auto"/>
          <w:sz w:val="24"/>
          <w:szCs w:val="24"/>
          <w:highlight w:val="none"/>
        </w:rPr>
        <w:t>年   月   日</w:t>
      </w:r>
      <w:bookmarkEnd w:id="155"/>
      <w:bookmarkEnd w:id="156"/>
    </w:p>
    <w:p w14:paraId="2367E494">
      <w:pPr>
        <w:rPr>
          <w:rFonts w:hint="eastAsia" w:ascii="宋体" w:hAnsi="宋体" w:eastAsia="宋体" w:cs="宋体"/>
          <w:b/>
          <w:color w:val="auto"/>
          <w:sz w:val="24"/>
          <w:szCs w:val="24"/>
          <w:highlight w:val="none"/>
          <w:lang w:eastAsia="zh-CN"/>
        </w:rPr>
      </w:pPr>
      <w:bookmarkStart w:id="157" w:name="_Toc7737_WPSOffice_Level3"/>
      <w:bookmarkStart w:id="158" w:name="_Toc16704"/>
      <w:bookmarkStart w:id="159" w:name="_Toc26653_WPSOffice_Level3"/>
      <w:bookmarkStart w:id="160" w:name="_Toc23618"/>
      <w:bookmarkStart w:id="161" w:name="_Toc30919"/>
      <w:bookmarkStart w:id="162" w:name="_Toc19298"/>
      <w:r>
        <w:rPr>
          <w:rFonts w:hint="eastAsia" w:ascii="宋体" w:hAnsi="宋体" w:eastAsia="宋体" w:cs="宋体"/>
          <w:b/>
          <w:color w:val="auto"/>
          <w:sz w:val="24"/>
          <w:szCs w:val="24"/>
          <w:highlight w:val="none"/>
          <w:lang w:eastAsia="zh-CN"/>
        </w:rPr>
        <w:br w:type="page"/>
      </w:r>
    </w:p>
    <w:p w14:paraId="038BD00E">
      <w:pPr>
        <w:widowControl/>
        <w:wordWrap/>
        <w:snapToGrid w:val="0"/>
        <w:spacing w:before="157" w:beforeLines="50" w:line="560" w:lineRule="exact"/>
        <w:jc w:val="left"/>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附件4：供应商承诺函</w:t>
      </w:r>
      <w:bookmarkEnd w:id="157"/>
      <w:bookmarkEnd w:id="158"/>
      <w:bookmarkEnd w:id="159"/>
      <w:bookmarkEnd w:id="160"/>
      <w:bookmarkEnd w:id="161"/>
      <w:bookmarkEnd w:id="162"/>
    </w:p>
    <w:p w14:paraId="2F1BC685">
      <w:pPr>
        <w:widowControl w:val="0"/>
        <w:wordWrap/>
        <w:spacing w:before="157" w:beforeLines="50" w:line="560" w:lineRule="exact"/>
        <w:jc w:val="center"/>
        <w:textAlignment w:val="auto"/>
        <w:outlineLvl w:val="9"/>
        <w:rPr>
          <w:rFonts w:hint="eastAsia" w:ascii="宋体" w:hAnsi="宋体" w:eastAsia="宋体" w:cs="宋体"/>
          <w:b/>
          <w:color w:val="auto"/>
          <w:sz w:val="24"/>
          <w:szCs w:val="24"/>
          <w:highlight w:val="none"/>
          <w:lang w:eastAsia="zh-CN"/>
        </w:rPr>
      </w:pPr>
      <w:bookmarkStart w:id="163" w:name="_Toc2453_WPSOffice_Level2"/>
      <w:bookmarkStart w:id="164" w:name="_Toc27597_WPSOffice_Level3"/>
      <w:bookmarkStart w:id="165" w:name="_Toc17639_WPSOffice_Level2"/>
      <w:r>
        <w:rPr>
          <w:rFonts w:hint="eastAsia" w:ascii="宋体" w:hAnsi="宋体" w:eastAsia="宋体" w:cs="宋体"/>
          <w:b/>
          <w:color w:val="auto"/>
          <w:sz w:val="24"/>
          <w:szCs w:val="24"/>
          <w:highlight w:val="none"/>
          <w:lang w:eastAsia="zh-CN"/>
        </w:rPr>
        <w:t>供应商承诺函</w:t>
      </w:r>
      <w:bookmarkEnd w:id="163"/>
      <w:bookmarkEnd w:id="164"/>
      <w:bookmarkEnd w:id="165"/>
    </w:p>
    <w:p w14:paraId="0A93CC2C">
      <w:pPr>
        <w:widowControl w:val="0"/>
        <w:wordWrap/>
        <w:adjustRightInd/>
        <w:snapToGrid/>
        <w:spacing w:line="560" w:lineRule="exac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w:t>
      </w:r>
      <w:r>
        <w:rPr>
          <w:rFonts w:hint="eastAsia" w:ascii="宋体" w:hAnsi="宋体" w:eastAsia="宋体" w:cs="宋体"/>
          <w:b w:val="0"/>
          <w:bCs w:val="0"/>
          <w:color w:val="auto"/>
          <w:sz w:val="24"/>
          <w:szCs w:val="24"/>
          <w:highlight w:val="none"/>
          <w:u w:val="single"/>
          <w:lang w:eastAsia="zh-CN"/>
        </w:rPr>
        <w:t>（代理机构名称）</w:t>
      </w:r>
    </w:p>
    <w:p w14:paraId="0CC60531">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关于贵方</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eastAsia="zh-CN"/>
        </w:rPr>
        <w:t>（项目名称及编号）</w:t>
      </w:r>
      <w:r>
        <w:rPr>
          <w:rFonts w:hint="eastAsia" w:ascii="宋体" w:hAnsi="宋体" w:eastAsia="宋体" w:cs="宋体"/>
          <w:b w:val="0"/>
          <w:bCs w:val="0"/>
          <w:color w:val="auto"/>
          <w:sz w:val="24"/>
          <w:szCs w:val="24"/>
          <w:highlight w:val="none"/>
        </w:rPr>
        <w:t>采购项目，本签字人愿意参加</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，提供采购一览表中要求的所有产品，并证实提交的所有资料是准确的和真实的。同时，我代表</w:t>
      </w:r>
      <w:r>
        <w:rPr>
          <w:rFonts w:hint="eastAsia" w:ascii="宋体" w:hAnsi="宋体" w:eastAsia="宋体" w:cs="宋体"/>
          <w:b w:val="0"/>
          <w:bCs w:val="0"/>
          <w:color w:val="auto"/>
          <w:sz w:val="24"/>
          <w:szCs w:val="24"/>
          <w:highlight w:val="none"/>
          <w:u w:val="single"/>
        </w:rPr>
        <w:t>（供应商名称）</w:t>
      </w:r>
      <w:r>
        <w:rPr>
          <w:rFonts w:hint="eastAsia" w:ascii="宋体" w:hAnsi="宋体" w:eastAsia="宋体" w:cs="宋体"/>
          <w:b w:val="0"/>
          <w:bCs w:val="0"/>
          <w:color w:val="auto"/>
          <w:sz w:val="24"/>
          <w:szCs w:val="24"/>
          <w:highlight w:val="none"/>
        </w:rPr>
        <w:t>，在此作如下承诺：</w:t>
      </w:r>
    </w:p>
    <w:p w14:paraId="57A4973C">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1、完全理解和接受谈判文件的一切规定和要求；</w:t>
      </w:r>
    </w:p>
    <w:p w14:paraId="7EC2A179">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2、若</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0E8CAB56">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highlight w:val="none"/>
          <w:lang w:eastAsia="zh-CN"/>
        </w:rPr>
        <w:t>违反</w:t>
      </w:r>
      <w:r>
        <w:rPr>
          <w:rFonts w:hint="eastAsia" w:ascii="宋体" w:hAnsi="宋体" w:eastAsia="宋体" w:cs="宋体"/>
          <w:b w:val="0"/>
          <w:bCs w:val="0"/>
          <w:color w:val="auto"/>
          <w:sz w:val="24"/>
          <w:szCs w:val="24"/>
          <w:highlight w:val="none"/>
        </w:rPr>
        <w:t>，愿承担相应的一切责任。</w:t>
      </w:r>
    </w:p>
    <w:p w14:paraId="0D48A400">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4、我方承诺，除谈判文件中规定的优质产品外，所投的产品均为国产产品，且均符合国家强制性标准。若有不实，愿承担相应的责任。</w:t>
      </w:r>
    </w:p>
    <w:p w14:paraId="13177D17">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5、在整个谈判过程中我方若有违规行为，贵方可按谈判文件之规定给予处罚，我方完全接受。</w:t>
      </w:r>
    </w:p>
    <w:p w14:paraId="7DBE5F95">
      <w:pPr>
        <w:keepNext w:val="0"/>
        <w:keepLines w:val="0"/>
        <w:pageBreakBefore w:val="0"/>
        <w:widowControl w:val="0"/>
        <w:kinsoku w:val="0"/>
        <w:wordWrap w:val="0"/>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6、若成交，本承诺将成为合同不可分割的一部分，与合同具有同等的法律效力。</w:t>
      </w:r>
    </w:p>
    <w:p w14:paraId="092BA41D">
      <w:pPr>
        <w:widowControl w:val="0"/>
        <w:wordWrap/>
        <w:adjustRightInd/>
        <w:snapToGrid/>
        <w:spacing w:line="560" w:lineRule="exact"/>
        <w:ind w:firstLine="482"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bookmarkStart w:id="166" w:name="_Toc29941_WPSOffice_Level3"/>
      <w:r>
        <w:rPr>
          <w:rFonts w:hint="eastAsia" w:ascii="宋体" w:hAnsi="宋体" w:eastAsia="宋体" w:cs="宋体"/>
          <w:b w:val="0"/>
          <w:bCs/>
          <w:color w:val="auto"/>
          <w:sz w:val="24"/>
          <w:szCs w:val="24"/>
          <w:highlight w:val="none"/>
          <w:lang w:val="en-US" w:eastAsia="zh-CN"/>
        </w:rPr>
        <w:t xml:space="preserve">  </w:t>
      </w:r>
      <w:bookmarkStart w:id="167" w:name="_Toc11979_WPSOffice_Level3"/>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166"/>
      <w:bookmarkEnd w:id="167"/>
    </w:p>
    <w:p w14:paraId="7E5C3F54">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168" w:name="_Toc15106_WPSOffice_Level3"/>
      <w:bookmarkStart w:id="169" w:name="_Toc22507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168"/>
      <w:bookmarkEnd w:id="169"/>
    </w:p>
    <w:p w14:paraId="3B0E15B1">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170" w:name="_Toc24254_WPSOffice_Level3"/>
      <w:r>
        <w:rPr>
          <w:rFonts w:hint="eastAsia" w:ascii="宋体" w:hAnsi="宋体" w:eastAsia="宋体" w:cs="宋体"/>
          <w:b w:val="0"/>
          <w:bCs/>
          <w:color w:val="auto"/>
          <w:sz w:val="24"/>
          <w:szCs w:val="24"/>
          <w:highlight w:val="none"/>
          <w:lang w:val="en-US" w:eastAsia="zh-CN"/>
        </w:rPr>
        <w:t xml:space="preserve">                      </w:t>
      </w:r>
      <w:bookmarkStart w:id="171" w:name="_Toc9343_WPSOffice_Level3"/>
      <w:r>
        <w:rPr>
          <w:rFonts w:hint="eastAsia" w:ascii="宋体" w:hAnsi="宋体" w:eastAsia="宋体" w:cs="宋体"/>
          <w:b w:val="0"/>
          <w:bCs/>
          <w:color w:val="auto"/>
          <w:sz w:val="24"/>
          <w:szCs w:val="24"/>
          <w:highlight w:val="none"/>
        </w:rPr>
        <w:t>年   月  日</w:t>
      </w:r>
      <w:bookmarkEnd w:id="170"/>
      <w:bookmarkEnd w:id="171"/>
    </w:p>
    <w:p w14:paraId="0F08A84F">
      <w:pPr>
        <w:rPr>
          <w:rFonts w:hint="eastAsia" w:ascii="宋体" w:hAnsi="宋体" w:eastAsia="宋体" w:cs="宋体"/>
          <w:b/>
          <w:color w:val="auto"/>
          <w:sz w:val="24"/>
          <w:szCs w:val="24"/>
          <w:highlight w:val="none"/>
          <w:lang w:eastAsia="zh-CN"/>
        </w:rPr>
      </w:pPr>
      <w:bookmarkStart w:id="172" w:name="_Toc6416"/>
      <w:bookmarkStart w:id="173" w:name="_Toc653_WPSOffice_Level3"/>
      <w:bookmarkStart w:id="174" w:name="_Toc26773_WPSOffice_Level3"/>
      <w:bookmarkStart w:id="175" w:name="_Toc20884"/>
      <w:bookmarkStart w:id="176" w:name="_Toc25740"/>
      <w:bookmarkStart w:id="177" w:name="_Toc15780"/>
      <w:r>
        <w:rPr>
          <w:rFonts w:hint="eastAsia" w:ascii="宋体" w:hAnsi="宋体" w:eastAsia="宋体" w:cs="宋体"/>
          <w:b/>
          <w:color w:val="auto"/>
          <w:sz w:val="24"/>
          <w:szCs w:val="24"/>
          <w:highlight w:val="none"/>
          <w:lang w:eastAsia="zh-CN"/>
        </w:rPr>
        <w:br w:type="page"/>
      </w:r>
    </w:p>
    <w:p w14:paraId="224DA222">
      <w:pPr>
        <w:widowControl/>
        <w:wordWrap/>
        <w:snapToGrid w:val="0"/>
        <w:spacing w:before="157" w:beforeLines="50" w:line="5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附件5：供应商诚信承诺书</w:t>
      </w:r>
      <w:bookmarkEnd w:id="172"/>
      <w:bookmarkEnd w:id="173"/>
      <w:bookmarkEnd w:id="174"/>
      <w:bookmarkEnd w:id="175"/>
      <w:bookmarkEnd w:id="176"/>
      <w:bookmarkEnd w:id="177"/>
    </w:p>
    <w:p w14:paraId="291B54F3">
      <w:pPr>
        <w:wordWrap/>
        <w:spacing w:before="157" w:beforeLines="50" w:line="560" w:lineRule="exact"/>
        <w:jc w:val="center"/>
        <w:outlineLvl w:val="9"/>
        <w:rPr>
          <w:rFonts w:hint="eastAsia" w:ascii="宋体" w:hAnsi="宋体" w:eastAsia="宋体" w:cs="宋体"/>
          <w:b/>
          <w:color w:val="auto"/>
          <w:sz w:val="24"/>
          <w:szCs w:val="24"/>
          <w:highlight w:val="none"/>
        </w:rPr>
      </w:pPr>
      <w:bookmarkStart w:id="178" w:name="_Toc22537_WPSOffice_Level3"/>
      <w:bookmarkStart w:id="179" w:name="_Toc22989_WPSOffice_Level3"/>
      <w:r>
        <w:rPr>
          <w:rFonts w:hint="eastAsia" w:ascii="宋体" w:hAnsi="宋体" w:eastAsia="宋体" w:cs="宋体"/>
          <w:b/>
          <w:color w:val="auto"/>
          <w:sz w:val="24"/>
          <w:szCs w:val="24"/>
          <w:highlight w:val="none"/>
          <w:lang w:eastAsia="zh-CN"/>
        </w:rPr>
        <w:t>供应商诚信承诺书</w:t>
      </w:r>
      <w:bookmarkEnd w:id="178"/>
      <w:bookmarkEnd w:id="179"/>
    </w:p>
    <w:p w14:paraId="7F1FC4D2">
      <w:pPr>
        <w:widowControl w:val="0"/>
        <w:wordWrap/>
        <w:adjustRightInd/>
        <w:snapToGrid/>
        <w:spacing w:line="560" w:lineRule="exac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致：</w:t>
      </w:r>
      <w:r>
        <w:rPr>
          <w:rFonts w:hint="eastAsia" w:ascii="宋体" w:hAnsi="宋体" w:eastAsia="宋体" w:cs="宋体"/>
          <w:b w:val="0"/>
          <w:bCs w:val="0"/>
          <w:color w:val="auto"/>
          <w:sz w:val="24"/>
          <w:szCs w:val="24"/>
          <w:highlight w:val="none"/>
          <w:u w:val="single"/>
          <w:lang w:eastAsia="zh-CN"/>
        </w:rPr>
        <w:t>（代理机构名称）</w:t>
      </w:r>
    </w:p>
    <w:p w14:paraId="7651C7F6">
      <w:pPr>
        <w:keepNext w:val="0"/>
        <w:keepLines w:val="0"/>
        <w:pageBreakBefore w:val="0"/>
        <w:widowControl w:val="0"/>
        <w:kinsoku w:val="0"/>
        <w:wordWrap/>
        <w:overflowPunct/>
        <w:topLinePunct w:val="0"/>
        <w:autoSpaceDE w:val="0"/>
        <w:autoSpaceDN w:val="0"/>
        <w:bidi w:val="0"/>
        <w:adjustRightInd/>
        <w:snapToGrid/>
        <w:spacing w:line="4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为了诚实、客观、有序地参与青海省政府采购活动，愿就以下内容作出承诺：</w:t>
      </w:r>
    </w:p>
    <w:p w14:paraId="24B1CE8B">
      <w:pPr>
        <w:keepNext w:val="0"/>
        <w:keepLines w:val="0"/>
        <w:pageBreakBefore w:val="0"/>
        <w:widowControl w:val="0"/>
        <w:kinsoku w:val="0"/>
        <w:wordWrap/>
        <w:overflowPunct/>
        <w:topLinePunct w:val="0"/>
        <w:autoSpaceDE w:val="0"/>
        <w:autoSpaceDN w:val="0"/>
        <w:bidi w:val="0"/>
        <w:adjustRightInd/>
        <w:snapToGrid/>
        <w:spacing w:line="4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、自觉遵守各项法律、法规、规章、制度以及社会公德，维护廉洁环境，与同场竞争的供应商平等参加政府采购活动。</w:t>
      </w:r>
    </w:p>
    <w:p w14:paraId="13232325">
      <w:pPr>
        <w:keepNext w:val="0"/>
        <w:keepLines w:val="0"/>
        <w:pageBreakBefore w:val="0"/>
        <w:widowControl w:val="0"/>
        <w:kinsoku w:val="0"/>
        <w:wordWrap/>
        <w:overflowPunct/>
        <w:topLinePunct w:val="0"/>
        <w:autoSpaceDE w:val="0"/>
        <w:autoSpaceDN w:val="0"/>
        <w:bidi w:val="0"/>
        <w:adjustRightInd/>
        <w:snapToGrid/>
        <w:spacing w:line="4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、参加采购代理机构组织的政府采购活动时，严格按照谈判文件的规定和要求提供所需的相关材料，并对所提供的各类资料的真实性负责，不虚假</w:t>
      </w:r>
      <w:r>
        <w:rPr>
          <w:rFonts w:hint="eastAsia" w:ascii="宋体"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，不虚列业绩。</w:t>
      </w:r>
    </w:p>
    <w:p w14:paraId="71E85167">
      <w:pPr>
        <w:keepNext w:val="0"/>
        <w:keepLines w:val="0"/>
        <w:pageBreakBefore w:val="0"/>
        <w:widowControl w:val="0"/>
        <w:kinsoku w:val="0"/>
        <w:wordWrap/>
        <w:overflowPunct/>
        <w:topLinePunct w:val="0"/>
        <w:autoSpaceDE w:val="0"/>
        <w:autoSpaceDN w:val="0"/>
        <w:bidi w:val="0"/>
        <w:adjustRightInd/>
        <w:snapToGrid/>
        <w:spacing w:line="4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、尊重参与政府采购活动各相关方的合法行为，接受政府采购活动依法形成的意见、结果。</w:t>
      </w:r>
    </w:p>
    <w:p w14:paraId="7D2A5183">
      <w:pPr>
        <w:keepNext w:val="0"/>
        <w:keepLines w:val="0"/>
        <w:pageBreakBefore w:val="0"/>
        <w:widowControl w:val="0"/>
        <w:kinsoku w:val="0"/>
        <w:wordWrap/>
        <w:overflowPunct/>
        <w:topLinePunct w:val="0"/>
        <w:autoSpaceDE w:val="0"/>
        <w:autoSpaceDN w:val="0"/>
        <w:bidi w:val="0"/>
        <w:adjustRightInd/>
        <w:snapToGrid/>
        <w:spacing w:line="4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、依法参加政府采购活动，不围标、串标，维护市场秩序，不提供“三无”产品、以次充好。</w:t>
      </w:r>
    </w:p>
    <w:p w14:paraId="732C20F5">
      <w:pPr>
        <w:keepNext w:val="0"/>
        <w:keepLines w:val="0"/>
        <w:pageBreakBefore w:val="0"/>
        <w:widowControl w:val="0"/>
        <w:kinsoku w:val="0"/>
        <w:wordWrap/>
        <w:overflowPunct/>
        <w:topLinePunct w:val="0"/>
        <w:autoSpaceDE w:val="0"/>
        <w:autoSpaceDN w:val="0"/>
        <w:bidi w:val="0"/>
        <w:adjustRightInd/>
        <w:snapToGrid/>
        <w:spacing w:line="4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、积极推动政府采购活动健康开展，对采购活动有疑问、异议时，按法律规定的程序实名（加盖单位</w:t>
      </w:r>
      <w:r>
        <w:rPr>
          <w:rFonts w:hint="eastAsia" w:ascii="宋体" w:hAnsi="宋体" w:eastAsia="宋体" w:cs="宋体"/>
          <w:b w:val="0"/>
          <w:bCs w:val="0"/>
          <w:color w:val="auto"/>
          <w:sz w:val="24"/>
          <w:szCs w:val="24"/>
          <w:highlight w:val="none"/>
          <w:lang w:eastAsia="zh-CN"/>
        </w:rPr>
        <w:t>公</w:t>
      </w:r>
      <w:r>
        <w:rPr>
          <w:rFonts w:hint="eastAsia" w:ascii="宋体" w:hAnsi="宋体" w:eastAsia="宋体" w:cs="宋体"/>
          <w:b w:val="0"/>
          <w:bCs w:val="0"/>
          <w:color w:val="auto"/>
          <w:sz w:val="24"/>
          <w:szCs w:val="24"/>
          <w:highlight w:val="none"/>
        </w:rPr>
        <w:t>章和法定代表人签名）反映情况，不恶意中伤、无事生非，以和谐、平等的心态参加政府采购活动。</w:t>
      </w:r>
    </w:p>
    <w:p w14:paraId="017548D9">
      <w:pPr>
        <w:keepNext w:val="0"/>
        <w:keepLines w:val="0"/>
        <w:pageBreakBefore w:val="0"/>
        <w:widowControl w:val="0"/>
        <w:kinsoku w:val="0"/>
        <w:wordWrap/>
        <w:overflowPunct/>
        <w:topLinePunct w:val="0"/>
        <w:autoSpaceDE w:val="0"/>
        <w:autoSpaceDN w:val="0"/>
        <w:bidi w:val="0"/>
        <w:adjustRightInd/>
        <w:snapToGrid/>
        <w:spacing w:line="4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、认真履行成交供应商应承担的责任和义务，全面执行采购合同规定的各项内容，保质保量地按时提供采购物品。</w:t>
      </w:r>
    </w:p>
    <w:p w14:paraId="4DE18856">
      <w:pPr>
        <w:keepNext w:val="0"/>
        <w:keepLines w:val="0"/>
        <w:pageBreakBefore w:val="0"/>
        <w:widowControl w:val="0"/>
        <w:kinsoku w:val="0"/>
        <w:wordWrap/>
        <w:overflowPunct/>
        <w:topLinePunct w:val="0"/>
        <w:autoSpaceDE w:val="0"/>
        <w:autoSpaceDN w:val="0"/>
        <w:bidi w:val="0"/>
        <w:adjustRightInd/>
        <w:snapToGrid/>
        <w:spacing w:line="46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若本企业（单位）发生有悖于上述承诺的行为，愿意接受《中华人民共和国政府采购法》和《政府采购法实施条例》中对供应商的相关处理。</w:t>
      </w:r>
    </w:p>
    <w:p w14:paraId="7AC36B81">
      <w:pPr>
        <w:keepNext w:val="0"/>
        <w:keepLines w:val="0"/>
        <w:pageBreakBefore w:val="0"/>
        <w:widowControl w:val="0"/>
        <w:kinsoku w:val="0"/>
        <w:wordWrap/>
        <w:overflowPunct/>
        <w:topLinePunct w:val="0"/>
        <w:autoSpaceDE w:val="0"/>
        <w:autoSpaceDN w:val="0"/>
        <w:bidi w:val="0"/>
        <w:adjustRightInd/>
        <w:snapToGrid/>
        <w:spacing w:line="4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本承诺是采购项目谈判响应文件的组成部分。</w:t>
      </w:r>
    </w:p>
    <w:p w14:paraId="371DBD33">
      <w:pPr>
        <w:widowControl w:val="0"/>
        <w:wordWrap/>
        <w:adjustRightInd/>
        <w:snapToGrid/>
        <w:spacing w:before="157" w:beforeLines="50" w:line="560" w:lineRule="exact"/>
        <w:ind w:firstLine="482"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bookmarkStart w:id="180" w:name="_Toc2830_WPSOffice_Level3"/>
      <w:bookmarkStart w:id="181" w:name="_Toc23784_WPSOffice_Level3"/>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180"/>
      <w:bookmarkEnd w:id="181"/>
    </w:p>
    <w:p w14:paraId="680608F8">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182" w:name="_Toc25026_WPSOffice_Level3"/>
      <w:bookmarkStart w:id="183" w:name="_Toc13573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182"/>
      <w:bookmarkEnd w:id="183"/>
    </w:p>
    <w:p w14:paraId="43E7A03D">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184" w:name="_Toc5564_WPSOffice_Level3"/>
      <w:r>
        <w:rPr>
          <w:rFonts w:hint="eastAsia" w:ascii="宋体" w:hAnsi="宋体" w:eastAsia="宋体" w:cs="宋体"/>
          <w:b w:val="0"/>
          <w:bCs/>
          <w:color w:val="auto"/>
          <w:sz w:val="24"/>
          <w:szCs w:val="24"/>
          <w:highlight w:val="none"/>
          <w:lang w:val="en-US" w:eastAsia="zh-CN"/>
        </w:rPr>
        <w:t xml:space="preserve">                      </w:t>
      </w:r>
      <w:bookmarkStart w:id="185" w:name="_Toc12645_WPSOffice_Level3"/>
      <w:r>
        <w:rPr>
          <w:rFonts w:hint="eastAsia" w:ascii="宋体" w:hAnsi="宋体" w:eastAsia="宋体" w:cs="宋体"/>
          <w:b w:val="0"/>
          <w:bCs/>
          <w:color w:val="auto"/>
          <w:sz w:val="24"/>
          <w:szCs w:val="24"/>
          <w:highlight w:val="none"/>
        </w:rPr>
        <w:t>年   月  日</w:t>
      </w:r>
      <w:bookmarkEnd w:id="184"/>
      <w:bookmarkEnd w:id="185"/>
    </w:p>
    <w:p w14:paraId="683B2545">
      <w:pPr>
        <w:rPr>
          <w:rFonts w:hint="eastAsia" w:ascii="宋体" w:hAnsi="宋体" w:eastAsia="宋体" w:cs="宋体"/>
          <w:b/>
          <w:color w:val="auto"/>
          <w:sz w:val="24"/>
          <w:szCs w:val="24"/>
          <w:highlight w:val="none"/>
          <w:lang w:eastAsia="zh-CN"/>
        </w:rPr>
      </w:pPr>
      <w:bookmarkStart w:id="186" w:name="_Toc25242"/>
      <w:bookmarkStart w:id="187" w:name="_Toc6033"/>
      <w:bookmarkStart w:id="188" w:name="_Toc19930_WPSOffice_Level3"/>
      <w:bookmarkStart w:id="189" w:name="_Toc16847"/>
      <w:bookmarkStart w:id="190" w:name="_Toc5195"/>
      <w:bookmarkStart w:id="191" w:name="_Toc8368_WPSOffice_Level3"/>
      <w:r>
        <w:rPr>
          <w:rFonts w:hint="eastAsia" w:ascii="宋体" w:hAnsi="宋体" w:eastAsia="宋体" w:cs="宋体"/>
          <w:b/>
          <w:color w:val="auto"/>
          <w:sz w:val="24"/>
          <w:szCs w:val="24"/>
          <w:highlight w:val="none"/>
          <w:lang w:eastAsia="zh-CN"/>
        </w:rPr>
        <w:br w:type="page"/>
      </w:r>
    </w:p>
    <w:p w14:paraId="777EB845">
      <w:pPr>
        <w:widowControl/>
        <w:wordWrap/>
        <w:snapToGrid w:val="0"/>
        <w:spacing w:before="157" w:beforeLines="50" w:line="5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附件6：供应商资格证明文件</w:t>
      </w:r>
      <w:bookmarkEnd w:id="186"/>
      <w:bookmarkEnd w:id="187"/>
      <w:bookmarkEnd w:id="188"/>
      <w:bookmarkEnd w:id="189"/>
      <w:bookmarkEnd w:id="190"/>
      <w:bookmarkEnd w:id="191"/>
    </w:p>
    <w:p w14:paraId="3758D1BA">
      <w:pPr>
        <w:wordWrap/>
        <w:spacing w:before="157" w:beforeLines="50" w:line="560" w:lineRule="exact"/>
        <w:jc w:val="center"/>
        <w:outlineLvl w:val="9"/>
        <w:rPr>
          <w:rFonts w:hint="eastAsia" w:ascii="宋体" w:hAnsi="宋体" w:eastAsia="宋体" w:cs="宋体"/>
          <w:color w:val="auto"/>
          <w:sz w:val="24"/>
          <w:szCs w:val="24"/>
          <w:highlight w:val="none"/>
        </w:rPr>
      </w:pPr>
      <w:bookmarkStart w:id="192" w:name="_Toc9360_WPSOffice_Level3"/>
      <w:bookmarkStart w:id="193" w:name="_Toc23997_WPSOffice_Level3"/>
      <w:r>
        <w:rPr>
          <w:rFonts w:hint="eastAsia" w:ascii="宋体" w:hAnsi="宋体" w:eastAsia="宋体" w:cs="宋体"/>
          <w:b/>
          <w:color w:val="auto"/>
          <w:sz w:val="24"/>
          <w:szCs w:val="24"/>
          <w:highlight w:val="none"/>
          <w:lang w:eastAsia="zh-CN"/>
        </w:rPr>
        <w:t>供应商资格证明文件</w:t>
      </w:r>
      <w:bookmarkEnd w:id="192"/>
      <w:bookmarkEnd w:id="193"/>
    </w:p>
    <w:p w14:paraId="0C3A79D2">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资格证明材料包括：提供有效的营业执照、税务登记证、机构代码证或三证（五证）合一统一社会代码证及其他资格证明文件（扫描或复印件）。</w:t>
      </w:r>
    </w:p>
    <w:p w14:paraId="74D0EF69">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5F41D96">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2、根据采购项目内容，提供供应商的相关资质证书、许可证等。</w:t>
      </w:r>
    </w:p>
    <w:p w14:paraId="66584F4B">
      <w:pPr>
        <w:rPr>
          <w:rFonts w:hint="eastAsia" w:ascii="宋体" w:hAnsi="宋体" w:eastAsia="宋体" w:cs="宋体"/>
          <w:b/>
          <w:color w:val="auto"/>
          <w:sz w:val="24"/>
          <w:szCs w:val="24"/>
          <w:highlight w:val="none"/>
          <w:lang w:eastAsia="zh-CN"/>
        </w:rPr>
      </w:pPr>
      <w:bookmarkStart w:id="194" w:name="_Toc6573"/>
      <w:bookmarkStart w:id="195" w:name="_Toc31744"/>
      <w:bookmarkStart w:id="196" w:name="_Toc5898"/>
      <w:bookmarkStart w:id="197" w:name="_Toc12925"/>
      <w:bookmarkStart w:id="198" w:name="_Toc29082_WPSOffice_Level3"/>
      <w:bookmarkStart w:id="199" w:name="_Toc7499_WPSOffice_Level3"/>
      <w:r>
        <w:rPr>
          <w:rFonts w:hint="eastAsia" w:ascii="宋体" w:hAnsi="宋体" w:eastAsia="宋体" w:cs="宋体"/>
          <w:b/>
          <w:color w:val="auto"/>
          <w:sz w:val="24"/>
          <w:szCs w:val="24"/>
          <w:highlight w:val="none"/>
          <w:lang w:eastAsia="zh-CN"/>
        </w:rPr>
        <w:br w:type="page"/>
      </w:r>
    </w:p>
    <w:p w14:paraId="4B772074">
      <w:pPr>
        <w:widowControl/>
        <w:wordWrap/>
        <w:snapToGrid w:val="0"/>
        <w:spacing w:before="157" w:beforeLines="50" w:line="5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附件7：财务状况、缴纳税收和社会保障资金证明</w:t>
      </w:r>
      <w:bookmarkEnd w:id="194"/>
      <w:bookmarkEnd w:id="195"/>
      <w:bookmarkEnd w:id="196"/>
      <w:bookmarkEnd w:id="197"/>
      <w:bookmarkEnd w:id="198"/>
      <w:bookmarkEnd w:id="199"/>
    </w:p>
    <w:p w14:paraId="6AD1E62F">
      <w:pPr>
        <w:wordWrap/>
        <w:spacing w:before="157" w:beforeLines="50" w:line="560" w:lineRule="exact"/>
        <w:jc w:val="center"/>
        <w:outlineLvl w:val="9"/>
        <w:rPr>
          <w:rFonts w:hint="eastAsia" w:ascii="宋体" w:hAnsi="宋体" w:eastAsia="宋体" w:cs="宋体"/>
          <w:b/>
          <w:color w:val="auto"/>
          <w:sz w:val="24"/>
          <w:szCs w:val="24"/>
          <w:highlight w:val="none"/>
        </w:rPr>
      </w:pPr>
      <w:bookmarkStart w:id="200" w:name="_Toc22184_WPSOffice_Level3"/>
      <w:bookmarkStart w:id="201" w:name="_Toc2355_WPSOffice_Level3"/>
      <w:r>
        <w:rPr>
          <w:rFonts w:hint="eastAsia" w:ascii="宋体" w:hAnsi="宋体" w:eastAsia="宋体" w:cs="宋体"/>
          <w:b/>
          <w:color w:val="auto"/>
          <w:sz w:val="24"/>
          <w:szCs w:val="24"/>
          <w:highlight w:val="none"/>
          <w:lang w:eastAsia="zh-CN"/>
        </w:rPr>
        <w:t>财务状况、缴纳税收和社会保障资金证明</w:t>
      </w:r>
      <w:bookmarkEnd w:id="200"/>
      <w:bookmarkEnd w:id="201"/>
    </w:p>
    <w:p w14:paraId="6C6004B1">
      <w:pPr>
        <w:widowControl/>
        <w:wordWrap/>
        <w:adjustRightInd/>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按照《政府采购法》第22条规定提供以下相关材料：</w:t>
      </w:r>
    </w:p>
    <w:p w14:paraId="0011F37B">
      <w:pPr>
        <w:widowControl/>
        <w:wordWrap/>
        <w:adjustRightInd/>
        <w:snapToGrid w:val="0"/>
        <w:spacing w:line="56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w:t>
      </w:r>
      <w:r>
        <w:rPr>
          <w:rFonts w:hint="eastAsia" w:ascii="宋体" w:hAnsi="宋体" w:eastAsia="宋体" w:cs="宋体"/>
          <w:color w:val="auto"/>
          <w:sz w:val="24"/>
          <w:szCs w:val="24"/>
          <w:highlight w:val="none"/>
          <w:lang w:val="en-US" w:eastAsia="zh-CN"/>
        </w:rPr>
        <w:t>或2024年度</w:t>
      </w:r>
      <w:r>
        <w:rPr>
          <w:rFonts w:hint="eastAsia" w:ascii="宋体" w:hAnsi="宋体" w:eastAsia="宋体" w:cs="宋体"/>
          <w:color w:val="auto"/>
          <w:sz w:val="24"/>
          <w:szCs w:val="24"/>
          <w:highlight w:val="none"/>
        </w:rPr>
        <w:t>经审计的</w:t>
      </w:r>
      <w:r>
        <w:rPr>
          <w:rFonts w:hint="eastAsia"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rPr>
        <w:t>财务状况报告，包括资产负债表、利润表、现金流量表及其附注，或</w:t>
      </w:r>
      <w:r>
        <w:rPr>
          <w:rFonts w:hint="eastAsia" w:ascii="宋体" w:hAnsi="宋体" w:eastAsia="宋体" w:cs="宋体"/>
          <w:color w:val="auto"/>
          <w:sz w:val="24"/>
          <w:szCs w:val="24"/>
          <w:highlight w:val="none"/>
          <w:lang w:val="en-US" w:eastAsia="zh-CN"/>
        </w:rPr>
        <w:t>近三个月内</w:t>
      </w:r>
      <w:r>
        <w:rPr>
          <w:rFonts w:hint="eastAsia" w:ascii="宋体" w:hAnsi="宋体" w:eastAsia="宋体" w:cs="宋体"/>
          <w:color w:val="auto"/>
          <w:sz w:val="24"/>
          <w:szCs w:val="24"/>
          <w:highlight w:val="none"/>
        </w:rPr>
        <w:t>银行出具的资信证明</w:t>
      </w:r>
      <w:r>
        <w:rPr>
          <w:rFonts w:hint="eastAsia" w:ascii="宋体" w:hAnsi="宋体" w:eastAsia="宋体" w:cs="宋体"/>
          <w:color w:val="auto"/>
          <w:sz w:val="24"/>
          <w:szCs w:val="24"/>
          <w:highlight w:val="none"/>
          <w:lang w:eastAsia="zh-CN"/>
        </w:rPr>
        <w:t>。</w:t>
      </w:r>
    </w:p>
    <w:p w14:paraId="1821EC29">
      <w:pPr>
        <w:widowControl/>
        <w:wordWrap/>
        <w:adjustRightInd/>
        <w:snapToGrid w:val="0"/>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近半年内任意三个月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1B38FE0A">
      <w:pPr>
        <w:rPr>
          <w:rFonts w:hint="eastAsia" w:ascii="宋体" w:hAnsi="宋体" w:eastAsia="宋体" w:cs="宋体"/>
          <w:b/>
          <w:color w:val="auto"/>
          <w:sz w:val="24"/>
          <w:szCs w:val="24"/>
          <w:highlight w:val="none"/>
          <w:lang w:eastAsia="zh-CN"/>
        </w:rPr>
      </w:pPr>
      <w:bookmarkStart w:id="202" w:name="_Toc21984"/>
      <w:bookmarkStart w:id="203" w:name="_Toc16098"/>
      <w:bookmarkStart w:id="204" w:name="_Toc17387_WPSOffice_Level3"/>
      <w:bookmarkStart w:id="205" w:name="_Toc26128"/>
      <w:bookmarkStart w:id="206" w:name="_Toc22959_WPSOffice_Level3"/>
      <w:bookmarkStart w:id="207" w:name="_Toc13266"/>
      <w:r>
        <w:rPr>
          <w:rFonts w:hint="eastAsia" w:ascii="宋体" w:hAnsi="宋体" w:eastAsia="宋体" w:cs="宋体"/>
          <w:b/>
          <w:color w:val="auto"/>
          <w:sz w:val="24"/>
          <w:szCs w:val="24"/>
          <w:highlight w:val="none"/>
          <w:lang w:eastAsia="zh-CN"/>
        </w:rPr>
        <w:br w:type="page"/>
      </w:r>
    </w:p>
    <w:p w14:paraId="1A4037B1">
      <w:pPr>
        <w:widowControl/>
        <w:wordWrap/>
        <w:snapToGrid w:val="0"/>
        <w:spacing w:before="157" w:beforeLines="50" w:line="560" w:lineRule="exact"/>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附件8：</w:t>
      </w:r>
      <w:bookmarkEnd w:id="202"/>
      <w:r>
        <w:rPr>
          <w:rFonts w:hint="eastAsia" w:ascii="宋体" w:hAnsi="宋体" w:eastAsia="宋体" w:cs="宋体"/>
          <w:b/>
          <w:color w:val="auto"/>
          <w:sz w:val="24"/>
          <w:szCs w:val="24"/>
          <w:highlight w:val="none"/>
          <w:lang w:eastAsia="zh-CN"/>
        </w:rPr>
        <w:t>无重大违法记录声明</w:t>
      </w:r>
      <w:bookmarkEnd w:id="203"/>
      <w:bookmarkEnd w:id="204"/>
      <w:bookmarkEnd w:id="205"/>
    </w:p>
    <w:p w14:paraId="2BAB1025">
      <w:pPr>
        <w:wordWrap/>
        <w:spacing w:before="157" w:beforeLines="50" w:line="560" w:lineRule="exact"/>
        <w:jc w:val="center"/>
        <w:outlineLvl w:val="9"/>
        <w:rPr>
          <w:rFonts w:hint="eastAsia" w:ascii="宋体" w:hAnsi="宋体" w:eastAsia="宋体" w:cs="宋体"/>
          <w:b/>
          <w:bCs/>
          <w:color w:val="auto"/>
          <w:sz w:val="24"/>
          <w:szCs w:val="24"/>
          <w:highlight w:val="none"/>
        </w:rPr>
      </w:pPr>
      <w:bookmarkStart w:id="208" w:name="_Toc25610_WPSOffice_Level3"/>
      <w:r>
        <w:rPr>
          <w:rFonts w:hint="eastAsia" w:ascii="宋体" w:hAnsi="宋体" w:eastAsia="宋体" w:cs="宋体"/>
          <w:b/>
          <w:color w:val="auto"/>
          <w:sz w:val="24"/>
          <w:szCs w:val="24"/>
          <w:highlight w:val="none"/>
          <w:lang w:val="zh-CN" w:eastAsia="zh-CN"/>
        </w:rPr>
        <w:t>无重大违法记录声明</w:t>
      </w:r>
      <w:bookmarkEnd w:id="208"/>
    </w:p>
    <w:p w14:paraId="3A25E85F">
      <w:pPr>
        <w:widowControl w:val="0"/>
        <w:wordWrap/>
        <w:adjustRightInd/>
        <w:snapToGrid/>
        <w:spacing w:line="560" w:lineRule="exac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val="0"/>
          <w:bCs w:val="0"/>
          <w:color w:val="auto"/>
          <w:sz w:val="24"/>
          <w:szCs w:val="24"/>
          <w:highlight w:val="none"/>
        </w:rPr>
        <w:t>致：</w:t>
      </w:r>
      <w:r>
        <w:rPr>
          <w:rFonts w:hint="eastAsia" w:ascii="宋体" w:hAnsi="宋体" w:eastAsia="宋体" w:cs="宋体"/>
          <w:b w:val="0"/>
          <w:bCs w:val="0"/>
          <w:color w:val="auto"/>
          <w:sz w:val="24"/>
          <w:szCs w:val="24"/>
          <w:highlight w:val="none"/>
          <w:u w:val="single"/>
          <w:lang w:eastAsia="zh-CN"/>
        </w:rPr>
        <w:t>（代理机构名称）</w:t>
      </w:r>
    </w:p>
    <w:p w14:paraId="679A905C">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我单位参加本次政府采购项目活动前三年内，在经营活动中无重大违法活动记录，符合《政府采购法》规定的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资格条</w:t>
      </w:r>
      <w:r>
        <w:rPr>
          <w:rFonts w:hint="eastAsia" w:ascii="宋体" w:hAnsi="宋体" w:eastAsia="宋体" w:cs="宋体"/>
          <w:color w:val="auto"/>
          <w:sz w:val="24"/>
          <w:szCs w:val="24"/>
          <w:highlight w:val="none"/>
          <w:shd w:val="clear" w:color="auto" w:fill="FFFFFF"/>
        </w:rPr>
        <w:t>件。我方对此声明负全部法律责任。</w:t>
      </w:r>
    </w:p>
    <w:p w14:paraId="09B68601">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7F23E3E">
      <w:pPr>
        <w:widowControl w:val="0"/>
        <w:wordWrap/>
        <w:autoSpaceDE w:val="0"/>
        <w:autoSpaceDN w:val="0"/>
        <w:adjustRightInd/>
        <w:snapToGrid/>
        <w:spacing w:line="560" w:lineRule="exact"/>
        <w:jc w:val="left"/>
        <w:textAlignment w:val="auto"/>
        <w:outlineLvl w:val="9"/>
        <w:rPr>
          <w:rFonts w:hint="eastAsia" w:ascii="宋体" w:hAnsi="宋体" w:eastAsia="宋体" w:cs="宋体"/>
          <w:color w:val="auto"/>
          <w:kern w:val="0"/>
          <w:sz w:val="24"/>
          <w:szCs w:val="24"/>
          <w:highlight w:val="none"/>
          <w:lang w:val="zh-CN"/>
        </w:rPr>
      </w:pPr>
    </w:p>
    <w:p w14:paraId="1A3247E8">
      <w:pPr>
        <w:widowControl w:val="0"/>
        <w:wordWrap/>
        <w:autoSpaceDE w:val="0"/>
        <w:autoSpaceDN w:val="0"/>
        <w:adjustRightInd/>
        <w:snapToGrid/>
        <w:spacing w:line="56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附“信用中国”网站“下载信用信息”栏中的信用信息，时间为</w:t>
      </w:r>
      <w:r>
        <w:rPr>
          <w:rFonts w:hint="eastAsia" w:ascii="宋体" w:hAnsi="宋体" w:eastAsia="宋体" w:cs="宋体"/>
          <w:color w:val="auto"/>
          <w:kern w:val="0"/>
          <w:sz w:val="24"/>
          <w:szCs w:val="24"/>
          <w:highlight w:val="none"/>
          <w:lang w:eastAsia="zh-CN"/>
        </w:rPr>
        <w:t>谈判文件响应</w:t>
      </w:r>
      <w:r>
        <w:rPr>
          <w:rFonts w:hint="eastAsia" w:ascii="宋体" w:hAnsi="宋体" w:eastAsia="宋体" w:cs="宋体"/>
          <w:color w:val="auto"/>
          <w:kern w:val="0"/>
          <w:sz w:val="24"/>
          <w:szCs w:val="24"/>
          <w:highlight w:val="none"/>
        </w:rPr>
        <w:t>截止时间前</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天内</w:t>
      </w:r>
      <w:r>
        <w:rPr>
          <w:rFonts w:hint="eastAsia" w:ascii="宋体" w:hAnsi="宋体" w:eastAsia="宋体" w:cs="宋体"/>
          <w:color w:val="auto"/>
          <w:sz w:val="24"/>
          <w:szCs w:val="24"/>
          <w:highlight w:val="none"/>
        </w:rPr>
        <w:t>。</w:t>
      </w:r>
    </w:p>
    <w:p w14:paraId="5B1E187C">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p>
    <w:p w14:paraId="7CD3EC04">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lang w:val="en-US" w:eastAsia="zh-CN"/>
        </w:rPr>
      </w:pPr>
    </w:p>
    <w:p w14:paraId="5783BF15">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bookmarkStart w:id="209" w:name="_Toc21607_WPSOffice_Level3"/>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209"/>
    </w:p>
    <w:p w14:paraId="432016CD">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210" w:name="_Toc14292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210"/>
    </w:p>
    <w:p w14:paraId="6CDB7F54">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bookmarkStart w:id="211" w:name="_Toc15350_WPSOffice_Level3"/>
      <w:r>
        <w:rPr>
          <w:rFonts w:hint="eastAsia" w:ascii="宋体" w:hAnsi="宋体" w:eastAsia="宋体" w:cs="宋体"/>
          <w:b w:val="0"/>
          <w:bCs/>
          <w:color w:val="auto"/>
          <w:sz w:val="24"/>
          <w:szCs w:val="24"/>
          <w:highlight w:val="none"/>
        </w:rPr>
        <w:t>年   月  日</w:t>
      </w:r>
      <w:bookmarkEnd w:id="211"/>
      <w:bookmarkStart w:id="212" w:name="_Toc22471"/>
      <w:bookmarkStart w:id="213" w:name="_Toc132_WPSOffice_Level3"/>
      <w:bookmarkStart w:id="214" w:name="_Toc24810"/>
    </w:p>
    <w:p w14:paraId="21444DE9">
      <w:pP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br w:type="page"/>
      </w:r>
    </w:p>
    <w:p w14:paraId="72D094E2">
      <w:pPr>
        <w:outlineLvl w:val="9"/>
        <w:rPr>
          <w:rFonts w:hint="eastAsia" w:ascii="宋体" w:hAnsi="宋体" w:eastAsia="宋体" w:cs="宋体"/>
          <w:color w:val="auto"/>
          <w:sz w:val="24"/>
          <w:szCs w:val="24"/>
          <w:highlight w:val="none"/>
          <w:lang w:val="zh-CN"/>
        </w:rPr>
      </w:pPr>
      <w:r>
        <w:rPr>
          <w:rFonts w:hint="eastAsia" w:ascii="宋体" w:hAnsi="宋体" w:eastAsia="宋体" w:cs="宋体"/>
          <w:b/>
          <w:bCs w:val="0"/>
          <w:color w:val="auto"/>
          <w:kern w:val="2"/>
          <w:sz w:val="24"/>
          <w:szCs w:val="24"/>
          <w:highlight w:val="none"/>
          <w:lang w:val="en-US" w:eastAsia="zh-CN" w:bidi="ar-SA"/>
        </w:rPr>
        <w:t>附件9：谈判</w:t>
      </w:r>
      <w:r>
        <w:rPr>
          <w:rFonts w:hint="eastAsia" w:ascii="宋体" w:hAnsi="宋体" w:eastAsia="宋体" w:cs="宋体"/>
          <w:b/>
          <w:bCs w:val="0"/>
          <w:color w:val="auto"/>
          <w:kern w:val="2"/>
          <w:sz w:val="24"/>
          <w:szCs w:val="24"/>
          <w:highlight w:val="none"/>
          <w:lang w:val="zh-CN" w:eastAsia="zh-CN" w:bidi="ar-SA"/>
        </w:rPr>
        <w:t>保证金证明</w:t>
      </w:r>
      <w:bookmarkEnd w:id="206"/>
      <w:bookmarkEnd w:id="207"/>
      <w:bookmarkEnd w:id="212"/>
      <w:bookmarkEnd w:id="213"/>
      <w:bookmarkEnd w:id="214"/>
    </w:p>
    <w:p w14:paraId="26C0E95A">
      <w:pPr>
        <w:wordWrap/>
        <w:spacing w:before="157" w:beforeLines="50" w:line="560" w:lineRule="exact"/>
        <w:jc w:val="center"/>
        <w:outlineLvl w:val="9"/>
        <w:rPr>
          <w:rFonts w:hint="eastAsia" w:ascii="宋体" w:hAnsi="宋体" w:eastAsia="宋体" w:cs="宋体"/>
          <w:b/>
          <w:bCs/>
          <w:color w:val="auto"/>
          <w:kern w:val="0"/>
          <w:sz w:val="24"/>
          <w:szCs w:val="24"/>
          <w:highlight w:val="none"/>
          <w:lang w:val="zh-CN"/>
        </w:rPr>
      </w:pPr>
      <w:bookmarkStart w:id="215" w:name="_Toc27502_WPSOffice_Level3"/>
      <w:r>
        <w:rPr>
          <w:rFonts w:hint="eastAsia" w:ascii="宋体" w:hAnsi="宋体" w:eastAsia="宋体" w:cs="宋体"/>
          <w:b/>
          <w:color w:val="auto"/>
          <w:sz w:val="24"/>
          <w:szCs w:val="24"/>
          <w:highlight w:val="none"/>
          <w:lang w:val="zh-CN" w:eastAsia="zh-CN"/>
        </w:rPr>
        <w:t>谈判保证金证明</w:t>
      </w:r>
      <w:bookmarkEnd w:id="215"/>
    </w:p>
    <w:p w14:paraId="64A5E4C9">
      <w:pPr>
        <w:widowControl w:val="0"/>
        <w:wordWrap/>
        <w:autoSpaceDE w:val="0"/>
        <w:autoSpaceDN w:val="0"/>
        <w:adjustRightInd/>
        <w:snapToGrid/>
        <w:spacing w:line="560" w:lineRule="exact"/>
        <w:textAlignment w:val="auto"/>
        <w:outlineLvl w:val="9"/>
        <w:rPr>
          <w:rFonts w:hint="eastAsia" w:ascii="宋体" w:hAnsi="宋体" w:eastAsia="宋体" w:cs="宋体"/>
          <w:b/>
          <w:bCs/>
          <w:color w:val="auto"/>
          <w:kern w:val="0"/>
          <w:sz w:val="24"/>
          <w:szCs w:val="24"/>
          <w:highlight w:val="none"/>
          <w:lang w:val="zh-CN"/>
        </w:rPr>
      </w:pPr>
      <w:bookmarkStart w:id="216" w:name="_Toc1388_WPSOffice_Level2"/>
      <w:bookmarkStart w:id="217" w:name="_Toc21234_WPSOffice_Level2"/>
      <w:bookmarkStart w:id="218" w:name="_Toc12243_WPSOffice_Level2"/>
      <w:r>
        <w:rPr>
          <w:rFonts w:hint="eastAsia" w:ascii="宋体" w:hAnsi="宋体" w:eastAsia="宋体" w:cs="宋体"/>
          <w:b/>
          <w:bCs/>
          <w:color w:val="auto"/>
          <w:kern w:val="0"/>
          <w:sz w:val="24"/>
          <w:szCs w:val="24"/>
          <w:highlight w:val="none"/>
          <w:lang w:val="zh-CN"/>
        </w:rPr>
        <w:t>致：</w:t>
      </w:r>
      <w:r>
        <w:rPr>
          <w:rFonts w:hint="eastAsia" w:ascii="宋体" w:hAnsi="宋体" w:eastAsia="宋体" w:cs="宋体"/>
          <w:b/>
          <w:bCs/>
          <w:color w:val="auto"/>
          <w:kern w:val="0"/>
          <w:sz w:val="24"/>
          <w:szCs w:val="24"/>
          <w:highlight w:val="none"/>
          <w:u w:val="single"/>
          <w:lang w:val="zh-CN"/>
        </w:rPr>
        <w:t>采购代理机构</w:t>
      </w:r>
      <w:bookmarkEnd w:id="216"/>
      <w:bookmarkEnd w:id="217"/>
      <w:bookmarkEnd w:id="218"/>
    </w:p>
    <w:p w14:paraId="4EABFBE1">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我方为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（采购项目名称）项目（采购项目编号为：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）递交保证金人民币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（大写：人民币</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元）已于</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日以转账方式汇入你方账户。</w:t>
      </w:r>
    </w:p>
    <w:p w14:paraId="39A37AA1">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附</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保证金交款证明复印件（加盖公章）</w:t>
      </w:r>
    </w:p>
    <w:p w14:paraId="7CFC0D53">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C71F421">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户    名：</w:t>
      </w:r>
    </w:p>
    <w:p w14:paraId="525FAC80">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开户银行：</w:t>
      </w:r>
    </w:p>
    <w:p w14:paraId="00CB1286">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开户</w:t>
      </w:r>
      <w:r>
        <w:rPr>
          <w:rFonts w:hint="eastAsia" w:ascii="宋体" w:hAnsi="宋体" w:eastAsia="宋体" w:cs="宋体"/>
          <w:color w:val="auto"/>
          <w:kern w:val="0"/>
          <w:sz w:val="24"/>
          <w:szCs w:val="24"/>
          <w:highlight w:val="none"/>
          <w:lang w:val="en-US" w:eastAsia="zh-CN"/>
        </w:rPr>
        <w:t>账</w:t>
      </w:r>
      <w:r>
        <w:rPr>
          <w:rFonts w:hint="eastAsia" w:ascii="宋体" w:hAnsi="宋体" w:eastAsia="宋体" w:cs="宋体"/>
          <w:color w:val="auto"/>
          <w:kern w:val="0"/>
          <w:sz w:val="24"/>
          <w:szCs w:val="24"/>
          <w:highlight w:val="none"/>
          <w:lang w:val="zh-CN"/>
        </w:rPr>
        <w:t>号：</w:t>
      </w:r>
    </w:p>
    <w:p w14:paraId="7F1C456B">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p>
    <w:p w14:paraId="1D298DE4">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lang w:val="en-US" w:eastAsia="zh-CN"/>
        </w:rPr>
      </w:pPr>
    </w:p>
    <w:p w14:paraId="34FC1AF0">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bookmarkStart w:id="219" w:name="_Toc16036_WPSOffice_Level3"/>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219"/>
    </w:p>
    <w:p w14:paraId="7B8156F5">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220" w:name="_Toc4114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220"/>
    </w:p>
    <w:p w14:paraId="1CB152BE">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bookmarkStart w:id="221" w:name="_Toc26055_WPSOffice_Level3"/>
      <w:r>
        <w:rPr>
          <w:rFonts w:hint="eastAsia" w:ascii="宋体" w:hAnsi="宋体" w:eastAsia="宋体" w:cs="宋体"/>
          <w:b w:val="0"/>
          <w:bCs/>
          <w:color w:val="auto"/>
          <w:sz w:val="24"/>
          <w:szCs w:val="24"/>
          <w:highlight w:val="none"/>
        </w:rPr>
        <w:t>年   月  日</w:t>
      </w:r>
      <w:bookmarkEnd w:id="221"/>
    </w:p>
    <w:p w14:paraId="74D2E76D">
      <w:pPr>
        <w:wordWrap/>
        <w:autoSpaceDE w:val="0"/>
        <w:autoSpaceDN w:val="0"/>
        <w:spacing w:before="157" w:beforeLines="50" w:line="560" w:lineRule="exact"/>
        <w:outlineLvl w:val="9"/>
        <w:rPr>
          <w:rFonts w:hint="eastAsia" w:ascii="宋体" w:hAnsi="宋体" w:eastAsia="宋体" w:cs="宋体"/>
          <w:b/>
          <w:bCs/>
          <w:color w:val="auto"/>
          <w:kern w:val="0"/>
          <w:sz w:val="24"/>
          <w:szCs w:val="24"/>
          <w:highlight w:val="none"/>
          <w:lang w:val="zh-CN"/>
        </w:rPr>
      </w:pPr>
    </w:p>
    <w:p w14:paraId="02CBA924">
      <w:pPr>
        <w:wordWrap/>
        <w:spacing w:before="157" w:beforeLines="50" w:line="560" w:lineRule="exact"/>
        <w:outlineLvl w:val="9"/>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br w:type="page"/>
      </w:r>
    </w:p>
    <w:p w14:paraId="267CBCA9">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36"/>
          <w:szCs w:val="36"/>
          <w:highlight w:val="none"/>
        </w:rPr>
      </w:pPr>
      <w:bookmarkStart w:id="222" w:name="_Toc24560_WPSOffice_Level2"/>
      <w:bookmarkStart w:id="223" w:name="_Toc20688_WPSOffice_Level2"/>
    </w:p>
    <w:p w14:paraId="08B3C999">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36"/>
          <w:szCs w:val="36"/>
          <w:highlight w:val="none"/>
        </w:rPr>
      </w:pPr>
    </w:p>
    <w:p w14:paraId="35E004D2">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青海省政府采购项目</w:t>
      </w:r>
      <w:bookmarkEnd w:id="222"/>
      <w:bookmarkEnd w:id="223"/>
    </w:p>
    <w:p w14:paraId="669009E5">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36"/>
          <w:szCs w:val="36"/>
          <w:highlight w:val="none"/>
        </w:rPr>
      </w:pPr>
      <w:bookmarkStart w:id="224" w:name="_Toc1190_WPSOffice_Level2"/>
      <w:bookmarkStart w:id="225" w:name="_Toc30784_WPSOffice_Level2"/>
      <w:r>
        <w:rPr>
          <w:rFonts w:hint="eastAsia" w:ascii="宋体" w:hAnsi="宋体" w:eastAsia="宋体" w:cs="宋体"/>
          <w:b/>
          <w:color w:val="auto"/>
          <w:sz w:val="36"/>
          <w:szCs w:val="36"/>
          <w:highlight w:val="none"/>
        </w:rPr>
        <w:t>谈判响应文件</w:t>
      </w:r>
      <w:bookmarkEnd w:id="224"/>
      <w:bookmarkEnd w:id="225"/>
    </w:p>
    <w:p w14:paraId="71D87057">
      <w:pPr>
        <w:wordWrap/>
        <w:adjustRightInd w:val="0"/>
        <w:spacing w:before="157" w:beforeLines="50" w:line="560" w:lineRule="exact"/>
        <w:jc w:val="center"/>
        <w:textAlignment w:val="baseline"/>
        <w:outlineLvl w:val="9"/>
        <w:rPr>
          <w:rFonts w:hint="eastAsia" w:ascii="宋体" w:hAnsi="宋体" w:eastAsia="宋体" w:cs="宋体"/>
          <w:b/>
          <w:bCs/>
          <w:color w:val="auto"/>
          <w:sz w:val="28"/>
          <w:szCs w:val="28"/>
          <w:highlight w:val="none"/>
        </w:rPr>
      </w:pPr>
      <w:bookmarkStart w:id="226" w:name="_Toc5068_WPSOffice_Level2"/>
      <w:bookmarkStart w:id="227" w:name="_Toc24224_WPSOffice_Level2"/>
      <w:r>
        <w:rPr>
          <w:rFonts w:hint="eastAsia" w:ascii="宋体" w:hAnsi="宋体" w:eastAsia="宋体" w:cs="宋体"/>
          <w:b/>
          <w:bCs/>
          <w:color w:val="auto"/>
          <w:sz w:val="28"/>
          <w:szCs w:val="28"/>
          <w:highlight w:val="none"/>
        </w:rPr>
        <w:t>（</w:t>
      </w:r>
      <w:r>
        <w:rPr>
          <w:rFonts w:hint="eastAsia" w:ascii="宋体" w:hAnsi="宋体" w:eastAsia="宋体" w:cs="宋体"/>
          <w:b w:val="0"/>
          <w:bCs w:val="0"/>
          <w:color w:val="auto"/>
          <w:kern w:val="2"/>
          <w:sz w:val="28"/>
          <w:szCs w:val="28"/>
          <w:highlight w:val="none"/>
          <w:lang w:val="en-US" w:eastAsia="zh-CN" w:bidi="ar-SA"/>
        </w:rPr>
        <w:t>有效性、完整性、响应程度审查部分</w:t>
      </w:r>
      <w:r>
        <w:rPr>
          <w:rFonts w:hint="eastAsia" w:ascii="宋体" w:hAnsi="宋体" w:eastAsia="宋体" w:cs="宋体"/>
          <w:b/>
          <w:bCs/>
          <w:color w:val="auto"/>
          <w:sz w:val="28"/>
          <w:szCs w:val="28"/>
          <w:highlight w:val="none"/>
        </w:rPr>
        <w:t>）</w:t>
      </w:r>
      <w:bookmarkEnd w:id="226"/>
      <w:bookmarkEnd w:id="227"/>
    </w:p>
    <w:p w14:paraId="6561587D">
      <w:pPr>
        <w:wordWrap/>
        <w:adjustRightInd w:val="0"/>
        <w:spacing w:before="157" w:beforeLines="50" w:line="560" w:lineRule="exact"/>
        <w:textAlignment w:val="baseline"/>
        <w:outlineLvl w:val="9"/>
        <w:rPr>
          <w:rFonts w:hint="eastAsia" w:ascii="宋体" w:hAnsi="宋体" w:eastAsia="宋体" w:cs="宋体"/>
          <w:b/>
          <w:bCs/>
          <w:color w:val="auto"/>
          <w:sz w:val="24"/>
          <w:szCs w:val="24"/>
          <w:highlight w:val="none"/>
        </w:rPr>
      </w:pPr>
    </w:p>
    <w:p w14:paraId="35B8957E">
      <w:pPr>
        <w:wordWrap/>
        <w:adjustRightInd w:val="0"/>
        <w:spacing w:before="157" w:beforeLines="50" w:line="560" w:lineRule="exact"/>
        <w:textAlignment w:val="baseline"/>
        <w:outlineLvl w:val="9"/>
        <w:rPr>
          <w:rFonts w:hint="eastAsia" w:ascii="宋体" w:hAnsi="宋体" w:eastAsia="宋体" w:cs="宋体"/>
          <w:b/>
          <w:bCs/>
          <w:color w:val="auto"/>
          <w:sz w:val="24"/>
          <w:szCs w:val="24"/>
          <w:highlight w:val="none"/>
        </w:rPr>
      </w:pPr>
    </w:p>
    <w:p w14:paraId="2BF38086">
      <w:pPr>
        <w:wordWrap/>
        <w:adjustRightInd w:val="0"/>
        <w:spacing w:before="157" w:beforeLines="50" w:line="560" w:lineRule="exact"/>
        <w:textAlignment w:val="baseline"/>
        <w:outlineLvl w:val="9"/>
        <w:rPr>
          <w:rFonts w:hint="eastAsia" w:ascii="宋体" w:hAnsi="宋体" w:eastAsia="宋体" w:cs="宋体"/>
          <w:b/>
          <w:bCs/>
          <w:color w:val="auto"/>
          <w:sz w:val="24"/>
          <w:szCs w:val="24"/>
          <w:highlight w:val="none"/>
        </w:rPr>
      </w:pPr>
    </w:p>
    <w:p w14:paraId="68A08C79">
      <w:pPr>
        <w:wordWrap/>
        <w:adjustRightInd w:val="0"/>
        <w:spacing w:before="157" w:beforeLines="50" w:line="560" w:lineRule="exact"/>
        <w:textAlignment w:val="baseline"/>
        <w:outlineLvl w:val="9"/>
        <w:rPr>
          <w:rFonts w:hint="eastAsia" w:ascii="宋体" w:hAnsi="宋体" w:eastAsia="宋体" w:cs="宋体"/>
          <w:b/>
          <w:bCs/>
          <w:color w:val="auto"/>
          <w:sz w:val="28"/>
          <w:szCs w:val="28"/>
          <w:highlight w:val="none"/>
          <w:lang w:eastAsia="zh-CN"/>
        </w:rPr>
      </w:pPr>
      <w:bookmarkStart w:id="228" w:name="_Toc16258_WPSOffice_Level2"/>
      <w:bookmarkStart w:id="229" w:name="_Toc14028_WPSOffice_Level2"/>
      <w:r>
        <w:rPr>
          <w:rFonts w:hint="eastAsia" w:ascii="宋体" w:hAnsi="宋体" w:eastAsia="宋体" w:cs="宋体"/>
          <w:b/>
          <w:bCs/>
          <w:color w:val="auto"/>
          <w:sz w:val="28"/>
          <w:szCs w:val="28"/>
          <w:highlight w:val="none"/>
        </w:rPr>
        <w:t>采购项目编号</w:t>
      </w:r>
      <w:bookmarkEnd w:id="228"/>
      <w:bookmarkEnd w:id="229"/>
      <w:r>
        <w:rPr>
          <w:rFonts w:hint="eastAsia" w:ascii="宋体" w:hAnsi="宋体" w:eastAsia="宋体" w:cs="宋体"/>
          <w:b/>
          <w:bCs/>
          <w:color w:val="auto"/>
          <w:sz w:val="28"/>
          <w:szCs w:val="28"/>
          <w:highlight w:val="none"/>
          <w:lang w:eastAsia="zh-CN"/>
        </w:rPr>
        <w:t>：</w:t>
      </w:r>
    </w:p>
    <w:p w14:paraId="78301F32">
      <w:pPr>
        <w:wordWrap/>
        <w:spacing w:before="157" w:beforeLines="50" w:line="560" w:lineRule="exact"/>
        <w:ind w:left="2530" w:hanging="1968" w:hangingChars="700"/>
        <w:jc w:val="left"/>
        <w:outlineLvl w:val="9"/>
        <w:rPr>
          <w:rFonts w:hint="eastAsia" w:ascii="宋体" w:hAnsi="宋体" w:eastAsia="宋体" w:cs="宋体"/>
          <w:b/>
          <w:bCs/>
          <w:color w:val="auto"/>
          <w:sz w:val="28"/>
          <w:szCs w:val="28"/>
          <w:highlight w:val="none"/>
          <w:lang w:eastAsia="zh-CN"/>
        </w:rPr>
      </w:pPr>
      <w:bookmarkStart w:id="230" w:name="_Toc173_WPSOffice_Level2"/>
      <w:bookmarkStart w:id="231" w:name="_Toc25982_WPSOffice_Level2"/>
      <w:r>
        <w:rPr>
          <w:rFonts w:hint="eastAsia" w:ascii="宋体" w:hAnsi="宋体" w:eastAsia="宋体" w:cs="宋体"/>
          <w:b/>
          <w:bCs/>
          <w:color w:val="auto"/>
          <w:sz w:val="28"/>
          <w:szCs w:val="28"/>
          <w:highlight w:val="none"/>
        </w:rPr>
        <w:t>采购项目名称</w:t>
      </w:r>
      <w:bookmarkEnd w:id="230"/>
      <w:bookmarkEnd w:id="231"/>
      <w:r>
        <w:rPr>
          <w:rFonts w:hint="eastAsia" w:ascii="宋体" w:hAnsi="宋体" w:eastAsia="宋体" w:cs="宋体"/>
          <w:b/>
          <w:bCs/>
          <w:color w:val="auto"/>
          <w:sz w:val="28"/>
          <w:szCs w:val="28"/>
          <w:highlight w:val="none"/>
          <w:lang w:eastAsia="zh-CN"/>
        </w:rPr>
        <w:t>：</w:t>
      </w:r>
    </w:p>
    <w:p w14:paraId="6BBD0679">
      <w:pPr>
        <w:wordWrap/>
        <w:spacing w:before="157" w:beforeLines="50" w:line="560" w:lineRule="exact"/>
        <w:ind w:left="2530" w:hanging="1968" w:hangingChars="700"/>
        <w:jc w:val="left"/>
        <w:outlineLvl w:val="9"/>
        <w:rPr>
          <w:rFonts w:hint="eastAsia" w:ascii="宋体" w:hAnsi="宋体" w:eastAsia="宋体" w:cs="宋体"/>
          <w:b/>
          <w:bCs/>
          <w:color w:val="auto"/>
          <w:sz w:val="28"/>
          <w:szCs w:val="28"/>
          <w:highlight w:val="none"/>
          <w:lang w:eastAsia="zh-CN"/>
        </w:rPr>
      </w:pPr>
      <w:bookmarkStart w:id="232" w:name="_Toc19360_WPSOffice_Level2"/>
      <w:bookmarkStart w:id="233" w:name="_Toc24014_WPSOffice_Level2"/>
      <w:r>
        <w:rPr>
          <w:rFonts w:hint="eastAsia" w:ascii="宋体" w:hAnsi="宋体" w:eastAsia="宋体" w:cs="宋体"/>
          <w:b/>
          <w:bCs/>
          <w:color w:val="auto"/>
          <w:sz w:val="28"/>
          <w:szCs w:val="28"/>
          <w:highlight w:val="none"/>
          <w:lang w:eastAsia="zh-CN"/>
        </w:rPr>
        <w:t>供应商名称：</w:t>
      </w:r>
      <w:bookmarkEnd w:id="232"/>
      <w:bookmarkEnd w:id="233"/>
    </w:p>
    <w:p w14:paraId="2894119B">
      <w:pPr>
        <w:wordWrap/>
        <w:spacing w:before="157" w:beforeLines="50" w:line="560" w:lineRule="exact"/>
        <w:jc w:val="center"/>
        <w:outlineLvl w:val="9"/>
        <w:rPr>
          <w:rFonts w:hint="eastAsia" w:ascii="宋体" w:hAnsi="宋体" w:eastAsia="宋体" w:cs="宋体"/>
          <w:b/>
          <w:bCs/>
          <w:color w:val="auto"/>
          <w:sz w:val="28"/>
          <w:szCs w:val="28"/>
          <w:highlight w:val="none"/>
        </w:rPr>
      </w:pPr>
    </w:p>
    <w:p w14:paraId="06EC04B8">
      <w:pPr>
        <w:wordWrap/>
        <w:spacing w:before="157" w:beforeLines="50" w:line="560" w:lineRule="exact"/>
        <w:jc w:val="center"/>
        <w:outlineLvl w:val="9"/>
        <w:rPr>
          <w:rFonts w:hint="eastAsia" w:ascii="宋体" w:hAnsi="宋体" w:eastAsia="宋体" w:cs="宋体"/>
          <w:b/>
          <w:color w:val="auto"/>
          <w:sz w:val="28"/>
          <w:szCs w:val="28"/>
          <w:highlight w:val="none"/>
        </w:rPr>
      </w:pPr>
      <w:bookmarkStart w:id="234" w:name="_Toc17697_WPSOffice_Level3"/>
      <w:r>
        <w:rPr>
          <w:rFonts w:hint="eastAsia" w:ascii="宋体" w:hAnsi="宋体" w:eastAsia="宋体" w:cs="宋体"/>
          <w:b/>
          <w:color w:val="auto"/>
          <w:sz w:val="28"/>
          <w:szCs w:val="28"/>
          <w:highlight w:val="none"/>
        </w:rPr>
        <w:t>年  月  日</w:t>
      </w:r>
      <w:bookmarkEnd w:id="234"/>
    </w:p>
    <w:p w14:paraId="1A359DCC">
      <w:pPr>
        <w:widowControl/>
        <w:wordWrap/>
        <w:snapToGrid w:val="0"/>
        <w:spacing w:before="157" w:beforeLines="50" w:line="560" w:lineRule="exact"/>
        <w:outlineLvl w:val="9"/>
        <w:rPr>
          <w:rFonts w:hint="eastAsia" w:ascii="宋体" w:hAnsi="宋体" w:eastAsia="宋体" w:cs="宋体"/>
          <w:b/>
          <w:color w:val="auto"/>
          <w:sz w:val="24"/>
          <w:szCs w:val="24"/>
          <w:highlight w:val="none"/>
        </w:rPr>
      </w:pPr>
    </w:p>
    <w:p w14:paraId="1D1BA761">
      <w:pPr>
        <w:rPr>
          <w:rFonts w:hint="eastAsia" w:ascii="宋体" w:hAnsi="宋体" w:eastAsia="宋体" w:cs="宋体"/>
          <w:b/>
          <w:bCs w:val="0"/>
          <w:color w:val="auto"/>
          <w:kern w:val="2"/>
          <w:sz w:val="24"/>
          <w:szCs w:val="24"/>
          <w:highlight w:val="none"/>
          <w:lang w:val="en-US" w:eastAsia="zh-CN" w:bidi="ar-SA"/>
        </w:rPr>
      </w:pPr>
      <w:bookmarkStart w:id="235" w:name="_Toc28116"/>
      <w:bookmarkStart w:id="236" w:name="_Toc13416_WPSOffice_Level3"/>
      <w:bookmarkStart w:id="237" w:name="_Toc2646_WPSOffice_Level3"/>
      <w:bookmarkStart w:id="238" w:name="_Toc30881"/>
      <w:bookmarkStart w:id="239" w:name="_Toc18715"/>
      <w:bookmarkStart w:id="240" w:name="_Toc3360"/>
      <w:r>
        <w:rPr>
          <w:rFonts w:hint="eastAsia" w:ascii="宋体" w:hAnsi="宋体" w:eastAsia="宋体" w:cs="宋体"/>
          <w:b/>
          <w:bCs w:val="0"/>
          <w:color w:val="auto"/>
          <w:kern w:val="2"/>
          <w:sz w:val="24"/>
          <w:szCs w:val="24"/>
          <w:highlight w:val="none"/>
          <w:lang w:val="en-US" w:eastAsia="zh-CN" w:bidi="ar-SA"/>
        </w:rPr>
        <w:br w:type="page"/>
      </w:r>
    </w:p>
    <w:p w14:paraId="3C6A1463">
      <w:pPr>
        <w:widowControl/>
        <w:wordWrap/>
        <w:snapToGrid w:val="0"/>
        <w:spacing w:before="157" w:beforeLines="50" w:line="560" w:lineRule="exact"/>
        <w:outlineLvl w:val="9"/>
        <w:rPr>
          <w:rFonts w:hint="eastAsia" w:ascii="宋体" w:hAnsi="宋体" w:eastAsia="宋体" w:cs="宋体"/>
          <w:b/>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附件10：谈判首次报价表</w:t>
      </w:r>
      <w:bookmarkEnd w:id="235"/>
      <w:bookmarkEnd w:id="236"/>
      <w:bookmarkEnd w:id="237"/>
      <w:bookmarkEnd w:id="238"/>
      <w:bookmarkEnd w:id="239"/>
      <w:bookmarkEnd w:id="240"/>
    </w:p>
    <w:p w14:paraId="76CA2E5B">
      <w:pPr>
        <w:wordWrap/>
        <w:spacing w:before="157" w:beforeLines="50" w:line="560" w:lineRule="exact"/>
        <w:jc w:val="center"/>
        <w:outlineLvl w:val="9"/>
        <w:rPr>
          <w:rFonts w:hint="eastAsia" w:ascii="宋体" w:hAnsi="宋体" w:eastAsia="宋体" w:cs="宋体"/>
          <w:b/>
          <w:color w:val="auto"/>
          <w:sz w:val="24"/>
          <w:szCs w:val="24"/>
          <w:highlight w:val="none"/>
        </w:rPr>
      </w:pPr>
      <w:bookmarkStart w:id="241" w:name="_Toc17115_WPSOffice_Level3"/>
      <w:bookmarkStart w:id="242" w:name="_Toc17322_WPSOffice_Level1"/>
      <w:bookmarkStart w:id="243" w:name="_Toc8724_WPSOffice_Level1"/>
      <w:r>
        <w:rPr>
          <w:rFonts w:hint="eastAsia" w:ascii="宋体" w:hAnsi="宋体" w:eastAsia="宋体" w:cs="宋体"/>
          <w:b/>
          <w:color w:val="auto"/>
          <w:sz w:val="24"/>
          <w:szCs w:val="24"/>
          <w:highlight w:val="none"/>
          <w:lang w:val="zh-CN" w:eastAsia="zh-CN"/>
        </w:rPr>
        <w:t>谈判首次报价表</w:t>
      </w:r>
      <w:bookmarkEnd w:id="241"/>
      <w:bookmarkEnd w:id="242"/>
      <w:bookmarkEnd w:id="243"/>
    </w:p>
    <w:p w14:paraId="3B9D5425">
      <w:pPr>
        <w:widowControl w:val="0"/>
        <w:wordWrap/>
        <w:snapToGrid/>
        <w:spacing w:line="560" w:lineRule="exact"/>
        <w:outlineLvl w:val="9"/>
        <w:rPr>
          <w:rFonts w:hint="eastAsia" w:ascii="宋体" w:hAnsi="宋体" w:eastAsia="宋体" w:cs="宋体"/>
          <w:b w:val="0"/>
          <w:bCs/>
          <w:color w:val="auto"/>
          <w:sz w:val="24"/>
          <w:szCs w:val="24"/>
          <w:highlight w:val="none"/>
        </w:rPr>
      </w:pPr>
      <w:bookmarkStart w:id="244" w:name="_Toc14507_WPSOffice_Level2"/>
      <w:r>
        <w:rPr>
          <w:rFonts w:hint="eastAsia" w:ascii="宋体" w:hAnsi="宋体" w:eastAsia="宋体" w:cs="宋体"/>
          <w:b w:val="0"/>
          <w:bCs/>
          <w:color w:val="auto"/>
          <w:sz w:val="24"/>
          <w:szCs w:val="24"/>
          <w:highlight w:val="none"/>
        </w:rPr>
        <w:t>供应商名称：</w:t>
      </w:r>
      <w:bookmarkEnd w:id="244"/>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单位：人民币(元)</w:t>
      </w:r>
    </w:p>
    <w:tbl>
      <w:tblPr>
        <w:tblStyle w:val="17"/>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4346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4B84E435">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2717" w:type="dxa"/>
            <w:vAlign w:val="center"/>
          </w:tcPr>
          <w:p w14:paraId="0450980C">
            <w:pPr>
              <w:widowControl w:val="0"/>
              <w:wordWrap/>
              <w:adjustRightInd w:val="0"/>
              <w:snapToGrid/>
              <w:spacing w:line="560" w:lineRule="exact"/>
              <w:jc w:val="center"/>
              <w:textAlignment w:val="baseline"/>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首次</w:t>
            </w:r>
            <w:r>
              <w:rPr>
                <w:rFonts w:hint="eastAsia" w:ascii="宋体" w:hAnsi="宋体" w:eastAsia="宋体" w:cs="宋体"/>
                <w:b w:val="0"/>
                <w:bCs/>
                <w:color w:val="auto"/>
                <w:sz w:val="24"/>
                <w:szCs w:val="24"/>
                <w:highlight w:val="none"/>
              </w:rPr>
              <w:t>报价</w:t>
            </w:r>
          </w:p>
        </w:tc>
        <w:tc>
          <w:tcPr>
            <w:tcW w:w="2670" w:type="dxa"/>
            <w:vAlign w:val="center"/>
          </w:tcPr>
          <w:p w14:paraId="0429AD77">
            <w:pPr>
              <w:widowControl w:val="0"/>
              <w:wordWrap/>
              <w:adjustRightInd w:val="0"/>
              <w:snapToGrid/>
              <w:spacing w:line="560" w:lineRule="exact"/>
              <w:jc w:val="center"/>
              <w:textAlignment w:val="baseline"/>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交货期</w:t>
            </w:r>
          </w:p>
        </w:tc>
        <w:tc>
          <w:tcPr>
            <w:tcW w:w="1560" w:type="dxa"/>
            <w:vAlign w:val="center"/>
          </w:tcPr>
          <w:p w14:paraId="51CC046C">
            <w:pPr>
              <w:widowControl w:val="0"/>
              <w:wordWrap/>
              <w:adjustRightInd w:val="0"/>
              <w:snapToGrid/>
              <w:spacing w:line="560" w:lineRule="exact"/>
              <w:ind w:left="274" w:leftChars="16" w:hanging="240" w:hangingChars="100"/>
              <w:jc w:val="center"/>
              <w:textAlignment w:val="baseline"/>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14:paraId="23AC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2BF498D2">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highlight w:val="none"/>
              </w:rPr>
            </w:pPr>
          </w:p>
        </w:tc>
        <w:tc>
          <w:tcPr>
            <w:tcW w:w="2717" w:type="dxa"/>
            <w:vAlign w:val="top"/>
          </w:tcPr>
          <w:p w14:paraId="1DCF58B0">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大写：</w:t>
            </w:r>
          </w:p>
        </w:tc>
        <w:tc>
          <w:tcPr>
            <w:tcW w:w="2670" w:type="dxa"/>
            <w:vMerge w:val="restart"/>
            <w:vAlign w:val="top"/>
          </w:tcPr>
          <w:p w14:paraId="1E5A8BEA">
            <w:pPr>
              <w:widowControl w:val="0"/>
              <w:wordWrap/>
              <w:adjustRightInd w:val="0"/>
              <w:snapToGrid/>
              <w:spacing w:line="560" w:lineRule="exact"/>
              <w:ind w:firstLine="196" w:firstLineChars="82"/>
              <w:textAlignment w:val="baseline"/>
              <w:outlineLvl w:val="9"/>
              <w:rPr>
                <w:rFonts w:hint="eastAsia" w:ascii="宋体" w:hAnsi="宋体" w:eastAsia="宋体" w:cs="宋体"/>
                <w:b w:val="0"/>
                <w:bCs/>
                <w:color w:val="auto"/>
                <w:sz w:val="24"/>
                <w:szCs w:val="24"/>
                <w:highlight w:val="none"/>
              </w:rPr>
            </w:pPr>
          </w:p>
        </w:tc>
        <w:tc>
          <w:tcPr>
            <w:tcW w:w="1560" w:type="dxa"/>
            <w:vMerge w:val="restart"/>
            <w:vAlign w:val="top"/>
          </w:tcPr>
          <w:p w14:paraId="553CC81D">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highlight w:val="none"/>
              </w:rPr>
            </w:pPr>
          </w:p>
        </w:tc>
      </w:tr>
      <w:tr w14:paraId="4033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34DAA665">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highlight w:val="none"/>
              </w:rPr>
            </w:pPr>
          </w:p>
        </w:tc>
        <w:tc>
          <w:tcPr>
            <w:tcW w:w="2717" w:type="dxa"/>
            <w:vAlign w:val="top"/>
          </w:tcPr>
          <w:p w14:paraId="29A49601">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小写：</w:t>
            </w:r>
          </w:p>
        </w:tc>
        <w:tc>
          <w:tcPr>
            <w:tcW w:w="2670" w:type="dxa"/>
            <w:vMerge w:val="continue"/>
            <w:vAlign w:val="top"/>
          </w:tcPr>
          <w:p w14:paraId="00C47765">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highlight w:val="none"/>
              </w:rPr>
            </w:pPr>
          </w:p>
        </w:tc>
        <w:tc>
          <w:tcPr>
            <w:tcW w:w="1560" w:type="dxa"/>
            <w:vMerge w:val="continue"/>
            <w:vAlign w:val="top"/>
          </w:tcPr>
          <w:p w14:paraId="06EEFE83">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highlight w:val="none"/>
              </w:rPr>
            </w:pPr>
          </w:p>
        </w:tc>
      </w:tr>
      <w:tr w14:paraId="244E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1126A8F6">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其他承诺及需要说明的事项：</w:t>
            </w:r>
          </w:p>
        </w:tc>
      </w:tr>
    </w:tbl>
    <w:p w14:paraId="1168F85D">
      <w:pPr>
        <w:widowControl w:val="0"/>
        <w:wordWrap/>
        <w:snapToGrid/>
        <w:spacing w:line="5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注：1、填写此表时不得改变表格形式。</w:t>
      </w:r>
    </w:p>
    <w:p w14:paraId="214EE37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报价为总价。包括</w:t>
      </w:r>
      <w:r>
        <w:rPr>
          <w:rFonts w:hint="eastAsia" w:ascii="宋体" w:hAnsi="宋体" w:eastAsia="宋体" w:cs="宋体"/>
          <w:bCs/>
          <w:color w:val="auto"/>
          <w:sz w:val="24"/>
          <w:szCs w:val="24"/>
          <w:highlight w:val="none"/>
        </w:rPr>
        <w:t>产品费、检验费、手续费、包装费、运输费、</w:t>
      </w:r>
      <w:r>
        <w:rPr>
          <w:rFonts w:hint="eastAsia" w:ascii="宋体" w:hAnsi="宋体" w:eastAsia="宋体" w:cs="宋体"/>
          <w:bCs/>
          <w:color w:val="auto"/>
          <w:sz w:val="24"/>
          <w:szCs w:val="24"/>
          <w:highlight w:val="none"/>
          <w:lang w:val="en-US" w:eastAsia="zh-CN"/>
        </w:rPr>
        <w:t>安装调试费、</w:t>
      </w:r>
      <w:r>
        <w:rPr>
          <w:rFonts w:hint="eastAsia" w:ascii="宋体" w:hAnsi="宋体" w:eastAsia="宋体" w:cs="宋体"/>
          <w:bCs/>
          <w:color w:val="auto"/>
          <w:sz w:val="24"/>
          <w:szCs w:val="24"/>
          <w:highlight w:val="none"/>
        </w:rPr>
        <w:t>保险费、税金、及其他不可预见费等全部费用。</w:t>
      </w:r>
    </w:p>
    <w:p w14:paraId="3630B51C">
      <w:pPr>
        <w:widowControl w:val="0"/>
        <w:wordWrap/>
        <w:snapToGrid/>
        <w:spacing w:line="5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3、“交货期”是指产品能够交付使用的具体时间。</w:t>
      </w:r>
    </w:p>
    <w:p w14:paraId="506B6DD4">
      <w:pPr>
        <w:wordWrap/>
        <w:spacing w:before="157" w:beforeLines="50" w:line="560" w:lineRule="exact"/>
        <w:ind w:firstLine="482" w:firstLineChars="200"/>
        <w:jc w:val="center"/>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w:t>
      </w:r>
      <w:bookmarkStart w:id="245" w:name="_Toc27526_WPSOffice_Level3"/>
      <w:r>
        <w:rPr>
          <w:rFonts w:hint="eastAsia" w:ascii="宋体" w:hAnsi="宋体" w:eastAsia="宋体" w:cs="宋体"/>
          <w:b/>
          <w:color w:val="auto"/>
          <w:sz w:val="24"/>
          <w:szCs w:val="24"/>
          <w:highlight w:val="none"/>
          <w:lang w:val="en-US" w:eastAsia="zh-CN"/>
        </w:rPr>
        <w:t xml:space="preserve"> </w:t>
      </w:r>
      <w:bookmarkStart w:id="246" w:name="_Toc11022_WPSOffice_Level3"/>
    </w:p>
    <w:p w14:paraId="7FB76EB1">
      <w:pPr>
        <w:wordWrap/>
        <w:spacing w:before="157" w:beforeLines="50" w:line="560" w:lineRule="exact"/>
        <w:ind w:firstLine="482" w:firstLineChars="200"/>
        <w:jc w:val="center"/>
        <w:outlineLvl w:val="9"/>
        <w:rPr>
          <w:rFonts w:hint="eastAsia" w:ascii="宋体" w:hAnsi="宋体" w:eastAsia="宋体" w:cs="宋体"/>
          <w:b/>
          <w:color w:val="auto"/>
          <w:sz w:val="24"/>
          <w:szCs w:val="24"/>
          <w:highlight w:val="none"/>
          <w:lang w:val="en-US" w:eastAsia="zh-CN"/>
        </w:rPr>
      </w:pPr>
    </w:p>
    <w:p w14:paraId="4DA6AAF1">
      <w:pPr>
        <w:wordWrap/>
        <w:spacing w:before="157" w:beforeLines="50" w:line="560" w:lineRule="exact"/>
        <w:ind w:firstLine="482"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单位名称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245"/>
      <w:bookmarkEnd w:id="246"/>
    </w:p>
    <w:p w14:paraId="114C13E0">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247" w:name="_Toc32417_WPSOffice_Level3"/>
      <w:bookmarkStart w:id="248" w:name="_Toc23931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247"/>
      <w:bookmarkEnd w:id="248"/>
    </w:p>
    <w:p w14:paraId="1140A9E9">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bookmarkStart w:id="249" w:name="_Toc23319_WPSOffice_Level3"/>
      <w:bookmarkStart w:id="250" w:name="_Toc19388_WPSOffice_Level3"/>
      <w:r>
        <w:rPr>
          <w:rFonts w:hint="eastAsia" w:ascii="宋体" w:hAnsi="宋体" w:eastAsia="宋体" w:cs="宋体"/>
          <w:b w:val="0"/>
          <w:bCs/>
          <w:color w:val="auto"/>
          <w:sz w:val="24"/>
          <w:szCs w:val="24"/>
          <w:highlight w:val="none"/>
        </w:rPr>
        <w:t>年   月  日</w:t>
      </w:r>
      <w:bookmarkEnd w:id="249"/>
      <w:bookmarkEnd w:id="250"/>
    </w:p>
    <w:p w14:paraId="043A3247">
      <w:pPr>
        <w:rPr>
          <w:rFonts w:hint="eastAsia" w:ascii="宋体" w:hAnsi="宋体" w:eastAsia="宋体" w:cs="宋体"/>
          <w:b/>
          <w:bCs w:val="0"/>
          <w:color w:val="auto"/>
          <w:kern w:val="2"/>
          <w:sz w:val="24"/>
          <w:szCs w:val="24"/>
          <w:highlight w:val="none"/>
          <w:lang w:val="en-US" w:eastAsia="zh-CN" w:bidi="ar-SA"/>
        </w:rPr>
      </w:pPr>
      <w:bookmarkStart w:id="251" w:name="_Toc31202"/>
      <w:bookmarkStart w:id="252" w:name="_Toc3352_WPSOffice_Level3"/>
      <w:bookmarkStart w:id="253" w:name="_Toc13192"/>
      <w:bookmarkStart w:id="254" w:name="_Toc18824_WPSOffice_Level3"/>
      <w:bookmarkStart w:id="255" w:name="_Toc7532"/>
      <w:bookmarkStart w:id="256" w:name="_Toc25351"/>
      <w:r>
        <w:rPr>
          <w:rFonts w:hint="eastAsia" w:ascii="宋体" w:hAnsi="宋体" w:eastAsia="宋体" w:cs="宋体"/>
          <w:b/>
          <w:bCs w:val="0"/>
          <w:color w:val="auto"/>
          <w:kern w:val="2"/>
          <w:sz w:val="24"/>
          <w:szCs w:val="24"/>
          <w:highlight w:val="none"/>
          <w:lang w:val="en-US" w:eastAsia="zh-CN" w:bidi="ar-SA"/>
        </w:rPr>
        <w:br w:type="page"/>
      </w:r>
    </w:p>
    <w:p w14:paraId="56643F72">
      <w:pPr>
        <w:widowControl/>
        <w:wordWrap/>
        <w:snapToGrid w:val="0"/>
        <w:spacing w:before="157" w:beforeLines="50" w:line="560" w:lineRule="exact"/>
        <w:outlineLvl w:val="9"/>
        <w:rPr>
          <w:rFonts w:hint="eastAsia" w:ascii="宋体" w:hAnsi="宋体" w:eastAsia="宋体" w:cs="宋体"/>
          <w:b/>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附件11：分项报价表</w:t>
      </w:r>
      <w:bookmarkEnd w:id="251"/>
      <w:bookmarkEnd w:id="252"/>
      <w:bookmarkEnd w:id="253"/>
      <w:bookmarkEnd w:id="254"/>
      <w:bookmarkEnd w:id="255"/>
      <w:bookmarkEnd w:id="256"/>
    </w:p>
    <w:p w14:paraId="589E79DD">
      <w:pPr>
        <w:wordWrap/>
        <w:spacing w:before="157" w:beforeLines="50" w:line="560" w:lineRule="exact"/>
        <w:jc w:val="center"/>
        <w:outlineLvl w:val="9"/>
        <w:rPr>
          <w:rFonts w:hint="eastAsia" w:ascii="宋体" w:hAnsi="宋体" w:eastAsia="宋体" w:cs="宋体"/>
          <w:b/>
          <w:color w:val="auto"/>
          <w:sz w:val="24"/>
          <w:szCs w:val="24"/>
          <w:highlight w:val="none"/>
        </w:rPr>
      </w:pPr>
      <w:bookmarkStart w:id="257" w:name="_Toc31256_WPSOffice_Level3"/>
      <w:bookmarkStart w:id="258" w:name="_Toc19937_WPSOffice_Level1"/>
      <w:bookmarkStart w:id="259" w:name="_Toc12587_WPSOffice_Level1"/>
      <w:r>
        <w:rPr>
          <w:rFonts w:hint="eastAsia" w:ascii="宋体" w:hAnsi="宋体" w:eastAsia="宋体" w:cs="宋体"/>
          <w:b/>
          <w:color w:val="auto"/>
          <w:sz w:val="24"/>
          <w:szCs w:val="24"/>
          <w:highlight w:val="none"/>
          <w:lang w:val="zh-CN" w:eastAsia="zh-CN"/>
        </w:rPr>
        <w:t>分项报价表</w:t>
      </w:r>
      <w:bookmarkEnd w:id="257"/>
      <w:bookmarkEnd w:id="258"/>
      <w:bookmarkEnd w:id="259"/>
    </w:p>
    <w:p w14:paraId="4355844E">
      <w:pPr>
        <w:widowControl w:val="0"/>
        <w:wordWrap/>
        <w:adjustRightInd/>
        <w:snapToGrid/>
        <w:spacing w:line="560" w:lineRule="exact"/>
        <w:textAlignment w:val="auto"/>
        <w:outlineLvl w:val="9"/>
        <w:rPr>
          <w:rFonts w:hint="eastAsia" w:ascii="宋体" w:hAnsi="宋体" w:eastAsia="宋体" w:cs="宋体"/>
          <w:b w:val="0"/>
          <w:bCs/>
          <w:color w:val="auto"/>
          <w:sz w:val="24"/>
          <w:szCs w:val="24"/>
          <w:highlight w:val="none"/>
          <w:lang w:val="en-US" w:eastAsia="zh-CN"/>
        </w:rPr>
      </w:pPr>
      <w:bookmarkStart w:id="260" w:name="_Toc30633_WPSOffice_Level2"/>
      <w:r>
        <w:rPr>
          <w:rFonts w:hint="eastAsia" w:ascii="宋体" w:hAnsi="宋体" w:eastAsia="宋体" w:cs="宋体"/>
          <w:b w:val="0"/>
          <w:bCs/>
          <w:color w:val="auto"/>
          <w:sz w:val="24"/>
          <w:szCs w:val="24"/>
          <w:highlight w:val="none"/>
        </w:rPr>
        <w:t>供应商名称:</w:t>
      </w:r>
      <w:bookmarkEnd w:id="260"/>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单位：人民币(元)</w:t>
      </w:r>
      <w:r>
        <w:rPr>
          <w:rFonts w:hint="eastAsia" w:ascii="宋体" w:hAnsi="宋体" w:eastAsia="宋体" w:cs="宋体"/>
          <w:b w:val="0"/>
          <w:bCs/>
          <w:color w:val="auto"/>
          <w:sz w:val="24"/>
          <w:szCs w:val="24"/>
          <w:highlight w:val="none"/>
          <w:lang w:val="en-US" w:eastAsia="zh-CN"/>
        </w:rPr>
        <w:t xml:space="preserve">                                          </w:t>
      </w:r>
    </w:p>
    <w:tbl>
      <w:tblPr>
        <w:tblStyle w:val="1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6AD6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DC98864">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97" w:type="dxa"/>
            <w:vAlign w:val="center"/>
          </w:tcPr>
          <w:p w14:paraId="21D57643">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产品名称</w:t>
            </w:r>
          </w:p>
        </w:tc>
        <w:tc>
          <w:tcPr>
            <w:tcW w:w="992" w:type="dxa"/>
            <w:vAlign w:val="center"/>
          </w:tcPr>
          <w:p w14:paraId="541CF3E2">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品牌</w:t>
            </w:r>
          </w:p>
        </w:tc>
        <w:tc>
          <w:tcPr>
            <w:tcW w:w="1052" w:type="dxa"/>
            <w:vAlign w:val="center"/>
          </w:tcPr>
          <w:p w14:paraId="174965AC">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规格型号</w:t>
            </w:r>
          </w:p>
        </w:tc>
        <w:tc>
          <w:tcPr>
            <w:tcW w:w="1356" w:type="dxa"/>
            <w:vAlign w:val="center"/>
          </w:tcPr>
          <w:p w14:paraId="0D145816">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生产厂家</w:t>
            </w:r>
          </w:p>
        </w:tc>
        <w:tc>
          <w:tcPr>
            <w:tcW w:w="953" w:type="dxa"/>
            <w:vAlign w:val="center"/>
          </w:tcPr>
          <w:p w14:paraId="087E0568">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数量及单位</w:t>
            </w:r>
          </w:p>
        </w:tc>
        <w:tc>
          <w:tcPr>
            <w:tcW w:w="710" w:type="dxa"/>
            <w:vAlign w:val="center"/>
          </w:tcPr>
          <w:p w14:paraId="5D3CD765">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单价</w:t>
            </w:r>
          </w:p>
        </w:tc>
        <w:tc>
          <w:tcPr>
            <w:tcW w:w="851" w:type="dxa"/>
            <w:vAlign w:val="center"/>
          </w:tcPr>
          <w:p w14:paraId="5843640F">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合计</w:t>
            </w:r>
          </w:p>
        </w:tc>
        <w:tc>
          <w:tcPr>
            <w:tcW w:w="850" w:type="dxa"/>
            <w:vAlign w:val="center"/>
          </w:tcPr>
          <w:p w14:paraId="15500487">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14:paraId="6651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FC92DFC">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97" w:type="dxa"/>
            <w:vAlign w:val="center"/>
          </w:tcPr>
          <w:p w14:paraId="5E20C7C6">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481A3C90">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28B90D4D">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555FA225">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62FA37AC">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541F7DB7">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3C34EBEA">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670FD4D2">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54C2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E3D3B8A">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497" w:type="dxa"/>
            <w:vAlign w:val="center"/>
          </w:tcPr>
          <w:p w14:paraId="72B3C4E0">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56C84F4B">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0AA62FFA">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75860375">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725CC72A">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3E561747">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7426FB68">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62EA8AC1">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6FA4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8044013">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497" w:type="dxa"/>
            <w:vAlign w:val="center"/>
          </w:tcPr>
          <w:p w14:paraId="4949876A">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744D6BAE">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7BF1BCD8">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046AD658">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3AA625CE">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5E7980E8">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5C0D032D">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6BB1C527">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64F9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42CE10F">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497" w:type="dxa"/>
            <w:vAlign w:val="center"/>
          </w:tcPr>
          <w:p w14:paraId="00BADBAD">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06002675">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59C24761">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3B42F499">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1D35A415">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60850DE4">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66AE012F">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23C62665">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75FA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CB599B7">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497" w:type="dxa"/>
            <w:vAlign w:val="center"/>
          </w:tcPr>
          <w:p w14:paraId="09171C2A">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57D8D513">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3592B986">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21ADBD2C">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4AFACFA1">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146F1FDE">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1B2F9D15">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563BC41E">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3097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740D4C00">
            <w:pPr>
              <w:widowControl w:val="0"/>
              <w:wordWrap/>
              <w:adjustRightInd/>
              <w:snapToGrid/>
              <w:spacing w:line="560" w:lineRule="exac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其他承诺及需要说明的事项：</w:t>
            </w:r>
          </w:p>
        </w:tc>
      </w:tr>
      <w:tr w14:paraId="5DC3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75EF934C">
            <w:pPr>
              <w:widowControl w:val="0"/>
              <w:wordWrap/>
              <w:adjustRightInd/>
              <w:snapToGrid/>
              <w:spacing w:line="56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总价</w:t>
            </w:r>
          </w:p>
        </w:tc>
        <w:tc>
          <w:tcPr>
            <w:tcW w:w="6764" w:type="dxa"/>
            <w:gridSpan w:val="7"/>
            <w:vAlign w:val="center"/>
          </w:tcPr>
          <w:p w14:paraId="3F730CF6">
            <w:pPr>
              <w:widowControl w:val="0"/>
              <w:wordWrap/>
              <w:adjustRightInd/>
              <w:snapToGrid/>
              <w:spacing w:line="56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大写：                      小写：</w:t>
            </w:r>
          </w:p>
        </w:tc>
      </w:tr>
    </w:tbl>
    <w:p w14:paraId="72108040">
      <w:pPr>
        <w:widowControl w:val="0"/>
        <w:wordWrap/>
        <w:adjustRightInd/>
        <w:snapToGrid/>
        <w:spacing w:line="560" w:lineRule="exact"/>
        <w:jc w:val="both"/>
        <w:textAlignment w:val="auto"/>
        <w:outlineLvl w:val="9"/>
        <w:rPr>
          <w:rFonts w:hint="eastAsia" w:ascii="宋体" w:hAnsi="宋体" w:eastAsia="宋体" w:cs="宋体"/>
          <w:b w:val="0"/>
          <w:bCs/>
          <w:color w:val="auto"/>
          <w:sz w:val="24"/>
          <w:szCs w:val="24"/>
          <w:highlight w:val="none"/>
          <w:lang w:val="en-US" w:eastAsia="zh-CN"/>
        </w:rPr>
      </w:pPr>
      <w:bookmarkStart w:id="261" w:name="_Toc698"/>
      <w:r>
        <w:rPr>
          <w:rFonts w:hint="eastAsia" w:ascii="宋体" w:hAnsi="宋体" w:eastAsia="宋体" w:cs="宋体"/>
          <w:b/>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p>
    <w:p w14:paraId="74F6E4DE">
      <w:pPr>
        <w:widowControl w:val="0"/>
        <w:wordWrap/>
        <w:adjustRightInd/>
        <w:snapToGrid/>
        <w:spacing w:line="560" w:lineRule="exact"/>
        <w:ind w:firstLine="4320" w:firstLineChars="18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p>
    <w:p w14:paraId="1BA2E2FE">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262" w:name="_Toc24193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262"/>
    </w:p>
    <w:p w14:paraId="1CBF4081">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bookmarkStart w:id="263" w:name="_Toc20924_WPSOffice_Level3"/>
      <w:r>
        <w:rPr>
          <w:rFonts w:hint="eastAsia" w:ascii="宋体" w:hAnsi="宋体" w:eastAsia="宋体" w:cs="宋体"/>
          <w:b w:val="0"/>
          <w:bCs/>
          <w:color w:val="auto"/>
          <w:sz w:val="24"/>
          <w:szCs w:val="24"/>
          <w:highlight w:val="none"/>
        </w:rPr>
        <w:t>年   月  日</w:t>
      </w:r>
      <w:bookmarkEnd w:id="263"/>
    </w:p>
    <w:p w14:paraId="20C11F7F">
      <w:pPr>
        <w:rPr>
          <w:rFonts w:hint="eastAsia" w:ascii="宋体" w:hAnsi="宋体" w:eastAsia="宋体" w:cs="宋体"/>
          <w:b/>
          <w:bCs w:val="0"/>
          <w:color w:val="auto"/>
          <w:kern w:val="2"/>
          <w:sz w:val="24"/>
          <w:szCs w:val="24"/>
          <w:highlight w:val="none"/>
          <w:lang w:val="en-US" w:eastAsia="zh-CN" w:bidi="ar-SA"/>
        </w:rPr>
      </w:pPr>
      <w:bookmarkStart w:id="264" w:name="_Toc28315_WPSOffice_Level3"/>
      <w:bookmarkStart w:id="265" w:name="_Toc28715"/>
      <w:bookmarkStart w:id="266" w:name="_Toc28398"/>
      <w:bookmarkStart w:id="267" w:name="_Toc20734"/>
      <w:bookmarkStart w:id="268" w:name="_Toc13098_WPSOffice_Level3"/>
      <w:r>
        <w:rPr>
          <w:rFonts w:hint="eastAsia" w:ascii="宋体" w:hAnsi="宋体" w:eastAsia="宋体" w:cs="宋体"/>
          <w:b/>
          <w:bCs w:val="0"/>
          <w:color w:val="auto"/>
          <w:kern w:val="2"/>
          <w:sz w:val="24"/>
          <w:szCs w:val="24"/>
          <w:highlight w:val="none"/>
          <w:lang w:val="en-US" w:eastAsia="zh-CN" w:bidi="ar-SA"/>
        </w:rPr>
        <w:br w:type="page"/>
      </w:r>
    </w:p>
    <w:p w14:paraId="3D959FD0">
      <w:pPr>
        <w:widowControl/>
        <w:wordWrap/>
        <w:snapToGrid w:val="0"/>
        <w:spacing w:before="157" w:beforeLines="50" w:line="560" w:lineRule="exact"/>
        <w:outlineLvl w:val="9"/>
        <w:rPr>
          <w:rFonts w:hint="eastAsia" w:ascii="宋体" w:hAnsi="宋体" w:eastAsia="宋体" w:cs="宋体"/>
          <w:b/>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附件12：技术规格响应表</w:t>
      </w:r>
      <w:bookmarkEnd w:id="261"/>
      <w:bookmarkEnd w:id="264"/>
      <w:bookmarkEnd w:id="265"/>
      <w:bookmarkEnd w:id="266"/>
      <w:bookmarkEnd w:id="267"/>
      <w:bookmarkEnd w:id="268"/>
    </w:p>
    <w:p w14:paraId="764B9B24">
      <w:pPr>
        <w:wordWrap/>
        <w:spacing w:before="157" w:beforeLines="50" w:line="560" w:lineRule="exact"/>
        <w:jc w:val="center"/>
        <w:outlineLvl w:val="9"/>
        <w:rPr>
          <w:rFonts w:hint="eastAsia" w:ascii="宋体" w:hAnsi="宋体" w:eastAsia="宋体" w:cs="宋体"/>
          <w:b/>
          <w:color w:val="auto"/>
          <w:sz w:val="24"/>
          <w:szCs w:val="24"/>
          <w:highlight w:val="none"/>
          <w:lang w:val="zh-CN" w:eastAsia="zh-CN"/>
        </w:rPr>
      </w:pPr>
      <w:bookmarkStart w:id="269" w:name="_Toc22043_WPSOffice_Level1"/>
      <w:bookmarkStart w:id="270" w:name="_Toc27772_WPSOffice_Level3"/>
      <w:bookmarkStart w:id="271" w:name="_Toc27646_WPSOffice_Level1"/>
      <w:r>
        <w:rPr>
          <w:rFonts w:hint="eastAsia" w:ascii="宋体" w:hAnsi="宋体" w:eastAsia="宋体" w:cs="宋体"/>
          <w:b/>
          <w:color w:val="auto"/>
          <w:sz w:val="24"/>
          <w:szCs w:val="24"/>
          <w:highlight w:val="none"/>
          <w:lang w:val="zh-CN" w:eastAsia="zh-CN"/>
        </w:rPr>
        <w:t>技术规格响应表</w:t>
      </w:r>
      <w:bookmarkEnd w:id="269"/>
      <w:bookmarkEnd w:id="270"/>
      <w:bookmarkEnd w:id="271"/>
    </w:p>
    <w:p w14:paraId="633A20D6">
      <w:pPr>
        <w:widowControl w:val="0"/>
        <w:wordWrap/>
        <w:adjustRightInd/>
        <w:snapToGrid/>
        <w:spacing w:line="560" w:lineRule="exact"/>
        <w:jc w:val="left"/>
        <w:textAlignment w:val="auto"/>
        <w:outlineLvl w:val="9"/>
        <w:rPr>
          <w:rFonts w:hint="eastAsia" w:ascii="宋体" w:hAnsi="宋体" w:eastAsia="宋体" w:cs="宋体"/>
          <w:b w:val="0"/>
          <w:bCs/>
          <w:color w:val="auto"/>
          <w:sz w:val="24"/>
          <w:szCs w:val="24"/>
          <w:highlight w:val="none"/>
        </w:rPr>
      </w:pPr>
      <w:bookmarkStart w:id="272" w:name="_Toc14764_WPSOffice_Level2"/>
      <w:r>
        <w:rPr>
          <w:rFonts w:hint="eastAsia" w:ascii="宋体" w:hAnsi="宋体" w:eastAsia="宋体" w:cs="宋体"/>
          <w:b w:val="0"/>
          <w:bCs/>
          <w:color w:val="auto"/>
          <w:sz w:val="24"/>
          <w:szCs w:val="24"/>
          <w:highlight w:val="none"/>
        </w:rPr>
        <w:t>供应商名称:</w:t>
      </w:r>
      <w:bookmarkEnd w:id="272"/>
    </w:p>
    <w:tbl>
      <w:tblPr>
        <w:tblStyle w:val="17"/>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27C4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4B15439D">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3652" w:type="dxa"/>
            <w:gridSpan w:val="2"/>
            <w:vAlign w:val="top"/>
          </w:tcPr>
          <w:p w14:paraId="2C89CEFD">
            <w:pPr>
              <w:widowControl w:val="0"/>
              <w:wordWrap/>
              <w:adjustRightInd/>
              <w:snapToGrid/>
              <w:spacing w:line="560" w:lineRule="exact"/>
              <w:ind w:firstLine="120" w:firstLineChars="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采购需求技术参数、指标</w:t>
            </w:r>
          </w:p>
        </w:tc>
        <w:tc>
          <w:tcPr>
            <w:tcW w:w="3795" w:type="dxa"/>
            <w:gridSpan w:val="2"/>
            <w:vAlign w:val="top"/>
          </w:tcPr>
          <w:p w14:paraId="3F2FF7ED">
            <w:pPr>
              <w:widowControl w:val="0"/>
              <w:wordWrap/>
              <w:adjustRightInd/>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投标产品技术参数、指标</w:t>
            </w:r>
          </w:p>
        </w:tc>
        <w:tc>
          <w:tcPr>
            <w:tcW w:w="873" w:type="dxa"/>
            <w:vAlign w:val="center"/>
          </w:tcPr>
          <w:p w14:paraId="0291253E">
            <w:pPr>
              <w:widowControl w:val="0"/>
              <w:wordWrap/>
              <w:adjustRightInd/>
              <w:snapToGrid/>
              <w:spacing w:line="56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r>
      <w:tr w14:paraId="2AEA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4F32EC39">
            <w:pPr>
              <w:widowControl w:val="0"/>
              <w:wordWrap/>
              <w:adjustRightInd/>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86" w:type="dxa"/>
            <w:vAlign w:val="center"/>
          </w:tcPr>
          <w:p w14:paraId="7BA5DD32">
            <w:pPr>
              <w:widowControl w:val="0"/>
              <w:wordWrap/>
              <w:adjustRightInd/>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766" w:type="dxa"/>
            <w:vAlign w:val="center"/>
          </w:tcPr>
          <w:p w14:paraId="2FE757B0">
            <w:pPr>
              <w:widowControl w:val="0"/>
              <w:wordWrap/>
              <w:adjustRightInd/>
              <w:snapToGrid/>
              <w:spacing w:line="56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技术参数、指标及配置</w:t>
            </w:r>
          </w:p>
        </w:tc>
        <w:tc>
          <w:tcPr>
            <w:tcW w:w="915" w:type="dxa"/>
            <w:vAlign w:val="center"/>
          </w:tcPr>
          <w:p w14:paraId="785B26F9">
            <w:pPr>
              <w:widowControl w:val="0"/>
              <w:wordWrap/>
              <w:adjustRightInd/>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880" w:type="dxa"/>
            <w:vAlign w:val="center"/>
          </w:tcPr>
          <w:p w14:paraId="21A0E238">
            <w:pPr>
              <w:widowControl w:val="0"/>
              <w:wordWrap/>
              <w:adjustRightInd/>
              <w:snapToGrid/>
              <w:spacing w:line="56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技术参数、指标及配置</w:t>
            </w:r>
          </w:p>
        </w:tc>
        <w:tc>
          <w:tcPr>
            <w:tcW w:w="873" w:type="dxa"/>
            <w:vAlign w:val="top"/>
          </w:tcPr>
          <w:p w14:paraId="3A0F7C03">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r>
      <w:tr w14:paraId="1615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2CB074D0">
            <w:pPr>
              <w:widowControl w:val="0"/>
              <w:wordWrap/>
              <w:adjustRightInd/>
              <w:snapToGrid/>
              <w:spacing w:line="560" w:lineRule="exact"/>
              <w:ind w:firstLine="199" w:firstLineChars="83"/>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86" w:type="dxa"/>
            <w:vAlign w:val="top"/>
          </w:tcPr>
          <w:p w14:paraId="60B359BA">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2766" w:type="dxa"/>
            <w:vAlign w:val="top"/>
          </w:tcPr>
          <w:p w14:paraId="7BB58C0D">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915" w:type="dxa"/>
            <w:vAlign w:val="top"/>
          </w:tcPr>
          <w:p w14:paraId="67B1F1FE">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2880" w:type="dxa"/>
            <w:vAlign w:val="top"/>
          </w:tcPr>
          <w:p w14:paraId="057C56EC">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873" w:type="dxa"/>
            <w:vAlign w:val="top"/>
          </w:tcPr>
          <w:p w14:paraId="741F71CA">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r>
      <w:tr w14:paraId="0E54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4838D152">
            <w:pPr>
              <w:widowControl w:val="0"/>
              <w:wordWrap/>
              <w:adjustRightInd/>
              <w:snapToGrid/>
              <w:spacing w:line="560" w:lineRule="exact"/>
              <w:ind w:firstLine="199" w:firstLineChars="83"/>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86" w:type="dxa"/>
            <w:vAlign w:val="top"/>
          </w:tcPr>
          <w:p w14:paraId="2DCC7666">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2766" w:type="dxa"/>
            <w:vAlign w:val="top"/>
          </w:tcPr>
          <w:p w14:paraId="409EA887">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915" w:type="dxa"/>
            <w:vAlign w:val="top"/>
          </w:tcPr>
          <w:p w14:paraId="1F30C965">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2880" w:type="dxa"/>
            <w:vAlign w:val="top"/>
          </w:tcPr>
          <w:p w14:paraId="5EC980A8">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873" w:type="dxa"/>
            <w:vAlign w:val="top"/>
          </w:tcPr>
          <w:p w14:paraId="74BBD35C">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r>
      <w:tr w14:paraId="3ECB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3179AD9D">
            <w:pPr>
              <w:widowControl w:val="0"/>
              <w:wordWrap/>
              <w:adjustRightInd/>
              <w:snapToGrid/>
              <w:spacing w:line="560" w:lineRule="exact"/>
              <w:ind w:firstLine="199" w:firstLineChars="83"/>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86" w:type="dxa"/>
            <w:vAlign w:val="top"/>
          </w:tcPr>
          <w:p w14:paraId="61FA5497">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2766" w:type="dxa"/>
            <w:vAlign w:val="top"/>
          </w:tcPr>
          <w:p w14:paraId="52CDED52">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915" w:type="dxa"/>
            <w:vAlign w:val="top"/>
          </w:tcPr>
          <w:p w14:paraId="184DFEFA">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2880" w:type="dxa"/>
            <w:vAlign w:val="top"/>
          </w:tcPr>
          <w:p w14:paraId="310CC43A">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c>
          <w:tcPr>
            <w:tcW w:w="873" w:type="dxa"/>
            <w:vAlign w:val="top"/>
          </w:tcPr>
          <w:p w14:paraId="20794F66">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highlight w:val="none"/>
              </w:rPr>
            </w:pPr>
          </w:p>
        </w:tc>
      </w:tr>
    </w:tbl>
    <w:p w14:paraId="3CC76C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1、本表应按照采购分项报价表中“产品名称”及采购一览表中产品序号的指标逐项填写，不得遗漏。否则，按无效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处理。</w:t>
      </w:r>
    </w:p>
    <w:p w14:paraId="50B652A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
          <w:color w:val="auto"/>
          <w:sz w:val="24"/>
          <w:szCs w:val="24"/>
          <w:highlight w:val="none"/>
          <w:u w:val="none"/>
        </w:rPr>
      </w:pPr>
      <w:r>
        <w:rPr>
          <w:rFonts w:hint="eastAsia" w:ascii="宋体" w:hAnsi="宋体" w:eastAsia="宋体" w:cs="宋体"/>
          <w:color w:val="auto"/>
          <w:sz w:val="24"/>
          <w:szCs w:val="24"/>
          <w:highlight w:val="none"/>
          <w:u w:val="none"/>
        </w:rPr>
        <w:t>2、“投标产品技术参数、指标”必须与谈判响应文件中提供的产品检测报告</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生产厂家出具的产品彩页等证明材料的实质性响应情况相一致。若在</w:t>
      </w:r>
      <w:r>
        <w:rPr>
          <w:rFonts w:hint="eastAsia" w:ascii="宋体" w:hAnsi="宋体" w:eastAsia="宋体" w:cs="宋体"/>
          <w:color w:val="auto"/>
          <w:sz w:val="24"/>
          <w:szCs w:val="24"/>
          <w:highlight w:val="none"/>
          <w:u w:val="none"/>
          <w:lang w:eastAsia="zh-CN"/>
        </w:rPr>
        <w:t>评审</w:t>
      </w:r>
      <w:r>
        <w:rPr>
          <w:rFonts w:hint="eastAsia" w:ascii="宋体" w:hAnsi="宋体" w:eastAsia="宋体" w:cs="宋体"/>
          <w:color w:val="auto"/>
          <w:sz w:val="24"/>
          <w:szCs w:val="24"/>
          <w:highlight w:val="none"/>
          <w:u w:val="none"/>
        </w:rPr>
        <w:t>环节发现该项与谈判响应文件中提供的产品检测报告</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生产厂家出具的产品彩页等证明材料的实质性响应情况不一致或直接复制谈判文件“采购需求技术参数、指标”内容的，按无效</w:t>
      </w:r>
      <w:r>
        <w:rPr>
          <w:rFonts w:hint="eastAsia" w:ascii="宋体" w:hAnsi="宋体" w:eastAsia="宋体" w:cs="宋体"/>
          <w:color w:val="auto"/>
          <w:sz w:val="24"/>
          <w:szCs w:val="24"/>
          <w:highlight w:val="none"/>
          <w:u w:val="none"/>
          <w:lang w:eastAsia="zh-CN"/>
        </w:rPr>
        <w:t>相应</w:t>
      </w:r>
      <w:r>
        <w:rPr>
          <w:rFonts w:hint="eastAsia" w:ascii="宋体" w:hAnsi="宋体" w:eastAsia="宋体" w:cs="宋体"/>
          <w:color w:val="auto"/>
          <w:sz w:val="24"/>
          <w:szCs w:val="24"/>
          <w:highlight w:val="none"/>
          <w:u w:val="none"/>
        </w:rPr>
        <w:t>处理。</w:t>
      </w:r>
      <w:r>
        <w:rPr>
          <w:rFonts w:hint="eastAsia" w:ascii="宋体" w:hAnsi="宋体" w:eastAsia="宋体" w:cs="宋体"/>
          <w:b/>
          <w:color w:val="auto"/>
          <w:sz w:val="24"/>
          <w:szCs w:val="24"/>
          <w:highlight w:val="none"/>
          <w:u w:val="none"/>
        </w:rPr>
        <w:t xml:space="preserve">   </w:t>
      </w:r>
    </w:p>
    <w:p w14:paraId="00067225">
      <w:pPr>
        <w:pStyle w:val="15"/>
        <w:rPr>
          <w:rFonts w:hint="eastAsia"/>
          <w:color w:val="auto"/>
          <w:highlight w:val="none"/>
        </w:rPr>
      </w:pPr>
    </w:p>
    <w:p w14:paraId="5C5FD862">
      <w:pPr>
        <w:widowControl w:val="0"/>
        <w:wordWrap/>
        <w:adjustRightInd/>
        <w:snapToGrid/>
        <w:spacing w:line="560" w:lineRule="exact"/>
        <w:ind w:firstLine="4320" w:firstLineChars="18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p>
    <w:p w14:paraId="2AE68573">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273" w:name="_Toc3277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273"/>
    </w:p>
    <w:p w14:paraId="2B814B8E">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bookmarkStart w:id="274" w:name="_Toc22450_WPSOffice_Level3"/>
      <w:r>
        <w:rPr>
          <w:rFonts w:hint="eastAsia" w:ascii="宋体" w:hAnsi="宋体" w:eastAsia="宋体" w:cs="宋体"/>
          <w:b w:val="0"/>
          <w:bCs/>
          <w:color w:val="auto"/>
          <w:sz w:val="24"/>
          <w:szCs w:val="24"/>
          <w:highlight w:val="none"/>
        </w:rPr>
        <w:t>年   月  日</w:t>
      </w:r>
      <w:bookmarkEnd w:id="274"/>
    </w:p>
    <w:p w14:paraId="27794D6F">
      <w:pPr>
        <w:rPr>
          <w:rFonts w:hint="eastAsia" w:ascii="宋体" w:hAnsi="宋体" w:eastAsia="宋体" w:cs="宋体"/>
          <w:b/>
          <w:bCs w:val="0"/>
          <w:color w:val="auto"/>
          <w:kern w:val="2"/>
          <w:sz w:val="24"/>
          <w:szCs w:val="24"/>
          <w:highlight w:val="none"/>
          <w:lang w:val="en-US" w:eastAsia="zh-CN" w:bidi="ar-SA"/>
        </w:rPr>
      </w:pPr>
      <w:bookmarkStart w:id="275" w:name="_Toc14547"/>
      <w:bookmarkStart w:id="276" w:name="_Toc7597"/>
      <w:bookmarkStart w:id="277" w:name="_Toc6913_WPSOffice_Level3"/>
      <w:bookmarkStart w:id="278" w:name="_Toc28501"/>
      <w:bookmarkStart w:id="279" w:name="_Toc2601"/>
      <w:bookmarkStart w:id="280" w:name="_Toc18025_WPSOffice_Level3"/>
      <w:r>
        <w:rPr>
          <w:rFonts w:hint="eastAsia" w:ascii="宋体" w:hAnsi="宋体" w:eastAsia="宋体" w:cs="宋体"/>
          <w:b/>
          <w:bCs w:val="0"/>
          <w:color w:val="auto"/>
          <w:kern w:val="2"/>
          <w:sz w:val="24"/>
          <w:szCs w:val="24"/>
          <w:highlight w:val="none"/>
          <w:lang w:val="en-US" w:eastAsia="zh-CN" w:bidi="ar-SA"/>
        </w:rPr>
        <w:br w:type="page"/>
      </w:r>
    </w:p>
    <w:p w14:paraId="0EED529C">
      <w:pPr>
        <w:widowControl/>
        <w:wordWrap/>
        <w:snapToGrid w:val="0"/>
        <w:spacing w:before="157" w:beforeLines="50" w:line="560" w:lineRule="exact"/>
        <w:outlineLvl w:val="9"/>
        <w:rPr>
          <w:rFonts w:hint="eastAsia" w:ascii="宋体" w:hAnsi="宋体" w:eastAsia="宋体" w:cs="宋体"/>
          <w:b/>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附件13：</w:t>
      </w:r>
      <w:bookmarkEnd w:id="275"/>
      <w:bookmarkEnd w:id="276"/>
      <w:bookmarkEnd w:id="277"/>
      <w:r>
        <w:rPr>
          <w:rFonts w:hint="eastAsia" w:ascii="宋体" w:hAnsi="宋体" w:eastAsia="宋体" w:cs="宋体"/>
          <w:b/>
          <w:bCs w:val="0"/>
          <w:color w:val="auto"/>
          <w:kern w:val="2"/>
          <w:sz w:val="24"/>
          <w:szCs w:val="24"/>
          <w:highlight w:val="none"/>
          <w:lang w:val="en-US" w:eastAsia="zh-CN" w:bidi="ar-SA"/>
        </w:rPr>
        <w:t>产品相关资料（具备履行合同所必须的设备和专业技术能力证明）</w:t>
      </w:r>
      <w:bookmarkEnd w:id="278"/>
      <w:bookmarkEnd w:id="279"/>
      <w:bookmarkEnd w:id="280"/>
    </w:p>
    <w:p w14:paraId="41D2C4FC">
      <w:pPr>
        <w:wordWrap/>
        <w:spacing w:before="157" w:beforeLines="50" w:line="560" w:lineRule="exact"/>
        <w:jc w:val="center"/>
        <w:outlineLvl w:val="9"/>
        <w:rPr>
          <w:rFonts w:hint="eastAsia" w:ascii="宋体" w:hAnsi="宋体" w:eastAsia="宋体" w:cs="宋体"/>
          <w:bCs/>
          <w:color w:val="auto"/>
          <w:sz w:val="24"/>
          <w:szCs w:val="24"/>
          <w:highlight w:val="none"/>
        </w:rPr>
      </w:pPr>
      <w:bookmarkStart w:id="281" w:name="_Toc19683_WPSOffice_Level1"/>
      <w:bookmarkStart w:id="282" w:name="_Toc2954_WPSOffice_Level1"/>
      <w:bookmarkStart w:id="283" w:name="_Toc21309_WPSOffice_Level3"/>
      <w:r>
        <w:rPr>
          <w:rFonts w:hint="eastAsia" w:ascii="宋体" w:hAnsi="宋体" w:eastAsia="宋体" w:cs="宋体"/>
          <w:b/>
          <w:color w:val="auto"/>
          <w:sz w:val="24"/>
          <w:szCs w:val="24"/>
          <w:highlight w:val="none"/>
          <w:lang w:val="zh-CN" w:eastAsia="zh-CN"/>
        </w:rPr>
        <w:t>产品相关资料</w:t>
      </w:r>
      <w:bookmarkEnd w:id="281"/>
      <w:bookmarkEnd w:id="282"/>
      <w:bookmarkEnd w:id="283"/>
    </w:p>
    <w:p w14:paraId="71F69278">
      <w:pPr>
        <w:wordWrap/>
        <w:adjustRightIn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根据采购项目内容，</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提供国家认可的质监机构出具的产品的产品检验报告</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生产厂家出具的产品彩页（或网页原始截图）等能够证明技术参数响应的相关资料。</w:t>
      </w:r>
    </w:p>
    <w:p w14:paraId="69464CA5">
      <w:pPr>
        <w:rPr>
          <w:rFonts w:hint="eastAsia" w:ascii="宋体" w:hAnsi="宋体" w:eastAsia="宋体" w:cs="宋体"/>
          <w:b/>
          <w:bCs w:val="0"/>
          <w:color w:val="auto"/>
          <w:kern w:val="2"/>
          <w:sz w:val="24"/>
          <w:szCs w:val="24"/>
          <w:highlight w:val="none"/>
          <w:lang w:val="en-US" w:eastAsia="zh-CN" w:bidi="ar-SA"/>
        </w:rPr>
      </w:pPr>
      <w:bookmarkStart w:id="284" w:name="_Toc4925"/>
      <w:bookmarkStart w:id="285" w:name="_Toc11887"/>
      <w:bookmarkStart w:id="286" w:name="_Toc10368"/>
      <w:bookmarkStart w:id="287" w:name="_Toc31301_WPSOffice_Level3"/>
      <w:bookmarkStart w:id="288" w:name="_Toc3146_WPSOffice_Level3"/>
      <w:bookmarkStart w:id="289" w:name="_Toc17566"/>
      <w:r>
        <w:rPr>
          <w:rFonts w:hint="eastAsia" w:ascii="宋体" w:hAnsi="宋体" w:eastAsia="宋体" w:cs="宋体"/>
          <w:b/>
          <w:bCs w:val="0"/>
          <w:color w:val="auto"/>
          <w:kern w:val="2"/>
          <w:sz w:val="24"/>
          <w:szCs w:val="24"/>
          <w:highlight w:val="none"/>
          <w:lang w:val="en-US" w:eastAsia="zh-CN" w:bidi="ar-SA"/>
        </w:rPr>
        <w:br w:type="page"/>
      </w:r>
    </w:p>
    <w:p w14:paraId="401BDED2">
      <w:pPr>
        <w:widowControl/>
        <w:wordWrap/>
        <w:snapToGrid w:val="0"/>
        <w:spacing w:before="157" w:beforeLines="50" w:line="560" w:lineRule="exact"/>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附件14：享受政府采购政策优惠的证明资料</w:t>
      </w:r>
      <w:bookmarkEnd w:id="284"/>
      <w:bookmarkEnd w:id="285"/>
      <w:bookmarkEnd w:id="286"/>
      <w:bookmarkEnd w:id="287"/>
      <w:bookmarkEnd w:id="288"/>
      <w:bookmarkEnd w:id="289"/>
    </w:p>
    <w:p w14:paraId="3F607E61">
      <w:pPr>
        <w:numPr>
          <w:ilvl w:val="0"/>
          <w:numId w:val="2"/>
        </w:numPr>
        <w:wordWrap/>
        <w:adjustRightInd w:val="0"/>
        <w:snapToGrid w:val="0"/>
        <w:spacing w:before="157" w:beforeLines="50" w:line="560" w:lineRule="exact"/>
        <w:jc w:val="center"/>
        <w:outlineLvl w:val="9"/>
        <w:rPr>
          <w:rFonts w:hint="eastAsia" w:ascii="宋体" w:hAnsi="宋体" w:eastAsia="宋体" w:cs="宋体"/>
          <w:b w:val="0"/>
          <w:bCs w:val="0"/>
          <w:color w:val="auto"/>
          <w:kern w:val="2"/>
          <w:sz w:val="24"/>
          <w:szCs w:val="24"/>
          <w:highlight w:val="none"/>
          <w:lang w:val="en-US" w:eastAsia="zh-CN" w:bidi="ar-SA"/>
        </w:rPr>
      </w:pPr>
      <w:bookmarkStart w:id="290" w:name="_Toc25276"/>
      <w:r>
        <w:rPr>
          <w:rFonts w:hint="eastAsia" w:ascii="宋体" w:hAnsi="宋体" w:eastAsia="宋体" w:cs="宋体"/>
          <w:b w:val="0"/>
          <w:bCs w:val="0"/>
          <w:color w:val="auto"/>
          <w:kern w:val="2"/>
          <w:sz w:val="24"/>
          <w:szCs w:val="24"/>
          <w:highlight w:val="none"/>
          <w:lang w:val="en-US" w:eastAsia="zh-CN" w:bidi="ar-SA"/>
        </w:rPr>
        <w:t>节能产品、环境标志产品证明材料</w:t>
      </w:r>
      <w:bookmarkEnd w:id="290"/>
    </w:p>
    <w:p w14:paraId="4D7C8FB5">
      <w:pPr>
        <w:widowControl w:val="0"/>
        <w:numPr>
          <w:ilvl w:val="0"/>
          <w:numId w:val="0"/>
        </w:numPr>
        <w:wordWrap/>
        <w:adjustRightInd w:val="0"/>
        <w:snapToGrid w:val="0"/>
        <w:spacing w:line="56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lang w:eastAsia="zh-CN"/>
        </w:rPr>
        <w:t>品目清单范围的</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实施政府优先采购和强制采购。</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国家确定的认证机构出具的、处于有效期之内的节能产品、环境标志产品认证证书，并加盖供应商单位公章。</w:t>
      </w:r>
    </w:p>
    <w:p w14:paraId="56210523">
      <w:pPr>
        <w:rPr>
          <w:rFonts w:hint="eastAsia" w:ascii="宋体" w:hAnsi="宋体" w:eastAsia="宋体" w:cs="宋体"/>
          <w:b w:val="0"/>
          <w:bCs w:val="0"/>
          <w:color w:val="auto"/>
          <w:kern w:val="2"/>
          <w:sz w:val="24"/>
          <w:szCs w:val="24"/>
          <w:highlight w:val="none"/>
          <w:lang w:val="en-US" w:eastAsia="zh-CN" w:bidi="ar-SA"/>
        </w:rPr>
      </w:pPr>
      <w:bookmarkStart w:id="291" w:name="_Toc22784_WPSOffice_Level3"/>
      <w:bookmarkStart w:id="292" w:name="_Toc31539"/>
      <w:bookmarkStart w:id="293" w:name="_Toc6454"/>
      <w:r>
        <w:rPr>
          <w:rFonts w:hint="eastAsia" w:ascii="宋体" w:hAnsi="宋体" w:eastAsia="宋体" w:cs="宋体"/>
          <w:b w:val="0"/>
          <w:bCs w:val="0"/>
          <w:color w:val="auto"/>
          <w:kern w:val="2"/>
          <w:sz w:val="24"/>
          <w:szCs w:val="24"/>
          <w:highlight w:val="none"/>
          <w:lang w:val="en-US" w:eastAsia="zh-CN" w:bidi="ar-SA"/>
        </w:rPr>
        <w:br w:type="page"/>
      </w:r>
    </w:p>
    <w:p w14:paraId="5CBA4285">
      <w:pPr>
        <w:numPr>
          <w:ilvl w:val="0"/>
          <w:numId w:val="0"/>
        </w:numPr>
        <w:wordWrap/>
        <w:adjustRightInd w:val="0"/>
        <w:snapToGrid w:val="0"/>
        <w:spacing w:before="157" w:beforeLines="50" w:line="560" w:lineRule="exact"/>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2.中小企业声明函</w:t>
      </w:r>
      <w:bookmarkEnd w:id="291"/>
      <w:bookmarkEnd w:id="292"/>
      <w:bookmarkEnd w:id="293"/>
    </w:p>
    <w:p w14:paraId="31ABA32E">
      <w:pPr>
        <w:widowControl/>
        <w:wordWrap/>
        <w:adjustRightInd w:val="0"/>
        <w:snapToGrid w:val="0"/>
        <w:spacing w:line="560" w:lineRule="exact"/>
        <w:jc w:val="center"/>
        <w:textAlignment w:val="auto"/>
        <w:outlineLvl w:val="9"/>
        <w:rPr>
          <w:rFonts w:hint="eastAsia" w:ascii="宋体" w:hAnsi="宋体" w:eastAsia="宋体" w:cs="宋体"/>
          <w:b/>
          <w:color w:val="auto"/>
          <w:spacing w:val="6"/>
          <w:kern w:val="0"/>
          <w:sz w:val="24"/>
          <w:szCs w:val="24"/>
          <w:highlight w:val="none"/>
        </w:rPr>
      </w:pPr>
      <w:bookmarkStart w:id="294" w:name="_Toc3019_WPSOffice_Level3"/>
      <w:bookmarkStart w:id="295" w:name="_Toc1901_WPSOffice_Level3"/>
      <w:r>
        <w:rPr>
          <w:rFonts w:hint="eastAsia" w:ascii="宋体" w:hAnsi="宋体" w:eastAsia="宋体" w:cs="宋体"/>
          <w:b/>
          <w:color w:val="auto"/>
          <w:spacing w:val="6"/>
          <w:kern w:val="0"/>
          <w:sz w:val="24"/>
          <w:szCs w:val="24"/>
          <w:highlight w:val="none"/>
        </w:rPr>
        <w:t>(不满足以下条件的无需填写)</w:t>
      </w:r>
      <w:bookmarkEnd w:id="294"/>
      <w:bookmarkEnd w:id="295"/>
    </w:p>
    <w:p w14:paraId="6032CD79">
      <w:pPr>
        <w:wordWrap/>
        <w:autoSpaceDE w:val="0"/>
        <w:autoSpaceDN w:val="0"/>
        <w:spacing w:line="560" w:lineRule="exact"/>
        <w:textAlignment w:val="auto"/>
        <w:outlineLvl w:val="9"/>
        <w:rPr>
          <w:rFonts w:hint="eastAsia" w:ascii="宋体" w:hAnsi="宋体" w:eastAsia="宋体" w:cs="宋体"/>
          <w:color w:val="auto"/>
          <w:spacing w:val="6"/>
          <w:kern w:val="0"/>
          <w:sz w:val="24"/>
          <w:szCs w:val="24"/>
          <w:highlight w:val="none"/>
        </w:rPr>
      </w:pPr>
      <w:bookmarkStart w:id="296" w:name="_Toc22185_WPSOffice_Level2"/>
      <w:bookmarkStart w:id="297" w:name="_Toc16462_WPSOffice_Level2"/>
      <w:bookmarkStart w:id="298" w:name="_Toc17607_WPSOffice_Level2"/>
      <w:r>
        <w:rPr>
          <w:rFonts w:hint="eastAsia" w:ascii="宋体" w:hAnsi="宋体" w:eastAsia="宋体" w:cs="宋体"/>
          <w:b/>
          <w:bCs/>
          <w:color w:val="auto"/>
          <w:kern w:val="0"/>
          <w:sz w:val="24"/>
          <w:szCs w:val="24"/>
          <w:highlight w:val="none"/>
          <w:lang w:val="zh-CN"/>
        </w:rPr>
        <w:t>致：（</w:t>
      </w:r>
      <w:r>
        <w:rPr>
          <w:rFonts w:hint="eastAsia" w:ascii="宋体" w:hAnsi="宋体" w:eastAsia="宋体" w:cs="宋体"/>
          <w:b/>
          <w:bCs/>
          <w:color w:val="auto"/>
          <w:kern w:val="0"/>
          <w:sz w:val="24"/>
          <w:szCs w:val="24"/>
          <w:highlight w:val="none"/>
          <w:u w:val="single"/>
          <w:lang w:val="zh-CN"/>
        </w:rPr>
        <w:t>采购人或者采购代理机构）</w:t>
      </w:r>
      <w:bookmarkEnd w:id="296"/>
      <w:bookmarkEnd w:id="297"/>
      <w:bookmarkEnd w:id="298"/>
    </w:p>
    <w:p w14:paraId="5F9D5203">
      <w:pPr>
        <w:pStyle w:val="6"/>
        <w:keepNext w:val="0"/>
        <w:keepLines w:val="0"/>
        <w:pageBreakBefore w:val="0"/>
        <w:widowControl w:val="0"/>
        <w:kinsoku/>
        <w:wordWrap/>
        <w:overflowPunct/>
        <w:topLinePunct w:val="0"/>
        <w:autoSpaceDE w:val="0"/>
        <w:autoSpaceDN w:val="0"/>
        <w:bidi w:val="0"/>
        <w:adjustRightInd/>
        <w:snapToGrid/>
        <w:spacing w:before="55" w:line="360" w:lineRule="auto"/>
        <w:ind w:left="0" w:leftChars="0" w:right="0" w:firstLine="480" w:firstLineChars="200"/>
        <w:textAlignment w:val="auto"/>
        <w:outlineLvl w:val="9"/>
        <w:rPr>
          <w:rFonts w:hint="eastAsia" w:ascii="宋体" w:hAnsi="宋体" w:eastAsia="宋体" w:cs="宋体"/>
          <w:b w:val="0"/>
          <w:bCs/>
          <w:i w:val="0"/>
          <w:iCs w:val="0"/>
          <w:color w:val="auto"/>
          <w:spacing w:val="0"/>
          <w:w w:val="100"/>
          <w:position w:val="0"/>
          <w:sz w:val="24"/>
          <w:szCs w:val="24"/>
          <w:highlight w:val="none"/>
        </w:rPr>
      </w:pPr>
      <w:r>
        <w:rPr>
          <w:rFonts w:hint="eastAsia" w:ascii="宋体" w:hAnsi="宋体" w:eastAsia="宋体" w:cs="宋体"/>
          <w:b w:val="0"/>
          <w:bCs/>
          <w:i w:val="0"/>
          <w:iCs w:val="0"/>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b w:val="0"/>
          <w:bCs/>
          <w:i w:val="0"/>
          <w:iCs w:val="0"/>
          <w:color w:val="auto"/>
          <w:spacing w:val="0"/>
          <w:w w:val="100"/>
          <w:position w:val="0"/>
          <w:sz w:val="24"/>
          <w:szCs w:val="24"/>
          <w:highlight w:val="none"/>
          <w:u w:val="single"/>
        </w:rPr>
        <w:t>（单位名称）</w:t>
      </w:r>
      <w:r>
        <w:rPr>
          <w:rFonts w:hint="eastAsia" w:ascii="宋体" w:hAnsi="宋体" w:eastAsia="宋体" w:cs="宋体"/>
          <w:b w:val="0"/>
          <w:bCs/>
          <w:i w:val="0"/>
          <w:iCs w:val="0"/>
          <w:color w:val="auto"/>
          <w:spacing w:val="0"/>
          <w:w w:val="100"/>
          <w:position w:val="0"/>
          <w:sz w:val="24"/>
          <w:szCs w:val="24"/>
          <w:highlight w:val="none"/>
        </w:rPr>
        <w:t>的</w:t>
      </w:r>
      <w:r>
        <w:rPr>
          <w:rFonts w:hint="eastAsia" w:ascii="宋体" w:hAnsi="宋体" w:eastAsia="宋体" w:cs="宋体"/>
          <w:b w:val="0"/>
          <w:bCs/>
          <w:i w:val="0"/>
          <w:iCs w:val="0"/>
          <w:color w:val="auto"/>
          <w:spacing w:val="0"/>
          <w:w w:val="100"/>
          <w:position w:val="0"/>
          <w:sz w:val="24"/>
          <w:szCs w:val="24"/>
          <w:highlight w:val="none"/>
          <w:u w:val="single"/>
        </w:rPr>
        <w:t>（项目名称）</w:t>
      </w:r>
      <w:r>
        <w:rPr>
          <w:rFonts w:hint="eastAsia" w:ascii="宋体" w:hAnsi="宋体" w:eastAsia="宋体" w:cs="宋体"/>
          <w:b w:val="0"/>
          <w:bCs/>
          <w:i w:val="0"/>
          <w:iCs w:val="0"/>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14:paraId="1563DA8B">
      <w:pPr>
        <w:pStyle w:val="27"/>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b w:val="0"/>
          <w:bCs/>
          <w:i w:val="0"/>
          <w:iCs w:val="0"/>
          <w:color w:val="auto"/>
          <w:spacing w:val="0"/>
          <w:w w:val="100"/>
          <w:position w:val="0"/>
          <w:sz w:val="24"/>
          <w:szCs w:val="24"/>
          <w:highlight w:val="none"/>
          <w:u w:val="none"/>
        </w:rPr>
      </w:pPr>
      <w:r>
        <w:rPr>
          <w:rFonts w:hint="eastAsia" w:ascii="宋体" w:hAnsi="宋体" w:eastAsia="宋体" w:cs="宋体"/>
          <w:b w:val="0"/>
          <w:bCs/>
          <w:i w:val="0"/>
          <w:iCs w:val="0"/>
          <w:color w:val="auto"/>
          <w:spacing w:val="0"/>
          <w:w w:val="100"/>
          <w:position w:val="0"/>
          <w:sz w:val="24"/>
          <w:szCs w:val="24"/>
          <w:highlight w:val="none"/>
          <w:u w:val="none" w:color="auto"/>
          <w:lang w:val="en-US" w:eastAsia="zh-CN"/>
        </w:rPr>
        <w:t>1.</w:t>
      </w:r>
      <w:r>
        <w:rPr>
          <w:rFonts w:hint="eastAsia" w:ascii="宋体" w:hAnsi="宋体" w:eastAsia="宋体" w:cs="宋体"/>
          <w:b w:val="0"/>
          <w:bCs/>
          <w:i w:val="0"/>
          <w:iCs w:val="0"/>
          <w:color w:val="auto"/>
          <w:spacing w:val="0"/>
          <w:w w:val="100"/>
          <w:position w:val="0"/>
          <w:sz w:val="24"/>
          <w:szCs w:val="24"/>
          <w:highlight w:val="none"/>
          <w:u w:val="single"/>
        </w:rPr>
        <w:t>（标的名称）</w:t>
      </w:r>
      <w:r>
        <w:rPr>
          <w:rFonts w:hint="eastAsia" w:ascii="宋体" w:hAnsi="宋体" w:eastAsia="宋体" w:cs="宋体"/>
          <w:b w:val="0"/>
          <w:bCs/>
          <w:i w:val="0"/>
          <w:iCs w:val="0"/>
          <w:color w:val="auto"/>
          <w:spacing w:val="0"/>
          <w:w w:val="100"/>
          <w:position w:val="0"/>
          <w:sz w:val="24"/>
          <w:szCs w:val="24"/>
          <w:highlight w:val="none"/>
          <w:u w:val="none"/>
        </w:rPr>
        <w:t>，属于</w:t>
      </w:r>
      <w:r>
        <w:rPr>
          <w:rFonts w:hint="eastAsia" w:ascii="宋体" w:hAnsi="宋体" w:eastAsia="宋体" w:cs="宋体"/>
          <w:b w:val="0"/>
          <w:bCs/>
          <w:i w:val="0"/>
          <w:iCs w:val="0"/>
          <w:color w:val="auto"/>
          <w:spacing w:val="0"/>
          <w:w w:val="100"/>
          <w:position w:val="0"/>
          <w:sz w:val="24"/>
          <w:szCs w:val="24"/>
          <w:highlight w:val="none"/>
          <w:u w:val="single"/>
        </w:rPr>
        <w:t>（</w:t>
      </w:r>
      <w:r>
        <w:rPr>
          <w:rFonts w:hint="eastAsia" w:ascii="宋体" w:hAnsi="宋体" w:eastAsia="宋体" w:cs="宋体"/>
          <w:b w:val="0"/>
          <w:bCs/>
          <w:i w:val="0"/>
          <w:iCs w:val="0"/>
          <w:color w:val="auto"/>
          <w:spacing w:val="0"/>
          <w:w w:val="100"/>
          <w:position w:val="0"/>
          <w:sz w:val="24"/>
          <w:szCs w:val="24"/>
          <w:highlight w:val="none"/>
          <w:u w:val="single"/>
          <w:lang w:val="en-US" w:eastAsia="zh-CN"/>
        </w:rPr>
        <w:t>工业</w:t>
      </w:r>
      <w:r>
        <w:rPr>
          <w:rFonts w:hint="eastAsia" w:ascii="宋体" w:hAnsi="宋体" w:eastAsia="宋体" w:cs="宋体"/>
          <w:b w:val="0"/>
          <w:bCs/>
          <w:i w:val="0"/>
          <w:iCs w:val="0"/>
          <w:color w:val="auto"/>
          <w:spacing w:val="0"/>
          <w:w w:val="100"/>
          <w:position w:val="0"/>
          <w:sz w:val="24"/>
          <w:szCs w:val="24"/>
          <w:highlight w:val="none"/>
          <w:u w:val="single"/>
        </w:rPr>
        <w:t>）</w:t>
      </w:r>
      <w:r>
        <w:rPr>
          <w:rFonts w:hint="eastAsia" w:ascii="宋体" w:hAnsi="宋体" w:eastAsia="宋体" w:cs="宋体"/>
          <w:b w:val="0"/>
          <w:bCs/>
          <w:i w:val="0"/>
          <w:iCs w:val="0"/>
          <w:color w:val="auto"/>
          <w:spacing w:val="0"/>
          <w:w w:val="100"/>
          <w:position w:val="0"/>
          <w:sz w:val="24"/>
          <w:szCs w:val="24"/>
          <w:highlight w:val="none"/>
          <w:u w:val="none"/>
        </w:rPr>
        <w:t>；制造商为</w:t>
      </w:r>
      <w:r>
        <w:rPr>
          <w:rFonts w:hint="eastAsia" w:ascii="宋体" w:hAnsi="宋体" w:eastAsia="宋体" w:cs="宋体"/>
          <w:b w:val="0"/>
          <w:bCs/>
          <w:i w:val="0"/>
          <w:iCs w:val="0"/>
          <w:color w:val="auto"/>
          <w:spacing w:val="0"/>
          <w:w w:val="100"/>
          <w:position w:val="0"/>
          <w:sz w:val="24"/>
          <w:szCs w:val="24"/>
          <w:highlight w:val="none"/>
          <w:u w:val="single"/>
        </w:rPr>
        <w:t>（企业名称）</w:t>
      </w:r>
      <w:r>
        <w:rPr>
          <w:rFonts w:hint="eastAsia" w:ascii="宋体" w:hAnsi="宋体" w:eastAsia="宋体" w:cs="宋体"/>
          <w:b w:val="0"/>
          <w:bCs/>
          <w:i w:val="0"/>
          <w:iCs w:val="0"/>
          <w:color w:val="auto"/>
          <w:spacing w:val="0"/>
          <w:w w:val="100"/>
          <w:position w:val="0"/>
          <w:sz w:val="24"/>
          <w:szCs w:val="24"/>
          <w:highlight w:val="none"/>
          <w:u w:val="none"/>
        </w:rPr>
        <w:t>，从业人员</w:t>
      </w:r>
      <w:r>
        <w:rPr>
          <w:rFonts w:hint="eastAsia" w:ascii="宋体" w:hAnsi="宋体" w:eastAsia="宋体" w:cs="宋体"/>
          <w:b w:val="0"/>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val="0"/>
          <w:bCs/>
          <w:i w:val="0"/>
          <w:iCs w:val="0"/>
          <w:color w:val="auto"/>
          <w:spacing w:val="0"/>
          <w:w w:val="100"/>
          <w:position w:val="0"/>
          <w:sz w:val="24"/>
          <w:szCs w:val="24"/>
          <w:highlight w:val="none"/>
          <w:u w:val="none"/>
        </w:rPr>
        <w:t>人，营业收入为</w:t>
      </w:r>
      <w:r>
        <w:rPr>
          <w:rFonts w:hint="eastAsia" w:ascii="宋体" w:hAnsi="宋体" w:eastAsia="宋体" w:cs="宋体"/>
          <w:b w:val="0"/>
          <w:bCs/>
          <w:i w:val="0"/>
          <w:iCs w:val="0"/>
          <w:color w:val="auto"/>
          <w:spacing w:val="0"/>
          <w:w w:val="100"/>
          <w:position w:val="0"/>
          <w:sz w:val="24"/>
          <w:szCs w:val="24"/>
          <w:highlight w:val="none"/>
          <w:u w:val="none"/>
          <w:lang w:val="en-US" w:eastAsia="zh-CN"/>
        </w:rPr>
        <w:t>___</w:t>
      </w:r>
      <w:r>
        <w:rPr>
          <w:rFonts w:hint="eastAsia" w:ascii="宋体" w:hAnsi="宋体" w:eastAsia="宋体" w:cs="宋体"/>
          <w:b w:val="0"/>
          <w:bCs/>
          <w:i w:val="0"/>
          <w:iCs w:val="0"/>
          <w:color w:val="auto"/>
          <w:spacing w:val="0"/>
          <w:w w:val="100"/>
          <w:position w:val="0"/>
          <w:sz w:val="24"/>
          <w:szCs w:val="24"/>
          <w:highlight w:val="none"/>
          <w:u w:val="none"/>
        </w:rPr>
        <w:t>万元，资产总额为</w:t>
      </w:r>
      <w:r>
        <w:rPr>
          <w:rFonts w:hint="eastAsia" w:ascii="宋体" w:hAnsi="宋体" w:eastAsia="宋体" w:cs="宋体"/>
          <w:b w:val="0"/>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val="0"/>
          <w:bCs/>
          <w:i w:val="0"/>
          <w:iCs w:val="0"/>
          <w:color w:val="auto"/>
          <w:spacing w:val="0"/>
          <w:w w:val="100"/>
          <w:position w:val="0"/>
          <w:sz w:val="24"/>
          <w:szCs w:val="24"/>
          <w:highlight w:val="none"/>
          <w:u w:val="none"/>
        </w:rPr>
        <w:t>万元</w:t>
      </w:r>
      <w:r>
        <w:rPr>
          <w:rFonts w:hint="eastAsia" w:ascii="宋体" w:hAnsi="宋体" w:eastAsia="宋体" w:cs="宋体"/>
          <w:b w:val="0"/>
          <w:bCs/>
          <w:i w:val="0"/>
          <w:iCs w:val="0"/>
          <w:color w:val="auto"/>
          <w:spacing w:val="0"/>
          <w:w w:val="100"/>
          <w:position w:val="0"/>
          <w:sz w:val="24"/>
          <w:szCs w:val="24"/>
          <w:highlight w:val="none"/>
          <w:vertAlign w:val="superscript"/>
        </w:rPr>
        <w:fldChar w:fldCharType="begin"/>
      </w:r>
      <w:r>
        <w:rPr>
          <w:rFonts w:hint="eastAsia" w:ascii="宋体" w:hAnsi="宋体" w:eastAsia="宋体" w:cs="宋体"/>
          <w:b w:val="0"/>
          <w:bCs/>
          <w:i w:val="0"/>
          <w:iCs w:val="0"/>
          <w:color w:val="auto"/>
          <w:spacing w:val="0"/>
          <w:w w:val="100"/>
          <w:position w:val="0"/>
          <w:sz w:val="24"/>
          <w:szCs w:val="24"/>
          <w:highlight w:val="none"/>
          <w:vertAlign w:val="superscript"/>
        </w:rPr>
        <w:instrText xml:space="preserve"> HYPERLINK \l "_bookmark0" </w:instrText>
      </w:r>
      <w:r>
        <w:rPr>
          <w:rFonts w:hint="eastAsia" w:ascii="宋体" w:hAnsi="宋体" w:eastAsia="宋体" w:cs="宋体"/>
          <w:b w:val="0"/>
          <w:bCs/>
          <w:i w:val="0"/>
          <w:iCs w:val="0"/>
          <w:color w:val="auto"/>
          <w:spacing w:val="0"/>
          <w:w w:val="100"/>
          <w:position w:val="0"/>
          <w:sz w:val="24"/>
          <w:szCs w:val="24"/>
          <w:highlight w:val="none"/>
          <w:vertAlign w:val="superscript"/>
        </w:rPr>
        <w:fldChar w:fldCharType="separate"/>
      </w:r>
      <w:r>
        <w:rPr>
          <w:rFonts w:hint="eastAsia" w:ascii="宋体" w:hAnsi="宋体" w:eastAsia="宋体" w:cs="宋体"/>
          <w:b w:val="0"/>
          <w:bCs/>
          <w:i w:val="0"/>
          <w:iCs w:val="0"/>
          <w:color w:val="auto"/>
          <w:spacing w:val="0"/>
          <w:w w:val="100"/>
          <w:position w:val="0"/>
          <w:sz w:val="24"/>
          <w:szCs w:val="24"/>
          <w:highlight w:val="none"/>
          <w:u w:val="none"/>
          <w:vertAlign w:val="superscript"/>
        </w:rPr>
        <w:t>1</w:t>
      </w:r>
      <w:r>
        <w:rPr>
          <w:rFonts w:hint="eastAsia" w:ascii="宋体" w:hAnsi="宋体" w:eastAsia="宋体" w:cs="宋体"/>
          <w:b w:val="0"/>
          <w:bCs/>
          <w:i w:val="0"/>
          <w:iCs w:val="0"/>
          <w:color w:val="auto"/>
          <w:spacing w:val="0"/>
          <w:w w:val="100"/>
          <w:position w:val="0"/>
          <w:sz w:val="24"/>
          <w:szCs w:val="24"/>
          <w:highlight w:val="none"/>
          <w:u w:val="none"/>
          <w:vertAlign w:val="superscript"/>
        </w:rPr>
        <w:fldChar w:fldCharType="end"/>
      </w:r>
      <w:r>
        <w:rPr>
          <w:rFonts w:hint="eastAsia" w:ascii="宋体" w:hAnsi="宋体" w:eastAsia="宋体" w:cs="宋体"/>
          <w:b w:val="0"/>
          <w:bCs/>
          <w:i w:val="0"/>
          <w:iCs w:val="0"/>
          <w:color w:val="auto"/>
          <w:spacing w:val="0"/>
          <w:w w:val="100"/>
          <w:position w:val="0"/>
          <w:sz w:val="24"/>
          <w:szCs w:val="24"/>
          <w:highlight w:val="none"/>
          <w:u w:val="none"/>
        </w:rPr>
        <w:t>，属于</w:t>
      </w:r>
      <w:r>
        <w:rPr>
          <w:rFonts w:hint="eastAsia" w:ascii="宋体" w:hAnsi="宋体" w:eastAsia="宋体" w:cs="宋体"/>
          <w:b w:val="0"/>
          <w:bCs/>
          <w:i w:val="0"/>
          <w:iCs w:val="0"/>
          <w:color w:val="auto"/>
          <w:spacing w:val="0"/>
          <w:w w:val="100"/>
          <w:position w:val="0"/>
          <w:sz w:val="24"/>
          <w:szCs w:val="24"/>
          <w:highlight w:val="none"/>
          <w:u w:val="single"/>
        </w:rPr>
        <w:t>（中型企业、小型企业、微型企业）</w:t>
      </w:r>
      <w:r>
        <w:rPr>
          <w:rFonts w:hint="eastAsia" w:ascii="宋体" w:hAnsi="宋体" w:eastAsia="宋体" w:cs="宋体"/>
          <w:b w:val="0"/>
          <w:bCs/>
          <w:i w:val="0"/>
          <w:iCs w:val="0"/>
          <w:color w:val="auto"/>
          <w:spacing w:val="0"/>
          <w:w w:val="100"/>
          <w:position w:val="0"/>
          <w:sz w:val="24"/>
          <w:szCs w:val="24"/>
          <w:highlight w:val="none"/>
          <w:u w:val="none"/>
        </w:rPr>
        <w:t>；</w:t>
      </w:r>
    </w:p>
    <w:p w14:paraId="28885852">
      <w:pPr>
        <w:pStyle w:val="27"/>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b w:val="0"/>
          <w:bCs/>
          <w:i w:val="0"/>
          <w:iCs w:val="0"/>
          <w:color w:val="auto"/>
          <w:spacing w:val="0"/>
          <w:w w:val="100"/>
          <w:position w:val="0"/>
          <w:sz w:val="24"/>
          <w:szCs w:val="24"/>
          <w:highlight w:val="none"/>
          <w:u w:val="none"/>
        </w:rPr>
      </w:pPr>
      <w:r>
        <w:rPr>
          <w:rFonts w:hint="eastAsia" w:ascii="宋体" w:hAnsi="宋体" w:eastAsia="宋体" w:cs="宋体"/>
          <w:b w:val="0"/>
          <w:bCs/>
          <w:i w:val="0"/>
          <w:iCs w:val="0"/>
          <w:color w:val="auto"/>
          <w:spacing w:val="0"/>
          <w:w w:val="100"/>
          <w:position w:val="0"/>
          <w:sz w:val="24"/>
          <w:szCs w:val="24"/>
          <w:highlight w:val="none"/>
          <w:u w:val="none" w:color="auto"/>
          <w:lang w:val="en-US" w:eastAsia="zh-CN"/>
        </w:rPr>
        <w:t>2.</w:t>
      </w:r>
      <w:r>
        <w:rPr>
          <w:rFonts w:hint="eastAsia" w:ascii="宋体" w:hAnsi="宋体" w:eastAsia="宋体" w:cs="宋体"/>
          <w:b w:val="0"/>
          <w:bCs/>
          <w:i w:val="0"/>
          <w:iCs w:val="0"/>
          <w:color w:val="auto"/>
          <w:spacing w:val="0"/>
          <w:w w:val="100"/>
          <w:position w:val="0"/>
          <w:sz w:val="24"/>
          <w:szCs w:val="24"/>
          <w:highlight w:val="none"/>
          <w:u w:val="single"/>
        </w:rPr>
        <w:t>（标的名称）</w:t>
      </w:r>
      <w:r>
        <w:rPr>
          <w:rFonts w:hint="eastAsia" w:ascii="宋体" w:hAnsi="宋体" w:eastAsia="宋体" w:cs="宋体"/>
          <w:b w:val="0"/>
          <w:bCs/>
          <w:i w:val="0"/>
          <w:iCs w:val="0"/>
          <w:color w:val="auto"/>
          <w:spacing w:val="0"/>
          <w:w w:val="100"/>
          <w:position w:val="0"/>
          <w:sz w:val="24"/>
          <w:szCs w:val="24"/>
          <w:highlight w:val="none"/>
          <w:u w:val="none"/>
        </w:rPr>
        <w:t>，属于</w:t>
      </w:r>
      <w:r>
        <w:rPr>
          <w:rFonts w:hint="eastAsia" w:ascii="宋体" w:hAnsi="宋体" w:eastAsia="宋体" w:cs="宋体"/>
          <w:b w:val="0"/>
          <w:bCs/>
          <w:i w:val="0"/>
          <w:iCs w:val="0"/>
          <w:color w:val="auto"/>
          <w:spacing w:val="0"/>
          <w:w w:val="100"/>
          <w:position w:val="0"/>
          <w:sz w:val="24"/>
          <w:szCs w:val="24"/>
          <w:highlight w:val="none"/>
          <w:u w:val="single"/>
        </w:rPr>
        <w:t>（</w:t>
      </w:r>
      <w:r>
        <w:rPr>
          <w:rFonts w:hint="eastAsia" w:ascii="宋体" w:hAnsi="宋体" w:eastAsia="宋体" w:cs="宋体"/>
          <w:b w:val="0"/>
          <w:bCs/>
          <w:i w:val="0"/>
          <w:iCs w:val="0"/>
          <w:color w:val="auto"/>
          <w:spacing w:val="0"/>
          <w:w w:val="100"/>
          <w:position w:val="0"/>
          <w:sz w:val="24"/>
          <w:szCs w:val="24"/>
          <w:highlight w:val="none"/>
          <w:u w:val="single"/>
          <w:lang w:val="en-US" w:eastAsia="zh-CN"/>
        </w:rPr>
        <w:t>工业</w:t>
      </w:r>
      <w:r>
        <w:rPr>
          <w:rFonts w:hint="eastAsia" w:ascii="宋体" w:hAnsi="宋体" w:eastAsia="宋体" w:cs="宋体"/>
          <w:b w:val="0"/>
          <w:bCs/>
          <w:i w:val="0"/>
          <w:iCs w:val="0"/>
          <w:color w:val="auto"/>
          <w:spacing w:val="0"/>
          <w:w w:val="100"/>
          <w:position w:val="0"/>
          <w:sz w:val="24"/>
          <w:szCs w:val="24"/>
          <w:highlight w:val="none"/>
          <w:u w:val="single"/>
        </w:rPr>
        <w:t>）</w:t>
      </w:r>
      <w:r>
        <w:rPr>
          <w:rFonts w:hint="eastAsia" w:ascii="宋体" w:hAnsi="宋体" w:eastAsia="宋体" w:cs="宋体"/>
          <w:b w:val="0"/>
          <w:bCs/>
          <w:i w:val="0"/>
          <w:iCs w:val="0"/>
          <w:color w:val="auto"/>
          <w:spacing w:val="0"/>
          <w:w w:val="100"/>
          <w:position w:val="0"/>
          <w:sz w:val="24"/>
          <w:szCs w:val="24"/>
          <w:highlight w:val="none"/>
          <w:u w:val="none"/>
        </w:rPr>
        <w:t>；制造商为</w:t>
      </w:r>
      <w:r>
        <w:rPr>
          <w:rFonts w:hint="eastAsia" w:ascii="宋体" w:hAnsi="宋体" w:eastAsia="宋体" w:cs="宋体"/>
          <w:b w:val="0"/>
          <w:bCs/>
          <w:i w:val="0"/>
          <w:iCs w:val="0"/>
          <w:color w:val="auto"/>
          <w:spacing w:val="0"/>
          <w:w w:val="100"/>
          <w:position w:val="0"/>
          <w:sz w:val="24"/>
          <w:szCs w:val="24"/>
          <w:highlight w:val="none"/>
          <w:u w:val="single"/>
        </w:rPr>
        <w:t>（企业名称）</w:t>
      </w:r>
      <w:r>
        <w:rPr>
          <w:rFonts w:hint="eastAsia" w:ascii="宋体" w:hAnsi="宋体" w:eastAsia="宋体" w:cs="宋体"/>
          <w:b w:val="0"/>
          <w:bCs/>
          <w:i w:val="0"/>
          <w:iCs w:val="0"/>
          <w:color w:val="auto"/>
          <w:spacing w:val="0"/>
          <w:w w:val="100"/>
          <w:position w:val="0"/>
          <w:sz w:val="24"/>
          <w:szCs w:val="24"/>
          <w:highlight w:val="none"/>
          <w:u w:val="none"/>
        </w:rPr>
        <w:t>，从业人员</w:t>
      </w:r>
      <w:r>
        <w:rPr>
          <w:rFonts w:hint="eastAsia" w:ascii="宋体" w:hAnsi="宋体" w:eastAsia="宋体" w:cs="宋体"/>
          <w:b w:val="0"/>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val="0"/>
          <w:bCs/>
          <w:i w:val="0"/>
          <w:iCs w:val="0"/>
          <w:color w:val="auto"/>
          <w:spacing w:val="0"/>
          <w:w w:val="100"/>
          <w:position w:val="0"/>
          <w:sz w:val="24"/>
          <w:szCs w:val="24"/>
          <w:highlight w:val="none"/>
          <w:u w:val="none"/>
        </w:rPr>
        <w:t>人，营业收入为</w:t>
      </w:r>
      <w:r>
        <w:rPr>
          <w:rFonts w:hint="eastAsia" w:ascii="宋体" w:hAnsi="宋体" w:eastAsia="宋体" w:cs="宋体"/>
          <w:b w:val="0"/>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val="0"/>
          <w:bCs/>
          <w:i w:val="0"/>
          <w:iCs w:val="0"/>
          <w:color w:val="auto"/>
          <w:spacing w:val="0"/>
          <w:w w:val="100"/>
          <w:position w:val="0"/>
          <w:sz w:val="24"/>
          <w:szCs w:val="24"/>
          <w:highlight w:val="none"/>
          <w:u w:val="none"/>
        </w:rPr>
        <w:t>万元，资产总额为</w:t>
      </w:r>
      <w:r>
        <w:rPr>
          <w:rFonts w:hint="eastAsia" w:ascii="宋体" w:hAnsi="宋体" w:eastAsia="宋体" w:cs="宋体"/>
          <w:b w:val="0"/>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val="0"/>
          <w:bCs/>
          <w:i w:val="0"/>
          <w:iCs w:val="0"/>
          <w:color w:val="auto"/>
          <w:spacing w:val="0"/>
          <w:w w:val="100"/>
          <w:position w:val="0"/>
          <w:sz w:val="24"/>
          <w:szCs w:val="24"/>
          <w:highlight w:val="none"/>
          <w:u w:val="none"/>
        </w:rPr>
        <w:t>万元，属于</w:t>
      </w:r>
      <w:r>
        <w:rPr>
          <w:rFonts w:hint="eastAsia" w:ascii="宋体" w:hAnsi="宋体" w:eastAsia="宋体" w:cs="宋体"/>
          <w:b w:val="0"/>
          <w:bCs/>
          <w:i w:val="0"/>
          <w:iCs w:val="0"/>
          <w:color w:val="auto"/>
          <w:spacing w:val="0"/>
          <w:w w:val="100"/>
          <w:position w:val="0"/>
          <w:sz w:val="24"/>
          <w:szCs w:val="24"/>
          <w:highlight w:val="none"/>
          <w:u w:val="single"/>
        </w:rPr>
        <w:t>（中型企业、小型企业、微型企业）</w:t>
      </w:r>
      <w:r>
        <w:rPr>
          <w:rFonts w:hint="eastAsia" w:ascii="宋体" w:hAnsi="宋体" w:eastAsia="宋体" w:cs="宋体"/>
          <w:b w:val="0"/>
          <w:bCs/>
          <w:i w:val="0"/>
          <w:iCs w:val="0"/>
          <w:color w:val="auto"/>
          <w:spacing w:val="0"/>
          <w:w w:val="100"/>
          <w:position w:val="0"/>
          <w:sz w:val="24"/>
          <w:szCs w:val="24"/>
          <w:highlight w:val="none"/>
          <w:u w:val="none"/>
        </w:rPr>
        <w:t>；</w:t>
      </w:r>
    </w:p>
    <w:p w14:paraId="238773D4">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outlineLvl w:val="9"/>
        <w:rPr>
          <w:rFonts w:hint="eastAsia" w:ascii="宋体" w:hAnsi="宋体" w:eastAsia="宋体" w:cs="宋体"/>
          <w:b w:val="0"/>
          <w:bCs/>
          <w:i w:val="0"/>
          <w:iCs w:val="0"/>
          <w:color w:val="auto"/>
          <w:spacing w:val="0"/>
          <w:w w:val="100"/>
          <w:position w:val="0"/>
          <w:sz w:val="24"/>
          <w:szCs w:val="24"/>
          <w:highlight w:val="none"/>
        </w:rPr>
      </w:pPr>
      <w:r>
        <w:rPr>
          <w:rFonts w:hint="eastAsia" w:ascii="宋体" w:hAnsi="宋体" w:eastAsia="宋体" w:cs="宋体"/>
          <w:b w:val="0"/>
          <w:bCs/>
          <w:i w:val="0"/>
          <w:iCs w:val="0"/>
          <w:color w:val="auto"/>
          <w:spacing w:val="0"/>
          <w:w w:val="100"/>
          <w:position w:val="0"/>
          <w:sz w:val="24"/>
          <w:szCs w:val="24"/>
          <w:highlight w:val="none"/>
        </w:rPr>
        <w:t>……</w:t>
      </w:r>
    </w:p>
    <w:p w14:paraId="55FA8AC5">
      <w:pPr>
        <w:pStyle w:val="6"/>
        <w:keepNext w:val="0"/>
        <w:keepLines w:val="0"/>
        <w:pageBreakBefore w:val="0"/>
        <w:widowControl w:val="0"/>
        <w:kinsoku/>
        <w:wordWrap/>
        <w:overflowPunct/>
        <w:topLinePunct w:val="0"/>
        <w:autoSpaceDE w:val="0"/>
        <w:autoSpaceDN w:val="0"/>
        <w:bidi w:val="0"/>
        <w:adjustRightInd/>
        <w:snapToGrid/>
        <w:spacing w:before="105" w:line="360" w:lineRule="auto"/>
        <w:ind w:left="0" w:leftChars="0" w:right="0" w:firstLine="480" w:firstLineChars="200"/>
        <w:jc w:val="both"/>
        <w:textAlignment w:val="auto"/>
        <w:outlineLvl w:val="9"/>
        <w:rPr>
          <w:rFonts w:hint="eastAsia" w:ascii="宋体" w:hAnsi="宋体" w:eastAsia="宋体" w:cs="宋体"/>
          <w:b w:val="0"/>
          <w:bCs/>
          <w:i w:val="0"/>
          <w:iCs w:val="0"/>
          <w:color w:val="auto"/>
          <w:spacing w:val="0"/>
          <w:w w:val="100"/>
          <w:position w:val="0"/>
          <w:sz w:val="24"/>
          <w:szCs w:val="24"/>
          <w:highlight w:val="none"/>
        </w:rPr>
      </w:pPr>
      <w:r>
        <w:rPr>
          <w:rFonts w:hint="eastAsia" w:ascii="宋体" w:hAnsi="宋体" w:eastAsia="宋体" w:cs="宋体"/>
          <w:b w:val="0"/>
          <w:bCs/>
          <w:i w:val="0"/>
          <w:iCs w:val="0"/>
          <w:color w:val="auto"/>
          <w:spacing w:val="0"/>
          <w:w w:val="100"/>
          <w:position w:val="0"/>
          <w:sz w:val="24"/>
          <w:szCs w:val="24"/>
          <w:highlight w:val="none"/>
        </w:rPr>
        <w:t>以上企业，不属于大企业的分支机构，不存在控股股东为大企业的情形，也不存在与大企业的负责人为同一人的情形。</w:t>
      </w:r>
    </w:p>
    <w:p w14:paraId="2391D880">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b w:val="0"/>
          <w:bCs/>
          <w:i w:val="0"/>
          <w:iCs w:val="0"/>
          <w:color w:val="auto"/>
          <w:spacing w:val="0"/>
          <w:w w:val="100"/>
          <w:position w:val="0"/>
          <w:sz w:val="24"/>
          <w:szCs w:val="24"/>
          <w:highlight w:val="none"/>
        </w:rPr>
      </w:pPr>
      <w:r>
        <w:rPr>
          <w:rFonts w:hint="eastAsia" w:ascii="宋体" w:hAnsi="宋体" w:eastAsia="宋体" w:cs="宋体"/>
          <w:b w:val="0"/>
          <w:bCs/>
          <w:i w:val="0"/>
          <w:iCs w:val="0"/>
          <w:color w:val="auto"/>
          <w:spacing w:val="0"/>
          <w:w w:val="100"/>
          <w:position w:val="0"/>
          <w:sz w:val="24"/>
          <w:szCs w:val="24"/>
          <w:highlight w:val="none"/>
        </w:rPr>
        <w:t>本企业对上述声明内容的真实性负责。如有虚假，将依法承担相应责任。</w:t>
      </w:r>
    </w:p>
    <w:p w14:paraId="21C64C46">
      <w:pPr>
        <w:pStyle w:val="6"/>
        <w:keepNext w:val="0"/>
        <w:keepLines w:val="0"/>
        <w:pageBreakBefore w:val="0"/>
        <w:widowControl w:val="0"/>
        <w:kinsoku/>
        <w:wordWrap/>
        <w:overflowPunct/>
        <w:topLinePunct w:val="0"/>
        <w:autoSpaceDE w:val="0"/>
        <w:autoSpaceDN w:val="0"/>
        <w:bidi w:val="0"/>
        <w:adjustRightInd/>
        <w:snapToGrid/>
        <w:spacing w:before="35" w:line="360" w:lineRule="auto"/>
        <w:ind w:left="0" w:leftChars="0" w:right="0" w:rightChars="0" w:firstLine="0" w:firstLineChars="0"/>
        <w:jc w:val="center"/>
        <w:textAlignment w:val="auto"/>
        <w:rPr>
          <w:rFonts w:hint="eastAsia" w:ascii="宋体" w:hAnsi="宋体" w:eastAsia="宋体" w:cs="宋体"/>
          <w:b w:val="0"/>
          <w:bCs/>
          <w:color w:val="auto"/>
          <w:spacing w:val="0"/>
          <w:w w:val="100"/>
          <w:position w:val="0"/>
          <w:sz w:val="24"/>
          <w:szCs w:val="24"/>
          <w:highlight w:val="none"/>
        </w:rPr>
      </w:pPr>
    </w:p>
    <w:p w14:paraId="300440B6">
      <w:pPr>
        <w:pStyle w:val="6"/>
        <w:keepNext w:val="0"/>
        <w:keepLines w:val="0"/>
        <w:pageBreakBefore w:val="0"/>
        <w:widowControl w:val="0"/>
        <w:kinsoku/>
        <w:wordWrap/>
        <w:overflowPunct/>
        <w:topLinePunct w:val="0"/>
        <w:autoSpaceDE w:val="0"/>
        <w:autoSpaceDN w:val="0"/>
        <w:bidi w:val="0"/>
        <w:adjustRightInd/>
        <w:snapToGrid/>
        <w:spacing w:before="35" w:line="360" w:lineRule="auto"/>
        <w:ind w:left="0" w:leftChars="0" w:right="0" w:rightChars="0" w:firstLine="0" w:firstLineChars="0"/>
        <w:jc w:val="both"/>
        <w:textAlignment w:val="auto"/>
        <w:rPr>
          <w:rFonts w:hint="eastAsia" w:ascii="宋体" w:hAnsi="宋体" w:eastAsia="宋体" w:cs="宋体"/>
          <w:b w:val="0"/>
          <w:bCs/>
          <w:color w:val="auto"/>
          <w:spacing w:val="0"/>
          <w:w w:val="100"/>
          <w:position w:val="0"/>
          <w:sz w:val="24"/>
          <w:szCs w:val="24"/>
          <w:highlight w:val="none"/>
        </w:rPr>
      </w:pPr>
    </w:p>
    <w:p w14:paraId="7D72EC1D">
      <w:pPr>
        <w:pStyle w:val="6"/>
        <w:keepNext w:val="0"/>
        <w:keepLines w:val="0"/>
        <w:pageBreakBefore w:val="0"/>
        <w:widowControl w:val="0"/>
        <w:kinsoku/>
        <w:wordWrap/>
        <w:overflowPunct/>
        <w:topLinePunct w:val="0"/>
        <w:autoSpaceDE w:val="0"/>
        <w:autoSpaceDN w:val="0"/>
        <w:bidi w:val="0"/>
        <w:adjustRightInd/>
        <w:snapToGrid/>
        <w:spacing w:before="35" w:line="360" w:lineRule="auto"/>
        <w:ind w:left="0" w:leftChars="0" w:right="0" w:rightChars="0" w:firstLine="0" w:firstLineChars="0"/>
        <w:jc w:val="center"/>
        <w:textAlignment w:val="auto"/>
        <w:rPr>
          <w:rFonts w:hint="eastAsia" w:ascii="宋体" w:hAnsi="宋体" w:eastAsia="宋体" w:cs="宋体"/>
          <w:b w:val="0"/>
          <w:bCs/>
          <w:color w:val="auto"/>
          <w:spacing w:val="0"/>
          <w:w w:val="100"/>
          <w:position w:val="0"/>
          <w:sz w:val="24"/>
          <w:szCs w:val="24"/>
          <w:highlight w:val="none"/>
          <w:lang w:val="en-US" w:eastAsia="zh-CN"/>
        </w:rPr>
      </w:pPr>
      <w:r>
        <w:rPr>
          <w:rFonts w:hint="eastAsia" w:ascii="宋体" w:hAnsi="宋体" w:eastAsia="宋体" w:cs="宋体"/>
          <w:b w:val="0"/>
          <w:bCs/>
          <w:color w:val="auto"/>
          <w:spacing w:val="0"/>
          <w:w w:val="100"/>
          <w:position w:val="0"/>
          <w:sz w:val="24"/>
          <w:szCs w:val="24"/>
          <w:highlight w:val="none"/>
        </w:rPr>
        <w:t>企业名称（盖章）：</w:t>
      </w:r>
    </w:p>
    <w:p w14:paraId="0E58354E">
      <w:pPr>
        <w:pStyle w:val="6"/>
        <w:keepNext w:val="0"/>
        <w:keepLines w:val="0"/>
        <w:pageBreakBefore w:val="0"/>
        <w:widowControl w:val="0"/>
        <w:kinsoku/>
        <w:wordWrap/>
        <w:overflowPunct/>
        <w:topLinePunct w:val="0"/>
        <w:autoSpaceDE w:val="0"/>
        <w:autoSpaceDN w:val="0"/>
        <w:bidi w:val="0"/>
        <w:adjustRightInd/>
        <w:snapToGrid/>
        <w:spacing w:before="35" w:line="360" w:lineRule="auto"/>
        <w:ind w:left="0" w:leftChars="0" w:right="0" w:rightChars="0" w:firstLine="0" w:firstLineChars="0"/>
        <w:jc w:val="center"/>
        <w:textAlignment w:val="auto"/>
        <w:rPr>
          <w:rFonts w:hint="eastAsia" w:ascii="宋体" w:hAnsi="宋体" w:eastAsia="宋体" w:cs="宋体"/>
          <w:b w:val="0"/>
          <w:bCs/>
          <w:color w:val="auto"/>
          <w:spacing w:val="0"/>
          <w:w w:val="100"/>
          <w:position w:val="0"/>
          <w:sz w:val="24"/>
          <w:szCs w:val="24"/>
          <w:highlight w:val="none"/>
          <w:lang w:val="en-US" w:eastAsia="zh-CN"/>
        </w:rPr>
      </w:pPr>
      <w:r>
        <w:rPr>
          <w:rFonts w:hint="eastAsia" w:ascii="宋体" w:hAnsi="宋体" w:eastAsia="宋体" w:cs="宋体"/>
          <w:b w:val="0"/>
          <w:bCs/>
          <w:color w:val="auto"/>
          <w:spacing w:val="0"/>
          <w:w w:val="100"/>
          <w:position w:val="0"/>
          <w:sz w:val="24"/>
          <w:szCs w:val="24"/>
          <w:highlight w:val="none"/>
        </w:rPr>
        <w:t>日</w:t>
      </w:r>
      <w:r>
        <w:rPr>
          <w:rFonts w:hint="eastAsia" w:ascii="宋体" w:hAnsi="宋体" w:eastAsia="宋体" w:cs="宋体"/>
          <w:b w:val="0"/>
          <w:bCs/>
          <w:color w:val="auto"/>
          <w:spacing w:val="0"/>
          <w:w w:val="100"/>
          <w:position w:val="0"/>
          <w:sz w:val="24"/>
          <w:szCs w:val="24"/>
          <w:highlight w:val="none"/>
          <w:lang w:val="en-US" w:eastAsia="zh-CN"/>
        </w:rPr>
        <w:t xml:space="preserve">         </w:t>
      </w:r>
      <w:r>
        <w:rPr>
          <w:rFonts w:hint="eastAsia" w:ascii="宋体" w:hAnsi="宋体" w:eastAsia="宋体" w:cs="宋体"/>
          <w:b w:val="0"/>
          <w:bCs/>
          <w:color w:val="auto"/>
          <w:spacing w:val="0"/>
          <w:w w:val="100"/>
          <w:position w:val="0"/>
          <w:sz w:val="24"/>
          <w:szCs w:val="24"/>
          <w:highlight w:val="none"/>
        </w:rPr>
        <w:t>期：</w:t>
      </w:r>
    </w:p>
    <w:p w14:paraId="6AC0ACAF">
      <w:pPr>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0" w:firstLineChars="0"/>
        <w:textAlignment w:val="auto"/>
        <w:rPr>
          <w:rFonts w:hint="eastAsia" w:ascii="宋体" w:hAnsi="宋体" w:eastAsia="宋体" w:cs="宋体"/>
          <w:color w:val="auto"/>
          <w:spacing w:val="0"/>
          <w:w w:val="100"/>
          <w:position w:val="0"/>
          <w:sz w:val="24"/>
          <w:szCs w:val="24"/>
          <w:highlight w:val="none"/>
        </w:rPr>
      </w:pPr>
    </w:p>
    <w:p w14:paraId="0748448A">
      <w:pPr>
        <w:wordWrap/>
        <w:spacing w:before="157" w:beforeLines="50" w:line="560" w:lineRule="exact"/>
        <w:ind w:firstLine="480" w:firstLineChars="200"/>
        <w:jc w:val="left"/>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1</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从业人员、营业收入、资产总额填报上一年度数据，无上一年度数据的新成立企业可不填报。</w:t>
      </w:r>
    </w:p>
    <w:p w14:paraId="40A7E545">
      <w:pPr>
        <w:rPr>
          <w:rFonts w:hint="eastAsia" w:ascii="宋体" w:hAnsi="宋体" w:eastAsia="宋体" w:cs="宋体"/>
          <w:b w:val="0"/>
          <w:bCs w:val="0"/>
          <w:color w:val="auto"/>
          <w:kern w:val="2"/>
          <w:sz w:val="24"/>
          <w:szCs w:val="24"/>
          <w:highlight w:val="none"/>
          <w:lang w:val="en-US" w:eastAsia="zh-CN" w:bidi="ar-SA"/>
        </w:rPr>
      </w:pPr>
      <w:bookmarkStart w:id="299" w:name="_Toc14211_WPSOffice_Level3"/>
      <w:bookmarkStart w:id="300" w:name="_Toc12160"/>
      <w:bookmarkStart w:id="301" w:name="_Toc11740"/>
      <w:r>
        <w:rPr>
          <w:rFonts w:hint="eastAsia" w:ascii="宋体" w:hAnsi="宋体" w:eastAsia="宋体" w:cs="宋体"/>
          <w:b w:val="0"/>
          <w:bCs w:val="0"/>
          <w:color w:val="auto"/>
          <w:kern w:val="2"/>
          <w:sz w:val="24"/>
          <w:szCs w:val="24"/>
          <w:highlight w:val="none"/>
          <w:lang w:val="en-US" w:eastAsia="zh-CN" w:bidi="ar-SA"/>
        </w:rPr>
        <w:br w:type="page"/>
      </w:r>
    </w:p>
    <w:p w14:paraId="7910368B">
      <w:pPr>
        <w:numPr>
          <w:ilvl w:val="0"/>
          <w:numId w:val="0"/>
        </w:numPr>
        <w:wordWrap/>
        <w:adjustRightInd w:val="0"/>
        <w:snapToGrid w:val="0"/>
        <w:spacing w:before="157" w:beforeLines="50" w:line="560" w:lineRule="exact"/>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3.残疾人福利性单位声明函</w:t>
      </w:r>
      <w:bookmarkEnd w:id="299"/>
      <w:bookmarkEnd w:id="300"/>
      <w:bookmarkEnd w:id="301"/>
    </w:p>
    <w:p w14:paraId="4F3B95DE">
      <w:pPr>
        <w:widowControl w:val="0"/>
        <w:wordWrap/>
        <w:adjustRightInd w:val="0"/>
        <w:snapToGrid w:val="0"/>
        <w:spacing w:line="560" w:lineRule="exact"/>
        <w:jc w:val="center"/>
        <w:textAlignment w:val="auto"/>
        <w:outlineLvl w:val="9"/>
        <w:rPr>
          <w:rFonts w:hint="eastAsia" w:ascii="宋体" w:hAnsi="宋体" w:eastAsia="宋体" w:cs="宋体"/>
          <w:color w:val="auto"/>
          <w:spacing w:val="6"/>
          <w:sz w:val="24"/>
          <w:szCs w:val="24"/>
          <w:highlight w:val="none"/>
        </w:rPr>
      </w:pPr>
      <w:bookmarkStart w:id="302" w:name="_Toc12079_WPSOffice_Level3"/>
      <w:bookmarkStart w:id="303" w:name="_Toc17469_WPSOffice_Level3"/>
      <w:r>
        <w:rPr>
          <w:rFonts w:hint="eastAsia" w:ascii="宋体" w:hAnsi="宋体" w:eastAsia="宋体" w:cs="宋体"/>
          <w:b/>
          <w:color w:val="auto"/>
          <w:spacing w:val="6"/>
          <w:sz w:val="24"/>
          <w:szCs w:val="24"/>
          <w:highlight w:val="none"/>
        </w:rPr>
        <w:t>(不属于残疾人福利性单位的无需填写)</w:t>
      </w:r>
      <w:bookmarkEnd w:id="302"/>
      <w:bookmarkEnd w:id="303"/>
    </w:p>
    <w:p w14:paraId="5C6271CA">
      <w:pPr>
        <w:widowControl w:val="0"/>
        <w:wordWrap/>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人，安置的残疾人人数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55F7641">
      <w:pPr>
        <w:widowControl w:val="0"/>
        <w:wordWrap/>
        <w:spacing w:line="560" w:lineRule="exact"/>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0D15DDA">
      <w:pPr>
        <w:widowControl w:val="0"/>
        <w:wordWrap/>
        <w:adjustRightInd w:val="0"/>
        <w:snapToGrid w:val="0"/>
        <w:spacing w:line="560" w:lineRule="exact"/>
        <w:ind w:firstLine="504" w:firstLineChars="200"/>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49CAB0D0">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bookmarkStart w:id="304" w:name="_Toc17628_WPSOffice_Level3"/>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304"/>
    </w:p>
    <w:p w14:paraId="3ABE5872">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305" w:name="_Toc32124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305"/>
    </w:p>
    <w:p w14:paraId="49067827">
      <w:pPr>
        <w:wordWrap/>
        <w:spacing w:before="157" w:beforeLines="50" w:line="560" w:lineRule="exact"/>
        <w:ind w:firstLine="480" w:firstLineChars="200"/>
        <w:jc w:val="center"/>
        <w:outlineLvl w:val="9"/>
        <w:rPr>
          <w:rFonts w:hint="eastAsia" w:ascii="宋体" w:hAnsi="宋体" w:eastAsia="宋体" w:cs="宋体"/>
          <w:color w:val="auto"/>
          <w:spacing w:val="6"/>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bookmarkStart w:id="306" w:name="_Toc1871_WPSOffice_Level3"/>
      <w:r>
        <w:rPr>
          <w:rFonts w:hint="eastAsia" w:ascii="宋体" w:hAnsi="宋体" w:eastAsia="宋体" w:cs="宋体"/>
          <w:b w:val="0"/>
          <w:bCs/>
          <w:color w:val="auto"/>
          <w:sz w:val="24"/>
          <w:szCs w:val="24"/>
          <w:highlight w:val="none"/>
        </w:rPr>
        <w:t xml:space="preserve">年   月  </w:t>
      </w:r>
      <w:r>
        <w:rPr>
          <w:rFonts w:hint="eastAsia" w:ascii="宋体" w:hAnsi="宋体" w:eastAsia="宋体" w:cs="宋体"/>
          <w:b w:val="0"/>
          <w:bCs/>
          <w:color w:val="auto"/>
          <w:sz w:val="24"/>
          <w:szCs w:val="24"/>
          <w:highlight w:val="none"/>
          <w:lang w:eastAsia="zh-CN"/>
        </w:rPr>
        <w:t>日</w:t>
      </w:r>
      <w:bookmarkEnd w:id="306"/>
    </w:p>
    <w:p w14:paraId="4BB97600">
      <w:pPr>
        <w:rPr>
          <w:rFonts w:hint="eastAsia" w:ascii="宋体" w:hAnsi="宋体" w:eastAsia="宋体" w:cs="宋体"/>
          <w:b w:val="0"/>
          <w:bCs w:val="0"/>
          <w:color w:val="auto"/>
          <w:kern w:val="2"/>
          <w:sz w:val="24"/>
          <w:szCs w:val="24"/>
          <w:highlight w:val="none"/>
          <w:lang w:val="en-US" w:eastAsia="zh-CN" w:bidi="ar-SA"/>
        </w:rPr>
      </w:pPr>
      <w:bookmarkStart w:id="307" w:name="_Toc9477"/>
      <w:bookmarkStart w:id="308" w:name="_Toc30801"/>
      <w:r>
        <w:rPr>
          <w:rFonts w:hint="eastAsia" w:ascii="宋体" w:hAnsi="宋体" w:eastAsia="宋体" w:cs="宋体"/>
          <w:b w:val="0"/>
          <w:bCs w:val="0"/>
          <w:color w:val="auto"/>
          <w:kern w:val="2"/>
          <w:sz w:val="24"/>
          <w:szCs w:val="24"/>
          <w:highlight w:val="none"/>
          <w:lang w:val="en-US" w:eastAsia="zh-CN" w:bidi="ar-SA"/>
        </w:rPr>
        <w:br w:type="page"/>
      </w:r>
    </w:p>
    <w:p w14:paraId="688A7AB1">
      <w:pPr>
        <w:numPr>
          <w:ilvl w:val="0"/>
          <w:numId w:val="0"/>
        </w:numPr>
        <w:wordWrap/>
        <w:adjustRightInd w:val="0"/>
        <w:snapToGrid w:val="0"/>
        <w:spacing w:before="157" w:beforeLines="50" w:line="560" w:lineRule="exact"/>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4.监狱企业证明资料</w:t>
      </w:r>
      <w:bookmarkEnd w:id="307"/>
      <w:bookmarkEnd w:id="308"/>
    </w:p>
    <w:p w14:paraId="1597C118">
      <w:pPr>
        <w:widowControl w:val="0"/>
        <w:wordWrap/>
        <w:adjustRightInd w:val="0"/>
        <w:snapToGrid w:val="0"/>
        <w:spacing w:line="560" w:lineRule="exact"/>
        <w:jc w:val="center"/>
        <w:textAlignment w:val="auto"/>
        <w:outlineLvl w:val="9"/>
        <w:rPr>
          <w:rFonts w:hint="eastAsia" w:ascii="宋体" w:hAnsi="宋体" w:eastAsia="宋体" w:cs="宋体"/>
          <w:color w:val="auto"/>
          <w:sz w:val="24"/>
          <w:szCs w:val="24"/>
          <w:highlight w:val="none"/>
        </w:rPr>
      </w:pPr>
      <w:bookmarkStart w:id="309" w:name="_Toc25903_WPSOffice_Level3"/>
      <w:bookmarkStart w:id="310" w:name="_Toc28022_WPSOffice_Level3"/>
      <w:r>
        <w:rPr>
          <w:rFonts w:hint="eastAsia" w:ascii="宋体" w:hAnsi="宋体" w:eastAsia="宋体" w:cs="宋体"/>
          <w:b/>
          <w:color w:val="auto"/>
          <w:spacing w:val="6"/>
          <w:sz w:val="24"/>
          <w:szCs w:val="24"/>
          <w:highlight w:val="none"/>
        </w:rPr>
        <w:t>(不属于监狱企业的无需提供)</w:t>
      </w:r>
      <w:bookmarkEnd w:id="309"/>
      <w:bookmarkEnd w:id="310"/>
    </w:p>
    <w:p w14:paraId="2E130D3F">
      <w:pPr>
        <w:widowControl w:val="0"/>
        <w:wordWrap/>
        <w:adjustRightInd w:val="0"/>
        <w:snapToGrid w:val="0"/>
        <w:spacing w:line="560" w:lineRule="exact"/>
        <w:ind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pacing w:val="6"/>
          <w:kern w:val="0"/>
          <w:sz w:val="24"/>
          <w:szCs w:val="24"/>
          <w:highlight w:val="none"/>
        </w:rPr>
        <w:t>备注：</w:t>
      </w:r>
      <w:r>
        <w:rPr>
          <w:rFonts w:hint="eastAsia" w:ascii="宋体" w:hAnsi="宋体" w:eastAsia="宋体" w:cs="宋体"/>
          <w:color w:val="auto"/>
          <w:sz w:val="24"/>
          <w:szCs w:val="24"/>
          <w:highlight w:val="none"/>
        </w:rPr>
        <w:t>按</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财政部 司法部关于政府采购支持监狱企业发展有关问题的通知</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(财库〔2014〕68号)文件规定提供证明文件（复印件）。</w:t>
      </w:r>
    </w:p>
    <w:p w14:paraId="46BE421E">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bookmarkStart w:id="311" w:name="_Toc22071_WPSOffice_Level3"/>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311"/>
    </w:p>
    <w:p w14:paraId="201C3CCA">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bookmarkStart w:id="312" w:name="_Toc11539_WPSOffice_Level3"/>
      <w:r>
        <w:rPr>
          <w:rFonts w:hint="eastAsia" w:ascii="宋体" w:hAnsi="宋体" w:eastAsia="宋体" w:cs="宋体"/>
          <w:b w:val="0"/>
          <w:bCs/>
          <w:color w:val="auto"/>
          <w:sz w:val="24"/>
          <w:szCs w:val="24"/>
          <w:highlight w:val="none"/>
        </w:rPr>
        <w:t>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312"/>
    </w:p>
    <w:p w14:paraId="58473926">
      <w:pPr>
        <w:wordWrap/>
        <w:spacing w:before="157" w:beforeLines="50" w:line="560" w:lineRule="exact"/>
        <w:ind w:firstLine="480" w:firstLineChars="200"/>
        <w:jc w:val="center"/>
        <w:outlineLvl w:val="9"/>
        <w:rPr>
          <w:rFonts w:hint="eastAsia" w:ascii="宋体" w:hAnsi="宋体" w:eastAsia="宋体" w:cs="宋体"/>
          <w:color w:val="auto"/>
          <w:spacing w:val="6"/>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bookmarkStart w:id="313" w:name="_Toc3285_WPSOffice_Level3"/>
      <w:r>
        <w:rPr>
          <w:rFonts w:hint="eastAsia" w:ascii="宋体" w:hAnsi="宋体" w:eastAsia="宋体" w:cs="宋体"/>
          <w:b w:val="0"/>
          <w:bCs/>
          <w:color w:val="auto"/>
          <w:sz w:val="24"/>
          <w:szCs w:val="24"/>
          <w:highlight w:val="none"/>
        </w:rPr>
        <w:t xml:space="preserve">年   月  </w:t>
      </w:r>
      <w:r>
        <w:rPr>
          <w:rFonts w:hint="eastAsia" w:ascii="宋体" w:hAnsi="宋体" w:eastAsia="宋体" w:cs="宋体"/>
          <w:b w:val="0"/>
          <w:bCs/>
          <w:color w:val="auto"/>
          <w:sz w:val="24"/>
          <w:szCs w:val="24"/>
          <w:highlight w:val="none"/>
          <w:lang w:eastAsia="zh-CN"/>
        </w:rPr>
        <w:t>日</w:t>
      </w:r>
      <w:bookmarkEnd w:id="313"/>
    </w:p>
    <w:p w14:paraId="2E278042">
      <w:pPr>
        <w:rPr>
          <w:rFonts w:hint="eastAsia" w:ascii="宋体" w:hAnsi="宋体" w:eastAsia="宋体" w:cs="宋体"/>
          <w:b/>
          <w:bCs w:val="0"/>
          <w:color w:val="auto"/>
          <w:kern w:val="2"/>
          <w:sz w:val="24"/>
          <w:szCs w:val="24"/>
          <w:highlight w:val="none"/>
          <w:lang w:val="en-US" w:eastAsia="zh-CN" w:bidi="ar-SA"/>
        </w:rPr>
      </w:pPr>
      <w:bookmarkStart w:id="314" w:name="_Toc21346"/>
      <w:bookmarkStart w:id="315" w:name="_Toc23033_WPSOffice_Level3"/>
      <w:bookmarkStart w:id="316" w:name="_Toc12068_WPSOffice_Level3"/>
      <w:bookmarkStart w:id="317" w:name="_Toc21988"/>
      <w:r>
        <w:rPr>
          <w:rFonts w:hint="eastAsia" w:ascii="宋体" w:hAnsi="宋体" w:eastAsia="宋体" w:cs="宋体"/>
          <w:b/>
          <w:bCs w:val="0"/>
          <w:color w:val="auto"/>
          <w:kern w:val="2"/>
          <w:sz w:val="24"/>
          <w:szCs w:val="24"/>
          <w:highlight w:val="none"/>
          <w:lang w:val="en-US" w:eastAsia="zh-CN" w:bidi="ar-SA"/>
        </w:rPr>
        <w:br w:type="page"/>
      </w:r>
    </w:p>
    <w:p w14:paraId="66FC4ABC">
      <w:pPr>
        <w:widowControl/>
        <w:wordWrap/>
        <w:snapToGrid w:val="0"/>
        <w:spacing w:before="157" w:beforeLines="50" w:line="560" w:lineRule="exact"/>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附件15：最后报价表</w:t>
      </w:r>
      <w:bookmarkEnd w:id="314"/>
      <w:bookmarkEnd w:id="315"/>
      <w:bookmarkEnd w:id="316"/>
      <w:bookmarkEnd w:id="317"/>
    </w:p>
    <w:p w14:paraId="520F2E8E">
      <w:pPr>
        <w:widowControl w:val="0"/>
        <w:wordWrap/>
        <w:autoSpaceDE w:val="0"/>
        <w:autoSpaceDN w:val="0"/>
        <w:adjustRightInd w:val="0"/>
        <w:snapToGrid/>
        <w:spacing w:line="560" w:lineRule="exact"/>
        <w:ind w:left="283" w:leftChars="135"/>
        <w:jc w:val="center"/>
        <w:outlineLvl w:val="9"/>
        <w:rPr>
          <w:rFonts w:hint="eastAsia" w:ascii="宋体" w:hAnsi="宋体" w:eastAsia="宋体" w:cs="宋体"/>
          <w:b/>
          <w:bCs w:val="0"/>
          <w:color w:val="auto"/>
          <w:sz w:val="24"/>
          <w:szCs w:val="24"/>
          <w:highlight w:val="none"/>
          <w:lang w:val="zh-CN"/>
        </w:rPr>
      </w:pPr>
      <w:bookmarkStart w:id="318" w:name="_Toc27800_WPSOffice_Level2"/>
      <w:bookmarkStart w:id="319" w:name="_Toc27699_WPSOffice_Level2"/>
      <w:r>
        <w:rPr>
          <w:rFonts w:hint="eastAsia" w:ascii="宋体" w:hAnsi="宋体" w:eastAsia="宋体" w:cs="宋体"/>
          <w:b/>
          <w:bCs w:val="0"/>
          <w:color w:val="auto"/>
          <w:sz w:val="24"/>
          <w:szCs w:val="24"/>
          <w:highlight w:val="none"/>
          <w:lang w:val="en-US" w:eastAsia="zh-CN"/>
        </w:rPr>
        <w:t>1.</w:t>
      </w:r>
      <w:bookmarkEnd w:id="318"/>
      <w:bookmarkEnd w:id="319"/>
      <w:r>
        <w:rPr>
          <w:rFonts w:hint="eastAsia" w:ascii="宋体" w:hAnsi="宋体" w:eastAsia="宋体" w:cs="宋体"/>
          <w:b/>
          <w:bCs w:val="0"/>
          <w:color w:val="auto"/>
          <w:kern w:val="2"/>
          <w:sz w:val="24"/>
          <w:szCs w:val="24"/>
          <w:highlight w:val="none"/>
          <w:lang w:val="en-US" w:eastAsia="zh-CN" w:bidi="ar-SA"/>
        </w:rPr>
        <w:t>最后报价表</w:t>
      </w:r>
    </w:p>
    <w:p w14:paraId="26FB63D1">
      <w:pPr>
        <w:widowControl w:val="0"/>
        <w:wordWrap/>
        <w:snapToGrid/>
        <w:spacing w:line="560" w:lineRule="exact"/>
        <w:outlineLvl w:val="9"/>
        <w:rPr>
          <w:rFonts w:hint="eastAsia" w:ascii="宋体" w:hAnsi="宋体" w:eastAsia="宋体" w:cs="宋体"/>
          <w:b/>
          <w:bCs w:val="0"/>
          <w:color w:val="auto"/>
          <w:sz w:val="24"/>
          <w:szCs w:val="24"/>
          <w:highlight w:val="none"/>
        </w:rPr>
      </w:pPr>
      <w:bookmarkStart w:id="320" w:name="_Toc26632_WPSOffice_Level2"/>
      <w:bookmarkStart w:id="321" w:name="_Toc31451_WPSOffice_Level2"/>
      <w:r>
        <w:rPr>
          <w:rFonts w:hint="eastAsia" w:ascii="宋体" w:hAnsi="宋体" w:eastAsia="宋体" w:cs="宋体"/>
          <w:b/>
          <w:bCs w:val="0"/>
          <w:color w:val="auto"/>
          <w:sz w:val="24"/>
          <w:szCs w:val="24"/>
          <w:highlight w:val="none"/>
        </w:rPr>
        <w:t>项目名称：</w:t>
      </w:r>
      <w:bookmarkEnd w:id="320"/>
      <w:bookmarkEnd w:id="321"/>
      <w:r>
        <w:rPr>
          <w:rFonts w:hint="eastAsia" w:ascii="宋体" w:hAnsi="宋体" w:eastAsia="宋体" w:cs="宋体"/>
          <w:b/>
          <w:bCs w:val="0"/>
          <w:color w:val="auto"/>
          <w:sz w:val="24"/>
          <w:szCs w:val="24"/>
          <w:highlight w:val="none"/>
        </w:rPr>
        <w:t xml:space="preserve">                                           </w:t>
      </w:r>
    </w:p>
    <w:p w14:paraId="10B3726B">
      <w:pPr>
        <w:wordWrap/>
        <w:spacing w:before="157" w:beforeLines="50" w:line="560" w:lineRule="exact"/>
        <w:outlineLvl w:val="9"/>
        <w:rPr>
          <w:rFonts w:hint="eastAsia" w:ascii="宋体" w:hAnsi="宋体" w:eastAsia="宋体" w:cs="宋体"/>
          <w:b/>
          <w:bCs w:val="0"/>
          <w:color w:val="auto"/>
          <w:sz w:val="24"/>
          <w:szCs w:val="24"/>
          <w:highlight w:val="none"/>
          <w:lang w:val="en-US" w:eastAsia="zh-CN"/>
        </w:rPr>
      </w:pPr>
      <w:bookmarkStart w:id="322" w:name="_Toc18301_WPSOffice_Level2"/>
      <w:bookmarkStart w:id="323" w:name="_Toc16830_WPSOffice_Level2"/>
      <w:r>
        <w:rPr>
          <w:rFonts w:hint="eastAsia" w:ascii="宋体" w:hAnsi="宋体" w:eastAsia="宋体" w:cs="宋体"/>
          <w:b/>
          <w:bCs w:val="0"/>
          <w:color w:val="auto"/>
          <w:sz w:val="24"/>
          <w:szCs w:val="24"/>
          <w:highlight w:val="none"/>
        </w:rPr>
        <w:t>项目编号：</w:t>
      </w:r>
      <w:r>
        <w:rPr>
          <w:rFonts w:hint="eastAsia" w:ascii="宋体" w:hAnsi="宋体" w:eastAsia="宋体" w:cs="宋体"/>
          <w:b/>
          <w:bCs w:val="0"/>
          <w:color w:val="auto"/>
          <w:sz w:val="24"/>
          <w:szCs w:val="24"/>
          <w:highlight w:val="none"/>
          <w:lang w:val="en-US" w:eastAsia="zh-CN"/>
        </w:rPr>
        <w:t xml:space="preserve">                           </w:t>
      </w:r>
    </w:p>
    <w:p w14:paraId="77804155">
      <w:pPr>
        <w:wordWrap/>
        <w:spacing w:before="157" w:beforeLines="50" w:line="560" w:lineRule="exact"/>
        <w:jc w:val="right"/>
        <w:outlineLvl w:val="9"/>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单位：</w:t>
      </w:r>
      <w:r>
        <w:rPr>
          <w:rFonts w:hint="eastAsia" w:ascii="宋体" w:hAnsi="宋体" w:eastAsia="宋体" w:cs="宋体"/>
          <w:bCs/>
          <w:color w:val="auto"/>
          <w:sz w:val="24"/>
          <w:szCs w:val="24"/>
          <w:highlight w:val="none"/>
        </w:rPr>
        <w:t>人民币(元)</w:t>
      </w:r>
      <w:bookmarkEnd w:id="322"/>
      <w:bookmarkEnd w:id="323"/>
    </w:p>
    <w:tbl>
      <w:tblPr>
        <w:tblStyle w:val="17"/>
        <w:tblpPr w:leftFromText="180" w:rightFromText="180" w:vertAnchor="text" w:horzAnchor="page" w:tblpX="1710" w:tblpY="363"/>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045"/>
        <w:gridCol w:w="2430"/>
        <w:gridCol w:w="2025"/>
      </w:tblGrid>
      <w:tr w14:paraId="6055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480" w:type="dxa"/>
            <w:vAlign w:val="center"/>
          </w:tcPr>
          <w:p w14:paraId="0700776B">
            <w:pPr>
              <w:widowControl w:val="0"/>
              <w:wordWrap/>
              <w:snapToGrid/>
              <w:spacing w:line="560" w:lineRule="exact"/>
              <w:ind w:left="283" w:leftChars="135"/>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包号</w:t>
            </w:r>
          </w:p>
        </w:tc>
        <w:tc>
          <w:tcPr>
            <w:tcW w:w="3045" w:type="dxa"/>
            <w:vAlign w:val="center"/>
          </w:tcPr>
          <w:p w14:paraId="59998D0F">
            <w:pPr>
              <w:widowControl w:val="0"/>
              <w:wordWrap/>
              <w:snapToGrid/>
              <w:spacing w:line="560" w:lineRule="exact"/>
              <w:ind w:left="283" w:leftChars="135"/>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最初报价</w:t>
            </w:r>
          </w:p>
        </w:tc>
        <w:tc>
          <w:tcPr>
            <w:tcW w:w="2430" w:type="dxa"/>
            <w:vAlign w:val="center"/>
          </w:tcPr>
          <w:p w14:paraId="1D22D605">
            <w:pPr>
              <w:widowControl w:val="0"/>
              <w:wordWrap/>
              <w:snapToGrid/>
              <w:spacing w:line="560" w:lineRule="exact"/>
              <w:ind w:left="283" w:leftChars="135"/>
              <w:jc w:val="center"/>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最后报价</w:t>
            </w:r>
          </w:p>
        </w:tc>
        <w:tc>
          <w:tcPr>
            <w:tcW w:w="2025" w:type="dxa"/>
            <w:vAlign w:val="center"/>
          </w:tcPr>
          <w:p w14:paraId="3A2DBE0A">
            <w:pPr>
              <w:widowControl w:val="0"/>
              <w:wordWrap/>
              <w:snapToGrid/>
              <w:spacing w:line="560" w:lineRule="exact"/>
              <w:ind w:left="283" w:leftChars="135"/>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交货期</w:t>
            </w:r>
          </w:p>
        </w:tc>
      </w:tr>
      <w:tr w14:paraId="1B15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480" w:type="dxa"/>
            <w:vMerge w:val="restart"/>
            <w:tcBorders>
              <w:left w:val="single" w:color="auto" w:sz="4" w:space="0"/>
            </w:tcBorders>
            <w:vAlign w:val="center"/>
          </w:tcPr>
          <w:p w14:paraId="3AAE84EB">
            <w:pPr>
              <w:widowControl w:val="0"/>
              <w:wordWrap/>
              <w:snapToGrid/>
              <w:spacing w:line="560" w:lineRule="exact"/>
              <w:ind w:left="283" w:leftChars="135"/>
              <w:jc w:val="center"/>
              <w:outlineLvl w:val="9"/>
              <w:rPr>
                <w:rFonts w:hint="eastAsia" w:ascii="宋体" w:hAnsi="宋体" w:eastAsia="宋体" w:cs="宋体"/>
                <w:b/>
                <w:bCs w:val="0"/>
                <w:color w:val="auto"/>
                <w:sz w:val="24"/>
                <w:szCs w:val="24"/>
                <w:highlight w:val="none"/>
              </w:rPr>
            </w:pPr>
          </w:p>
        </w:tc>
        <w:tc>
          <w:tcPr>
            <w:tcW w:w="3045" w:type="dxa"/>
            <w:vAlign w:val="top"/>
          </w:tcPr>
          <w:p w14:paraId="3A133CED">
            <w:pPr>
              <w:widowControl w:val="0"/>
              <w:wordWrap/>
              <w:adjustRightInd w:val="0"/>
              <w:snapToGrid/>
              <w:spacing w:line="560" w:lineRule="exact"/>
              <w:textAlignment w:val="baseline"/>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大写：</w:t>
            </w:r>
          </w:p>
        </w:tc>
        <w:tc>
          <w:tcPr>
            <w:tcW w:w="2430" w:type="dxa"/>
            <w:vAlign w:val="top"/>
          </w:tcPr>
          <w:p w14:paraId="13FA0350">
            <w:pPr>
              <w:widowControl w:val="0"/>
              <w:wordWrap/>
              <w:adjustRightInd w:val="0"/>
              <w:snapToGrid/>
              <w:spacing w:line="560" w:lineRule="exact"/>
              <w:textAlignment w:val="baseline"/>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大写：</w:t>
            </w:r>
          </w:p>
        </w:tc>
        <w:tc>
          <w:tcPr>
            <w:tcW w:w="2025" w:type="dxa"/>
            <w:vMerge w:val="restart"/>
            <w:vAlign w:val="center"/>
          </w:tcPr>
          <w:p w14:paraId="7BB119C2">
            <w:pPr>
              <w:widowControl w:val="0"/>
              <w:wordWrap/>
              <w:snapToGrid/>
              <w:spacing w:line="560" w:lineRule="exact"/>
              <w:ind w:left="283" w:leftChars="135"/>
              <w:jc w:val="center"/>
              <w:outlineLvl w:val="9"/>
              <w:rPr>
                <w:rFonts w:hint="eastAsia" w:ascii="宋体" w:hAnsi="宋体" w:eastAsia="宋体" w:cs="宋体"/>
                <w:b/>
                <w:bCs w:val="0"/>
                <w:color w:val="auto"/>
                <w:sz w:val="24"/>
                <w:szCs w:val="24"/>
                <w:highlight w:val="none"/>
              </w:rPr>
            </w:pPr>
          </w:p>
        </w:tc>
      </w:tr>
      <w:tr w14:paraId="0C10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480" w:type="dxa"/>
            <w:vMerge w:val="continue"/>
            <w:tcBorders>
              <w:left w:val="single" w:color="auto" w:sz="4" w:space="0"/>
              <w:right w:val="nil"/>
            </w:tcBorders>
            <w:vAlign w:val="center"/>
          </w:tcPr>
          <w:p w14:paraId="40881835">
            <w:pPr>
              <w:widowControl w:val="0"/>
              <w:wordWrap/>
              <w:snapToGrid/>
              <w:spacing w:line="560" w:lineRule="exact"/>
              <w:ind w:left="283" w:leftChars="135"/>
              <w:jc w:val="center"/>
              <w:outlineLvl w:val="9"/>
              <w:rPr>
                <w:rFonts w:hint="eastAsia" w:ascii="宋体" w:hAnsi="宋体" w:eastAsia="宋体" w:cs="宋体"/>
                <w:b/>
                <w:bCs w:val="0"/>
                <w:color w:val="auto"/>
                <w:sz w:val="24"/>
                <w:szCs w:val="24"/>
                <w:highlight w:val="none"/>
              </w:rPr>
            </w:pPr>
          </w:p>
        </w:tc>
        <w:tc>
          <w:tcPr>
            <w:tcW w:w="3045" w:type="dxa"/>
            <w:vAlign w:val="top"/>
          </w:tcPr>
          <w:p w14:paraId="628F0A69">
            <w:pPr>
              <w:widowControl w:val="0"/>
              <w:wordWrap/>
              <w:adjustRightInd w:val="0"/>
              <w:snapToGrid/>
              <w:spacing w:line="560" w:lineRule="exact"/>
              <w:textAlignment w:val="baseline"/>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小写：</w:t>
            </w:r>
          </w:p>
        </w:tc>
        <w:tc>
          <w:tcPr>
            <w:tcW w:w="2430" w:type="dxa"/>
            <w:vAlign w:val="top"/>
          </w:tcPr>
          <w:p w14:paraId="122E3CF2">
            <w:pPr>
              <w:widowControl w:val="0"/>
              <w:wordWrap/>
              <w:adjustRightInd w:val="0"/>
              <w:snapToGrid/>
              <w:spacing w:line="560" w:lineRule="exact"/>
              <w:textAlignment w:val="baseline"/>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小写：</w:t>
            </w:r>
          </w:p>
        </w:tc>
        <w:tc>
          <w:tcPr>
            <w:tcW w:w="2025" w:type="dxa"/>
            <w:vMerge w:val="continue"/>
            <w:vAlign w:val="center"/>
          </w:tcPr>
          <w:p w14:paraId="1878C7A8">
            <w:pPr>
              <w:widowControl w:val="0"/>
              <w:wordWrap/>
              <w:snapToGrid/>
              <w:spacing w:line="560" w:lineRule="exact"/>
              <w:ind w:left="283" w:leftChars="135"/>
              <w:jc w:val="center"/>
              <w:outlineLvl w:val="9"/>
              <w:rPr>
                <w:rFonts w:hint="eastAsia" w:ascii="宋体" w:hAnsi="宋体" w:eastAsia="宋体" w:cs="宋体"/>
                <w:b/>
                <w:bCs w:val="0"/>
                <w:color w:val="auto"/>
                <w:sz w:val="24"/>
                <w:szCs w:val="24"/>
                <w:highlight w:val="none"/>
              </w:rPr>
            </w:pPr>
          </w:p>
        </w:tc>
      </w:tr>
      <w:tr w14:paraId="6CD3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980" w:type="dxa"/>
            <w:gridSpan w:val="4"/>
            <w:tcBorders>
              <w:bottom w:val="single" w:color="auto" w:sz="4" w:space="0"/>
            </w:tcBorders>
            <w:vAlign w:val="center"/>
          </w:tcPr>
          <w:p w14:paraId="30F6774C">
            <w:pPr>
              <w:widowControl w:val="0"/>
              <w:wordWrap/>
              <w:snapToGrid/>
              <w:spacing w:line="560" w:lineRule="exact"/>
              <w:ind w:left="283" w:leftChars="135"/>
              <w:jc w:val="left"/>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最终确定的质量保证及服务承诺</w:t>
            </w:r>
            <w:r>
              <w:rPr>
                <w:rFonts w:hint="eastAsia" w:ascii="宋体" w:hAnsi="宋体" w:eastAsia="宋体" w:cs="宋体"/>
                <w:b/>
                <w:bCs w:val="0"/>
                <w:color w:val="auto"/>
                <w:sz w:val="24"/>
                <w:szCs w:val="24"/>
                <w:highlight w:val="none"/>
                <w:lang w:eastAsia="zh-CN"/>
              </w:rPr>
              <w:t>：</w:t>
            </w:r>
          </w:p>
        </w:tc>
      </w:tr>
    </w:tbl>
    <w:p w14:paraId="1BE1C19E">
      <w:pPr>
        <w:widowControl w:val="0"/>
        <w:wordWrap/>
        <w:autoSpaceDE w:val="0"/>
        <w:autoSpaceDN w:val="0"/>
        <w:adjustRightInd w:val="0"/>
        <w:snapToGrid/>
        <w:spacing w:line="560" w:lineRule="exact"/>
        <w:jc w:val="both"/>
        <w:outlineLvl w:val="9"/>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 </w:t>
      </w:r>
    </w:p>
    <w:p w14:paraId="3BFE8E26">
      <w:pPr>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br w:type="page"/>
      </w:r>
    </w:p>
    <w:p w14:paraId="6273DEE5">
      <w:pPr>
        <w:wordWrap/>
        <w:spacing w:before="157" w:beforeLines="50" w:line="560" w:lineRule="exact"/>
        <w:jc w:val="center"/>
        <w:outlineLvl w:val="9"/>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lang w:val="en-US" w:eastAsia="zh-CN"/>
        </w:rPr>
        <w:t>2.最后</w:t>
      </w:r>
      <w:r>
        <w:rPr>
          <w:rFonts w:hint="eastAsia" w:ascii="宋体" w:hAnsi="宋体" w:eastAsia="宋体" w:cs="宋体"/>
          <w:b/>
          <w:color w:val="auto"/>
          <w:sz w:val="24"/>
          <w:szCs w:val="24"/>
          <w:highlight w:val="none"/>
          <w:u w:val="none"/>
          <w:lang w:val="zh-CN" w:eastAsia="zh-CN"/>
        </w:rPr>
        <w:t>分项报价表</w:t>
      </w:r>
    </w:p>
    <w:p w14:paraId="388A8F8A">
      <w:pPr>
        <w:widowControl w:val="0"/>
        <w:wordWrap/>
        <w:adjustRightInd/>
        <w:snapToGrid/>
        <w:spacing w:line="560" w:lineRule="exac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供应商名称:</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单位：人民币(元)</w:t>
      </w:r>
      <w:r>
        <w:rPr>
          <w:rFonts w:hint="eastAsia" w:ascii="宋体" w:hAnsi="宋体" w:eastAsia="宋体" w:cs="宋体"/>
          <w:b w:val="0"/>
          <w:bCs/>
          <w:color w:val="auto"/>
          <w:sz w:val="24"/>
          <w:szCs w:val="24"/>
          <w:highlight w:val="none"/>
          <w:lang w:val="en-US" w:eastAsia="zh-CN"/>
        </w:rPr>
        <w:t xml:space="preserve">                                          </w:t>
      </w:r>
    </w:p>
    <w:tbl>
      <w:tblPr>
        <w:tblStyle w:val="1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0AA0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97900D8">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97" w:type="dxa"/>
            <w:vAlign w:val="center"/>
          </w:tcPr>
          <w:p w14:paraId="2EE6AB17">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产品名称</w:t>
            </w:r>
          </w:p>
        </w:tc>
        <w:tc>
          <w:tcPr>
            <w:tcW w:w="992" w:type="dxa"/>
            <w:vAlign w:val="center"/>
          </w:tcPr>
          <w:p w14:paraId="6FE8CC33">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品牌</w:t>
            </w:r>
          </w:p>
        </w:tc>
        <w:tc>
          <w:tcPr>
            <w:tcW w:w="1052" w:type="dxa"/>
            <w:vAlign w:val="center"/>
          </w:tcPr>
          <w:p w14:paraId="4201DFAE">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规格型号</w:t>
            </w:r>
          </w:p>
        </w:tc>
        <w:tc>
          <w:tcPr>
            <w:tcW w:w="1356" w:type="dxa"/>
            <w:vAlign w:val="center"/>
          </w:tcPr>
          <w:p w14:paraId="49873CCD">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生产厂家</w:t>
            </w:r>
          </w:p>
        </w:tc>
        <w:tc>
          <w:tcPr>
            <w:tcW w:w="953" w:type="dxa"/>
            <w:vAlign w:val="center"/>
          </w:tcPr>
          <w:p w14:paraId="29569A85">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数量及单位</w:t>
            </w:r>
          </w:p>
        </w:tc>
        <w:tc>
          <w:tcPr>
            <w:tcW w:w="710" w:type="dxa"/>
            <w:vAlign w:val="center"/>
          </w:tcPr>
          <w:p w14:paraId="1834CD08">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单价</w:t>
            </w:r>
          </w:p>
        </w:tc>
        <w:tc>
          <w:tcPr>
            <w:tcW w:w="851" w:type="dxa"/>
            <w:vAlign w:val="center"/>
          </w:tcPr>
          <w:p w14:paraId="69EDB1AF">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合计</w:t>
            </w:r>
          </w:p>
        </w:tc>
        <w:tc>
          <w:tcPr>
            <w:tcW w:w="850" w:type="dxa"/>
            <w:vAlign w:val="center"/>
          </w:tcPr>
          <w:p w14:paraId="6A94E49D">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14:paraId="4435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E4CA108">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97" w:type="dxa"/>
            <w:vAlign w:val="center"/>
          </w:tcPr>
          <w:p w14:paraId="0298E988">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6C295449">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73CF993E">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6CF28464">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7875777E">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3E501CCA">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26FED3B1">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014E7F20">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0114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E0A1643">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497" w:type="dxa"/>
            <w:vAlign w:val="center"/>
          </w:tcPr>
          <w:p w14:paraId="57668BA4">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3CDC5355">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0122A404">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62B6923B">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7A5247C6">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2B8F3B00">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1D715F16">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7188FCD8">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7C5C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BA9DA74">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497" w:type="dxa"/>
            <w:vAlign w:val="center"/>
          </w:tcPr>
          <w:p w14:paraId="021E650F">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4DFBAEBC">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28A7E609">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374EC0B4">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038F1BA2">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0DD9DD03">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75086596">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6ADAB9C1">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6C03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EDB15A4">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497" w:type="dxa"/>
            <w:vAlign w:val="center"/>
          </w:tcPr>
          <w:p w14:paraId="6E44F546">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0BEB9ACC">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1CD2A160">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0FE3593B">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53496798">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5076B462">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625D6A90">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482390CD">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15A2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5E083B0">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497" w:type="dxa"/>
            <w:vAlign w:val="center"/>
          </w:tcPr>
          <w:p w14:paraId="2D224B9F">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92" w:type="dxa"/>
            <w:vAlign w:val="center"/>
          </w:tcPr>
          <w:p w14:paraId="0C60B819">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052" w:type="dxa"/>
            <w:vAlign w:val="center"/>
          </w:tcPr>
          <w:p w14:paraId="30AD9DF4">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1356" w:type="dxa"/>
            <w:vAlign w:val="center"/>
          </w:tcPr>
          <w:p w14:paraId="2B71A298">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953" w:type="dxa"/>
            <w:vAlign w:val="center"/>
          </w:tcPr>
          <w:p w14:paraId="033DA350">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710" w:type="dxa"/>
            <w:vAlign w:val="center"/>
          </w:tcPr>
          <w:p w14:paraId="3088737F">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1" w:type="dxa"/>
            <w:vAlign w:val="center"/>
          </w:tcPr>
          <w:p w14:paraId="2740619C">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c>
          <w:tcPr>
            <w:tcW w:w="850" w:type="dxa"/>
            <w:vAlign w:val="center"/>
          </w:tcPr>
          <w:p w14:paraId="1B18E6C2">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p>
        </w:tc>
      </w:tr>
      <w:tr w14:paraId="6724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0B0A527E">
            <w:pPr>
              <w:widowControl w:val="0"/>
              <w:wordWrap/>
              <w:adjustRightInd/>
              <w:snapToGrid/>
              <w:spacing w:line="560" w:lineRule="exac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其他承诺及需要说明的事项：</w:t>
            </w:r>
          </w:p>
        </w:tc>
      </w:tr>
      <w:tr w14:paraId="6AD0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3E0C8AE1">
            <w:pPr>
              <w:widowControl w:val="0"/>
              <w:wordWrap/>
              <w:adjustRightInd/>
              <w:snapToGrid/>
              <w:spacing w:line="56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总价</w:t>
            </w:r>
          </w:p>
        </w:tc>
        <w:tc>
          <w:tcPr>
            <w:tcW w:w="6764" w:type="dxa"/>
            <w:gridSpan w:val="7"/>
            <w:vAlign w:val="center"/>
          </w:tcPr>
          <w:p w14:paraId="1896C063">
            <w:pPr>
              <w:widowControl w:val="0"/>
              <w:wordWrap/>
              <w:adjustRightInd/>
              <w:snapToGrid/>
              <w:spacing w:line="56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大写：                      小写：</w:t>
            </w:r>
          </w:p>
        </w:tc>
      </w:tr>
    </w:tbl>
    <w:p w14:paraId="2D9F5668">
      <w:pPr>
        <w:widowControl w:val="0"/>
        <w:wordWrap/>
        <w:adjustRightInd/>
        <w:snapToGrid/>
        <w:spacing w:line="560" w:lineRule="exact"/>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（此表最后报价时上传至政采云平台系统）                               </w:t>
      </w:r>
    </w:p>
    <w:p w14:paraId="04B13520">
      <w:pPr>
        <w:widowControl w:val="0"/>
        <w:wordWrap/>
        <w:adjustRightInd/>
        <w:snapToGrid/>
        <w:spacing w:line="560" w:lineRule="exact"/>
        <w:ind w:firstLine="4080" w:firstLineChars="1700"/>
        <w:jc w:val="both"/>
        <w:textAlignment w:val="auto"/>
        <w:outlineLvl w:val="9"/>
        <w:rPr>
          <w:rFonts w:hint="eastAsia" w:ascii="宋体" w:hAnsi="宋体" w:eastAsia="宋体" w:cs="宋体"/>
          <w:b w:val="0"/>
          <w:bCs/>
          <w:color w:val="auto"/>
          <w:sz w:val="24"/>
          <w:szCs w:val="24"/>
          <w:highlight w:val="none"/>
        </w:rPr>
      </w:pPr>
    </w:p>
    <w:p w14:paraId="0074BA56">
      <w:pPr>
        <w:widowControl w:val="0"/>
        <w:wordWrap/>
        <w:adjustRightInd/>
        <w:snapToGrid/>
        <w:spacing w:line="560" w:lineRule="exact"/>
        <w:ind w:firstLine="4080" w:firstLineChars="1700"/>
        <w:jc w:val="both"/>
        <w:textAlignment w:val="auto"/>
        <w:outlineLvl w:val="9"/>
        <w:rPr>
          <w:rFonts w:hint="eastAsia" w:ascii="宋体" w:hAnsi="宋体" w:eastAsia="宋体" w:cs="宋体"/>
          <w:b w:val="0"/>
          <w:bCs/>
          <w:color w:val="auto"/>
          <w:sz w:val="24"/>
          <w:szCs w:val="24"/>
          <w:highlight w:val="none"/>
        </w:rPr>
      </w:pPr>
    </w:p>
    <w:p w14:paraId="69BA5176">
      <w:pPr>
        <w:widowControl w:val="0"/>
        <w:wordWrap/>
        <w:adjustRightInd/>
        <w:snapToGrid/>
        <w:spacing w:line="560" w:lineRule="exact"/>
        <w:ind w:firstLine="4080" w:firstLineChars="17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r>
        <w:rPr>
          <w:rFonts w:hint="eastAsia" w:ascii="宋体" w:hAnsi="宋体" w:eastAsia="宋体" w:cs="宋体"/>
          <w:b w:val="0"/>
          <w:bCs/>
          <w:color w:val="auto"/>
          <w:sz w:val="24"/>
          <w:szCs w:val="24"/>
          <w:highlight w:val="none"/>
          <w:lang w:eastAsia="zh-CN"/>
        </w:rPr>
        <w:t>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p>
    <w:p w14:paraId="445D09EA">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法定代表人或委托代理人：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p>
    <w:p w14:paraId="15B8793E">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年   月  日</w:t>
      </w:r>
    </w:p>
    <w:p w14:paraId="184819CA">
      <w:pP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0A630F2">
      <w:pPr>
        <w:spacing w:before="63" w:line="225" w:lineRule="auto"/>
        <w:jc w:val="center"/>
        <w:outlineLvl w:val="0"/>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pPr>
      <w:bookmarkStart w:id="324" w:name="_Toc376936766"/>
      <w:bookmarkStart w:id="325" w:name="_Toc7329_WPSOffice_Level1"/>
      <w:bookmarkStart w:id="326" w:name="_Toc24112_WPSOffice_Level1"/>
      <w:bookmarkStart w:id="327" w:name="_Toc30441"/>
      <w:bookmarkStart w:id="328" w:name="_Toc5169"/>
      <w:bookmarkStart w:id="329" w:name="_Toc4685"/>
      <w:bookmarkStart w:id="330" w:name="_Toc12949996"/>
      <w:bookmarkStart w:id="331" w:name="_Toc416183225"/>
      <w:bookmarkStart w:id="332" w:name="_Toc23740"/>
      <w:bookmarkStart w:id="333" w:name="_Toc16082_WPSOffice_Level1"/>
      <w:bookmarkStart w:id="334" w:name="_Toc16779_WPSOffice_Level1"/>
      <w:bookmarkStart w:id="335" w:name="_Toc5233"/>
      <w:bookmarkStart w:id="336" w:name="_Toc23722_WPSOffice_Level1"/>
      <w:bookmarkStart w:id="337" w:name="_Toc27557_WPSOffice_Level1"/>
      <w:r>
        <w:rPr>
          <w:rFonts w:hint="eastAsia" w:ascii="宋体" w:hAnsi="宋体" w:eastAsia="宋体" w:cs="宋体"/>
          <w:color w:val="auto"/>
          <w:spacing w:val="18"/>
          <w:sz w:val="32"/>
          <w:szCs w:val="32"/>
          <w:highlight w:val="none"/>
          <w:lang w:eastAsia="zh-CN"/>
          <w14:textOutline w14:w="5793" w14:cap="sq" w14:cmpd="sng">
            <w14:solidFill>
              <w14:srgbClr w14:val="000000"/>
            </w14:solidFill>
            <w14:prstDash w14:val="solid"/>
            <w14:bevel/>
          </w14:textOutline>
        </w:rPr>
        <w:t>第五部分</w:t>
      </w:r>
      <w:r>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t xml:space="preserve"> </w:t>
      </w:r>
      <w:bookmarkEnd w:id="324"/>
      <w:r>
        <w:rPr>
          <w:rFonts w:hint="eastAsia" w:ascii="宋体" w:hAnsi="宋体" w:eastAsia="宋体" w:cs="宋体"/>
          <w:color w:val="auto"/>
          <w:spacing w:val="18"/>
          <w:sz w:val="32"/>
          <w:szCs w:val="32"/>
          <w:highlight w:val="none"/>
          <w14:textOutline w14:w="5793" w14:cap="sq" w14:cmpd="sng">
            <w14:solidFill>
              <w14:srgbClr w14:val="000000"/>
            </w14:solidFill>
            <w14:prstDash w14:val="solid"/>
            <w14:bevel/>
          </w14:textOutline>
        </w:rPr>
        <w:t>青海省政府采购项目合同书范本</w:t>
      </w:r>
      <w:bookmarkEnd w:id="325"/>
      <w:bookmarkEnd w:id="326"/>
      <w:bookmarkEnd w:id="327"/>
      <w:bookmarkEnd w:id="328"/>
      <w:bookmarkEnd w:id="329"/>
    </w:p>
    <w:p w14:paraId="7DF791DB">
      <w:pPr>
        <w:wordWrap/>
        <w:adjustRightInd w:val="0"/>
        <w:snapToGrid w:val="0"/>
        <w:spacing w:before="157" w:beforeLines="50" w:line="560" w:lineRule="exact"/>
        <w:jc w:val="center"/>
        <w:outlineLvl w:val="9"/>
        <w:rPr>
          <w:rFonts w:hint="eastAsia" w:ascii="宋体" w:hAnsi="宋体" w:eastAsia="宋体" w:cs="宋体"/>
          <w:b w:val="0"/>
          <w:bCs w:val="0"/>
          <w:color w:val="auto"/>
          <w:sz w:val="32"/>
          <w:szCs w:val="32"/>
          <w:highlight w:val="none"/>
        </w:rPr>
      </w:pPr>
      <w:bookmarkStart w:id="338" w:name="_Toc29785_WPSOffice_Level1"/>
      <w:bookmarkStart w:id="339" w:name="_Toc13776"/>
      <w:bookmarkStart w:id="340" w:name="_Toc22776_WPSOffice_Level1"/>
      <w:bookmarkStart w:id="341" w:name="_Toc32639"/>
      <w:r>
        <w:rPr>
          <w:rFonts w:hint="eastAsia" w:ascii="宋体" w:hAnsi="宋体" w:eastAsia="宋体" w:cs="宋体"/>
          <w:b w:val="0"/>
          <w:bCs w:val="0"/>
          <w:color w:val="auto"/>
          <w:sz w:val="32"/>
          <w:szCs w:val="32"/>
          <w:highlight w:val="none"/>
        </w:rPr>
        <w:t>（货物类）</w:t>
      </w:r>
      <w:bookmarkEnd w:id="330"/>
      <w:bookmarkEnd w:id="331"/>
      <w:bookmarkEnd w:id="332"/>
      <w:bookmarkEnd w:id="333"/>
      <w:bookmarkEnd w:id="334"/>
      <w:bookmarkEnd w:id="335"/>
      <w:bookmarkEnd w:id="336"/>
      <w:bookmarkEnd w:id="337"/>
      <w:bookmarkEnd w:id="338"/>
      <w:bookmarkEnd w:id="339"/>
      <w:bookmarkEnd w:id="340"/>
      <w:bookmarkEnd w:id="341"/>
    </w:p>
    <w:p w14:paraId="5D58B9D2">
      <w:pPr>
        <w:wordWrap/>
        <w:adjustRightInd w:val="0"/>
        <w:snapToGrid w:val="0"/>
        <w:spacing w:before="157" w:beforeLines="50" w:line="560" w:lineRule="exact"/>
        <w:outlineLvl w:val="9"/>
        <w:rPr>
          <w:rFonts w:hint="eastAsia" w:ascii="宋体" w:hAnsi="宋体" w:eastAsia="宋体" w:cs="宋体"/>
          <w:bCs/>
          <w:color w:val="auto"/>
          <w:sz w:val="32"/>
          <w:szCs w:val="32"/>
          <w:highlight w:val="none"/>
        </w:rPr>
      </w:pPr>
      <w:bookmarkStart w:id="342" w:name="_Toc373936315"/>
      <w:bookmarkStart w:id="343" w:name="_Toc375576842"/>
      <w:bookmarkStart w:id="344" w:name="_Toc373954603"/>
    </w:p>
    <w:bookmarkEnd w:id="342"/>
    <w:bookmarkEnd w:id="343"/>
    <w:bookmarkEnd w:id="344"/>
    <w:p w14:paraId="393B8468">
      <w:pPr>
        <w:keepNext/>
        <w:keepLines/>
        <w:widowControl/>
        <w:wordWrap/>
        <w:snapToGrid w:val="0"/>
        <w:spacing w:before="157" w:beforeLines="50" w:line="560" w:lineRule="exact"/>
        <w:jc w:val="center"/>
        <w:outlineLvl w:val="9"/>
        <w:rPr>
          <w:rFonts w:hint="eastAsia" w:ascii="宋体" w:hAnsi="宋体" w:eastAsia="宋体" w:cs="宋体"/>
          <w:b w:val="0"/>
          <w:bCs/>
          <w:color w:val="auto"/>
          <w:kern w:val="28"/>
          <w:sz w:val="32"/>
          <w:szCs w:val="32"/>
          <w:highlight w:val="none"/>
        </w:rPr>
      </w:pPr>
      <w:bookmarkStart w:id="345" w:name="_Toc12949997"/>
      <w:bookmarkStart w:id="346" w:name="_Toc10999_WPSOffice_Level1"/>
      <w:bookmarkStart w:id="347" w:name="_Toc8067_WPSOffice_Level1"/>
      <w:bookmarkStart w:id="348" w:name="_Toc31604_WPSOffice_Level1"/>
      <w:bookmarkStart w:id="349" w:name="_Toc9715"/>
      <w:bookmarkStart w:id="350" w:name="_Toc3676_WPSOffice_Level1"/>
      <w:bookmarkStart w:id="351" w:name="_Toc4308"/>
      <w:bookmarkStart w:id="352" w:name="_Toc416183226"/>
      <w:bookmarkStart w:id="353" w:name="_Toc9152_WPSOffice_Level1"/>
      <w:r>
        <w:rPr>
          <w:rFonts w:hint="eastAsia" w:ascii="宋体" w:hAnsi="宋体" w:eastAsia="宋体" w:cs="宋体"/>
          <w:b w:val="0"/>
          <w:bCs/>
          <w:color w:val="auto"/>
          <w:kern w:val="28"/>
          <w:sz w:val="32"/>
          <w:szCs w:val="32"/>
          <w:highlight w:val="none"/>
        </w:rPr>
        <w:t>青海省政府采购项目合同书</w:t>
      </w:r>
      <w:bookmarkEnd w:id="345"/>
      <w:bookmarkEnd w:id="346"/>
      <w:bookmarkEnd w:id="347"/>
      <w:bookmarkEnd w:id="348"/>
      <w:bookmarkEnd w:id="349"/>
      <w:bookmarkEnd w:id="350"/>
      <w:bookmarkEnd w:id="351"/>
      <w:bookmarkEnd w:id="352"/>
      <w:bookmarkEnd w:id="353"/>
    </w:p>
    <w:p w14:paraId="29BA6AEE">
      <w:pPr>
        <w:wordWrap/>
        <w:spacing w:before="157" w:beforeLines="50" w:line="560" w:lineRule="exact"/>
        <w:jc w:val="center"/>
        <w:outlineLvl w:val="9"/>
        <w:rPr>
          <w:rFonts w:hint="eastAsia" w:ascii="宋体" w:hAnsi="宋体" w:eastAsia="宋体" w:cs="宋体"/>
          <w:b w:val="0"/>
          <w:bCs/>
          <w:color w:val="auto"/>
          <w:sz w:val="24"/>
          <w:szCs w:val="24"/>
          <w:highlight w:val="none"/>
        </w:rPr>
      </w:pPr>
    </w:p>
    <w:p w14:paraId="7F0664F4">
      <w:pPr>
        <w:wordWrap/>
        <w:spacing w:before="157" w:beforeLines="50" w:line="560" w:lineRule="exact"/>
        <w:ind w:firstLine="480" w:firstLineChars="200"/>
        <w:outlineLvl w:val="9"/>
        <w:rPr>
          <w:rFonts w:hint="eastAsia" w:ascii="宋体" w:hAnsi="宋体" w:eastAsia="宋体" w:cs="宋体"/>
          <w:b w:val="0"/>
          <w:bCs/>
          <w:color w:val="auto"/>
          <w:sz w:val="24"/>
          <w:szCs w:val="24"/>
          <w:highlight w:val="none"/>
        </w:rPr>
      </w:pPr>
    </w:p>
    <w:p w14:paraId="2638AF81">
      <w:pPr>
        <w:wordWrap/>
        <w:spacing w:before="157" w:beforeLines="50" w:line="560" w:lineRule="exact"/>
        <w:ind w:firstLine="480" w:firstLineChars="200"/>
        <w:outlineLvl w:val="9"/>
        <w:rPr>
          <w:rFonts w:hint="eastAsia" w:ascii="宋体" w:hAnsi="宋体" w:eastAsia="宋体" w:cs="宋体"/>
          <w:b w:val="0"/>
          <w:bCs/>
          <w:color w:val="auto"/>
          <w:sz w:val="24"/>
          <w:szCs w:val="24"/>
          <w:highlight w:val="none"/>
          <w:u w:val="single"/>
        </w:rPr>
      </w:pPr>
      <w:bookmarkStart w:id="354" w:name="_Toc19373_WPSOffice_Level1"/>
      <w:bookmarkStart w:id="355" w:name="_Toc23338_WPSOffice_Level1"/>
      <w:bookmarkStart w:id="356" w:name="_Toc18140_WPSOffice_Level1"/>
      <w:bookmarkStart w:id="357" w:name="_Toc23548_WPSOffice_Level1"/>
      <w:r>
        <w:rPr>
          <w:rFonts w:hint="eastAsia" w:ascii="宋体" w:hAnsi="宋体" w:eastAsia="宋体" w:cs="宋体"/>
          <w:b w:val="0"/>
          <w:bCs/>
          <w:color w:val="auto"/>
          <w:sz w:val="24"/>
          <w:szCs w:val="24"/>
          <w:highlight w:val="none"/>
        </w:rPr>
        <w:t>采购项目名称：</w:t>
      </w:r>
      <w:bookmarkEnd w:id="354"/>
      <w:bookmarkEnd w:id="355"/>
      <w:bookmarkEnd w:id="356"/>
      <w:bookmarkEnd w:id="357"/>
      <w:r>
        <w:rPr>
          <w:rFonts w:hint="eastAsia" w:ascii="宋体" w:hAnsi="宋体" w:eastAsia="宋体" w:cs="宋体"/>
          <w:b w:val="0"/>
          <w:bCs/>
          <w:color w:val="auto"/>
          <w:sz w:val="24"/>
          <w:szCs w:val="24"/>
          <w:highlight w:val="none"/>
          <w:u w:val="single"/>
        </w:rPr>
        <w:t xml:space="preserve">                                  </w:t>
      </w:r>
    </w:p>
    <w:p w14:paraId="7A6BFE03">
      <w:pPr>
        <w:wordWrap/>
        <w:spacing w:before="157" w:beforeLines="50" w:line="560" w:lineRule="exact"/>
        <w:ind w:firstLine="480" w:firstLineChars="200"/>
        <w:outlineLvl w:val="9"/>
        <w:rPr>
          <w:rFonts w:hint="eastAsia" w:ascii="宋体" w:hAnsi="宋体" w:eastAsia="宋体" w:cs="宋体"/>
          <w:b w:val="0"/>
          <w:bCs/>
          <w:color w:val="auto"/>
          <w:sz w:val="24"/>
          <w:szCs w:val="24"/>
          <w:highlight w:val="none"/>
          <w:u w:val="single"/>
        </w:rPr>
      </w:pPr>
      <w:bookmarkStart w:id="358" w:name="_Toc2957_WPSOffice_Level1"/>
      <w:bookmarkStart w:id="359" w:name="_Toc19950_WPSOffice_Level1"/>
      <w:bookmarkStart w:id="360" w:name="_Toc2770_WPSOffice_Level1"/>
      <w:bookmarkStart w:id="361" w:name="_Toc20437_WPSOffice_Level1"/>
      <w:r>
        <w:rPr>
          <w:rFonts w:hint="eastAsia" w:ascii="宋体" w:hAnsi="宋体" w:eastAsia="宋体" w:cs="宋体"/>
          <w:b w:val="0"/>
          <w:bCs/>
          <w:color w:val="auto"/>
          <w:sz w:val="24"/>
          <w:szCs w:val="24"/>
          <w:highlight w:val="none"/>
        </w:rPr>
        <w:t>采购项目编号：</w:t>
      </w:r>
      <w:bookmarkEnd w:id="358"/>
      <w:bookmarkEnd w:id="359"/>
      <w:bookmarkEnd w:id="360"/>
      <w:bookmarkEnd w:id="361"/>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w:t>
      </w:r>
    </w:p>
    <w:p w14:paraId="54E63BF5">
      <w:pPr>
        <w:wordWrap/>
        <w:spacing w:before="157" w:beforeLines="50" w:line="560" w:lineRule="exact"/>
        <w:ind w:firstLine="480" w:firstLineChars="200"/>
        <w:outlineLvl w:val="9"/>
        <w:rPr>
          <w:rFonts w:hint="eastAsia" w:ascii="宋体" w:hAnsi="宋体" w:eastAsia="宋体" w:cs="宋体"/>
          <w:b w:val="0"/>
          <w:bCs/>
          <w:color w:val="auto"/>
          <w:sz w:val="24"/>
          <w:szCs w:val="24"/>
          <w:highlight w:val="none"/>
        </w:rPr>
      </w:pPr>
      <w:bookmarkStart w:id="362" w:name="_Toc19490_WPSOffice_Level1"/>
      <w:bookmarkStart w:id="363" w:name="_Toc3022_WPSOffice_Level1"/>
      <w:bookmarkStart w:id="364" w:name="_Toc31508_WPSOffice_Level1"/>
      <w:bookmarkStart w:id="365" w:name="_Toc1998_WPSOffice_Level1"/>
      <w:r>
        <w:rPr>
          <w:rFonts w:hint="eastAsia" w:ascii="宋体" w:hAnsi="宋体" w:eastAsia="宋体" w:cs="宋体"/>
          <w:b w:val="0"/>
          <w:bCs/>
          <w:color w:val="auto"/>
          <w:sz w:val="24"/>
          <w:szCs w:val="24"/>
          <w:highlight w:val="none"/>
        </w:rPr>
        <w:t>采购合同编号：</w:t>
      </w:r>
      <w:bookmarkEnd w:id="362"/>
      <w:bookmarkEnd w:id="363"/>
      <w:bookmarkEnd w:id="364"/>
      <w:bookmarkEnd w:id="365"/>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 xml:space="preserve">                                                 </w:t>
      </w:r>
    </w:p>
    <w:p w14:paraId="3D4507FB">
      <w:pPr>
        <w:wordWrap/>
        <w:spacing w:before="157" w:beforeLines="50" w:line="560" w:lineRule="exact"/>
        <w:ind w:firstLine="480" w:firstLineChars="200"/>
        <w:outlineLvl w:val="9"/>
        <w:rPr>
          <w:rFonts w:hint="eastAsia" w:ascii="宋体" w:hAnsi="宋体" w:eastAsia="宋体" w:cs="宋体"/>
          <w:b w:val="0"/>
          <w:bCs/>
          <w:color w:val="auto"/>
          <w:sz w:val="24"/>
          <w:szCs w:val="24"/>
          <w:highlight w:val="none"/>
        </w:rPr>
      </w:pPr>
      <w:bookmarkStart w:id="366" w:name="_Toc24942_WPSOffice_Level1"/>
      <w:bookmarkStart w:id="367" w:name="_Toc8063_WPSOffice_Level1"/>
      <w:bookmarkStart w:id="368" w:name="_Toc5994_WPSOffice_Level1"/>
      <w:bookmarkStart w:id="369" w:name="_Toc2711_WPSOffice_Level1"/>
      <w:r>
        <w:rPr>
          <w:rFonts w:hint="eastAsia" w:ascii="宋体" w:hAnsi="宋体" w:eastAsia="宋体" w:cs="宋体"/>
          <w:b w:val="0"/>
          <w:bCs/>
          <w:color w:val="auto"/>
          <w:sz w:val="24"/>
          <w:szCs w:val="24"/>
          <w:highlight w:val="none"/>
        </w:rPr>
        <w:t>合同金额（人民币）：</w:t>
      </w:r>
      <w:bookmarkEnd w:id="366"/>
      <w:bookmarkEnd w:id="367"/>
      <w:bookmarkEnd w:id="368"/>
      <w:bookmarkEnd w:id="369"/>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w:t>
      </w:r>
    </w:p>
    <w:p w14:paraId="7107546D">
      <w:pPr>
        <w:wordWrap/>
        <w:spacing w:before="157" w:beforeLines="50" w:line="560" w:lineRule="exact"/>
        <w:ind w:firstLine="480" w:firstLineChars="200"/>
        <w:jc w:val="left"/>
        <w:outlineLvl w:val="9"/>
        <w:rPr>
          <w:rFonts w:hint="eastAsia" w:ascii="宋体" w:hAnsi="宋体" w:eastAsia="宋体" w:cs="宋体"/>
          <w:b w:val="0"/>
          <w:bCs/>
          <w:color w:val="auto"/>
          <w:sz w:val="24"/>
          <w:szCs w:val="24"/>
          <w:highlight w:val="none"/>
        </w:rPr>
      </w:pPr>
      <w:bookmarkStart w:id="370" w:name="_Toc10610_WPSOffice_Level1"/>
      <w:bookmarkStart w:id="371" w:name="_Toc31793_WPSOffice_Level1"/>
      <w:bookmarkStart w:id="372" w:name="_Toc3522_WPSOffice_Level1"/>
      <w:bookmarkStart w:id="373" w:name="_Toc6126_WPSOffice_Level1"/>
      <w:r>
        <w:rPr>
          <w:rFonts w:hint="eastAsia" w:ascii="宋体" w:hAnsi="宋体" w:eastAsia="宋体" w:cs="宋体"/>
          <w:b w:val="0"/>
          <w:bCs/>
          <w:color w:val="auto"/>
          <w:sz w:val="24"/>
          <w:szCs w:val="24"/>
          <w:highlight w:val="none"/>
        </w:rPr>
        <w:t>采购单位（甲方）：</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（盖章）</w:t>
      </w:r>
      <w:bookmarkEnd w:id="370"/>
      <w:bookmarkEnd w:id="371"/>
      <w:bookmarkEnd w:id="372"/>
      <w:bookmarkEnd w:id="373"/>
    </w:p>
    <w:p w14:paraId="06074576">
      <w:pPr>
        <w:wordWrap/>
        <w:spacing w:before="157" w:beforeLines="50" w:line="560" w:lineRule="exact"/>
        <w:ind w:firstLine="480" w:firstLineChars="200"/>
        <w:jc w:val="left"/>
        <w:outlineLvl w:val="9"/>
        <w:rPr>
          <w:rFonts w:hint="eastAsia" w:ascii="宋体" w:hAnsi="宋体" w:eastAsia="宋体" w:cs="宋体"/>
          <w:b w:val="0"/>
          <w:bCs/>
          <w:color w:val="auto"/>
          <w:sz w:val="24"/>
          <w:szCs w:val="24"/>
          <w:highlight w:val="none"/>
          <w:u w:val="single"/>
        </w:rPr>
      </w:pPr>
      <w:bookmarkStart w:id="374" w:name="_Toc382_WPSOffice_Level1"/>
      <w:bookmarkStart w:id="375" w:name="_Toc22516_WPSOffice_Level1"/>
      <w:bookmarkStart w:id="376" w:name="_Toc7246_WPSOffice_Level1"/>
      <w:bookmarkStart w:id="377" w:name="_Toc14960_WPSOffice_Level1"/>
      <w:r>
        <w:rPr>
          <w:rFonts w:hint="eastAsia" w:ascii="宋体" w:hAnsi="宋体" w:eastAsia="宋体" w:cs="宋体"/>
          <w:b w:val="0"/>
          <w:bCs/>
          <w:color w:val="auto"/>
          <w:sz w:val="24"/>
          <w:szCs w:val="24"/>
          <w:highlight w:val="none"/>
        </w:rPr>
        <w:t>成交供应商（乙方）：</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（盖章）</w:t>
      </w:r>
      <w:bookmarkEnd w:id="374"/>
      <w:bookmarkEnd w:id="375"/>
      <w:bookmarkEnd w:id="376"/>
      <w:bookmarkEnd w:id="377"/>
    </w:p>
    <w:p w14:paraId="5286859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甲、乙双方根据</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日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eastAsia="zh-CN"/>
        </w:rPr>
        <w:t>项目编号</w:t>
      </w:r>
      <w:r>
        <w:rPr>
          <w:rFonts w:hint="eastAsia" w:ascii="宋体" w:hAnsi="宋体" w:eastAsia="宋体" w:cs="宋体"/>
          <w:bCs/>
          <w:color w:val="auto"/>
          <w:sz w:val="24"/>
          <w:szCs w:val="24"/>
          <w:highlight w:val="none"/>
        </w:rPr>
        <w:t>）的谈判文件要求和采购机构出具的《成交通知书》，并经双方协商一致，达成合同总价款为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项目采购合同：</w:t>
      </w:r>
    </w:p>
    <w:p w14:paraId="4AAFE59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lang w:val="zh-CN"/>
        </w:rPr>
      </w:pPr>
      <w:bookmarkStart w:id="378" w:name="_Toc28036_WPSOffice_Level1"/>
      <w:bookmarkStart w:id="379" w:name="_Toc6866_WPSOffice_Level1"/>
      <w:bookmarkStart w:id="380" w:name="_Toc16675_WPSOffice_Level1"/>
      <w:bookmarkStart w:id="381" w:name="_Toc6055_WPSOffice_Level1"/>
      <w:bookmarkStart w:id="382" w:name="_Toc29795_WPSOffice_Level1"/>
      <w:bookmarkStart w:id="383" w:name="_Toc96_WPSOffice_Level1"/>
      <w:r>
        <w:rPr>
          <w:rFonts w:hint="eastAsia" w:ascii="宋体" w:hAnsi="宋体" w:eastAsia="宋体" w:cs="宋体"/>
          <w:bCs/>
          <w:color w:val="auto"/>
          <w:sz w:val="24"/>
          <w:szCs w:val="24"/>
          <w:highlight w:val="none"/>
          <w:lang w:val="zh-CN"/>
        </w:rPr>
        <w:t>一、签订本政府采购合同的依据</w:t>
      </w:r>
      <w:bookmarkEnd w:id="378"/>
      <w:bookmarkEnd w:id="379"/>
      <w:bookmarkEnd w:id="380"/>
      <w:bookmarkEnd w:id="381"/>
      <w:bookmarkEnd w:id="382"/>
      <w:bookmarkEnd w:id="383"/>
    </w:p>
    <w:p w14:paraId="68E900C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本政府采购合同所附下列文件是构成本政府采购合同不可分割的部分：</w:t>
      </w:r>
    </w:p>
    <w:p w14:paraId="1A1AC02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lang w:val="zh-CN"/>
        </w:rPr>
      </w:pPr>
      <w:bookmarkStart w:id="384" w:name="_Toc32479_WPSOffice_Level2"/>
      <w:bookmarkStart w:id="385" w:name="_Toc7329_WPSOffice_Level2"/>
      <w:bookmarkStart w:id="386" w:name="_Toc29065_WPSOffice_Level2"/>
      <w:r>
        <w:rPr>
          <w:rFonts w:hint="eastAsia" w:ascii="宋体" w:hAnsi="宋体" w:eastAsia="宋体" w:cs="宋体"/>
          <w:bCs/>
          <w:color w:val="auto"/>
          <w:sz w:val="24"/>
          <w:szCs w:val="24"/>
          <w:highlight w:val="none"/>
          <w:lang w:val="zh-CN"/>
        </w:rPr>
        <w:t>1.谈判文件；</w:t>
      </w:r>
      <w:bookmarkEnd w:id="384"/>
      <w:bookmarkEnd w:id="385"/>
      <w:bookmarkEnd w:id="386"/>
    </w:p>
    <w:p w14:paraId="59C6169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lang w:val="zh-CN"/>
        </w:rPr>
      </w:pPr>
      <w:bookmarkStart w:id="387" w:name="_Toc22776_WPSOffice_Level2"/>
      <w:bookmarkStart w:id="388" w:name="_Toc28112_WPSOffice_Level2"/>
      <w:bookmarkStart w:id="389" w:name="_Toc8989_WPSOffice_Level2"/>
      <w:r>
        <w:rPr>
          <w:rFonts w:hint="eastAsia" w:ascii="宋体" w:hAnsi="宋体" w:eastAsia="宋体" w:cs="宋体"/>
          <w:bCs/>
          <w:color w:val="auto"/>
          <w:sz w:val="24"/>
          <w:szCs w:val="24"/>
          <w:highlight w:val="none"/>
          <w:lang w:val="zh-CN"/>
        </w:rPr>
        <w:t>2.谈判文件的更正、变更公告；</w:t>
      </w:r>
      <w:bookmarkEnd w:id="387"/>
      <w:bookmarkEnd w:id="388"/>
      <w:bookmarkEnd w:id="389"/>
    </w:p>
    <w:p w14:paraId="2F00893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lang w:val="zh-CN"/>
        </w:rPr>
      </w:pPr>
      <w:bookmarkStart w:id="390" w:name="_Toc28651_WPSOffice_Level2"/>
      <w:bookmarkStart w:id="391" w:name="_Toc29795_WPSOffice_Level2"/>
      <w:bookmarkStart w:id="392" w:name="_Toc29221_WPSOffice_Level2"/>
      <w:r>
        <w:rPr>
          <w:rFonts w:hint="eastAsia" w:ascii="宋体" w:hAnsi="宋体" w:eastAsia="宋体" w:cs="宋体"/>
          <w:bCs/>
          <w:color w:val="auto"/>
          <w:sz w:val="24"/>
          <w:szCs w:val="24"/>
          <w:highlight w:val="none"/>
          <w:lang w:val="zh-CN"/>
        </w:rPr>
        <w:t>3.成交供应商提交的谈判响应文件；</w:t>
      </w:r>
      <w:bookmarkEnd w:id="390"/>
      <w:bookmarkEnd w:id="391"/>
      <w:bookmarkEnd w:id="392"/>
    </w:p>
    <w:p w14:paraId="1A49E6C8">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lang w:val="zh-CN"/>
        </w:rPr>
      </w:pPr>
      <w:bookmarkStart w:id="393" w:name="_Toc130_WPSOffice_Level2"/>
      <w:bookmarkStart w:id="394" w:name="_Toc10173_WPSOffice_Level2"/>
      <w:bookmarkStart w:id="395" w:name="_Toc13685_WPSOffice_Level2"/>
      <w:r>
        <w:rPr>
          <w:rFonts w:hint="eastAsia" w:ascii="宋体" w:hAnsi="宋体" w:eastAsia="宋体" w:cs="宋体"/>
          <w:bCs/>
          <w:color w:val="auto"/>
          <w:sz w:val="24"/>
          <w:szCs w:val="24"/>
          <w:highlight w:val="none"/>
          <w:lang w:val="zh-CN"/>
        </w:rPr>
        <w:t>4.政府采购合同通用条款；</w:t>
      </w:r>
      <w:bookmarkEnd w:id="393"/>
      <w:bookmarkEnd w:id="394"/>
      <w:bookmarkEnd w:id="395"/>
    </w:p>
    <w:p w14:paraId="4AC8ABC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lang w:val="zh-CN"/>
        </w:rPr>
      </w:pPr>
      <w:bookmarkStart w:id="396" w:name="_Toc16117_WPSOffice_Level2"/>
      <w:bookmarkStart w:id="397" w:name="_Toc1858_WPSOffice_Level2"/>
      <w:bookmarkStart w:id="398" w:name="_Toc22537_WPSOffice_Level2"/>
      <w:r>
        <w:rPr>
          <w:rFonts w:hint="eastAsia" w:ascii="宋体" w:hAnsi="宋体" w:eastAsia="宋体" w:cs="宋体"/>
          <w:bCs/>
          <w:color w:val="auto"/>
          <w:sz w:val="24"/>
          <w:szCs w:val="24"/>
          <w:highlight w:val="none"/>
          <w:lang w:val="zh-CN"/>
        </w:rPr>
        <w:t>5.成交通知书；</w:t>
      </w:r>
      <w:bookmarkEnd w:id="396"/>
      <w:bookmarkEnd w:id="397"/>
      <w:bookmarkEnd w:id="398"/>
    </w:p>
    <w:p w14:paraId="124A5B3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399" w:name="_Toc5771_WPSOffice_Level2"/>
      <w:bookmarkStart w:id="400" w:name="_Toc21545_WPSOffice_Level2"/>
      <w:bookmarkStart w:id="401" w:name="_Toc30677_WPSOffice_Level2"/>
      <w:r>
        <w:rPr>
          <w:rFonts w:hint="eastAsia" w:ascii="宋体" w:hAnsi="宋体" w:eastAsia="宋体" w:cs="宋体"/>
          <w:bCs/>
          <w:color w:val="auto"/>
          <w:sz w:val="24"/>
          <w:szCs w:val="24"/>
          <w:highlight w:val="none"/>
          <w:lang w:val="zh-CN"/>
        </w:rPr>
        <w:t>6.</w:t>
      </w:r>
      <w:bookmarkEnd w:id="399"/>
      <w:bookmarkEnd w:id="400"/>
      <w:bookmarkEnd w:id="401"/>
      <w:bookmarkStart w:id="402" w:name="_Toc32599_WPSOffice_Level2"/>
      <w:bookmarkStart w:id="403" w:name="_Toc2205_WPSOffice_Level2"/>
      <w:bookmarkStart w:id="404" w:name="_Toc8581_WPSOffice_Level2"/>
      <w:r>
        <w:rPr>
          <w:rFonts w:hint="eastAsia" w:ascii="宋体" w:hAnsi="宋体" w:eastAsia="宋体" w:cs="宋体"/>
          <w:bCs/>
          <w:color w:val="auto"/>
          <w:sz w:val="24"/>
          <w:szCs w:val="24"/>
          <w:highlight w:val="none"/>
        </w:rPr>
        <w:t>政府采购计划备案表。</w:t>
      </w:r>
      <w:bookmarkEnd w:id="402"/>
      <w:bookmarkEnd w:id="403"/>
      <w:bookmarkEnd w:id="404"/>
    </w:p>
    <w:p w14:paraId="70AAB4A8">
      <w:pPr>
        <w:widowControl w:val="0"/>
        <w:wordWrap/>
        <w:adjustRightInd w:val="0"/>
        <w:snapToGrid w:val="0"/>
        <w:spacing w:line="560" w:lineRule="exact"/>
        <w:ind w:firstLine="480" w:firstLineChars="200"/>
        <w:jc w:val="left"/>
        <w:textAlignment w:val="auto"/>
        <w:outlineLvl w:val="9"/>
        <w:rPr>
          <w:rFonts w:hint="eastAsia" w:ascii="宋体" w:hAnsi="宋体" w:eastAsia="宋体" w:cs="宋体"/>
          <w:bCs/>
          <w:color w:val="auto"/>
          <w:sz w:val="24"/>
          <w:szCs w:val="24"/>
          <w:highlight w:val="none"/>
          <w:lang w:val="zh-CN"/>
        </w:rPr>
      </w:pPr>
      <w:bookmarkStart w:id="405" w:name="_Toc12658_WPSOffice_Level1"/>
      <w:bookmarkStart w:id="406" w:name="_Toc29813_WPSOffice_Level1"/>
      <w:bookmarkStart w:id="407" w:name="_Toc7426_WPSOffice_Level1"/>
      <w:bookmarkStart w:id="408" w:name="_Toc4921_WPSOffice_Level1"/>
      <w:bookmarkStart w:id="409" w:name="_Toc10173_WPSOffice_Level1"/>
      <w:bookmarkStart w:id="410" w:name="_Toc10843_WPSOffice_Level1"/>
      <w:r>
        <w:rPr>
          <w:rFonts w:hint="eastAsia" w:ascii="宋体" w:hAnsi="宋体" w:eastAsia="宋体" w:cs="宋体"/>
          <w:bCs/>
          <w:color w:val="auto"/>
          <w:sz w:val="24"/>
          <w:szCs w:val="24"/>
          <w:highlight w:val="none"/>
          <w:lang w:val="zh-CN"/>
        </w:rPr>
        <w:t>二、合同标的及金额                                       单位：元</w:t>
      </w:r>
      <w:bookmarkEnd w:id="405"/>
      <w:bookmarkEnd w:id="406"/>
      <w:bookmarkEnd w:id="407"/>
      <w:bookmarkEnd w:id="408"/>
      <w:bookmarkEnd w:id="409"/>
      <w:bookmarkEnd w:id="410"/>
    </w:p>
    <w:tbl>
      <w:tblPr>
        <w:tblStyle w:val="1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1640"/>
        <w:gridCol w:w="1613"/>
        <w:gridCol w:w="1279"/>
        <w:gridCol w:w="1151"/>
        <w:gridCol w:w="1149"/>
        <w:gridCol w:w="1343"/>
      </w:tblGrid>
      <w:tr w14:paraId="78EE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0DFA6D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14:paraId="38B578A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14:paraId="2581C56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14:paraId="2B82482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6E4C24A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53A3BDA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14:paraId="6FFB24F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备注</w:t>
            </w:r>
          </w:p>
        </w:tc>
      </w:tr>
      <w:tr w14:paraId="5922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490D03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57D123F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6BD8165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5BA2D06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0FBDD4F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4460BCF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5905A47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r>
      <w:tr w14:paraId="633F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A9FC4E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7F21E45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6E52010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50083BB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451F4BB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64E77C7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6BD280C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r>
      <w:tr w14:paraId="0536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03BB887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358F827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7F0D785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1869E0F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4BA4038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5B9C5EC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0C9F288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r>
      <w:tr w14:paraId="6577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43854DC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3C4017B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33C5BB5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1CA8CA8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7161592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1882320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6C8B6B1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color w:val="auto"/>
                <w:sz w:val="24"/>
                <w:szCs w:val="24"/>
                <w:highlight w:val="none"/>
                <w:lang w:val="zh-CN"/>
              </w:rPr>
            </w:pPr>
          </w:p>
        </w:tc>
      </w:tr>
    </w:tbl>
    <w:p w14:paraId="77EE983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根据上述政府采购合同文件要求，本政府采购合同的总金额为人民币</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（大写）</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 xml:space="preserve">          元。</w:t>
      </w:r>
    </w:p>
    <w:p w14:paraId="2694478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本合同以人民币进行结算，合同总价包括：</w:t>
      </w:r>
      <w:r>
        <w:rPr>
          <w:rFonts w:hint="eastAsia" w:ascii="宋体" w:hAnsi="宋体" w:eastAsia="宋体" w:cs="宋体"/>
          <w:bCs/>
          <w:color w:val="auto"/>
          <w:sz w:val="24"/>
          <w:szCs w:val="24"/>
          <w:highlight w:val="none"/>
        </w:rPr>
        <w:t>产品费、检验费、手续费、包装费、运输费、</w:t>
      </w:r>
      <w:r>
        <w:rPr>
          <w:rFonts w:hint="eastAsia" w:ascii="宋体" w:hAnsi="宋体" w:eastAsia="宋体" w:cs="宋体"/>
          <w:bCs/>
          <w:color w:val="auto"/>
          <w:sz w:val="24"/>
          <w:szCs w:val="24"/>
          <w:highlight w:val="none"/>
          <w:lang w:val="en-US" w:eastAsia="zh-CN"/>
        </w:rPr>
        <w:t>安装调试费、</w:t>
      </w:r>
      <w:r>
        <w:rPr>
          <w:rFonts w:hint="eastAsia" w:ascii="宋体" w:hAnsi="宋体" w:eastAsia="宋体" w:cs="宋体"/>
          <w:bCs/>
          <w:color w:val="auto"/>
          <w:sz w:val="24"/>
          <w:szCs w:val="24"/>
          <w:highlight w:val="none"/>
        </w:rPr>
        <w:t>保险费、税金、及其他不可预见费等全部费用。</w:t>
      </w:r>
    </w:p>
    <w:p w14:paraId="21B4EF78">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11" w:name="_Toc20423_WPSOffice_Level1"/>
      <w:bookmarkStart w:id="412" w:name="_Toc28888_WPSOffice_Level1"/>
      <w:bookmarkStart w:id="413" w:name="_Toc22537_WPSOffice_Level1"/>
      <w:bookmarkStart w:id="414" w:name="_Toc23899_WPSOffice_Level1"/>
      <w:bookmarkStart w:id="415" w:name="_Toc6168_WPSOffice_Level1"/>
      <w:bookmarkStart w:id="416" w:name="_Toc7098_WPSOffice_Level1"/>
      <w:r>
        <w:rPr>
          <w:rFonts w:hint="eastAsia" w:ascii="宋体" w:hAnsi="宋体" w:eastAsia="宋体" w:cs="宋体"/>
          <w:bCs/>
          <w:color w:val="auto"/>
          <w:sz w:val="24"/>
          <w:szCs w:val="24"/>
          <w:highlight w:val="none"/>
          <w:lang w:val="zh-CN"/>
        </w:rPr>
        <w:t>三、交付时间、地点和要求</w:t>
      </w:r>
      <w:bookmarkEnd w:id="411"/>
      <w:bookmarkEnd w:id="412"/>
      <w:bookmarkEnd w:id="413"/>
      <w:bookmarkEnd w:id="414"/>
      <w:bookmarkEnd w:id="415"/>
      <w:bookmarkEnd w:id="416"/>
    </w:p>
    <w:p w14:paraId="74F30788">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交货时间：</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zh-CN"/>
        </w:rPr>
        <w:t xml:space="preserve"> 。</w:t>
      </w:r>
    </w:p>
    <w:p w14:paraId="1807FAE6">
      <w:pPr>
        <w:widowControl w:val="0"/>
        <w:wordWrap/>
        <w:adjustRightInd w:val="0"/>
        <w:snapToGrid w:val="0"/>
        <w:spacing w:line="560" w:lineRule="exact"/>
        <w:ind w:firstLine="720" w:firstLineChars="3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交货地点：</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zh-CN"/>
        </w:rPr>
        <w:t xml:space="preserve"> 。</w:t>
      </w:r>
    </w:p>
    <w:p w14:paraId="70390D4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乙方提供不符合谈判文件、谈判响应文件和本合同规定的产品，甲方有权拒绝接受。</w:t>
      </w:r>
    </w:p>
    <w:p w14:paraId="0282DDB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乙方应将提供产品的装箱清单、用户手册、资料、工具和备品、备件等交付给甲方，如有缺失应及时补齐，否则视为逾期交货。</w:t>
      </w:r>
    </w:p>
    <w:p w14:paraId="4EFE77D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 </w:t>
      </w:r>
      <w:r>
        <w:rPr>
          <w:rFonts w:hint="eastAsia" w:ascii="宋体" w:hAnsi="宋体" w:eastAsia="宋体" w:cs="宋体"/>
          <w:bCs/>
          <w:color w:val="auto"/>
          <w:sz w:val="24"/>
          <w:szCs w:val="24"/>
          <w:highlight w:val="none"/>
          <w:lang w:val="zh-CN"/>
        </w:rPr>
        <w:t>甲方应当在到货（安装、调试完）后</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个工作日内进行验收。验收合格后，由甲乙双方签署产品验收单并加盖采购人公章，甲乙双方各执一份。</w:t>
      </w:r>
    </w:p>
    <w:p w14:paraId="1C0D155E">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zh-CN"/>
        </w:rPr>
        <w:t xml:space="preserve"> 甲方在履行合同过程中发现乙方有违约问题，可按谈判文件、谈判响应文件的规定要求乙方及时予以解决。</w:t>
      </w:r>
    </w:p>
    <w:p w14:paraId="141D6A0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乙方向甲方提供产品相关完税销售发票。</w:t>
      </w:r>
    </w:p>
    <w:p w14:paraId="7B3D074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17" w:name="_Toc32406_WPSOffice_Level1"/>
      <w:bookmarkStart w:id="418" w:name="_Toc2306_WPSOffice_Level1"/>
      <w:bookmarkStart w:id="419" w:name="_Toc5771_WPSOffice_Level1"/>
      <w:bookmarkStart w:id="420" w:name="_Toc29015_WPSOffice_Level1"/>
      <w:bookmarkStart w:id="421" w:name="_Toc23122_WPSOffice_Level1"/>
      <w:bookmarkStart w:id="422" w:name="_Toc19609_WPSOffice_Level1"/>
      <w:r>
        <w:rPr>
          <w:rFonts w:hint="eastAsia" w:ascii="宋体" w:hAnsi="宋体" w:eastAsia="宋体" w:cs="宋体"/>
          <w:bCs/>
          <w:color w:val="auto"/>
          <w:sz w:val="24"/>
          <w:szCs w:val="24"/>
          <w:highlight w:val="none"/>
        </w:rPr>
        <w:t>四、付款方式</w:t>
      </w:r>
      <w:bookmarkEnd w:id="417"/>
      <w:bookmarkEnd w:id="418"/>
      <w:bookmarkEnd w:id="419"/>
      <w:bookmarkEnd w:id="420"/>
      <w:bookmarkEnd w:id="421"/>
      <w:bookmarkEnd w:id="422"/>
    </w:p>
    <w:p w14:paraId="238A941D">
      <w:pPr>
        <w:widowControl w:val="0"/>
        <w:wordWrap/>
        <w:adjustRightInd w:val="0"/>
        <w:snapToGrid w:val="0"/>
        <w:spacing w:line="560" w:lineRule="exact"/>
        <w:ind w:firstLine="480" w:firstLineChars="200"/>
        <w:textAlignment w:val="auto"/>
        <w:outlineLvl w:val="9"/>
        <w:rPr>
          <w:rFonts w:hint="eastAsia" w:ascii="宋体" w:hAnsi="宋体" w:eastAsia="宋体" w:cs="宋体"/>
          <w:bCs/>
          <w:i w:val="0"/>
          <w:iCs w:val="0"/>
          <w:color w:val="auto"/>
          <w:sz w:val="24"/>
          <w:szCs w:val="24"/>
          <w:highlight w:val="none"/>
          <w:u w:val="none"/>
          <w:lang w:val="zh-CN"/>
        </w:rPr>
      </w:pPr>
      <w:bookmarkStart w:id="423" w:name="_Toc4233_WPSOffice_Level1"/>
      <w:bookmarkStart w:id="424" w:name="_Toc8581_WPSOffice_Level1"/>
      <w:bookmarkStart w:id="425" w:name="_Toc9071_WPSOffice_Level1"/>
      <w:bookmarkStart w:id="426" w:name="_Toc1156_WPSOffice_Level1"/>
      <w:bookmarkStart w:id="427" w:name="_Toc4945_WPSOffice_Level1"/>
      <w:bookmarkStart w:id="428" w:name="_Toc26468_WPSOffice_Level1"/>
      <w:r>
        <w:rPr>
          <w:rFonts w:hint="eastAsia" w:ascii="宋体" w:hAnsi="宋体" w:eastAsia="宋体" w:cs="宋体"/>
          <w:bCs/>
          <w:i w:val="0"/>
          <w:iCs w:val="0"/>
          <w:color w:val="auto"/>
          <w:sz w:val="24"/>
          <w:szCs w:val="24"/>
          <w:highlight w:val="none"/>
          <w:u w:val="none"/>
          <w:lang w:val="zh-CN"/>
        </w:rPr>
        <w:t>在合同签订后甲方向乙方支付合同总价款的30%即人民币:</w:t>
      </w:r>
      <w:r>
        <w:rPr>
          <w:rFonts w:hint="eastAsia" w:ascii="宋体" w:hAnsi="宋体" w:eastAsia="宋体" w:cs="宋体"/>
          <w:bCs/>
          <w:i w:val="0"/>
          <w:iCs w:val="0"/>
          <w:color w:val="auto"/>
          <w:sz w:val="24"/>
          <w:szCs w:val="24"/>
          <w:highlight w:val="none"/>
          <w:u w:val="single"/>
          <w:lang w:val="zh-CN"/>
        </w:rPr>
        <w:t xml:space="preserve">              </w:t>
      </w:r>
      <w:r>
        <w:rPr>
          <w:rFonts w:hint="eastAsia" w:ascii="宋体" w:hAnsi="宋体" w:eastAsia="宋体" w:cs="宋体"/>
          <w:bCs/>
          <w:i w:val="0"/>
          <w:iCs w:val="0"/>
          <w:color w:val="auto"/>
          <w:sz w:val="24"/>
          <w:szCs w:val="24"/>
          <w:highlight w:val="none"/>
          <w:u w:val="none"/>
          <w:lang w:val="zh-CN"/>
        </w:rPr>
        <w:t>元(大写:</w:t>
      </w:r>
      <w:r>
        <w:rPr>
          <w:rFonts w:hint="eastAsia" w:ascii="宋体" w:hAnsi="宋体" w:eastAsia="宋体" w:cs="宋体"/>
          <w:bCs/>
          <w:i w:val="0"/>
          <w:iCs w:val="0"/>
          <w:color w:val="auto"/>
          <w:sz w:val="24"/>
          <w:szCs w:val="24"/>
          <w:highlight w:val="none"/>
          <w:u w:val="single"/>
          <w:lang w:val="zh-CN"/>
        </w:rPr>
        <w:t xml:space="preserve">              </w:t>
      </w:r>
      <w:r>
        <w:rPr>
          <w:rFonts w:hint="eastAsia" w:ascii="宋体" w:hAnsi="宋体" w:eastAsia="宋体" w:cs="宋体"/>
          <w:bCs/>
          <w:i w:val="0"/>
          <w:iCs w:val="0"/>
          <w:color w:val="auto"/>
          <w:sz w:val="24"/>
          <w:szCs w:val="24"/>
          <w:highlight w:val="none"/>
          <w:u w:val="none"/>
          <w:lang w:val="zh-CN"/>
        </w:rPr>
        <w:t>元整)，乙方所交付的产品由甲方验收合格后，甲方向乙方支付合同总价款的70%，即人民币:</w:t>
      </w:r>
      <w:r>
        <w:rPr>
          <w:rFonts w:hint="eastAsia" w:ascii="宋体" w:hAnsi="宋体" w:eastAsia="宋体" w:cs="宋体"/>
          <w:bCs/>
          <w:i w:val="0"/>
          <w:iCs w:val="0"/>
          <w:color w:val="auto"/>
          <w:sz w:val="24"/>
          <w:szCs w:val="24"/>
          <w:highlight w:val="none"/>
          <w:u w:val="single"/>
          <w:lang w:val="zh-CN"/>
        </w:rPr>
        <w:t xml:space="preserve">           </w:t>
      </w:r>
      <w:r>
        <w:rPr>
          <w:rFonts w:hint="eastAsia" w:ascii="宋体" w:hAnsi="宋体" w:eastAsia="宋体" w:cs="宋体"/>
          <w:bCs/>
          <w:i w:val="0"/>
          <w:iCs w:val="0"/>
          <w:color w:val="auto"/>
          <w:sz w:val="24"/>
          <w:szCs w:val="24"/>
          <w:highlight w:val="none"/>
          <w:u w:val="none"/>
          <w:lang w:val="zh-CN"/>
        </w:rPr>
        <w:t xml:space="preserve">  元(大写:</w:t>
      </w:r>
      <w:r>
        <w:rPr>
          <w:rFonts w:hint="eastAsia" w:ascii="宋体" w:hAnsi="宋体" w:eastAsia="宋体" w:cs="宋体"/>
          <w:bCs/>
          <w:i w:val="0"/>
          <w:iCs w:val="0"/>
          <w:color w:val="auto"/>
          <w:sz w:val="24"/>
          <w:szCs w:val="24"/>
          <w:highlight w:val="none"/>
          <w:u w:val="single"/>
          <w:lang w:val="zh-CN"/>
        </w:rPr>
        <w:t xml:space="preserve">             </w:t>
      </w:r>
      <w:r>
        <w:rPr>
          <w:rFonts w:hint="eastAsia" w:ascii="宋体" w:hAnsi="宋体" w:eastAsia="宋体" w:cs="宋体"/>
          <w:bCs/>
          <w:i w:val="0"/>
          <w:iCs w:val="0"/>
          <w:color w:val="auto"/>
          <w:sz w:val="24"/>
          <w:szCs w:val="24"/>
          <w:highlight w:val="none"/>
          <w:u w:val="none"/>
          <w:lang w:val="zh-CN"/>
        </w:rPr>
        <w:t>元整)。</w:t>
      </w:r>
    </w:p>
    <w:p w14:paraId="581B370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五、合同的变更、终止与转让</w:t>
      </w:r>
      <w:bookmarkEnd w:id="423"/>
      <w:bookmarkEnd w:id="424"/>
      <w:bookmarkEnd w:id="425"/>
      <w:bookmarkEnd w:id="426"/>
      <w:bookmarkEnd w:id="427"/>
      <w:bookmarkEnd w:id="428"/>
    </w:p>
    <w:p w14:paraId="26B4E88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除《中华人民共和国政府采购法》第</w:t>
      </w:r>
      <w:r>
        <w:rPr>
          <w:rFonts w:hint="eastAsia" w:ascii="宋体" w:hAnsi="宋体" w:eastAsia="宋体" w:cs="宋体"/>
          <w:bCs/>
          <w:color w:val="auto"/>
          <w:sz w:val="24"/>
          <w:szCs w:val="24"/>
          <w:highlight w:val="none"/>
        </w:rPr>
        <w:t>50</w:t>
      </w:r>
      <w:r>
        <w:rPr>
          <w:rFonts w:hint="eastAsia" w:ascii="宋体" w:hAnsi="宋体" w:eastAsia="宋体" w:cs="宋体"/>
          <w:bCs/>
          <w:color w:val="auto"/>
          <w:sz w:val="24"/>
          <w:szCs w:val="24"/>
          <w:highlight w:val="none"/>
          <w:lang w:val="zh-CN"/>
        </w:rPr>
        <w:t>条规定的情形外，本合同一经签订，甲乙双方不得擅自变更、中止或终止。</w:t>
      </w:r>
    </w:p>
    <w:p w14:paraId="10FAD021">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乙方不得擅自转让其应履行的合同义务。</w:t>
      </w:r>
    </w:p>
    <w:p w14:paraId="07C5D33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29" w:name="_Toc21200_WPSOffice_Level1"/>
      <w:bookmarkStart w:id="430" w:name="_Toc2669_WPSOffice_Level1"/>
      <w:bookmarkStart w:id="431" w:name="_Toc14930_WPSOffice_Level1"/>
      <w:bookmarkStart w:id="432" w:name="_Toc29941_WPSOffice_Level1"/>
      <w:bookmarkStart w:id="433" w:name="_Toc20231_WPSOffice_Level1"/>
      <w:bookmarkStart w:id="434" w:name="_Toc27090_WPSOffice_Level1"/>
      <w:r>
        <w:rPr>
          <w:rFonts w:hint="eastAsia" w:ascii="宋体" w:hAnsi="宋体" w:eastAsia="宋体" w:cs="宋体"/>
          <w:bCs/>
          <w:color w:val="auto"/>
          <w:sz w:val="24"/>
          <w:szCs w:val="24"/>
          <w:highlight w:val="none"/>
          <w:lang w:val="zh-CN"/>
        </w:rPr>
        <w:t>六、违约责任</w:t>
      </w:r>
      <w:bookmarkEnd w:id="429"/>
      <w:bookmarkEnd w:id="430"/>
      <w:bookmarkEnd w:id="431"/>
      <w:bookmarkEnd w:id="432"/>
      <w:bookmarkEnd w:id="433"/>
      <w:bookmarkEnd w:id="434"/>
    </w:p>
    <w:p w14:paraId="4214AF9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乙方所提供的产品规格、技术标准、材料等质量不合格的，应及时更换；更换不及时的，按逾期交货承担违约责任；因质量问题甲方不同意接收的，甲方有权扣除</w:t>
      </w:r>
      <w:r>
        <w:rPr>
          <w:rFonts w:hint="eastAsia" w:ascii="宋体" w:hAnsi="宋体" w:eastAsia="宋体" w:cs="宋体"/>
          <w:bCs/>
          <w:color w:val="auto"/>
          <w:sz w:val="24"/>
          <w:szCs w:val="24"/>
          <w:highlight w:val="none"/>
          <w:lang w:val="en-US" w:eastAsia="zh-CN"/>
        </w:rPr>
        <w:t>合同款</w:t>
      </w:r>
      <w:r>
        <w:rPr>
          <w:rFonts w:hint="eastAsia" w:ascii="宋体" w:hAnsi="宋体" w:eastAsia="宋体" w:cs="宋体"/>
          <w:bCs/>
          <w:color w:val="auto"/>
          <w:sz w:val="24"/>
          <w:szCs w:val="24"/>
          <w:highlight w:val="none"/>
          <w:lang w:val="zh-CN"/>
        </w:rPr>
        <w:t>，并由乙方赔偿由此引起的甲方的一切经济损失。</w:t>
      </w:r>
    </w:p>
    <w:p w14:paraId="77DE403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乙方提供的货物如侵犯了第三方权益而引发纠纷或诉讼的，均由乙方负责交涉并承担全部责任。</w:t>
      </w:r>
    </w:p>
    <w:p w14:paraId="09AFF42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因包装、运输引起的货物损坏，甲方有权拒收。</w:t>
      </w:r>
    </w:p>
    <w:p w14:paraId="4B34120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甲方无故延期接受货物和乙方逾期交货的，每天应向对方偿付未交货物的货款</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的违约金，但违约金累计不得超过违约货款的</w:t>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zh-CN"/>
        </w:rPr>
        <w:t>，超过</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lang w:val="zh-CN"/>
        </w:rPr>
        <w:t>天对方有权解除合同，违约方承担因此给对方造成的经济损失</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zh-CN"/>
        </w:rPr>
        <w:t>。</w:t>
      </w:r>
    </w:p>
    <w:p w14:paraId="2C9D602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zh-CN"/>
        </w:rPr>
        <w:t>乙方未按本合同和响应文件中规定的服务承诺提供售后服务的，乙方应按本合同合计金额的</w:t>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zh-CN"/>
        </w:rPr>
        <w:t>向甲方支付违约金。</w:t>
      </w:r>
    </w:p>
    <w:p w14:paraId="2F4AE18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val="zh-CN"/>
        </w:rPr>
        <w:t>乙方提供的货物在质量保证期内，因设计、工艺或材料的缺陷和其它质量原因造成的问题，由乙方负责，费用从</w:t>
      </w:r>
      <w:r>
        <w:rPr>
          <w:rFonts w:hint="eastAsia" w:ascii="宋体" w:hAnsi="宋体" w:eastAsia="宋体" w:cs="宋体"/>
          <w:bCs/>
          <w:color w:val="auto"/>
          <w:sz w:val="24"/>
          <w:szCs w:val="24"/>
          <w:highlight w:val="none"/>
          <w:lang w:val="en-US" w:eastAsia="zh-CN"/>
        </w:rPr>
        <w:t>合同款</w:t>
      </w:r>
      <w:r>
        <w:rPr>
          <w:rFonts w:hint="eastAsia" w:ascii="宋体" w:hAnsi="宋体" w:eastAsia="宋体" w:cs="宋体"/>
          <w:bCs/>
          <w:color w:val="auto"/>
          <w:sz w:val="24"/>
          <w:szCs w:val="24"/>
          <w:highlight w:val="none"/>
          <w:lang w:val="zh-CN"/>
        </w:rPr>
        <w:t>中扣除，不足另补。</w:t>
      </w:r>
    </w:p>
    <w:p w14:paraId="0772906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r>
        <w:rPr>
          <w:rFonts w:hint="eastAsia" w:ascii="宋体" w:hAnsi="宋体" w:eastAsia="宋体" w:cs="宋体"/>
          <w:bCs/>
          <w:color w:val="auto"/>
          <w:sz w:val="24"/>
          <w:szCs w:val="24"/>
          <w:highlight w:val="none"/>
          <w:lang w:val="zh-CN"/>
        </w:rPr>
        <w:t>其它违约行为按违约货款额</w:t>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zh-CN"/>
        </w:rPr>
        <w:t>收取违约金并赔偿经济损失。</w:t>
      </w:r>
    </w:p>
    <w:p w14:paraId="43F4977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35" w:name="_Toc13664_WPSOffice_Level1"/>
      <w:bookmarkStart w:id="436" w:name="_Toc4924_WPSOffice_Level1"/>
      <w:bookmarkStart w:id="437" w:name="_Toc31682_WPSOffice_Level1"/>
      <w:bookmarkStart w:id="438" w:name="_Toc2021_WPSOffice_Level1"/>
      <w:bookmarkStart w:id="439" w:name="_Toc29473_WPSOffice_Level1"/>
      <w:bookmarkStart w:id="440" w:name="_Toc2639_WPSOffice_Level1"/>
      <w:r>
        <w:rPr>
          <w:rFonts w:hint="eastAsia" w:ascii="宋体" w:hAnsi="宋体" w:eastAsia="宋体" w:cs="宋体"/>
          <w:bCs/>
          <w:color w:val="auto"/>
          <w:sz w:val="24"/>
          <w:szCs w:val="24"/>
          <w:highlight w:val="none"/>
          <w:lang w:val="zh-CN"/>
        </w:rPr>
        <w:t>七、不可抗力</w:t>
      </w:r>
      <w:bookmarkEnd w:id="435"/>
      <w:bookmarkEnd w:id="436"/>
      <w:bookmarkEnd w:id="437"/>
      <w:bookmarkEnd w:id="438"/>
      <w:bookmarkEnd w:id="439"/>
      <w:bookmarkEnd w:id="440"/>
    </w:p>
    <w:p w14:paraId="0BA73AB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不可抗力使合同的某些内容有变更必要的，双方应通过协商在</w:t>
      </w:r>
      <w:r>
        <w:rPr>
          <w:rFonts w:hint="eastAsia" w:ascii="宋体" w:hAnsi="宋体" w:eastAsia="宋体" w:cs="宋体"/>
          <w:bCs/>
          <w:color w:val="auto"/>
          <w:sz w:val="24"/>
          <w:szCs w:val="24"/>
          <w:highlight w:val="none"/>
          <w:lang w:val="en-US" w:eastAsia="zh-CN"/>
        </w:rPr>
        <w:t>___</w:t>
      </w:r>
      <w:r>
        <w:rPr>
          <w:rFonts w:hint="eastAsia" w:ascii="宋体" w:hAnsi="宋体" w:eastAsia="宋体" w:cs="宋体"/>
          <w:bCs/>
          <w:color w:val="auto"/>
          <w:sz w:val="24"/>
          <w:szCs w:val="24"/>
          <w:highlight w:val="none"/>
          <w:lang w:val="zh-CN"/>
        </w:rPr>
        <w:t>天内达成进一步履行合同的协议，因不可抗力致使合同不能履行的，合同终止。</w:t>
      </w:r>
    </w:p>
    <w:p w14:paraId="0F7D7291">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除法律、法规规定的不可抗力情形外，双方约定出现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lang w:val="zh-CN"/>
        </w:rPr>
        <w:t>情况亦视为不可抗力。</w:t>
      </w:r>
    </w:p>
    <w:p w14:paraId="1D72B5F1">
      <w:pPr>
        <w:widowControl w:val="0"/>
        <w:wordWrap/>
        <w:adjustRightInd w:val="0"/>
        <w:snapToGrid w:val="0"/>
        <w:spacing w:line="480" w:lineRule="auto"/>
        <w:ind w:firstLine="480" w:firstLineChars="200"/>
        <w:textAlignment w:val="auto"/>
        <w:outlineLvl w:val="9"/>
        <w:rPr>
          <w:rFonts w:hint="eastAsia" w:ascii="宋体" w:hAnsi="宋体" w:eastAsia="宋体" w:cs="宋体"/>
          <w:bCs/>
          <w:color w:val="auto"/>
          <w:sz w:val="24"/>
          <w:szCs w:val="24"/>
          <w:highlight w:val="none"/>
        </w:rPr>
      </w:pPr>
      <w:bookmarkStart w:id="441" w:name="_Toc26412_WPSOffice_Level1"/>
      <w:bookmarkStart w:id="442" w:name="_Toc10383_WPSOffice_Level1"/>
      <w:bookmarkStart w:id="443" w:name="_Toc18318_WPSOffice_Level1"/>
      <w:bookmarkStart w:id="444" w:name="_Toc3848_WPSOffice_Level1"/>
      <w:bookmarkStart w:id="445" w:name="_Toc19414_WPSOffice_Level1"/>
      <w:bookmarkStart w:id="446" w:name="_Toc23622_WPSOffice_Level1"/>
      <w:r>
        <w:rPr>
          <w:rFonts w:hint="eastAsia" w:ascii="宋体" w:hAnsi="宋体" w:eastAsia="宋体" w:cs="宋体"/>
          <w:bCs/>
          <w:color w:val="auto"/>
          <w:sz w:val="24"/>
          <w:szCs w:val="24"/>
          <w:highlight w:val="none"/>
          <w:lang w:val="zh-CN"/>
        </w:rPr>
        <w:t>八、知识产权：</w:t>
      </w:r>
      <w:bookmarkEnd w:id="441"/>
      <w:bookmarkEnd w:id="442"/>
      <w:bookmarkEnd w:id="443"/>
      <w:bookmarkEnd w:id="444"/>
      <w:bookmarkEnd w:id="445"/>
      <w:bookmarkEnd w:id="446"/>
    </w:p>
    <w:p w14:paraId="76AB22F2">
      <w:pPr>
        <w:widowControl w:val="0"/>
        <w:wordWrap/>
        <w:adjustRightInd w:val="0"/>
        <w:snapToGrid w:val="0"/>
        <w:spacing w:line="480" w:lineRule="auto"/>
        <w:ind w:firstLine="480" w:firstLineChars="200"/>
        <w:textAlignment w:val="auto"/>
        <w:outlineLvl w:val="9"/>
        <w:rPr>
          <w:rFonts w:hint="eastAsia" w:ascii="宋体" w:hAnsi="宋体" w:eastAsia="宋体" w:cs="宋体"/>
          <w:bCs/>
          <w:color w:val="auto"/>
          <w:sz w:val="24"/>
          <w:szCs w:val="24"/>
          <w:highlight w:val="none"/>
        </w:rPr>
      </w:pPr>
      <w:bookmarkStart w:id="447" w:name="_Toc19749_WPSOffice_Level1"/>
      <w:bookmarkStart w:id="448" w:name="_Toc2260_WPSOffice_Level1"/>
      <w:bookmarkStart w:id="449" w:name="_Toc20210_WPSOffice_Level1"/>
      <w:bookmarkStart w:id="450" w:name="_Toc19632_WPSOffice_Level1"/>
      <w:bookmarkStart w:id="451" w:name="_Toc10217_WPSOffice_Level1"/>
      <w:bookmarkStart w:id="452" w:name="_Toc13231_WPSOffice_Level1"/>
      <w:r>
        <w:rPr>
          <w:rFonts w:hint="eastAsia" w:ascii="宋体" w:hAnsi="宋体" w:eastAsia="宋体" w:cs="宋体"/>
          <w:bCs/>
          <w:color w:val="auto"/>
          <w:sz w:val="24"/>
          <w:szCs w:val="24"/>
          <w:highlight w:val="none"/>
          <w:lang w:val="zh-CN"/>
        </w:rPr>
        <w:t>九、其他约定：</w:t>
      </w:r>
      <w:bookmarkEnd w:id="447"/>
      <w:bookmarkEnd w:id="448"/>
      <w:bookmarkEnd w:id="449"/>
      <w:bookmarkEnd w:id="450"/>
      <w:bookmarkEnd w:id="451"/>
      <w:bookmarkEnd w:id="452"/>
    </w:p>
    <w:p w14:paraId="427508F4">
      <w:pPr>
        <w:widowControl w:val="0"/>
        <w:wordWrap/>
        <w:adjustRightInd w:val="0"/>
        <w:snapToGrid w:val="0"/>
        <w:spacing w:line="480" w:lineRule="auto"/>
        <w:ind w:firstLine="480" w:firstLineChars="200"/>
        <w:textAlignment w:val="auto"/>
        <w:outlineLvl w:val="9"/>
        <w:rPr>
          <w:rFonts w:hint="eastAsia" w:ascii="宋体" w:hAnsi="宋体" w:eastAsia="宋体" w:cs="宋体"/>
          <w:bCs/>
          <w:color w:val="auto"/>
          <w:sz w:val="24"/>
          <w:szCs w:val="24"/>
          <w:highlight w:val="none"/>
        </w:rPr>
      </w:pPr>
      <w:bookmarkStart w:id="453" w:name="_Toc2032_WPSOffice_Level1"/>
      <w:bookmarkStart w:id="454" w:name="_Toc20133_WPSOffice_Level1"/>
      <w:bookmarkStart w:id="455" w:name="_Toc6985_WPSOffice_Level1"/>
      <w:bookmarkStart w:id="456" w:name="_Toc18552_WPSOffice_Level1"/>
      <w:bookmarkStart w:id="457" w:name="_Toc23823_WPSOffice_Level1"/>
      <w:bookmarkStart w:id="458" w:name="_Toc19521_WPSOffice_Level1"/>
      <w:r>
        <w:rPr>
          <w:rFonts w:hint="eastAsia" w:ascii="宋体" w:hAnsi="宋体" w:eastAsia="宋体" w:cs="宋体"/>
          <w:bCs/>
          <w:color w:val="auto"/>
          <w:sz w:val="24"/>
          <w:szCs w:val="24"/>
          <w:highlight w:val="none"/>
          <w:lang w:val="zh-CN"/>
        </w:rPr>
        <w:t>十、合同争议解决</w:t>
      </w:r>
      <w:bookmarkEnd w:id="453"/>
      <w:bookmarkEnd w:id="454"/>
      <w:bookmarkEnd w:id="455"/>
      <w:bookmarkEnd w:id="456"/>
      <w:bookmarkEnd w:id="457"/>
      <w:bookmarkEnd w:id="458"/>
    </w:p>
    <w:p w14:paraId="7C942B0D">
      <w:pPr>
        <w:widowControl w:val="0"/>
        <w:wordWrap/>
        <w:adjustRightInd w:val="0"/>
        <w:snapToGrid w:val="0"/>
        <w:spacing w:line="480" w:lineRule="auto"/>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因产品质量问题发生争议的，应邀请国家认可的质量检测机构进行鉴定。产品符合标准的，鉴定费由甲方承担；产品不符合标准的，鉴定费由乙方承担。</w:t>
      </w:r>
    </w:p>
    <w:p w14:paraId="183D6606">
      <w:pPr>
        <w:wordWrap/>
        <w:topLinePunct w:val="0"/>
        <w:spacing w:line="480" w:lineRule="auto"/>
        <w:ind w:firstLine="6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因履行本合同引起的或与本合同有关的争议，甲乙双方应首先通过友好协商解决，如果协商不能解决，可</w:t>
      </w:r>
      <w:r>
        <w:rPr>
          <w:rFonts w:hint="eastAsia" w:ascii="宋体" w:hAnsi="宋体" w:eastAsia="宋体" w:cs="宋体"/>
          <w:color w:val="auto"/>
          <w:sz w:val="24"/>
          <w:szCs w:val="24"/>
          <w:highlight w:val="none"/>
        </w:rPr>
        <w:t>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497768AE">
      <w:pPr>
        <w:wordWrap/>
        <w:topLinePunct w:val="0"/>
        <w:spacing w:line="480" w:lineRule="auto"/>
        <w:ind w:firstLine="6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53046ECD">
      <w:pPr>
        <w:wordWrap/>
        <w:topLinePunct w:val="0"/>
        <w:spacing w:line="480" w:lineRule="auto"/>
        <w:ind w:firstLine="6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237B2CBF">
      <w:pPr>
        <w:widowControl w:val="0"/>
        <w:wordWrap/>
        <w:adjustRightInd w:val="0"/>
        <w:snapToGrid w:val="0"/>
        <w:spacing w:line="480" w:lineRule="auto"/>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诉讼期间，本合同继续履行。</w:t>
      </w:r>
    </w:p>
    <w:p w14:paraId="4E47195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59" w:name="_Toc18713_WPSOffice_Level1"/>
      <w:bookmarkStart w:id="460" w:name="_Toc27544_WPSOffice_Level1"/>
      <w:bookmarkStart w:id="461" w:name="_Toc8439_WPSOffice_Level1"/>
      <w:bookmarkStart w:id="462" w:name="_Toc20057_WPSOffice_Level1"/>
      <w:bookmarkStart w:id="463" w:name="_Toc25759_WPSOffice_Level1"/>
      <w:bookmarkStart w:id="464" w:name="_Toc12915_WPSOffice_Level1"/>
      <w:r>
        <w:rPr>
          <w:rFonts w:hint="eastAsia" w:ascii="宋体" w:hAnsi="宋体" w:eastAsia="宋体" w:cs="宋体"/>
          <w:bCs/>
          <w:color w:val="auto"/>
          <w:sz w:val="24"/>
          <w:szCs w:val="24"/>
          <w:highlight w:val="none"/>
          <w:lang w:val="zh-CN"/>
        </w:rPr>
        <w:t>十一、合同生效及其它</w:t>
      </w:r>
      <w:r>
        <w:rPr>
          <w:rFonts w:hint="eastAsia" w:ascii="宋体" w:hAnsi="宋体" w:eastAsia="宋体" w:cs="宋体"/>
          <w:bCs/>
          <w:color w:val="auto"/>
          <w:sz w:val="24"/>
          <w:szCs w:val="24"/>
          <w:highlight w:val="none"/>
        </w:rPr>
        <w:t>：</w:t>
      </w:r>
      <w:bookmarkEnd w:id="459"/>
      <w:bookmarkEnd w:id="460"/>
      <w:bookmarkEnd w:id="461"/>
      <w:bookmarkEnd w:id="462"/>
      <w:bookmarkEnd w:id="463"/>
      <w:bookmarkEnd w:id="464"/>
    </w:p>
    <w:p w14:paraId="4048E21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65" w:name="_Toc15526_WPSOffice_Level2"/>
      <w:bookmarkStart w:id="466" w:name="_Toc20231_WPSOffice_Level2"/>
      <w:bookmarkStart w:id="467" w:name="_Toc26653_WPSOffice_Level2"/>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本合同一式六份，经双方签字，并加盖公章即为生效。</w:t>
      </w:r>
      <w:bookmarkEnd w:id="465"/>
      <w:bookmarkEnd w:id="466"/>
      <w:bookmarkEnd w:id="467"/>
    </w:p>
    <w:p w14:paraId="4C7CC44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68" w:name="_Toc11979_WPSOffice_Level2"/>
      <w:bookmarkStart w:id="469" w:name="_Toc13664_WPSOffice_Level2"/>
      <w:bookmarkStart w:id="470" w:name="_Toc16154_WPSOffice_Level2"/>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本合同未尽事宜，按《民法典》有关规定处理。</w:t>
      </w:r>
      <w:bookmarkEnd w:id="468"/>
      <w:bookmarkEnd w:id="469"/>
      <w:bookmarkEnd w:id="470"/>
    </w:p>
    <w:p w14:paraId="534E430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p>
    <w:p w14:paraId="3F6DEF1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甲方（盖章）：                       乙方（盖章）：</w:t>
      </w:r>
    </w:p>
    <w:p w14:paraId="5651942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                              地址：</w:t>
      </w:r>
    </w:p>
    <w:p w14:paraId="0AF1444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法定代表人或委托代理人：            法定代表人或委托代理人：</w:t>
      </w:r>
    </w:p>
    <w:p w14:paraId="4CF91AD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开户银行：</w:t>
      </w:r>
    </w:p>
    <w:p w14:paraId="28C882D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                          账号：</w:t>
      </w:r>
    </w:p>
    <w:p w14:paraId="6A5AD64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联系电话：</w:t>
      </w:r>
    </w:p>
    <w:p w14:paraId="798E362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签约时间：  年  月  日</w:t>
      </w:r>
    </w:p>
    <w:p w14:paraId="1ED8E3D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p>
    <w:p w14:paraId="3DBD8D7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p>
    <w:p w14:paraId="57FD56C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合同备案部门：      </w:t>
      </w:r>
    </w:p>
    <w:p w14:paraId="6442F97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p>
    <w:p w14:paraId="0A9DFE0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经办人：</w:t>
      </w:r>
    </w:p>
    <w:p w14:paraId="5FC8B36C">
      <w:pPr>
        <w:widowControl w:val="0"/>
        <w:wordWrap/>
        <w:adjustRightInd w:val="0"/>
        <w:snapToGrid w:val="0"/>
        <w:spacing w:line="560" w:lineRule="exact"/>
        <w:ind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合同备案时间：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  月  日</w:t>
      </w:r>
    </w:p>
    <w:p w14:paraId="10B066B1">
      <w:pP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7DF24480">
      <w:pPr>
        <w:widowControl w:val="0"/>
        <w:wordWrap/>
        <w:adjustRightInd w:val="0"/>
        <w:snapToGrid w:val="0"/>
        <w:spacing w:line="56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合同通用条款</w:t>
      </w:r>
    </w:p>
    <w:p w14:paraId="6E335B8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根据《民法典》、《中华人民共和国政府采购法》的规定，合同双方经协商达成一致，自愿订立本合同，遵循公平原则明确双方的权利、义务，确保双方诚实守信地履行合同。</w:t>
      </w:r>
    </w:p>
    <w:p w14:paraId="78E76A0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71" w:name="_Toc22507_WPSOffice_Level2"/>
      <w:bookmarkStart w:id="472" w:name="_Toc20198_WPSOffice_Level2"/>
      <w:bookmarkStart w:id="473" w:name="_Toc26412_WPSOffice_Level2"/>
      <w:r>
        <w:rPr>
          <w:rFonts w:hint="eastAsia" w:ascii="宋体" w:hAnsi="宋体" w:eastAsia="宋体" w:cs="宋体"/>
          <w:bCs/>
          <w:color w:val="auto"/>
          <w:sz w:val="24"/>
          <w:szCs w:val="24"/>
          <w:highlight w:val="none"/>
        </w:rPr>
        <w:t>1.定义</w:t>
      </w:r>
      <w:bookmarkEnd w:id="471"/>
      <w:bookmarkEnd w:id="472"/>
      <w:bookmarkEnd w:id="473"/>
    </w:p>
    <w:p w14:paraId="171106F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本合同中的下列术语应解释为：</w:t>
      </w:r>
    </w:p>
    <w:p w14:paraId="002D893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“合同”指甲乙双方签署的、载明的甲乙双方权利义务的协议，包括所有的附件、附录和上述文件所提到的构成合同的所有文件。</w:t>
      </w:r>
    </w:p>
    <w:p w14:paraId="44CCC61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“合同金额”指根据合同规定，乙方在正确地完全履行合同义务后甲方应付给乙方的价款。</w:t>
      </w:r>
    </w:p>
    <w:p w14:paraId="04A14571">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“合同条款”指本合同条款。</w:t>
      </w:r>
    </w:p>
    <w:p w14:paraId="08C228B1">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“货物”指乙方根据合同约定须向甲方提供的一切产品、设备、机械、仪表、备件等，包括辅助工具、使用手册等相关资料。</w:t>
      </w:r>
    </w:p>
    <w:p w14:paraId="51818B7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“服务”指根据本合同规定乙方承担与供货有关的辅助服务，如运输、保险及安装、调试、提供技术援助、培训和合同中规定乙方应承担的其它义务。</w:t>
      </w:r>
    </w:p>
    <w:p w14:paraId="107A8AA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 “甲方”指购买货物和服务的单位。</w:t>
      </w:r>
    </w:p>
    <w:p w14:paraId="212585A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 “乙方”指提供本合同条款下货物和服务的公司或其他实体。</w:t>
      </w:r>
    </w:p>
    <w:p w14:paraId="556AD78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 “现场”指合同规定货物将要运至和安装的地点。</w:t>
      </w:r>
    </w:p>
    <w:p w14:paraId="152DCE6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 “验收”指合同双方依据强制性的国家技术质量规范和合同约定，确认合同条款下的货物符合合同规定的活动。</w:t>
      </w:r>
    </w:p>
    <w:p w14:paraId="286FD0E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1.10原厂商：产品制造商或其在中国境内设立的办事或技术服务机构。除另有说明外，本合同文件所述的制造商、产品制造商、制造厂家、产品制造厂家均为原厂商。</w:t>
      </w:r>
    </w:p>
    <w:p w14:paraId="2AAD156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 原产地：指产品的生产地，或提供服务的来源地。</w:t>
      </w:r>
    </w:p>
    <w:p w14:paraId="4A92B4BE">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 “工作日”指国家法定工作日，“天”指日历天数。</w:t>
      </w:r>
    </w:p>
    <w:p w14:paraId="758778D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74" w:name="_Toc21237_WPSOffice_Level2"/>
      <w:bookmarkStart w:id="475" w:name="_Toc20210_WPSOffice_Level2"/>
      <w:bookmarkStart w:id="476" w:name="_Toc9343_WPSOffice_Level2"/>
      <w:r>
        <w:rPr>
          <w:rFonts w:hint="eastAsia" w:ascii="宋体" w:hAnsi="宋体" w:eastAsia="宋体" w:cs="宋体"/>
          <w:bCs/>
          <w:color w:val="auto"/>
          <w:sz w:val="24"/>
          <w:szCs w:val="24"/>
          <w:highlight w:val="none"/>
        </w:rPr>
        <w:t>2.技术规格要求</w:t>
      </w:r>
      <w:bookmarkEnd w:id="474"/>
      <w:bookmarkEnd w:id="475"/>
      <w:bookmarkEnd w:id="476"/>
    </w:p>
    <w:p w14:paraId="6A10E4D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 本合同条款下提交货物的技术规格要求应等于或优于谈判文件、谈判响应文件技术规格要求。若技术规格要求中无相应规定，则应符合相应的国家有关部门最新颁布的相应正式标准。</w:t>
      </w:r>
    </w:p>
    <w:p w14:paraId="6DF09B81">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乙方应向甲方提供货物及服务有关的标准的中文文本。</w:t>
      </w:r>
    </w:p>
    <w:p w14:paraId="7328D1D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 除非技术规范中另有规定，计量单位均采用中华人民共和国法定计量单位。</w:t>
      </w:r>
    </w:p>
    <w:p w14:paraId="5C138EF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77" w:name="_Toc26773_WPSOffice_Level2"/>
      <w:bookmarkStart w:id="478" w:name="_Toc23823_WPSOffice_Level2"/>
      <w:bookmarkStart w:id="479" w:name="_Toc415_WPSOffice_Level2"/>
      <w:r>
        <w:rPr>
          <w:rFonts w:hint="eastAsia" w:ascii="宋体" w:hAnsi="宋体" w:eastAsia="宋体" w:cs="宋体"/>
          <w:bCs/>
          <w:color w:val="auto"/>
          <w:sz w:val="24"/>
          <w:szCs w:val="24"/>
          <w:highlight w:val="none"/>
        </w:rPr>
        <w:t>3.合同范围</w:t>
      </w:r>
      <w:bookmarkEnd w:id="477"/>
      <w:bookmarkEnd w:id="478"/>
      <w:bookmarkEnd w:id="479"/>
    </w:p>
    <w:p w14:paraId="641C511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053012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 乙方应负责培训甲方的技术人员。</w:t>
      </w:r>
    </w:p>
    <w:p w14:paraId="3F7344B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D83472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80" w:name="_Toc27544_WPSOffice_Level2"/>
      <w:bookmarkStart w:id="481" w:name="_Toc22989_WPSOffice_Level2"/>
      <w:bookmarkStart w:id="482" w:name="_Toc1426_WPSOffice_Level2"/>
      <w:r>
        <w:rPr>
          <w:rFonts w:hint="eastAsia" w:ascii="宋体" w:hAnsi="宋体" w:eastAsia="宋体" w:cs="宋体"/>
          <w:bCs/>
          <w:color w:val="auto"/>
          <w:sz w:val="24"/>
          <w:szCs w:val="24"/>
          <w:highlight w:val="none"/>
        </w:rPr>
        <w:t>4.合同文件和资料</w:t>
      </w:r>
      <w:bookmarkEnd w:id="480"/>
      <w:bookmarkEnd w:id="481"/>
      <w:bookmarkEnd w:id="482"/>
    </w:p>
    <w:p w14:paraId="1917566E">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4.1乙方在提供仪器设备时应同时提供中文版相关的技术资料，如目录索引、图纸、操作手册、使用指南、维修指南、服务手册等。</w:t>
      </w:r>
    </w:p>
    <w:p w14:paraId="030741F8">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5FD971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83" w:name="_Toc23784_WPSOffice_Level2"/>
      <w:bookmarkStart w:id="484" w:name="_Toc14802_WPSOffice_Level2"/>
      <w:bookmarkStart w:id="485" w:name="_Toc18584_WPSOffice_Level2"/>
      <w:r>
        <w:rPr>
          <w:rFonts w:hint="eastAsia" w:ascii="宋体" w:hAnsi="宋体" w:eastAsia="宋体" w:cs="宋体"/>
          <w:bCs/>
          <w:color w:val="auto"/>
          <w:sz w:val="24"/>
          <w:szCs w:val="24"/>
          <w:highlight w:val="none"/>
        </w:rPr>
        <w:t>5.知识产权</w:t>
      </w:r>
      <w:bookmarkEnd w:id="483"/>
      <w:bookmarkEnd w:id="484"/>
      <w:bookmarkEnd w:id="485"/>
    </w:p>
    <w:p w14:paraId="0044E91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5.1乙方应保证甲方在使用该货物或其任何一部分时不受第三方提出的侵犯专利权、 著作权、商标权和工业设计权等的起诉。</w:t>
      </w:r>
    </w:p>
    <w:p w14:paraId="6083548E">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5.2任何第三方提出侵权指控，乙方须与第三方交涉并承担由此产生的一切责任、费用和经济赔偿。</w:t>
      </w:r>
    </w:p>
    <w:p w14:paraId="6104D3D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51620461">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5.4在本合同生效时已经存在并为各方合法拥有或使用的所有技术、资料和信息的知识产权，仍应属于其各自的原权利人所有或享有，另有约定的除外。</w:t>
      </w:r>
    </w:p>
    <w:p w14:paraId="476A9A9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53A2E8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86" w:name="_Toc25026_WPSOffice_Level2"/>
      <w:bookmarkStart w:id="487" w:name="_Toc22229_WPSOffice_Level2"/>
      <w:bookmarkStart w:id="488" w:name="_Toc13395_WPSOffice_Level2"/>
      <w:r>
        <w:rPr>
          <w:rFonts w:hint="eastAsia" w:ascii="宋体" w:hAnsi="宋体" w:eastAsia="宋体" w:cs="宋体"/>
          <w:bCs/>
          <w:color w:val="auto"/>
          <w:sz w:val="24"/>
          <w:szCs w:val="24"/>
          <w:highlight w:val="none"/>
        </w:rPr>
        <w:t>6.保密</w:t>
      </w:r>
      <w:bookmarkEnd w:id="486"/>
      <w:bookmarkEnd w:id="487"/>
      <w:bookmarkEnd w:id="488"/>
    </w:p>
    <w:p w14:paraId="2B1034A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43531E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6.2保密信息指任何一方因履行本合同所知悉的任何以口头、书面、图表或电子形式存在的对方信息，具体包括：</w:t>
      </w:r>
    </w:p>
    <w:p w14:paraId="33898BFE">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6.2.1任何涉及对方过去、现在或将来的商业计划、规章制度、操作规程、处理手段、财务信息；</w:t>
      </w:r>
    </w:p>
    <w:p w14:paraId="3E4DA60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6.2.2任何对方的技术措施、技术方案、软件应用及开发，硬件设备的品种、质量、数量、品牌等；</w:t>
      </w:r>
    </w:p>
    <w:p w14:paraId="0118A99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6.2.3任何对方的技术秘密或专有知识、文件 、报告、数据、客户软件、流程图、数据库、发明、知识、贸易秘密。</w:t>
      </w:r>
    </w:p>
    <w:p w14:paraId="0E313F3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6.3乙方应根据甲方的要求签署相应的保密协议，保密协议与本条款存在不一致的，以保密协议为准。</w:t>
      </w:r>
    </w:p>
    <w:p w14:paraId="0D2D8F8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89" w:name="_Toc6752_WPSOffice_Level2"/>
      <w:bookmarkStart w:id="490" w:name="_Toc23853_WPSOffice_Level2"/>
      <w:bookmarkStart w:id="491" w:name="_Toc12645_WPSOffice_Level2"/>
      <w:r>
        <w:rPr>
          <w:rFonts w:hint="eastAsia" w:ascii="宋体" w:hAnsi="宋体" w:eastAsia="宋体" w:cs="宋体"/>
          <w:bCs/>
          <w:color w:val="auto"/>
          <w:sz w:val="24"/>
          <w:szCs w:val="24"/>
          <w:highlight w:val="none"/>
        </w:rPr>
        <w:t>7. 质量保证</w:t>
      </w:r>
      <w:bookmarkEnd w:id="489"/>
      <w:bookmarkEnd w:id="490"/>
      <w:bookmarkEnd w:id="491"/>
    </w:p>
    <w:p w14:paraId="19D1A8A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92" w:name="_Toc8450_WPSOffice_Level3"/>
      <w:bookmarkStart w:id="493" w:name="_Toc26729_WPSOffice_Level3"/>
      <w:r>
        <w:rPr>
          <w:rFonts w:hint="eastAsia" w:ascii="宋体" w:hAnsi="宋体" w:eastAsia="宋体" w:cs="宋体"/>
          <w:bCs/>
          <w:color w:val="auto"/>
          <w:sz w:val="24"/>
          <w:szCs w:val="24"/>
          <w:highlight w:val="none"/>
        </w:rPr>
        <w:t>7.1货物质量保证</w:t>
      </w:r>
      <w:bookmarkEnd w:id="492"/>
      <w:bookmarkEnd w:id="493"/>
    </w:p>
    <w:p w14:paraId="55269A1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7.1.1乙方必须保证货物是全新、未使用过的，并完全符合强制性的国家技术质量规范和合同规定的质量、规格、性能和技术规范等的要求。</w:t>
      </w:r>
    </w:p>
    <w:p w14:paraId="45B77BD1">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9CDBE4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6ED157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1FB106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7.1.5 合同条款下货物的质量保证期自货物通过最终验收起算，合同另行规定除外。</w:t>
      </w:r>
    </w:p>
    <w:p w14:paraId="679665B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94" w:name="_Toc18945_WPSOffice_Level3"/>
      <w:bookmarkStart w:id="495" w:name="_Toc9593_WPSOffice_Level3"/>
      <w:r>
        <w:rPr>
          <w:rFonts w:hint="eastAsia" w:ascii="宋体" w:hAnsi="宋体" w:eastAsia="宋体" w:cs="宋体"/>
          <w:bCs/>
          <w:color w:val="auto"/>
          <w:sz w:val="24"/>
          <w:szCs w:val="24"/>
          <w:highlight w:val="none"/>
        </w:rPr>
        <w:t>7.2辅助服务质量保证</w:t>
      </w:r>
      <w:bookmarkEnd w:id="494"/>
      <w:bookmarkEnd w:id="495"/>
    </w:p>
    <w:p w14:paraId="05E5BE7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50DFA9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7.2.2乙方应保证合同条款下所提供的服务包括培训、安装指导、单机调试、系统联调和试验等，按合同规定方式进行，并保证不存在因乙方工作人员的过失、错误或疏忽而产生的缺陷。</w:t>
      </w:r>
    </w:p>
    <w:p w14:paraId="1B05D17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96" w:name="_Toc16656_WPSOffice_Level2"/>
      <w:bookmarkStart w:id="497" w:name="_Toc19930_WPSOffice_Level2"/>
      <w:bookmarkStart w:id="498" w:name="_Toc444_WPSOffice_Level2"/>
      <w:r>
        <w:rPr>
          <w:rFonts w:hint="eastAsia" w:ascii="宋体" w:hAnsi="宋体" w:eastAsia="宋体" w:cs="宋体"/>
          <w:bCs/>
          <w:color w:val="auto"/>
          <w:sz w:val="24"/>
          <w:szCs w:val="24"/>
          <w:highlight w:val="none"/>
        </w:rPr>
        <w:t>8.包装要求</w:t>
      </w:r>
      <w:bookmarkEnd w:id="496"/>
      <w:bookmarkEnd w:id="497"/>
      <w:bookmarkEnd w:id="498"/>
    </w:p>
    <w:p w14:paraId="4765FA7E">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 除合同另有约定外，乙方提供的全部货物，均应采用本行业通用的方式进行包装，且该包装应符合国家有关包装的法律、法规的规定。</w:t>
      </w:r>
    </w:p>
    <w:p w14:paraId="3B55EE4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包装应适应于远距离运输，并有良好的防潮、防震、防锈和防粗暴装卸等保护措施，以确保货物安全运抵现场。由于包装不善所引起的货物锈蚀、损坏和损失均由乙方承担。</w:t>
      </w:r>
    </w:p>
    <w:p w14:paraId="601983A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乙方应提供货物运至合同规定的最终目的地所需要的包装，以防止货物在转运中损坏或变质。</w:t>
      </w:r>
    </w:p>
    <w:p w14:paraId="5003E8CE">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 乙方所提供的货物包装均为出厂时原包装。</w:t>
      </w:r>
    </w:p>
    <w:p w14:paraId="6418005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8.4 乙方所提供货物必须附有质量合格证，装箱清单，主机、附件、各种零部件和消耗品，有清楚的与装箱单相对应的名称和编号。</w:t>
      </w:r>
    </w:p>
    <w:p w14:paraId="75853E9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8.5 货物运输中的运输费用和保险费用均由乙方承担。运输过程中的一切损失、损坏均由乙方负责。</w:t>
      </w:r>
    </w:p>
    <w:p w14:paraId="30CDF6A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499" w:name="_Toc19342_WPSOffice_Level2"/>
      <w:bookmarkStart w:id="500" w:name="_Toc9360_WPSOffice_Level2"/>
      <w:bookmarkStart w:id="501" w:name="_Toc15918_WPSOffice_Level2"/>
      <w:r>
        <w:rPr>
          <w:rFonts w:hint="eastAsia" w:ascii="宋体" w:hAnsi="宋体" w:eastAsia="宋体" w:cs="宋体"/>
          <w:bCs/>
          <w:color w:val="auto"/>
          <w:sz w:val="24"/>
          <w:szCs w:val="24"/>
          <w:highlight w:val="none"/>
        </w:rPr>
        <w:t>9. 价格</w:t>
      </w:r>
      <w:bookmarkEnd w:id="499"/>
      <w:bookmarkEnd w:id="500"/>
      <w:bookmarkEnd w:id="501"/>
    </w:p>
    <w:p w14:paraId="4D97232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10B2E7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9.2 本合同价格为固定价格，包括了乙方履行合同全过程产生的所有成本和费用以及乙方应承担的一切税费。</w:t>
      </w:r>
    </w:p>
    <w:p w14:paraId="38505C3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9.3检验费用 </w:t>
      </w:r>
    </w:p>
    <w:p w14:paraId="4F34F69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9.3.1 乙方必须负担本条款下属于乙方负责的检验、测试、调试、试运行和验收的所有费用，并负责乙方派往买方组织的检验、测试和验收人员的所有费用。</w:t>
      </w:r>
    </w:p>
    <w:p w14:paraId="45FD4E2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9.3.2 甲方按合同计划参加在乙方工厂所在地检验、测试和验收的费用全部由乙方负责并已包含在合同总价中。</w:t>
      </w:r>
    </w:p>
    <w:p w14:paraId="5EBA1DE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9.3.3甲方检验人员已到卖方所在地，测试无法依照合同进行， 而引起甲方人员延长逗留时间，所有由此产生的包括甲方人员在内的直接费用及成本由乙方承担。 </w:t>
      </w:r>
    </w:p>
    <w:p w14:paraId="2415432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02" w:name="_Toc29082_WPSOffice_Level2"/>
      <w:bookmarkStart w:id="503" w:name="_Toc13355_WPSOffice_Level2"/>
      <w:bookmarkStart w:id="504" w:name="_Toc21379_WPSOffice_Level2"/>
      <w:r>
        <w:rPr>
          <w:rFonts w:hint="eastAsia" w:ascii="宋体" w:hAnsi="宋体" w:eastAsia="宋体" w:cs="宋体"/>
          <w:bCs/>
          <w:color w:val="auto"/>
          <w:sz w:val="24"/>
          <w:szCs w:val="24"/>
          <w:highlight w:val="none"/>
        </w:rPr>
        <w:t>10.交货方式及交货日期</w:t>
      </w:r>
      <w:bookmarkEnd w:id="502"/>
      <w:bookmarkEnd w:id="503"/>
      <w:bookmarkEnd w:id="504"/>
    </w:p>
    <w:p w14:paraId="6B7A7A3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交货方式：现场交货，乙方负责办理运输和保险，将货物运抵现场。</w:t>
      </w:r>
    </w:p>
    <w:p w14:paraId="6639C66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交货日期：所有货物运抵现场并经双方开箱验收合格之日。</w:t>
      </w:r>
    </w:p>
    <w:p w14:paraId="5C7C9A7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05" w:name="_Toc8711_WPSOffice_Level2"/>
      <w:bookmarkStart w:id="506" w:name="_Toc4905_WPSOffice_Level2"/>
      <w:bookmarkStart w:id="507" w:name="_Toc22184_WPSOffice_Level2"/>
      <w:r>
        <w:rPr>
          <w:rFonts w:hint="eastAsia" w:ascii="宋体" w:hAnsi="宋体" w:eastAsia="宋体" w:cs="宋体"/>
          <w:bCs/>
          <w:color w:val="auto"/>
          <w:sz w:val="24"/>
          <w:szCs w:val="24"/>
          <w:highlight w:val="none"/>
        </w:rPr>
        <w:t>11.检验和验收</w:t>
      </w:r>
      <w:bookmarkEnd w:id="505"/>
      <w:bookmarkEnd w:id="506"/>
      <w:bookmarkEnd w:id="507"/>
    </w:p>
    <w:p w14:paraId="3D5C3FB8">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08" w:name="_Toc7309_WPSOffice_Level3"/>
      <w:bookmarkStart w:id="509" w:name="_Toc11588_WPSOffice_Level3"/>
      <w:r>
        <w:rPr>
          <w:rFonts w:hint="eastAsia" w:ascii="宋体" w:hAnsi="宋体" w:eastAsia="宋体" w:cs="宋体"/>
          <w:bCs/>
          <w:color w:val="auto"/>
          <w:sz w:val="24"/>
          <w:szCs w:val="24"/>
          <w:highlight w:val="none"/>
        </w:rPr>
        <w:t>11.1开箱验收</w:t>
      </w:r>
      <w:bookmarkEnd w:id="508"/>
      <w:bookmarkEnd w:id="509"/>
    </w:p>
    <w:p w14:paraId="44CC3C7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11.1.1货物运抵现场后，双方应及时开箱验收，并制作验收记录，以确认与本合同约定的数量、型号等是否一致。</w:t>
      </w:r>
    </w:p>
    <w:p w14:paraId="611A7DF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60E4051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0DCC3958">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10" w:name="_Toc13911_WPSOffice_Level3"/>
      <w:bookmarkStart w:id="511" w:name="_Toc26974_WPSOffice_Level3"/>
      <w:r>
        <w:rPr>
          <w:rFonts w:hint="eastAsia" w:ascii="宋体" w:hAnsi="宋体" w:eastAsia="宋体" w:cs="宋体"/>
          <w:bCs/>
          <w:color w:val="auto"/>
          <w:sz w:val="24"/>
          <w:szCs w:val="24"/>
          <w:highlight w:val="none"/>
        </w:rPr>
        <w:t>11.2  检验验收</w:t>
      </w:r>
      <w:bookmarkEnd w:id="510"/>
      <w:bookmarkEnd w:id="511"/>
    </w:p>
    <w:p w14:paraId="48D3176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11.2.1 交货完成后，乙方应及时组装、调试、试运行，按照合同专用条款规定的试运行完成后，双方及时组织对货物检验验收。合同双方均须派人参加合同要求双方参加的试验、检验。</w:t>
      </w:r>
    </w:p>
    <w:p w14:paraId="35A7299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 在具体实施合同规定的检验验收之前，乙方需提前提交相应的测试计划（包括测试程序、测试内容和检验标准、试验时间安排等）供甲方确认。</w:t>
      </w:r>
    </w:p>
    <w:p w14:paraId="32B8DA86">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11.2.3  除需甲方确认的试验验收外，乙方还应对所有检验验收测试的结果、步骤、原始数据等作妥善记录。如甲方要求，乙方应提供这些记录给买方。</w:t>
      </w:r>
    </w:p>
    <w:p w14:paraId="39DD632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11.2.4  检验测试出现全部或部分未达到本合同所约定的技术指标，甲方有权选择下列任一处理方式：</w:t>
      </w:r>
    </w:p>
    <w:p w14:paraId="4A69225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a.重新测试直至合格为止；</w:t>
      </w:r>
    </w:p>
    <w:p w14:paraId="0FED57A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b.要求乙方对货物进行免费更换，然后重新测试直至合格为止；</w:t>
      </w:r>
    </w:p>
    <w:p w14:paraId="5D778B4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无论选择何种方式，甲方因此而发生的因卖方原因引起的所有费用均由乙方负担。</w:t>
      </w:r>
    </w:p>
    <w:p w14:paraId="0B6C7C5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12" w:name="_Toc1685_WPSOffice_Level3"/>
      <w:bookmarkStart w:id="513" w:name="_Toc5393_WPSOffice_Level3"/>
      <w:r>
        <w:rPr>
          <w:rFonts w:hint="eastAsia" w:ascii="宋体" w:hAnsi="宋体" w:eastAsia="宋体" w:cs="宋体"/>
          <w:bCs/>
          <w:color w:val="auto"/>
          <w:sz w:val="24"/>
          <w:szCs w:val="24"/>
          <w:highlight w:val="none"/>
        </w:rPr>
        <w:t>11.3  使用过程检验</w:t>
      </w:r>
      <w:bookmarkEnd w:id="512"/>
      <w:bookmarkEnd w:id="513"/>
    </w:p>
    <w:p w14:paraId="4166C91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36132F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11.3.2如果合同双方对乙方提供的上述试验结果报告的解释有分歧，双方须于出现分歧后10天内给对方声明，以陈述己方的观点。声明须附有关证据。分歧应通过协商解决。</w:t>
      </w:r>
    </w:p>
    <w:p w14:paraId="3E555B6E">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14" w:name="_Toc17387_WPSOffice_Level2"/>
      <w:bookmarkStart w:id="515" w:name="_Toc10883_WPSOffice_Level2"/>
      <w:bookmarkStart w:id="516" w:name="_Toc17827_WPSOffice_Level2"/>
      <w:r>
        <w:rPr>
          <w:rFonts w:hint="eastAsia" w:ascii="宋体" w:hAnsi="宋体" w:eastAsia="宋体" w:cs="宋体"/>
          <w:bCs/>
          <w:color w:val="auto"/>
          <w:sz w:val="24"/>
          <w:szCs w:val="24"/>
          <w:highlight w:val="none"/>
        </w:rPr>
        <w:t>12.付款条件</w:t>
      </w:r>
      <w:bookmarkEnd w:id="514"/>
      <w:bookmarkEnd w:id="515"/>
      <w:bookmarkEnd w:id="516"/>
    </w:p>
    <w:p w14:paraId="52EF352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本合同条款下的付款方法和条件在“合同专用条款”中具体规定。</w:t>
      </w:r>
    </w:p>
    <w:p w14:paraId="1674882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17" w:name="_Toc24025_WPSOffice_Level2"/>
      <w:bookmarkStart w:id="518" w:name="_Toc25610_WPSOffice_Level2"/>
      <w:bookmarkStart w:id="519" w:name="_Toc8681_WPSOffice_Level2"/>
      <w:r>
        <w:rPr>
          <w:rFonts w:hint="eastAsia" w:ascii="宋体" w:hAnsi="宋体" w:eastAsia="宋体" w:cs="宋体"/>
          <w:bCs/>
          <w:color w:val="auto"/>
          <w:sz w:val="24"/>
          <w:szCs w:val="24"/>
          <w:highlight w:val="none"/>
        </w:rPr>
        <w:t>13.履约保证金</w:t>
      </w:r>
      <w:bookmarkEnd w:id="517"/>
      <w:bookmarkEnd w:id="518"/>
      <w:bookmarkEnd w:id="519"/>
    </w:p>
    <w:p w14:paraId="69534EC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20" w:name="_Toc2215_WPSOffice_Level2"/>
      <w:bookmarkStart w:id="521" w:name="_Toc21607_WPSOffice_Level2"/>
      <w:bookmarkStart w:id="522" w:name="_Toc13321_WPSOffice_Level2"/>
      <w:r>
        <w:rPr>
          <w:rFonts w:hint="eastAsia" w:ascii="宋体" w:hAnsi="宋体" w:eastAsia="宋体" w:cs="宋体"/>
          <w:bCs/>
          <w:color w:val="auto"/>
          <w:sz w:val="24"/>
          <w:szCs w:val="24"/>
          <w:highlight w:val="none"/>
        </w:rPr>
        <w:t>14.索赔</w:t>
      </w:r>
      <w:bookmarkEnd w:id="520"/>
      <w:bookmarkEnd w:id="521"/>
      <w:bookmarkEnd w:id="522"/>
    </w:p>
    <w:p w14:paraId="187E2B44">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B3937FE">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14.2在履约保证期和检验期内，乙方对甲方提出的索赔负有责任，乙方应按照甲方同意的下列一种或多种方式解决索赔事宜：</w:t>
      </w:r>
    </w:p>
    <w:p w14:paraId="205D61E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EB7D48F">
      <w:pPr>
        <w:widowControl w:val="0"/>
        <w:wordWrap/>
        <w:adjustRightInd w:val="0"/>
        <w:snapToGrid w:val="0"/>
        <w:spacing w:line="560" w:lineRule="exact"/>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14.2.2根据货物低劣程度、损坏程度以及甲方所遭受损失的数额，经甲乙双方商定降低货物的价格，或由有资质的中介机构评估，以降低后的价格或评估价格为准。</w:t>
      </w:r>
    </w:p>
    <w:p w14:paraId="5396CD9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E2C082C">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14.3乙方收到甲方发出的索赔通知之日起5个工作日内未作答复的，甲方可从合同款或履约保证金中扣回索赔金额，如金额不足以补偿索赔金额，乙方应补足差额部分。</w:t>
      </w:r>
    </w:p>
    <w:p w14:paraId="2562E73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23" w:name="_Toc14292_WPSOffice_Level2"/>
      <w:bookmarkStart w:id="524" w:name="_Toc6747_WPSOffice_Level2"/>
      <w:bookmarkStart w:id="525" w:name="_Toc17056_WPSOffice_Level2"/>
      <w:r>
        <w:rPr>
          <w:rFonts w:hint="eastAsia" w:ascii="宋体" w:hAnsi="宋体" w:eastAsia="宋体" w:cs="宋体"/>
          <w:bCs/>
          <w:color w:val="auto"/>
          <w:sz w:val="24"/>
          <w:szCs w:val="24"/>
          <w:highlight w:val="none"/>
        </w:rPr>
        <w:t>15.迟延交货</w:t>
      </w:r>
      <w:bookmarkEnd w:id="523"/>
      <w:bookmarkEnd w:id="524"/>
      <w:bookmarkEnd w:id="525"/>
    </w:p>
    <w:p w14:paraId="42C7CE7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 乙方应按照合同约定的时间交货和提供服务。</w:t>
      </w:r>
    </w:p>
    <w:p w14:paraId="3EF174B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除不可抗力因素外，乙方迟延交货，甲方有权提出违约损失赔偿或解除合同。</w:t>
      </w:r>
    </w:p>
    <w:p w14:paraId="2B98289C">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57F4211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26" w:name="_Toc32293_WPSOffice_Level2"/>
      <w:bookmarkStart w:id="527" w:name="_Toc10642_WPSOffice_Level2"/>
      <w:bookmarkStart w:id="528" w:name="_Toc15350_WPSOffice_Level2"/>
      <w:r>
        <w:rPr>
          <w:rFonts w:hint="eastAsia" w:ascii="宋体" w:hAnsi="宋体" w:eastAsia="宋体" w:cs="宋体"/>
          <w:bCs/>
          <w:color w:val="auto"/>
          <w:sz w:val="24"/>
          <w:szCs w:val="24"/>
          <w:highlight w:val="none"/>
        </w:rPr>
        <w:t>16.违约赔偿</w:t>
      </w:r>
      <w:bookmarkEnd w:id="526"/>
      <w:bookmarkEnd w:id="527"/>
      <w:bookmarkEnd w:id="528"/>
    </w:p>
    <w:p w14:paraId="29D3D75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除不可抗力因素外，乙方没有按照合同规定的时间交货和提供服务，甲方可要求乙方支付违约金。违约金每日按合同总价款的千分之五计收。</w:t>
      </w:r>
    </w:p>
    <w:p w14:paraId="2D0058BD">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29" w:name="_Toc32484_WPSOffice_Level2"/>
      <w:bookmarkStart w:id="530" w:name="_Toc132_WPSOffice_Level2"/>
      <w:bookmarkStart w:id="531" w:name="_Toc13101_WPSOffice_Level2"/>
      <w:r>
        <w:rPr>
          <w:rFonts w:hint="eastAsia" w:ascii="宋体" w:hAnsi="宋体" w:eastAsia="宋体" w:cs="宋体"/>
          <w:bCs/>
          <w:color w:val="auto"/>
          <w:sz w:val="24"/>
          <w:szCs w:val="24"/>
          <w:highlight w:val="none"/>
        </w:rPr>
        <w:t>17.不可抗力</w:t>
      </w:r>
      <w:bookmarkEnd w:id="529"/>
      <w:bookmarkEnd w:id="530"/>
      <w:bookmarkEnd w:id="531"/>
    </w:p>
    <w:p w14:paraId="4B11A521">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17.1.双方中任何一方遭遇法律规定的不可抗力，致使合同履行受阻时，履行合同的期限应予延长，延长的期限应相当于不可抗力所影响的时间。</w:t>
      </w:r>
    </w:p>
    <w:p w14:paraId="1B7838A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17.2受事故影响的一方应在不可抗力的事故发生后以书面形式通知另一方。</w:t>
      </w:r>
    </w:p>
    <w:p w14:paraId="54369FE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17.3不可抗力使合同的某些内容有变更必要的， 双方应通过协商达成进一步履行合同的协议，因不可抗力致使合同不能履行的，合同终止。</w:t>
      </w:r>
    </w:p>
    <w:p w14:paraId="2515D3D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32" w:name="_Toc17980_WPSOffice_Level2"/>
      <w:bookmarkStart w:id="533" w:name="_Toc27502_WPSOffice_Level2"/>
      <w:bookmarkStart w:id="534" w:name="_Toc17666_WPSOffice_Level2"/>
      <w:r>
        <w:rPr>
          <w:rFonts w:hint="eastAsia" w:ascii="宋体" w:hAnsi="宋体" w:eastAsia="宋体" w:cs="宋体"/>
          <w:bCs/>
          <w:color w:val="auto"/>
          <w:sz w:val="24"/>
          <w:szCs w:val="24"/>
          <w:highlight w:val="none"/>
        </w:rPr>
        <w:t>18.税费</w:t>
      </w:r>
      <w:bookmarkEnd w:id="532"/>
      <w:bookmarkEnd w:id="533"/>
      <w:bookmarkEnd w:id="534"/>
    </w:p>
    <w:p w14:paraId="537F736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与本合同有关的一切税费均由乙方承担。</w:t>
      </w:r>
    </w:p>
    <w:p w14:paraId="187CC4C8">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35" w:name="_Toc16036_WPSOffice_Level2"/>
      <w:bookmarkStart w:id="536" w:name="_Toc27070_WPSOffice_Level2"/>
      <w:bookmarkStart w:id="537" w:name="_Toc1449_WPSOffice_Level2"/>
      <w:r>
        <w:rPr>
          <w:rFonts w:hint="eastAsia" w:ascii="宋体" w:hAnsi="宋体" w:eastAsia="宋体" w:cs="宋体"/>
          <w:bCs/>
          <w:color w:val="auto"/>
          <w:sz w:val="24"/>
          <w:szCs w:val="24"/>
          <w:highlight w:val="none"/>
        </w:rPr>
        <w:t>19.合同争议的解决</w:t>
      </w:r>
      <w:bookmarkEnd w:id="535"/>
      <w:bookmarkEnd w:id="536"/>
      <w:bookmarkEnd w:id="537"/>
    </w:p>
    <w:p w14:paraId="62B2E438">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19.1甲方和乙方由于本合同的履行而发生任何争议时，双方可先通过协商解决。</w:t>
      </w:r>
    </w:p>
    <w:p w14:paraId="6EA06A08">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19.2任何一方不愿通过协商或通过协商仍不能解决争议，则双方中任何一方均应向甲方所在地人民法院起诉。</w:t>
      </w:r>
    </w:p>
    <w:p w14:paraId="40EEBE5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38" w:name="_Toc4114_WPSOffice_Level2"/>
      <w:bookmarkStart w:id="539" w:name="_Toc1645_WPSOffice_Level2"/>
      <w:bookmarkStart w:id="540" w:name="_Toc25678_WPSOffice_Level2"/>
      <w:r>
        <w:rPr>
          <w:rFonts w:hint="eastAsia" w:ascii="宋体" w:hAnsi="宋体" w:eastAsia="宋体" w:cs="宋体"/>
          <w:bCs/>
          <w:color w:val="auto"/>
          <w:sz w:val="24"/>
          <w:szCs w:val="24"/>
          <w:highlight w:val="none"/>
        </w:rPr>
        <w:t>20.违约解除合同</w:t>
      </w:r>
      <w:bookmarkEnd w:id="538"/>
      <w:bookmarkEnd w:id="539"/>
      <w:bookmarkEnd w:id="540"/>
    </w:p>
    <w:p w14:paraId="68CB528F">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20.1出现下列情形之一的，视为乙方违约。甲方可向乙方发出书面通知，部分或全部终止合同，同时保留向乙方索赔的权利。</w:t>
      </w:r>
    </w:p>
    <w:p w14:paraId="1A28553B">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20.1.1乙方未能在合同规定的限期或甲方同意延长的限期内，提供全部或部分货物的； </w:t>
      </w:r>
    </w:p>
    <w:p w14:paraId="53D09AC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20.1.2乙方未能履行合同规定的其它主要义务的；</w:t>
      </w:r>
    </w:p>
    <w:p w14:paraId="1324BB8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20.1.3乙方在本合同履行过程中有欺诈行为的。</w:t>
      </w:r>
    </w:p>
    <w:p w14:paraId="55C0CA0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AF319EC">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41" w:name="_Toc4171_WPSOffice_Level2"/>
      <w:bookmarkStart w:id="542" w:name="_Toc26055_WPSOffice_Level2"/>
      <w:bookmarkStart w:id="543" w:name="_Toc3174_WPSOffice_Level2"/>
      <w:r>
        <w:rPr>
          <w:rFonts w:hint="eastAsia" w:ascii="宋体" w:hAnsi="宋体" w:eastAsia="宋体" w:cs="宋体"/>
          <w:bCs/>
          <w:color w:val="auto"/>
          <w:sz w:val="24"/>
          <w:szCs w:val="24"/>
          <w:highlight w:val="none"/>
        </w:rPr>
        <w:t>21.破产终止合同</w:t>
      </w:r>
      <w:bookmarkEnd w:id="541"/>
      <w:bookmarkEnd w:id="542"/>
      <w:bookmarkEnd w:id="543"/>
    </w:p>
    <w:p w14:paraId="62A29589">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A949747">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44" w:name="_Toc12382_WPSOffice_Level2"/>
      <w:bookmarkStart w:id="545" w:name="_Toc6264_WPSOffice_Level2"/>
      <w:bookmarkStart w:id="546" w:name="_Toc17697_WPSOffice_Level2"/>
      <w:r>
        <w:rPr>
          <w:rFonts w:hint="eastAsia" w:ascii="宋体" w:hAnsi="宋体" w:eastAsia="宋体" w:cs="宋体"/>
          <w:bCs/>
          <w:color w:val="auto"/>
          <w:sz w:val="24"/>
          <w:szCs w:val="24"/>
          <w:highlight w:val="none"/>
        </w:rPr>
        <w:t>22.转让和分包</w:t>
      </w:r>
      <w:bookmarkEnd w:id="544"/>
      <w:bookmarkEnd w:id="545"/>
      <w:bookmarkEnd w:id="546"/>
    </w:p>
    <w:p w14:paraId="16B84551">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22.1政府采购合同不能转让。</w:t>
      </w:r>
    </w:p>
    <w:p w14:paraId="10660580">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DCDE45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47" w:name="_Toc30393_WPSOffice_Level2"/>
      <w:bookmarkStart w:id="548" w:name="_Toc32240_WPSOffice_Level2"/>
      <w:bookmarkStart w:id="549" w:name="_Toc2646_WPSOffice_Level2"/>
      <w:r>
        <w:rPr>
          <w:rFonts w:hint="eastAsia" w:ascii="宋体" w:hAnsi="宋体" w:eastAsia="宋体" w:cs="宋体"/>
          <w:bCs/>
          <w:color w:val="auto"/>
          <w:sz w:val="24"/>
          <w:szCs w:val="24"/>
          <w:highlight w:val="none"/>
        </w:rPr>
        <w:t>23.合同修改</w:t>
      </w:r>
      <w:bookmarkEnd w:id="547"/>
      <w:bookmarkEnd w:id="548"/>
      <w:bookmarkEnd w:id="549"/>
    </w:p>
    <w:p w14:paraId="22FC87B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甲方和乙方都不得擅自变更本合同，但合同继续履行将损害国家和社会公共利益的除外。如必须对合同条款进行改动时，当事人双方须共同签署书面文件，做为合同的补充。</w:t>
      </w:r>
    </w:p>
    <w:p w14:paraId="3C834262">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50" w:name="_Toc20751_WPSOffice_Level2"/>
      <w:bookmarkStart w:id="551" w:name="_Toc17115_WPSOffice_Level2"/>
      <w:bookmarkStart w:id="552" w:name="_Toc11324_WPSOffice_Level2"/>
      <w:r>
        <w:rPr>
          <w:rFonts w:hint="eastAsia" w:ascii="宋体" w:hAnsi="宋体" w:eastAsia="宋体" w:cs="宋体"/>
          <w:bCs/>
          <w:color w:val="auto"/>
          <w:sz w:val="24"/>
          <w:szCs w:val="24"/>
          <w:highlight w:val="none"/>
        </w:rPr>
        <w:t>24.通知</w:t>
      </w:r>
      <w:bookmarkEnd w:id="550"/>
      <w:bookmarkEnd w:id="551"/>
      <w:bookmarkEnd w:id="552"/>
    </w:p>
    <w:p w14:paraId="7280D4C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本合同任何一方给另一方的通知，都应以书面形式发送，而另一方也应以书面形式确认并发送到对方明确的地址。</w:t>
      </w:r>
    </w:p>
    <w:p w14:paraId="58FB9FF3">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53" w:name="_Toc11022_WPSOffice_Level2"/>
      <w:bookmarkStart w:id="554" w:name="_Toc15147_WPSOffice_Level2"/>
      <w:bookmarkStart w:id="555" w:name="_Toc11594_WPSOffice_Level2"/>
      <w:r>
        <w:rPr>
          <w:rFonts w:hint="eastAsia" w:ascii="宋体" w:hAnsi="宋体" w:eastAsia="宋体" w:cs="宋体"/>
          <w:bCs/>
          <w:color w:val="auto"/>
          <w:sz w:val="24"/>
          <w:szCs w:val="24"/>
          <w:highlight w:val="none"/>
        </w:rPr>
        <w:t>25.计量单位</w:t>
      </w:r>
      <w:bookmarkEnd w:id="553"/>
      <w:bookmarkEnd w:id="554"/>
      <w:bookmarkEnd w:id="555"/>
    </w:p>
    <w:p w14:paraId="3562AA3A">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除技术规范中另有规定外，计量单位均使用国家法定计量单位。</w:t>
      </w:r>
    </w:p>
    <w:p w14:paraId="32733195">
      <w:pPr>
        <w:widowControl w:val="0"/>
        <w:wordWrap/>
        <w:adjustRightInd w:val="0"/>
        <w:snapToGrid w:val="0"/>
        <w:spacing w:line="560" w:lineRule="exact"/>
        <w:ind w:firstLine="480" w:firstLineChars="200"/>
        <w:textAlignment w:val="auto"/>
        <w:outlineLvl w:val="9"/>
        <w:rPr>
          <w:rFonts w:hint="eastAsia" w:ascii="宋体" w:hAnsi="宋体" w:eastAsia="宋体" w:cs="宋体"/>
          <w:bCs/>
          <w:color w:val="auto"/>
          <w:sz w:val="24"/>
          <w:szCs w:val="24"/>
          <w:highlight w:val="none"/>
        </w:rPr>
      </w:pPr>
      <w:bookmarkStart w:id="556" w:name="_Toc32417_WPSOffice_Level2"/>
      <w:bookmarkStart w:id="557" w:name="_Toc24346_WPSOffice_Level2"/>
      <w:bookmarkStart w:id="558" w:name="_Toc15506_WPSOffice_Level2"/>
      <w:r>
        <w:rPr>
          <w:rFonts w:hint="eastAsia" w:ascii="宋体" w:hAnsi="宋体" w:eastAsia="宋体" w:cs="宋体"/>
          <w:bCs/>
          <w:color w:val="auto"/>
          <w:sz w:val="24"/>
          <w:szCs w:val="24"/>
          <w:highlight w:val="none"/>
        </w:rPr>
        <w:t>26.适用法律</w:t>
      </w:r>
      <w:bookmarkEnd w:id="556"/>
      <w:bookmarkEnd w:id="557"/>
      <w:bookmarkEnd w:id="558"/>
    </w:p>
    <w:p w14:paraId="30EF5771">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bCs/>
          <w:color w:val="auto"/>
          <w:sz w:val="24"/>
          <w:szCs w:val="24"/>
          <w:highlight w:val="none"/>
        </w:rPr>
        <w:t>本合同按照中华人民共和国的相关法律进行解释。</w:t>
      </w:r>
    </w:p>
    <w:sectPr>
      <w:footerReference r:id="rId7" w:type="default"/>
      <w:pgSz w:w="11906" w:h="16838"/>
      <w:pgMar w:top="1984" w:right="1417" w:bottom="1871"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AEBD7">
    <w:pPr>
      <w:spacing w:line="193" w:lineRule="auto"/>
      <w:ind w:left="4716"/>
      <w:rPr>
        <w:rFonts w:ascii="楷体" w:hAnsi="楷体" w:eastAsia="楷体" w:cs="楷体"/>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018C6">
    <w:pPr>
      <w:spacing w:line="193" w:lineRule="auto"/>
      <w:ind w:left="4716"/>
      <w:rPr>
        <w:rFonts w:ascii="楷体" w:hAnsi="楷体" w:eastAsia="楷体" w:cs="楷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44C0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844C0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4747D">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B9D4">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93B9D4">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C6F46FE9"/>
    <w:multiLevelType w:val="singleLevel"/>
    <w:tmpl w:val="C6F46FE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ZjNTUzZmY5NmJkOWJjZTA0OWNjMTgyYWIyYmI4ZTQifQ=="/>
  </w:docVars>
  <w:rsids>
    <w:rsidRoot w:val="00000000"/>
    <w:rsid w:val="003577A2"/>
    <w:rsid w:val="004F490E"/>
    <w:rsid w:val="00D46582"/>
    <w:rsid w:val="00E2415D"/>
    <w:rsid w:val="012E1555"/>
    <w:rsid w:val="01C81F50"/>
    <w:rsid w:val="02382A9E"/>
    <w:rsid w:val="03203FD6"/>
    <w:rsid w:val="03427569"/>
    <w:rsid w:val="034E722F"/>
    <w:rsid w:val="03547F3F"/>
    <w:rsid w:val="042A0CA0"/>
    <w:rsid w:val="04DF1A8A"/>
    <w:rsid w:val="05790857"/>
    <w:rsid w:val="06F37A6F"/>
    <w:rsid w:val="070B125C"/>
    <w:rsid w:val="08852948"/>
    <w:rsid w:val="08907C6B"/>
    <w:rsid w:val="08F24482"/>
    <w:rsid w:val="09DE0562"/>
    <w:rsid w:val="09FE5808"/>
    <w:rsid w:val="0E4137B5"/>
    <w:rsid w:val="0E6A7F4B"/>
    <w:rsid w:val="0F1C39FA"/>
    <w:rsid w:val="0F4B4599"/>
    <w:rsid w:val="10031C75"/>
    <w:rsid w:val="102C57CE"/>
    <w:rsid w:val="10C06C14"/>
    <w:rsid w:val="10D97CD5"/>
    <w:rsid w:val="110F7B9B"/>
    <w:rsid w:val="121D7B57"/>
    <w:rsid w:val="124A70DD"/>
    <w:rsid w:val="127C300E"/>
    <w:rsid w:val="13345697"/>
    <w:rsid w:val="13FB7F63"/>
    <w:rsid w:val="14801BD0"/>
    <w:rsid w:val="14887A48"/>
    <w:rsid w:val="15043D9D"/>
    <w:rsid w:val="16C136E5"/>
    <w:rsid w:val="173827BF"/>
    <w:rsid w:val="1757730A"/>
    <w:rsid w:val="17CD0581"/>
    <w:rsid w:val="18253800"/>
    <w:rsid w:val="19774FE9"/>
    <w:rsid w:val="1A3A5A20"/>
    <w:rsid w:val="1A9F789A"/>
    <w:rsid w:val="1B886580"/>
    <w:rsid w:val="1B96199E"/>
    <w:rsid w:val="1BE6326E"/>
    <w:rsid w:val="1D445D1E"/>
    <w:rsid w:val="1D76522A"/>
    <w:rsid w:val="1DC50FAD"/>
    <w:rsid w:val="1F4F6457"/>
    <w:rsid w:val="1FB6497F"/>
    <w:rsid w:val="20592BE1"/>
    <w:rsid w:val="207B5FAD"/>
    <w:rsid w:val="20BD5155"/>
    <w:rsid w:val="20DC7CCA"/>
    <w:rsid w:val="20E5076D"/>
    <w:rsid w:val="213C1CBD"/>
    <w:rsid w:val="21556F04"/>
    <w:rsid w:val="22471AEE"/>
    <w:rsid w:val="22596EC8"/>
    <w:rsid w:val="225B1FBA"/>
    <w:rsid w:val="23244DE0"/>
    <w:rsid w:val="23E822B1"/>
    <w:rsid w:val="24044C11"/>
    <w:rsid w:val="24EF4BA0"/>
    <w:rsid w:val="26443F66"/>
    <w:rsid w:val="27127826"/>
    <w:rsid w:val="27895B59"/>
    <w:rsid w:val="278C389C"/>
    <w:rsid w:val="279F3713"/>
    <w:rsid w:val="28AA3FD9"/>
    <w:rsid w:val="28CF4308"/>
    <w:rsid w:val="28DD12D5"/>
    <w:rsid w:val="28ED3EC6"/>
    <w:rsid w:val="2A7E3970"/>
    <w:rsid w:val="2B0B40D0"/>
    <w:rsid w:val="2B391645"/>
    <w:rsid w:val="2C1D1163"/>
    <w:rsid w:val="2C844B41"/>
    <w:rsid w:val="2DB448F3"/>
    <w:rsid w:val="2E383E35"/>
    <w:rsid w:val="2E5B782A"/>
    <w:rsid w:val="2EC47989"/>
    <w:rsid w:val="2EE31FF3"/>
    <w:rsid w:val="2F1841FF"/>
    <w:rsid w:val="2FC968D4"/>
    <w:rsid w:val="30085A89"/>
    <w:rsid w:val="30297EDA"/>
    <w:rsid w:val="308148B4"/>
    <w:rsid w:val="30FC6AC8"/>
    <w:rsid w:val="316B4522"/>
    <w:rsid w:val="31E137FB"/>
    <w:rsid w:val="324B563C"/>
    <w:rsid w:val="329B4993"/>
    <w:rsid w:val="33397A7C"/>
    <w:rsid w:val="349079A6"/>
    <w:rsid w:val="34E16FD5"/>
    <w:rsid w:val="35A3072E"/>
    <w:rsid w:val="35A40002"/>
    <w:rsid w:val="37492C0F"/>
    <w:rsid w:val="37593E34"/>
    <w:rsid w:val="37FF14C6"/>
    <w:rsid w:val="39154CE7"/>
    <w:rsid w:val="39237490"/>
    <w:rsid w:val="3A371445"/>
    <w:rsid w:val="3BB75F77"/>
    <w:rsid w:val="3D074F1E"/>
    <w:rsid w:val="3D64137B"/>
    <w:rsid w:val="3D7604D6"/>
    <w:rsid w:val="3E3B0CFD"/>
    <w:rsid w:val="3E3C1720"/>
    <w:rsid w:val="3E810EE1"/>
    <w:rsid w:val="3EEF0041"/>
    <w:rsid w:val="3F3917BB"/>
    <w:rsid w:val="3F7E18C4"/>
    <w:rsid w:val="3FAF7CCF"/>
    <w:rsid w:val="40423C86"/>
    <w:rsid w:val="40CB0B39"/>
    <w:rsid w:val="41055DF9"/>
    <w:rsid w:val="41913A90"/>
    <w:rsid w:val="4191768D"/>
    <w:rsid w:val="42D53EF1"/>
    <w:rsid w:val="455C4E97"/>
    <w:rsid w:val="4760647F"/>
    <w:rsid w:val="48074B22"/>
    <w:rsid w:val="488B2930"/>
    <w:rsid w:val="488E2B78"/>
    <w:rsid w:val="493279A7"/>
    <w:rsid w:val="49FA168E"/>
    <w:rsid w:val="4A266DE0"/>
    <w:rsid w:val="4A6E2C61"/>
    <w:rsid w:val="4A9B3185"/>
    <w:rsid w:val="4AAC42AB"/>
    <w:rsid w:val="4AC7411F"/>
    <w:rsid w:val="4B6F7661"/>
    <w:rsid w:val="4C017B05"/>
    <w:rsid w:val="4C416153"/>
    <w:rsid w:val="4CB30DFF"/>
    <w:rsid w:val="4D5A3970"/>
    <w:rsid w:val="4D810EFD"/>
    <w:rsid w:val="4DFF1E22"/>
    <w:rsid w:val="4E033B3A"/>
    <w:rsid w:val="4E695F60"/>
    <w:rsid w:val="4E82436A"/>
    <w:rsid w:val="4E9702AC"/>
    <w:rsid w:val="4E9C43BD"/>
    <w:rsid w:val="506D5769"/>
    <w:rsid w:val="518A601C"/>
    <w:rsid w:val="51A056CA"/>
    <w:rsid w:val="51D535C6"/>
    <w:rsid w:val="5234180D"/>
    <w:rsid w:val="523A0405"/>
    <w:rsid w:val="525564B4"/>
    <w:rsid w:val="52F91653"/>
    <w:rsid w:val="541008E5"/>
    <w:rsid w:val="547A0454"/>
    <w:rsid w:val="54A454D1"/>
    <w:rsid w:val="54B276D2"/>
    <w:rsid w:val="55A51501"/>
    <w:rsid w:val="5721105B"/>
    <w:rsid w:val="57BD5228"/>
    <w:rsid w:val="58C27C93"/>
    <w:rsid w:val="58F24A5D"/>
    <w:rsid w:val="592941F7"/>
    <w:rsid w:val="59A815C0"/>
    <w:rsid w:val="59B83F8F"/>
    <w:rsid w:val="5A0A04CC"/>
    <w:rsid w:val="5A1520F5"/>
    <w:rsid w:val="5A272E2C"/>
    <w:rsid w:val="5AD540BC"/>
    <w:rsid w:val="5B386973"/>
    <w:rsid w:val="5B557525"/>
    <w:rsid w:val="5BA26C0E"/>
    <w:rsid w:val="5C317F92"/>
    <w:rsid w:val="5C593045"/>
    <w:rsid w:val="5D086F45"/>
    <w:rsid w:val="5E565A8E"/>
    <w:rsid w:val="5F3538F6"/>
    <w:rsid w:val="5F4C17B4"/>
    <w:rsid w:val="5FA664C5"/>
    <w:rsid w:val="61A84525"/>
    <w:rsid w:val="61C03290"/>
    <w:rsid w:val="61D57F72"/>
    <w:rsid w:val="622C06E7"/>
    <w:rsid w:val="62FE47C5"/>
    <w:rsid w:val="635602DE"/>
    <w:rsid w:val="63A66B70"/>
    <w:rsid w:val="6417181C"/>
    <w:rsid w:val="64430863"/>
    <w:rsid w:val="64B83223"/>
    <w:rsid w:val="64DA6063"/>
    <w:rsid w:val="654C3747"/>
    <w:rsid w:val="678C2521"/>
    <w:rsid w:val="67BB4BB4"/>
    <w:rsid w:val="691D5B26"/>
    <w:rsid w:val="697A53E9"/>
    <w:rsid w:val="69BA3375"/>
    <w:rsid w:val="6A464C09"/>
    <w:rsid w:val="6A516F9F"/>
    <w:rsid w:val="6A852987"/>
    <w:rsid w:val="6B4B624F"/>
    <w:rsid w:val="6B6E1BA9"/>
    <w:rsid w:val="6B9D4CFC"/>
    <w:rsid w:val="6C411B2C"/>
    <w:rsid w:val="6C992679"/>
    <w:rsid w:val="6CA75666"/>
    <w:rsid w:val="6CF26DCF"/>
    <w:rsid w:val="6D147240"/>
    <w:rsid w:val="6D156B14"/>
    <w:rsid w:val="6D8C5028"/>
    <w:rsid w:val="6DF20BCA"/>
    <w:rsid w:val="6E070B53"/>
    <w:rsid w:val="70237430"/>
    <w:rsid w:val="703419A7"/>
    <w:rsid w:val="70D42060"/>
    <w:rsid w:val="715776FB"/>
    <w:rsid w:val="717958C4"/>
    <w:rsid w:val="72152690"/>
    <w:rsid w:val="73685BF0"/>
    <w:rsid w:val="73BA5539"/>
    <w:rsid w:val="74216B2C"/>
    <w:rsid w:val="7487654A"/>
    <w:rsid w:val="74B82BA7"/>
    <w:rsid w:val="74DE63C8"/>
    <w:rsid w:val="75210568"/>
    <w:rsid w:val="76380EEA"/>
    <w:rsid w:val="76B92D89"/>
    <w:rsid w:val="77E36D08"/>
    <w:rsid w:val="784F737E"/>
    <w:rsid w:val="786E0677"/>
    <w:rsid w:val="78890AD0"/>
    <w:rsid w:val="78DB4596"/>
    <w:rsid w:val="7935295F"/>
    <w:rsid w:val="79964C2E"/>
    <w:rsid w:val="7ACC4D58"/>
    <w:rsid w:val="7B164183"/>
    <w:rsid w:val="7B761506"/>
    <w:rsid w:val="7B871525"/>
    <w:rsid w:val="7CC61BD9"/>
    <w:rsid w:val="7CF92FB6"/>
    <w:rsid w:val="7E620066"/>
    <w:rsid w:val="7ED607F9"/>
    <w:rsid w:val="7F595A81"/>
    <w:rsid w:val="7FDC28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jc w:val="center"/>
      <w:outlineLvl w:val="0"/>
    </w:pPr>
    <w:rPr>
      <w:b/>
      <w:bCs/>
      <w:sz w:val="24"/>
      <w:szCs w:val="20"/>
    </w:rPr>
  </w:style>
  <w:style w:type="paragraph" w:styleId="3">
    <w:name w:val="heading 2"/>
    <w:basedOn w:val="1"/>
    <w:next w:val="1"/>
    <w:autoRedefine/>
    <w:qFormat/>
    <w:uiPriority w:val="0"/>
    <w:pPr>
      <w:keepNext/>
      <w:keepLines/>
      <w:spacing w:line="360" w:lineRule="auto"/>
      <w:jc w:val="left"/>
      <w:outlineLvl w:val="1"/>
    </w:pPr>
    <w:rPr>
      <w:rFonts w:ascii="Arial" w:hAnsi="Arial" w:eastAsia="宋体" w:cs="Times New Roman"/>
      <w:b/>
      <w:bCs/>
      <w:iCs/>
      <w:sz w:val="24"/>
      <w:szCs w:val="32"/>
    </w:rPr>
  </w:style>
  <w:style w:type="paragraph" w:styleId="4">
    <w:name w:val="heading 4"/>
    <w:basedOn w:val="1"/>
    <w:next w:val="1"/>
    <w:autoRedefine/>
    <w:qFormat/>
    <w:uiPriority w:val="9"/>
    <w:pPr>
      <w:keepNext/>
      <w:keepLines/>
      <w:spacing w:before="280" w:after="290" w:line="376" w:lineRule="auto"/>
      <w:outlineLvl w:val="3"/>
    </w:pPr>
    <w:rPr>
      <w:rFonts w:ascii="Times New Roman" w:hAnsi="Times New Roman" w:cs="Times New Roman"/>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120" w:line="240" w:lineRule="auto"/>
      <w:ind w:firstLine="0" w:firstLineChars="0"/>
    </w:pPr>
    <w:rPr>
      <w:rFonts w:ascii="Times New Roman" w:hAnsi="Times New Roman"/>
      <w:kern w:val="2"/>
      <w:szCs w:val="24"/>
    </w:rPr>
  </w:style>
  <w:style w:type="paragraph" w:styleId="7">
    <w:name w:val="Plain Text"/>
    <w:basedOn w:val="1"/>
    <w:next w:val="8"/>
    <w:autoRedefine/>
    <w:qFormat/>
    <w:uiPriority w:val="99"/>
    <w:rPr>
      <w:rFonts w:ascii="宋体" w:hAnsi="Courier New"/>
      <w:sz w:val="21"/>
      <w:szCs w:val="21"/>
    </w:rPr>
  </w:style>
  <w:style w:type="paragraph" w:styleId="8">
    <w:name w:val="toc 1"/>
    <w:basedOn w:val="1"/>
    <w:next w:val="1"/>
    <w:autoRedefine/>
    <w:qFormat/>
    <w:uiPriority w:val="0"/>
  </w:style>
  <w:style w:type="paragraph" w:styleId="9">
    <w:name w:val="Body Text Indent"/>
    <w:basedOn w:val="1"/>
    <w:next w:val="1"/>
    <w:autoRedefine/>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autoRedefine/>
    <w:qFormat/>
    <w:uiPriority w:val="0"/>
    <w:pPr>
      <w:spacing w:before="120" w:after="120"/>
      <w:outlineLvl w:val="1"/>
    </w:pPr>
    <w:rPr>
      <w:rFonts w:ascii="Cambria" w:hAnsi="Cambria"/>
      <w:b/>
      <w:bCs/>
      <w:kern w:val="28"/>
      <w:szCs w:val="32"/>
    </w:rPr>
  </w:style>
  <w:style w:type="paragraph" w:styleId="14">
    <w:name w:val="toc 2"/>
    <w:basedOn w:val="1"/>
    <w:next w:val="1"/>
    <w:autoRedefine/>
    <w:qFormat/>
    <w:uiPriority w:val="0"/>
    <w:pPr>
      <w:ind w:left="420" w:leftChars="200"/>
    </w:pPr>
  </w:style>
  <w:style w:type="paragraph" w:styleId="15">
    <w:name w:val="Title"/>
    <w:basedOn w:val="1"/>
    <w:next w:val="1"/>
    <w:autoRedefine/>
    <w:qFormat/>
    <w:uiPriority w:val="0"/>
    <w:pPr>
      <w:spacing w:before="120" w:after="120"/>
      <w:outlineLvl w:val="0"/>
    </w:pPr>
    <w:rPr>
      <w:rFonts w:ascii="Cambria" w:hAnsi="Cambria"/>
      <w:b/>
      <w:bCs/>
      <w:sz w:val="32"/>
      <w:szCs w:val="32"/>
    </w:rPr>
  </w:style>
  <w:style w:type="paragraph" w:styleId="16">
    <w:name w:val="Body Text First Indent"/>
    <w:basedOn w:val="6"/>
    <w:next w:val="1"/>
    <w:autoRedefine/>
    <w:qFormat/>
    <w:uiPriority w:val="0"/>
    <w:pPr>
      <w:ind w:firstLine="420" w:firstLineChars="100"/>
    </w:pPr>
    <w:rPr>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autoRedefine/>
    <w:qFormat/>
    <w:uiPriority w:val="0"/>
    <w:rPr>
      <w:color w:val="0000FF"/>
      <w:u w:val="single"/>
    </w:rPr>
  </w:style>
  <w:style w:type="character" w:styleId="21">
    <w:name w:val="HTML Sample"/>
    <w:basedOn w:val="19"/>
    <w:autoRedefine/>
    <w:qFormat/>
    <w:uiPriority w:val="0"/>
    <w:rPr>
      <w:rFonts w:ascii="Courier New" w:hAnsi="Courier New"/>
    </w:rPr>
  </w:style>
  <w:style w:type="paragraph" w:customStyle="1" w:styleId="22">
    <w:name w:val="一级条标题"/>
    <w:basedOn w:val="23"/>
    <w:next w:val="24"/>
    <w:autoRedefine/>
    <w:qFormat/>
    <w:uiPriority w:val="0"/>
    <w:pPr>
      <w:spacing w:line="240" w:lineRule="auto"/>
      <w:ind w:left="420"/>
      <w:outlineLvl w:val="2"/>
    </w:pPr>
  </w:style>
  <w:style w:type="paragraph" w:customStyle="1" w:styleId="23">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4">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Paragraph"/>
    <w:basedOn w:val="1"/>
    <w:autoRedefine/>
    <w:qFormat/>
    <w:uiPriority w:val="1"/>
    <w:rPr>
      <w:rFonts w:ascii="仿宋" w:hAnsi="仿宋" w:eastAsia="仿宋" w:cs="仿宋"/>
    </w:rPr>
  </w:style>
  <w:style w:type="paragraph" w:styleId="27">
    <w:name w:val="List Paragraph"/>
    <w:basedOn w:val="1"/>
    <w:autoRedefine/>
    <w:qFormat/>
    <w:uiPriority w:val="34"/>
    <w:pPr>
      <w:ind w:firstLine="420" w:firstLineChars="200"/>
    </w:pPr>
  </w:style>
  <w:style w:type="paragraph" w:customStyle="1" w:styleId="28">
    <w:name w:val="正文-公1"/>
    <w:basedOn w:val="1"/>
    <w:autoRedefine/>
    <w:qFormat/>
    <w:uiPriority w:val="0"/>
    <w:pPr>
      <w:ind w:firstLine="200" w:firstLineChars="200"/>
    </w:pPr>
    <w:rPr>
      <w:rFonts w:ascii="Calibri" w:hAnsi="Calibri" w:cs="Calibri"/>
      <w:color w:val="000000"/>
      <w:szCs w:val="21"/>
    </w:rPr>
  </w:style>
  <w:style w:type="paragraph" w:customStyle="1" w:styleId="29">
    <w:name w:val="Plain Text"/>
    <w:basedOn w:val="1"/>
    <w:autoRedefine/>
    <w:qFormat/>
    <w:uiPriority w:val="0"/>
    <w:rPr>
      <w:rFonts w:ascii="宋体" w:hAnsi="Courier New" w:cs="宋体"/>
      <w:color w:val="000000"/>
      <w:sz w:val="21"/>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paragraph" w:customStyle="1" w:styleId="31">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32">
    <w:name w:val="Normal_5"/>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33">
    <w:name w:val="WPSOffice手动目录 2"/>
    <w:autoRedefine/>
    <w:qFormat/>
    <w:uiPriority w:val="0"/>
    <w:pPr>
      <w:ind w:leftChars="200"/>
    </w:pPr>
    <w:rPr>
      <w:rFonts w:ascii="Times New Roman" w:hAnsi="Times New Roman" w:eastAsia="宋体" w:cs="Times New Roman"/>
      <w:sz w:val="20"/>
      <w:szCs w:val="20"/>
    </w:rPr>
  </w:style>
  <w:style w:type="paragraph" w:customStyle="1" w:styleId="34">
    <w:name w:val="WPSOffice手动目录 3"/>
    <w:autoRedefine/>
    <w:qFormat/>
    <w:uiPriority w:val="0"/>
    <w:pPr>
      <w:ind w:leftChars="400"/>
    </w:pPr>
    <w:rPr>
      <w:rFonts w:ascii="Times New Roman" w:hAnsi="Times New Roman" w:eastAsia="宋体" w:cs="Times New Roman"/>
      <w:sz w:val="20"/>
      <w:szCs w:val="20"/>
    </w:rPr>
  </w:style>
  <w:style w:type="paragraph" w:customStyle="1" w:styleId="35">
    <w:name w:val="Table Text"/>
    <w:basedOn w:val="1"/>
    <w:semiHidden/>
    <w:qFormat/>
    <w:uiPriority w:val="0"/>
    <w:rPr>
      <w:rFonts w:ascii="仿宋" w:hAnsi="仿宋" w:eastAsia="仿宋" w:cs="仿宋"/>
      <w:sz w:val="24"/>
      <w:szCs w:val="24"/>
      <w:lang w:val="en-US" w:eastAsia="en-US" w:bidi="ar-SA"/>
    </w:rPr>
  </w:style>
  <w:style w:type="paragraph" w:customStyle="1" w:styleId="36">
    <w:name w:val="标准中文版式_正文"/>
    <w:basedOn w:val="1"/>
    <w:qFormat/>
    <w:uiPriority w:val="0"/>
    <w:pPr>
      <w:spacing w:before="30" w:line="360" w:lineRule="auto"/>
      <w:ind w:firstLine="200" w:firstLineChars="2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16604</Words>
  <Characters>18078</Characters>
  <TotalTime>66</TotalTime>
  <ScaleCrop>false</ScaleCrop>
  <LinksUpToDate>false</LinksUpToDate>
  <CharactersWithSpaces>19310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2022-06-16T23:17:00Z</dcterms:created>
  <dc:creator>Administrator</dc:creator>
  <cp:lastModifiedBy>୫᭄上ଫ上签ᝰ᭄ོ</cp:lastModifiedBy>
  <dcterms:modified xsi:type="dcterms:W3CDTF">2025-06-18T10:00:03Z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2022-09-16T14:10:48Z</vt:filetime>
  </property>
  <property fmtid="{D5CDD505-2E9C-101B-9397-08002B2CF9AE}" pid="4" name="KSOProductBuildVer">
    <vt:lpwstr>2052-12.1.0.21171</vt:lpwstr>
  </property>
  <property fmtid="{D5CDD505-2E9C-101B-9397-08002B2CF9AE}" pid="5" name="ICV">
    <vt:lpwstr>899870CAAA3B4C1D92686D64AA0448FC_13</vt:lpwstr>
  </property>
  <property fmtid="{D5CDD505-2E9C-101B-9397-08002B2CF9AE}" pid="6" name="KSOTemplateDocerSaveRecord">
    <vt:lpwstr>eyJoZGlkIjoiODFiMTRiNGVlZWNlM2Q5MWRmOWU0ZWVjNTY3YjNlNDciLCJ1c2VySWQiOiIxMTU1MDU0MjgzIn0=</vt:lpwstr>
  </property>
</Properties>
</file>