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710"/>
        </w:tabs>
        <w:spacing w:before="55"/>
        <w:ind w:left="330" w:right="0" w:firstLine="0"/>
        <w:jc w:val="left"/>
        <w:rPr>
          <w:sz w:val="18"/>
        </w:rPr>
      </w:pPr>
      <w:r>
        <w:rPr>
          <w:rFonts w:hint="eastAsia"/>
          <w:sz w:val="18"/>
          <w:lang w:eastAsia="zh-CN"/>
        </w:rPr>
        <w:t xml:space="preserve"> </w:t>
      </w:r>
    </w:p>
    <w:p>
      <w:pPr>
        <w:pStyle w:val="6"/>
        <w:spacing w:before="119"/>
        <w:ind w:left="330"/>
        <w:outlineLvl w:val="0"/>
        <w:rPr>
          <w:rFonts w:hint="eastAsia" w:eastAsia="宋体"/>
          <w:lang w:eastAsia="zh-CN"/>
        </w:rPr>
      </w:pPr>
      <w:bookmarkStart w:id="0" w:name="_Toc17278"/>
      <w:r>
        <w:t>项目编号：</w:t>
      </w:r>
      <w:bookmarkEnd w:id="0"/>
      <w:r>
        <w:rPr>
          <w:rFonts w:hint="eastAsia"/>
          <w:lang w:eastAsia="zh-CN"/>
        </w:rPr>
        <w:t>青海汇森竞磋（工程）2022-020S</w:t>
      </w:r>
    </w:p>
    <w:p>
      <w:pPr>
        <w:pStyle w:val="8"/>
        <w:rPr>
          <w:sz w:val="30"/>
        </w:rPr>
      </w:pPr>
    </w:p>
    <w:p>
      <w:pPr>
        <w:pStyle w:val="8"/>
        <w:rPr>
          <w:sz w:val="30"/>
        </w:rPr>
      </w:pPr>
    </w:p>
    <w:p>
      <w:pPr>
        <w:pStyle w:val="8"/>
        <w:rPr>
          <w:sz w:val="30"/>
        </w:rPr>
      </w:pPr>
    </w:p>
    <w:p>
      <w:pPr>
        <w:spacing w:before="251"/>
        <w:ind w:left="1834" w:right="2196" w:firstLine="0"/>
        <w:jc w:val="center"/>
        <w:outlineLvl w:val="0"/>
        <w:rPr>
          <w:rFonts w:hint="eastAsia" w:eastAsia="宋体"/>
          <w:sz w:val="36"/>
          <w:lang w:eastAsia="zh-CN"/>
        </w:rPr>
      </w:pPr>
      <w:bookmarkStart w:id="1" w:name="_Toc10744"/>
      <w:r>
        <w:rPr>
          <w:rFonts w:hint="eastAsia"/>
          <w:sz w:val="36"/>
          <w:lang w:eastAsia="zh-CN"/>
        </w:rPr>
        <w:t>西宁市城东区文化馆数字展厅装修工程</w:t>
      </w:r>
      <w:bookmarkEnd w:id="1"/>
    </w:p>
    <w:p>
      <w:pPr>
        <w:pStyle w:val="8"/>
        <w:rPr>
          <w:sz w:val="36"/>
        </w:rPr>
      </w:pPr>
    </w:p>
    <w:p>
      <w:pPr>
        <w:pStyle w:val="8"/>
        <w:rPr>
          <w:sz w:val="36"/>
        </w:rPr>
      </w:pPr>
    </w:p>
    <w:p>
      <w:pPr>
        <w:pStyle w:val="8"/>
        <w:rPr>
          <w:sz w:val="36"/>
        </w:rPr>
      </w:pPr>
    </w:p>
    <w:p>
      <w:pPr>
        <w:pStyle w:val="8"/>
        <w:spacing w:before="10"/>
        <w:rPr>
          <w:sz w:val="44"/>
        </w:rPr>
      </w:pPr>
    </w:p>
    <w:p>
      <w:pPr>
        <w:spacing w:before="0"/>
        <w:ind w:left="1833" w:right="2196" w:firstLine="0"/>
        <w:jc w:val="center"/>
        <w:outlineLvl w:val="0"/>
        <w:rPr>
          <w:b/>
          <w:sz w:val="96"/>
        </w:rPr>
      </w:pPr>
      <w:bookmarkStart w:id="2" w:name="竞争性磋商文件"/>
      <w:bookmarkEnd w:id="2"/>
      <w:bookmarkStart w:id="3" w:name="_Toc17613"/>
      <w:r>
        <w:rPr>
          <w:b/>
          <w:w w:val="95"/>
          <w:sz w:val="96"/>
        </w:rPr>
        <w:t>竞争性磋商文件</w:t>
      </w:r>
      <w:bookmarkEnd w:id="3"/>
    </w:p>
    <w:p>
      <w:pPr>
        <w:pStyle w:val="8"/>
        <w:rPr>
          <w:b/>
          <w:sz w:val="96"/>
        </w:rPr>
      </w:pPr>
    </w:p>
    <w:p>
      <w:pPr>
        <w:pStyle w:val="8"/>
        <w:rPr>
          <w:b/>
          <w:sz w:val="96"/>
        </w:rPr>
      </w:pPr>
    </w:p>
    <w:p>
      <w:pPr>
        <w:pStyle w:val="8"/>
        <w:spacing w:before="6"/>
        <w:rPr>
          <w:b/>
          <w:sz w:val="116"/>
        </w:rPr>
      </w:pPr>
    </w:p>
    <w:p>
      <w:pPr>
        <w:pStyle w:val="6"/>
        <w:tabs>
          <w:tab w:val="left" w:pos="1669"/>
          <w:tab w:val="left" w:pos="2418"/>
        </w:tabs>
        <w:spacing w:line="364" w:lineRule="auto"/>
        <w:ind w:left="918" w:right="4226"/>
        <w:jc w:val="center"/>
        <w:outlineLvl w:val="0"/>
        <w:rPr>
          <w:rFonts w:hint="eastAsia"/>
          <w:lang w:eastAsia="zh-CN"/>
        </w:rPr>
      </w:pPr>
      <w:bookmarkStart w:id="4" w:name="_Toc28595"/>
      <w:r>
        <w:t>招</w:t>
      </w:r>
      <w:r>
        <w:tab/>
      </w:r>
      <w:r>
        <w:t>标</w:t>
      </w:r>
      <w:r>
        <w:tab/>
      </w:r>
      <w:r>
        <w:t>人：</w:t>
      </w:r>
      <w:r>
        <w:rPr>
          <w:rFonts w:hint="eastAsia"/>
          <w:lang w:eastAsia="zh-CN"/>
        </w:rPr>
        <w:t>西宁市城东区文化馆</w:t>
      </w:r>
      <w:bookmarkEnd w:id="4"/>
    </w:p>
    <w:p>
      <w:pPr>
        <w:pStyle w:val="6"/>
        <w:tabs>
          <w:tab w:val="left" w:pos="1669"/>
          <w:tab w:val="left" w:pos="2418"/>
        </w:tabs>
        <w:spacing w:line="364" w:lineRule="auto"/>
        <w:ind w:left="918" w:right="4226"/>
        <w:jc w:val="center"/>
        <w:outlineLvl w:val="0"/>
      </w:pPr>
      <w:r>
        <w:rPr>
          <w:rFonts w:hint="eastAsia"/>
          <w:lang w:val="en-US" w:eastAsia="zh-CN"/>
        </w:rPr>
        <w:t xml:space="preserve">  </w:t>
      </w:r>
      <w:bookmarkStart w:id="5" w:name="_Toc2628"/>
      <w:r>
        <w:rPr>
          <w:rFonts w:hint="eastAsia"/>
          <w:lang w:val="en-US" w:eastAsia="zh-CN"/>
        </w:rPr>
        <w:t>招标</w:t>
      </w:r>
      <w:r>
        <w:t>代理机构：青海汇森招标有限公司</w:t>
      </w:r>
      <w:bookmarkEnd w:id="5"/>
    </w:p>
    <w:p>
      <w:pPr>
        <w:pStyle w:val="8"/>
        <w:rPr>
          <w:sz w:val="30"/>
        </w:rPr>
      </w:pPr>
    </w:p>
    <w:p>
      <w:pPr>
        <w:spacing w:before="237"/>
        <w:ind w:left="1834" w:right="2195" w:firstLine="0"/>
        <w:jc w:val="center"/>
        <w:rPr>
          <w:sz w:val="32"/>
        </w:rPr>
      </w:pPr>
      <w:r>
        <w:rPr>
          <w:sz w:val="32"/>
        </w:rPr>
        <w:t>2022</w:t>
      </w:r>
      <w:r>
        <w:rPr>
          <w:spacing w:val="-54"/>
          <w:sz w:val="32"/>
        </w:rPr>
        <w:t xml:space="preserve"> 年 </w:t>
      </w:r>
      <w:r>
        <w:rPr>
          <w:rFonts w:hint="eastAsia"/>
          <w:sz w:val="32"/>
          <w:lang w:val="en-US" w:eastAsia="zh-CN"/>
        </w:rPr>
        <w:t>7</w:t>
      </w:r>
      <w:r>
        <w:rPr>
          <w:spacing w:val="-41"/>
          <w:sz w:val="32"/>
        </w:rPr>
        <w:t>月</w:t>
      </w:r>
    </w:p>
    <w:p>
      <w:pPr>
        <w:spacing w:after="0"/>
        <w:jc w:val="center"/>
        <w:rPr>
          <w:sz w:val="32"/>
        </w:rPr>
        <w:sectPr>
          <w:type w:val="continuous"/>
          <w:pgSz w:w="11910" w:h="16840"/>
          <w:pgMar w:top="780" w:right="499" w:bottom="280" w:left="860" w:header="720" w:footer="720" w:gutter="0"/>
          <w:pgBorders w:offsetFrom="page">
            <w:top w:val="single" w:color="BEBEBE" w:sz="24" w:space="24"/>
            <w:left w:val="single" w:color="BEBEBE" w:sz="24" w:space="24"/>
            <w:bottom w:val="single" w:color="BEBEBE" w:sz="24" w:space="24"/>
            <w:right w:val="single" w:color="BEBEBE" w:sz="24" w:space="24"/>
          </w:pgBorders>
          <w:cols w:space="720" w:num="1"/>
        </w:sectPr>
      </w:pPr>
    </w:p>
    <w:p>
      <w:pPr>
        <w:tabs>
          <w:tab w:val="left" w:pos="7801"/>
        </w:tabs>
        <w:spacing w:before="55"/>
        <w:ind w:left="330" w:right="0" w:firstLine="0"/>
        <w:jc w:val="left"/>
        <w:rPr>
          <w:sz w:val="18"/>
        </w:rPr>
      </w:pPr>
      <w:r>
        <w:rPr>
          <w:rFonts w:hint="eastAsia"/>
          <w:sz w:val="18"/>
          <w:lang w:eastAsia="zh-CN"/>
        </w:rPr>
        <w:t xml:space="preserve"> </w:t>
      </w:r>
    </w:p>
    <w:sdt>
      <w:sdtPr>
        <w:rPr>
          <w:rFonts w:ascii="宋体" w:hAnsi="宋体" w:eastAsia="宋体" w:cs="宋体"/>
          <w:sz w:val="21"/>
          <w:szCs w:val="22"/>
          <w:lang w:val="zh-CN" w:eastAsia="zh-CN" w:bidi="zh-CN"/>
        </w:rPr>
        <w:id w:val="147480197"/>
        <w15:color w:val="DBDBDB"/>
        <w:docPartObj>
          <w:docPartGallery w:val="Table of Contents"/>
          <w:docPartUnique/>
        </w:docPartObj>
      </w:sdtPr>
      <w:sdtEndPr>
        <w:rPr>
          <w:rFonts w:ascii="宋体" w:hAnsi="宋体" w:eastAsia="宋体" w:cs="宋体"/>
          <w:sz w:val="21"/>
          <w:szCs w:val="22"/>
          <w:lang w:val="zh-CN" w:eastAsia="zh-CN" w:bidi="zh-CN"/>
        </w:rPr>
      </w:sdtEndPr>
      <w:sdtContent>
        <w:p>
          <w:pPr>
            <w:spacing w:before="0" w:beforeLines="0" w:after="0" w:afterLines="0" w:line="240" w:lineRule="auto"/>
            <w:ind w:left="0" w:leftChars="0" w:right="0" w:rightChars="0" w:firstLine="0" w:firstLineChars="0"/>
            <w:jc w:val="center"/>
          </w:pPr>
          <w:r>
            <w:rPr>
              <w:rFonts w:ascii="宋体" w:hAnsi="宋体" w:eastAsia="宋体"/>
              <w:sz w:val="56"/>
              <w:szCs w:val="72"/>
            </w:rPr>
            <w:t>目</w:t>
          </w:r>
          <w:r>
            <w:rPr>
              <w:rFonts w:hint="eastAsia"/>
              <w:sz w:val="56"/>
              <w:szCs w:val="72"/>
              <w:lang w:val="en-US" w:eastAsia="zh-CN"/>
            </w:rPr>
            <w:t xml:space="preserve">   </w:t>
          </w:r>
          <w:r>
            <w:rPr>
              <w:rFonts w:ascii="宋体" w:hAnsi="宋体" w:eastAsia="宋体"/>
              <w:sz w:val="56"/>
              <w:szCs w:val="72"/>
            </w:rPr>
            <w:t>录</w:t>
          </w:r>
        </w:p>
        <w:p>
          <w:pPr>
            <w:pStyle w:val="18"/>
            <w:tabs>
              <w:tab w:val="right" w:leader="dot" w:pos="10550"/>
            </w:tabs>
          </w:pPr>
          <w:r>
            <w:fldChar w:fldCharType="begin"/>
          </w:r>
          <w:r>
            <w:instrText xml:space="preserve">TOC \o "1-1" \h \u </w:instrText>
          </w:r>
          <w:r>
            <w:fldChar w:fldCharType="separate"/>
          </w:r>
        </w:p>
        <w:p>
          <w:pPr>
            <w:pStyle w:val="18"/>
            <w:tabs>
              <w:tab w:val="right" w:leader="dot" w:pos="10550"/>
            </w:tabs>
            <w:rPr>
              <w:sz w:val="40"/>
              <w:szCs w:val="40"/>
            </w:rPr>
          </w:pPr>
        </w:p>
        <w:p>
          <w:pPr>
            <w:pStyle w:val="18"/>
            <w:tabs>
              <w:tab w:val="right" w:pos="2000"/>
              <w:tab w:val="right" w:leader="dot" w:pos="10550"/>
            </w:tabs>
            <w:rPr>
              <w:sz w:val="36"/>
              <w:szCs w:val="36"/>
            </w:rPr>
          </w:pPr>
          <w:r>
            <w:rPr>
              <w:sz w:val="36"/>
              <w:szCs w:val="36"/>
            </w:rPr>
            <w:fldChar w:fldCharType="begin"/>
          </w:r>
          <w:r>
            <w:rPr>
              <w:sz w:val="36"/>
              <w:szCs w:val="36"/>
            </w:rPr>
            <w:instrText xml:space="preserve"> HYPERLINK \l _Toc17675 </w:instrText>
          </w:r>
          <w:r>
            <w:rPr>
              <w:sz w:val="36"/>
              <w:szCs w:val="36"/>
            </w:rPr>
            <w:fldChar w:fldCharType="separate"/>
          </w:r>
          <w:r>
            <w:rPr>
              <w:sz w:val="36"/>
              <w:szCs w:val="36"/>
            </w:rPr>
            <w:t>第一章</w:t>
          </w:r>
          <w:r>
            <w:rPr>
              <w:sz w:val="36"/>
              <w:szCs w:val="36"/>
            </w:rPr>
            <w:tab/>
          </w:r>
          <w:r>
            <w:rPr>
              <w:sz w:val="36"/>
              <w:szCs w:val="36"/>
            </w:rPr>
            <w:t>磋商邀请</w:t>
          </w:r>
          <w:r>
            <w:rPr>
              <w:sz w:val="36"/>
              <w:szCs w:val="36"/>
            </w:rPr>
            <w:tab/>
          </w:r>
          <w:r>
            <w:rPr>
              <w:sz w:val="36"/>
              <w:szCs w:val="36"/>
            </w:rPr>
            <w:fldChar w:fldCharType="begin"/>
          </w:r>
          <w:r>
            <w:rPr>
              <w:sz w:val="36"/>
              <w:szCs w:val="36"/>
            </w:rPr>
            <w:instrText xml:space="preserve"> PAGEREF _Toc17675 \h </w:instrText>
          </w:r>
          <w:r>
            <w:rPr>
              <w:sz w:val="36"/>
              <w:szCs w:val="36"/>
            </w:rPr>
            <w:fldChar w:fldCharType="separate"/>
          </w:r>
          <w:r>
            <w:rPr>
              <w:sz w:val="36"/>
              <w:szCs w:val="36"/>
            </w:rPr>
            <w:t>1</w:t>
          </w:r>
          <w:r>
            <w:rPr>
              <w:sz w:val="36"/>
              <w:szCs w:val="36"/>
            </w:rPr>
            <w:fldChar w:fldCharType="end"/>
          </w:r>
          <w:r>
            <w:rPr>
              <w:sz w:val="36"/>
              <w:szCs w:val="36"/>
            </w:rPr>
            <w:fldChar w:fldCharType="end"/>
          </w:r>
        </w:p>
        <w:p>
          <w:pPr>
            <w:pStyle w:val="18"/>
            <w:tabs>
              <w:tab w:val="right" w:pos="2000"/>
              <w:tab w:val="right" w:leader="dot" w:pos="10550"/>
            </w:tabs>
            <w:rPr>
              <w:sz w:val="36"/>
              <w:szCs w:val="36"/>
            </w:rPr>
          </w:pPr>
          <w:r>
            <w:rPr>
              <w:sz w:val="36"/>
              <w:szCs w:val="36"/>
            </w:rPr>
            <w:fldChar w:fldCharType="begin"/>
          </w:r>
          <w:r>
            <w:rPr>
              <w:sz w:val="36"/>
              <w:szCs w:val="36"/>
            </w:rPr>
            <w:instrText xml:space="preserve"> HYPERLINK \l _Toc22254 </w:instrText>
          </w:r>
          <w:r>
            <w:rPr>
              <w:sz w:val="36"/>
              <w:szCs w:val="36"/>
            </w:rPr>
            <w:fldChar w:fldCharType="separate"/>
          </w:r>
          <w:r>
            <w:rPr>
              <w:sz w:val="36"/>
              <w:szCs w:val="36"/>
            </w:rPr>
            <w:t>第二章</w:t>
          </w:r>
          <w:r>
            <w:rPr>
              <w:sz w:val="36"/>
              <w:szCs w:val="36"/>
            </w:rPr>
            <w:tab/>
          </w:r>
          <w:r>
            <w:rPr>
              <w:sz w:val="36"/>
              <w:szCs w:val="36"/>
            </w:rPr>
            <w:t>磋商响应人须知前附表</w:t>
          </w:r>
          <w:r>
            <w:rPr>
              <w:sz w:val="36"/>
              <w:szCs w:val="36"/>
            </w:rPr>
            <w:tab/>
          </w:r>
          <w:r>
            <w:rPr>
              <w:sz w:val="36"/>
              <w:szCs w:val="36"/>
            </w:rPr>
            <w:fldChar w:fldCharType="begin"/>
          </w:r>
          <w:r>
            <w:rPr>
              <w:sz w:val="36"/>
              <w:szCs w:val="36"/>
            </w:rPr>
            <w:instrText xml:space="preserve"> PAGEREF _Toc22254 \h </w:instrText>
          </w:r>
          <w:r>
            <w:rPr>
              <w:sz w:val="36"/>
              <w:szCs w:val="36"/>
            </w:rPr>
            <w:fldChar w:fldCharType="separate"/>
          </w:r>
          <w:r>
            <w:rPr>
              <w:sz w:val="36"/>
              <w:szCs w:val="36"/>
            </w:rPr>
            <w:t>5</w:t>
          </w:r>
          <w:r>
            <w:rPr>
              <w:sz w:val="36"/>
              <w:szCs w:val="36"/>
            </w:rPr>
            <w:fldChar w:fldCharType="end"/>
          </w:r>
          <w:r>
            <w:rPr>
              <w:sz w:val="36"/>
              <w:szCs w:val="36"/>
            </w:rPr>
            <w:fldChar w:fldCharType="end"/>
          </w:r>
        </w:p>
        <w:p>
          <w:pPr>
            <w:pStyle w:val="18"/>
            <w:tabs>
              <w:tab w:val="right" w:leader="dot" w:pos="10550"/>
            </w:tabs>
            <w:rPr>
              <w:sz w:val="36"/>
              <w:szCs w:val="36"/>
            </w:rPr>
          </w:pPr>
          <w:r>
            <w:rPr>
              <w:sz w:val="36"/>
              <w:szCs w:val="36"/>
            </w:rPr>
            <w:fldChar w:fldCharType="begin"/>
          </w:r>
          <w:r>
            <w:rPr>
              <w:sz w:val="36"/>
              <w:szCs w:val="36"/>
            </w:rPr>
            <w:instrText xml:space="preserve"> HYPERLINK \l _Toc17141 </w:instrText>
          </w:r>
          <w:r>
            <w:rPr>
              <w:sz w:val="36"/>
              <w:szCs w:val="36"/>
            </w:rPr>
            <w:fldChar w:fldCharType="separate"/>
          </w:r>
          <w:r>
            <w:rPr>
              <w:sz w:val="36"/>
              <w:szCs w:val="36"/>
            </w:rPr>
            <w:t>第三章 评审办法</w:t>
          </w:r>
          <w:r>
            <w:rPr>
              <w:sz w:val="36"/>
              <w:szCs w:val="36"/>
            </w:rPr>
            <w:tab/>
          </w:r>
          <w:r>
            <w:rPr>
              <w:sz w:val="36"/>
              <w:szCs w:val="36"/>
            </w:rPr>
            <w:fldChar w:fldCharType="begin"/>
          </w:r>
          <w:r>
            <w:rPr>
              <w:sz w:val="36"/>
              <w:szCs w:val="36"/>
            </w:rPr>
            <w:instrText xml:space="preserve"> PAGEREF _Toc17141 \h </w:instrText>
          </w:r>
          <w:r>
            <w:rPr>
              <w:sz w:val="36"/>
              <w:szCs w:val="36"/>
            </w:rPr>
            <w:fldChar w:fldCharType="separate"/>
          </w:r>
          <w:r>
            <w:rPr>
              <w:sz w:val="36"/>
              <w:szCs w:val="36"/>
            </w:rPr>
            <w:t>26</w:t>
          </w:r>
          <w:r>
            <w:rPr>
              <w:sz w:val="36"/>
              <w:szCs w:val="36"/>
            </w:rPr>
            <w:fldChar w:fldCharType="end"/>
          </w:r>
          <w:r>
            <w:rPr>
              <w:sz w:val="36"/>
              <w:szCs w:val="36"/>
            </w:rPr>
            <w:fldChar w:fldCharType="end"/>
          </w:r>
        </w:p>
        <w:p>
          <w:pPr>
            <w:pStyle w:val="18"/>
            <w:tabs>
              <w:tab w:val="right" w:leader="dot" w:pos="10550"/>
            </w:tabs>
            <w:rPr>
              <w:sz w:val="36"/>
              <w:szCs w:val="36"/>
            </w:rPr>
          </w:pPr>
          <w:r>
            <w:rPr>
              <w:sz w:val="36"/>
              <w:szCs w:val="36"/>
            </w:rPr>
            <w:fldChar w:fldCharType="begin"/>
          </w:r>
          <w:r>
            <w:rPr>
              <w:sz w:val="36"/>
              <w:szCs w:val="36"/>
            </w:rPr>
            <w:instrText xml:space="preserve"> HYPERLINK \l _Toc6272 </w:instrText>
          </w:r>
          <w:r>
            <w:rPr>
              <w:sz w:val="36"/>
              <w:szCs w:val="36"/>
            </w:rPr>
            <w:fldChar w:fldCharType="separate"/>
          </w:r>
          <w:r>
            <w:rPr>
              <w:sz w:val="36"/>
              <w:szCs w:val="36"/>
            </w:rPr>
            <w:t>第四章 合同条款及格式</w:t>
          </w:r>
          <w:r>
            <w:rPr>
              <w:sz w:val="36"/>
              <w:szCs w:val="36"/>
            </w:rPr>
            <w:tab/>
          </w:r>
          <w:r>
            <w:rPr>
              <w:sz w:val="36"/>
              <w:szCs w:val="36"/>
            </w:rPr>
            <w:fldChar w:fldCharType="begin"/>
          </w:r>
          <w:r>
            <w:rPr>
              <w:sz w:val="36"/>
              <w:szCs w:val="36"/>
            </w:rPr>
            <w:instrText xml:space="preserve"> PAGEREF _Toc6272 \h </w:instrText>
          </w:r>
          <w:r>
            <w:rPr>
              <w:sz w:val="36"/>
              <w:szCs w:val="36"/>
            </w:rPr>
            <w:fldChar w:fldCharType="separate"/>
          </w:r>
          <w:r>
            <w:rPr>
              <w:sz w:val="36"/>
              <w:szCs w:val="36"/>
            </w:rPr>
            <w:t>33</w:t>
          </w:r>
          <w:r>
            <w:rPr>
              <w:sz w:val="36"/>
              <w:szCs w:val="36"/>
            </w:rPr>
            <w:fldChar w:fldCharType="end"/>
          </w:r>
          <w:r>
            <w:rPr>
              <w:sz w:val="36"/>
              <w:szCs w:val="36"/>
            </w:rPr>
            <w:fldChar w:fldCharType="end"/>
          </w:r>
        </w:p>
        <w:p>
          <w:pPr>
            <w:pStyle w:val="18"/>
            <w:tabs>
              <w:tab w:val="right" w:pos="2000"/>
              <w:tab w:val="right" w:leader="dot" w:pos="10550"/>
            </w:tabs>
            <w:rPr>
              <w:sz w:val="36"/>
              <w:szCs w:val="36"/>
            </w:rPr>
          </w:pPr>
          <w:r>
            <w:rPr>
              <w:sz w:val="36"/>
              <w:szCs w:val="36"/>
            </w:rPr>
            <w:fldChar w:fldCharType="begin"/>
          </w:r>
          <w:r>
            <w:rPr>
              <w:sz w:val="36"/>
              <w:szCs w:val="36"/>
            </w:rPr>
            <w:instrText xml:space="preserve"> HYPERLINK \l _Toc15013 </w:instrText>
          </w:r>
          <w:r>
            <w:rPr>
              <w:sz w:val="36"/>
              <w:szCs w:val="36"/>
            </w:rPr>
            <w:fldChar w:fldCharType="separate"/>
          </w:r>
          <w:r>
            <w:rPr>
              <w:sz w:val="36"/>
              <w:szCs w:val="36"/>
            </w:rPr>
            <w:t>第五章</w:t>
          </w:r>
          <w:r>
            <w:rPr>
              <w:sz w:val="36"/>
              <w:szCs w:val="36"/>
            </w:rPr>
            <w:tab/>
          </w:r>
          <w:r>
            <w:rPr>
              <w:sz w:val="36"/>
              <w:szCs w:val="36"/>
            </w:rPr>
            <w:t>磋商响应文件格式</w:t>
          </w:r>
          <w:r>
            <w:rPr>
              <w:sz w:val="36"/>
              <w:szCs w:val="36"/>
            </w:rPr>
            <w:tab/>
          </w:r>
          <w:r>
            <w:rPr>
              <w:sz w:val="36"/>
              <w:szCs w:val="36"/>
            </w:rPr>
            <w:fldChar w:fldCharType="begin"/>
          </w:r>
          <w:r>
            <w:rPr>
              <w:sz w:val="36"/>
              <w:szCs w:val="36"/>
            </w:rPr>
            <w:instrText xml:space="preserve"> PAGEREF _Toc15013 \h </w:instrText>
          </w:r>
          <w:r>
            <w:rPr>
              <w:sz w:val="36"/>
              <w:szCs w:val="36"/>
            </w:rPr>
            <w:fldChar w:fldCharType="separate"/>
          </w:r>
          <w:r>
            <w:rPr>
              <w:sz w:val="36"/>
              <w:szCs w:val="36"/>
            </w:rPr>
            <w:t>125</w:t>
          </w:r>
          <w:r>
            <w:rPr>
              <w:sz w:val="36"/>
              <w:szCs w:val="36"/>
            </w:rPr>
            <w:fldChar w:fldCharType="end"/>
          </w:r>
          <w:r>
            <w:rPr>
              <w:sz w:val="36"/>
              <w:szCs w:val="36"/>
            </w:rPr>
            <w:fldChar w:fldCharType="end"/>
          </w:r>
        </w:p>
        <w:p>
          <w:pPr>
            <w:pStyle w:val="18"/>
            <w:tabs>
              <w:tab w:val="right" w:leader="dot" w:pos="10550"/>
            </w:tabs>
          </w:pPr>
          <w:r>
            <w:rPr>
              <w:sz w:val="36"/>
              <w:szCs w:val="36"/>
            </w:rPr>
            <w:fldChar w:fldCharType="begin"/>
          </w:r>
          <w:r>
            <w:rPr>
              <w:sz w:val="36"/>
              <w:szCs w:val="36"/>
            </w:rPr>
            <w:instrText xml:space="preserve"> HYPERLINK \l _Toc28137 </w:instrText>
          </w:r>
          <w:r>
            <w:rPr>
              <w:sz w:val="36"/>
              <w:szCs w:val="36"/>
            </w:rPr>
            <w:fldChar w:fldCharType="separate"/>
          </w:r>
          <w:r>
            <w:rPr>
              <w:sz w:val="36"/>
              <w:szCs w:val="36"/>
            </w:rPr>
            <w:t>第六章工程量清单</w:t>
          </w:r>
          <w:r>
            <w:rPr>
              <w:sz w:val="36"/>
              <w:szCs w:val="36"/>
            </w:rPr>
            <w:tab/>
          </w:r>
          <w:r>
            <w:rPr>
              <w:sz w:val="36"/>
              <w:szCs w:val="36"/>
            </w:rPr>
            <w:fldChar w:fldCharType="begin"/>
          </w:r>
          <w:r>
            <w:rPr>
              <w:sz w:val="36"/>
              <w:szCs w:val="36"/>
            </w:rPr>
            <w:instrText xml:space="preserve"> PAGEREF _Toc28137 \h </w:instrText>
          </w:r>
          <w:r>
            <w:rPr>
              <w:sz w:val="36"/>
              <w:szCs w:val="36"/>
            </w:rPr>
            <w:fldChar w:fldCharType="separate"/>
          </w:r>
          <w:r>
            <w:rPr>
              <w:sz w:val="36"/>
              <w:szCs w:val="36"/>
            </w:rPr>
            <w:t>176</w:t>
          </w:r>
          <w:r>
            <w:rPr>
              <w:sz w:val="36"/>
              <w:szCs w:val="36"/>
            </w:rPr>
            <w:fldChar w:fldCharType="end"/>
          </w:r>
          <w:r>
            <w:rPr>
              <w:sz w:val="36"/>
              <w:szCs w:val="36"/>
            </w:rPr>
            <w:fldChar w:fldCharType="end"/>
          </w:r>
        </w:p>
        <w:p>
          <w:pPr>
            <w:sectPr>
              <w:footerReference r:id="rId5" w:type="default"/>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pgNumType w:start="1"/>
              <w:cols w:space="720" w:num="1"/>
            </w:sectPr>
          </w:pPr>
          <w:r>
            <w:fldChar w:fldCharType="end"/>
          </w:r>
        </w:p>
      </w:sdtContent>
    </w:sdt>
    <w:p/>
    <w:p>
      <w:pPr>
        <w:tabs>
          <w:tab w:val="left" w:pos="7422"/>
        </w:tabs>
        <w:spacing w:before="44"/>
        <w:ind w:left="388" w:right="0" w:firstLine="0"/>
        <w:jc w:val="left"/>
        <w:rPr>
          <w:sz w:val="21"/>
        </w:rPr>
      </w:pPr>
      <w:r>
        <w:pict>
          <v:line id="_x0000_s1031" o:spid="_x0000_s1031" o:spt="20" style="position:absolute;left:0pt;margin-left:62.4pt;margin-top:13.95pt;height:0pt;width:393.7pt;mso-position-horizontal-relative:page;z-index:251684864;mso-width-relative:page;mso-height-relative:page;" stroked="t" coordsize="21600,21600">
            <v:path arrowok="t"/>
            <v:fill focussize="0,0"/>
            <v:stroke weight="0.48pt" color="#000000"/>
            <v:imagedata o:title=""/>
            <o:lock v:ext="edit"/>
          </v:line>
        </w:pict>
      </w:r>
      <w:r>
        <w:rPr>
          <w:rFonts w:hint="eastAsia"/>
          <w:sz w:val="21"/>
          <w:lang w:eastAsia="zh-CN"/>
        </w:rPr>
        <w:t xml:space="preserve"> </w:t>
      </w:r>
    </w:p>
    <w:p>
      <w:pPr>
        <w:pStyle w:val="8"/>
        <w:spacing w:before="10"/>
        <w:rPr>
          <w:sz w:val="27"/>
        </w:rPr>
      </w:pPr>
    </w:p>
    <w:p>
      <w:pPr>
        <w:pStyle w:val="4"/>
        <w:tabs>
          <w:tab w:val="left" w:pos="1439"/>
        </w:tabs>
        <w:spacing w:before="0"/>
        <w:ind w:right="362"/>
        <w:outlineLvl w:val="0"/>
      </w:pPr>
      <w:bookmarkStart w:id="6" w:name="第一章  磋商邀请"/>
      <w:bookmarkEnd w:id="6"/>
      <w:bookmarkStart w:id="7" w:name="_Toc17675"/>
      <w:r>
        <w:t>第一章</w:t>
      </w:r>
      <w:r>
        <w:tab/>
      </w:r>
      <w:r>
        <w:t>磋商邀请</w:t>
      </w:r>
      <w:bookmarkEnd w:id="7"/>
    </w:p>
    <w:p>
      <w:pPr>
        <w:pStyle w:val="8"/>
        <w:spacing w:before="239"/>
        <w:ind w:left="868"/>
        <w:rPr>
          <w:rFonts w:hint="eastAsia" w:eastAsia="宋体"/>
          <w:lang w:eastAsia="zh-CN"/>
        </w:rPr>
      </w:pPr>
      <w:r>
        <w:t>青海汇森招标有限公司（以下均简称“采购代理机构”）受</w:t>
      </w:r>
      <w:r>
        <w:rPr>
          <w:rFonts w:hint="eastAsia"/>
          <w:lang w:eastAsia="zh-CN"/>
        </w:rPr>
        <w:t>西宁市城东区文化馆</w:t>
      </w:r>
    </w:p>
    <w:p>
      <w:pPr>
        <w:pStyle w:val="8"/>
        <w:spacing w:before="158" w:line="364" w:lineRule="auto"/>
        <w:ind w:left="388" w:right="744"/>
        <w:jc w:val="both"/>
      </w:pPr>
      <w:r>
        <w:pict>
          <v:shape id="_x0000_s1032" o:spid="_x0000_s1032" o:spt="202" type="#_x0000_t202" style="position:absolute;left:0pt;margin-left:48.55pt;margin-top:83.85pt;height:567.35pt;width:498.5pt;mso-position-horizontal-relative:page;z-index:251685888;mso-width-relative:page;mso-height-relative:page;" filled="f" stroked="f" coordsize="21600,21600">
            <v:path/>
            <v:fill on="f" focussize="0,0"/>
            <v:stroke on="f"/>
            <v:imagedata o:title=""/>
            <o:lock v:ext="edit"/>
            <v:textbox inset="0mm,0mm,0mm,0mm">
              <w:txbxContent>
                <w:tbl>
                  <w:tblPr>
                    <w:tblStyle w:val="13"/>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76"/>
                    <w:gridCol w:w="77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2176" w:type="dxa"/>
                      </w:tcPr>
                      <w:p>
                        <w:pPr>
                          <w:pStyle w:val="17"/>
                          <w:spacing w:before="1"/>
                          <w:ind w:left="107" w:right="94"/>
                          <w:jc w:val="center"/>
                          <w:rPr>
                            <w:sz w:val="24"/>
                          </w:rPr>
                        </w:pPr>
                        <w:r>
                          <w:rPr>
                            <w:sz w:val="24"/>
                          </w:rPr>
                          <w:t>采购项目编号</w:t>
                        </w:r>
                      </w:p>
                    </w:tc>
                    <w:tc>
                      <w:tcPr>
                        <w:tcW w:w="7772" w:type="dxa"/>
                      </w:tcPr>
                      <w:p>
                        <w:pPr>
                          <w:pStyle w:val="17"/>
                          <w:spacing w:before="1"/>
                          <w:ind w:left="5"/>
                          <w:rPr>
                            <w:rFonts w:hint="eastAsia" w:eastAsia="宋体"/>
                            <w:sz w:val="24"/>
                            <w:lang w:eastAsia="zh-CN"/>
                          </w:rPr>
                        </w:pPr>
                        <w:r>
                          <w:rPr>
                            <w:rFonts w:hint="eastAsia"/>
                            <w:sz w:val="24"/>
                            <w:lang w:eastAsia="zh-CN"/>
                          </w:rPr>
                          <w:t>青海汇森竞磋（工程）2022-020S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0" w:hRule="atLeast"/>
                    </w:trPr>
                    <w:tc>
                      <w:tcPr>
                        <w:tcW w:w="2176" w:type="dxa"/>
                      </w:tcPr>
                      <w:p>
                        <w:pPr>
                          <w:pStyle w:val="17"/>
                          <w:spacing w:before="14"/>
                          <w:ind w:left="107" w:right="94"/>
                          <w:jc w:val="center"/>
                          <w:rPr>
                            <w:sz w:val="24"/>
                          </w:rPr>
                        </w:pPr>
                        <w:r>
                          <w:rPr>
                            <w:sz w:val="24"/>
                          </w:rPr>
                          <w:t>采购项目名称</w:t>
                        </w:r>
                      </w:p>
                    </w:tc>
                    <w:tc>
                      <w:tcPr>
                        <w:tcW w:w="7772" w:type="dxa"/>
                      </w:tcPr>
                      <w:p>
                        <w:pPr>
                          <w:pStyle w:val="17"/>
                          <w:spacing w:before="14"/>
                          <w:ind w:left="5"/>
                          <w:rPr>
                            <w:rFonts w:hint="eastAsia" w:eastAsia="宋体"/>
                            <w:sz w:val="24"/>
                            <w:lang w:eastAsia="zh-CN"/>
                          </w:rPr>
                        </w:pPr>
                        <w:r>
                          <w:rPr>
                            <w:rFonts w:hint="eastAsia" w:eastAsia="宋体"/>
                            <w:sz w:val="24"/>
                            <w:lang w:eastAsia="zh-CN"/>
                          </w:rPr>
                          <w:t>西宁市城东区文化馆数字展厅装修工程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2176" w:type="dxa"/>
                      </w:tcPr>
                      <w:p>
                        <w:pPr>
                          <w:pStyle w:val="17"/>
                          <w:ind w:left="107" w:right="94"/>
                          <w:jc w:val="center"/>
                          <w:rPr>
                            <w:sz w:val="24"/>
                          </w:rPr>
                        </w:pPr>
                        <w:r>
                          <w:rPr>
                            <w:sz w:val="24"/>
                          </w:rPr>
                          <w:t>采购方式</w:t>
                        </w:r>
                      </w:p>
                    </w:tc>
                    <w:tc>
                      <w:tcPr>
                        <w:tcW w:w="7772" w:type="dxa"/>
                      </w:tcPr>
                      <w:p>
                        <w:pPr>
                          <w:pStyle w:val="17"/>
                          <w:ind w:left="5"/>
                          <w:rPr>
                            <w:sz w:val="24"/>
                          </w:rPr>
                        </w:pPr>
                        <w:r>
                          <w:rPr>
                            <w:sz w:val="24"/>
                          </w:rPr>
                          <w:t>竞争性磋商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2176" w:type="dxa"/>
                      </w:tcPr>
                      <w:p>
                        <w:pPr>
                          <w:pStyle w:val="17"/>
                          <w:ind w:left="107" w:right="94"/>
                          <w:jc w:val="center"/>
                          <w:rPr>
                            <w:sz w:val="24"/>
                          </w:rPr>
                        </w:pPr>
                        <w:r>
                          <w:rPr>
                            <w:sz w:val="24"/>
                          </w:rPr>
                          <w:t>采购预算控制额度</w:t>
                        </w:r>
                      </w:p>
                    </w:tc>
                    <w:tc>
                      <w:tcPr>
                        <w:tcW w:w="7772" w:type="dxa"/>
                      </w:tcPr>
                      <w:p>
                        <w:pPr>
                          <w:pStyle w:val="17"/>
                          <w:ind w:left="5"/>
                          <w:rPr>
                            <w:sz w:val="24"/>
                          </w:rPr>
                        </w:pPr>
                        <w:r>
                          <w:rPr>
                            <w:sz w:val="24"/>
                          </w:rPr>
                          <w:t xml:space="preserve">人民币 </w:t>
                        </w:r>
                        <w:r>
                          <w:rPr>
                            <w:rFonts w:hint="eastAsia"/>
                            <w:sz w:val="24"/>
                            <w:lang w:eastAsia="zh-CN"/>
                          </w:rPr>
                          <w:t>395000</w:t>
                        </w:r>
                        <w:r>
                          <w:rPr>
                            <w:sz w:val="24"/>
                          </w:rPr>
                          <w:t xml:space="preserve"> 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2176" w:type="dxa"/>
                      </w:tcPr>
                      <w:p>
                        <w:pPr>
                          <w:pStyle w:val="17"/>
                          <w:spacing w:before="2"/>
                          <w:ind w:left="107" w:right="94"/>
                          <w:jc w:val="center"/>
                          <w:rPr>
                            <w:sz w:val="24"/>
                          </w:rPr>
                        </w:pPr>
                        <w:r>
                          <w:rPr>
                            <w:sz w:val="24"/>
                          </w:rPr>
                          <w:t>项目分包个数</w:t>
                        </w:r>
                      </w:p>
                    </w:tc>
                    <w:tc>
                      <w:tcPr>
                        <w:tcW w:w="7772" w:type="dxa"/>
                      </w:tcPr>
                      <w:p>
                        <w:pPr>
                          <w:pStyle w:val="17"/>
                          <w:spacing w:before="2"/>
                          <w:ind w:left="5"/>
                          <w:rPr>
                            <w:sz w:val="24"/>
                          </w:rPr>
                        </w:pPr>
                        <w:r>
                          <w:rPr>
                            <w:sz w:val="24"/>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2176" w:type="dxa"/>
                      </w:tcPr>
                      <w:p>
                        <w:pPr>
                          <w:pStyle w:val="17"/>
                          <w:spacing w:before="2"/>
                          <w:ind w:left="107" w:right="94"/>
                          <w:jc w:val="center"/>
                          <w:rPr>
                            <w:sz w:val="24"/>
                          </w:rPr>
                        </w:pPr>
                        <w:r>
                          <w:rPr>
                            <w:sz w:val="24"/>
                          </w:rPr>
                          <w:t>项目要求</w:t>
                        </w:r>
                      </w:p>
                    </w:tc>
                    <w:tc>
                      <w:tcPr>
                        <w:tcW w:w="7772" w:type="dxa"/>
                      </w:tcPr>
                      <w:p>
                        <w:pPr>
                          <w:pStyle w:val="17"/>
                          <w:spacing w:before="2"/>
                          <w:ind w:left="5"/>
                          <w:rPr>
                            <w:sz w:val="24"/>
                          </w:rPr>
                        </w:pPr>
                        <w:r>
                          <w:rPr>
                            <w:sz w:val="24"/>
                          </w:rPr>
                          <w:t>具体内容详见《竞争性磋商文件》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9" w:hRule="atLeast"/>
                    </w:trPr>
                    <w:tc>
                      <w:tcPr>
                        <w:tcW w:w="2176" w:type="dxa"/>
                        <w:tcBorders>
                          <w:bottom w:val="nil"/>
                        </w:tcBorders>
                      </w:tcPr>
                      <w:p>
                        <w:pPr>
                          <w:pStyle w:val="17"/>
                          <w:rPr>
                            <w:rFonts w:ascii="Times New Roman"/>
                            <w:sz w:val="22"/>
                          </w:rPr>
                        </w:pPr>
                      </w:p>
                    </w:tc>
                    <w:tc>
                      <w:tcPr>
                        <w:tcW w:w="7772" w:type="dxa"/>
                        <w:tcBorders>
                          <w:bottom w:val="nil"/>
                        </w:tcBorders>
                      </w:tcPr>
                      <w:p>
                        <w:pPr>
                          <w:pStyle w:val="17"/>
                          <w:spacing w:before="2"/>
                          <w:ind w:left="5"/>
                          <w:rPr>
                            <w:sz w:val="24"/>
                          </w:rPr>
                        </w:pPr>
                        <w:r>
                          <w:rPr>
                            <w:sz w:val="24"/>
                          </w:rPr>
                          <w:t>1、符合《政府采购法》第22条条件，并提供下列材料：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2176" w:type="dxa"/>
                        <w:tcBorders>
                          <w:top w:val="nil"/>
                          <w:bottom w:val="nil"/>
                        </w:tcBorders>
                      </w:tcPr>
                      <w:p>
                        <w:pPr>
                          <w:pStyle w:val="17"/>
                          <w:rPr>
                            <w:rFonts w:ascii="Times New Roman"/>
                            <w:sz w:val="22"/>
                          </w:rPr>
                        </w:pPr>
                      </w:p>
                    </w:tc>
                    <w:tc>
                      <w:tcPr>
                        <w:tcW w:w="7772" w:type="dxa"/>
                        <w:tcBorders>
                          <w:top w:val="nil"/>
                          <w:bottom w:val="nil"/>
                        </w:tcBorders>
                      </w:tcPr>
                      <w:p>
                        <w:pPr>
                          <w:pStyle w:val="17"/>
                          <w:spacing w:before="79"/>
                          <w:ind w:left="5"/>
                          <w:rPr>
                            <w:sz w:val="24"/>
                          </w:rPr>
                        </w:pPr>
                        <w:r>
                          <w:rPr>
                            <w:sz w:val="24"/>
                          </w:rPr>
                          <w:t>1)磋商响应人的营业执照等证明文件，自然人的身份证明。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2176" w:type="dxa"/>
                        <w:tcBorders>
                          <w:top w:val="nil"/>
                          <w:bottom w:val="nil"/>
                        </w:tcBorders>
                      </w:tcPr>
                      <w:p>
                        <w:pPr>
                          <w:pStyle w:val="17"/>
                          <w:rPr>
                            <w:rFonts w:ascii="Times New Roman"/>
                            <w:sz w:val="22"/>
                          </w:rPr>
                        </w:pPr>
                      </w:p>
                    </w:tc>
                    <w:tc>
                      <w:tcPr>
                        <w:tcW w:w="7772" w:type="dxa"/>
                        <w:tcBorders>
                          <w:top w:val="nil"/>
                          <w:bottom w:val="nil"/>
                        </w:tcBorders>
                      </w:tcPr>
                      <w:p>
                        <w:pPr>
                          <w:pStyle w:val="17"/>
                          <w:spacing w:before="80"/>
                          <w:ind w:left="5"/>
                          <w:rPr>
                            <w:sz w:val="24"/>
                          </w:rPr>
                        </w:pPr>
                        <w:r>
                          <w:rPr>
                            <w:sz w:val="24"/>
                          </w:rPr>
                          <w:t>2)财务状况报告，依法缴纳税收和社会保障资金的相关材料。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2176" w:type="dxa"/>
                        <w:tcBorders>
                          <w:top w:val="nil"/>
                          <w:bottom w:val="nil"/>
                        </w:tcBorders>
                      </w:tcPr>
                      <w:p>
                        <w:pPr>
                          <w:pStyle w:val="17"/>
                          <w:rPr>
                            <w:rFonts w:ascii="Times New Roman"/>
                            <w:sz w:val="22"/>
                          </w:rPr>
                        </w:pPr>
                      </w:p>
                    </w:tc>
                    <w:tc>
                      <w:tcPr>
                        <w:tcW w:w="7772" w:type="dxa"/>
                        <w:tcBorders>
                          <w:top w:val="nil"/>
                          <w:bottom w:val="nil"/>
                        </w:tcBorders>
                      </w:tcPr>
                      <w:p>
                        <w:pPr>
                          <w:pStyle w:val="17"/>
                          <w:spacing w:before="79"/>
                          <w:ind w:left="5"/>
                          <w:rPr>
                            <w:sz w:val="24"/>
                          </w:rPr>
                        </w:pPr>
                        <w:r>
                          <w:rPr>
                            <w:sz w:val="24"/>
                          </w:rPr>
                          <w:t>3)具备履行合同所必需的设备和专业技术能力的证明材料。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2176" w:type="dxa"/>
                        <w:tcBorders>
                          <w:top w:val="nil"/>
                          <w:bottom w:val="nil"/>
                        </w:tcBorders>
                      </w:tcPr>
                      <w:p>
                        <w:pPr>
                          <w:pStyle w:val="17"/>
                          <w:rPr>
                            <w:rFonts w:ascii="Times New Roman"/>
                            <w:sz w:val="22"/>
                          </w:rPr>
                        </w:pPr>
                      </w:p>
                    </w:tc>
                    <w:tc>
                      <w:tcPr>
                        <w:tcW w:w="7772" w:type="dxa"/>
                        <w:tcBorders>
                          <w:top w:val="nil"/>
                          <w:bottom w:val="nil"/>
                        </w:tcBorders>
                      </w:tcPr>
                      <w:p>
                        <w:pPr>
                          <w:pStyle w:val="17"/>
                          <w:spacing w:before="80"/>
                          <w:ind w:left="5"/>
                          <w:rPr>
                            <w:sz w:val="24"/>
                          </w:rPr>
                        </w:pPr>
                        <w:r>
                          <w:rPr>
                            <w:sz w:val="24"/>
                          </w:rPr>
                          <w:t>4)参加政府采购活动前3年内在经营活动中没有重大违法记录的书面声明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2176" w:type="dxa"/>
                        <w:tcBorders>
                          <w:top w:val="nil"/>
                          <w:bottom w:val="nil"/>
                        </w:tcBorders>
                      </w:tcPr>
                      <w:p>
                        <w:pPr>
                          <w:pStyle w:val="17"/>
                          <w:rPr>
                            <w:rFonts w:ascii="Times New Roman"/>
                            <w:sz w:val="22"/>
                          </w:rPr>
                        </w:pPr>
                      </w:p>
                    </w:tc>
                    <w:tc>
                      <w:tcPr>
                        <w:tcW w:w="7772" w:type="dxa"/>
                        <w:tcBorders>
                          <w:top w:val="nil"/>
                          <w:bottom w:val="nil"/>
                        </w:tcBorders>
                      </w:tcPr>
                      <w:p>
                        <w:pPr>
                          <w:pStyle w:val="17"/>
                          <w:spacing w:before="79"/>
                          <w:ind w:left="5"/>
                          <w:rPr>
                            <w:sz w:val="24"/>
                          </w:rPr>
                        </w:pPr>
                        <w:r>
                          <w:rPr>
                            <w:sz w:val="24"/>
                          </w:rPr>
                          <w:t>5)具备法律、行政法规规定的其他条件的证明材料。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2176" w:type="dxa"/>
                        <w:tcBorders>
                          <w:top w:val="nil"/>
                          <w:bottom w:val="nil"/>
                        </w:tcBorders>
                      </w:tcPr>
                      <w:p>
                        <w:pPr>
                          <w:pStyle w:val="17"/>
                          <w:rPr>
                            <w:rFonts w:ascii="Times New Roman"/>
                            <w:sz w:val="22"/>
                          </w:rPr>
                        </w:pPr>
                      </w:p>
                    </w:tc>
                    <w:tc>
                      <w:tcPr>
                        <w:tcW w:w="7772" w:type="dxa"/>
                        <w:tcBorders>
                          <w:top w:val="nil"/>
                          <w:bottom w:val="nil"/>
                        </w:tcBorders>
                      </w:tcPr>
                      <w:p>
                        <w:pPr>
                          <w:pStyle w:val="17"/>
                          <w:spacing w:before="80"/>
                          <w:ind w:left="5"/>
                          <w:rPr>
                            <w:sz w:val="24"/>
                          </w:rPr>
                        </w:pPr>
                        <w:r>
                          <w:rPr>
                            <w:sz w:val="24"/>
                          </w:rPr>
                          <w:t>2、单位负责人为同一人或者存在直接控股、管理关系的不同磋商响应人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2176" w:type="dxa"/>
                        <w:tcBorders>
                          <w:top w:val="nil"/>
                          <w:bottom w:val="nil"/>
                        </w:tcBorders>
                      </w:tcPr>
                      <w:p>
                        <w:pPr>
                          <w:pStyle w:val="17"/>
                          <w:rPr>
                            <w:rFonts w:ascii="Times New Roman"/>
                            <w:sz w:val="22"/>
                          </w:rPr>
                        </w:pPr>
                      </w:p>
                    </w:tc>
                    <w:tc>
                      <w:tcPr>
                        <w:tcW w:w="7772" w:type="dxa"/>
                        <w:tcBorders>
                          <w:top w:val="nil"/>
                          <w:bottom w:val="nil"/>
                        </w:tcBorders>
                      </w:tcPr>
                      <w:p>
                        <w:pPr>
                          <w:pStyle w:val="17"/>
                          <w:spacing w:before="79"/>
                          <w:ind w:left="5"/>
                          <w:rPr>
                            <w:sz w:val="24"/>
                          </w:rPr>
                        </w:pPr>
                        <w:r>
                          <w:rPr>
                            <w:sz w:val="24"/>
                          </w:rPr>
                          <w:t>不得参加同一合同项下的政府采购活动。否则，皆取消投标资格；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2176" w:type="dxa"/>
                        <w:tcBorders>
                          <w:top w:val="nil"/>
                          <w:bottom w:val="nil"/>
                        </w:tcBorders>
                      </w:tcPr>
                      <w:p>
                        <w:pPr>
                          <w:pStyle w:val="17"/>
                          <w:spacing w:before="80"/>
                          <w:ind w:left="7" w:right="-15"/>
                          <w:jc w:val="center"/>
                          <w:rPr>
                            <w:sz w:val="24"/>
                          </w:rPr>
                        </w:pPr>
                        <w:r>
                          <w:rPr>
                            <w:spacing w:val="-2"/>
                            <w:sz w:val="24"/>
                          </w:rPr>
                          <w:t>竞争性磋商响应人资</w:t>
                        </w:r>
                      </w:p>
                    </w:tc>
                    <w:tc>
                      <w:tcPr>
                        <w:tcW w:w="7772" w:type="dxa"/>
                        <w:tcBorders>
                          <w:top w:val="nil"/>
                          <w:bottom w:val="nil"/>
                        </w:tcBorders>
                      </w:tcPr>
                      <w:p>
                        <w:pPr>
                          <w:pStyle w:val="17"/>
                          <w:spacing w:before="80"/>
                          <w:ind w:left="5" w:right="-15"/>
                          <w:rPr>
                            <w:sz w:val="24"/>
                          </w:rPr>
                        </w:pPr>
                        <w:r>
                          <w:rPr>
                            <w:sz w:val="24"/>
                          </w:rPr>
                          <w:t>3</w:t>
                        </w:r>
                        <w:r>
                          <w:rPr>
                            <w:spacing w:val="-7"/>
                            <w:sz w:val="24"/>
                          </w:rPr>
                          <w:t>、为本采购项目提供整体设计、规范编制或者项目管理、监理、检测等服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2176" w:type="dxa"/>
                        <w:tcBorders>
                          <w:top w:val="nil"/>
                          <w:bottom w:val="nil"/>
                        </w:tcBorders>
                      </w:tcPr>
                      <w:p>
                        <w:pPr>
                          <w:pStyle w:val="17"/>
                          <w:spacing w:before="79"/>
                          <w:ind w:left="107" w:right="94"/>
                          <w:jc w:val="center"/>
                          <w:rPr>
                            <w:sz w:val="24"/>
                          </w:rPr>
                        </w:pPr>
                        <w:r>
                          <w:rPr>
                            <w:sz w:val="24"/>
                          </w:rPr>
                          <w:t>格条件</w:t>
                        </w:r>
                      </w:p>
                    </w:tc>
                    <w:tc>
                      <w:tcPr>
                        <w:tcW w:w="7772" w:type="dxa"/>
                        <w:tcBorders>
                          <w:top w:val="nil"/>
                          <w:bottom w:val="nil"/>
                        </w:tcBorders>
                      </w:tcPr>
                      <w:p>
                        <w:pPr>
                          <w:pStyle w:val="17"/>
                          <w:spacing w:before="79"/>
                          <w:ind w:left="5"/>
                          <w:rPr>
                            <w:sz w:val="24"/>
                          </w:rPr>
                        </w:pPr>
                        <w:r>
                          <w:rPr>
                            <w:sz w:val="24"/>
                          </w:rPr>
                          <w:t>务的磋商响应人，不得再参加该采购项目的其他采购活动；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2176" w:type="dxa"/>
                        <w:tcBorders>
                          <w:top w:val="nil"/>
                          <w:bottom w:val="nil"/>
                        </w:tcBorders>
                      </w:tcPr>
                      <w:p>
                        <w:pPr>
                          <w:pStyle w:val="17"/>
                          <w:rPr>
                            <w:rFonts w:ascii="Times New Roman"/>
                            <w:sz w:val="22"/>
                          </w:rPr>
                        </w:pPr>
                      </w:p>
                    </w:tc>
                    <w:tc>
                      <w:tcPr>
                        <w:tcW w:w="7772" w:type="dxa"/>
                        <w:tcBorders>
                          <w:top w:val="nil"/>
                          <w:bottom w:val="nil"/>
                        </w:tcBorders>
                      </w:tcPr>
                      <w:p>
                        <w:pPr>
                          <w:pStyle w:val="17"/>
                          <w:spacing w:before="80"/>
                          <w:ind w:left="5"/>
                          <w:rPr>
                            <w:sz w:val="24"/>
                          </w:rPr>
                        </w:pPr>
                        <w:r>
                          <w:rPr>
                            <w:sz w:val="24"/>
                          </w:rPr>
                          <w:t>4、本项目不接受磋商响应人以联合体方式进行投标；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2176" w:type="dxa"/>
                        <w:tcBorders>
                          <w:top w:val="nil"/>
                          <w:bottom w:val="nil"/>
                        </w:tcBorders>
                      </w:tcPr>
                      <w:p>
                        <w:pPr>
                          <w:pStyle w:val="17"/>
                          <w:rPr>
                            <w:rFonts w:ascii="Times New Roman"/>
                            <w:sz w:val="22"/>
                          </w:rPr>
                        </w:pPr>
                      </w:p>
                    </w:tc>
                    <w:tc>
                      <w:tcPr>
                        <w:tcW w:w="7772" w:type="dxa"/>
                        <w:tcBorders>
                          <w:top w:val="nil"/>
                          <w:bottom w:val="nil"/>
                        </w:tcBorders>
                      </w:tcPr>
                      <w:p>
                        <w:pPr>
                          <w:pStyle w:val="17"/>
                          <w:spacing w:before="79"/>
                          <w:ind w:left="5"/>
                          <w:rPr>
                            <w:sz w:val="24"/>
                          </w:rPr>
                        </w:pPr>
                        <w:r>
                          <w:fldChar w:fldCharType="begin"/>
                        </w:r>
                        <w:r>
                          <w:instrText xml:space="preserve"> HYPERLINK "http://www.creditchina.gov.cn/" \h </w:instrText>
                        </w:r>
                        <w:r>
                          <w:fldChar w:fldCharType="separate"/>
                        </w:r>
                        <w:r>
                          <w:rPr>
                            <w:sz w:val="24"/>
                          </w:rPr>
                          <w:t>5、经信用中国（www.creditchina.gov.cn</w:t>
                        </w:r>
                        <w:r>
                          <w:rPr>
                            <w:sz w:val="24"/>
                          </w:rPr>
                          <w:fldChar w:fldCharType="end"/>
                        </w:r>
                        <w:r>
                          <w:rPr>
                            <w:sz w:val="24"/>
                          </w:rPr>
                          <w:t>）、中国政府采购网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2176" w:type="dxa"/>
                        <w:tcBorders>
                          <w:top w:val="nil"/>
                          <w:bottom w:val="nil"/>
                        </w:tcBorders>
                      </w:tcPr>
                      <w:p>
                        <w:pPr>
                          <w:pStyle w:val="17"/>
                          <w:rPr>
                            <w:rFonts w:ascii="Times New Roman"/>
                            <w:sz w:val="22"/>
                          </w:rPr>
                        </w:pPr>
                      </w:p>
                    </w:tc>
                    <w:tc>
                      <w:tcPr>
                        <w:tcW w:w="7772" w:type="dxa"/>
                        <w:tcBorders>
                          <w:top w:val="nil"/>
                          <w:bottom w:val="nil"/>
                        </w:tcBorders>
                      </w:tcPr>
                      <w:p>
                        <w:pPr>
                          <w:pStyle w:val="17"/>
                          <w:spacing w:before="80"/>
                          <w:ind w:left="5" w:right="-15"/>
                          <w:rPr>
                            <w:sz w:val="24"/>
                          </w:rPr>
                        </w:pPr>
                        <w:r>
                          <w:fldChar w:fldCharType="begin"/>
                        </w:r>
                        <w:r>
                          <w:instrText xml:space="preserve"> HYPERLINK "http://www.ccgp.gov.cn/" \h </w:instrText>
                        </w:r>
                        <w:r>
                          <w:fldChar w:fldCharType="separate"/>
                        </w:r>
                        <w:r>
                          <w:rPr>
                            <w:sz w:val="24"/>
                          </w:rPr>
                          <w:t>（www.ccgp.gov.cn</w:t>
                        </w:r>
                        <w:r>
                          <w:rPr>
                            <w:sz w:val="24"/>
                          </w:rPr>
                          <w:fldChar w:fldCharType="end"/>
                        </w:r>
                        <w:r>
                          <w:rPr>
                            <w:sz w:val="24"/>
                          </w:rPr>
                          <w:t>）</w:t>
                        </w:r>
                        <w:r>
                          <w:rPr>
                            <w:spacing w:val="-5"/>
                            <w:sz w:val="24"/>
                          </w:rPr>
                          <w:t>等渠道查询后，列入失信被执行人、重大税收违法案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2176" w:type="dxa"/>
                        <w:tcBorders>
                          <w:top w:val="nil"/>
                          <w:bottom w:val="nil"/>
                        </w:tcBorders>
                      </w:tcPr>
                      <w:p>
                        <w:pPr>
                          <w:pStyle w:val="17"/>
                          <w:rPr>
                            <w:rFonts w:ascii="Times New Roman"/>
                            <w:sz w:val="22"/>
                          </w:rPr>
                        </w:pPr>
                      </w:p>
                    </w:tc>
                    <w:tc>
                      <w:tcPr>
                        <w:tcW w:w="7772" w:type="dxa"/>
                        <w:tcBorders>
                          <w:top w:val="nil"/>
                          <w:bottom w:val="nil"/>
                        </w:tcBorders>
                      </w:tcPr>
                      <w:p>
                        <w:pPr>
                          <w:pStyle w:val="17"/>
                          <w:spacing w:before="80"/>
                          <w:ind w:left="5"/>
                          <w:rPr>
                            <w:sz w:val="24"/>
                          </w:rPr>
                        </w:pPr>
                        <w:r>
                          <w:rPr>
                            <w:sz w:val="24"/>
                          </w:rPr>
                          <w:t>件当事人名单、政府采购严重违法失信行为记录名单的，取消投标资格。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2176" w:type="dxa"/>
                        <w:tcBorders>
                          <w:top w:val="nil"/>
                          <w:bottom w:val="nil"/>
                        </w:tcBorders>
                      </w:tcPr>
                      <w:p>
                        <w:pPr>
                          <w:pStyle w:val="17"/>
                          <w:rPr>
                            <w:rFonts w:ascii="Times New Roman"/>
                            <w:sz w:val="22"/>
                          </w:rPr>
                        </w:pPr>
                      </w:p>
                    </w:tc>
                    <w:tc>
                      <w:tcPr>
                        <w:tcW w:w="7772" w:type="dxa"/>
                        <w:tcBorders>
                          <w:top w:val="nil"/>
                          <w:bottom w:val="nil"/>
                        </w:tcBorders>
                      </w:tcPr>
                      <w:p>
                        <w:pPr>
                          <w:pStyle w:val="17"/>
                          <w:spacing w:before="79"/>
                          <w:ind w:left="5"/>
                          <w:rPr>
                            <w:sz w:val="24"/>
                          </w:rPr>
                        </w:pPr>
                        <w:r>
                          <w:rPr>
                            <w:sz w:val="24"/>
                          </w:rPr>
                          <w:t>（提供 “信用中国及中国政府采购网”网站无任何不良记录的查询截图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2176" w:type="dxa"/>
                        <w:tcBorders>
                          <w:top w:val="nil"/>
                          <w:bottom w:val="nil"/>
                        </w:tcBorders>
                      </w:tcPr>
                      <w:p>
                        <w:pPr>
                          <w:pStyle w:val="17"/>
                          <w:rPr>
                            <w:rFonts w:ascii="Times New Roman"/>
                            <w:sz w:val="22"/>
                          </w:rPr>
                        </w:pPr>
                      </w:p>
                    </w:tc>
                    <w:tc>
                      <w:tcPr>
                        <w:tcW w:w="7772" w:type="dxa"/>
                        <w:tcBorders>
                          <w:top w:val="nil"/>
                          <w:bottom w:val="nil"/>
                        </w:tcBorders>
                      </w:tcPr>
                      <w:p>
                        <w:pPr>
                          <w:pStyle w:val="17"/>
                          <w:spacing w:before="80"/>
                          <w:ind w:left="5"/>
                          <w:rPr>
                            <w:sz w:val="24"/>
                          </w:rPr>
                        </w:pPr>
                        <w:r>
                          <w:rPr>
                            <w:sz w:val="24"/>
                          </w:rPr>
                          <w:t>时间为投标截止时间前 20 天内）；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2176" w:type="dxa"/>
                        <w:tcBorders>
                          <w:top w:val="nil"/>
                          <w:bottom w:val="nil"/>
                        </w:tcBorders>
                      </w:tcPr>
                      <w:p>
                        <w:pPr>
                          <w:pStyle w:val="17"/>
                          <w:rPr>
                            <w:rFonts w:ascii="Times New Roman"/>
                            <w:sz w:val="22"/>
                          </w:rPr>
                        </w:pPr>
                      </w:p>
                    </w:tc>
                    <w:tc>
                      <w:tcPr>
                        <w:tcW w:w="7772" w:type="dxa"/>
                        <w:tcBorders>
                          <w:top w:val="nil"/>
                          <w:bottom w:val="nil"/>
                        </w:tcBorders>
                      </w:tcPr>
                      <w:p>
                        <w:pPr>
                          <w:pStyle w:val="17"/>
                          <w:spacing w:before="79"/>
                          <w:ind w:left="5"/>
                          <w:rPr>
                            <w:sz w:val="24"/>
                          </w:rPr>
                        </w:pPr>
                        <w:r>
                          <w:rPr>
                            <w:sz w:val="24"/>
                          </w:rPr>
                          <w:t>6、其他资质条件：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2176" w:type="dxa"/>
                        <w:tcBorders>
                          <w:top w:val="nil"/>
                        </w:tcBorders>
                      </w:tcPr>
                      <w:p>
                        <w:pPr>
                          <w:pStyle w:val="17"/>
                          <w:rPr>
                            <w:rFonts w:ascii="Times New Roman"/>
                            <w:sz w:val="22"/>
                          </w:rPr>
                        </w:pPr>
                      </w:p>
                    </w:tc>
                    <w:tc>
                      <w:tcPr>
                        <w:tcW w:w="7772" w:type="dxa"/>
                        <w:tcBorders>
                          <w:top w:val="nil"/>
                        </w:tcBorders>
                      </w:tcPr>
                      <w:p>
                        <w:pPr>
                          <w:pStyle w:val="17"/>
                          <w:spacing w:before="79"/>
                          <w:ind w:left="5" w:right="-15"/>
                          <w:rPr>
                            <w:sz w:val="24"/>
                          </w:rPr>
                        </w:pPr>
                        <w:r>
                          <w:rPr>
                            <w:spacing w:val="-5"/>
                            <w:sz w:val="24"/>
                          </w:rPr>
                          <w:t>1）</w:t>
                        </w:r>
                        <w:r>
                          <w:rPr>
                            <w:spacing w:val="-1"/>
                            <w:sz w:val="24"/>
                          </w:rPr>
                          <w:t>磋商响应人须具有</w:t>
                        </w:r>
                        <w:r>
                          <w:rPr>
                            <w:rFonts w:hint="eastAsia"/>
                            <w:spacing w:val="-1"/>
                            <w:sz w:val="24"/>
                          </w:rPr>
                          <w:t>建筑装修装饰工程专业承包二级及以上资质</w:t>
                        </w:r>
                        <w:r>
                          <w:rPr>
                            <w:spacing w:val="-4"/>
                            <w:sz w:val="24"/>
                          </w:rPr>
                          <w:t>，并</w:t>
                        </w:r>
                      </w:p>
                    </w:tc>
                  </w:tr>
                </w:tbl>
                <w:p>
                  <w:pPr>
                    <w:pStyle w:val="8"/>
                  </w:pPr>
                </w:p>
              </w:txbxContent>
            </v:textbox>
          </v:shape>
        </w:pict>
      </w:r>
      <w:r>
        <w:t>（</w:t>
      </w:r>
      <w:r>
        <w:rPr>
          <w:spacing w:val="-1"/>
        </w:rPr>
        <w:t>以下均简称“采购人”</w:t>
      </w:r>
      <w:r>
        <w:t>）</w:t>
      </w:r>
      <w:r>
        <w:rPr>
          <w:spacing w:val="-1"/>
        </w:rPr>
        <w:t>委托，拟对</w:t>
      </w:r>
      <w:r>
        <w:t>“</w:t>
      </w:r>
      <w:r>
        <w:rPr>
          <w:rFonts w:hint="eastAsia"/>
          <w:lang w:eastAsia="zh-CN"/>
        </w:rPr>
        <w:t>西宁市城东区文化馆数字展厅装修工程</w:t>
      </w:r>
      <w:r>
        <w:t>（</w:t>
      </w:r>
      <w:r>
        <w:rPr>
          <w:spacing w:val="-8"/>
        </w:rPr>
        <w:t>采购</w:t>
      </w:r>
      <w:r>
        <w:t>项目编号：</w:t>
      </w:r>
      <w:r>
        <w:rPr>
          <w:rFonts w:hint="eastAsia"/>
          <w:lang w:eastAsia="zh-CN"/>
        </w:rPr>
        <w:t>青海汇森竞磋（工程）2022-020S</w:t>
      </w:r>
      <w:r>
        <w:t>）”进行国内竞争性磋商采购，现予以公告， 欢迎符合条件的竞争性磋商响应人前来参加投标。</w:t>
      </w: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spacing w:before="10"/>
        <w:rPr>
          <w:sz w:val="23"/>
        </w:rPr>
      </w:pPr>
    </w:p>
    <w:p>
      <w:pPr>
        <w:pStyle w:val="8"/>
        <w:ind w:right="444"/>
        <w:jc w:val="right"/>
      </w:pPr>
      <w:r>
        <w:t>。</w:t>
      </w:r>
    </w:p>
    <w:p>
      <w:pPr>
        <w:pStyle w:val="8"/>
      </w:pPr>
    </w:p>
    <w:p>
      <w:pPr>
        <w:pStyle w:val="8"/>
        <w:spacing w:before="11"/>
      </w:pPr>
    </w:p>
    <w:p>
      <w:pPr>
        <w:pStyle w:val="8"/>
        <w:ind w:right="444"/>
        <w:jc w:val="right"/>
      </w:pPr>
      <w:r>
        <w:t>，</w:t>
      </w: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spacing w:before="6"/>
        <w:rPr>
          <w:sz w:val="27"/>
        </w:rPr>
      </w:pPr>
    </w:p>
    <w:p>
      <w:pPr>
        <w:pStyle w:val="8"/>
        <w:ind w:right="444"/>
        <w:jc w:val="right"/>
      </w:pPr>
      <w:r>
        <w:t>，</w:t>
      </w:r>
    </w:p>
    <w:p>
      <w:pPr>
        <w:spacing w:after="0"/>
        <w:jc w:val="right"/>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pgNumType w:start="1"/>
          <w:cols w:space="720" w:num="1"/>
        </w:sectPr>
      </w:pPr>
    </w:p>
    <w:p>
      <w:pPr>
        <w:tabs>
          <w:tab w:val="left" w:pos="7676"/>
        </w:tabs>
        <w:spacing w:before="45"/>
        <w:ind w:left="388" w:right="0" w:firstLine="0"/>
        <w:jc w:val="left"/>
        <w:rPr>
          <w:sz w:val="18"/>
        </w:rPr>
      </w:pPr>
      <w:r>
        <w:pict>
          <v:line id="_x0000_s1033" o:spid="_x0000_s1033" o:spt="20" style="position:absolute;left:0pt;margin-left:62.4pt;margin-top:12.25pt;height:0pt;width:400.4pt;mso-position-horizontal-relative:page;z-index:25168691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rPr>
          <w:sz w:val="20"/>
        </w:rPr>
      </w:pPr>
    </w:p>
    <w:p>
      <w:pPr>
        <w:pStyle w:val="8"/>
        <w:rPr>
          <w:sz w:val="20"/>
        </w:rPr>
      </w:pPr>
    </w:p>
    <w:p>
      <w:pPr>
        <w:pStyle w:val="8"/>
        <w:spacing w:before="12"/>
        <w:rPr>
          <w:sz w:val="22"/>
        </w:rPr>
      </w:pPr>
    </w:p>
    <w:p>
      <w:pPr>
        <w:pStyle w:val="8"/>
        <w:spacing w:before="67"/>
        <w:ind w:right="444"/>
        <w:jc w:val="right"/>
      </w:pPr>
      <w:r>
        <w:pict>
          <v:shape id="_x0000_s1034" o:spid="_x0000_s1034" o:spt="202" type="#_x0000_t202" style="position:absolute;left:0pt;margin-left:48.55pt;margin-top:-20.75pt;height:617.3pt;width:498.5pt;mso-position-horizontal-relative:page;z-index:251687936;mso-width-relative:page;mso-height-relative:page;" filled="f" stroked="f" coordsize="21600,21600">
            <v:path/>
            <v:fill on="f" focussize="0,0"/>
            <v:stroke on="f" joinstyle="miter"/>
            <v:imagedata o:title=""/>
            <o:lock v:ext="edit"/>
            <v:textbox inset="0mm,0mm,0mm,0mm">
              <w:txbxContent>
                <w:tbl>
                  <w:tblPr>
                    <w:tblStyle w:val="13"/>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76"/>
                    <w:gridCol w:w="6348"/>
                    <w:gridCol w:w="14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0" w:hRule="atLeast"/>
                    </w:trPr>
                    <w:tc>
                      <w:tcPr>
                        <w:tcW w:w="2176" w:type="dxa"/>
                      </w:tcPr>
                      <w:p>
                        <w:pPr>
                          <w:pStyle w:val="17"/>
                          <w:rPr>
                            <w:rFonts w:ascii="Times New Roman"/>
                            <w:sz w:val="22"/>
                          </w:rPr>
                        </w:pPr>
                      </w:p>
                    </w:tc>
                    <w:tc>
                      <w:tcPr>
                        <w:tcW w:w="7772" w:type="dxa"/>
                        <w:gridSpan w:val="2"/>
                      </w:tcPr>
                      <w:p>
                        <w:pPr>
                          <w:pStyle w:val="17"/>
                          <w:spacing w:before="1"/>
                          <w:ind w:left="5"/>
                          <w:rPr>
                            <w:sz w:val="24"/>
                          </w:rPr>
                        </w:pPr>
                        <w:r>
                          <w:rPr>
                            <w:sz w:val="24"/>
                          </w:rPr>
                          <w:t>在人员、设备、资金等方面具有承担本工程相应的施工能力；</w:t>
                        </w:r>
                      </w:p>
                      <w:p>
                        <w:pPr>
                          <w:pStyle w:val="17"/>
                          <w:numPr>
                            <w:ilvl w:val="0"/>
                            <w:numId w:val="1"/>
                          </w:numPr>
                          <w:tabs>
                            <w:tab w:val="left" w:pos="367"/>
                          </w:tabs>
                          <w:spacing w:before="159" w:after="0" w:line="364" w:lineRule="auto"/>
                          <w:ind w:left="5" w:right="-15" w:firstLine="0"/>
                          <w:jc w:val="left"/>
                          <w:rPr>
                            <w:sz w:val="24"/>
                          </w:rPr>
                        </w:pPr>
                        <w:r>
                          <w:rPr>
                            <w:sz w:val="24"/>
                          </w:rPr>
                          <w:t>磋商响应人拟派项目经理须具备建筑工程专业贰级及以上建造师资格提供建造师执业证、注册证；具备有效的安全生产考核合格证书，未同时在其他项目担任项目经理的承诺书；</w:t>
                        </w:r>
                      </w:p>
                      <w:p>
                        <w:pPr>
                          <w:pStyle w:val="17"/>
                          <w:numPr>
                            <w:ilvl w:val="0"/>
                            <w:numId w:val="1"/>
                          </w:numPr>
                          <w:tabs>
                            <w:tab w:val="left" w:pos="367"/>
                          </w:tabs>
                          <w:spacing w:before="0" w:after="0" w:line="307" w:lineRule="exact"/>
                          <w:ind w:left="366" w:right="0" w:hanging="362"/>
                          <w:jc w:val="left"/>
                          <w:rPr>
                            <w:sz w:val="24"/>
                          </w:rPr>
                        </w:pPr>
                        <w:r>
                          <w:rPr>
                            <w:sz w:val="24"/>
                          </w:rPr>
                          <w:t>磋商响应人须具有有效的安全生产许可证；</w:t>
                        </w:r>
                      </w:p>
                      <w:p>
                        <w:pPr>
                          <w:pStyle w:val="17"/>
                          <w:numPr>
                            <w:ilvl w:val="0"/>
                            <w:numId w:val="1"/>
                          </w:numPr>
                          <w:tabs>
                            <w:tab w:val="left" w:pos="367"/>
                          </w:tabs>
                          <w:spacing w:before="160" w:after="0" w:line="240" w:lineRule="auto"/>
                          <w:ind w:left="366" w:right="0" w:hanging="362"/>
                          <w:jc w:val="left"/>
                          <w:rPr>
                            <w:sz w:val="24"/>
                          </w:rPr>
                        </w:pPr>
                        <w:r>
                          <w:rPr>
                            <w:sz w:val="24"/>
                          </w:rPr>
                          <w:t>省外企业须提供有效期内的进青备案登记手续；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2176" w:type="dxa"/>
                      </w:tcPr>
                      <w:p>
                        <w:pPr>
                          <w:pStyle w:val="17"/>
                          <w:spacing w:before="3"/>
                          <w:ind w:left="107" w:right="94"/>
                          <w:jc w:val="center"/>
                          <w:rPr>
                            <w:sz w:val="24"/>
                          </w:rPr>
                        </w:pPr>
                        <w:r>
                          <w:rPr>
                            <w:sz w:val="24"/>
                          </w:rPr>
                          <w:t>公告发布时间</w:t>
                        </w:r>
                      </w:p>
                    </w:tc>
                    <w:tc>
                      <w:tcPr>
                        <w:tcW w:w="7772" w:type="dxa"/>
                        <w:gridSpan w:val="2"/>
                      </w:tcPr>
                      <w:p>
                        <w:pPr>
                          <w:pStyle w:val="17"/>
                          <w:spacing w:before="3"/>
                          <w:ind w:left="5"/>
                          <w:rPr>
                            <w:sz w:val="24"/>
                          </w:rPr>
                        </w:pPr>
                        <w:r>
                          <w:rPr>
                            <w:color w:val="FF0000"/>
                            <w:sz w:val="24"/>
                          </w:rPr>
                          <w:t xml:space="preserve">2022 年 </w:t>
                        </w:r>
                        <w:r>
                          <w:rPr>
                            <w:rFonts w:hint="eastAsia"/>
                            <w:color w:val="FF0000"/>
                            <w:sz w:val="24"/>
                            <w:lang w:val="en-US" w:eastAsia="zh-CN"/>
                          </w:rPr>
                          <w:t>7</w:t>
                        </w:r>
                        <w:r>
                          <w:rPr>
                            <w:color w:val="FF0000"/>
                            <w:sz w:val="24"/>
                          </w:rPr>
                          <w:t xml:space="preserve">月 </w:t>
                        </w:r>
                        <w:r>
                          <w:rPr>
                            <w:rFonts w:hint="eastAsia"/>
                            <w:color w:val="FF0000"/>
                            <w:sz w:val="24"/>
                            <w:lang w:val="en-US" w:eastAsia="zh-CN"/>
                          </w:rPr>
                          <w:t>5</w:t>
                        </w:r>
                        <w:r>
                          <w:rPr>
                            <w:color w:val="FF0000"/>
                            <w:sz w:val="24"/>
                          </w:rPr>
                          <w:t xml:space="preserve"> 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2" w:hRule="atLeast"/>
                    </w:trPr>
                    <w:tc>
                      <w:tcPr>
                        <w:tcW w:w="2176" w:type="dxa"/>
                      </w:tcPr>
                      <w:p>
                        <w:pPr>
                          <w:pStyle w:val="17"/>
                          <w:spacing w:before="15"/>
                          <w:ind w:left="107" w:right="94"/>
                          <w:jc w:val="center"/>
                          <w:rPr>
                            <w:sz w:val="24"/>
                          </w:rPr>
                        </w:pPr>
                        <w:r>
                          <w:rPr>
                            <w:sz w:val="24"/>
                          </w:rPr>
                          <w:t>磋商文件发售</w:t>
                        </w:r>
                      </w:p>
                      <w:p>
                        <w:pPr>
                          <w:pStyle w:val="17"/>
                          <w:spacing w:before="158"/>
                          <w:ind w:left="107" w:right="94"/>
                          <w:jc w:val="center"/>
                          <w:rPr>
                            <w:sz w:val="24"/>
                          </w:rPr>
                        </w:pPr>
                        <w:r>
                          <w:rPr>
                            <w:sz w:val="24"/>
                          </w:rPr>
                          <w:t>起止时间</w:t>
                        </w:r>
                      </w:p>
                    </w:tc>
                    <w:tc>
                      <w:tcPr>
                        <w:tcW w:w="7772" w:type="dxa"/>
                        <w:gridSpan w:val="2"/>
                      </w:tcPr>
                      <w:p>
                        <w:pPr>
                          <w:pStyle w:val="17"/>
                          <w:spacing w:before="15"/>
                          <w:ind w:left="5"/>
                          <w:rPr>
                            <w:sz w:val="24"/>
                          </w:rPr>
                        </w:pPr>
                        <w:r>
                          <w:rPr>
                            <w:sz w:val="24"/>
                          </w:rPr>
                          <w:t>2022年</w:t>
                        </w:r>
                        <w:r>
                          <w:rPr>
                            <w:rFonts w:hint="eastAsia"/>
                            <w:sz w:val="24"/>
                            <w:lang w:val="en-US" w:eastAsia="zh-CN"/>
                          </w:rPr>
                          <w:t>7</w:t>
                        </w:r>
                        <w:r>
                          <w:rPr>
                            <w:sz w:val="24"/>
                          </w:rPr>
                          <w:t>月</w:t>
                        </w:r>
                        <w:r>
                          <w:rPr>
                            <w:rFonts w:hint="eastAsia"/>
                            <w:sz w:val="24"/>
                            <w:lang w:val="en-US" w:eastAsia="zh-CN"/>
                          </w:rPr>
                          <w:t>6</w:t>
                        </w:r>
                        <w:r>
                          <w:rPr>
                            <w:sz w:val="24"/>
                          </w:rPr>
                          <w:t>日至2022年</w:t>
                        </w:r>
                        <w:r>
                          <w:rPr>
                            <w:rFonts w:hint="eastAsia"/>
                            <w:sz w:val="24"/>
                            <w:lang w:val="en-US" w:eastAsia="zh-CN"/>
                          </w:rPr>
                          <w:t>7</w:t>
                        </w:r>
                        <w:r>
                          <w:rPr>
                            <w:sz w:val="24"/>
                          </w:rPr>
                          <w:t>月</w:t>
                        </w:r>
                        <w:r>
                          <w:rPr>
                            <w:rFonts w:hint="eastAsia"/>
                            <w:sz w:val="24"/>
                            <w:lang w:val="en-US" w:eastAsia="zh-CN"/>
                          </w:rPr>
                          <w:t>12</w:t>
                        </w:r>
                        <w:r>
                          <w:rPr>
                            <w:sz w:val="24"/>
                          </w:rPr>
                          <w:t>日（上午09:00-12:00，下午14:00-17:30，</w:t>
                        </w:r>
                      </w:p>
                      <w:p>
                        <w:pPr>
                          <w:pStyle w:val="17"/>
                          <w:spacing w:before="158"/>
                          <w:ind w:left="5"/>
                          <w:rPr>
                            <w:sz w:val="24"/>
                          </w:rPr>
                        </w:pPr>
                        <w:r>
                          <w:rPr>
                            <w:sz w:val="24"/>
                          </w:rPr>
                          <w:t>休息日和节假日除外）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2176" w:type="dxa"/>
                      </w:tcPr>
                      <w:p>
                        <w:pPr>
                          <w:pStyle w:val="17"/>
                          <w:spacing w:before="2"/>
                          <w:ind w:left="107" w:right="94"/>
                          <w:jc w:val="center"/>
                          <w:rPr>
                            <w:sz w:val="24"/>
                          </w:rPr>
                        </w:pPr>
                        <w:r>
                          <w:rPr>
                            <w:sz w:val="24"/>
                          </w:rPr>
                          <w:t>磋商文件发售方式</w:t>
                        </w:r>
                      </w:p>
                    </w:tc>
                    <w:tc>
                      <w:tcPr>
                        <w:tcW w:w="7772" w:type="dxa"/>
                        <w:gridSpan w:val="2"/>
                      </w:tcPr>
                      <w:p>
                        <w:pPr>
                          <w:keepNext w:val="0"/>
                          <w:keepLines w:val="0"/>
                          <w:widowControl/>
                          <w:suppressLineNumbers w:val="0"/>
                          <w:jc w:val="left"/>
                          <w:rPr>
                            <w:rFonts w:hint="default"/>
                            <w:sz w:val="24"/>
                            <w:lang w:val="en-US"/>
                          </w:rPr>
                        </w:pPr>
                        <w:r>
                          <w:rPr>
                            <w:rFonts w:hint="eastAsia" w:cs="宋体"/>
                            <w:color w:val="000000"/>
                            <w:kern w:val="0"/>
                            <w:sz w:val="24"/>
                            <w:szCs w:val="24"/>
                            <w:lang w:val="en-US" w:eastAsia="zh-CN" w:bidi="ar"/>
                          </w:rPr>
                          <w:t>网上获取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2176" w:type="dxa"/>
                      </w:tcPr>
                      <w:p>
                        <w:pPr>
                          <w:pStyle w:val="17"/>
                          <w:spacing w:before="3"/>
                          <w:ind w:left="107" w:right="94"/>
                          <w:jc w:val="center"/>
                          <w:rPr>
                            <w:sz w:val="24"/>
                          </w:rPr>
                        </w:pPr>
                        <w:r>
                          <w:rPr>
                            <w:sz w:val="24"/>
                          </w:rPr>
                          <w:t>磋商文件售价</w:t>
                        </w:r>
                      </w:p>
                    </w:tc>
                    <w:tc>
                      <w:tcPr>
                        <w:tcW w:w="7772" w:type="dxa"/>
                        <w:gridSpan w:val="2"/>
                      </w:tcPr>
                      <w:p>
                        <w:pPr>
                          <w:pStyle w:val="17"/>
                          <w:spacing w:before="3"/>
                          <w:ind w:left="5" w:firstLine="720" w:firstLineChars="300"/>
                          <w:rPr>
                            <w:rFonts w:hint="eastAsia" w:eastAsia="宋体"/>
                            <w:sz w:val="24"/>
                            <w:lang w:eastAsia="zh-CN"/>
                          </w:rPr>
                        </w:pPr>
                        <w:r>
                          <w:rPr>
                            <w:rFonts w:hint="eastAsia"/>
                            <w:sz w:val="24"/>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2176" w:type="dxa"/>
                      </w:tcPr>
                      <w:p>
                        <w:pPr>
                          <w:pStyle w:val="17"/>
                          <w:spacing w:before="1"/>
                          <w:ind w:left="107" w:right="94"/>
                          <w:jc w:val="center"/>
                          <w:rPr>
                            <w:sz w:val="24"/>
                          </w:rPr>
                        </w:pPr>
                        <w:r>
                          <w:rPr>
                            <w:sz w:val="24"/>
                          </w:rPr>
                          <w:t>磋商文件发售地点</w:t>
                        </w:r>
                      </w:p>
                    </w:tc>
                    <w:tc>
                      <w:tcPr>
                        <w:tcW w:w="7772" w:type="dxa"/>
                        <w:gridSpan w:val="2"/>
                      </w:tcPr>
                      <w:p>
                        <w:pPr>
                          <w:pStyle w:val="17"/>
                          <w:spacing w:before="1"/>
                          <w:ind w:left="5"/>
                          <w:rPr>
                            <w:sz w:val="24"/>
                          </w:rPr>
                        </w:pPr>
                        <w:r>
                          <w:rPr>
                            <w:sz w:val="24"/>
                          </w:rPr>
                          <w:t>政采云平台线上获取，供应商登录政采云平</w:t>
                        </w:r>
                        <w:r>
                          <w:rPr>
                            <w:rFonts w:hint="default"/>
                            <w:sz w:val="24"/>
                          </w:rPr>
                          <w:t>台</w:t>
                        </w:r>
                        <w:r>
                          <w:rPr>
                            <w:sz w:val="24"/>
                          </w:rPr>
                          <w:br w:type="textWrapping"/>
                        </w:r>
                        <w:r>
                          <w:rPr>
                            <w:rFonts w:hint="default"/>
                            <w:sz w:val="24"/>
                          </w:rPr>
                          <w:t>https://www.zcygov.cn/在线申请获取采购文件（进入“项目采购”</w:t>
                        </w:r>
                        <w:r>
                          <w:rPr>
                            <w:sz w:val="24"/>
                          </w:rPr>
                          <w:br w:type="textWrapping"/>
                        </w:r>
                        <w:r>
                          <w:rPr>
                            <w:rFonts w:hint="default"/>
                            <w:sz w:val="24"/>
                          </w:rPr>
                          <w:t>应用，在获取采购文件菜单中选择项目，申请获取采购文件）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83" w:hRule="atLeast"/>
                    </w:trPr>
                    <w:tc>
                      <w:tcPr>
                        <w:tcW w:w="2176" w:type="dxa"/>
                      </w:tcPr>
                      <w:p>
                        <w:pPr>
                          <w:pStyle w:val="17"/>
                          <w:rPr>
                            <w:sz w:val="24"/>
                          </w:rPr>
                        </w:pPr>
                      </w:p>
                      <w:p>
                        <w:pPr>
                          <w:pStyle w:val="17"/>
                          <w:spacing w:line="362" w:lineRule="auto"/>
                          <w:ind w:right="-15"/>
                          <w:rPr>
                            <w:sz w:val="24"/>
                          </w:rPr>
                        </w:pPr>
                        <w:r>
                          <w:rPr>
                            <w:spacing w:val="-2"/>
                            <w:sz w:val="24"/>
                          </w:rPr>
                          <w:t>购买磋商文件时应提</w:t>
                        </w:r>
                        <w:r>
                          <w:rPr>
                            <w:sz w:val="24"/>
                          </w:rPr>
                          <w:t>供材料</w:t>
                        </w:r>
                      </w:p>
                    </w:tc>
                    <w:tc>
                      <w:tcPr>
                        <w:tcW w:w="7772" w:type="dxa"/>
                        <w:gridSpan w:val="2"/>
                      </w:tcPr>
                      <w:p>
                        <w:pPr>
                          <w:pStyle w:val="17"/>
                          <w:numPr>
                            <w:ilvl w:val="0"/>
                            <w:numId w:val="2"/>
                          </w:numPr>
                          <w:spacing w:line="304" w:lineRule="exact"/>
                          <w:ind w:left="5" w:right="-15"/>
                          <w:rPr>
                            <w:rFonts w:hint="default"/>
                            <w:sz w:val="24"/>
                          </w:rPr>
                        </w:pPr>
                        <w:r>
                          <w:rPr>
                            <w:rFonts w:hint="default"/>
                            <w:sz w:val="24"/>
                          </w:rPr>
                          <w:t>供应商的营业执照复印件；2、法人授权委托书（原件）及法人和</w:t>
                        </w:r>
                        <w:r>
                          <w:rPr>
                            <w:sz w:val="24"/>
                          </w:rPr>
                          <w:br w:type="textWrapping"/>
                        </w:r>
                        <w:r>
                          <w:rPr>
                            <w:rFonts w:hint="default"/>
                            <w:sz w:val="24"/>
                          </w:rPr>
                          <w:t>委托代理人身份证复印件；</w:t>
                        </w:r>
                      </w:p>
                      <w:p>
                        <w:pPr>
                          <w:pStyle w:val="17"/>
                          <w:spacing w:before="8" w:line="460" w:lineRule="atLeast"/>
                          <w:ind w:left="5" w:right="-15"/>
                          <w:rPr>
                            <w:sz w:val="24"/>
                          </w:rPr>
                        </w:pPr>
                        <w:r>
                          <w:rPr>
                            <w:sz w:val="24"/>
                          </w:rPr>
                          <w:t>注：投标供应商必须在报名时间截止前向采购代理机构提交报名资料</w:t>
                        </w:r>
                        <w:r>
                          <w:rPr>
                            <w:spacing w:val="-6"/>
                            <w:sz w:val="24"/>
                          </w:rPr>
                          <w:t>， 报名时间</w:t>
                        </w:r>
                        <w:r>
                          <w:rPr>
                            <w:sz w:val="24"/>
                          </w:rPr>
                          <w:t>截止后递交的潜在投标供应商均无资格参加此次投标。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3" w:hRule="atLeast"/>
                    </w:trPr>
                    <w:tc>
                      <w:tcPr>
                        <w:tcW w:w="2176" w:type="dxa"/>
                      </w:tcPr>
                      <w:p>
                        <w:pPr>
                          <w:pStyle w:val="17"/>
                          <w:spacing w:before="3"/>
                          <w:ind w:left="7" w:right="-15"/>
                          <w:jc w:val="center"/>
                          <w:rPr>
                            <w:sz w:val="24"/>
                          </w:rPr>
                        </w:pPr>
                        <w:r>
                          <w:rPr>
                            <w:spacing w:val="-2"/>
                            <w:sz w:val="24"/>
                          </w:rPr>
                          <w:t>响应文件递交截止时</w:t>
                        </w:r>
                      </w:p>
                      <w:p>
                        <w:pPr>
                          <w:pStyle w:val="17"/>
                          <w:spacing w:before="158"/>
                          <w:ind w:left="13"/>
                          <w:jc w:val="center"/>
                          <w:rPr>
                            <w:sz w:val="24"/>
                          </w:rPr>
                        </w:pPr>
                        <w:r>
                          <w:rPr>
                            <w:sz w:val="24"/>
                          </w:rPr>
                          <w:t>间</w:t>
                        </w:r>
                      </w:p>
                    </w:tc>
                    <w:tc>
                      <w:tcPr>
                        <w:tcW w:w="6348" w:type="dxa"/>
                        <w:tcBorders>
                          <w:right w:val="nil"/>
                        </w:tcBorders>
                      </w:tcPr>
                      <w:p>
                        <w:pPr>
                          <w:pStyle w:val="17"/>
                          <w:spacing w:before="5"/>
                          <w:rPr>
                            <w:sz w:val="18"/>
                          </w:rPr>
                        </w:pPr>
                      </w:p>
                      <w:p>
                        <w:pPr>
                          <w:pStyle w:val="17"/>
                          <w:spacing w:line="237" w:lineRule="exact"/>
                          <w:ind w:right="-15"/>
                          <w:jc w:val="both"/>
                          <w:rPr>
                            <w:sz w:val="24"/>
                          </w:rPr>
                        </w:pPr>
                        <w:r>
                          <w:rPr>
                            <w:rFonts w:hint="eastAsia"/>
                            <w:sz w:val="24"/>
                            <w:lang w:eastAsia="zh-CN"/>
                          </w:rPr>
                          <w:t xml:space="preserve">2022 年 07月 </w:t>
                        </w:r>
                        <w:r>
                          <w:rPr>
                            <w:rFonts w:hint="eastAsia"/>
                            <w:sz w:val="24"/>
                            <w:lang w:val="en-US" w:eastAsia="zh-CN"/>
                          </w:rPr>
                          <w:t>18</w:t>
                        </w:r>
                        <w:r>
                          <w:rPr>
                            <w:rFonts w:hint="eastAsia"/>
                            <w:sz w:val="24"/>
                            <w:lang w:eastAsia="zh-CN"/>
                          </w:rPr>
                          <w:t xml:space="preserve"> 日上午 09时 30 分</w:t>
                        </w:r>
                        <w:r>
                          <w:rPr>
                            <w:sz w:val="24"/>
                          </w:rPr>
                          <w:t>（北京时间）</w:t>
                        </w:r>
                      </w:p>
                    </w:tc>
                    <w:tc>
                      <w:tcPr>
                        <w:tcW w:w="1424" w:type="dxa"/>
                        <w:tcBorders>
                          <w:left w:val="nil"/>
                        </w:tcBorders>
                      </w:tcPr>
                      <w:p>
                        <w:pPr>
                          <w:pStyle w:val="17"/>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6" w:hRule="atLeast"/>
                    </w:trPr>
                    <w:tc>
                      <w:tcPr>
                        <w:tcW w:w="2176" w:type="dxa"/>
                      </w:tcPr>
                      <w:p>
                        <w:pPr>
                          <w:pStyle w:val="17"/>
                          <w:spacing w:before="2"/>
                          <w:ind w:left="607"/>
                          <w:rPr>
                            <w:sz w:val="24"/>
                          </w:rPr>
                        </w:pPr>
                        <w:r>
                          <w:rPr>
                            <w:sz w:val="24"/>
                          </w:rPr>
                          <w:t>磋商时间</w:t>
                        </w:r>
                      </w:p>
                    </w:tc>
                    <w:tc>
                      <w:tcPr>
                        <w:tcW w:w="6348" w:type="dxa"/>
                        <w:tcBorders>
                          <w:right w:val="nil"/>
                        </w:tcBorders>
                      </w:tcPr>
                      <w:p>
                        <w:pPr>
                          <w:pStyle w:val="17"/>
                          <w:spacing w:before="2" w:line="238" w:lineRule="exact"/>
                          <w:ind w:right="-15"/>
                          <w:jc w:val="both"/>
                          <w:rPr>
                            <w:sz w:val="24"/>
                          </w:rPr>
                        </w:pPr>
                        <w:r>
                          <w:rPr>
                            <w:rFonts w:hint="eastAsia"/>
                            <w:sz w:val="24"/>
                            <w:lang w:eastAsia="zh-CN"/>
                          </w:rPr>
                          <w:t xml:space="preserve">2022 年 07月 </w:t>
                        </w:r>
                        <w:r>
                          <w:rPr>
                            <w:rFonts w:hint="eastAsia"/>
                            <w:sz w:val="24"/>
                            <w:lang w:val="en-US" w:eastAsia="zh-CN"/>
                          </w:rPr>
                          <w:t>18</w:t>
                        </w:r>
                        <w:r>
                          <w:rPr>
                            <w:rFonts w:hint="eastAsia"/>
                            <w:sz w:val="24"/>
                            <w:lang w:eastAsia="zh-CN"/>
                          </w:rPr>
                          <w:t xml:space="preserve"> 日上午 09时 30 分</w:t>
                        </w:r>
                        <w:r>
                          <w:rPr>
                            <w:sz w:val="24"/>
                          </w:rPr>
                          <w:t>（北京时间）</w:t>
                        </w:r>
                      </w:p>
                    </w:tc>
                    <w:tc>
                      <w:tcPr>
                        <w:tcW w:w="1424" w:type="dxa"/>
                        <w:tcBorders>
                          <w:left w:val="nil"/>
                        </w:tcBorders>
                      </w:tcPr>
                      <w:p>
                        <w:pPr>
                          <w:pStyle w:val="17"/>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2176" w:type="dxa"/>
                      </w:tcPr>
                      <w:p>
                        <w:pPr>
                          <w:pStyle w:val="17"/>
                          <w:spacing w:before="2"/>
                          <w:ind w:left="107" w:right="94"/>
                          <w:jc w:val="center"/>
                          <w:rPr>
                            <w:sz w:val="24"/>
                          </w:rPr>
                        </w:pPr>
                        <w:r>
                          <w:rPr>
                            <w:sz w:val="24"/>
                          </w:rPr>
                          <w:t>磋商及开标地点</w:t>
                        </w:r>
                      </w:p>
                    </w:tc>
                    <w:tc>
                      <w:tcPr>
                        <w:tcW w:w="7772" w:type="dxa"/>
                        <w:gridSpan w:val="2"/>
                      </w:tcPr>
                      <w:p>
                        <w:pPr>
                          <w:pStyle w:val="17"/>
                          <w:spacing w:before="2"/>
                          <w:ind w:left="5"/>
                          <w:rPr>
                            <w:sz w:val="24"/>
                          </w:rPr>
                        </w:pPr>
                        <w:r>
                          <w:rPr>
                            <w:sz w:val="24"/>
                          </w:rPr>
                          <w:t>青海省西宁市东川工业园区民和路 59 号青海汇森招标有限公司开标室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65" w:hRule="atLeast"/>
                    </w:trPr>
                    <w:tc>
                      <w:tcPr>
                        <w:tcW w:w="2176" w:type="dxa"/>
                      </w:tcPr>
                      <w:p>
                        <w:pPr>
                          <w:pStyle w:val="17"/>
                          <w:rPr>
                            <w:sz w:val="24"/>
                          </w:rPr>
                        </w:pPr>
                      </w:p>
                      <w:p>
                        <w:pPr>
                          <w:pStyle w:val="17"/>
                          <w:spacing w:before="9"/>
                          <w:rPr>
                            <w:sz w:val="30"/>
                          </w:rPr>
                        </w:pPr>
                      </w:p>
                      <w:p>
                        <w:pPr>
                          <w:pStyle w:val="17"/>
                          <w:ind w:left="107" w:right="94"/>
                          <w:jc w:val="center"/>
                          <w:rPr>
                            <w:sz w:val="24"/>
                          </w:rPr>
                        </w:pPr>
                        <w:r>
                          <w:rPr>
                            <w:sz w:val="24"/>
                          </w:rPr>
                          <w:t>采购人及联系人</w:t>
                        </w:r>
                      </w:p>
                    </w:tc>
                    <w:tc>
                      <w:tcPr>
                        <w:tcW w:w="7772" w:type="dxa"/>
                        <w:gridSpan w:val="2"/>
                      </w:tcPr>
                      <w:p>
                        <w:pPr>
                          <w:pStyle w:val="17"/>
                          <w:spacing w:line="364" w:lineRule="auto"/>
                          <w:ind w:left="5" w:right="4149"/>
                          <w:rPr>
                            <w:rFonts w:hint="eastAsia"/>
                            <w:sz w:val="24"/>
                            <w:lang w:eastAsia="zh-CN"/>
                          </w:rPr>
                        </w:pPr>
                        <w:r>
                          <w:rPr>
                            <w:sz w:val="24"/>
                          </w:rPr>
                          <w:t>采购人：</w:t>
                        </w:r>
                        <w:r>
                          <w:rPr>
                            <w:rFonts w:hint="eastAsia"/>
                            <w:sz w:val="24"/>
                            <w:lang w:eastAsia="zh-CN"/>
                          </w:rPr>
                          <w:t>西宁市城东区文化馆</w:t>
                        </w:r>
                      </w:p>
                      <w:p>
                        <w:pPr>
                          <w:pStyle w:val="17"/>
                          <w:spacing w:line="364" w:lineRule="auto"/>
                          <w:ind w:left="5" w:right="4149"/>
                          <w:rPr>
                            <w:rFonts w:hint="eastAsia" w:eastAsia="宋体"/>
                            <w:sz w:val="24"/>
                            <w:lang w:eastAsia="zh-CN"/>
                          </w:rPr>
                        </w:pPr>
                        <w:r>
                          <w:rPr>
                            <w:sz w:val="24"/>
                          </w:rPr>
                          <w:t>联系人：</w:t>
                        </w:r>
                        <w:r>
                          <w:rPr>
                            <w:rFonts w:hint="eastAsia"/>
                            <w:sz w:val="24"/>
                            <w:lang w:val="en-US" w:eastAsia="zh-CN"/>
                          </w:rPr>
                          <w:t>赵老师</w:t>
                        </w:r>
                      </w:p>
                      <w:p>
                        <w:pPr>
                          <w:pStyle w:val="17"/>
                          <w:spacing w:line="306" w:lineRule="exact"/>
                          <w:ind w:left="5"/>
                          <w:rPr>
                            <w:sz w:val="24"/>
                          </w:rPr>
                        </w:pPr>
                        <w:r>
                          <w:rPr>
                            <w:sz w:val="24"/>
                          </w:rPr>
                          <w:t>联系电话：</w:t>
                        </w:r>
                        <w:r>
                          <w:rPr>
                            <w:rFonts w:ascii="宋体" w:hAnsi="宋体" w:eastAsia="宋体" w:cs="宋体"/>
                            <w:sz w:val="24"/>
                            <w:szCs w:val="24"/>
                          </w:rPr>
                          <w:t>0971-8177316</w:t>
                        </w:r>
                      </w:p>
                      <w:p>
                        <w:pPr>
                          <w:pStyle w:val="17"/>
                          <w:spacing w:before="160"/>
                          <w:ind w:left="5"/>
                          <w:rPr>
                            <w:sz w:val="24"/>
                          </w:rPr>
                        </w:pPr>
                        <w:r>
                          <w:rPr>
                            <w:sz w:val="24"/>
                          </w:rPr>
                          <w:t>地址：</w:t>
                        </w:r>
                        <w:r>
                          <w:rPr>
                            <w:rFonts w:ascii="宋体" w:hAnsi="宋体" w:eastAsia="宋体" w:cs="宋体"/>
                            <w:sz w:val="24"/>
                            <w:szCs w:val="24"/>
                          </w:rPr>
                          <w:t>西宁市城东区文化馆</w:t>
                        </w:r>
                      </w:p>
                    </w:tc>
                  </w:tr>
                </w:tbl>
                <w:p>
                  <w:pPr>
                    <w:pStyle w:val="8"/>
                  </w:pPr>
                </w:p>
              </w:txbxContent>
            </v:textbox>
          </v:shape>
        </w:pict>
      </w:r>
      <w:r>
        <w:t>，</w:t>
      </w:r>
    </w:p>
    <w:p>
      <w:pPr>
        <w:spacing w:after="0"/>
        <w:jc w:val="right"/>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35" o:spid="_x0000_s1035" o:spt="20" style="position:absolute;left:0pt;margin-left:62.4pt;margin-top:12.25pt;height:0pt;width:400.4pt;mso-position-horizontal-relative:page;z-index:251688960;mso-width-relative:page;mso-height-relative:page;" stroked="t" coordsize="21600,21600">
            <v:path arrowok="t"/>
            <v:fill focussize="0,0"/>
            <v:stroke weight="0.36pt" color="#000000"/>
            <v:imagedata o:title=""/>
            <o:lock v:ext="edit"/>
          </v:line>
        </w:pict>
      </w:r>
      <w:bookmarkStart w:id="8" w:name="第二章  磋商响应人须知前附表"/>
      <w:bookmarkEnd w:id="8"/>
      <w:r>
        <w:rPr>
          <w:rFonts w:hint="eastAsia"/>
          <w:sz w:val="18"/>
          <w:lang w:eastAsia="zh-CN"/>
        </w:rPr>
        <w:t xml:space="preserve"> </w:t>
      </w:r>
    </w:p>
    <w:p>
      <w:pPr>
        <w:pStyle w:val="8"/>
        <w:rPr>
          <w:sz w:val="20"/>
        </w:rPr>
      </w:pPr>
    </w:p>
    <w:p>
      <w:pPr>
        <w:pStyle w:val="8"/>
        <w:spacing w:before="7"/>
        <w:rPr>
          <w:sz w:val="10"/>
        </w:rPr>
      </w:pPr>
    </w:p>
    <w:tbl>
      <w:tblPr>
        <w:tblStyle w:val="13"/>
        <w:tblW w:w="0" w:type="auto"/>
        <w:tblInd w:w="12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76"/>
        <w:gridCol w:w="77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3" w:hRule="atLeast"/>
        </w:trPr>
        <w:tc>
          <w:tcPr>
            <w:tcW w:w="2176" w:type="dxa"/>
          </w:tcPr>
          <w:p>
            <w:pPr>
              <w:pStyle w:val="17"/>
              <w:rPr>
                <w:sz w:val="24"/>
              </w:rPr>
            </w:pPr>
          </w:p>
          <w:p>
            <w:pPr>
              <w:pStyle w:val="17"/>
              <w:spacing w:before="10"/>
              <w:rPr>
                <w:sz w:val="30"/>
              </w:rPr>
            </w:pPr>
          </w:p>
          <w:p>
            <w:pPr>
              <w:pStyle w:val="17"/>
              <w:spacing w:line="362" w:lineRule="auto"/>
              <w:ind w:left="487" w:right="231" w:hanging="240"/>
              <w:rPr>
                <w:sz w:val="24"/>
              </w:rPr>
            </w:pPr>
            <w:r>
              <w:rPr>
                <w:sz w:val="24"/>
              </w:rPr>
              <w:t>采购代理机构及联系人电话</w:t>
            </w:r>
          </w:p>
        </w:tc>
        <w:tc>
          <w:tcPr>
            <w:tcW w:w="7772" w:type="dxa"/>
          </w:tcPr>
          <w:p>
            <w:pPr>
              <w:pStyle w:val="17"/>
              <w:spacing w:before="1"/>
              <w:ind w:left="5"/>
              <w:rPr>
                <w:sz w:val="24"/>
              </w:rPr>
            </w:pPr>
            <w:r>
              <w:rPr>
                <w:sz w:val="24"/>
              </w:rPr>
              <w:t>采购代理机构：青海汇森招标有限公司</w:t>
            </w:r>
          </w:p>
          <w:p>
            <w:pPr>
              <w:pStyle w:val="17"/>
              <w:spacing w:before="159" w:line="364" w:lineRule="auto"/>
              <w:ind w:left="5" w:right="2683"/>
              <w:rPr>
                <w:sz w:val="24"/>
              </w:rPr>
            </w:pPr>
            <w:r>
              <w:rPr>
                <w:sz w:val="24"/>
              </w:rPr>
              <w:t xml:space="preserve">地址：青海省西宁市东川工业园区民和路 </w:t>
            </w:r>
            <w:r>
              <w:rPr>
                <w:rFonts w:ascii="Arial" w:eastAsia="Arial"/>
                <w:sz w:val="24"/>
              </w:rPr>
              <w:t>59</w:t>
            </w:r>
            <w:r>
              <w:rPr>
                <w:rFonts w:ascii="Arial" w:eastAsia="Arial"/>
                <w:spacing w:val="52"/>
                <w:sz w:val="24"/>
              </w:rPr>
              <w:t xml:space="preserve"> </w:t>
            </w:r>
            <w:r>
              <w:rPr>
                <w:spacing w:val="-17"/>
                <w:sz w:val="24"/>
              </w:rPr>
              <w:t>号</w:t>
            </w:r>
            <w:r>
              <w:rPr>
                <w:sz w:val="24"/>
              </w:rPr>
              <w:t>标书购买联系人：</w:t>
            </w:r>
            <w:r>
              <w:rPr>
                <w:rFonts w:hint="eastAsia"/>
                <w:sz w:val="24"/>
                <w:lang w:val="en-US" w:eastAsia="zh-CN"/>
              </w:rPr>
              <w:t>李</w:t>
            </w:r>
            <w:r>
              <w:rPr>
                <w:sz w:val="24"/>
              </w:rPr>
              <w:t>先生</w:t>
            </w:r>
          </w:p>
          <w:p>
            <w:pPr>
              <w:pStyle w:val="17"/>
              <w:spacing w:before="1"/>
              <w:ind w:left="5"/>
              <w:rPr>
                <w:rFonts w:ascii="Arial" w:eastAsia="Arial"/>
                <w:sz w:val="24"/>
              </w:rPr>
            </w:pPr>
            <w:r>
              <w:rPr>
                <w:sz w:val="24"/>
              </w:rPr>
              <w:t>电话：</w:t>
            </w:r>
            <w:r>
              <w:rPr>
                <w:rFonts w:ascii="Arial" w:eastAsia="Arial"/>
                <w:sz w:val="24"/>
              </w:rPr>
              <w:t>0971-6182918</w:t>
            </w:r>
          </w:p>
          <w:p>
            <w:pPr>
              <w:pStyle w:val="17"/>
              <w:spacing w:before="158"/>
              <w:ind w:left="5"/>
              <w:rPr>
                <w:rFonts w:ascii="Arial" w:eastAsia="Arial"/>
                <w:sz w:val="24"/>
              </w:rPr>
            </w:pPr>
            <w:r>
              <w:rPr>
                <w:sz w:val="24"/>
              </w:rPr>
              <w:t>电子邮箱：</w:t>
            </w:r>
            <w:r>
              <w:fldChar w:fldCharType="begin"/>
            </w:r>
            <w:r>
              <w:instrText xml:space="preserve"> HYPERLINK "mailto:qhhszb@163.com" \h </w:instrText>
            </w:r>
            <w:r>
              <w:fldChar w:fldCharType="separate"/>
            </w:r>
            <w:r>
              <w:rPr>
                <w:rFonts w:ascii="Arial" w:eastAsia="Arial"/>
                <w:sz w:val="24"/>
              </w:rPr>
              <w:t>qhhszb@163.com</w:t>
            </w:r>
            <w:r>
              <w:rPr>
                <w:rFonts w:ascii="Arial" w:eastAsia="Arial"/>
                <w:sz w:val="24"/>
              </w:rPr>
              <w:fldChar w:fldCharType="end"/>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4" w:hRule="atLeast"/>
        </w:trPr>
        <w:tc>
          <w:tcPr>
            <w:tcW w:w="2176" w:type="dxa"/>
          </w:tcPr>
          <w:p>
            <w:pPr>
              <w:pStyle w:val="17"/>
              <w:spacing w:before="2"/>
              <w:ind w:left="107" w:right="94"/>
              <w:jc w:val="center"/>
              <w:rPr>
                <w:sz w:val="24"/>
              </w:rPr>
            </w:pPr>
            <w:r>
              <w:rPr>
                <w:sz w:val="24"/>
              </w:rPr>
              <w:t>采购代理机构</w:t>
            </w:r>
          </w:p>
          <w:p>
            <w:pPr>
              <w:pStyle w:val="17"/>
              <w:spacing w:before="158"/>
              <w:ind w:left="107" w:right="94"/>
              <w:jc w:val="center"/>
              <w:rPr>
                <w:sz w:val="24"/>
              </w:rPr>
            </w:pPr>
            <w:r>
              <w:rPr>
                <w:sz w:val="24"/>
              </w:rPr>
              <w:t>开户银行</w:t>
            </w:r>
          </w:p>
        </w:tc>
        <w:tc>
          <w:tcPr>
            <w:tcW w:w="7772" w:type="dxa"/>
          </w:tcPr>
          <w:p>
            <w:pPr>
              <w:pStyle w:val="17"/>
              <w:spacing w:before="4"/>
              <w:rPr>
                <w:sz w:val="18"/>
              </w:rPr>
            </w:pPr>
          </w:p>
          <w:p>
            <w:pPr>
              <w:pStyle w:val="17"/>
              <w:ind w:left="5"/>
              <w:rPr>
                <w:sz w:val="24"/>
              </w:rPr>
            </w:pPr>
            <w:r>
              <w:rPr>
                <w:sz w:val="24"/>
              </w:rPr>
              <w:t>中国工商银行股份有限公司西宁西川支行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2176" w:type="dxa"/>
          </w:tcPr>
          <w:p>
            <w:pPr>
              <w:pStyle w:val="17"/>
              <w:spacing w:before="1"/>
              <w:ind w:left="107" w:right="94"/>
              <w:jc w:val="center"/>
              <w:rPr>
                <w:sz w:val="24"/>
              </w:rPr>
            </w:pPr>
            <w:r>
              <w:rPr>
                <w:sz w:val="24"/>
              </w:rPr>
              <w:t>收款人</w:t>
            </w:r>
          </w:p>
        </w:tc>
        <w:tc>
          <w:tcPr>
            <w:tcW w:w="7772" w:type="dxa"/>
          </w:tcPr>
          <w:p>
            <w:pPr>
              <w:pStyle w:val="17"/>
              <w:spacing w:before="1"/>
              <w:ind w:left="5"/>
              <w:rPr>
                <w:sz w:val="24"/>
              </w:rPr>
            </w:pPr>
            <w:r>
              <w:rPr>
                <w:sz w:val="24"/>
              </w:rPr>
              <w:t>青海汇森招标有限公司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34" w:hRule="atLeast"/>
        </w:trPr>
        <w:tc>
          <w:tcPr>
            <w:tcW w:w="2176" w:type="dxa"/>
          </w:tcPr>
          <w:p>
            <w:pPr>
              <w:pStyle w:val="17"/>
              <w:spacing w:before="3"/>
              <w:rPr>
                <w:sz w:val="18"/>
              </w:rPr>
            </w:pPr>
          </w:p>
          <w:p>
            <w:pPr>
              <w:pStyle w:val="17"/>
              <w:spacing w:before="1"/>
              <w:ind w:left="107" w:right="94"/>
              <w:jc w:val="center"/>
              <w:rPr>
                <w:sz w:val="24"/>
              </w:rPr>
            </w:pPr>
            <w:r>
              <w:rPr>
                <w:sz w:val="24"/>
              </w:rPr>
              <w:t>银行账号</w:t>
            </w:r>
          </w:p>
        </w:tc>
        <w:tc>
          <w:tcPr>
            <w:tcW w:w="7772" w:type="dxa"/>
          </w:tcPr>
          <w:p>
            <w:pPr>
              <w:pStyle w:val="17"/>
              <w:spacing w:before="1"/>
              <w:ind w:left="5"/>
              <w:rPr>
                <w:sz w:val="24"/>
              </w:rPr>
            </w:pPr>
            <w:r>
              <w:rPr>
                <w:sz w:val="24"/>
              </w:rPr>
              <w:t>2806001909200050709</w:t>
            </w:r>
          </w:p>
          <w:p>
            <w:pPr>
              <w:pStyle w:val="17"/>
              <w:spacing w:before="159"/>
              <w:ind w:left="5"/>
              <w:rPr>
                <w:b/>
                <w:sz w:val="24"/>
              </w:rPr>
            </w:pPr>
            <w:r>
              <w:rPr>
                <w:b/>
                <w:sz w:val="24"/>
              </w:rPr>
              <w:t>注：（成交服务费、磋商保证金支付账号）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trPr>
        <w:tc>
          <w:tcPr>
            <w:tcW w:w="2176" w:type="dxa"/>
          </w:tcPr>
          <w:p>
            <w:pPr>
              <w:pStyle w:val="17"/>
              <w:spacing w:before="2"/>
              <w:rPr>
                <w:sz w:val="18"/>
              </w:rPr>
            </w:pPr>
          </w:p>
          <w:p>
            <w:pPr>
              <w:pStyle w:val="17"/>
              <w:spacing w:before="1"/>
              <w:ind w:left="107" w:right="94"/>
              <w:jc w:val="center"/>
              <w:rPr>
                <w:sz w:val="24"/>
              </w:rPr>
            </w:pPr>
            <w:r>
              <w:rPr>
                <w:sz w:val="24"/>
              </w:rPr>
              <w:t>其他事项</w:t>
            </w:r>
          </w:p>
        </w:tc>
        <w:tc>
          <w:tcPr>
            <w:tcW w:w="7772" w:type="dxa"/>
          </w:tcPr>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1.本次招标采用线上提交响应文件的方式进行采购，线上响应文件必须在响应文件递交截止时间前上传平台。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 若 对 项 目 采 购 电 子 交 易 系 统 操 作 有 疑 问 ， 可 登 录 政 采 云 （https://www.zcygov.cn/），点击右侧咨询小采，获取采小蜜智能服务管家帮助，或拨打政采云服务热线 400-881-7190 获取热线服务 帮助。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3.CA 咨询：PC 咨询网址（可及时反馈问题截图，让客服快速定位问 </w:t>
            </w:r>
          </w:p>
          <w:p>
            <w:pPr>
              <w:keepNext w:val="0"/>
              <w:keepLines w:val="0"/>
              <w:widowControl/>
              <w:suppressLineNumbers w:val="0"/>
              <w:jc w:val="left"/>
              <w:rPr>
                <w:sz w:val="24"/>
              </w:rPr>
            </w:pPr>
            <w:r>
              <w:rPr>
                <w:rFonts w:hint="eastAsia" w:ascii="宋体" w:hAnsi="宋体" w:eastAsia="宋体" w:cs="宋体"/>
                <w:color w:val="000000"/>
                <w:kern w:val="0"/>
                <w:sz w:val="24"/>
                <w:szCs w:val="24"/>
                <w:lang w:val="en-US" w:eastAsia="zh-CN" w:bidi="ar"/>
              </w:rPr>
              <w:t>题）:http://tseal.cn/k.html，咨询电话：400-0878-198。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2" w:hRule="atLeast"/>
        </w:trPr>
        <w:tc>
          <w:tcPr>
            <w:tcW w:w="2176" w:type="dxa"/>
          </w:tcPr>
          <w:p>
            <w:pPr>
              <w:pStyle w:val="17"/>
              <w:spacing w:before="4"/>
              <w:rPr>
                <w:sz w:val="18"/>
              </w:rPr>
            </w:pPr>
          </w:p>
          <w:p>
            <w:pPr>
              <w:pStyle w:val="17"/>
              <w:ind w:left="107" w:right="94"/>
              <w:jc w:val="center"/>
              <w:rPr>
                <w:sz w:val="24"/>
              </w:rPr>
            </w:pPr>
            <w:r>
              <w:rPr>
                <w:sz w:val="24"/>
              </w:rPr>
              <w:t>财政部门监督电话</w:t>
            </w:r>
          </w:p>
        </w:tc>
        <w:tc>
          <w:tcPr>
            <w:tcW w:w="7772" w:type="dxa"/>
          </w:tcPr>
          <w:p>
            <w:pPr>
              <w:pStyle w:val="17"/>
              <w:spacing w:before="2"/>
              <w:ind w:left="5"/>
              <w:rPr>
                <w:rFonts w:hint="default" w:eastAsia="宋体"/>
                <w:sz w:val="24"/>
                <w:lang w:val="en-US" w:eastAsia="zh-CN"/>
              </w:rPr>
            </w:pPr>
            <w:r>
              <w:rPr>
                <w:sz w:val="24"/>
              </w:rPr>
              <w:t>单位名称：</w:t>
            </w:r>
            <w:r>
              <w:rPr>
                <w:rFonts w:hint="eastAsia"/>
                <w:sz w:val="24"/>
                <w:lang w:val="en-US" w:eastAsia="zh-CN"/>
              </w:rPr>
              <w:t>城东区财政局</w:t>
            </w:r>
          </w:p>
          <w:p>
            <w:pPr>
              <w:pStyle w:val="17"/>
              <w:spacing w:before="158"/>
              <w:ind w:left="5"/>
              <w:rPr>
                <w:sz w:val="24"/>
              </w:rPr>
            </w:pPr>
            <w:r>
              <w:rPr>
                <w:sz w:val="24"/>
              </w:rPr>
              <w:t>联系电话：0971—8175341</w:t>
            </w:r>
          </w:p>
        </w:tc>
      </w:tr>
    </w:tbl>
    <w:p>
      <w:pPr>
        <w:spacing w:after="0"/>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36" o:spid="_x0000_s1036" o:spt="20" style="position:absolute;left:0pt;margin-left:62.4pt;margin-top:12.25pt;height:0pt;width:400.4pt;mso-position-horizontal-relative:page;z-index:25168998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10"/>
        <w:rPr>
          <w:sz w:val="26"/>
        </w:rPr>
      </w:pPr>
    </w:p>
    <w:p>
      <w:pPr>
        <w:pStyle w:val="4"/>
        <w:tabs>
          <w:tab w:val="left" w:pos="1878"/>
        </w:tabs>
        <w:ind w:left="438" w:right="0"/>
        <w:outlineLvl w:val="0"/>
      </w:pPr>
      <w:bookmarkStart w:id="9" w:name="_Toc22254"/>
      <w:r>
        <w:t>第二章</w:t>
      </w:r>
      <w:r>
        <w:tab/>
      </w:r>
      <w:r>
        <w:t>磋商响应人须知前附表</w:t>
      </w:r>
      <w:bookmarkEnd w:id="9"/>
    </w:p>
    <w:p>
      <w:pPr>
        <w:pStyle w:val="8"/>
        <w:spacing w:before="6"/>
        <w:rPr>
          <w:sz w:val="18"/>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8"/>
        <w:gridCol w:w="3224"/>
        <w:gridCol w:w="60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58" w:type="dxa"/>
          </w:tcPr>
          <w:p>
            <w:pPr>
              <w:pStyle w:val="17"/>
              <w:spacing w:before="2"/>
              <w:ind w:left="167" w:right="160"/>
              <w:jc w:val="center"/>
              <w:rPr>
                <w:sz w:val="24"/>
              </w:rPr>
            </w:pPr>
            <w:r>
              <w:rPr>
                <w:sz w:val="24"/>
              </w:rPr>
              <w:t>序号</w:t>
            </w:r>
          </w:p>
        </w:tc>
        <w:tc>
          <w:tcPr>
            <w:tcW w:w="3224" w:type="dxa"/>
          </w:tcPr>
          <w:p>
            <w:pPr>
              <w:pStyle w:val="17"/>
              <w:spacing w:before="2"/>
              <w:ind w:left="152" w:right="142"/>
              <w:jc w:val="center"/>
              <w:rPr>
                <w:sz w:val="24"/>
              </w:rPr>
            </w:pPr>
            <w:r>
              <w:rPr>
                <w:sz w:val="24"/>
              </w:rPr>
              <w:t>条款名称</w:t>
            </w:r>
          </w:p>
        </w:tc>
        <w:tc>
          <w:tcPr>
            <w:tcW w:w="6058" w:type="dxa"/>
          </w:tcPr>
          <w:p>
            <w:pPr>
              <w:pStyle w:val="17"/>
              <w:spacing w:before="2"/>
              <w:ind w:left="2527" w:right="2520"/>
              <w:jc w:val="center"/>
              <w:rPr>
                <w:sz w:val="24"/>
              </w:rPr>
            </w:pPr>
            <w:r>
              <w:rPr>
                <w:sz w:val="24"/>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7" w:hRule="atLeast"/>
        </w:trPr>
        <w:tc>
          <w:tcPr>
            <w:tcW w:w="858" w:type="dxa"/>
          </w:tcPr>
          <w:p>
            <w:pPr>
              <w:pStyle w:val="17"/>
              <w:rPr>
                <w:sz w:val="24"/>
              </w:rPr>
            </w:pPr>
          </w:p>
          <w:p>
            <w:pPr>
              <w:pStyle w:val="17"/>
              <w:spacing w:before="9"/>
              <w:rPr>
                <w:sz w:val="30"/>
              </w:rPr>
            </w:pPr>
          </w:p>
          <w:p>
            <w:pPr>
              <w:pStyle w:val="17"/>
              <w:ind w:left="7"/>
              <w:jc w:val="center"/>
              <w:rPr>
                <w:sz w:val="24"/>
              </w:rPr>
            </w:pPr>
            <w:r>
              <w:rPr>
                <w:sz w:val="24"/>
              </w:rPr>
              <w:t>1</w:t>
            </w:r>
          </w:p>
        </w:tc>
        <w:tc>
          <w:tcPr>
            <w:tcW w:w="3224" w:type="dxa"/>
          </w:tcPr>
          <w:p>
            <w:pPr>
              <w:pStyle w:val="17"/>
              <w:rPr>
                <w:sz w:val="24"/>
              </w:rPr>
            </w:pPr>
          </w:p>
          <w:p>
            <w:pPr>
              <w:pStyle w:val="17"/>
              <w:spacing w:before="9"/>
              <w:rPr>
                <w:sz w:val="30"/>
              </w:rPr>
            </w:pPr>
          </w:p>
          <w:p>
            <w:pPr>
              <w:pStyle w:val="17"/>
              <w:ind w:left="152" w:right="142"/>
              <w:jc w:val="center"/>
              <w:rPr>
                <w:sz w:val="24"/>
              </w:rPr>
            </w:pPr>
            <w:r>
              <w:rPr>
                <w:sz w:val="24"/>
              </w:rPr>
              <w:t>采购人</w:t>
            </w:r>
          </w:p>
        </w:tc>
        <w:tc>
          <w:tcPr>
            <w:tcW w:w="6058" w:type="dxa"/>
          </w:tcPr>
          <w:p>
            <w:pPr>
              <w:pStyle w:val="17"/>
              <w:spacing w:before="161"/>
              <w:ind w:left="106"/>
              <w:rPr>
                <w:rFonts w:hint="eastAsia" w:eastAsia="宋体"/>
                <w:sz w:val="24"/>
                <w:lang w:eastAsia="zh-CN"/>
              </w:rPr>
            </w:pPr>
            <w:r>
              <w:rPr>
                <w:rFonts w:hint="eastAsia" w:eastAsia="宋体"/>
                <w:sz w:val="24"/>
                <w:lang w:eastAsia="zh-CN"/>
              </w:rPr>
              <w:t>采购人：西宁市城东区文化馆</w:t>
            </w:r>
          </w:p>
          <w:p>
            <w:pPr>
              <w:pStyle w:val="17"/>
              <w:spacing w:before="161"/>
              <w:ind w:left="106"/>
              <w:rPr>
                <w:rFonts w:hint="eastAsia" w:eastAsia="宋体"/>
                <w:sz w:val="24"/>
                <w:lang w:eastAsia="zh-CN"/>
              </w:rPr>
            </w:pPr>
            <w:r>
              <w:rPr>
                <w:rFonts w:hint="eastAsia" w:eastAsia="宋体"/>
                <w:sz w:val="24"/>
                <w:lang w:eastAsia="zh-CN"/>
              </w:rPr>
              <w:t>联系人：</w:t>
            </w:r>
            <w:r>
              <w:rPr>
                <w:rFonts w:hint="eastAsia" w:eastAsia="宋体"/>
                <w:sz w:val="24"/>
                <w:lang w:val="en-US" w:eastAsia="zh-CN"/>
              </w:rPr>
              <w:t>赵老师</w:t>
            </w:r>
          </w:p>
          <w:p>
            <w:pPr>
              <w:pStyle w:val="17"/>
              <w:spacing w:before="161"/>
              <w:ind w:left="106"/>
              <w:rPr>
                <w:rFonts w:hint="eastAsia" w:eastAsia="宋体"/>
                <w:sz w:val="24"/>
                <w:lang w:eastAsia="zh-CN"/>
              </w:rPr>
            </w:pPr>
            <w:r>
              <w:rPr>
                <w:rFonts w:hint="eastAsia" w:eastAsia="宋体"/>
                <w:sz w:val="24"/>
                <w:lang w:eastAsia="zh-CN"/>
              </w:rPr>
              <w:t>联系电话：0971-8177316</w:t>
            </w:r>
          </w:p>
          <w:p>
            <w:pPr>
              <w:pStyle w:val="17"/>
              <w:spacing w:before="161"/>
              <w:ind w:left="106"/>
              <w:rPr>
                <w:rFonts w:hint="eastAsia" w:eastAsia="宋体"/>
                <w:sz w:val="24"/>
                <w:lang w:eastAsia="zh-CN"/>
              </w:rPr>
            </w:pPr>
            <w:r>
              <w:rPr>
                <w:rFonts w:hint="eastAsia" w:eastAsia="宋体"/>
                <w:sz w:val="24"/>
                <w:lang w:eastAsia="zh-CN"/>
              </w:rPr>
              <w:t>地址：西宁市城东区文化馆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4" w:hRule="atLeast"/>
        </w:trPr>
        <w:tc>
          <w:tcPr>
            <w:tcW w:w="858" w:type="dxa"/>
          </w:tcPr>
          <w:p>
            <w:pPr>
              <w:pStyle w:val="17"/>
              <w:rPr>
                <w:sz w:val="24"/>
              </w:rPr>
            </w:pPr>
          </w:p>
          <w:p>
            <w:pPr>
              <w:pStyle w:val="17"/>
              <w:rPr>
                <w:sz w:val="24"/>
              </w:rPr>
            </w:pPr>
          </w:p>
          <w:p>
            <w:pPr>
              <w:pStyle w:val="17"/>
              <w:spacing w:before="10"/>
              <w:rPr>
                <w:sz w:val="24"/>
              </w:rPr>
            </w:pPr>
          </w:p>
          <w:p>
            <w:pPr>
              <w:pStyle w:val="17"/>
              <w:ind w:left="7"/>
              <w:jc w:val="center"/>
              <w:rPr>
                <w:sz w:val="24"/>
              </w:rPr>
            </w:pPr>
            <w:r>
              <w:rPr>
                <w:sz w:val="24"/>
              </w:rPr>
              <w:t>2</w:t>
            </w:r>
          </w:p>
        </w:tc>
        <w:tc>
          <w:tcPr>
            <w:tcW w:w="3224" w:type="dxa"/>
          </w:tcPr>
          <w:p>
            <w:pPr>
              <w:pStyle w:val="17"/>
              <w:rPr>
                <w:sz w:val="24"/>
              </w:rPr>
            </w:pPr>
          </w:p>
          <w:p>
            <w:pPr>
              <w:pStyle w:val="17"/>
              <w:rPr>
                <w:sz w:val="24"/>
              </w:rPr>
            </w:pPr>
          </w:p>
          <w:p>
            <w:pPr>
              <w:pStyle w:val="17"/>
              <w:spacing w:before="10"/>
              <w:rPr>
                <w:sz w:val="24"/>
              </w:rPr>
            </w:pPr>
          </w:p>
          <w:p>
            <w:pPr>
              <w:pStyle w:val="17"/>
              <w:ind w:left="152" w:right="142"/>
              <w:jc w:val="center"/>
              <w:rPr>
                <w:sz w:val="24"/>
              </w:rPr>
            </w:pPr>
            <w:r>
              <w:rPr>
                <w:sz w:val="24"/>
              </w:rPr>
              <w:t>采购代理机构</w:t>
            </w:r>
          </w:p>
        </w:tc>
        <w:tc>
          <w:tcPr>
            <w:tcW w:w="6058" w:type="dxa"/>
          </w:tcPr>
          <w:p>
            <w:pPr>
              <w:pStyle w:val="17"/>
              <w:spacing w:before="2"/>
              <w:ind w:left="106"/>
              <w:rPr>
                <w:sz w:val="24"/>
              </w:rPr>
            </w:pPr>
            <w:r>
              <w:rPr>
                <w:sz w:val="24"/>
              </w:rPr>
              <w:t>采购代理机构：青海汇森招标有限公司</w:t>
            </w:r>
          </w:p>
          <w:p>
            <w:pPr>
              <w:pStyle w:val="17"/>
              <w:spacing w:before="158" w:line="362" w:lineRule="auto"/>
              <w:ind w:left="106" w:right="872"/>
              <w:rPr>
                <w:rFonts w:hint="eastAsia" w:eastAsia="宋体"/>
                <w:sz w:val="24"/>
                <w:lang w:eastAsia="zh-CN"/>
              </w:rPr>
            </w:pPr>
            <w:r>
              <w:rPr>
                <w:sz w:val="24"/>
              </w:rPr>
              <w:t xml:space="preserve">地址：青海省西宁市东川工业园区民和路 </w:t>
            </w:r>
            <w:r>
              <w:rPr>
                <w:rFonts w:ascii="Arial" w:eastAsia="Arial"/>
                <w:sz w:val="24"/>
              </w:rPr>
              <w:t>59</w:t>
            </w:r>
            <w:r>
              <w:rPr>
                <w:rFonts w:ascii="Arial" w:eastAsia="Arial"/>
                <w:spacing w:val="52"/>
                <w:sz w:val="24"/>
              </w:rPr>
              <w:t xml:space="preserve"> </w:t>
            </w:r>
            <w:r>
              <w:rPr>
                <w:spacing w:val="-16"/>
                <w:sz w:val="24"/>
              </w:rPr>
              <w:t>号</w:t>
            </w:r>
            <w:r>
              <w:rPr>
                <w:sz w:val="24"/>
              </w:rPr>
              <w:t>标书购买联系人：</w:t>
            </w:r>
            <w:r>
              <w:rPr>
                <w:rFonts w:hint="eastAsia"/>
                <w:sz w:val="24"/>
                <w:lang w:eastAsia="zh-CN"/>
              </w:rPr>
              <w:t>李先生</w:t>
            </w:r>
          </w:p>
          <w:p>
            <w:pPr>
              <w:pStyle w:val="17"/>
              <w:spacing w:before="5"/>
              <w:ind w:left="106"/>
              <w:rPr>
                <w:rFonts w:ascii="Arial" w:eastAsia="Arial"/>
                <w:sz w:val="24"/>
              </w:rPr>
            </w:pPr>
            <w:r>
              <w:rPr>
                <w:sz w:val="24"/>
              </w:rPr>
              <w:t>电话：</w:t>
            </w:r>
            <w:r>
              <w:rPr>
                <w:rFonts w:ascii="Arial" w:eastAsia="Arial"/>
                <w:sz w:val="24"/>
              </w:rPr>
              <w:t>0971-6182918</w:t>
            </w:r>
          </w:p>
          <w:p>
            <w:pPr>
              <w:pStyle w:val="17"/>
              <w:spacing w:before="160"/>
              <w:ind w:left="106"/>
              <w:rPr>
                <w:rFonts w:ascii="Arial" w:eastAsia="Arial"/>
                <w:sz w:val="24"/>
              </w:rPr>
            </w:pPr>
            <w:r>
              <w:rPr>
                <w:sz w:val="24"/>
              </w:rPr>
              <w:t>电子邮箱：</w:t>
            </w:r>
            <w:r>
              <w:fldChar w:fldCharType="begin"/>
            </w:r>
            <w:r>
              <w:instrText xml:space="preserve"> HYPERLINK "mailto:qhhszb@163.com" \h </w:instrText>
            </w:r>
            <w:r>
              <w:fldChar w:fldCharType="separate"/>
            </w:r>
            <w:r>
              <w:rPr>
                <w:rFonts w:ascii="Arial" w:eastAsia="Arial"/>
                <w:sz w:val="24"/>
              </w:rPr>
              <w:t>qhhszb@163.com</w:t>
            </w:r>
            <w:r>
              <w:rPr>
                <w:rFonts w:ascii="Arial" w:eastAsia="Arial"/>
                <w:sz w:val="24"/>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58" w:type="dxa"/>
          </w:tcPr>
          <w:p>
            <w:pPr>
              <w:pStyle w:val="17"/>
              <w:spacing w:before="2"/>
              <w:ind w:left="7"/>
              <w:jc w:val="center"/>
              <w:rPr>
                <w:sz w:val="24"/>
              </w:rPr>
            </w:pPr>
            <w:r>
              <w:rPr>
                <w:sz w:val="24"/>
              </w:rPr>
              <w:t>3</w:t>
            </w:r>
          </w:p>
        </w:tc>
        <w:tc>
          <w:tcPr>
            <w:tcW w:w="3224" w:type="dxa"/>
          </w:tcPr>
          <w:p>
            <w:pPr>
              <w:pStyle w:val="17"/>
              <w:spacing w:before="2"/>
              <w:ind w:left="152" w:right="142"/>
              <w:jc w:val="center"/>
              <w:rPr>
                <w:sz w:val="24"/>
              </w:rPr>
            </w:pPr>
            <w:r>
              <w:rPr>
                <w:sz w:val="24"/>
              </w:rPr>
              <w:t>项目名称</w:t>
            </w:r>
          </w:p>
        </w:tc>
        <w:tc>
          <w:tcPr>
            <w:tcW w:w="6058" w:type="dxa"/>
          </w:tcPr>
          <w:p>
            <w:pPr>
              <w:pStyle w:val="17"/>
              <w:spacing w:before="2"/>
              <w:ind w:left="106"/>
              <w:rPr>
                <w:rFonts w:hint="eastAsia" w:eastAsia="宋体"/>
                <w:sz w:val="24"/>
                <w:lang w:eastAsia="zh-CN"/>
              </w:rPr>
            </w:pPr>
            <w:r>
              <w:rPr>
                <w:rFonts w:hint="eastAsia"/>
                <w:sz w:val="24"/>
                <w:lang w:eastAsia="zh-CN"/>
              </w:rPr>
              <w:t>西宁市城东区文化馆数字展厅装修工程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58" w:type="dxa"/>
          </w:tcPr>
          <w:p>
            <w:pPr>
              <w:pStyle w:val="17"/>
              <w:spacing w:before="1"/>
              <w:ind w:left="7"/>
              <w:jc w:val="center"/>
              <w:rPr>
                <w:sz w:val="24"/>
              </w:rPr>
            </w:pPr>
            <w:r>
              <w:rPr>
                <w:sz w:val="24"/>
              </w:rPr>
              <w:t>4</w:t>
            </w:r>
          </w:p>
        </w:tc>
        <w:tc>
          <w:tcPr>
            <w:tcW w:w="3224" w:type="dxa"/>
          </w:tcPr>
          <w:p>
            <w:pPr>
              <w:pStyle w:val="17"/>
              <w:spacing w:before="1"/>
              <w:ind w:left="152" w:right="142"/>
              <w:jc w:val="center"/>
              <w:rPr>
                <w:sz w:val="24"/>
              </w:rPr>
            </w:pPr>
            <w:r>
              <w:rPr>
                <w:sz w:val="24"/>
              </w:rPr>
              <w:t>建设地点</w:t>
            </w:r>
          </w:p>
        </w:tc>
        <w:tc>
          <w:tcPr>
            <w:tcW w:w="6058" w:type="dxa"/>
          </w:tcPr>
          <w:p>
            <w:pPr>
              <w:pStyle w:val="17"/>
              <w:spacing w:before="1"/>
              <w:ind w:left="106"/>
              <w:rPr>
                <w:rFonts w:hint="eastAsia" w:eastAsia="宋体"/>
                <w:sz w:val="24"/>
                <w:lang w:eastAsia="zh-CN"/>
              </w:rPr>
            </w:pPr>
            <w:r>
              <w:rPr>
                <w:rFonts w:hint="eastAsia"/>
                <w:sz w:val="24"/>
                <w:lang w:val="en-US" w:eastAsia="zh-CN"/>
              </w:rPr>
              <w:t>城东区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58" w:type="dxa"/>
          </w:tcPr>
          <w:p>
            <w:pPr>
              <w:pStyle w:val="17"/>
              <w:spacing w:before="1"/>
              <w:ind w:left="7"/>
              <w:jc w:val="center"/>
              <w:rPr>
                <w:sz w:val="24"/>
              </w:rPr>
            </w:pPr>
            <w:r>
              <w:rPr>
                <w:sz w:val="24"/>
              </w:rPr>
              <w:t>5</w:t>
            </w:r>
          </w:p>
        </w:tc>
        <w:tc>
          <w:tcPr>
            <w:tcW w:w="3224" w:type="dxa"/>
          </w:tcPr>
          <w:p>
            <w:pPr>
              <w:pStyle w:val="17"/>
              <w:spacing w:before="1"/>
              <w:ind w:left="152" w:right="142"/>
              <w:jc w:val="center"/>
              <w:rPr>
                <w:sz w:val="24"/>
              </w:rPr>
            </w:pPr>
            <w:r>
              <w:rPr>
                <w:sz w:val="24"/>
              </w:rPr>
              <w:t>资金来源</w:t>
            </w:r>
          </w:p>
        </w:tc>
        <w:tc>
          <w:tcPr>
            <w:tcW w:w="6058" w:type="dxa"/>
          </w:tcPr>
          <w:p>
            <w:pPr>
              <w:pStyle w:val="17"/>
              <w:spacing w:before="1"/>
              <w:ind w:left="106"/>
              <w:rPr>
                <w:sz w:val="24"/>
              </w:rPr>
            </w:pPr>
            <w:r>
              <w:rPr>
                <w:sz w:val="24"/>
              </w:rPr>
              <w:t>财政资金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58" w:type="dxa"/>
          </w:tcPr>
          <w:p>
            <w:pPr>
              <w:pStyle w:val="17"/>
              <w:spacing w:before="2"/>
              <w:ind w:left="7"/>
              <w:jc w:val="center"/>
              <w:rPr>
                <w:sz w:val="24"/>
              </w:rPr>
            </w:pPr>
            <w:r>
              <w:rPr>
                <w:sz w:val="24"/>
              </w:rPr>
              <w:t>6</w:t>
            </w:r>
          </w:p>
        </w:tc>
        <w:tc>
          <w:tcPr>
            <w:tcW w:w="3224" w:type="dxa"/>
          </w:tcPr>
          <w:p>
            <w:pPr>
              <w:pStyle w:val="17"/>
              <w:spacing w:before="2"/>
              <w:ind w:left="152" w:right="142"/>
              <w:jc w:val="center"/>
              <w:rPr>
                <w:sz w:val="24"/>
              </w:rPr>
            </w:pPr>
            <w:r>
              <w:rPr>
                <w:sz w:val="24"/>
              </w:rPr>
              <w:t>出资比例</w:t>
            </w:r>
          </w:p>
        </w:tc>
        <w:tc>
          <w:tcPr>
            <w:tcW w:w="6058" w:type="dxa"/>
          </w:tcPr>
          <w:p>
            <w:pPr>
              <w:pStyle w:val="17"/>
              <w:spacing w:before="2"/>
              <w:ind w:left="106"/>
              <w:rPr>
                <w:sz w:val="24"/>
              </w:rPr>
            </w:pPr>
            <w:r>
              <w:rPr>
                <w:sz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58" w:type="dxa"/>
          </w:tcPr>
          <w:p>
            <w:pPr>
              <w:pStyle w:val="17"/>
              <w:ind w:left="7"/>
              <w:jc w:val="center"/>
              <w:rPr>
                <w:sz w:val="24"/>
              </w:rPr>
            </w:pPr>
            <w:r>
              <w:rPr>
                <w:sz w:val="24"/>
              </w:rPr>
              <w:t>7</w:t>
            </w:r>
          </w:p>
        </w:tc>
        <w:tc>
          <w:tcPr>
            <w:tcW w:w="3224" w:type="dxa"/>
          </w:tcPr>
          <w:p>
            <w:pPr>
              <w:pStyle w:val="17"/>
              <w:ind w:left="152" w:right="142"/>
              <w:jc w:val="center"/>
              <w:rPr>
                <w:sz w:val="24"/>
              </w:rPr>
            </w:pPr>
            <w:r>
              <w:rPr>
                <w:sz w:val="24"/>
              </w:rPr>
              <w:t>资金落实情况</w:t>
            </w:r>
          </w:p>
        </w:tc>
        <w:tc>
          <w:tcPr>
            <w:tcW w:w="6058" w:type="dxa"/>
          </w:tcPr>
          <w:p>
            <w:pPr>
              <w:pStyle w:val="17"/>
              <w:ind w:left="106"/>
              <w:rPr>
                <w:sz w:val="24"/>
              </w:rPr>
            </w:pPr>
            <w:r>
              <w:rPr>
                <w:sz w:val="24"/>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58" w:type="dxa"/>
          </w:tcPr>
          <w:p>
            <w:pPr>
              <w:pStyle w:val="17"/>
              <w:spacing w:before="2"/>
              <w:ind w:left="7"/>
              <w:jc w:val="center"/>
              <w:rPr>
                <w:sz w:val="24"/>
              </w:rPr>
            </w:pPr>
            <w:r>
              <w:rPr>
                <w:sz w:val="24"/>
              </w:rPr>
              <w:t>8</w:t>
            </w:r>
          </w:p>
        </w:tc>
        <w:tc>
          <w:tcPr>
            <w:tcW w:w="3224" w:type="dxa"/>
          </w:tcPr>
          <w:p>
            <w:pPr>
              <w:pStyle w:val="17"/>
              <w:spacing w:before="2"/>
              <w:ind w:left="152" w:right="142"/>
              <w:jc w:val="center"/>
              <w:rPr>
                <w:sz w:val="24"/>
              </w:rPr>
            </w:pPr>
            <w:r>
              <w:rPr>
                <w:sz w:val="24"/>
              </w:rPr>
              <w:t>招标范围</w:t>
            </w:r>
          </w:p>
        </w:tc>
        <w:tc>
          <w:tcPr>
            <w:tcW w:w="6058" w:type="dxa"/>
          </w:tcPr>
          <w:p>
            <w:pPr>
              <w:pStyle w:val="17"/>
              <w:spacing w:before="2"/>
              <w:ind w:left="106"/>
              <w:rPr>
                <w:sz w:val="24"/>
              </w:rPr>
            </w:pPr>
            <w:r>
              <w:rPr>
                <w:sz w:val="24"/>
              </w:rPr>
              <w:t>具体内容详见第六章《工程量清单》。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58" w:type="dxa"/>
          </w:tcPr>
          <w:p>
            <w:pPr>
              <w:pStyle w:val="17"/>
              <w:spacing w:before="2"/>
              <w:ind w:left="7"/>
              <w:jc w:val="center"/>
              <w:rPr>
                <w:sz w:val="24"/>
              </w:rPr>
            </w:pPr>
            <w:r>
              <w:rPr>
                <w:sz w:val="24"/>
              </w:rPr>
              <w:t>9</w:t>
            </w:r>
          </w:p>
        </w:tc>
        <w:tc>
          <w:tcPr>
            <w:tcW w:w="3224" w:type="dxa"/>
          </w:tcPr>
          <w:p>
            <w:pPr>
              <w:pStyle w:val="17"/>
              <w:spacing w:before="2"/>
              <w:ind w:left="152" w:right="142"/>
              <w:jc w:val="center"/>
              <w:rPr>
                <w:sz w:val="24"/>
              </w:rPr>
            </w:pPr>
            <w:r>
              <w:rPr>
                <w:sz w:val="24"/>
              </w:rPr>
              <w:t>计划工期</w:t>
            </w:r>
          </w:p>
        </w:tc>
        <w:tc>
          <w:tcPr>
            <w:tcW w:w="6058" w:type="dxa"/>
          </w:tcPr>
          <w:p>
            <w:pPr>
              <w:pStyle w:val="17"/>
              <w:spacing w:before="2"/>
              <w:ind w:left="106"/>
              <w:rPr>
                <w:rFonts w:hint="default" w:eastAsia="宋体"/>
                <w:sz w:val="24"/>
                <w:lang w:val="en-US" w:eastAsia="zh-CN"/>
              </w:rPr>
            </w:pPr>
            <w:r>
              <w:rPr>
                <w:color w:val="FF0000"/>
                <w:sz w:val="24"/>
              </w:rPr>
              <w:t>工期：</w:t>
            </w:r>
            <w:r>
              <w:rPr>
                <w:rFonts w:hint="eastAsia"/>
                <w:color w:val="FF0000"/>
                <w:sz w:val="24"/>
                <w:lang w:val="en-US" w:eastAsia="zh-CN"/>
              </w:rPr>
              <w:t>自合同签订后60日历天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58" w:type="dxa"/>
          </w:tcPr>
          <w:p>
            <w:pPr>
              <w:pStyle w:val="17"/>
              <w:spacing w:before="3"/>
              <w:ind w:left="167" w:right="160"/>
              <w:jc w:val="center"/>
              <w:rPr>
                <w:sz w:val="24"/>
              </w:rPr>
            </w:pPr>
            <w:r>
              <w:rPr>
                <w:sz w:val="24"/>
              </w:rPr>
              <w:t>10</w:t>
            </w:r>
          </w:p>
        </w:tc>
        <w:tc>
          <w:tcPr>
            <w:tcW w:w="3224" w:type="dxa"/>
          </w:tcPr>
          <w:p>
            <w:pPr>
              <w:pStyle w:val="17"/>
              <w:spacing w:before="3"/>
              <w:ind w:left="152" w:right="142"/>
              <w:jc w:val="center"/>
              <w:rPr>
                <w:sz w:val="24"/>
              </w:rPr>
            </w:pPr>
            <w:r>
              <w:rPr>
                <w:sz w:val="24"/>
              </w:rPr>
              <w:t>质量要求</w:t>
            </w:r>
          </w:p>
        </w:tc>
        <w:tc>
          <w:tcPr>
            <w:tcW w:w="6058" w:type="dxa"/>
          </w:tcPr>
          <w:p>
            <w:pPr>
              <w:pStyle w:val="17"/>
              <w:spacing w:before="3"/>
              <w:ind w:left="106"/>
              <w:rPr>
                <w:sz w:val="24"/>
              </w:rPr>
            </w:pPr>
            <w:r>
              <w:rPr>
                <w:sz w:val="24"/>
              </w:rPr>
              <w:t>达到国家质量与评定标准合格质量等级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7" w:hRule="atLeast"/>
        </w:trPr>
        <w:tc>
          <w:tcPr>
            <w:tcW w:w="858" w:type="dxa"/>
          </w:tcPr>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0"/>
              </w:rPr>
            </w:pPr>
          </w:p>
          <w:p>
            <w:pPr>
              <w:pStyle w:val="17"/>
              <w:ind w:left="167" w:right="160"/>
              <w:jc w:val="center"/>
              <w:rPr>
                <w:sz w:val="24"/>
              </w:rPr>
            </w:pPr>
            <w:r>
              <w:rPr>
                <w:sz w:val="24"/>
              </w:rPr>
              <w:t>11</w:t>
            </w:r>
          </w:p>
        </w:tc>
        <w:tc>
          <w:tcPr>
            <w:tcW w:w="3224" w:type="dxa"/>
          </w:tcPr>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spacing w:before="10"/>
              <w:rPr>
                <w:sz w:val="25"/>
              </w:rPr>
            </w:pPr>
          </w:p>
          <w:p>
            <w:pPr>
              <w:pStyle w:val="17"/>
              <w:spacing w:line="362" w:lineRule="auto"/>
              <w:ind w:left="1132" w:right="639" w:hanging="480"/>
              <w:rPr>
                <w:sz w:val="24"/>
              </w:rPr>
            </w:pPr>
            <w:r>
              <w:rPr>
                <w:sz w:val="24"/>
              </w:rPr>
              <w:t>竞争性磋商响应人资格条件</w:t>
            </w:r>
          </w:p>
        </w:tc>
        <w:tc>
          <w:tcPr>
            <w:tcW w:w="6058" w:type="dxa"/>
          </w:tcPr>
          <w:p>
            <w:pPr>
              <w:pStyle w:val="17"/>
              <w:spacing w:before="1"/>
              <w:ind w:left="106"/>
              <w:rPr>
                <w:sz w:val="24"/>
              </w:rPr>
            </w:pPr>
            <w:r>
              <w:rPr>
                <w:sz w:val="24"/>
              </w:rPr>
              <w:t>1、符合《政府采购法》第22条条件，并提供下列材料：</w:t>
            </w:r>
          </w:p>
          <w:p>
            <w:pPr>
              <w:pStyle w:val="17"/>
              <w:numPr>
                <w:ilvl w:val="0"/>
                <w:numId w:val="3"/>
              </w:numPr>
              <w:tabs>
                <w:tab w:val="left" w:pos="348"/>
              </w:tabs>
              <w:spacing w:before="158" w:after="0" w:line="364" w:lineRule="auto"/>
              <w:ind w:left="106" w:right="179" w:firstLine="0"/>
              <w:jc w:val="left"/>
              <w:rPr>
                <w:sz w:val="24"/>
              </w:rPr>
            </w:pPr>
            <w:r>
              <w:rPr>
                <w:spacing w:val="-1"/>
                <w:sz w:val="24"/>
              </w:rPr>
              <w:t>磋商响应人的营业执照等证明文件，自然人的身份证</w:t>
            </w:r>
            <w:r>
              <w:rPr>
                <w:sz w:val="24"/>
              </w:rPr>
              <w:t>明。</w:t>
            </w:r>
          </w:p>
          <w:p>
            <w:pPr>
              <w:pStyle w:val="17"/>
              <w:numPr>
                <w:ilvl w:val="0"/>
                <w:numId w:val="3"/>
              </w:numPr>
              <w:tabs>
                <w:tab w:val="left" w:pos="348"/>
              </w:tabs>
              <w:spacing w:before="1" w:after="0" w:line="362" w:lineRule="auto"/>
              <w:ind w:left="106" w:right="179" w:firstLine="0"/>
              <w:jc w:val="left"/>
              <w:rPr>
                <w:sz w:val="24"/>
              </w:rPr>
            </w:pPr>
            <w:r>
              <w:rPr>
                <w:spacing w:val="-1"/>
                <w:sz w:val="24"/>
              </w:rPr>
              <w:t>财务状况报告，依法缴纳税收和社会保障资金的相关</w:t>
            </w:r>
            <w:r>
              <w:rPr>
                <w:sz w:val="24"/>
              </w:rPr>
              <w:t>材料。</w:t>
            </w:r>
          </w:p>
          <w:p>
            <w:pPr>
              <w:pStyle w:val="17"/>
              <w:numPr>
                <w:ilvl w:val="0"/>
                <w:numId w:val="3"/>
              </w:numPr>
              <w:tabs>
                <w:tab w:val="left" w:pos="348"/>
              </w:tabs>
              <w:spacing w:before="5" w:after="0" w:line="362" w:lineRule="auto"/>
              <w:ind w:left="106" w:right="179" w:firstLine="0"/>
              <w:jc w:val="left"/>
              <w:rPr>
                <w:sz w:val="24"/>
              </w:rPr>
            </w:pPr>
            <w:r>
              <w:rPr>
                <w:spacing w:val="-1"/>
                <w:sz w:val="24"/>
              </w:rPr>
              <w:t>具备履行合同所必需的设备和专业技术能力的证明材</w:t>
            </w:r>
            <w:r>
              <w:rPr>
                <w:sz w:val="24"/>
              </w:rPr>
              <w:t>料。</w:t>
            </w:r>
          </w:p>
          <w:p>
            <w:pPr>
              <w:pStyle w:val="17"/>
              <w:numPr>
                <w:ilvl w:val="0"/>
                <w:numId w:val="3"/>
              </w:numPr>
              <w:tabs>
                <w:tab w:val="left" w:pos="348"/>
              </w:tabs>
              <w:spacing w:before="5" w:after="0" w:line="364" w:lineRule="auto"/>
              <w:ind w:left="106" w:right="299" w:firstLine="0"/>
              <w:jc w:val="left"/>
              <w:rPr>
                <w:sz w:val="24"/>
              </w:rPr>
            </w:pPr>
            <w:r>
              <w:rPr>
                <w:sz w:val="24"/>
              </w:rPr>
              <w:t>参加政府采购活动前3</w:t>
            </w:r>
            <w:r>
              <w:rPr>
                <w:spacing w:val="-2"/>
                <w:sz w:val="24"/>
              </w:rPr>
              <w:t>年内在经营活动中没有重大违</w:t>
            </w:r>
            <w:r>
              <w:rPr>
                <w:sz w:val="24"/>
              </w:rPr>
              <w:t>法记录的书面声明。</w:t>
            </w:r>
          </w:p>
          <w:p>
            <w:pPr>
              <w:pStyle w:val="17"/>
              <w:numPr>
                <w:ilvl w:val="0"/>
                <w:numId w:val="3"/>
              </w:numPr>
              <w:tabs>
                <w:tab w:val="left" w:pos="348"/>
              </w:tabs>
              <w:spacing w:before="0" w:after="0" w:line="306" w:lineRule="exact"/>
              <w:ind w:left="347" w:right="0" w:hanging="242"/>
              <w:jc w:val="left"/>
              <w:rPr>
                <w:sz w:val="24"/>
              </w:rPr>
            </w:pPr>
            <w:r>
              <w:rPr>
                <w:sz w:val="24"/>
              </w:rPr>
              <w:t>具备法律、行政法规规定的其他条件的证明材料。</w:t>
            </w:r>
          </w:p>
        </w:tc>
      </w:tr>
    </w:tbl>
    <w:p>
      <w:pPr>
        <w:spacing w:after="0" w:line="306" w:lineRule="exact"/>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37" o:spid="_x0000_s1037" o:spt="20" style="position:absolute;left:0pt;margin-left:62.4pt;margin-top:12.25pt;height:0pt;width:400.4pt;mso-position-horizontal-relative:page;z-index:25169100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rPr>
          <w:sz w:val="20"/>
        </w:rPr>
      </w:pPr>
    </w:p>
    <w:p>
      <w:pPr>
        <w:pStyle w:val="8"/>
        <w:spacing w:before="7"/>
        <w:rPr>
          <w:sz w:val="10"/>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8"/>
        <w:gridCol w:w="3224"/>
        <w:gridCol w:w="60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38" w:hRule="atLeast"/>
        </w:trPr>
        <w:tc>
          <w:tcPr>
            <w:tcW w:w="858" w:type="dxa"/>
          </w:tcPr>
          <w:p>
            <w:pPr>
              <w:pStyle w:val="17"/>
              <w:rPr>
                <w:rFonts w:ascii="Times New Roman"/>
                <w:sz w:val="22"/>
              </w:rPr>
            </w:pPr>
          </w:p>
        </w:tc>
        <w:tc>
          <w:tcPr>
            <w:tcW w:w="3224" w:type="dxa"/>
          </w:tcPr>
          <w:p>
            <w:pPr>
              <w:pStyle w:val="17"/>
              <w:rPr>
                <w:rFonts w:ascii="Times New Roman"/>
                <w:sz w:val="22"/>
              </w:rPr>
            </w:pPr>
          </w:p>
        </w:tc>
        <w:tc>
          <w:tcPr>
            <w:tcW w:w="6058" w:type="dxa"/>
          </w:tcPr>
          <w:p>
            <w:pPr>
              <w:pStyle w:val="17"/>
              <w:spacing w:before="1" w:line="364" w:lineRule="auto"/>
              <w:ind w:left="106" w:right="38"/>
              <w:rPr>
                <w:sz w:val="24"/>
              </w:rPr>
            </w:pPr>
            <w:r>
              <w:rPr>
                <w:sz w:val="24"/>
              </w:rPr>
              <w:t>2、单位负责人为同一人或者存在直接控股、管理关系的不同磋商响应人，不得参加同一合同项下的政府采购活动。否则，皆取消投标资格；</w:t>
            </w:r>
          </w:p>
          <w:p>
            <w:pPr>
              <w:pStyle w:val="17"/>
              <w:spacing w:line="364" w:lineRule="auto"/>
              <w:ind w:left="106" w:right="-29"/>
              <w:rPr>
                <w:sz w:val="24"/>
              </w:rPr>
            </w:pPr>
            <w:r>
              <w:rPr>
                <w:sz w:val="24"/>
              </w:rPr>
              <w:t>3</w:t>
            </w:r>
            <w:r>
              <w:rPr>
                <w:spacing w:val="-14"/>
                <w:sz w:val="24"/>
              </w:rPr>
              <w:t>、为本采购项目提供整体设计、规范编制或者项目管理、</w:t>
            </w:r>
            <w:r>
              <w:rPr>
                <w:sz w:val="24"/>
              </w:rPr>
              <w:t>监理、检测等服务的磋商响应人，不得再参加该采购项目的其他采购活动；</w:t>
            </w:r>
          </w:p>
          <w:p>
            <w:pPr>
              <w:pStyle w:val="17"/>
              <w:spacing w:line="364" w:lineRule="auto"/>
              <w:ind w:left="106" w:right="95"/>
              <w:rPr>
                <w:sz w:val="24"/>
              </w:rPr>
            </w:pPr>
            <w:r>
              <w:rPr>
                <w:sz w:val="24"/>
              </w:rPr>
              <w:t>4、本项目不接受磋商响应人以联合体方式进行投标； 5</w:t>
            </w:r>
            <w:r>
              <w:rPr>
                <w:spacing w:val="-5"/>
                <w:sz w:val="24"/>
              </w:rPr>
              <w:t>、经信用中国</w:t>
            </w:r>
            <w:r>
              <w:fldChar w:fldCharType="begin"/>
            </w:r>
            <w:r>
              <w:instrText xml:space="preserve"> HYPERLINK "http://www.creditchina.gov.cn/" \h </w:instrText>
            </w:r>
            <w:r>
              <w:fldChar w:fldCharType="separate"/>
            </w:r>
            <w:r>
              <w:rPr>
                <w:sz w:val="24"/>
              </w:rPr>
              <w:t>（www.creditchina.gov.cn</w:t>
            </w:r>
            <w:r>
              <w:rPr>
                <w:sz w:val="24"/>
              </w:rPr>
              <w:fldChar w:fldCharType="end"/>
            </w:r>
            <w:r>
              <w:rPr>
                <w:sz w:val="24"/>
              </w:rPr>
              <w:t>）</w:t>
            </w:r>
            <w:r>
              <w:rPr>
                <w:spacing w:val="-6"/>
                <w:sz w:val="24"/>
              </w:rPr>
              <w:t>、中国政府</w:t>
            </w:r>
            <w:r>
              <w:rPr>
                <w:spacing w:val="-4"/>
                <w:sz w:val="24"/>
              </w:rPr>
              <w:t>采购网</w:t>
            </w:r>
            <w:r>
              <w:rPr>
                <w:sz w:val="24"/>
              </w:rPr>
              <w:t>（</w:t>
            </w:r>
            <w:r>
              <w:fldChar w:fldCharType="begin"/>
            </w:r>
            <w:r>
              <w:instrText xml:space="preserve"> HYPERLINK "http://www.ccgp.gov.cn/" \h </w:instrText>
            </w:r>
            <w:r>
              <w:fldChar w:fldCharType="separate"/>
            </w:r>
            <w:r>
              <w:rPr>
                <w:sz w:val="24"/>
              </w:rPr>
              <w:t>www.ccgp.gov.cn</w:t>
            </w:r>
            <w:r>
              <w:rPr>
                <w:sz w:val="24"/>
              </w:rPr>
              <w:fldChar w:fldCharType="end"/>
            </w:r>
            <w:r>
              <w:rPr>
                <w:sz w:val="24"/>
              </w:rPr>
              <w:t>）</w:t>
            </w:r>
            <w:r>
              <w:rPr>
                <w:spacing w:val="-4"/>
                <w:sz w:val="24"/>
              </w:rPr>
              <w:t>等渠道查询后，列入失信被</w:t>
            </w:r>
            <w:r>
              <w:rPr>
                <w:sz w:val="24"/>
              </w:rPr>
              <w:t>执行人、重大税收违法案件当事人名单、政府采购严重违法失信行为记录名单的，取消投标资格。（提供“信用中国及中国政府采购网”网站无任何不良记录的查询</w:t>
            </w:r>
            <w:r>
              <w:rPr>
                <w:spacing w:val="-5"/>
                <w:sz w:val="24"/>
              </w:rPr>
              <w:t xml:space="preserve">截图，时间为投标截止时间前 </w:t>
            </w:r>
            <w:r>
              <w:rPr>
                <w:sz w:val="24"/>
              </w:rPr>
              <w:t>20</w:t>
            </w:r>
            <w:r>
              <w:rPr>
                <w:spacing w:val="-20"/>
                <w:sz w:val="24"/>
              </w:rPr>
              <w:t xml:space="preserve"> 天内</w:t>
            </w:r>
            <w:r>
              <w:rPr>
                <w:sz w:val="24"/>
              </w:rPr>
              <w:t>）；</w:t>
            </w:r>
          </w:p>
          <w:p>
            <w:pPr>
              <w:pStyle w:val="17"/>
              <w:spacing w:line="304" w:lineRule="exact"/>
              <w:ind w:left="106"/>
              <w:rPr>
                <w:sz w:val="24"/>
              </w:rPr>
            </w:pPr>
            <w:r>
              <w:rPr>
                <w:sz w:val="24"/>
              </w:rPr>
              <w:t>6、其他资质条件：</w:t>
            </w:r>
          </w:p>
          <w:p>
            <w:pPr>
              <w:pStyle w:val="17"/>
              <w:numPr>
                <w:ilvl w:val="0"/>
                <w:numId w:val="4"/>
              </w:numPr>
              <w:tabs>
                <w:tab w:val="left" w:pos="468"/>
              </w:tabs>
              <w:spacing w:before="155" w:after="0" w:line="364" w:lineRule="auto"/>
              <w:ind w:left="106" w:right="-29" w:firstLine="0"/>
              <w:jc w:val="left"/>
              <w:rPr>
                <w:sz w:val="24"/>
              </w:rPr>
            </w:pPr>
            <w:r>
              <w:rPr>
                <w:spacing w:val="-5"/>
                <w:sz w:val="24"/>
              </w:rPr>
              <w:t>磋商响应人须具有</w:t>
            </w:r>
            <w:r>
              <w:rPr>
                <w:rFonts w:hint="eastAsia"/>
                <w:spacing w:val="-1"/>
                <w:sz w:val="24"/>
              </w:rPr>
              <w:t>建筑装修装饰工程专业承包二级及以上资质</w:t>
            </w:r>
            <w:r>
              <w:rPr>
                <w:sz w:val="24"/>
              </w:rPr>
              <w:t>，并在人员、设备、资金等方面具有承担本工程相应的施工能力；</w:t>
            </w:r>
          </w:p>
          <w:p>
            <w:pPr>
              <w:pStyle w:val="17"/>
              <w:numPr>
                <w:ilvl w:val="0"/>
                <w:numId w:val="4"/>
              </w:numPr>
              <w:tabs>
                <w:tab w:val="left" w:pos="468"/>
              </w:tabs>
              <w:spacing w:before="0" w:after="0" w:line="364" w:lineRule="auto"/>
              <w:ind w:left="106" w:right="95" w:firstLine="0"/>
              <w:jc w:val="both"/>
              <w:rPr>
                <w:sz w:val="24"/>
              </w:rPr>
            </w:pPr>
            <w:r>
              <w:rPr>
                <w:sz w:val="24"/>
              </w:rPr>
              <w:t>磋商响应人拟派项目经理须具备建筑工程专业贰级</w:t>
            </w:r>
            <w:r>
              <w:rPr>
                <w:spacing w:val="-2"/>
                <w:sz w:val="24"/>
              </w:rPr>
              <w:t>及以上建造师资格，提供建造师执业证、注册证；具备</w:t>
            </w:r>
            <w:r>
              <w:rPr>
                <w:sz w:val="24"/>
              </w:rPr>
              <w:t>有效的安全生产考核合格证书，未同时在其他项目担任项目经理的承诺书；</w:t>
            </w:r>
          </w:p>
          <w:p>
            <w:pPr>
              <w:pStyle w:val="17"/>
              <w:numPr>
                <w:ilvl w:val="0"/>
                <w:numId w:val="4"/>
              </w:numPr>
              <w:tabs>
                <w:tab w:val="left" w:pos="468"/>
              </w:tabs>
              <w:spacing w:before="0" w:after="0" w:line="305" w:lineRule="exact"/>
              <w:ind w:left="467" w:right="0" w:hanging="362"/>
              <w:jc w:val="left"/>
              <w:rPr>
                <w:sz w:val="24"/>
              </w:rPr>
            </w:pPr>
            <w:r>
              <w:rPr>
                <w:sz w:val="24"/>
              </w:rPr>
              <w:t>磋商响应人须具有有效的安全生产许可证；</w:t>
            </w:r>
          </w:p>
          <w:p>
            <w:pPr>
              <w:pStyle w:val="17"/>
              <w:numPr>
                <w:ilvl w:val="0"/>
                <w:numId w:val="4"/>
              </w:numPr>
              <w:tabs>
                <w:tab w:val="left" w:pos="468"/>
              </w:tabs>
              <w:spacing w:before="160" w:after="0" w:line="240" w:lineRule="auto"/>
              <w:ind w:left="467" w:right="0" w:hanging="362"/>
              <w:jc w:val="left"/>
              <w:rPr>
                <w:sz w:val="24"/>
              </w:rPr>
            </w:pPr>
            <w:r>
              <w:rPr>
                <w:sz w:val="24"/>
              </w:rPr>
              <w:t>省外企业须提供有效期内的进青备案登记手续；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58" w:type="dxa"/>
          </w:tcPr>
          <w:p>
            <w:pPr>
              <w:pStyle w:val="17"/>
              <w:spacing w:before="1"/>
              <w:ind w:left="167" w:right="160"/>
              <w:jc w:val="center"/>
              <w:rPr>
                <w:sz w:val="24"/>
              </w:rPr>
            </w:pPr>
            <w:r>
              <w:rPr>
                <w:sz w:val="24"/>
              </w:rPr>
              <w:t>12</w:t>
            </w:r>
          </w:p>
        </w:tc>
        <w:tc>
          <w:tcPr>
            <w:tcW w:w="3224" w:type="dxa"/>
          </w:tcPr>
          <w:p>
            <w:pPr>
              <w:pStyle w:val="17"/>
              <w:spacing w:before="1"/>
              <w:ind w:left="152" w:right="142"/>
              <w:jc w:val="center"/>
              <w:rPr>
                <w:sz w:val="24"/>
              </w:rPr>
            </w:pPr>
            <w:r>
              <w:rPr>
                <w:sz w:val="24"/>
              </w:rPr>
              <w:t>是否接受联合体投标</w:t>
            </w:r>
          </w:p>
        </w:tc>
        <w:tc>
          <w:tcPr>
            <w:tcW w:w="6058" w:type="dxa"/>
          </w:tcPr>
          <w:p>
            <w:pPr>
              <w:pStyle w:val="17"/>
              <w:spacing w:before="1"/>
              <w:ind w:left="106"/>
              <w:rPr>
                <w:sz w:val="24"/>
              </w:rPr>
            </w:pPr>
            <w:r>
              <w:rPr>
                <w:sz w:val="24"/>
              </w:rPr>
              <w:t>不接受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58" w:type="dxa"/>
          </w:tcPr>
          <w:p>
            <w:pPr>
              <w:pStyle w:val="17"/>
              <w:spacing w:before="1"/>
              <w:ind w:left="167" w:right="160"/>
              <w:jc w:val="center"/>
              <w:rPr>
                <w:sz w:val="24"/>
              </w:rPr>
            </w:pPr>
            <w:r>
              <w:rPr>
                <w:sz w:val="24"/>
              </w:rPr>
              <w:t>13</w:t>
            </w:r>
          </w:p>
        </w:tc>
        <w:tc>
          <w:tcPr>
            <w:tcW w:w="3224" w:type="dxa"/>
          </w:tcPr>
          <w:p>
            <w:pPr>
              <w:pStyle w:val="17"/>
              <w:spacing w:before="1"/>
              <w:ind w:left="152" w:right="142"/>
              <w:jc w:val="center"/>
              <w:rPr>
                <w:sz w:val="24"/>
              </w:rPr>
            </w:pPr>
            <w:r>
              <w:rPr>
                <w:sz w:val="24"/>
              </w:rPr>
              <w:t>踏勘现场</w:t>
            </w:r>
          </w:p>
        </w:tc>
        <w:tc>
          <w:tcPr>
            <w:tcW w:w="6058" w:type="dxa"/>
          </w:tcPr>
          <w:p>
            <w:pPr>
              <w:pStyle w:val="17"/>
              <w:spacing w:before="1"/>
              <w:ind w:left="106"/>
              <w:rPr>
                <w:sz w:val="24"/>
              </w:rPr>
            </w:pPr>
            <w:r>
              <w:rPr>
                <w:sz w:val="24"/>
              </w:rPr>
              <w:t>不组织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58" w:type="dxa"/>
          </w:tcPr>
          <w:p>
            <w:pPr>
              <w:pStyle w:val="17"/>
              <w:spacing w:before="2"/>
              <w:ind w:left="167" w:right="160"/>
              <w:jc w:val="center"/>
              <w:rPr>
                <w:sz w:val="24"/>
              </w:rPr>
            </w:pPr>
            <w:r>
              <w:rPr>
                <w:sz w:val="24"/>
              </w:rPr>
              <w:t>14</w:t>
            </w:r>
          </w:p>
        </w:tc>
        <w:tc>
          <w:tcPr>
            <w:tcW w:w="3224" w:type="dxa"/>
          </w:tcPr>
          <w:p>
            <w:pPr>
              <w:pStyle w:val="17"/>
              <w:spacing w:before="2"/>
              <w:ind w:left="152" w:right="142"/>
              <w:jc w:val="center"/>
              <w:rPr>
                <w:sz w:val="24"/>
              </w:rPr>
            </w:pPr>
            <w:r>
              <w:rPr>
                <w:sz w:val="24"/>
              </w:rPr>
              <w:t>投标预备会</w:t>
            </w:r>
          </w:p>
        </w:tc>
        <w:tc>
          <w:tcPr>
            <w:tcW w:w="6058" w:type="dxa"/>
          </w:tcPr>
          <w:p>
            <w:pPr>
              <w:pStyle w:val="17"/>
              <w:spacing w:before="2"/>
              <w:ind w:left="106"/>
              <w:rPr>
                <w:sz w:val="24"/>
              </w:rPr>
            </w:pPr>
            <w:r>
              <w:rPr>
                <w:sz w:val="24"/>
              </w:rPr>
              <w:t>不组织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58" w:type="dxa"/>
          </w:tcPr>
          <w:p>
            <w:pPr>
              <w:pStyle w:val="17"/>
              <w:ind w:left="167" w:right="160"/>
              <w:jc w:val="center"/>
              <w:rPr>
                <w:sz w:val="24"/>
              </w:rPr>
            </w:pPr>
            <w:r>
              <w:rPr>
                <w:sz w:val="24"/>
              </w:rPr>
              <w:t>15</w:t>
            </w:r>
          </w:p>
        </w:tc>
        <w:tc>
          <w:tcPr>
            <w:tcW w:w="3224" w:type="dxa"/>
          </w:tcPr>
          <w:p>
            <w:pPr>
              <w:pStyle w:val="17"/>
              <w:ind w:left="152" w:right="142"/>
              <w:jc w:val="center"/>
              <w:rPr>
                <w:sz w:val="24"/>
              </w:rPr>
            </w:pPr>
            <w:r>
              <w:rPr>
                <w:sz w:val="24"/>
              </w:rPr>
              <w:t>分包</w:t>
            </w:r>
          </w:p>
        </w:tc>
        <w:tc>
          <w:tcPr>
            <w:tcW w:w="6058" w:type="dxa"/>
          </w:tcPr>
          <w:p>
            <w:pPr>
              <w:pStyle w:val="17"/>
              <w:ind w:left="106"/>
              <w:rPr>
                <w:sz w:val="24"/>
              </w:rPr>
            </w:pPr>
            <w:r>
              <w:rPr>
                <w:sz w:val="24"/>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58" w:type="dxa"/>
          </w:tcPr>
          <w:p>
            <w:pPr>
              <w:pStyle w:val="17"/>
              <w:spacing w:before="1"/>
              <w:ind w:left="167" w:right="160"/>
              <w:jc w:val="center"/>
              <w:rPr>
                <w:sz w:val="24"/>
              </w:rPr>
            </w:pPr>
            <w:r>
              <w:rPr>
                <w:sz w:val="24"/>
              </w:rPr>
              <w:t>16</w:t>
            </w:r>
          </w:p>
        </w:tc>
        <w:tc>
          <w:tcPr>
            <w:tcW w:w="3224" w:type="dxa"/>
          </w:tcPr>
          <w:p>
            <w:pPr>
              <w:pStyle w:val="17"/>
              <w:spacing w:before="1"/>
              <w:ind w:left="152" w:right="142"/>
              <w:jc w:val="center"/>
              <w:rPr>
                <w:sz w:val="24"/>
              </w:rPr>
            </w:pPr>
            <w:r>
              <w:rPr>
                <w:sz w:val="24"/>
              </w:rPr>
              <w:t>偏离</w:t>
            </w:r>
          </w:p>
        </w:tc>
        <w:tc>
          <w:tcPr>
            <w:tcW w:w="6058" w:type="dxa"/>
          </w:tcPr>
          <w:p>
            <w:pPr>
              <w:pStyle w:val="17"/>
              <w:spacing w:before="1"/>
              <w:ind w:left="106"/>
              <w:rPr>
                <w:sz w:val="24"/>
              </w:rPr>
            </w:pPr>
            <w:r>
              <w:rPr>
                <w:sz w:val="24"/>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858" w:type="dxa"/>
          </w:tcPr>
          <w:p>
            <w:pPr>
              <w:pStyle w:val="17"/>
              <w:spacing w:before="3"/>
              <w:rPr>
                <w:sz w:val="18"/>
              </w:rPr>
            </w:pPr>
          </w:p>
          <w:p>
            <w:pPr>
              <w:pStyle w:val="17"/>
              <w:ind w:left="167" w:right="160"/>
              <w:jc w:val="center"/>
              <w:rPr>
                <w:sz w:val="24"/>
              </w:rPr>
            </w:pPr>
            <w:r>
              <w:rPr>
                <w:sz w:val="24"/>
              </w:rPr>
              <w:t>17</w:t>
            </w:r>
          </w:p>
        </w:tc>
        <w:tc>
          <w:tcPr>
            <w:tcW w:w="3224" w:type="dxa"/>
          </w:tcPr>
          <w:p>
            <w:pPr>
              <w:pStyle w:val="17"/>
              <w:spacing w:before="1"/>
              <w:ind w:left="152" w:right="142"/>
              <w:jc w:val="center"/>
              <w:rPr>
                <w:sz w:val="24"/>
              </w:rPr>
            </w:pPr>
            <w:r>
              <w:rPr>
                <w:sz w:val="24"/>
              </w:rPr>
              <w:t>构成磋商文件的</w:t>
            </w:r>
          </w:p>
          <w:p>
            <w:pPr>
              <w:pStyle w:val="17"/>
              <w:spacing w:before="158"/>
              <w:ind w:left="152" w:right="142"/>
              <w:jc w:val="center"/>
              <w:rPr>
                <w:sz w:val="24"/>
              </w:rPr>
            </w:pPr>
            <w:r>
              <w:rPr>
                <w:sz w:val="24"/>
              </w:rPr>
              <w:t>其他材料</w:t>
            </w:r>
          </w:p>
        </w:tc>
        <w:tc>
          <w:tcPr>
            <w:tcW w:w="6058" w:type="dxa"/>
          </w:tcPr>
          <w:p>
            <w:pPr>
              <w:pStyle w:val="17"/>
              <w:spacing w:before="3"/>
              <w:rPr>
                <w:sz w:val="18"/>
              </w:rPr>
            </w:pPr>
          </w:p>
          <w:p>
            <w:pPr>
              <w:pStyle w:val="17"/>
              <w:ind w:left="106"/>
              <w:rPr>
                <w:sz w:val="24"/>
              </w:rPr>
            </w:pPr>
            <w:r>
              <w:rPr>
                <w:sz w:val="24"/>
              </w:rPr>
              <w:t>无</w:t>
            </w:r>
          </w:p>
        </w:tc>
      </w:tr>
    </w:tbl>
    <w:p>
      <w:pPr>
        <w:spacing w:after="0"/>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38" o:spid="_x0000_s1038" o:spt="20" style="position:absolute;left:0pt;margin-left:62.4pt;margin-top:12.25pt;height:0pt;width:400.4pt;mso-position-horizontal-relative:page;z-index:25169203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rPr>
          <w:sz w:val="20"/>
        </w:rPr>
      </w:pPr>
    </w:p>
    <w:p>
      <w:pPr>
        <w:pStyle w:val="8"/>
        <w:spacing w:before="7"/>
        <w:rPr>
          <w:sz w:val="10"/>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8"/>
        <w:gridCol w:w="3224"/>
        <w:gridCol w:w="60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858" w:type="dxa"/>
          </w:tcPr>
          <w:p>
            <w:pPr>
              <w:pStyle w:val="17"/>
              <w:spacing w:before="3"/>
              <w:rPr>
                <w:sz w:val="18"/>
              </w:rPr>
            </w:pPr>
          </w:p>
          <w:p>
            <w:pPr>
              <w:pStyle w:val="17"/>
              <w:spacing w:before="1"/>
              <w:ind w:left="167" w:right="160"/>
              <w:jc w:val="center"/>
              <w:rPr>
                <w:sz w:val="24"/>
              </w:rPr>
            </w:pPr>
            <w:r>
              <w:rPr>
                <w:sz w:val="24"/>
              </w:rPr>
              <w:t>18</w:t>
            </w:r>
          </w:p>
        </w:tc>
        <w:tc>
          <w:tcPr>
            <w:tcW w:w="3224" w:type="dxa"/>
          </w:tcPr>
          <w:p>
            <w:pPr>
              <w:pStyle w:val="17"/>
              <w:spacing w:before="1"/>
              <w:ind w:left="152" w:right="142"/>
              <w:jc w:val="center"/>
              <w:rPr>
                <w:sz w:val="24"/>
              </w:rPr>
            </w:pPr>
            <w:r>
              <w:rPr>
                <w:sz w:val="24"/>
              </w:rPr>
              <w:t>磋商响应人要求澄清竞争性</w:t>
            </w:r>
          </w:p>
          <w:p>
            <w:pPr>
              <w:pStyle w:val="17"/>
              <w:spacing w:before="159"/>
              <w:ind w:left="152" w:right="142"/>
              <w:jc w:val="center"/>
              <w:rPr>
                <w:sz w:val="24"/>
              </w:rPr>
            </w:pPr>
            <w:r>
              <w:rPr>
                <w:sz w:val="24"/>
              </w:rPr>
              <w:t>磋商文件的截止时间</w:t>
            </w:r>
          </w:p>
        </w:tc>
        <w:tc>
          <w:tcPr>
            <w:tcW w:w="6058" w:type="dxa"/>
          </w:tcPr>
          <w:p>
            <w:pPr>
              <w:pStyle w:val="17"/>
              <w:spacing w:before="3"/>
              <w:rPr>
                <w:sz w:val="18"/>
              </w:rPr>
            </w:pPr>
          </w:p>
          <w:p>
            <w:pPr>
              <w:pStyle w:val="17"/>
              <w:spacing w:before="1"/>
              <w:ind w:left="106"/>
              <w:rPr>
                <w:sz w:val="24"/>
              </w:rPr>
            </w:pPr>
            <w:r>
              <w:rPr>
                <w:sz w:val="24"/>
              </w:rPr>
              <w:t>响应文件递交截止时间 5 日前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58" w:type="dxa"/>
          </w:tcPr>
          <w:p>
            <w:pPr>
              <w:pStyle w:val="17"/>
              <w:spacing w:before="1"/>
              <w:ind w:left="167" w:right="160"/>
              <w:jc w:val="center"/>
              <w:rPr>
                <w:sz w:val="24"/>
              </w:rPr>
            </w:pPr>
            <w:r>
              <w:rPr>
                <w:sz w:val="24"/>
              </w:rPr>
              <w:t>19</w:t>
            </w:r>
          </w:p>
        </w:tc>
        <w:tc>
          <w:tcPr>
            <w:tcW w:w="3224" w:type="dxa"/>
          </w:tcPr>
          <w:p>
            <w:pPr>
              <w:pStyle w:val="17"/>
              <w:spacing w:before="1"/>
              <w:ind w:left="152" w:right="142"/>
              <w:jc w:val="center"/>
              <w:rPr>
                <w:sz w:val="24"/>
              </w:rPr>
            </w:pPr>
            <w:r>
              <w:rPr>
                <w:sz w:val="24"/>
              </w:rPr>
              <w:t>磋商时间</w:t>
            </w:r>
          </w:p>
        </w:tc>
        <w:tc>
          <w:tcPr>
            <w:tcW w:w="6058" w:type="dxa"/>
          </w:tcPr>
          <w:p>
            <w:pPr>
              <w:pStyle w:val="17"/>
              <w:spacing w:before="1"/>
              <w:ind w:left="106"/>
              <w:rPr>
                <w:sz w:val="24"/>
              </w:rPr>
            </w:pPr>
            <w:r>
              <w:rPr>
                <w:rFonts w:hint="eastAsia"/>
                <w:sz w:val="24"/>
                <w:u w:val="single"/>
                <w:lang w:eastAsia="zh-CN"/>
              </w:rPr>
              <w:t xml:space="preserve"> 2022 年 07月 </w:t>
            </w:r>
            <w:r>
              <w:rPr>
                <w:rFonts w:hint="eastAsia"/>
                <w:sz w:val="24"/>
                <w:u w:val="single"/>
                <w:lang w:val="en-US" w:eastAsia="zh-CN"/>
              </w:rPr>
              <w:t>18</w:t>
            </w:r>
            <w:r>
              <w:rPr>
                <w:rFonts w:hint="eastAsia"/>
                <w:sz w:val="24"/>
                <w:u w:val="single"/>
                <w:lang w:eastAsia="zh-CN"/>
              </w:rPr>
              <w:t>日上午 09时 30 分</w:t>
            </w:r>
            <w:r>
              <w:rPr>
                <w:sz w:val="24"/>
                <w:u w:val="single"/>
              </w:rPr>
              <w:t>（北京时间）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atLeast"/>
        </w:trPr>
        <w:tc>
          <w:tcPr>
            <w:tcW w:w="858" w:type="dxa"/>
          </w:tcPr>
          <w:p>
            <w:pPr>
              <w:pStyle w:val="17"/>
              <w:spacing w:before="3"/>
              <w:rPr>
                <w:sz w:val="18"/>
              </w:rPr>
            </w:pPr>
          </w:p>
          <w:p>
            <w:pPr>
              <w:pStyle w:val="17"/>
              <w:ind w:left="167" w:right="160"/>
              <w:jc w:val="center"/>
              <w:rPr>
                <w:sz w:val="24"/>
              </w:rPr>
            </w:pPr>
            <w:r>
              <w:rPr>
                <w:sz w:val="24"/>
              </w:rPr>
              <w:t>20</w:t>
            </w:r>
          </w:p>
        </w:tc>
        <w:tc>
          <w:tcPr>
            <w:tcW w:w="3224" w:type="dxa"/>
          </w:tcPr>
          <w:p>
            <w:pPr>
              <w:pStyle w:val="17"/>
              <w:spacing w:before="1"/>
              <w:ind w:left="152" w:right="142"/>
              <w:jc w:val="center"/>
              <w:rPr>
                <w:sz w:val="24"/>
              </w:rPr>
            </w:pPr>
            <w:r>
              <w:rPr>
                <w:sz w:val="24"/>
              </w:rPr>
              <w:t>磋商响应人确认收到竞争性</w:t>
            </w:r>
          </w:p>
          <w:p>
            <w:pPr>
              <w:pStyle w:val="17"/>
              <w:spacing w:before="158"/>
              <w:ind w:left="152" w:right="142"/>
              <w:jc w:val="center"/>
              <w:rPr>
                <w:sz w:val="24"/>
              </w:rPr>
            </w:pPr>
            <w:r>
              <w:rPr>
                <w:sz w:val="24"/>
              </w:rPr>
              <w:t>磋商文件澄清的时间</w:t>
            </w:r>
          </w:p>
        </w:tc>
        <w:tc>
          <w:tcPr>
            <w:tcW w:w="6058" w:type="dxa"/>
          </w:tcPr>
          <w:p>
            <w:pPr>
              <w:pStyle w:val="17"/>
              <w:spacing w:before="3"/>
              <w:rPr>
                <w:sz w:val="18"/>
              </w:rPr>
            </w:pPr>
          </w:p>
          <w:p>
            <w:pPr>
              <w:pStyle w:val="17"/>
              <w:ind w:left="106"/>
              <w:rPr>
                <w:sz w:val="24"/>
              </w:rPr>
            </w:pPr>
            <w:r>
              <w:rPr>
                <w:sz w:val="24"/>
              </w:rPr>
              <w:t>在收到相应澄清文件后 24 小时内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1" w:hRule="atLeast"/>
        </w:trPr>
        <w:tc>
          <w:tcPr>
            <w:tcW w:w="858" w:type="dxa"/>
          </w:tcPr>
          <w:p>
            <w:pPr>
              <w:pStyle w:val="17"/>
              <w:rPr>
                <w:sz w:val="24"/>
              </w:rPr>
            </w:pPr>
          </w:p>
          <w:p>
            <w:pPr>
              <w:pStyle w:val="17"/>
              <w:spacing w:before="160"/>
              <w:ind w:left="167" w:right="160"/>
              <w:jc w:val="center"/>
              <w:rPr>
                <w:sz w:val="24"/>
              </w:rPr>
            </w:pPr>
            <w:r>
              <w:rPr>
                <w:sz w:val="24"/>
              </w:rPr>
              <w:t>21</w:t>
            </w:r>
          </w:p>
        </w:tc>
        <w:tc>
          <w:tcPr>
            <w:tcW w:w="3224" w:type="dxa"/>
          </w:tcPr>
          <w:p>
            <w:pPr>
              <w:pStyle w:val="17"/>
              <w:spacing w:before="2" w:line="362" w:lineRule="auto"/>
              <w:ind w:left="172" w:right="159"/>
              <w:jc w:val="center"/>
              <w:rPr>
                <w:sz w:val="24"/>
              </w:rPr>
            </w:pPr>
            <w:r>
              <w:rPr>
                <w:sz w:val="24"/>
              </w:rPr>
              <w:t>磋商响应人确认收到竞争性磋商文件修改的</w:t>
            </w:r>
          </w:p>
          <w:p>
            <w:pPr>
              <w:pStyle w:val="17"/>
              <w:spacing w:before="4"/>
              <w:ind w:left="152" w:right="142"/>
              <w:jc w:val="center"/>
              <w:rPr>
                <w:sz w:val="24"/>
              </w:rPr>
            </w:pPr>
            <w:r>
              <w:rPr>
                <w:sz w:val="24"/>
              </w:rPr>
              <w:t>时间</w:t>
            </w:r>
          </w:p>
        </w:tc>
        <w:tc>
          <w:tcPr>
            <w:tcW w:w="6058" w:type="dxa"/>
          </w:tcPr>
          <w:p>
            <w:pPr>
              <w:pStyle w:val="17"/>
              <w:rPr>
                <w:sz w:val="24"/>
              </w:rPr>
            </w:pPr>
          </w:p>
          <w:p>
            <w:pPr>
              <w:pStyle w:val="17"/>
              <w:spacing w:before="160"/>
              <w:ind w:left="106"/>
              <w:rPr>
                <w:sz w:val="24"/>
              </w:rPr>
            </w:pPr>
            <w:r>
              <w:rPr>
                <w:sz w:val="24"/>
              </w:rPr>
              <w:t>在收到相应澄清文件后 24 小时内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858" w:type="dxa"/>
            <w:tcBorders>
              <w:bottom w:val="nil"/>
            </w:tcBorders>
          </w:tcPr>
          <w:p>
            <w:pPr>
              <w:pStyle w:val="17"/>
              <w:rPr>
                <w:rFonts w:ascii="Times New Roman"/>
                <w:sz w:val="22"/>
              </w:rPr>
            </w:pPr>
          </w:p>
        </w:tc>
        <w:tc>
          <w:tcPr>
            <w:tcW w:w="3224" w:type="dxa"/>
            <w:tcBorders>
              <w:bottom w:val="nil"/>
            </w:tcBorders>
          </w:tcPr>
          <w:p>
            <w:pPr>
              <w:pStyle w:val="17"/>
              <w:rPr>
                <w:rFonts w:ascii="Times New Roman"/>
                <w:sz w:val="22"/>
              </w:rPr>
            </w:pPr>
          </w:p>
        </w:tc>
        <w:tc>
          <w:tcPr>
            <w:tcW w:w="6058" w:type="dxa"/>
            <w:tcBorders>
              <w:bottom w:val="nil"/>
            </w:tcBorders>
          </w:tcPr>
          <w:p>
            <w:pPr>
              <w:pStyle w:val="17"/>
              <w:spacing w:before="2"/>
              <w:ind w:left="106"/>
              <w:rPr>
                <w:sz w:val="24"/>
              </w:rPr>
            </w:pPr>
            <w:r>
              <w:rPr>
                <w:sz w:val="24"/>
              </w:rPr>
              <w:t>1、磋商响应人的书面澄清、说明和通知（但不得改变响</w:t>
            </w:r>
          </w:p>
          <w:p>
            <w:pPr>
              <w:pStyle w:val="17"/>
              <w:spacing w:before="158"/>
              <w:ind w:left="106"/>
              <w:rPr>
                <w:sz w:val="24"/>
              </w:rPr>
            </w:pPr>
            <w:r>
              <w:rPr>
                <w:sz w:val="24"/>
              </w:rPr>
              <w:t>应文件的实质性内容）；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9" w:hRule="atLeast"/>
        </w:trPr>
        <w:tc>
          <w:tcPr>
            <w:tcW w:w="858" w:type="dxa"/>
            <w:tcBorders>
              <w:top w:val="nil"/>
            </w:tcBorders>
          </w:tcPr>
          <w:p>
            <w:pPr>
              <w:pStyle w:val="17"/>
              <w:spacing w:before="6"/>
              <w:rPr>
                <w:sz w:val="30"/>
              </w:rPr>
            </w:pPr>
          </w:p>
          <w:p>
            <w:pPr>
              <w:pStyle w:val="17"/>
              <w:ind w:left="167" w:right="160"/>
              <w:jc w:val="center"/>
              <w:rPr>
                <w:sz w:val="24"/>
              </w:rPr>
            </w:pPr>
            <w:r>
              <w:rPr>
                <w:sz w:val="24"/>
              </w:rPr>
              <w:t>22</w:t>
            </w:r>
          </w:p>
        </w:tc>
        <w:tc>
          <w:tcPr>
            <w:tcW w:w="3224" w:type="dxa"/>
            <w:tcBorders>
              <w:top w:val="nil"/>
            </w:tcBorders>
          </w:tcPr>
          <w:p>
            <w:pPr>
              <w:pStyle w:val="17"/>
              <w:spacing w:before="158" w:line="362" w:lineRule="auto"/>
              <w:ind w:left="1132" w:right="399" w:hanging="720"/>
              <w:rPr>
                <w:sz w:val="24"/>
              </w:rPr>
            </w:pPr>
            <w:r>
              <w:rPr>
                <w:sz w:val="24"/>
              </w:rPr>
              <w:t>构成竞争性磋商文件的其他材料</w:t>
            </w:r>
          </w:p>
        </w:tc>
        <w:tc>
          <w:tcPr>
            <w:tcW w:w="6058" w:type="dxa"/>
            <w:tcBorders>
              <w:top w:val="nil"/>
            </w:tcBorders>
          </w:tcPr>
          <w:p>
            <w:pPr>
              <w:pStyle w:val="17"/>
              <w:spacing w:before="158" w:line="364" w:lineRule="auto"/>
              <w:ind w:left="106" w:right="38"/>
              <w:rPr>
                <w:sz w:val="24"/>
              </w:rPr>
            </w:pPr>
            <w:bookmarkStart w:id="10" w:name="2、近半年内任意一个月的依法缴纳税收和近半年内任意一个月的社会保障资金记录的证明"/>
            <w:bookmarkEnd w:id="10"/>
            <w:r>
              <w:rPr>
                <w:sz w:val="24"/>
              </w:rPr>
              <w:t>2、近半年内任意一个月的依法缴纳税收和近半年内任意一个月的社会保障资金记录的证明材料；依法免税或不需要缴纳社会保障资金的投标人须提供相应文件证明其依法免税或不需要缴纳社会保障资金。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58" w:type="dxa"/>
          </w:tcPr>
          <w:p>
            <w:pPr>
              <w:pStyle w:val="17"/>
              <w:spacing w:before="1"/>
              <w:ind w:left="167" w:right="160"/>
              <w:jc w:val="center"/>
              <w:rPr>
                <w:sz w:val="24"/>
              </w:rPr>
            </w:pPr>
            <w:r>
              <w:rPr>
                <w:sz w:val="24"/>
              </w:rPr>
              <w:t>23</w:t>
            </w:r>
          </w:p>
        </w:tc>
        <w:tc>
          <w:tcPr>
            <w:tcW w:w="3224" w:type="dxa"/>
          </w:tcPr>
          <w:p>
            <w:pPr>
              <w:pStyle w:val="17"/>
              <w:spacing w:before="1"/>
              <w:ind w:left="152" w:right="142"/>
              <w:jc w:val="center"/>
              <w:rPr>
                <w:sz w:val="24"/>
              </w:rPr>
            </w:pPr>
            <w:r>
              <w:rPr>
                <w:sz w:val="24"/>
              </w:rPr>
              <w:t>磋商有效期</w:t>
            </w:r>
          </w:p>
        </w:tc>
        <w:tc>
          <w:tcPr>
            <w:tcW w:w="6058" w:type="dxa"/>
          </w:tcPr>
          <w:p>
            <w:pPr>
              <w:pStyle w:val="17"/>
              <w:spacing w:before="1"/>
              <w:ind w:left="106"/>
              <w:rPr>
                <w:sz w:val="24"/>
              </w:rPr>
            </w:pPr>
            <w:r>
              <w:rPr>
                <w:sz w:val="24"/>
              </w:rPr>
              <w:t>本次磋商有效期为自磋商之日起 90 个日历日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4" w:hRule="atLeast"/>
        </w:trPr>
        <w:tc>
          <w:tcPr>
            <w:tcW w:w="858" w:type="dxa"/>
          </w:tcPr>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spacing w:before="11"/>
              <w:rPr>
                <w:sz w:val="20"/>
              </w:rPr>
            </w:pPr>
          </w:p>
          <w:p>
            <w:pPr>
              <w:pStyle w:val="17"/>
              <w:spacing w:before="1"/>
              <w:ind w:left="167" w:right="160"/>
              <w:jc w:val="center"/>
              <w:rPr>
                <w:sz w:val="24"/>
              </w:rPr>
            </w:pPr>
            <w:r>
              <w:rPr>
                <w:sz w:val="24"/>
              </w:rPr>
              <w:t>24</w:t>
            </w:r>
          </w:p>
        </w:tc>
        <w:tc>
          <w:tcPr>
            <w:tcW w:w="3224" w:type="dxa"/>
          </w:tcPr>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spacing w:before="11"/>
              <w:rPr>
                <w:sz w:val="20"/>
              </w:rPr>
            </w:pPr>
          </w:p>
          <w:p>
            <w:pPr>
              <w:pStyle w:val="17"/>
              <w:spacing w:before="1"/>
              <w:ind w:left="152" w:right="142"/>
              <w:jc w:val="center"/>
              <w:rPr>
                <w:sz w:val="24"/>
              </w:rPr>
            </w:pPr>
            <w:r>
              <w:rPr>
                <w:sz w:val="24"/>
              </w:rPr>
              <w:t>磋商保证金</w:t>
            </w:r>
          </w:p>
        </w:tc>
        <w:tc>
          <w:tcPr>
            <w:tcW w:w="6058" w:type="dxa"/>
          </w:tcPr>
          <w:p>
            <w:pPr>
              <w:pStyle w:val="17"/>
              <w:spacing w:before="2"/>
              <w:ind w:left="106"/>
              <w:rPr>
                <w:sz w:val="24"/>
              </w:rPr>
            </w:pPr>
            <w:r>
              <w:rPr>
                <w:sz w:val="24"/>
              </w:rPr>
              <w:t>磋商人须在磋商截止期前按以下要求交纳磋商保证金</w:t>
            </w:r>
          </w:p>
          <w:p>
            <w:pPr>
              <w:pStyle w:val="17"/>
              <w:spacing w:before="158" w:line="364" w:lineRule="auto"/>
              <w:ind w:left="106" w:right="97"/>
              <w:rPr>
                <w:sz w:val="24"/>
              </w:rPr>
            </w:pPr>
            <w:r>
              <w:rPr>
                <w:sz w:val="24"/>
              </w:rPr>
              <w:t>（磋商保证金应当从其基本账户汇出，磋商响应文件中须附企业基本账户信息）</w:t>
            </w:r>
          </w:p>
          <w:p>
            <w:pPr>
              <w:pStyle w:val="17"/>
              <w:spacing w:line="306" w:lineRule="exact"/>
              <w:ind w:left="106"/>
              <w:rPr>
                <w:sz w:val="24"/>
              </w:rPr>
            </w:pPr>
            <w:r>
              <w:rPr>
                <w:sz w:val="24"/>
              </w:rPr>
              <w:t>磋商保证金金额：</w:t>
            </w:r>
          </w:p>
          <w:p>
            <w:pPr>
              <w:pStyle w:val="17"/>
              <w:spacing w:before="160"/>
              <w:ind w:left="106"/>
              <w:rPr>
                <w:sz w:val="24"/>
              </w:rPr>
            </w:pPr>
            <w:r>
              <w:rPr>
                <w:sz w:val="24"/>
              </w:rPr>
              <w:t>（大写）：</w:t>
            </w:r>
            <w:r>
              <w:rPr>
                <w:rFonts w:hint="eastAsia"/>
                <w:sz w:val="24"/>
                <w:lang w:val="en-US" w:eastAsia="zh-CN"/>
              </w:rPr>
              <w:t>陆仟元整</w:t>
            </w:r>
            <w:r>
              <w:rPr>
                <w:sz w:val="24"/>
              </w:rPr>
              <w:t>；</w:t>
            </w:r>
          </w:p>
          <w:p>
            <w:pPr>
              <w:pStyle w:val="17"/>
              <w:spacing w:before="161"/>
              <w:ind w:left="106"/>
              <w:rPr>
                <w:sz w:val="24"/>
              </w:rPr>
            </w:pPr>
            <w:r>
              <w:rPr>
                <w:sz w:val="24"/>
              </w:rPr>
              <w:t>（小写）：</w:t>
            </w:r>
            <w:r>
              <w:rPr>
                <w:rFonts w:hint="eastAsia"/>
                <w:sz w:val="24"/>
                <w:lang w:val="en-US" w:eastAsia="zh-CN"/>
              </w:rPr>
              <w:t>6000.00</w:t>
            </w:r>
            <w:r>
              <w:rPr>
                <w:spacing w:val="-30"/>
                <w:sz w:val="24"/>
              </w:rPr>
              <w:t xml:space="preserve"> 元</w:t>
            </w:r>
          </w:p>
          <w:p>
            <w:pPr>
              <w:pStyle w:val="17"/>
              <w:spacing w:before="158" w:line="364" w:lineRule="auto"/>
              <w:ind w:left="106" w:right="179"/>
              <w:rPr>
                <w:sz w:val="24"/>
              </w:rPr>
            </w:pPr>
            <w:r>
              <w:rPr>
                <w:sz w:val="24"/>
              </w:rPr>
              <w:t>缴纳磋商保证金时须注明此次项目编号及项目名称（可简写）</w:t>
            </w:r>
          </w:p>
          <w:p>
            <w:pPr>
              <w:pStyle w:val="17"/>
              <w:spacing w:line="306" w:lineRule="exact"/>
              <w:ind w:left="106"/>
              <w:rPr>
                <w:b/>
                <w:sz w:val="24"/>
              </w:rPr>
            </w:pPr>
            <w:r>
              <w:rPr>
                <w:b/>
                <w:sz w:val="24"/>
              </w:rPr>
              <w:t>账户名：青海汇森招标有限公司</w:t>
            </w:r>
          </w:p>
          <w:p>
            <w:pPr>
              <w:pStyle w:val="17"/>
              <w:spacing w:before="158" w:line="364" w:lineRule="auto"/>
              <w:ind w:left="106" w:right="637"/>
              <w:rPr>
                <w:b/>
                <w:sz w:val="24"/>
              </w:rPr>
            </w:pPr>
            <w:r>
              <w:rPr>
                <w:b/>
                <w:sz w:val="24"/>
              </w:rPr>
              <w:t>开户行：中国工商银行股份有限公司西宁西川支行账 号：2806001909200050709</w:t>
            </w:r>
          </w:p>
          <w:p>
            <w:pPr>
              <w:pStyle w:val="17"/>
              <w:spacing w:before="1" w:line="362" w:lineRule="auto"/>
              <w:ind w:left="106" w:right="95"/>
              <w:rPr>
                <w:sz w:val="24"/>
              </w:rPr>
            </w:pPr>
            <w:r>
              <w:rPr>
                <w:spacing w:val="-7"/>
                <w:sz w:val="24"/>
              </w:rPr>
              <w:t>（2）</w:t>
            </w:r>
            <w:r>
              <w:rPr>
                <w:spacing w:val="-2"/>
                <w:sz w:val="24"/>
              </w:rPr>
              <w:t>不接受个人名义或现金形式递交的保证金，磋商响</w:t>
            </w:r>
            <w:r>
              <w:rPr>
                <w:sz w:val="24"/>
              </w:rPr>
              <w:t>应人应该单独提交磋商保证金；磋商保证金必须从企业</w:t>
            </w:r>
          </w:p>
          <w:p>
            <w:pPr>
              <w:pStyle w:val="17"/>
              <w:spacing w:before="5"/>
              <w:ind w:left="106"/>
              <w:rPr>
                <w:sz w:val="24"/>
              </w:rPr>
            </w:pPr>
            <w:r>
              <w:rPr>
                <w:sz w:val="24"/>
              </w:rPr>
              <w:t>基本账户中支付，磋商响应文件中须附企业基本账户信</w:t>
            </w:r>
          </w:p>
        </w:tc>
      </w:tr>
    </w:tbl>
    <w:p>
      <w:pPr>
        <w:spacing w:after="0"/>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39" o:spid="_x0000_s1039" o:spt="20" style="position:absolute;left:0pt;margin-left:62.4pt;margin-top:12.25pt;height:0pt;width:400.4pt;mso-position-horizontal-relative:page;z-index:25169305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rPr>
          <w:sz w:val="20"/>
        </w:rPr>
      </w:pPr>
    </w:p>
    <w:p>
      <w:pPr>
        <w:pStyle w:val="8"/>
        <w:spacing w:before="7"/>
        <w:rPr>
          <w:sz w:val="10"/>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8"/>
        <w:gridCol w:w="3224"/>
        <w:gridCol w:w="60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2" w:hRule="atLeast"/>
        </w:trPr>
        <w:tc>
          <w:tcPr>
            <w:tcW w:w="858" w:type="dxa"/>
          </w:tcPr>
          <w:p>
            <w:pPr>
              <w:pStyle w:val="17"/>
              <w:rPr>
                <w:rFonts w:ascii="Times New Roman"/>
                <w:sz w:val="22"/>
              </w:rPr>
            </w:pPr>
          </w:p>
        </w:tc>
        <w:tc>
          <w:tcPr>
            <w:tcW w:w="3224" w:type="dxa"/>
          </w:tcPr>
          <w:p>
            <w:pPr>
              <w:pStyle w:val="17"/>
              <w:rPr>
                <w:rFonts w:ascii="Times New Roman"/>
                <w:sz w:val="22"/>
              </w:rPr>
            </w:pPr>
          </w:p>
        </w:tc>
        <w:tc>
          <w:tcPr>
            <w:tcW w:w="6058" w:type="dxa"/>
          </w:tcPr>
          <w:p>
            <w:pPr>
              <w:pStyle w:val="17"/>
              <w:spacing w:before="1"/>
              <w:ind w:left="106"/>
              <w:rPr>
                <w:sz w:val="24"/>
              </w:rPr>
            </w:pPr>
            <w:r>
              <w:rPr>
                <w:sz w:val="24"/>
              </w:rPr>
              <w:t>息。</w:t>
            </w:r>
          </w:p>
          <w:p>
            <w:pPr>
              <w:pStyle w:val="17"/>
              <w:numPr>
                <w:ilvl w:val="0"/>
                <w:numId w:val="5"/>
              </w:numPr>
              <w:tabs>
                <w:tab w:val="left" w:pos="708"/>
              </w:tabs>
              <w:spacing w:before="159" w:after="0" w:line="364" w:lineRule="auto"/>
              <w:ind w:left="106" w:right="59" w:firstLine="0"/>
              <w:jc w:val="left"/>
              <w:rPr>
                <w:sz w:val="24"/>
              </w:rPr>
            </w:pPr>
            <w:r>
              <w:rPr>
                <w:spacing w:val="-1"/>
                <w:sz w:val="24"/>
              </w:rPr>
              <w:t xml:space="preserve">磋商响应人未按磋商文件要求交纳磋商保证金的， </w:t>
            </w:r>
            <w:r>
              <w:rPr>
                <w:sz w:val="24"/>
              </w:rPr>
              <w:t>招标代理机构将拒绝接收磋商响应人的磋商响应文件。</w:t>
            </w:r>
          </w:p>
          <w:p>
            <w:pPr>
              <w:pStyle w:val="17"/>
              <w:numPr>
                <w:ilvl w:val="0"/>
                <w:numId w:val="5"/>
              </w:numPr>
              <w:tabs>
                <w:tab w:val="left" w:pos="708"/>
              </w:tabs>
              <w:spacing w:before="0" w:after="0" w:line="364" w:lineRule="auto"/>
              <w:ind w:left="106" w:right="95" w:firstLine="0"/>
              <w:jc w:val="left"/>
              <w:rPr>
                <w:sz w:val="24"/>
              </w:rPr>
            </w:pPr>
            <w:r>
              <w:rPr>
                <w:spacing w:val="-2"/>
                <w:sz w:val="24"/>
              </w:rPr>
              <w:t>磋商保证金退还日期：未成交磋商响应人的磋商</w:t>
            </w:r>
            <w:r>
              <w:rPr>
                <w:spacing w:val="-6"/>
                <w:sz w:val="24"/>
              </w:rPr>
              <w:t xml:space="preserve">保证金自成交通知书发出之日起 </w:t>
            </w:r>
            <w:r>
              <w:rPr>
                <w:sz w:val="24"/>
              </w:rPr>
              <w:t>5</w:t>
            </w:r>
            <w:r>
              <w:rPr>
                <w:spacing w:val="-7"/>
                <w:sz w:val="24"/>
              </w:rPr>
              <w:t xml:space="preserve"> 个工作日内退还</w:t>
            </w:r>
            <w:r>
              <w:rPr>
                <w:spacing w:val="4"/>
                <w:sz w:val="24"/>
              </w:rPr>
              <w:t>（</w:t>
            </w:r>
            <w:r>
              <w:rPr>
                <w:sz w:val="24"/>
              </w:rPr>
              <w:t>不退</w:t>
            </w:r>
          </w:p>
          <w:p>
            <w:pPr>
              <w:pStyle w:val="17"/>
              <w:spacing w:line="362" w:lineRule="auto"/>
              <w:ind w:left="106" w:right="97"/>
              <w:rPr>
                <w:sz w:val="24"/>
              </w:rPr>
            </w:pPr>
            <w:r>
              <w:rPr>
                <w:sz w:val="24"/>
              </w:rPr>
              <w:t>现金）；成交单位的成交保证金，自合同签订之日起 5 个工作日内退还（不退现金）。</w:t>
            </w:r>
          </w:p>
          <w:p>
            <w:pPr>
              <w:pStyle w:val="17"/>
              <w:spacing w:before="5"/>
              <w:ind w:left="106"/>
              <w:rPr>
                <w:sz w:val="24"/>
              </w:rPr>
            </w:pPr>
            <w:r>
              <w:rPr>
                <w:sz w:val="24"/>
              </w:rPr>
              <w:t>磋商响应人未按照磋商文件要求提交磋商保证金的，投</w:t>
            </w:r>
          </w:p>
          <w:p>
            <w:pPr>
              <w:pStyle w:val="17"/>
              <w:spacing w:before="158"/>
              <w:ind w:left="106"/>
              <w:rPr>
                <w:sz w:val="24"/>
              </w:rPr>
            </w:pPr>
            <w:r>
              <w:rPr>
                <w:sz w:val="24"/>
              </w:rPr>
              <w:t>标无效。磋商响应人须自行查询保证金到账情况。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1" w:hRule="atLeast"/>
        </w:trPr>
        <w:tc>
          <w:tcPr>
            <w:tcW w:w="858" w:type="dxa"/>
          </w:tcPr>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spacing w:before="11"/>
              <w:rPr>
                <w:sz w:val="25"/>
              </w:rPr>
            </w:pPr>
          </w:p>
          <w:p>
            <w:pPr>
              <w:pStyle w:val="17"/>
              <w:ind w:left="167" w:right="160"/>
              <w:jc w:val="center"/>
              <w:rPr>
                <w:sz w:val="24"/>
              </w:rPr>
            </w:pPr>
            <w:r>
              <w:rPr>
                <w:sz w:val="24"/>
              </w:rPr>
              <w:t>25</w:t>
            </w:r>
          </w:p>
        </w:tc>
        <w:tc>
          <w:tcPr>
            <w:tcW w:w="3224" w:type="dxa"/>
          </w:tcPr>
          <w:p>
            <w:pPr>
              <w:pStyle w:val="17"/>
              <w:rPr>
                <w:sz w:val="24"/>
              </w:rPr>
            </w:pPr>
          </w:p>
          <w:p>
            <w:pPr>
              <w:pStyle w:val="17"/>
              <w:rPr>
                <w:sz w:val="24"/>
              </w:rPr>
            </w:pPr>
          </w:p>
          <w:p>
            <w:pPr>
              <w:pStyle w:val="17"/>
              <w:rPr>
                <w:sz w:val="24"/>
              </w:rPr>
            </w:pPr>
          </w:p>
          <w:p>
            <w:pPr>
              <w:pStyle w:val="17"/>
              <w:rPr>
                <w:sz w:val="24"/>
              </w:rPr>
            </w:pPr>
          </w:p>
          <w:p>
            <w:pPr>
              <w:pStyle w:val="17"/>
              <w:spacing w:before="6"/>
              <w:rPr>
                <w:sz w:val="31"/>
              </w:rPr>
            </w:pPr>
          </w:p>
          <w:p>
            <w:pPr>
              <w:pStyle w:val="17"/>
              <w:spacing w:line="362" w:lineRule="auto"/>
              <w:ind w:left="1372" w:right="519" w:hanging="840"/>
              <w:rPr>
                <w:sz w:val="24"/>
              </w:rPr>
            </w:pPr>
            <w:r>
              <w:rPr>
                <w:sz w:val="24"/>
              </w:rPr>
              <w:t>近年财务状况的年份要求</w:t>
            </w:r>
          </w:p>
        </w:tc>
        <w:tc>
          <w:tcPr>
            <w:tcW w:w="6058" w:type="dxa"/>
          </w:tcPr>
          <w:p>
            <w:pPr>
              <w:pStyle w:val="17"/>
              <w:spacing w:before="2" w:line="364" w:lineRule="auto"/>
              <w:ind w:left="106" w:right="-29"/>
              <w:rPr>
                <w:sz w:val="24"/>
              </w:rPr>
            </w:pPr>
            <w:r>
              <w:rPr>
                <w:sz w:val="24"/>
              </w:rPr>
              <w:t>2019</w:t>
            </w:r>
            <w:r>
              <w:rPr>
                <w:spacing w:val="-40"/>
                <w:sz w:val="24"/>
              </w:rPr>
              <w:t xml:space="preserve"> 年 </w:t>
            </w:r>
            <w:r>
              <w:rPr>
                <w:sz w:val="24"/>
              </w:rPr>
              <w:t>1</w:t>
            </w:r>
            <w:r>
              <w:rPr>
                <w:spacing w:val="-40"/>
                <w:sz w:val="24"/>
              </w:rPr>
              <w:t xml:space="preserve"> 月 </w:t>
            </w:r>
            <w:r>
              <w:rPr>
                <w:sz w:val="24"/>
              </w:rPr>
              <w:t>1</w:t>
            </w:r>
            <w:r>
              <w:rPr>
                <w:spacing w:val="-24"/>
                <w:sz w:val="24"/>
              </w:rPr>
              <w:t xml:space="preserve"> 日起至 </w:t>
            </w:r>
            <w:r>
              <w:rPr>
                <w:sz w:val="24"/>
              </w:rPr>
              <w:t>2021</w:t>
            </w:r>
            <w:r>
              <w:rPr>
                <w:spacing w:val="-40"/>
                <w:sz w:val="24"/>
              </w:rPr>
              <w:t xml:space="preserve"> 年 </w:t>
            </w:r>
            <w:r>
              <w:rPr>
                <w:sz w:val="24"/>
              </w:rPr>
              <w:t>12</w:t>
            </w:r>
            <w:r>
              <w:rPr>
                <w:spacing w:val="-40"/>
                <w:sz w:val="24"/>
              </w:rPr>
              <w:t xml:space="preserve"> 月 </w:t>
            </w:r>
            <w:r>
              <w:rPr>
                <w:sz w:val="24"/>
              </w:rPr>
              <w:t>31</w:t>
            </w:r>
            <w:r>
              <w:rPr>
                <w:spacing w:val="-19"/>
                <w:sz w:val="24"/>
              </w:rPr>
              <w:t xml:space="preserve"> 日止；经第三方审</w:t>
            </w:r>
            <w:r>
              <w:rPr>
                <w:spacing w:val="-21"/>
                <w:sz w:val="24"/>
              </w:rPr>
              <w:t>计的财务状况报告扫描或复印件</w:t>
            </w:r>
            <w:r>
              <w:rPr>
                <w:sz w:val="24"/>
              </w:rPr>
              <w:t>（</w:t>
            </w:r>
            <w:r>
              <w:rPr>
                <w:spacing w:val="-2"/>
                <w:sz w:val="24"/>
              </w:rPr>
              <w:t>扫描或复印件应全面、</w:t>
            </w:r>
            <w:r>
              <w:rPr>
                <w:sz w:val="24"/>
              </w:rPr>
              <w:t>完整、清晰</w:t>
            </w:r>
            <w:r>
              <w:rPr>
                <w:spacing w:val="3"/>
                <w:sz w:val="24"/>
              </w:rPr>
              <w:t>）</w:t>
            </w:r>
            <w:r>
              <w:rPr>
                <w:sz w:val="24"/>
              </w:rPr>
              <w:t>，包括资产负债表、现金流量表、利润表</w:t>
            </w:r>
            <w:r>
              <w:rPr>
                <w:spacing w:val="1"/>
                <w:sz w:val="24"/>
              </w:rPr>
              <w:t>和财务</w:t>
            </w:r>
            <w:r>
              <w:rPr>
                <w:spacing w:val="4"/>
                <w:sz w:val="24"/>
              </w:rPr>
              <w:t>（</w:t>
            </w:r>
            <w:r>
              <w:rPr>
                <w:spacing w:val="2"/>
                <w:sz w:val="24"/>
              </w:rPr>
              <w:t>会计</w:t>
            </w:r>
            <w:r>
              <w:rPr>
                <w:sz w:val="24"/>
              </w:rPr>
              <w:t>）报表附注，并提供第三方机构的营业执照、执业证书。磋商响应人是其他组织和自然人或新成立的公司，没有经审计的财务报告，可以提供基本开户银行出具的资信证明</w:t>
            </w:r>
            <w:r>
              <w:rPr>
                <w:spacing w:val="4"/>
                <w:sz w:val="24"/>
              </w:rPr>
              <w:t>（</w:t>
            </w:r>
            <w:r>
              <w:rPr>
                <w:sz w:val="24"/>
              </w:rPr>
              <w:t>同时提供基本存款账户基本开户</w:t>
            </w:r>
            <w:r>
              <w:rPr>
                <w:spacing w:val="2"/>
                <w:sz w:val="24"/>
              </w:rPr>
              <w:t>信息</w:t>
            </w:r>
            <w:r>
              <w:rPr>
                <w:spacing w:val="3"/>
                <w:sz w:val="24"/>
              </w:rPr>
              <w:t>）</w:t>
            </w:r>
            <w:r>
              <w:rPr>
                <w:sz w:val="24"/>
              </w:rPr>
              <w:t>；新成立的公司不受此限制，提供成立以来的财</w:t>
            </w:r>
          </w:p>
          <w:p>
            <w:pPr>
              <w:pStyle w:val="17"/>
              <w:spacing w:line="303" w:lineRule="exact"/>
              <w:ind w:left="106"/>
              <w:rPr>
                <w:sz w:val="24"/>
              </w:rPr>
            </w:pPr>
            <w:r>
              <w:rPr>
                <w:sz w:val="24"/>
              </w:rPr>
              <w:t>务审计报告。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9" w:hRule="atLeast"/>
        </w:trPr>
        <w:tc>
          <w:tcPr>
            <w:tcW w:w="858" w:type="dxa"/>
          </w:tcPr>
          <w:p>
            <w:pPr>
              <w:pStyle w:val="17"/>
              <w:rPr>
                <w:sz w:val="24"/>
              </w:rPr>
            </w:pPr>
          </w:p>
          <w:p>
            <w:pPr>
              <w:pStyle w:val="17"/>
              <w:spacing w:before="160"/>
              <w:ind w:left="167" w:right="160"/>
              <w:jc w:val="center"/>
              <w:rPr>
                <w:sz w:val="24"/>
              </w:rPr>
            </w:pPr>
            <w:r>
              <w:rPr>
                <w:sz w:val="24"/>
              </w:rPr>
              <w:t>26</w:t>
            </w:r>
          </w:p>
        </w:tc>
        <w:tc>
          <w:tcPr>
            <w:tcW w:w="3224" w:type="dxa"/>
          </w:tcPr>
          <w:p>
            <w:pPr>
              <w:pStyle w:val="17"/>
              <w:spacing w:before="3"/>
              <w:rPr>
                <w:sz w:val="18"/>
              </w:rPr>
            </w:pPr>
          </w:p>
          <w:p>
            <w:pPr>
              <w:pStyle w:val="17"/>
              <w:spacing w:before="1" w:line="362" w:lineRule="auto"/>
              <w:ind w:left="1372" w:right="159" w:hanging="1200"/>
              <w:rPr>
                <w:sz w:val="24"/>
              </w:rPr>
            </w:pPr>
            <w:r>
              <w:rPr>
                <w:sz w:val="24"/>
              </w:rPr>
              <w:t>近年完成的类似项目的年份要求</w:t>
            </w:r>
          </w:p>
        </w:tc>
        <w:tc>
          <w:tcPr>
            <w:tcW w:w="6058" w:type="dxa"/>
          </w:tcPr>
          <w:p>
            <w:pPr>
              <w:pStyle w:val="17"/>
              <w:spacing w:before="2"/>
              <w:ind w:left="106"/>
              <w:rPr>
                <w:sz w:val="24"/>
              </w:rPr>
            </w:pPr>
            <w:r>
              <w:rPr>
                <w:spacing w:val="-9"/>
                <w:sz w:val="24"/>
              </w:rPr>
              <w:t xml:space="preserve">近三年内，指 </w:t>
            </w:r>
            <w:r>
              <w:rPr>
                <w:sz w:val="24"/>
              </w:rPr>
              <w:t>2020</w:t>
            </w:r>
            <w:r>
              <w:rPr>
                <w:spacing w:val="-40"/>
                <w:sz w:val="24"/>
              </w:rPr>
              <w:t xml:space="preserve"> 年 </w:t>
            </w:r>
            <w:r>
              <w:rPr>
                <w:rFonts w:hint="eastAsia"/>
                <w:sz w:val="24"/>
                <w:lang w:val="en-US" w:eastAsia="zh-CN"/>
              </w:rPr>
              <w:t>07</w:t>
            </w:r>
            <w:r>
              <w:rPr>
                <w:spacing w:val="-40"/>
                <w:sz w:val="24"/>
              </w:rPr>
              <w:t xml:space="preserve"> 月 </w:t>
            </w:r>
            <w:r>
              <w:rPr>
                <w:rFonts w:hint="eastAsia"/>
                <w:sz w:val="24"/>
                <w:lang w:val="en-US" w:eastAsia="zh-CN"/>
              </w:rPr>
              <w:t>01</w:t>
            </w:r>
            <w:r>
              <w:rPr>
                <w:spacing w:val="-24"/>
                <w:sz w:val="24"/>
              </w:rPr>
              <w:t xml:space="preserve"> 日起至 </w:t>
            </w:r>
            <w:r>
              <w:rPr>
                <w:sz w:val="24"/>
              </w:rPr>
              <w:t>2022</w:t>
            </w:r>
            <w:r>
              <w:rPr>
                <w:spacing w:val="-40"/>
                <w:sz w:val="24"/>
              </w:rPr>
              <w:t xml:space="preserve"> 年 </w:t>
            </w:r>
            <w:r>
              <w:rPr>
                <w:rFonts w:hint="eastAsia"/>
                <w:sz w:val="24"/>
                <w:lang w:val="en-US" w:eastAsia="zh-CN"/>
              </w:rPr>
              <w:t>07</w:t>
            </w:r>
            <w:r>
              <w:rPr>
                <w:spacing w:val="-40"/>
                <w:sz w:val="24"/>
              </w:rPr>
              <w:t xml:space="preserve"> 月 </w:t>
            </w:r>
            <w:r>
              <w:rPr>
                <w:rFonts w:hint="eastAsia"/>
                <w:sz w:val="24"/>
                <w:lang w:val="en-US" w:eastAsia="zh-CN"/>
              </w:rPr>
              <w:t>01</w:t>
            </w:r>
            <w:r>
              <w:rPr>
                <w:spacing w:val="-30"/>
                <w:sz w:val="24"/>
              </w:rPr>
              <w:t xml:space="preserve"> 日</w:t>
            </w:r>
            <w:r>
              <w:rPr>
                <w:sz w:val="24"/>
              </w:rPr>
              <w:t>（以中标(成交)通知书或双方签订的合同协议书或竣工验收备案表为准）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58" w:type="dxa"/>
          </w:tcPr>
          <w:p>
            <w:pPr>
              <w:pStyle w:val="17"/>
              <w:spacing w:before="3"/>
              <w:ind w:left="167" w:right="160"/>
              <w:jc w:val="center"/>
              <w:rPr>
                <w:sz w:val="24"/>
              </w:rPr>
            </w:pPr>
            <w:r>
              <w:rPr>
                <w:sz w:val="24"/>
              </w:rPr>
              <w:t>27</w:t>
            </w:r>
          </w:p>
        </w:tc>
        <w:tc>
          <w:tcPr>
            <w:tcW w:w="3224" w:type="dxa"/>
          </w:tcPr>
          <w:p>
            <w:pPr>
              <w:pStyle w:val="17"/>
              <w:spacing w:before="3"/>
              <w:ind w:left="152" w:right="142"/>
              <w:jc w:val="center"/>
              <w:rPr>
                <w:sz w:val="24"/>
              </w:rPr>
            </w:pPr>
            <w:r>
              <w:rPr>
                <w:sz w:val="24"/>
              </w:rPr>
              <w:t>近年发生的诉讼及仲裁情况</w:t>
            </w:r>
          </w:p>
        </w:tc>
        <w:tc>
          <w:tcPr>
            <w:tcW w:w="6058" w:type="dxa"/>
          </w:tcPr>
          <w:p>
            <w:pPr>
              <w:pStyle w:val="17"/>
              <w:spacing w:before="3"/>
              <w:ind w:left="106"/>
              <w:rPr>
                <w:sz w:val="24"/>
              </w:rPr>
            </w:pPr>
            <w:r>
              <w:rPr>
                <w:sz w:val="24"/>
              </w:rPr>
              <w:t>近三年内，指 2020 年 1 月 1 日起至今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58" w:type="dxa"/>
          </w:tcPr>
          <w:p>
            <w:pPr>
              <w:pStyle w:val="17"/>
              <w:spacing w:before="1"/>
              <w:ind w:left="167" w:right="160"/>
              <w:jc w:val="center"/>
              <w:rPr>
                <w:sz w:val="24"/>
              </w:rPr>
            </w:pPr>
            <w:r>
              <w:rPr>
                <w:sz w:val="24"/>
              </w:rPr>
              <w:t>28</w:t>
            </w:r>
          </w:p>
        </w:tc>
        <w:tc>
          <w:tcPr>
            <w:tcW w:w="3224" w:type="dxa"/>
          </w:tcPr>
          <w:p>
            <w:pPr>
              <w:pStyle w:val="17"/>
              <w:spacing w:before="1"/>
              <w:ind w:left="152" w:right="142"/>
              <w:jc w:val="center"/>
              <w:rPr>
                <w:sz w:val="24"/>
              </w:rPr>
            </w:pPr>
            <w:r>
              <w:rPr>
                <w:sz w:val="24"/>
              </w:rPr>
              <w:t>是否允许递交备选投标方案</w:t>
            </w:r>
          </w:p>
        </w:tc>
        <w:tc>
          <w:tcPr>
            <w:tcW w:w="6058" w:type="dxa"/>
          </w:tcPr>
          <w:p>
            <w:pPr>
              <w:pStyle w:val="17"/>
              <w:spacing w:before="1"/>
              <w:ind w:left="106"/>
              <w:rPr>
                <w:sz w:val="24"/>
              </w:rPr>
            </w:pPr>
            <w:r>
              <w:rPr>
                <w:sz w:val="24"/>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0" w:hRule="atLeast"/>
        </w:trPr>
        <w:tc>
          <w:tcPr>
            <w:tcW w:w="858" w:type="dxa"/>
          </w:tcPr>
          <w:p>
            <w:pPr>
              <w:pStyle w:val="17"/>
              <w:rPr>
                <w:sz w:val="24"/>
              </w:rPr>
            </w:pPr>
          </w:p>
          <w:p>
            <w:pPr>
              <w:pStyle w:val="17"/>
              <w:spacing w:before="160"/>
              <w:ind w:left="167" w:right="160"/>
              <w:jc w:val="center"/>
              <w:rPr>
                <w:sz w:val="24"/>
              </w:rPr>
            </w:pPr>
            <w:r>
              <w:rPr>
                <w:sz w:val="24"/>
              </w:rPr>
              <w:t>29</w:t>
            </w:r>
          </w:p>
        </w:tc>
        <w:tc>
          <w:tcPr>
            <w:tcW w:w="3224" w:type="dxa"/>
          </w:tcPr>
          <w:p>
            <w:pPr>
              <w:pStyle w:val="17"/>
              <w:spacing w:before="3"/>
              <w:rPr>
                <w:sz w:val="18"/>
              </w:rPr>
            </w:pPr>
          </w:p>
          <w:p>
            <w:pPr>
              <w:pStyle w:val="17"/>
              <w:spacing w:before="1" w:line="362" w:lineRule="auto"/>
              <w:ind w:left="1372" w:right="999" w:hanging="360"/>
              <w:rPr>
                <w:sz w:val="24"/>
              </w:rPr>
            </w:pPr>
            <w:r>
              <w:rPr>
                <w:sz w:val="24"/>
              </w:rPr>
              <w:t>签字或盖章要求</w:t>
            </w:r>
          </w:p>
        </w:tc>
        <w:tc>
          <w:tcPr>
            <w:tcW w:w="6058" w:type="dxa"/>
          </w:tcPr>
          <w:p>
            <w:pPr>
              <w:pStyle w:val="17"/>
              <w:spacing w:before="2" w:line="362" w:lineRule="auto"/>
              <w:ind w:left="106" w:right="179"/>
              <w:rPr>
                <w:sz w:val="24"/>
              </w:rPr>
            </w:pPr>
            <w:r>
              <w:rPr>
                <w:sz w:val="24"/>
              </w:rPr>
              <w:t>响应文件中法定代表人或其委托代理人按竞争性磋商文件要求签字、盖章（委托代理人签字的，须附法人代表</w:t>
            </w:r>
          </w:p>
          <w:p>
            <w:pPr>
              <w:pStyle w:val="17"/>
              <w:spacing w:before="4"/>
              <w:ind w:left="106"/>
              <w:rPr>
                <w:sz w:val="24"/>
              </w:rPr>
            </w:pPr>
            <w:r>
              <w:rPr>
                <w:sz w:val="24"/>
              </w:rPr>
              <w:t>授权委托书）。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858" w:type="dxa"/>
          </w:tcPr>
          <w:p>
            <w:pPr>
              <w:pStyle w:val="17"/>
              <w:spacing w:before="3"/>
              <w:rPr>
                <w:sz w:val="18"/>
              </w:rPr>
            </w:pPr>
          </w:p>
          <w:p>
            <w:pPr>
              <w:pStyle w:val="17"/>
              <w:ind w:left="167" w:right="160"/>
              <w:jc w:val="center"/>
              <w:rPr>
                <w:sz w:val="24"/>
              </w:rPr>
            </w:pPr>
            <w:r>
              <w:rPr>
                <w:sz w:val="24"/>
              </w:rPr>
              <w:t>34</w:t>
            </w:r>
          </w:p>
        </w:tc>
        <w:tc>
          <w:tcPr>
            <w:tcW w:w="3224" w:type="dxa"/>
          </w:tcPr>
          <w:p>
            <w:pPr>
              <w:pStyle w:val="17"/>
              <w:spacing w:before="1"/>
              <w:ind w:left="892"/>
              <w:rPr>
                <w:sz w:val="24"/>
              </w:rPr>
            </w:pPr>
            <w:r>
              <w:rPr>
                <w:sz w:val="24"/>
              </w:rPr>
              <w:t>递交响应文件</w:t>
            </w:r>
          </w:p>
          <w:p>
            <w:pPr>
              <w:pStyle w:val="17"/>
              <w:spacing w:before="158"/>
              <w:ind w:left="1012"/>
              <w:rPr>
                <w:sz w:val="24"/>
              </w:rPr>
            </w:pPr>
            <w:r>
              <w:rPr>
                <w:sz w:val="24"/>
              </w:rPr>
              <w:t>地点及方式</w:t>
            </w:r>
          </w:p>
        </w:tc>
        <w:tc>
          <w:tcPr>
            <w:tcW w:w="6058" w:type="dxa"/>
          </w:tcPr>
          <w:p>
            <w:pPr>
              <w:pStyle w:val="17"/>
              <w:spacing w:before="3"/>
              <w:rPr>
                <w:sz w:val="18"/>
              </w:rPr>
            </w:pPr>
          </w:p>
          <w:p>
            <w:pPr>
              <w:pStyle w:val="17"/>
              <w:ind w:left="106"/>
              <w:rPr>
                <w:sz w:val="24"/>
              </w:rPr>
            </w:pPr>
            <w:r>
              <w:rPr>
                <w:sz w:val="24"/>
              </w:rPr>
              <w:t>现场递交，不接受邮寄投标。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58" w:type="dxa"/>
          </w:tcPr>
          <w:p>
            <w:pPr>
              <w:pStyle w:val="17"/>
              <w:ind w:left="167" w:right="160"/>
              <w:jc w:val="center"/>
              <w:rPr>
                <w:sz w:val="24"/>
              </w:rPr>
            </w:pPr>
            <w:r>
              <w:rPr>
                <w:sz w:val="24"/>
              </w:rPr>
              <w:t>35</w:t>
            </w:r>
          </w:p>
        </w:tc>
        <w:tc>
          <w:tcPr>
            <w:tcW w:w="3224" w:type="dxa"/>
          </w:tcPr>
          <w:p>
            <w:pPr>
              <w:pStyle w:val="17"/>
              <w:ind w:left="152" w:right="142"/>
              <w:jc w:val="center"/>
              <w:rPr>
                <w:sz w:val="24"/>
              </w:rPr>
            </w:pPr>
            <w:r>
              <w:rPr>
                <w:sz w:val="24"/>
              </w:rPr>
              <w:t>是否退还投标文件</w:t>
            </w:r>
          </w:p>
        </w:tc>
        <w:tc>
          <w:tcPr>
            <w:tcW w:w="6058" w:type="dxa"/>
          </w:tcPr>
          <w:p>
            <w:pPr>
              <w:pStyle w:val="17"/>
              <w:ind w:left="106"/>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8" w:hRule="atLeast"/>
        </w:trPr>
        <w:tc>
          <w:tcPr>
            <w:tcW w:w="858" w:type="dxa"/>
          </w:tcPr>
          <w:p>
            <w:pPr>
              <w:pStyle w:val="17"/>
              <w:rPr>
                <w:sz w:val="24"/>
              </w:rPr>
            </w:pPr>
          </w:p>
          <w:p>
            <w:pPr>
              <w:pStyle w:val="17"/>
              <w:spacing w:before="11"/>
              <w:rPr>
                <w:sz w:val="30"/>
              </w:rPr>
            </w:pPr>
          </w:p>
          <w:p>
            <w:pPr>
              <w:pStyle w:val="17"/>
              <w:ind w:left="167" w:right="160"/>
              <w:jc w:val="center"/>
              <w:rPr>
                <w:sz w:val="24"/>
              </w:rPr>
            </w:pPr>
            <w:r>
              <w:rPr>
                <w:sz w:val="24"/>
              </w:rPr>
              <w:t>36</w:t>
            </w:r>
          </w:p>
        </w:tc>
        <w:tc>
          <w:tcPr>
            <w:tcW w:w="3224" w:type="dxa"/>
          </w:tcPr>
          <w:p>
            <w:pPr>
              <w:pStyle w:val="17"/>
              <w:rPr>
                <w:sz w:val="24"/>
              </w:rPr>
            </w:pPr>
          </w:p>
          <w:p>
            <w:pPr>
              <w:pStyle w:val="17"/>
              <w:spacing w:before="11"/>
              <w:rPr>
                <w:sz w:val="30"/>
              </w:rPr>
            </w:pPr>
          </w:p>
          <w:p>
            <w:pPr>
              <w:pStyle w:val="17"/>
              <w:ind w:left="152" w:right="142"/>
              <w:jc w:val="center"/>
              <w:rPr>
                <w:sz w:val="24"/>
              </w:rPr>
            </w:pPr>
            <w:r>
              <w:rPr>
                <w:sz w:val="24"/>
              </w:rPr>
              <w:t>开标时间和地点</w:t>
            </w:r>
          </w:p>
        </w:tc>
        <w:tc>
          <w:tcPr>
            <w:tcW w:w="6058" w:type="dxa"/>
          </w:tcPr>
          <w:p>
            <w:pPr>
              <w:pStyle w:val="17"/>
              <w:spacing w:before="2" w:line="362" w:lineRule="auto"/>
              <w:ind w:left="106" w:right="97"/>
              <w:rPr>
                <w:sz w:val="24"/>
              </w:rPr>
            </w:pPr>
            <w:r>
              <w:rPr>
                <w:sz w:val="24"/>
              </w:rPr>
              <w:t>开标时间：</w:t>
            </w:r>
            <w:r>
              <w:rPr>
                <w:rFonts w:hint="eastAsia"/>
                <w:sz w:val="24"/>
                <w:u w:val="single"/>
                <w:lang w:eastAsia="zh-CN"/>
              </w:rPr>
              <w:t xml:space="preserve"> 2022 年 07月</w:t>
            </w:r>
            <w:r>
              <w:rPr>
                <w:rFonts w:hint="eastAsia"/>
                <w:sz w:val="24"/>
                <w:u w:val="single"/>
                <w:lang w:val="en-US" w:eastAsia="zh-CN"/>
              </w:rPr>
              <w:t>18</w:t>
            </w:r>
            <w:r>
              <w:rPr>
                <w:rFonts w:hint="eastAsia"/>
                <w:sz w:val="24"/>
                <w:u w:val="single"/>
                <w:lang w:eastAsia="zh-CN"/>
              </w:rPr>
              <w:t>日上午 09时 30 分</w:t>
            </w:r>
            <w:r>
              <w:rPr>
                <w:sz w:val="24"/>
                <w:u w:val="single"/>
              </w:rPr>
              <w:t>（</w:t>
            </w:r>
            <w:r>
              <w:rPr>
                <w:spacing w:val="-5"/>
                <w:sz w:val="24"/>
                <w:u w:val="single"/>
              </w:rPr>
              <w:t>北京时</w:t>
            </w:r>
            <w:r>
              <w:rPr>
                <w:sz w:val="24"/>
                <w:u w:val="single"/>
              </w:rPr>
              <w:t>间）</w:t>
            </w:r>
          </w:p>
          <w:p>
            <w:pPr>
              <w:keepNext w:val="0"/>
              <w:keepLines w:val="0"/>
              <w:widowControl/>
              <w:suppressLineNumbers w:val="0"/>
              <w:jc w:val="left"/>
            </w:pPr>
            <w:r>
              <w:rPr>
                <w:rFonts w:hint="eastAsia"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.本次招标采用线上提交响应文件的方式进行采购，线上响应文件必须在响应文件递交截止时间前上传平台。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 若 对 项 目 采 购 电 子 交 易 系 统 操 作 有 疑 问 ， 可 登 录 政 采 云 （https://www.zcygov.cn/），点击右侧咨询小采，获取采小蜜智能服务管家帮助，或拨打政采云服务热线 400-881-7190 获取热线服务 帮助。 </w:t>
            </w:r>
          </w:p>
          <w:p>
            <w:pPr>
              <w:keepNext w:val="0"/>
              <w:keepLines w:val="0"/>
              <w:widowControl/>
              <w:suppressLineNumbers w:val="0"/>
              <w:jc w:val="left"/>
              <w:rPr>
                <w:sz w:val="24"/>
              </w:rPr>
            </w:pPr>
            <w:r>
              <w:rPr>
                <w:rFonts w:hint="eastAsia" w:ascii="宋体" w:hAnsi="宋体" w:eastAsia="宋体" w:cs="宋体"/>
                <w:color w:val="000000"/>
                <w:kern w:val="0"/>
                <w:sz w:val="24"/>
                <w:szCs w:val="24"/>
                <w:lang w:val="en-US" w:eastAsia="zh-CN" w:bidi="ar"/>
              </w:rPr>
              <w:t>3.CA 咨询：PC 咨询网址（可及时反馈问题截图，让客服快速定位问题）:http://tseal.cn/k.html，咨询电话：400-0878-198。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2" w:hRule="atLeast"/>
        </w:trPr>
        <w:tc>
          <w:tcPr>
            <w:tcW w:w="858" w:type="dxa"/>
          </w:tcPr>
          <w:p>
            <w:pPr>
              <w:pStyle w:val="17"/>
              <w:spacing w:before="3"/>
              <w:rPr>
                <w:sz w:val="18"/>
              </w:rPr>
            </w:pPr>
          </w:p>
          <w:p>
            <w:pPr>
              <w:pStyle w:val="17"/>
              <w:ind w:left="167" w:right="160"/>
              <w:jc w:val="center"/>
              <w:rPr>
                <w:rFonts w:hint="default" w:eastAsia="宋体"/>
                <w:sz w:val="24"/>
                <w:lang w:val="en-US" w:eastAsia="zh-CN"/>
              </w:rPr>
            </w:pPr>
            <w:r>
              <w:rPr>
                <w:rFonts w:hint="eastAsia"/>
                <w:sz w:val="24"/>
                <w:lang w:val="en-US" w:eastAsia="zh-CN"/>
              </w:rPr>
              <w:t>37</w:t>
            </w:r>
          </w:p>
        </w:tc>
        <w:tc>
          <w:tcPr>
            <w:tcW w:w="3224" w:type="dxa"/>
          </w:tcPr>
          <w:p>
            <w:pPr>
              <w:pStyle w:val="17"/>
              <w:spacing w:before="3"/>
              <w:rPr>
                <w:sz w:val="18"/>
              </w:rPr>
            </w:pPr>
          </w:p>
          <w:p>
            <w:pPr>
              <w:pStyle w:val="17"/>
              <w:ind w:left="152" w:right="142"/>
              <w:jc w:val="center"/>
              <w:rPr>
                <w:sz w:val="24"/>
              </w:rPr>
            </w:pPr>
            <w:r>
              <w:rPr>
                <w:sz w:val="24"/>
              </w:rPr>
              <w:t>评分办法</w:t>
            </w:r>
          </w:p>
        </w:tc>
        <w:tc>
          <w:tcPr>
            <w:tcW w:w="6058" w:type="dxa"/>
          </w:tcPr>
          <w:p>
            <w:pPr>
              <w:pStyle w:val="17"/>
              <w:spacing w:before="1"/>
              <w:ind w:left="106"/>
              <w:rPr>
                <w:sz w:val="24"/>
              </w:rPr>
            </w:pPr>
            <w:r>
              <w:rPr>
                <w:sz w:val="24"/>
              </w:rPr>
              <w:t>本次评标采用综合评估法。磋商小组对满足磋商文件实</w:t>
            </w:r>
          </w:p>
          <w:p>
            <w:pPr>
              <w:pStyle w:val="17"/>
              <w:spacing w:before="158"/>
              <w:ind w:left="106"/>
              <w:rPr>
                <w:sz w:val="24"/>
              </w:rPr>
            </w:pPr>
            <w:r>
              <w:rPr>
                <w:sz w:val="24"/>
              </w:rPr>
              <w:t>质性要求的响应文件，按照第三章评审办法规定的评分</w:t>
            </w:r>
          </w:p>
          <w:p>
            <w:pPr>
              <w:pStyle w:val="17"/>
              <w:spacing w:before="1" w:line="364" w:lineRule="auto"/>
              <w:ind w:left="106" w:right="179"/>
              <w:jc w:val="both"/>
              <w:rPr>
                <w:sz w:val="24"/>
              </w:rPr>
            </w:pPr>
            <w:r>
              <w:rPr>
                <w:sz w:val="24"/>
              </w:rPr>
              <w:t>标准进行打分，并按打分由高到低顺序推荐成交人，或根据招标人授权直接确定中标人，但投标报价低于其成本的除外。综合评分相等时，以投标报价低的优先；投</w:t>
            </w:r>
          </w:p>
          <w:p>
            <w:pPr>
              <w:pStyle w:val="17"/>
              <w:spacing w:line="305" w:lineRule="exact"/>
              <w:ind w:left="106" w:leftChars="0" w:right="0" w:rightChars="0"/>
              <w:rPr>
                <w:sz w:val="24"/>
              </w:rPr>
            </w:pPr>
            <w:r>
              <w:rPr>
                <w:sz w:val="24"/>
              </w:rPr>
              <w:t>标报价也相等的，由招标人自行确定。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858" w:type="dxa"/>
            <w:vAlign w:val="center"/>
          </w:tcPr>
          <w:p>
            <w:pPr>
              <w:pStyle w:val="17"/>
              <w:spacing w:before="158"/>
              <w:ind w:right="160" w:rightChars="0"/>
              <w:jc w:val="center"/>
              <w:rPr>
                <w:rFonts w:hint="eastAsia"/>
                <w:sz w:val="24"/>
                <w:lang w:val="en-US" w:eastAsia="zh-CN"/>
              </w:rPr>
            </w:pPr>
            <w:r>
              <w:rPr>
                <w:sz w:val="24"/>
              </w:rPr>
              <w:t>3</w:t>
            </w:r>
            <w:r>
              <w:rPr>
                <w:rFonts w:hint="eastAsia"/>
                <w:sz w:val="24"/>
                <w:lang w:val="en-US" w:eastAsia="zh-CN"/>
              </w:rPr>
              <w:t>8</w:t>
            </w:r>
          </w:p>
        </w:tc>
        <w:tc>
          <w:tcPr>
            <w:tcW w:w="3224" w:type="dxa"/>
            <w:vAlign w:val="center"/>
          </w:tcPr>
          <w:p>
            <w:pPr>
              <w:pStyle w:val="17"/>
              <w:spacing w:line="362" w:lineRule="auto"/>
              <w:ind w:right="879" w:rightChars="0"/>
              <w:jc w:val="center"/>
              <w:rPr>
                <w:sz w:val="24"/>
              </w:rPr>
            </w:pPr>
            <w:r>
              <w:rPr>
                <w:sz w:val="24"/>
              </w:rPr>
              <w:t>评标委员会的组建</w:t>
            </w:r>
          </w:p>
        </w:tc>
        <w:tc>
          <w:tcPr>
            <w:tcW w:w="6058" w:type="dxa"/>
            <w:vAlign w:val="center"/>
          </w:tcPr>
          <w:p>
            <w:pPr>
              <w:pStyle w:val="17"/>
              <w:spacing w:line="362" w:lineRule="auto"/>
              <w:ind w:left="106" w:leftChars="0" w:right="-29" w:rightChars="0"/>
              <w:jc w:val="both"/>
              <w:rPr>
                <w:sz w:val="24"/>
              </w:rPr>
            </w:pPr>
            <w:r>
              <w:rPr>
                <w:spacing w:val="-2"/>
                <w:sz w:val="24"/>
              </w:rPr>
              <w:t>评标委员会构成：</w:t>
            </w:r>
            <w:r>
              <w:rPr>
                <w:spacing w:val="-16"/>
                <w:sz w:val="24"/>
              </w:rPr>
              <w:t>3</w:t>
            </w:r>
            <w:r>
              <w:rPr>
                <w:spacing w:val="-18"/>
                <w:sz w:val="24"/>
              </w:rPr>
              <w:t xml:space="preserve"> 人，其中招标代表 </w:t>
            </w:r>
            <w:r>
              <w:rPr>
                <w:sz w:val="24"/>
              </w:rPr>
              <w:t>1</w:t>
            </w:r>
            <w:r>
              <w:rPr>
                <w:spacing w:val="-46"/>
                <w:sz w:val="24"/>
              </w:rPr>
              <w:t xml:space="preserve"> 人</w:t>
            </w:r>
            <w:r>
              <w:rPr>
                <w:spacing w:val="-15"/>
                <w:sz w:val="24"/>
              </w:rPr>
              <w:t>，</w:t>
            </w:r>
            <w:r>
              <w:rPr>
                <w:sz w:val="24"/>
              </w:rPr>
              <w:t>专家 2 人</w:t>
            </w:r>
            <w:r>
              <w:rPr>
                <w:rFonts w:hint="eastAsia"/>
                <w:sz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858" w:type="dxa"/>
            <w:vAlign w:val="center"/>
          </w:tcPr>
          <w:p>
            <w:pPr>
              <w:pStyle w:val="17"/>
              <w:spacing w:before="1"/>
              <w:ind w:right="160" w:rightChars="0"/>
              <w:jc w:val="center"/>
              <w:rPr>
                <w:rFonts w:hint="eastAsia"/>
                <w:sz w:val="24"/>
                <w:lang w:val="en-US" w:eastAsia="zh-CN"/>
              </w:rPr>
            </w:pPr>
            <w:r>
              <w:rPr>
                <w:rFonts w:hint="eastAsia"/>
                <w:sz w:val="24"/>
                <w:lang w:val="en-US" w:eastAsia="zh-CN"/>
              </w:rPr>
              <w:t>39</w:t>
            </w:r>
          </w:p>
        </w:tc>
        <w:tc>
          <w:tcPr>
            <w:tcW w:w="3224" w:type="dxa"/>
            <w:vAlign w:val="center"/>
          </w:tcPr>
          <w:p>
            <w:pPr>
              <w:pStyle w:val="17"/>
              <w:spacing w:before="2"/>
              <w:ind w:right="142"/>
              <w:jc w:val="center"/>
              <w:rPr>
                <w:sz w:val="24"/>
              </w:rPr>
            </w:pPr>
            <w:r>
              <w:rPr>
                <w:sz w:val="24"/>
              </w:rPr>
              <w:t>是否授权评标委员会确定中标人</w:t>
            </w:r>
          </w:p>
        </w:tc>
        <w:tc>
          <w:tcPr>
            <w:tcW w:w="6058" w:type="dxa"/>
            <w:vAlign w:val="center"/>
          </w:tcPr>
          <w:p>
            <w:pPr>
              <w:pStyle w:val="17"/>
              <w:spacing w:before="3"/>
              <w:jc w:val="both"/>
              <w:rPr>
                <w:sz w:val="18"/>
              </w:rPr>
            </w:pPr>
          </w:p>
          <w:p>
            <w:pPr>
              <w:pStyle w:val="17"/>
              <w:spacing w:before="1"/>
              <w:ind w:left="106" w:leftChars="0" w:right="0" w:rightChars="0"/>
              <w:jc w:val="both"/>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858" w:type="dxa"/>
            <w:vAlign w:val="center"/>
          </w:tcPr>
          <w:p>
            <w:pPr>
              <w:pStyle w:val="17"/>
              <w:spacing w:before="1"/>
              <w:ind w:right="160" w:rightChars="0"/>
              <w:jc w:val="center"/>
              <w:rPr>
                <w:rFonts w:hint="eastAsia"/>
                <w:sz w:val="24"/>
                <w:lang w:val="en-US" w:eastAsia="zh-CN"/>
              </w:rPr>
            </w:pPr>
            <w:r>
              <w:rPr>
                <w:sz w:val="24"/>
              </w:rPr>
              <w:t>4</w:t>
            </w:r>
            <w:r>
              <w:rPr>
                <w:rFonts w:hint="eastAsia"/>
                <w:sz w:val="24"/>
                <w:lang w:val="en-US" w:eastAsia="zh-CN"/>
              </w:rPr>
              <w:t>0</w:t>
            </w:r>
          </w:p>
        </w:tc>
        <w:tc>
          <w:tcPr>
            <w:tcW w:w="3224" w:type="dxa"/>
            <w:vAlign w:val="center"/>
          </w:tcPr>
          <w:p>
            <w:pPr>
              <w:pStyle w:val="17"/>
              <w:spacing w:before="1"/>
              <w:ind w:right="142" w:rightChars="0"/>
              <w:jc w:val="center"/>
              <w:rPr>
                <w:sz w:val="24"/>
              </w:rPr>
            </w:pPr>
            <w:r>
              <w:rPr>
                <w:sz w:val="24"/>
              </w:rPr>
              <w:t>履约担保</w:t>
            </w:r>
          </w:p>
        </w:tc>
        <w:tc>
          <w:tcPr>
            <w:tcW w:w="6058" w:type="dxa"/>
            <w:vAlign w:val="center"/>
          </w:tcPr>
          <w:p>
            <w:pPr>
              <w:pStyle w:val="17"/>
              <w:spacing w:before="1"/>
              <w:ind w:left="106" w:leftChars="0" w:right="0" w:rightChars="0"/>
              <w:jc w:val="both"/>
              <w:rPr>
                <w:sz w:val="24"/>
              </w:rPr>
            </w:pP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10140" w:type="dxa"/>
            <w:gridSpan w:val="3"/>
            <w:vAlign w:val="top"/>
          </w:tcPr>
          <w:p>
            <w:pPr>
              <w:pStyle w:val="17"/>
              <w:spacing w:before="1"/>
              <w:ind w:left="108" w:leftChars="0" w:right="0" w:rightChars="0"/>
              <w:rPr>
                <w:sz w:val="24"/>
              </w:rPr>
            </w:pPr>
            <w:r>
              <w:rPr>
                <w:sz w:val="24"/>
              </w:rPr>
              <w:t>需要补充的其他内容：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858" w:type="dxa"/>
            <w:vAlign w:val="top"/>
          </w:tcPr>
          <w:p>
            <w:pPr>
              <w:pStyle w:val="17"/>
              <w:rPr>
                <w:sz w:val="24"/>
              </w:rPr>
            </w:pPr>
          </w:p>
          <w:p>
            <w:pPr>
              <w:pStyle w:val="17"/>
              <w:spacing w:before="10"/>
              <w:rPr>
                <w:sz w:val="31"/>
              </w:rPr>
            </w:pPr>
          </w:p>
          <w:p>
            <w:pPr>
              <w:pStyle w:val="17"/>
              <w:ind w:left="167" w:leftChars="0" w:right="160" w:rightChars="0"/>
              <w:jc w:val="center"/>
              <w:rPr>
                <w:rFonts w:hint="eastAsia"/>
                <w:sz w:val="24"/>
                <w:lang w:val="en-US" w:eastAsia="zh-CN"/>
              </w:rPr>
            </w:pPr>
            <w:r>
              <w:rPr>
                <w:sz w:val="24"/>
              </w:rPr>
              <w:t>4</w:t>
            </w:r>
            <w:r>
              <w:rPr>
                <w:rFonts w:hint="eastAsia"/>
                <w:sz w:val="24"/>
                <w:lang w:val="en-US" w:eastAsia="zh-CN"/>
              </w:rPr>
              <w:t>1</w:t>
            </w:r>
          </w:p>
        </w:tc>
        <w:tc>
          <w:tcPr>
            <w:tcW w:w="3224" w:type="dxa"/>
            <w:vAlign w:val="top"/>
          </w:tcPr>
          <w:p>
            <w:pPr>
              <w:pStyle w:val="17"/>
              <w:rPr>
                <w:sz w:val="24"/>
              </w:rPr>
            </w:pPr>
          </w:p>
          <w:p>
            <w:pPr>
              <w:pStyle w:val="17"/>
              <w:spacing w:before="10"/>
              <w:rPr>
                <w:sz w:val="31"/>
              </w:rPr>
            </w:pPr>
          </w:p>
          <w:p>
            <w:pPr>
              <w:pStyle w:val="17"/>
              <w:ind w:left="152" w:leftChars="0" w:right="142" w:rightChars="0"/>
              <w:jc w:val="center"/>
              <w:rPr>
                <w:sz w:val="24"/>
              </w:rPr>
            </w:pPr>
            <w:r>
              <w:rPr>
                <w:sz w:val="24"/>
              </w:rPr>
              <w:t>招标控制价</w:t>
            </w:r>
          </w:p>
        </w:tc>
        <w:tc>
          <w:tcPr>
            <w:tcW w:w="6058" w:type="dxa"/>
            <w:vAlign w:val="top"/>
          </w:tcPr>
          <w:p>
            <w:pPr>
              <w:pStyle w:val="17"/>
              <w:spacing w:before="2" w:line="362" w:lineRule="auto"/>
              <w:ind w:left="106" w:right="97"/>
              <w:rPr>
                <w:sz w:val="24"/>
              </w:rPr>
            </w:pPr>
            <w:r>
              <w:rPr>
                <w:sz w:val="24"/>
              </w:rPr>
              <w:t>磋商响应人的投标总价不得高于招标控制价，本项目招标控制价为（人民币）：</w:t>
            </w:r>
          </w:p>
          <w:p>
            <w:pPr>
              <w:pStyle w:val="17"/>
              <w:spacing w:before="2"/>
              <w:ind w:left="106"/>
              <w:rPr>
                <w:sz w:val="24"/>
              </w:rPr>
            </w:pPr>
            <w:r>
              <w:rPr>
                <w:sz w:val="24"/>
              </w:rPr>
              <w:t>小写：</w:t>
            </w:r>
            <w:r>
              <w:rPr>
                <w:rFonts w:hint="eastAsia"/>
                <w:sz w:val="24"/>
                <w:lang w:eastAsia="zh-CN"/>
              </w:rPr>
              <w:t>395000</w:t>
            </w:r>
            <w:r>
              <w:rPr>
                <w:sz w:val="24"/>
              </w:rPr>
              <w:t xml:space="preserve"> 元；</w:t>
            </w:r>
          </w:p>
          <w:p>
            <w:pPr>
              <w:pStyle w:val="17"/>
              <w:spacing w:before="178"/>
              <w:ind w:left="106" w:leftChars="0" w:right="0" w:rightChars="0"/>
              <w:rPr>
                <w:sz w:val="24"/>
              </w:rPr>
            </w:pPr>
            <w:r>
              <w:rPr>
                <w:sz w:val="24"/>
              </w:rPr>
              <w:t>大写：</w:t>
            </w:r>
            <w:r>
              <w:rPr>
                <w:rFonts w:hint="eastAsia"/>
                <w:sz w:val="24"/>
                <w:lang w:val="en-US" w:eastAsia="zh-CN"/>
              </w:rPr>
              <w:t>叁拾玖万伍仟元</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858" w:type="dxa"/>
            <w:vAlign w:val="top"/>
          </w:tcPr>
          <w:p>
            <w:pPr>
              <w:pStyle w:val="17"/>
              <w:rPr>
                <w:sz w:val="24"/>
              </w:rPr>
            </w:pPr>
          </w:p>
          <w:p>
            <w:pPr>
              <w:pStyle w:val="17"/>
              <w:rPr>
                <w:sz w:val="24"/>
              </w:rPr>
            </w:pPr>
          </w:p>
          <w:p>
            <w:pPr>
              <w:pStyle w:val="17"/>
              <w:spacing w:before="11"/>
              <w:rPr>
                <w:sz w:val="24"/>
              </w:rPr>
            </w:pPr>
          </w:p>
          <w:p>
            <w:pPr>
              <w:pStyle w:val="17"/>
              <w:spacing w:before="1"/>
              <w:ind w:left="167" w:leftChars="0" w:right="160" w:rightChars="0"/>
              <w:jc w:val="center"/>
              <w:rPr>
                <w:rFonts w:hint="eastAsia"/>
                <w:sz w:val="24"/>
                <w:lang w:val="en-US" w:eastAsia="zh-CN"/>
              </w:rPr>
            </w:pPr>
            <w:r>
              <w:rPr>
                <w:sz w:val="24"/>
              </w:rPr>
              <w:t>4</w:t>
            </w:r>
            <w:r>
              <w:rPr>
                <w:rFonts w:hint="eastAsia"/>
                <w:sz w:val="24"/>
                <w:lang w:val="en-US" w:eastAsia="zh-CN"/>
              </w:rPr>
              <w:t>2</w:t>
            </w:r>
          </w:p>
        </w:tc>
        <w:tc>
          <w:tcPr>
            <w:tcW w:w="3224" w:type="dxa"/>
            <w:vAlign w:val="top"/>
          </w:tcPr>
          <w:p>
            <w:pPr>
              <w:pStyle w:val="17"/>
              <w:rPr>
                <w:sz w:val="24"/>
              </w:rPr>
            </w:pPr>
          </w:p>
          <w:p>
            <w:pPr>
              <w:pStyle w:val="17"/>
              <w:rPr>
                <w:sz w:val="24"/>
              </w:rPr>
            </w:pPr>
          </w:p>
          <w:p>
            <w:pPr>
              <w:pStyle w:val="17"/>
              <w:spacing w:before="11"/>
              <w:rPr>
                <w:sz w:val="24"/>
              </w:rPr>
            </w:pPr>
          </w:p>
          <w:p>
            <w:pPr>
              <w:pStyle w:val="17"/>
              <w:spacing w:before="1"/>
              <w:ind w:left="152" w:leftChars="0" w:right="142" w:rightChars="0"/>
              <w:jc w:val="center"/>
              <w:rPr>
                <w:sz w:val="24"/>
              </w:rPr>
            </w:pPr>
            <w:r>
              <w:rPr>
                <w:sz w:val="24"/>
              </w:rPr>
              <w:t>磋商响应人代表出席开标</w:t>
            </w:r>
          </w:p>
        </w:tc>
        <w:tc>
          <w:tcPr>
            <w:tcW w:w="6058" w:type="dxa"/>
            <w:vAlign w:val="top"/>
          </w:tcPr>
          <w:p>
            <w:pPr>
              <w:pStyle w:val="17"/>
              <w:spacing w:before="3" w:line="364" w:lineRule="auto"/>
              <w:ind w:left="106" w:right="97"/>
              <w:jc w:val="both"/>
              <w:rPr>
                <w:sz w:val="24"/>
              </w:rPr>
            </w:pPr>
            <w:r>
              <w:rPr>
                <w:spacing w:val="-7"/>
                <w:sz w:val="24"/>
              </w:rPr>
              <w:t xml:space="preserve">按照本须知第 </w:t>
            </w:r>
            <w:r>
              <w:rPr>
                <w:sz w:val="24"/>
              </w:rPr>
              <w:t>5.1</w:t>
            </w:r>
            <w:r>
              <w:rPr>
                <w:spacing w:val="-5"/>
                <w:sz w:val="24"/>
              </w:rPr>
              <w:t xml:space="preserve"> 款规定，招标代理机构邀请所有磋商</w:t>
            </w:r>
            <w:r>
              <w:rPr>
                <w:sz w:val="24"/>
              </w:rPr>
              <w:t>响应人的法定代表人或其委托代理人参加开标会。磋商响应人的法定代表人或其委托代理人应当按时参加开标会，并在开标会议开始前，向招标代理机构出示法定代</w:t>
            </w:r>
          </w:p>
          <w:p>
            <w:pPr>
              <w:pStyle w:val="17"/>
              <w:spacing w:line="303" w:lineRule="exact"/>
              <w:ind w:left="106" w:leftChars="0" w:right="0" w:rightChars="0"/>
              <w:rPr>
                <w:sz w:val="24"/>
              </w:rPr>
            </w:pPr>
            <w:r>
              <w:rPr>
                <w:sz w:val="24"/>
              </w:rPr>
              <w:t>表人身份证明文件或法定代表人授权委托书及本人身份</w:t>
            </w:r>
          </w:p>
        </w:tc>
      </w:tr>
    </w:tbl>
    <w:p>
      <w:pPr>
        <w:spacing w:after="0"/>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41" o:spid="_x0000_s1041" o:spt="20" style="position:absolute;left:0pt;margin-left:62.4pt;margin-top:12.25pt;height:0pt;width:400.4pt;mso-position-horizontal-relative:page;z-index:25169408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rPr>
          <w:sz w:val="20"/>
        </w:rPr>
      </w:pPr>
    </w:p>
    <w:p>
      <w:pPr>
        <w:pStyle w:val="8"/>
        <w:spacing w:before="7"/>
        <w:rPr>
          <w:sz w:val="10"/>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8"/>
        <w:gridCol w:w="3224"/>
        <w:gridCol w:w="60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858" w:type="dxa"/>
          </w:tcPr>
          <w:p>
            <w:pPr>
              <w:pStyle w:val="17"/>
              <w:rPr>
                <w:rFonts w:ascii="Times New Roman"/>
                <w:sz w:val="22"/>
              </w:rPr>
            </w:pPr>
          </w:p>
        </w:tc>
        <w:tc>
          <w:tcPr>
            <w:tcW w:w="3224" w:type="dxa"/>
          </w:tcPr>
          <w:p>
            <w:pPr>
              <w:pStyle w:val="17"/>
              <w:rPr>
                <w:rFonts w:ascii="Times New Roman"/>
                <w:sz w:val="22"/>
              </w:rPr>
            </w:pPr>
          </w:p>
        </w:tc>
        <w:tc>
          <w:tcPr>
            <w:tcW w:w="6058" w:type="dxa"/>
          </w:tcPr>
          <w:p>
            <w:pPr>
              <w:pStyle w:val="17"/>
              <w:spacing w:before="1"/>
              <w:ind w:left="106"/>
              <w:rPr>
                <w:sz w:val="24"/>
              </w:rPr>
            </w:pPr>
            <w:r>
              <w:rPr>
                <w:sz w:val="24"/>
              </w:rPr>
              <w:t>证，以证明其出席，否则，其投标被否决处理。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7" w:hRule="atLeast"/>
        </w:trPr>
        <w:tc>
          <w:tcPr>
            <w:tcW w:w="858" w:type="dxa"/>
          </w:tcPr>
          <w:p>
            <w:pPr>
              <w:pStyle w:val="17"/>
              <w:rPr>
                <w:sz w:val="24"/>
              </w:rPr>
            </w:pPr>
          </w:p>
          <w:p>
            <w:pPr>
              <w:pStyle w:val="17"/>
              <w:rPr>
                <w:sz w:val="24"/>
              </w:rPr>
            </w:pPr>
          </w:p>
          <w:p>
            <w:pPr>
              <w:pStyle w:val="17"/>
              <w:rPr>
                <w:sz w:val="24"/>
              </w:rPr>
            </w:pPr>
          </w:p>
          <w:p>
            <w:pPr>
              <w:pStyle w:val="17"/>
              <w:rPr>
                <w:sz w:val="24"/>
              </w:rPr>
            </w:pPr>
          </w:p>
          <w:p>
            <w:pPr>
              <w:pStyle w:val="17"/>
              <w:spacing w:before="171"/>
              <w:ind w:left="167" w:right="160"/>
              <w:jc w:val="center"/>
              <w:rPr>
                <w:rFonts w:hint="eastAsia" w:eastAsia="宋体"/>
                <w:sz w:val="24"/>
                <w:lang w:eastAsia="zh-CN"/>
              </w:rPr>
            </w:pPr>
            <w:r>
              <w:rPr>
                <w:sz w:val="24"/>
              </w:rPr>
              <w:t>4</w:t>
            </w:r>
            <w:r>
              <w:rPr>
                <w:rFonts w:hint="eastAsia"/>
                <w:sz w:val="24"/>
                <w:lang w:val="en-US" w:eastAsia="zh-CN"/>
              </w:rPr>
              <w:t>3</w:t>
            </w:r>
          </w:p>
        </w:tc>
        <w:tc>
          <w:tcPr>
            <w:tcW w:w="3224" w:type="dxa"/>
          </w:tcPr>
          <w:p>
            <w:pPr>
              <w:pStyle w:val="17"/>
              <w:rPr>
                <w:sz w:val="24"/>
              </w:rPr>
            </w:pPr>
          </w:p>
          <w:p>
            <w:pPr>
              <w:pStyle w:val="17"/>
              <w:rPr>
                <w:sz w:val="24"/>
              </w:rPr>
            </w:pPr>
          </w:p>
          <w:p>
            <w:pPr>
              <w:pStyle w:val="17"/>
              <w:rPr>
                <w:sz w:val="24"/>
              </w:rPr>
            </w:pPr>
          </w:p>
          <w:p>
            <w:pPr>
              <w:pStyle w:val="17"/>
              <w:rPr>
                <w:sz w:val="24"/>
              </w:rPr>
            </w:pPr>
          </w:p>
          <w:p>
            <w:pPr>
              <w:pStyle w:val="17"/>
              <w:spacing w:before="171"/>
              <w:ind w:left="152" w:right="142"/>
              <w:jc w:val="center"/>
              <w:rPr>
                <w:sz w:val="24"/>
              </w:rPr>
            </w:pPr>
            <w:r>
              <w:rPr>
                <w:sz w:val="24"/>
              </w:rPr>
              <w:t>中标公告</w:t>
            </w:r>
          </w:p>
        </w:tc>
        <w:tc>
          <w:tcPr>
            <w:tcW w:w="6058" w:type="dxa"/>
          </w:tcPr>
          <w:p>
            <w:pPr>
              <w:pStyle w:val="17"/>
              <w:spacing w:before="2" w:line="364" w:lineRule="auto"/>
              <w:ind w:left="106" w:right="97"/>
              <w:jc w:val="both"/>
              <w:rPr>
                <w:sz w:val="24"/>
              </w:rPr>
            </w:pPr>
            <w:r>
              <w:rPr>
                <w:sz w:val="24"/>
              </w:rPr>
              <w:t>中标候选人确定后，招标代理机构在青海省政府采购网发布中标结果公告，在发布公告的同时，招标代理机构向中标候选人发出中标通知书，中标通知书对招标人和中标候选人具有同等法律效力，磋商响应人对中标公告</w:t>
            </w:r>
            <w:r>
              <w:rPr>
                <w:spacing w:val="-3"/>
                <w:sz w:val="24"/>
              </w:rPr>
              <w:t xml:space="preserve">有异议的，应在中标公告发布之日起 </w:t>
            </w:r>
            <w:r>
              <w:rPr>
                <w:sz w:val="24"/>
              </w:rPr>
              <w:t>7</w:t>
            </w:r>
            <w:r>
              <w:rPr>
                <w:spacing w:val="-7"/>
                <w:sz w:val="24"/>
              </w:rPr>
              <w:t xml:space="preserve"> 个工作日内以书</w:t>
            </w:r>
            <w:r>
              <w:rPr>
                <w:spacing w:val="-1"/>
                <w:sz w:val="24"/>
              </w:rPr>
              <w:t>面形式向招标人或招标代理机构提出质疑，逾期将不再</w:t>
            </w:r>
          </w:p>
          <w:p>
            <w:pPr>
              <w:pStyle w:val="17"/>
              <w:spacing w:line="304" w:lineRule="exact"/>
              <w:ind w:left="106"/>
              <w:rPr>
                <w:sz w:val="24"/>
              </w:rPr>
            </w:pPr>
            <w:r>
              <w:rPr>
                <w:sz w:val="24"/>
              </w:rPr>
              <w:t>受理。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5" w:hRule="atLeast"/>
        </w:trPr>
        <w:tc>
          <w:tcPr>
            <w:tcW w:w="858" w:type="dxa"/>
          </w:tcPr>
          <w:p>
            <w:pPr>
              <w:pStyle w:val="17"/>
              <w:rPr>
                <w:sz w:val="24"/>
              </w:rPr>
            </w:pPr>
          </w:p>
          <w:p>
            <w:pPr>
              <w:pStyle w:val="17"/>
              <w:rPr>
                <w:sz w:val="24"/>
              </w:rPr>
            </w:pPr>
          </w:p>
          <w:p>
            <w:pPr>
              <w:pStyle w:val="17"/>
              <w:rPr>
                <w:sz w:val="25"/>
              </w:rPr>
            </w:pPr>
          </w:p>
          <w:p>
            <w:pPr>
              <w:pStyle w:val="17"/>
              <w:ind w:left="167" w:right="160"/>
              <w:jc w:val="center"/>
              <w:rPr>
                <w:rFonts w:hint="eastAsia" w:eastAsia="宋体"/>
                <w:sz w:val="24"/>
                <w:lang w:eastAsia="zh-CN"/>
              </w:rPr>
            </w:pPr>
            <w:r>
              <w:rPr>
                <w:sz w:val="24"/>
              </w:rPr>
              <w:t>4</w:t>
            </w:r>
            <w:r>
              <w:rPr>
                <w:rFonts w:hint="eastAsia"/>
                <w:sz w:val="24"/>
                <w:lang w:val="en-US" w:eastAsia="zh-CN"/>
              </w:rPr>
              <w:t>4</w:t>
            </w:r>
          </w:p>
        </w:tc>
        <w:tc>
          <w:tcPr>
            <w:tcW w:w="3224" w:type="dxa"/>
          </w:tcPr>
          <w:p>
            <w:pPr>
              <w:pStyle w:val="17"/>
              <w:rPr>
                <w:sz w:val="24"/>
              </w:rPr>
            </w:pPr>
          </w:p>
          <w:p>
            <w:pPr>
              <w:pStyle w:val="17"/>
              <w:rPr>
                <w:sz w:val="24"/>
              </w:rPr>
            </w:pPr>
          </w:p>
          <w:p>
            <w:pPr>
              <w:pStyle w:val="17"/>
              <w:rPr>
                <w:sz w:val="25"/>
              </w:rPr>
            </w:pPr>
          </w:p>
          <w:p>
            <w:pPr>
              <w:pStyle w:val="17"/>
              <w:ind w:left="152" w:right="142"/>
              <w:jc w:val="center"/>
              <w:rPr>
                <w:sz w:val="24"/>
              </w:rPr>
            </w:pPr>
            <w:r>
              <w:rPr>
                <w:sz w:val="24"/>
              </w:rPr>
              <w:t>知识产权</w:t>
            </w:r>
          </w:p>
        </w:tc>
        <w:tc>
          <w:tcPr>
            <w:tcW w:w="6058" w:type="dxa"/>
          </w:tcPr>
          <w:p>
            <w:pPr>
              <w:pStyle w:val="17"/>
              <w:spacing w:before="2" w:line="364" w:lineRule="auto"/>
              <w:ind w:left="106" w:right="97"/>
              <w:jc w:val="both"/>
              <w:rPr>
                <w:sz w:val="24"/>
              </w:rPr>
            </w:pPr>
            <w:r>
              <w:rPr>
                <w:sz w:val="24"/>
              </w:rPr>
              <w:t>构成本竞争性磋商文件各个组成部分的文件，未经招标代理机构书面同意，磋商响应人不得擅自复印和用于非本招标项目所需的其他目的。招标人全部或者部分使用未中标人响应文件中的技术成果或技术方案时，需征得</w:t>
            </w:r>
          </w:p>
          <w:p>
            <w:pPr>
              <w:pStyle w:val="17"/>
              <w:spacing w:line="305" w:lineRule="exact"/>
              <w:ind w:left="106"/>
              <w:rPr>
                <w:sz w:val="24"/>
              </w:rPr>
            </w:pPr>
            <w:r>
              <w:rPr>
                <w:sz w:val="24"/>
              </w:rPr>
              <w:t>其书面同意，并不得擅自复印或提供给第三人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7" w:hRule="atLeast"/>
        </w:trPr>
        <w:tc>
          <w:tcPr>
            <w:tcW w:w="858" w:type="dxa"/>
          </w:tcPr>
          <w:p>
            <w:pPr>
              <w:pStyle w:val="17"/>
              <w:rPr>
                <w:sz w:val="24"/>
              </w:rPr>
            </w:pPr>
          </w:p>
          <w:p>
            <w:pPr>
              <w:pStyle w:val="17"/>
              <w:spacing w:before="8"/>
              <w:rPr>
                <w:sz w:val="30"/>
              </w:rPr>
            </w:pPr>
          </w:p>
          <w:p>
            <w:pPr>
              <w:pStyle w:val="17"/>
              <w:ind w:left="167" w:right="160"/>
              <w:jc w:val="center"/>
              <w:rPr>
                <w:rFonts w:hint="eastAsia" w:eastAsia="宋体"/>
                <w:sz w:val="24"/>
                <w:lang w:eastAsia="zh-CN"/>
              </w:rPr>
            </w:pPr>
            <w:r>
              <w:rPr>
                <w:sz w:val="24"/>
              </w:rPr>
              <w:t>4</w:t>
            </w:r>
            <w:r>
              <w:rPr>
                <w:rFonts w:hint="eastAsia"/>
                <w:sz w:val="24"/>
                <w:lang w:val="en-US" w:eastAsia="zh-CN"/>
              </w:rPr>
              <w:t>5</w:t>
            </w:r>
          </w:p>
        </w:tc>
        <w:tc>
          <w:tcPr>
            <w:tcW w:w="3224" w:type="dxa"/>
          </w:tcPr>
          <w:p>
            <w:pPr>
              <w:pStyle w:val="17"/>
              <w:rPr>
                <w:sz w:val="24"/>
              </w:rPr>
            </w:pPr>
          </w:p>
          <w:p>
            <w:pPr>
              <w:pStyle w:val="17"/>
              <w:spacing w:before="8"/>
              <w:rPr>
                <w:sz w:val="30"/>
              </w:rPr>
            </w:pPr>
          </w:p>
          <w:p>
            <w:pPr>
              <w:pStyle w:val="17"/>
              <w:ind w:left="152" w:right="142"/>
              <w:jc w:val="center"/>
              <w:rPr>
                <w:sz w:val="24"/>
              </w:rPr>
            </w:pPr>
            <w:r>
              <w:rPr>
                <w:sz w:val="24"/>
              </w:rPr>
              <w:t>重新招标的其他情形</w:t>
            </w:r>
          </w:p>
        </w:tc>
        <w:tc>
          <w:tcPr>
            <w:tcW w:w="6058" w:type="dxa"/>
          </w:tcPr>
          <w:p>
            <w:pPr>
              <w:pStyle w:val="17"/>
              <w:spacing w:before="2" w:line="362" w:lineRule="auto"/>
              <w:ind w:left="106" w:right="97"/>
              <w:jc w:val="both"/>
              <w:rPr>
                <w:sz w:val="24"/>
              </w:rPr>
            </w:pPr>
            <w:r>
              <w:rPr>
                <w:spacing w:val="-4"/>
                <w:sz w:val="24"/>
              </w:rPr>
              <w:t xml:space="preserve">除磋商响应人须知正文第 </w:t>
            </w:r>
            <w:r>
              <w:rPr>
                <w:sz w:val="24"/>
              </w:rPr>
              <w:t>8</w:t>
            </w:r>
            <w:r>
              <w:rPr>
                <w:spacing w:val="-6"/>
                <w:sz w:val="24"/>
              </w:rPr>
              <w:t xml:space="preserve"> 条规定的情形外，除非已经</w:t>
            </w:r>
            <w:r>
              <w:rPr>
                <w:sz w:val="24"/>
              </w:rPr>
              <w:t>产生中标候选人，在磋商响应人有效期内同意延长投标有效期的磋商响应人少于三个的，招标人应当依法重新</w:t>
            </w:r>
          </w:p>
          <w:p>
            <w:pPr>
              <w:pStyle w:val="17"/>
              <w:spacing w:before="6"/>
              <w:ind w:left="106"/>
              <w:rPr>
                <w:sz w:val="24"/>
              </w:rPr>
            </w:pPr>
            <w:r>
              <w:rPr>
                <w:sz w:val="24"/>
              </w:rPr>
              <w:t>招标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4" w:hRule="atLeast"/>
        </w:trPr>
        <w:tc>
          <w:tcPr>
            <w:tcW w:w="858" w:type="dxa"/>
          </w:tcPr>
          <w:p>
            <w:pPr>
              <w:pStyle w:val="17"/>
              <w:rPr>
                <w:sz w:val="24"/>
              </w:rPr>
            </w:pPr>
          </w:p>
          <w:p>
            <w:pPr>
              <w:pStyle w:val="17"/>
              <w:rPr>
                <w:sz w:val="24"/>
              </w:rPr>
            </w:pPr>
          </w:p>
          <w:p>
            <w:pPr>
              <w:pStyle w:val="17"/>
              <w:rPr>
                <w:sz w:val="25"/>
              </w:rPr>
            </w:pPr>
          </w:p>
          <w:p>
            <w:pPr>
              <w:pStyle w:val="17"/>
              <w:ind w:left="167" w:right="160"/>
              <w:jc w:val="center"/>
              <w:rPr>
                <w:rFonts w:hint="default" w:eastAsia="宋体"/>
                <w:sz w:val="24"/>
                <w:lang w:val="en-US" w:eastAsia="zh-CN"/>
              </w:rPr>
            </w:pPr>
            <w:r>
              <w:rPr>
                <w:rFonts w:hint="eastAsia"/>
                <w:sz w:val="24"/>
                <w:lang w:val="en-US" w:eastAsia="zh-CN"/>
              </w:rPr>
              <w:t>46</w:t>
            </w:r>
          </w:p>
        </w:tc>
        <w:tc>
          <w:tcPr>
            <w:tcW w:w="3224" w:type="dxa"/>
          </w:tcPr>
          <w:p>
            <w:pPr>
              <w:pStyle w:val="17"/>
              <w:rPr>
                <w:sz w:val="24"/>
              </w:rPr>
            </w:pPr>
          </w:p>
          <w:p>
            <w:pPr>
              <w:pStyle w:val="17"/>
              <w:rPr>
                <w:sz w:val="24"/>
              </w:rPr>
            </w:pPr>
          </w:p>
          <w:p>
            <w:pPr>
              <w:pStyle w:val="17"/>
              <w:rPr>
                <w:sz w:val="25"/>
              </w:rPr>
            </w:pPr>
          </w:p>
          <w:p>
            <w:pPr>
              <w:pStyle w:val="17"/>
              <w:ind w:left="152" w:right="142"/>
              <w:jc w:val="center"/>
              <w:rPr>
                <w:sz w:val="24"/>
              </w:rPr>
            </w:pPr>
            <w:r>
              <w:rPr>
                <w:sz w:val="24"/>
              </w:rPr>
              <w:t>同义词语</w:t>
            </w:r>
          </w:p>
        </w:tc>
        <w:tc>
          <w:tcPr>
            <w:tcW w:w="6058" w:type="dxa"/>
          </w:tcPr>
          <w:p>
            <w:pPr>
              <w:pStyle w:val="17"/>
              <w:spacing w:before="2" w:line="364" w:lineRule="auto"/>
              <w:ind w:left="106" w:right="95"/>
              <w:jc w:val="both"/>
              <w:rPr>
                <w:sz w:val="24"/>
              </w:rPr>
            </w:pPr>
            <w:r>
              <w:rPr>
                <w:spacing w:val="-10"/>
                <w:sz w:val="24"/>
              </w:rPr>
              <w:t>构成竞争性磋商文件组成部分的“通用合同条款”、“专</w:t>
            </w:r>
            <w:r>
              <w:rPr>
                <w:sz w:val="24"/>
              </w:rPr>
              <w:t>用合同条款”、“技术标准和要求”和“工程量清单” 等章节中出现的措辞“发包人”和“承包人”，在招标投标阶段应当分别按“招标人”和“磋商响应人”进行</w:t>
            </w:r>
          </w:p>
          <w:p>
            <w:pPr>
              <w:pStyle w:val="17"/>
              <w:spacing w:line="305" w:lineRule="exact"/>
              <w:ind w:left="106"/>
              <w:rPr>
                <w:sz w:val="24"/>
              </w:rPr>
            </w:pPr>
            <w:r>
              <w:rPr>
                <w:sz w:val="24"/>
              </w:rPr>
              <w:t>理解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858" w:type="dxa"/>
          </w:tcPr>
          <w:p>
            <w:pPr>
              <w:pStyle w:val="17"/>
              <w:spacing w:before="4"/>
              <w:rPr>
                <w:sz w:val="18"/>
              </w:rPr>
            </w:pPr>
          </w:p>
          <w:p>
            <w:pPr>
              <w:pStyle w:val="17"/>
              <w:spacing w:before="1"/>
              <w:ind w:left="167" w:right="160"/>
              <w:jc w:val="center"/>
              <w:rPr>
                <w:rFonts w:hint="default" w:eastAsia="宋体"/>
                <w:sz w:val="24"/>
                <w:lang w:val="en-US" w:eastAsia="zh-CN"/>
              </w:rPr>
            </w:pPr>
            <w:r>
              <w:rPr>
                <w:rFonts w:hint="eastAsia"/>
                <w:sz w:val="24"/>
                <w:lang w:val="en-US" w:eastAsia="zh-CN"/>
              </w:rPr>
              <w:t>47</w:t>
            </w:r>
          </w:p>
        </w:tc>
        <w:tc>
          <w:tcPr>
            <w:tcW w:w="3224" w:type="dxa"/>
          </w:tcPr>
          <w:p>
            <w:pPr>
              <w:pStyle w:val="17"/>
              <w:spacing w:before="4"/>
              <w:rPr>
                <w:sz w:val="18"/>
              </w:rPr>
            </w:pPr>
          </w:p>
          <w:p>
            <w:pPr>
              <w:pStyle w:val="17"/>
              <w:spacing w:before="1"/>
              <w:ind w:left="152" w:right="142"/>
              <w:jc w:val="center"/>
              <w:rPr>
                <w:sz w:val="24"/>
              </w:rPr>
            </w:pPr>
            <w:r>
              <w:rPr>
                <w:sz w:val="24"/>
              </w:rPr>
              <w:t>监督</w:t>
            </w:r>
          </w:p>
        </w:tc>
        <w:tc>
          <w:tcPr>
            <w:tcW w:w="6058" w:type="dxa"/>
          </w:tcPr>
          <w:p>
            <w:pPr>
              <w:pStyle w:val="17"/>
              <w:spacing w:before="3"/>
              <w:ind w:left="106"/>
              <w:rPr>
                <w:sz w:val="24"/>
              </w:rPr>
            </w:pPr>
            <w:r>
              <w:rPr>
                <w:sz w:val="24"/>
              </w:rPr>
              <w:t>本项目的招标投标活动及其相关当事人应当接受有管辖</w:t>
            </w:r>
          </w:p>
          <w:p>
            <w:pPr>
              <w:pStyle w:val="17"/>
              <w:spacing w:before="158"/>
              <w:ind w:left="106"/>
              <w:rPr>
                <w:sz w:val="24"/>
              </w:rPr>
            </w:pPr>
            <w:r>
              <w:rPr>
                <w:sz w:val="24"/>
              </w:rPr>
              <w:t>权的建设工程招标投标行政监督部门依法实施的监督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2" w:hRule="atLeast"/>
        </w:trPr>
        <w:tc>
          <w:tcPr>
            <w:tcW w:w="858" w:type="dxa"/>
          </w:tcPr>
          <w:p>
            <w:pPr>
              <w:pStyle w:val="17"/>
              <w:rPr>
                <w:sz w:val="24"/>
              </w:rPr>
            </w:pPr>
          </w:p>
          <w:p>
            <w:pPr>
              <w:pStyle w:val="17"/>
              <w:rPr>
                <w:sz w:val="24"/>
              </w:rPr>
            </w:pPr>
          </w:p>
          <w:p>
            <w:pPr>
              <w:pStyle w:val="17"/>
              <w:rPr>
                <w:sz w:val="25"/>
              </w:rPr>
            </w:pPr>
          </w:p>
          <w:p>
            <w:pPr>
              <w:pStyle w:val="17"/>
              <w:ind w:left="167" w:right="160"/>
              <w:jc w:val="center"/>
              <w:rPr>
                <w:rFonts w:hint="default" w:eastAsia="宋体"/>
                <w:sz w:val="24"/>
                <w:lang w:val="en-US" w:eastAsia="zh-CN"/>
              </w:rPr>
            </w:pPr>
            <w:r>
              <w:rPr>
                <w:rFonts w:hint="eastAsia"/>
                <w:sz w:val="24"/>
                <w:lang w:val="en-US" w:eastAsia="zh-CN"/>
              </w:rPr>
              <w:t>48</w:t>
            </w:r>
          </w:p>
        </w:tc>
        <w:tc>
          <w:tcPr>
            <w:tcW w:w="3224" w:type="dxa"/>
          </w:tcPr>
          <w:p>
            <w:pPr>
              <w:pStyle w:val="17"/>
              <w:rPr>
                <w:sz w:val="24"/>
              </w:rPr>
            </w:pPr>
          </w:p>
          <w:p>
            <w:pPr>
              <w:pStyle w:val="17"/>
              <w:rPr>
                <w:sz w:val="24"/>
              </w:rPr>
            </w:pPr>
          </w:p>
          <w:p>
            <w:pPr>
              <w:pStyle w:val="17"/>
              <w:rPr>
                <w:sz w:val="25"/>
              </w:rPr>
            </w:pPr>
          </w:p>
          <w:p>
            <w:pPr>
              <w:pStyle w:val="17"/>
              <w:ind w:left="152" w:right="142"/>
              <w:jc w:val="center"/>
              <w:rPr>
                <w:sz w:val="24"/>
              </w:rPr>
            </w:pPr>
            <w:r>
              <w:rPr>
                <w:sz w:val="24"/>
              </w:rPr>
              <w:t>解释权</w:t>
            </w:r>
          </w:p>
        </w:tc>
        <w:tc>
          <w:tcPr>
            <w:tcW w:w="6058" w:type="dxa"/>
          </w:tcPr>
          <w:p>
            <w:pPr>
              <w:pStyle w:val="17"/>
              <w:spacing w:before="2" w:line="364" w:lineRule="auto"/>
              <w:ind w:left="106" w:right="-29"/>
              <w:rPr>
                <w:sz w:val="24"/>
              </w:rPr>
            </w:pPr>
            <w:r>
              <w:rPr>
                <w:sz w:val="24"/>
              </w:rPr>
              <w:t>构成本竞争性磋商文件的各个组成文件应互为解释，互</w:t>
            </w:r>
            <w:r>
              <w:rPr>
                <w:spacing w:val="-6"/>
                <w:sz w:val="24"/>
              </w:rPr>
              <w:t xml:space="preserve">为说明；如有不明确或不一致，构成合同文件组成内容， </w:t>
            </w:r>
            <w:r>
              <w:rPr>
                <w:sz w:val="24"/>
              </w:rPr>
              <w:t>以合同文件约定内容为准，且以专用合同条款约定的合同文件优先顺序解释；除竞争性磋商文件中有特别规定</w:t>
            </w:r>
          </w:p>
          <w:p>
            <w:pPr>
              <w:pStyle w:val="17"/>
              <w:spacing w:line="305" w:lineRule="exact"/>
              <w:ind w:left="106"/>
              <w:rPr>
                <w:sz w:val="24"/>
              </w:rPr>
            </w:pPr>
            <w:r>
              <w:rPr>
                <w:sz w:val="24"/>
              </w:rPr>
              <w:t>外，仅适用招标投标阶段的规定，按招标公告、磋商响</w:t>
            </w:r>
          </w:p>
        </w:tc>
      </w:tr>
    </w:tbl>
    <w:p>
      <w:pPr>
        <w:spacing w:after="0" w:line="305" w:lineRule="exact"/>
        <w:rPr>
          <w:sz w:val="24"/>
        </w:rPr>
        <w:sectPr>
          <w:footerReference r:id="rId6" w:type="default"/>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pgNumType w:start="10"/>
          <w:cols w:space="720" w:num="1"/>
        </w:sectPr>
      </w:pPr>
    </w:p>
    <w:p>
      <w:pPr>
        <w:tabs>
          <w:tab w:val="left" w:pos="7676"/>
        </w:tabs>
        <w:spacing w:before="45"/>
        <w:ind w:left="388" w:right="0" w:firstLine="0"/>
        <w:jc w:val="left"/>
        <w:rPr>
          <w:sz w:val="18"/>
        </w:rPr>
      </w:pPr>
      <w:r>
        <w:pict>
          <v:line id="_x0000_s1043" o:spid="_x0000_s1043" o:spt="20" style="position:absolute;left:0pt;margin-left:62.4pt;margin-top:12.25pt;height:0pt;width:400.4pt;mso-position-horizontal-relative:page;z-index:25169510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rPr>
          <w:sz w:val="20"/>
        </w:rPr>
      </w:pPr>
    </w:p>
    <w:p>
      <w:pPr>
        <w:pStyle w:val="8"/>
        <w:spacing w:before="7"/>
        <w:rPr>
          <w:sz w:val="10"/>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8"/>
        <w:gridCol w:w="3224"/>
        <w:gridCol w:w="60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7" w:hRule="atLeast"/>
        </w:trPr>
        <w:tc>
          <w:tcPr>
            <w:tcW w:w="858" w:type="dxa"/>
          </w:tcPr>
          <w:p>
            <w:pPr>
              <w:pStyle w:val="17"/>
              <w:rPr>
                <w:rFonts w:ascii="Times New Roman"/>
                <w:sz w:val="22"/>
              </w:rPr>
            </w:pPr>
          </w:p>
        </w:tc>
        <w:tc>
          <w:tcPr>
            <w:tcW w:w="3224" w:type="dxa"/>
          </w:tcPr>
          <w:p>
            <w:pPr>
              <w:pStyle w:val="17"/>
              <w:rPr>
                <w:rFonts w:ascii="Times New Roman"/>
                <w:sz w:val="22"/>
              </w:rPr>
            </w:pPr>
          </w:p>
        </w:tc>
        <w:tc>
          <w:tcPr>
            <w:tcW w:w="6058" w:type="dxa"/>
          </w:tcPr>
          <w:p>
            <w:pPr>
              <w:pStyle w:val="17"/>
              <w:spacing w:before="1" w:line="364" w:lineRule="auto"/>
              <w:ind w:left="106" w:right="97"/>
              <w:jc w:val="both"/>
              <w:rPr>
                <w:sz w:val="24"/>
              </w:rPr>
            </w:pPr>
            <w:r>
              <w:rPr>
                <w:sz w:val="24"/>
              </w:rPr>
              <w:t>应人须知、评标办法、响应文件格式的先后顺序解释； 同一组成文件不同版本之间有不一致的，以形成时间在后者为准。按本款前述规定仍不能形成结论的，由招标</w:t>
            </w:r>
          </w:p>
          <w:p>
            <w:pPr>
              <w:pStyle w:val="17"/>
              <w:spacing w:line="305" w:lineRule="exact"/>
              <w:ind w:left="106"/>
              <w:rPr>
                <w:sz w:val="24"/>
              </w:rPr>
            </w:pPr>
            <w:r>
              <w:rPr>
                <w:sz w:val="24"/>
              </w:rPr>
              <w:t>代理机构负责解释。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6" w:hRule="atLeast"/>
        </w:trPr>
        <w:tc>
          <w:tcPr>
            <w:tcW w:w="858" w:type="dxa"/>
          </w:tcPr>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spacing w:before="10"/>
              <w:rPr>
                <w:sz w:val="20"/>
              </w:rPr>
            </w:pPr>
          </w:p>
          <w:p>
            <w:pPr>
              <w:pStyle w:val="17"/>
              <w:ind w:left="167" w:right="160"/>
              <w:jc w:val="center"/>
              <w:rPr>
                <w:rFonts w:hint="default" w:eastAsia="宋体"/>
                <w:sz w:val="24"/>
                <w:lang w:val="en-US" w:eastAsia="zh-CN"/>
              </w:rPr>
            </w:pPr>
            <w:r>
              <w:rPr>
                <w:rFonts w:hint="eastAsia"/>
                <w:sz w:val="24"/>
                <w:lang w:val="en-US" w:eastAsia="zh-CN"/>
              </w:rPr>
              <w:t>49</w:t>
            </w:r>
          </w:p>
        </w:tc>
        <w:tc>
          <w:tcPr>
            <w:tcW w:w="3224" w:type="dxa"/>
          </w:tcPr>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spacing w:before="10"/>
              <w:rPr>
                <w:sz w:val="20"/>
              </w:rPr>
            </w:pPr>
          </w:p>
          <w:p>
            <w:pPr>
              <w:pStyle w:val="17"/>
              <w:ind w:left="1012"/>
              <w:rPr>
                <w:sz w:val="24"/>
              </w:rPr>
            </w:pPr>
            <w:r>
              <w:rPr>
                <w:sz w:val="24"/>
              </w:rPr>
              <w:t>招标服务费</w:t>
            </w:r>
          </w:p>
        </w:tc>
        <w:tc>
          <w:tcPr>
            <w:tcW w:w="6058" w:type="dxa"/>
          </w:tcPr>
          <w:p>
            <w:pPr>
              <w:pStyle w:val="17"/>
              <w:spacing w:before="1" w:line="364" w:lineRule="auto"/>
              <w:ind w:left="106" w:right="97"/>
              <w:jc w:val="both"/>
              <w:rPr>
                <w:rFonts w:hint="eastAsia"/>
                <w:sz w:val="24"/>
              </w:rPr>
            </w:pPr>
            <w:r>
              <w:rPr>
                <w:rFonts w:hint="eastAsia"/>
                <w:sz w:val="24"/>
              </w:rPr>
              <w:t>招标代理服务费：4000</w:t>
            </w:r>
            <w:r>
              <w:rPr>
                <w:rFonts w:hint="eastAsia"/>
                <w:sz w:val="24"/>
                <w:lang w:val="en-US" w:eastAsia="zh-CN"/>
              </w:rPr>
              <w:t>元整（大写：肆仟元整）</w:t>
            </w:r>
            <w:r>
              <w:rPr>
                <w:rFonts w:hint="eastAsia"/>
                <w:sz w:val="24"/>
              </w:rPr>
              <w:t xml:space="preserve"> </w:t>
            </w:r>
          </w:p>
          <w:p>
            <w:pPr>
              <w:pStyle w:val="17"/>
              <w:spacing w:before="1" w:line="364" w:lineRule="auto"/>
              <w:ind w:left="106" w:right="97"/>
              <w:jc w:val="both"/>
              <w:rPr>
                <w:rFonts w:hint="eastAsia"/>
                <w:sz w:val="24"/>
              </w:rPr>
            </w:pPr>
            <w:r>
              <w:rPr>
                <w:rFonts w:hint="eastAsia"/>
                <w:sz w:val="24"/>
              </w:rPr>
              <w:t>收取对</w:t>
            </w:r>
            <w:r>
              <w:rPr>
                <w:rFonts w:hint="eastAsia"/>
                <w:color w:val="auto"/>
                <w:sz w:val="24"/>
              </w:rPr>
              <w:t>象：采购人</w:t>
            </w:r>
          </w:p>
          <w:p>
            <w:pPr>
              <w:pStyle w:val="17"/>
              <w:spacing w:before="1" w:line="364" w:lineRule="auto"/>
              <w:ind w:left="106" w:right="97"/>
              <w:jc w:val="both"/>
              <w:rPr>
                <w:rFonts w:hint="eastAsia"/>
                <w:sz w:val="24"/>
              </w:rPr>
            </w:pPr>
            <w:r>
              <w:rPr>
                <w:rFonts w:hint="eastAsia"/>
                <w:sz w:val="24"/>
              </w:rPr>
              <w:t>收费标准：以中标金额作为计算基数，参照《招标代理服务收费管理暂行办法》（计价格[2002]1980 号）以及《关于进一步放开建设项目专项业务服务价格的通知》（发改价格[2015]299 号）规定执行。</w:t>
            </w:r>
          </w:p>
          <w:p>
            <w:pPr>
              <w:pStyle w:val="17"/>
              <w:spacing w:before="1" w:line="364" w:lineRule="auto"/>
              <w:ind w:left="106" w:right="97"/>
              <w:jc w:val="both"/>
              <w:rPr>
                <w:rFonts w:hint="eastAsia"/>
                <w:sz w:val="24"/>
              </w:rPr>
            </w:pPr>
            <w:r>
              <w:rPr>
                <w:rFonts w:hint="eastAsia"/>
                <w:sz w:val="24"/>
              </w:rPr>
              <w:t>招标服务费的支付形式：转账、电汇。账户名：青海汇森招标有限公司</w:t>
            </w:r>
          </w:p>
          <w:p>
            <w:pPr>
              <w:pStyle w:val="17"/>
              <w:spacing w:before="1" w:line="364" w:lineRule="auto"/>
              <w:ind w:left="106" w:right="97"/>
              <w:jc w:val="both"/>
              <w:rPr>
                <w:rFonts w:hint="eastAsia"/>
                <w:sz w:val="24"/>
              </w:rPr>
            </w:pPr>
            <w:r>
              <w:rPr>
                <w:rFonts w:hint="eastAsia"/>
                <w:sz w:val="24"/>
              </w:rPr>
              <w:t>账 号 ：2806001909200050709</w:t>
            </w:r>
          </w:p>
          <w:p>
            <w:pPr>
              <w:pStyle w:val="17"/>
              <w:spacing w:before="1" w:line="364" w:lineRule="auto"/>
              <w:ind w:left="106" w:right="97"/>
              <w:jc w:val="both"/>
              <w:rPr>
                <w:rFonts w:hint="eastAsia"/>
                <w:sz w:val="24"/>
              </w:rPr>
            </w:pPr>
            <w:r>
              <w:rPr>
                <w:rFonts w:hint="eastAsia"/>
                <w:sz w:val="24"/>
              </w:rPr>
              <w:t>开户行：中国工商银行股份有限公司西宁西川支行中标服务费以人民币支付。</w:t>
            </w:r>
          </w:p>
          <w:p>
            <w:pPr>
              <w:pStyle w:val="17"/>
              <w:spacing w:before="1" w:line="364" w:lineRule="auto"/>
              <w:ind w:left="106" w:right="97"/>
              <w:jc w:val="both"/>
              <w:rPr>
                <w:rFonts w:hint="eastAsia"/>
                <w:sz w:val="24"/>
              </w:rPr>
            </w:pPr>
            <w:r>
              <w:rPr>
                <w:rFonts w:hint="eastAsia"/>
                <w:sz w:val="24"/>
              </w:rPr>
              <w:t>中标服务费支付方式：自发出中标通知书之日起一次性支付全部金额。</w:t>
            </w:r>
          </w:p>
          <w:p>
            <w:pPr>
              <w:pStyle w:val="17"/>
              <w:spacing w:before="1" w:line="364" w:lineRule="auto"/>
              <w:ind w:left="106" w:right="97"/>
              <w:jc w:val="both"/>
              <w:rPr>
                <w:sz w:val="24"/>
              </w:rPr>
            </w:pPr>
            <w:r>
              <w:rPr>
                <w:rFonts w:hint="eastAsia"/>
                <w:sz w:val="24"/>
              </w:rPr>
              <w:t>中标服务费不在投标报价中单列。</w:t>
            </w:r>
          </w:p>
        </w:tc>
      </w:tr>
    </w:tbl>
    <w:p>
      <w:pPr>
        <w:spacing w:after="0"/>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44" o:spid="_x0000_s1044" o:spt="20" style="position:absolute;left:0pt;margin-left:62.4pt;margin-top:12.25pt;height:0pt;width:400.4pt;mso-position-horizontal-relative:page;z-index:25169612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7"/>
        <w:numPr>
          <w:ilvl w:val="0"/>
          <w:numId w:val="6"/>
        </w:numPr>
        <w:tabs>
          <w:tab w:val="left" w:pos="749"/>
        </w:tabs>
        <w:spacing w:before="67" w:after="0" w:line="240" w:lineRule="auto"/>
        <w:ind w:left="749" w:right="0" w:hanging="361"/>
        <w:jc w:val="left"/>
        <w:outlineLvl w:val="1"/>
      </w:pPr>
      <w:bookmarkStart w:id="11" w:name="1．总则"/>
      <w:bookmarkEnd w:id="11"/>
      <w:bookmarkStart w:id="12" w:name="1．总则"/>
      <w:bookmarkEnd w:id="12"/>
      <w:r>
        <w:t>总则</w:t>
      </w:r>
    </w:p>
    <w:p>
      <w:pPr>
        <w:pStyle w:val="8"/>
        <w:rPr>
          <w:b/>
        </w:rPr>
      </w:pPr>
    </w:p>
    <w:p>
      <w:pPr>
        <w:pStyle w:val="16"/>
        <w:numPr>
          <w:ilvl w:val="1"/>
          <w:numId w:val="6"/>
        </w:numPr>
        <w:tabs>
          <w:tab w:val="left" w:pos="808"/>
        </w:tabs>
        <w:spacing w:before="182" w:after="0" w:line="240" w:lineRule="auto"/>
        <w:ind w:left="808" w:right="0" w:hanging="420"/>
        <w:jc w:val="left"/>
        <w:outlineLvl w:val="2"/>
        <w:rPr>
          <w:b/>
          <w:sz w:val="24"/>
        </w:rPr>
      </w:pPr>
      <w:bookmarkStart w:id="13" w:name="1.1项目概况"/>
      <w:bookmarkEnd w:id="13"/>
      <w:bookmarkStart w:id="14" w:name="_bookmark3"/>
      <w:bookmarkEnd w:id="14"/>
      <w:r>
        <w:rPr>
          <w:b/>
          <w:sz w:val="24"/>
        </w:rPr>
        <w:t>项目概况</w:t>
      </w:r>
    </w:p>
    <w:p>
      <w:pPr>
        <w:pStyle w:val="8"/>
        <w:rPr>
          <w:b/>
        </w:rPr>
      </w:pPr>
    </w:p>
    <w:p>
      <w:pPr>
        <w:pStyle w:val="16"/>
        <w:numPr>
          <w:ilvl w:val="2"/>
          <w:numId w:val="6"/>
        </w:numPr>
        <w:tabs>
          <w:tab w:val="left" w:pos="1531"/>
        </w:tabs>
        <w:spacing w:before="184" w:after="0" w:line="364" w:lineRule="auto"/>
        <w:ind w:left="388" w:right="744" w:firstLine="480"/>
        <w:jc w:val="left"/>
        <w:rPr>
          <w:sz w:val="24"/>
        </w:rPr>
      </w:pPr>
      <w:bookmarkStart w:id="15" w:name="1.1.1根据《中华人民共和国政府采购法》等有关法律、法规和规章的规定，本招标项"/>
      <w:bookmarkEnd w:id="15"/>
      <w:bookmarkStart w:id="16" w:name="1.1.1根据《中华人民共和国政府采购法》等有关法律、法规和规章的规定，本招标项"/>
      <w:bookmarkEnd w:id="16"/>
      <w:r>
        <w:rPr>
          <w:sz w:val="24"/>
        </w:rPr>
        <w:t>根据《中华人民共和国政府采购法》等有关法律、法规和规章的规定，本招标项目已具备招标条件，现对本项目施工进行招标。</w:t>
      </w:r>
    </w:p>
    <w:p>
      <w:pPr>
        <w:pStyle w:val="16"/>
        <w:numPr>
          <w:ilvl w:val="2"/>
          <w:numId w:val="6"/>
        </w:numPr>
        <w:tabs>
          <w:tab w:val="left" w:pos="1528"/>
        </w:tabs>
        <w:spacing w:before="1" w:after="0" w:line="240" w:lineRule="auto"/>
        <w:ind w:left="1528" w:right="0" w:hanging="660"/>
        <w:jc w:val="left"/>
        <w:rPr>
          <w:sz w:val="24"/>
        </w:rPr>
      </w:pPr>
      <w:bookmarkStart w:id="17" w:name="1.1.2本招标项目招标人：刚察县哈尔盖镇人民政府"/>
      <w:bookmarkEnd w:id="17"/>
      <w:bookmarkStart w:id="18" w:name="1.1.2本招标项目招标人：刚察县哈尔盖镇人民政府"/>
      <w:bookmarkEnd w:id="18"/>
      <w:r>
        <w:rPr>
          <w:sz w:val="24"/>
        </w:rPr>
        <w:t>本招标项目招标人：</w:t>
      </w:r>
      <w:r>
        <w:rPr>
          <w:rFonts w:hint="eastAsia"/>
          <w:sz w:val="24"/>
          <w:lang w:eastAsia="zh-CN"/>
        </w:rPr>
        <w:t>西宁市城东区文化馆</w:t>
      </w:r>
    </w:p>
    <w:p>
      <w:pPr>
        <w:pStyle w:val="16"/>
        <w:numPr>
          <w:ilvl w:val="2"/>
          <w:numId w:val="6"/>
        </w:numPr>
        <w:tabs>
          <w:tab w:val="left" w:pos="1528"/>
        </w:tabs>
        <w:spacing w:before="158" w:after="0" w:line="240" w:lineRule="auto"/>
        <w:ind w:left="1528" w:right="0" w:hanging="660"/>
        <w:jc w:val="left"/>
        <w:rPr>
          <w:sz w:val="24"/>
        </w:rPr>
      </w:pPr>
      <w:r>
        <w:rPr>
          <w:sz w:val="24"/>
        </w:rPr>
        <w:t>本项目招标代理机构：青海汇森招标有限公司</w:t>
      </w:r>
    </w:p>
    <w:p>
      <w:pPr>
        <w:pStyle w:val="16"/>
        <w:numPr>
          <w:ilvl w:val="2"/>
          <w:numId w:val="6"/>
        </w:numPr>
        <w:tabs>
          <w:tab w:val="left" w:pos="1528"/>
        </w:tabs>
        <w:spacing w:before="161" w:after="0" w:line="240" w:lineRule="auto"/>
        <w:ind w:left="1528" w:right="0" w:hanging="660"/>
        <w:jc w:val="left"/>
        <w:rPr>
          <w:sz w:val="24"/>
        </w:rPr>
      </w:pPr>
      <w:r>
        <w:rPr>
          <w:sz w:val="24"/>
        </w:rPr>
        <w:t>本招标项目名称：</w:t>
      </w:r>
      <w:r>
        <w:rPr>
          <w:rFonts w:hint="eastAsia"/>
          <w:sz w:val="24"/>
          <w:lang w:eastAsia="zh-CN"/>
        </w:rPr>
        <w:t>西宁市城东区文化馆数字展厅装修工程</w:t>
      </w:r>
    </w:p>
    <w:p>
      <w:pPr>
        <w:pStyle w:val="16"/>
        <w:numPr>
          <w:ilvl w:val="2"/>
          <w:numId w:val="6"/>
        </w:numPr>
        <w:tabs>
          <w:tab w:val="left" w:pos="1528"/>
        </w:tabs>
        <w:spacing w:before="158" w:after="0" w:line="240" w:lineRule="auto"/>
        <w:ind w:left="1528" w:right="0" w:hanging="660"/>
        <w:jc w:val="left"/>
        <w:rPr>
          <w:sz w:val="24"/>
        </w:rPr>
      </w:pPr>
      <w:r>
        <w:rPr>
          <w:sz w:val="24"/>
        </w:rPr>
        <w:t>本项目建设地点：</w:t>
      </w:r>
      <w:r>
        <w:rPr>
          <w:rFonts w:hint="eastAsia"/>
          <w:sz w:val="24"/>
          <w:lang w:eastAsia="zh-CN"/>
        </w:rPr>
        <w:t>城东区</w:t>
      </w:r>
    </w:p>
    <w:p>
      <w:pPr>
        <w:pStyle w:val="8"/>
        <w:spacing w:before="9"/>
        <w:rPr>
          <w:sz w:val="32"/>
        </w:rPr>
      </w:pPr>
    </w:p>
    <w:p>
      <w:pPr>
        <w:pStyle w:val="7"/>
        <w:numPr>
          <w:ilvl w:val="1"/>
          <w:numId w:val="6"/>
        </w:numPr>
        <w:tabs>
          <w:tab w:val="left" w:pos="808"/>
        </w:tabs>
        <w:spacing w:before="0" w:after="0" w:line="240" w:lineRule="auto"/>
        <w:ind w:left="808" w:right="0" w:hanging="420"/>
        <w:jc w:val="left"/>
        <w:outlineLvl w:val="2"/>
      </w:pPr>
      <w:bookmarkStart w:id="19" w:name="1.2资金来源和落实情况"/>
      <w:bookmarkEnd w:id="19"/>
      <w:bookmarkStart w:id="20" w:name="_bookmark4"/>
      <w:bookmarkEnd w:id="20"/>
      <w:r>
        <w:t>资金来源和落实情况</w:t>
      </w:r>
    </w:p>
    <w:p>
      <w:pPr>
        <w:pStyle w:val="8"/>
        <w:rPr>
          <w:b/>
        </w:rPr>
      </w:pPr>
    </w:p>
    <w:p>
      <w:pPr>
        <w:pStyle w:val="16"/>
        <w:numPr>
          <w:ilvl w:val="2"/>
          <w:numId w:val="6"/>
        </w:numPr>
        <w:tabs>
          <w:tab w:val="left" w:pos="1473"/>
        </w:tabs>
        <w:spacing w:before="185" w:after="0" w:line="240" w:lineRule="auto"/>
        <w:ind w:left="1472" w:right="0" w:hanging="661"/>
        <w:jc w:val="left"/>
        <w:rPr>
          <w:sz w:val="24"/>
        </w:rPr>
      </w:pPr>
      <w:r>
        <w:rPr>
          <w:sz w:val="24"/>
        </w:rPr>
        <w:t>本招标项目的资金来源：财政资金。</w:t>
      </w:r>
    </w:p>
    <w:p>
      <w:pPr>
        <w:pStyle w:val="16"/>
        <w:numPr>
          <w:ilvl w:val="2"/>
          <w:numId w:val="6"/>
        </w:numPr>
        <w:tabs>
          <w:tab w:val="left" w:pos="1473"/>
        </w:tabs>
        <w:spacing w:before="160" w:after="0" w:line="240" w:lineRule="auto"/>
        <w:ind w:left="1472" w:right="0" w:hanging="661"/>
        <w:jc w:val="left"/>
        <w:rPr>
          <w:sz w:val="24"/>
        </w:rPr>
      </w:pPr>
      <w:r>
        <w:rPr>
          <w:sz w:val="24"/>
        </w:rPr>
        <w:t>本招标项目的出资比例：100%。</w:t>
      </w:r>
    </w:p>
    <w:p>
      <w:pPr>
        <w:pStyle w:val="16"/>
        <w:numPr>
          <w:ilvl w:val="2"/>
          <w:numId w:val="6"/>
        </w:numPr>
        <w:tabs>
          <w:tab w:val="left" w:pos="1473"/>
        </w:tabs>
        <w:spacing w:before="158" w:after="0" w:line="240" w:lineRule="auto"/>
        <w:ind w:left="1472" w:right="0" w:hanging="661"/>
        <w:jc w:val="left"/>
        <w:rPr>
          <w:sz w:val="24"/>
        </w:rPr>
      </w:pPr>
      <w:r>
        <w:rPr>
          <w:sz w:val="24"/>
        </w:rPr>
        <w:t>本招标项目的资金落实情况：已落实。</w:t>
      </w:r>
    </w:p>
    <w:p>
      <w:pPr>
        <w:pStyle w:val="8"/>
        <w:spacing w:before="10"/>
        <w:rPr>
          <w:sz w:val="32"/>
        </w:rPr>
      </w:pPr>
    </w:p>
    <w:p>
      <w:pPr>
        <w:pStyle w:val="7"/>
        <w:numPr>
          <w:ilvl w:val="1"/>
          <w:numId w:val="6"/>
        </w:numPr>
        <w:tabs>
          <w:tab w:val="left" w:pos="808"/>
        </w:tabs>
        <w:spacing w:before="0" w:after="0" w:line="240" w:lineRule="auto"/>
        <w:ind w:left="808" w:right="0" w:hanging="420"/>
        <w:jc w:val="left"/>
        <w:outlineLvl w:val="2"/>
      </w:pPr>
      <w:bookmarkStart w:id="21" w:name="1.3招标范围、计划工期和质量要求"/>
      <w:bookmarkEnd w:id="21"/>
      <w:bookmarkStart w:id="22" w:name="_bookmark5"/>
      <w:bookmarkEnd w:id="22"/>
      <w:r>
        <w:t>招标范围、计划工期和质量要求</w:t>
      </w:r>
    </w:p>
    <w:p>
      <w:pPr>
        <w:pStyle w:val="8"/>
        <w:rPr>
          <w:b/>
        </w:rPr>
      </w:pPr>
    </w:p>
    <w:p>
      <w:pPr>
        <w:pStyle w:val="16"/>
        <w:numPr>
          <w:ilvl w:val="2"/>
          <w:numId w:val="6"/>
        </w:numPr>
        <w:tabs>
          <w:tab w:val="left" w:pos="1473"/>
        </w:tabs>
        <w:spacing w:before="184" w:after="0" w:line="240" w:lineRule="auto"/>
        <w:ind w:left="1472" w:right="0" w:hanging="661"/>
        <w:jc w:val="left"/>
        <w:rPr>
          <w:sz w:val="24"/>
        </w:rPr>
      </w:pPr>
      <w:r>
        <w:rPr>
          <w:sz w:val="24"/>
        </w:rPr>
        <w:t>本次招标范围：见磋商响应人须知前附表。</w:t>
      </w:r>
    </w:p>
    <w:p>
      <w:pPr>
        <w:pStyle w:val="16"/>
        <w:numPr>
          <w:ilvl w:val="2"/>
          <w:numId w:val="6"/>
        </w:numPr>
        <w:tabs>
          <w:tab w:val="left" w:pos="1473"/>
        </w:tabs>
        <w:spacing w:before="161" w:after="0" w:line="240" w:lineRule="auto"/>
        <w:ind w:left="1472" w:right="0" w:hanging="661"/>
        <w:jc w:val="left"/>
        <w:rPr>
          <w:sz w:val="24"/>
        </w:rPr>
      </w:pPr>
      <w:r>
        <w:rPr>
          <w:sz w:val="24"/>
        </w:rPr>
        <w:t>本项目的计划工期：见磋商响应人须知前附表。</w:t>
      </w:r>
    </w:p>
    <w:p>
      <w:pPr>
        <w:pStyle w:val="16"/>
        <w:numPr>
          <w:ilvl w:val="2"/>
          <w:numId w:val="6"/>
        </w:numPr>
        <w:tabs>
          <w:tab w:val="left" w:pos="1473"/>
        </w:tabs>
        <w:spacing w:before="158" w:after="0" w:line="240" w:lineRule="auto"/>
        <w:ind w:left="1472" w:right="0" w:hanging="661"/>
        <w:jc w:val="left"/>
        <w:rPr>
          <w:sz w:val="24"/>
        </w:rPr>
      </w:pPr>
      <w:r>
        <w:rPr>
          <w:sz w:val="24"/>
        </w:rPr>
        <w:t>本项目的质量要求：达到国家质量与评定标准合格质量等级。</w:t>
      </w:r>
    </w:p>
    <w:p>
      <w:pPr>
        <w:pStyle w:val="8"/>
        <w:spacing w:before="9"/>
        <w:rPr>
          <w:sz w:val="32"/>
        </w:rPr>
      </w:pPr>
    </w:p>
    <w:p>
      <w:pPr>
        <w:pStyle w:val="7"/>
        <w:numPr>
          <w:ilvl w:val="1"/>
          <w:numId w:val="6"/>
        </w:numPr>
        <w:tabs>
          <w:tab w:val="left" w:pos="808"/>
        </w:tabs>
        <w:spacing w:before="0" w:after="0" w:line="240" w:lineRule="auto"/>
        <w:ind w:left="808" w:right="0" w:hanging="420"/>
        <w:jc w:val="left"/>
        <w:outlineLvl w:val="2"/>
      </w:pPr>
      <w:bookmarkStart w:id="23" w:name="1.4磋商响应人资格要求"/>
      <w:bookmarkEnd w:id="23"/>
      <w:bookmarkStart w:id="24" w:name="_bookmark6"/>
      <w:bookmarkEnd w:id="24"/>
      <w:r>
        <w:t>磋商响应人资格要求</w:t>
      </w:r>
    </w:p>
    <w:p>
      <w:pPr>
        <w:pStyle w:val="8"/>
        <w:rPr>
          <w:b/>
        </w:rPr>
      </w:pPr>
    </w:p>
    <w:p>
      <w:pPr>
        <w:pStyle w:val="16"/>
        <w:numPr>
          <w:ilvl w:val="2"/>
          <w:numId w:val="6"/>
        </w:numPr>
        <w:tabs>
          <w:tab w:val="left" w:pos="989"/>
        </w:tabs>
        <w:spacing w:before="185" w:after="0" w:line="240" w:lineRule="auto"/>
        <w:ind w:left="989" w:right="0" w:hanging="601"/>
        <w:jc w:val="left"/>
        <w:rPr>
          <w:sz w:val="24"/>
        </w:rPr>
      </w:pPr>
      <w:r>
        <w:rPr>
          <w:sz w:val="24"/>
        </w:rPr>
        <w:t>、符合《政府采购法》第22条条件，并提供下列材料：</w:t>
      </w:r>
    </w:p>
    <w:p>
      <w:pPr>
        <w:pStyle w:val="16"/>
        <w:numPr>
          <w:ilvl w:val="3"/>
          <w:numId w:val="6"/>
        </w:numPr>
        <w:tabs>
          <w:tab w:val="left" w:pos="869"/>
        </w:tabs>
        <w:spacing w:before="160" w:after="0" w:line="240" w:lineRule="auto"/>
        <w:ind w:left="869" w:right="0" w:hanging="241"/>
        <w:jc w:val="left"/>
        <w:rPr>
          <w:sz w:val="24"/>
        </w:rPr>
      </w:pPr>
      <w:r>
        <w:rPr>
          <w:sz w:val="24"/>
        </w:rPr>
        <w:t>磋商响应人的营业执照等证明文件，自然人的身份证明。</w:t>
      </w:r>
    </w:p>
    <w:p>
      <w:pPr>
        <w:pStyle w:val="16"/>
        <w:numPr>
          <w:ilvl w:val="3"/>
          <w:numId w:val="6"/>
        </w:numPr>
        <w:tabs>
          <w:tab w:val="left" w:pos="869"/>
        </w:tabs>
        <w:spacing w:before="158" w:after="0" w:line="240" w:lineRule="auto"/>
        <w:ind w:left="869" w:right="0" w:hanging="241"/>
        <w:jc w:val="left"/>
        <w:rPr>
          <w:sz w:val="24"/>
        </w:rPr>
      </w:pPr>
      <w:r>
        <w:rPr>
          <w:sz w:val="24"/>
        </w:rPr>
        <w:t>财务状况报告，依法缴纳税收和社会保障资金的相关材料。</w:t>
      </w:r>
    </w:p>
    <w:p>
      <w:pPr>
        <w:pStyle w:val="16"/>
        <w:numPr>
          <w:ilvl w:val="3"/>
          <w:numId w:val="6"/>
        </w:numPr>
        <w:tabs>
          <w:tab w:val="left" w:pos="869"/>
        </w:tabs>
        <w:spacing w:before="161" w:after="0" w:line="240" w:lineRule="auto"/>
        <w:ind w:left="869" w:right="0" w:hanging="241"/>
        <w:jc w:val="left"/>
        <w:rPr>
          <w:sz w:val="24"/>
        </w:rPr>
      </w:pPr>
      <w:r>
        <w:rPr>
          <w:sz w:val="24"/>
        </w:rPr>
        <w:t>具备履行合同所必需的设备和专业技术能力的证明材料。</w:t>
      </w:r>
    </w:p>
    <w:p>
      <w:pPr>
        <w:pStyle w:val="16"/>
        <w:numPr>
          <w:ilvl w:val="3"/>
          <w:numId w:val="6"/>
        </w:numPr>
        <w:tabs>
          <w:tab w:val="left" w:pos="869"/>
        </w:tabs>
        <w:spacing w:before="158" w:after="0" w:line="240" w:lineRule="auto"/>
        <w:ind w:left="869" w:right="0" w:hanging="241"/>
        <w:jc w:val="left"/>
        <w:rPr>
          <w:sz w:val="24"/>
        </w:rPr>
      </w:pPr>
      <w:r>
        <w:rPr>
          <w:sz w:val="24"/>
        </w:rPr>
        <w:t>参加政府采购活动前3年内在经营活动中没有重大违法记录的书面声明。</w:t>
      </w:r>
    </w:p>
    <w:p>
      <w:pPr>
        <w:pStyle w:val="16"/>
        <w:numPr>
          <w:ilvl w:val="3"/>
          <w:numId w:val="6"/>
        </w:numPr>
        <w:tabs>
          <w:tab w:val="left" w:pos="869"/>
        </w:tabs>
        <w:spacing w:before="160" w:after="0" w:line="240" w:lineRule="auto"/>
        <w:ind w:left="869" w:right="0" w:hanging="241"/>
        <w:jc w:val="left"/>
        <w:rPr>
          <w:sz w:val="24"/>
        </w:rPr>
      </w:pPr>
      <w:r>
        <w:rPr>
          <w:sz w:val="24"/>
        </w:rPr>
        <w:t>具备法律、行政法规规定的其他条件的证明材料。</w:t>
      </w:r>
    </w:p>
    <w:p>
      <w:pPr>
        <w:pStyle w:val="8"/>
        <w:spacing w:before="158" w:line="364" w:lineRule="auto"/>
        <w:ind w:left="388" w:right="798" w:firstLine="240"/>
      </w:pPr>
      <w:r>
        <w:t>2、 单位负责人为同一人或者存在直接控股、管理关系的不同磋商响应人，不得参加同一合同项下的政府采购活动。否则，皆取消投标资格；</w:t>
      </w:r>
    </w:p>
    <w:p>
      <w:pPr>
        <w:spacing w:after="0" w:line="364" w:lineRule="auto"/>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45" o:spid="_x0000_s1045" o:spt="20" style="position:absolute;left:0pt;margin-left:62.4pt;margin-top:12.25pt;height:0pt;width:400.4pt;mso-position-horizontal-relative:page;z-index:25169715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2" w:lineRule="auto"/>
        <w:ind w:left="388" w:right="798" w:firstLine="240"/>
      </w:pPr>
      <w:r>
        <w:t>3、 为本采购项目提供整体设计、规范编制或者项目管理、监理、检测等服务的磋商响应人，不得再参加该采购项目的其他采购活动；</w:t>
      </w:r>
    </w:p>
    <w:p>
      <w:pPr>
        <w:pStyle w:val="8"/>
        <w:spacing w:before="5"/>
        <w:ind w:left="628"/>
        <w:outlineLvl w:val="1"/>
      </w:pPr>
      <w:r>
        <w:t>4、本项目不接受磋商响应人以联合体方式进行投标；</w:t>
      </w:r>
    </w:p>
    <w:p>
      <w:pPr>
        <w:pStyle w:val="8"/>
        <w:spacing w:before="158" w:line="364" w:lineRule="auto"/>
        <w:ind w:left="388" w:right="744" w:firstLine="240"/>
        <w:jc w:val="both"/>
      </w:pPr>
      <w:r>
        <w:t>5</w:t>
      </w:r>
      <w:r>
        <w:rPr>
          <w:spacing w:val="-8"/>
        </w:rPr>
        <w:t>、 经信用中国</w:t>
      </w:r>
      <w:r>
        <w:fldChar w:fldCharType="begin"/>
      </w:r>
      <w:r>
        <w:instrText xml:space="preserve"> HYPERLINK "http://www.creditchina.gov.cn/" \h </w:instrText>
      </w:r>
      <w:r>
        <w:fldChar w:fldCharType="separate"/>
      </w:r>
      <w:r>
        <w:t>（www.creditchina.gov.cn</w:t>
      </w:r>
      <w:r>
        <w:fldChar w:fldCharType="end"/>
      </w:r>
      <w:r>
        <w:t>）</w:t>
      </w:r>
      <w:r>
        <w:rPr>
          <w:spacing w:val="-5"/>
        </w:rPr>
        <w:t>、中国政府采购网</w:t>
      </w:r>
      <w:r>
        <w:t>（</w:t>
      </w:r>
      <w:r>
        <w:fldChar w:fldCharType="begin"/>
      </w:r>
      <w:r>
        <w:instrText xml:space="preserve"> HYPERLINK "http://www.ccgp.gov.cn/" \h </w:instrText>
      </w:r>
      <w:r>
        <w:fldChar w:fldCharType="separate"/>
      </w:r>
      <w:r>
        <w:t>www.ccgp.gov.cn</w:t>
      </w:r>
      <w:r>
        <w:fldChar w:fldCharType="end"/>
      </w:r>
      <w:r>
        <w:t>）</w:t>
      </w:r>
      <w:r>
        <w:rPr>
          <w:spacing w:val="-17"/>
        </w:rPr>
        <w:t>等</w:t>
      </w:r>
      <w:r>
        <w:t>渠道查询后，列入失信被执行人、重大税收违法案件当事人名单、政府采购严重违法失信行为记录名单的，取消投标资格。（提供“信用中国及中国政府采购网”网站无任何不良</w:t>
      </w:r>
      <w:r>
        <w:rPr>
          <w:spacing w:val="-4"/>
        </w:rPr>
        <w:t xml:space="preserve">记录的查询截图，时间为投标截止时间前 </w:t>
      </w:r>
      <w:r>
        <w:t>20</w:t>
      </w:r>
      <w:r>
        <w:rPr>
          <w:spacing w:val="-20"/>
        </w:rPr>
        <w:t xml:space="preserve"> 天内</w:t>
      </w:r>
      <w:r>
        <w:t>）；</w:t>
      </w:r>
    </w:p>
    <w:p>
      <w:pPr>
        <w:pStyle w:val="8"/>
        <w:ind w:left="628"/>
        <w:outlineLvl w:val="1"/>
      </w:pPr>
      <w:r>
        <w:t>6、其他资质条件：</w:t>
      </w:r>
    </w:p>
    <w:p>
      <w:pPr>
        <w:pStyle w:val="16"/>
        <w:numPr>
          <w:ilvl w:val="0"/>
          <w:numId w:val="7"/>
        </w:numPr>
        <w:tabs>
          <w:tab w:val="left" w:pos="989"/>
        </w:tabs>
        <w:spacing w:before="158" w:after="0" w:line="362" w:lineRule="auto"/>
        <w:ind w:left="388" w:right="624" w:firstLine="240"/>
        <w:jc w:val="left"/>
        <w:rPr>
          <w:sz w:val="24"/>
        </w:rPr>
      </w:pPr>
      <w:r>
        <w:rPr>
          <w:spacing w:val="-3"/>
          <w:sz w:val="24"/>
        </w:rPr>
        <w:t>磋商响应人须具有</w:t>
      </w:r>
      <w:r>
        <w:rPr>
          <w:rFonts w:hint="eastAsia"/>
          <w:spacing w:val="-1"/>
          <w:sz w:val="24"/>
        </w:rPr>
        <w:t>建筑装修装饰工程专业承包二级</w:t>
      </w:r>
      <w:r>
        <w:rPr>
          <w:rFonts w:hint="eastAsia"/>
          <w:spacing w:val="-1"/>
          <w:sz w:val="24"/>
          <w:lang w:val="en-US" w:eastAsia="zh-CN"/>
        </w:rPr>
        <w:t>及以上</w:t>
      </w:r>
      <w:r>
        <w:rPr>
          <w:spacing w:val="-9"/>
          <w:sz w:val="24"/>
        </w:rPr>
        <w:t>，并在人员、设备</w:t>
      </w:r>
      <w:r>
        <w:rPr>
          <w:spacing w:val="-4"/>
          <w:sz w:val="24"/>
        </w:rPr>
        <w:t>、资金等方面具有承担本工程相应的施工能力；</w:t>
      </w:r>
    </w:p>
    <w:p>
      <w:pPr>
        <w:pStyle w:val="16"/>
        <w:numPr>
          <w:ilvl w:val="0"/>
          <w:numId w:val="7"/>
        </w:numPr>
        <w:tabs>
          <w:tab w:val="left" w:pos="989"/>
        </w:tabs>
        <w:spacing w:before="5" w:after="0" w:line="364" w:lineRule="auto"/>
        <w:ind w:left="388" w:right="744" w:firstLine="240"/>
        <w:jc w:val="both"/>
        <w:rPr>
          <w:sz w:val="24"/>
        </w:rPr>
      </w:pPr>
      <w:r>
        <w:rPr>
          <w:spacing w:val="-2"/>
          <w:sz w:val="24"/>
        </w:rPr>
        <w:t>磋商响应人拟派项目经理须具备建筑工程专业贰级及以上建造师资格，提供建造师</w:t>
      </w:r>
      <w:r>
        <w:rPr>
          <w:spacing w:val="-4"/>
          <w:sz w:val="24"/>
        </w:rPr>
        <w:t>执业证、注册证；具备有效的安全生产考核合格证书，未同时在其他项目担任项目经理的承诺书；</w:t>
      </w:r>
    </w:p>
    <w:p>
      <w:pPr>
        <w:pStyle w:val="16"/>
        <w:numPr>
          <w:ilvl w:val="0"/>
          <w:numId w:val="7"/>
        </w:numPr>
        <w:tabs>
          <w:tab w:val="left" w:pos="989"/>
        </w:tabs>
        <w:spacing w:before="0" w:after="0" w:line="307" w:lineRule="exact"/>
        <w:ind w:left="989" w:right="0" w:hanging="361"/>
        <w:jc w:val="left"/>
        <w:rPr>
          <w:sz w:val="24"/>
        </w:rPr>
      </w:pPr>
      <w:r>
        <w:rPr>
          <w:sz w:val="24"/>
        </w:rPr>
        <w:t>磋商响应人须具有有效的安全生产许可证；</w:t>
      </w:r>
    </w:p>
    <w:p>
      <w:pPr>
        <w:pStyle w:val="16"/>
        <w:numPr>
          <w:ilvl w:val="0"/>
          <w:numId w:val="7"/>
        </w:numPr>
        <w:tabs>
          <w:tab w:val="left" w:pos="989"/>
        </w:tabs>
        <w:spacing w:before="158" w:after="0" w:line="240" w:lineRule="auto"/>
        <w:ind w:left="989" w:right="0" w:hanging="361"/>
        <w:jc w:val="left"/>
        <w:rPr>
          <w:sz w:val="24"/>
        </w:rPr>
      </w:pPr>
      <w:r>
        <w:rPr>
          <w:sz w:val="24"/>
        </w:rPr>
        <w:t>省外企业须提供有效期内的进青备案登记手续；</w:t>
      </w:r>
    </w:p>
    <w:p>
      <w:pPr>
        <w:pStyle w:val="16"/>
        <w:numPr>
          <w:ilvl w:val="2"/>
          <w:numId w:val="6"/>
        </w:numPr>
        <w:tabs>
          <w:tab w:val="left" w:pos="1473"/>
        </w:tabs>
        <w:spacing w:before="160" w:after="0" w:line="362" w:lineRule="auto"/>
        <w:ind w:left="388" w:right="744" w:firstLine="424"/>
        <w:jc w:val="left"/>
        <w:rPr>
          <w:sz w:val="24"/>
        </w:rPr>
      </w:pPr>
      <w:r>
        <w:rPr>
          <w:spacing w:val="-6"/>
          <w:sz w:val="24"/>
        </w:rPr>
        <w:t xml:space="preserve">磋商响应人须知前附表规定接受联合体投标的，除应符合本章第 </w:t>
      </w:r>
      <w:r>
        <w:rPr>
          <w:sz w:val="24"/>
        </w:rPr>
        <w:t>1.4.1</w:t>
      </w:r>
      <w:r>
        <w:rPr>
          <w:spacing w:val="-16"/>
          <w:sz w:val="24"/>
        </w:rPr>
        <w:t xml:space="preserve"> 项和磋商</w:t>
      </w:r>
      <w:r>
        <w:rPr>
          <w:sz w:val="24"/>
        </w:rPr>
        <w:t>响应人须知前附表的要求外，还应遵守以下规定（本项目不适用）：</w:t>
      </w:r>
    </w:p>
    <w:p>
      <w:pPr>
        <w:pStyle w:val="16"/>
        <w:numPr>
          <w:ilvl w:val="0"/>
          <w:numId w:val="8"/>
        </w:numPr>
        <w:tabs>
          <w:tab w:val="left" w:pos="1414"/>
        </w:tabs>
        <w:spacing w:before="5" w:after="0" w:line="362" w:lineRule="auto"/>
        <w:ind w:left="388" w:right="744" w:firstLine="424"/>
        <w:jc w:val="left"/>
        <w:rPr>
          <w:sz w:val="24"/>
        </w:rPr>
      </w:pPr>
      <w:r>
        <w:rPr>
          <w:spacing w:val="-2"/>
          <w:sz w:val="24"/>
        </w:rPr>
        <w:t>联合体各方应按竞争性磋商提供的格式签订联合体协议书，明确联合体牵头人和</w:t>
      </w:r>
      <w:r>
        <w:rPr>
          <w:sz w:val="24"/>
        </w:rPr>
        <w:t>各方权利义务；</w:t>
      </w:r>
    </w:p>
    <w:p>
      <w:pPr>
        <w:pStyle w:val="16"/>
        <w:numPr>
          <w:ilvl w:val="0"/>
          <w:numId w:val="8"/>
        </w:numPr>
        <w:tabs>
          <w:tab w:val="left" w:pos="1469"/>
        </w:tabs>
        <w:spacing w:before="5" w:after="0" w:line="240" w:lineRule="auto"/>
        <w:ind w:left="1469" w:right="0" w:hanging="601"/>
        <w:jc w:val="left"/>
        <w:rPr>
          <w:sz w:val="24"/>
        </w:rPr>
      </w:pPr>
      <w:r>
        <w:rPr>
          <w:sz w:val="24"/>
        </w:rPr>
        <w:t>由同一专业的单位组成的联合体，按照资质登记较低的单位确定资质等级；</w:t>
      </w:r>
    </w:p>
    <w:p>
      <w:pPr>
        <w:pStyle w:val="16"/>
        <w:numPr>
          <w:ilvl w:val="0"/>
          <w:numId w:val="8"/>
        </w:numPr>
        <w:tabs>
          <w:tab w:val="left" w:pos="1414"/>
        </w:tabs>
        <w:spacing w:before="158" w:after="0" w:line="240" w:lineRule="auto"/>
        <w:ind w:left="1413" w:right="0" w:hanging="602"/>
        <w:jc w:val="left"/>
        <w:rPr>
          <w:sz w:val="24"/>
        </w:rPr>
      </w:pPr>
      <w:r>
        <w:rPr>
          <w:sz w:val="24"/>
        </w:rPr>
        <w:t>联合体各方不得再以自己名义单独或参加其他联合体在同一标段中投标。</w:t>
      </w:r>
    </w:p>
    <w:p>
      <w:pPr>
        <w:pStyle w:val="16"/>
        <w:numPr>
          <w:ilvl w:val="2"/>
          <w:numId w:val="6"/>
        </w:numPr>
        <w:tabs>
          <w:tab w:val="left" w:pos="1473"/>
        </w:tabs>
        <w:spacing w:before="161" w:after="0" w:line="240" w:lineRule="auto"/>
        <w:ind w:left="1472" w:right="0" w:hanging="661"/>
        <w:jc w:val="left"/>
        <w:outlineLvl w:val="2"/>
        <w:rPr>
          <w:sz w:val="24"/>
        </w:rPr>
      </w:pPr>
      <w:r>
        <w:rPr>
          <w:sz w:val="24"/>
        </w:rPr>
        <w:t>磋商响应人不得存在下列情形之一：</w:t>
      </w:r>
    </w:p>
    <w:p>
      <w:pPr>
        <w:pStyle w:val="16"/>
        <w:numPr>
          <w:ilvl w:val="0"/>
          <w:numId w:val="9"/>
        </w:numPr>
        <w:tabs>
          <w:tab w:val="left" w:pos="1469"/>
        </w:tabs>
        <w:spacing w:before="160" w:after="0" w:line="240" w:lineRule="auto"/>
        <w:ind w:left="1469" w:right="0" w:hanging="601"/>
        <w:jc w:val="left"/>
        <w:rPr>
          <w:sz w:val="24"/>
        </w:rPr>
      </w:pPr>
      <w:r>
        <w:rPr>
          <w:sz w:val="24"/>
        </w:rPr>
        <w:t>为招标人不具有独立法人资格的附属机构（单位）；</w:t>
      </w:r>
    </w:p>
    <w:p>
      <w:pPr>
        <w:pStyle w:val="16"/>
        <w:numPr>
          <w:ilvl w:val="0"/>
          <w:numId w:val="9"/>
        </w:numPr>
        <w:tabs>
          <w:tab w:val="left" w:pos="1414"/>
        </w:tabs>
        <w:spacing w:before="159" w:after="0" w:line="240" w:lineRule="auto"/>
        <w:ind w:left="1413" w:right="0" w:hanging="602"/>
        <w:jc w:val="left"/>
        <w:rPr>
          <w:sz w:val="24"/>
        </w:rPr>
      </w:pPr>
      <w:r>
        <w:rPr>
          <w:sz w:val="24"/>
        </w:rPr>
        <w:t>为本项目前期准备提供设计或咨询服务的，但设计施工总承包的除外；</w:t>
      </w:r>
    </w:p>
    <w:p>
      <w:pPr>
        <w:pStyle w:val="16"/>
        <w:numPr>
          <w:ilvl w:val="0"/>
          <w:numId w:val="9"/>
        </w:numPr>
        <w:tabs>
          <w:tab w:val="left" w:pos="1414"/>
        </w:tabs>
        <w:spacing w:before="160" w:after="0" w:line="240" w:lineRule="auto"/>
        <w:ind w:left="1413" w:right="0" w:hanging="602"/>
        <w:jc w:val="left"/>
        <w:rPr>
          <w:sz w:val="24"/>
        </w:rPr>
      </w:pPr>
      <w:r>
        <w:rPr>
          <w:sz w:val="24"/>
        </w:rPr>
        <w:t>为本项目的监理人；</w:t>
      </w:r>
    </w:p>
    <w:p>
      <w:pPr>
        <w:pStyle w:val="16"/>
        <w:numPr>
          <w:ilvl w:val="0"/>
          <w:numId w:val="9"/>
        </w:numPr>
        <w:tabs>
          <w:tab w:val="left" w:pos="1414"/>
        </w:tabs>
        <w:spacing w:before="158" w:after="0" w:line="240" w:lineRule="auto"/>
        <w:ind w:left="1413" w:right="0" w:hanging="602"/>
        <w:jc w:val="left"/>
        <w:rPr>
          <w:sz w:val="24"/>
        </w:rPr>
      </w:pPr>
      <w:r>
        <w:rPr>
          <w:sz w:val="24"/>
        </w:rPr>
        <w:t>为本项目的代建人；</w:t>
      </w:r>
    </w:p>
    <w:p>
      <w:pPr>
        <w:pStyle w:val="16"/>
        <w:numPr>
          <w:ilvl w:val="0"/>
          <w:numId w:val="9"/>
        </w:numPr>
        <w:tabs>
          <w:tab w:val="left" w:pos="1414"/>
        </w:tabs>
        <w:spacing w:before="158" w:after="0" w:line="240" w:lineRule="auto"/>
        <w:ind w:left="1413" w:right="0" w:hanging="602"/>
        <w:jc w:val="left"/>
        <w:rPr>
          <w:sz w:val="24"/>
        </w:rPr>
      </w:pPr>
      <w:r>
        <w:rPr>
          <w:sz w:val="24"/>
        </w:rPr>
        <w:t>为本项目提供招标代理服务的；</w:t>
      </w:r>
    </w:p>
    <w:p>
      <w:pPr>
        <w:pStyle w:val="16"/>
        <w:numPr>
          <w:ilvl w:val="0"/>
          <w:numId w:val="9"/>
        </w:numPr>
        <w:tabs>
          <w:tab w:val="left" w:pos="1414"/>
        </w:tabs>
        <w:spacing w:before="161" w:after="0" w:line="240" w:lineRule="auto"/>
        <w:ind w:left="1413" w:right="0" w:hanging="602"/>
        <w:jc w:val="left"/>
        <w:rPr>
          <w:sz w:val="24"/>
        </w:rPr>
      </w:pPr>
      <w:r>
        <w:rPr>
          <w:sz w:val="24"/>
        </w:rPr>
        <w:t>与本项目的监理人或代建人或招标代理机构同为一个法定代表人的；</w:t>
      </w:r>
    </w:p>
    <w:p>
      <w:pPr>
        <w:pStyle w:val="16"/>
        <w:numPr>
          <w:ilvl w:val="0"/>
          <w:numId w:val="9"/>
        </w:numPr>
        <w:tabs>
          <w:tab w:val="left" w:pos="1414"/>
        </w:tabs>
        <w:spacing w:before="160" w:after="0" w:line="240" w:lineRule="auto"/>
        <w:ind w:left="1413" w:right="0" w:hanging="602"/>
        <w:jc w:val="left"/>
        <w:rPr>
          <w:sz w:val="24"/>
        </w:rPr>
      </w:pPr>
      <w:r>
        <w:rPr>
          <w:sz w:val="24"/>
        </w:rPr>
        <w:t>与本项目的监理人或代建人或招标代理机构相互控股或参股的；</w:t>
      </w:r>
    </w:p>
    <w:p>
      <w:pPr>
        <w:pStyle w:val="16"/>
        <w:numPr>
          <w:ilvl w:val="0"/>
          <w:numId w:val="9"/>
        </w:numPr>
        <w:tabs>
          <w:tab w:val="left" w:pos="1414"/>
        </w:tabs>
        <w:spacing w:before="158" w:after="0" w:line="240" w:lineRule="auto"/>
        <w:ind w:left="1413" w:right="0" w:hanging="602"/>
        <w:jc w:val="left"/>
        <w:rPr>
          <w:sz w:val="24"/>
        </w:rPr>
      </w:pPr>
      <w:r>
        <w:rPr>
          <w:sz w:val="24"/>
        </w:rPr>
        <w:t>与本项目的监理人或代建人或招标代理机构相互任职或工作的；</w:t>
      </w:r>
    </w:p>
    <w:p>
      <w:pPr>
        <w:spacing w:after="0" w:line="240"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46" o:spid="_x0000_s1046" o:spt="20" style="position:absolute;left:0pt;margin-left:62.4pt;margin-top:12.25pt;height:0pt;width:400.4pt;mso-position-horizontal-relative:page;z-index:25169817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0"/>
          <w:numId w:val="9"/>
        </w:numPr>
        <w:tabs>
          <w:tab w:val="left" w:pos="1414"/>
        </w:tabs>
        <w:spacing w:before="67" w:after="0" w:line="240" w:lineRule="auto"/>
        <w:ind w:left="1413" w:right="0" w:hanging="602"/>
        <w:jc w:val="left"/>
        <w:rPr>
          <w:sz w:val="24"/>
        </w:rPr>
      </w:pPr>
      <w:r>
        <w:rPr>
          <w:sz w:val="24"/>
        </w:rPr>
        <w:t>被责令停业的；</w:t>
      </w:r>
    </w:p>
    <w:p>
      <w:pPr>
        <w:pStyle w:val="16"/>
        <w:numPr>
          <w:ilvl w:val="0"/>
          <w:numId w:val="9"/>
        </w:numPr>
        <w:tabs>
          <w:tab w:val="left" w:pos="1534"/>
        </w:tabs>
        <w:spacing w:before="158" w:after="0" w:line="240" w:lineRule="auto"/>
        <w:ind w:left="1533" w:right="0" w:hanging="722"/>
        <w:jc w:val="left"/>
        <w:rPr>
          <w:sz w:val="24"/>
        </w:rPr>
      </w:pPr>
      <w:r>
        <w:rPr>
          <w:sz w:val="24"/>
        </w:rPr>
        <w:t>被暂定或取消投标资格的；</w:t>
      </w:r>
    </w:p>
    <w:p>
      <w:pPr>
        <w:pStyle w:val="16"/>
        <w:numPr>
          <w:ilvl w:val="0"/>
          <w:numId w:val="9"/>
        </w:numPr>
        <w:tabs>
          <w:tab w:val="left" w:pos="1534"/>
        </w:tabs>
        <w:spacing w:before="160" w:after="0" w:line="240" w:lineRule="auto"/>
        <w:ind w:left="1533" w:right="0" w:hanging="722"/>
        <w:jc w:val="left"/>
        <w:rPr>
          <w:sz w:val="24"/>
        </w:rPr>
      </w:pPr>
      <w:r>
        <w:rPr>
          <w:sz w:val="24"/>
        </w:rPr>
        <w:t>财产被接管或冻结的；</w:t>
      </w:r>
    </w:p>
    <w:p>
      <w:pPr>
        <w:pStyle w:val="16"/>
        <w:numPr>
          <w:ilvl w:val="0"/>
          <w:numId w:val="9"/>
        </w:numPr>
        <w:tabs>
          <w:tab w:val="left" w:pos="1534"/>
        </w:tabs>
        <w:spacing w:before="158" w:after="0" w:line="240" w:lineRule="auto"/>
        <w:ind w:left="1533" w:right="0" w:hanging="722"/>
        <w:jc w:val="left"/>
        <w:rPr>
          <w:sz w:val="24"/>
        </w:rPr>
      </w:pPr>
      <w:r>
        <w:rPr>
          <w:sz w:val="24"/>
        </w:rPr>
        <w:t>在最近三年内有骗取中标或严重违约或重大工程质量问题的。</w:t>
      </w:r>
    </w:p>
    <w:p>
      <w:pPr>
        <w:pStyle w:val="8"/>
        <w:spacing w:before="10"/>
        <w:rPr>
          <w:sz w:val="32"/>
        </w:rPr>
      </w:pPr>
    </w:p>
    <w:p>
      <w:pPr>
        <w:pStyle w:val="7"/>
        <w:numPr>
          <w:ilvl w:val="1"/>
          <w:numId w:val="6"/>
        </w:numPr>
        <w:tabs>
          <w:tab w:val="left" w:pos="808"/>
        </w:tabs>
        <w:spacing w:before="0" w:after="0" w:line="240" w:lineRule="auto"/>
        <w:ind w:left="808" w:right="0" w:hanging="420"/>
        <w:jc w:val="left"/>
      </w:pPr>
      <w:bookmarkStart w:id="25" w:name="_bookmark7"/>
      <w:bookmarkEnd w:id="25"/>
      <w:bookmarkStart w:id="26" w:name="1.5费用承担"/>
      <w:bookmarkEnd w:id="26"/>
      <w:r>
        <w:t>费用承担</w:t>
      </w:r>
    </w:p>
    <w:p>
      <w:pPr>
        <w:pStyle w:val="8"/>
        <w:rPr>
          <w:b/>
        </w:rPr>
      </w:pPr>
    </w:p>
    <w:p>
      <w:pPr>
        <w:pStyle w:val="8"/>
        <w:spacing w:before="187"/>
        <w:ind w:left="812"/>
      </w:pPr>
      <w:r>
        <w:t>磋商响应人准备和参加投标活动发生的费用自理。</w:t>
      </w:r>
    </w:p>
    <w:p>
      <w:pPr>
        <w:pStyle w:val="8"/>
        <w:spacing w:before="7"/>
        <w:rPr>
          <w:sz w:val="32"/>
        </w:rPr>
      </w:pPr>
    </w:p>
    <w:p>
      <w:pPr>
        <w:pStyle w:val="7"/>
        <w:numPr>
          <w:ilvl w:val="1"/>
          <w:numId w:val="6"/>
        </w:numPr>
        <w:tabs>
          <w:tab w:val="left" w:pos="808"/>
        </w:tabs>
        <w:spacing w:before="0" w:after="0" w:line="240" w:lineRule="auto"/>
        <w:ind w:left="808" w:right="0" w:hanging="420"/>
        <w:jc w:val="left"/>
      </w:pPr>
      <w:bookmarkStart w:id="27" w:name="1.6保密"/>
      <w:bookmarkEnd w:id="27"/>
      <w:bookmarkStart w:id="28" w:name="_bookmark8"/>
      <w:bookmarkEnd w:id="28"/>
      <w:r>
        <w:t>保密</w:t>
      </w:r>
    </w:p>
    <w:p>
      <w:pPr>
        <w:pStyle w:val="8"/>
        <w:rPr>
          <w:b/>
        </w:rPr>
      </w:pPr>
    </w:p>
    <w:p>
      <w:pPr>
        <w:pStyle w:val="8"/>
        <w:spacing w:before="184" w:line="364" w:lineRule="auto"/>
        <w:ind w:left="388" w:right="744" w:firstLine="424"/>
      </w:pPr>
      <w:r>
        <w:t>参与招标投标活动的各方应对竞争性磋商和投标文件中的商业和技术等秘密保密，违者应对由此造成的后果承担法律责任。</w:t>
      </w:r>
    </w:p>
    <w:p>
      <w:pPr>
        <w:pStyle w:val="8"/>
        <w:spacing w:before="4"/>
        <w:rPr>
          <w:sz w:val="20"/>
        </w:rPr>
      </w:pPr>
    </w:p>
    <w:p>
      <w:pPr>
        <w:pStyle w:val="7"/>
        <w:numPr>
          <w:ilvl w:val="1"/>
          <w:numId w:val="6"/>
        </w:numPr>
        <w:tabs>
          <w:tab w:val="left" w:pos="808"/>
        </w:tabs>
        <w:spacing w:before="0" w:after="0" w:line="240" w:lineRule="auto"/>
        <w:ind w:left="808" w:right="0" w:hanging="420"/>
        <w:jc w:val="left"/>
      </w:pPr>
      <w:bookmarkStart w:id="29" w:name="1.7语言文字"/>
      <w:bookmarkEnd w:id="29"/>
      <w:bookmarkStart w:id="30" w:name="_bookmark9"/>
      <w:bookmarkEnd w:id="30"/>
      <w:r>
        <w:t>语言文字</w:t>
      </w:r>
    </w:p>
    <w:p>
      <w:pPr>
        <w:pStyle w:val="8"/>
        <w:rPr>
          <w:b/>
        </w:rPr>
      </w:pPr>
    </w:p>
    <w:p>
      <w:pPr>
        <w:pStyle w:val="8"/>
        <w:spacing w:before="185"/>
        <w:ind w:left="812"/>
      </w:pPr>
      <w:r>
        <w:t>除专用术语外，与招标投标有关的语言均使用中文。必要时专用术语应附有中文注释。</w:t>
      </w:r>
    </w:p>
    <w:p>
      <w:pPr>
        <w:pStyle w:val="8"/>
        <w:spacing w:before="9"/>
        <w:rPr>
          <w:sz w:val="32"/>
        </w:rPr>
      </w:pPr>
    </w:p>
    <w:p>
      <w:pPr>
        <w:pStyle w:val="7"/>
        <w:numPr>
          <w:ilvl w:val="1"/>
          <w:numId w:val="6"/>
        </w:numPr>
        <w:tabs>
          <w:tab w:val="left" w:pos="808"/>
        </w:tabs>
        <w:spacing w:before="0" w:after="0" w:line="240" w:lineRule="auto"/>
        <w:ind w:left="808" w:right="0" w:hanging="420"/>
        <w:jc w:val="left"/>
      </w:pPr>
      <w:bookmarkStart w:id="31" w:name="1.8计量单位"/>
      <w:bookmarkEnd w:id="31"/>
      <w:bookmarkStart w:id="32" w:name="_bookmark10"/>
      <w:bookmarkEnd w:id="32"/>
      <w:r>
        <w:t>计量单位</w:t>
      </w:r>
    </w:p>
    <w:p>
      <w:pPr>
        <w:pStyle w:val="8"/>
        <w:rPr>
          <w:b/>
        </w:rPr>
      </w:pPr>
    </w:p>
    <w:p>
      <w:pPr>
        <w:pStyle w:val="8"/>
        <w:spacing w:before="185"/>
        <w:ind w:left="812"/>
      </w:pPr>
      <w:r>
        <w:t>所有计量均采用中华人民共和国法定计量单位。</w:t>
      </w:r>
    </w:p>
    <w:p>
      <w:pPr>
        <w:pStyle w:val="8"/>
        <w:spacing w:before="9"/>
        <w:rPr>
          <w:sz w:val="32"/>
        </w:rPr>
      </w:pPr>
    </w:p>
    <w:p>
      <w:pPr>
        <w:pStyle w:val="7"/>
        <w:numPr>
          <w:ilvl w:val="1"/>
          <w:numId w:val="6"/>
        </w:numPr>
        <w:tabs>
          <w:tab w:val="left" w:pos="808"/>
        </w:tabs>
        <w:spacing w:before="0" w:after="0" w:line="240" w:lineRule="auto"/>
        <w:ind w:left="808" w:right="0" w:hanging="420"/>
        <w:jc w:val="left"/>
      </w:pPr>
      <w:bookmarkStart w:id="33" w:name="1.9踏勘现场（不组织）"/>
      <w:bookmarkEnd w:id="33"/>
      <w:bookmarkStart w:id="34" w:name="_bookmark11"/>
      <w:bookmarkEnd w:id="34"/>
      <w:r>
        <w:t>踏勘现场（不组织）</w:t>
      </w:r>
    </w:p>
    <w:p>
      <w:pPr>
        <w:pStyle w:val="8"/>
        <w:rPr>
          <w:b/>
        </w:rPr>
      </w:pPr>
    </w:p>
    <w:p>
      <w:pPr>
        <w:pStyle w:val="16"/>
        <w:numPr>
          <w:ilvl w:val="2"/>
          <w:numId w:val="6"/>
        </w:numPr>
        <w:tabs>
          <w:tab w:val="left" w:pos="1536"/>
        </w:tabs>
        <w:spacing w:before="184" w:after="0" w:line="362" w:lineRule="auto"/>
        <w:ind w:left="388" w:right="744" w:firstLine="424"/>
        <w:jc w:val="left"/>
        <w:rPr>
          <w:sz w:val="24"/>
        </w:rPr>
      </w:pPr>
      <w:r>
        <w:rPr>
          <w:sz w:val="24"/>
        </w:rPr>
        <w:t>磋商响应人须知前附表规定组织踏勘现场的，招标人按照招标公告</w:t>
      </w:r>
      <w:r>
        <w:rPr>
          <w:spacing w:val="4"/>
          <w:sz w:val="24"/>
        </w:rPr>
        <w:t>（</w:t>
      </w:r>
      <w:r>
        <w:rPr>
          <w:sz w:val="24"/>
        </w:rPr>
        <w:t>或投标邀请书）规定的时间和地点组织踏勘现场。</w:t>
      </w:r>
    </w:p>
    <w:p>
      <w:pPr>
        <w:pStyle w:val="16"/>
        <w:numPr>
          <w:ilvl w:val="2"/>
          <w:numId w:val="6"/>
        </w:numPr>
        <w:tabs>
          <w:tab w:val="left" w:pos="1473"/>
        </w:tabs>
        <w:spacing w:before="5" w:after="0" w:line="240" w:lineRule="auto"/>
        <w:ind w:left="1472" w:right="0" w:hanging="661"/>
        <w:jc w:val="left"/>
        <w:outlineLvl w:val="2"/>
        <w:rPr>
          <w:sz w:val="24"/>
        </w:rPr>
      </w:pPr>
      <w:r>
        <w:rPr>
          <w:sz w:val="24"/>
        </w:rPr>
        <w:t>磋商响应人踏勘现场发生的费用自理。</w:t>
      </w:r>
    </w:p>
    <w:p>
      <w:pPr>
        <w:pStyle w:val="16"/>
        <w:numPr>
          <w:ilvl w:val="2"/>
          <w:numId w:val="6"/>
        </w:numPr>
        <w:tabs>
          <w:tab w:val="left" w:pos="1473"/>
        </w:tabs>
        <w:spacing w:before="161" w:after="0" w:line="362" w:lineRule="auto"/>
        <w:ind w:left="388" w:right="744" w:firstLine="424"/>
        <w:jc w:val="left"/>
        <w:rPr>
          <w:sz w:val="24"/>
        </w:rPr>
      </w:pPr>
      <w:r>
        <w:rPr>
          <w:spacing w:val="-9"/>
          <w:sz w:val="24"/>
        </w:rPr>
        <w:t>除招标人原因外，磋商响应人自行负责在踏勘现场中所发生的人员伤亡和财产损</w:t>
      </w:r>
      <w:r>
        <w:rPr>
          <w:sz w:val="24"/>
        </w:rPr>
        <w:t>失。</w:t>
      </w:r>
    </w:p>
    <w:p>
      <w:pPr>
        <w:pStyle w:val="16"/>
        <w:numPr>
          <w:ilvl w:val="2"/>
          <w:numId w:val="6"/>
        </w:numPr>
        <w:tabs>
          <w:tab w:val="left" w:pos="1473"/>
        </w:tabs>
        <w:spacing w:before="2" w:after="0" w:line="364" w:lineRule="auto"/>
        <w:ind w:left="388" w:right="744" w:firstLine="424"/>
        <w:jc w:val="left"/>
        <w:rPr>
          <w:sz w:val="24"/>
        </w:rPr>
      </w:pPr>
      <w:r>
        <w:rPr>
          <w:spacing w:val="-4"/>
          <w:sz w:val="24"/>
        </w:rPr>
        <w:t>招标人在踏勘现场中介绍的工程场地和相关的周边环境情况，供磋商响应人在编</w:t>
      </w:r>
      <w:r>
        <w:rPr>
          <w:sz w:val="24"/>
        </w:rPr>
        <w:t>制投标文件时参考，招标人不对磋商响应人据此作出的判断和决策负责。</w:t>
      </w:r>
    </w:p>
    <w:p>
      <w:pPr>
        <w:spacing w:after="0" w:line="364"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47" o:spid="_x0000_s1047" o:spt="20" style="position:absolute;left:0pt;margin-left:62.4pt;margin-top:12.25pt;height:0pt;width:400.4pt;mso-position-horizontal-relative:page;z-index:25169920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7"/>
        <w:numPr>
          <w:ilvl w:val="1"/>
          <w:numId w:val="6"/>
        </w:numPr>
        <w:tabs>
          <w:tab w:val="left" w:pos="931"/>
        </w:tabs>
        <w:spacing w:before="67" w:after="0" w:line="240" w:lineRule="auto"/>
        <w:ind w:left="930" w:right="0" w:hanging="543"/>
        <w:jc w:val="both"/>
      </w:pPr>
      <w:bookmarkStart w:id="35" w:name="_bookmark12"/>
      <w:bookmarkEnd w:id="35"/>
      <w:bookmarkStart w:id="36" w:name="1.10投标预备会"/>
      <w:bookmarkEnd w:id="36"/>
      <w:r>
        <w:t>投标预备会</w:t>
      </w:r>
    </w:p>
    <w:p>
      <w:pPr>
        <w:pStyle w:val="8"/>
        <w:rPr>
          <w:b/>
        </w:rPr>
      </w:pPr>
    </w:p>
    <w:p>
      <w:pPr>
        <w:pStyle w:val="16"/>
        <w:numPr>
          <w:ilvl w:val="2"/>
          <w:numId w:val="6"/>
        </w:numPr>
        <w:tabs>
          <w:tab w:val="left" w:pos="1653"/>
        </w:tabs>
        <w:spacing w:before="184" w:after="0" w:line="362" w:lineRule="auto"/>
        <w:ind w:left="388" w:right="744" w:firstLine="424"/>
        <w:jc w:val="both"/>
        <w:rPr>
          <w:sz w:val="24"/>
        </w:rPr>
      </w:pPr>
      <w:r>
        <w:rPr>
          <w:spacing w:val="-2"/>
          <w:sz w:val="24"/>
        </w:rPr>
        <w:t>磋商响应人须知前附表规定召开投标预备会的，招标人按照招标公告</w:t>
      </w:r>
      <w:r>
        <w:rPr>
          <w:sz w:val="24"/>
        </w:rPr>
        <w:t>（</w:t>
      </w:r>
      <w:r>
        <w:rPr>
          <w:spacing w:val="-6"/>
          <w:sz w:val="24"/>
        </w:rPr>
        <w:t>或投标</w:t>
      </w:r>
      <w:r>
        <w:rPr>
          <w:sz w:val="24"/>
        </w:rPr>
        <w:t>邀请书）规定的时间和地点召开投标预备会。</w:t>
      </w:r>
    </w:p>
    <w:p>
      <w:pPr>
        <w:pStyle w:val="16"/>
        <w:numPr>
          <w:ilvl w:val="2"/>
          <w:numId w:val="6"/>
        </w:numPr>
        <w:tabs>
          <w:tab w:val="left" w:pos="1653"/>
        </w:tabs>
        <w:spacing w:before="5" w:after="0" w:line="364" w:lineRule="auto"/>
        <w:ind w:left="388" w:right="744" w:firstLine="424"/>
        <w:jc w:val="both"/>
        <w:rPr>
          <w:sz w:val="24"/>
        </w:rPr>
      </w:pPr>
      <w:r>
        <w:rPr>
          <w:spacing w:val="-2"/>
          <w:sz w:val="24"/>
        </w:rPr>
        <w:t>在投标预备会召开前，磋商响应人应以书面形式</w:t>
      </w:r>
      <w:r>
        <w:rPr>
          <w:sz w:val="24"/>
        </w:rPr>
        <w:t>（</w:t>
      </w:r>
      <w:r>
        <w:rPr>
          <w:spacing w:val="-4"/>
          <w:sz w:val="24"/>
        </w:rPr>
        <w:t>包括信函、电报、传真等可</w:t>
      </w:r>
      <w:r>
        <w:rPr>
          <w:sz w:val="24"/>
        </w:rPr>
        <w:t>以有形地表现所载内容的形式，下同）将需要招标人澄清的问题送达招标人。</w:t>
      </w:r>
    </w:p>
    <w:p>
      <w:pPr>
        <w:pStyle w:val="16"/>
        <w:numPr>
          <w:ilvl w:val="2"/>
          <w:numId w:val="6"/>
        </w:numPr>
        <w:tabs>
          <w:tab w:val="left" w:pos="1653"/>
        </w:tabs>
        <w:spacing w:before="0" w:after="0" w:line="364" w:lineRule="auto"/>
        <w:ind w:left="388" w:right="744" w:firstLine="424"/>
        <w:jc w:val="both"/>
        <w:rPr>
          <w:sz w:val="24"/>
        </w:rPr>
      </w:pPr>
      <w:r>
        <w:rPr>
          <w:spacing w:val="-3"/>
          <w:sz w:val="24"/>
        </w:rPr>
        <w:t xml:space="preserve">在磋商响应人须知前附表规定的投标截止时间 </w:t>
      </w:r>
      <w:r>
        <w:rPr>
          <w:sz w:val="24"/>
        </w:rPr>
        <w:t>5</w:t>
      </w:r>
      <w:r>
        <w:rPr>
          <w:spacing w:val="-10"/>
          <w:sz w:val="24"/>
        </w:rPr>
        <w:t xml:space="preserve"> 天前，招标人将对磋商响应人</w:t>
      </w:r>
      <w:r>
        <w:rPr>
          <w:sz w:val="24"/>
        </w:rPr>
        <w:t>所提问题的澄清，以书面形式通知所有购买竞争性磋商的磋商响应人。该澄清通知为竞争性磋商的组成部分。</w:t>
      </w:r>
    </w:p>
    <w:p>
      <w:pPr>
        <w:pStyle w:val="8"/>
        <w:spacing w:before="1"/>
        <w:rPr>
          <w:sz w:val="20"/>
        </w:rPr>
      </w:pPr>
    </w:p>
    <w:p>
      <w:pPr>
        <w:pStyle w:val="7"/>
        <w:numPr>
          <w:ilvl w:val="1"/>
          <w:numId w:val="6"/>
        </w:numPr>
        <w:tabs>
          <w:tab w:val="left" w:pos="931"/>
        </w:tabs>
        <w:spacing w:before="0" w:after="0" w:line="240" w:lineRule="auto"/>
        <w:ind w:left="930" w:right="0" w:hanging="543"/>
        <w:jc w:val="both"/>
      </w:pPr>
      <w:bookmarkStart w:id="37" w:name="_bookmark13"/>
      <w:bookmarkEnd w:id="37"/>
      <w:bookmarkStart w:id="38" w:name="1.11分包（本项目不适用）"/>
      <w:bookmarkEnd w:id="38"/>
      <w:r>
        <w:t>分包（本项目不适用）</w:t>
      </w:r>
    </w:p>
    <w:p>
      <w:pPr>
        <w:pStyle w:val="8"/>
        <w:rPr>
          <w:b/>
        </w:rPr>
      </w:pPr>
    </w:p>
    <w:p>
      <w:pPr>
        <w:pStyle w:val="8"/>
        <w:rPr>
          <w:b/>
          <w:sz w:val="23"/>
        </w:rPr>
      </w:pPr>
    </w:p>
    <w:p>
      <w:pPr>
        <w:pStyle w:val="8"/>
        <w:spacing w:line="343" w:lineRule="auto"/>
        <w:ind w:left="388" w:right="744" w:firstLine="480"/>
        <w:jc w:val="both"/>
      </w:pPr>
      <w:r>
        <w:t>磋商响应人须知前附表规定允许分包的，分包的内容、分包金额、接受分包的第三人资质要求见磋商响应人须知前附表。磋商响应人应在投标文件中明确是否在中标后将中标项目的部分非主体、非关键性工作进行分包。磋商响应人拟分包时，分包人应具备与分包工程的标准和规模相适应的资质和业绩，在人力、设备、资金等方面具有承担分包工程施工的能力。磋商响应人应在投标文件中提供分包协议、分包人的资质证书及营业执照复印件、人员、设备和业绩资料表、分包的工程项目和工程量。</w:t>
      </w:r>
    </w:p>
    <w:p>
      <w:pPr>
        <w:pStyle w:val="7"/>
        <w:numPr>
          <w:ilvl w:val="1"/>
          <w:numId w:val="6"/>
        </w:numPr>
        <w:tabs>
          <w:tab w:val="left" w:pos="931"/>
        </w:tabs>
        <w:spacing w:before="153" w:after="0" w:line="240" w:lineRule="auto"/>
        <w:ind w:left="930" w:right="0" w:hanging="543"/>
        <w:jc w:val="both"/>
      </w:pPr>
      <w:bookmarkStart w:id="39" w:name="1.12偏离"/>
      <w:bookmarkEnd w:id="39"/>
      <w:bookmarkStart w:id="40" w:name="_bookmark14"/>
      <w:bookmarkEnd w:id="40"/>
      <w:r>
        <w:t>偏离</w:t>
      </w:r>
    </w:p>
    <w:p>
      <w:pPr>
        <w:pStyle w:val="8"/>
        <w:rPr>
          <w:b/>
        </w:rPr>
      </w:pPr>
    </w:p>
    <w:p>
      <w:pPr>
        <w:pStyle w:val="8"/>
        <w:rPr>
          <w:b/>
          <w:sz w:val="23"/>
        </w:rPr>
      </w:pPr>
    </w:p>
    <w:p>
      <w:pPr>
        <w:pStyle w:val="8"/>
        <w:spacing w:line="343" w:lineRule="auto"/>
        <w:ind w:left="388" w:right="744" w:firstLine="480"/>
      </w:pPr>
      <w:r>
        <w:t>投标文件不允许偏离竞争性磋商的实质性要求和条件。投标文件偏离竞争性磋商的非实质性要求和条件的，其处理方式见磋商响应人须知前附表。</w:t>
      </w:r>
    </w:p>
    <w:p>
      <w:pPr>
        <w:pStyle w:val="7"/>
        <w:numPr>
          <w:ilvl w:val="0"/>
          <w:numId w:val="10"/>
        </w:numPr>
        <w:tabs>
          <w:tab w:val="left" w:pos="568"/>
        </w:tabs>
        <w:spacing w:before="147" w:after="0" w:line="240" w:lineRule="auto"/>
        <w:ind w:left="568" w:right="0" w:hanging="180"/>
        <w:jc w:val="left"/>
        <w:outlineLvl w:val="1"/>
      </w:pPr>
      <w:bookmarkStart w:id="41" w:name="_bookmark15"/>
      <w:bookmarkEnd w:id="41"/>
      <w:bookmarkStart w:id="42" w:name="2竞争性磋商"/>
      <w:bookmarkEnd w:id="42"/>
      <w:r>
        <w:t>竞争性磋商</w:t>
      </w:r>
    </w:p>
    <w:p>
      <w:pPr>
        <w:pStyle w:val="16"/>
        <w:numPr>
          <w:ilvl w:val="1"/>
          <w:numId w:val="10"/>
        </w:numPr>
        <w:tabs>
          <w:tab w:val="left" w:pos="808"/>
        </w:tabs>
        <w:spacing w:before="0" w:after="0" w:line="800" w:lineRule="atLeast"/>
        <w:ind w:left="812" w:right="7327" w:hanging="425"/>
        <w:jc w:val="left"/>
        <w:outlineLvl w:val="2"/>
        <w:rPr>
          <w:sz w:val="24"/>
        </w:rPr>
      </w:pPr>
      <w:bookmarkStart w:id="43" w:name="_bookmark16"/>
      <w:bookmarkEnd w:id="43"/>
      <w:bookmarkStart w:id="44" w:name="2.1竞争性磋商文件的组成"/>
      <w:bookmarkEnd w:id="44"/>
      <w:r>
        <w:rPr>
          <w:b/>
          <w:spacing w:val="-2"/>
          <w:sz w:val="24"/>
        </w:rPr>
        <w:t>竞争性磋商文件的组成</w:t>
      </w:r>
      <w:r>
        <w:rPr>
          <w:sz w:val="24"/>
        </w:rPr>
        <w:t>本竞争性磋商包括：</w:t>
      </w:r>
    </w:p>
    <w:p>
      <w:pPr>
        <w:pStyle w:val="16"/>
        <w:numPr>
          <w:ilvl w:val="2"/>
          <w:numId w:val="10"/>
        </w:numPr>
        <w:tabs>
          <w:tab w:val="left" w:pos="1414"/>
        </w:tabs>
        <w:spacing w:before="159" w:after="0" w:line="240" w:lineRule="auto"/>
        <w:ind w:left="1413" w:right="0" w:hanging="602"/>
        <w:jc w:val="left"/>
        <w:rPr>
          <w:sz w:val="24"/>
        </w:rPr>
      </w:pPr>
      <w:r>
        <w:rPr>
          <w:sz w:val="24"/>
        </w:rPr>
        <w:t>磋商邀请；</w:t>
      </w:r>
    </w:p>
    <w:p>
      <w:pPr>
        <w:pStyle w:val="16"/>
        <w:numPr>
          <w:ilvl w:val="2"/>
          <w:numId w:val="10"/>
        </w:numPr>
        <w:tabs>
          <w:tab w:val="left" w:pos="1414"/>
        </w:tabs>
        <w:spacing w:before="158" w:after="0" w:line="240" w:lineRule="auto"/>
        <w:ind w:left="1413" w:right="0" w:hanging="602"/>
        <w:jc w:val="left"/>
        <w:rPr>
          <w:sz w:val="24"/>
        </w:rPr>
      </w:pPr>
      <w:r>
        <w:rPr>
          <w:sz w:val="24"/>
        </w:rPr>
        <w:t>磋商响应人须知；</w:t>
      </w:r>
    </w:p>
    <w:p>
      <w:pPr>
        <w:pStyle w:val="16"/>
        <w:numPr>
          <w:ilvl w:val="2"/>
          <w:numId w:val="10"/>
        </w:numPr>
        <w:tabs>
          <w:tab w:val="left" w:pos="1414"/>
        </w:tabs>
        <w:spacing w:before="161" w:after="0" w:line="240" w:lineRule="auto"/>
        <w:ind w:left="1413" w:right="0" w:hanging="602"/>
        <w:jc w:val="left"/>
        <w:rPr>
          <w:sz w:val="24"/>
        </w:rPr>
      </w:pPr>
      <w:r>
        <w:rPr>
          <w:sz w:val="24"/>
        </w:rPr>
        <w:t>评标办法；</w:t>
      </w:r>
    </w:p>
    <w:p>
      <w:pPr>
        <w:pStyle w:val="16"/>
        <w:numPr>
          <w:ilvl w:val="2"/>
          <w:numId w:val="10"/>
        </w:numPr>
        <w:tabs>
          <w:tab w:val="left" w:pos="1414"/>
        </w:tabs>
        <w:spacing w:before="158" w:after="0" w:line="240" w:lineRule="auto"/>
        <w:ind w:left="1413" w:right="0" w:hanging="602"/>
        <w:jc w:val="left"/>
        <w:rPr>
          <w:sz w:val="24"/>
        </w:rPr>
      </w:pPr>
      <w:r>
        <w:rPr>
          <w:sz w:val="24"/>
        </w:rPr>
        <w:t>合同条款及格式；</w:t>
      </w:r>
    </w:p>
    <w:p>
      <w:pPr>
        <w:pStyle w:val="16"/>
        <w:numPr>
          <w:ilvl w:val="2"/>
          <w:numId w:val="10"/>
        </w:numPr>
        <w:tabs>
          <w:tab w:val="left" w:pos="1414"/>
        </w:tabs>
        <w:spacing w:before="161" w:after="0" w:line="240" w:lineRule="auto"/>
        <w:ind w:left="1413" w:right="0" w:hanging="602"/>
        <w:jc w:val="left"/>
        <w:rPr>
          <w:sz w:val="25"/>
        </w:rPr>
      </w:pPr>
      <w:r>
        <w:rPr>
          <w:sz w:val="24"/>
        </w:rPr>
        <w:t>工程量清单；</w:t>
      </w:r>
    </w:p>
    <w:p>
      <w:pPr>
        <w:pStyle w:val="16"/>
        <w:numPr>
          <w:ilvl w:val="2"/>
          <w:numId w:val="10"/>
        </w:numPr>
        <w:tabs>
          <w:tab w:val="left" w:pos="1414"/>
        </w:tabs>
        <w:spacing w:before="67" w:after="0" w:line="240" w:lineRule="auto"/>
        <w:ind w:left="1413" w:right="0" w:hanging="602"/>
        <w:jc w:val="left"/>
        <w:rPr>
          <w:sz w:val="24"/>
        </w:rPr>
      </w:pPr>
      <w:r>
        <w:rPr>
          <w:sz w:val="24"/>
        </w:rPr>
        <w:t>图纸；</w:t>
      </w:r>
    </w:p>
    <w:p>
      <w:pPr>
        <w:pStyle w:val="16"/>
        <w:numPr>
          <w:ilvl w:val="2"/>
          <w:numId w:val="10"/>
        </w:numPr>
        <w:tabs>
          <w:tab w:val="left" w:pos="1414"/>
        </w:tabs>
        <w:spacing w:before="158" w:after="0" w:line="240" w:lineRule="auto"/>
        <w:ind w:left="1413" w:right="0" w:hanging="602"/>
        <w:jc w:val="left"/>
        <w:rPr>
          <w:sz w:val="24"/>
        </w:rPr>
      </w:pPr>
      <w:r>
        <w:rPr>
          <w:sz w:val="24"/>
        </w:rPr>
        <w:t>技术标准和要求；</w:t>
      </w:r>
    </w:p>
    <w:p>
      <w:pPr>
        <w:pStyle w:val="16"/>
        <w:numPr>
          <w:ilvl w:val="2"/>
          <w:numId w:val="10"/>
        </w:numPr>
        <w:tabs>
          <w:tab w:val="left" w:pos="1414"/>
        </w:tabs>
        <w:spacing w:before="160" w:after="0" w:line="240" w:lineRule="auto"/>
        <w:ind w:left="1413" w:right="0" w:hanging="602"/>
        <w:jc w:val="left"/>
        <w:rPr>
          <w:sz w:val="24"/>
        </w:rPr>
      </w:pPr>
      <w:r>
        <w:rPr>
          <w:sz w:val="24"/>
        </w:rPr>
        <w:t>投标文件格式；</w:t>
      </w:r>
    </w:p>
    <w:p>
      <w:pPr>
        <w:pStyle w:val="16"/>
        <w:numPr>
          <w:ilvl w:val="2"/>
          <w:numId w:val="10"/>
        </w:numPr>
        <w:tabs>
          <w:tab w:val="left" w:pos="1414"/>
        </w:tabs>
        <w:spacing w:before="158" w:after="0" w:line="240" w:lineRule="auto"/>
        <w:ind w:left="1413" w:right="0" w:hanging="602"/>
        <w:jc w:val="left"/>
        <w:rPr>
          <w:sz w:val="24"/>
        </w:rPr>
      </w:pPr>
      <w:r>
        <w:rPr>
          <w:sz w:val="24"/>
        </w:rPr>
        <w:t>磋商响应人须知前附表规定的其他材料。</w:t>
      </w:r>
    </w:p>
    <w:p>
      <w:pPr>
        <w:pStyle w:val="8"/>
        <w:spacing w:before="161" w:line="362" w:lineRule="auto"/>
        <w:ind w:left="388" w:right="744" w:firstLine="424"/>
      </w:pPr>
      <w:r>
        <w:rPr>
          <w:spacing w:val="-10"/>
        </w:rPr>
        <w:t xml:space="preserve">根据本章第 </w:t>
      </w:r>
      <w:r>
        <w:t>1.10</w:t>
      </w:r>
      <w:r>
        <w:rPr>
          <w:spacing w:val="-26"/>
        </w:rPr>
        <w:t xml:space="preserve"> 款、第 </w:t>
      </w:r>
      <w:r>
        <w:t>2.2</w:t>
      </w:r>
      <w:r>
        <w:rPr>
          <w:spacing w:val="-24"/>
        </w:rPr>
        <w:t xml:space="preserve"> 款和第 </w:t>
      </w:r>
      <w:r>
        <w:t>2.3</w:t>
      </w:r>
      <w:r>
        <w:rPr>
          <w:spacing w:val="-9"/>
        </w:rPr>
        <w:t xml:space="preserve"> 款对竞争性磋商所作的澄清。修改，构成竞争</w:t>
      </w:r>
      <w:r>
        <w:t>性磋商的组成部分。</w:t>
      </w:r>
    </w:p>
    <w:p>
      <w:pPr>
        <w:pStyle w:val="8"/>
        <w:spacing w:before="8"/>
        <w:rPr>
          <w:sz w:val="20"/>
        </w:rPr>
      </w:pPr>
    </w:p>
    <w:p>
      <w:pPr>
        <w:pStyle w:val="7"/>
        <w:numPr>
          <w:ilvl w:val="1"/>
          <w:numId w:val="10"/>
        </w:numPr>
        <w:tabs>
          <w:tab w:val="left" w:pos="808"/>
        </w:tabs>
        <w:spacing w:before="0" w:after="0" w:line="240" w:lineRule="auto"/>
        <w:ind w:left="808" w:right="0" w:hanging="420"/>
        <w:jc w:val="left"/>
        <w:outlineLvl w:val="2"/>
      </w:pPr>
      <w:bookmarkStart w:id="45" w:name="2.2竞争性磋商文件的澄清"/>
      <w:bookmarkEnd w:id="45"/>
      <w:bookmarkStart w:id="46" w:name="_bookmark17"/>
      <w:bookmarkEnd w:id="46"/>
      <w:r>
        <w:t>竞争性磋商文件的澄清</w:t>
      </w:r>
    </w:p>
    <w:p>
      <w:pPr>
        <w:pStyle w:val="8"/>
        <w:rPr>
          <w:b/>
        </w:rPr>
      </w:pPr>
    </w:p>
    <w:p>
      <w:pPr>
        <w:pStyle w:val="16"/>
        <w:numPr>
          <w:ilvl w:val="2"/>
          <w:numId w:val="11"/>
        </w:numPr>
        <w:tabs>
          <w:tab w:val="left" w:pos="1533"/>
        </w:tabs>
        <w:spacing w:before="184" w:after="0" w:line="364" w:lineRule="auto"/>
        <w:ind w:left="388" w:right="624" w:firstLine="424"/>
        <w:jc w:val="left"/>
        <w:rPr>
          <w:sz w:val="24"/>
        </w:rPr>
      </w:pPr>
      <w:r>
        <w:rPr>
          <w:spacing w:val="-2"/>
          <w:sz w:val="24"/>
        </w:rPr>
        <w:t xml:space="preserve">磋商响应人应仔细阅读和检查竞争性磋商的全部内容。如发现缺页或附件不全， 应及时向招标人提出，以便补齐。如有疑问，应在投标截止时间 </w:t>
      </w:r>
      <w:r>
        <w:rPr>
          <w:sz w:val="24"/>
        </w:rPr>
        <w:t>5</w:t>
      </w:r>
      <w:r>
        <w:rPr>
          <w:spacing w:val="-8"/>
          <w:sz w:val="24"/>
        </w:rPr>
        <w:t xml:space="preserve"> 天前以书面形式提出澄清申请，要求招标人对竞争性磋商予以澄清。</w:t>
      </w:r>
    </w:p>
    <w:p>
      <w:pPr>
        <w:pStyle w:val="16"/>
        <w:numPr>
          <w:ilvl w:val="2"/>
          <w:numId w:val="11"/>
        </w:numPr>
        <w:tabs>
          <w:tab w:val="left" w:pos="1536"/>
        </w:tabs>
        <w:spacing w:before="0" w:after="0" w:line="364" w:lineRule="auto"/>
        <w:ind w:left="388" w:right="744" w:firstLine="424"/>
        <w:jc w:val="both"/>
        <w:rPr>
          <w:sz w:val="24"/>
        </w:rPr>
      </w:pPr>
      <w:r>
        <w:rPr>
          <w:spacing w:val="-3"/>
          <w:sz w:val="24"/>
        </w:rPr>
        <w:t xml:space="preserve">竞争性磋商的澄清将在投标截止时间 </w:t>
      </w:r>
      <w:r>
        <w:rPr>
          <w:sz w:val="24"/>
        </w:rPr>
        <w:t>5</w:t>
      </w:r>
      <w:r>
        <w:rPr>
          <w:spacing w:val="-5"/>
          <w:sz w:val="24"/>
        </w:rPr>
        <w:t xml:space="preserve"> 天前，以书面形式通知所有购买竞争性磋商的磋商响应人，但不指明澄清问题的来源。如果澄清通知发出的时间距投标截止时间</w:t>
      </w:r>
      <w:r>
        <w:rPr>
          <w:spacing w:val="-24"/>
          <w:sz w:val="24"/>
        </w:rPr>
        <w:t xml:space="preserve">不足 </w:t>
      </w:r>
      <w:r>
        <w:rPr>
          <w:sz w:val="24"/>
        </w:rPr>
        <w:t>5</w:t>
      </w:r>
      <w:r>
        <w:rPr>
          <w:spacing w:val="-8"/>
          <w:sz w:val="24"/>
        </w:rPr>
        <w:t xml:space="preserve"> 天，投标截止时间应相应延长。</w:t>
      </w:r>
    </w:p>
    <w:p>
      <w:pPr>
        <w:pStyle w:val="16"/>
        <w:numPr>
          <w:ilvl w:val="2"/>
          <w:numId w:val="11"/>
        </w:numPr>
        <w:tabs>
          <w:tab w:val="left" w:pos="1533"/>
        </w:tabs>
        <w:spacing w:before="0" w:after="0" w:line="362" w:lineRule="auto"/>
        <w:ind w:left="388" w:right="744" w:firstLine="424"/>
        <w:jc w:val="both"/>
        <w:rPr>
          <w:sz w:val="24"/>
        </w:rPr>
      </w:pPr>
      <w:r>
        <w:rPr>
          <w:spacing w:val="-1"/>
          <w:sz w:val="24"/>
        </w:rPr>
        <w:t xml:space="preserve">磋商响应人在收到澄清通知后，应在 </w:t>
      </w:r>
      <w:r>
        <w:rPr>
          <w:sz w:val="24"/>
        </w:rPr>
        <w:t>1</w:t>
      </w:r>
      <w:r>
        <w:rPr>
          <w:spacing w:val="-2"/>
          <w:sz w:val="24"/>
        </w:rPr>
        <w:t xml:space="preserve"> 天内以书面形式告知招标人，确认已收</w:t>
      </w:r>
      <w:r>
        <w:rPr>
          <w:sz w:val="24"/>
        </w:rPr>
        <w:t>到该澄清通知。</w:t>
      </w:r>
    </w:p>
    <w:p>
      <w:pPr>
        <w:pStyle w:val="8"/>
        <w:spacing w:before="7"/>
        <w:rPr>
          <w:sz w:val="20"/>
        </w:rPr>
      </w:pPr>
    </w:p>
    <w:p>
      <w:pPr>
        <w:pStyle w:val="7"/>
        <w:numPr>
          <w:ilvl w:val="1"/>
          <w:numId w:val="10"/>
        </w:numPr>
        <w:tabs>
          <w:tab w:val="left" w:pos="808"/>
        </w:tabs>
        <w:spacing w:before="0" w:after="0" w:line="240" w:lineRule="auto"/>
        <w:ind w:left="808" w:right="0" w:hanging="420"/>
        <w:jc w:val="left"/>
        <w:outlineLvl w:val="2"/>
      </w:pPr>
      <w:bookmarkStart w:id="47" w:name="2.3竞争性磋商文件的修改"/>
      <w:bookmarkEnd w:id="47"/>
      <w:bookmarkStart w:id="48" w:name="_bookmark18"/>
      <w:bookmarkEnd w:id="48"/>
      <w:r>
        <w:t>竞争性磋商文件的修改</w:t>
      </w:r>
    </w:p>
    <w:p>
      <w:pPr>
        <w:pStyle w:val="8"/>
        <w:rPr>
          <w:b/>
        </w:rPr>
      </w:pPr>
    </w:p>
    <w:p>
      <w:pPr>
        <w:pStyle w:val="8"/>
        <w:spacing w:before="184" w:line="364" w:lineRule="auto"/>
        <w:ind w:left="388" w:right="744" w:firstLine="424"/>
        <w:jc w:val="both"/>
      </w:pPr>
      <w:r>
        <w:t>2.3.1</w:t>
      </w:r>
      <w:r>
        <w:rPr>
          <w:spacing w:val="-14"/>
        </w:rPr>
        <w:t xml:space="preserve"> 在投标截止时间 </w:t>
      </w:r>
      <w:r>
        <w:t>5</w:t>
      </w:r>
      <w:r>
        <w:rPr>
          <w:spacing w:val="-14"/>
        </w:rPr>
        <w:t xml:space="preserve"> 天前，招标人可以书面形式修改竞争性磋商，并通知所有已购</w:t>
      </w:r>
      <w:r>
        <w:rPr>
          <w:spacing w:val="-2"/>
        </w:rPr>
        <w:t xml:space="preserve">买竞争性磋商的磋商响应人。如果修改竞争性磋商的时间距投标截止时间不足 </w:t>
      </w:r>
      <w:r>
        <w:t>5</w:t>
      </w:r>
      <w:r>
        <w:rPr>
          <w:spacing w:val="-9"/>
        </w:rPr>
        <w:t xml:space="preserve"> 天，相应延长投标截止时间。</w:t>
      </w:r>
    </w:p>
    <w:p>
      <w:pPr>
        <w:pStyle w:val="8"/>
        <w:spacing w:line="362" w:lineRule="auto"/>
        <w:ind w:left="388" w:right="744" w:firstLine="424"/>
        <w:jc w:val="both"/>
      </w:pPr>
      <w:r>
        <w:t>2.2.2</w:t>
      </w:r>
      <w:r>
        <w:rPr>
          <w:spacing w:val="-13"/>
        </w:rPr>
        <w:t xml:space="preserve"> 磋商响应人收到修改内容后，应在 </w:t>
      </w:r>
      <w:r>
        <w:t>1</w:t>
      </w:r>
      <w:r>
        <w:rPr>
          <w:spacing w:val="-11"/>
        </w:rPr>
        <w:t xml:space="preserve"> 天内以书面形式通知招标人，确认已收到该</w:t>
      </w:r>
      <w:r>
        <w:t>修改。</w:t>
      </w:r>
    </w:p>
    <w:p>
      <w:pPr>
        <w:pStyle w:val="8"/>
        <w:spacing w:before="7"/>
        <w:rPr>
          <w:sz w:val="20"/>
        </w:rPr>
      </w:pPr>
    </w:p>
    <w:p>
      <w:pPr>
        <w:pStyle w:val="7"/>
        <w:numPr>
          <w:ilvl w:val="0"/>
          <w:numId w:val="10"/>
        </w:numPr>
        <w:tabs>
          <w:tab w:val="left" w:pos="568"/>
        </w:tabs>
        <w:spacing w:before="0" w:after="0" w:line="240" w:lineRule="auto"/>
        <w:ind w:left="568" w:right="0" w:hanging="180"/>
        <w:jc w:val="left"/>
        <w:outlineLvl w:val="1"/>
      </w:pPr>
      <w:bookmarkStart w:id="49" w:name="3响应文件"/>
      <w:bookmarkEnd w:id="49"/>
      <w:bookmarkStart w:id="50" w:name="_bookmark19"/>
      <w:bookmarkEnd w:id="50"/>
      <w:r>
        <w:t>响应文件</w:t>
      </w:r>
    </w:p>
    <w:p>
      <w:pPr>
        <w:pStyle w:val="8"/>
        <w:rPr>
          <w:b/>
        </w:rPr>
      </w:pPr>
    </w:p>
    <w:p>
      <w:pPr>
        <w:pStyle w:val="16"/>
        <w:numPr>
          <w:ilvl w:val="1"/>
          <w:numId w:val="10"/>
        </w:numPr>
        <w:tabs>
          <w:tab w:val="left" w:pos="808"/>
        </w:tabs>
        <w:spacing w:before="184" w:after="0" w:line="240" w:lineRule="auto"/>
        <w:ind w:left="808" w:right="0" w:hanging="420"/>
        <w:jc w:val="left"/>
        <w:outlineLvl w:val="2"/>
        <w:rPr>
          <w:b/>
          <w:sz w:val="24"/>
        </w:rPr>
      </w:pPr>
      <w:bookmarkStart w:id="51" w:name="3.1响应文件的组成"/>
      <w:bookmarkEnd w:id="51"/>
      <w:bookmarkStart w:id="52" w:name="_bookmark20"/>
      <w:bookmarkEnd w:id="52"/>
      <w:r>
        <w:rPr>
          <w:b/>
          <w:sz w:val="24"/>
        </w:rPr>
        <w:t>响应文件的组成</w:t>
      </w:r>
    </w:p>
    <w:p>
      <w:pPr>
        <w:pStyle w:val="8"/>
        <w:rPr>
          <w:b/>
        </w:rPr>
      </w:pPr>
    </w:p>
    <w:p>
      <w:pPr>
        <w:pStyle w:val="16"/>
        <w:numPr>
          <w:ilvl w:val="2"/>
          <w:numId w:val="12"/>
        </w:numPr>
        <w:tabs>
          <w:tab w:val="left" w:pos="1473"/>
        </w:tabs>
        <w:spacing w:before="185" w:after="0" w:line="240" w:lineRule="auto"/>
        <w:ind w:left="1472" w:right="0" w:hanging="661"/>
        <w:jc w:val="left"/>
        <w:rPr>
          <w:sz w:val="24"/>
        </w:rPr>
      </w:pPr>
      <w:r>
        <w:rPr>
          <w:sz w:val="24"/>
        </w:rPr>
        <w:t>响应文件应包括以下内容：</w:t>
      </w:r>
    </w:p>
    <w:p>
      <w:pPr>
        <w:pStyle w:val="16"/>
        <w:numPr>
          <w:ilvl w:val="0"/>
          <w:numId w:val="13"/>
        </w:numPr>
        <w:tabs>
          <w:tab w:val="left" w:pos="1414"/>
        </w:tabs>
        <w:spacing w:before="158" w:after="0" w:line="240" w:lineRule="auto"/>
        <w:ind w:left="1413" w:right="0" w:hanging="602"/>
        <w:jc w:val="left"/>
        <w:rPr>
          <w:sz w:val="24"/>
        </w:rPr>
      </w:pPr>
      <w:r>
        <w:rPr>
          <w:sz w:val="24"/>
        </w:rPr>
        <w:t>响应函及响应函附录；</w:t>
      </w:r>
    </w:p>
    <w:p>
      <w:pPr>
        <w:pStyle w:val="16"/>
        <w:numPr>
          <w:ilvl w:val="0"/>
          <w:numId w:val="13"/>
        </w:numPr>
        <w:tabs>
          <w:tab w:val="left" w:pos="1414"/>
        </w:tabs>
        <w:spacing w:before="160" w:after="0" w:line="240" w:lineRule="auto"/>
        <w:ind w:left="1413" w:right="0" w:hanging="602"/>
        <w:jc w:val="left"/>
        <w:rPr>
          <w:sz w:val="24"/>
        </w:rPr>
      </w:pPr>
      <w:r>
        <w:rPr>
          <w:sz w:val="24"/>
        </w:rPr>
        <w:t>首次报价表格式；</w:t>
      </w:r>
    </w:p>
    <w:p>
      <w:pPr>
        <w:spacing w:after="0" w:line="240"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49" o:spid="_x0000_s1049" o:spt="20" style="position:absolute;left:0pt;margin-left:62.4pt;margin-top:12.25pt;height:0pt;width:400.4pt;mso-position-horizontal-relative:page;z-index:25170022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0"/>
          <w:numId w:val="13"/>
        </w:numPr>
        <w:tabs>
          <w:tab w:val="left" w:pos="1414"/>
        </w:tabs>
        <w:spacing w:before="67" w:after="0" w:line="240" w:lineRule="auto"/>
        <w:ind w:left="1413" w:right="0" w:hanging="602"/>
        <w:jc w:val="left"/>
        <w:rPr>
          <w:sz w:val="24"/>
        </w:rPr>
      </w:pPr>
      <w:r>
        <w:rPr>
          <w:sz w:val="24"/>
        </w:rPr>
        <w:t>法定代表人证明书；</w:t>
      </w:r>
    </w:p>
    <w:p>
      <w:pPr>
        <w:pStyle w:val="16"/>
        <w:numPr>
          <w:ilvl w:val="0"/>
          <w:numId w:val="13"/>
        </w:numPr>
        <w:tabs>
          <w:tab w:val="left" w:pos="1414"/>
        </w:tabs>
        <w:spacing w:before="158" w:after="0" w:line="240" w:lineRule="auto"/>
        <w:ind w:left="1413" w:right="0" w:hanging="602"/>
        <w:jc w:val="left"/>
        <w:rPr>
          <w:sz w:val="24"/>
        </w:rPr>
      </w:pPr>
      <w:r>
        <w:rPr>
          <w:sz w:val="24"/>
        </w:rPr>
        <w:t>法定代表人授权书；</w:t>
      </w:r>
    </w:p>
    <w:p>
      <w:pPr>
        <w:pStyle w:val="16"/>
        <w:numPr>
          <w:ilvl w:val="0"/>
          <w:numId w:val="13"/>
        </w:numPr>
        <w:tabs>
          <w:tab w:val="left" w:pos="1414"/>
        </w:tabs>
        <w:spacing w:before="160" w:after="0" w:line="240" w:lineRule="auto"/>
        <w:ind w:left="1413" w:right="0" w:hanging="602"/>
        <w:jc w:val="left"/>
        <w:rPr>
          <w:sz w:val="24"/>
        </w:rPr>
      </w:pPr>
      <w:r>
        <w:rPr>
          <w:sz w:val="24"/>
        </w:rPr>
        <w:t>磋商响应人诚信承诺书；</w:t>
      </w:r>
    </w:p>
    <w:p>
      <w:pPr>
        <w:pStyle w:val="16"/>
        <w:numPr>
          <w:ilvl w:val="0"/>
          <w:numId w:val="13"/>
        </w:numPr>
        <w:tabs>
          <w:tab w:val="left" w:pos="1414"/>
        </w:tabs>
        <w:spacing w:before="158" w:after="0" w:line="240" w:lineRule="auto"/>
        <w:ind w:left="1413" w:right="0" w:hanging="602"/>
        <w:jc w:val="left"/>
        <w:rPr>
          <w:sz w:val="24"/>
        </w:rPr>
      </w:pPr>
      <w:r>
        <w:rPr>
          <w:sz w:val="24"/>
        </w:rPr>
        <w:t>磋商磋商响应人承诺函；</w:t>
      </w:r>
    </w:p>
    <w:p>
      <w:pPr>
        <w:pStyle w:val="16"/>
        <w:numPr>
          <w:ilvl w:val="0"/>
          <w:numId w:val="13"/>
        </w:numPr>
        <w:tabs>
          <w:tab w:val="left" w:pos="1414"/>
        </w:tabs>
        <w:spacing w:before="161" w:after="0" w:line="240" w:lineRule="auto"/>
        <w:ind w:left="1413" w:right="0" w:hanging="602"/>
        <w:jc w:val="left"/>
        <w:rPr>
          <w:sz w:val="24"/>
        </w:rPr>
      </w:pPr>
      <w:r>
        <w:rPr>
          <w:sz w:val="24"/>
        </w:rPr>
        <w:t>未被列入“失信被执行人”的证明；</w:t>
      </w:r>
    </w:p>
    <w:p>
      <w:pPr>
        <w:pStyle w:val="16"/>
        <w:numPr>
          <w:ilvl w:val="0"/>
          <w:numId w:val="13"/>
        </w:numPr>
        <w:tabs>
          <w:tab w:val="left" w:pos="1414"/>
        </w:tabs>
        <w:spacing w:before="158" w:after="0" w:line="240" w:lineRule="auto"/>
        <w:ind w:left="1413" w:right="0" w:hanging="602"/>
        <w:jc w:val="left"/>
        <w:rPr>
          <w:sz w:val="24"/>
        </w:rPr>
      </w:pPr>
      <w:r>
        <w:rPr>
          <w:sz w:val="24"/>
        </w:rPr>
        <w:t>已标价工程量清单；</w:t>
      </w:r>
    </w:p>
    <w:p>
      <w:pPr>
        <w:pStyle w:val="16"/>
        <w:numPr>
          <w:ilvl w:val="0"/>
          <w:numId w:val="13"/>
        </w:numPr>
        <w:tabs>
          <w:tab w:val="left" w:pos="1414"/>
        </w:tabs>
        <w:spacing w:before="161" w:after="0" w:line="240" w:lineRule="auto"/>
        <w:ind w:left="1413" w:right="0" w:hanging="602"/>
        <w:jc w:val="left"/>
        <w:rPr>
          <w:sz w:val="24"/>
        </w:rPr>
      </w:pPr>
      <w:r>
        <w:rPr>
          <w:sz w:val="24"/>
        </w:rPr>
        <w:t>施工组织设计；</w:t>
      </w:r>
    </w:p>
    <w:p>
      <w:pPr>
        <w:pStyle w:val="16"/>
        <w:numPr>
          <w:ilvl w:val="0"/>
          <w:numId w:val="13"/>
        </w:numPr>
        <w:tabs>
          <w:tab w:val="left" w:pos="1534"/>
        </w:tabs>
        <w:spacing w:before="160" w:after="0" w:line="240" w:lineRule="auto"/>
        <w:ind w:left="1533" w:right="0" w:hanging="722"/>
        <w:jc w:val="left"/>
        <w:rPr>
          <w:sz w:val="24"/>
        </w:rPr>
      </w:pPr>
      <w:r>
        <w:rPr>
          <w:sz w:val="24"/>
        </w:rPr>
        <w:t>项目管理机构；</w:t>
      </w:r>
    </w:p>
    <w:p>
      <w:pPr>
        <w:pStyle w:val="16"/>
        <w:numPr>
          <w:ilvl w:val="0"/>
          <w:numId w:val="13"/>
        </w:numPr>
        <w:tabs>
          <w:tab w:val="left" w:pos="1534"/>
        </w:tabs>
        <w:spacing w:before="158" w:after="0" w:line="240" w:lineRule="auto"/>
        <w:ind w:left="1533" w:right="0" w:hanging="722"/>
        <w:jc w:val="left"/>
        <w:rPr>
          <w:sz w:val="24"/>
        </w:rPr>
      </w:pPr>
      <w:r>
        <w:rPr>
          <w:sz w:val="24"/>
        </w:rPr>
        <w:t>拟分包计划（本项目不适用）；</w:t>
      </w:r>
    </w:p>
    <w:p>
      <w:pPr>
        <w:pStyle w:val="16"/>
        <w:numPr>
          <w:ilvl w:val="0"/>
          <w:numId w:val="13"/>
        </w:numPr>
        <w:tabs>
          <w:tab w:val="left" w:pos="1534"/>
        </w:tabs>
        <w:spacing w:before="158" w:after="0" w:line="240" w:lineRule="auto"/>
        <w:ind w:left="1533" w:right="0" w:hanging="722"/>
        <w:jc w:val="left"/>
        <w:rPr>
          <w:sz w:val="24"/>
        </w:rPr>
      </w:pPr>
      <w:r>
        <w:rPr>
          <w:sz w:val="24"/>
        </w:rPr>
        <w:t>资料审查；</w:t>
      </w:r>
    </w:p>
    <w:p>
      <w:pPr>
        <w:pStyle w:val="16"/>
        <w:numPr>
          <w:ilvl w:val="0"/>
          <w:numId w:val="13"/>
        </w:numPr>
        <w:tabs>
          <w:tab w:val="left" w:pos="1534"/>
        </w:tabs>
        <w:spacing w:before="161" w:after="0" w:line="240" w:lineRule="auto"/>
        <w:ind w:left="1533" w:right="0" w:hanging="722"/>
        <w:jc w:val="left"/>
        <w:rPr>
          <w:sz w:val="24"/>
        </w:rPr>
      </w:pPr>
      <w:r>
        <w:rPr>
          <w:sz w:val="24"/>
        </w:rPr>
        <w:t>磋商最终报价表；</w:t>
      </w:r>
    </w:p>
    <w:p>
      <w:pPr>
        <w:pStyle w:val="16"/>
        <w:numPr>
          <w:ilvl w:val="0"/>
          <w:numId w:val="13"/>
        </w:numPr>
        <w:tabs>
          <w:tab w:val="left" w:pos="1534"/>
        </w:tabs>
        <w:spacing w:before="160" w:after="0" w:line="240" w:lineRule="auto"/>
        <w:ind w:left="1533" w:right="0" w:hanging="722"/>
        <w:jc w:val="left"/>
        <w:rPr>
          <w:sz w:val="24"/>
        </w:rPr>
      </w:pPr>
      <w:r>
        <w:rPr>
          <w:sz w:val="24"/>
        </w:rPr>
        <w:t>其他材料；</w:t>
      </w:r>
    </w:p>
    <w:p>
      <w:pPr>
        <w:pStyle w:val="16"/>
        <w:numPr>
          <w:ilvl w:val="2"/>
          <w:numId w:val="12"/>
        </w:numPr>
        <w:tabs>
          <w:tab w:val="left" w:pos="1473"/>
        </w:tabs>
        <w:spacing w:before="158" w:after="0" w:line="364" w:lineRule="auto"/>
        <w:ind w:left="388" w:right="744" w:firstLine="424"/>
        <w:jc w:val="left"/>
        <w:rPr>
          <w:sz w:val="24"/>
        </w:rPr>
      </w:pPr>
      <w:r>
        <w:rPr>
          <w:spacing w:val="-5"/>
          <w:sz w:val="24"/>
        </w:rPr>
        <w:t>磋商响应人须知前附表规定不接受联合体磋商响应人，或磋商响应人没有组成联</w:t>
      </w:r>
      <w:r>
        <w:rPr>
          <w:sz w:val="24"/>
        </w:rPr>
        <w:t>合体的，投标文件不包括联合体协议书。</w:t>
      </w:r>
    </w:p>
    <w:p>
      <w:pPr>
        <w:pStyle w:val="8"/>
        <w:spacing w:before="4"/>
        <w:rPr>
          <w:sz w:val="20"/>
        </w:rPr>
      </w:pPr>
    </w:p>
    <w:p>
      <w:pPr>
        <w:pStyle w:val="7"/>
        <w:numPr>
          <w:ilvl w:val="1"/>
          <w:numId w:val="10"/>
        </w:numPr>
        <w:tabs>
          <w:tab w:val="left" w:pos="808"/>
        </w:tabs>
        <w:spacing w:before="1" w:after="0" w:line="240" w:lineRule="auto"/>
        <w:ind w:left="808" w:right="0" w:hanging="420"/>
        <w:jc w:val="left"/>
        <w:outlineLvl w:val="2"/>
      </w:pPr>
      <w:bookmarkStart w:id="53" w:name="3.2投标报价"/>
      <w:bookmarkEnd w:id="53"/>
      <w:bookmarkStart w:id="54" w:name="_bookmark21"/>
      <w:bookmarkEnd w:id="54"/>
      <w:r>
        <w:t>投标报价</w:t>
      </w:r>
    </w:p>
    <w:p>
      <w:pPr>
        <w:pStyle w:val="8"/>
        <w:rPr>
          <w:b/>
        </w:rPr>
      </w:pPr>
    </w:p>
    <w:p>
      <w:pPr>
        <w:pStyle w:val="16"/>
        <w:numPr>
          <w:ilvl w:val="2"/>
          <w:numId w:val="14"/>
        </w:numPr>
        <w:tabs>
          <w:tab w:val="left" w:pos="1473"/>
        </w:tabs>
        <w:spacing w:before="184" w:after="0" w:line="240" w:lineRule="auto"/>
        <w:ind w:left="1472" w:right="0" w:hanging="661"/>
        <w:jc w:val="left"/>
        <w:rPr>
          <w:sz w:val="24"/>
        </w:rPr>
      </w:pPr>
      <w:r>
        <w:rPr>
          <w:sz w:val="24"/>
        </w:rPr>
        <w:t>磋商响应人应按第五章“工程量清单”的要求填写相应表格。</w:t>
      </w:r>
    </w:p>
    <w:p>
      <w:pPr>
        <w:pStyle w:val="16"/>
        <w:numPr>
          <w:ilvl w:val="2"/>
          <w:numId w:val="14"/>
        </w:numPr>
        <w:tabs>
          <w:tab w:val="left" w:pos="1476"/>
        </w:tabs>
        <w:spacing w:before="158" w:after="0" w:line="364" w:lineRule="auto"/>
        <w:ind w:left="388" w:right="746" w:firstLine="424"/>
        <w:jc w:val="left"/>
        <w:rPr>
          <w:sz w:val="24"/>
        </w:rPr>
      </w:pPr>
      <w:r>
        <w:rPr>
          <w:spacing w:val="2"/>
          <w:sz w:val="24"/>
        </w:rPr>
        <w:t>磋商响应人在投标截止时间前修改响应函中的投标总报价，应同时修改第五章</w:t>
      </w:r>
      <w:r>
        <w:rPr>
          <w:spacing w:val="-1"/>
          <w:sz w:val="24"/>
        </w:rPr>
        <w:t xml:space="preserve">“工程量清单”中的相应报价。此修改须符合本章第 </w:t>
      </w:r>
      <w:r>
        <w:rPr>
          <w:sz w:val="24"/>
        </w:rPr>
        <w:t>4.3</w:t>
      </w:r>
      <w:r>
        <w:rPr>
          <w:spacing w:val="-8"/>
          <w:sz w:val="24"/>
        </w:rPr>
        <w:t xml:space="preserve"> 款的有关要求。</w:t>
      </w:r>
    </w:p>
    <w:p>
      <w:pPr>
        <w:pStyle w:val="8"/>
        <w:spacing w:before="4"/>
        <w:rPr>
          <w:sz w:val="20"/>
        </w:rPr>
      </w:pPr>
    </w:p>
    <w:p>
      <w:pPr>
        <w:pStyle w:val="7"/>
        <w:numPr>
          <w:ilvl w:val="1"/>
          <w:numId w:val="10"/>
        </w:numPr>
        <w:tabs>
          <w:tab w:val="left" w:pos="808"/>
        </w:tabs>
        <w:spacing w:before="0" w:after="0" w:line="240" w:lineRule="auto"/>
        <w:ind w:left="808" w:right="0" w:hanging="420"/>
        <w:jc w:val="left"/>
        <w:outlineLvl w:val="2"/>
      </w:pPr>
      <w:bookmarkStart w:id="55" w:name="_bookmark22"/>
      <w:bookmarkEnd w:id="55"/>
      <w:bookmarkStart w:id="56" w:name="3.3投标有效期"/>
      <w:bookmarkEnd w:id="56"/>
      <w:r>
        <w:t>投标有效期</w:t>
      </w:r>
    </w:p>
    <w:p>
      <w:pPr>
        <w:pStyle w:val="8"/>
        <w:rPr>
          <w:b/>
        </w:rPr>
      </w:pPr>
    </w:p>
    <w:p>
      <w:pPr>
        <w:pStyle w:val="16"/>
        <w:numPr>
          <w:ilvl w:val="2"/>
          <w:numId w:val="15"/>
        </w:numPr>
        <w:tabs>
          <w:tab w:val="left" w:pos="1473"/>
        </w:tabs>
        <w:spacing w:before="184" w:after="0" w:line="362" w:lineRule="auto"/>
        <w:ind w:left="388" w:right="744" w:firstLine="424"/>
        <w:jc w:val="both"/>
        <w:rPr>
          <w:sz w:val="24"/>
        </w:rPr>
      </w:pPr>
      <w:r>
        <w:rPr>
          <w:spacing w:val="-5"/>
          <w:sz w:val="24"/>
        </w:rPr>
        <w:t>在磋商响应人须知前附表规定的投标有效期内，磋商响应人不得要求撤销或修改</w:t>
      </w:r>
      <w:r>
        <w:rPr>
          <w:sz w:val="24"/>
        </w:rPr>
        <w:t>其投标文件。</w:t>
      </w:r>
    </w:p>
    <w:p>
      <w:pPr>
        <w:pStyle w:val="16"/>
        <w:numPr>
          <w:ilvl w:val="2"/>
          <w:numId w:val="15"/>
        </w:numPr>
        <w:tabs>
          <w:tab w:val="left" w:pos="1473"/>
        </w:tabs>
        <w:spacing w:before="5" w:after="0" w:line="364" w:lineRule="auto"/>
        <w:ind w:left="388" w:right="744" w:firstLine="424"/>
        <w:jc w:val="both"/>
        <w:rPr>
          <w:sz w:val="24"/>
        </w:rPr>
      </w:pPr>
      <w:r>
        <w:rPr>
          <w:spacing w:val="-6"/>
          <w:sz w:val="24"/>
        </w:rPr>
        <w:t>出现特殊情况需要延长投标有效期的，招标人以书面形式通知所有磋商响应人延</w:t>
      </w:r>
      <w:r>
        <w:rPr>
          <w:sz w:val="24"/>
        </w:rPr>
        <w:t>长投标有效期。磋商响应人同意延长的，应相应延长投标保证金的有效期，但不得要求或被允许修改或撤销其投标文件；磋商响应人拒绝延长的，其投标失效，但磋商响应人有权收回其投标保证金。</w:t>
      </w:r>
    </w:p>
    <w:p>
      <w:pPr>
        <w:spacing w:after="0" w:line="364" w:lineRule="auto"/>
        <w:jc w:val="both"/>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50" o:spid="_x0000_s1050" o:spt="20" style="position:absolute;left:0pt;margin-left:62.4pt;margin-top:12.25pt;height:0pt;width:400.4pt;mso-position-horizontal-relative:page;z-index:25170124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7"/>
        <w:numPr>
          <w:ilvl w:val="1"/>
          <w:numId w:val="10"/>
        </w:numPr>
        <w:tabs>
          <w:tab w:val="left" w:pos="808"/>
        </w:tabs>
        <w:spacing w:before="67" w:after="0" w:line="240" w:lineRule="auto"/>
        <w:ind w:left="808" w:right="0" w:hanging="420"/>
        <w:jc w:val="left"/>
        <w:outlineLvl w:val="2"/>
      </w:pPr>
      <w:bookmarkStart w:id="57" w:name="_bookmark23"/>
      <w:bookmarkEnd w:id="57"/>
      <w:bookmarkStart w:id="58" w:name="3.4磋商保证金"/>
      <w:bookmarkEnd w:id="58"/>
      <w:r>
        <w:t>磋商保证金</w:t>
      </w:r>
    </w:p>
    <w:p>
      <w:pPr>
        <w:pStyle w:val="8"/>
        <w:rPr>
          <w:b/>
        </w:rPr>
      </w:pPr>
    </w:p>
    <w:p>
      <w:pPr>
        <w:pStyle w:val="16"/>
        <w:numPr>
          <w:ilvl w:val="2"/>
          <w:numId w:val="16"/>
        </w:numPr>
        <w:tabs>
          <w:tab w:val="left" w:pos="1473"/>
        </w:tabs>
        <w:spacing w:before="184" w:after="0" w:line="364" w:lineRule="auto"/>
        <w:ind w:left="388" w:right="744" w:firstLine="424"/>
        <w:jc w:val="both"/>
        <w:rPr>
          <w:sz w:val="24"/>
        </w:rPr>
      </w:pPr>
      <w:r>
        <w:rPr>
          <w:spacing w:val="-5"/>
          <w:sz w:val="24"/>
        </w:rPr>
        <w:t>磋商响应人在递交响应文件的同时，应按磋商响应人须知前附表规定金额、担保</w:t>
      </w:r>
      <w:r>
        <w:rPr>
          <w:sz w:val="24"/>
        </w:rPr>
        <w:t>形式和第八章“投标文件格式”规定的投标保证金格式递交投标保证金，并作为其投标文件的组成部分。联合体投标的，其投标保证金由牵头人递交，并应符合磋商响应人须知前附表的规定。投标保证金必须从企业基本账户中支付，投标文件中附企业开户信息。</w:t>
      </w:r>
    </w:p>
    <w:p>
      <w:pPr>
        <w:pStyle w:val="16"/>
        <w:numPr>
          <w:ilvl w:val="2"/>
          <w:numId w:val="16"/>
        </w:numPr>
        <w:tabs>
          <w:tab w:val="left" w:pos="1449"/>
        </w:tabs>
        <w:spacing w:before="0" w:after="0" w:line="305" w:lineRule="exact"/>
        <w:ind w:left="1448" w:right="0" w:hanging="637"/>
        <w:jc w:val="both"/>
        <w:rPr>
          <w:sz w:val="24"/>
        </w:rPr>
      </w:pPr>
      <w:r>
        <w:rPr>
          <w:spacing w:val="3"/>
          <w:sz w:val="24"/>
        </w:rPr>
        <w:t>磋商响应人不按本章第</w:t>
      </w:r>
      <w:r>
        <w:rPr>
          <w:sz w:val="24"/>
        </w:rPr>
        <w:t>3.4.1</w:t>
      </w:r>
      <w:r>
        <w:rPr>
          <w:spacing w:val="-16"/>
          <w:sz w:val="24"/>
        </w:rPr>
        <w:t xml:space="preserve"> 项要求提交投标保证金的，其投标文件做废标处理。</w:t>
      </w:r>
    </w:p>
    <w:p>
      <w:pPr>
        <w:pStyle w:val="16"/>
        <w:numPr>
          <w:ilvl w:val="2"/>
          <w:numId w:val="16"/>
        </w:numPr>
        <w:tabs>
          <w:tab w:val="left" w:pos="1473"/>
        </w:tabs>
        <w:spacing w:before="158" w:after="0" w:line="364" w:lineRule="auto"/>
        <w:ind w:left="388" w:right="744" w:firstLine="424"/>
        <w:jc w:val="both"/>
        <w:rPr>
          <w:sz w:val="24"/>
        </w:rPr>
      </w:pPr>
      <w:r>
        <w:rPr>
          <w:spacing w:val="-3"/>
          <w:sz w:val="24"/>
        </w:rPr>
        <w:t xml:space="preserve">未中标磋商响应人的投标保证金自中标通知书发出之日起 </w:t>
      </w:r>
      <w:r>
        <w:rPr>
          <w:sz w:val="24"/>
        </w:rPr>
        <w:t>5</w:t>
      </w:r>
      <w:r>
        <w:rPr>
          <w:spacing w:val="-17"/>
          <w:sz w:val="24"/>
        </w:rPr>
        <w:t xml:space="preserve"> 个工作日内退还</w:t>
      </w:r>
      <w:r>
        <w:rPr>
          <w:sz w:val="24"/>
        </w:rPr>
        <w:t>（</w:t>
      </w:r>
      <w:r>
        <w:rPr>
          <w:spacing w:val="-17"/>
          <w:sz w:val="24"/>
        </w:rPr>
        <w:t>不</w:t>
      </w:r>
      <w:r>
        <w:rPr>
          <w:sz w:val="24"/>
        </w:rPr>
        <w:t>退现金）；</w:t>
      </w:r>
      <w:r>
        <w:rPr>
          <w:spacing w:val="-3"/>
          <w:sz w:val="24"/>
        </w:rPr>
        <w:t xml:space="preserve">中标单位的投标保证金，自合同签订之日起 </w:t>
      </w:r>
      <w:r>
        <w:rPr>
          <w:sz w:val="24"/>
        </w:rPr>
        <w:t>5</w:t>
      </w:r>
      <w:r>
        <w:rPr>
          <w:spacing w:val="-8"/>
          <w:sz w:val="24"/>
        </w:rPr>
        <w:t xml:space="preserve"> 个工作日内退还</w:t>
      </w:r>
      <w:r>
        <w:rPr>
          <w:sz w:val="24"/>
        </w:rPr>
        <w:t>（不退现金）。</w:t>
      </w:r>
    </w:p>
    <w:p>
      <w:pPr>
        <w:pStyle w:val="16"/>
        <w:numPr>
          <w:ilvl w:val="2"/>
          <w:numId w:val="16"/>
        </w:numPr>
        <w:tabs>
          <w:tab w:val="left" w:pos="1473"/>
        </w:tabs>
        <w:spacing w:before="1" w:after="0" w:line="240" w:lineRule="auto"/>
        <w:ind w:left="1472" w:right="0" w:hanging="661"/>
        <w:jc w:val="both"/>
        <w:rPr>
          <w:sz w:val="24"/>
        </w:rPr>
      </w:pPr>
      <w:r>
        <w:rPr>
          <w:sz w:val="24"/>
        </w:rPr>
        <w:t>有下列情形之一的，投标保证金将不予退还：</w:t>
      </w:r>
    </w:p>
    <w:p>
      <w:pPr>
        <w:pStyle w:val="16"/>
        <w:numPr>
          <w:ilvl w:val="0"/>
          <w:numId w:val="17"/>
        </w:numPr>
        <w:tabs>
          <w:tab w:val="left" w:pos="1414"/>
        </w:tabs>
        <w:spacing w:before="158" w:after="0" w:line="240" w:lineRule="auto"/>
        <w:ind w:left="1413" w:right="0" w:hanging="602"/>
        <w:jc w:val="left"/>
        <w:rPr>
          <w:sz w:val="24"/>
        </w:rPr>
      </w:pPr>
      <w:r>
        <w:rPr>
          <w:sz w:val="24"/>
        </w:rPr>
        <w:t>磋商响应人在规定的投标有效期内撤销或修改其投标文件；</w:t>
      </w:r>
    </w:p>
    <w:p>
      <w:pPr>
        <w:pStyle w:val="16"/>
        <w:numPr>
          <w:ilvl w:val="0"/>
          <w:numId w:val="17"/>
        </w:numPr>
        <w:tabs>
          <w:tab w:val="left" w:pos="1414"/>
        </w:tabs>
        <w:spacing w:before="161" w:after="0" w:line="362" w:lineRule="auto"/>
        <w:ind w:left="388" w:right="744" w:firstLine="424"/>
        <w:jc w:val="left"/>
        <w:rPr>
          <w:sz w:val="24"/>
        </w:rPr>
      </w:pPr>
      <w:r>
        <w:rPr>
          <w:spacing w:val="-2"/>
          <w:sz w:val="24"/>
        </w:rPr>
        <w:t>中标人在收到中标通知书后，无正当理由拒签合同协议书或未按竞争性磋商规定</w:t>
      </w:r>
      <w:r>
        <w:rPr>
          <w:sz w:val="24"/>
        </w:rPr>
        <w:t>提交履约担保。</w:t>
      </w:r>
    </w:p>
    <w:p>
      <w:pPr>
        <w:pStyle w:val="8"/>
        <w:spacing w:before="8"/>
        <w:rPr>
          <w:sz w:val="20"/>
        </w:rPr>
      </w:pPr>
    </w:p>
    <w:p>
      <w:pPr>
        <w:pStyle w:val="7"/>
        <w:numPr>
          <w:ilvl w:val="1"/>
          <w:numId w:val="10"/>
        </w:numPr>
        <w:tabs>
          <w:tab w:val="left" w:pos="808"/>
        </w:tabs>
        <w:spacing w:before="0" w:after="0" w:line="240" w:lineRule="auto"/>
        <w:ind w:left="808" w:right="0" w:hanging="420"/>
        <w:jc w:val="left"/>
        <w:outlineLvl w:val="2"/>
      </w:pPr>
      <w:bookmarkStart w:id="59" w:name="3.5资料审查"/>
      <w:bookmarkEnd w:id="59"/>
      <w:bookmarkStart w:id="60" w:name="_bookmark24"/>
      <w:bookmarkEnd w:id="60"/>
      <w:r>
        <w:t>资料审查</w:t>
      </w:r>
    </w:p>
    <w:p>
      <w:pPr>
        <w:pStyle w:val="8"/>
        <w:rPr>
          <w:b/>
        </w:rPr>
      </w:pPr>
    </w:p>
    <w:p>
      <w:pPr>
        <w:pStyle w:val="16"/>
        <w:numPr>
          <w:ilvl w:val="2"/>
          <w:numId w:val="18"/>
        </w:numPr>
        <w:tabs>
          <w:tab w:val="left" w:pos="1414"/>
        </w:tabs>
        <w:spacing w:before="184" w:after="0" w:line="364" w:lineRule="auto"/>
        <w:ind w:left="388" w:right="744" w:firstLine="424"/>
        <w:jc w:val="left"/>
        <w:rPr>
          <w:sz w:val="24"/>
        </w:rPr>
      </w:pPr>
      <w:r>
        <w:rPr>
          <w:spacing w:val="-2"/>
          <w:sz w:val="24"/>
        </w:rPr>
        <w:t>“磋商响应人基本情况表”应附磋商响应人营业执照副本及其年检合格的证明材</w:t>
      </w:r>
      <w:r>
        <w:rPr>
          <w:sz w:val="24"/>
        </w:rPr>
        <w:t>料、资质证书副本和安全生产许可证等材料的复印件。</w:t>
      </w:r>
    </w:p>
    <w:p>
      <w:pPr>
        <w:pStyle w:val="16"/>
        <w:numPr>
          <w:ilvl w:val="2"/>
          <w:numId w:val="18"/>
        </w:numPr>
        <w:tabs>
          <w:tab w:val="left" w:pos="1414"/>
        </w:tabs>
        <w:spacing w:before="0" w:after="0" w:line="364" w:lineRule="auto"/>
        <w:ind w:left="388" w:right="744" w:firstLine="424"/>
        <w:jc w:val="both"/>
        <w:rPr>
          <w:sz w:val="24"/>
        </w:rPr>
      </w:pPr>
      <w:r>
        <w:rPr>
          <w:spacing w:val="-3"/>
          <w:sz w:val="24"/>
        </w:rPr>
        <w:t>“近三年财务状况表”应附经会计师事务所或审计机构审计的财务会计报表，包</w:t>
      </w:r>
      <w:r>
        <w:rPr>
          <w:sz w:val="24"/>
        </w:rPr>
        <w:t>括资产负债表、现金流量表、利润表和财务情况说明书的复印件，具体年份要求见磋商响应人须知前附表。</w:t>
      </w:r>
    </w:p>
    <w:p>
      <w:pPr>
        <w:pStyle w:val="16"/>
        <w:numPr>
          <w:ilvl w:val="2"/>
          <w:numId w:val="18"/>
        </w:numPr>
        <w:tabs>
          <w:tab w:val="left" w:pos="1414"/>
        </w:tabs>
        <w:spacing w:before="0" w:after="0" w:line="362" w:lineRule="auto"/>
        <w:ind w:left="388" w:right="744" w:firstLine="424"/>
        <w:jc w:val="left"/>
        <w:rPr>
          <w:sz w:val="24"/>
        </w:rPr>
      </w:pPr>
      <w:r>
        <w:rPr>
          <w:spacing w:val="-3"/>
          <w:sz w:val="24"/>
        </w:rPr>
        <w:t>“近年完成的类似项目情况表”应附合同协议书复印件，具体年份要求见磋商响</w:t>
      </w:r>
      <w:r>
        <w:rPr>
          <w:sz w:val="24"/>
        </w:rPr>
        <w:t>应人须知前附表。每张表格只填写一个项目，并表明序号。</w:t>
      </w:r>
    </w:p>
    <w:p>
      <w:pPr>
        <w:pStyle w:val="16"/>
        <w:numPr>
          <w:ilvl w:val="2"/>
          <w:numId w:val="18"/>
        </w:numPr>
        <w:tabs>
          <w:tab w:val="left" w:pos="1414"/>
        </w:tabs>
        <w:spacing w:before="3" w:after="0" w:line="362" w:lineRule="auto"/>
        <w:ind w:left="388" w:right="744" w:firstLine="424"/>
        <w:jc w:val="left"/>
        <w:rPr>
          <w:sz w:val="24"/>
        </w:rPr>
      </w:pPr>
      <w:r>
        <w:rPr>
          <w:spacing w:val="-3"/>
          <w:sz w:val="24"/>
        </w:rPr>
        <w:t>“正在施工和新承接的项目情况表”应附合同协议书复印件。每张表格只填写一</w:t>
      </w:r>
      <w:r>
        <w:rPr>
          <w:sz w:val="24"/>
        </w:rPr>
        <w:t>个项目，并表明序号。</w:t>
      </w:r>
    </w:p>
    <w:p>
      <w:pPr>
        <w:pStyle w:val="16"/>
        <w:numPr>
          <w:ilvl w:val="2"/>
          <w:numId w:val="18"/>
        </w:numPr>
        <w:tabs>
          <w:tab w:val="left" w:pos="1414"/>
        </w:tabs>
        <w:spacing w:before="5" w:after="0" w:line="364" w:lineRule="auto"/>
        <w:ind w:left="388" w:right="744" w:firstLine="424"/>
        <w:jc w:val="left"/>
        <w:rPr>
          <w:sz w:val="24"/>
        </w:rPr>
      </w:pPr>
      <w:r>
        <w:rPr>
          <w:spacing w:val="-3"/>
          <w:sz w:val="24"/>
        </w:rPr>
        <w:t>“近年发生的诉讼及仲裁情况”应说明相关情况，并附法院或仲裁机构做出的判</w:t>
      </w:r>
      <w:r>
        <w:rPr>
          <w:sz w:val="24"/>
        </w:rPr>
        <w:t>决、裁决等有关法律文书复印件，具体年份要求见磋商响应人须知前附表。</w:t>
      </w:r>
    </w:p>
    <w:p>
      <w:pPr>
        <w:pStyle w:val="16"/>
        <w:numPr>
          <w:ilvl w:val="2"/>
          <w:numId w:val="18"/>
        </w:numPr>
        <w:tabs>
          <w:tab w:val="left" w:pos="1473"/>
        </w:tabs>
        <w:spacing w:before="0" w:after="0" w:line="364" w:lineRule="auto"/>
        <w:ind w:left="388" w:right="744" w:firstLine="424"/>
        <w:jc w:val="left"/>
        <w:rPr>
          <w:sz w:val="24"/>
        </w:rPr>
      </w:pPr>
      <w:r>
        <w:rPr>
          <w:spacing w:val="-7"/>
          <w:sz w:val="24"/>
        </w:rPr>
        <w:t xml:space="preserve">磋商响应人须知前附表规定接受联合投标的，本章第 </w:t>
      </w:r>
      <w:r>
        <w:rPr>
          <w:sz w:val="24"/>
        </w:rPr>
        <w:t>3.5.1</w:t>
      </w:r>
      <w:r>
        <w:rPr>
          <w:spacing w:val="-30"/>
          <w:sz w:val="24"/>
        </w:rPr>
        <w:t xml:space="preserve"> 项至 </w:t>
      </w:r>
      <w:r>
        <w:rPr>
          <w:sz w:val="24"/>
        </w:rPr>
        <w:t>3.5.5</w:t>
      </w:r>
      <w:r>
        <w:rPr>
          <w:spacing w:val="-16"/>
          <w:sz w:val="24"/>
        </w:rPr>
        <w:t xml:space="preserve"> 项规定的</w:t>
      </w:r>
      <w:r>
        <w:rPr>
          <w:sz w:val="24"/>
        </w:rPr>
        <w:t>表格和资料应包括联合体各方相关情况。</w:t>
      </w:r>
    </w:p>
    <w:p>
      <w:pPr>
        <w:spacing w:after="0" w:line="364"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51" o:spid="_x0000_s1051" o:spt="20" style="position:absolute;left:0pt;margin-left:62.4pt;margin-top:12.25pt;height:0pt;width:400.4pt;mso-position-horizontal-relative:page;z-index:25170227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7"/>
        <w:numPr>
          <w:ilvl w:val="1"/>
          <w:numId w:val="10"/>
        </w:numPr>
        <w:tabs>
          <w:tab w:val="left" w:pos="808"/>
        </w:tabs>
        <w:spacing w:before="67" w:after="0" w:line="240" w:lineRule="auto"/>
        <w:ind w:left="808" w:right="0" w:hanging="420"/>
        <w:jc w:val="left"/>
        <w:outlineLvl w:val="2"/>
      </w:pPr>
      <w:bookmarkStart w:id="61" w:name="_bookmark25"/>
      <w:bookmarkEnd w:id="61"/>
      <w:bookmarkStart w:id="62" w:name="3.6备选投标方案"/>
      <w:bookmarkEnd w:id="62"/>
      <w:r>
        <w:t>备选投标方案</w:t>
      </w:r>
    </w:p>
    <w:p>
      <w:pPr>
        <w:pStyle w:val="8"/>
        <w:rPr>
          <w:b/>
        </w:rPr>
      </w:pPr>
    </w:p>
    <w:p>
      <w:pPr>
        <w:pStyle w:val="8"/>
        <w:spacing w:before="184" w:line="364" w:lineRule="auto"/>
        <w:ind w:left="388" w:right="744" w:firstLine="424"/>
        <w:jc w:val="both"/>
      </w:pPr>
      <w:r>
        <w:t>除磋商响应人须知前附表另有规定外，磋商响应人不得递交备选投标方案。允许磋商响应人递交备选投标方案的，只有中标人所递交的备选投标方案方可予以考虑。评标委员会认为中标人的备选投标方案优于其按照竞争性磋商要求编制的投标方案的，招标人可以接受该备选投标方案。</w:t>
      </w:r>
    </w:p>
    <w:p>
      <w:pPr>
        <w:pStyle w:val="8"/>
        <w:spacing w:before="3"/>
        <w:rPr>
          <w:sz w:val="20"/>
        </w:rPr>
      </w:pPr>
    </w:p>
    <w:p>
      <w:pPr>
        <w:pStyle w:val="7"/>
        <w:numPr>
          <w:ilvl w:val="1"/>
          <w:numId w:val="10"/>
        </w:numPr>
        <w:tabs>
          <w:tab w:val="left" w:pos="808"/>
        </w:tabs>
        <w:spacing w:before="0" w:after="0" w:line="240" w:lineRule="auto"/>
        <w:ind w:left="808" w:right="0" w:hanging="420"/>
        <w:jc w:val="left"/>
        <w:outlineLvl w:val="2"/>
      </w:pPr>
      <w:bookmarkStart w:id="63" w:name="3.7响应文件的编制"/>
      <w:bookmarkEnd w:id="63"/>
      <w:bookmarkStart w:id="64" w:name="_bookmark26"/>
      <w:bookmarkEnd w:id="64"/>
      <w:r>
        <w:t>响应文件的编制</w:t>
      </w:r>
    </w:p>
    <w:p>
      <w:pPr>
        <w:pStyle w:val="8"/>
        <w:rPr>
          <w:b/>
        </w:rPr>
      </w:pPr>
    </w:p>
    <w:p>
      <w:pPr>
        <w:pStyle w:val="16"/>
        <w:numPr>
          <w:ilvl w:val="2"/>
          <w:numId w:val="19"/>
        </w:numPr>
        <w:tabs>
          <w:tab w:val="left" w:pos="1473"/>
        </w:tabs>
        <w:spacing w:before="0" w:after="0" w:line="362" w:lineRule="auto"/>
        <w:ind w:left="388" w:right="744" w:firstLine="424"/>
        <w:jc w:val="left"/>
        <w:rPr>
          <w:sz w:val="24"/>
        </w:rPr>
      </w:pPr>
      <w:r>
        <w:rPr>
          <w:rFonts w:hint="eastAsia"/>
          <w:sz w:val="24"/>
          <w:lang w:val="en-US" w:eastAsia="zh-CN"/>
        </w:rPr>
        <w:t xml:space="preserve"> 电子投标文件编制要求按政采云平台操作要求上传。 </w:t>
      </w:r>
    </w:p>
    <w:p>
      <w:pPr>
        <w:pStyle w:val="16"/>
        <w:numPr>
          <w:ilvl w:val="2"/>
          <w:numId w:val="19"/>
        </w:numPr>
        <w:tabs>
          <w:tab w:val="left" w:pos="1473"/>
        </w:tabs>
        <w:spacing w:before="0" w:after="0" w:line="362" w:lineRule="auto"/>
        <w:ind w:left="388" w:right="744" w:firstLine="424"/>
        <w:jc w:val="left"/>
        <w:rPr>
          <w:sz w:val="20"/>
        </w:rPr>
      </w:pPr>
      <w:r>
        <w:rPr>
          <w:rFonts w:hint="eastAsia"/>
          <w:sz w:val="24"/>
          <w:lang w:val="en-US" w:eastAsia="zh-CN"/>
        </w:rPr>
        <w:t xml:space="preserve">响应文件中不得行间插字、涂改或增删，如有修改错漏处，须由供应商法定代表人或其委托代理人签字和盖章。 </w:t>
      </w:r>
    </w:p>
    <w:p>
      <w:pPr>
        <w:pStyle w:val="7"/>
        <w:numPr>
          <w:ilvl w:val="0"/>
          <w:numId w:val="10"/>
        </w:numPr>
        <w:tabs>
          <w:tab w:val="left" w:pos="568"/>
        </w:tabs>
        <w:spacing w:before="0" w:after="0" w:line="240" w:lineRule="auto"/>
        <w:ind w:left="568" w:right="0" w:hanging="180"/>
        <w:jc w:val="left"/>
        <w:outlineLvl w:val="1"/>
        <w:rPr>
          <w:sz w:val="25"/>
        </w:rPr>
      </w:pPr>
      <w:bookmarkStart w:id="65" w:name="_bookmark27"/>
      <w:bookmarkEnd w:id="65"/>
      <w:bookmarkStart w:id="66" w:name="4投标"/>
      <w:bookmarkEnd w:id="66"/>
      <w:r>
        <w:rPr>
          <w:rFonts w:hint="eastAsia"/>
          <w:lang w:val="en-US" w:eastAsia="zh-CN"/>
        </w:rPr>
        <w:t>.1</w:t>
      </w:r>
      <w:r>
        <w:t>投标</w:t>
      </w:r>
      <w:bookmarkStart w:id="67" w:name="_bookmark28"/>
      <w:bookmarkEnd w:id="67"/>
      <w:bookmarkStart w:id="68" w:name="4.1响应文件的密封和标识"/>
      <w:bookmarkEnd w:id="68"/>
    </w:p>
    <w:p>
      <w:pPr>
        <w:pStyle w:val="16"/>
        <w:numPr>
          <w:ilvl w:val="0"/>
          <w:numId w:val="0"/>
        </w:numPr>
        <w:tabs>
          <w:tab w:val="left" w:pos="1473"/>
        </w:tabs>
        <w:spacing w:before="158" w:after="0" w:line="240" w:lineRule="auto"/>
        <w:ind w:left="811" w:leftChars="0" w:right="0" w:rightChars="0"/>
        <w:jc w:val="left"/>
        <w:rPr>
          <w:sz w:val="24"/>
        </w:rPr>
      </w:pPr>
      <w:r>
        <w:rPr>
          <w:rFonts w:hint="eastAsia"/>
          <w:sz w:val="24"/>
          <w:lang w:val="en-US" w:eastAsia="zh-CN"/>
        </w:rPr>
        <w:t xml:space="preserve">响应文件的密封和标记 </w:t>
      </w:r>
    </w:p>
    <w:p>
      <w:pPr>
        <w:pStyle w:val="16"/>
        <w:numPr>
          <w:ilvl w:val="0"/>
          <w:numId w:val="0"/>
        </w:numPr>
        <w:tabs>
          <w:tab w:val="left" w:pos="1473"/>
        </w:tabs>
        <w:spacing w:before="158" w:after="0" w:line="240" w:lineRule="auto"/>
        <w:ind w:left="811" w:leftChars="0" w:right="0" w:rightChars="0"/>
        <w:jc w:val="left"/>
        <w:rPr>
          <w:sz w:val="24"/>
        </w:rPr>
      </w:pPr>
      <w:r>
        <w:rPr>
          <w:rFonts w:hint="eastAsia"/>
          <w:sz w:val="24"/>
          <w:lang w:val="en-US" w:eastAsia="zh-CN"/>
        </w:rPr>
        <w:t xml:space="preserve">4.1.1投标人应当在招标文件要求提交投标文件的截止时间前，将投标文件加密上传至政采云平台。采购人或者采购代理机构应当在招标文件规定的开启时间内开启投标文件。 </w:t>
      </w:r>
    </w:p>
    <w:p>
      <w:pPr>
        <w:pStyle w:val="16"/>
        <w:numPr>
          <w:ilvl w:val="0"/>
          <w:numId w:val="0"/>
        </w:numPr>
        <w:tabs>
          <w:tab w:val="left" w:pos="1473"/>
        </w:tabs>
        <w:spacing w:before="158" w:after="0" w:line="240" w:lineRule="auto"/>
        <w:ind w:left="811" w:leftChars="0" w:right="0" w:rightChars="0"/>
        <w:jc w:val="left"/>
        <w:rPr>
          <w:sz w:val="24"/>
        </w:rPr>
      </w:pPr>
      <w:r>
        <w:rPr>
          <w:rFonts w:hint="eastAsia"/>
          <w:sz w:val="24"/>
          <w:lang w:val="en-US" w:eastAsia="zh-CN"/>
        </w:rPr>
        <w:t xml:space="preserve">4.1.2供应商以电报、电话、传真形式投标的，采购代理机构概不接受。 </w:t>
      </w:r>
    </w:p>
    <w:p>
      <w:pPr>
        <w:pStyle w:val="16"/>
        <w:numPr>
          <w:ilvl w:val="0"/>
          <w:numId w:val="0"/>
        </w:numPr>
        <w:tabs>
          <w:tab w:val="left" w:pos="1473"/>
        </w:tabs>
        <w:spacing w:before="158" w:after="0" w:line="240" w:lineRule="auto"/>
        <w:ind w:left="811" w:leftChars="0" w:right="0" w:rightChars="0"/>
        <w:jc w:val="left"/>
        <w:rPr>
          <w:sz w:val="24"/>
        </w:rPr>
      </w:pPr>
      <w:r>
        <w:rPr>
          <w:rFonts w:hint="eastAsia"/>
          <w:sz w:val="24"/>
          <w:lang w:val="en-US" w:eastAsia="zh-CN"/>
        </w:rPr>
        <w:t xml:space="preserve">提交响应文件截止时间、地点 </w:t>
      </w:r>
    </w:p>
    <w:p>
      <w:pPr>
        <w:pStyle w:val="16"/>
        <w:numPr>
          <w:ilvl w:val="0"/>
          <w:numId w:val="0"/>
        </w:numPr>
        <w:tabs>
          <w:tab w:val="left" w:pos="1473"/>
        </w:tabs>
        <w:spacing w:before="158" w:after="0" w:line="240" w:lineRule="auto"/>
        <w:ind w:left="811" w:leftChars="0" w:right="0" w:rightChars="0"/>
        <w:jc w:val="left"/>
        <w:rPr>
          <w:sz w:val="24"/>
        </w:rPr>
      </w:pPr>
      <w:r>
        <w:rPr>
          <w:rFonts w:hint="eastAsia"/>
          <w:sz w:val="24"/>
          <w:lang w:val="en-US" w:eastAsia="zh-CN"/>
        </w:rPr>
        <w:t xml:space="preserve">4.1.3响应文件提交的截止时间及地点详见“供应商须知前附表”。 </w:t>
      </w:r>
    </w:p>
    <w:p>
      <w:pPr>
        <w:pStyle w:val="16"/>
        <w:numPr>
          <w:ilvl w:val="0"/>
          <w:numId w:val="0"/>
        </w:numPr>
        <w:tabs>
          <w:tab w:val="left" w:pos="1473"/>
        </w:tabs>
        <w:spacing w:before="158" w:after="0" w:line="240" w:lineRule="auto"/>
        <w:ind w:left="811" w:leftChars="0" w:right="0" w:rightChars="0"/>
        <w:jc w:val="left"/>
        <w:rPr>
          <w:sz w:val="24"/>
        </w:rPr>
      </w:pPr>
      <w:r>
        <w:rPr>
          <w:rFonts w:hint="eastAsia"/>
          <w:sz w:val="24"/>
          <w:lang w:val="en-US" w:eastAsia="zh-CN"/>
        </w:rPr>
        <w:t>4.1.4采购代理机构将拒绝接受在提交响应文件截止时间之后送达的响应文件。</w:t>
      </w:r>
    </w:p>
    <w:p>
      <w:pPr>
        <w:pStyle w:val="8"/>
        <w:spacing w:before="10"/>
        <w:rPr>
          <w:sz w:val="32"/>
        </w:rPr>
      </w:pPr>
    </w:p>
    <w:p>
      <w:pPr>
        <w:pStyle w:val="7"/>
        <w:numPr>
          <w:ilvl w:val="0"/>
          <w:numId w:val="0"/>
        </w:numPr>
        <w:tabs>
          <w:tab w:val="left" w:pos="808"/>
        </w:tabs>
        <w:spacing w:before="0" w:after="0" w:line="240" w:lineRule="auto"/>
        <w:ind w:left="388" w:leftChars="0" w:right="0" w:rightChars="0"/>
        <w:jc w:val="left"/>
        <w:outlineLvl w:val="2"/>
        <w:rPr>
          <w:b/>
        </w:rPr>
      </w:pPr>
      <w:bookmarkStart w:id="69" w:name="_bookmark31"/>
      <w:bookmarkEnd w:id="69"/>
      <w:bookmarkStart w:id="70" w:name="4.3投标文件的修改与撤回"/>
      <w:bookmarkEnd w:id="70"/>
      <w:r>
        <w:rPr>
          <w:rFonts w:hint="eastAsia"/>
          <w:lang w:val="en-US" w:eastAsia="zh-CN"/>
        </w:rPr>
        <w:t>4.2</w:t>
      </w:r>
      <w:r>
        <w:t>投标文件的修改与撤回</w:t>
      </w:r>
    </w:p>
    <w:p>
      <w:pPr>
        <w:pStyle w:val="16"/>
        <w:numPr>
          <w:ilvl w:val="0"/>
          <w:numId w:val="0"/>
        </w:numPr>
        <w:tabs>
          <w:tab w:val="left" w:pos="1473"/>
        </w:tabs>
        <w:spacing w:before="184" w:after="0" w:line="364" w:lineRule="auto"/>
        <w:ind w:left="812" w:leftChars="0" w:right="744" w:rightChars="0"/>
        <w:jc w:val="left"/>
        <w:rPr>
          <w:sz w:val="24"/>
        </w:rPr>
      </w:pPr>
      <w:r>
        <w:rPr>
          <w:rFonts w:hint="eastAsia"/>
          <w:spacing w:val="-12"/>
          <w:sz w:val="24"/>
          <w:lang w:val="en-US" w:eastAsia="zh-CN"/>
        </w:rPr>
        <w:t>4.2.1</w:t>
      </w:r>
      <w:r>
        <w:rPr>
          <w:spacing w:val="-12"/>
          <w:sz w:val="24"/>
        </w:rPr>
        <w:t xml:space="preserve">在本章第 </w:t>
      </w:r>
      <w:r>
        <w:rPr>
          <w:sz w:val="24"/>
        </w:rPr>
        <w:t>2.2.2</w:t>
      </w:r>
      <w:r>
        <w:rPr>
          <w:spacing w:val="-14"/>
          <w:sz w:val="24"/>
        </w:rPr>
        <w:t xml:space="preserve"> 项规定的投标截止时间前，磋商响应人可以修改或撤回已递交的</w:t>
      </w:r>
      <w:r>
        <w:rPr>
          <w:sz w:val="24"/>
        </w:rPr>
        <w:t>投标文件，但应以书面形式通知招标人。</w:t>
      </w:r>
    </w:p>
    <w:p>
      <w:pPr>
        <w:pStyle w:val="16"/>
        <w:numPr>
          <w:ilvl w:val="0"/>
          <w:numId w:val="0"/>
        </w:numPr>
        <w:tabs>
          <w:tab w:val="left" w:pos="1449"/>
        </w:tabs>
        <w:spacing w:before="1" w:after="0" w:line="362" w:lineRule="auto"/>
        <w:ind w:left="812" w:leftChars="0" w:right="744" w:rightChars="0"/>
        <w:jc w:val="left"/>
        <w:rPr>
          <w:sz w:val="24"/>
        </w:rPr>
      </w:pPr>
      <w:r>
        <w:rPr>
          <w:rFonts w:hint="eastAsia"/>
          <w:spacing w:val="1"/>
          <w:sz w:val="24"/>
          <w:lang w:val="en-US" w:eastAsia="zh-CN"/>
        </w:rPr>
        <w:t>4.2.2</w:t>
      </w:r>
      <w:r>
        <w:rPr>
          <w:spacing w:val="1"/>
          <w:sz w:val="24"/>
        </w:rPr>
        <w:t>磋商响应人修改或撤回已递交的投标文件的书面通知应按照本章第</w:t>
      </w:r>
      <w:r>
        <w:rPr>
          <w:sz w:val="24"/>
        </w:rPr>
        <w:t>3.7.3</w:t>
      </w:r>
      <w:r>
        <w:rPr>
          <w:spacing w:val="-26"/>
          <w:sz w:val="24"/>
        </w:rPr>
        <w:t xml:space="preserve"> 项的要</w:t>
      </w:r>
      <w:r>
        <w:rPr>
          <w:sz w:val="24"/>
        </w:rPr>
        <w:t>求签字或盖章。招标人收到书面通知后，向磋商响应人出具签收凭证。</w:t>
      </w:r>
    </w:p>
    <w:p>
      <w:pPr>
        <w:spacing w:after="0" w:line="362" w:lineRule="auto"/>
        <w:jc w:val="left"/>
        <w:rPr>
          <w:sz w:val="24"/>
        </w:rPr>
        <w:sectPr>
          <w:footerReference r:id="rId7" w:type="default"/>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pgNumType w:start="20"/>
          <w:cols w:space="720" w:num="1"/>
        </w:sectPr>
      </w:pPr>
    </w:p>
    <w:p>
      <w:pPr>
        <w:tabs>
          <w:tab w:val="left" w:pos="7676"/>
        </w:tabs>
        <w:spacing w:before="45"/>
        <w:ind w:left="388" w:right="0" w:firstLine="0"/>
        <w:jc w:val="left"/>
        <w:rPr>
          <w:sz w:val="18"/>
        </w:rPr>
      </w:pPr>
      <w:r>
        <w:pict>
          <v:line id="_x0000_s1053" o:spid="_x0000_s1053" o:spt="20" style="position:absolute;left:0pt;margin-left:62.4pt;margin-top:12.25pt;height:0pt;width:400.4pt;mso-position-horizontal-relative:page;z-index:25170329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0"/>
          <w:numId w:val="0"/>
        </w:numPr>
        <w:tabs>
          <w:tab w:val="left" w:pos="1473"/>
        </w:tabs>
        <w:spacing w:before="67" w:after="0" w:line="362" w:lineRule="auto"/>
        <w:ind w:left="812" w:leftChars="0" w:right="744" w:rightChars="0"/>
        <w:jc w:val="both"/>
        <w:rPr>
          <w:sz w:val="24"/>
        </w:rPr>
      </w:pPr>
      <w:r>
        <w:rPr>
          <w:rFonts w:hint="eastAsia"/>
          <w:spacing w:val="-5"/>
          <w:sz w:val="24"/>
          <w:lang w:val="en-US" w:eastAsia="zh-CN"/>
        </w:rPr>
        <w:t>4.2.3</w:t>
      </w:r>
      <w:r>
        <w:rPr>
          <w:spacing w:val="-5"/>
          <w:sz w:val="24"/>
        </w:rPr>
        <w:t xml:space="preserve">修改的内容为投标文件的组成部分。修改的投标文件应按照本章第 </w:t>
      </w:r>
      <w:r>
        <w:rPr>
          <w:sz w:val="24"/>
        </w:rPr>
        <w:t>3</w:t>
      </w:r>
      <w:r>
        <w:rPr>
          <w:spacing w:val="-32"/>
          <w:sz w:val="24"/>
        </w:rPr>
        <w:t xml:space="preserve"> 条、第 </w:t>
      </w:r>
      <w:r>
        <w:rPr>
          <w:sz w:val="24"/>
        </w:rPr>
        <w:t>4</w:t>
      </w:r>
      <w:r>
        <w:rPr>
          <w:spacing w:val="-39"/>
          <w:sz w:val="24"/>
        </w:rPr>
        <w:t xml:space="preserve"> 条</w:t>
      </w:r>
      <w:r>
        <w:rPr>
          <w:sz w:val="24"/>
        </w:rPr>
        <w:t>规定进行编制、密封、标记和递交，并表明“修改”字样。</w:t>
      </w:r>
    </w:p>
    <w:p>
      <w:pPr>
        <w:pStyle w:val="8"/>
        <w:spacing w:before="7"/>
        <w:rPr>
          <w:sz w:val="20"/>
        </w:rPr>
      </w:pPr>
    </w:p>
    <w:p>
      <w:pPr>
        <w:pStyle w:val="7"/>
        <w:numPr>
          <w:ilvl w:val="0"/>
          <w:numId w:val="10"/>
        </w:numPr>
        <w:tabs>
          <w:tab w:val="left" w:pos="568"/>
        </w:tabs>
        <w:spacing w:before="1" w:after="0" w:line="240" w:lineRule="auto"/>
        <w:ind w:left="568" w:right="0" w:hanging="180"/>
        <w:jc w:val="left"/>
        <w:outlineLvl w:val="1"/>
        <w:rPr>
          <w:b/>
        </w:rPr>
      </w:pPr>
      <w:bookmarkStart w:id="71" w:name="_bookmark32"/>
      <w:bookmarkEnd w:id="71"/>
      <w:bookmarkStart w:id="72" w:name="5开标"/>
      <w:bookmarkEnd w:id="72"/>
      <w:r>
        <w:t>开标</w:t>
      </w:r>
    </w:p>
    <w:p>
      <w:pPr>
        <w:pStyle w:val="16"/>
        <w:numPr>
          <w:ilvl w:val="1"/>
          <w:numId w:val="10"/>
        </w:numPr>
        <w:tabs>
          <w:tab w:val="left" w:pos="808"/>
        </w:tabs>
        <w:spacing w:before="184" w:after="0" w:line="240" w:lineRule="auto"/>
        <w:ind w:left="808" w:right="0" w:hanging="420"/>
        <w:jc w:val="left"/>
        <w:outlineLvl w:val="2"/>
        <w:rPr>
          <w:b/>
          <w:sz w:val="24"/>
        </w:rPr>
      </w:pPr>
      <w:bookmarkStart w:id="73" w:name="_bookmark33"/>
      <w:bookmarkEnd w:id="73"/>
      <w:bookmarkStart w:id="74" w:name="5.1开标时间和地点"/>
      <w:bookmarkEnd w:id="74"/>
      <w:r>
        <w:rPr>
          <w:b/>
          <w:sz w:val="24"/>
        </w:rPr>
        <w:t>开标时间和地点</w:t>
      </w:r>
    </w:p>
    <w:p>
      <w:pPr>
        <w:pStyle w:val="8"/>
        <w:rPr>
          <w:b/>
        </w:rPr>
      </w:pPr>
    </w:p>
    <w:p>
      <w:pPr>
        <w:pStyle w:val="8"/>
        <w:spacing w:before="184" w:line="362" w:lineRule="auto"/>
        <w:ind w:left="388" w:right="702" w:firstLine="424"/>
      </w:pPr>
      <w:r>
        <w:t>招标人在本章第 2.2.2 项规定的投标截止时间（开标时间）和磋商响应人须知前附表规定的地点公开开标。</w:t>
      </w:r>
    </w:p>
    <w:p>
      <w:pPr>
        <w:pStyle w:val="8"/>
        <w:spacing w:before="8"/>
        <w:rPr>
          <w:sz w:val="20"/>
        </w:rPr>
      </w:pPr>
    </w:p>
    <w:p>
      <w:pPr>
        <w:pStyle w:val="7"/>
        <w:numPr>
          <w:ilvl w:val="1"/>
          <w:numId w:val="10"/>
        </w:numPr>
        <w:tabs>
          <w:tab w:val="left" w:pos="808"/>
        </w:tabs>
        <w:spacing w:before="0" w:after="0" w:line="240" w:lineRule="auto"/>
        <w:ind w:left="808" w:right="0" w:hanging="420"/>
        <w:jc w:val="left"/>
        <w:outlineLvl w:val="2"/>
        <w:rPr>
          <w:b/>
        </w:rPr>
      </w:pPr>
      <w:bookmarkStart w:id="75" w:name="5.2开标程序"/>
      <w:bookmarkEnd w:id="75"/>
      <w:bookmarkStart w:id="76" w:name="_bookmark34"/>
      <w:bookmarkEnd w:id="76"/>
      <w:r>
        <w:t>开标程序</w:t>
      </w:r>
    </w:p>
    <w:p>
      <w:pPr>
        <w:pStyle w:val="16"/>
        <w:keepNext w:val="0"/>
        <w:keepLines w:val="0"/>
        <w:pageBreakBefore w:val="0"/>
        <w:widowControl w:val="0"/>
        <w:numPr>
          <w:ilvl w:val="0"/>
          <w:numId w:val="0"/>
        </w:numPr>
        <w:tabs>
          <w:tab w:val="left" w:pos="1414"/>
        </w:tabs>
        <w:kinsoku/>
        <w:wordWrap/>
        <w:overflowPunct/>
        <w:topLinePunct w:val="0"/>
        <w:autoSpaceDE w:val="0"/>
        <w:autoSpaceDN w:val="0"/>
        <w:bidi w:val="0"/>
        <w:adjustRightInd/>
        <w:snapToGrid/>
        <w:spacing w:before="0" w:after="0" w:line="360" w:lineRule="auto"/>
        <w:ind w:left="0" w:leftChars="0" w:right="0" w:rightChars="0" w:firstLine="464" w:firstLineChars="200"/>
        <w:jc w:val="left"/>
        <w:textAlignment w:val="auto"/>
        <w:rPr>
          <w:spacing w:val="-4"/>
          <w:sz w:val="24"/>
        </w:rPr>
      </w:pPr>
      <w:r>
        <w:rPr>
          <w:rFonts w:hint="eastAsia"/>
          <w:spacing w:val="-4"/>
          <w:sz w:val="24"/>
          <w:lang w:val="en-US" w:eastAsia="zh-CN"/>
        </w:rPr>
        <w:t xml:space="preserve">5.2.1采购人、采购代理机构在青海省政府采购网政采云平台上组织开标活动，时间和地点以本响应文件中确定的为准。 </w:t>
      </w:r>
    </w:p>
    <w:p>
      <w:pPr>
        <w:pStyle w:val="16"/>
        <w:keepNext w:val="0"/>
        <w:keepLines w:val="0"/>
        <w:pageBreakBefore w:val="0"/>
        <w:widowControl w:val="0"/>
        <w:numPr>
          <w:ilvl w:val="0"/>
          <w:numId w:val="0"/>
        </w:numPr>
        <w:tabs>
          <w:tab w:val="left" w:pos="1414"/>
        </w:tabs>
        <w:kinsoku/>
        <w:wordWrap/>
        <w:overflowPunct/>
        <w:topLinePunct w:val="0"/>
        <w:autoSpaceDE w:val="0"/>
        <w:autoSpaceDN w:val="0"/>
        <w:bidi w:val="0"/>
        <w:adjustRightInd/>
        <w:snapToGrid/>
        <w:spacing w:before="0" w:after="0" w:line="360" w:lineRule="auto"/>
        <w:ind w:left="0" w:leftChars="0" w:right="0" w:rightChars="0" w:firstLine="464" w:firstLineChars="200"/>
        <w:jc w:val="left"/>
        <w:textAlignment w:val="auto"/>
        <w:rPr>
          <w:spacing w:val="-4"/>
          <w:sz w:val="24"/>
        </w:rPr>
      </w:pPr>
      <w:r>
        <w:rPr>
          <w:rFonts w:hint="eastAsia"/>
          <w:spacing w:val="-4"/>
          <w:sz w:val="24"/>
          <w:lang w:val="en-US" w:eastAsia="zh-CN"/>
        </w:rPr>
        <w:t xml:space="preserve">5.2.2 磋商工作由采购代理机构组织，采购人、采购监管、纪检监察等有关方面代表可根据采购项目的具体情况列席。 </w:t>
      </w:r>
    </w:p>
    <w:p>
      <w:pPr>
        <w:pStyle w:val="16"/>
        <w:keepNext w:val="0"/>
        <w:keepLines w:val="0"/>
        <w:pageBreakBefore w:val="0"/>
        <w:widowControl w:val="0"/>
        <w:numPr>
          <w:ilvl w:val="0"/>
          <w:numId w:val="0"/>
        </w:numPr>
        <w:tabs>
          <w:tab w:val="left" w:pos="1414"/>
        </w:tabs>
        <w:kinsoku/>
        <w:wordWrap/>
        <w:overflowPunct/>
        <w:topLinePunct w:val="0"/>
        <w:autoSpaceDE w:val="0"/>
        <w:autoSpaceDN w:val="0"/>
        <w:bidi w:val="0"/>
        <w:adjustRightInd/>
        <w:snapToGrid/>
        <w:spacing w:before="0" w:after="0" w:line="360" w:lineRule="auto"/>
        <w:ind w:left="0" w:leftChars="0" w:right="0" w:rightChars="0" w:firstLine="464" w:firstLineChars="200"/>
        <w:jc w:val="left"/>
        <w:textAlignment w:val="auto"/>
        <w:rPr>
          <w:spacing w:val="-4"/>
          <w:sz w:val="24"/>
        </w:rPr>
      </w:pPr>
      <w:r>
        <w:rPr>
          <w:rFonts w:hint="eastAsia"/>
          <w:spacing w:val="-4"/>
          <w:sz w:val="24"/>
          <w:lang w:val="en-US" w:eastAsia="zh-CN"/>
        </w:rPr>
        <w:t xml:space="preserve">5.2.3开标后，磋商供应商在青海省政府采购网政采云平台上报价与响应文件内容不一致的，以网上报价为准。若拒绝接受，其投标无效。 </w:t>
      </w:r>
    </w:p>
    <w:p>
      <w:pPr>
        <w:pStyle w:val="16"/>
        <w:keepNext w:val="0"/>
        <w:keepLines w:val="0"/>
        <w:pageBreakBefore w:val="0"/>
        <w:widowControl w:val="0"/>
        <w:numPr>
          <w:ilvl w:val="0"/>
          <w:numId w:val="0"/>
        </w:numPr>
        <w:tabs>
          <w:tab w:val="left" w:pos="1414"/>
        </w:tabs>
        <w:kinsoku/>
        <w:wordWrap/>
        <w:overflowPunct/>
        <w:topLinePunct w:val="0"/>
        <w:autoSpaceDE w:val="0"/>
        <w:autoSpaceDN w:val="0"/>
        <w:bidi w:val="0"/>
        <w:adjustRightInd/>
        <w:snapToGrid/>
        <w:spacing w:before="0" w:after="0" w:line="360" w:lineRule="auto"/>
        <w:ind w:left="0" w:leftChars="0" w:right="0" w:rightChars="0" w:firstLine="464" w:firstLineChars="200"/>
        <w:jc w:val="left"/>
        <w:textAlignment w:val="auto"/>
        <w:rPr>
          <w:spacing w:val="-4"/>
          <w:sz w:val="24"/>
        </w:rPr>
      </w:pPr>
      <w:r>
        <w:rPr>
          <w:rFonts w:hint="eastAsia"/>
          <w:spacing w:val="-4"/>
          <w:sz w:val="24"/>
          <w:lang w:val="en-US" w:eastAsia="zh-CN"/>
        </w:rPr>
        <w:t xml:space="preserve">5.2.4开标后供应商必须在规定的时间内解密文件，因供应商输入密码错误 （次输入机会）、未能按时完成解密、其《数据文件》填写、盖章不规范等原因导致 系统无法解析、或上传的响应文件损坏无法正常打开的，将会被视为无效投标。 </w:t>
      </w:r>
    </w:p>
    <w:p>
      <w:pPr>
        <w:pStyle w:val="16"/>
        <w:keepNext w:val="0"/>
        <w:keepLines w:val="0"/>
        <w:pageBreakBefore w:val="0"/>
        <w:widowControl w:val="0"/>
        <w:numPr>
          <w:ilvl w:val="0"/>
          <w:numId w:val="0"/>
        </w:numPr>
        <w:tabs>
          <w:tab w:val="left" w:pos="1414"/>
        </w:tabs>
        <w:kinsoku/>
        <w:wordWrap/>
        <w:overflowPunct/>
        <w:topLinePunct w:val="0"/>
        <w:autoSpaceDE w:val="0"/>
        <w:autoSpaceDN w:val="0"/>
        <w:bidi w:val="0"/>
        <w:adjustRightInd/>
        <w:snapToGrid/>
        <w:spacing w:before="0" w:after="0" w:line="360" w:lineRule="auto"/>
        <w:ind w:left="0" w:leftChars="0" w:right="0" w:rightChars="0" w:firstLine="464" w:firstLineChars="200"/>
        <w:jc w:val="left"/>
        <w:textAlignment w:val="auto"/>
        <w:rPr>
          <w:spacing w:val="-4"/>
          <w:sz w:val="24"/>
        </w:rPr>
      </w:pPr>
      <w:r>
        <w:rPr>
          <w:rFonts w:hint="eastAsia"/>
          <w:spacing w:val="-4"/>
          <w:sz w:val="24"/>
          <w:lang w:val="en-US" w:eastAsia="zh-CN"/>
        </w:rPr>
        <w:t xml:space="preserve">5.2.5竞争性磋商文件中含义不明确、同类问题表述不一致或者有明显文字和计算错误的内容，磋商小组应当以书面形式要求磋商供应商作出必要的澄清、说明或者补正。磋商供应商的澄清、说明或者补正应当采用书面形式，并加盖公章，或者由法定代表人或其授权的代表签字。磋商供应商的澄清、说明或者补正不得超出响应文件的范围或者改变响应文件的实质性内容。 </w:t>
      </w:r>
    </w:p>
    <w:p>
      <w:pPr>
        <w:pStyle w:val="7"/>
        <w:numPr>
          <w:ilvl w:val="1"/>
          <w:numId w:val="20"/>
        </w:numPr>
        <w:tabs>
          <w:tab w:val="left" w:pos="808"/>
        </w:tabs>
        <w:spacing w:before="73" w:after="0" w:line="240" w:lineRule="auto"/>
        <w:ind w:left="808" w:right="0" w:hanging="420"/>
        <w:jc w:val="left"/>
        <w:outlineLvl w:val="2"/>
      </w:pPr>
      <w:bookmarkStart w:id="77" w:name="6.1评标委员会"/>
      <w:bookmarkEnd w:id="77"/>
      <w:bookmarkStart w:id="78" w:name="_bookmark36"/>
      <w:bookmarkEnd w:id="78"/>
      <w:r>
        <w:t>评标委员会</w:t>
      </w:r>
    </w:p>
    <w:p>
      <w:pPr>
        <w:pStyle w:val="8"/>
        <w:rPr>
          <w:b/>
        </w:rPr>
      </w:pPr>
    </w:p>
    <w:p>
      <w:pPr>
        <w:pStyle w:val="16"/>
        <w:numPr>
          <w:ilvl w:val="2"/>
          <w:numId w:val="20"/>
        </w:numPr>
        <w:tabs>
          <w:tab w:val="left" w:pos="1473"/>
        </w:tabs>
        <w:spacing w:before="184" w:after="0" w:line="364" w:lineRule="auto"/>
        <w:ind w:left="388" w:right="744" w:firstLine="424"/>
        <w:jc w:val="both"/>
        <w:rPr>
          <w:sz w:val="24"/>
        </w:rPr>
      </w:pPr>
      <w:r>
        <w:rPr>
          <w:spacing w:val="-4"/>
          <w:sz w:val="24"/>
        </w:rPr>
        <w:t>评标由招标代理机构依法组建的评标委员会负责。评标委员会由招标人代表，以</w:t>
      </w:r>
      <w:r>
        <w:rPr>
          <w:sz w:val="24"/>
        </w:rPr>
        <w:t>及有关技术、经济等方面的专家组成。评标委员会成员人数以及技术、经济等方面专家的确定方式见磋商响应人须知前附表。</w:t>
      </w:r>
    </w:p>
    <w:p>
      <w:pPr>
        <w:spacing w:after="0" w:line="364" w:lineRule="auto"/>
        <w:jc w:val="both"/>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54" o:spid="_x0000_s1054" o:spt="20" style="position:absolute;left:0pt;margin-left:62.4pt;margin-top:12.25pt;height:0pt;width:400.4pt;mso-position-horizontal-relative:page;z-index:25170432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2"/>
          <w:numId w:val="20"/>
        </w:numPr>
        <w:tabs>
          <w:tab w:val="left" w:pos="1473"/>
        </w:tabs>
        <w:spacing w:before="67" w:after="0" w:line="240" w:lineRule="auto"/>
        <w:ind w:left="1472" w:right="0" w:hanging="661"/>
        <w:jc w:val="left"/>
        <w:rPr>
          <w:sz w:val="24"/>
        </w:rPr>
      </w:pPr>
      <w:r>
        <w:rPr>
          <w:sz w:val="24"/>
        </w:rPr>
        <w:t>评标委员会成员有下列情形之一的，应当回避：</w:t>
      </w:r>
    </w:p>
    <w:p>
      <w:pPr>
        <w:pStyle w:val="16"/>
        <w:numPr>
          <w:ilvl w:val="0"/>
          <w:numId w:val="21"/>
        </w:numPr>
        <w:tabs>
          <w:tab w:val="left" w:pos="1414"/>
        </w:tabs>
        <w:spacing w:before="158" w:after="0" w:line="240" w:lineRule="auto"/>
        <w:ind w:left="1413" w:right="0" w:hanging="602"/>
        <w:jc w:val="left"/>
        <w:rPr>
          <w:sz w:val="24"/>
        </w:rPr>
      </w:pPr>
      <w:r>
        <w:rPr>
          <w:sz w:val="24"/>
        </w:rPr>
        <w:t>招标人或磋商响应人的主要负责人的近亲属；</w:t>
      </w:r>
    </w:p>
    <w:p>
      <w:pPr>
        <w:pStyle w:val="16"/>
        <w:numPr>
          <w:ilvl w:val="0"/>
          <w:numId w:val="21"/>
        </w:numPr>
        <w:tabs>
          <w:tab w:val="left" w:pos="1414"/>
        </w:tabs>
        <w:spacing w:before="160" w:after="0" w:line="240" w:lineRule="auto"/>
        <w:ind w:left="1413" w:right="0" w:hanging="602"/>
        <w:jc w:val="left"/>
        <w:rPr>
          <w:sz w:val="24"/>
        </w:rPr>
      </w:pPr>
      <w:r>
        <w:rPr>
          <w:sz w:val="24"/>
        </w:rPr>
        <w:t>项目主管部分或者行政监督部分的人员；</w:t>
      </w:r>
    </w:p>
    <w:p>
      <w:pPr>
        <w:pStyle w:val="16"/>
        <w:numPr>
          <w:ilvl w:val="0"/>
          <w:numId w:val="21"/>
        </w:numPr>
        <w:tabs>
          <w:tab w:val="left" w:pos="1414"/>
        </w:tabs>
        <w:spacing w:before="158" w:after="0" w:line="240" w:lineRule="auto"/>
        <w:ind w:left="1413" w:right="0" w:hanging="602"/>
        <w:jc w:val="left"/>
        <w:rPr>
          <w:sz w:val="24"/>
        </w:rPr>
      </w:pPr>
      <w:r>
        <w:rPr>
          <w:sz w:val="24"/>
        </w:rPr>
        <w:t>与磋商响应人有经济利益关系，可能影响对投标公正评审的；</w:t>
      </w:r>
    </w:p>
    <w:p>
      <w:pPr>
        <w:pStyle w:val="16"/>
        <w:numPr>
          <w:ilvl w:val="0"/>
          <w:numId w:val="21"/>
        </w:numPr>
        <w:tabs>
          <w:tab w:val="left" w:pos="1414"/>
        </w:tabs>
        <w:spacing w:before="161" w:after="0" w:line="362" w:lineRule="auto"/>
        <w:ind w:left="388" w:right="744" w:firstLine="424"/>
        <w:jc w:val="left"/>
        <w:rPr>
          <w:sz w:val="24"/>
        </w:rPr>
      </w:pPr>
      <w:r>
        <w:rPr>
          <w:spacing w:val="-2"/>
          <w:sz w:val="24"/>
        </w:rPr>
        <w:t>曾因在招标、评标以及其他与招标投标有关活动中从事违法行为而受过行政处罚</w:t>
      </w:r>
      <w:r>
        <w:rPr>
          <w:sz w:val="24"/>
        </w:rPr>
        <w:t>或刑事处罚的。</w:t>
      </w:r>
    </w:p>
    <w:p>
      <w:pPr>
        <w:pStyle w:val="8"/>
        <w:spacing w:before="8"/>
        <w:rPr>
          <w:sz w:val="20"/>
        </w:rPr>
      </w:pPr>
    </w:p>
    <w:p>
      <w:pPr>
        <w:pStyle w:val="7"/>
        <w:numPr>
          <w:ilvl w:val="1"/>
          <w:numId w:val="20"/>
        </w:numPr>
        <w:tabs>
          <w:tab w:val="left" w:pos="808"/>
        </w:tabs>
        <w:spacing w:before="0" w:after="0" w:line="240" w:lineRule="auto"/>
        <w:ind w:left="808" w:right="0" w:hanging="420"/>
        <w:jc w:val="left"/>
        <w:outlineLvl w:val="2"/>
      </w:pPr>
      <w:bookmarkStart w:id="79" w:name="_bookmark37"/>
      <w:bookmarkEnd w:id="79"/>
      <w:bookmarkStart w:id="80" w:name="6.2评标原则"/>
      <w:bookmarkEnd w:id="80"/>
      <w:r>
        <w:t>评标原则</w:t>
      </w:r>
    </w:p>
    <w:p>
      <w:pPr>
        <w:pStyle w:val="8"/>
        <w:rPr>
          <w:b/>
        </w:rPr>
      </w:pPr>
    </w:p>
    <w:p>
      <w:pPr>
        <w:pStyle w:val="8"/>
        <w:spacing w:before="184"/>
        <w:ind w:left="812"/>
      </w:pPr>
      <w:r>
        <w:t>评标活动遵循公平、公正、科学和择优的原则。</w:t>
      </w:r>
    </w:p>
    <w:p>
      <w:pPr>
        <w:pStyle w:val="8"/>
        <w:spacing w:before="10"/>
        <w:rPr>
          <w:sz w:val="32"/>
        </w:rPr>
      </w:pPr>
    </w:p>
    <w:p>
      <w:pPr>
        <w:pStyle w:val="7"/>
        <w:numPr>
          <w:ilvl w:val="1"/>
          <w:numId w:val="20"/>
        </w:numPr>
        <w:tabs>
          <w:tab w:val="left" w:pos="808"/>
        </w:tabs>
        <w:spacing w:before="0" w:after="0" w:line="240" w:lineRule="auto"/>
        <w:ind w:left="808" w:right="0" w:hanging="420"/>
        <w:jc w:val="left"/>
        <w:outlineLvl w:val="2"/>
      </w:pPr>
      <w:bookmarkStart w:id="81" w:name="_bookmark38"/>
      <w:bookmarkEnd w:id="81"/>
      <w:bookmarkStart w:id="82" w:name="6.3评标"/>
      <w:bookmarkEnd w:id="82"/>
      <w:r>
        <w:t>评标</w:t>
      </w:r>
    </w:p>
    <w:p>
      <w:pPr>
        <w:pStyle w:val="8"/>
        <w:rPr>
          <w:b/>
        </w:rPr>
      </w:pPr>
    </w:p>
    <w:p>
      <w:pPr>
        <w:pStyle w:val="8"/>
        <w:spacing w:before="186" w:line="362" w:lineRule="auto"/>
        <w:ind w:left="388" w:right="744" w:firstLine="424"/>
      </w:pPr>
      <w:r>
        <w:t>评标委员会按照第三章“评标办法”规定的方法、评审因素、标准和程序对投标文件进行评审。第三章“评标办法”没有规定的方法、评审因素和标准，不作为评标依据。</w:t>
      </w:r>
    </w:p>
    <w:p>
      <w:pPr>
        <w:pStyle w:val="8"/>
        <w:spacing w:before="8"/>
        <w:rPr>
          <w:sz w:val="20"/>
        </w:rPr>
      </w:pPr>
    </w:p>
    <w:p>
      <w:pPr>
        <w:pStyle w:val="7"/>
        <w:numPr>
          <w:ilvl w:val="0"/>
          <w:numId w:val="22"/>
        </w:numPr>
        <w:tabs>
          <w:tab w:val="left" w:pos="749"/>
        </w:tabs>
        <w:spacing w:before="0" w:after="0" w:line="240" w:lineRule="auto"/>
        <w:ind w:left="749" w:right="0" w:hanging="361"/>
        <w:jc w:val="left"/>
        <w:outlineLvl w:val="1"/>
      </w:pPr>
      <w:bookmarkStart w:id="83" w:name="7．合同授予"/>
      <w:bookmarkEnd w:id="83"/>
      <w:bookmarkStart w:id="84" w:name="_bookmark39"/>
      <w:bookmarkEnd w:id="84"/>
      <w:r>
        <w:t>合同授予</w:t>
      </w:r>
    </w:p>
    <w:p>
      <w:pPr>
        <w:pStyle w:val="8"/>
        <w:rPr>
          <w:b/>
        </w:rPr>
      </w:pPr>
    </w:p>
    <w:p>
      <w:pPr>
        <w:pStyle w:val="16"/>
        <w:numPr>
          <w:ilvl w:val="1"/>
          <w:numId w:val="22"/>
        </w:numPr>
        <w:tabs>
          <w:tab w:val="left" w:pos="808"/>
        </w:tabs>
        <w:spacing w:before="184" w:after="0" w:line="240" w:lineRule="auto"/>
        <w:ind w:left="808" w:right="0" w:hanging="420"/>
        <w:jc w:val="left"/>
        <w:outlineLvl w:val="2"/>
        <w:rPr>
          <w:b/>
          <w:sz w:val="24"/>
        </w:rPr>
      </w:pPr>
      <w:bookmarkStart w:id="85" w:name="_bookmark40"/>
      <w:bookmarkEnd w:id="85"/>
      <w:bookmarkStart w:id="86" w:name="7.1定标方式"/>
      <w:bookmarkEnd w:id="86"/>
      <w:r>
        <w:rPr>
          <w:b/>
          <w:sz w:val="24"/>
        </w:rPr>
        <w:t>定标方式</w:t>
      </w:r>
    </w:p>
    <w:p>
      <w:pPr>
        <w:pStyle w:val="8"/>
        <w:rPr>
          <w:b/>
        </w:rPr>
      </w:pPr>
    </w:p>
    <w:p>
      <w:pPr>
        <w:pStyle w:val="8"/>
        <w:spacing w:before="182" w:line="364" w:lineRule="auto"/>
        <w:ind w:left="388" w:right="744" w:firstLine="424"/>
        <w:jc w:val="both"/>
      </w:pPr>
      <w:r>
        <w:t>除磋商响应人须知前附表规定评标委员会直接确定中标人外，招标人依据评标委员会推荐的中标候选人确定中标人，评标委员会推荐中标候选人的人数见磋商响应人须知前附表。</w:t>
      </w:r>
    </w:p>
    <w:p>
      <w:pPr>
        <w:pStyle w:val="8"/>
        <w:spacing w:before="5"/>
        <w:rPr>
          <w:sz w:val="20"/>
        </w:rPr>
      </w:pPr>
    </w:p>
    <w:p>
      <w:pPr>
        <w:pStyle w:val="7"/>
        <w:numPr>
          <w:ilvl w:val="1"/>
          <w:numId w:val="22"/>
        </w:numPr>
        <w:tabs>
          <w:tab w:val="left" w:pos="808"/>
        </w:tabs>
        <w:spacing w:before="0" w:after="0" w:line="240" w:lineRule="auto"/>
        <w:ind w:left="808" w:right="0" w:hanging="420"/>
        <w:jc w:val="left"/>
        <w:outlineLvl w:val="2"/>
      </w:pPr>
      <w:bookmarkStart w:id="87" w:name="7.2中标通知"/>
      <w:bookmarkEnd w:id="87"/>
      <w:bookmarkStart w:id="88" w:name="_bookmark41"/>
      <w:bookmarkEnd w:id="88"/>
      <w:r>
        <w:t>中标通知</w:t>
      </w:r>
    </w:p>
    <w:p>
      <w:pPr>
        <w:pStyle w:val="8"/>
        <w:rPr>
          <w:b/>
        </w:rPr>
      </w:pPr>
    </w:p>
    <w:p>
      <w:pPr>
        <w:pStyle w:val="8"/>
        <w:spacing w:before="182" w:line="364" w:lineRule="auto"/>
        <w:ind w:left="388" w:right="744" w:firstLine="424"/>
        <w:jc w:val="both"/>
      </w:pPr>
      <w:r>
        <w:rPr>
          <w:spacing w:val="-8"/>
        </w:rPr>
        <w:t xml:space="preserve">在本章第 </w:t>
      </w:r>
      <w:r>
        <w:t>3.3</w:t>
      </w:r>
      <w:r>
        <w:rPr>
          <w:spacing w:val="-5"/>
        </w:rPr>
        <w:t xml:space="preserve"> 款规定的投标有效期内，招标人以书面形式向中标人发出中标通知书， 同时将中标结果通知未中标磋商响应人。</w:t>
      </w:r>
    </w:p>
    <w:p>
      <w:pPr>
        <w:pStyle w:val="8"/>
        <w:spacing w:before="4"/>
        <w:rPr>
          <w:sz w:val="20"/>
        </w:rPr>
      </w:pPr>
    </w:p>
    <w:p>
      <w:pPr>
        <w:pStyle w:val="7"/>
        <w:numPr>
          <w:ilvl w:val="1"/>
          <w:numId w:val="22"/>
        </w:numPr>
        <w:tabs>
          <w:tab w:val="left" w:pos="808"/>
        </w:tabs>
        <w:spacing w:before="0" w:after="0" w:line="240" w:lineRule="auto"/>
        <w:ind w:left="808" w:right="0" w:hanging="420"/>
        <w:jc w:val="left"/>
        <w:outlineLvl w:val="2"/>
      </w:pPr>
      <w:bookmarkStart w:id="89" w:name="_bookmark42"/>
      <w:bookmarkEnd w:id="89"/>
      <w:bookmarkStart w:id="90" w:name="7.3履约担保（本项目不适用）"/>
      <w:bookmarkEnd w:id="90"/>
      <w:r>
        <w:t>履约担保（本项目不适用）</w:t>
      </w:r>
    </w:p>
    <w:p>
      <w:pPr>
        <w:pStyle w:val="8"/>
        <w:rPr>
          <w:b/>
        </w:rPr>
      </w:pPr>
    </w:p>
    <w:p>
      <w:pPr>
        <w:pStyle w:val="16"/>
        <w:numPr>
          <w:ilvl w:val="2"/>
          <w:numId w:val="22"/>
        </w:numPr>
        <w:tabs>
          <w:tab w:val="left" w:pos="1473"/>
        </w:tabs>
        <w:spacing w:before="184" w:after="0" w:line="362" w:lineRule="auto"/>
        <w:ind w:left="388" w:right="744" w:firstLine="424"/>
        <w:jc w:val="left"/>
        <w:rPr>
          <w:sz w:val="24"/>
        </w:rPr>
      </w:pPr>
      <w:r>
        <w:rPr>
          <w:spacing w:val="-9"/>
          <w:sz w:val="24"/>
        </w:rPr>
        <w:t>在签订合同前，中标人应按照磋商响应人须知前附表规定的金额、担保形式和竞</w:t>
      </w:r>
      <w:r>
        <w:rPr>
          <w:sz w:val="24"/>
        </w:rPr>
        <w:t>争性磋商第四章“合同条款及格式”规定的履约担保格式向招标人提交履约担保。联合体</w:t>
      </w:r>
    </w:p>
    <w:p>
      <w:pPr>
        <w:spacing w:after="0" w:line="362"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55" o:spid="_x0000_s1055" o:spt="20" style="position:absolute;left:0pt;margin-left:62.4pt;margin-top:12.25pt;height:0pt;width:400.4pt;mso-position-horizontal-relative:page;z-index:25170534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2" w:lineRule="auto"/>
        <w:ind w:left="388" w:right="744"/>
      </w:pPr>
      <w:r>
        <w:t>中标的，其履约担保由牵头人递交，并应符合磋商响应人须知前附表规定的金额、担保形式和竞争性磋商第四章“合同条款及格式”规定的履约担保格式要求。</w:t>
      </w:r>
    </w:p>
    <w:p>
      <w:pPr>
        <w:pStyle w:val="16"/>
        <w:numPr>
          <w:ilvl w:val="2"/>
          <w:numId w:val="22"/>
        </w:numPr>
        <w:tabs>
          <w:tab w:val="left" w:pos="1473"/>
        </w:tabs>
        <w:spacing w:before="5" w:after="0" w:line="364" w:lineRule="auto"/>
        <w:ind w:left="388" w:right="744" w:firstLine="424"/>
        <w:jc w:val="both"/>
        <w:rPr>
          <w:sz w:val="24"/>
        </w:rPr>
      </w:pPr>
      <w:r>
        <w:rPr>
          <w:spacing w:val="-6"/>
          <w:sz w:val="24"/>
        </w:rPr>
        <w:t xml:space="preserve">中标人不能按本章第 </w:t>
      </w:r>
      <w:r>
        <w:rPr>
          <w:sz w:val="24"/>
        </w:rPr>
        <w:t>7.3.1</w:t>
      </w:r>
      <w:r>
        <w:rPr>
          <w:spacing w:val="-14"/>
          <w:sz w:val="24"/>
        </w:rPr>
        <w:t xml:space="preserve"> 项要求提交履约担保的，视为放弃中标，其投标保证</w:t>
      </w:r>
      <w:r>
        <w:rPr>
          <w:sz w:val="24"/>
        </w:rPr>
        <w:t>金不予退还，给招标人造成的损失超过投标保证金数额的，中标人还应当对超过部分予以赔偿。</w:t>
      </w:r>
    </w:p>
    <w:p>
      <w:pPr>
        <w:pStyle w:val="8"/>
        <w:spacing w:before="2"/>
        <w:rPr>
          <w:sz w:val="20"/>
        </w:rPr>
      </w:pPr>
    </w:p>
    <w:p>
      <w:pPr>
        <w:pStyle w:val="7"/>
        <w:numPr>
          <w:ilvl w:val="1"/>
          <w:numId w:val="22"/>
        </w:numPr>
        <w:tabs>
          <w:tab w:val="left" w:pos="808"/>
        </w:tabs>
        <w:spacing w:before="0" w:after="0" w:line="240" w:lineRule="auto"/>
        <w:ind w:left="808" w:right="0" w:hanging="420"/>
        <w:jc w:val="left"/>
        <w:outlineLvl w:val="2"/>
      </w:pPr>
      <w:bookmarkStart w:id="91" w:name="_bookmark43"/>
      <w:bookmarkEnd w:id="91"/>
      <w:bookmarkStart w:id="92" w:name="7.4签订合同"/>
      <w:bookmarkEnd w:id="92"/>
      <w:r>
        <w:t>签订合同</w:t>
      </w:r>
    </w:p>
    <w:p>
      <w:pPr>
        <w:pStyle w:val="8"/>
        <w:rPr>
          <w:b/>
        </w:rPr>
      </w:pPr>
    </w:p>
    <w:p>
      <w:pPr>
        <w:pStyle w:val="16"/>
        <w:numPr>
          <w:ilvl w:val="2"/>
          <w:numId w:val="22"/>
        </w:numPr>
        <w:tabs>
          <w:tab w:val="left" w:pos="1473"/>
        </w:tabs>
        <w:spacing w:before="184" w:after="0" w:line="364" w:lineRule="auto"/>
        <w:ind w:left="388" w:right="744" w:firstLine="424"/>
        <w:jc w:val="both"/>
        <w:rPr>
          <w:sz w:val="24"/>
        </w:rPr>
      </w:pPr>
      <w:r>
        <w:rPr>
          <w:spacing w:val="-2"/>
          <w:sz w:val="24"/>
        </w:rPr>
        <w:t xml:space="preserve">招标人和中标人应当自中标通知书发出之日起 </w:t>
      </w:r>
      <w:r>
        <w:rPr>
          <w:sz w:val="24"/>
        </w:rPr>
        <w:t>30</w:t>
      </w:r>
      <w:r>
        <w:rPr>
          <w:spacing w:val="-7"/>
          <w:sz w:val="24"/>
        </w:rPr>
        <w:t xml:space="preserve"> 天内，根据竞争性磋商和中标人的投标文件订立书面合同。中标人无正当理由拒签合同的，招标人取消其中标资格，其投标保证金不予退还；给招标人造成的损失超过投标保证金数额的，中标人还应当对超过部分予以赔偿。</w:t>
      </w:r>
    </w:p>
    <w:p>
      <w:pPr>
        <w:pStyle w:val="16"/>
        <w:numPr>
          <w:ilvl w:val="2"/>
          <w:numId w:val="22"/>
        </w:numPr>
        <w:tabs>
          <w:tab w:val="left" w:pos="1473"/>
        </w:tabs>
        <w:spacing w:before="0" w:after="0" w:line="364" w:lineRule="auto"/>
        <w:ind w:left="388" w:right="744" w:firstLine="424"/>
        <w:jc w:val="both"/>
        <w:rPr>
          <w:sz w:val="24"/>
        </w:rPr>
      </w:pPr>
      <w:r>
        <w:rPr>
          <w:spacing w:val="-7"/>
          <w:sz w:val="24"/>
        </w:rPr>
        <w:t>发出中标通知书后，招标人无正当理由拒签合同的，招标人向中标人退还投标保</w:t>
      </w:r>
      <w:r>
        <w:rPr>
          <w:sz w:val="24"/>
        </w:rPr>
        <w:t>证金；给中标人造成损失的，还应当赔偿损失。</w:t>
      </w:r>
    </w:p>
    <w:p>
      <w:pPr>
        <w:pStyle w:val="8"/>
        <w:spacing w:before="2"/>
        <w:rPr>
          <w:sz w:val="20"/>
        </w:rPr>
      </w:pPr>
    </w:p>
    <w:p>
      <w:pPr>
        <w:pStyle w:val="7"/>
        <w:numPr>
          <w:ilvl w:val="0"/>
          <w:numId w:val="22"/>
        </w:numPr>
        <w:tabs>
          <w:tab w:val="left" w:pos="629"/>
        </w:tabs>
        <w:spacing w:before="0" w:after="0" w:line="240" w:lineRule="auto"/>
        <w:ind w:left="629" w:right="0" w:hanging="241"/>
        <w:jc w:val="left"/>
        <w:outlineLvl w:val="1"/>
      </w:pPr>
      <w:bookmarkStart w:id="93" w:name="_bookmark44"/>
      <w:bookmarkEnd w:id="93"/>
      <w:bookmarkStart w:id="94" w:name="8.重新招标和不再招标"/>
      <w:bookmarkEnd w:id="94"/>
      <w:r>
        <w:t>重新招标和不再招标</w:t>
      </w:r>
    </w:p>
    <w:p>
      <w:pPr>
        <w:pStyle w:val="8"/>
        <w:rPr>
          <w:b/>
        </w:rPr>
      </w:pPr>
    </w:p>
    <w:p>
      <w:pPr>
        <w:pStyle w:val="16"/>
        <w:numPr>
          <w:ilvl w:val="1"/>
          <w:numId w:val="22"/>
        </w:numPr>
        <w:tabs>
          <w:tab w:val="left" w:pos="808"/>
        </w:tabs>
        <w:spacing w:before="182" w:after="0" w:line="240" w:lineRule="auto"/>
        <w:ind w:left="808" w:right="0" w:hanging="420"/>
        <w:jc w:val="left"/>
        <w:outlineLvl w:val="2"/>
        <w:rPr>
          <w:b/>
          <w:sz w:val="24"/>
        </w:rPr>
      </w:pPr>
      <w:bookmarkStart w:id="95" w:name="8.1重新招标"/>
      <w:bookmarkEnd w:id="95"/>
      <w:bookmarkStart w:id="96" w:name="_bookmark45"/>
      <w:bookmarkEnd w:id="96"/>
      <w:r>
        <w:rPr>
          <w:b/>
          <w:sz w:val="24"/>
        </w:rPr>
        <w:t>重新招标</w:t>
      </w:r>
    </w:p>
    <w:p>
      <w:pPr>
        <w:pStyle w:val="8"/>
        <w:rPr>
          <w:b/>
        </w:rPr>
      </w:pPr>
    </w:p>
    <w:p>
      <w:pPr>
        <w:pStyle w:val="8"/>
        <w:spacing w:before="184"/>
        <w:ind w:left="812"/>
      </w:pPr>
      <w:r>
        <w:t>有下列情形之一的，招标人将重新招标：</w:t>
      </w:r>
    </w:p>
    <w:p>
      <w:pPr>
        <w:pStyle w:val="16"/>
        <w:numPr>
          <w:ilvl w:val="0"/>
          <w:numId w:val="23"/>
        </w:numPr>
        <w:tabs>
          <w:tab w:val="left" w:pos="1414"/>
        </w:tabs>
        <w:spacing w:before="161" w:after="0" w:line="240" w:lineRule="auto"/>
        <w:ind w:left="1413" w:right="0" w:hanging="602"/>
        <w:jc w:val="left"/>
        <w:rPr>
          <w:sz w:val="24"/>
        </w:rPr>
      </w:pPr>
      <w:r>
        <w:rPr>
          <w:spacing w:val="-4"/>
          <w:sz w:val="24"/>
        </w:rPr>
        <w:t xml:space="preserve">投标截止时间止，磋商响应人少于 </w:t>
      </w:r>
      <w:r>
        <w:rPr>
          <w:sz w:val="24"/>
        </w:rPr>
        <w:t>3</w:t>
      </w:r>
      <w:r>
        <w:rPr>
          <w:spacing w:val="-15"/>
          <w:sz w:val="24"/>
        </w:rPr>
        <w:t xml:space="preserve"> 个的；</w:t>
      </w:r>
    </w:p>
    <w:p>
      <w:pPr>
        <w:pStyle w:val="16"/>
        <w:numPr>
          <w:ilvl w:val="0"/>
          <w:numId w:val="23"/>
        </w:numPr>
        <w:tabs>
          <w:tab w:val="left" w:pos="1414"/>
        </w:tabs>
        <w:spacing w:before="158" w:after="0" w:line="240" w:lineRule="auto"/>
        <w:ind w:left="1413" w:right="0" w:hanging="602"/>
        <w:jc w:val="left"/>
        <w:rPr>
          <w:sz w:val="24"/>
        </w:rPr>
      </w:pPr>
      <w:r>
        <w:rPr>
          <w:sz w:val="24"/>
        </w:rPr>
        <w:t>经评标委员会评审后否决所有投标的。</w:t>
      </w:r>
    </w:p>
    <w:p>
      <w:pPr>
        <w:pStyle w:val="16"/>
        <w:numPr>
          <w:ilvl w:val="0"/>
          <w:numId w:val="23"/>
        </w:numPr>
        <w:tabs>
          <w:tab w:val="left" w:pos="1420"/>
        </w:tabs>
        <w:spacing w:before="160" w:after="0" w:line="362" w:lineRule="auto"/>
        <w:ind w:left="388" w:right="746" w:firstLine="424"/>
        <w:jc w:val="left"/>
        <w:rPr>
          <w:sz w:val="24"/>
        </w:rPr>
      </w:pPr>
      <w:r>
        <w:rPr>
          <w:sz w:val="24"/>
        </w:rPr>
        <w:t>评标委员会否决不合格投标或者界定为废标后因有效投标不足 3</w:t>
      </w:r>
      <w:r>
        <w:rPr>
          <w:spacing w:val="3"/>
          <w:sz w:val="24"/>
        </w:rPr>
        <w:t xml:space="preserve"> 个使得投标明显缺乏竞争，评标委员会决定否决全部投标的；</w:t>
      </w:r>
    </w:p>
    <w:p>
      <w:pPr>
        <w:pStyle w:val="16"/>
        <w:numPr>
          <w:ilvl w:val="0"/>
          <w:numId w:val="23"/>
        </w:numPr>
        <w:tabs>
          <w:tab w:val="left" w:pos="1414"/>
        </w:tabs>
        <w:spacing w:before="5" w:after="0" w:line="240" w:lineRule="auto"/>
        <w:ind w:left="1413" w:right="0" w:hanging="602"/>
        <w:jc w:val="left"/>
        <w:rPr>
          <w:sz w:val="24"/>
        </w:rPr>
      </w:pPr>
      <w:r>
        <w:rPr>
          <w:sz w:val="24"/>
        </w:rPr>
        <w:t>同意延长投标有效期的磋商响应人少于 3 个的；</w:t>
      </w:r>
    </w:p>
    <w:p>
      <w:pPr>
        <w:pStyle w:val="16"/>
        <w:numPr>
          <w:ilvl w:val="0"/>
          <w:numId w:val="23"/>
        </w:numPr>
        <w:tabs>
          <w:tab w:val="left" w:pos="1414"/>
        </w:tabs>
        <w:spacing w:before="158" w:after="0" w:line="240" w:lineRule="auto"/>
        <w:ind w:left="1413" w:right="0" w:hanging="602"/>
        <w:jc w:val="left"/>
        <w:rPr>
          <w:sz w:val="24"/>
        </w:rPr>
      </w:pPr>
      <w:r>
        <w:rPr>
          <w:sz w:val="24"/>
        </w:rPr>
        <w:t>中标候选人均未与招标人签订合同的。</w:t>
      </w:r>
    </w:p>
    <w:p>
      <w:pPr>
        <w:pStyle w:val="8"/>
        <w:spacing w:before="10"/>
        <w:rPr>
          <w:sz w:val="32"/>
        </w:rPr>
      </w:pPr>
    </w:p>
    <w:p>
      <w:pPr>
        <w:pStyle w:val="7"/>
        <w:numPr>
          <w:ilvl w:val="1"/>
          <w:numId w:val="22"/>
        </w:numPr>
        <w:tabs>
          <w:tab w:val="left" w:pos="808"/>
        </w:tabs>
        <w:spacing w:before="0" w:after="0" w:line="240" w:lineRule="auto"/>
        <w:ind w:left="808" w:right="0" w:hanging="420"/>
        <w:jc w:val="left"/>
        <w:outlineLvl w:val="2"/>
      </w:pPr>
      <w:bookmarkStart w:id="97" w:name="_bookmark46"/>
      <w:bookmarkEnd w:id="97"/>
      <w:bookmarkStart w:id="98" w:name="8.2不再招标"/>
      <w:bookmarkEnd w:id="98"/>
      <w:r>
        <w:t>不再招标</w:t>
      </w:r>
    </w:p>
    <w:p>
      <w:pPr>
        <w:pStyle w:val="8"/>
        <w:rPr>
          <w:b/>
        </w:rPr>
      </w:pPr>
    </w:p>
    <w:p>
      <w:pPr>
        <w:pStyle w:val="8"/>
        <w:spacing w:before="184" w:line="364" w:lineRule="auto"/>
        <w:ind w:left="388" w:right="702" w:firstLine="424"/>
      </w:pPr>
      <w:r>
        <w:t>重新招标后磋商响应人仍少于 3 个或者所有投标被否决的，属于必须审批或核准的工程建设项目，经原审批或核准部分批准后不再进行招标。</w:t>
      </w:r>
    </w:p>
    <w:p>
      <w:pPr>
        <w:pStyle w:val="8"/>
        <w:spacing w:before="4"/>
        <w:rPr>
          <w:sz w:val="20"/>
        </w:rPr>
      </w:pPr>
    </w:p>
    <w:p>
      <w:pPr>
        <w:pStyle w:val="7"/>
        <w:numPr>
          <w:ilvl w:val="0"/>
          <w:numId w:val="22"/>
        </w:numPr>
        <w:tabs>
          <w:tab w:val="left" w:pos="629"/>
        </w:tabs>
        <w:spacing w:before="0" w:after="0" w:line="240" w:lineRule="auto"/>
        <w:ind w:left="629" w:right="0" w:hanging="241"/>
        <w:jc w:val="left"/>
        <w:outlineLvl w:val="1"/>
      </w:pPr>
      <w:bookmarkStart w:id="99" w:name="9.纪律和监督"/>
      <w:bookmarkEnd w:id="99"/>
      <w:bookmarkStart w:id="100" w:name="_bookmark47"/>
      <w:bookmarkEnd w:id="100"/>
      <w:r>
        <w:t>纪律和监督</w:t>
      </w:r>
    </w:p>
    <w:p>
      <w:pPr>
        <w:spacing w:after="0" w:line="240" w:lineRule="auto"/>
        <w:jc w:val="left"/>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56" o:spid="_x0000_s1056" o:spt="20" style="position:absolute;left:0pt;margin-left:62.4pt;margin-top:12.25pt;height:0pt;width:400.4pt;mso-position-horizontal-relative:page;z-index:25170636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7"/>
        <w:numPr>
          <w:ilvl w:val="1"/>
          <w:numId w:val="22"/>
        </w:numPr>
        <w:tabs>
          <w:tab w:val="left" w:pos="808"/>
        </w:tabs>
        <w:spacing w:before="67" w:after="0" w:line="240" w:lineRule="auto"/>
        <w:ind w:left="808" w:right="0" w:hanging="420"/>
        <w:jc w:val="left"/>
        <w:outlineLvl w:val="2"/>
      </w:pPr>
      <w:bookmarkStart w:id="101" w:name="9.1对招标人的记录要求"/>
      <w:bookmarkEnd w:id="101"/>
      <w:bookmarkStart w:id="102" w:name="_bookmark48"/>
      <w:bookmarkEnd w:id="102"/>
      <w:r>
        <w:t>对招标人的记录要求</w:t>
      </w:r>
    </w:p>
    <w:p>
      <w:pPr>
        <w:pStyle w:val="8"/>
        <w:rPr>
          <w:b/>
        </w:rPr>
      </w:pPr>
    </w:p>
    <w:p>
      <w:pPr>
        <w:pStyle w:val="8"/>
        <w:spacing w:before="12"/>
        <w:rPr>
          <w:b/>
          <w:sz w:val="22"/>
        </w:rPr>
      </w:pPr>
    </w:p>
    <w:p>
      <w:pPr>
        <w:pStyle w:val="8"/>
        <w:spacing w:line="343" w:lineRule="auto"/>
        <w:ind w:left="388" w:right="744" w:firstLine="480"/>
      </w:pPr>
      <w:r>
        <w:t>招标人不得泄漏招标投标活动中应当保密的情况和资料，不得与磋商响应人串通损害国家利益、社会公共利益或者他人合法权益。</w:t>
      </w:r>
    </w:p>
    <w:p>
      <w:pPr>
        <w:pStyle w:val="8"/>
        <w:spacing w:before="2"/>
        <w:ind w:left="868"/>
      </w:pPr>
      <w:r>
        <w:t>下列行为均属招标人与磋商响应人串通投标：</w:t>
      </w:r>
    </w:p>
    <w:p>
      <w:pPr>
        <w:pStyle w:val="8"/>
        <w:spacing w:line="440" w:lineRule="atLeast"/>
        <w:ind w:left="388" w:right="673" w:firstLine="480"/>
      </w:pPr>
      <w:r>
        <w:t>（l）招标人在开标前开启投标文件，并将投标情况告知其它磋商响应人，或者协助磋商响应人撤换投标文件，更改报价；</w:t>
      </w:r>
    </w:p>
    <w:p>
      <w:pPr>
        <w:pStyle w:val="16"/>
        <w:numPr>
          <w:ilvl w:val="0"/>
          <w:numId w:val="24"/>
        </w:numPr>
        <w:tabs>
          <w:tab w:val="left" w:pos="1469"/>
        </w:tabs>
        <w:spacing w:before="22" w:after="0" w:line="240" w:lineRule="auto"/>
        <w:ind w:left="1469" w:right="0" w:hanging="601"/>
        <w:jc w:val="left"/>
        <w:rPr>
          <w:sz w:val="24"/>
        </w:rPr>
      </w:pPr>
      <w:r>
        <w:rPr>
          <w:sz w:val="24"/>
        </w:rPr>
        <w:t>招标人向磋商响应人泄露标底；</w:t>
      </w:r>
    </w:p>
    <w:p>
      <w:pPr>
        <w:pStyle w:val="8"/>
        <w:spacing w:before="12"/>
        <w:rPr>
          <w:sz w:val="20"/>
        </w:rPr>
      </w:pPr>
    </w:p>
    <w:p>
      <w:pPr>
        <w:pStyle w:val="16"/>
        <w:numPr>
          <w:ilvl w:val="0"/>
          <w:numId w:val="24"/>
        </w:numPr>
        <w:tabs>
          <w:tab w:val="left" w:pos="1469"/>
        </w:tabs>
        <w:spacing w:before="0" w:after="0" w:line="345" w:lineRule="auto"/>
        <w:ind w:left="388" w:right="744" w:firstLine="480"/>
        <w:jc w:val="left"/>
        <w:rPr>
          <w:sz w:val="24"/>
        </w:rPr>
      </w:pPr>
      <w:r>
        <w:rPr>
          <w:spacing w:val="-3"/>
          <w:sz w:val="24"/>
        </w:rPr>
        <w:t>招标人与磋商响应人商定，投标时压低或抬高标价，中标后再给磋商响应人或</w:t>
      </w:r>
      <w:r>
        <w:rPr>
          <w:spacing w:val="-4"/>
          <w:sz w:val="24"/>
        </w:rPr>
        <w:t>招标人额外补偿；</w:t>
      </w:r>
    </w:p>
    <w:p>
      <w:pPr>
        <w:pStyle w:val="16"/>
        <w:numPr>
          <w:ilvl w:val="0"/>
          <w:numId w:val="24"/>
        </w:numPr>
        <w:tabs>
          <w:tab w:val="left" w:pos="1469"/>
        </w:tabs>
        <w:spacing w:before="0" w:after="0" w:line="303" w:lineRule="exact"/>
        <w:ind w:left="1469" w:right="0" w:hanging="601"/>
        <w:jc w:val="left"/>
        <w:rPr>
          <w:sz w:val="24"/>
        </w:rPr>
      </w:pPr>
      <w:r>
        <w:rPr>
          <w:sz w:val="24"/>
        </w:rPr>
        <w:t>招标人预先内定中标人；</w:t>
      </w:r>
    </w:p>
    <w:p>
      <w:pPr>
        <w:pStyle w:val="16"/>
        <w:numPr>
          <w:ilvl w:val="0"/>
          <w:numId w:val="24"/>
        </w:numPr>
        <w:tabs>
          <w:tab w:val="left" w:pos="1469"/>
        </w:tabs>
        <w:spacing w:before="132" w:after="0" w:line="240" w:lineRule="auto"/>
        <w:ind w:left="1469" w:right="0" w:hanging="601"/>
        <w:jc w:val="left"/>
        <w:rPr>
          <w:sz w:val="24"/>
        </w:rPr>
      </w:pPr>
      <w:r>
        <w:rPr>
          <w:sz w:val="24"/>
        </w:rPr>
        <w:t>其它串通投标行为。</w:t>
      </w:r>
    </w:p>
    <w:p>
      <w:pPr>
        <w:pStyle w:val="8"/>
        <w:spacing w:before="1"/>
        <w:rPr>
          <w:sz w:val="22"/>
        </w:rPr>
      </w:pPr>
    </w:p>
    <w:p>
      <w:pPr>
        <w:pStyle w:val="7"/>
        <w:numPr>
          <w:ilvl w:val="1"/>
          <w:numId w:val="22"/>
        </w:numPr>
        <w:tabs>
          <w:tab w:val="left" w:pos="808"/>
        </w:tabs>
        <w:spacing w:before="0" w:after="0" w:line="240" w:lineRule="auto"/>
        <w:ind w:left="808" w:right="0" w:hanging="420"/>
        <w:jc w:val="left"/>
        <w:outlineLvl w:val="2"/>
      </w:pPr>
      <w:bookmarkStart w:id="103" w:name="_bookmark49"/>
      <w:bookmarkEnd w:id="103"/>
      <w:bookmarkStart w:id="104" w:name="9.2对磋商响应人的纪律要求"/>
      <w:bookmarkEnd w:id="104"/>
      <w:r>
        <w:t>对磋商响应人的纪律要求</w:t>
      </w:r>
    </w:p>
    <w:p>
      <w:pPr>
        <w:pStyle w:val="8"/>
        <w:rPr>
          <w:b/>
        </w:rPr>
      </w:pPr>
    </w:p>
    <w:p>
      <w:pPr>
        <w:pStyle w:val="8"/>
        <w:spacing w:before="184" w:line="364" w:lineRule="auto"/>
        <w:ind w:left="388" w:right="744" w:firstLine="424"/>
        <w:jc w:val="both"/>
      </w:pPr>
      <w:r>
        <w:t>磋商响应人不得相互串通投标或者与招标人串通投标，不得向招标人或者评标委员会成员行贿谋取中标，不得以他人名义投标或者以其他方式弄虚作假骗取中标；磋商响应人不得以任何方式干扰、影响评标工作。</w:t>
      </w:r>
    </w:p>
    <w:p>
      <w:pPr>
        <w:pStyle w:val="16"/>
        <w:numPr>
          <w:ilvl w:val="0"/>
          <w:numId w:val="25"/>
        </w:numPr>
        <w:tabs>
          <w:tab w:val="left" w:pos="1173"/>
        </w:tabs>
        <w:spacing w:before="0" w:after="0" w:line="304" w:lineRule="exact"/>
        <w:ind w:left="1172" w:right="0" w:hanging="361"/>
        <w:jc w:val="both"/>
        <w:rPr>
          <w:sz w:val="24"/>
        </w:rPr>
      </w:pPr>
      <w:r>
        <w:rPr>
          <w:sz w:val="24"/>
        </w:rPr>
        <w:t>2.1 下列行为均属以他人名义投标：</w:t>
      </w:r>
    </w:p>
    <w:p>
      <w:pPr>
        <w:pStyle w:val="16"/>
        <w:numPr>
          <w:ilvl w:val="0"/>
          <w:numId w:val="26"/>
        </w:numPr>
        <w:tabs>
          <w:tab w:val="left" w:pos="1469"/>
        </w:tabs>
        <w:spacing w:before="161" w:after="0" w:line="240" w:lineRule="auto"/>
        <w:ind w:left="1469" w:right="0" w:hanging="601"/>
        <w:jc w:val="left"/>
        <w:rPr>
          <w:sz w:val="24"/>
        </w:rPr>
      </w:pPr>
      <w:r>
        <w:rPr>
          <w:sz w:val="24"/>
        </w:rPr>
        <w:t>磋商响应人挂靠其它施工单位；</w:t>
      </w:r>
    </w:p>
    <w:p>
      <w:pPr>
        <w:pStyle w:val="16"/>
        <w:numPr>
          <w:ilvl w:val="0"/>
          <w:numId w:val="26"/>
        </w:numPr>
        <w:tabs>
          <w:tab w:val="left" w:pos="1414"/>
        </w:tabs>
        <w:spacing w:before="160" w:after="0" w:line="240" w:lineRule="auto"/>
        <w:ind w:left="1413" w:right="0" w:hanging="602"/>
        <w:jc w:val="left"/>
        <w:rPr>
          <w:sz w:val="24"/>
        </w:rPr>
      </w:pPr>
      <w:r>
        <w:rPr>
          <w:sz w:val="24"/>
        </w:rPr>
        <w:t>磋商响应人从其它施工单位通过转让或租借的方式获取资格或资质证书；</w:t>
      </w:r>
    </w:p>
    <w:p>
      <w:pPr>
        <w:pStyle w:val="16"/>
        <w:numPr>
          <w:ilvl w:val="0"/>
          <w:numId w:val="26"/>
        </w:numPr>
        <w:tabs>
          <w:tab w:val="left" w:pos="1414"/>
        </w:tabs>
        <w:spacing w:before="158" w:after="0" w:line="240" w:lineRule="auto"/>
        <w:ind w:left="1413" w:right="0" w:hanging="602"/>
        <w:jc w:val="left"/>
        <w:rPr>
          <w:sz w:val="24"/>
        </w:rPr>
      </w:pPr>
      <w:r>
        <w:rPr>
          <w:sz w:val="24"/>
        </w:rPr>
        <w:t>由其它单位及法定代表人在自己编制的投标文件上加盖印章或签字的行为。</w:t>
      </w:r>
    </w:p>
    <w:p>
      <w:pPr>
        <w:pStyle w:val="16"/>
        <w:numPr>
          <w:ilvl w:val="2"/>
          <w:numId w:val="27"/>
        </w:numPr>
        <w:tabs>
          <w:tab w:val="left" w:pos="1533"/>
        </w:tabs>
        <w:spacing w:before="161" w:after="0" w:line="240" w:lineRule="auto"/>
        <w:ind w:left="1532" w:right="0" w:hanging="721"/>
        <w:jc w:val="both"/>
        <w:rPr>
          <w:sz w:val="24"/>
        </w:rPr>
      </w:pPr>
      <w:bookmarkStart w:id="105" w:name="9.2.2 下列行为，视为允许他人以本单位名义承揽工程： "/>
      <w:bookmarkEnd w:id="105"/>
      <w:bookmarkStart w:id="106" w:name="_bookmark50"/>
      <w:bookmarkEnd w:id="106"/>
      <w:r>
        <w:rPr>
          <w:sz w:val="24"/>
        </w:rPr>
        <w:t>下列行为，视为允许他人以本单位名义承揽工程：</w:t>
      </w:r>
    </w:p>
    <w:p>
      <w:pPr>
        <w:pStyle w:val="16"/>
        <w:numPr>
          <w:ilvl w:val="0"/>
          <w:numId w:val="28"/>
        </w:numPr>
        <w:tabs>
          <w:tab w:val="left" w:pos="1414"/>
        </w:tabs>
        <w:spacing w:before="158" w:after="0" w:line="240" w:lineRule="auto"/>
        <w:ind w:left="1413" w:right="0" w:hanging="602"/>
        <w:jc w:val="left"/>
        <w:rPr>
          <w:sz w:val="24"/>
        </w:rPr>
      </w:pPr>
      <w:r>
        <w:rPr>
          <w:sz w:val="24"/>
        </w:rPr>
        <w:t>磋商响应人的法定代表人的委托代理人不是磋商响应人本单位人员；</w:t>
      </w:r>
    </w:p>
    <w:p>
      <w:pPr>
        <w:pStyle w:val="16"/>
        <w:numPr>
          <w:ilvl w:val="0"/>
          <w:numId w:val="28"/>
        </w:numPr>
        <w:tabs>
          <w:tab w:val="left" w:pos="1414"/>
        </w:tabs>
        <w:spacing w:before="160" w:after="0" w:line="362" w:lineRule="auto"/>
        <w:ind w:left="388" w:right="744" w:firstLine="424"/>
        <w:jc w:val="left"/>
        <w:rPr>
          <w:sz w:val="24"/>
        </w:rPr>
      </w:pPr>
      <w:r>
        <w:rPr>
          <w:spacing w:val="-3"/>
          <w:sz w:val="24"/>
        </w:rPr>
        <w:t>磋商响应人拟在施工现场所设项目管理机构的项目经理、技术负责人、财务负责</w:t>
      </w:r>
      <w:r>
        <w:rPr>
          <w:sz w:val="24"/>
        </w:rPr>
        <w:t>人、质量管理人员、安全管理人员（专职安全生产管理人员）不是本单位人员。</w:t>
      </w:r>
    </w:p>
    <w:p>
      <w:pPr>
        <w:pStyle w:val="8"/>
        <w:spacing w:before="5"/>
        <w:ind w:left="812"/>
      </w:pPr>
      <w:r>
        <w:t>磋商响应人本单位人员，必须同时满足以下条件：</w:t>
      </w:r>
    </w:p>
    <w:p>
      <w:pPr>
        <w:pStyle w:val="16"/>
        <w:numPr>
          <w:ilvl w:val="0"/>
          <w:numId w:val="29"/>
        </w:numPr>
        <w:tabs>
          <w:tab w:val="left" w:pos="1414"/>
        </w:tabs>
        <w:spacing w:before="158" w:after="0" w:line="240" w:lineRule="auto"/>
        <w:ind w:left="1413" w:right="0" w:hanging="602"/>
        <w:jc w:val="left"/>
        <w:rPr>
          <w:sz w:val="24"/>
        </w:rPr>
      </w:pPr>
      <w:r>
        <w:rPr>
          <w:sz w:val="24"/>
        </w:rPr>
        <w:t>聘任合同必须由磋商响应人单位与之签订；</w:t>
      </w:r>
    </w:p>
    <w:p>
      <w:pPr>
        <w:pStyle w:val="16"/>
        <w:numPr>
          <w:ilvl w:val="0"/>
          <w:numId w:val="29"/>
        </w:numPr>
        <w:tabs>
          <w:tab w:val="left" w:pos="1414"/>
        </w:tabs>
        <w:spacing w:before="161" w:after="0" w:line="240" w:lineRule="auto"/>
        <w:ind w:left="1413" w:right="0" w:hanging="602"/>
        <w:jc w:val="left"/>
        <w:rPr>
          <w:sz w:val="24"/>
        </w:rPr>
      </w:pPr>
      <w:r>
        <w:rPr>
          <w:sz w:val="24"/>
        </w:rPr>
        <w:t>与磋商响应人单位有合法的工资关系；</w:t>
      </w:r>
    </w:p>
    <w:p>
      <w:pPr>
        <w:pStyle w:val="16"/>
        <w:numPr>
          <w:ilvl w:val="0"/>
          <w:numId w:val="29"/>
        </w:numPr>
        <w:tabs>
          <w:tab w:val="left" w:pos="1414"/>
        </w:tabs>
        <w:spacing w:before="158" w:after="0" w:line="364" w:lineRule="auto"/>
        <w:ind w:left="388" w:right="744" w:firstLine="424"/>
        <w:jc w:val="left"/>
        <w:rPr>
          <w:sz w:val="24"/>
        </w:rPr>
      </w:pPr>
      <w:r>
        <w:rPr>
          <w:spacing w:val="-2"/>
          <w:sz w:val="24"/>
        </w:rPr>
        <w:t>磋商响应人单位为其办理社会保险关系，或具有其它有效证明其为本单位人员身</w:t>
      </w:r>
      <w:r>
        <w:rPr>
          <w:sz w:val="24"/>
        </w:rPr>
        <w:t>份的文件。</w:t>
      </w:r>
    </w:p>
    <w:p>
      <w:pPr>
        <w:pStyle w:val="16"/>
        <w:numPr>
          <w:ilvl w:val="2"/>
          <w:numId w:val="27"/>
        </w:numPr>
        <w:tabs>
          <w:tab w:val="left" w:pos="1533"/>
        </w:tabs>
        <w:spacing w:before="0" w:after="0" w:line="306" w:lineRule="exact"/>
        <w:ind w:left="1532" w:right="0" w:hanging="721"/>
        <w:jc w:val="left"/>
        <w:rPr>
          <w:sz w:val="24"/>
        </w:rPr>
      </w:pPr>
      <w:r>
        <w:rPr>
          <w:sz w:val="24"/>
        </w:rPr>
        <w:t>下列行为均属磋商响应人串通投标报价：</w:t>
      </w:r>
    </w:p>
    <w:p>
      <w:pPr>
        <w:spacing w:after="0" w:line="306" w:lineRule="exact"/>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57" o:spid="_x0000_s1057" o:spt="20" style="position:absolute;left:0pt;margin-left:62.4pt;margin-top:12.25pt;height:0pt;width:400.4pt;mso-position-horizontal-relative:page;z-index:251707392;mso-width-relative:page;mso-height-relative:page;" stroked="t" coordsize="21600,21600">
            <v:path arrowok="t"/>
            <v:fill focussize="0,0"/>
            <v:stroke weight="0.36pt" color="#000000"/>
            <v:imagedata o:title=""/>
            <o:lock v:ext="edit"/>
          </v:line>
        </w:pict>
      </w:r>
      <w:bookmarkStart w:id="107" w:name="第三章 评审办法"/>
      <w:bookmarkEnd w:id="107"/>
      <w:r>
        <w:rPr>
          <w:rFonts w:hint="eastAsia"/>
          <w:sz w:val="18"/>
          <w:lang w:eastAsia="zh-CN"/>
        </w:rPr>
        <w:t xml:space="preserve"> </w:t>
      </w:r>
    </w:p>
    <w:p>
      <w:pPr>
        <w:pStyle w:val="8"/>
        <w:spacing w:before="6"/>
        <w:rPr>
          <w:sz w:val="25"/>
        </w:rPr>
      </w:pPr>
    </w:p>
    <w:p>
      <w:pPr>
        <w:pStyle w:val="16"/>
        <w:numPr>
          <w:ilvl w:val="0"/>
          <w:numId w:val="30"/>
        </w:numPr>
        <w:tabs>
          <w:tab w:val="left" w:pos="1414"/>
        </w:tabs>
        <w:spacing w:before="67" w:after="0" w:line="240" w:lineRule="auto"/>
        <w:ind w:left="1413" w:right="0" w:hanging="602"/>
        <w:jc w:val="left"/>
        <w:rPr>
          <w:sz w:val="24"/>
        </w:rPr>
      </w:pPr>
      <w:r>
        <w:rPr>
          <w:sz w:val="24"/>
        </w:rPr>
        <w:t>磋商响应人之间相互约定抬高或压低投标报价；</w:t>
      </w:r>
    </w:p>
    <w:p>
      <w:pPr>
        <w:pStyle w:val="16"/>
        <w:numPr>
          <w:ilvl w:val="0"/>
          <w:numId w:val="30"/>
        </w:numPr>
        <w:tabs>
          <w:tab w:val="left" w:pos="1469"/>
        </w:tabs>
        <w:spacing w:before="158" w:after="0" w:line="240" w:lineRule="auto"/>
        <w:ind w:left="1469" w:right="0" w:hanging="601"/>
        <w:jc w:val="left"/>
        <w:rPr>
          <w:sz w:val="24"/>
        </w:rPr>
      </w:pPr>
      <w:r>
        <w:rPr>
          <w:sz w:val="24"/>
        </w:rPr>
        <w:t>磋商响应人之间相互约定，在招标项目中分别以高、中、低价位报价；</w:t>
      </w:r>
    </w:p>
    <w:p>
      <w:pPr>
        <w:pStyle w:val="16"/>
        <w:numPr>
          <w:ilvl w:val="0"/>
          <w:numId w:val="30"/>
        </w:numPr>
        <w:tabs>
          <w:tab w:val="left" w:pos="1414"/>
        </w:tabs>
        <w:spacing w:before="160" w:after="0" w:line="240" w:lineRule="auto"/>
        <w:ind w:left="1413" w:right="0" w:hanging="602"/>
        <w:jc w:val="left"/>
        <w:rPr>
          <w:sz w:val="24"/>
        </w:rPr>
      </w:pPr>
      <w:r>
        <w:rPr>
          <w:sz w:val="24"/>
        </w:rPr>
        <w:t>磋商响应人之间先进行内部竞价，内定中标人，然后再参加投标；</w:t>
      </w:r>
    </w:p>
    <w:p>
      <w:pPr>
        <w:pStyle w:val="16"/>
        <w:numPr>
          <w:ilvl w:val="0"/>
          <w:numId w:val="30"/>
        </w:numPr>
        <w:tabs>
          <w:tab w:val="left" w:pos="1414"/>
        </w:tabs>
        <w:spacing w:before="158" w:after="0" w:line="240" w:lineRule="auto"/>
        <w:ind w:left="1413" w:right="0" w:hanging="602"/>
        <w:jc w:val="left"/>
        <w:rPr>
          <w:sz w:val="24"/>
        </w:rPr>
      </w:pPr>
      <w:r>
        <w:rPr>
          <w:sz w:val="24"/>
        </w:rPr>
        <w:t>磋商响应人之间其它串通投标报价的行为。</w:t>
      </w:r>
    </w:p>
    <w:p>
      <w:pPr>
        <w:pStyle w:val="8"/>
        <w:spacing w:before="10"/>
        <w:rPr>
          <w:sz w:val="32"/>
        </w:rPr>
      </w:pPr>
    </w:p>
    <w:p>
      <w:pPr>
        <w:pStyle w:val="7"/>
        <w:numPr>
          <w:ilvl w:val="1"/>
          <w:numId w:val="22"/>
        </w:numPr>
        <w:tabs>
          <w:tab w:val="left" w:pos="808"/>
        </w:tabs>
        <w:spacing w:before="0" w:after="0" w:line="240" w:lineRule="auto"/>
        <w:ind w:left="808" w:right="0" w:hanging="420"/>
        <w:jc w:val="left"/>
        <w:outlineLvl w:val="2"/>
      </w:pPr>
      <w:bookmarkStart w:id="108" w:name="9.3对评标委员会成员的纪律要求"/>
      <w:bookmarkEnd w:id="108"/>
      <w:bookmarkStart w:id="109" w:name="_bookmark51"/>
      <w:bookmarkEnd w:id="109"/>
      <w:r>
        <w:t>对评标委员会成员的纪律要求</w:t>
      </w:r>
    </w:p>
    <w:p>
      <w:pPr>
        <w:pStyle w:val="8"/>
        <w:rPr>
          <w:b/>
        </w:rPr>
      </w:pPr>
    </w:p>
    <w:p>
      <w:pPr>
        <w:pStyle w:val="8"/>
        <w:spacing w:before="187" w:line="364" w:lineRule="auto"/>
        <w:ind w:left="388" w:right="744" w:firstLine="424"/>
        <w:jc w:val="both"/>
      </w:pPr>
      <w:r>
        <w:t>评标委员会成员不得收受让人的财务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pStyle w:val="8"/>
        <w:rPr>
          <w:sz w:val="20"/>
        </w:rPr>
      </w:pPr>
    </w:p>
    <w:p>
      <w:pPr>
        <w:pStyle w:val="7"/>
        <w:numPr>
          <w:ilvl w:val="1"/>
          <w:numId w:val="22"/>
        </w:numPr>
        <w:tabs>
          <w:tab w:val="left" w:pos="808"/>
        </w:tabs>
        <w:spacing w:before="0" w:after="0" w:line="240" w:lineRule="auto"/>
        <w:ind w:left="808" w:right="0" w:hanging="420"/>
        <w:jc w:val="left"/>
        <w:outlineLvl w:val="2"/>
      </w:pPr>
      <w:bookmarkStart w:id="110" w:name="_bookmark52"/>
      <w:bookmarkEnd w:id="110"/>
      <w:bookmarkStart w:id="111" w:name="9.4对与评标活动有关的工作人员的纪律要求"/>
      <w:bookmarkEnd w:id="111"/>
      <w:r>
        <w:t>对与评标活动有关的工作人员的纪律要求</w:t>
      </w:r>
    </w:p>
    <w:p>
      <w:pPr>
        <w:pStyle w:val="8"/>
        <w:rPr>
          <w:b/>
        </w:rPr>
      </w:pPr>
    </w:p>
    <w:p>
      <w:pPr>
        <w:pStyle w:val="8"/>
        <w:spacing w:before="185" w:line="364" w:lineRule="auto"/>
        <w:ind w:left="388" w:right="744" w:firstLine="424"/>
        <w:jc w:val="both"/>
      </w:pPr>
      <w:r>
        <w:t>与评标活动有关的工作人员不得收受他人的财物或者其他好处，不得向他人透漏对投标文件的评审和比较、中标候选人推荐情况以及评标有关的其他情况。在评标活动中，与评标活动有关的工作人员不得擅离职守，影响评标程序正常进行。</w:t>
      </w:r>
    </w:p>
    <w:p>
      <w:pPr>
        <w:pStyle w:val="8"/>
        <w:spacing w:before="2"/>
        <w:rPr>
          <w:sz w:val="20"/>
        </w:rPr>
      </w:pPr>
    </w:p>
    <w:p>
      <w:pPr>
        <w:pStyle w:val="7"/>
        <w:numPr>
          <w:ilvl w:val="1"/>
          <w:numId w:val="22"/>
        </w:numPr>
        <w:tabs>
          <w:tab w:val="left" w:pos="808"/>
        </w:tabs>
        <w:spacing w:before="0" w:after="0" w:line="240" w:lineRule="auto"/>
        <w:ind w:left="808" w:right="0" w:hanging="420"/>
        <w:jc w:val="left"/>
        <w:outlineLvl w:val="2"/>
      </w:pPr>
      <w:bookmarkStart w:id="112" w:name="9.5投诉"/>
      <w:bookmarkEnd w:id="112"/>
      <w:bookmarkStart w:id="113" w:name="_bookmark53"/>
      <w:bookmarkEnd w:id="113"/>
      <w:r>
        <w:t>投诉</w:t>
      </w:r>
    </w:p>
    <w:p>
      <w:pPr>
        <w:pStyle w:val="8"/>
        <w:rPr>
          <w:b/>
        </w:rPr>
      </w:pPr>
    </w:p>
    <w:p>
      <w:pPr>
        <w:pStyle w:val="8"/>
        <w:spacing w:before="184" w:line="364" w:lineRule="auto"/>
        <w:ind w:left="388" w:right="744" w:firstLine="424"/>
      </w:pPr>
      <w:r>
        <w:t>磋商响应人和其他厉害关系人认为本次招标活动违反法律、法规和规章规定的，有权向有关行政监督部门投诉。</w:t>
      </w:r>
    </w:p>
    <w:p>
      <w:pPr>
        <w:pStyle w:val="8"/>
        <w:spacing w:before="2"/>
        <w:rPr>
          <w:sz w:val="20"/>
        </w:rPr>
      </w:pPr>
    </w:p>
    <w:p>
      <w:pPr>
        <w:pStyle w:val="7"/>
        <w:numPr>
          <w:ilvl w:val="0"/>
          <w:numId w:val="25"/>
        </w:numPr>
        <w:tabs>
          <w:tab w:val="left" w:pos="752"/>
        </w:tabs>
        <w:spacing w:before="0" w:after="0" w:line="240" w:lineRule="auto"/>
        <w:ind w:left="751" w:right="0" w:hanging="364"/>
        <w:jc w:val="left"/>
        <w:outlineLvl w:val="1"/>
        <w:rPr>
          <w:sz w:val="22"/>
        </w:rPr>
      </w:pPr>
      <w:bookmarkStart w:id="114" w:name="10.需要补充的其他内容"/>
      <w:bookmarkEnd w:id="114"/>
      <w:bookmarkStart w:id="115" w:name="_bookmark54"/>
      <w:bookmarkEnd w:id="115"/>
      <w:r>
        <w:t>需要补充的其他内容</w:t>
      </w:r>
    </w:p>
    <w:p>
      <w:pPr>
        <w:pStyle w:val="8"/>
        <w:rPr>
          <w:b/>
        </w:rPr>
      </w:pPr>
    </w:p>
    <w:p>
      <w:pPr>
        <w:pStyle w:val="8"/>
        <w:spacing w:before="184"/>
        <w:ind w:left="812"/>
      </w:pPr>
      <w:r>
        <w:t>需要补充的其他内容：见磋商响应人须知前附表。</w:t>
      </w:r>
    </w:p>
    <w:p>
      <w:pPr>
        <w:spacing w:after="0"/>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58" o:spid="_x0000_s1058" o:spt="20" style="position:absolute;left:0pt;margin-left:62.4pt;margin-top:12.25pt;height:0pt;width:400.4pt;mso-position-horizontal-relative:page;z-index:25170841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10"/>
        <w:rPr>
          <w:sz w:val="26"/>
        </w:rPr>
      </w:pPr>
    </w:p>
    <w:p>
      <w:pPr>
        <w:pStyle w:val="4"/>
        <w:outlineLvl w:val="0"/>
      </w:pPr>
      <w:bookmarkStart w:id="116" w:name="_Toc17141"/>
      <w:r>
        <w:t>第三章 评审办法</w:t>
      </w:r>
      <w:bookmarkEnd w:id="116"/>
    </w:p>
    <w:p>
      <w:pPr>
        <w:pStyle w:val="8"/>
        <w:spacing w:before="6"/>
        <w:rPr>
          <w:sz w:val="18"/>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0"/>
        <w:gridCol w:w="1888"/>
        <w:gridCol w:w="60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2100" w:type="dxa"/>
            <w:vMerge w:val="restart"/>
          </w:tcPr>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spacing w:before="11"/>
              <w:rPr>
                <w:sz w:val="22"/>
              </w:rPr>
            </w:pPr>
          </w:p>
          <w:p>
            <w:pPr>
              <w:pStyle w:val="17"/>
              <w:ind w:left="348"/>
              <w:rPr>
                <w:sz w:val="24"/>
              </w:rPr>
            </w:pPr>
            <w:r>
              <w:rPr>
                <w:sz w:val="24"/>
              </w:rPr>
              <w:t>形式评审标准</w:t>
            </w:r>
          </w:p>
        </w:tc>
        <w:tc>
          <w:tcPr>
            <w:tcW w:w="1888" w:type="dxa"/>
          </w:tcPr>
          <w:p>
            <w:pPr>
              <w:pStyle w:val="17"/>
              <w:spacing w:before="182"/>
              <w:ind w:left="16" w:right="9"/>
              <w:jc w:val="center"/>
              <w:rPr>
                <w:b/>
                <w:sz w:val="24"/>
              </w:rPr>
            </w:pPr>
            <w:r>
              <w:rPr>
                <w:b/>
                <w:sz w:val="24"/>
              </w:rPr>
              <w:t>评审因素</w:t>
            </w:r>
          </w:p>
        </w:tc>
        <w:tc>
          <w:tcPr>
            <w:tcW w:w="6032" w:type="dxa"/>
          </w:tcPr>
          <w:p>
            <w:pPr>
              <w:pStyle w:val="17"/>
              <w:spacing w:before="182"/>
              <w:ind w:left="2512" w:right="2505"/>
              <w:jc w:val="center"/>
              <w:rPr>
                <w:b/>
                <w:sz w:val="24"/>
              </w:rPr>
            </w:pPr>
            <w:r>
              <w:rPr>
                <w:b/>
                <w:sz w:val="24"/>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2100" w:type="dxa"/>
            <w:vMerge w:val="continue"/>
            <w:tcBorders>
              <w:top w:val="nil"/>
            </w:tcBorders>
          </w:tcPr>
          <w:p>
            <w:pPr>
              <w:rPr>
                <w:sz w:val="2"/>
                <w:szCs w:val="2"/>
              </w:rPr>
            </w:pPr>
          </w:p>
        </w:tc>
        <w:tc>
          <w:tcPr>
            <w:tcW w:w="1888" w:type="dxa"/>
          </w:tcPr>
          <w:p>
            <w:pPr>
              <w:pStyle w:val="17"/>
              <w:spacing w:before="3"/>
              <w:ind w:left="18" w:right="9"/>
              <w:jc w:val="center"/>
              <w:rPr>
                <w:sz w:val="24"/>
              </w:rPr>
            </w:pPr>
            <w:r>
              <w:rPr>
                <w:sz w:val="24"/>
              </w:rPr>
              <w:t>磋商响应人</w:t>
            </w:r>
          </w:p>
          <w:p>
            <w:pPr>
              <w:pStyle w:val="17"/>
              <w:spacing w:before="158"/>
              <w:ind w:left="18" w:right="9"/>
              <w:jc w:val="center"/>
              <w:rPr>
                <w:sz w:val="24"/>
              </w:rPr>
            </w:pPr>
            <w:r>
              <w:rPr>
                <w:sz w:val="24"/>
              </w:rPr>
              <w:t>名称</w:t>
            </w:r>
          </w:p>
        </w:tc>
        <w:tc>
          <w:tcPr>
            <w:tcW w:w="6032" w:type="dxa"/>
          </w:tcPr>
          <w:p>
            <w:pPr>
              <w:pStyle w:val="17"/>
              <w:spacing w:before="5"/>
              <w:rPr>
                <w:sz w:val="18"/>
              </w:rPr>
            </w:pPr>
          </w:p>
          <w:p>
            <w:pPr>
              <w:pStyle w:val="17"/>
              <w:ind w:left="107"/>
              <w:rPr>
                <w:sz w:val="24"/>
              </w:rPr>
            </w:pPr>
            <w:r>
              <w:rPr>
                <w:sz w:val="24"/>
              </w:rPr>
              <w:t>与营业执照、资质证书、安全生产许可证一致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2100" w:type="dxa"/>
            <w:vMerge w:val="continue"/>
            <w:tcBorders>
              <w:top w:val="nil"/>
            </w:tcBorders>
          </w:tcPr>
          <w:p>
            <w:pPr>
              <w:rPr>
                <w:sz w:val="2"/>
                <w:szCs w:val="2"/>
              </w:rPr>
            </w:pPr>
          </w:p>
        </w:tc>
        <w:tc>
          <w:tcPr>
            <w:tcW w:w="1888" w:type="dxa"/>
          </w:tcPr>
          <w:p>
            <w:pPr>
              <w:pStyle w:val="17"/>
              <w:spacing w:before="2"/>
              <w:ind w:left="18" w:right="9"/>
              <w:jc w:val="center"/>
              <w:rPr>
                <w:sz w:val="24"/>
              </w:rPr>
            </w:pPr>
            <w:r>
              <w:rPr>
                <w:sz w:val="24"/>
              </w:rPr>
              <w:t>响应函签字</w:t>
            </w:r>
          </w:p>
          <w:p>
            <w:pPr>
              <w:pStyle w:val="17"/>
              <w:spacing w:before="158"/>
              <w:ind w:left="18" w:right="9"/>
              <w:jc w:val="center"/>
              <w:rPr>
                <w:sz w:val="24"/>
              </w:rPr>
            </w:pPr>
            <w:r>
              <w:rPr>
                <w:sz w:val="24"/>
              </w:rPr>
              <w:t>盖章</w:t>
            </w:r>
          </w:p>
        </w:tc>
        <w:tc>
          <w:tcPr>
            <w:tcW w:w="6032" w:type="dxa"/>
          </w:tcPr>
          <w:p>
            <w:pPr>
              <w:pStyle w:val="17"/>
              <w:spacing w:before="2"/>
              <w:ind w:left="107"/>
              <w:rPr>
                <w:sz w:val="24"/>
              </w:rPr>
            </w:pPr>
            <w:r>
              <w:rPr>
                <w:sz w:val="24"/>
              </w:rPr>
              <w:t>响应函由法定代表人或其委托代理人签字并加盖投标单</w:t>
            </w:r>
          </w:p>
          <w:p>
            <w:pPr>
              <w:pStyle w:val="17"/>
              <w:spacing w:before="158"/>
              <w:ind w:left="107"/>
              <w:rPr>
                <w:sz w:val="24"/>
              </w:rPr>
            </w:pPr>
            <w:r>
              <w:rPr>
                <w:sz w:val="24"/>
              </w:rPr>
              <w:t>位公章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atLeast"/>
        </w:trPr>
        <w:tc>
          <w:tcPr>
            <w:tcW w:w="2100" w:type="dxa"/>
            <w:vMerge w:val="continue"/>
            <w:tcBorders>
              <w:top w:val="nil"/>
            </w:tcBorders>
          </w:tcPr>
          <w:p>
            <w:pPr>
              <w:rPr>
                <w:sz w:val="2"/>
                <w:szCs w:val="2"/>
              </w:rPr>
            </w:pPr>
          </w:p>
        </w:tc>
        <w:tc>
          <w:tcPr>
            <w:tcW w:w="1888" w:type="dxa"/>
          </w:tcPr>
          <w:p>
            <w:pPr>
              <w:pStyle w:val="17"/>
              <w:spacing w:before="1"/>
              <w:rPr>
                <w:sz w:val="18"/>
              </w:rPr>
            </w:pPr>
          </w:p>
          <w:p>
            <w:pPr>
              <w:pStyle w:val="17"/>
              <w:ind w:left="18" w:right="9"/>
              <w:jc w:val="center"/>
              <w:rPr>
                <w:sz w:val="24"/>
              </w:rPr>
            </w:pPr>
            <w:r>
              <w:rPr>
                <w:sz w:val="24"/>
              </w:rPr>
              <w:t>响应文件格式</w:t>
            </w:r>
          </w:p>
        </w:tc>
        <w:tc>
          <w:tcPr>
            <w:tcW w:w="6032" w:type="dxa"/>
          </w:tcPr>
          <w:p>
            <w:pPr>
              <w:pStyle w:val="17"/>
              <w:spacing w:before="1"/>
              <w:rPr>
                <w:sz w:val="18"/>
              </w:rPr>
            </w:pPr>
          </w:p>
          <w:p>
            <w:pPr>
              <w:pStyle w:val="17"/>
              <w:ind w:left="107"/>
              <w:rPr>
                <w:sz w:val="24"/>
              </w:rPr>
            </w:pPr>
            <w:r>
              <w:rPr>
                <w:sz w:val="24"/>
              </w:rPr>
              <w:t>符合第五章“响应文件格式”的要求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2" w:hRule="atLeast"/>
        </w:trPr>
        <w:tc>
          <w:tcPr>
            <w:tcW w:w="2100" w:type="dxa"/>
            <w:vMerge w:val="continue"/>
            <w:tcBorders>
              <w:top w:val="nil"/>
            </w:tcBorders>
          </w:tcPr>
          <w:p>
            <w:pPr>
              <w:rPr>
                <w:sz w:val="2"/>
                <w:szCs w:val="2"/>
              </w:rPr>
            </w:pPr>
          </w:p>
        </w:tc>
        <w:tc>
          <w:tcPr>
            <w:tcW w:w="1888" w:type="dxa"/>
          </w:tcPr>
          <w:p>
            <w:pPr>
              <w:pStyle w:val="17"/>
              <w:spacing w:before="10"/>
              <w:rPr>
                <w:sz w:val="23"/>
              </w:rPr>
            </w:pPr>
          </w:p>
          <w:p>
            <w:pPr>
              <w:pStyle w:val="17"/>
              <w:ind w:left="18" w:right="9"/>
              <w:jc w:val="center"/>
              <w:rPr>
                <w:sz w:val="24"/>
              </w:rPr>
            </w:pPr>
            <w:r>
              <w:rPr>
                <w:sz w:val="24"/>
              </w:rPr>
              <w:t>报价唯一</w:t>
            </w:r>
          </w:p>
        </w:tc>
        <w:tc>
          <w:tcPr>
            <w:tcW w:w="6032" w:type="dxa"/>
          </w:tcPr>
          <w:p>
            <w:pPr>
              <w:pStyle w:val="17"/>
              <w:spacing w:before="10"/>
              <w:rPr>
                <w:sz w:val="23"/>
              </w:rPr>
            </w:pPr>
          </w:p>
          <w:p>
            <w:pPr>
              <w:pStyle w:val="17"/>
              <w:ind w:left="107"/>
              <w:rPr>
                <w:sz w:val="24"/>
              </w:rPr>
            </w:pPr>
            <w:r>
              <w:rPr>
                <w:sz w:val="24"/>
              </w:rPr>
              <w:t>只能有一个有效报价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2" w:hRule="atLeast"/>
        </w:trPr>
        <w:tc>
          <w:tcPr>
            <w:tcW w:w="2100" w:type="dxa"/>
            <w:vMerge w:val="restart"/>
          </w:tcPr>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spacing w:before="8"/>
              <w:rPr>
                <w:sz w:val="24"/>
              </w:rPr>
            </w:pPr>
          </w:p>
          <w:p>
            <w:pPr>
              <w:pStyle w:val="17"/>
              <w:ind w:left="329"/>
              <w:rPr>
                <w:sz w:val="24"/>
              </w:rPr>
            </w:pPr>
            <w:r>
              <w:rPr>
                <w:sz w:val="24"/>
              </w:rPr>
              <w:t>资格评审标准</w:t>
            </w:r>
          </w:p>
        </w:tc>
        <w:tc>
          <w:tcPr>
            <w:tcW w:w="1888" w:type="dxa"/>
          </w:tcPr>
          <w:p>
            <w:pPr>
              <w:pStyle w:val="17"/>
              <w:spacing w:before="11"/>
              <w:rPr>
                <w:sz w:val="24"/>
              </w:rPr>
            </w:pPr>
          </w:p>
          <w:p>
            <w:pPr>
              <w:pStyle w:val="17"/>
              <w:ind w:left="18" w:right="9"/>
              <w:jc w:val="center"/>
              <w:rPr>
                <w:sz w:val="24"/>
              </w:rPr>
            </w:pPr>
            <w:r>
              <w:rPr>
                <w:sz w:val="24"/>
              </w:rPr>
              <w:t>营业执照</w:t>
            </w:r>
          </w:p>
        </w:tc>
        <w:tc>
          <w:tcPr>
            <w:tcW w:w="6032" w:type="dxa"/>
          </w:tcPr>
          <w:p>
            <w:pPr>
              <w:pStyle w:val="17"/>
              <w:spacing w:before="11"/>
              <w:rPr>
                <w:sz w:val="24"/>
              </w:rPr>
            </w:pPr>
          </w:p>
          <w:p>
            <w:pPr>
              <w:pStyle w:val="17"/>
              <w:ind w:left="107"/>
              <w:rPr>
                <w:sz w:val="24"/>
              </w:rPr>
            </w:pPr>
            <w:r>
              <w:rPr>
                <w:sz w:val="24"/>
              </w:rPr>
              <w:t>具备有效的营业执照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0" w:hRule="atLeast"/>
        </w:trPr>
        <w:tc>
          <w:tcPr>
            <w:tcW w:w="2100" w:type="dxa"/>
            <w:vMerge w:val="continue"/>
            <w:tcBorders>
              <w:top w:val="nil"/>
            </w:tcBorders>
          </w:tcPr>
          <w:p>
            <w:pPr>
              <w:rPr>
                <w:sz w:val="2"/>
                <w:szCs w:val="2"/>
              </w:rPr>
            </w:pPr>
          </w:p>
        </w:tc>
        <w:tc>
          <w:tcPr>
            <w:tcW w:w="1888" w:type="dxa"/>
          </w:tcPr>
          <w:p>
            <w:pPr>
              <w:pStyle w:val="17"/>
              <w:rPr>
                <w:sz w:val="24"/>
              </w:rPr>
            </w:pPr>
          </w:p>
          <w:p>
            <w:pPr>
              <w:pStyle w:val="17"/>
              <w:spacing w:before="205"/>
              <w:ind w:left="18" w:right="9"/>
              <w:jc w:val="center"/>
              <w:rPr>
                <w:sz w:val="24"/>
              </w:rPr>
            </w:pPr>
            <w:r>
              <w:rPr>
                <w:sz w:val="24"/>
              </w:rPr>
              <w:t>资质要求</w:t>
            </w:r>
          </w:p>
        </w:tc>
        <w:tc>
          <w:tcPr>
            <w:tcW w:w="6032" w:type="dxa"/>
          </w:tcPr>
          <w:p>
            <w:pPr>
              <w:pStyle w:val="17"/>
              <w:spacing w:before="44" w:line="364" w:lineRule="auto"/>
              <w:ind w:left="107" w:right="97"/>
              <w:jc w:val="both"/>
              <w:rPr>
                <w:sz w:val="24"/>
              </w:rPr>
            </w:pPr>
            <w:r>
              <w:rPr>
                <w:sz w:val="24"/>
              </w:rPr>
              <w:t>磋商响应人须具有建筑工程施工总承包叁级（含叁级） 及以上资质，并在人员、设备、资金等方面具有承担本工程相应的施工能力。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8" w:hRule="atLeast"/>
        </w:trPr>
        <w:tc>
          <w:tcPr>
            <w:tcW w:w="2100" w:type="dxa"/>
            <w:vMerge w:val="continue"/>
            <w:tcBorders>
              <w:top w:val="nil"/>
            </w:tcBorders>
          </w:tcPr>
          <w:p>
            <w:pPr>
              <w:rPr>
                <w:sz w:val="2"/>
                <w:szCs w:val="2"/>
              </w:rPr>
            </w:pPr>
          </w:p>
        </w:tc>
        <w:tc>
          <w:tcPr>
            <w:tcW w:w="1888" w:type="dxa"/>
          </w:tcPr>
          <w:p>
            <w:pPr>
              <w:pStyle w:val="17"/>
              <w:spacing w:before="133" w:line="362" w:lineRule="auto"/>
              <w:ind w:left="703" w:right="332" w:hanging="360"/>
              <w:rPr>
                <w:sz w:val="24"/>
              </w:rPr>
            </w:pPr>
            <w:r>
              <w:rPr>
                <w:sz w:val="24"/>
              </w:rPr>
              <w:t>磋商响应人资格</w:t>
            </w:r>
          </w:p>
        </w:tc>
        <w:tc>
          <w:tcPr>
            <w:tcW w:w="6032" w:type="dxa"/>
          </w:tcPr>
          <w:p>
            <w:pPr>
              <w:pStyle w:val="17"/>
              <w:spacing w:before="7"/>
              <w:rPr>
                <w:sz w:val="28"/>
              </w:rPr>
            </w:pPr>
          </w:p>
          <w:p>
            <w:pPr>
              <w:pStyle w:val="17"/>
              <w:ind w:left="107"/>
              <w:rPr>
                <w:sz w:val="24"/>
              </w:rPr>
            </w:pPr>
            <w:r>
              <w:rPr>
                <w:sz w:val="24"/>
              </w:rPr>
              <w:t>《中华人民共和国政府采购法》第 22 条的规定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2100" w:type="dxa"/>
            <w:vMerge w:val="continue"/>
            <w:tcBorders>
              <w:top w:val="nil"/>
            </w:tcBorders>
          </w:tcPr>
          <w:p>
            <w:pPr>
              <w:rPr>
                <w:sz w:val="2"/>
                <w:szCs w:val="2"/>
              </w:rPr>
            </w:pPr>
          </w:p>
        </w:tc>
        <w:tc>
          <w:tcPr>
            <w:tcW w:w="1888" w:type="dxa"/>
          </w:tcPr>
          <w:p>
            <w:pPr>
              <w:pStyle w:val="17"/>
              <w:spacing w:before="2"/>
              <w:ind w:left="18" w:right="9"/>
              <w:jc w:val="center"/>
              <w:rPr>
                <w:sz w:val="24"/>
              </w:rPr>
            </w:pPr>
            <w:r>
              <w:rPr>
                <w:sz w:val="24"/>
              </w:rPr>
              <w:t>安全生产许</w:t>
            </w:r>
          </w:p>
          <w:p>
            <w:pPr>
              <w:pStyle w:val="17"/>
              <w:spacing w:before="158"/>
              <w:ind w:left="18" w:right="9"/>
              <w:jc w:val="center"/>
              <w:rPr>
                <w:sz w:val="24"/>
              </w:rPr>
            </w:pPr>
            <w:r>
              <w:rPr>
                <w:sz w:val="24"/>
              </w:rPr>
              <w:t>可证</w:t>
            </w:r>
          </w:p>
        </w:tc>
        <w:tc>
          <w:tcPr>
            <w:tcW w:w="6032" w:type="dxa"/>
          </w:tcPr>
          <w:p>
            <w:pPr>
              <w:pStyle w:val="17"/>
              <w:spacing w:before="4"/>
              <w:rPr>
                <w:sz w:val="18"/>
              </w:rPr>
            </w:pPr>
          </w:p>
          <w:p>
            <w:pPr>
              <w:pStyle w:val="17"/>
              <w:ind w:left="107"/>
              <w:rPr>
                <w:sz w:val="24"/>
              </w:rPr>
            </w:pPr>
            <w:r>
              <w:rPr>
                <w:sz w:val="24"/>
              </w:rPr>
              <w:t>具备有效的安全生产许可证（须与营业执照法人一致）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5" w:hRule="atLeast"/>
        </w:trPr>
        <w:tc>
          <w:tcPr>
            <w:tcW w:w="2100" w:type="dxa"/>
            <w:vMerge w:val="continue"/>
            <w:tcBorders>
              <w:top w:val="nil"/>
            </w:tcBorders>
          </w:tcPr>
          <w:p>
            <w:pPr>
              <w:rPr>
                <w:sz w:val="2"/>
                <w:szCs w:val="2"/>
              </w:rPr>
            </w:pPr>
          </w:p>
        </w:tc>
        <w:tc>
          <w:tcPr>
            <w:tcW w:w="1888" w:type="dxa"/>
          </w:tcPr>
          <w:p>
            <w:pPr>
              <w:pStyle w:val="17"/>
              <w:rPr>
                <w:sz w:val="24"/>
              </w:rPr>
            </w:pPr>
          </w:p>
          <w:p>
            <w:pPr>
              <w:pStyle w:val="17"/>
              <w:spacing w:before="10"/>
              <w:rPr>
                <w:sz w:val="30"/>
              </w:rPr>
            </w:pPr>
          </w:p>
          <w:p>
            <w:pPr>
              <w:pStyle w:val="17"/>
              <w:ind w:left="18" w:right="9"/>
              <w:jc w:val="center"/>
              <w:rPr>
                <w:sz w:val="24"/>
              </w:rPr>
            </w:pPr>
            <w:r>
              <w:rPr>
                <w:sz w:val="24"/>
              </w:rPr>
              <w:t>项目经理资格</w:t>
            </w:r>
          </w:p>
        </w:tc>
        <w:tc>
          <w:tcPr>
            <w:tcW w:w="6032" w:type="dxa"/>
          </w:tcPr>
          <w:p>
            <w:pPr>
              <w:pStyle w:val="17"/>
              <w:spacing w:before="1" w:line="364" w:lineRule="auto"/>
              <w:ind w:left="107" w:right="152"/>
              <w:jc w:val="both"/>
              <w:rPr>
                <w:sz w:val="24"/>
              </w:rPr>
            </w:pPr>
            <w:r>
              <w:rPr>
                <w:sz w:val="24"/>
              </w:rPr>
              <w:t>磋商响应人拟派项目经理须具备建筑工程专业贰级及以上建造师资格，提供建造师执业证、注册证；具备有效的安全生产考核合格证书，未同时在其他项目担任项目</w:t>
            </w:r>
          </w:p>
          <w:p>
            <w:pPr>
              <w:pStyle w:val="17"/>
              <w:spacing w:line="304" w:lineRule="exact"/>
              <w:ind w:left="107"/>
              <w:rPr>
                <w:sz w:val="24"/>
              </w:rPr>
            </w:pPr>
            <w:r>
              <w:rPr>
                <w:sz w:val="24"/>
              </w:rPr>
              <w:t>经理的承诺书。</w:t>
            </w:r>
          </w:p>
        </w:tc>
      </w:tr>
    </w:tbl>
    <w:p>
      <w:pPr>
        <w:spacing w:after="0" w:line="304" w:lineRule="exac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59" o:spid="_x0000_s1059" o:spt="20" style="position:absolute;left:0pt;margin-left:62.4pt;margin-top:12.25pt;height:0pt;width:400.4pt;mso-position-horizontal-relative:page;z-index:25170944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rPr>
          <w:sz w:val="20"/>
        </w:rPr>
      </w:pPr>
    </w:p>
    <w:p>
      <w:pPr>
        <w:pStyle w:val="8"/>
        <w:spacing w:before="7"/>
        <w:rPr>
          <w:sz w:val="10"/>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0"/>
        <w:gridCol w:w="1888"/>
        <w:gridCol w:w="60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3" w:hRule="atLeast"/>
        </w:trPr>
        <w:tc>
          <w:tcPr>
            <w:tcW w:w="2100" w:type="dxa"/>
          </w:tcPr>
          <w:p>
            <w:pPr>
              <w:pStyle w:val="17"/>
              <w:rPr>
                <w:rFonts w:ascii="Times New Roman"/>
                <w:sz w:val="22"/>
              </w:rPr>
            </w:pPr>
          </w:p>
        </w:tc>
        <w:tc>
          <w:tcPr>
            <w:tcW w:w="1888" w:type="dxa"/>
          </w:tcPr>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spacing w:before="195"/>
              <w:ind w:left="18" w:right="9"/>
              <w:jc w:val="center"/>
              <w:rPr>
                <w:sz w:val="24"/>
              </w:rPr>
            </w:pPr>
            <w:r>
              <w:rPr>
                <w:sz w:val="24"/>
              </w:rPr>
              <w:t>其他要求</w:t>
            </w:r>
          </w:p>
        </w:tc>
        <w:tc>
          <w:tcPr>
            <w:tcW w:w="6032" w:type="dxa"/>
          </w:tcPr>
          <w:p>
            <w:pPr>
              <w:pStyle w:val="17"/>
              <w:spacing w:before="1" w:line="364" w:lineRule="auto"/>
              <w:ind w:left="107" w:right="95"/>
              <w:jc w:val="both"/>
              <w:rPr>
                <w:sz w:val="24"/>
              </w:rPr>
            </w:pPr>
            <w:r>
              <w:rPr>
                <w:spacing w:val="-1"/>
                <w:sz w:val="24"/>
              </w:rPr>
              <w:t>1</w:t>
            </w:r>
            <w:r>
              <w:rPr>
                <w:spacing w:val="-5"/>
                <w:sz w:val="24"/>
              </w:rPr>
              <w:t>、经信用中国</w:t>
            </w:r>
            <w:r>
              <w:fldChar w:fldCharType="begin"/>
            </w:r>
            <w:r>
              <w:instrText xml:space="preserve"> HYPERLINK "http://www.creditchina.gov.cn/" \h </w:instrText>
            </w:r>
            <w:r>
              <w:fldChar w:fldCharType="separate"/>
            </w:r>
            <w:r>
              <w:rPr>
                <w:spacing w:val="-1"/>
                <w:sz w:val="24"/>
              </w:rPr>
              <w:t>（www.creditchina.gov.cn</w:t>
            </w:r>
            <w:r>
              <w:rPr>
                <w:spacing w:val="-1"/>
                <w:sz w:val="24"/>
              </w:rPr>
              <w:fldChar w:fldCharType="end"/>
            </w:r>
            <w:r>
              <w:rPr>
                <w:spacing w:val="-1"/>
                <w:sz w:val="24"/>
              </w:rPr>
              <w:t>）</w:t>
            </w:r>
            <w:r>
              <w:rPr>
                <w:spacing w:val="-8"/>
                <w:sz w:val="24"/>
              </w:rPr>
              <w:t>、中国政府采购网</w:t>
            </w:r>
            <w:r>
              <w:rPr>
                <w:spacing w:val="-1"/>
                <w:sz w:val="24"/>
              </w:rPr>
              <w:t>（</w:t>
            </w:r>
            <w:r>
              <w:fldChar w:fldCharType="begin"/>
            </w:r>
            <w:r>
              <w:instrText xml:space="preserve"> HYPERLINK "http://www.ccgp.gov.cn/" \h </w:instrText>
            </w:r>
            <w:r>
              <w:fldChar w:fldCharType="separate"/>
            </w:r>
            <w:r>
              <w:rPr>
                <w:spacing w:val="-1"/>
                <w:sz w:val="24"/>
              </w:rPr>
              <w:t>www.ccgp.gov.cn</w:t>
            </w:r>
            <w:r>
              <w:rPr>
                <w:spacing w:val="-1"/>
                <w:sz w:val="24"/>
              </w:rPr>
              <w:fldChar w:fldCharType="end"/>
            </w:r>
            <w:r>
              <w:rPr>
                <w:spacing w:val="-1"/>
                <w:sz w:val="24"/>
              </w:rPr>
              <w:t>）</w:t>
            </w:r>
            <w:r>
              <w:rPr>
                <w:spacing w:val="-5"/>
                <w:sz w:val="24"/>
              </w:rPr>
              <w:t>等渠道查询后，列入失信被</w:t>
            </w:r>
            <w:r>
              <w:rPr>
                <w:sz w:val="24"/>
              </w:rPr>
              <w:t>执行人、重大税收违法案件当事人名单、政府采购严重违法失信行为记录名单的，取消投标资格。（提供“信用中国”及“中国政府采购网”网站的查询截图，时间</w:t>
            </w:r>
            <w:r>
              <w:rPr>
                <w:spacing w:val="-7"/>
                <w:sz w:val="24"/>
              </w:rPr>
              <w:t xml:space="preserve">为投标截止时间前 </w:t>
            </w:r>
            <w:r>
              <w:rPr>
                <w:sz w:val="24"/>
              </w:rPr>
              <w:t>20</w:t>
            </w:r>
            <w:r>
              <w:rPr>
                <w:spacing w:val="-20"/>
                <w:sz w:val="24"/>
              </w:rPr>
              <w:t xml:space="preserve"> 天内</w:t>
            </w:r>
            <w:r>
              <w:rPr>
                <w:sz w:val="24"/>
              </w:rPr>
              <w:t>）；</w:t>
            </w:r>
          </w:p>
          <w:p>
            <w:pPr>
              <w:pStyle w:val="17"/>
              <w:spacing w:line="364" w:lineRule="auto"/>
              <w:ind w:left="107" w:right="95"/>
              <w:jc w:val="both"/>
              <w:rPr>
                <w:sz w:val="24"/>
              </w:rPr>
            </w:pPr>
            <w:r>
              <w:rPr>
                <w:sz w:val="24"/>
              </w:rPr>
              <w:t>2</w:t>
            </w:r>
            <w:r>
              <w:rPr>
                <w:spacing w:val="-10"/>
                <w:sz w:val="24"/>
              </w:rPr>
              <w:t>、磋商响应人须具有建筑工程施工总承包叁级及以上资</w:t>
            </w:r>
            <w:r>
              <w:rPr>
                <w:sz w:val="24"/>
              </w:rPr>
              <w:t>质，并在人员、设备、资金等方面具有承担本工程相应的施工能力；</w:t>
            </w:r>
          </w:p>
          <w:p>
            <w:pPr>
              <w:pStyle w:val="17"/>
              <w:spacing w:line="364" w:lineRule="auto"/>
              <w:ind w:left="107" w:right="95"/>
              <w:jc w:val="both"/>
              <w:rPr>
                <w:sz w:val="24"/>
              </w:rPr>
            </w:pPr>
            <w:r>
              <w:rPr>
                <w:sz w:val="24"/>
              </w:rPr>
              <w:t>3</w:t>
            </w:r>
            <w:r>
              <w:rPr>
                <w:spacing w:val="-10"/>
                <w:sz w:val="24"/>
              </w:rPr>
              <w:t>、磋商响应人拟派项目经理须具备建筑工程专业贰级及</w:t>
            </w:r>
            <w:r>
              <w:rPr>
                <w:sz w:val="24"/>
              </w:rPr>
              <w:t>以上建造师资格，提供建造师执业证、注册证；具备有效的安全生产考核合格证书，未同时在其他项目担任项目经理的承诺书；</w:t>
            </w:r>
          </w:p>
          <w:p>
            <w:pPr>
              <w:pStyle w:val="17"/>
              <w:spacing w:line="305" w:lineRule="exact"/>
              <w:ind w:left="107"/>
              <w:rPr>
                <w:sz w:val="24"/>
              </w:rPr>
            </w:pPr>
            <w:r>
              <w:rPr>
                <w:sz w:val="24"/>
              </w:rPr>
              <w:t>4、磋商响应人须具有有效的安全生产许可证；</w:t>
            </w:r>
          </w:p>
          <w:p>
            <w:pPr>
              <w:pStyle w:val="17"/>
              <w:spacing w:before="154"/>
              <w:ind w:left="107"/>
              <w:rPr>
                <w:sz w:val="24"/>
              </w:rPr>
            </w:pPr>
            <w:r>
              <w:rPr>
                <w:sz w:val="24"/>
              </w:rPr>
              <w:t>5、省外企业须提供有效期内的进青备案登记手续；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2100" w:type="dxa"/>
            <w:vMerge w:val="restart"/>
          </w:tcPr>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spacing w:before="4"/>
              <w:rPr>
                <w:sz w:val="34"/>
              </w:rPr>
            </w:pPr>
          </w:p>
          <w:p>
            <w:pPr>
              <w:pStyle w:val="17"/>
              <w:spacing w:before="1"/>
              <w:ind w:left="209"/>
              <w:rPr>
                <w:sz w:val="24"/>
              </w:rPr>
            </w:pPr>
            <w:r>
              <w:rPr>
                <w:sz w:val="24"/>
              </w:rPr>
              <w:t>响应性评审标准</w:t>
            </w:r>
          </w:p>
        </w:tc>
        <w:tc>
          <w:tcPr>
            <w:tcW w:w="1888" w:type="dxa"/>
          </w:tcPr>
          <w:p>
            <w:pPr>
              <w:pStyle w:val="17"/>
              <w:spacing w:before="1"/>
              <w:ind w:left="18" w:right="9"/>
              <w:jc w:val="center"/>
              <w:rPr>
                <w:sz w:val="24"/>
              </w:rPr>
            </w:pPr>
            <w:r>
              <w:rPr>
                <w:sz w:val="24"/>
              </w:rPr>
              <w:t>投标内容</w:t>
            </w:r>
          </w:p>
        </w:tc>
        <w:tc>
          <w:tcPr>
            <w:tcW w:w="6032" w:type="dxa"/>
          </w:tcPr>
          <w:p>
            <w:pPr>
              <w:pStyle w:val="17"/>
              <w:spacing w:before="1"/>
              <w:ind w:left="107"/>
              <w:rPr>
                <w:sz w:val="24"/>
              </w:rPr>
            </w:pPr>
            <w:r>
              <w:rPr>
                <w:sz w:val="24"/>
              </w:rPr>
              <w:t>详见第六章工程量清单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1" w:hRule="atLeast"/>
        </w:trPr>
        <w:tc>
          <w:tcPr>
            <w:tcW w:w="2100" w:type="dxa"/>
            <w:vMerge w:val="continue"/>
            <w:tcBorders>
              <w:top w:val="nil"/>
            </w:tcBorders>
          </w:tcPr>
          <w:p>
            <w:pPr>
              <w:rPr>
                <w:sz w:val="2"/>
                <w:szCs w:val="2"/>
              </w:rPr>
            </w:pPr>
          </w:p>
        </w:tc>
        <w:tc>
          <w:tcPr>
            <w:tcW w:w="1888" w:type="dxa"/>
          </w:tcPr>
          <w:p>
            <w:pPr>
              <w:pStyle w:val="17"/>
              <w:spacing w:before="2" w:line="362" w:lineRule="auto"/>
              <w:ind w:left="108" w:right="207"/>
              <w:rPr>
                <w:sz w:val="24"/>
              </w:rPr>
            </w:pPr>
            <w:r>
              <w:rPr>
                <w:sz w:val="24"/>
              </w:rPr>
              <w:t>计划工期/计划开工日期/计划</w:t>
            </w:r>
          </w:p>
          <w:p>
            <w:pPr>
              <w:pStyle w:val="17"/>
              <w:spacing w:before="5"/>
              <w:ind w:left="108"/>
              <w:rPr>
                <w:sz w:val="24"/>
              </w:rPr>
            </w:pPr>
            <w:r>
              <w:rPr>
                <w:sz w:val="24"/>
              </w:rPr>
              <w:t>竣工日期</w:t>
            </w:r>
          </w:p>
        </w:tc>
        <w:tc>
          <w:tcPr>
            <w:tcW w:w="6032" w:type="dxa"/>
            <w:vAlign w:val="center"/>
          </w:tcPr>
          <w:p>
            <w:pPr>
              <w:pStyle w:val="17"/>
              <w:keepNext w:val="0"/>
              <w:keepLines w:val="0"/>
              <w:pageBreakBefore w:val="0"/>
              <w:widowControl w:val="0"/>
              <w:kinsoku/>
              <w:wordWrap/>
              <w:overflowPunct/>
              <w:topLinePunct w:val="0"/>
              <w:autoSpaceDE w:val="0"/>
              <w:autoSpaceDN w:val="0"/>
              <w:bidi w:val="0"/>
              <w:adjustRightInd/>
              <w:snapToGrid/>
              <w:spacing w:line="363" w:lineRule="auto"/>
              <w:ind w:right="0"/>
              <w:jc w:val="both"/>
              <w:textAlignment w:val="auto"/>
              <w:rPr>
                <w:sz w:val="24"/>
              </w:rPr>
            </w:pPr>
            <w:r>
              <w:rPr>
                <w:rFonts w:hint="eastAsia"/>
                <w:sz w:val="24"/>
              </w:rPr>
              <w:t>自合同签订后60日历天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2100" w:type="dxa"/>
            <w:vMerge w:val="continue"/>
            <w:tcBorders>
              <w:top w:val="nil"/>
            </w:tcBorders>
          </w:tcPr>
          <w:p>
            <w:pPr>
              <w:rPr>
                <w:sz w:val="2"/>
                <w:szCs w:val="2"/>
              </w:rPr>
            </w:pPr>
          </w:p>
        </w:tc>
        <w:tc>
          <w:tcPr>
            <w:tcW w:w="1888" w:type="dxa"/>
          </w:tcPr>
          <w:p>
            <w:pPr>
              <w:pStyle w:val="17"/>
              <w:spacing w:before="153"/>
              <w:ind w:left="18" w:right="9"/>
              <w:jc w:val="center"/>
              <w:rPr>
                <w:sz w:val="24"/>
              </w:rPr>
            </w:pPr>
            <w:r>
              <w:rPr>
                <w:sz w:val="24"/>
              </w:rPr>
              <w:t>质量要求</w:t>
            </w:r>
          </w:p>
        </w:tc>
        <w:tc>
          <w:tcPr>
            <w:tcW w:w="6032" w:type="dxa"/>
          </w:tcPr>
          <w:p>
            <w:pPr>
              <w:pStyle w:val="17"/>
              <w:spacing w:before="153"/>
              <w:ind w:left="107"/>
              <w:rPr>
                <w:sz w:val="24"/>
              </w:rPr>
            </w:pPr>
            <w:r>
              <w:rPr>
                <w:sz w:val="24"/>
              </w:rPr>
              <w:t>达到国家质量与评定标准合格质量等级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2100" w:type="dxa"/>
            <w:vMerge w:val="continue"/>
            <w:tcBorders>
              <w:top w:val="nil"/>
            </w:tcBorders>
          </w:tcPr>
          <w:p>
            <w:pPr>
              <w:rPr>
                <w:sz w:val="2"/>
                <w:szCs w:val="2"/>
              </w:rPr>
            </w:pPr>
          </w:p>
        </w:tc>
        <w:tc>
          <w:tcPr>
            <w:tcW w:w="1888" w:type="dxa"/>
          </w:tcPr>
          <w:p>
            <w:pPr>
              <w:pStyle w:val="17"/>
              <w:spacing w:before="157"/>
              <w:ind w:left="18" w:right="9"/>
              <w:jc w:val="center"/>
              <w:rPr>
                <w:sz w:val="24"/>
              </w:rPr>
            </w:pPr>
            <w:r>
              <w:rPr>
                <w:sz w:val="24"/>
              </w:rPr>
              <w:t>磋商有效期</w:t>
            </w:r>
          </w:p>
        </w:tc>
        <w:tc>
          <w:tcPr>
            <w:tcW w:w="6032" w:type="dxa"/>
          </w:tcPr>
          <w:p>
            <w:pPr>
              <w:pStyle w:val="17"/>
              <w:spacing w:before="157"/>
              <w:ind w:left="107"/>
              <w:rPr>
                <w:sz w:val="24"/>
              </w:rPr>
            </w:pPr>
            <w:r>
              <w:rPr>
                <w:sz w:val="24"/>
              </w:rPr>
              <w:t>本次磋商有效期为自磋商之日起 90 个日历日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2100" w:type="dxa"/>
            <w:vMerge w:val="continue"/>
            <w:tcBorders>
              <w:top w:val="nil"/>
            </w:tcBorders>
          </w:tcPr>
          <w:p>
            <w:pPr>
              <w:rPr>
                <w:sz w:val="2"/>
                <w:szCs w:val="2"/>
              </w:rPr>
            </w:pPr>
          </w:p>
        </w:tc>
        <w:tc>
          <w:tcPr>
            <w:tcW w:w="1888" w:type="dxa"/>
          </w:tcPr>
          <w:p>
            <w:pPr>
              <w:pStyle w:val="17"/>
              <w:spacing w:before="71"/>
              <w:ind w:left="18" w:right="9"/>
              <w:jc w:val="center"/>
              <w:rPr>
                <w:sz w:val="24"/>
              </w:rPr>
            </w:pPr>
            <w:r>
              <w:rPr>
                <w:sz w:val="24"/>
              </w:rPr>
              <w:t>联合体投标</w:t>
            </w:r>
          </w:p>
        </w:tc>
        <w:tc>
          <w:tcPr>
            <w:tcW w:w="6032" w:type="dxa"/>
          </w:tcPr>
          <w:p>
            <w:pPr>
              <w:pStyle w:val="17"/>
              <w:spacing w:before="71"/>
              <w:ind w:left="107"/>
              <w:rPr>
                <w:sz w:val="24"/>
              </w:rPr>
            </w:pPr>
            <w:r>
              <w:rPr>
                <w:sz w:val="24"/>
              </w:rPr>
              <w:t>不接受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8" w:hRule="atLeast"/>
        </w:trPr>
        <w:tc>
          <w:tcPr>
            <w:tcW w:w="2100" w:type="dxa"/>
            <w:vMerge w:val="continue"/>
            <w:tcBorders>
              <w:top w:val="nil"/>
            </w:tcBorders>
          </w:tcPr>
          <w:p>
            <w:pPr>
              <w:rPr>
                <w:sz w:val="2"/>
                <w:szCs w:val="2"/>
              </w:rPr>
            </w:pPr>
          </w:p>
        </w:tc>
        <w:tc>
          <w:tcPr>
            <w:tcW w:w="1888" w:type="dxa"/>
          </w:tcPr>
          <w:p>
            <w:pPr>
              <w:pStyle w:val="17"/>
              <w:rPr>
                <w:sz w:val="24"/>
              </w:rPr>
            </w:pPr>
          </w:p>
          <w:p>
            <w:pPr>
              <w:pStyle w:val="17"/>
              <w:rPr>
                <w:sz w:val="24"/>
              </w:rPr>
            </w:pPr>
          </w:p>
          <w:p>
            <w:pPr>
              <w:pStyle w:val="17"/>
              <w:rPr>
                <w:sz w:val="24"/>
              </w:rPr>
            </w:pPr>
          </w:p>
          <w:p>
            <w:pPr>
              <w:pStyle w:val="17"/>
              <w:spacing w:before="2"/>
              <w:rPr>
                <w:sz w:val="19"/>
              </w:rPr>
            </w:pPr>
          </w:p>
          <w:p>
            <w:pPr>
              <w:pStyle w:val="17"/>
              <w:ind w:left="18" w:right="9"/>
              <w:jc w:val="center"/>
              <w:rPr>
                <w:sz w:val="24"/>
              </w:rPr>
            </w:pPr>
            <w:r>
              <w:rPr>
                <w:sz w:val="24"/>
              </w:rPr>
              <w:t>磋商保证金</w:t>
            </w:r>
          </w:p>
        </w:tc>
        <w:tc>
          <w:tcPr>
            <w:tcW w:w="6032" w:type="dxa"/>
          </w:tcPr>
          <w:p>
            <w:pPr>
              <w:pStyle w:val="17"/>
              <w:spacing w:before="2"/>
              <w:ind w:left="107"/>
              <w:rPr>
                <w:sz w:val="24"/>
              </w:rPr>
            </w:pPr>
            <w:r>
              <w:rPr>
                <w:sz w:val="24"/>
              </w:rPr>
              <w:t>磋商人须在磋商截止期前按以下要求交纳磋商保证金</w:t>
            </w:r>
          </w:p>
          <w:p>
            <w:pPr>
              <w:pStyle w:val="17"/>
              <w:spacing w:before="158" w:line="362" w:lineRule="auto"/>
              <w:ind w:left="107" w:right="97"/>
              <w:rPr>
                <w:sz w:val="24"/>
              </w:rPr>
            </w:pPr>
            <w:r>
              <w:rPr>
                <w:sz w:val="24"/>
              </w:rPr>
              <w:t>（磋商保证金应当从其基本账户汇出，磋商响应文件中须附企业基本账户信息）</w:t>
            </w:r>
          </w:p>
          <w:p>
            <w:pPr>
              <w:pStyle w:val="17"/>
              <w:spacing w:before="5"/>
              <w:ind w:left="107"/>
              <w:rPr>
                <w:sz w:val="24"/>
              </w:rPr>
            </w:pPr>
            <w:r>
              <w:rPr>
                <w:sz w:val="24"/>
              </w:rPr>
              <w:t>磋商保证金金额：</w:t>
            </w:r>
          </w:p>
          <w:p>
            <w:pPr>
              <w:pStyle w:val="17"/>
              <w:spacing w:before="160"/>
              <w:ind w:left="107"/>
              <w:rPr>
                <w:sz w:val="24"/>
              </w:rPr>
            </w:pPr>
            <w:r>
              <w:rPr>
                <w:sz w:val="24"/>
              </w:rPr>
              <w:t>（大写）：</w:t>
            </w:r>
            <w:r>
              <w:rPr>
                <w:rFonts w:hint="eastAsia"/>
                <w:sz w:val="24"/>
                <w:lang w:val="en-US" w:eastAsia="zh-CN"/>
              </w:rPr>
              <w:t>陆仟元</w:t>
            </w:r>
            <w:r>
              <w:rPr>
                <w:sz w:val="24"/>
              </w:rPr>
              <w:t>整；</w:t>
            </w:r>
          </w:p>
          <w:p>
            <w:pPr>
              <w:pStyle w:val="17"/>
              <w:spacing w:before="158"/>
              <w:ind w:left="107"/>
              <w:rPr>
                <w:sz w:val="24"/>
              </w:rPr>
            </w:pPr>
            <w:r>
              <w:rPr>
                <w:sz w:val="24"/>
              </w:rPr>
              <w:t>（小写）：</w:t>
            </w:r>
            <w:r>
              <w:rPr>
                <w:rFonts w:hint="eastAsia"/>
                <w:sz w:val="24"/>
                <w:lang w:val="en-US" w:eastAsia="zh-CN"/>
              </w:rPr>
              <w:t>6000</w:t>
            </w:r>
            <w:r>
              <w:rPr>
                <w:sz w:val="24"/>
              </w:rPr>
              <w:t>.00</w:t>
            </w:r>
            <w:r>
              <w:rPr>
                <w:spacing w:val="-30"/>
                <w:sz w:val="24"/>
              </w:rPr>
              <w:t xml:space="preserve"> 元</w:t>
            </w:r>
          </w:p>
        </w:tc>
      </w:tr>
    </w:tbl>
    <w:p>
      <w:pPr>
        <w:spacing w:after="0"/>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60" o:spid="_x0000_s1060" o:spt="20" style="position:absolute;left:0pt;margin-left:62.4pt;margin-top:12.25pt;height:0pt;width:400.4pt;mso-position-horizontal-relative:page;z-index:25171046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rPr>
          <w:sz w:val="20"/>
        </w:rPr>
      </w:pPr>
    </w:p>
    <w:p>
      <w:pPr>
        <w:pStyle w:val="8"/>
        <w:spacing w:before="7"/>
        <w:rPr>
          <w:sz w:val="10"/>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0"/>
        <w:gridCol w:w="1888"/>
        <w:gridCol w:w="60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0" w:hRule="atLeast"/>
        </w:trPr>
        <w:tc>
          <w:tcPr>
            <w:tcW w:w="2100" w:type="dxa"/>
            <w:vMerge w:val="restart"/>
          </w:tcPr>
          <w:p>
            <w:pPr>
              <w:pStyle w:val="17"/>
              <w:rPr>
                <w:rFonts w:ascii="Times New Roman"/>
                <w:sz w:val="22"/>
              </w:rPr>
            </w:pPr>
          </w:p>
        </w:tc>
        <w:tc>
          <w:tcPr>
            <w:tcW w:w="1888" w:type="dxa"/>
          </w:tcPr>
          <w:p>
            <w:pPr>
              <w:pStyle w:val="17"/>
              <w:spacing w:before="5"/>
              <w:rPr>
                <w:sz w:val="25"/>
              </w:rPr>
            </w:pPr>
          </w:p>
          <w:p>
            <w:pPr>
              <w:pStyle w:val="17"/>
              <w:spacing w:line="362" w:lineRule="auto"/>
              <w:ind w:left="703" w:right="332" w:hanging="360"/>
              <w:rPr>
                <w:sz w:val="24"/>
              </w:rPr>
            </w:pPr>
            <w:r>
              <w:rPr>
                <w:sz w:val="24"/>
              </w:rPr>
              <w:t>签字或盖章要求</w:t>
            </w:r>
          </w:p>
        </w:tc>
        <w:tc>
          <w:tcPr>
            <w:tcW w:w="6032" w:type="dxa"/>
          </w:tcPr>
          <w:p>
            <w:pPr>
              <w:pStyle w:val="17"/>
              <w:spacing w:before="90" w:line="364" w:lineRule="auto"/>
              <w:ind w:left="107" w:right="152"/>
              <w:jc w:val="both"/>
              <w:rPr>
                <w:sz w:val="24"/>
              </w:rPr>
            </w:pPr>
            <w:r>
              <w:rPr>
                <w:sz w:val="24"/>
              </w:rPr>
              <w:t>响应文件中法定代表人或其委托代理人按竞争性磋商文件要求签字、盖章（委托代理人签字的，须附法人代表授权委托书）。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2100" w:type="dxa"/>
            <w:vMerge w:val="continue"/>
            <w:tcBorders>
              <w:top w:val="nil"/>
            </w:tcBorders>
          </w:tcPr>
          <w:p>
            <w:pPr>
              <w:rPr>
                <w:sz w:val="2"/>
                <w:szCs w:val="2"/>
              </w:rPr>
            </w:pPr>
          </w:p>
        </w:tc>
        <w:tc>
          <w:tcPr>
            <w:tcW w:w="1888" w:type="dxa"/>
          </w:tcPr>
          <w:p>
            <w:pPr>
              <w:pStyle w:val="17"/>
              <w:spacing w:before="58"/>
              <w:ind w:left="18" w:right="9"/>
              <w:jc w:val="center"/>
              <w:rPr>
                <w:sz w:val="24"/>
              </w:rPr>
            </w:pPr>
            <w:r>
              <w:rPr>
                <w:sz w:val="24"/>
              </w:rPr>
              <w:t>权利义务</w:t>
            </w:r>
          </w:p>
        </w:tc>
        <w:tc>
          <w:tcPr>
            <w:tcW w:w="6032" w:type="dxa"/>
          </w:tcPr>
          <w:p>
            <w:pPr>
              <w:pStyle w:val="17"/>
              <w:spacing w:before="58"/>
              <w:ind w:left="107"/>
              <w:rPr>
                <w:sz w:val="24"/>
              </w:rPr>
            </w:pPr>
            <w:r>
              <w:rPr>
                <w:sz w:val="24"/>
              </w:rPr>
              <w:t>符合第四章“合同条款及格式”规定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0" w:hRule="atLeast"/>
        </w:trPr>
        <w:tc>
          <w:tcPr>
            <w:tcW w:w="2100" w:type="dxa"/>
            <w:vMerge w:val="continue"/>
            <w:tcBorders>
              <w:top w:val="nil"/>
            </w:tcBorders>
          </w:tcPr>
          <w:p>
            <w:pPr>
              <w:rPr>
                <w:sz w:val="2"/>
                <w:szCs w:val="2"/>
              </w:rPr>
            </w:pPr>
          </w:p>
        </w:tc>
        <w:tc>
          <w:tcPr>
            <w:tcW w:w="1888" w:type="dxa"/>
          </w:tcPr>
          <w:p>
            <w:pPr>
              <w:pStyle w:val="17"/>
              <w:spacing w:before="2"/>
              <w:rPr>
                <w:sz w:val="18"/>
              </w:rPr>
            </w:pPr>
          </w:p>
          <w:p>
            <w:pPr>
              <w:pStyle w:val="17"/>
              <w:spacing w:line="364" w:lineRule="auto"/>
              <w:ind w:left="703" w:right="212" w:hanging="480"/>
              <w:rPr>
                <w:sz w:val="24"/>
              </w:rPr>
            </w:pPr>
            <w:r>
              <w:rPr>
                <w:sz w:val="24"/>
              </w:rPr>
              <w:t>已标价工程量清单</w:t>
            </w:r>
          </w:p>
        </w:tc>
        <w:tc>
          <w:tcPr>
            <w:tcW w:w="6032" w:type="dxa"/>
          </w:tcPr>
          <w:p>
            <w:pPr>
              <w:pStyle w:val="17"/>
              <w:ind w:left="107"/>
              <w:rPr>
                <w:sz w:val="24"/>
              </w:rPr>
            </w:pPr>
            <w:r>
              <w:rPr>
                <w:sz w:val="24"/>
              </w:rPr>
              <w:t>己标价工程量清单符合第六章“工程量清单”给出的范</w:t>
            </w:r>
          </w:p>
          <w:p>
            <w:pPr>
              <w:pStyle w:val="17"/>
              <w:spacing w:before="8" w:line="460" w:lineRule="atLeast"/>
              <w:ind w:left="107" w:right="152"/>
              <w:rPr>
                <w:sz w:val="24"/>
              </w:rPr>
            </w:pPr>
            <w:r>
              <w:rPr>
                <w:sz w:val="24"/>
              </w:rPr>
              <w:t>围及数量，已标价工程清单内容须经有资格的工程造价专业人员规定地方签字并加盖执业专用章。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8" w:hRule="atLeast"/>
        </w:trPr>
        <w:tc>
          <w:tcPr>
            <w:tcW w:w="2100" w:type="dxa"/>
            <w:vMerge w:val="continue"/>
            <w:tcBorders>
              <w:top w:val="nil"/>
            </w:tcBorders>
          </w:tcPr>
          <w:p>
            <w:pPr>
              <w:rPr>
                <w:sz w:val="2"/>
                <w:szCs w:val="2"/>
              </w:rPr>
            </w:pPr>
          </w:p>
        </w:tc>
        <w:tc>
          <w:tcPr>
            <w:tcW w:w="1888" w:type="dxa"/>
          </w:tcPr>
          <w:p>
            <w:pPr>
              <w:pStyle w:val="17"/>
              <w:rPr>
                <w:sz w:val="24"/>
              </w:rPr>
            </w:pPr>
          </w:p>
          <w:p>
            <w:pPr>
              <w:pStyle w:val="17"/>
              <w:spacing w:before="11"/>
              <w:rPr>
                <w:sz w:val="31"/>
              </w:rPr>
            </w:pPr>
          </w:p>
          <w:p>
            <w:pPr>
              <w:pStyle w:val="17"/>
              <w:spacing w:before="1"/>
              <w:ind w:left="18" w:right="9"/>
              <w:jc w:val="center"/>
              <w:rPr>
                <w:sz w:val="24"/>
              </w:rPr>
            </w:pPr>
            <w:r>
              <w:rPr>
                <w:sz w:val="24"/>
              </w:rPr>
              <w:t>招标控制价</w:t>
            </w:r>
          </w:p>
        </w:tc>
        <w:tc>
          <w:tcPr>
            <w:tcW w:w="6032" w:type="dxa"/>
          </w:tcPr>
          <w:p>
            <w:pPr>
              <w:pStyle w:val="17"/>
              <w:spacing w:before="1" w:line="362" w:lineRule="auto"/>
              <w:ind w:left="107" w:right="97"/>
              <w:rPr>
                <w:sz w:val="24"/>
              </w:rPr>
            </w:pPr>
            <w:r>
              <w:rPr>
                <w:sz w:val="24"/>
              </w:rPr>
              <w:t>磋商响应人的投标总价不得高于招标控制价，本项目招标控制价为（人民币）：</w:t>
            </w:r>
          </w:p>
          <w:p>
            <w:pPr>
              <w:pStyle w:val="17"/>
              <w:spacing w:before="5"/>
              <w:ind w:left="107"/>
              <w:rPr>
                <w:sz w:val="24"/>
              </w:rPr>
            </w:pPr>
            <w:r>
              <w:rPr>
                <w:sz w:val="24"/>
              </w:rPr>
              <w:t>小写：</w:t>
            </w:r>
            <w:r>
              <w:rPr>
                <w:rFonts w:hint="eastAsia"/>
                <w:sz w:val="24"/>
                <w:lang w:eastAsia="zh-CN"/>
              </w:rPr>
              <w:t>395000</w:t>
            </w:r>
            <w:r>
              <w:rPr>
                <w:sz w:val="24"/>
              </w:rPr>
              <w:t xml:space="preserve"> 万元；</w:t>
            </w:r>
          </w:p>
          <w:p>
            <w:pPr>
              <w:pStyle w:val="17"/>
              <w:spacing w:before="175"/>
              <w:ind w:left="107"/>
              <w:rPr>
                <w:rFonts w:hint="eastAsia" w:eastAsia="宋体"/>
                <w:sz w:val="24"/>
                <w:lang w:eastAsia="zh-CN"/>
              </w:rPr>
            </w:pPr>
            <w:r>
              <w:rPr>
                <w:sz w:val="24"/>
              </w:rPr>
              <w:t>大写：</w:t>
            </w:r>
            <w:r>
              <w:rPr>
                <w:rFonts w:hint="eastAsia"/>
                <w:sz w:val="24"/>
                <w:lang w:val="en-US" w:eastAsia="zh-CN"/>
              </w:rPr>
              <w:t>叁拾玖万伍仟元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100" w:type="dxa"/>
          </w:tcPr>
          <w:p>
            <w:pPr>
              <w:pStyle w:val="17"/>
              <w:ind w:left="788" w:right="779"/>
              <w:jc w:val="center"/>
              <w:rPr>
                <w:b/>
                <w:sz w:val="24"/>
              </w:rPr>
            </w:pPr>
            <w:r>
              <w:rPr>
                <w:b/>
                <w:sz w:val="24"/>
              </w:rPr>
              <w:t>序号</w:t>
            </w:r>
          </w:p>
        </w:tc>
        <w:tc>
          <w:tcPr>
            <w:tcW w:w="1888" w:type="dxa"/>
          </w:tcPr>
          <w:p>
            <w:pPr>
              <w:pStyle w:val="17"/>
              <w:ind w:left="16" w:right="9"/>
              <w:jc w:val="center"/>
              <w:rPr>
                <w:b/>
                <w:sz w:val="24"/>
              </w:rPr>
            </w:pPr>
            <w:r>
              <w:rPr>
                <w:b/>
                <w:sz w:val="24"/>
              </w:rPr>
              <w:t>条款内容</w:t>
            </w:r>
          </w:p>
        </w:tc>
        <w:tc>
          <w:tcPr>
            <w:tcW w:w="6032" w:type="dxa"/>
          </w:tcPr>
          <w:p>
            <w:pPr>
              <w:pStyle w:val="17"/>
              <w:ind w:left="107"/>
              <w:rPr>
                <w:b/>
                <w:sz w:val="24"/>
              </w:rPr>
            </w:pPr>
            <w:r>
              <w:rPr>
                <w:b/>
                <w:sz w:val="24"/>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7" w:hRule="atLeast"/>
        </w:trPr>
        <w:tc>
          <w:tcPr>
            <w:tcW w:w="2100" w:type="dxa"/>
          </w:tcPr>
          <w:p>
            <w:pPr>
              <w:pStyle w:val="17"/>
              <w:rPr>
                <w:sz w:val="24"/>
              </w:rPr>
            </w:pPr>
          </w:p>
          <w:p>
            <w:pPr>
              <w:pStyle w:val="17"/>
              <w:spacing w:before="9"/>
              <w:rPr>
                <w:sz w:val="30"/>
              </w:rPr>
            </w:pPr>
          </w:p>
          <w:p>
            <w:pPr>
              <w:pStyle w:val="17"/>
              <w:spacing w:before="1"/>
              <w:ind w:left="9"/>
              <w:jc w:val="center"/>
              <w:rPr>
                <w:sz w:val="24"/>
              </w:rPr>
            </w:pPr>
            <w:r>
              <w:rPr>
                <w:sz w:val="24"/>
              </w:rPr>
              <w:t>1</w:t>
            </w:r>
          </w:p>
        </w:tc>
        <w:tc>
          <w:tcPr>
            <w:tcW w:w="1888" w:type="dxa"/>
          </w:tcPr>
          <w:p>
            <w:pPr>
              <w:pStyle w:val="17"/>
              <w:rPr>
                <w:sz w:val="24"/>
              </w:rPr>
            </w:pPr>
          </w:p>
          <w:p>
            <w:pPr>
              <w:pStyle w:val="17"/>
              <w:spacing w:before="159"/>
              <w:ind w:left="18" w:right="9"/>
              <w:jc w:val="center"/>
              <w:rPr>
                <w:sz w:val="24"/>
              </w:rPr>
            </w:pPr>
            <w:r>
              <w:rPr>
                <w:sz w:val="24"/>
              </w:rPr>
              <w:t>分值构成</w:t>
            </w:r>
          </w:p>
          <w:p>
            <w:pPr>
              <w:pStyle w:val="17"/>
              <w:spacing w:before="158"/>
              <w:ind w:left="28" w:right="9"/>
              <w:jc w:val="center"/>
              <w:rPr>
                <w:sz w:val="24"/>
              </w:rPr>
            </w:pPr>
            <w:r>
              <w:rPr>
                <w:sz w:val="24"/>
              </w:rPr>
              <w:t>（总分 100 分）</w:t>
            </w:r>
          </w:p>
        </w:tc>
        <w:tc>
          <w:tcPr>
            <w:tcW w:w="6032" w:type="dxa"/>
          </w:tcPr>
          <w:p>
            <w:pPr>
              <w:pStyle w:val="17"/>
              <w:spacing w:before="1" w:line="364" w:lineRule="auto"/>
              <w:ind w:left="107" w:right="3623"/>
              <w:rPr>
                <w:sz w:val="24"/>
              </w:rPr>
            </w:pPr>
            <w:r>
              <w:rPr>
                <w:sz w:val="24"/>
              </w:rPr>
              <w:t>施工组织设计：49 分项目管理机构：5 分投标报价：30 分</w:t>
            </w:r>
          </w:p>
          <w:p>
            <w:pPr>
              <w:pStyle w:val="17"/>
              <w:spacing w:line="304" w:lineRule="exact"/>
              <w:ind w:left="107"/>
              <w:rPr>
                <w:sz w:val="24"/>
              </w:rPr>
            </w:pPr>
            <w:r>
              <w:rPr>
                <w:sz w:val="24"/>
              </w:rPr>
              <w:t>其他评分因素：16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7" w:hRule="atLeast"/>
        </w:trPr>
        <w:tc>
          <w:tcPr>
            <w:tcW w:w="2100" w:type="dxa"/>
          </w:tcPr>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spacing w:before="1"/>
              <w:rPr>
                <w:sz w:val="20"/>
              </w:rPr>
            </w:pPr>
          </w:p>
          <w:p>
            <w:pPr>
              <w:pStyle w:val="17"/>
              <w:spacing w:before="1"/>
              <w:ind w:left="9"/>
              <w:jc w:val="center"/>
              <w:rPr>
                <w:sz w:val="24"/>
              </w:rPr>
            </w:pPr>
            <w:r>
              <w:rPr>
                <w:sz w:val="24"/>
              </w:rPr>
              <w:t>2</w:t>
            </w:r>
          </w:p>
        </w:tc>
        <w:tc>
          <w:tcPr>
            <w:tcW w:w="1888" w:type="dxa"/>
          </w:tcPr>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spacing w:before="10"/>
              <w:rPr>
                <w:sz w:val="25"/>
              </w:rPr>
            </w:pPr>
          </w:p>
          <w:p>
            <w:pPr>
              <w:pStyle w:val="17"/>
              <w:spacing w:line="364" w:lineRule="auto"/>
              <w:ind w:left="552" w:right="452" w:hanging="89"/>
              <w:rPr>
                <w:sz w:val="24"/>
              </w:rPr>
            </w:pPr>
            <w:r>
              <w:rPr>
                <w:sz w:val="24"/>
              </w:rPr>
              <w:t>投标报价(30 分)</w:t>
            </w:r>
          </w:p>
        </w:tc>
        <w:tc>
          <w:tcPr>
            <w:tcW w:w="6032" w:type="dxa"/>
          </w:tcPr>
          <w:p>
            <w:pPr>
              <w:pStyle w:val="17"/>
              <w:spacing w:before="3" w:line="362" w:lineRule="auto"/>
              <w:ind w:left="107" w:right="152"/>
              <w:jc w:val="both"/>
              <w:rPr>
                <w:sz w:val="24"/>
              </w:rPr>
            </w:pPr>
            <w:r>
              <w:rPr>
                <w:sz w:val="24"/>
              </w:rPr>
              <w:t>在所有的有效报价中，以最低投标报价为基准价，其价格分为满分。其他投标供应商报价分统一按下列公式计算得分：</w:t>
            </w:r>
          </w:p>
          <w:p>
            <w:pPr>
              <w:pStyle w:val="17"/>
              <w:spacing w:before="6"/>
              <w:ind w:left="107"/>
              <w:rPr>
                <w:sz w:val="24"/>
              </w:rPr>
            </w:pPr>
            <w:r>
              <w:rPr>
                <w:sz w:val="24"/>
              </w:rPr>
              <w:t>投标报价得分=(评标基准价／投标报价)×价格权值</w:t>
            </w:r>
          </w:p>
          <w:p>
            <w:pPr>
              <w:pStyle w:val="17"/>
              <w:spacing w:before="158"/>
              <w:ind w:left="107"/>
              <w:rPr>
                <w:sz w:val="24"/>
              </w:rPr>
            </w:pPr>
            <w:r>
              <w:rPr>
                <w:sz w:val="24"/>
              </w:rPr>
              <w:t>（30%）×100（四舍五入后保留小数点后两位）</w:t>
            </w:r>
          </w:p>
          <w:p>
            <w:pPr>
              <w:pStyle w:val="17"/>
              <w:spacing w:before="161" w:line="364" w:lineRule="auto"/>
              <w:ind w:left="107" w:right="32"/>
              <w:jc w:val="both"/>
              <w:rPr>
                <w:sz w:val="24"/>
              </w:rPr>
            </w:pPr>
            <w:r>
              <w:rPr>
                <w:sz w:val="24"/>
              </w:rPr>
              <w:t>注：1、根据《政府采购促进中小企业发展管理办法》的相关规定对小型和微型企业产品的价格给予6％的扣除， 用扣除后的价格参与评审；</w:t>
            </w:r>
          </w:p>
          <w:p>
            <w:pPr>
              <w:pStyle w:val="17"/>
              <w:spacing w:line="307" w:lineRule="exact"/>
              <w:ind w:left="107"/>
              <w:rPr>
                <w:sz w:val="24"/>
              </w:rPr>
            </w:pPr>
            <w:r>
              <w:rPr>
                <w:sz w:val="24"/>
              </w:rPr>
              <w:t>2、残疾人福利性单位属于小型、微型企业的，不重复享</w:t>
            </w:r>
          </w:p>
          <w:p>
            <w:pPr>
              <w:pStyle w:val="17"/>
              <w:spacing w:before="158"/>
              <w:ind w:left="107"/>
              <w:rPr>
                <w:sz w:val="24"/>
              </w:rPr>
            </w:pPr>
            <w:r>
              <w:rPr>
                <w:sz w:val="24"/>
              </w:rPr>
              <w:t>受政策。</w:t>
            </w:r>
          </w:p>
        </w:tc>
      </w:tr>
    </w:tbl>
    <w:p>
      <w:pPr>
        <w:spacing w:after="0"/>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61" o:spid="_x0000_s1061" o:spt="20" style="position:absolute;left:0pt;margin-left:62.4pt;margin-top:12.25pt;height:0pt;width:400.4pt;mso-position-horizontal-relative:page;z-index:25171148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rPr>
          <w:sz w:val="20"/>
        </w:rPr>
      </w:pPr>
    </w:p>
    <w:p>
      <w:pPr>
        <w:pStyle w:val="8"/>
        <w:spacing w:before="7"/>
        <w:rPr>
          <w:sz w:val="10"/>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1"/>
        <w:gridCol w:w="1259"/>
        <w:gridCol w:w="1888"/>
        <w:gridCol w:w="60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0" w:hRule="atLeast"/>
        </w:trPr>
        <w:tc>
          <w:tcPr>
            <w:tcW w:w="2100" w:type="dxa"/>
            <w:gridSpan w:val="2"/>
          </w:tcPr>
          <w:p>
            <w:pPr>
              <w:pStyle w:val="17"/>
              <w:rPr>
                <w:rFonts w:ascii="Times New Roman"/>
                <w:sz w:val="22"/>
              </w:rPr>
            </w:pPr>
          </w:p>
        </w:tc>
        <w:tc>
          <w:tcPr>
            <w:tcW w:w="1888" w:type="dxa"/>
          </w:tcPr>
          <w:p>
            <w:pPr>
              <w:pStyle w:val="17"/>
              <w:rPr>
                <w:rFonts w:ascii="Times New Roman"/>
                <w:sz w:val="22"/>
              </w:rPr>
            </w:pPr>
          </w:p>
        </w:tc>
        <w:tc>
          <w:tcPr>
            <w:tcW w:w="6032" w:type="dxa"/>
          </w:tcPr>
          <w:p>
            <w:pPr>
              <w:pStyle w:val="17"/>
              <w:spacing w:before="1" w:line="362" w:lineRule="auto"/>
              <w:ind w:left="107" w:right="95"/>
              <w:rPr>
                <w:sz w:val="24"/>
              </w:rPr>
            </w:pPr>
            <w:r>
              <w:rPr>
                <w:sz w:val="24"/>
              </w:rPr>
              <w:t>3</w:t>
            </w:r>
            <w:r>
              <w:rPr>
                <w:spacing w:val="-14"/>
                <w:sz w:val="24"/>
              </w:rPr>
              <w:t>、根据《关于促进残疾人就业政府采购政策的通知</w:t>
            </w:r>
            <w:r>
              <w:rPr>
                <w:spacing w:val="-147"/>
                <w:sz w:val="24"/>
              </w:rPr>
              <w:t>》</w:t>
            </w:r>
            <w:r>
              <w:rPr>
                <w:sz w:val="24"/>
              </w:rPr>
              <w:t>（</w:t>
            </w:r>
            <w:r>
              <w:rPr>
                <w:spacing w:val="-15"/>
                <w:sz w:val="24"/>
              </w:rPr>
              <w:t>财</w:t>
            </w:r>
            <w:r>
              <w:rPr>
                <w:sz w:val="24"/>
              </w:rPr>
              <w:t>库【2017】141</w:t>
            </w:r>
            <w:r>
              <w:rPr>
                <w:spacing w:val="-30"/>
                <w:sz w:val="24"/>
              </w:rPr>
              <w:t xml:space="preserve"> 号</w:t>
            </w:r>
            <w:r>
              <w:rPr>
                <w:sz w:val="24"/>
              </w:rPr>
              <w:t>），残疾人福利性单位视同小型、微</w:t>
            </w:r>
          </w:p>
          <w:p>
            <w:pPr>
              <w:pStyle w:val="17"/>
              <w:spacing w:before="5"/>
              <w:ind w:left="107"/>
              <w:rPr>
                <w:sz w:val="24"/>
              </w:rPr>
            </w:pPr>
            <w:r>
              <w:rPr>
                <w:sz w:val="24"/>
              </w:rPr>
              <w:t>型企业。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100" w:type="dxa"/>
            <w:gridSpan w:val="2"/>
          </w:tcPr>
          <w:p>
            <w:pPr>
              <w:pStyle w:val="17"/>
              <w:spacing w:before="2"/>
              <w:ind w:left="788" w:right="779"/>
              <w:jc w:val="center"/>
              <w:rPr>
                <w:b/>
                <w:sz w:val="24"/>
              </w:rPr>
            </w:pPr>
            <w:r>
              <w:rPr>
                <w:b/>
                <w:sz w:val="24"/>
              </w:rPr>
              <w:t>序号</w:t>
            </w:r>
          </w:p>
        </w:tc>
        <w:tc>
          <w:tcPr>
            <w:tcW w:w="1888" w:type="dxa"/>
          </w:tcPr>
          <w:p>
            <w:pPr>
              <w:pStyle w:val="17"/>
              <w:spacing w:before="2"/>
              <w:ind w:left="461"/>
              <w:rPr>
                <w:b/>
                <w:sz w:val="24"/>
              </w:rPr>
            </w:pPr>
            <w:r>
              <w:rPr>
                <w:b/>
                <w:sz w:val="24"/>
              </w:rPr>
              <w:t>评分因素</w:t>
            </w:r>
          </w:p>
        </w:tc>
        <w:tc>
          <w:tcPr>
            <w:tcW w:w="6032" w:type="dxa"/>
          </w:tcPr>
          <w:p>
            <w:pPr>
              <w:pStyle w:val="17"/>
              <w:spacing w:before="2"/>
              <w:ind w:left="2512" w:right="2505"/>
              <w:jc w:val="center"/>
              <w:rPr>
                <w:b/>
                <w:sz w:val="24"/>
              </w:rPr>
            </w:pPr>
            <w:r>
              <w:rPr>
                <w:b/>
                <w:sz w:val="24"/>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1" w:hRule="atLeast"/>
        </w:trPr>
        <w:tc>
          <w:tcPr>
            <w:tcW w:w="841" w:type="dxa"/>
            <w:vMerge w:val="restart"/>
          </w:tcPr>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spacing w:before="195"/>
              <w:ind w:left="10"/>
              <w:jc w:val="center"/>
              <w:rPr>
                <w:rFonts w:hint="eastAsia" w:eastAsia="宋体"/>
                <w:sz w:val="24"/>
                <w:lang w:val="en-US" w:eastAsia="zh-CN"/>
              </w:rPr>
            </w:pPr>
            <w:r>
              <w:rPr>
                <w:rFonts w:hint="eastAsia"/>
                <w:sz w:val="24"/>
                <w:lang w:val="en-US" w:eastAsia="zh-CN"/>
              </w:rPr>
              <w:t>3</w:t>
            </w:r>
          </w:p>
        </w:tc>
        <w:tc>
          <w:tcPr>
            <w:tcW w:w="1259" w:type="dxa"/>
            <w:vMerge w:val="restart"/>
          </w:tcPr>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spacing w:before="162" w:line="364" w:lineRule="auto"/>
              <w:ind w:left="148" w:right="138"/>
              <w:jc w:val="center"/>
              <w:rPr>
                <w:sz w:val="24"/>
              </w:rPr>
            </w:pPr>
            <w:r>
              <w:rPr>
                <w:sz w:val="24"/>
              </w:rPr>
              <w:t>施工组织设计评分标准</w:t>
            </w:r>
          </w:p>
          <w:p>
            <w:pPr>
              <w:pStyle w:val="17"/>
              <w:rPr>
                <w:sz w:val="24"/>
              </w:rPr>
            </w:pPr>
          </w:p>
          <w:p>
            <w:pPr>
              <w:pStyle w:val="17"/>
              <w:spacing w:before="157"/>
              <w:ind w:left="69" w:right="59"/>
              <w:jc w:val="center"/>
              <w:rPr>
                <w:sz w:val="24"/>
              </w:rPr>
            </w:pPr>
            <w:r>
              <w:rPr>
                <w:sz w:val="24"/>
              </w:rPr>
              <w:t>（49 分）</w:t>
            </w:r>
          </w:p>
        </w:tc>
        <w:tc>
          <w:tcPr>
            <w:tcW w:w="1888" w:type="dxa"/>
          </w:tcPr>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spacing w:before="180" w:line="364" w:lineRule="auto"/>
              <w:ind w:left="463" w:right="332" w:hanging="120"/>
              <w:rPr>
                <w:sz w:val="24"/>
              </w:rPr>
            </w:pPr>
            <w:r>
              <w:rPr>
                <w:spacing w:val="-4"/>
                <w:sz w:val="24"/>
              </w:rPr>
              <w:t>施工方案与</w:t>
            </w:r>
            <w:r>
              <w:rPr>
                <w:sz w:val="24"/>
              </w:rPr>
              <w:t>技术措施</w:t>
            </w:r>
          </w:p>
          <w:p>
            <w:pPr>
              <w:pStyle w:val="17"/>
              <w:spacing w:before="1"/>
              <w:ind w:left="365"/>
              <w:rPr>
                <w:sz w:val="24"/>
              </w:rPr>
            </w:pPr>
            <w:r>
              <w:rPr>
                <w:sz w:val="24"/>
              </w:rPr>
              <w:t>（</w:t>
            </w:r>
            <w:r>
              <w:rPr>
                <w:rFonts w:ascii="Arial" w:eastAsia="Arial"/>
                <w:sz w:val="24"/>
              </w:rPr>
              <w:t>7</w:t>
            </w:r>
            <w:r>
              <w:rPr>
                <w:rFonts w:ascii="Arial" w:eastAsia="Arial"/>
                <w:spacing w:val="-6"/>
                <w:sz w:val="24"/>
              </w:rPr>
              <w:t xml:space="preserve"> </w:t>
            </w:r>
            <w:r>
              <w:rPr>
                <w:sz w:val="24"/>
              </w:rPr>
              <w:t>分））</w:t>
            </w:r>
          </w:p>
        </w:tc>
        <w:tc>
          <w:tcPr>
            <w:tcW w:w="6032" w:type="dxa"/>
          </w:tcPr>
          <w:p>
            <w:pPr>
              <w:pStyle w:val="17"/>
              <w:spacing w:line="364" w:lineRule="auto"/>
              <w:ind w:left="107" w:right="138"/>
              <w:jc w:val="both"/>
              <w:rPr>
                <w:sz w:val="24"/>
              </w:rPr>
            </w:pPr>
            <w:r>
              <w:rPr>
                <w:sz w:val="24"/>
              </w:rPr>
              <w:t>施工部署、施工顺序及方案全面详细、任务清晰、内容完整、针对性强；各项管理目标明确，技术措施完全满</w:t>
            </w:r>
            <w:r>
              <w:rPr>
                <w:spacing w:val="-3"/>
                <w:sz w:val="24"/>
              </w:rPr>
              <w:t xml:space="preserve">足工期、质量、安全生产及文明施工要求的，得 </w:t>
            </w:r>
            <w:r>
              <w:rPr>
                <w:rFonts w:ascii="Arial" w:eastAsia="Arial"/>
                <w:sz w:val="24"/>
              </w:rPr>
              <w:t xml:space="preserve">7 </w:t>
            </w:r>
            <w:r>
              <w:rPr>
                <w:spacing w:val="-9"/>
                <w:sz w:val="24"/>
              </w:rPr>
              <w:t xml:space="preserve">分； </w:t>
            </w:r>
            <w:r>
              <w:rPr>
                <w:sz w:val="24"/>
              </w:rPr>
              <w:t>施工部署、施工顺序及方案有细微偏差，理解与分析不到位；各项管理目标简单粗略，技术措施基本能满足工</w:t>
            </w:r>
            <w:r>
              <w:rPr>
                <w:spacing w:val="-3"/>
                <w:sz w:val="24"/>
              </w:rPr>
              <w:t xml:space="preserve">期、质量、安全生产及文明施工要求的，得 </w:t>
            </w:r>
            <w:r>
              <w:rPr>
                <w:rFonts w:ascii="Arial" w:eastAsia="Arial"/>
                <w:sz w:val="24"/>
              </w:rPr>
              <w:t xml:space="preserve">4 </w:t>
            </w:r>
            <w:r>
              <w:rPr>
                <w:sz w:val="24"/>
              </w:rPr>
              <w:t>分；</w:t>
            </w:r>
          </w:p>
          <w:p>
            <w:pPr>
              <w:pStyle w:val="17"/>
              <w:spacing w:line="364" w:lineRule="auto"/>
              <w:ind w:left="107" w:right="97"/>
              <w:jc w:val="both"/>
              <w:rPr>
                <w:sz w:val="24"/>
              </w:rPr>
            </w:pPr>
            <w:r>
              <w:rPr>
                <w:sz w:val="24"/>
              </w:rPr>
              <w:t>施工部署、施工顺序及方案未贴合实际、无针对性；各项管理目标不明确，技术措施只能最低限度满足工期、质量、安全生产及文明施工要求或者有重大缺失的，得</w:t>
            </w:r>
            <w:r>
              <w:rPr>
                <w:rFonts w:ascii="Arial" w:eastAsia="Arial"/>
                <w:sz w:val="24"/>
              </w:rPr>
              <w:t xml:space="preserve">2 </w:t>
            </w:r>
            <w:r>
              <w:rPr>
                <w:sz w:val="24"/>
              </w:rPr>
              <w:t>分。</w:t>
            </w:r>
          </w:p>
          <w:p>
            <w:pPr>
              <w:pStyle w:val="17"/>
              <w:spacing w:line="305" w:lineRule="exact"/>
              <w:ind w:left="107"/>
              <w:rPr>
                <w:sz w:val="24"/>
              </w:rPr>
            </w:pPr>
            <w:r>
              <w:rPr>
                <w:sz w:val="24"/>
              </w:rPr>
              <w:t>投标人未提供方案或理解分析出现严重偏离不能满足基</w:t>
            </w:r>
          </w:p>
          <w:p>
            <w:pPr>
              <w:pStyle w:val="17"/>
              <w:spacing w:before="157"/>
              <w:ind w:left="107"/>
              <w:rPr>
                <w:sz w:val="24"/>
              </w:rPr>
            </w:pPr>
            <w:r>
              <w:rPr>
                <w:sz w:val="24"/>
              </w:rPr>
              <w:t xml:space="preserve">本建设要求的，得 </w:t>
            </w:r>
            <w:r>
              <w:rPr>
                <w:rFonts w:ascii="Arial" w:eastAsia="Arial"/>
                <w:sz w:val="24"/>
              </w:rPr>
              <w:t xml:space="preserve">1 </w:t>
            </w:r>
            <w:r>
              <w:rPr>
                <w:sz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9" w:hRule="atLeast"/>
        </w:trPr>
        <w:tc>
          <w:tcPr>
            <w:tcW w:w="841" w:type="dxa"/>
            <w:vMerge w:val="continue"/>
            <w:tcBorders>
              <w:top w:val="nil"/>
            </w:tcBorders>
          </w:tcPr>
          <w:p>
            <w:pPr>
              <w:rPr>
                <w:sz w:val="2"/>
                <w:szCs w:val="2"/>
              </w:rPr>
            </w:pPr>
          </w:p>
        </w:tc>
        <w:tc>
          <w:tcPr>
            <w:tcW w:w="1259" w:type="dxa"/>
            <w:vMerge w:val="continue"/>
            <w:tcBorders>
              <w:top w:val="nil"/>
            </w:tcBorders>
          </w:tcPr>
          <w:p>
            <w:pPr>
              <w:rPr>
                <w:sz w:val="2"/>
                <w:szCs w:val="2"/>
              </w:rPr>
            </w:pPr>
          </w:p>
        </w:tc>
        <w:tc>
          <w:tcPr>
            <w:tcW w:w="1888" w:type="dxa"/>
          </w:tcPr>
          <w:p>
            <w:pPr>
              <w:pStyle w:val="17"/>
              <w:rPr>
                <w:sz w:val="24"/>
              </w:rPr>
            </w:pPr>
          </w:p>
          <w:p>
            <w:pPr>
              <w:pStyle w:val="17"/>
              <w:rPr>
                <w:sz w:val="24"/>
              </w:rPr>
            </w:pPr>
          </w:p>
          <w:p>
            <w:pPr>
              <w:pStyle w:val="17"/>
              <w:rPr>
                <w:sz w:val="24"/>
              </w:rPr>
            </w:pPr>
          </w:p>
          <w:p>
            <w:pPr>
              <w:pStyle w:val="17"/>
              <w:rPr>
                <w:sz w:val="24"/>
              </w:rPr>
            </w:pPr>
          </w:p>
          <w:p>
            <w:pPr>
              <w:pStyle w:val="17"/>
              <w:spacing w:before="9"/>
              <w:rPr>
                <w:sz w:val="31"/>
              </w:rPr>
            </w:pPr>
          </w:p>
          <w:p>
            <w:pPr>
              <w:pStyle w:val="17"/>
              <w:spacing w:line="362" w:lineRule="auto"/>
              <w:ind w:left="223" w:right="212"/>
              <w:jc w:val="center"/>
              <w:rPr>
                <w:sz w:val="24"/>
              </w:rPr>
            </w:pPr>
            <w:r>
              <w:rPr>
                <w:spacing w:val="-3"/>
                <w:sz w:val="24"/>
              </w:rPr>
              <w:t>质量管理体系</w:t>
            </w:r>
            <w:r>
              <w:rPr>
                <w:sz w:val="24"/>
              </w:rPr>
              <w:t>与措施</w:t>
            </w:r>
          </w:p>
          <w:p>
            <w:pPr>
              <w:pStyle w:val="17"/>
              <w:spacing w:before="2"/>
              <w:ind w:left="16" w:right="9"/>
              <w:jc w:val="center"/>
              <w:rPr>
                <w:sz w:val="24"/>
              </w:rPr>
            </w:pPr>
            <w:r>
              <w:rPr>
                <w:sz w:val="24"/>
              </w:rPr>
              <w:t>（</w:t>
            </w:r>
            <w:r>
              <w:rPr>
                <w:rFonts w:ascii="Arial" w:eastAsia="Arial"/>
                <w:sz w:val="24"/>
              </w:rPr>
              <w:t>7</w:t>
            </w:r>
            <w:r>
              <w:rPr>
                <w:rFonts w:ascii="Arial" w:eastAsia="Arial"/>
                <w:spacing w:val="-6"/>
                <w:sz w:val="24"/>
              </w:rPr>
              <w:t xml:space="preserve"> </w:t>
            </w:r>
            <w:r>
              <w:rPr>
                <w:sz w:val="24"/>
              </w:rPr>
              <w:t>分）</w:t>
            </w:r>
          </w:p>
        </w:tc>
        <w:tc>
          <w:tcPr>
            <w:tcW w:w="6032" w:type="dxa"/>
          </w:tcPr>
          <w:p>
            <w:pPr>
              <w:pStyle w:val="17"/>
              <w:spacing w:before="1" w:line="364" w:lineRule="auto"/>
              <w:ind w:left="107" w:right="152"/>
              <w:jc w:val="both"/>
              <w:rPr>
                <w:sz w:val="24"/>
              </w:rPr>
            </w:pPr>
            <w:r>
              <w:rPr>
                <w:sz w:val="24"/>
              </w:rPr>
              <w:t xml:space="preserve">质量管理体系健全、管理人员责任明确、管理制度健全有效，各项技术措施、主要分项工程、作业指导书等完全符合现行国家质量验收标准要求得 </w:t>
            </w:r>
            <w:r>
              <w:rPr>
                <w:rFonts w:ascii="Arial" w:eastAsia="Arial"/>
                <w:sz w:val="24"/>
              </w:rPr>
              <w:t xml:space="preserve">7 </w:t>
            </w:r>
            <w:r>
              <w:rPr>
                <w:sz w:val="24"/>
              </w:rPr>
              <w:t>分；</w:t>
            </w:r>
          </w:p>
          <w:p>
            <w:pPr>
              <w:pStyle w:val="17"/>
              <w:spacing w:line="364" w:lineRule="auto"/>
              <w:ind w:left="107" w:right="152"/>
              <w:jc w:val="both"/>
              <w:rPr>
                <w:sz w:val="24"/>
              </w:rPr>
            </w:pPr>
            <w:r>
              <w:rPr>
                <w:sz w:val="24"/>
              </w:rPr>
              <w:t xml:space="preserve">质量管理体系、管理人员责任、管理制度基本满足项目需求，各项技术措施、主要分项工程、作业指导书等只能基本满足现行国家质量验收标准要求得 </w:t>
            </w:r>
            <w:r>
              <w:rPr>
                <w:rFonts w:ascii="Arial" w:eastAsia="Arial"/>
                <w:sz w:val="24"/>
              </w:rPr>
              <w:t xml:space="preserve">4 </w:t>
            </w:r>
            <w:r>
              <w:rPr>
                <w:sz w:val="24"/>
              </w:rPr>
              <w:t>分，</w:t>
            </w:r>
          </w:p>
          <w:p>
            <w:pPr>
              <w:pStyle w:val="17"/>
              <w:spacing w:line="364" w:lineRule="auto"/>
              <w:ind w:left="107" w:right="-29"/>
              <w:rPr>
                <w:sz w:val="24"/>
              </w:rPr>
            </w:pPr>
            <w:r>
              <w:rPr>
                <w:spacing w:val="-7"/>
                <w:sz w:val="24"/>
              </w:rPr>
              <w:t>质量管理体系不适用、管理人员责任不明确、管理制度、</w:t>
            </w:r>
            <w:r>
              <w:rPr>
                <w:sz w:val="24"/>
              </w:rPr>
              <w:t>各项技术措施、主要分项工程、作业指导书等有多项缺</w:t>
            </w:r>
            <w:r>
              <w:rPr>
                <w:spacing w:val="-3"/>
                <w:sz w:val="24"/>
              </w:rPr>
              <w:t xml:space="preserve">失，不满足现行国家质量验收标准要求的得 </w:t>
            </w:r>
            <w:r>
              <w:rPr>
                <w:rFonts w:ascii="Arial" w:eastAsia="Arial"/>
                <w:sz w:val="24"/>
              </w:rPr>
              <w:t>2</w:t>
            </w:r>
            <w:r>
              <w:rPr>
                <w:rFonts w:ascii="Arial" w:eastAsia="Arial"/>
                <w:spacing w:val="-6"/>
                <w:sz w:val="24"/>
              </w:rPr>
              <w:t xml:space="preserve"> </w:t>
            </w:r>
            <w:r>
              <w:rPr>
                <w:sz w:val="24"/>
              </w:rPr>
              <w:t>分，未提</w:t>
            </w:r>
          </w:p>
          <w:p>
            <w:pPr>
              <w:pStyle w:val="17"/>
              <w:spacing w:line="307" w:lineRule="exact"/>
              <w:ind w:left="107"/>
              <w:rPr>
                <w:sz w:val="24"/>
              </w:rPr>
            </w:pPr>
            <w:r>
              <w:rPr>
                <w:sz w:val="24"/>
              </w:rPr>
              <w:t>供或其他情况的不得分。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5" w:hRule="atLeast"/>
        </w:trPr>
        <w:tc>
          <w:tcPr>
            <w:tcW w:w="841" w:type="dxa"/>
            <w:vMerge w:val="continue"/>
            <w:tcBorders>
              <w:top w:val="nil"/>
            </w:tcBorders>
          </w:tcPr>
          <w:p>
            <w:pPr>
              <w:rPr>
                <w:sz w:val="2"/>
                <w:szCs w:val="2"/>
              </w:rPr>
            </w:pPr>
          </w:p>
        </w:tc>
        <w:tc>
          <w:tcPr>
            <w:tcW w:w="1259" w:type="dxa"/>
            <w:vMerge w:val="continue"/>
            <w:tcBorders>
              <w:top w:val="nil"/>
            </w:tcBorders>
          </w:tcPr>
          <w:p>
            <w:pPr>
              <w:rPr>
                <w:sz w:val="2"/>
                <w:szCs w:val="2"/>
              </w:rPr>
            </w:pPr>
          </w:p>
        </w:tc>
        <w:tc>
          <w:tcPr>
            <w:tcW w:w="1888" w:type="dxa"/>
          </w:tcPr>
          <w:p>
            <w:pPr>
              <w:pStyle w:val="17"/>
              <w:spacing w:line="364" w:lineRule="auto"/>
              <w:ind w:left="223" w:right="212"/>
              <w:jc w:val="center"/>
              <w:rPr>
                <w:sz w:val="24"/>
              </w:rPr>
            </w:pPr>
            <w:r>
              <w:rPr>
                <w:sz w:val="24"/>
              </w:rPr>
              <w:t>安全管理体系及治安管理与措施</w:t>
            </w:r>
          </w:p>
          <w:p>
            <w:pPr>
              <w:pStyle w:val="17"/>
              <w:spacing w:line="307" w:lineRule="exact"/>
              <w:ind w:left="16" w:right="9"/>
              <w:jc w:val="center"/>
              <w:rPr>
                <w:sz w:val="24"/>
              </w:rPr>
            </w:pPr>
            <w:r>
              <w:rPr>
                <w:sz w:val="24"/>
              </w:rPr>
              <w:t>（</w:t>
            </w:r>
            <w:r>
              <w:rPr>
                <w:rFonts w:ascii="Arial" w:eastAsia="Arial"/>
                <w:sz w:val="24"/>
              </w:rPr>
              <w:t xml:space="preserve">7 </w:t>
            </w:r>
            <w:r>
              <w:rPr>
                <w:sz w:val="24"/>
              </w:rPr>
              <w:t>分）</w:t>
            </w:r>
          </w:p>
        </w:tc>
        <w:tc>
          <w:tcPr>
            <w:tcW w:w="6032" w:type="dxa"/>
          </w:tcPr>
          <w:p>
            <w:pPr>
              <w:pStyle w:val="17"/>
              <w:spacing w:line="364" w:lineRule="auto"/>
              <w:ind w:left="107" w:right="152"/>
              <w:jc w:val="both"/>
              <w:rPr>
                <w:sz w:val="24"/>
              </w:rPr>
            </w:pPr>
            <w:r>
              <w:rPr>
                <w:sz w:val="24"/>
              </w:rPr>
              <w:t>安全管理体系健全、管理人员责任明确、各种安全教育制度健全有效、施工现场安全技术管理及防护、防范措施得力，完全符合国家安全生产管理规定，治安管理及</w:t>
            </w:r>
          </w:p>
          <w:p>
            <w:pPr>
              <w:pStyle w:val="17"/>
              <w:spacing w:line="307" w:lineRule="exact"/>
              <w:ind w:left="107"/>
              <w:jc w:val="both"/>
              <w:rPr>
                <w:sz w:val="24"/>
              </w:rPr>
            </w:pPr>
            <w:r>
              <w:rPr>
                <w:sz w:val="24"/>
              </w:rPr>
              <w:t xml:space="preserve">应急预案积极有效的，得 </w:t>
            </w:r>
            <w:r>
              <w:rPr>
                <w:rFonts w:ascii="Arial" w:eastAsia="Arial"/>
                <w:sz w:val="24"/>
              </w:rPr>
              <w:t xml:space="preserve">7 </w:t>
            </w:r>
            <w:r>
              <w:rPr>
                <w:sz w:val="24"/>
              </w:rPr>
              <w:t>分；</w:t>
            </w:r>
          </w:p>
        </w:tc>
      </w:tr>
    </w:tbl>
    <w:p>
      <w:pPr>
        <w:spacing w:after="0" w:line="307" w:lineRule="exact"/>
        <w:jc w:val="both"/>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62" o:spid="_x0000_s1062" o:spt="20" style="position:absolute;left:0pt;margin-left:62.4pt;margin-top:12.25pt;height:0pt;width:400.4pt;mso-position-horizontal-relative:page;z-index:25171251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rPr>
          <w:sz w:val="20"/>
        </w:rPr>
      </w:pPr>
    </w:p>
    <w:p>
      <w:pPr>
        <w:pStyle w:val="8"/>
        <w:spacing w:before="7"/>
        <w:rPr>
          <w:sz w:val="10"/>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1"/>
        <w:gridCol w:w="1259"/>
        <w:gridCol w:w="1888"/>
        <w:gridCol w:w="60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7" w:hRule="atLeast"/>
        </w:trPr>
        <w:tc>
          <w:tcPr>
            <w:tcW w:w="841" w:type="dxa"/>
            <w:vMerge w:val="restart"/>
          </w:tcPr>
          <w:p>
            <w:pPr>
              <w:pStyle w:val="17"/>
              <w:rPr>
                <w:rFonts w:ascii="Times New Roman"/>
                <w:sz w:val="22"/>
              </w:rPr>
            </w:pPr>
          </w:p>
        </w:tc>
        <w:tc>
          <w:tcPr>
            <w:tcW w:w="1259" w:type="dxa"/>
            <w:vMerge w:val="restart"/>
          </w:tcPr>
          <w:p>
            <w:pPr>
              <w:pStyle w:val="17"/>
              <w:rPr>
                <w:rFonts w:ascii="Times New Roman"/>
                <w:sz w:val="22"/>
              </w:rPr>
            </w:pPr>
          </w:p>
        </w:tc>
        <w:tc>
          <w:tcPr>
            <w:tcW w:w="1888" w:type="dxa"/>
          </w:tcPr>
          <w:p>
            <w:pPr>
              <w:pStyle w:val="17"/>
              <w:rPr>
                <w:rFonts w:ascii="Times New Roman"/>
                <w:sz w:val="22"/>
              </w:rPr>
            </w:pPr>
          </w:p>
        </w:tc>
        <w:tc>
          <w:tcPr>
            <w:tcW w:w="6032" w:type="dxa"/>
          </w:tcPr>
          <w:p>
            <w:pPr>
              <w:pStyle w:val="17"/>
              <w:spacing w:before="1" w:line="364" w:lineRule="auto"/>
              <w:ind w:left="107" w:right="-29"/>
              <w:rPr>
                <w:sz w:val="24"/>
              </w:rPr>
            </w:pPr>
            <w:r>
              <w:rPr>
                <w:sz w:val="24"/>
              </w:rPr>
              <w:t>安全管理体系基本健全、管理人员责任、各种安全教育</w:t>
            </w:r>
            <w:r>
              <w:rPr>
                <w:spacing w:val="-7"/>
                <w:sz w:val="24"/>
              </w:rPr>
              <w:t xml:space="preserve">制度基本符合项目需求，施工现场安全技术管理及防护、防范措施等方面基本能满足项目的各项需求的，得 </w:t>
            </w:r>
            <w:r>
              <w:rPr>
                <w:rFonts w:ascii="Arial" w:eastAsia="Arial"/>
                <w:sz w:val="24"/>
              </w:rPr>
              <w:t>4</w:t>
            </w:r>
            <w:r>
              <w:rPr>
                <w:rFonts w:ascii="Arial" w:eastAsia="Arial"/>
                <w:spacing w:val="-6"/>
                <w:sz w:val="24"/>
              </w:rPr>
              <w:t xml:space="preserve"> </w:t>
            </w:r>
            <w:r>
              <w:rPr>
                <w:spacing w:val="-7"/>
                <w:sz w:val="24"/>
              </w:rPr>
              <w:t xml:space="preserve">分， </w:t>
            </w:r>
            <w:r>
              <w:rPr>
                <w:sz w:val="24"/>
              </w:rPr>
              <w:t>投标人未提供安全管理体系及治安管理与措施或出现多</w:t>
            </w:r>
            <w:r>
              <w:rPr>
                <w:spacing w:val="-3"/>
                <w:sz w:val="24"/>
              </w:rPr>
              <w:t xml:space="preserve">项缺失或可行性差不能满足招标基本建设要求的，得 </w:t>
            </w:r>
            <w:r>
              <w:rPr>
                <w:rFonts w:ascii="Arial" w:eastAsia="Arial"/>
                <w:sz w:val="24"/>
              </w:rPr>
              <w:t xml:space="preserve">2 </w:t>
            </w:r>
            <w:r>
              <w:rPr>
                <w:sz w:val="24"/>
              </w:rPr>
              <w:t>分。</w:t>
            </w:r>
          </w:p>
          <w:p>
            <w:pPr>
              <w:pStyle w:val="17"/>
              <w:spacing w:line="304" w:lineRule="exact"/>
              <w:ind w:left="107"/>
              <w:rPr>
                <w:sz w:val="24"/>
              </w:rPr>
            </w:pPr>
            <w:r>
              <w:rPr>
                <w:sz w:val="24"/>
              </w:rPr>
              <w:t>未提供或其他情况的不得分。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5" w:hRule="atLeast"/>
        </w:trPr>
        <w:tc>
          <w:tcPr>
            <w:tcW w:w="841" w:type="dxa"/>
            <w:vMerge w:val="continue"/>
            <w:tcBorders>
              <w:top w:val="nil"/>
            </w:tcBorders>
          </w:tcPr>
          <w:p>
            <w:pPr>
              <w:rPr>
                <w:sz w:val="2"/>
                <w:szCs w:val="2"/>
              </w:rPr>
            </w:pPr>
          </w:p>
        </w:tc>
        <w:tc>
          <w:tcPr>
            <w:tcW w:w="1259" w:type="dxa"/>
            <w:vMerge w:val="continue"/>
            <w:tcBorders>
              <w:top w:val="nil"/>
            </w:tcBorders>
          </w:tcPr>
          <w:p>
            <w:pPr>
              <w:rPr>
                <w:sz w:val="2"/>
                <w:szCs w:val="2"/>
              </w:rPr>
            </w:pPr>
          </w:p>
        </w:tc>
        <w:tc>
          <w:tcPr>
            <w:tcW w:w="1888" w:type="dxa"/>
          </w:tcPr>
          <w:p>
            <w:pPr>
              <w:pStyle w:val="17"/>
              <w:rPr>
                <w:sz w:val="24"/>
              </w:rPr>
            </w:pPr>
          </w:p>
          <w:p>
            <w:pPr>
              <w:pStyle w:val="17"/>
              <w:rPr>
                <w:sz w:val="24"/>
              </w:rPr>
            </w:pPr>
          </w:p>
          <w:p>
            <w:pPr>
              <w:pStyle w:val="17"/>
              <w:rPr>
                <w:sz w:val="24"/>
              </w:rPr>
            </w:pPr>
          </w:p>
          <w:p>
            <w:pPr>
              <w:pStyle w:val="17"/>
              <w:spacing w:before="2"/>
              <w:rPr>
                <w:sz w:val="19"/>
              </w:rPr>
            </w:pPr>
          </w:p>
          <w:p>
            <w:pPr>
              <w:pStyle w:val="17"/>
              <w:spacing w:line="362" w:lineRule="auto"/>
              <w:ind w:left="223" w:right="212"/>
              <w:jc w:val="center"/>
              <w:rPr>
                <w:sz w:val="24"/>
              </w:rPr>
            </w:pPr>
            <w:r>
              <w:rPr>
                <w:sz w:val="24"/>
              </w:rPr>
              <w:t>环境保护管理体系与措施</w:t>
            </w:r>
          </w:p>
          <w:p>
            <w:pPr>
              <w:pStyle w:val="17"/>
              <w:spacing w:before="5"/>
              <w:ind w:left="16" w:right="9"/>
              <w:jc w:val="center"/>
              <w:rPr>
                <w:sz w:val="24"/>
              </w:rPr>
            </w:pPr>
            <w:r>
              <w:rPr>
                <w:sz w:val="24"/>
              </w:rPr>
              <w:t>（</w:t>
            </w:r>
            <w:r>
              <w:rPr>
                <w:rFonts w:ascii="Arial" w:eastAsia="Arial"/>
                <w:sz w:val="24"/>
              </w:rPr>
              <w:t xml:space="preserve">7 </w:t>
            </w:r>
            <w:r>
              <w:rPr>
                <w:sz w:val="24"/>
              </w:rPr>
              <w:t>分）</w:t>
            </w:r>
          </w:p>
        </w:tc>
        <w:tc>
          <w:tcPr>
            <w:tcW w:w="6032" w:type="dxa"/>
          </w:tcPr>
          <w:p>
            <w:pPr>
              <w:pStyle w:val="17"/>
              <w:spacing w:before="2" w:line="364" w:lineRule="auto"/>
              <w:ind w:left="107" w:right="152"/>
              <w:jc w:val="both"/>
              <w:rPr>
                <w:sz w:val="24"/>
              </w:rPr>
            </w:pPr>
            <w:r>
              <w:rPr>
                <w:sz w:val="24"/>
              </w:rPr>
              <w:t xml:space="preserve">施工流程能满足施工进度计划和保证工程质量要求，流水作业能保证施工连续、均衡、有节奏地进行。管理措施能有效保证工期计划顺利完成的，得 </w:t>
            </w:r>
            <w:r>
              <w:rPr>
                <w:rFonts w:ascii="Arial" w:eastAsia="Arial"/>
                <w:sz w:val="24"/>
              </w:rPr>
              <w:t xml:space="preserve">7 </w:t>
            </w:r>
            <w:r>
              <w:rPr>
                <w:sz w:val="24"/>
              </w:rPr>
              <w:t>分；</w:t>
            </w:r>
          </w:p>
          <w:p>
            <w:pPr>
              <w:pStyle w:val="17"/>
              <w:spacing w:line="364" w:lineRule="auto"/>
              <w:ind w:left="107" w:right="152"/>
              <w:jc w:val="both"/>
              <w:rPr>
                <w:sz w:val="24"/>
              </w:rPr>
            </w:pPr>
            <w:r>
              <w:rPr>
                <w:sz w:val="24"/>
              </w:rPr>
              <w:t xml:space="preserve">工程进度计划与措施基本满足项目需求、工期保障措施基本符合项目实际需求的，得 </w:t>
            </w:r>
            <w:r>
              <w:rPr>
                <w:rFonts w:ascii="Arial" w:eastAsia="Arial"/>
                <w:sz w:val="24"/>
              </w:rPr>
              <w:t xml:space="preserve">4 </w:t>
            </w:r>
            <w:r>
              <w:rPr>
                <w:sz w:val="24"/>
              </w:rPr>
              <w:t>分；</w:t>
            </w:r>
          </w:p>
          <w:p>
            <w:pPr>
              <w:pStyle w:val="17"/>
              <w:spacing w:line="364" w:lineRule="auto"/>
              <w:ind w:left="107" w:right="152"/>
              <w:jc w:val="both"/>
              <w:rPr>
                <w:sz w:val="24"/>
              </w:rPr>
            </w:pPr>
            <w:r>
              <w:rPr>
                <w:sz w:val="24"/>
              </w:rPr>
              <w:t xml:space="preserve">工程进度计划与措施不能满足项目基本需求，无针对性措施的，得 </w:t>
            </w:r>
            <w:r>
              <w:rPr>
                <w:rFonts w:ascii="Arial" w:eastAsia="Arial"/>
                <w:sz w:val="24"/>
              </w:rPr>
              <w:t xml:space="preserve">2 </w:t>
            </w:r>
            <w:r>
              <w:rPr>
                <w:sz w:val="24"/>
              </w:rPr>
              <w:t>分；</w:t>
            </w:r>
          </w:p>
          <w:p>
            <w:pPr>
              <w:pStyle w:val="17"/>
              <w:ind w:left="107"/>
              <w:rPr>
                <w:sz w:val="24"/>
              </w:rPr>
            </w:pPr>
            <w:r>
              <w:rPr>
                <w:sz w:val="24"/>
              </w:rPr>
              <w:t>未提供或其他情况的不得分。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5" w:hRule="atLeast"/>
        </w:trPr>
        <w:tc>
          <w:tcPr>
            <w:tcW w:w="841" w:type="dxa"/>
            <w:vMerge w:val="continue"/>
            <w:tcBorders>
              <w:top w:val="nil"/>
            </w:tcBorders>
          </w:tcPr>
          <w:p>
            <w:pPr>
              <w:rPr>
                <w:sz w:val="2"/>
                <w:szCs w:val="2"/>
              </w:rPr>
            </w:pPr>
          </w:p>
        </w:tc>
        <w:tc>
          <w:tcPr>
            <w:tcW w:w="1259" w:type="dxa"/>
            <w:vMerge w:val="continue"/>
            <w:tcBorders>
              <w:top w:val="nil"/>
            </w:tcBorders>
          </w:tcPr>
          <w:p>
            <w:pPr>
              <w:rPr>
                <w:sz w:val="2"/>
                <w:szCs w:val="2"/>
              </w:rPr>
            </w:pPr>
          </w:p>
        </w:tc>
        <w:tc>
          <w:tcPr>
            <w:tcW w:w="1888" w:type="dxa"/>
          </w:tcPr>
          <w:p>
            <w:pPr>
              <w:pStyle w:val="17"/>
              <w:rPr>
                <w:sz w:val="24"/>
              </w:rPr>
            </w:pPr>
          </w:p>
          <w:p>
            <w:pPr>
              <w:pStyle w:val="17"/>
              <w:rPr>
                <w:sz w:val="24"/>
              </w:rPr>
            </w:pPr>
          </w:p>
          <w:p>
            <w:pPr>
              <w:pStyle w:val="17"/>
              <w:rPr>
                <w:sz w:val="24"/>
              </w:rPr>
            </w:pPr>
          </w:p>
          <w:p>
            <w:pPr>
              <w:pStyle w:val="17"/>
              <w:spacing w:before="4"/>
              <w:rPr>
                <w:sz w:val="19"/>
              </w:rPr>
            </w:pPr>
          </w:p>
          <w:p>
            <w:pPr>
              <w:pStyle w:val="17"/>
              <w:spacing w:line="362" w:lineRule="auto"/>
              <w:ind w:left="223" w:right="212"/>
              <w:jc w:val="center"/>
              <w:rPr>
                <w:sz w:val="24"/>
              </w:rPr>
            </w:pPr>
            <w:r>
              <w:rPr>
                <w:spacing w:val="-3"/>
                <w:sz w:val="24"/>
              </w:rPr>
              <w:t>工程进度计划</w:t>
            </w:r>
            <w:r>
              <w:rPr>
                <w:sz w:val="24"/>
              </w:rPr>
              <w:t>与措施</w:t>
            </w:r>
          </w:p>
          <w:p>
            <w:pPr>
              <w:pStyle w:val="17"/>
              <w:spacing w:before="2"/>
              <w:ind w:left="16" w:right="9"/>
              <w:jc w:val="center"/>
              <w:rPr>
                <w:sz w:val="24"/>
              </w:rPr>
            </w:pPr>
            <w:r>
              <w:rPr>
                <w:sz w:val="24"/>
              </w:rPr>
              <w:t>（</w:t>
            </w:r>
            <w:r>
              <w:rPr>
                <w:rFonts w:ascii="Arial" w:eastAsia="Arial"/>
                <w:sz w:val="24"/>
              </w:rPr>
              <w:t>7</w:t>
            </w:r>
            <w:r>
              <w:rPr>
                <w:rFonts w:ascii="Arial" w:eastAsia="Arial"/>
                <w:spacing w:val="-6"/>
                <w:sz w:val="24"/>
              </w:rPr>
              <w:t xml:space="preserve"> </w:t>
            </w:r>
            <w:r>
              <w:rPr>
                <w:sz w:val="24"/>
              </w:rPr>
              <w:t>分）</w:t>
            </w:r>
          </w:p>
        </w:tc>
        <w:tc>
          <w:tcPr>
            <w:tcW w:w="6032" w:type="dxa"/>
          </w:tcPr>
          <w:p>
            <w:pPr>
              <w:pStyle w:val="17"/>
              <w:spacing w:before="1" w:line="364" w:lineRule="auto"/>
              <w:ind w:left="107" w:right="152"/>
              <w:jc w:val="both"/>
              <w:rPr>
                <w:sz w:val="24"/>
              </w:rPr>
            </w:pPr>
            <w:r>
              <w:rPr>
                <w:sz w:val="24"/>
              </w:rPr>
              <w:t>施工流程能满足施工进度计划和保证工程质量要求，流水作业能保证施工连续、均衡、有节奏地进行。管理措施能有效保证工期计划顺利完成的，得 7 分；</w:t>
            </w:r>
          </w:p>
          <w:p>
            <w:pPr>
              <w:pStyle w:val="17"/>
              <w:spacing w:line="362" w:lineRule="auto"/>
              <w:ind w:left="107" w:right="152"/>
              <w:jc w:val="both"/>
              <w:rPr>
                <w:sz w:val="24"/>
              </w:rPr>
            </w:pPr>
            <w:r>
              <w:rPr>
                <w:sz w:val="24"/>
              </w:rPr>
              <w:t>工程进度计划与措施基本满足项目需求、工期保障措施基本符合项目实际需求的，得 4 分；</w:t>
            </w:r>
          </w:p>
          <w:p>
            <w:pPr>
              <w:pStyle w:val="17"/>
              <w:spacing w:before="4" w:line="362" w:lineRule="auto"/>
              <w:ind w:left="107" w:right="152"/>
              <w:jc w:val="both"/>
              <w:rPr>
                <w:sz w:val="24"/>
              </w:rPr>
            </w:pPr>
            <w:r>
              <w:rPr>
                <w:sz w:val="24"/>
              </w:rPr>
              <w:t>工程进度计划与措施不能满足项目基本需求，无针对性措施的，得 2 分；</w:t>
            </w:r>
          </w:p>
          <w:p>
            <w:pPr>
              <w:pStyle w:val="17"/>
              <w:spacing w:before="5"/>
              <w:ind w:left="107"/>
              <w:rPr>
                <w:sz w:val="24"/>
              </w:rPr>
            </w:pPr>
            <w:r>
              <w:rPr>
                <w:sz w:val="24"/>
              </w:rPr>
              <w:t>未提供或其他情况的不得分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5" w:hRule="atLeast"/>
        </w:trPr>
        <w:tc>
          <w:tcPr>
            <w:tcW w:w="841" w:type="dxa"/>
            <w:vMerge w:val="continue"/>
            <w:tcBorders>
              <w:top w:val="nil"/>
            </w:tcBorders>
          </w:tcPr>
          <w:p>
            <w:pPr>
              <w:rPr>
                <w:sz w:val="2"/>
                <w:szCs w:val="2"/>
              </w:rPr>
            </w:pPr>
          </w:p>
        </w:tc>
        <w:tc>
          <w:tcPr>
            <w:tcW w:w="1259" w:type="dxa"/>
            <w:vMerge w:val="continue"/>
            <w:tcBorders>
              <w:top w:val="nil"/>
            </w:tcBorders>
          </w:tcPr>
          <w:p>
            <w:pPr>
              <w:rPr>
                <w:sz w:val="2"/>
                <w:szCs w:val="2"/>
              </w:rPr>
            </w:pPr>
          </w:p>
        </w:tc>
        <w:tc>
          <w:tcPr>
            <w:tcW w:w="1888" w:type="dxa"/>
          </w:tcPr>
          <w:p>
            <w:pPr>
              <w:pStyle w:val="17"/>
              <w:rPr>
                <w:sz w:val="26"/>
              </w:rPr>
            </w:pPr>
          </w:p>
          <w:p>
            <w:pPr>
              <w:pStyle w:val="17"/>
              <w:rPr>
                <w:sz w:val="26"/>
              </w:rPr>
            </w:pPr>
          </w:p>
          <w:p>
            <w:pPr>
              <w:pStyle w:val="17"/>
              <w:rPr>
                <w:sz w:val="26"/>
              </w:rPr>
            </w:pPr>
          </w:p>
          <w:p>
            <w:pPr>
              <w:pStyle w:val="17"/>
              <w:spacing w:before="169" w:line="362" w:lineRule="auto"/>
              <w:ind w:left="365" w:right="212" w:hanging="142"/>
              <w:rPr>
                <w:sz w:val="24"/>
              </w:rPr>
            </w:pPr>
            <w:r>
              <w:rPr>
                <w:sz w:val="24"/>
              </w:rPr>
              <w:t>施工总平面设计（</w:t>
            </w:r>
            <w:r>
              <w:rPr>
                <w:rFonts w:ascii="Arial" w:eastAsia="Arial"/>
                <w:sz w:val="24"/>
              </w:rPr>
              <w:t xml:space="preserve">5 </w:t>
            </w:r>
            <w:r>
              <w:rPr>
                <w:sz w:val="24"/>
              </w:rPr>
              <w:t>分）</w:t>
            </w:r>
          </w:p>
        </w:tc>
        <w:tc>
          <w:tcPr>
            <w:tcW w:w="6032" w:type="dxa"/>
          </w:tcPr>
          <w:p>
            <w:pPr>
              <w:pStyle w:val="17"/>
              <w:spacing w:before="2" w:line="364" w:lineRule="auto"/>
              <w:ind w:left="107" w:right="152"/>
              <w:jc w:val="both"/>
              <w:rPr>
                <w:sz w:val="24"/>
              </w:rPr>
            </w:pPr>
            <w:r>
              <w:rPr>
                <w:sz w:val="24"/>
              </w:rPr>
              <w:t xml:space="preserve">施工场地利用符合现场实际，生产、生活用临时设施布置合理、紧凑，短运输、少搬运，利于生产、生活、安全、消防、环保、市容、卫生劳动保护等，完全符合安全文明工地要求的，得 </w:t>
            </w:r>
            <w:r>
              <w:rPr>
                <w:rFonts w:ascii="Arial" w:eastAsia="Arial"/>
                <w:sz w:val="24"/>
              </w:rPr>
              <w:t xml:space="preserve">5 </w:t>
            </w:r>
            <w:r>
              <w:rPr>
                <w:sz w:val="24"/>
              </w:rPr>
              <w:t>分；</w:t>
            </w:r>
          </w:p>
          <w:p>
            <w:pPr>
              <w:pStyle w:val="17"/>
              <w:spacing w:line="362" w:lineRule="auto"/>
              <w:ind w:left="107" w:right="152"/>
              <w:jc w:val="both"/>
              <w:rPr>
                <w:sz w:val="24"/>
              </w:rPr>
            </w:pPr>
            <w:r>
              <w:rPr>
                <w:sz w:val="24"/>
              </w:rPr>
              <w:t xml:space="preserve">施工场地利用、生产、生活用临时设施布置等方面基本布置合理，基本达到安全文明工地要求的，得 </w:t>
            </w:r>
            <w:r>
              <w:rPr>
                <w:rFonts w:ascii="Arial" w:eastAsia="Arial"/>
                <w:sz w:val="24"/>
              </w:rPr>
              <w:t xml:space="preserve">4 </w:t>
            </w:r>
            <w:r>
              <w:rPr>
                <w:sz w:val="24"/>
              </w:rPr>
              <w:t>分；</w:t>
            </w:r>
          </w:p>
          <w:p>
            <w:pPr>
              <w:pStyle w:val="17"/>
              <w:spacing w:before="3"/>
              <w:ind w:left="107"/>
              <w:rPr>
                <w:sz w:val="24"/>
              </w:rPr>
            </w:pPr>
            <w:r>
              <w:rPr>
                <w:sz w:val="24"/>
              </w:rPr>
              <w:t>施工场地利用、生产、生活用临时设施布置等方面不合</w:t>
            </w:r>
          </w:p>
        </w:tc>
      </w:tr>
    </w:tbl>
    <w:p>
      <w:pPr>
        <w:spacing w:after="0"/>
        <w:rPr>
          <w:sz w:val="24"/>
        </w:rPr>
        <w:sectPr>
          <w:footerReference r:id="rId8" w:type="default"/>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pgNumType w:start="30"/>
          <w:cols w:space="720" w:num="1"/>
        </w:sectPr>
      </w:pPr>
    </w:p>
    <w:p>
      <w:pPr>
        <w:tabs>
          <w:tab w:val="left" w:pos="7676"/>
        </w:tabs>
        <w:spacing w:before="45"/>
        <w:ind w:left="388" w:right="0" w:firstLine="0"/>
        <w:jc w:val="left"/>
        <w:rPr>
          <w:sz w:val="18"/>
        </w:rPr>
      </w:pPr>
      <w:r>
        <w:pict>
          <v:line id="_x0000_s1063" o:spid="_x0000_s1063" o:spt="20" style="position:absolute;left:0pt;margin-left:62.4pt;margin-top:12.25pt;height:0pt;width:400.4pt;mso-position-horizontal-relative:page;z-index:25171353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rPr>
          <w:sz w:val="20"/>
        </w:rPr>
      </w:pPr>
    </w:p>
    <w:p>
      <w:pPr>
        <w:pStyle w:val="8"/>
        <w:spacing w:before="7"/>
        <w:rPr>
          <w:sz w:val="10"/>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1"/>
        <w:gridCol w:w="1259"/>
        <w:gridCol w:w="1888"/>
        <w:gridCol w:w="60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841" w:type="dxa"/>
            <w:vMerge w:val="restart"/>
          </w:tcPr>
          <w:p>
            <w:pPr>
              <w:pStyle w:val="17"/>
              <w:rPr>
                <w:rFonts w:ascii="Times New Roman"/>
                <w:sz w:val="22"/>
              </w:rPr>
            </w:pPr>
          </w:p>
        </w:tc>
        <w:tc>
          <w:tcPr>
            <w:tcW w:w="1259" w:type="dxa"/>
            <w:vMerge w:val="restart"/>
          </w:tcPr>
          <w:p>
            <w:pPr>
              <w:pStyle w:val="17"/>
              <w:rPr>
                <w:rFonts w:ascii="Times New Roman"/>
                <w:sz w:val="22"/>
              </w:rPr>
            </w:pPr>
          </w:p>
        </w:tc>
        <w:tc>
          <w:tcPr>
            <w:tcW w:w="1888" w:type="dxa"/>
          </w:tcPr>
          <w:p>
            <w:pPr>
              <w:pStyle w:val="17"/>
              <w:rPr>
                <w:rFonts w:ascii="Times New Roman"/>
                <w:sz w:val="22"/>
              </w:rPr>
            </w:pPr>
          </w:p>
        </w:tc>
        <w:tc>
          <w:tcPr>
            <w:tcW w:w="6032" w:type="dxa"/>
          </w:tcPr>
          <w:p>
            <w:pPr>
              <w:pStyle w:val="17"/>
              <w:spacing w:before="1"/>
              <w:ind w:left="107" w:right="-29"/>
              <w:rPr>
                <w:sz w:val="24"/>
              </w:rPr>
            </w:pPr>
            <w:r>
              <w:rPr>
                <w:spacing w:val="-14"/>
                <w:sz w:val="24"/>
              </w:rPr>
              <w:t xml:space="preserve">理、实用性差的，得 </w:t>
            </w:r>
            <w:r>
              <w:rPr>
                <w:rFonts w:ascii="Arial" w:eastAsia="Arial"/>
                <w:sz w:val="24"/>
              </w:rPr>
              <w:t>2</w:t>
            </w:r>
            <w:r>
              <w:rPr>
                <w:rFonts w:ascii="Arial" w:eastAsia="Arial"/>
                <w:spacing w:val="-8"/>
                <w:sz w:val="24"/>
              </w:rPr>
              <w:t xml:space="preserve"> </w:t>
            </w:r>
            <w:r>
              <w:rPr>
                <w:spacing w:val="-7"/>
                <w:sz w:val="24"/>
              </w:rPr>
              <w:t>分；未提供或其他情况的不得分。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7" w:hRule="atLeast"/>
        </w:trPr>
        <w:tc>
          <w:tcPr>
            <w:tcW w:w="841" w:type="dxa"/>
            <w:vMerge w:val="continue"/>
            <w:tcBorders>
              <w:top w:val="nil"/>
            </w:tcBorders>
          </w:tcPr>
          <w:p>
            <w:pPr>
              <w:rPr>
                <w:sz w:val="2"/>
                <w:szCs w:val="2"/>
              </w:rPr>
            </w:pPr>
          </w:p>
        </w:tc>
        <w:tc>
          <w:tcPr>
            <w:tcW w:w="1259" w:type="dxa"/>
            <w:vMerge w:val="continue"/>
            <w:tcBorders>
              <w:top w:val="nil"/>
            </w:tcBorders>
          </w:tcPr>
          <w:p>
            <w:pPr>
              <w:rPr>
                <w:sz w:val="2"/>
                <w:szCs w:val="2"/>
              </w:rPr>
            </w:pPr>
          </w:p>
        </w:tc>
        <w:tc>
          <w:tcPr>
            <w:tcW w:w="1888" w:type="dxa"/>
          </w:tcPr>
          <w:p>
            <w:pPr>
              <w:pStyle w:val="17"/>
              <w:rPr>
                <w:sz w:val="24"/>
              </w:rPr>
            </w:pPr>
          </w:p>
          <w:p>
            <w:pPr>
              <w:pStyle w:val="17"/>
              <w:rPr>
                <w:sz w:val="24"/>
              </w:rPr>
            </w:pPr>
          </w:p>
          <w:p>
            <w:pPr>
              <w:pStyle w:val="17"/>
              <w:rPr>
                <w:sz w:val="24"/>
              </w:rPr>
            </w:pPr>
          </w:p>
          <w:p>
            <w:pPr>
              <w:pStyle w:val="17"/>
              <w:spacing w:before="2"/>
              <w:rPr>
                <w:sz w:val="19"/>
              </w:rPr>
            </w:pPr>
          </w:p>
          <w:p>
            <w:pPr>
              <w:pStyle w:val="17"/>
              <w:ind w:left="18" w:right="9"/>
              <w:jc w:val="center"/>
              <w:rPr>
                <w:sz w:val="24"/>
              </w:rPr>
            </w:pPr>
            <w:r>
              <w:rPr>
                <w:sz w:val="24"/>
              </w:rPr>
              <w:t>资源配备计划</w:t>
            </w:r>
          </w:p>
          <w:p>
            <w:pPr>
              <w:pStyle w:val="17"/>
              <w:spacing w:before="158"/>
              <w:ind w:left="16" w:right="9"/>
              <w:jc w:val="center"/>
              <w:rPr>
                <w:sz w:val="24"/>
              </w:rPr>
            </w:pPr>
            <w:r>
              <w:rPr>
                <w:sz w:val="24"/>
              </w:rPr>
              <w:t>（</w:t>
            </w:r>
            <w:r>
              <w:rPr>
                <w:rFonts w:ascii="Arial" w:eastAsia="Arial"/>
                <w:sz w:val="24"/>
              </w:rPr>
              <w:t xml:space="preserve">4 </w:t>
            </w:r>
            <w:r>
              <w:rPr>
                <w:sz w:val="24"/>
              </w:rPr>
              <w:t>分）</w:t>
            </w:r>
          </w:p>
        </w:tc>
        <w:tc>
          <w:tcPr>
            <w:tcW w:w="6032" w:type="dxa"/>
          </w:tcPr>
          <w:p>
            <w:pPr>
              <w:pStyle w:val="17"/>
              <w:spacing w:before="2" w:line="362" w:lineRule="auto"/>
              <w:ind w:left="107" w:right="152"/>
              <w:rPr>
                <w:sz w:val="24"/>
              </w:rPr>
            </w:pPr>
            <w:r>
              <w:rPr>
                <w:sz w:val="24"/>
              </w:rPr>
              <w:t xml:space="preserve">施工设备、机具配置齐全、合理并提供购置发票或者租赁协议的，得 </w:t>
            </w:r>
            <w:r>
              <w:rPr>
                <w:rFonts w:ascii="Arial" w:eastAsia="Arial"/>
                <w:sz w:val="24"/>
              </w:rPr>
              <w:t xml:space="preserve">4 </w:t>
            </w:r>
            <w:r>
              <w:rPr>
                <w:sz w:val="24"/>
              </w:rPr>
              <w:t>分；</w:t>
            </w:r>
          </w:p>
          <w:p>
            <w:pPr>
              <w:pStyle w:val="17"/>
              <w:spacing w:before="5" w:line="362" w:lineRule="auto"/>
              <w:ind w:left="107" w:right="152"/>
              <w:rPr>
                <w:sz w:val="24"/>
              </w:rPr>
            </w:pPr>
            <w:r>
              <w:rPr>
                <w:sz w:val="24"/>
              </w:rPr>
              <w:t xml:space="preserve">施工设备、机具配置基本齐全，提供了部分购置发票或者租赁协议的，得 </w:t>
            </w:r>
            <w:r>
              <w:rPr>
                <w:rFonts w:ascii="Arial" w:eastAsia="Arial"/>
                <w:sz w:val="24"/>
              </w:rPr>
              <w:t xml:space="preserve">3 </w:t>
            </w:r>
            <w:r>
              <w:rPr>
                <w:sz w:val="24"/>
              </w:rPr>
              <w:t>分；</w:t>
            </w:r>
          </w:p>
          <w:p>
            <w:pPr>
              <w:pStyle w:val="17"/>
              <w:spacing w:before="5"/>
              <w:ind w:left="107"/>
              <w:rPr>
                <w:sz w:val="24"/>
              </w:rPr>
            </w:pPr>
            <w:r>
              <w:rPr>
                <w:sz w:val="24"/>
              </w:rPr>
              <w:t>施工设备、机具配置不合理或者重要设备未配备齐全，</w:t>
            </w:r>
          </w:p>
          <w:p>
            <w:pPr>
              <w:pStyle w:val="17"/>
              <w:spacing w:before="8" w:line="460" w:lineRule="atLeast"/>
              <w:ind w:left="107" w:right="66"/>
              <w:rPr>
                <w:sz w:val="24"/>
              </w:rPr>
            </w:pPr>
            <w:r>
              <w:rPr>
                <w:sz w:val="24"/>
              </w:rPr>
              <w:t xml:space="preserve">未提供购置发票或者租赁协议的，得 </w:t>
            </w:r>
            <w:r>
              <w:rPr>
                <w:rFonts w:ascii="Arial" w:eastAsia="Arial"/>
                <w:sz w:val="24"/>
              </w:rPr>
              <w:t xml:space="preserve">2 </w:t>
            </w:r>
            <w:r>
              <w:rPr>
                <w:sz w:val="24"/>
              </w:rPr>
              <w:t>分；未提供或其他情况的不得分。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7" w:hRule="atLeast"/>
        </w:trPr>
        <w:tc>
          <w:tcPr>
            <w:tcW w:w="841" w:type="dxa"/>
            <w:vMerge w:val="continue"/>
            <w:tcBorders>
              <w:top w:val="nil"/>
            </w:tcBorders>
          </w:tcPr>
          <w:p>
            <w:pPr>
              <w:rPr>
                <w:sz w:val="2"/>
                <w:szCs w:val="2"/>
              </w:rPr>
            </w:pPr>
          </w:p>
        </w:tc>
        <w:tc>
          <w:tcPr>
            <w:tcW w:w="1259" w:type="dxa"/>
            <w:vMerge w:val="continue"/>
            <w:tcBorders>
              <w:top w:val="nil"/>
            </w:tcBorders>
          </w:tcPr>
          <w:p>
            <w:pPr>
              <w:rPr>
                <w:sz w:val="2"/>
                <w:szCs w:val="2"/>
              </w:rPr>
            </w:pPr>
          </w:p>
        </w:tc>
        <w:tc>
          <w:tcPr>
            <w:tcW w:w="1888" w:type="dxa"/>
          </w:tcPr>
          <w:p>
            <w:pPr>
              <w:pStyle w:val="17"/>
              <w:spacing w:before="2" w:line="364" w:lineRule="auto"/>
              <w:ind w:left="223" w:right="212"/>
              <w:jc w:val="both"/>
              <w:rPr>
                <w:sz w:val="24"/>
              </w:rPr>
            </w:pPr>
            <w:r>
              <w:rPr>
                <w:sz w:val="24"/>
              </w:rPr>
              <w:t>危险性较大的分部分项工程安全专项施工</w:t>
            </w:r>
          </w:p>
          <w:p>
            <w:pPr>
              <w:pStyle w:val="17"/>
              <w:spacing w:line="304" w:lineRule="exact"/>
              <w:ind w:left="406"/>
              <w:rPr>
                <w:rFonts w:ascii="Arial" w:eastAsia="Arial"/>
                <w:sz w:val="24"/>
              </w:rPr>
            </w:pPr>
            <w:r>
              <w:rPr>
                <w:sz w:val="24"/>
              </w:rPr>
              <w:t>方案</w:t>
            </w:r>
            <w:r>
              <w:rPr>
                <w:rFonts w:ascii="Arial" w:eastAsia="Arial"/>
                <w:sz w:val="24"/>
              </w:rPr>
              <w:t xml:space="preserve">(5 </w:t>
            </w:r>
            <w:r>
              <w:rPr>
                <w:sz w:val="24"/>
              </w:rPr>
              <w:t>分</w:t>
            </w:r>
            <w:r>
              <w:rPr>
                <w:rFonts w:ascii="Arial" w:eastAsia="Arial"/>
                <w:sz w:val="24"/>
              </w:rPr>
              <w:t>)</w:t>
            </w:r>
          </w:p>
        </w:tc>
        <w:tc>
          <w:tcPr>
            <w:tcW w:w="6032" w:type="dxa"/>
          </w:tcPr>
          <w:p>
            <w:pPr>
              <w:pStyle w:val="17"/>
              <w:spacing w:before="2" w:line="364" w:lineRule="auto"/>
              <w:ind w:left="107" w:right="-29"/>
              <w:jc w:val="both"/>
              <w:rPr>
                <w:sz w:val="24"/>
              </w:rPr>
            </w:pPr>
            <w:r>
              <w:rPr>
                <w:spacing w:val="-3"/>
                <w:sz w:val="24"/>
              </w:rPr>
              <w:t xml:space="preserve">专项方案内容完整、有针对本项目、可行性强的，得 </w:t>
            </w:r>
            <w:r>
              <w:rPr>
                <w:rFonts w:ascii="Arial" w:eastAsia="Arial"/>
                <w:sz w:val="24"/>
              </w:rPr>
              <w:t xml:space="preserve">5 </w:t>
            </w:r>
            <w:r>
              <w:rPr>
                <w:sz w:val="24"/>
              </w:rPr>
              <w:t>分；专项方案内容的编制切实可行、基本满足本项目要</w:t>
            </w:r>
            <w:r>
              <w:rPr>
                <w:spacing w:val="-26"/>
                <w:sz w:val="24"/>
              </w:rPr>
              <w:t xml:space="preserve">求，得 </w:t>
            </w:r>
            <w:r>
              <w:rPr>
                <w:rFonts w:ascii="Arial" w:eastAsia="Arial"/>
                <w:sz w:val="24"/>
              </w:rPr>
              <w:t>3</w:t>
            </w:r>
            <w:r>
              <w:rPr>
                <w:rFonts w:ascii="Arial" w:eastAsia="Arial"/>
                <w:spacing w:val="-9"/>
                <w:sz w:val="24"/>
              </w:rPr>
              <w:t xml:space="preserve"> </w:t>
            </w:r>
            <w:r>
              <w:rPr>
                <w:spacing w:val="-7"/>
                <w:sz w:val="24"/>
              </w:rPr>
              <w:t>分；安全方案内容不满足本项目现场实际情况，</w:t>
            </w:r>
          </w:p>
          <w:p>
            <w:pPr>
              <w:pStyle w:val="17"/>
              <w:spacing w:line="304" w:lineRule="exact"/>
              <w:ind w:left="107"/>
              <w:jc w:val="both"/>
              <w:rPr>
                <w:sz w:val="24"/>
              </w:rPr>
            </w:pPr>
            <w:r>
              <w:rPr>
                <w:sz w:val="24"/>
              </w:rPr>
              <w:t xml:space="preserve">有偏差的，得 </w:t>
            </w:r>
            <w:r>
              <w:rPr>
                <w:rFonts w:ascii="Arial" w:eastAsia="Arial"/>
                <w:sz w:val="24"/>
              </w:rPr>
              <w:t xml:space="preserve">1 </w:t>
            </w:r>
            <w:r>
              <w:rPr>
                <w:sz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7" w:hRule="atLeast"/>
        </w:trPr>
        <w:tc>
          <w:tcPr>
            <w:tcW w:w="841" w:type="dxa"/>
            <w:vMerge w:val="restart"/>
          </w:tcPr>
          <w:p>
            <w:pPr>
              <w:pStyle w:val="17"/>
              <w:rPr>
                <w:sz w:val="24"/>
              </w:rPr>
            </w:pPr>
          </w:p>
          <w:p>
            <w:pPr>
              <w:pStyle w:val="17"/>
              <w:rPr>
                <w:sz w:val="24"/>
              </w:rPr>
            </w:pPr>
          </w:p>
          <w:p>
            <w:pPr>
              <w:pStyle w:val="17"/>
              <w:rPr>
                <w:sz w:val="24"/>
              </w:rPr>
            </w:pPr>
          </w:p>
          <w:p>
            <w:pPr>
              <w:pStyle w:val="17"/>
              <w:rPr>
                <w:sz w:val="24"/>
              </w:rPr>
            </w:pPr>
          </w:p>
          <w:p>
            <w:pPr>
              <w:pStyle w:val="17"/>
              <w:spacing w:before="175"/>
              <w:ind w:left="10"/>
              <w:jc w:val="center"/>
              <w:rPr>
                <w:rFonts w:hint="eastAsia" w:eastAsia="宋体"/>
                <w:sz w:val="24"/>
                <w:lang w:val="en-US" w:eastAsia="zh-CN"/>
              </w:rPr>
            </w:pPr>
            <w:r>
              <w:rPr>
                <w:rFonts w:hint="eastAsia"/>
                <w:sz w:val="24"/>
                <w:lang w:val="en-US" w:eastAsia="zh-CN"/>
              </w:rPr>
              <w:t>4</w:t>
            </w:r>
          </w:p>
        </w:tc>
        <w:tc>
          <w:tcPr>
            <w:tcW w:w="1259" w:type="dxa"/>
            <w:vMerge w:val="restart"/>
          </w:tcPr>
          <w:p>
            <w:pPr>
              <w:pStyle w:val="17"/>
              <w:rPr>
                <w:sz w:val="24"/>
              </w:rPr>
            </w:pPr>
          </w:p>
          <w:p>
            <w:pPr>
              <w:pStyle w:val="17"/>
              <w:spacing w:before="2"/>
              <w:rPr>
                <w:sz w:val="31"/>
              </w:rPr>
            </w:pPr>
          </w:p>
          <w:p>
            <w:pPr>
              <w:pStyle w:val="17"/>
              <w:spacing w:line="362" w:lineRule="auto"/>
              <w:ind w:left="148" w:right="138"/>
              <w:jc w:val="center"/>
              <w:rPr>
                <w:sz w:val="24"/>
              </w:rPr>
            </w:pPr>
            <w:r>
              <w:rPr>
                <w:sz w:val="24"/>
              </w:rPr>
              <w:t>项目管理机构评分标准</w:t>
            </w:r>
          </w:p>
          <w:p>
            <w:pPr>
              <w:pStyle w:val="17"/>
              <w:spacing w:before="6"/>
              <w:ind w:left="146" w:right="138"/>
              <w:jc w:val="center"/>
              <w:rPr>
                <w:sz w:val="24"/>
              </w:rPr>
            </w:pPr>
            <w:r>
              <w:rPr>
                <w:sz w:val="24"/>
              </w:rPr>
              <w:t>（</w:t>
            </w:r>
            <w:r>
              <w:rPr>
                <w:rFonts w:ascii="Arial" w:eastAsia="Arial"/>
                <w:sz w:val="24"/>
              </w:rPr>
              <w:t xml:space="preserve">5 </w:t>
            </w:r>
            <w:r>
              <w:rPr>
                <w:sz w:val="24"/>
              </w:rPr>
              <w:t>分）</w:t>
            </w:r>
          </w:p>
        </w:tc>
        <w:tc>
          <w:tcPr>
            <w:tcW w:w="1888" w:type="dxa"/>
          </w:tcPr>
          <w:p>
            <w:pPr>
              <w:pStyle w:val="17"/>
              <w:rPr>
                <w:sz w:val="24"/>
              </w:rPr>
            </w:pPr>
          </w:p>
          <w:p>
            <w:pPr>
              <w:pStyle w:val="17"/>
              <w:spacing w:before="159"/>
              <w:ind w:left="18" w:right="9"/>
              <w:jc w:val="center"/>
              <w:rPr>
                <w:sz w:val="24"/>
              </w:rPr>
            </w:pPr>
            <w:r>
              <w:rPr>
                <w:sz w:val="24"/>
              </w:rPr>
              <w:t>项目经理业绩</w:t>
            </w:r>
          </w:p>
          <w:p>
            <w:pPr>
              <w:pStyle w:val="17"/>
              <w:spacing w:before="158"/>
              <w:ind w:left="16" w:right="9"/>
              <w:jc w:val="center"/>
              <w:rPr>
                <w:sz w:val="24"/>
              </w:rPr>
            </w:pPr>
            <w:r>
              <w:rPr>
                <w:sz w:val="24"/>
              </w:rPr>
              <w:t>（</w:t>
            </w:r>
            <w:r>
              <w:rPr>
                <w:rFonts w:ascii="Arial" w:eastAsia="Arial"/>
                <w:sz w:val="24"/>
              </w:rPr>
              <w:t xml:space="preserve">1 </w:t>
            </w:r>
            <w:r>
              <w:rPr>
                <w:sz w:val="24"/>
              </w:rPr>
              <w:t>分）</w:t>
            </w:r>
          </w:p>
        </w:tc>
        <w:tc>
          <w:tcPr>
            <w:tcW w:w="6032" w:type="dxa"/>
          </w:tcPr>
          <w:p>
            <w:pPr>
              <w:pStyle w:val="17"/>
              <w:spacing w:before="1"/>
              <w:ind w:left="107"/>
              <w:rPr>
                <w:sz w:val="24"/>
              </w:rPr>
            </w:pPr>
            <w:r>
              <w:rPr>
                <w:sz w:val="24"/>
              </w:rPr>
              <w:t>项目经理近三年承建过已完成类似业绩的，每有一项得</w:t>
            </w:r>
          </w:p>
          <w:p>
            <w:pPr>
              <w:pStyle w:val="17"/>
              <w:spacing w:before="158"/>
              <w:ind w:left="107"/>
              <w:rPr>
                <w:sz w:val="24"/>
              </w:rPr>
            </w:pPr>
            <w:r>
              <w:rPr>
                <w:rFonts w:ascii="Arial" w:eastAsia="Arial"/>
                <w:sz w:val="24"/>
              </w:rPr>
              <w:t xml:space="preserve">0.5 </w:t>
            </w:r>
            <w:r>
              <w:rPr>
                <w:spacing w:val="-20"/>
                <w:sz w:val="24"/>
              </w:rPr>
              <w:t xml:space="preserve">分，最高得 </w:t>
            </w:r>
            <w:r>
              <w:rPr>
                <w:rFonts w:ascii="Arial" w:eastAsia="Arial"/>
                <w:sz w:val="24"/>
              </w:rPr>
              <w:t xml:space="preserve">1 </w:t>
            </w:r>
            <w:r>
              <w:rPr>
                <w:spacing w:val="-53"/>
                <w:sz w:val="24"/>
              </w:rPr>
              <w:t>分</w:t>
            </w:r>
            <w:r>
              <w:rPr>
                <w:sz w:val="24"/>
              </w:rPr>
              <w:t>（中标(成交)通知书或双方签订的合</w:t>
            </w:r>
          </w:p>
          <w:p>
            <w:pPr>
              <w:pStyle w:val="17"/>
              <w:spacing w:before="8" w:line="460" w:lineRule="atLeast"/>
              <w:ind w:left="107" w:right="97"/>
              <w:rPr>
                <w:sz w:val="24"/>
              </w:rPr>
            </w:pPr>
            <w:r>
              <w:rPr>
                <w:sz w:val="24"/>
              </w:rPr>
              <w:t>同协议书或竣工验收备案表），项目经理业绩与企业业绩不得重复，重复不得分。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0" w:hRule="atLeast"/>
        </w:trPr>
        <w:tc>
          <w:tcPr>
            <w:tcW w:w="841" w:type="dxa"/>
            <w:vMerge w:val="continue"/>
            <w:tcBorders>
              <w:top w:val="nil"/>
            </w:tcBorders>
          </w:tcPr>
          <w:p>
            <w:pPr>
              <w:rPr>
                <w:sz w:val="2"/>
                <w:szCs w:val="2"/>
              </w:rPr>
            </w:pPr>
          </w:p>
        </w:tc>
        <w:tc>
          <w:tcPr>
            <w:tcW w:w="1259" w:type="dxa"/>
            <w:vMerge w:val="continue"/>
            <w:tcBorders>
              <w:top w:val="nil"/>
            </w:tcBorders>
          </w:tcPr>
          <w:p>
            <w:pPr>
              <w:rPr>
                <w:sz w:val="2"/>
                <w:szCs w:val="2"/>
              </w:rPr>
            </w:pPr>
          </w:p>
        </w:tc>
        <w:tc>
          <w:tcPr>
            <w:tcW w:w="1888" w:type="dxa"/>
          </w:tcPr>
          <w:p>
            <w:pPr>
              <w:pStyle w:val="17"/>
              <w:spacing w:before="5"/>
              <w:rPr>
                <w:sz w:val="18"/>
              </w:rPr>
            </w:pPr>
          </w:p>
          <w:p>
            <w:pPr>
              <w:pStyle w:val="17"/>
              <w:ind w:left="18" w:right="9"/>
              <w:jc w:val="center"/>
              <w:rPr>
                <w:sz w:val="24"/>
              </w:rPr>
            </w:pPr>
            <w:r>
              <w:rPr>
                <w:sz w:val="24"/>
              </w:rPr>
              <w:t>项目班子组成</w:t>
            </w:r>
          </w:p>
          <w:p>
            <w:pPr>
              <w:pStyle w:val="17"/>
              <w:spacing w:before="158"/>
              <w:ind w:left="16" w:right="9"/>
              <w:jc w:val="center"/>
              <w:rPr>
                <w:sz w:val="24"/>
              </w:rPr>
            </w:pPr>
            <w:r>
              <w:rPr>
                <w:sz w:val="24"/>
              </w:rPr>
              <w:t>（</w:t>
            </w:r>
            <w:r>
              <w:rPr>
                <w:rFonts w:ascii="Arial" w:eastAsia="Arial"/>
                <w:sz w:val="24"/>
              </w:rPr>
              <w:t xml:space="preserve">4 </w:t>
            </w:r>
            <w:r>
              <w:rPr>
                <w:sz w:val="24"/>
              </w:rPr>
              <w:t>分）</w:t>
            </w:r>
          </w:p>
        </w:tc>
        <w:tc>
          <w:tcPr>
            <w:tcW w:w="6032" w:type="dxa"/>
          </w:tcPr>
          <w:p>
            <w:pPr>
              <w:pStyle w:val="17"/>
              <w:spacing w:before="1"/>
              <w:ind w:left="107"/>
              <w:rPr>
                <w:rFonts w:ascii="Arial" w:eastAsia="Arial"/>
                <w:sz w:val="24"/>
              </w:rPr>
            </w:pPr>
            <w:r>
              <w:rPr>
                <w:spacing w:val="-6"/>
                <w:sz w:val="24"/>
              </w:rPr>
              <w:t>技术负责人</w:t>
            </w:r>
            <w:r>
              <w:rPr>
                <w:spacing w:val="-3"/>
                <w:sz w:val="24"/>
              </w:rPr>
              <w:t>（</w:t>
            </w:r>
            <w:r>
              <w:rPr>
                <w:sz w:val="24"/>
              </w:rPr>
              <w:t>建筑工程中级或以上职称</w:t>
            </w:r>
            <w:r>
              <w:rPr>
                <w:spacing w:val="-15"/>
                <w:sz w:val="24"/>
              </w:rPr>
              <w:t>）</w:t>
            </w:r>
            <w:r>
              <w:rPr>
                <w:rFonts w:ascii="Arial" w:eastAsia="Arial"/>
                <w:spacing w:val="-15"/>
                <w:sz w:val="24"/>
              </w:rPr>
              <w:t xml:space="preserve">1 </w:t>
            </w:r>
            <w:r>
              <w:rPr>
                <w:spacing w:val="-16"/>
                <w:sz w:val="24"/>
              </w:rPr>
              <w:t xml:space="preserve">名，质量员 </w:t>
            </w:r>
            <w:r>
              <w:rPr>
                <w:rFonts w:ascii="Arial" w:eastAsia="Arial"/>
                <w:sz w:val="24"/>
              </w:rPr>
              <w:t>1</w:t>
            </w:r>
          </w:p>
          <w:p>
            <w:pPr>
              <w:pStyle w:val="17"/>
              <w:spacing w:before="160"/>
              <w:ind w:left="107"/>
              <w:rPr>
                <w:rFonts w:ascii="Arial" w:eastAsia="Arial"/>
                <w:sz w:val="24"/>
              </w:rPr>
            </w:pPr>
            <w:r>
              <w:rPr>
                <w:spacing w:val="-10"/>
                <w:sz w:val="24"/>
              </w:rPr>
              <w:t xml:space="preserve">名，安全员 </w:t>
            </w:r>
            <w:r>
              <w:rPr>
                <w:rFonts w:ascii="Arial" w:eastAsia="Arial"/>
                <w:sz w:val="24"/>
              </w:rPr>
              <w:t xml:space="preserve">1 </w:t>
            </w:r>
            <w:r>
              <w:rPr>
                <w:spacing w:val="-10"/>
                <w:sz w:val="24"/>
              </w:rPr>
              <w:t xml:space="preserve">名，施工员 </w:t>
            </w:r>
            <w:r>
              <w:rPr>
                <w:rFonts w:ascii="Arial" w:eastAsia="Arial"/>
                <w:sz w:val="24"/>
              </w:rPr>
              <w:t xml:space="preserve">1 </w:t>
            </w:r>
            <w:r>
              <w:rPr>
                <w:spacing w:val="-12"/>
                <w:sz w:val="24"/>
              </w:rPr>
              <w:t xml:space="preserve">名，满分 </w:t>
            </w:r>
            <w:r>
              <w:rPr>
                <w:rFonts w:ascii="Arial" w:eastAsia="Arial"/>
                <w:sz w:val="24"/>
              </w:rPr>
              <w:t xml:space="preserve">4 </w:t>
            </w:r>
            <w:r>
              <w:rPr>
                <w:sz w:val="24"/>
              </w:rPr>
              <w:t>分（</w:t>
            </w:r>
            <w:r>
              <w:rPr>
                <w:spacing w:val="-12"/>
                <w:sz w:val="24"/>
              </w:rPr>
              <w:t xml:space="preserve">持证各岗 </w:t>
            </w:r>
            <w:r>
              <w:rPr>
                <w:rFonts w:ascii="Arial" w:eastAsia="Arial"/>
                <w:sz w:val="24"/>
              </w:rPr>
              <w:t>1</w:t>
            </w:r>
          </w:p>
          <w:p>
            <w:pPr>
              <w:pStyle w:val="17"/>
              <w:spacing w:before="158"/>
              <w:ind w:left="107"/>
              <w:rPr>
                <w:sz w:val="24"/>
              </w:rPr>
            </w:pPr>
            <w:r>
              <w:rPr>
                <w:sz w:val="24"/>
              </w:rPr>
              <w:t>分，无证不得分）。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841" w:type="dxa"/>
            <w:tcBorders>
              <w:bottom w:val="nil"/>
            </w:tcBorders>
          </w:tcPr>
          <w:p>
            <w:pPr>
              <w:pStyle w:val="17"/>
              <w:rPr>
                <w:rFonts w:ascii="Times New Roman"/>
                <w:sz w:val="22"/>
              </w:rPr>
            </w:pPr>
          </w:p>
        </w:tc>
        <w:tc>
          <w:tcPr>
            <w:tcW w:w="1259" w:type="dxa"/>
            <w:vMerge w:val="restart"/>
          </w:tcPr>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spacing w:before="8"/>
              <w:rPr>
                <w:sz w:val="19"/>
              </w:rPr>
            </w:pPr>
          </w:p>
          <w:p>
            <w:pPr>
              <w:pStyle w:val="17"/>
              <w:spacing w:line="362" w:lineRule="auto"/>
              <w:ind w:left="388" w:right="138" w:hanging="240"/>
              <w:rPr>
                <w:sz w:val="24"/>
              </w:rPr>
            </w:pPr>
            <w:r>
              <w:rPr>
                <w:sz w:val="24"/>
              </w:rPr>
              <w:t>其他评分因素</w:t>
            </w:r>
          </w:p>
          <w:p>
            <w:pPr>
              <w:pStyle w:val="17"/>
              <w:spacing w:before="5"/>
              <w:ind w:left="107" w:right="-29"/>
              <w:rPr>
                <w:sz w:val="24"/>
              </w:rPr>
            </w:pPr>
            <w:r>
              <w:rPr>
                <w:sz w:val="24"/>
              </w:rPr>
              <w:t>（</w:t>
            </w:r>
            <w:r>
              <w:rPr>
                <w:rFonts w:ascii="Arial" w:eastAsia="Arial"/>
                <w:sz w:val="24"/>
              </w:rPr>
              <w:t>16</w:t>
            </w:r>
            <w:r>
              <w:rPr>
                <w:rFonts w:ascii="Arial" w:eastAsia="Arial"/>
                <w:spacing w:val="-9"/>
                <w:sz w:val="24"/>
              </w:rPr>
              <w:t xml:space="preserve"> </w:t>
            </w:r>
            <w:r>
              <w:rPr>
                <w:sz w:val="24"/>
              </w:rPr>
              <w:t>分</w:t>
            </w:r>
            <w:r>
              <w:rPr>
                <w:spacing w:val="-127"/>
                <w:sz w:val="24"/>
              </w:rPr>
              <w:t>）</w:t>
            </w:r>
            <w:r>
              <w:rPr>
                <w:spacing w:val="-7"/>
                <w:sz w:val="24"/>
              </w:rPr>
              <w:t>）</w:t>
            </w:r>
          </w:p>
        </w:tc>
        <w:tc>
          <w:tcPr>
            <w:tcW w:w="1888" w:type="dxa"/>
            <w:tcBorders>
              <w:bottom w:val="nil"/>
            </w:tcBorders>
          </w:tcPr>
          <w:p>
            <w:pPr>
              <w:pStyle w:val="17"/>
              <w:rPr>
                <w:rFonts w:ascii="Times New Roman"/>
                <w:sz w:val="22"/>
              </w:rPr>
            </w:pPr>
          </w:p>
        </w:tc>
        <w:tc>
          <w:tcPr>
            <w:tcW w:w="6032" w:type="dxa"/>
            <w:tcBorders>
              <w:bottom w:val="nil"/>
            </w:tcBorders>
          </w:tcPr>
          <w:p>
            <w:pPr>
              <w:pStyle w:val="17"/>
              <w:spacing w:before="1"/>
              <w:ind w:left="107"/>
              <w:rPr>
                <w:sz w:val="24"/>
              </w:rPr>
            </w:pPr>
            <w:r>
              <w:rPr>
                <w:spacing w:val="-17"/>
                <w:sz w:val="24"/>
              </w:rPr>
              <w:t xml:space="preserve">磋商响应人提供近三年类似项目业绩，近三年内，指 </w:t>
            </w:r>
            <w:r>
              <w:rPr>
                <w:sz w:val="24"/>
              </w:rPr>
              <w:t>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841" w:type="dxa"/>
            <w:tcBorders>
              <w:top w:val="nil"/>
              <w:bottom w:val="nil"/>
            </w:tcBorders>
          </w:tcPr>
          <w:p>
            <w:pPr>
              <w:pStyle w:val="17"/>
              <w:rPr>
                <w:rFonts w:ascii="Times New Roman"/>
                <w:sz w:val="22"/>
              </w:rPr>
            </w:pPr>
          </w:p>
        </w:tc>
        <w:tc>
          <w:tcPr>
            <w:tcW w:w="1259" w:type="dxa"/>
            <w:vMerge w:val="continue"/>
            <w:tcBorders>
              <w:top w:val="nil"/>
            </w:tcBorders>
          </w:tcPr>
          <w:p>
            <w:pPr>
              <w:rPr>
                <w:sz w:val="2"/>
                <w:szCs w:val="2"/>
              </w:rPr>
            </w:pPr>
          </w:p>
        </w:tc>
        <w:tc>
          <w:tcPr>
            <w:tcW w:w="1888" w:type="dxa"/>
            <w:tcBorders>
              <w:top w:val="nil"/>
              <w:bottom w:val="nil"/>
            </w:tcBorders>
          </w:tcPr>
          <w:p>
            <w:pPr>
              <w:pStyle w:val="17"/>
              <w:rPr>
                <w:rFonts w:ascii="Times New Roman"/>
                <w:sz w:val="22"/>
              </w:rPr>
            </w:pPr>
          </w:p>
        </w:tc>
        <w:tc>
          <w:tcPr>
            <w:tcW w:w="6032" w:type="dxa"/>
            <w:tcBorders>
              <w:top w:val="nil"/>
              <w:bottom w:val="nil"/>
            </w:tcBorders>
          </w:tcPr>
          <w:p>
            <w:pPr>
              <w:pStyle w:val="17"/>
              <w:spacing w:before="74"/>
              <w:ind w:left="107"/>
              <w:rPr>
                <w:sz w:val="24"/>
              </w:rPr>
            </w:pPr>
            <w:r>
              <w:rPr>
                <w:spacing w:val="-30"/>
                <w:sz w:val="24"/>
              </w:rPr>
              <w:t xml:space="preserve">年 </w:t>
            </w:r>
            <w:r>
              <w:rPr>
                <w:rFonts w:hint="eastAsia"/>
                <w:sz w:val="24"/>
                <w:lang w:val="en-US" w:eastAsia="zh-CN"/>
              </w:rPr>
              <w:t>07</w:t>
            </w:r>
            <w:r>
              <w:rPr>
                <w:spacing w:val="-40"/>
                <w:sz w:val="24"/>
              </w:rPr>
              <w:t xml:space="preserve"> 月</w:t>
            </w:r>
            <w:r>
              <w:rPr>
                <w:rFonts w:hint="eastAsia"/>
                <w:spacing w:val="-40"/>
                <w:sz w:val="24"/>
                <w:lang w:val="en-US" w:eastAsia="zh-CN"/>
              </w:rPr>
              <w:t>01</w:t>
            </w:r>
            <w:r>
              <w:rPr>
                <w:spacing w:val="-24"/>
                <w:sz w:val="24"/>
              </w:rPr>
              <w:t xml:space="preserve"> 日起至 </w:t>
            </w:r>
            <w:r>
              <w:rPr>
                <w:sz w:val="24"/>
              </w:rPr>
              <w:t>2022</w:t>
            </w:r>
            <w:r>
              <w:rPr>
                <w:spacing w:val="-40"/>
                <w:sz w:val="24"/>
              </w:rPr>
              <w:t xml:space="preserve"> 年 </w:t>
            </w:r>
            <w:r>
              <w:rPr>
                <w:rFonts w:hint="eastAsia"/>
                <w:sz w:val="24"/>
                <w:lang w:val="en-US" w:eastAsia="zh-CN"/>
              </w:rPr>
              <w:t>07</w:t>
            </w:r>
            <w:r>
              <w:rPr>
                <w:spacing w:val="-40"/>
                <w:sz w:val="24"/>
              </w:rPr>
              <w:t xml:space="preserve"> 月 </w:t>
            </w:r>
            <w:r>
              <w:rPr>
                <w:rFonts w:hint="eastAsia"/>
                <w:sz w:val="24"/>
                <w:lang w:val="en-US" w:eastAsia="zh-CN"/>
              </w:rPr>
              <w:t>01</w:t>
            </w:r>
            <w:r>
              <w:rPr>
                <w:spacing w:val="-62"/>
                <w:sz w:val="24"/>
              </w:rPr>
              <w:t>日</w:t>
            </w:r>
            <w:r>
              <w:rPr>
                <w:sz w:val="24"/>
              </w:rPr>
              <w:t>（以中标(成交)通知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1" w:hRule="atLeast"/>
        </w:trPr>
        <w:tc>
          <w:tcPr>
            <w:tcW w:w="841" w:type="dxa"/>
            <w:tcBorders>
              <w:top w:val="nil"/>
              <w:bottom w:val="nil"/>
            </w:tcBorders>
          </w:tcPr>
          <w:p>
            <w:pPr>
              <w:pStyle w:val="17"/>
              <w:rPr>
                <w:rFonts w:ascii="Times New Roman"/>
                <w:sz w:val="22"/>
              </w:rPr>
            </w:pPr>
          </w:p>
        </w:tc>
        <w:tc>
          <w:tcPr>
            <w:tcW w:w="1259" w:type="dxa"/>
            <w:vMerge w:val="continue"/>
            <w:tcBorders>
              <w:top w:val="nil"/>
            </w:tcBorders>
          </w:tcPr>
          <w:p>
            <w:pPr>
              <w:rPr>
                <w:sz w:val="2"/>
                <w:szCs w:val="2"/>
              </w:rPr>
            </w:pPr>
          </w:p>
        </w:tc>
        <w:tc>
          <w:tcPr>
            <w:tcW w:w="1888" w:type="dxa"/>
            <w:tcBorders>
              <w:top w:val="nil"/>
              <w:bottom w:val="nil"/>
            </w:tcBorders>
          </w:tcPr>
          <w:p>
            <w:pPr>
              <w:pStyle w:val="17"/>
              <w:rPr>
                <w:sz w:val="24"/>
              </w:rPr>
            </w:pPr>
          </w:p>
          <w:p>
            <w:pPr>
              <w:pStyle w:val="17"/>
              <w:ind w:left="463"/>
              <w:rPr>
                <w:sz w:val="24"/>
              </w:rPr>
            </w:pPr>
            <w:r>
              <w:rPr>
                <w:sz w:val="24"/>
              </w:rPr>
              <w:t>企业业绩</w:t>
            </w:r>
          </w:p>
          <w:p>
            <w:pPr>
              <w:pStyle w:val="17"/>
              <w:spacing w:before="158"/>
              <w:ind w:left="485"/>
              <w:rPr>
                <w:sz w:val="24"/>
              </w:rPr>
            </w:pPr>
            <w:r>
              <w:rPr>
                <w:sz w:val="24"/>
              </w:rPr>
              <w:t>（</w:t>
            </w:r>
            <w:r>
              <w:rPr>
                <w:rFonts w:ascii="Arial" w:eastAsia="Arial"/>
                <w:sz w:val="24"/>
              </w:rPr>
              <w:t>6</w:t>
            </w:r>
            <w:r>
              <w:rPr>
                <w:rFonts w:ascii="Arial" w:eastAsia="Arial"/>
                <w:spacing w:val="-6"/>
                <w:sz w:val="24"/>
              </w:rPr>
              <w:t xml:space="preserve"> </w:t>
            </w:r>
            <w:r>
              <w:rPr>
                <w:sz w:val="24"/>
              </w:rPr>
              <w:t>分）</w:t>
            </w:r>
          </w:p>
        </w:tc>
        <w:tc>
          <w:tcPr>
            <w:tcW w:w="6032" w:type="dxa"/>
            <w:tcBorders>
              <w:top w:val="nil"/>
              <w:bottom w:val="nil"/>
            </w:tcBorders>
          </w:tcPr>
          <w:p>
            <w:pPr>
              <w:pStyle w:val="17"/>
              <w:spacing w:before="75" w:line="362" w:lineRule="auto"/>
              <w:ind w:left="107" w:right="97"/>
              <w:rPr>
                <w:sz w:val="24"/>
              </w:rPr>
            </w:pPr>
            <w:r>
              <w:rPr>
                <w:sz w:val="24"/>
              </w:rPr>
              <w:t xml:space="preserve">书或双方签订的合同协议书或竣工验收备案表）为准） </w:t>
            </w:r>
            <w:r>
              <w:rPr>
                <w:spacing w:val="-9"/>
                <w:sz w:val="24"/>
              </w:rPr>
              <w:t xml:space="preserve">每有一项得 </w:t>
            </w:r>
            <w:r>
              <w:rPr>
                <w:rFonts w:ascii="Arial" w:eastAsia="Arial"/>
                <w:sz w:val="24"/>
              </w:rPr>
              <w:t xml:space="preserve">2 </w:t>
            </w:r>
            <w:r>
              <w:rPr>
                <w:spacing w:val="-11"/>
                <w:sz w:val="24"/>
              </w:rPr>
              <w:t xml:space="preserve">分最高得 </w:t>
            </w:r>
            <w:r>
              <w:rPr>
                <w:rFonts w:ascii="Arial" w:eastAsia="Arial"/>
                <w:sz w:val="24"/>
              </w:rPr>
              <w:t xml:space="preserve">6 </w:t>
            </w:r>
            <w:r>
              <w:rPr>
                <w:sz w:val="24"/>
              </w:rPr>
              <w:t>分（</w:t>
            </w:r>
            <w:r>
              <w:rPr>
                <w:spacing w:val="-2"/>
                <w:sz w:val="24"/>
              </w:rPr>
              <w:t>须提供相关证明材料：合</w:t>
            </w:r>
          </w:p>
          <w:p>
            <w:pPr>
              <w:pStyle w:val="17"/>
              <w:spacing w:before="5"/>
              <w:ind w:left="107" w:right="-29"/>
              <w:rPr>
                <w:sz w:val="24"/>
              </w:rPr>
            </w:pPr>
            <w:r>
              <w:rPr>
                <w:spacing w:val="-9"/>
                <w:sz w:val="24"/>
              </w:rPr>
              <w:t>同首页、标的及金额所在页、签字盖章页的合同复印件、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841" w:type="dxa"/>
            <w:tcBorders>
              <w:top w:val="nil"/>
              <w:bottom w:val="nil"/>
            </w:tcBorders>
          </w:tcPr>
          <w:p>
            <w:pPr>
              <w:pStyle w:val="17"/>
              <w:spacing w:before="35"/>
              <w:ind w:left="10"/>
              <w:jc w:val="center"/>
              <w:rPr>
                <w:rFonts w:hint="eastAsia" w:eastAsia="宋体"/>
                <w:sz w:val="24"/>
                <w:lang w:val="en-US" w:eastAsia="zh-CN"/>
              </w:rPr>
            </w:pPr>
            <w:r>
              <w:rPr>
                <w:rFonts w:hint="eastAsia"/>
                <w:sz w:val="24"/>
                <w:lang w:val="en-US" w:eastAsia="zh-CN"/>
              </w:rPr>
              <w:t>5</w:t>
            </w:r>
          </w:p>
        </w:tc>
        <w:tc>
          <w:tcPr>
            <w:tcW w:w="1259" w:type="dxa"/>
            <w:vMerge w:val="continue"/>
            <w:tcBorders>
              <w:top w:val="nil"/>
            </w:tcBorders>
          </w:tcPr>
          <w:p>
            <w:pPr>
              <w:rPr>
                <w:sz w:val="2"/>
                <w:szCs w:val="2"/>
              </w:rPr>
            </w:pPr>
          </w:p>
        </w:tc>
        <w:tc>
          <w:tcPr>
            <w:tcW w:w="1888" w:type="dxa"/>
            <w:tcBorders>
              <w:top w:val="nil"/>
              <w:bottom w:val="nil"/>
            </w:tcBorders>
          </w:tcPr>
          <w:p>
            <w:pPr>
              <w:pStyle w:val="17"/>
              <w:rPr>
                <w:rFonts w:ascii="Times New Roman"/>
                <w:sz w:val="22"/>
              </w:rPr>
            </w:pPr>
          </w:p>
        </w:tc>
        <w:tc>
          <w:tcPr>
            <w:tcW w:w="6032" w:type="dxa"/>
            <w:tcBorders>
              <w:top w:val="nil"/>
              <w:bottom w:val="nil"/>
            </w:tcBorders>
          </w:tcPr>
          <w:p>
            <w:pPr>
              <w:pStyle w:val="17"/>
              <w:spacing w:before="112"/>
              <w:ind w:left="107"/>
              <w:rPr>
                <w:sz w:val="24"/>
              </w:rPr>
            </w:pPr>
            <w:r>
              <w:rPr>
                <w:sz w:val="24"/>
              </w:rPr>
              <w:t>中标通知书），项目经理业绩与企业业绩不得重复，重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841" w:type="dxa"/>
            <w:tcBorders>
              <w:top w:val="nil"/>
              <w:bottom w:val="nil"/>
            </w:tcBorders>
          </w:tcPr>
          <w:p>
            <w:pPr>
              <w:pStyle w:val="17"/>
              <w:rPr>
                <w:rFonts w:ascii="Times New Roman"/>
                <w:sz w:val="22"/>
              </w:rPr>
            </w:pPr>
          </w:p>
        </w:tc>
        <w:tc>
          <w:tcPr>
            <w:tcW w:w="1259" w:type="dxa"/>
            <w:vMerge w:val="continue"/>
            <w:tcBorders>
              <w:top w:val="nil"/>
            </w:tcBorders>
          </w:tcPr>
          <w:p>
            <w:pPr>
              <w:rPr>
                <w:sz w:val="2"/>
                <w:szCs w:val="2"/>
              </w:rPr>
            </w:pPr>
          </w:p>
        </w:tc>
        <w:tc>
          <w:tcPr>
            <w:tcW w:w="1888" w:type="dxa"/>
            <w:tcBorders>
              <w:top w:val="nil"/>
            </w:tcBorders>
          </w:tcPr>
          <w:p>
            <w:pPr>
              <w:pStyle w:val="17"/>
              <w:rPr>
                <w:rFonts w:ascii="Times New Roman"/>
                <w:sz w:val="22"/>
              </w:rPr>
            </w:pPr>
          </w:p>
        </w:tc>
        <w:tc>
          <w:tcPr>
            <w:tcW w:w="6032" w:type="dxa"/>
            <w:tcBorders>
              <w:top w:val="nil"/>
            </w:tcBorders>
          </w:tcPr>
          <w:p>
            <w:pPr>
              <w:pStyle w:val="17"/>
              <w:spacing w:before="75"/>
              <w:ind w:left="107"/>
              <w:rPr>
                <w:sz w:val="24"/>
              </w:rPr>
            </w:pPr>
            <w:r>
              <w:rPr>
                <w:sz w:val="24"/>
              </w:rPr>
              <w:t>复不得分。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8" w:hRule="atLeast"/>
        </w:trPr>
        <w:tc>
          <w:tcPr>
            <w:tcW w:w="841" w:type="dxa"/>
            <w:tcBorders>
              <w:top w:val="nil"/>
              <w:bottom w:val="nil"/>
            </w:tcBorders>
          </w:tcPr>
          <w:p>
            <w:pPr>
              <w:pStyle w:val="17"/>
              <w:rPr>
                <w:rFonts w:ascii="Times New Roman"/>
                <w:sz w:val="22"/>
              </w:rPr>
            </w:pPr>
          </w:p>
        </w:tc>
        <w:tc>
          <w:tcPr>
            <w:tcW w:w="1259" w:type="dxa"/>
            <w:vMerge w:val="continue"/>
            <w:tcBorders>
              <w:top w:val="nil"/>
            </w:tcBorders>
          </w:tcPr>
          <w:p>
            <w:pPr>
              <w:rPr>
                <w:sz w:val="2"/>
                <w:szCs w:val="2"/>
              </w:rPr>
            </w:pPr>
          </w:p>
        </w:tc>
        <w:tc>
          <w:tcPr>
            <w:tcW w:w="1888" w:type="dxa"/>
            <w:tcBorders>
              <w:bottom w:val="nil"/>
            </w:tcBorders>
          </w:tcPr>
          <w:p>
            <w:pPr>
              <w:pStyle w:val="17"/>
              <w:spacing w:before="11"/>
              <w:rPr>
                <w:sz w:val="29"/>
              </w:rPr>
            </w:pPr>
          </w:p>
          <w:p>
            <w:pPr>
              <w:pStyle w:val="17"/>
              <w:ind w:left="18" w:right="9"/>
              <w:jc w:val="center"/>
              <w:rPr>
                <w:sz w:val="24"/>
              </w:rPr>
            </w:pPr>
            <w:r>
              <w:rPr>
                <w:sz w:val="24"/>
              </w:rPr>
              <w:t>建筑市场信用</w:t>
            </w:r>
          </w:p>
          <w:p>
            <w:pPr>
              <w:pStyle w:val="17"/>
              <w:spacing w:before="161"/>
              <w:ind w:left="16" w:right="9"/>
              <w:jc w:val="center"/>
              <w:rPr>
                <w:sz w:val="24"/>
              </w:rPr>
            </w:pPr>
            <w:r>
              <w:rPr>
                <w:sz w:val="24"/>
              </w:rPr>
              <w:t>（</w:t>
            </w:r>
            <w:r>
              <w:rPr>
                <w:rFonts w:ascii="Arial" w:eastAsia="Arial"/>
                <w:sz w:val="24"/>
              </w:rPr>
              <w:t xml:space="preserve">10 </w:t>
            </w:r>
            <w:r>
              <w:rPr>
                <w:sz w:val="24"/>
              </w:rPr>
              <w:t>分</w:t>
            </w:r>
          </w:p>
        </w:tc>
        <w:tc>
          <w:tcPr>
            <w:tcW w:w="6032" w:type="dxa"/>
            <w:vMerge w:val="restart"/>
          </w:tcPr>
          <w:p>
            <w:pPr>
              <w:pStyle w:val="17"/>
              <w:spacing w:line="480" w:lineRule="atLeast"/>
              <w:ind w:right="152"/>
              <w:rPr>
                <w:sz w:val="24"/>
              </w:rPr>
            </w:pPr>
            <w:bookmarkStart w:id="117" w:name="（一）上年度投标人得分依据《青海省建筑市场信用管理办法》规定。按照投标人上年度《"/>
            <w:bookmarkEnd w:id="117"/>
            <w:r>
              <w:rPr>
                <w:sz w:val="24"/>
              </w:rPr>
              <w:t>（一）上年度投标人得分依据《青海省建筑市场信用管理办法》规定。按照投标人上年度《青海省建筑市场各</w:t>
            </w:r>
          </w:p>
          <w:p>
            <w:pPr>
              <w:pStyle w:val="17"/>
              <w:spacing w:before="86"/>
              <w:rPr>
                <w:sz w:val="24"/>
              </w:rPr>
            </w:pPr>
            <w:r>
              <w:rPr>
                <w:sz w:val="24"/>
              </w:rPr>
              <w:t xml:space="preserve">方主体和从业人员评分标准》的评定等级，评为 </w:t>
            </w:r>
            <w:r>
              <w:rPr>
                <w:rFonts w:ascii="Times New Roman" w:eastAsia="Times New Roman"/>
                <w:sz w:val="24"/>
              </w:rPr>
              <w:t xml:space="preserve">A </w:t>
            </w:r>
            <w:r>
              <w:rPr>
                <w:sz w:val="24"/>
              </w:rPr>
              <w:t>级的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841" w:type="dxa"/>
            <w:tcBorders>
              <w:top w:val="nil"/>
            </w:tcBorders>
          </w:tcPr>
          <w:p>
            <w:pPr>
              <w:pStyle w:val="17"/>
              <w:rPr>
                <w:rFonts w:ascii="Times New Roman"/>
                <w:sz w:val="22"/>
              </w:rPr>
            </w:pPr>
          </w:p>
        </w:tc>
        <w:tc>
          <w:tcPr>
            <w:tcW w:w="1259" w:type="dxa"/>
            <w:vMerge w:val="continue"/>
            <w:tcBorders>
              <w:top w:val="nil"/>
            </w:tcBorders>
          </w:tcPr>
          <w:p>
            <w:pPr>
              <w:rPr>
                <w:sz w:val="2"/>
                <w:szCs w:val="2"/>
              </w:rPr>
            </w:pPr>
          </w:p>
        </w:tc>
        <w:tc>
          <w:tcPr>
            <w:tcW w:w="1888" w:type="dxa"/>
            <w:tcBorders>
              <w:top w:val="nil"/>
            </w:tcBorders>
          </w:tcPr>
          <w:p>
            <w:pPr>
              <w:pStyle w:val="17"/>
              <w:rPr>
                <w:rFonts w:ascii="Times New Roman"/>
                <w:sz w:val="22"/>
              </w:rPr>
            </w:pPr>
          </w:p>
        </w:tc>
        <w:tc>
          <w:tcPr>
            <w:tcW w:w="6032" w:type="dxa"/>
            <w:vMerge w:val="continue"/>
          </w:tcPr>
          <w:p>
            <w:pPr>
              <w:pStyle w:val="17"/>
              <w:spacing w:before="86"/>
              <w:ind w:left="107"/>
              <w:rPr>
                <w:sz w:val="24"/>
              </w:rPr>
            </w:pPr>
          </w:p>
        </w:tc>
      </w:tr>
    </w:tbl>
    <w:p>
      <w:pPr>
        <w:spacing w:after="0"/>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64" o:spid="_x0000_s1064" o:spt="20" style="position:absolute;left:0pt;margin-left:62.4pt;margin-top:12.25pt;height:0pt;width:400.4pt;mso-position-horizontal-relative:page;z-index:251714560;mso-width-relative:page;mso-height-relative:page;" stroked="t" coordsize="21600,21600">
            <v:path arrowok="t"/>
            <v:fill focussize="0,0"/>
            <v:stroke weight="0.36pt" color="#000000"/>
            <v:imagedata o:title=""/>
            <o:lock v:ext="edit"/>
          </v:line>
        </w:pict>
      </w:r>
      <w:bookmarkStart w:id="118" w:name="第四章 合同条款及格式"/>
      <w:bookmarkEnd w:id="118"/>
      <w:r>
        <w:rPr>
          <w:rFonts w:hint="eastAsia"/>
          <w:sz w:val="18"/>
          <w:lang w:eastAsia="zh-CN"/>
        </w:rPr>
        <w:t xml:space="preserve"> </w:t>
      </w:r>
    </w:p>
    <w:p>
      <w:pPr>
        <w:pStyle w:val="8"/>
        <w:rPr>
          <w:sz w:val="20"/>
        </w:rPr>
      </w:pPr>
    </w:p>
    <w:p>
      <w:pPr>
        <w:pStyle w:val="8"/>
        <w:spacing w:before="7"/>
        <w:rPr>
          <w:sz w:val="10"/>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1"/>
        <w:gridCol w:w="1259"/>
        <w:gridCol w:w="1888"/>
        <w:gridCol w:w="60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7" w:hRule="atLeast"/>
        </w:trPr>
        <w:tc>
          <w:tcPr>
            <w:tcW w:w="841" w:type="dxa"/>
          </w:tcPr>
          <w:p>
            <w:pPr>
              <w:pStyle w:val="17"/>
              <w:rPr>
                <w:rFonts w:ascii="Times New Roman"/>
                <w:sz w:val="22"/>
              </w:rPr>
            </w:pPr>
          </w:p>
        </w:tc>
        <w:tc>
          <w:tcPr>
            <w:tcW w:w="1259" w:type="dxa"/>
          </w:tcPr>
          <w:p>
            <w:pPr>
              <w:pStyle w:val="17"/>
              <w:rPr>
                <w:rFonts w:ascii="Times New Roman"/>
                <w:sz w:val="22"/>
              </w:rPr>
            </w:pPr>
          </w:p>
        </w:tc>
        <w:tc>
          <w:tcPr>
            <w:tcW w:w="1888" w:type="dxa"/>
          </w:tcPr>
          <w:p>
            <w:pPr>
              <w:pStyle w:val="17"/>
              <w:rPr>
                <w:rFonts w:ascii="Times New Roman"/>
                <w:sz w:val="22"/>
              </w:rPr>
            </w:pPr>
          </w:p>
        </w:tc>
        <w:tc>
          <w:tcPr>
            <w:tcW w:w="6032" w:type="dxa"/>
          </w:tcPr>
          <w:p>
            <w:pPr>
              <w:pStyle w:val="17"/>
              <w:spacing w:before="146" w:line="374" w:lineRule="auto"/>
              <w:ind w:left="107" w:right="191"/>
              <w:rPr>
                <w:sz w:val="24"/>
              </w:rPr>
            </w:pPr>
            <w:r>
              <w:rPr>
                <w:sz w:val="24"/>
              </w:rPr>
              <w:t xml:space="preserve">加 </w:t>
            </w:r>
            <w:r>
              <w:rPr>
                <w:rFonts w:ascii="Times New Roman" w:eastAsia="Times New Roman"/>
                <w:sz w:val="24"/>
              </w:rPr>
              <w:t xml:space="preserve">2 </w:t>
            </w:r>
            <w:r>
              <w:rPr>
                <w:sz w:val="24"/>
              </w:rPr>
              <w:t>分，</w:t>
            </w:r>
            <w:r>
              <w:rPr>
                <w:rFonts w:ascii="Times New Roman" w:eastAsia="Times New Roman"/>
                <w:sz w:val="24"/>
              </w:rPr>
              <w:t xml:space="preserve">B </w:t>
            </w:r>
            <w:r>
              <w:rPr>
                <w:sz w:val="24"/>
              </w:rPr>
              <w:t>级的不加减分，</w:t>
            </w:r>
            <w:r>
              <w:rPr>
                <w:rFonts w:ascii="Times New Roman" w:eastAsia="Times New Roman"/>
                <w:sz w:val="24"/>
              </w:rPr>
              <w:t xml:space="preserve">C </w:t>
            </w:r>
            <w:r>
              <w:rPr>
                <w:sz w:val="24"/>
              </w:rPr>
              <w:t xml:space="preserve">级的半年内不得参与投标活动，半年后投标扣 </w:t>
            </w:r>
            <w:r>
              <w:rPr>
                <w:rFonts w:ascii="Times New Roman" w:eastAsia="Times New Roman"/>
                <w:sz w:val="24"/>
              </w:rPr>
              <w:t xml:space="preserve">2 </w:t>
            </w:r>
            <w:r>
              <w:rPr>
                <w:sz w:val="24"/>
              </w:rPr>
              <w:t>分，</w:t>
            </w:r>
            <w:r>
              <w:rPr>
                <w:rFonts w:ascii="Times New Roman" w:eastAsia="Times New Roman"/>
                <w:sz w:val="24"/>
              </w:rPr>
              <w:t xml:space="preserve">D </w:t>
            </w:r>
            <w:r>
              <w:rPr>
                <w:sz w:val="24"/>
              </w:rPr>
              <w:t>级的一年内不得投标</w:t>
            </w:r>
          </w:p>
          <w:p>
            <w:pPr>
              <w:pStyle w:val="17"/>
              <w:spacing w:before="3"/>
              <w:rPr>
                <w:sz w:val="20"/>
              </w:rPr>
            </w:pPr>
          </w:p>
          <w:p>
            <w:pPr>
              <w:pStyle w:val="17"/>
              <w:spacing w:line="374" w:lineRule="auto"/>
              <w:ind w:left="107" w:right="-29"/>
              <w:rPr>
                <w:sz w:val="24"/>
              </w:rPr>
            </w:pPr>
            <w:bookmarkStart w:id="119" w:name="（二）本年度投标人信用得分实行动态管理。按照投标人上月最后一天《青海省建筑市场各"/>
            <w:bookmarkEnd w:id="119"/>
            <w:r>
              <w:rPr>
                <w:sz w:val="24"/>
              </w:rPr>
              <w:t>（二）本年度投标人信用得分实行动态管理。按照投标人上月最后一天《青海省建筑市场各方主体和从业人员</w:t>
            </w:r>
            <w:r>
              <w:rPr>
                <w:spacing w:val="-1"/>
                <w:sz w:val="24"/>
              </w:rPr>
              <w:t xml:space="preserve">评分标准》评定分值的 </w:t>
            </w:r>
            <w:r>
              <w:rPr>
                <w:rFonts w:ascii="Times New Roman" w:eastAsia="Times New Roman"/>
                <w:sz w:val="24"/>
              </w:rPr>
              <w:t>5%</w:t>
            </w:r>
            <w:r>
              <w:rPr>
                <w:sz w:val="24"/>
              </w:rPr>
              <w:t>计取得分。如当月发生重大</w:t>
            </w:r>
            <w:r>
              <w:rPr>
                <w:spacing w:val="-13"/>
                <w:sz w:val="24"/>
              </w:rPr>
              <w:t xml:space="preserve">事故，信用等级被降为 </w:t>
            </w:r>
            <w:r>
              <w:rPr>
                <w:rFonts w:ascii="Times New Roman" w:eastAsia="Times New Roman"/>
                <w:sz w:val="24"/>
              </w:rPr>
              <w:t>D</w:t>
            </w:r>
            <w:r>
              <w:rPr>
                <w:rFonts w:ascii="Times New Roman" w:eastAsia="Times New Roman"/>
                <w:spacing w:val="59"/>
                <w:sz w:val="24"/>
              </w:rPr>
              <w:t xml:space="preserve"> </w:t>
            </w:r>
            <w:r>
              <w:rPr>
                <w:spacing w:val="-13"/>
                <w:sz w:val="24"/>
              </w:rPr>
              <w:t xml:space="preserve">级的，从处罚决定生效之日起， </w:t>
            </w:r>
            <w:r>
              <w:rPr>
                <w:sz w:val="24"/>
              </w:rPr>
              <w:t>一年内不得参加投标活动。</w:t>
            </w:r>
          </w:p>
          <w:p>
            <w:pPr>
              <w:pStyle w:val="17"/>
              <w:spacing w:before="119"/>
              <w:ind w:left="107"/>
              <w:rPr>
                <w:sz w:val="24"/>
              </w:rPr>
            </w:pPr>
            <w:r>
              <w:rPr>
                <w:sz w:val="24"/>
              </w:rPr>
              <w:t>供应商须提供青海省工程建设监管和信用管理平台截图</w:t>
            </w:r>
          </w:p>
        </w:tc>
      </w:tr>
    </w:tbl>
    <w:p>
      <w:pPr>
        <w:spacing w:after="0"/>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65" o:spid="_x0000_s1065" o:spt="20" style="position:absolute;left:0pt;margin-left:62.4pt;margin-top:12.25pt;height:0pt;width:400.4pt;mso-position-horizontal-relative:page;z-index:251715584;mso-width-relative:page;mso-height-relative:page;" stroked="t" coordsize="21600,21600">
            <v:path arrowok="t"/>
            <v:fill focussize="0,0"/>
            <v:stroke weight="0.36pt" color="#000000"/>
            <v:imagedata o:title=""/>
            <o:lock v:ext="edit"/>
          </v:line>
        </w:pict>
      </w:r>
      <w:bookmarkStart w:id="120" w:name="第一部分 合同协议书"/>
      <w:bookmarkEnd w:id="120"/>
      <w:r>
        <w:rPr>
          <w:rFonts w:hint="eastAsia"/>
          <w:sz w:val="18"/>
          <w:lang w:eastAsia="zh-CN"/>
        </w:rPr>
        <w:t xml:space="preserve"> </w:t>
      </w:r>
    </w:p>
    <w:p>
      <w:pPr>
        <w:pStyle w:val="8"/>
        <w:rPr>
          <w:sz w:val="20"/>
        </w:rPr>
      </w:pPr>
    </w:p>
    <w:p>
      <w:pPr>
        <w:pStyle w:val="8"/>
        <w:spacing w:before="1"/>
        <w:rPr>
          <w:sz w:val="27"/>
        </w:rPr>
      </w:pPr>
    </w:p>
    <w:p>
      <w:pPr>
        <w:pStyle w:val="4"/>
        <w:spacing w:before="49"/>
        <w:outlineLvl w:val="0"/>
      </w:pPr>
      <w:bookmarkStart w:id="121" w:name="_Toc6272"/>
      <w:r>
        <w:t>第四章 合同条款及格式</w:t>
      </w:r>
      <w:bookmarkEnd w:id="121"/>
    </w:p>
    <w:p>
      <w:pPr>
        <w:pStyle w:val="8"/>
        <w:spacing w:before="4"/>
        <w:rPr>
          <w:sz w:val="47"/>
        </w:rPr>
      </w:pPr>
    </w:p>
    <w:p>
      <w:pPr>
        <w:pStyle w:val="8"/>
        <w:spacing w:before="1"/>
        <w:ind w:right="362"/>
        <w:jc w:val="center"/>
      </w:pPr>
      <w:r>
        <w:t>（GF—2013—0201）</w:t>
      </w:r>
    </w:p>
    <w:p>
      <w:pPr>
        <w:pStyle w:val="8"/>
      </w:pPr>
    </w:p>
    <w:p>
      <w:pPr>
        <w:pStyle w:val="8"/>
      </w:pPr>
    </w:p>
    <w:p>
      <w:pPr>
        <w:pStyle w:val="8"/>
      </w:pPr>
    </w:p>
    <w:p>
      <w:pPr>
        <w:pStyle w:val="8"/>
      </w:pPr>
    </w:p>
    <w:p>
      <w:pPr>
        <w:pStyle w:val="8"/>
      </w:pPr>
    </w:p>
    <w:p>
      <w:pPr>
        <w:pStyle w:val="8"/>
      </w:pPr>
    </w:p>
    <w:p>
      <w:pPr>
        <w:pStyle w:val="2"/>
        <w:ind w:right="360"/>
      </w:pPr>
      <w:r>
        <w:t>建设工程施工合同</w:t>
      </w:r>
    </w:p>
    <w:p>
      <w:pPr>
        <w:spacing w:before="347"/>
        <w:ind w:left="0" w:right="358" w:firstLine="0"/>
        <w:jc w:val="center"/>
        <w:rPr>
          <w:b/>
          <w:sz w:val="52"/>
        </w:rPr>
      </w:pPr>
      <w:r>
        <w:rPr>
          <w:b/>
          <w:w w:val="95"/>
          <w:sz w:val="52"/>
        </w:rPr>
        <w:t>（示范文本）</w:t>
      </w: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tabs>
          <w:tab w:val="left" w:pos="6925"/>
        </w:tabs>
        <w:spacing w:before="188" w:line="288" w:lineRule="auto"/>
        <w:ind w:left="3486" w:right="2978" w:firstLine="321"/>
        <w:jc w:val="left"/>
        <w:rPr>
          <w:b/>
          <w:sz w:val="32"/>
        </w:rPr>
      </w:pPr>
      <w:r>
        <w:rPr>
          <w:b/>
          <w:sz w:val="32"/>
        </w:rPr>
        <w:t>住房和城乡建设部</w:t>
      </w:r>
      <w:r>
        <w:rPr>
          <w:b/>
          <w:sz w:val="32"/>
        </w:rPr>
        <w:tab/>
      </w:r>
      <w:r>
        <w:rPr>
          <w:b/>
          <w:position w:val="-12"/>
          <w:sz w:val="32"/>
        </w:rPr>
        <w:t>制</w:t>
      </w:r>
      <w:r>
        <w:rPr>
          <w:b/>
          <w:spacing w:val="-16"/>
          <w:position w:val="-12"/>
          <w:sz w:val="32"/>
        </w:rPr>
        <w:t>定</w:t>
      </w:r>
      <w:r>
        <w:rPr>
          <w:b/>
          <w:sz w:val="32"/>
        </w:rPr>
        <w:t>国家工商行政管理总局</w:t>
      </w:r>
    </w:p>
    <w:p>
      <w:pPr>
        <w:spacing w:after="0" w:line="288" w:lineRule="auto"/>
        <w:jc w:val="left"/>
        <w:rPr>
          <w:sz w:val="32"/>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66" o:spid="_x0000_s1066" o:spt="20" style="position:absolute;left:0pt;margin-left:62.4pt;margin-top:12.25pt;height:0pt;width:400.4pt;mso-position-horizontal-relative:page;z-index:25171763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rPr>
          <w:sz w:val="20"/>
        </w:rPr>
      </w:pPr>
    </w:p>
    <w:p>
      <w:pPr>
        <w:pStyle w:val="8"/>
        <w:spacing w:before="9"/>
        <w:rPr>
          <w:sz w:val="25"/>
        </w:rPr>
      </w:pPr>
    </w:p>
    <w:p>
      <w:pPr>
        <w:pStyle w:val="7"/>
        <w:spacing w:before="67"/>
        <w:ind w:left="426" w:right="362"/>
        <w:jc w:val="center"/>
        <w:outlineLvl w:val="1"/>
      </w:pPr>
      <w:r>
        <w:t>第一部分 合同协议书</w:t>
      </w:r>
    </w:p>
    <w:p>
      <w:pPr>
        <w:pStyle w:val="8"/>
        <w:rPr>
          <w:b/>
        </w:rPr>
      </w:pPr>
    </w:p>
    <w:p>
      <w:pPr>
        <w:tabs>
          <w:tab w:val="left" w:pos="6703"/>
        </w:tabs>
        <w:spacing w:before="184" w:line="362" w:lineRule="auto"/>
        <w:ind w:left="388" w:right="3841" w:firstLine="0"/>
        <w:jc w:val="left"/>
        <w:rPr>
          <w:rFonts w:ascii="Times New Roman" w:eastAsia="Times New Roman"/>
          <w:b/>
          <w:sz w:val="24"/>
        </w:rPr>
      </w:pPr>
      <w:r>
        <w:rPr>
          <w:b/>
          <w:w w:val="95"/>
          <w:sz w:val="24"/>
        </w:rPr>
        <w:t>发包人（全称）：</w:t>
      </w:r>
      <w:r>
        <w:rPr>
          <w:b/>
          <w:w w:val="95"/>
          <w:sz w:val="24"/>
          <w:u w:val="single"/>
        </w:rPr>
        <w:tab/>
      </w:r>
      <w:r>
        <w:rPr>
          <w:b/>
          <w:w w:val="95"/>
          <w:sz w:val="24"/>
          <w:u w:val="single"/>
        </w:rPr>
        <w:t xml:space="preserve">                                     </w:t>
      </w:r>
      <w:r>
        <w:rPr>
          <w:b/>
          <w:w w:val="95"/>
          <w:sz w:val="24"/>
        </w:rPr>
        <w:t>承包人（全称）：</w:t>
      </w:r>
      <w:r>
        <w:rPr>
          <w:rFonts w:ascii="Times New Roman" w:eastAsia="Times New Roman"/>
          <w:b/>
          <w:sz w:val="24"/>
          <w:u w:val="single"/>
        </w:rPr>
        <w:t xml:space="preserve"> </w:t>
      </w:r>
      <w:r>
        <w:rPr>
          <w:rFonts w:ascii="Times New Roman" w:eastAsia="Times New Roman"/>
          <w:b/>
          <w:sz w:val="24"/>
          <w:u w:val="single"/>
        </w:rPr>
        <w:tab/>
      </w:r>
    </w:p>
    <w:p>
      <w:pPr>
        <w:pStyle w:val="8"/>
        <w:spacing w:before="5" w:line="362" w:lineRule="auto"/>
        <w:ind w:left="388" w:right="624"/>
      </w:pPr>
      <w:r>
        <w:rPr>
          <w:spacing w:val="-9"/>
        </w:rPr>
        <w:t>根据《中华人民共和国合同法》、《中华人民共和国建筑法》及有关法律规定，遵循平等、</w:t>
      </w:r>
      <w:r>
        <w:t>自愿、公平和诚实信用的原则，双方就</w:t>
      </w:r>
    </w:p>
    <w:p>
      <w:pPr>
        <w:pStyle w:val="8"/>
        <w:spacing w:before="5" w:line="362" w:lineRule="auto"/>
        <w:ind w:left="388" w:right="4638"/>
      </w:pPr>
      <w:r>
        <w:t>工程施工及有关事项协商一致，共同达成如下协议： 一、工程概况</w:t>
      </w:r>
    </w:p>
    <w:p>
      <w:pPr>
        <w:pStyle w:val="16"/>
        <w:numPr>
          <w:ilvl w:val="0"/>
          <w:numId w:val="31"/>
        </w:numPr>
        <w:tabs>
          <w:tab w:val="left" w:pos="629"/>
          <w:tab w:val="left" w:pos="6267"/>
        </w:tabs>
        <w:spacing w:before="5" w:after="0" w:line="240" w:lineRule="auto"/>
        <w:ind w:left="629" w:right="0" w:hanging="241"/>
        <w:jc w:val="left"/>
        <w:rPr>
          <w:sz w:val="24"/>
        </w:rPr>
      </w:pPr>
      <w:r>
        <w:rPr>
          <w:sz w:val="24"/>
        </w:rPr>
        <w:t>工程名称：</w:t>
      </w:r>
      <w:r>
        <w:rPr>
          <w:sz w:val="24"/>
          <w:u w:val="single"/>
        </w:rPr>
        <w:t xml:space="preserve"> </w:t>
      </w:r>
      <w:r>
        <w:rPr>
          <w:sz w:val="24"/>
          <w:u w:val="single"/>
        </w:rPr>
        <w:tab/>
      </w:r>
      <w:r>
        <w:rPr>
          <w:sz w:val="24"/>
        </w:rPr>
        <w:t>。</w:t>
      </w:r>
    </w:p>
    <w:p>
      <w:pPr>
        <w:pStyle w:val="16"/>
        <w:numPr>
          <w:ilvl w:val="0"/>
          <w:numId w:val="31"/>
        </w:numPr>
        <w:tabs>
          <w:tab w:val="left" w:pos="629"/>
          <w:tab w:val="left" w:pos="6267"/>
        </w:tabs>
        <w:spacing w:before="158" w:after="0" w:line="240" w:lineRule="auto"/>
        <w:ind w:left="629" w:right="0" w:hanging="241"/>
        <w:jc w:val="left"/>
        <w:rPr>
          <w:sz w:val="24"/>
        </w:rPr>
      </w:pPr>
      <w:r>
        <w:rPr>
          <w:sz w:val="24"/>
        </w:rPr>
        <w:t>工程地点：</w:t>
      </w:r>
      <w:r>
        <w:rPr>
          <w:sz w:val="24"/>
          <w:u w:val="single"/>
        </w:rPr>
        <w:t xml:space="preserve"> </w:t>
      </w:r>
      <w:r>
        <w:rPr>
          <w:sz w:val="24"/>
          <w:u w:val="single"/>
        </w:rPr>
        <w:tab/>
      </w:r>
      <w:r>
        <w:rPr>
          <w:sz w:val="24"/>
        </w:rPr>
        <w:t>。</w:t>
      </w:r>
    </w:p>
    <w:p>
      <w:pPr>
        <w:pStyle w:val="16"/>
        <w:numPr>
          <w:ilvl w:val="0"/>
          <w:numId w:val="31"/>
        </w:numPr>
        <w:tabs>
          <w:tab w:val="left" w:pos="629"/>
          <w:tab w:val="left" w:pos="6267"/>
        </w:tabs>
        <w:spacing w:before="160" w:after="0" w:line="240" w:lineRule="auto"/>
        <w:ind w:left="629" w:right="0" w:hanging="241"/>
        <w:jc w:val="left"/>
        <w:rPr>
          <w:sz w:val="24"/>
        </w:rPr>
      </w:pPr>
      <w:r>
        <w:rPr>
          <w:sz w:val="24"/>
        </w:rPr>
        <w:t>工程立项批准文号：</w:t>
      </w:r>
      <w:r>
        <w:rPr>
          <w:sz w:val="24"/>
          <w:u w:val="single"/>
        </w:rPr>
        <w:t xml:space="preserve"> </w:t>
      </w:r>
      <w:r>
        <w:rPr>
          <w:sz w:val="24"/>
          <w:u w:val="single"/>
        </w:rPr>
        <w:tab/>
      </w:r>
      <w:r>
        <w:rPr>
          <w:sz w:val="24"/>
        </w:rPr>
        <w:t>。</w:t>
      </w:r>
    </w:p>
    <w:p>
      <w:pPr>
        <w:pStyle w:val="16"/>
        <w:numPr>
          <w:ilvl w:val="0"/>
          <w:numId w:val="31"/>
        </w:numPr>
        <w:tabs>
          <w:tab w:val="left" w:pos="629"/>
          <w:tab w:val="left" w:pos="6267"/>
        </w:tabs>
        <w:spacing w:before="161" w:after="0" w:line="240" w:lineRule="auto"/>
        <w:ind w:left="629" w:right="0" w:hanging="241"/>
        <w:jc w:val="left"/>
        <w:rPr>
          <w:sz w:val="24"/>
        </w:rPr>
      </w:pPr>
      <w:r>
        <w:rPr>
          <w:sz w:val="24"/>
        </w:rPr>
        <w:t>资金来源：</w:t>
      </w:r>
      <w:r>
        <w:rPr>
          <w:sz w:val="24"/>
          <w:u w:val="single"/>
        </w:rPr>
        <w:t xml:space="preserve"> </w:t>
      </w:r>
      <w:r>
        <w:rPr>
          <w:sz w:val="24"/>
          <w:u w:val="single"/>
        </w:rPr>
        <w:tab/>
      </w:r>
      <w:r>
        <w:rPr>
          <w:sz w:val="24"/>
        </w:rPr>
        <w:t>。</w:t>
      </w:r>
    </w:p>
    <w:p>
      <w:pPr>
        <w:pStyle w:val="16"/>
        <w:numPr>
          <w:ilvl w:val="0"/>
          <w:numId w:val="31"/>
        </w:numPr>
        <w:tabs>
          <w:tab w:val="left" w:pos="629"/>
          <w:tab w:val="left" w:pos="6267"/>
        </w:tabs>
        <w:spacing w:before="158" w:after="0" w:line="364" w:lineRule="auto"/>
        <w:ind w:left="388" w:right="3978" w:firstLine="0"/>
        <w:jc w:val="both"/>
        <w:rPr>
          <w:sz w:val="24"/>
        </w:rPr>
      </w:pPr>
      <w:r>
        <w:rPr>
          <w:sz w:val="24"/>
        </w:rPr>
        <w:t>工程内容：</w:t>
      </w:r>
      <w:r>
        <w:rPr>
          <w:sz w:val="24"/>
          <w:u w:val="single"/>
        </w:rPr>
        <w:t xml:space="preserve"> </w:t>
      </w:r>
      <w:r>
        <w:rPr>
          <w:sz w:val="24"/>
          <w:u w:val="single"/>
        </w:rPr>
        <w:tab/>
      </w:r>
      <w:r>
        <w:rPr>
          <w:sz w:val="24"/>
        </w:rPr>
        <w:t>。群体工程应附《承包人承揽工程项目一览表》（附件</w:t>
      </w:r>
      <w:r>
        <w:rPr>
          <w:spacing w:val="-60"/>
          <w:sz w:val="24"/>
        </w:rPr>
        <w:t xml:space="preserve"> </w:t>
      </w:r>
      <w:r>
        <w:rPr>
          <w:sz w:val="24"/>
        </w:rPr>
        <w:t>1）</w:t>
      </w:r>
      <w:r>
        <w:rPr>
          <w:spacing w:val="-19"/>
          <w:sz w:val="24"/>
        </w:rPr>
        <w:t>。</w:t>
      </w:r>
      <w:r>
        <w:rPr>
          <w:sz w:val="24"/>
        </w:rPr>
        <w:t>6.工程承包范围：</w:t>
      </w:r>
    </w:p>
    <w:p>
      <w:pPr>
        <w:pStyle w:val="8"/>
        <w:spacing w:before="3"/>
        <w:rPr>
          <w:sz w:val="17"/>
        </w:rPr>
      </w:pPr>
      <w:r>
        <w:pict>
          <v:line id="_x0000_s1067" o:spid="_x0000_s1067" o:spt="20" style="position:absolute;left:0pt;margin-left:62.4pt;margin-top:13.3pt;height:0pt;width:293.95pt;mso-position-horizontal-relative:page;mso-wrap-distance-bottom:0pt;mso-wrap-distance-top:0pt;z-index:-251599872;mso-width-relative:page;mso-height-relative:page;" stroked="t" coordsize="21600,21600">
            <v:path arrowok="t"/>
            <v:fill focussize="0,0"/>
            <v:stroke weight="0.6pt" color="#000000"/>
            <v:imagedata o:title=""/>
            <o:lock v:ext="edit"/>
            <w10:wrap type="topAndBottom"/>
          </v:line>
        </w:pict>
      </w:r>
    </w:p>
    <w:p>
      <w:pPr>
        <w:pStyle w:val="8"/>
        <w:spacing w:before="7"/>
        <w:rPr>
          <w:sz w:val="7"/>
        </w:rPr>
      </w:pPr>
    </w:p>
    <w:p>
      <w:pPr>
        <w:pStyle w:val="8"/>
        <w:tabs>
          <w:tab w:val="left" w:pos="6267"/>
        </w:tabs>
        <w:spacing w:before="67" w:line="364" w:lineRule="auto"/>
        <w:ind w:left="388" w:right="4038"/>
      </w:pPr>
      <w:r>
        <w:rPr>
          <w:rFonts w:ascii="Times New Roman" w:eastAsia="Times New Roman"/>
          <w:u w:val="single"/>
        </w:rPr>
        <w:t xml:space="preserve"> </w:t>
      </w:r>
      <w:r>
        <w:rPr>
          <w:rFonts w:ascii="Times New Roman" w:eastAsia="Times New Roman"/>
          <w:u w:val="single"/>
        </w:rPr>
        <w:tab/>
      </w:r>
      <w:r>
        <w:rPr>
          <w:spacing w:val="-18"/>
        </w:rPr>
        <w:t>。</w:t>
      </w:r>
      <w:r>
        <w:t>二、合同工期</w:t>
      </w:r>
    </w:p>
    <w:p>
      <w:pPr>
        <w:pStyle w:val="8"/>
        <w:tabs>
          <w:tab w:val="left" w:pos="3267"/>
          <w:tab w:val="left" w:pos="4227"/>
          <w:tab w:val="left" w:pos="5187"/>
        </w:tabs>
        <w:spacing w:line="364" w:lineRule="auto"/>
        <w:ind w:left="388" w:right="4878"/>
      </w:pPr>
      <w:r>
        <w:t>计划开工日期：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r>
        <w:rPr>
          <w:spacing w:val="-18"/>
        </w:rPr>
        <w:t>。</w:t>
      </w:r>
      <w:r>
        <w:t>计划完工日期：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r>
        <w:rPr>
          <w:spacing w:val="-18"/>
        </w:rPr>
        <w:t>。</w:t>
      </w:r>
    </w:p>
    <w:p>
      <w:pPr>
        <w:pStyle w:val="8"/>
        <w:tabs>
          <w:tab w:val="left" w:pos="3507"/>
        </w:tabs>
        <w:spacing w:line="364" w:lineRule="auto"/>
        <w:ind w:left="388" w:right="798"/>
      </w:pPr>
      <w:r>
        <w:t>工期总日历天数：</w:t>
      </w:r>
      <w:r>
        <w:rPr>
          <w:u w:val="single"/>
        </w:rPr>
        <w:t xml:space="preserve"> </w:t>
      </w:r>
      <w:r>
        <w:rPr>
          <w:u w:val="single"/>
        </w:rPr>
        <w:tab/>
      </w:r>
      <w:r>
        <w:t>天。工期总日历天数与根据前述计划开完工日期计算的工</w:t>
      </w:r>
      <w:r>
        <w:rPr>
          <w:spacing w:val="-18"/>
        </w:rPr>
        <w:t>期</w:t>
      </w:r>
      <w:r>
        <w:t>天数不一致的，以工期总日历天数为准。</w:t>
      </w:r>
    </w:p>
    <w:p>
      <w:pPr>
        <w:pStyle w:val="8"/>
        <w:spacing w:line="306" w:lineRule="exact"/>
        <w:ind w:left="388"/>
        <w:outlineLvl w:val="2"/>
      </w:pPr>
      <w:r>
        <w:t>三、质量标准</w:t>
      </w:r>
    </w:p>
    <w:p>
      <w:pPr>
        <w:pStyle w:val="8"/>
        <w:tabs>
          <w:tab w:val="left" w:pos="5907"/>
        </w:tabs>
        <w:spacing w:before="158" w:line="362" w:lineRule="auto"/>
        <w:ind w:left="388" w:right="3918"/>
      </w:pPr>
      <w:r>
        <w:t>工程质量符合</w:t>
      </w:r>
      <w:r>
        <w:rPr>
          <w:u w:val="single"/>
        </w:rPr>
        <w:t xml:space="preserve"> </w:t>
      </w:r>
      <w:r>
        <w:rPr>
          <w:u w:val="single"/>
        </w:rPr>
        <w:tab/>
      </w:r>
      <w:r>
        <w:t>标准</w:t>
      </w:r>
      <w:r>
        <w:rPr>
          <w:spacing w:val="-18"/>
        </w:rPr>
        <w:t>。</w:t>
      </w:r>
      <w:r>
        <w:t>四、签约合同价与合同价格形式</w:t>
      </w:r>
    </w:p>
    <w:p>
      <w:pPr>
        <w:pStyle w:val="16"/>
        <w:numPr>
          <w:ilvl w:val="0"/>
          <w:numId w:val="32"/>
        </w:numPr>
        <w:tabs>
          <w:tab w:val="left" w:pos="629"/>
        </w:tabs>
        <w:spacing w:before="5" w:after="0" w:line="240" w:lineRule="auto"/>
        <w:ind w:left="629" w:right="0" w:hanging="241"/>
        <w:jc w:val="left"/>
        <w:rPr>
          <w:sz w:val="24"/>
        </w:rPr>
      </w:pPr>
      <w:r>
        <w:rPr>
          <w:sz w:val="24"/>
        </w:rPr>
        <w:t>签约合同价为：</w:t>
      </w:r>
    </w:p>
    <w:p>
      <w:pPr>
        <w:pStyle w:val="8"/>
        <w:spacing w:before="160" w:line="362" w:lineRule="auto"/>
        <w:ind w:left="388" w:right="7638"/>
      </w:pPr>
      <w:r>
        <w:t>人民币（大写）(¥元)； 其中：</w:t>
      </w:r>
    </w:p>
    <w:p>
      <w:pPr>
        <w:pStyle w:val="16"/>
        <w:numPr>
          <w:ilvl w:val="0"/>
          <w:numId w:val="33"/>
        </w:numPr>
        <w:tabs>
          <w:tab w:val="left" w:pos="989"/>
        </w:tabs>
        <w:spacing w:before="3" w:after="0" w:line="364" w:lineRule="auto"/>
        <w:ind w:left="388" w:right="7518" w:firstLine="0"/>
        <w:jc w:val="left"/>
        <w:rPr>
          <w:sz w:val="24"/>
        </w:rPr>
      </w:pPr>
      <w:r>
        <w:rPr>
          <w:sz w:val="24"/>
        </w:rPr>
        <w:t>安全文明施工费： 人民币（大写） (¥</w:t>
      </w:r>
      <w:r>
        <w:rPr>
          <w:spacing w:val="-7"/>
          <w:sz w:val="24"/>
        </w:rPr>
        <w:t>元)；</w:t>
      </w:r>
    </w:p>
    <w:p>
      <w:pPr>
        <w:spacing w:after="0" w:line="364"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68" o:spid="_x0000_s1068" o:spt="20" style="position:absolute;left:0pt;margin-left:62.4pt;margin-top:12.25pt;height:0pt;width:400.4pt;mso-position-horizontal-relative:page;z-index:25171865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0"/>
          <w:numId w:val="33"/>
        </w:numPr>
        <w:tabs>
          <w:tab w:val="left" w:pos="989"/>
        </w:tabs>
        <w:spacing w:before="67" w:after="0" w:line="362" w:lineRule="auto"/>
        <w:ind w:left="388" w:right="6438" w:firstLine="0"/>
        <w:jc w:val="left"/>
        <w:rPr>
          <w:sz w:val="24"/>
        </w:rPr>
      </w:pPr>
      <w:r>
        <w:rPr>
          <w:spacing w:val="-2"/>
          <w:sz w:val="24"/>
        </w:rPr>
        <w:t xml:space="preserve">材料和工程设备暂估价金额： </w:t>
      </w:r>
      <w:r>
        <w:rPr>
          <w:sz w:val="24"/>
        </w:rPr>
        <w:t>人民币（大写） (¥元)；</w:t>
      </w:r>
    </w:p>
    <w:p>
      <w:pPr>
        <w:pStyle w:val="16"/>
        <w:numPr>
          <w:ilvl w:val="0"/>
          <w:numId w:val="33"/>
        </w:numPr>
        <w:tabs>
          <w:tab w:val="left" w:pos="989"/>
        </w:tabs>
        <w:spacing w:before="5" w:after="0" w:line="362" w:lineRule="auto"/>
        <w:ind w:left="388" w:right="7158" w:firstLine="0"/>
        <w:jc w:val="left"/>
        <w:rPr>
          <w:sz w:val="24"/>
        </w:rPr>
      </w:pPr>
      <w:r>
        <w:rPr>
          <w:spacing w:val="-2"/>
          <w:sz w:val="24"/>
        </w:rPr>
        <w:t xml:space="preserve">专业工程暂估价金额： </w:t>
      </w:r>
      <w:r>
        <w:rPr>
          <w:sz w:val="24"/>
        </w:rPr>
        <w:t>人民币（大写） (¥元)；</w:t>
      </w:r>
    </w:p>
    <w:p>
      <w:pPr>
        <w:pStyle w:val="16"/>
        <w:numPr>
          <w:ilvl w:val="0"/>
          <w:numId w:val="33"/>
        </w:numPr>
        <w:tabs>
          <w:tab w:val="left" w:pos="989"/>
        </w:tabs>
        <w:spacing w:before="5" w:after="0" w:line="240" w:lineRule="auto"/>
        <w:ind w:left="989" w:right="0" w:hanging="601"/>
        <w:jc w:val="left"/>
        <w:rPr>
          <w:sz w:val="24"/>
        </w:rPr>
      </w:pPr>
      <w:r>
        <w:rPr>
          <w:sz w:val="24"/>
        </w:rPr>
        <w:t>暂列金额：</w:t>
      </w:r>
    </w:p>
    <w:p>
      <w:pPr>
        <w:pStyle w:val="8"/>
        <w:spacing w:before="158"/>
        <w:ind w:left="388"/>
      </w:pPr>
      <w:r>
        <w:t>人民币（大写） (¥元)。</w:t>
      </w:r>
    </w:p>
    <w:p>
      <w:pPr>
        <w:pStyle w:val="16"/>
        <w:numPr>
          <w:ilvl w:val="0"/>
          <w:numId w:val="32"/>
        </w:numPr>
        <w:tabs>
          <w:tab w:val="left" w:pos="629"/>
          <w:tab w:val="left" w:pos="6147"/>
        </w:tabs>
        <w:spacing w:before="160" w:after="0" w:line="364" w:lineRule="auto"/>
        <w:ind w:left="388" w:right="4158" w:firstLine="0"/>
        <w:jc w:val="left"/>
        <w:rPr>
          <w:sz w:val="24"/>
        </w:rPr>
      </w:pPr>
      <w:r>
        <w:rPr>
          <w:sz w:val="24"/>
        </w:rPr>
        <w:t>合同价格形式：</w:t>
      </w:r>
      <w:r>
        <w:rPr>
          <w:sz w:val="24"/>
          <w:u w:val="single"/>
        </w:rPr>
        <w:t xml:space="preserve"> </w:t>
      </w:r>
      <w:r>
        <w:rPr>
          <w:sz w:val="24"/>
          <w:u w:val="single"/>
        </w:rPr>
        <w:tab/>
      </w:r>
      <w:r>
        <w:rPr>
          <w:spacing w:val="-18"/>
          <w:sz w:val="24"/>
        </w:rPr>
        <w:t>。</w:t>
      </w:r>
      <w:r>
        <w:rPr>
          <w:sz w:val="24"/>
        </w:rPr>
        <w:t>五、项目经理</w:t>
      </w:r>
    </w:p>
    <w:p>
      <w:pPr>
        <w:pStyle w:val="8"/>
        <w:tabs>
          <w:tab w:val="left" w:pos="6027"/>
        </w:tabs>
        <w:spacing w:line="362" w:lineRule="auto"/>
        <w:ind w:left="388" w:right="4278"/>
      </w:pPr>
      <w:r>
        <w:t>承包人项目经理：</w:t>
      </w:r>
      <w:r>
        <w:rPr>
          <w:u w:val="single"/>
        </w:rPr>
        <w:t xml:space="preserve"> </w:t>
      </w:r>
      <w:r>
        <w:rPr>
          <w:u w:val="single"/>
        </w:rPr>
        <w:tab/>
      </w:r>
      <w:r>
        <w:rPr>
          <w:spacing w:val="-18"/>
        </w:rPr>
        <w:t>。</w:t>
      </w:r>
      <w:r>
        <w:t>六、合同文件构成</w:t>
      </w:r>
    </w:p>
    <w:p>
      <w:pPr>
        <w:pStyle w:val="8"/>
        <w:spacing w:before="4"/>
        <w:ind w:left="388"/>
      </w:pPr>
      <w:r>
        <w:t>本协议书与下列文件一起构成合同文件：</w:t>
      </w:r>
    </w:p>
    <w:p>
      <w:pPr>
        <w:pStyle w:val="16"/>
        <w:numPr>
          <w:ilvl w:val="0"/>
          <w:numId w:val="34"/>
        </w:numPr>
        <w:tabs>
          <w:tab w:val="left" w:pos="989"/>
        </w:tabs>
        <w:spacing w:before="161" w:after="0" w:line="240" w:lineRule="auto"/>
        <w:ind w:left="989" w:right="0" w:hanging="601"/>
        <w:jc w:val="left"/>
        <w:rPr>
          <w:sz w:val="24"/>
        </w:rPr>
      </w:pPr>
      <w:r>
        <w:rPr>
          <w:sz w:val="24"/>
        </w:rPr>
        <w:t>成交通知书（如果有）；</w:t>
      </w:r>
    </w:p>
    <w:p>
      <w:pPr>
        <w:pStyle w:val="16"/>
        <w:numPr>
          <w:ilvl w:val="0"/>
          <w:numId w:val="34"/>
        </w:numPr>
        <w:tabs>
          <w:tab w:val="left" w:pos="989"/>
        </w:tabs>
        <w:spacing w:before="158" w:after="0" w:line="240" w:lineRule="auto"/>
        <w:ind w:left="989" w:right="0" w:hanging="601"/>
        <w:jc w:val="left"/>
        <w:rPr>
          <w:sz w:val="24"/>
        </w:rPr>
      </w:pPr>
      <w:r>
        <w:rPr>
          <w:sz w:val="24"/>
        </w:rPr>
        <w:t>响应函及其附录（如果有）；</w:t>
      </w:r>
    </w:p>
    <w:p>
      <w:pPr>
        <w:pStyle w:val="16"/>
        <w:numPr>
          <w:ilvl w:val="0"/>
          <w:numId w:val="34"/>
        </w:numPr>
        <w:tabs>
          <w:tab w:val="left" w:pos="989"/>
        </w:tabs>
        <w:spacing w:before="160" w:after="0" w:line="240" w:lineRule="auto"/>
        <w:ind w:left="989" w:right="0" w:hanging="601"/>
        <w:jc w:val="left"/>
        <w:rPr>
          <w:sz w:val="24"/>
        </w:rPr>
      </w:pPr>
      <w:r>
        <w:rPr>
          <w:sz w:val="24"/>
        </w:rPr>
        <w:t>专用合同条款及其附件；</w:t>
      </w:r>
    </w:p>
    <w:p>
      <w:pPr>
        <w:pStyle w:val="16"/>
        <w:numPr>
          <w:ilvl w:val="0"/>
          <w:numId w:val="34"/>
        </w:numPr>
        <w:tabs>
          <w:tab w:val="left" w:pos="989"/>
        </w:tabs>
        <w:spacing w:before="158" w:after="0" w:line="240" w:lineRule="auto"/>
        <w:ind w:left="989" w:right="0" w:hanging="601"/>
        <w:jc w:val="left"/>
        <w:rPr>
          <w:sz w:val="24"/>
        </w:rPr>
      </w:pPr>
      <w:r>
        <w:rPr>
          <w:sz w:val="24"/>
        </w:rPr>
        <w:t>通用合同条款；</w:t>
      </w:r>
    </w:p>
    <w:p>
      <w:pPr>
        <w:pStyle w:val="16"/>
        <w:numPr>
          <w:ilvl w:val="0"/>
          <w:numId w:val="34"/>
        </w:numPr>
        <w:tabs>
          <w:tab w:val="left" w:pos="989"/>
        </w:tabs>
        <w:spacing w:before="161" w:after="0" w:line="240" w:lineRule="auto"/>
        <w:ind w:left="989" w:right="0" w:hanging="601"/>
        <w:jc w:val="left"/>
        <w:rPr>
          <w:sz w:val="24"/>
        </w:rPr>
      </w:pPr>
      <w:r>
        <w:rPr>
          <w:sz w:val="24"/>
        </w:rPr>
        <w:t>技术标准和要求；</w:t>
      </w:r>
    </w:p>
    <w:p>
      <w:pPr>
        <w:pStyle w:val="16"/>
        <w:numPr>
          <w:ilvl w:val="0"/>
          <w:numId w:val="34"/>
        </w:numPr>
        <w:tabs>
          <w:tab w:val="left" w:pos="989"/>
        </w:tabs>
        <w:spacing w:before="158" w:after="0" w:line="240" w:lineRule="auto"/>
        <w:ind w:left="989" w:right="0" w:hanging="601"/>
        <w:jc w:val="left"/>
        <w:rPr>
          <w:sz w:val="24"/>
        </w:rPr>
      </w:pPr>
      <w:r>
        <w:rPr>
          <w:sz w:val="24"/>
        </w:rPr>
        <w:t>图纸（如有）；</w:t>
      </w:r>
    </w:p>
    <w:p>
      <w:pPr>
        <w:pStyle w:val="16"/>
        <w:numPr>
          <w:ilvl w:val="0"/>
          <w:numId w:val="34"/>
        </w:numPr>
        <w:tabs>
          <w:tab w:val="left" w:pos="989"/>
        </w:tabs>
        <w:spacing w:before="160" w:after="0" w:line="240" w:lineRule="auto"/>
        <w:ind w:left="989" w:right="0" w:hanging="601"/>
        <w:jc w:val="left"/>
        <w:rPr>
          <w:sz w:val="24"/>
        </w:rPr>
      </w:pPr>
      <w:r>
        <w:rPr>
          <w:sz w:val="24"/>
        </w:rPr>
        <w:t>已标价工程量清单或预算书；</w:t>
      </w:r>
    </w:p>
    <w:p>
      <w:pPr>
        <w:pStyle w:val="16"/>
        <w:numPr>
          <w:ilvl w:val="0"/>
          <w:numId w:val="34"/>
        </w:numPr>
        <w:tabs>
          <w:tab w:val="left" w:pos="989"/>
        </w:tabs>
        <w:spacing w:before="158" w:after="0" w:line="240" w:lineRule="auto"/>
        <w:ind w:left="989" w:right="0" w:hanging="601"/>
        <w:jc w:val="left"/>
        <w:rPr>
          <w:sz w:val="24"/>
        </w:rPr>
      </w:pPr>
      <w:r>
        <w:rPr>
          <w:sz w:val="24"/>
        </w:rPr>
        <w:t>其他合同文件。</w:t>
      </w:r>
    </w:p>
    <w:p>
      <w:pPr>
        <w:pStyle w:val="8"/>
        <w:spacing w:before="161"/>
        <w:ind w:left="868"/>
      </w:pPr>
      <w:r>
        <w:t>在合同订立及履行过程中形成的与合同有关的文件均构成合同文件组成部分。</w:t>
      </w:r>
    </w:p>
    <w:p>
      <w:pPr>
        <w:pStyle w:val="8"/>
        <w:spacing w:before="158" w:line="364" w:lineRule="auto"/>
        <w:ind w:left="388" w:right="798" w:firstLine="480"/>
        <w:jc w:val="both"/>
      </w:pPr>
      <w:r>
        <w:t>上述各项合同文件包括合同当事人就该项合同文件所作出的补充和修改，属于同一类内容的文件，应以最新签署的为准。专用合同条款及其附件须经合同当事人签字或盖章。七、承诺</w:t>
      </w:r>
    </w:p>
    <w:p>
      <w:pPr>
        <w:pStyle w:val="16"/>
        <w:numPr>
          <w:ilvl w:val="1"/>
          <w:numId w:val="34"/>
        </w:numPr>
        <w:tabs>
          <w:tab w:val="left" w:pos="1109"/>
        </w:tabs>
        <w:spacing w:before="0" w:after="0" w:line="364" w:lineRule="auto"/>
        <w:ind w:left="388" w:right="798" w:firstLine="480"/>
        <w:jc w:val="left"/>
        <w:rPr>
          <w:sz w:val="24"/>
        </w:rPr>
      </w:pPr>
      <w:r>
        <w:rPr>
          <w:spacing w:val="-1"/>
          <w:sz w:val="24"/>
        </w:rPr>
        <w:t>发包人承诺按照法律规定履行项目审批手续、筹集工程建设资金并按照合同约定的</w:t>
      </w:r>
      <w:r>
        <w:rPr>
          <w:sz w:val="24"/>
        </w:rPr>
        <w:t>期限和方式支付合同价款。</w:t>
      </w:r>
    </w:p>
    <w:p>
      <w:pPr>
        <w:pStyle w:val="16"/>
        <w:numPr>
          <w:ilvl w:val="1"/>
          <w:numId w:val="34"/>
        </w:numPr>
        <w:tabs>
          <w:tab w:val="left" w:pos="1109"/>
        </w:tabs>
        <w:spacing w:before="0" w:after="0" w:line="362" w:lineRule="auto"/>
        <w:ind w:left="388" w:right="798" w:firstLine="480"/>
        <w:jc w:val="left"/>
        <w:rPr>
          <w:sz w:val="24"/>
        </w:rPr>
      </w:pPr>
      <w:r>
        <w:rPr>
          <w:spacing w:val="-1"/>
          <w:sz w:val="24"/>
        </w:rPr>
        <w:t>承包人承诺按照法律规定及合同约定组织完成工程施工，确保工程质量和安全，不</w:t>
      </w:r>
      <w:r>
        <w:rPr>
          <w:sz w:val="24"/>
        </w:rPr>
        <w:t>进行转包及违法分包，并在缺陷责任期及保修期内承担相应的工程维修责任。</w:t>
      </w:r>
    </w:p>
    <w:p>
      <w:pPr>
        <w:pStyle w:val="16"/>
        <w:numPr>
          <w:ilvl w:val="1"/>
          <w:numId w:val="34"/>
        </w:numPr>
        <w:tabs>
          <w:tab w:val="left" w:pos="1054"/>
        </w:tabs>
        <w:spacing w:before="3" w:after="0" w:line="364" w:lineRule="auto"/>
        <w:ind w:left="388" w:right="852" w:firstLine="424"/>
        <w:jc w:val="left"/>
        <w:rPr>
          <w:sz w:val="24"/>
        </w:rPr>
      </w:pPr>
      <w:r>
        <w:rPr>
          <w:spacing w:val="-1"/>
          <w:sz w:val="24"/>
        </w:rPr>
        <w:t>发包人和承包人通过招标形式签订合同的，双方理解并承诺不再就同一工程另行签</w:t>
      </w:r>
      <w:r>
        <w:rPr>
          <w:sz w:val="24"/>
        </w:rPr>
        <w:t>订与合同实质性内容相背离的协议。</w:t>
      </w:r>
    </w:p>
    <w:p>
      <w:pPr>
        <w:pStyle w:val="7"/>
        <w:spacing w:line="306" w:lineRule="exact"/>
        <w:ind w:left="868"/>
        <w:outlineLvl w:val="2"/>
      </w:pPr>
      <w:r>
        <w:t>八、词语含义</w:t>
      </w:r>
    </w:p>
    <w:p>
      <w:pPr>
        <w:spacing w:after="0" w:line="306" w:lineRule="exact"/>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69" o:spid="_x0000_s1069" o:spt="20" style="position:absolute;left:0pt;margin-left:62.4pt;margin-top:12.25pt;height:0pt;width:400.4pt;mso-position-horizontal-relative:page;z-index:25172582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2" w:lineRule="auto"/>
        <w:ind w:left="388" w:right="3198"/>
      </w:pPr>
      <w:r>
        <w:rPr>
          <w:spacing w:val="-1"/>
        </w:rPr>
        <w:t>本协议书中词语含义与第二部分通用合同条款中赋予的含义相同。</w:t>
      </w:r>
      <w:r>
        <w:t>九、签订时间</w:t>
      </w:r>
    </w:p>
    <w:p>
      <w:pPr>
        <w:pStyle w:val="8"/>
        <w:spacing w:before="5" w:line="362" w:lineRule="auto"/>
        <w:ind w:left="388" w:right="7758"/>
      </w:pPr>
      <w:r>
        <w:rPr>
          <w:spacing w:val="-2"/>
        </w:rPr>
        <w:t>本合同于年月日签订。</w:t>
      </w:r>
      <w:r>
        <w:t>十、签订地点</w:t>
      </w:r>
    </w:p>
    <w:p>
      <w:pPr>
        <w:pStyle w:val="8"/>
        <w:spacing w:before="5" w:line="362" w:lineRule="auto"/>
        <w:ind w:left="388" w:right="8478"/>
      </w:pPr>
      <w:r>
        <w:rPr>
          <w:spacing w:val="-3"/>
        </w:rPr>
        <w:t>本合同在签订。十一、补充协议</w:t>
      </w:r>
    </w:p>
    <w:p>
      <w:pPr>
        <w:pStyle w:val="8"/>
        <w:spacing w:before="5" w:line="364" w:lineRule="auto"/>
        <w:ind w:left="388" w:right="1998"/>
      </w:pPr>
      <w:r>
        <w:rPr>
          <w:spacing w:val="-1"/>
        </w:rPr>
        <w:t>合同未尽事宜，合同当事人另行签订补充协议，补充协议是合同的组成部分。</w:t>
      </w:r>
      <w:r>
        <w:t>十二、合同生效</w:t>
      </w:r>
    </w:p>
    <w:p>
      <w:pPr>
        <w:pStyle w:val="8"/>
        <w:spacing w:line="362" w:lineRule="auto"/>
        <w:ind w:left="388" w:right="8478"/>
      </w:pPr>
      <w:r>
        <w:rPr>
          <w:spacing w:val="-3"/>
        </w:rPr>
        <w:t>本合同自生效。十三、合同份数</w:t>
      </w:r>
    </w:p>
    <w:p>
      <w:pPr>
        <w:pStyle w:val="8"/>
        <w:spacing w:before="3"/>
        <w:ind w:left="388"/>
      </w:pPr>
      <w:r>
        <w:t>本合同一式份，均具有同等法律效力，发包人执份，承包人执份。</w:t>
      </w:r>
    </w:p>
    <w:p>
      <w:pPr>
        <w:pStyle w:val="8"/>
      </w:pPr>
    </w:p>
    <w:p>
      <w:pPr>
        <w:pStyle w:val="8"/>
        <w:spacing w:before="11"/>
      </w:pPr>
    </w:p>
    <w:p>
      <w:pPr>
        <w:pStyle w:val="8"/>
        <w:tabs>
          <w:tab w:val="left" w:pos="1587"/>
          <w:tab w:val="left" w:pos="6507"/>
          <w:tab w:val="left" w:pos="7707"/>
        </w:tabs>
        <w:ind w:left="388"/>
      </w:pPr>
      <w:r>
        <w:t>发包人：</w:t>
      </w:r>
      <w:r>
        <w:tab/>
      </w:r>
      <w:r>
        <w:t>(公章)</w:t>
      </w:r>
      <w:r>
        <w:tab/>
      </w:r>
      <w:r>
        <w:t>承包人：</w:t>
      </w:r>
      <w:r>
        <w:tab/>
      </w:r>
      <w:r>
        <w:t>(公章)</w:t>
      </w:r>
    </w:p>
    <w:p>
      <w:pPr>
        <w:pStyle w:val="8"/>
      </w:pPr>
    </w:p>
    <w:p>
      <w:pPr>
        <w:pStyle w:val="8"/>
        <w:spacing w:before="11"/>
      </w:pPr>
    </w:p>
    <w:p>
      <w:pPr>
        <w:pStyle w:val="8"/>
        <w:tabs>
          <w:tab w:val="left" w:pos="6387"/>
        </w:tabs>
        <w:spacing w:before="1"/>
        <w:ind w:left="388"/>
      </w:pPr>
      <w:r>
        <w:t>法定代表人或其委托代理人：</w:t>
      </w:r>
      <w:r>
        <w:tab/>
      </w:r>
      <w:r>
        <w:t>法定代表人或其委托代理人：</w:t>
      </w:r>
    </w:p>
    <w:p>
      <w:pPr>
        <w:pStyle w:val="8"/>
        <w:tabs>
          <w:tab w:val="left" w:pos="7947"/>
        </w:tabs>
        <w:spacing w:before="160"/>
        <w:ind w:left="388"/>
      </w:pPr>
      <w:r>
        <w:t>（签字）</w:t>
      </w:r>
      <w:r>
        <w:tab/>
      </w:r>
      <w:r>
        <w:t>（签字）</w:t>
      </w:r>
    </w:p>
    <w:p>
      <w:pPr>
        <w:pStyle w:val="8"/>
      </w:pPr>
    </w:p>
    <w:p>
      <w:pPr>
        <w:pStyle w:val="8"/>
        <w:spacing w:before="11"/>
      </w:pPr>
    </w:p>
    <w:p>
      <w:pPr>
        <w:pStyle w:val="8"/>
        <w:tabs>
          <w:tab w:val="left" w:pos="3687"/>
          <w:tab w:val="left" w:pos="7107"/>
          <w:tab w:val="left" w:pos="9859"/>
        </w:tabs>
        <w:ind w:left="388"/>
        <w:rPr>
          <w:rFonts w:ascii="Times New Roman" w:eastAsia="Times New Roman"/>
        </w:rPr>
      </w:pPr>
      <w:r>
        <w:t>组织机构代码：</w:t>
      </w:r>
      <w:r>
        <w:rPr>
          <w:u w:val="single"/>
        </w:rPr>
        <w:t xml:space="preserve"> </w:t>
      </w:r>
      <w:r>
        <w:rPr>
          <w:u w:val="single"/>
        </w:rPr>
        <w:tab/>
      </w:r>
      <w:r>
        <w:tab/>
      </w:r>
      <w:r>
        <w:t>组织机构代码：</w:t>
      </w:r>
      <w:r>
        <w:rPr>
          <w:rFonts w:ascii="Times New Roman" w:eastAsia="Times New Roman"/>
          <w:u w:val="single"/>
        </w:rPr>
        <w:t xml:space="preserve"> </w:t>
      </w:r>
      <w:r>
        <w:rPr>
          <w:rFonts w:ascii="Times New Roman" w:eastAsia="Times New Roman"/>
          <w:u w:val="single"/>
        </w:rPr>
        <w:tab/>
      </w:r>
    </w:p>
    <w:p>
      <w:pPr>
        <w:pStyle w:val="8"/>
        <w:rPr>
          <w:rFonts w:ascii="Times New Roman"/>
          <w:sz w:val="20"/>
        </w:rPr>
      </w:pPr>
    </w:p>
    <w:p>
      <w:pPr>
        <w:pStyle w:val="8"/>
        <w:spacing w:before="1"/>
        <w:rPr>
          <w:rFonts w:ascii="Times New Roman"/>
          <w:sz w:val="13"/>
        </w:rPr>
      </w:pPr>
      <w:r>
        <w:pict>
          <v:line id="_x0000_s1070" o:spid="_x0000_s1070" o:spt="20" style="position:absolute;left:0pt;margin-left:62.4pt;margin-top:9.8pt;height:0pt;width:60pt;mso-position-horizontal-relative:page;mso-wrap-distance-bottom:0pt;mso-wrap-distance-top:0pt;z-index:-251596800;mso-width-relative:page;mso-height-relative:page;" stroked="t" coordsize="21600,21600">
            <v:path arrowok="t"/>
            <v:fill focussize="0,0"/>
            <v:stroke weight="0.6pt" color="#000000"/>
            <v:imagedata o:title=""/>
            <o:lock v:ext="edit"/>
            <w10:wrap type="topAndBottom"/>
          </v:line>
        </w:pict>
      </w:r>
    </w:p>
    <w:p>
      <w:pPr>
        <w:pStyle w:val="8"/>
        <w:spacing w:before="11"/>
        <w:rPr>
          <w:rFonts w:ascii="Times New Roman"/>
          <w:sz w:val="7"/>
        </w:rPr>
      </w:pPr>
    </w:p>
    <w:p>
      <w:pPr>
        <w:pStyle w:val="8"/>
        <w:tabs>
          <w:tab w:val="left" w:pos="867"/>
          <w:tab w:val="left" w:pos="3927"/>
          <w:tab w:val="left" w:pos="7227"/>
          <w:tab w:val="left" w:pos="7707"/>
          <w:tab w:val="left" w:pos="9859"/>
        </w:tabs>
        <w:spacing w:before="74"/>
        <w:ind w:left="388"/>
        <w:rPr>
          <w:rFonts w:ascii="Times New Roman" w:eastAsia="Times New Roman"/>
        </w:rPr>
      </w:pPr>
      <w:r>
        <w:t>地</w:t>
      </w:r>
      <w:r>
        <w:tab/>
      </w:r>
      <w:r>
        <w:t>址：</w:t>
      </w:r>
      <w:r>
        <w:rPr>
          <w:u w:val="single"/>
        </w:rPr>
        <w:t xml:space="preserve"> </w:t>
      </w:r>
      <w:r>
        <w:rPr>
          <w:u w:val="single"/>
        </w:rPr>
        <w:tab/>
      </w:r>
      <w:r>
        <w:tab/>
      </w:r>
      <w:r>
        <w:t>地</w:t>
      </w:r>
      <w:r>
        <w:tab/>
      </w:r>
      <w:r>
        <w:t>址：</w:t>
      </w:r>
      <w:r>
        <w:rPr>
          <w:rFonts w:ascii="Times New Roman" w:eastAsia="Times New Roman"/>
          <w:u w:val="single"/>
        </w:rPr>
        <w:t xml:space="preserve"> </w:t>
      </w:r>
      <w:r>
        <w:rPr>
          <w:rFonts w:ascii="Times New Roman" w:eastAsia="Times New Roman"/>
          <w:u w:val="single"/>
        </w:rPr>
        <w:tab/>
      </w:r>
    </w:p>
    <w:p>
      <w:pPr>
        <w:pStyle w:val="8"/>
        <w:rPr>
          <w:rFonts w:ascii="Times New Roman"/>
          <w:sz w:val="20"/>
        </w:rPr>
      </w:pPr>
    </w:p>
    <w:p>
      <w:pPr>
        <w:pStyle w:val="8"/>
        <w:rPr>
          <w:rFonts w:ascii="Times New Roman"/>
          <w:sz w:val="13"/>
        </w:rPr>
      </w:pPr>
      <w:r>
        <w:pict>
          <v:line id="_x0000_s1071" o:spid="_x0000_s1071" o:spt="20" style="position:absolute;left:0pt;margin-left:62.4pt;margin-top:9.75pt;height:0pt;width:48pt;mso-position-horizontal-relative:page;mso-wrap-distance-bottom:0pt;mso-wrap-distance-top:0pt;z-index:-251595776;mso-width-relative:page;mso-height-relative:page;" stroked="t" coordsize="21600,21600">
            <v:path arrowok="t"/>
            <v:fill focussize="0,0"/>
            <v:stroke weight="0.6pt" color="#000000"/>
            <v:imagedata o:title=""/>
            <o:lock v:ext="edit"/>
            <w10:wrap type="topAndBottom"/>
          </v:line>
        </w:pict>
      </w:r>
    </w:p>
    <w:p>
      <w:pPr>
        <w:pStyle w:val="8"/>
        <w:rPr>
          <w:rFonts w:ascii="Times New Roman"/>
          <w:sz w:val="8"/>
        </w:rPr>
      </w:pPr>
    </w:p>
    <w:p>
      <w:pPr>
        <w:pStyle w:val="8"/>
        <w:tabs>
          <w:tab w:val="left" w:pos="3651"/>
          <w:tab w:val="left" w:pos="6951"/>
          <w:tab w:val="left" w:pos="9859"/>
        </w:tabs>
        <w:spacing w:before="74"/>
        <w:ind w:left="388"/>
        <w:rPr>
          <w:rFonts w:ascii="Times New Roman" w:eastAsia="Times New Roman"/>
        </w:rPr>
      </w:pPr>
      <w:r>
        <w:t>邮政编码</w:t>
      </w:r>
      <w:r>
        <w:rPr>
          <w:spacing w:val="-36"/>
        </w:rPr>
        <w:t>：</w:t>
      </w:r>
      <w:r>
        <w:rPr>
          <w:spacing w:val="-36"/>
          <w:u w:val="single"/>
        </w:rPr>
        <w:t xml:space="preserve"> </w:t>
      </w:r>
      <w:r>
        <w:rPr>
          <w:spacing w:val="-36"/>
          <w:u w:val="single"/>
        </w:rPr>
        <w:tab/>
      </w:r>
      <w:r>
        <w:rPr>
          <w:spacing w:val="-36"/>
        </w:rPr>
        <w:tab/>
      </w:r>
      <w:r>
        <w:t>邮政编码</w:t>
      </w:r>
      <w:r>
        <w:rPr>
          <w:spacing w:val="-32"/>
        </w:rPr>
        <w:t>：</w:t>
      </w:r>
      <w:r>
        <w:rPr>
          <w:rFonts w:ascii="Times New Roman" w:eastAsia="Times New Roman"/>
          <w:u w:val="single"/>
        </w:rPr>
        <w:t xml:space="preserve"> </w:t>
      </w:r>
      <w:r>
        <w:rPr>
          <w:rFonts w:ascii="Times New Roman" w:eastAsia="Times New Roman"/>
          <w:u w:val="single"/>
        </w:rPr>
        <w:tab/>
      </w:r>
    </w:p>
    <w:p>
      <w:pPr>
        <w:pStyle w:val="8"/>
        <w:rPr>
          <w:rFonts w:ascii="Times New Roman"/>
          <w:sz w:val="20"/>
        </w:rPr>
      </w:pPr>
    </w:p>
    <w:p>
      <w:pPr>
        <w:pStyle w:val="8"/>
        <w:spacing w:before="3"/>
        <w:rPr>
          <w:rFonts w:ascii="Times New Roman"/>
          <w:sz w:val="13"/>
        </w:rPr>
      </w:pPr>
      <w:r>
        <w:pict>
          <v:line id="_x0000_s1072" o:spid="_x0000_s1072" o:spt="20" style="position:absolute;left:0pt;margin-left:62.4pt;margin-top:9.85pt;height:0pt;width:24pt;mso-position-horizontal-relative:page;mso-wrap-distance-bottom:0pt;mso-wrap-distance-top:0pt;z-index:-251594752;mso-width-relative:page;mso-height-relative:page;" stroked="t" coordsize="21600,21600">
            <v:path arrowok="t"/>
            <v:fill focussize="0,0"/>
            <v:stroke weight="0.6pt" color="#000000"/>
            <v:imagedata o:title=""/>
            <o:lock v:ext="edit"/>
            <w10:wrap type="topAndBottom"/>
          </v:line>
        </w:pict>
      </w:r>
    </w:p>
    <w:p>
      <w:pPr>
        <w:pStyle w:val="8"/>
        <w:spacing w:before="9"/>
        <w:rPr>
          <w:rFonts w:ascii="Times New Roman"/>
          <w:sz w:val="7"/>
        </w:rPr>
      </w:pPr>
    </w:p>
    <w:p>
      <w:pPr>
        <w:pStyle w:val="8"/>
        <w:tabs>
          <w:tab w:val="left" w:pos="4287"/>
          <w:tab w:val="left" w:pos="7587"/>
          <w:tab w:val="left" w:pos="9859"/>
        </w:tabs>
        <w:spacing w:before="74"/>
        <w:ind w:left="388"/>
        <w:rPr>
          <w:rFonts w:ascii="Times New Roman" w:eastAsia="Times New Roman"/>
        </w:rPr>
      </w:pPr>
      <w:r>
        <w:t>法定代表人：</w:t>
      </w:r>
      <w:r>
        <w:rPr>
          <w:u w:val="single"/>
        </w:rPr>
        <w:t xml:space="preserve"> </w:t>
      </w:r>
      <w:r>
        <w:rPr>
          <w:u w:val="single"/>
        </w:rPr>
        <w:tab/>
      </w:r>
      <w:r>
        <w:tab/>
      </w:r>
      <w:r>
        <w:t>法定代表人：</w:t>
      </w:r>
      <w:r>
        <w:rPr>
          <w:rFonts w:ascii="Times New Roman" w:eastAsia="Times New Roman"/>
          <w:u w:val="single"/>
        </w:rPr>
        <w:t xml:space="preserve"> </w:t>
      </w:r>
      <w:r>
        <w:rPr>
          <w:rFonts w:ascii="Times New Roman" w:eastAsia="Times New Roman"/>
          <w:u w:val="single"/>
        </w:rPr>
        <w:tab/>
      </w:r>
    </w:p>
    <w:p>
      <w:pPr>
        <w:pStyle w:val="8"/>
        <w:rPr>
          <w:rFonts w:ascii="Times New Roman"/>
          <w:sz w:val="20"/>
        </w:rPr>
      </w:pPr>
    </w:p>
    <w:p>
      <w:pPr>
        <w:pStyle w:val="8"/>
        <w:spacing w:before="1"/>
        <w:rPr>
          <w:rFonts w:ascii="Times New Roman"/>
          <w:sz w:val="13"/>
        </w:rPr>
      </w:pPr>
      <w:r>
        <w:pict>
          <v:line id="_x0000_s1073" o:spid="_x0000_s1073" o:spt="20" style="position:absolute;left:0pt;margin-left:62.4pt;margin-top:9.8pt;height:0pt;width:48pt;mso-position-horizontal-relative:page;mso-wrap-distance-bottom:0pt;mso-wrap-distance-top:0pt;z-index:-251593728;mso-width-relative:page;mso-height-relative:page;" stroked="t" coordsize="21600,21600">
            <v:path arrowok="t"/>
            <v:fill focussize="0,0"/>
            <v:stroke weight="0.6pt" color="#000000"/>
            <v:imagedata o:title=""/>
            <o:lock v:ext="edit"/>
            <w10:wrap type="topAndBottom"/>
          </v:line>
        </w:pict>
      </w:r>
    </w:p>
    <w:p>
      <w:pPr>
        <w:pStyle w:val="8"/>
        <w:spacing w:before="10"/>
        <w:rPr>
          <w:rFonts w:ascii="Times New Roman"/>
          <w:sz w:val="7"/>
        </w:rPr>
      </w:pPr>
    </w:p>
    <w:p>
      <w:pPr>
        <w:pStyle w:val="8"/>
        <w:tabs>
          <w:tab w:val="left" w:pos="4287"/>
          <w:tab w:val="left" w:pos="7587"/>
          <w:tab w:val="left" w:pos="9859"/>
        </w:tabs>
        <w:spacing w:before="74"/>
        <w:ind w:left="388"/>
        <w:rPr>
          <w:rFonts w:ascii="Times New Roman" w:eastAsia="Times New Roman"/>
        </w:rPr>
      </w:pPr>
      <w:r>
        <w:t>委托代理人：</w:t>
      </w:r>
      <w:r>
        <w:rPr>
          <w:u w:val="single"/>
        </w:rPr>
        <w:t xml:space="preserve"> </w:t>
      </w:r>
      <w:r>
        <w:rPr>
          <w:u w:val="single"/>
        </w:rPr>
        <w:tab/>
      </w:r>
      <w:r>
        <w:tab/>
      </w:r>
      <w:r>
        <w:t>委托代理人：</w:t>
      </w:r>
      <w:r>
        <w:rPr>
          <w:rFonts w:ascii="Times New Roman" w:eastAsia="Times New Roman"/>
          <w:u w:val="single"/>
        </w:rPr>
        <w:t xml:space="preserve"> </w:t>
      </w:r>
      <w:r>
        <w:rPr>
          <w:rFonts w:ascii="Times New Roman" w:eastAsia="Times New Roman"/>
          <w:u w:val="single"/>
        </w:rPr>
        <w:tab/>
      </w:r>
    </w:p>
    <w:p>
      <w:pPr>
        <w:pStyle w:val="8"/>
        <w:rPr>
          <w:rFonts w:ascii="Times New Roman"/>
          <w:sz w:val="20"/>
        </w:rPr>
      </w:pPr>
    </w:p>
    <w:p>
      <w:pPr>
        <w:pStyle w:val="8"/>
        <w:spacing w:before="4"/>
        <w:rPr>
          <w:rFonts w:ascii="Times New Roman"/>
          <w:sz w:val="13"/>
        </w:rPr>
      </w:pPr>
      <w:r>
        <w:pict>
          <v:line id="_x0000_s1074" o:spid="_x0000_s1074" o:spt="20" style="position:absolute;left:0pt;margin-left:62.4pt;margin-top:9.95pt;height:0pt;width:90pt;mso-position-horizontal-relative:page;mso-wrap-distance-bottom:0pt;mso-wrap-distance-top:0pt;z-index:-251592704;mso-width-relative:page;mso-height-relative:page;" stroked="t" coordsize="21600,21600">
            <v:path arrowok="t"/>
            <v:fill focussize="0,0"/>
            <v:stroke weight="0.6pt" color="#000000"/>
            <v:imagedata o:title=""/>
            <o:lock v:ext="edit"/>
            <w10:wrap type="topAndBottom"/>
          </v:line>
        </w:pict>
      </w:r>
    </w:p>
    <w:p>
      <w:pPr>
        <w:pStyle w:val="8"/>
        <w:spacing w:before="4"/>
        <w:rPr>
          <w:rFonts w:ascii="Times New Roman"/>
          <w:sz w:val="8"/>
        </w:rPr>
      </w:pPr>
    </w:p>
    <w:p>
      <w:pPr>
        <w:pStyle w:val="8"/>
        <w:tabs>
          <w:tab w:val="left" w:pos="867"/>
          <w:tab w:val="left" w:pos="6891"/>
          <w:tab w:val="left" w:pos="7371"/>
          <w:tab w:val="left" w:pos="9799"/>
        </w:tabs>
        <w:spacing w:before="67"/>
        <w:ind w:left="388"/>
      </w:pPr>
      <w:r>
        <w:t>电</w:t>
      </w:r>
      <w:r>
        <w:tab/>
      </w:r>
      <w:r>
        <w:t>话：</w:t>
      </w:r>
      <w:r>
        <w:tab/>
      </w:r>
      <w:r>
        <w:t>电</w:t>
      </w:r>
      <w:r>
        <w:tab/>
      </w:r>
      <w:r>
        <w:t>话：</w:t>
      </w:r>
      <w:r>
        <w:tab/>
      </w:r>
    </w:p>
    <w:p>
      <w:pPr>
        <w:pStyle w:val="8"/>
        <w:spacing w:before="8"/>
        <w:rPr>
          <w:sz w:val="29"/>
        </w:rPr>
      </w:pPr>
      <w:r>
        <w:pict>
          <v:line id="_x0000_s1075" o:spid="_x0000_s1075" o:spt="20" style="position:absolute;left:0pt;margin-left:62.4pt;margin-top:21.25pt;height:0pt;width:42pt;mso-position-horizontal-relative:page;mso-wrap-distance-bottom:0pt;mso-wrap-distance-top:0pt;z-index:-251591680;mso-width-relative:page;mso-height-relative:page;" stroked="t" coordsize="21600,21600">
            <v:path arrowok="t"/>
            <v:fill focussize="0,0"/>
            <v:stroke weight="0.6pt" color="#000000"/>
            <v:imagedata o:title=""/>
            <o:lock v:ext="edit"/>
            <w10:wrap type="topAndBottom"/>
          </v:line>
        </w:pict>
      </w:r>
    </w:p>
    <w:p>
      <w:pPr>
        <w:pStyle w:val="8"/>
        <w:spacing w:before="9"/>
        <w:rPr>
          <w:sz w:val="7"/>
        </w:rPr>
      </w:pPr>
    </w:p>
    <w:p>
      <w:pPr>
        <w:pStyle w:val="8"/>
        <w:tabs>
          <w:tab w:val="left" w:pos="867"/>
          <w:tab w:val="left" w:pos="3651"/>
          <w:tab w:val="left" w:pos="6951"/>
          <w:tab w:val="left" w:pos="7431"/>
          <w:tab w:val="left" w:pos="9859"/>
        </w:tabs>
        <w:spacing w:before="66"/>
        <w:ind w:left="388"/>
        <w:rPr>
          <w:rFonts w:ascii="Times New Roman" w:eastAsia="Times New Roman"/>
        </w:rPr>
      </w:pPr>
      <w:r>
        <w:t>传</w:t>
      </w:r>
      <w:r>
        <w:tab/>
      </w:r>
      <w:r>
        <w:t>真</w:t>
      </w:r>
      <w:r>
        <w:rPr>
          <w:spacing w:val="-36"/>
        </w:rPr>
        <w:t>：</w:t>
      </w:r>
      <w:r>
        <w:rPr>
          <w:spacing w:val="-36"/>
          <w:u w:val="single"/>
        </w:rPr>
        <w:t xml:space="preserve"> </w:t>
      </w:r>
      <w:r>
        <w:rPr>
          <w:spacing w:val="-36"/>
          <w:u w:val="single"/>
        </w:rPr>
        <w:tab/>
      </w:r>
      <w:r>
        <w:rPr>
          <w:spacing w:val="-36"/>
        </w:rPr>
        <w:tab/>
      </w:r>
      <w:r>
        <w:t>传</w:t>
      </w:r>
      <w:r>
        <w:tab/>
      </w:r>
      <w:r>
        <w:t>真</w:t>
      </w:r>
      <w:r>
        <w:rPr>
          <w:spacing w:val="-32"/>
        </w:rPr>
        <w:t>：</w:t>
      </w:r>
      <w:r>
        <w:rPr>
          <w:rFonts w:ascii="Times New Roman" w:eastAsia="Times New Roman"/>
          <w:u w:val="single"/>
        </w:rPr>
        <w:t xml:space="preserve"> </w:t>
      </w:r>
      <w:r>
        <w:rPr>
          <w:rFonts w:ascii="Times New Roman" w:eastAsia="Times New Roman"/>
          <w:u w:val="single"/>
        </w:rPr>
        <w:tab/>
      </w:r>
    </w:p>
    <w:p>
      <w:pPr>
        <w:spacing w:after="0"/>
        <w:rPr>
          <w:rFonts w:ascii="Times New Roman" w:eastAsia="Times New Roman"/>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76" o:spid="_x0000_s1076" o:spt="20" style="position:absolute;left:0pt;margin-left:62.4pt;margin-top:12.25pt;height:0pt;width:400.4pt;mso-position-horizontal-relative:page;z-index:251728896;mso-width-relative:page;mso-height-relative:page;" stroked="t" coordsize="21600,21600">
            <v:path arrowok="t"/>
            <v:fill focussize="0,0"/>
            <v:stroke weight="0.36pt" color="#000000"/>
            <v:imagedata o:title=""/>
            <o:lock v:ext="edit"/>
          </v:line>
        </w:pict>
      </w:r>
      <w:bookmarkStart w:id="122" w:name="第二部分 通用合同条款"/>
      <w:bookmarkEnd w:id="122"/>
      <w:r>
        <w:rPr>
          <w:rFonts w:hint="eastAsia"/>
          <w:sz w:val="18"/>
          <w:lang w:eastAsia="zh-CN"/>
        </w:rPr>
        <w:t xml:space="preserve"> </w:t>
      </w:r>
    </w:p>
    <w:p>
      <w:pPr>
        <w:pStyle w:val="8"/>
        <w:spacing w:before="12"/>
      </w:pPr>
    </w:p>
    <w:p>
      <w:pPr>
        <w:pStyle w:val="8"/>
        <w:tabs>
          <w:tab w:val="left" w:pos="3531"/>
          <w:tab w:val="left" w:pos="6711"/>
          <w:tab w:val="left" w:pos="9859"/>
        </w:tabs>
        <w:spacing w:before="74"/>
        <w:ind w:left="388"/>
        <w:rPr>
          <w:rFonts w:ascii="Times New Roman" w:eastAsia="Times New Roman"/>
        </w:rPr>
      </w:pPr>
      <w:r>
        <w:t>电子信箱</w:t>
      </w:r>
      <w:r>
        <w:rPr>
          <w:spacing w:val="-36"/>
        </w:rPr>
        <w:t>：</w:t>
      </w:r>
      <w:r>
        <w:rPr>
          <w:spacing w:val="-36"/>
          <w:u w:val="single"/>
        </w:rPr>
        <w:t xml:space="preserve"> </w:t>
      </w:r>
      <w:r>
        <w:rPr>
          <w:spacing w:val="-36"/>
          <w:u w:val="single"/>
        </w:rPr>
        <w:tab/>
      </w:r>
      <w:r>
        <w:rPr>
          <w:spacing w:val="-36"/>
        </w:rPr>
        <w:tab/>
      </w:r>
      <w:r>
        <w:t>电子信箱</w:t>
      </w:r>
      <w:r>
        <w:rPr>
          <w:spacing w:val="-32"/>
        </w:rPr>
        <w:t>：</w:t>
      </w:r>
      <w:r>
        <w:rPr>
          <w:rFonts w:ascii="Times New Roman" w:eastAsia="Times New Roman"/>
          <w:u w:val="single"/>
        </w:rPr>
        <w:t xml:space="preserve"> </w:t>
      </w:r>
      <w:r>
        <w:rPr>
          <w:rFonts w:ascii="Times New Roman" w:eastAsia="Times New Roman"/>
          <w:u w:val="single"/>
        </w:rPr>
        <w:tab/>
      </w:r>
    </w:p>
    <w:p>
      <w:pPr>
        <w:pStyle w:val="8"/>
        <w:tabs>
          <w:tab w:val="left" w:pos="3567"/>
          <w:tab w:val="left" w:pos="6867"/>
          <w:tab w:val="left" w:pos="9807"/>
        </w:tabs>
        <w:spacing w:before="158"/>
        <w:ind w:left="388"/>
        <w:rPr>
          <w:rFonts w:ascii="Times New Roman" w:eastAsia="Times New Roman"/>
        </w:rPr>
      </w:pPr>
      <w:r>
        <w:t>开户银行：</w:t>
      </w:r>
      <w:r>
        <w:rPr>
          <w:u w:val="single"/>
        </w:rPr>
        <w:t xml:space="preserve"> </w:t>
      </w:r>
      <w:r>
        <w:rPr>
          <w:u w:val="single"/>
        </w:rPr>
        <w:tab/>
      </w:r>
      <w:r>
        <w:tab/>
      </w:r>
      <w:r>
        <w:t>开户银行：</w:t>
      </w:r>
      <w:r>
        <w:rPr>
          <w:rFonts w:ascii="Times New Roman" w:eastAsia="Times New Roman"/>
          <w:u w:val="single"/>
        </w:rPr>
        <w:t xml:space="preserve"> </w:t>
      </w:r>
      <w:r>
        <w:rPr>
          <w:rFonts w:ascii="Times New Roman" w:eastAsia="Times New Roman"/>
          <w:u w:val="single"/>
        </w:rPr>
        <w:tab/>
      </w:r>
    </w:p>
    <w:p>
      <w:pPr>
        <w:pStyle w:val="8"/>
        <w:rPr>
          <w:rFonts w:ascii="Times New Roman"/>
          <w:sz w:val="20"/>
        </w:rPr>
      </w:pPr>
    </w:p>
    <w:p>
      <w:pPr>
        <w:pStyle w:val="8"/>
        <w:spacing w:before="1"/>
        <w:rPr>
          <w:rFonts w:ascii="Times New Roman"/>
          <w:sz w:val="13"/>
        </w:rPr>
      </w:pPr>
      <w:r>
        <w:pict>
          <v:line id="_x0000_s1077" o:spid="_x0000_s1077" o:spt="20" style="position:absolute;left:0pt;margin-left:62.4pt;margin-top:9.75pt;height:0pt;width:30pt;mso-position-horizontal-relative:page;mso-wrap-distance-bottom:0pt;mso-wrap-distance-top:0pt;z-index:-251589632;mso-width-relative:page;mso-height-relative:page;" stroked="t" coordsize="21600,21600">
            <v:path arrowok="t"/>
            <v:fill focussize="0,0"/>
            <v:stroke weight="0.6pt" color="#000000"/>
            <v:imagedata o:title=""/>
            <o:lock v:ext="edit"/>
            <w10:wrap type="topAndBottom"/>
          </v:line>
        </w:pict>
      </w:r>
    </w:p>
    <w:p>
      <w:pPr>
        <w:pStyle w:val="8"/>
        <w:spacing w:before="6"/>
        <w:rPr>
          <w:rFonts w:ascii="Times New Roman"/>
          <w:sz w:val="8"/>
        </w:rPr>
      </w:pPr>
    </w:p>
    <w:p>
      <w:pPr>
        <w:pStyle w:val="8"/>
        <w:tabs>
          <w:tab w:val="left" w:pos="867"/>
          <w:tab w:val="left" w:pos="3927"/>
          <w:tab w:val="left" w:pos="7227"/>
          <w:tab w:val="left" w:pos="7707"/>
          <w:tab w:val="left" w:pos="9859"/>
        </w:tabs>
        <w:spacing w:before="67"/>
        <w:ind w:left="388"/>
        <w:rPr>
          <w:rFonts w:ascii="Times New Roman" w:eastAsia="Times New Roman"/>
        </w:rPr>
      </w:pPr>
      <w:r>
        <w:t>账</w:t>
      </w:r>
      <w:r>
        <w:tab/>
      </w:r>
      <w:r>
        <w:t>号：</w:t>
      </w:r>
      <w:r>
        <w:rPr>
          <w:u w:val="single"/>
        </w:rPr>
        <w:t xml:space="preserve"> </w:t>
      </w:r>
      <w:r>
        <w:rPr>
          <w:u w:val="single"/>
        </w:rPr>
        <w:tab/>
      </w:r>
      <w:r>
        <w:tab/>
      </w:r>
      <w:r>
        <w:t>账</w:t>
      </w:r>
      <w:r>
        <w:tab/>
      </w:r>
      <w:r>
        <w:t>号：</w:t>
      </w:r>
      <w:r>
        <w:rPr>
          <w:rFonts w:ascii="Times New Roman" w:eastAsia="Times New Roman"/>
          <w:u w:val="single"/>
        </w:rPr>
        <w:t xml:space="preserve"> </w:t>
      </w:r>
      <w:r>
        <w:rPr>
          <w:rFonts w:ascii="Times New Roman" w:eastAsia="Times New Roman"/>
          <w:u w:val="single"/>
        </w:rPr>
        <w:tab/>
      </w:r>
    </w:p>
    <w:p>
      <w:pPr>
        <w:pStyle w:val="8"/>
        <w:rPr>
          <w:rFonts w:ascii="Times New Roman"/>
          <w:sz w:val="20"/>
        </w:rPr>
      </w:pPr>
    </w:p>
    <w:p>
      <w:pPr>
        <w:pStyle w:val="8"/>
        <w:spacing w:before="4"/>
        <w:rPr>
          <w:rFonts w:ascii="Times New Roman"/>
          <w:sz w:val="13"/>
        </w:rPr>
      </w:pPr>
      <w:r>
        <w:pict>
          <v:line id="_x0000_s1078" o:spid="_x0000_s1078" o:spt="20" style="position:absolute;left:0pt;margin-left:62.4pt;margin-top:9.9pt;height:0pt;width:54pt;mso-position-horizontal-relative:page;mso-wrap-distance-bottom:0pt;mso-wrap-distance-top:0pt;z-index:-251588608;mso-width-relative:page;mso-height-relative:page;" stroked="t" coordsize="21600,21600">
            <v:path arrowok="t"/>
            <v:fill focussize="0,0"/>
            <v:stroke weight="0.6pt" color="#000000"/>
            <v:imagedata o:title=""/>
            <o:lock v:ext="edit"/>
            <w10:wrap type="topAndBottom"/>
          </v:line>
        </w:pict>
      </w:r>
    </w:p>
    <w:p>
      <w:pPr>
        <w:spacing w:after="0"/>
        <w:rPr>
          <w:rFonts w:ascii="Times New Roman"/>
          <w:sz w:val="13"/>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79" o:spid="_x0000_s1079" o:spt="20" style="position:absolute;left:0pt;margin-left:62.4pt;margin-top:12.25pt;height:0pt;width:400.4pt;mso-position-horizontal-relative:page;z-index:25172992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rPr>
          <w:sz w:val="20"/>
        </w:rPr>
      </w:pPr>
    </w:p>
    <w:p>
      <w:pPr>
        <w:pStyle w:val="8"/>
        <w:spacing w:before="9"/>
        <w:rPr>
          <w:sz w:val="25"/>
        </w:rPr>
      </w:pPr>
    </w:p>
    <w:p>
      <w:pPr>
        <w:pStyle w:val="7"/>
        <w:spacing w:before="67"/>
        <w:ind w:left="426" w:right="362"/>
        <w:jc w:val="center"/>
        <w:outlineLvl w:val="1"/>
      </w:pPr>
      <w:r>
        <w:t>第二部分 通用合同条款</w:t>
      </w:r>
    </w:p>
    <w:p>
      <w:pPr>
        <w:pStyle w:val="8"/>
        <w:rPr>
          <w:b/>
        </w:rPr>
      </w:pPr>
    </w:p>
    <w:p>
      <w:pPr>
        <w:pStyle w:val="16"/>
        <w:numPr>
          <w:ilvl w:val="0"/>
          <w:numId w:val="35"/>
        </w:numPr>
        <w:tabs>
          <w:tab w:val="left" w:pos="748"/>
        </w:tabs>
        <w:spacing w:before="184" w:after="0" w:line="240" w:lineRule="auto"/>
        <w:ind w:left="748" w:right="0" w:hanging="360"/>
        <w:jc w:val="left"/>
        <w:outlineLvl w:val="2"/>
        <w:rPr>
          <w:sz w:val="24"/>
        </w:rPr>
      </w:pPr>
      <w:r>
        <w:rPr>
          <w:sz w:val="24"/>
        </w:rPr>
        <w:t>一般约定</w:t>
      </w:r>
    </w:p>
    <w:p>
      <w:pPr>
        <w:pStyle w:val="16"/>
        <w:numPr>
          <w:ilvl w:val="1"/>
          <w:numId w:val="35"/>
        </w:numPr>
        <w:tabs>
          <w:tab w:val="left" w:pos="808"/>
        </w:tabs>
        <w:spacing w:before="158" w:after="0" w:line="240" w:lineRule="auto"/>
        <w:ind w:left="808" w:right="0" w:hanging="420"/>
        <w:jc w:val="left"/>
        <w:rPr>
          <w:sz w:val="24"/>
        </w:rPr>
      </w:pPr>
      <w:r>
        <w:rPr>
          <w:sz w:val="24"/>
        </w:rPr>
        <w:t>词语定义与解释</w:t>
      </w:r>
    </w:p>
    <w:p>
      <w:pPr>
        <w:pStyle w:val="8"/>
        <w:spacing w:before="161"/>
        <w:ind w:left="388"/>
      </w:pPr>
      <w:r>
        <w:t>合同协议书、通用合同条款、专用合同条款中的下列词语具有本款所赋予的含义：</w:t>
      </w:r>
    </w:p>
    <w:p>
      <w:pPr>
        <w:pStyle w:val="16"/>
        <w:numPr>
          <w:ilvl w:val="2"/>
          <w:numId w:val="35"/>
        </w:numPr>
        <w:tabs>
          <w:tab w:val="left" w:pos="1588"/>
        </w:tabs>
        <w:spacing w:before="158" w:after="0" w:line="240" w:lineRule="auto"/>
        <w:ind w:left="1588" w:right="0" w:hanging="720"/>
        <w:jc w:val="both"/>
        <w:rPr>
          <w:sz w:val="24"/>
        </w:rPr>
      </w:pPr>
      <w:r>
        <w:rPr>
          <w:sz w:val="24"/>
        </w:rPr>
        <w:t>合同</w:t>
      </w:r>
    </w:p>
    <w:p>
      <w:pPr>
        <w:pStyle w:val="16"/>
        <w:numPr>
          <w:ilvl w:val="3"/>
          <w:numId w:val="35"/>
        </w:numPr>
        <w:tabs>
          <w:tab w:val="left" w:pos="1773"/>
        </w:tabs>
        <w:spacing w:before="160" w:after="0" w:line="364" w:lineRule="auto"/>
        <w:ind w:left="388" w:right="798" w:firstLine="424"/>
        <w:jc w:val="both"/>
        <w:rPr>
          <w:sz w:val="24"/>
        </w:rPr>
      </w:pPr>
      <w:r>
        <w:rPr>
          <w:sz w:val="24"/>
        </w:rPr>
        <w:t>合同：是指根据法律规定和合同当事人约定具有约束力的文件，构成合同的文件包括合同协议书、中标通知书（如果有）、响应函及其附录（如果有）</w:t>
      </w:r>
      <w:r>
        <w:rPr>
          <w:spacing w:val="-4"/>
          <w:sz w:val="24"/>
        </w:rPr>
        <w:t>、专用合同条</w:t>
      </w:r>
      <w:r>
        <w:rPr>
          <w:spacing w:val="-1"/>
          <w:sz w:val="24"/>
        </w:rPr>
        <w:t>款及其附件、通用合同条款、技术标准和要求、图纸、已标价工程量清单或预算书以及其</w:t>
      </w:r>
      <w:r>
        <w:rPr>
          <w:sz w:val="24"/>
        </w:rPr>
        <w:t>他合同文件。</w:t>
      </w:r>
    </w:p>
    <w:p>
      <w:pPr>
        <w:pStyle w:val="16"/>
        <w:numPr>
          <w:ilvl w:val="3"/>
          <w:numId w:val="35"/>
        </w:numPr>
        <w:tabs>
          <w:tab w:val="left" w:pos="1828"/>
        </w:tabs>
        <w:spacing w:before="0" w:after="0" w:line="364" w:lineRule="auto"/>
        <w:ind w:left="388" w:right="798" w:firstLine="480"/>
        <w:jc w:val="both"/>
        <w:rPr>
          <w:sz w:val="24"/>
        </w:rPr>
      </w:pPr>
      <w:r>
        <w:rPr>
          <w:spacing w:val="-1"/>
          <w:sz w:val="24"/>
        </w:rPr>
        <w:t>合同协议书：是指构成合同的由发包人和承包人共同签署的称为“合同协议</w:t>
      </w:r>
      <w:r>
        <w:rPr>
          <w:sz w:val="24"/>
        </w:rPr>
        <w:t>书”的书面文件。</w:t>
      </w:r>
    </w:p>
    <w:p>
      <w:pPr>
        <w:pStyle w:val="16"/>
        <w:numPr>
          <w:ilvl w:val="3"/>
          <w:numId w:val="35"/>
        </w:numPr>
        <w:tabs>
          <w:tab w:val="left" w:pos="1828"/>
        </w:tabs>
        <w:spacing w:before="0" w:after="0" w:line="306" w:lineRule="exact"/>
        <w:ind w:left="1828" w:right="0" w:hanging="960"/>
        <w:jc w:val="both"/>
        <w:rPr>
          <w:sz w:val="24"/>
        </w:rPr>
      </w:pPr>
      <w:r>
        <w:rPr>
          <w:sz w:val="24"/>
        </w:rPr>
        <w:t>中标通知书：是指构成合同的由发包人通知承包人中标的书面文件。</w:t>
      </w:r>
    </w:p>
    <w:p>
      <w:pPr>
        <w:pStyle w:val="16"/>
        <w:numPr>
          <w:ilvl w:val="3"/>
          <w:numId w:val="35"/>
        </w:numPr>
        <w:tabs>
          <w:tab w:val="left" w:pos="1828"/>
        </w:tabs>
        <w:spacing w:before="156" w:after="0" w:line="364" w:lineRule="auto"/>
        <w:ind w:left="388" w:right="798" w:firstLine="480"/>
        <w:jc w:val="both"/>
        <w:rPr>
          <w:sz w:val="24"/>
        </w:rPr>
      </w:pPr>
      <w:r>
        <w:rPr>
          <w:spacing w:val="-1"/>
          <w:sz w:val="24"/>
        </w:rPr>
        <w:t xml:space="preserve">响应函：是指构成合同的由承包人填写并签署的用于磋商的称为“响应函” </w:t>
      </w:r>
      <w:r>
        <w:rPr>
          <w:sz w:val="24"/>
        </w:rPr>
        <w:t>的文件。</w:t>
      </w:r>
    </w:p>
    <w:p>
      <w:pPr>
        <w:pStyle w:val="16"/>
        <w:numPr>
          <w:ilvl w:val="3"/>
          <w:numId w:val="35"/>
        </w:numPr>
        <w:tabs>
          <w:tab w:val="left" w:pos="1828"/>
        </w:tabs>
        <w:spacing w:before="1" w:after="0" w:line="240" w:lineRule="auto"/>
        <w:ind w:left="1828" w:right="0" w:hanging="960"/>
        <w:jc w:val="both"/>
        <w:rPr>
          <w:sz w:val="24"/>
        </w:rPr>
      </w:pPr>
      <w:r>
        <w:rPr>
          <w:sz w:val="24"/>
        </w:rPr>
        <w:t>响应函附录：是指构成合同的附在响应函后的称为“响应函附录”的文件。</w:t>
      </w:r>
    </w:p>
    <w:p>
      <w:pPr>
        <w:pStyle w:val="16"/>
        <w:numPr>
          <w:ilvl w:val="3"/>
          <w:numId w:val="35"/>
        </w:numPr>
        <w:tabs>
          <w:tab w:val="left" w:pos="1828"/>
        </w:tabs>
        <w:spacing w:before="158" w:after="0" w:line="364" w:lineRule="auto"/>
        <w:ind w:left="388" w:right="798" w:firstLine="480"/>
        <w:jc w:val="both"/>
        <w:rPr>
          <w:sz w:val="24"/>
        </w:rPr>
      </w:pPr>
      <w:r>
        <w:rPr>
          <w:spacing w:val="-1"/>
          <w:sz w:val="24"/>
        </w:rPr>
        <w:t>技术标准和要求：是指构成合同的施工应当遵守的或指导施工的国家、行业</w:t>
      </w:r>
      <w:r>
        <w:rPr>
          <w:sz w:val="24"/>
        </w:rPr>
        <w:t>或地方的技术标准和要求，以及合同约定的技术标准和要求。</w:t>
      </w:r>
    </w:p>
    <w:p>
      <w:pPr>
        <w:pStyle w:val="16"/>
        <w:numPr>
          <w:ilvl w:val="3"/>
          <w:numId w:val="35"/>
        </w:numPr>
        <w:tabs>
          <w:tab w:val="left" w:pos="1828"/>
        </w:tabs>
        <w:spacing w:before="0" w:after="0" w:line="364" w:lineRule="auto"/>
        <w:ind w:left="388" w:right="798" w:firstLine="480"/>
        <w:jc w:val="both"/>
        <w:rPr>
          <w:sz w:val="24"/>
        </w:rPr>
      </w:pPr>
      <w:r>
        <w:rPr>
          <w:spacing w:val="-1"/>
          <w:sz w:val="24"/>
        </w:rPr>
        <w:t>图纸：是指构成合同的图纸，包括由发包人按照合同约定提供或经发包人批准的设计文件、施工图、鸟瞰图及模型等，以及在合同履行过程中形成的图纸文件。图纸</w:t>
      </w:r>
      <w:r>
        <w:rPr>
          <w:sz w:val="24"/>
        </w:rPr>
        <w:t>应当按照法律规定审查合格。</w:t>
      </w:r>
    </w:p>
    <w:p>
      <w:pPr>
        <w:pStyle w:val="16"/>
        <w:numPr>
          <w:ilvl w:val="3"/>
          <w:numId w:val="35"/>
        </w:numPr>
        <w:tabs>
          <w:tab w:val="left" w:pos="1828"/>
        </w:tabs>
        <w:spacing w:before="0" w:after="0" w:line="362" w:lineRule="auto"/>
        <w:ind w:left="388" w:right="798" w:firstLine="480"/>
        <w:jc w:val="both"/>
        <w:rPr>
          <w:sz w:val="24"/>
        </w:rPr>
      </w:pPr>
      <w:r>
        <w:rPr>
          <w:spacing w:val="-1"/>
          <w:sz w:val="24"/>
        </w:rPr>
        <w:t>已标价工程量清单：是指构成合同的由承包人按照规定的格式和要求填写并</w:t>
      </w:r>
      <w:r>
        <w:rPr>
          <w:sz w:val="24"/>
        </w:rPr>
        <w:t>标明价格的工程量清单，包括说明和表格。</w:t>
      </w:r>
    </w:p>
    <w:p>
      <w:pPr>
        <w:pStyle w:val="16"/>
        <w:numPr>
          <w:ilvl w:val="3"/>
          <w:numId w:val="35"/>
        </w:numPr>
        <w:tabs>
          <w:tab w:val="left" w:pos="1828"/>
        </w:tabs>
        <w:spacing w:before="3" w:after="0" w:line="362" w:lineRule="auto"/>
        <w:ind w:left="388" w:right="798" w:firstLine="480"/>
        <w:jc w:val="both"/>
        <w:rPr>
          <w:sz w:val="24"/>
        </w:rPr>
      </w:pPr>
      <w:r>
        <w:rPr>
          <w:spacing w:val="-1"/>
          <w:sz w:val="24"/>
        </w:rPr>
        <w:t>预算书：是指构成合同的由承包人按照发包人规定的格式和要求编制的工程</w:t>
      </w:r>
      <w:r>
        <w:rPr>
          <w:sz w:val="24"/>
        </w:rPr>
        <w:t>预算文件。</w:t>
      </w:r>
    </w:p>
    <w:p>
      <w:pPr>
        <w:pStyle w:val="16"/>
        <w:numPr>
          <w:ilvl w:val="3"/>
          <w:numId w:val="35"/>
        </w:numPr>
        <w:tabs>
          <w:tab w:val="left" w:pos="1948"/>
        </w:tabs>
        <w:spacing w:before="5" w:after="0" w:line="364" w:lineRule="auto"/>
        <w:ind w:left="388" w:right="744" w:firstLine="480"/>
        <w:jc w:val="both"/>
        <w:rPr>
          <w:sz w:val="24"/>
        </w:rPr>
      </w:pPr>
      <w:r>
        <w:rPr>
          <w:spacing w:val="-9"/>
          <w:sz w:val="24"/>
        </w:rPr>
        <w:t>其他合同文件：是指经合同当事人约定的与工程施工有关的具有合同约束力</w:t>
      </w:r>
      <w:r>
        <w:rPr>
          <w:sz w:val="24"/>
        </w:rPr>
        <w:t>的文件或书面协议。合同当事人可以在专用合同条款中进行约定。</w:t>
      </w:r>
    </w:p>
    <w:p>
      <w:pPr>
        <w:pStyle w:val="16"/>
        <w:numPr>
          <w:ilvl w:val="2"/>
          <w:numId w:val="35"/>
        </w:numPr>
        <w:tabs>
          <w:tab w:val="left" w:pos="1588"/>
        </w:tabs>
        <w:spacing w:before="0" w:after="0" w:line="306" w:lineRule="exact"/>
        <w:ind w:left="1588" w:right="0" w:hanging="720"/>
        <w:jc w:val="both"/>
        <w:rPr>
          <w:sz w:val="24"/>
        </w:rPr>
      </w:pPr>
      <w:r>
        <w:rPr>
          <w:sz w:val="24"/>
        </w:rPr>
        <w:t>合同当事人及其他相关方</w:t>
      </w:r>
    </w:p>
    <w:p>
      <w:pPr>
        <w:pStyle w:val="16"/>
        <w:numPr>
          <w:ilvl w:val="3"/>
          <w:numId w:val="35"/>
        </w:numPr>
        <w:tabs>
          <w:tab w:val="left" w:pos="1948"/>
        </w:tabs>
        <w:spacing w:before="158" w:after="0" w:line="240" w:lineRule="auto"/>
        <w:ind w:left="1948" w:right="0" w:hanging="960"/>
        <w:jc w:val="both"/>
        <w:rPr>
          <w:sz w:val="24"/>
        </w:rPr>
      </w:pPr>
      <w:r>
        <w:rPr>
          <w:sz w:val="24"/>
        </w:rPr>
        <w:t>合同当事人：是指发包人和（或）承包人。</w:t>
      </w:r>
    </w:p>
    <w:p>
      <w:pPr>
        <w:spacing w:after="0" w:line="240" w:lineRule="auto"/>
        <w:jc w:val="both"/>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80" o:spid="_x0000_s1080" o:spt="20" style="position:absolute;left:0pt;margin-left:62.4pt;margin-top:12.25pt;height:0pt;width:400.4pt;mso-position-horizontal-relative:page;z-index:25173094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3"/>
          <w:numId w:val="35"/>
        </w:numPr>
        <w:tabs>
          <w:tab w:val="left" w:pos="1828"/>
        </w:tabs>
        <w:spacing w:before="67" w:after="0" w:line="362" w:lineRule="auto"/>
        <w:ind w:left="388" w:right="798" w:firstLine="480"/>
        <w:jc w:val="left"/>
        <w:rPr>
          <w:sz w:val="24"/>
        </w:rPr>
      </w:pPr>
      <w:r>
        <w:rPr>
          <w:spacing w:val="-1"/>
          <w:sz w:val="24"/>
        </w:rPr>
        <w:t>发包人：是指与承包人签订合同协议书的当事人及取得该当事人资格的合法</w:t>
      </w:r>
      <w:r>
        <w:rPr>
          <w:sz w:val="24"/>
        </w:rPr>
        <w:t>继承人。</w:t>
      </w:r>
    </w:p>
    <w:p>
      <w:pPr>
        <w:pStyle w:val="16"/>
        <w:numPr>
          <w:ilvl w:val="3"/>
          <w:numId w:val="35"/>
        </w:numPr>
        <w:tabs>
          <w:tab w:val="left" w:pos="1828"/>
        </w:tabs>
        <w:spacing w:before="5" w:after="0" w:line="362" w:lineRule="auto"/>
        <w:ind w:left="388" w:right="798" w:firstLine="480"/>
        <w:jc w:val="left"/>
        <w:rPr>
          <w:sz w:val="24"/>
        </w:rPr>
      </w:pPr>
      <w:r>
        <w:rPr>
          <w:spacing w:val="-1"/>
          <w:sz w:val="24"/>
        </w:rPr>
        <w:t>承包人：是指与发包人签订合同协议书的，具有相应工程施工承包资质的当</w:t>
      </w:r>
      <w:r>
        <w:rPr>
          <w:sz w:val="24"/>
        </w:rPr>
        <w:t>事人及取得该当事人资格的合法继承人。</w:t>
      </w:r>
    </w:p>
    <w:p>
      <w:pPr>
        <w:pStyle w:val="16"/>
        <w:numPr>
          <w:ilvl w:val="3"/>
          <w:numId w:val="35"/>
        </w:numPr>
        <w:tabs>
          <w:tab w:val="left" w:pos="1828"/>
        </w:tabs>
        <w:spacing w:before="5" w:after="0" w:line="362" w:lineRule="auto"/>
        <w:ind w:left="388" w:right="798" w:firstLine="480"/>
        <w:jc w:val="left"/>
        <w:rPr>
          <w:sz w:val="24"/>
        </w:rPr>
      </w:pPr>
      <w:r>
        <w:rPr>
          <w:spacing w:val="-1"/>
          <w:sz w:val="24"/>
        </w:rPr>
        <w:t>监理人：是指在专用合同条款中指明的，受发包人委托按照法律规定进行工</w:t>
      </w:r>
      <w:r>
        <w:rPr>
          <w:sz w:val="24"/>
        </w:rPr>
        <w:t>程监督管理的法人或其他组织。</w:t>
      </w:r>
    </w:p>
    <w:p>
      <w:pPr>
        <w:pStyle w:val="16"/>
        <w:numPr>
          <w:ilvl w:val="3"/>
          <w:numId w:val="35"/>
        </w:numPr>
        <w:tabs>
          <w:tab w:val="left" w:pos="1828"/>
        </w:tabs>
        <w:spacing w:before="5" w:after="0" w:line="364" w:lineRule="auto"/>
        <w:ind w:left="388" w:right="798" w:firstLine="480"/>
        <w:jc w:val="left"/>
        <w:rPr>
          <w:sz w:val="24"/>
        </w:rPr>
      </w:pPr>
      <w:r>
        <w:rPr>
          <w:spacing w:val="-1"/>
          <w:sz w:val="24"/>
        </w:rPr>
        <w:t>设计人：是指在专用合同条款中指明的，受发包人委托负责工程设计并具备</w:t>
      </w:r>
      <w:r>
        <w:rPr>
          <w:sz w:val="24"/>
        </w:rPr>
        <w:t>相应工程设计资质的法人或其他组织。</w:t>
      </w:r>
    </w:p>
    <w:p>
      <w:pPr>
        <w:pStyle w:val="16"/>
        <w:numPr>
          <w:ilvl w:val="3"/>
          <w:numId w:val="35"/>
        </w:numPr>
        <w:tabs>
          <w:tab w:val="left" w:pos="1828"/>
        </w:tabs>
        <w:spacing w:before="0" w:after="0" w:line="362" w:lineRule="auto"/>
        <w:ind w:left="388" w:right="798" w:firstLine="480"/>
        <w:jc w:val="left"/>
        <w:rPr>
          <w:sz w:val="24"/>
        </w:rPr>
      </w:pPr>
      <w:r>
        <w:rPr>
          <w:spacing w:val="-1"/>
          <w:sz w:val="24"/>
        </w:rPr>
        <w:t>分包人：是指按照法律规定和合同约定，分包部分工程或工作，并与承包人</w:t>
      </w:r>
      <w:r>
        <w:rPr>
          <w:sz w:val="24"/>
        </w:rPr>
        <w:t>签订分包合同的具有相应资质的法人。</w:t>
      </w:r>
    </w:p>
    <w:p>
      <w:pPr>
        <w:pStyle w:val="16"/>
        <w:numPr>
          <w:ilvl w:val="3"/>
          <w:numId w:val="35"/>
        </w:numPr>
        <w:tabs>
          <w:tab w:val="left" w:pos="1828"/>
        </w:tabs>
        <w:spacing w:before="3" w:after="0" w:line="364" w:lineRule="auto"/>
        <w:ind w:left="388" w:right="798" w:firstLine="480"/>
        <w:jc w:val="left"/>
        <w:rPr>
          <w:sz w:val="24"/>
        </w:rPr>
      </w:pPr>
      <w:r>
        <w:rPr>
          <w:spacing w:val="-1"/>
          <w:sz w:val="24"/>
        </w:rPr>
        <w:t>发包人代表：是指由发包人任命并派驻施工现场在发包人授权范围内行使发</w:t>
      </w:r>
      <w:r>
        <w:rPr>
          <w:sz w:val="24"/>
        </w:rPr>
        <w:t>包人权利的人。</w:t>
      </w:r>
    </w:p>
    <w:p>
      <w:pPr>
        <w:pStyle w:val="16"/>
        <w:numPr>
          <w:ilvl w:val="3"/>
          <w:numId w:val="35"/>
        </w:numPr>
        <w:tabs>
          <w:tab w:val="left" w:pos="1773"/>
        </w:tabs>
        <w:spacing w:before="0" w:after="0" w:line="364" w:lineRule="auto"/>
        <w:ind w:left="388" w:right="852" w:firstLine="424"/>
        <w:jc w:val="left"/>
        <w:rPr>
          <w:sz w:val="24"/>
        </w:rPr>
      </w:pPr>
      <w:r>
        <w:rPr>
          <w:spacing w:val="-1"/>
          <w:sz w:val="24"/>
        </w:rPr>
        <w:t>项目经理：是指由承包人任命并派驻施工现场，在承包人授权范围内负责合</w:t>
      </w:r>
      <w:r>
        <w:rPr>
          <w:sz w:val="24"/>
        </w:rPr>
        <w:t>同履行，且按照法律规定具有相应资格的项目负责人。</w:t>
      </w:r>
    </w:p>
    <w:p>
      <w:pPr>
        <w:pStyle w:val="16"/>
        <w:numPr>
          <w:ilvl w:val="3"/>
          <w:numId w:val="35"/>
        </w:numPr>
        <w:tabs>
          <w:tab w:val="left" w:pos="1773"/>
        </w:tabs>
        <w:spacing w:before="0" w:after="0" w:line="306" w:lineRule="exact"/>
        <w:ind w:left="1772" w:right="0" w:hanging="961"/>
        <w:jc w:val="left"/>
        <w:rPr>
          <w:sz w:val="24"/>
        </w:rPr>
      </w:pPr>
      <w:r>
        <w:rPr>
          <w:spacing w:val="-2"/>
          <w:sz w:val="24"/>
        </w:rPr>
        <w:t>总监理工程师：是指由监理人任命并派驻施工现场进行工程监理的总负责人。</w:t>
      </w:r>
    </w:p>
    <w:p>
      <w:pPr>
        <w:pStyle w:val="16"/>
        <w:numPr>
          <w:ilvl w:val="2"/>
          <w:numId w:val="35"/>
        </w:numPr>
        <w:tabs>
          <w:tab w:val="left" w:pos="1228"/>
        </w:tabs>
        <w:spacing w:before="160" w:after="0" w:line="240" w:lineRule="auto"/>
        <w:ind w:left="1228" w:right="0" w:hanging="720"/>
        <w:jc w:val="left"/>
        <w:rPr>
          <w:sz w:val="24"/>
        </w:rPr>
      </w:pPr>
      <w:r>
        <w:rPr>
          <w:sz w:val="24"/>
        </w:rPr>
        <w:t>工程和设备</w:t>
      </w:r>
    </w:p>
    <w:p>
      <w:pPr>
        <w:pStyle w:val="16"/>
        <w:numPr>
          <w:ilvl w:val="3"/>
          <w:numId w:val="35"/>
        </w:numPr>
        <w:tabs>
          <w:tab w:val="left" w:pos="1773"/>
        </w:tabs>
        <w:spacing w:before="158" w:after="0" w:line="240" w:lineRule="auto"/>
        <w:ind w:left="1772" w:right="0" w:hanging="961"/>
        <w:jc w:val="left"/>
        <w:rPr>
          <w:sz w:val="24"/>
        </w:rPr>
      </w:pPr>
      <w:r>
        <w:rPr>
          <w:spacing w:val="-3"/>
          <w:sz w:val="24"/>
        </w:rPr>
        <w:t>工程：是指与合同协议书中工程承包范围对应的永久工程和</w:t>
      </w:r>
      <w:r>
        <w:rPr>
          <w:sz w:val="24"/>
        </w:rPr>
        <w:t>（或</w:t>
      </w:r>
      <w:r>
        <w:rPr>
          <w:spacing w:val="-3"/>
          <w:sz w:val="24"/>
        </w:rPr>
        <w:t>）</w:t>
      </w:r>
      <w:r>
        <w:rPr>
          <w:sz w:val="24"/>
        </w:rPr>
        <w:t>临时工程。</w:t>
      </w:r>
    </w:p>
    <w:p>
      <w:pPr>
        <w:pStyle w:val="16"/>
        <w:numPr>
          <w:ilvl w:val="3"/>
          <w:numId w:val="35"/>
        </w:numPr>
        <w:tabs>
          <w:tab w:val="left" w:pos="1773"/>
        </w:tabs>
        <w:spacing w:before="160" w:after="0" w:line="240" w:lineRule="auto"/>
        <w:ind w:left="1772" w:right="0" w:hanging="961"/>
        <w:jc w:val="left"/>
        <w:rPr>
          <w:sz w:val="24"/>
        </w:rPr>
      </w:pPr>
      <w:r>
        <w:rPr>
          <w:sz w:val="24"/>
        </w:rPr>
        <w:t>永久工程：是指按合同约定建造并移交给发包人的工程，包括工程设备。</w:t>
      </w:r>
    </w:p>
    <w:p>
      <w:pPr>
        <w:pStyle w:val="16"/>
        <w:numPr>
          <w:ilvl w:val="3"/>
          <w:numId w:val="35"/>
        </w:numPr>
        <w:tabs>
          <w:tab w:val="left" w:pos="1773"/>
        </w:tabs>
        <w:spacing w:before="158" w:after="0" w:line="364" w:lineRule="auto"/>
        <w:ind w:left="388" w:right="852" w:firstLine="424"/>
        <w:jc w:val="left"/>
        <w:rPr>
          <w:sz w:val="24"/>
        </w:rPr>
      </w:pPr>
      <w:r>
        <w:rPr>
          <w:spacing w:val="-1"/>
          <w:sz w:val="24"/>
        </w:rPr>
        <w:t>临时工程：是指为完成合同约定的永久工程所修建的各类临时性工程，不包</w:t>
      </w:r>
      <w:r>
        <w:rPr>
          <w:sz w:val="24"/>
        </w:rPr>
        <w:t>括施工设备。</w:t>
      </w:r>
    </w:p>
    <w:p>
      <w:pPr>
        <w:pStyle w:val="16"/>
        <w:numPr>
          <w:ilvl w:val="3"/>
          <w:numId w:val="35"/>
        </w:numPr>
        <w:tabs>
          <w:tab w:val="left" w:pos="1773"/>
        </w:tabs>
        <w:spacing w:before="0" w:after="0" w:line="364" w:lineRule="auto"/>
        <w:ind w:left="388" w:right="852" w:firstLine="424"/>
        <w:jc w:val="left"/>
        <w:rPr>
          <w:sz w:val="24"/>
        </w:rPr>
      </w:pPr>
      <w:r>
        <w:rPr>
          <w:spacing w:val="-1"/>
          <w:sz w:val="24"/>
        </w:rPr>
        <w:t>单位工程：是指在合同协议书中指明的，具备独立施工条件并能形成独立使</w:t>
      </w:r>
      <w:r>
        <w:rPr>
          <w:sz w:val="24"/>
        </w:rPr>
        <w:t>用功能的永久工程。</w:t>
      </w:r>
    </w:p>
    <w:p>
      <w:pPr>
        <w:pStyle w:val="16"/>
        <w:numPr>
          <w:ilvl w:val="3"/>
          <w:numId w:val="35"/>
        </w:numPr>
        <w:tabs>
          <w:tab w:val="left" w:pos="1773"/>
        </w:tabs>
        <w:spacing w:before="0" w:after="0" w:line="362" w:lineRule="auto"/>
        <w:ind w:left="388" w:right="852" w:firstLine="424"/>
        <w:jc w:val="left"/>
        <w:rPr>
          <w:sz w:val="24"/>
        </w:rPr>
      </w:pPr>
      <w:r>
        <w:rPr>
          <w:spacing w:val="-1"/>
          <w:sz w:val="24"/>
        </w:rPr>
        <w:t>工程设备：是指构成永久工程的机电设备、金属结构设备、仪器及其他类似</w:t>
      </w:r>
      <w:r>
        <w:rPr>
          <w:sz w:val="24"/>
        </w:rPr>
        <w:t>的设备和装置。</w:t>
      </w:r>
    </w:p>
    <w:p>
      <w:pPr>
        <w:pStyle w:val="16"/>
        <w:numPr>
          <w:ilvl w:val="3"/>
          <w:numId w:val="35"/>
        </w:numPr>
        <w:tabs>
          <w:tab w:val="left" w:pos="1773"/>
        </w:tabs>
        <w:spacing w:before="5" w:after="0" w:line="362" w:lineRule="auto"/>
        <w:ind w:left="388" w:right="852" w:firstLine="424"/>
        <w:jc w:val="left"/>
        <w:rPr>
          <w:sz w:val="24"/>
        </w:rPr>
      </w:pPr>
      <w:r>
        <w:rPr>
          <w:spacing w:val="-1"/>
          <w:sz w:val="24"/>
        </w:rPr>
        <w:t xml:space="preserve">施工设备：是指为完成合同约定的各项工作所需的设备、器具和其他物品， </w:t>
      </w:r>
      <w:r>
        <w:rPr>
          <w:sz w:val="24"/>
        </w:rPr>
        <w:t>但不包括工程设备、临时工程和材料。</w:t>
      </w:r>
    </w:p>
    <w:p>
      <w:pPr>
        <w:pStyle w:val="16"/>
        <w:numPr>
          <w:ilvl w:val="3"/>
          <w:numId w:val="35"/>
        </w:numPr>
        <w:tabs>
          <w:tab w:val="left" w:pos="1773"/>
        </w:tabs>
        <w:spacing w:before="3" w:after="0" w:line="364" w:lineRule="auto"/>
        <w:ind w:left="388" w:right="852" w:firstLine="424"/>
        <w:jc w:val="left"/>
        <w:rPr>
          <w:sz w:val="24"/>
        </w:rPr>
      </w:pPr>
      <w:r>
        <w:rPr>
          <w:spacing w:val="-1"/>
          <w:sz w:val="24"/>
        </w:rPr>
        <w:t>施工现场：是指用于工程施工的场所，以及在专用合同条款中指明作为施工</w:t>
      </w:r>
      <w:r>
        <w:rPr>
          <w:sz w:val="24"/>
        </w:rPr>
        <w:t>场所组成部分的其他场所，包括永久占地和临时占地。</w:t>
      </w:r>
    </w:p>
    <w:p>
      <w:pPr>
        <w:pStyle w:val="16"/>
        <w:numPr>
          <w:ilvl w:val="3"/>
          <w:numId w:val="35"/>
        </w:numPr>
        <w:tabs>
          <w:tab w:val="left" w:pos="1713"/>
        </w:tabs>
        <w:spacing w:before="1" w:after="0" w:line="240" w:lineRule="auto"/>
        <w:ind w:left="1712" w:right="0" w:hanging="901"/>
        <w:jc w:val="left"/>
        <w:rPr>
          <w:sz w:val="24"/>
        </w:rPr>
      </w:pPr>
      <w:r>
        <w:rPr>
          <w:sz w:val="24"/>
        </w:rPr>
        <w:t>临时设施：是指为完成合同约定的各项工作所服务的临时性生产和生活设施。</w:t>
      </w:r>
    </w:p>
    <w:p>
      <w:pPr>
        <w:pStyle w:val="16"/>
        <w:numPr>
          <w:ilvl w:val="3"/>
          <w:numId w:val="35"/>
        </w:numPr>
        <w:tabs>
          <w:tab w:val="left" w:pos="1773"/>
        </w:tabs>
        <w:spacing w:before="158" w:after="0" w:line="240" w:lineRule="auto"/>
        <w:ind w:left="1772" w:right="0" w:hanging="961"/>
        <w:jc w:val="left"/>
        <w:rPr>
          <w:sz w:val="24"/>
        </w:rPr>
      </w:pPr>
      <w:r>
        <w:rPr>
          <w:sz w:val="24"/>
        </w:rPr>
        <w:t>永久占地：是指专用合同条款中指明为实施工程需永久占用的土地。</w:t>
      </w:r>
    </w:p>
    <w:p>
      <w:pPr>
        <w:spacing w:after="0" w:line="240"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81" o:spid="_x0000_s1081" o:spt="20" style="position:absolute;left:0pt;margin-left:62.4pt;margin-top:12.25pt;height:0pt;width:400.4pt;mso-position-horizontal-relative:page;z-index:25173196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3"/>
          <w:numId w:val="35"/>
        </w:numPr>
        <w:tabs>
          <w:tab w:val="left" w:pos="1893"/>
        </w:tabs>
        <w:spacing w:before="67" w:after="0" w:line="240" w:lineRule="auto"/>
        <w:ind w:left="1892" w:right="0" w:hanging="1081"/>
        <w:jc w:val="both"/>
        <w:rPr>
          <w:sz w:val="24"/>
        </w:rPr>
      </w:pPr>
      <w:r>
        <w:rPr>
          <w:sz w:val="24"/>
        </w:rPr>
        <w:t>临时占地：是指专用合同条款中指明为实施工程需要临时占用的土地。</w:t>
      </w:r>
    </w:p>
    <w:p>
      <w:pPr>
        <w:pStyle w:val="16"/>
        <w:numPr>
          <w:ilvl w:val="2"/>
          <w:numId w:val="35"/>
        </w:numPr>
        <w:tabs>
          <w:tab w:val="left" w:pos="1533"/>
        </w:tabs>
        <w:spacing w:before="158" w:after="0" w:line="240" w:lineRule="auto"/>
        <w:ind w:left="1532" w:right="0" w:hanging="721"/>
        <w:jc w:val="both"/>
        <w:rPr>
          <w:sz w:val="24"/>
        </w:rPr>
      </w:pPr>
      <w:r>
        <w:rPr>
          <w:sz w:val="24"/>
        </w:rPr>
        <w:t>日期和期限</w:t>
      </w:r>
    </w:p>
    <w:p>
      <w:pPr>
        <w:pStyle w:val="16"/>
        <w:numPr>
          <w:ilvl w:val="3"/>
          <w:numId w:val="35"/>
        </w:numPr>
        <w:tabs>
          <w:tab w:val="left" w:pos="1773"/>
        </w:tabs>
        <w:spacing w:before="160" w:after="0" w:line="364" w:lineRule="auto"/>
        <w:ind w:left="388" w:right="798" w:firstLine="424"/>
        <w:jc w:val="both"/>
        <w:rPr>
          <w:sz w:val="24"/>
        </w:rPr>
      </w:pPr>
      <w:r>
        <w:rPr>
          <w:sz w:val="24"/>
        </w:rPr>
        <w:t>开工日期：包括计划开工日期和实际开工日期。计划开工日期是指合同协议</w:t>
      </w:r>
      <w:r>
        <w:rPr>
          <w:spacing w:val="-3"/>
          <w:sz w:val="24"/>
        </w:rPr>
        <w:t xml:space="preserve">书约定的开工日期；实际开工日期是指监理人按照第 </w:t>
      </w:r>
      <w:r>
        <w:rPr>
          <w:sz w:val="24"/>
        </w:rPr>
        <w:t>7.3.2</w:t>
      </w:r>
      <w:r>
        <w:rPr>
          <w:spacing w:val="-9"/>
          <w:sz w:val="24"/>
        </w:rPr>
        <w:t xml:space="preserve"> 项〔开工通知〕约定发出的符</w:t>
      </w:r>
      <w:r>
        <w:rPr>
          <w:sz w:val="24"/>
        </w:rPr>
        <w:t>合法律规定的开工通知中载明的开工日期。</w:t>
      </w:r>
    </w:p>
    <w:p>
      <w:pPr>
        <w:pStyle w:val="16"/>
        <w:numPr>
          <w:ilvl w:val="3"/>
          <w:numId w:val="35"/>
        </w:numPr>
        <w:tabs>
          <w:tab w:val="left" w:pos="1773"/>
        </w:tabs>
        <w:spacing w:before="0" w:after="0" w:line="364" w:lineRule="auto"/>
        <w:ind w:left="388" w:right="852" w:firstLine="424"/>
        <w:jc w:val="both"/>
        <w:rPr>
          <w:sz w:val="24"/>
        </w:rPr>
      </w:pPr>
      <w:r>
        <w:rPr>
          <w:spacing w:val="-1"/>
          <w:sz w:val="24"/>
        </w:rPr>
        <w:t>竣工日期：包括计划竣工日期和实际竣工日期。计划竣工日期是指合同协议</w:t>
      </w:r>
      <w:r>
        <w:rPr>
          <w:spacing w:val="-4"/>
          <w:sz w:val="24"/>
        </w:rPr>
        <w:t xml:space="preserve">书约定的竣工日期；实际竣工日期按照第 </w:t>
      </w:r>
      <w:r>
        <w:rPr>
          <w:sz w:val="24"/>
        </w:rPr>
        <w:t>13.2.3</w:t>
      </w:r>
      <w:r>
        <w:rPr>
          <w:spacing w:val="-8"/>
          <w:sz w:val="24"/>
        </w:rPr>
        <w:t xml:space="preserve"> 项〔竣工日期〕的约定确定。</w:t>
      </w:r>
    </w:p>
    <w:p>
      <w:pPr>
        <w:pStyle w:val="16"/>
        <w:numPr>
          <w:ilvl w:val="3"/>
          <w:numId w:val="35"/>
        </w:numPr>
        <w:tabs>
          <w:tab w:val="left" w:pos="1773"/>
        </w:tabs>
        <w:spacing w:before="0" w:after="0" w:line="362" w:lineRule="auto"/>
        <w:ind w:left="388" w:right="852" w:firstLine="424"/>
        <w:jc w:val="both"/>
        <w:rPr>
          <w:sz w:val="24"/>
        </w:rPr>
      </w:pPr>
      <w:r>
        <w:rPr>
          <w:spacing w:val="-1"/>
          <w:sz w:val="24"/>
        </w:rPr>
        <w:t>工期：是指在合同协议书约定的承包人完成工程所需的期限，包括按照合同</w:t>
      </w:r>
      <w:r>
        <w:rPr>
          <w:sz w:val="24"/>
        </w:rPr>
        <w:t>约定所作的期限变更。</w:t>
      </w:r>
    </w:p>
    <w:p>
      <w:pPr>
        <w:pStyle w:val="16"/>
        <w:numPr>
          <w:ilvl w:val="3"/>
          <w:numId w:val="35"/>
        </w:numPr>
        <w:tabs>
          <w:tab w:val="left" w:pos="1773"/>
        </w:tabs>
        <w:spacing w:before="1" w:after="0" w:line="364" w:lineRule="auto"/>
        <w:ind w:left="388" w:right="852" w:firstLine="424"/>
        <w:jc w:val="both"/>
        <w:rPr>
          <w:sz w:val="24"/>
        </w:rPr>
      </w:pPr>
      <w:r>
        <w:rPr>
          <w:spacing w:val="-1"/>
          <w:sz w:val="24"/>
        </w:rPr>
        <w:t>缺陷责任期：是指承包人按照合同约定承担缺陷修复义务，且发包人预留质</w:t>
      </w:r>
      <w:r>
        <w:rPr>
          <w:sz w:val="24"/>
        </w:rPr>
        <w:t>量保证金的期限，自工程实际竣工日期起计算。</w:t>
      </w:r>
    </w:p>
    <w:p>
      <w:pPr>
        <w:pStyle w:val="16"/>
        <w:numPr>
          <w:ilvl w:val="3"/>
          <w:numId w:val="35"/>
        </w:numPr>
        <w:tabs>
          <w:tab w:val="left" w:pos="1773"/>
        </w:tabs>
        <w:spacing w:before="1" w:after="0" w:line="362" w:lineRule="auto"/>
        <w:ind w:left="388" w:right="852" w:firstLine="424"/>
        <w:jc w:val="both"/>
        <w:rPr>
          <w:sz w:val="24"/>
        </w:rPr>
      </w:pPr>
      <w:r>
        <w:rPr>
          <w:spacing w:val="-1"/>
          <w:sz w:val="24"/>
        </w:rPr>
        <w:t>保修期：是指承包人按照合同约定对工程承担保修责任的期限，从工程竣工</w:t>
      </w:r>
      <w:r>
        <w:rPr>
          <w:sz w:val="24"/>
        </w:rPr>
        <w:t>验收合格之日起计算。</w:t>
      </w:r>
    </w:p>
    <w:p>
      <w:pPr>
        <w:pStyle w:val="16"/>
        <w:numPr>
          <w:ilvl w:val="3"/>
          <w:numId w:val="35"/>
        </w:numPr>
        <w:tabs>
          <w:tab w:val="left" w:pos="1773"/>
        </w:tabs>
        <w:spacing w:before="5" w:after="0" w:line="362" w:lineRule="auto"/>
        <w:ind w:left="388" w:right="744" w:firstLine="424"/>
        <w:jc w:val="both"/>
        <w:rPr>
          <w:sz w:val="24"/>
        </w:rPr>
      </w:pPr>
      <w:r>
        <w:rPr>
          <w:spacing w:val="-5"/>
          <w:sz w:val="24"/>
        </w:rPr>
        <w:t xml:space="preserve">基准日期：招标发包的工程以磋商截止日前 </w:t>
      </w:r>
      <w:r>
        <w:rPr>
          <w:sz w:val="24"/>
        </w:rPr>
        <w:t>28</w:t>
      </w:r>
      <w:r>
        <w:rPr>
          <w:spacing w:val="-9"/>
          <w:sz w:val="24"/>
        </w:rPr>
        <w:t xml:space="preserve"> 天的日期为基准日期，直接发</w:t>
      </w:r>
      <w:r>
        <w:rPr>
          <w:spacing w:val="-5"/>
          <w:sz w:val="24"/>
        </w:rPr>
        <w:t xml:space="preserve">包的工程以合同签订日前 </w:t>
      </w:r>
      <w:r>
        <w:rPr>
          <w:sz w:val="24"/>
        </w:rPr>
        <w:t>28</w:t>
      </w:r>
      <w:r>
        <w:rPr>
          <w:spacing w:val="-8"/>
          <w:sz w:val="24"/>
        </w:rPr>
        <w:t xml:space="preserve"> 天的日期为基准日期。</w:t>
      </w:r>
    </w:p>
    <w:p>
      <w:pPr>
        <w:pStyle w:val="16"/>
        <w:numPr>
          <w:ilvl w:val="3"/>
          <w:numId w:val="35"/>
        </w:numPr>
        <w:tabs>
          <w:tab w:val="left" w:pos="1773"/>
        </w:tabs>
        <w:spacing w:before="5" w:after="0" w:line="362" w:lineRule="auto"/>
        <w:ind w:left="388" w:right="624" w:firstLine="424"/>
        <w:jc w:val="both"/>
        <w:rPr>
          <w:sz w:val="24"/>
        </w:rPr>
      </w:pPr>
      <w:r>
        <w:rPr>
          <w:spacing w:val="-4"/>
          <w:sz w:val="24"/>
        </w:rPr>
        <w:t xml:space="preserve">天：除特别指明外，均指日历天。合同中按天计算时间的，开始当天不计入， </w:t>
      </w:r>
      <w:r>
        <w:rPr>
          <w:spacing w:val="-3"/>
          <w:sz w:val="24"/>
        </w:rPr>
        <w:t xml:space="preserve">从次日开始计算，期限最后一天的截止时间为当天 </w:t>
      </w:r>
      <w:r>
        <w:rPr>
          <w:sz w:val="24"/>
        </w:rPr>
        <w:t>24:00</w:t>
      </w:r>
      <w:r>
        <w:rPr>
          <w:spacing w:val="-20"/>
          <w:sz w:val="24"/>
        </w:rPr>
        <w:t xml:space="preserve"> 时。</w:t>
      </w:r>
    </w:p>
    <w:p>
      <w:pPr>
        <w:pStyle w:val="16"/>
        <w:numPr>
          <w:ilvl w:val="2"/>
          <w:numId w:val="35"/>
        </w:numPr>
        <w:tabs>
          <w:tab w:val="left" w:pos="1348"/>
        </w:tabs>
        <w:spacing w:before="5" w:after="0" w:line="240" w:lineRule="auto"/>
        <w:ind w:left="1348" w:right="0" w:hanging="720"/>
        <w:jc w:val="both"/>
        <w:rPr>
          <w:sz w:val="24"/>
        </w:rPr>
      </w:pPr>
      <w:r>
        <w:rPr>
          <w:sz w:val="24"/>
        </w:rPr>
        <w:t>合同价格和费用</w:t>
      </w:r>
    </w:p>
    <w:p>
      <w:pPr>
        <w:pStyle w:val="16"/>
        <w:numPr>
          <w:ilvl w:val="3"/>
          <w:numId w:val="35"/>
        </w:numPr>
        <w:tabs>
          <w:tab w:val="left" w:pos="1773"/>
        </w:tabs>
        <w:spacing w:before="158" w:after="0" w:line="364" w:lineRule="auto"/>
        <w:ind w:left="388" w:right="852" w:firstLine="424"/>
        <w:jc w:val="both"/>
        <w:rPr>
          <w:sz w:val="24"/>
        </w:rPr>
      </w:pPr>
      <w:r>
        <w:rPr>
          <w:spacing w:val="-1"/>
          <w:sz w:val="24"/>
        </w:rPr>
        <w:t>签约合同价：是指发包人和承包人在合同协议书中确定的总金额，包括安全</w:t>
      </w:r>
      <w:r>
        <w:rPr>
          <w:sz w:val="24"/>
        </w:rPr>
        <w:t>文明施工费、暂估价及暂列金额等。</w:t>
      </w:r>
    </w:p>
    <w:p>
      <w:pPr>
        <w:pStyle w:val="16"/>
        <w:numPr>
          <w:ilvl w:val="3"/>
          <w:numId w:val="35"/>
        </w:numPr>
        <w:tabs>
          <w:tab w:val="left" w:pos="1773"/>
        </w:tabs>
        <w:spacing w:before="0" w:after="0" w:line="364" w:lineRule="auto"/>
        <w:ind w:left="388" w:right="852" w:firstLine="424"/>
        <w:jc w:val="both"/>
        <w:rPr>
          <w:sz w:val="24"/>
        </w:rPr>
      </w:pPr>
      <w:r>
        <w:rPr>
          <w:spacing w:val="-1"/>
          <w:sz w:val="24"/>
        </w:rPr>
        <w:t>合同价格：是指发包人用于支付承包人按照合同约定完成承包范围内全部工</w:t>
      </w:r>
      <w:r>
        <w:rPr>
          <w:sz w:val="24"/>
        </w:rPr>
        <w:t>作的金额，包括合同履行过程中按合同约定发生的价格变化。</w:t>
      </w:r>
    </w:p>
    <w:p>
      <w:pPr>
        <w:pStyle w:val="16"/>
        <w:numPr>
          <w:ilvl w:val="3"/>
          <w:numId w:val="35"/>
        </w:numPr>
        <w:tabs>
          <w:tab w:val="left" w:pos="1773"/>
        </w:tabs>
        <w:spacing w:before="0" w:after="0" w:line="362" w:lineRule="auto"/>
        <w:ind w:left="388" w:right="852" w:firstLine="424"/>
        <w:jc w:val="both"/>
        <w:rPr>
          <w:sz w:val="24"/>
        </w:rPr>
      </w:pPr>
      <w:r>
        <w:rPr>
          <w:spacing w:val="-1"/>
          <w:sz w:val="24"/>
        </w:rPr>
        <w:t>费用：是指为履行合同所发生的或将要发生的所有必需的开支，包括管理费</w:t>
      </w:r>
      <w:r>
        <w:rPr>
          <w:sz w:val="24"/>
        </w:rPr>
        <w:t>和应分摊的其他费用，但不包括利润。</w:t>
      </w:r>
    </w:p>
    <w:p>
      <w:pPr>
        <w:pStyle w:val="16"/>
        <w:numPr>
          <w:ilvl w:val="3"/>
          <w:numId w:val="35"/>
        </w:numPr>
        <w:tabs>
          <w:tab w:val="left" w:pos="1773"/>
        </w:tabs>
        <w:spacing w:before="5" w:after="0" w:line="362" w:lineRule="auto"/>
        <w:ind w:left="388" w:right="852" w:firstLine="424"/>
        <w:jc w:val="both"/>
        <w:rPr>
          <w:sz w:val="24"/>
        </w:rPr>
      </w:pPr>
      <w:r>
        <w:rPr>
          <w:spacing w:val="-1"/>
          <w:sz w:val="24"/>
        </w:rPr>
        <w:t>暂估价：是指发包人在工程量清单或预算书中提供的用于支付必然发生但暂</w:t>
      </w:r>
      <w:r>
        <w:rPr>
          <w:sz w:val="24"/>
        </w:rPr>
        <w:t>时不能确定价格的材料、工程设备的单价、专业工程以及服务工作的金额。</w:t>
      </w:r>
    </w:p>
    <w:p>
      <w:pPr>
        <w:pStyle w:val="16"/>
        <w:numPr>
          <w:ilvl w:val="3"/>
          <w:numId w:val="35"/>
        </w:numPr>
        <w:tabs>
          <w:tab w:val="left" w:pos="1773"/>
        </w:tabs>
        <w:spacing w:before="3" w:after="0" w:line="364" w:lineRule="auto"/>
        <w:ind w:left="388" w:right="798" w:firstLine="424"/>
        <w:jc w:val="both"/>
        <w:rPr>
          <w:sz w:val="24"/>
        </w:rPr>
      </w:pPr>
      <w:r>
        <w:rPr>
          <w:sz w:val="24"/>
        </w:rPr>
        <w:t>暂列金额：是指发包人在工程量清单或预算书中暂定并包括在合同价格中的</w:t>
      </w:r>
      <w:r>
        <w:rPr>
          <w:spacing w:val="-1"/>
          <w:sz w:val="24"/>
        </w:rPr>
        <w:t>一笔款项，用于工程合同签订时尚未确定或者不可预见的所需材料、工程设备、服务的采购，施工中可能发生的工程变更、合同约定调整因素出现时的合同价格调整以及发生的索</w:t>
      </w:r>
      <w:r>
        <w:rPr>
          <w:sz w:val="24"/>
        </w:rPr>
        <w:t>赔、现场签证确认等的费用。</w:t>
      </w:r>
    </w:p>
    <w:p>
      <w:pPr>
        <w:spacing w:after="0" w:line="364" w:lineRule="auto"/>
        <w:jc w:val="both"/>
        <w:rPr>
          <w:sz w:val="24"/>
        </w:rPr>
        <w:sectPr>
          <w:footerReference r:id="rId9" w:type="default"/>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pgNumType w:start="40"/>
          <w:cols w:space="720" w:num="1"/>
        </w:sectPr>
      </w:pPr>
    </w:p>
    <w:p>
      <w:pPr>
        <w:tabs>
          <w:tab w:val="left" w:pos="7676"/>
        </w:tabs>
        <w:spacing w:before="45"/>
        <w:ind w:left="388" w:right="0" w:firstLine="0"/>
        <w:jc w:val="left"/>
        <w:rPr>
          <w:sz w:val="18"/>
        </w:rPr>
      </w:pPr>
      <w:r>
        <w:pict>
          <v:line id="_x0000_s1082" o:spid="_x0000_s1082" o:spt="20" style="position:absolute;left:0pt;margin-left:62.4pt;margin-top:12.25pt;height:0pt;width:400.4pt;mso-position-horizontal-relative:page;z-index:25173299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3"/>
          <w:numId w:val="35"/>
        </w:numPr>
        <w:tabs>
          <w:tab w:val="left" w:pos="1773"/>
        </w:tabs>
        <w:spacing w:before="67" w:after="0" w:line="362" w:lineRule="auto"/>
        <w:ind w:left="388" w:right="852" w:firstLine="424"/>
        <w:jc w:val="left"/>
        <w:rPr>
          <w:sz w:val="24"/>
        </w:rPr>
      </w:pPr>
      <w:r>
        <w:rPr>
          <w:spacing w:val="-1"/>
          <w:sz w:val="24"/>
        </w:rPr>
        <w:t>计日工：是指合同履行过程中，承包人完成发包人提出的零星工作或需要采</w:t>
      </w:r>
      <w:r>
        <w:rPr>
          <w:sz w:val="24"/>
        </w:rPr>
        <w:t>用计日工计价的变更工作时，按合同中约定的单价计价的一种方式。</w:t>
      </w:r>
    </w:p>
    <w:p>
      <w:pPr>
        <w:pStyle w:val="16"/>
        <w:numPr>
          <w:ilvl w:val="3"/>
          <w:numId w:val="35"/>
        </w:numPr>
        <w:tabs>
          <w:tab w:val="left" w:pos="1773"/>
        </w:tabs>
        <w:spacing w:before="5" w:after="0" w:line="362" w:lineRule="auto"/>
        <w:ind w:left="388" w:right="744" w:firstLine="424"/>
        <w:jc w:val="left"/>
        <w:rPr>
          <w:sz w:val="24"/>
        </w:rPr>
      </w:pPr>
      <w:r>
        <w:rPr>
          <w:spacing w:val="-6"/>
          <w:sz w:val="24"/>
        </w:rPr>
        <w:t xml:space="preserve">质量保证金：是指按照第 </w:t>
      </w:r>
      <w:r>
        <w:rPr>
          <w:sz w:val="24"/>
        </w:rPr>
        <w:t>15.3</w:t>
      </w:r>
      <w:r>
        <w:rPr>
          <w:spacing w:val="-10"/>
          <w:sz w:val="24"/>
        </w:rPr>
        <w:t xml:space="preserve"> 款〔质量保证金〕约定承包人用于保证其在缺</w:t>
      </w:r>
      <w:r>
        <w:rPr>
          <w:sz w:val="24"/>
        </w:rPr>
        <w:t>陷责任期内履行缺陷修补义务的担保。</w:t>
      </w:r>
    </w:p>
    <w:p>
      <w:pPr>
        <w:pStyle w:val="16"/>
        <w:numPr>
          <w:ilvl w:val="3"/>
          <w:numId w:val="35"/>
        </w:numPr>
        <w:tabs>
          <w:tab w:val="left" w:pos="1773"/>
        </w:tabs>
        <w:spacing w:before="5" w:after="0" w:line="362" w:lineRule="auto"/>
        <w:ind w:left="388" w:right="624" w:firstLine="424"/>
        <w:jc w:val="left"/>
        <w:rPr>
          <w:sz w:val="24"/>
        </w:rPr>
      </w:pPr>
      <w:r>
        <w:rPr>
          <w:spacing w:val="-4"/>
          <w:sz w:val="24"/>
        </w:rPr>
        <w:t xml:space="preserve">总价项目：是指在现行国家、行业以及地方的计量规则中无工程量计算规则， </w:t>
      </w:r>
      <w:r>
        <w:rPr>
          <w:sz w:val="24"/>
        </w:rPr>
        <w:t>在已标价工程量清单或预算书中以总价或以费率形式计算的项目。</w:t>
      </w:r>
    </w:p>
    <w:p>
      <w:pPr>
        <w:pStyle w:val="16"/>
        <w:numPr>
          <w:ilvl w:val="2"/>
          <w:numId w:val="35"/>
        </w:numPr>
        <w:tabs>
          <w:tab w:val="left" w:pos="1348"/>
        </w:tabs>
        <w:spacing w:before="5" w:after="0" w:line="240" w:lineRule="auto"/>
        <w:ind w:left="1348" w:right="0" w:hanging="720"/>
        <w:jc w:val="left"/>
        <w:rPr>
          <w:sz w:val="24"/>
        </w:rPr>
      </w:pPr>
      <w:r>
        <w:rPr>
          <w:sz w:val="24"/>
        </w:rPr>
        <w:t>其他</w:t>
      </w:r>
    </w:p>
    <w:p>
      <w:pPr>
        <w:pStyle w:val="16"/>
        <w:numPr>
          <w:ilvl w:val="3"/>
          <w:numId w:val="35"/>
        </w:numPr>
        <w:tabs>
          <w:tab w:val="left" w:pos="1773"/>
        </w:tabs>
        <w:spacing w:before="160" w:after="0" w:line="362" w:lineRule="auto"/>
        <w:ind w:left="388" w:right="852" w:firstLine="424"/>
        <w:jc w:val="left"/>
        <w:rPr>
          <w:sz w:val="24"/>
        </w:rPr>
      </w:pPr>
      <w:r>
        <w:rPr>
          <w:spacing w:val="-1"/>
          <w:sz w:val="24"/>
        </w:rPr>
        <w:t>书面形式：是指合同文件、信函、电报、传真等可以有形地表现所载内容的</w:t>
      </w:r>
      <w:r>
        <w:rPr>
          <w:sz w:val="24"/>
        </w:rPr>
        <w:t>形式。</w:t>
      </w:r>
    </w:p>
    <w:p>
      <w:pPr>
        <w:pStyle w:val="16"/>
        <w:numPr>
          <w:ilvl w:val="1"/>
          <w:numId w:val="35"/>
        </w:numPr>
        <w:tabs>
          <w:tab w:val="left" w:pos="808"/>
        </w:tabs>
        <w:spacing w:before="3" w:after="0" w:line="240" w:lineRule="auto"/>
        <w:ind w:left="808" w:right="0" w:hanging="420"/>
        <w:jc w:val="left"/>
        <w:rPr>
          <w:sz w:val="24"/>
        </w:rPr>
      </w:pPr>
      <w:r>
        <w:rPr>
          <w:sz w:val="24"/>
        </w:rPr>
        <w:t>语言文字</w:t>
      </w:r>
    </w:p>
    <w:p>
      <w:pPr>
        <w:pStyle w:val="8"/>
        <w:spacing w:before="160" w:line="364" w:lineRule="auto"/>
        <w:ind w:left="388" w:right="852" w:firstLine="424"/>
      </w:pPr>
      <w:r>
        <w:t>合同以中国的汉语简体文字编写、解释和说明。合同当事人在专用合同条款中约定使用两种以上语言时，汉语为优先解释和说明合同的语言。</w:t>
      </w:r>
    </w:p>
    <w:p>
      <w:pPr>
        <w:pStyle w:val="16"/>
        <w:numPr>
          <w:ilvl w:val="1"/>
          <w:numId w:val="35"/>
        </w:numPr>
        <w:tabs>
          <w:tab w:val="left" w:pos="808"/>
        </w:tabs>
        <w:spacing w:before="0" w:after="0" w:line="306" w:lineRule="exact"/>
        <w:ind w:left="808" w:right="0" w:hanging="420"/>
        <w:jc w:val="left"/>
        <w:rPr>
          <w:sz w:val="24"/>
        </w:rPr>
      </w:pPr>
      <w:r>
        <w:rPr>
          <w:sz w:val="24"/>
        </w:rPr>
        <w:t>法律</w:t>
      </w:r>
    </w:p>
    <w:p>
      <w:pPr>
        <w:pStyle w:val="8"/>
        <w:spacing w:before="161" w:line="362" w:lineRule="auto"/>
        <w:ind w:left="388" w:right="852" w:firstLine="424"/>
      </w:pPr>
      <w:r>
        <w:t>合同所称法律是指中华人民共和国法律、行政法规、部门规章，以及工程所在地的地方性法规、自治条例、单行条例和地方政府规章等。</w:t>
      </w:r>
    </w:p>
    <w:p>
      <w:pPr>
        <w:pStyle w:val="8"/>
        <w:spacing w:before="5"/>
        <w:ind w:left="812"/>
      </w:pPr>
      <w:r>
        <w:t>合同当事人可以在专用合同条款中约定合同适用的其他规范性文件。</w:t>
      </w:r>
    </w:p>
    <w:p>
      <w:pPr>
        <w:pStyle w:val="16"/>
        <w:numPr>
          <w:ilvl w:val="1"/>
          <w:numId w:val="35"/>
        </w:numPr>
        <w:tabs>
          <w:tab w:val="left" w:pos="868"/>
        </w:tabs>
        <w:spacing w:before="158" w:after="0" w:line="240" w:lineRule="auto"/>
        <w:ind w:left="868" w:right="0" w:hanging="480"/>
        <w:jc w:val="left"/>
        <w:rPr>
          <w:sz w:val="24"/>
        </w:rPr>
      </w:pPr>
      <w:r>
        <w:rPr>
          <w:sz w:val="24"/>
        </w:rPr>
        <w:t>标准和规范</w:t>
      </w:r>
    </w:p>
    <w:p>
      <w:pPr>
        <w:pStyle w:val="16"/>
        <w:numPr>
          <w:ilvl w:val="2"/>
          <w:numId w:val="35"/>
        </w:numPr>
        <w:tabs>
          <w:tab w:val="left" w:pos="1533"/>
        </w:tabs>
        <w:spacing w:before="160" w:after="0" w:line="362" w:lineRule="auto"/>
        <w:ind w:left="388" w:right="852" w:firstLine="424"/>
        <w:jc w:val="left"/>
        <w:rPr>
          <w:sz w:val="24"/>
        </w:rPr>
      </w:pPr>
      <w:r>
        <w:rPr>
          <w:spacing w:val="-1"/>
          <w:sz w:val="24"/>
        </w:rPr>
        <w:t>适用于工程的国家标准、行业标准、工程所在地的地方性标准，以及相应的规</w:t>
      </w:r>
      <w:r>
        <w:rPr>
          <w:sz w:val="24"/>
        </w:rPr>
        <w:t>范、规程等，合同当事人有特别要求的，应在专用合同条款中约定。</w:t>
      </w:r>
    </w:p>
    <w:p>
      <w:pPr>
        <w:pStyle w:val="16"/>
        <w:numPr>
          <w:ilvl w:val="2"/>
          <w:numId w:val="35"/>
        </w:numPr>
        <w:tabs>
          <w:tab w:val="left" w:pos="1533"/>
        </w:tabs>
        <w:spacing w:before="5" w:after="0" w:line="362" w:lineRule="auto"/>
        <w:ind w:left="388" w:right="852" w:firstLine="424"/>
        <w:jc w:val="left"/>
        <w:rPr>
          <w:sz w:val="24"/>
        </w:rPr>
      </w:pPr>
      <w:r>
        <w:rPr>
          <w:spacing w:val="-1"/>
          <w:sz w:val="24"/>
        </w:rPr>
        <w:t>发包人要求使用国外标准、规范的，发包人负责提供原文版本和中文译本，并</w:t>
      </w:r>
      <w:r>
        <w:rPr>
          <w:sz w:val="24"/>
        </w:rPr>
        <w:t>在专用合同条款中约定提供标准规范的名称、份数和时间。</w:t>
      </w:r>
    </w:p>
    <w:p>
      <w:pPr>
        <w:pStyle w:val="16"/>
        <w:numPr>
          <w:ilvl w:val="2"/>
          <w:numId w:val="35"/>
        </w:numPr>
        <w:tabs>
          <w:tab w:val="left" w:pos="1533"/>
        </w:tabs>
        <w:spacing w:before="5" w:after="0" w:line="364" w:lineRule="auto"/>
        <w:ind w:left="388" w:right="624" w:firstLine="424"/>
        <w:jc w:val="left"/>
        <w:rPr>
          <w:sz w:val="24"/>
        </w:rPr>
      </w:pPr>
      <w:r>
        <w:rPr>
          <w:spacing w:val="-3"/>
          <w:sz w:val="24"/>
        </w:rPr>
        <w:t xml:space="preserve">发包人对工程的技术标准、功能要求高于或严于现行国家、行业或地方标准的， </w:t>
      </w:r>
      <w:r>
        <w:rPr>
          <w:sz w:val="24"/>
        </w:rPr>
        <w:t>应当在专用合同条款中予以明确。除专用合同条款另有约定外，应视为承包人在签订合同</w:t>
      </w:r>
      <w:r>
        <w:rPr>
          <w:spacing w:val="-4"/>
          <w:sz w:val="24"/>
        </w:rPr>
        <w:t>前已充分预见前述技术标准和功能要求的复杂程度，签约合同价中已包含由此产生的费用。</w:t>
      </w:r>
    </w:p>
    <w:p>
      <w:pPr>
        <w:pStyle w:val="16"/>
        <w:numPr>
          <w:ilvl w:val="1"/>
          <w:numId w:val="35"/>
        </w:numPr>
        <w:tabs>
          <w:tab w:val="left" w:pos="868"/>
        </w:tabs>
        <w:spacing w:before="0" w:after="0" w:line="307" w:lineRule="exact"/>
        <w:ind w:left="868" w:right="0" w:hanging="480"/>
        <w:jc w:val="left"/>
        <w:rPr>
          <w:sz w:val="24"/>
        </w:rPr>
      </w:pPr>
      <w:r>
        <w:rPr>
          <w:sz w:val="24"/>
        </w:rPr>
        <w:t>合同文件的优先顺序</w:t>
      </w:r>
    </w:p>
    <w:p>
      <w:pPr>
        <w:pStyle w:val="8"/>
        <w:spacing w:before="158" w:line="362" w:lineRule="auto"/>
        <w:ind w:left="388" w:right="852" w:firstLine="424"/>
      </w:pPr>
      <w:r>
        <w:t>组成合同的各项文件应互相解释，互为说明。除专用合同条款另有约定外，解释合同文件的优先顺序如下：</w:t>
      </w:r>
    </w:p>
    <w:p>
      <w:pPr>
        <w:pStyle w:val="16"/>
        <w:numPr>
          <w:ilvl w:val="0"/>
          <w:numId w:val="36"/>
        </w:numPr>
        <w:tabs>
          <w:tab w:val="left" w:pos="989"/>
        </w:tabs>
        <w:spacing w:before="5" w:after="0" w:line="240" w:lineRule="auto"/>
        <w:ind w:left="989" w:right="0" w:hanging="601"/>
        <w:jc w:val="left"/>
        <w:rPr>
          <w:sz w:val="24"/>
        </w:rPr>
      </w:pPr>
      <w:r>
        <w:rPr>
          <w:sz w:val="24"/>
        </w:rPr>
        <w:t>合同协议书；</w:t>
      </w:r>
    </w:p>
    <w:p>
      <w:pPr>
        <w:pStyle w:val="16"/>
        <w:numPr>
          <w:ilvl w:val="0"/>
          <w:numId w:val="36"/>
        </w:numPr>
        <w:tabs>
          <w:tab w:val="left" w:pos="989"/>
        </w:tabs>
        <w:spacing w:before="161" w:after="0" w:line="240" w:lineRule="auto"/>
        <w:ind w:left="989" w:right="0" w:hanging="601"/>
        <w:jc w:val="left"/>
        <w:rPr>
          <w:sz w:val="24"/>
        </w:rPr>
      </w:pPr>
      <w:r>
        <w:rPr>
          <w:sz w:val="24"/>
        </w:rPr>
        <w:t>中标通知书（如果有）；</w:t>
      </w:r>
    </w:p>
    <w:p>
      <w:pPr>
        <w:pStyle w:val="16"/>
        <w:numPr>
          <w:ilvl w:val="0"/>
          <w:numId w:val="36"/>
        </w:numPr>
        <w:tabs>
          <w:tab w:val="left" w:pos="989"/>
        </w:tabs>
        <w:spacing w:before="158" w:after="0" w:line="240" w:lineRule="auto"/>
        <w:ind w:left="989" w:right="0" w:hanging="601"/>
        <w:jc w:val="left"/>
        <w:rPr>
          <w:sz w:val="24"/>
        </w:rPr>
      </w:pPr>
      <w:r>
        <w:rPr>
          <w:sz w:val="24"/>
        </w:rPr>
        <w:t>响应函及其附录（如果有）；</w:t>
      </w:r>
    </w:p>
    <w:p>
      <w:pPr>
        <w:spacing w:after="0" w:line="240"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83" o:spid="_x0000_s1083" o:spt="20" style="position:absolute;left:0pt;margin-left:62.4pt;margin-top:12.25pt;height:0pt;width:400.4pt;mso-position-horizontal-relative:page;z-index:25173401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0"/>
          <w:numId w:val="36"/>
        </w:numPr>
        <w:tabs>
          <w:tab w:val="left" w:pos="989"/>
        </w:tabs>
        <w:spacing w:before="67" w:after="0" w:line="240" w:lineRule="auto"/>
        <w:ind w:left="989" w:right="0" w:hanging="601"/>
        <w:jc w:val="left"/>
        <w:rPr>
          <w:sz w:val="24"/>
        </w:rPr>
      </w:pPr>
      <w:r>
        <w:rPr>
          <w:sz w:val="24"/>
        </w:rPr>
        <w:t>专用合同条款及其附件；</w:t>
      </w:r>
    </w:p>
    <w:p>
      <w:pPr>
        <w:pStyle w:val="16"/>
        <w:numPr>
          <w:ilvl w:val="0"/>
          <w:numId w:val="36"/>
        </w:numPr>
        <w:tabs>
          <w:tab w:val="left" w:pos="989"/>
        </w:tabs>
        <w:spacing w:before="158" w:after="0" w:line="240" w:lineRule="auto"/>
        <w:ind w:left="989" w:right="0" w:hanging="601"/>
        <w:jc w:val="left"/>
        <w:rPr>
          <w:sz w:val="24"/>
        </w:rPr>
      </w:pPr>
      <w:r>
        <w:rPr>
          <w:sz w:val="24"/>
        </w:rPr>
        <w:t>通用合同条款；</w:t>
      </w:r>
    </w:p>
    <w:p>
      <w:pPr>
        <w:pStyle w:val="16"/>
        <w:numPr>
          <w:ilvl w:val="0"/>
          <w:numId w:val="36"/>
        </w:numPr>
        <w:tabs>
          <w:tab w:val="left" w:pos="989"/>
        </w:tabs>
        <w:spacing w:before="160" w:after="0" w:line="240" w:lineRule="auto"/>
        <w:ind w:left="989" w:right="0" w:hanging="601"/>
        <w:jc w:val="left"/>
        <w:rPr>
          <w:sz w:val="24"/>
        </w:rPr>
      </w:pPr>
      <w:r>
        <w:rPr>
          <w:sz w:val="24"/>
        </w:rPr>
        <w:t>技术标准和要求；</w:t>
      </w:r>
    </w:p>
    <w:p>
      <w:pPr>
        <w:pStyle w:val="16"/>
        <w:numPr>
          <w:ilvl w:val="0"/>
          <w:numId w:val="36"/>
        </w:numPr>
        <w:tabs>
          <w:tab w:val="left" w:pos="989"/>
        </w:tabs>
        <w:spacing w:before="158" w:after="0" w:line="240" w:lineRule="auto"/>
        <w:ind w:left="989" w:right="0" w:hanging="601"/>
        <w:jc w:val="left"/>
        <w:rPr>
          <w:sz w:val="24"/>
        </w:rPr>
      </w:pPr>
      <w:r>
        <w:rPr>
          <w:sz w:val="24"/>
        </w:rPr>
        <w:t>图纸；</w:t>
      </w:r>
    </w:p>
    <w:p>
      <w:pPr>
        <w:pStyle w:val="16"/>
        <w:numPr>
          <w:ilvl w:val="0"/>
          <w:numId w:val="36"/>
        </w:numPr>
        <w:tabs>
          <w:tab w:val="left" w:pos="989"/>
        </w:tabs>
        <w:spacing w:before="161" w:after="0" w:line="240" w:lineRule="auto"/>
        <w:ind w:left="989" w:right="0" w:hanging="601"/>
        <w:jc w:val="left"/>
        <w:rPr>
          <w:sz w:val="24"/>
        </w:rPr>
      </w:pPr>
      <w:r>
        <w:rPr>
          <w:sz w:val="24"/>
        </w:rPr>
        <w:t>已标价工程量清单或预算书；</w:t>
      </w:r>
    </w:p>
    <w:p>
      <w:pPr>
        <w:pStyle w:val="16"/>
        <w:numPr>
          <w:ilvl w:val="0"/>
          <w:numId w:val="36"/>
        </w:numPr>
        <w:tabs>
          <w:tab w:val="left" w:pos="989"/>
        </w:tabs>
        <w:spacing w:before="158" w:after="0" w:line="240" w:lineRule="auto"/>
        <w:ind w:left="989" w:right="0" w:hanging="601"/>
        <w:jc w:val="left"/>
        <w:rPr>
          <w:sz w:val="24"/>
        </w:rPr>
      </w:pPr>
      <w:r>
        <w:rPr>
          <w:sz w:val="24"/>
        </w:rPr>
        <w:t>其他合同文件。</w:t>
      </w:r>
    </w:p>
    <w:p>
      <w:pPr>
        <w:pStyle w:val="8"/>
        <w:spacing w:before="161" w:line="364" w:lineRule="auto"/>
        <w:ind w:left="388" w:right="798" w:firstLine="480"/>
      </w:pPr>
      <w:r>
        <w:t>上述各项合同文件包括合同当事人就该项合同文件所作出的补充和修改，属于同一类内容的文件，应以最新签署的为准。</w:t>
      </w:r>
    </w:p>
    <w:p>
      <w:pPr>
        <w:pStyle w:val="8"/>
        <w:spacing w:line="362" w:lineRule="auto"/>
        <w:ind w:left="388" w:right="798" w:firstLine="480"/>
      </w:pPr>
      <w:r>
        <w:t>在合同订立及履行过程中形成的与合同有关的文件均构成合同文件组成部分，并根据其性质确定优先解释顺序。</w:t>
      </w:r>
    </w:p>
    <w:p>
      <w:pPr>
        <w:pStyle w:val="16"/>
        <w:numPr>
          <w:ilvl w:val="1"/>
          <w:numId w:val="35"/>
        </w:numPr>
        <w:tabs>
          <w:tab w:val="left" w:pos="808"/>
        </w:tabs>
        <w:spacing w:before="3" w:after="0" w:line="240" w:lineRule="auto"/>
        <w:ind w:left="808" w:right="0" w:hanging="420"/>
        <w:jc w:val="left"/>
        <w:rPr>
          <w:sz w:val="24"/>
        </w:rPr>
      </w:pPr>
      <w:r>
        <w:rPr>
          <w:sz w:val="24"/>
        </w:rPr>
        <w:t>图纸和承包人文件</w:t>
      </w:r>
    </w:p>
    <w:p>
      <w:pPr>
        <w:pStyle w:val="16"/>
        <w:numPr>
          <w:ilvl w:val="2"/>
          <w:numId w:val="35"/>
        </w:numPr>
        <w:tabs>
          <w:tab w:val="left" w:pos="1533"/>
        </w:tabs>
        <w:spacing w:before="161" w:after="0" w:line="240" w:lineRule="auto"/>
        <w:ind w:left="1532" w:right="0" w:hanging="721"/>
        <w:jc w:val="left"/>
        <w:rPr>
          <w:sz w:val="24"/>
        </w:rPr>
      </w:pPr>
      <w:r>
        <w:rPr>
          <w:sz w:val="24"/>
        </w:rPr>
        <w:t>图纸的提供和交底</w:t>
      </w:r>
    </w:p>
    <w:p>
      <w:pPr>
        <w:pStyle w:val="8"/>
        <w:spacing w:before="158" w:line="364" w:lineRule="auto"/>
        <w:ind w:left="388" w:right="798" w:firstLine="424"/>
      </w:pPr>
      <w:r>
        <w:t>发包人应按照专用合同条款约定的期限、数量和内容向承包人免费提供图纸，并组织</w:t>
      </w:r>
      <w:r>
        <w:rPr>
          <w:spacing w:val="-2"/>
        </w:rPr>
        <w:t xml:space="preserve">承包人、监理人和设计人进行图纸会审和设计交底。发包人至迟不得晚于第 </w:t>
      </w:r>
      <w:r>
        <w:t>7.3.2</w:t>
      </w:r>
      <w:r>
        <w:rPr>
          <w:spacing w:val="-20"/>
        </w:rPr>
        <w:t xml:space="preserve"> 项〔开</w:t>
      </w:r>
    </w:p>
    <w:p>
      <w:pPr>
        <w:pStyle w:val="8"/>
        <w:spacing w:line="306" w:lineRule="exact"/>
        <w:ind w:left="388"/>
      </w:pPr>
      <w:r>
        <w:t>工通知〕载明的开工日期前 14 天向承包人提供图纸。</w:t>
      </w:r>
    </w:p>
    <w:p>
      <w:pPr>
        <w:pStyle w:val="8"/>
        <w:spacing w:before="160" w:line="362" w:lineRule="auto"/>
        <w:ind w:left="388" w:right="744" w:firstLine="424"/>
      </w:pPr>
      <w:r>
        <w:rPr>
          <w:spacing w:val="-5"/>
        </w:rPr>
        <w:t>因发包人未按合同约定提供图纸导致承包人费用增加和</w:t>
      </w:r>
      <w:r>
        <w:t>（或</w:t>
      </w:r>
      <w:r>
        <w:rPr>
          <w:spacing w:val="-104"/>
        </w:rPr>
        <w:t>）</w:t>
      </w:r>
      <w:r>
        <w:rPr>
          <w:spacing w:val="-18"/>
        </w:rPr>
        <w:t xml:space="preserve">工期延误的，按照第 </w:t>
      </w:r>
      <w:r>
        <w:rPr>
          <w:spacing w:val="-3"/>
        </w:rPr>
        <w:t xml:space="preserve">7.5.1 </w:t>
      </w:r>
      <w:r>
        <w:t>项〔因发包人原因导致工期延误〕约定办理。</w:t>
      </w:r>
    </w:p>
    <w:p>
      <w:pPr>
        <w:pStyle w:val="16"/>
        <w:numPr>
          <w:ilvl w:val="2"/>
          <w:numId w:val="35"/>
        </w:numPr>
        <w:tabs>
          <w:tab w:val="left" w:pos="1533"/>
        </w:tabs>
        <w:spacing w:before="5" w:after="0" w:line="240" w:lineRule="auto"/>
        <w:ind w:left="1532" w:right="0" w:hanging="721"/>
        <w:jc w:val="left"/>
        <w:rPr>
          <w:sz w:val="24"/>
        </w:rPr>
      </w:pPr>
      <w:r>
        <w:rPr>
          <w:sz w:val="24"/>
        </w:rPr>
        <w:t>图纸的错误</w:t>
      </w:r>
    </w:p>
    <w:p>
      <w:pPr>
        <w:pStyle w:val="8"/>
        <w:spacing w:before="158" w:line="364" w:lineRule="auto"/>
        <w:ind w:left="388" w:right="624" w:firstLine="424"/>
      </w:pPr>
      <w:r>
        <w:t>承包人在收到发包人提供的图纸后，发现图纸存在差错、遗漏或缺陷的，应及时通知监理人。监理人接到该通知后，应附具相关意见并立即报送发包人，发包人应在收到监理</w:t>
      </w:r>
      <w:r>
        <w:rPr>
          <w:spacing w:val="-5"/>
        </w:rPr>
        <w:t xml:space="preserve">人报送的通知后的合理时间内作出决定。合理时间是指发包人在收到监理人的报送通知后， </w:t>
      </w:r>
      <w:r>
        <w:t>尽其努力且不懈怠地完成图纸修改补充所需的时间。</w:t>
      </w:r>
    </w:p>
    <w:p>
      <w:pPr>
        <w:pStyle w:val="16"/>
        <w:numPr>
          <w:ilvl w:val="2"/>
          <w:numId w:val="35"/>
        </w:numPr>
        <w:tabs>
          <w:tab w:val="left" w:pos="1533"/>
        </w:tabs>
        <w:spacing w:before="0" w:after="0" w:line="240" w:lineRule="auto"/>
        <w:ind w:left="1532" w:right="0" w:hanging="721"/>
        <w:jc w:val="left"/>
        <w:rPr>
          <w:sz w:val="24"/>
        </w:rPr>
      </w:pPr>
      <w:r>
        <w:rPr>
          <w:sz w:val="24"/>
        </w:rPr>
        <w:t>图纸的修改和补充</w:t>
      </w:r>
    </w:p>
    <w:p>
      <w:pPr>
        <w:pStyle w:val="8"/>
        <w:spacing w:before="159" w:line="364" w:lineRule="auto"/>
        <w:ind w:left="388" w:right="798" w:firstLine="424"/>
        <w:jc w:val="both"/>
      </w:pPr>
      <w:r>
        <w:t>图纸需要修改和补充的，应经图纸原设计人及审批部门同意，并由监理人在工程或工程相应部位施工前将修改后的图纸或补充图纸提交给承包人，承包人应按修改或补充后的图纸施工。</w:t>
      </w:r>
    </w:p>
    <w:p>
      <w:pPr>
        <w:pStyle w:val="16"/>
        <w:numPr>
          <w:ilvl w:val="2"/>
          <w:numId w:val="35"/>
        </w:numPr>
        <w:tabs>
          <w:tab w:val="left" w:pos="1533"/>
        </w:tabs>
        <w:spacing w:before="0" w:after="0" w:line="304" w:lineRule="exact"/>
        <w:ind w:left="1532" w:right="0" w:hanging="721"/>
        <w:jc w:val="both"/>
        <w:rPr>
          <w:sz w:val="24"/>
        </w:rPr>
      </w:pPr>
      <w:r>
        <w:rPr>
          <w:sz w:val="24"/>
        </w:rPr>
        <w:t>承包人文件</w:t>
      </w:r>
    </w:p>
    <w:p>
      <w:pPr>
        <w:pStyle w:val="8"/>
        <w:spacing w:before="160" w:line="364" w:lineRule="auto"/>
        <w:ind w:left="388" w:right="852" w:firstLine="424"/>
      </w:pPr>
      <w:r>
        <w:t>承包人应按照专用合同条款的约定提供应当由其编制的与工程施工有关的文件，并按照专用合同条款约定的期限、数量和形式提交监理人，并由监理人报送发包人。</w:t>
      </w:r>
    </w:p>
    <w:p>
      <w:pPr>
        <w:spacing w:after="0" w:line="364" w:lineRule="auto"/>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84" o:spid="_x0000_s1084" o:spt="20" style="position:absolute;left:0pt;margin-left:62.4pt;margin-top:12.25pt;height:0pt;width:400.4pt;mso-position-horizontal-relative:page;z-index:25173504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4" w:lineRule="auto"/>
        <w:ind w:left="388" w:right="798" w:firstLine="424"/>
        <w:jc w:val="both"/>
      </w:pPr>
      <w:r>
        <w:rPr>
          <w:spacing w:val="-3"/>
        </w:rPr>
        <w:t xml:space="preserve">除专用合同条款另有约定外，监理人应在收到承包人文件后 </w:t>
      </w:r>
      <w:r>
        <w:t>7</w:t>
      </w:r>
      <w:r>
        <w:rPr>
          <w:spacing w:val="-8"/>
        </w:rPr>
        <w:t xml:space="preserve"> 天内审查完毕，监理人</w:t>
      </w:r>
      <w:r>
        <w:rPr>
          <w:spacing w:val="-9"/>
        </w:rPr>
        <w:t>对承包人文件有异议的，承包人应予以修改，并重新报送监理人。监理人的审查并不减轻</w:t>
      </w:r>
      <w:r>
        <w:t>或免除承包人根据合同约定应当承担的责任。</w:t>
      </w:r>
    </w:p>
    <w:p>
      <w:pPr>
        <w:pStyle w:val="16"/>
        <w:numPr>
          <w:ilvl w:val="2"/>
          <w:numId w:val="35"/>
        </w:numPr>
        <w:tabs>
          <w:tab w:val="left" w:pos="1533"/>
        </w:tabs>
        <w:spacing w:before="0" w:after="0" w:line="304" w:lineRule="exact"/>
        <w:ind w:left="1532" w:right="0" w:hanging="721"/>
        <w:jc w:val="both"/>
        <w:rPr>
          <w:sz w:val="24"/>
        </w:rPr>
      </w:pPr>
      <w:r>
        <w:rPr>
          <w:sz w:val="24"/>
        </w:rPr>
        <w:t>图纸和承包人文件的保管</w:t>
      </w:r>
    </w:p>
    <w:p>
      <w:pPr>
        <w:pStyle w:val="8"/>
        <w:spacing w:before="160" w:line="362" w:lineRule="auto"/>
        <w:ind w:left="388" w:right="852" w:firstLine="424"/>
      </w:pPr>
      <w:r>
        <w:t>除专用合同条款另有约定外，承包人应在施工现场另外保存一套完整的图纸和承包人文件，供发包人、监理人及有关人员进行工程检查时使用。</w:t>
      </w:r>
    </w:p>
    <w:p>
      <w:pPr>
        <w:pStyle w:val="16"/>
        <w:numPr>
          <w:ilvl w:val="1"/>
          <w:numId w:val="35"/>
        </w:numPr>
        <w:tabs>
          <w:tab w:val="left" w:pos="808"/>
        </w:tabs>
        <w:spacing w:before="5" w:after="0" w:line="240" w:lineRule="auto"/>
        <w:ind w:left="808" w:right="0" w:hanging="420"/>
        <w:jc w:val="left"/>
        <w:rPr>
          <w:sz w:val="24"/>
        </w:rPr>
      </w:pPr>
      <w:r>
        <w:rPr>
          <w:sz w:val="24"/>
        </w:rPr>
        <w:t>联络</w:t>
      </w:r>
    </w:p>
    <w:p>
      <w:pPr>
        <w:pStyle w:val="16"/>
        <w:numPr>
          <w:ilvl w:val="2"/>
          <w:numId w:val="35"/>
        </w:numPr>
        <w:tabs>
          <w:tab w:val="left" w:pos="1533"/>
        </w:tabs>
        <w:spacing w:before="161" w:after="0" w:line="362" w:lineRule="auto"/>
        <w:ind w:left="388" w:right="624" w:firstLine="424"/>
        <w:jc w:val="left"/>
        <w:rPr>
          <w:sz w:val="24"/>
        </w:rPr>
      </w:pPr>
      <w:r>
        <w:rPr>
          <w:sz w:val="24"/>
        </w:rPr>
        <w:t>与合同有关的通知、批准、证明、证书、指示、指令、要求、请求、同意、意</w:t>
      </w:r>
      <w:r>
        <w:rPr>
          <w:spacing w:val="-9"/>
          <w:sz w:val="24"/>
        </w:rPr>
        <w:t>见、确定和决定等，均应采用书面形式，并应在合同约定的期限内送达接收人和送达地点。</w:t>
      </w:r>
    </w:p>
    <w:p>
      <w:pPr>
        <w:pStyle w:val="16"/>
        <w:numPr>
          <w:ilvl w:val="2"/>
          <w:numId w:val="35"/>
        </w:numPr>
        <w:tabs>
          <w:tab w:val="left" w:pos="1533"/>
        </w:tabs>
        <w:spacing w:before="2" w:after="0" w:line="364" w:lineRule="auto"/>
        <w:ind w:left="388" w:right="798" w:firstLine="424"/>
        <w:jc w:val="left"/>
        <w:rPr>
          <w:sz w:val="24"/>
        </w:rPr>
      </w:pPr>
      <w:r>
        <w:rPr>
          <w:sz w:val="24"/>
        </w:rPr>
        <w:t>发包人和承包人应在专用合同条款中约定各自的送达接收人和送达地点。任何</w:t>
      </w:r>
      <w:r>
        <w:rPr>
          <w:spacing w:val="-3"/>
          <w:sz w:val="24"/>
        </w:rPr>
        <w:t xml:space="preserve">一方合同当事人指定的接收人或送达地点发生变动的，应提前 </w:t>
      </w:r>
      <w:r>
        <w:rPr>
          <w:sz w:val="24"/>
        </w:rPr>
        <w:t>3</w:t>
      </w:r>
      <w:r>
        <w:rPr>
          <w:spacing w:val="-9"/>
          <w:sz w:val="24"/>
        </w:rPr>
        <w:t xml:space="preserve"> 天以书面形式通知对方。</w:t>
      </w:r>
    </w:p>
    <w:p>
      <w:pPr>
        <w:pStyle w:val="16"/>
        <w:numPr>
          <w:ilvl w:val="2"/>
          <w:numId w:val="35"/>
        </w:numPr>
        <w:tabs>
          <w:tab w:val="left" w:pos="1533"/>
        </w:tabs>
        <w:spacing w:before="1" w:after="0" w:line="362" w:lineRule="auto"/>
        <w:ind w:left="388" w:right="1092" w:firstLine="424"/>
        <w:jc w:val="left"/>
        <w:rPr>
          <w:sz w:val="24"/>
        </w:rPr>
      </w:pPr>
      <w:r>
        <w:rPr>
          <w:spacing w:val="-1"/>
          <w:sz w:val="24"/>
        </w:rPr>
        <w:t>发包人和承包人应当及时签收另一方送达至送达地点和指定接收人的来往信</w:t>
      </w:r>
      <w:r>
        <w:rPr>
          <w:sz w:val="24"/>
        </w:rPr>
        <w:t>函。拒不签收的，由此增加的费用和（或）延误的工期由拒绝接收一方承担。</w:t>
      </w:r>
    </w:p>
    <w:p>
      <w:pPr>
        <w:pStyle w:val="16"/>
        <w:numPr>
          <w:ilvl w:val="1"/>
          <w:numId w:val="35"/>
        </w:numPr>
        <w:tabs>
          <w:tab w:val="left" w:pos="808"/>
        </w:tabs>
        <w:spacing w:before="5" w:after="0" w:line="240" w:lineRule="auto"/>
        <w:ind w:left="808" w:right="0" w:hanging="420"/>
        <w:jc w:val="left"/>
        <w:rPr>
          <w:sz w:val="24"/>
        </w:rPr>
      </w:pPr>
      <w:r>
        <w:rPr>
          <w:sz w:val="24"/>
        </w:rPr>
        <w:t>严禁贿赂</w:t>
      </w:r>
    </w:p>
    <w:p>
      <w:pPr>
        <w:pStyle w:val="8"/>
        <w:spacing w:before="159" w:line="364" w:lineRule="auto"/>
        <w:ind w:left="388" w:right="852" w:firstLine="424"/>
      </w:pPr>
      <w:r>
        <w:t>合同当事人不得以贿赂或变相贿赂的方式，谋取非法利益或损害对方权益。因一方合同当事人的贿赂造成对方损失的，应赔偿损失，并承担相应的法律责任。</w:t>
      </w:r>
    </w:p>
    <w:p>
      <w:pPr>
        <w:pStyle w:val="8"/>
        <w:spacing w:line="364" w:lineRule="auto"/>
        <w:ind w:left="388" w:right="624" w:firstLine="424"/>
      </w:pPr>
      <w:r>
        <w:t>承包人不得与监理人或发包人聘请的第三方串通损害发包人利益。未经发包人书面同</w:t>
      </w:r>
      <w:r>
        <w:rPr>
          <w:spacing w:val="-9"/>
        </w:rPr>
        <w:t xml:space="preserve">意，承包人不得为监理人提供合同约定以外的通讯设备、交通工具及其他任何形式的利益， </w:t>
      </w:r>
      <w:r>
        <w:t>不得向监理人支付报酬。</w:t>
      </w:r>
    </w:p>
    <w:p>
      <w:pPr>
        <w:pStyle w:val="16"/>
        <w:numPr>
          <w:ilvl w:val="1"/>
          <w:numId w:val="35"/>
        </w:numPr>
        <w:tabs>
          <w:tab w:val="left" w:pos="808"/>
        </w:tabs>
        <w:spacing w:before="0" w:after="0" w:line="307" w:lineRule="exact"/>
        <w:ind w:left="808" w:right="0" w:hanging="420"/>
        <w:jc w:val="left"/>
        <w:rPr>
          <w:sz w:val="24"/>
        </w:rPr>
      </w:pPr>
      <w:r>
        <w:rPr>
          <w:sz w:val="24"/>
        </w:rPr>
        <w:t>化石、文物</w:t>
      </w:r>
    </w:p>
    <w:p>
      <w:pPr>
        <w:pStyle w:val="8"/>
        <w:spacing w:before="156" w:line="364" w:lineRule="auto"/>
        <w:ind w:left="388" w:right="798" w:firstLine="424"/>
        <w:jc w:val="both"/>
      </w:pPr>
      <w: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pStyle w:val="8"/>
        <w:spacing w:line="364" w:lineRule="auto"/>
        <w:ind w:left="388" w:right="852" w:firstLine="424"/>
      </w:pPr>
      <w:r>
        <w:t>发包人、监理人和承包人应按有关政府行政管理部门要求采取妥善的保护措施，由此增加的费用和（或）延误的工期由发包人承担。</w:t>
      </w:r>
    </w:p>
    <w:p>
      <w:pPr>
        <w:pStyle w:val="8"/>
        <w:spacing w:line="362" w:lineRule="auto"/>
        <w:ind w:left="388" w:right="852" w:firstLine="424"/>
      </w:pPr>
      <w:r>
        <w:rPr>
          <w:spacing w:val="-1"/>
        </w:rPr>
        <w:t>承包人发现文物后不及时报告或隐瞒不报，致使文物丢失或损坏的，应赔偿损失，并</w:t>
      </w:r>
      <w:r>
        <w:t>承担相应的法律责任。</w:t>
      </w:r>
    </w:p>
    <w:p>
      <w:pPr>
        <w:pStyle w:val="16"/>
        <w:numPr>
          <w:ilvl w:val="1"/>
          <w:numId w:val="35"/>
        </w:numPr>
        <w:tabs>
          <w:tab w:val="left" w:pos="928"/>
        </w:tabs>
        <w:spacing w:before="4" w:after="0" w:line="240" w:lineRule="auto"/>
        <w:ind w:left="928" w:right="0" w:hanging="540"/>
        <w:jc w:val="left"/>
        <w:rPr>
          <w:sz w:val="24"/>
        </w:rPr>
      </w:pPr>
      <w:r>
        <w:rPr>
          <w:sz w:val="24"/>
        </w:rPr>
        <w:t>交通运输</w:t>
      </w:r>
    </w:p>
    <w:p>
      <w:pPr>
        <w:pStyle w:val="16"/>
        <w:numPr>
          <w:ilvl w:val="2"/>
          <w:numId w:val="35"/>
        </w:numPr>
        <w:tabs>
          <w:tab w:val="left" w:pos="1653"/>
        </w:tabs>
        <w:spacing w:before="160" w:after="0" w:line="240" w:lineRule="auto"/>
        <w:ind w:left="1652" w:right="0" w:hanging="841"/>
        <w:jc w:val="both"/>
        <w:rPr>
          <w:sz w:val="24"/>
        </w:rPr>
      </w:pPr>
      <w:r>
        <w:rPr>
          <w:sz w:val="24"/>
        </w:rPr>
        <w:t>出入现场的权利</w:t>
      </w:r>
    </w:p>
    <w:p>
      <w:pPr>
        <w:spacing w:after="0" w:line="240" w:lineRule="auto"/>
        <w:jc w:val="both"/>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85" o:spid="_x0000_s1085" o:spt="20" style="position:absolute;left:0pt;margin-left:62.4pt;margin-top:12.25pt;height:0pt;width:400.4pt;mso-position-horizontal-relative:page;z-index:25173606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4" w:lineRule="auto"/>
        <w:ind w:left="388" w:right="798" w:firstLine="424"/>
        <w:jc w:val="both"/>
      </w:pPr>
      <w: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pPr>
        <w:pStyle w:val="8"/>
        <w:spacing w:line="364" w:lineRule="auto"/>
        <w:ind w:left="388" w:right="798" w:firstLine="424"/>
        <w:jc w:val="both"/>
      </w:pPr>
      <w:r>
        <w:t>承包人应在订立合同前查勘施工现场，并根据工程规模及技术参数合理预见工程施工所需的进出施工现场的方式、手段、路径等。因承包人未合理预见所增加的费用和（或） 延误的工期由承包人承担。</w:t>
      </w:r>
    </w:p>
    <w:p>
      <w:pPr>
        <w:pStyle w:val="16"/>
        <w:numPr>
          <w:ilvl w:val="2"/>
          <w:numId w:val="35"/>
        </w:numPr>
        <w:tabs>
          <w:tab w:val="left" w:pos="1653"/>
        </w:tabs>
        <w:spacing w:before="0" w:after="0" w:line="307" w:lineRule="exact"/>
        <w:ind w:left="1652" w:right="0" w:hanging="841"/>
        <w:jc w:val="both"/>
        <w:rPr>
          <w:sz w:val="24"/>
        </w:rPr>
      </w:pPr>
      <w:r>
        <w:rPr>
          <w:sz w:val="24"/>
        </w:rPr>
        <w:t>场外交通</w:t>
      </w:r>
    </w:p>
    <w:p>
      <w:pPr>
        <w:pStyle w:val="8"/>
        <w:spacing w:before="155" w:line="364" w:lineRule="auto"/>
        <w:ind w:left="388" w:right="798" w:firstLine="424"/>
        <w:jc w:val="both"/>
      </w:pPr>
      <w: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pStyle w:val="16"/>
        <w:numPr>
          <w:ilvl w:val="2"/>
          <w:numId w:val="35"/>
        </w:numPr>
        <w:tabs>
          <w:tab w:val="left" w:pos="1593"/>
        </w:tabs>
        <w:spacing w:before="0" w:after="0" w:line="305" w:lineRule="exact"/>
        <w:ind w:left="1592" w:right="0" w:hanging="781"/>
        <w:jc w:val="both"/>
        <w:rPr>
          <w:sz w:val="24"/>
        </w:rPr>
      </w:pPr>
      <w:r>
        <w:rPr>
          <w:sz w:val="24"/>
        </w:rPr>
        <w:t>场内交通</w:t>
      </w:r>
    </w:p>
    <w:p>
      <w:pPr>
        <w:pStyle w:val="8"/>
        <w:spacing w:before="161" w:line="364" w:lineRule="auto"/>
        <w:ind w:left="388" w:right="798" w:firstLine="424"/>
        <w:jc w:val="both"/>
      </w:pPr>
      <w: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pStyle w:val="8"/>
        <w:spacing w:line="364" w:lineRule="auto"/>
        <w:ind w:left="388" w:right="798" w:firstLine="424"/>
        <w:jc w:val="both"/>
      </w:pPr>
      <w: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pStyle w:val="8"/>
        <w:spacing w:line="307" w:lineRule="exact"/>
        <w:ind w:left="812"/>
      </w:pPr>
      <w:r>
        <w:t>场外交通和场内交通的边界由合同当事人在专用合同条款中约定。</w:t>
      </w:r>
    </w:p>
    <w:p>
      <w:pPr>
        <w:pStyle w:val="16"/>
        <w:numPr>
          <w:ilvl w:val="2"/>
          <w:numId w:val="35"/>
        </w:numPr>
        <w:tabs>
          <w:tab w:val="left" w:pos="1653"/>
        </w:tabs>
        <w:spacing w:before="155" w:after="0" w:line="240" w:lineRule="auto"/>
        <w:ind w:left="1652" w:right="0" w:hanging="841"/>
        <w:jc w:val="left"/>
        <w:rPr>
          <w:sz w:val="24"/>
        </w:rPr>
      </w:pPr>
      <w:r>
        <w:rPr>
          <w:sz w:val="24"/>
        </w:rPr>
        <w:t>超大件和超重件的运输</w:t>
      </w:r>
    </w:p>
    <w:p>
      <w:pPr>
        <w:pStyle w:val="8"/>
        <w:spacing w:before="161" w:line="364" w:lineRule="auto"/>
        <w:ind w:left="388" w:right="590" w:firstLine="424"/>
      </w:pPr>
      <w:r>
        <w:t>由承包人负责运输的超大件或超重件，应由承包人负责向交通管理部门办理申请手续， 发包人给予协助。运输超大件或超重件所需的道路和桥梁临时加固改造费用和其他有关费用，由承包人承担，但专用合同条款另有约定除外。</w:t>
      </w:r>
    </w:p>
    <w:p>
      <w:pPr>
        <w:pStyle w:val="16"/>
        <w:numPr>
          <w:ilvl w:val="2"/>
          <w:numId w:val="35"/>
        </w:numPr>
        <w:tabs>
          <w:tab w:val="left" w:pos="1653"/>
        </w:tabs>
        <w:spacing w:before="0" w:after="0" w:line="307" w:lineRule="exact"/>
        <w:ind w:left="1652" w:right="0" w:hanging="841"/>
        <w:jc w:val="left"/>
        <w:rPr>
          <w:sz w:val="24"/>
        </w:rPr>
      </w:pPr>
      <w:r>
        <w:rPr>
          <w:sz w:val="24"/>
        </w:rPr>
        <w:t>道路和桥梁的损坏责任</w:t>
      </w:r>
    </w:p>
    <w:p>
      <w:pPr>
        <w:pStyle w:val="8"/>
        <w:spacing w:before="158" w:line="362" w:lineRule="auto"/>
        <w:ind w:left="388" w:right="852" w:firstLine="424"/>
      </w:pPr>
      <w:r>
        <w:t>因承包人运输造成施工场地内外公共道路和桥梁损坏的，由承包人承担修复损坏的全部费用和可能引起的赔偿。</w:t>
      </w:r>
    </w:p>
    <w:p>
      <w:pPr>
        <w:pStyle w:val="16"/>
        <w:numPr>
          <w:ilvl w:val="2"/>
          <w:numId w:val="35"/>
        </w:numPr>
        <w:tabs>
          <w:tab w:val="left" w:pos="1653"/>
        </w:tabs>
        <w:spacing w:before="5" w:after="0" w:line="240" w:lineRule="auto"/>
        <w:ind w:left="1652" w:right="0" w:hanging="841"/>
        <w:jc w:val="left"/>
        <w:rPr>
          <w:sz w:val="24"/>
        </w:rPr>
      </w:pPr>
      <w:r>
        <w:rPr>
          <w:sz w:val="24"/>
        </w:rPr>
        <w:t>水路和航空运输</w:t>
      </w:r>
    </w:p>
    <w:p>
      <w:pPr>
        <w:spacing w:after="0" w:line="240"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86" o:spid="_x0000_s1086" o:spt="20" style="position:absolute;left:0pt;margin-left:62.4pt;margin-top:12.25pt;height:0pt;width:400.4pt;mso-position-horizontal-relative:page;z-index:25173708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4" w:lineRule="auto"/>
        <w:ind w:left="388" w:right="590" w:firstLine="424"/>
      </w:pPr>
      <w:r>
        <w:t>本款前述各项的内容适用于水路运输和航空运输，其中“道路”一词的涵义包括河道、航线、船闸、机场、码头、堤防以及水路或航空运输中其他相似结构物；“车辆”一词的涵义包括船舶和飞机等。</w:t>
      </w:r>
    </w:p>
    <w:p>
      <w:pPr>
        <w:pStyle w:val="16"/>
        <w:numPr>
          <w:ilvl w:val="1"/>
          <w:numId w:val="35"/>
        </w:numPr>
        <w:tabs>
          <w:tab w:val="left" w:pos="928"/>
        </w:tabs>
        <w:spacing w:before="0" w:after="0" w:line="304" w:lineRule="exact"/>
        <w:ind w:left="928" w:right="0" w:hanging="540"/>
        <w:jc w:val="left"/>
        <w:rPr>
          <w:sz w:val="24"/>
        </w:rPr>
      </w:pPr>
      <w:r>
        <w:rPr>
          <w:sz w:val="24"/>
        </w:rPr>
        <w:t>知识产权</w:t>
      </w:r>
    </w:p>
    <w:p>
      <w:pPr>
        <w:pStyle w:val="16"/>
        <w:numPr>
          <w:ilvl w:val="2"/>
          <w:numId w:val="35"/>
        </w:numPr>
        <w:tabs>
          <w:tab w:val="left" w:pos="1653"/>
        </w:tabs>
        <w:spacing w:before="160" w:after="0" w:line="364" w:lineRule="auto"/>
        <w:ind w:left="388" w:right="744" w:firstLine="424"/>
        <w:jc w:val="both"/>
        <w:rPr>
          <w:sz w:val="24"/>
        </w:rPr>
      </w:pPr>
      <w:r>
        <w:rPr>
          <w:spacing w:val="-3"/>
          <w:sz w:val="24"/>
        </w:rPr>
        <w:t>除专用合同条款另有约定外，发包人提供给承包人的图纸、发包人为实施工程</w:t>
      </w:r>
      <w:r>
        <w:rPr>
          <w:sz w:val="24"/>
        </w:rPr>
        <w:t>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pStyle w:val="16"/>
        <w:numPr>
          <w:ilvl w:val="2"/>
          <w:numId w:val="35"/>
        </w:numPr>
        <w:tabs>
          <w:tab w:val="left" w:pos="1653"/>
        </w:tabs>
        <w:spacing w:before="0" w:after="0" w:line="364" w:lineRule="auto"/>
        <w:ind w:left="388" w:right="744" w:firstLine="424"/>
        <w:jc w:val="both"/>
        <w:rPr>
          <w:sz w:val="24"/>
        </w:rPr>
      </w:pPr>
      <w:r>
        <w:rPr>
          <w:spacing w:val="-3"/>
          <w:sz w:val="24"/>
        </w:rPr>
        <w:t>除专用合同条款另有约定外，承包人为实施工程所编制的文件，除署名权以外</w:t>
      </w:r>
      <w:r>
        <w:rPr>
          <w:sz w:val="24"/>
        </w:rPr>
        <w:t>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pStyle w:val="16"/>
        <w:numPr>
          <w:ilvl w:val="2"/>
          <w:numId w:val="35"/>
        </w:numPr>
        <w:tabs>
          <w:tab w:val="left" w:pos="1653"/>
        </w:tabs>
        <w:spacing w:before="0" w:after="0" w:line="364" w:lineRule="auto"/>
        <w:ind w:left="388" w:right="744" w:firstLine="424"/>
        <w:jc w:val="both"/>
        <w:rPr>
          <w:sz w:val="24"/>
        </w:rPr>
      </w:pPr>
      <w:r>
        <w:rPr>
          <w:spacing w:val="-2"/>
          <w:sz w:val="24"/>
        </w:rPr>
        <w:t>合同当事人保证在履行合同过程中不侵犯对方及第三方的知识产权。承包人在</w:t>
      </w:r>
      <w:r>
        <w:rPr>
          <w:sz w:val="24"/>
        </w:rPr>
        <w:t>使用材料、施工设备、工程设备或采用施工工艺时，因侵犯他人的专利权或其他知识产权所引起的责任，由承包人承担；因发包人提供的材料、施工设备、工程设备或施工工艺导致侵权的，由发包人承担责任。</w:t>
      </w:r>
    </w:p>
    <w:p>
      <w:pPr>
        <w:pStyle w:val="16"/>
        <w:numPr>
          <w:ilvl w:val="2"/>
          <w:numId w:val="35"/>
        </w:numPr>
        <w:tabs>
          <w:tab w:val="left" w:pos="2133"/>
        </w:tabs>
        <w:spacing w:before="0" w:after="0" w:line="362" w:lineRule="auto"/>
        <w:ind w:left="388" w:right="744" w:firstLine="904"/>
        <w:jc w:val="both"/>
        <w:rPr>
          <w:sz w:val="24"/>
        </w:rPr>
      </w:pPr>
      <w:r>
        <w:rPr>
          <w:spacing w:val="-2"/>
          <w:sz w:val="24"/>
        </w:rPr>
        <w:t>除专用合同条款另有约定外，承包人在合同签订前和签订时已确定采用的</w:t>
      </w:r>
      <w:r>
        <w:rPr>
          <w:sz w:val="24"/>
        </w:rPr>
        <w:t>专利、专有技术、技术秘密的使用费已包含在签约合同价中。</w:t>
      </w:r>
    </w:p>
    <w:p>
      <w:pPr>
        <w:pStyle w:val="16"/>
        <w:numPr>
          <w:ilvl w:val="1"/>
          <w:numId w:val="35"/>
        </w:numPr>
        <w:tabs>
          <w:tab w:val="left" w:pos="928"/>
        </w:tabs>
        <w:spacing w:before="0" w:after="0" w:line="240" w:lineRule="auto"/>
        <w:ind w:left="928" w:right="0" w:hanging="540"/>
        <w:jc w:val="both"/>
        <w:rPr>
          <w:sz w:val="24"/>
        </w:rPr>
      </w:pPr>
      <w:r>
        <w:rPr>
          <w:sz w:val="24"/>
        </w:rPr>
        <w:t>保密</w:t>
      </w:r>
    </w:p>
    <w:p>
      <w:pPr>
        <w:pStyle w:val="8"/>
        <w:spacing w:before="157" w:line="364" w:lineRule="auto"/>
        <w:ind w:left="388" w:right="852" w:firstLine="424"/>
      </w:pPr>
      <w:r>
        <w:t>除法律规定或合同另有约定外，未经发包人同意，承包人不得将发包人提供的图纸、文件以及声明需要保密的资料信息等商业秘密泄露给第三方。</w:t>
      </w:r>
    </w:p>
    <w:p>
      <w:pPr>
        <w:pStyle w:val="8"/>
        <w:spacing w:before="1" w:line="362" w:lineRule="auto"/>
        <w:ind w:left="388" w:right="852" w:firstLine="424"/>
      </w:pPr>
      <w:r>
        <w:t>除法律规定或合同另有约定外，未经承包人同意，发包人不得将承包人提供的技术秘密及声明需要保密的资料信息等商业秘密泄露给第三方。</w:t>
      </w:r>
    </w:p>
    <w:p>
      <w:pPr>
        <w:pStyle w:val="16"/>
        <w:numPr>
          <w:ilvl w:val="1"/>
          <w:numId w:val="35"/>
        </w:numPr>
        <w:tabs>
          <w:tab w:val="left" w:pos="928"/>
        </w:tabs>
        <w:spacing w:before="5" w:after="0" w:line="240" w:lineRule="auto"/>
        <w:ind w:left="928" w:right="0" w:hanging="540"/>
        <w:jc w:val="left"/>
        <w:rPr>
          <w:sz w:val="24"/>
        </w:rPr>
      </w:pPr>
      <w:r>
        <w:rPr>
          <w:sz w:val="24"/>
        </w:rPr>
        <w:t>工程量清单错误的修正</w:t>
      </w:r>
    </w:p>
    <w:p>
      <w:pPr>
        <w:pStyle w:val="8"/>
        <w:spacing w:before="158" w:line="362" w:lineRule="auto"/>
        <w:ind w:left="388" w:right="581" w:firstLine="424"/>
      </w:pPr>
      <w:r>
        <w:t>除专用合同条款另有约定外，发包人提供的工程量清单，应被认为是准确的和完整的。出现下列情形之一时，发包人应予以修正，并相应调整合同价格：</w:t>
      </w:r>
    </w:p>
    <w:p>
      <w:pPr>
        <w:pStyle w:val="16"/>
        <w:numPr>
          <w:ilvl w:val="0"/>
          <w:numId w:val="37"/>
        </w:numPr>
        <w:tabs>
          <w:tab w:val="left" w:pos="1414"/>
        </w:tabs>
        <w:spacing w:before="5" w:after="0" w:line="240" w:lineRule="auto"/>
        <w:ind w:left="1413" w:right="0" w:hanging="602"/>
        <w:jc w:val="left"/>
        <w:rPr>
          <w:sz w:val="24"/>
        </w:rPr>
      </w:pPr>
      <w:r>
        <w:rPr>
          <w:sz w:val="24"/>
        </w:rPr>
        <w:t>工程量清单存在缺项、漏项的；</w:t>
      </w:r>
    </w:p>
    <w:p>
      <w:pPr>
        <w:pStyle w:val="16"/>
        <w:numPr>
          <w:ilvl w:val="0"/>
          <w:numId w:val="37"/>
        </w:numPr>
        <w:tabs>
          <w:tab w:val="left" w:pos="1414"/>
        </w:tabs>
        <w:spacing w:before="160" w:after="0" w:line="240" w:lineRule="auto"/>
        <w:ind w:left="1413" w:right="0" w:hanging="602"/>
        <w:jc w:val="left"/>
        <w:rPr>
          <w:sz w:val="24"/>
        </w:rPr>
      </w:pPr>
      <w:r>
        <w:rPr>
          <w:sz w:val="24"/>
        </w:rPr>
        <w:t>工程量清单偏差超出专用合同条款约定的工程量偏差范围的；</w:t>
      </w:r>
    </w:p>
    <w:p>
      <w:pPr>
        <w:pStyle w:val="16"/>
        <w:numPr>
          <w:ilvl w:val="0"/>
          <w:numId w:val="37"/>
        </w:numPr>
        <w:tabs>
          <w:tab w:val="left" w:pos="1414"/>
        </w:tabs>
        <w:spacing w:before="159" w:after="0" w:line="240" w:lineRule="auto"/>
        <w:ind w:left="1413" w:right="0" w:hanging="602"/>
        <w:jc w:val="left"/>
        <w:rPr>
          <w:sz w:val="24"/>
        </w:rPr>
      </w:pPr>
      <w:r>
        <w:rPr>
          <w:sz w:val="24"/>
        </w:rPr>
        <w:t>未按照国家现行计量规范强制性规定计量的。</w:t>
      </w:r>
    </w:p>
    <w:p>
      <w:pPr>
        <w:spacing w:after="0" w:line="240"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87" o:spid="_x0000_s1087" o:spt="20" style="position:absolute;left:0pt;margin-left:62.4pt;margin-top:12.25pt;height:0pt;width:400.4pt;mso-position-horizontal-relative:page;z-index:25173811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0"/>
          <w:numId w:val="35"/>
        </w:numPr>
        <w:tabs>
          <w:tab w:val="left" w:pos="748"/>
        </w:tabs>
        <w:spacing w:before="67" w:after="0" w:line="240" w:lineRule="auto"/>
        <w:ind w:left="748" w:right="0" w:hanging="360"/>
        <w:jc w:val="left"/>
        <w:outlineLvl w:val="2"/>
        <w:rPr>
          <w:sz w:val="24"/>
        </w:rPr>
      </w:pPr>
      <w:r>
        <w:rPr>
          <w:sz w:val="24"/>
        </w:rPr>
        <w:t>发包人</w:t>
      </w:r>
    </w:p>
    <w:p>
      <w:pPr>
        <w:pStyle w:val="16"/>
        <w:numPr>
          <w:ilvl w:val="1"/>
          <w:numId w:val="35"/>
        </w:numPr>
        <w:tabs>
          <w:tab w:val="left" w:pos="1108"/>
        </w:tabs>
        <w:spacing w:before="158" w:after="0" w:line="240" w:lineRule="auto"/>
        <w:ind w:left="1108" w:right="0" w:hanging="480"/>
        <w:jc w:val="both"/>
        <w:rPr>
          <w:sz w:val="24"/>
        </w:rPr>
      </w:pPr>
      <w:r>
        <w:rPr>
          <w:sz w:val="24"/>
        </w:rPr>
        <w:t>许可或批准</w:t>
      </w:r>
    </w:p>
    <w:p>
      <w:pPr>
        <w:pStyle w:val="8"/>
        <w:spacing w:before="160" w:line="364" w:lineRule="auto"/>
        <w:ind w:left="388" w:right="798" w:firstLine="424"/>
        <w:jc w:val="both"/>
      </w:pPr>
      <w: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pStyle w:val="8"/>
        <w:spacing w:line="364" w:lineRule="auto"/>
        <w:ind w:left="388" w:right="852" w:firstLine="424"/>
      </w:pPr>
      <w:r>
        <w:t>因发包人原因未能及时办理完毕前述许可、批准或备案，由发包人承担由此增加的费用和（或）延误的工期，并支付承包人合理的利润。</w:t>
      </w:r>
    </w:p>
    <w:p>
      <w:pPr>
        <w:pStyle w:val="16"/>
        <w:numPr>
          <w:ilvl w:val="1"/>
          <w:numId w:val="35"/>
        </w:numPr>
        <w:tabs>
          <w:tab w:val="left" w:pos="1108"/>
        </w:tabs>
        <w:spacing w:before="0" w:after="0" w:line="306" w:lineRule="exact"/>
        <w:ind w:left="1108" w:right="0" w:hanging="480"/>
        <w:jc w:val="left"/>
        <w:rPr>
          <w:sz w:val="24"/>
        </w:rPr>
      </w:pPr>
      <w:r>
        <w:rPr>
          <w:sz w:val="24"/>
        </w:rPr>
        <w:t>发包人代表</w:t>
      </w:r>
    </w:p>
    <w:p>
      <w:pPr>
        <w:pStyle w:val="8"/>
        <w:spacing w:before="156" w:line="364" w:lineRule="auto"/>
        <w:ind w:left="388" w:right="798" w:firstLine="424"/>
        <w:jc w:val="both"/>
      </w:pPr>
      <w: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 7 天书面通知承包人。</w:t>
      </w:r>
    </w:p>
    <w:p>
      <w:pPr>
        <w:pStyle w:val="8"/>
        <w:spacing w:line="362" w:lineRule="auto"/>
        <w:ind w:left="388" w:right="852" w:firstLine="424"/>
      </w:pPr>
      <w:r>
        <w:t>发包人代表不能按照合同约定履行其职责及义务，并导致合同无法继续正常履行的， 承包人可以要求发包人撤换发包人代表。</w:t>
      </w:r>
    </w:p>
    <w:p>
      <w:pPr>
        <w:pStyle w:val="8"/>
        <w:spacing w:before="5" w:line="362" w:lineRule="auto"/>
        <w:ind w:left="388" w:right="852" w:firstLine="424"/>
      </w:pPr>
      <w:r>
        <w:t>不属于法定必须监理的工程，监理人的职权可以由发包人代表或发包人指定的其他人员行使。</w:t>
      </w:r>
    </w:p>
    <w:p>
      <w:pPr>
        <w:pStyle w:val="16"/>
        <w:numPr>
          <w:ilvl w:val="1"/>
          <w:numId w:val="35"/>
        </w:numPr>
        <w:tabs>
          <w:tab w:val="left" w:pos="1108"/>
        </w:tabs>
        <w:spacing w:before="5" w:after="0" w:line="240" w:lineRule="auto"/>
        <w:ind w:left="1108" w:right="0" w:hanging="480"/>
        <w:jc w:val="left"/>
        <w:rPr>
          <w:sz w:val="24"/>
        </w:rPr>
      </w:pPr>
      <w:r>
        <w:rPr>
          <w:sz w:val="24"/>
        </w:rPr>
        <w:t>发包人人员</w:t>
      </w:r>
    </w:p>
    <w:p>
      <w:pPr>
        <w:pStyle w:val="8"/>
        <w:spacing w:before="158" w:line="364" w:lineRule="auto"/>
        <w:ind w:left="388" w:right="798" w:firstLine="424"/>
        <w:jc w:val="both"/>
      </w:pPr>
      <w:r>
        <w:t>发包人应要求在施工现场的发包人人员遵守法律及有关安全、质量、环境保护、文明施工等规定，并保障承包人免于承受因发包人人员未遵守上述要求给承包人造成的损失和责任。</w:t>
      </w:r>
    </w:p>
    <w:p>
      <w:pPr>
        <w:pStyle w:val="8"/>
        <w:spacing w:line="307" w:lineRule="exact"/>
        <w:ind w:left="812"/>
      </w:pPr>
      <w:r>
        <w:t>发包人人员包括发包人代表及其他由发包人派驻施工现场的人员。</w:t>
      </w:r>
    </w:p>
    <w:p>
      <w:pPr>
        <w:pStyle w:val="16"/>
        <w:numPr>
          <w:ilvl w:val="1"/>
          <w:numId w:val="35"/>
        </w:numPr>
        <w:tabs>
          <w:tab w:val="left" w:pos="1108"/>
        </w:tabs>
        <w:spacing w:before="161" w:after="0" w:line="240" w:lineRule="auto"/>
        <w:ind w:left="1108" w:right="0" w:hanging="480"/>
        <w:jc w:val="left"/>
        <w:rPr>
          <w:sz w:val="24"/>
        </w:rPr>
      </w:pPr>
      <w:r>
        <w:rPr>
          <w:sz w:val="24"/>
        </w:rPr>
        <w:t>施工现场、施工条件和基础资料的提供</w:t>
      </w:r>
    </w:p>
    <w:p>
      <w:pPr>
        <w:pStyle w:val="16"/>
        <w:numPr>
          <w:ilvl w:val="2"/>
          <w:numId w:val="35"/>
        </w:numPr>
        <w:tabs>
          <w:tab w:val="left" w:pos="1533"/>
        </w:tabs>
        <w:spacing w:before="158" w:after="0" w:line="240" w:lineRule="auto"/>
        <w:ind w:left="1532" w:right="0" w:hanging="721"/>
        <w:jc w:val="left"/>
        <w:rPr>
          <w:sz w:val="24"/>
        </w:rPr>
      </w:pPr>
      <w:r>
        <w:rPr>
          <w:sz w:val="24"/>
        </w:rPr>
        <w:t>提供施工现场</w:t>
      </w:r>
    </w:p>
    <w:p>
      <w:pPr>
        <w:pStyle w:val="8"/>
        <w:spacing w:before="160"/>
        <w:ind w:left="812"/>
      </w:pPr>
      <w:r>
        <w:t>除专用合同条款另有约定外，发包人应最迟于开工日期 7 天前向承包人移交施工现场。</w:t>
      </w:r>
    </w:p>
    <w:p>
      <w:pPr>
        <w:pStyle w:val="16"/>
        <w:numPr>
          <w:ilvl w:val="2"/>
          <w:numId w:val="35"/>
        </w:numPr>
        <w:tabs>
          <w:tab w:val="left" w:pos="1533"/>
        </w:tabs>
        <w:spacing w:before="158" w:after="0" w:line="240" w:lineRule="auto"/>
        <w:ind w:left="1532" w:right="0" w:hanging="721"/>
        <w:jc w:val="left"/>
        <w:rPr>
          <w:sz w:val="24"/>
        </w:rPr>
      </w:pPr>
      <w:r>
        <w:rPr>
          <w:sz w:val="24"/>
        </w:rPr>
        <w:t>提供施工条件</w:t>
      </w:r>
    </w:p>
    <w:p>
      <w:pPr>
        <w:pStyle w:val="8"/>
        <w:spacing w:before="158"/>
        <w:ind w:left="812"/>
      </w:pPr>
      <w:r>
        <w:t>除专用合同条款另有约定外，发包人应负责提供施工所需要的条件，包括：</w:t>
      </w:r>
    </w:p>
    <w:p>
      <w:pPr>
        <w:pStyle w:val="16"/>
        <w:numPr>
          <w:ilvl w:val="0"/>
          <w:numId w:val="38"/>
        </w:numPr>
        <w:tabs>
          <w:tab w:val="left" w:pos="1414"/>
        </w:tabs>
        <w:spacing w:before="161" w:after="0" w:line="240" w:lineRule="auto"/>
        <w:ind w:left="1413" w:right="0" w:hanging="602"/>
        <w:jc w:val="left"/>
        <w:rPr>
          <w:sz w:val="24"/>
        </w:rPr>
      </w:pPr>
      <w:r>
        <w:rPr>
          <w:sz w:val="24"/>
        </w:rPr>
        <w:t>将施工用水、电力、通讯线路等施工所必需的条件接至施工现场内；</w:t>
      </w:r>
    </w:p>
    <w:p>
      <w:pPr>
        <w:pStyle w:val="16"/>
        <w:numPr>
          <w:ilvl w:val="0"/>
          <w:numId w:val="38"/>
        </w:numPr>
        <w:tabs>
          <w:tab w:val="left" w:pos="1414"/>
        </w:tabs>
        <w:spacing w:before="160" w:after="0" w:line="240" w:lineRule="auto"/>
        <w:ind w:left="1413" w:right="0" w:hanging="602"/>
        <w:jc w:val="left"/>
        <w:rPr>
          <w:sz w:val="24"/>
        </w:rPr>
      </w:pPr>
      <w:r>
        <w:rPr>
          <w:sz w:val="24"/>
        </w:rPr>
        <w:t>保证向承包人提供正常施工所需要的进入施工现场的交通条件；</w:t>
      </w:r>
    </w:p>
    <w:p>
      <w:pPr>
        <w:spacing w:after="0" w:line="240"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88" o:spid="_x0000_s1088" o:spt="20" style="position:absolute;left:0pt;margin-left:62.4pt;margin-top:12.25pt;height:0pt;width:400.4pt;mso-position-horizontal-relative:page;z-index:25173913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0"/>
          <w:numId w:val="38"/>
        </w:numPr>
        <w:tabs>
          <w:tab w:val="left" w:pos="1414"/>
        </w:tabs>
        <w:spacing w:before="67" w:after="0" w:line="362" w:lineRule="auto"/>
        <w:ind w:left="388" w:right="732" w:firstLine="424"/>
        <w:jc w:val="left"/>
        <w:rPr>
          <w:sz w:val="24"/>
        </w:rPr>
      </w:pPr>
      <w:r>
        <w:rPr>
          <w:spacing w:val="-1"/>
          <w:sz w:val="24"/>
        </w:rPr>
        <w:t xml:space="preserve">协调处理施工现场周围地下管线和邻近建筑物、构筑物、古树名木的保护工作， </w:t>
      </w:r>
      <w:r>
        <w:rPr>
          <w:sz w:val="24"/>
        </w:rPr>
        <w:t>并承担相关费用；</w:t>
      </w:r>
    </w:p>
    <w:p>
      <w:pPr>
        <w:pStyle w:val="16"/>
        <w:numPr>
          <w:ilvl w:val="0"/>
          <w:numId w:val="38"/>
        </w:numPr>
        <w:tabs>
          <w:tab w:val="left" w:pos="1414"/>
        </w:tabs>
        <w:spacing w:before="5" w:after="0" w:line="240" w:lineRule="auto"/>
        <w:ind w:left="1413" w:right="0" w:hanging="602"/>
        <w:jc w:val="left"/>
        <w:rPr>
          <w:sz w:val="24"/>
        </w:rPr>
      </w:pPr>
      <w:r>
        <w:rPr>
          <w:sz w:val="24"/>
        </w:rPr>
        <w:t>按照专用合同条款约定应提供的其他设施和条件。</w:t>
      </w:r>
    </w:p>
    <w:p>
      <w:pPr>
        <w:pStyle w:val="16"/>
        <w:numPr>
          <w:ilvl w:val="2"/>
          <w:numId w:val="35"/>
        </w:numPr>
        <w:tabs>
          <w:tab w:val="left" w:pos="1533"/>
        </w:tabs>
        <w:spacing w:before="158" w:after="0" w:line="240" w:lineRule="auto"/>
        <w:ind w:left="1532" w:right="0" w:hanging="721"/>
        <w:jc w:val="left"/>
        <w:rPr>
          <w:sz w:val="24"/>
        </w:rPr>
      </w:pPr>
      <w:r>
        <w:rPr>
          <w:sz w:val="24"/>
        </w:rPr>
        <w:t>提供基础资料</w:t>
      </w:r>
    </w:p>
    <w:p>
      <w:pPr>
        <w:pStyle w:val="8"/>
        <w:spacing w:before="160" w:line="364" w:lineRule="auto"/>
        <w:ind w:left="388" w:right="624" w:firstLine="424"/>
      </w:pPr>
      <w:r>
        <w:t>发包人应当在移交施工现场前向承包人提供施工现场及工程施工所必需的毗邻区域内</w:t>
      </w:r>
      <w:r>
        <w:rPr>
          <w:spacing w:val="-10"/>
        </w:rPr>
        <w:t xml:space="preserve">供水、排水、供电、供气、供热、通信、广播电视等地下管线资料，气象和水文观测资料， </w:t>
      </w:r>
      <w:r>
        <w:t>地质勘察资料，相邻建筑物、构筑物和地下工程等有关基础资料，并对所提供资料的真实性、准确性和完整性负责。</w:t>
      </w:r>
    </w:p>
    <w:p>
      <w:pPr>
        <w:pStyle w:val="8"/>
        <w:spacing w:line="362" w:lineRule="auto"/>
        <w:ind w:left="388" w:right="852" w:firstLine="424"/>
      </w:pPr>
      <w:r>
        <w:t>按照法律规定确需在开工后方能提供的基础资料，发包人应尽其努力及时地在相应工程施工前的合理期限内提供，合理期限应以不影响承包人的正常施工为限。</w:t>
      </w:r>
    </w:p>
    <w:p>
      <w:pPr>
        <w:pStyle w:val="16"/>
        <w:numPr>
          <w:ilvl w:val="2"/>
          <w:numId w:val="35"/>
        </w:numPr>
        <w:tabs>
          <w:tab w:val="left" w:pos="1533"/>
        </w:tabs>
        <w:spacing w:before="3" w:after="0" w:line="240" w:lineRule="auto"/>
        <w:ind w:left="1532" w:right="0" w:hanging="721"/>
        <w:jc w:val="left"/>
        <w:rPr>
          <w:sz w:val="24"/>
        </w:rPr>
      </w:pPr>
      <w:r>
        <w:rPr>
          <w:sz w:val="24"/>
        </w:rPr>
        <w:t>逾期提供的责任</w:t>
      </w:r>
    </w:p>
    <w:p>
      <w:pPr>
        <w:pStyle w:val="8"/>
        <w:spacing w:before="160" w:line="362" w:lineRule="auto"/>
        <w:ind w:left="388" w:right="852" w:firstLine="424"/>
      </w:pPr>
      <w:r>
        <w:t>因发包人原因未能按合同约定及时向承包人提供施工现场、施工条件、基础资料的， 由发包人承担由此增加的费用和（或）延误的工期。</w:t>
      </w:r>
    </w:p>
    <w:p>
      <w:pPr>
        <w:pStyle w:val="16"/>
        <w:numPr>
          <w:ilvl w:val="1"/>
          <w:numId w:val="35"/>
        </w:numPr>
        <w:tabs>
          <w:tab w:val="left" w:pos="1108"/>
        </w:tabs>
        <w:spacing w:before="5" w:after="0" w:line="240" w:lineRule="auto"/>
        <w:ind w:left="1108" w:right="0" w:hanging="480"/>
        <w:jc w:val="left"/>
        <w:rPr>
          <w:sz w:val="24"/>
        </w:rPr>
      </w:pPr>
      <w:r>
        <w:rPr>
          <w:sz w:val="24"/>
        </w:rPr>
        <w:t>资金来源证明及支付担保</w:t>
      </w:r>
    </w:p>
    <w:p>
      <w:pPr>
        <w:pStyle w:val="8"/>
        <w:spacing w:before="158" w:line="364" w:lineRule="auto"/>
        <w:ind w:left="388" w:right="852" w:firstLine="424"/>
        <w:jc w:val="both"/>
      </w:pPr>
      <w:r>
        <w:t>除专用合同条款另有约定外，发包人应在收到承包人要求提供资金来源证明的书面通知后 28 天内，向承包人提供能够按照合同约定支付合同价款的相应资金来源证明。</w:t>
      </w:r>
    </w:p>
    <w:p>
      <w:pPr>
        <w:pStyle w:val="8"/>
        <w:spacing w:line="364" w:lineRule="auto"/>
        <w:ind w:left="388" w:right="798" w:firstLine="424"/>
        <w:jc w:val="both"/>
      </w:pPr>
      <w:r>
        <w:t>除专用合同条款另有约定外，发包人要求承包人提供履约担保的，发包人应当向承包人提供支付担保。支付担保可以采用银行保函或担保公司担保等形式，具体由合同当事人在专用合同条款中约定。</w:t>
      </w:r>
    </w:p>
    <w:p>
      <w:pPr>
        <w:pStyle w:val="16"/>
        <w:numPr>
          <w:ilvl w:val="1"/>
          <w:numId w:val="35"/>
        </w:numPr>
        <w:tabs>
          <w:tab w:val="left" w:pos="1108"/>
        </w:tabs>
        <w:spacing w:before="0" w:after="0" w:line="307" w:lineRule="exact"/>
        <w:ind w:left="1108" w:right="0" w:hanging="480"/>
        <w:jc w:val="both"/>
        <w:rPr>
          <w:sz w:val="24"/>
        </w:rPr>
      </w:pPr>
      <w:r>
        <w:rPr>
          <w:sz w:val="24"/>
        </w:rPr>
        <w:t>支付合同价款</w:t>
      </w:r>
    </w:p>
    <w:p>
      <w:pPr>
        <w:pStyle w:val="8"/>
        <w:spacing w:before="157"/>
        <w:ind w:left="812"/>
      </w:pPr>
      <w:r>
        <w:t>发包人应按合同约定向承包人及时支付合同价款。</w:t>
      </w:r>
    </w:p>
    <w:p>
      <w:pPr>
        <w:pStyle w:val="16"/>
        <w:numPr>
          <w:ilvl w:val="1"/>
          <w:numId w:val="35"/>
        </w:numPr>
        <w:tabs>
          <w:tab w:val="left" w:pos="1108"/>
        </w:tabs>
        <w:spacing w:before="161" w:after="0" w:line="240" w:lineRule="auto"/>
        <w:ind w:left="1108" w:right="0" w:hanging="480"/>
        <w:jc w:val="left"/>
        <w:rPr>
          <w:sz w:val="24"/>
        </w:rPr>
      </w:pPr>
      <w:r>
        <w:rPr>
          <w:sz w:val="24"/>
        </w:rPr>
        <w:t>组织竣工验收</w:t>
      </w:r>
    </w:p>
    <w:p>
      <w:pPr>
        <w:pStyle w:val="8"/>
        <w:spacing w:before="160"/>
        <w:ind w:left="812"/>
      </w:pPr>
      <w:r>
        <w:t>发包人应按合同约定及时组织竣工验收。</w:t>
      </w:r>
    </w:p>
    <w:p>
      <w:pPr>
        <w:pStyle w:val="16"/>
        <w:numPr>
          <w:ilvl w:val="1"/>
          <w:numId w:val="35"/>
        </w:numPr>
        <w:tabs>
          <w:tab w:val="left" w:pos="1108"/>
        </w:tabs>
        <w:spacing w:before="158" w:after="0" w:line="240" w:lineRule="auto"/>
        <w:ind w:left="1108" w:right="0" w:hanging="480"/>
        <w:jc w:val="left"/>
        <w:rPr>
          <w:sz w:val="24"/>
        </w:rPr>
      </w:pPr>
      <w:r>
        <w:rPr>
          <w:sz w:val="24"/>
        </w:rPr>
        <w:t>现场统一管理协议</w:t>
      </w:r>
    </w:p>
    <w:p>
      <w:pPr>
        <w:pStyle w:val="8"/>
        <w:spacing w:before="161" w:line="362" w:lineRule="auto"/>
        <w:ind w:left="388" w:right="852" w:firstLine="424"/>
      </w:pPr>
      <w:r>
        <w:t>发包人应与承包人、由发包人直接发包的专业工程的承包人签订施工现场统一管理协议，明确各方的权利义务。施工现场统一管理协议作为专用合同条款的附件。</w:t>
      </w:r>
    </w:p>
    <w:p>
      <w:pPr>
        <w:pStyle w:val="16"/>
        <w:numPr>
          <w:ilvl w:val="0"/>
          <w:numId w:val="35"/>
        </w:numPr>
        <w:tabs>
          <w:tab w:val="left" w:pos="748"/>
        </w:tabs>
        <w:spacing w:before="2" w:after="0" w:line="240" w:lineRule="auto"/>
        <w:ind w:left="748" w:right="0" w:hanging="360"/>
        <w:jc w:val="left"/>
        <w:outlineLvl w:val="2"/>
        <w:rPr>
          <w:sz w:val="24"/>
        </w:rPr>
      </w:pPr>
      <w:r>
        <w:rPr>
          <w:sz w:val="24"/>
        </w:rPr>
        <w:t>承包人</w:t>
      </w:r>
    </w:p>
    <w:p>
      <w:pPr>
        <w:pStyle w:val="16"/>
        <w:numPr>
          <w:ilvl w:val="1"/>
          <w:numId w:val="35"/>
        </w:numPr>
        <w:tabs>
          <w:tab w:val="left" w:pos="1108"/>
        </w:tabs>
        <w:spacing w:before="161" w:after="0" w:line="240" w:lineRule="auto"/>
        <w:ind w:left="1108" w:right="0" w:hanging="480"/>
        <w:jc w:val="left"/>
        <w:rPr>
          <w:sz w:val="24"/>
        </w:rPr>
      </w:pPr>
      <w:r>
        <w:rPr>
          <w:sz w:val="24"/>
        </w:rPr>
        <w:t>承包人的一般义务</w:t>
      </w:r>
    </w:p>
    <w:p>
      <w:pPr>
        <w:pStyle w:val="8"/>
        <w:spacing w:before="160"/>
        <w:ind w:left="812"/>
      </w:pPr>
      <w:r>
        <w:t>承包人在履行合同过程中应遵守法律和工程建设标准规范，并履行以下义务：</w:t>
      </w:r>
    </w:p>
    <w:p>
      <w:pPr>
        <w:spacing w:after="0"/>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89" o:spid="_x0000_s1089" o:spt="20" style="position:absolute;left:0pt;margin-left:62.4pt;margin-top:12.25pt;height:0pt;width:400.4pt;mso-position-horizontal-relative:page;z-index:25174016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0"/>
          <w:numId w:val="39"/>
        </w:numPr>
        <w:tabs>
          <w:tab w:val="left" w:pos="1414"/>
        </w:tabs>
        <w:spacing w:before="67" w:after="0" w:line="362" w:lineRule="auto"/>
        <w:ind w:left="388" w:right="972" w:firstLine="424"/>
        <w:jc w:val="left"/>
        <w:rPr>
          <w:sz w:val="24"/>
        </w:rPr>
      </w:pPr>
      <w:r>
        <w:rPr>
          <w:spacing w:val="-1"/>
          <w:sz w:val="24"/>
        </w:rPr>
        <w:t>办理法律规定应由承包人办理的许可和批准，并将办理结果书面报送发包人留</w:t>
      </w:r>
      <w:r>
        <w:rPr>
          <w:sz w:val="24"/>
        </w:rPr>
        <w:t>存；</w:t>
      </w:r>
    </w:p>
    <w:p>
      <w:pPr>
        <w:pStyle w:val="16"/>
        <w:numPr>
          <w:ilvl w:val="0"/>
          <w:numId w:val="39"/>
        </w:numPr>
        <w:tabs>
          <w:tab w:val="left" w:pos="1414"/>
        </w:tabs>
        <w:spacing w:before="5" w:after="0" w:line="240" w:lineRule="auto"/>
        <w:ind w:left="1413" w:right="0" w:hanging="602"/>
        <w:jc w:val="left"/>
        <w:rPr>
          <w:sz w:val="24"/>
        </w:rPr>
      </w:pPr>
      <w:r>
        <w:rPr>
          <w:sz w:val="24"/>
        </w:rPr>
        <w:t>按法律规定和合同约定完成工程，并在保修期内承担保修义务；</w:t>
      </w:r>
    </w:p>
    <w:p>
      <w:pPr>
        <w:pStyle w:val="16"/>
        <w:numPr>
          <w:ilvl w:val="0"/>
          <w:numId w:val="39"/>
        </w:numPr>
        <w:tabs>
          <w:tab w:val="left" w:pos="1414"/>
        </w:tabs>
        <w:spacing w:before="158" w:after="0" w:line="364" w:lineRule="auto"/>
        <w:ind w:left="388" w:right="744" w:firstLine="424"/>
        <w:jc w:val="left"/>
        <w:rPr>
          <w:sz w:val="24"/>
        </w:rPr>
      </w:pPr>
      <w:r>
        <w:rPr>
          <w:spacing w:val="-3"/>
          <w:sz w:val="24"/>
        </w:rPr>
        <w:t>按法律规定和合同约定采取施工安全和环境保护措施，办理工伤保险，确保工程</w:t>
      </w:r>
      <w:r>
        <w:rPr>
          <w:sz w:val="24"/>
        </w:rPr>
        <w:t>及人员、材料、设备和设施的安全；</w:t>
      </w:r>
    </w:p>
    <w:p>
      <w:pPr>
        <w:pStyle w:val="16"/>
        <w:numPr>
          <w:ilvl w:val="0"/>
          <w:numId w:val="39"/>
        </w:numPr>
        <w:tabs>
          <w:tab w:val="left" w:pos="1414"/>
        </w:tabs>
        <w:spacing w:before="0" w:after="0" w:line="364" w:lineRule="auto"/>
        <w:ind w:left="388" w:right="744" w:firstLine="424"/>
        <w:jc w:val="left"/>
        <w:rPr>
          <w:sz w:val="24"/>
        </w:rPr>
      </w:pPr>
      <w:r>
        <w:rPr>
          <w:spacing w:val="-3"/>
          <w:sz w:val="24"/>
        </w:rPr>
        <w:t>按合同约定的工作内容和施工进度要求，编制施工组织设计和施工措施计划，并</w:t>
      </w:r>
      <w:r>
        <w:rPr>
          <w:sz w:val="24"/>
        </w:rPr>
        <w:t>对所有施工作业和施工方法的完备性和安全可靠性负责；</w:t>
      </w:r>
    </w:p>
    <w:p>
      <w:pPr>
        <w:pStyle w:val="16"/>
        <w:numPr>
          <w:ilvl w:val="0"/>
          <w:numId w:val="39"/>
        </w:numPr>
        <w:tabs>
          <w:tab w:val="left" w:pos="1414"/>
        </w:tabs>
        <w:spacing w:before="0" w:after="0" w:line="362" w:lineRule="auto"/>
        <w:ind w:left="388" w:right="744" w:firstLine="424"/>
        <w:jc w:val="both"/>
        <w:rPr>
          <w:sz w:val="24"/>
        </w:rPr>
      </w:pPr>
      <w:r>
        <w:rPr>
          <w:spacing w:val="-4"/>
          <w:sz w:val="24"/>
        </w:rPr>
        <w:t>在进行合同约定的各项工作时，不得侵害发包人与他人使用公用道路、水源、市</w:t>
      </w:r>
      <w:r>
        <w:rPr>
          <w:sz w:val="24"/>
        </w:rPr>
        <w:t>政管网等公共设施的权利，避免对邻近的公共设施产生干扰。承包人占用或使用他人的施工场地，影响他人作业或生活的，应承担相应责任；</w:t>
      </w:r>
    </w:p>
    <w:p>
      <w:pPr>
        <w:pStyle w:val="16"/>
        <w:numPr>
          <w:ilvl w:val="0"/>
          <w:numId w:val="39"/>
        </w:numPr>
        <w:tabs>
          <w:tab w:val="left" w:pos="1414"/>
        </w:tabs>
        <w:spacing w:before="6" w:after="0" w:line="240" w:lineRule="auto"/>
        <w:ind w:left="1413" w:right="0" w:hanging="602"/>
        <w:jc w:val="both"/>
        <w:rPr>
          <w:sz w:val="24"/>
        </w:rPr>
      </w:pPr>
      <w:r>
        <w:rPr>
          <w:spacing w:val="-15"/>
          <w:sz w:val="24"/>
        </w:rPr>
        <w:t xml:space="preserve">按照第 </w:t>
      </w:r>
      <w:r>
        <w:rPr>
          <w:sz w:val="24"/>
        </w:rPr>
        <w:t>6.3</w:t>
      </w:r>
      <w:r>
        <w:rPr>
          <w:spacing w:val="-8"/>
          <w:sz w:val="24"/>
        </w:rPr>
        <w:t xml:space="preserve"> 款〔环境保护〕约定负责施工场地及其周边环境与生态的保护工作；</w:t>
      </w:r>
    </w:p>
    <w:p>
      <w:pPr>
        <w:pStyle w:val="16"/>
        <w:numPr>
          <w:ilvl w:val="0"/>
          <w:numId w:val="39"/>
        </w:numPr>
        <w:tabs>
          <w:tab w:val="left" w:pos="1414"/>
        </w:tabs>
        <w:spacing w:before="161" w:after="0" w:line="362" w:lineRule="auto"/>
        <w:ind w:left="388" w:right="624" w:firstLine="424"/>
        <w:jc w:val="left"/>
        <w:rPr>
          <w:sz w:val="24"/>
        </w:rPr>
      </w:pPr>
      <w:r>
        <w:rPr>
          <w:spacing w:val="-20"/>
          <w:sz w:val="24"/>
        </w:rPr>
        <w:t xml:space="preserve">按第 </w:t>
      </w:r>
      <w:r>
        <w:rPr>
          <w:sz w:val="24"/>
        </w:rPr>
        <w:t>6.1</w:t>
      </w:r>
      <w:r>
        <w:rPr>
          <w:spacing w:val="-13"/>
          <w:sz w:val="24"/>
        </w:rPr>
        <w:t xml:space="preserve"> 款〔安全文明施工〕约定采取施工安全措施，确保工程及其人员、材料</w:t>
      </w:r>
      <w:r>
        <w:rPr>
          <w:spacing w:val="-4"/>
          <w:sz w:val="24"/>
        </w:rPr>
        <w:t>、设备和设施的安全，防止因工程施工造成的人身伤害和财产损失；</w:t>
      </w:r>
    </w:p>
    <w:p>
      <w:pPr>
        <w:pStyle w:val="16"/>
        <w:numPr>
          <w:ilvl w:val="0"/>
          <w:numId w:val="39"/>
        </w:numPr>
        <w:tabs>
          <w:tab w:val="left" w:pos="1414"/>
        </w:tabs>
        <w:spacing w:before="4" w:after="0" w:line="362" w:lineRule="auto"/>
        <w:ind w:left="388" w:right="744" w:firstLine="424"/>
        <w:jc w:val="left"/>
        <w:rPr>
          <w:sz w:val="24"/>
        </w:rPr>
      </w:pPr>
      <w:r>
        <w:rPr>
          <w:spacing w:val="-2"/>
          <w:sz w:val="24"/>
        </w:rPr>
        <w:t>将发包人按合同约定支付的各项价款专用于合同工程，且应及时支付其雇用人员</w:t>
      </w:r>
      <w:r>
        <w:rPr>
          <w:sz w:val="24"/>
        </w:rPr>
        <w:t>工资，并及时向分包人支付合同价款；</w:t>
      </w:r>
    </w:p>
    <w:p>
      <w:pPr>
        <w:pStyle w:val="16"/>
        <w:numPr>
          <w:ilvl w:val="0"/>
          <w:numId w:val="39"/>
        </w:numPr>
        <w:tabs>
          <w:tab w:val="left" w:pos="1414"/>
        </w:tabs>
        <w:spacing w:before="5" w:after="0" w:line="362" w:lineRule="auto"/>
        <w:ind w:left="388" w:right="744" w:firstLine="424"/>
        <w:jc w:val="left"/>
        <w:rPr>
          <w:sz w:val="24"/>
        </w:rPr>
      </w:pPr>
      <w:r>
        <w:rPr>
          <w:spacing w:val="-3"/>
          <w:sz w:val="24"/>
        </w:rPr>
        <w:t>按照法律规定和合同约定编制竣工资料，完成竣工资料立卷及归档，并按专用合</w:t>
      </w:r>
      <w:r>
        <w:rPr>
          <w:sz w:val="24"/>
        </w:rPr>
        <w:t>同条款约定的竣工资料的套数、内容、时间等要求移交发包人；</w:t>
      </w:r>
    </w:p>
    <w:p>
      <w:pPr>
        <w:pStyle w:val="16"/>
        <w:numPr>
          <w:ilvl w:val="0"/>
          <w:numId w:val="39"/>
        </w:numPr>
        <w:tabs>
          <w:tab w:val="left" w:pos="1534"/>
        </w:tabs>
        <w:spacing w:before="5" w:after="0" w:line="240" w:lineRule="auto"/>
        <w:ind w:left="1533" w:right="0" w:hanging="722"/>
        <w:jc w:val="left"/>
        <w:rPr>
          <w:sz w:val="24"/>
        </w:rPr>
      </w:pPr>
      <w:r>
        <w:rPr>
          <w:sz w:val="24"/>
        </w:rPr>
        <w:t>应履行的其他义务。</w:t>
      </w:r>
    </w:p>
    <w:p>
      <w:pPr>
        <w:pStyle w:val="16"/>
        <w:numPr>
          <w:ilvl w:val="1"/>
          <w:numId w:val="35"/>
        </w:numPr>
        <w:tabs>
          <w:tab w:val="left" w:pos="1108"/>
        </w:tabs>
        <w:spacing w:before="158" w:after="0" w:line="240" w:lineRule="auto"/>
        <w:ind w:left="1108" w:right="0" w:hanging="480"/>
        <w:jc w:val="both"/>
        <w:rPr>
          <w:sz w:val="24"/>
        </w:rPr>
      </w:pPr>
      <w:r>
        <w:rPr>
          <w:sz w:val="24"/>
        </w:rPr>
        <w:t>项目经理</w:t>
      </w:r>
    </w:p>
    <w:p>
      <w:pPr>
        <w:pStyle w:val="16"/>
        <w:numPr>
          <w:ilvl w:val="2"/>
          <w:numId w:val="35"/>
        </w:numPr>
        <w:tabs>
          <w:tab w:val="left" w:pos="1533"/>
        </w:tabs>
        <w:spacing w:before="161" w:after="0" w:line="364" w:lineRule="auto"/>
        <w:ind w:left="388" w:right="798" w:firstLine="424"/>
        <w:jc w:val="both"/>
        <w:rPr>
          <w:sz w:val="24"/>
        </w:rPr>
      </w:pPr>
      <w:r>
        <w:rPr>
          <w:sz w:val="24"/>
        </w:rPr>
        <w:t>项目经理应为合同当事人所确认的人选，并在专用合同条款中明确项目经理的</w:t>
      </w:r>
      <w:r>
        <w:rPr>
          <w:spacing w:val="-1"/>
          <w:sz w:val="24"/>
        </w:rPr>
        <w:t>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w:t>
      </w:r>
      <w:r>
        <w:rPr>
          <w:sz w:val="24"/>
        </w:rPr>
        <w:t>加的费用和（或）延误的工期由承包人承担。</w:t>
      </w:r>
    </w:p>
    <w:p>
      <w:pPr>
        <w:pStyle w:val="8"/>
        <w:spacing w:line="364" w:lineRule="auto"/>
        <w:ind w:left="388" w:right="590" w:firstLine="424"/>
      </w:pPr>
      <w: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pStyle w:val="8"/>
        <w:spacing w:line="305" w:lineRule="exact"/>
        <w:ind w:left="812"/>
      </w:pPr>
      <w:r>
        <w:t>承包人违反上述约定的，应按照专用合同条款的约定，承担违约责任。</w:t>
      </w:r>
    </w:p>
    <w:p>
      <w:pPr>
        <w:spacing w:after="0" w:line="305" w:lineRule="exact"/>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90" o:spid="_x0000_s1090" o:spt="20" style="position:absolute;left:0pt;margin-left:62.4pt;margin-top:12.25pt;height:0pt;width:400.4pt;mso-position-horizontal-relative:page;z-index:25174118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2"/>
          <w:numId w:val="35"/>
        </w:numPr>
        <w:tabs>
          <w:tab w:val="left" w:pos="1533"/>
        </w:tabs>
        <w:spacing w:before="67" w:after="0" w:line="364" w:lineRule="auto"/>
        <w:ind w:left="388" w:right="624" w:firstLine="424"/>
        <w:jc w:val="left"/>
        <w:rPr>
          <w:sz w:val="24"/>
        </w:rPr>
      </w:pPr>
      <w:r>
        <w:rPr>
          <w:spacing w:val="-2"/>
          <w:sz w:val="24"/>
        </w:rPr>
        <w:t xml:space="preserve">项目经理按合同约定组织工程实施。在紧急情况下为确保施工安全和人员安全， </w:t>
      </w:r>
      <w:r>
        <w:rPr>
          <w:sz w:val="24"/>
        </w:rPr>
        <w:t>在无法与发包人代表和总监理工程师及时取得联系时，项目经理有权采取必要的措施保证</w:t>
      </w:r>
      <w:r>
        <w:rPr>
          <w:spacing w:val="-9"/>
          <w:sz w:val="24"/>
        </w:rPr>
        <w:t xml:space="preserve">与工程有关的人身、财产和工程的安全，但应在 </w:t>
      </w:r>
      <w:r>
        <w:rPr>
          <w:sz w:val="24"/>
        </w:rPr>
        <w:t>48</w:t>
      </w:r>
      <w:r>
        <w:rPr>
          <w:spacing w:val="-8"/>
          <w:sz w:val="24"/>
        </w:rPr>
        <w:t xml:space="preserve"> 小时内向发包人代表和总监理工程师提交书面报告。</w:t>
      </w:r>
    </w:p>
    <w:p>
      <w:pPr>
        <w:pStyle w:val="16"/>
        <w:numPr>
          <w:ilvl w:val="2"/>
          <w:numId w:val="35"/>
        </w:numPr>
        <w:tabs>
          <w:tab w:val="left" w:pos="1533"/>
        </w:tabs>
        <w:spacing w:before="0" w:after="0" w:line="364" w:lineRule="auto"/>
        <w:ind w:left="388" w:right="744" w:firstLine="424"/>
        <w:jc w:val="both"/>
        <w:rPr>
          <w:sz w:val="24"/>
        </w:rPr>
      </w:pPr>
      <w:r>
        <w:rPr>
          <w:spacing w:val="-5"/>
          <w:sz w:val="24"/>
        </w:rPr>
        <w:t xml:space="preserve">承包人需要更换项目经理的，应提前 </w:t>
      </w:r>
      <w:r>
        <w:rPr>
          <w:sz w:val="24"/>
        </w:rPr>
        <w:t>14</w:t>
      </w:r>
      <w:r>
        <w:rPr>
          <w:spacing w:val="-9"/>
          <w:sz w:val="24"/>
        </w:rPr>
        <w:t xml:space="preserve"> 天书面通知发包人和监理人，并征得发</w:t>
      </w:r>
      <w:r>
        <w:rPr>
          <w:sz w:val="24"/>
        </w:rPr>
        <w:t>包人书面同意。通知中应当载明继任项目经理的注册执业资格、管理经验等资料，继任项</w:t>
      </w:r>
      <w:r>
        <w:rPr>
          <w:spacing w:val="-7"/>
          <w:sz w:val="24"/>
        </w:rPr>
        <w:t xml:space="preserve">目经理继续履行第 </w:t>
      </w:r>
      <w:r>
        <w:rPr>
          <w:sz w:val="24"/>
        </w:rPr>
        <w:t>3.2.1</w:t>
      </w:r>
      <w:r>
        <w:rPr>
          <w:spacing w:val="-8"/>
          <w:sz w:val="24"/>
        </w:rPr>
        <w:t xml:space="preserve"> 项约定的职责。未经发包人书面同意，承包人不得擅自更换项目经理。承包人擅自更换项目经理的，应按照专用合同条款的约定承担违约责任。</w:t>
      </w:r>
    </w:p>
    <w:p>
      <w:pPr>
        <w:pStyle w:val="16"/>
        <w:numPr>
          <w:ilvl w:val="2"/>
          <w:numId w:val="35"/>
        </w:numPr>
        <w:tabs>
          <w:tab w:val="left" w:pos="1533"/>
        </w:tabs>
        <w:spacing w:before="0" w:after="0" w:line="364" w:lineRule="auto"/>
        <w:ind w:left="388" w:right="744" w:firstLine="424"/>
        <w:jc w:val="left"/>
        <w:rPr>
          <w:sz w:val="24"/>
        </w:rPr>
      </w:pPr>
      <w:r>
        <w:rPr>
          <w:sz w:val="24"/>
        </w:rPr>
        <w:t>发包人有权书面通知承包人更换其认为不称职的项目经理，通知中应当载明要</w:t>
      </w:r>
      <w:r>
        <w:rPr>
          <w:spacing w:val="-9"/>
          <w:sz w:val="24"/>
        </w:rPr>
        <w:t xml:space="preserve">求更换的理由。承包人应在接到更换通知后 </w:t>
      </w:r>
      <w:r>
        <w:rPr>
          <w:sz w:val="24"/>
        </w:rPr>
        <w:t>14</w:t>
      </w:r>
      <w:r>
        <w:rPr>
          <w:spacing w:val="-11"/>
          <w:sz w:val="24"/>
        </w:rPr>
        <w:t xml:space="preserve"> 天内向发包人提出书面的改进报告。发包人</w:t>
      </w:r>
      <w:r>
        <w:rPr>
          <w:spacing w:val="-5"/>
          <w:sz w:val="24"/>
        </w:rPr>
        <w:t xml:space="preserve">收到改进报告后仍要求更换的，承包人应在接到第二次更换通知的 </w:t>
      </w:r>
      <w:r>
        <w:rPr>
          <w:sz w:val="24"/>
        </w:rPr>
        <w:t>28</w:t>
      </w:r>
      <w:r>
        <w:rPr>
          <w:spacing w:val="-12"/>
          <w:sz w:val="24"/>
        </w:rPr>
        <w:t xml:space="preserve"> 天内进行更换，并将</w:t>
      </w:r>
      <w:r>
        <w:rPr>
          <w:sz w:val="24"/>
        </w:rPr>
        <w:t>新任命的项目经理的注册执业资格、管理经验等资料书面通知发包人。继任项目经理继续</w:t>
      </w:r>
      <w:r>
        <w:rPr>
          <w:spacing w:val="-15"/>
          <w:sz w:val="24"/>
        </w:rPr>
        <w:t xml:space="preserve">履行第 </w:t>
      </w:r>
      <w:r>
        <w:rPr>
          <w:sz w:val="24"/>
        </w:rPr>
        <w:t>3.2.1</w:t>
      </w:r>
      <w:r>
        <w:rPr>
          <w:spacing w:val="-8"/>
          <w:sz w:val="24"/>
        </w:rPr>
        <w:t xml:space="preserve"> 项约定的职责。承包人无正当理由拒绝更换项目经理的，应按照专用合同条款的约定承担违约责任。</w:t>
      </w:r>
    </w:p>
    <w:p>
      <w:pPr>
        <w:pStyle w:val="16"/>
        <w:numPr>
          <w:ilvl w:val="2"/>
          <w:numId w:val="35"/>
        </w:numPr>
        <w:tabs>
          <w:tab w:val="left" w:pos="1533"/>
        </w:tabs>
        <w:spacing w:before="0" w:after="0" w:line="364" w:lineRule="auto"/>
        <w:ind w:left="388" w:right="798" w:firstLine="424"/>
        <w:jc w:val="both"/>
        <w:rPr>
          <w:sz w:val="24"/>
        </w:rPr>
      </w:pPr>
      <w:r>
        <w:rPr>
          <w:sz w:val="24"/>
        </w:rPr>
        <w:t>项目经理因特殊情况授权其下属人员履行其某项工作职责的，该下属人员应具</w:t>
      </w:r>
      <w:r>
        <w:rPr>
          <w:spacing w:val="-4"/>
          <w:sz w:val="24"/>
        </w:rPr>
        <w:t xml:space="preserve">备履行相应职责的能力，并应提前 </w:t>
      </w:r>
      <w:r>
        <w:rPr>
          <w:sz w:val="24"/>
        </w:rPr>
        <w:t>7</w:t>
      </w:r>
      <w:r>
        <w:rPr>
          <w:spacing w:val="-9"/>
          <w:sz w:val="24"/>
        </w:rPr>
        <w:t xml:space="preserve"> 天将上述人员的姓名和授权范围书面通知监理人，并</w:t>
      </w:r>
      <w:r>
        <w:rPr>
          <w:sz w:val="24"/>
        </w:rPr>
        <w:t>征得发包人书面同意。</w:t>
      </w:r>
    </w:p>
    <w:p>
      <w:pPr>
        <w:pStyle w:val="16"/>
        <w:numPr>
          <w:ilvl w:val="1"/>
          <w:numId w:val="35"/>
        </w:numPr>
        <w:tabs>
          <w:tab w:val="left" w:pos="1108"/>
        </w:tabs>
        <w:spacing w:before="0" w:after="0" w:line="307" w:lineRule="exact"/>
        <w:ind w:left="1108" w:right="0" w:hanging="480"/>
        <w:jc w:val="both"/>
        <w:rPr>
          <w:sz w:val="24"/>
        </w:rPr>
      </w:pPr>
      <w:r>
        <w:rPr>
          <w:sz w:val="24"/>
        </w:rPr>
        <w:t>承包人人员</w:t>
      </w:r>
    </w:p>
    <w:p>
      <w:pPr>
        <w:pStyle w:val="16"/>
        <w:numPr>
          <w:ilvl w:val="2"/>
          <w:numId w:val="35"/>
        </w:numPr>
        <w:tabs>
          <w:tab w:val="left" w:pos="1533"/>
        </w:tabs>
        <w:spacing w:before="149" w:after="0" w:line="364" w:lineRule="auto"/>
        <w:ind w:left="388" w:right="624" w:firstLine="424"/>
        <w:jc w:val="left"/>
        <w:rPr>
          <w:sz w:val="24"/>
        </w:rPr>
      </w:pPr>
      <w:r>
        <w:rPr>
          <w:spacing w:val="-3"/>
          <w:sz w:val="24"/>
        </w:rPr>
        <w:t xml:space="preserve">除专用合同条款另有约定外，承包人应在接到开工通知后 </w:t>
      </w:r>
      <w:r>
        <w:rPr>
          <w:sz w:val="24"/>
        </w:rPr>
        <w:t>7</w:t>
      </w:r>
      <w:r>
        <w:rPr>
          <w:spacing w:val="-8"/>
          <w:sz w:val="24"/>
        </w:rPr>
        <w:t xml:space="preserve"> 天内，向监理人提</w:t>
      </w:r>
      <w:r>
        <w:rPr>
          <w:spacing w:val="-12"/>
          <w:sz w:val="24"/>
        </w:rPr>
        <w:t>交承包人项目管理机构及施工现场人员安排的报告，其内容应包括合同管理、施工、技术、</w:t>
      </w:r>
      <w:r>
        <w:rPr>
          <w:sz w:val="24"/>
        </w:rPr>
        <w:t>材料、质量、安全、财务等主要施工管理人员名单及其岗位、注册执业资格等，以及各工种技术工人的安排情况，并同时提交主要施工管理人员与承包人之间的劳动关系证明和缴纳社会保险的有效证明。</w:t>
      </w:r>
    </w:p>
    <w:p>
      <w:pPr>
        <w:pStyle w:val="16"/>
        <w:numPr>
          <w:ilvl w:val="2"/>
          <w:numId w:val="35"/>
        </w:numPr>
        <w:tabs>
          <w:tab w:val="left" w:pos="1533"/>
        </w:tabs>
        <w:spacing w:before="0" w:after="0" w:line="364" w:lineRule="auto"/>
        <w:ind w:left="388" w:right="624" w:firstLine="424"/>
        <w:jc w:val="left"/>
        <w:rPr>
          <w:sz w:val="24"/>
        </w:rPr>
      </w:pPr>
      <w:r>
        <w:rPr>
          <w:spacing w:val="-2"/>
          <w:sz w:val="24"/>
        </w:rPr>
        <w:t xml:space="preserve">承包人派驻到施工现场的主要施工管理人员应相对稳定。施工过程中如有变动， </w:t>
      </w:r>
      <w:r>
        <w:rPr>
          <w:sz w:val="24"/>
        </w:rPr>
        <w:t>承包人应及时向监理人提交施工现场人员变动情况的报告。承包人更换主要施工管理人员</w:t>
      </w:r>
      <w:r>
        <w:rPr>
          <w:spacing w:val="-10"/>
          <w:sz w:val="24"/>
        </w:rPr>
        <w:t xml:space="preserve">时，应提前 </w:t>
      </w:r>
      <w:r>
        <w:rPr>
          <w:sz w:val="24"/>
        </w:rPr>
        <w:t>7</w:t>
      </w:r>
      <w:r>
        <w:rPr>
          <w:spacing w:val="-8"/>
          <w:sz w:val="24"/>
        </w:rPr>
        <w:t xml:space="preserve"> 天书面通知监理人，并征得发包人书面同意。通知中应当载明继任人员的注册执业资格、管理经验等资料。</w:t>
      </w:r>
    </w:p>
    <w:p>
      <w:pPr>
        <w:pStyle w:val="8"/>
        <w:spacing w:line="305" w:lineRule="exact"/>
        <w:ind w:left="812"/>
      </w:pPr>
      <w:r>
        <w:t>特殊工种作业人员均应持有相应的资格证明，监理人可以随时检查。</w:t>
      </w:r>
    </w:p>
    <w:p>
      <w:pPr>
        <w:pStyle w:val="16"/>
        <w:numPr>
          <w:ilvl w:val="2"/>
          <w:numId w:val="35"/>
        </w:numPr>
        <w:tabs>
          <w:tab w:val="left" w:pos="1533"/>
        </w:tabs>
        <w:spacing w:before="159" w:after="0" w:line="362" w:lineRule="auto"/>
        <w:ind w:left="388" w:right="798" w:firstLine="424"/>
        <w:jc w:val="left"/>
        <w:rPr>
          <w:sz w:val="24"/>
        </w:rPr>
      </w:pPr>
      <w:r>
        <w:rPr>
          <w:sz w:val="24"/>
        </w:rPr>
        <w:t>发包人对于承包人主要施工管理人员的资格或能力有异议的，承包人应提供资</w:t>
      </w:r>
      <w:r>
        <w:rPr>
          <w:spacing w:val="-1"/>
          <w:sz w:val="24"/>
        </w:rPr>
        <w:t>料证明被质疑人员有能力完成其岗位工作或不存在发包人所质疑的情形。发包人要求撤换</w:t>
      </w:r>
    </w:p>
    <w:p>
      <w:pPr>
        <w:spacing w:after="0" w:line="362"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91" o:spid="_x0000_s1091" o:spt="20" style="position:absolute;left:0pt;margin-left:62.4pt;margin-top:12.25pt;height:0pt;width:400.4pt;mso-position-horizontal-relative:page;z-index:25174220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2" w:lineRule="auto"/>
        <w:ind w:left="388" w:right="798"/>
      </w:pPr>
      <w:r>
        <w:t>不能按照合同约定履行职责及义务的主要施工管理人员的，承包人应当撤换。承包人无正当理由拒绝撤换的，应按照专用合同条款的约定承担违约责任。</w:t>
      </w:r>
    </w:p>
    <w:p>
      <w:pPr>
        <w:pStyle w:val="16"/>
        <w:numPr>
          <w:ilvl w:val="2"/>
          <w:numId w:val="35"/>
        </w:numPr>
        <w:tabs>
          <w:tab w:val="left" w:pos="1533"/>
        </w:tabs>
        <w:spacing w:before="5" w:after="0" w:line="364" w:lineRule="auto"/>
        <w:ind w:left="388" w:right="624" w:firstLine="424"/>
        <w:jc w:val="left"/>
        <w:rPr>
          <w:sz w:val="24"/>
        </w:rPr>
      </w:pPr>
      <w:r>
        <w:rPr>
          <w:sz w:val="24"/>
        </w:rPr>
        <w:t>除专用合同条款另有约定外，承包人的主要施工管理人员离开施工现场每月累</w:t>
      </w:r>
      <w:r>
        <w:rPr>
          <w:spacing w:val="-12"/>
          <w:sz w:val="24"/>
        </w:rPr>
        <w:t xml:space="preserve">计不超过 </w:t>
      </w:r>
      <w:r>
        <w:rPr>
          <w:sz w:val="24"/>
        </w:rPr>
        <w:t>5</w:t>
      </w:r>
      <w:r>
        <w:rPr>
          <w:spacing w:val="-11"/>
          <w:sz w:val="24"/>
        </w:rPr>
        <w:t xml:space="preserve"> 天的，应报监理人同意；离开施工现场每月累计超过 </w:t>
      </w:r>
      <w:r>
        <w:rPr>
          <w:sz w:val="24"/>
        </w:rPr>
        <w:t>5</w:t>
      </w:r>
      <w:r>
        <w:rPr>
          <w:spacing w:val="-8"/>
          <w:sz w:val="24"/>
        </w:rPr>
        <w:t xml:space="preserve"> 天的，应通知监理人， 并征得发包人书面同意。主要施工管理人员离开施工现场前应指定一名有经验的人员临时</w:t>
      </w:r>
      <w:r>
        <w:rPr>
          <w:spacing w:val="-11"/>
          <w:sz w:val="24"/>
        </w:rPr>
        <w:t>代行其职责，该人员应具备履行相应职责的资格和能力，且应征得监理人或发包人的同意。</w:t>
      </w:r>
    </w:p>
    <w:p>
      <w:pPr>
        <w:pStyle w:val="16"/>
        <w:numPr>
          <w:ilvl w:val="2"/>
          <w:numId w:val="35"/>
        </w:numPr>
        <w:tabs>
          <w:tab w:val="left" w:pos="1533"/>
        </w:tabs>
        <w:spacing w:before="0" w:after="0" w:line="364" w:lineRule="auto"/>
        <w:ind w:left="388" w:right="852" w:firstLine="424"/>
        <w:jc w:val="left"/>
        <w:rPr>
          <w:sz w:val="24"/>
        </w:rPr>
      </w:pPr>
      <w:r>
        <w:rPr>
          <w:spacing w:val="-1"/>
          <w:sz w:val="24"/>
        </w:rPr>
        <w:t>承包人擅自更换主要施工管理人员，或前述人员未经监理人或发包人同意擅自</w:t>
      </w:r>
      <w:r>
        <w:rPr>
          <w:sz w:val="24"/>
        </w:rPr>
        <w:t>离开施工现场的，应按照专用合同条款约定承担违约责任。</w:t>
      </w:r>
    </w:p>
    <w:p>
      <w:pPr>
        <w:pStyle w:val="16"/>
        <w:numPr>
          <w:ilvl w:val="1"/>
          <w:numId w:val="35"/>
        </w:numPr>
        <w:tabs>
          <w:tab w:val="left" w:pos="1108"/>
        </w:tabs>
        <w:spacing w:before="0" w:after="0" w:line="306" w:lineRule="exact"/>
        <w:ind w:left="1108" w:right="0" w:hanging="480"/>
        <w:jc w:val="left"/>
        <w:rPr>
          <w:sz w:val="24"/>
        </w:rPr>
      </w:pPr>
      <w:r>
        <w:rPr>
          <w:sz w:val="24"/>
        </w:rPr>
        <w:t>承包人现场查勘</w:t>
      </w:r>
    </w:p>
    <w:p>
      <w:pPr>
        <w:pStyle w:val="8"/>
        <w:spacing w:before="155" w:line="364" w:lineRule="auto"/>
        <w:ind w:left="388" w:right="798" w:firstLine="424"/>
        <w:jc w:val="both"/>
      </w:pPr>
      <w:r>
        <w:rPr>
          <w:spacing w:val="-5"/>
        </w:rPr>
        <w:t xml:space="preserve">承包人应对基于发包人按照第 </w:t>
      </w:r>
      <w:r>
        <w:t>2.4.3</w:t>
      </w:r>
      <w:r>
        <w:rPr>
          <w:spacing w:val="-8"/>
        </w:rPr>
        <w:t xml:space="preserve"> 项〔提供基础资料〕提交的基础资料所做出的解</w:t>
      </w:r>
      <w:r>
        <w:rPr>
          <w:spacing w:val="-9"/>
        </w:rPr>
        <w:t>释和推断负责，但因基础资料存在错误、遗漏导致承包人解释或推断失实的，由发包人承</w:t>
      </w:r>
      <w:r>
        <w:t>担责任。</w:t>
      </w:r>
    </w:p>
    <w:p>
      <w:pPr>
        <w:pStyle w:val="8"/>
        <w:spacing w:line="364" w:lineRule="auto"/>
        <w:ind w:left="388" w:right="798" w:firstLine="424"/>
        <w:jc w:val="both"/>
      </w:pPr>
      <w: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w:t>
      </w:r>
    </w:p>
    <w:p>
      <w:pPr>
        <w:pStyle w:val="16"/>
        <w:numPr>
          <w:ilvl w:val="1"/>
          <w:numId w:val="35"/>
        </w:numPr>
        <w:tabs>
          <w:tab w:val="left" w:pos="1108"/>
        </w:tabs>
        <w:spacing w:before="0" w:after="0" w:line="307" w:lineRule="exact"/>
        <w:ind w:left="1108" w:right="0" w:hanging="480"/>
        <w:jc w:val="both"/>
        <w:rPr>
          <w:sz w:val="24"/>
        </w:rPr>
      </w:pPr>
      <w:r>
        <w:rPr>
          <w:sz w:val="24"/>
        </w:rPr>
        <w:t>分包</w:t>
      </w:r>
    </w:p>
    <w:p>
      <w:pPr>
        <w:pStyle w:val="16"/>
        <w:numPr>
          <w:ilvl w:val="2"/>
          <w:numId w:val="35"/>
        </w:numPr>
        <w:tabs>
          <w:tab w:val="left" w:pos="1533"/>
        </w:tabs>
        <w:spacing w:before="158" w:after="0" w:line="240" w:lineRule="auto"/>
        <w:ind w:left="1532" w:right="0" w:hanging="721"/>
        <w:jc w:val="both"/>
        <w:rPr>
          <w:sz w:val="24"/>
        </w:rPr>
      </w:pPr>
      <w:r>
        <w:rPr>
          <w:sz w:val="24"/>
        </w:rPr>
        <w:t>分包的一般约定</w:t>
      </w:r>
    </w:p>
    <w:p>
      <w:pPr>
        <w:pStyle w:val="8"/>
        <w:spacing w:before="160" w:line="364" w:lineRule="auto"/>
        <w:ind w:left="388" w:right="798" w:firstLine="424"/>
        <w:jc w:val="both"/>
      </w:pPr>
      <w: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pStyle w:val="8"/>
        <w:spacing w:line="305" w:lineRule="exact"/>
        <w:ind w:left="812"/>
      </w:pPr>
      <w:r>
        <w:t>承包人不得以劳务分包的名义转包或违法分包工程。</w:t>
      </w:r>
    </w:p>
    <w:p>
      <w:pPr>
        <w:pStyle w:val="16"/>
        <w:numPr>
          <w:ilvl w:val="2"/>
          <w:numId w:val="35"/>
        </w:numPr>
        <w:tabs>
          <w:tab w:val="left" w:pos="1533"/>
        </w:tabs>
        <w:spacing w:before="161" w:after="0" w:line="240" w:lineRule="auto"/>
        <w:ind w:left="1532" w:right="0" w:hanging="721"/>
        <w:jc w:val="left"/>
        <w:rPr>
          <w:sz w:val="24"/>
        </w:rPr>
      </w:pPr>
      <w:r>
        <w:rPr>
          <w:sz w:val="24"/>
        </w:rPr>
        <w:t>分包的确定</w:t>
      </w:r>
    </w:p>
    <w:p>
      <w:pPr>
        <w:pStyle w:val="8"/>
        <w:spacing w:before="158" w:line="364" w:lineRule="auto"/>
        <w:ind w:left="388" w:right="744" w:firstLine="424"/>
      </w:pPr>
      <w:r>
        <w:t>承包人应按专用合同条款的约定进行分包，确定分包人。已标价工程量清单或预算书</w:t>
      </w:r>
      <w:r>
        <w:rPr>
          <w:spacing w:val="-6"/>
        </w:rPr>
        <w:t xml:space="preserve">中给定暂估价的专业工程，按照第 </w:t>
      </w:r>
      <w:r>
        <w:t>10.7</w:t>
      </w:r>
      <w:r>
        <w:rPr>
          <w:spacing w:val="-13"/>
        </w:rPr>
        <w:t xml:space="preserve"> 款〔暂估价〕确定分包人。按照合同约定进行分包</w:t>
      </w:r>
      <w:r>
        <w:t>的，承包人应确保分包人具有相应的资质和能力。工程分包不减轻或免除承包人的责任和义务，承包人和分包人就分包工程向发包人承担连带责任。除合同另有约定外，承包人应</w:t>
      </w:r>
      <w:r>
        <w:rPr>
          <w:spacing w:val="-7"/>
        </w:rPr>
        <w:t xml:space="preserve">在分包合同签订后 </w:t>
      </w:r>
      <w:r>
        <w:t>7</w:t>
      </w:r>
      <w:r>
        <w:rPr>
          <w:spacing w:val="-8"/>
        </w:rPr>
        <w:t xml:space="preserve"> 天内向发包人和监理人提交分包合同副本。</w:t>
      </w:r>
    </w:p>
    <w:p>
      <w:pPr>
        <w:pStyle w:val="16"/>
        <w:numPr>
          <w:ilvl w:val="2"/>
          <w:numId w:val="35"/>
        </w:numPr>
        <w:tabs>
          <w:tab w:val="left" w:pos="1533"/>
        </w:tabs>
        <w:spacing w:before="0" w:after="0" w:line="306" w:lineRule="exact"/>
        <w:ind w:left="1532" w:right="0" w:hanging="721"/>
        <w:jc w:val="left"/>
        <w:rPr>
          <w:sz w:val="24"/>
        </w:rPr>
      </w:pPr>
      <w:r>
        <w:rPr>
          <w:sz w:val="24"/>
        </w:rPr>
        <w:t>分包管理</w:t>
      </w:r>
    </w:p>
    <w:p>
      <w:pPr>
        <w:spacing w:after="0" w:line="306" w:lineRule="exact"/>
        <w:jc w:val="left"/>
        <w:rPr>
          <w:sz w:val="24"/>
        </w:rPr>
        <w:sectPr>
          <w:footerReference r:id="rId10" w:type="default"/>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pgNumType w:start="50"/>
          <w:cols w:space="720" w:num="1"/>
        </w:sectPr>
      </w:pPr>
    </w:p>
    <w:p>
      <w:pPr>
        <w:tabs>
          <w:tab w:val="left" w:pos="7676"/>
        </w:tabs>
        <w:spacing w:before="45"/>
        <w:ind w:left="388" w:right="0" w:firstLine="0"/>
        <w:jc w:val="left"/>
        <w:rPr>
          <w:sz w:val="18"/>
        </w:rPr>
      </w:pPr>
      <w:r>
        <w:pict>
          <v:line id="_x0000_s1092" o:spid="_x0000_s1092" o:spt="20" style="position:absolute;left:0pt;margin-left:62.4pt;margin-top:12.25pt;height:0pt;width:400.4pt;mso-position-horizontal-relative:page;z-index:25174323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2" w:lineRule="auto"/>
        <w:ind w:left="388" w:right="852" w:firstLine="424"/>
      </w:pPr>
      <w:r>
        <w:t>承包人应向监理人提交分包人的主要施工管理人员表，并对分包人的施工人员进行实名制管理，包括但不限于进出场管理、登记造册以及各种证照的办理。</w:t>
      </w:r>
    </w:p>
    <w:p>
      <w:pPr>
        <w:pStyle w:val="16"/>
        <w:numPr>
          <w:ilvl w:val="2"/>
          <w:numId w:val="35"/>
        </w:numPr>
        <w:tabs>
          <w:tab w:val="left" w:pos="1533"/>
        </w:tabs>
        <w:spacing w:before="5" w:after="0" w:line="240" w:lineRule="auto"/>
        <w:ind w:left="1532" w:right="0" w:hanging="721"/>
        <w:jc w:val="left"/>
        <w:rPr>
          <w:sz w:val="24"/>
        </w:rPr>
      </w:pPr>
      <w:r>
        <w:rPr>
          <w:sz w:val="24"/>
        </w:rPr>
        <w:t>分包合同价款</w:t>
      </w:r>
    </w:p>
    <w:p>
      <w:pPr>
        <w:pStyle w:val="16"/>
        <w:numPr>
          <w:ilvl w:val="0"/>
          <w:numId w:val="40"/>
        </w:numPr>
        <w:tabs>
          <w:tab w:val="left" w:pos="1414"/>
        </w:tabs>
        <w:spacing w:before="158" w:after="0" w:line="364" w:lineRule="auto"/>
        <w:ind w:left="388" w:right="852" w:firstLine="424"/>
        <w:jc w:val="left"/>
        <w:rPr>
          <w:sz w:val="24"/>
        </w:rPr>
      </w:pPr>
      <w:r>
        <w:rPr>
          <w:sz w:val="24"/>
        </w:rPr>
        <w:t>除本项第（2）</w:t>
      </w:r>
      <w:r>
        <w:rPr>
          <w:spacing w:val="-1"/>
          <w:sz w:val="24"/>
        </w:rPr>
        <w:t>目约定的情况或专用合同条款另有约定外，分包合同价款由承包</w:t>
      </w:r>
      <w:r>
        <w:rPr>
          <w:sz w:val="24"/>
        </w:rPr>
        <w:t>人与分包人结算，未经承包人同意，发包人不得向分包人支付分包工程价款；</w:t>
      </w:r>
    </w:p>
    <w:p>
      <w:pPr>
        <w:pStyle w:val="16"/>
        <w:numPr>
          <w:ilvl w:val="0"/>
          <w:numId w:val="40"/>
        </w:numPr>
        <w:tabs>
          <w:tab w:val="left" w:pos="1414"/>
        </w:tabs>
        <w:spacing w:before="0" w:after="0" w:line="364" w:lineRule="auto"/>
        <w:ind w:left="388" w:right="744" w:firstLine="424"/>
        <w:jc w:val="left"/>
        <w:rPr>
          <w:sz w:val="24"/>
        </w:rPr>
      </w:pPr>
      <w:r>
        <w:rPr>
          <w:spacing w:val="-2"/>
          <w:sz w:val="24"/>
        </w:rPr>
        <w:t>生效法律文书要求发包人向分包人支付分包合同价款的，发包人有权从应付承包</w:t>
      </w:r>
      <w:r>
        <w:rPr>
          <w:sz w:val="24"/>
        </w:rPr>
        <w:t>人工程款中扣除该部分款项。</w:t>
      </w:r>
    </w:p>
    <w:p>
      <w:pPr>
        <w:pStyle w:val="16"/>
        <w:numPr>
          <w:ilvl w:val="2"/>
          <w:numId w:val="35"/>
        </w:numPr>
        <w:tabs>
          <w:tab w:val="left" w:pos="1533"/>
        </w:tabs>
        <w:spacing w:before="0" w:after="0" w:line="240" w:lineRule="auto"/>
        <w:ind w:left="1532" w:right="0" w:hanging="721"/>
        <w:jc w:val="left"/>
        <w:rPr>
          <w:sz w:val="24"/>
        </w:rPr>
      </w:pPr>
      <w:r>
        <w:rPr>
          <w:sz w:val="24"/>
        </w:rPr>
        <w:t>分包合同权益的转让</w:t>
      </w:r>
    </w:p>
    <w:p>
      <w:pPr>
        <w:pStyle w:val="8"/>
        <w:spacing w:before="158" w:line="364" w:lineRule="auto"/>
        <w:ind w:left="388" w:right="798" w:firstLine="424"/>
        <w:jc w:val="both"/>
      </w:pPr>
      <w: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pPr>
        <w:pStyle w:val="16"/>
        <w:numPr>
          <w:ilvl w:val="1"/>
          <w:numId w:val="35"/>
        </w:numPr>
        <w:tabs>
          <w:tab w:val="left" w:pos="1108"/>
        </w:tabs>
        <w:spacing w:before="0" w:after="0" w:line="307" w:lineRule="exact"/>
        <w:ind w:left="1108" w:right="0" w:hanging="480"/>
        <w:jc w:val="both"/>
        <w:rPr>
          <w:sz w:val="24"/>
        </w:rPr>
      </w:pPr>
      <w:r>
        <w:rPr>
          <w:sz w:val="24"/>
        </w:rPr>
        <w:t>工程照管与成品、半成品保护</w:t>
      </w:r>
    </w:p>
    <w:p>
      <w:pPr>
        <w:pStyle w:val="16"/>
        <w:numPr>
          <w:ilvl w:val="0"/>
          <w:numId w:val="41"/>
        </w:numPr>
        <w:tabs>
          <w:tab w:val="left" w:pos="1414"/>
        </w:tabs>
        <w:spacing w:before="158" w:after="0" w:line="364" w:lineRule="auto"/>
        <w:ind w:left="388" w:right="744" w:firstLine="424"/>
        <w:jc w:val="left"/>
        <w:rPr>
          <w:sz w:val="24"/>
        </w:rPr>
      </w:pPr>
      <w:r>
        <w:rPr>
          <w:spacing w:val="-3"/>
          <w:sz w:val="24"/>
        </w:rPr>
        <w:t>除专用合同条款另有约定外，自发包人向承包人移交施工现场之日起，承包人应</w:t>
      </w:r>
      <w:r>
        <w:rPr>
          <w:sz w:val="24"/>
        </w:rPr>
        <w:t>负责照管工程及工程相关的材料、工程设备，直到颁发工程接收证书之日止。</w:t>
      </w:r>
    </w:p>
    <w:p>
      <w:pPr>
        <w:pStyle w:val="16"/>
        <w:numPr>
          <w:ilvl w:val="0"/>
          <w:numId w:val="41"/>
        </w:numPr>
        <w:tabs>
          <w:tab w:val="left" w:pos="1414"/>
        </w:tabs>
        <w:spacing w:before="0" w:after="0" w:line="364" w:lineRule="auto"/>
        <w:ind w:left="388" w:right="744" w:firstLine="424"/>
        <w:jc w:val="left"/>
        <w:rPr>
          <w:sz w:val="24"/>
        </w:rPr>
      </w:pPr>
      <w:r>
        <w:rPr>
          <w:spacing w:val="-3"/>
          <w:sz w:val="24"/>
        </w:rPr>
        <w:t>在承包人负责照管期间，因承包人原因造成工程、材料、工程设备损坏的，由承</w:t>
      </w:r>
      <w:r>
        <w:rPr>
          <w:sz w:val="24"/>
        </w:rPr>
        <w:t>包人负责修复或更换，并承担由此增加的费用和（或）延误的工期。</w:t>
      </w:r>
    </w:p>
    <w:p>
      <w:pPr>
        <w:pStyle w:val="16"/>
        <w:numPr>
          <w:ilvl w:val="0"/>
          <w:numId w:val="41"/>
        </w:numPr>
        <w:tabs>
          <w:tab w:val="left" w:pos="1414"/>
        </w:tabs>
        <w:spacing w:before="0" w:after="0" w:line="364" w:lineRule="auto"/>
        <w:ind w:left="388" w:right="744" w:firstLine="424"/>
        <w:jc w:val="both"/>
        <w:rPr>
          <w:sz w:val="24"/>
        </w:rPr>
      </w:pPr>
      <w:r>
        <w:rPr>
          <w:spacing w:val="-3"/>
          <w:sz w:val="24"/>
        </w:rPr>
        <w:t>对合同内分期完成的成品和半成品，在工程接收证书颁发前，由承包人承担保护</w:t>
      </w:r>
      <w:r>
        <w:rPr>
          <w:sz w:val="24"/>
        </w:rPr>
        <w:t>责任。因承包人原因造成成品或半成品损坏的，由承包人负责修复或更换，并承担由此增加的费用和（或）延误的工期。</w:t>
      </w:r>
    </w:p>
    <w:p>
      <w:pPr>
        <w:pStyle w:val="16"/>
        <w:numPr>
          <w:ilvl w:val="1"/>
          <w:numId w:val="35"/>
        </w:numPr>
        <w:tabs>
          <w:tab w:val="left" w:pos="1108"/>
        </w:tabs>
        <w:spacing w:before="0" w:after="0" w:line="307" w:lineRule="exact"/>
        <w:ind w:left="1108" w:right="0" w:hanging="480"/>
        <w:jc w:val="both"/>
        <w:rPr>
          <w:sz w:val="24"/>
        </w:rPr>
      </w:pPr>
      <w:r>
        <w:rPr>
          <w:sz w:val="24"/>
        </w:rPr>
        <w:t>履约担保</w:t>
      </w:r>
    </w:p>
    <w:p>
      <w:pPr>
        <w:pStyle w:val="8"/>
        <w:spacing w:before="156" w:line="364" w:lineRule="auto"/>
        <w:ind w:left="388" w:right="798" w:firstLine="424"/>
        <w:jc w:val="both"/>
      </w:pPr>
      <w:r>
        <w:t>发包人需要承包人提供履约担保的，由合同当事人在专用合同条款中约定履约担保的方式、金额及期限等。履约担保可以采用银行保函或担保公司担保等形式，具体由合同当事人在专用合同条款中约定。</w:t>
      </w:r>
    </w:p>
    <w:p>
      <w:pPr>
        <w:pStyle w:val="8"/>
        <w:spacing w:line="364" w:lineRule="auto"/>
        <w:ind w:left="388" w:right="852" w:firstLine="424"/>
      </w:pPr>
      <w:r>
        <w:t>因承包人原因导致工期延长的，继续提供履约担保所增加的费用由承包人承担；非因承包人原因导致工期延长的，继续提供履约担保所增加的费用由发包人承担。</w:t>
      </w:r>
    </w:p>
    <w:p>
      <w:pPr>
        <w:pStyle w:val="16"/>
        <w:numPr>
          <w:ilvl w:val="1"/>
          <w:numId w:val="35"/>
        </w:numPr>
        <w:tabs>
          <w:tab w:val="left" w:pos="1108"/>
        </w:tabs>
        <w:spacing w:before="0" w:after="0" w:line="306" w:lineRule="exact"/>
        <w:ind w:left="1108" w:right="0" w:hanging="480"/>
        <w:jc w:val="left"/>
        <w:rPr>
          <w:sz w:val="24"/>
        </w:rPr>
      </w:pPr>
      <w:r>
        <w:rPr>
          <w:sz w:val="24"/>
        </w:rPr>
        <w:t>联合体</w:t>
      </w:r>
    </w:p>
    <w:p>
      <w:pPr>
        <w:pStyle w:val="16"/>
        <w:numPr>
          <w:ilvl w:val="2"/>
          <w:numId w:val="35"/>
        </w:numPr>
        <w:tabs>
          <w:tab w:val="left" w:pos="1533"/>
        </w:tabs>
        <w:spacing w:before="157" w:after="0" w:line="364" w:lineRule="auto"/>
        <w:ind w:left="388" w:right="852" w:firstLine="424"/>
        <w:jc w:val="left"/>
        <w:rPr>
          <w:sz w:val="24"/>
        </w:rPr>
      </w:pPr>
      <w:r>
        <w:rPr>
          <w:spacing w:val="-1"/>
          <w:sz w:val="24"/>
        </w:rPr>
        <w:t>联合体各方应共同与发包人签订合同协议书。联合体各方应为履行合同向发包</w:t>
      </w:r>
      <w:r>
        <w:rPr>
          <w:sz w:val="24"/>
        </w:rPr>
        <w:t>人承担连带责任。</w:t>
      </w:r>
    </w:p>
    <w:p>
      <w:pPr>
        <w:pStyle w:val="16"/>
        <w:numPr>
          <w:ilvl w:val="2"/>
          <w:numId w:val="35"/>
        </w:numPr>
        <w:tabs>
          <w:tab w:val="left" w:pos="1533"/>
        </w:tabs>
        <w:spacing w:before="1" w:after="0" w:line="362" w:lineRule="auto"/>
        <w:ind w:left="388" w:right="852" w:firstLine="424"/>
        <w:jc w:val="left"/>
        <w:rPr>
          <w:sz w:val="24"/>
        </w:rPr>
      </w:pPr>
      <w:r>
        <w:rPr>
          <w:spacing w:val="-1"/>
          <w:sz w:val="24"/>
        </w:rPr>
        <w:t>联合体协议经发包人确认后作为合同附件。在履行合同过程中，未经发包人同</w:t>
      </w:r>
      <w:r>
        <w:rPr>
          <w:sz w:val="24"/>
        </w:rPr>
        <w:t>意，不得修改联合体协议。</w:t>
      </w:r>
    </w:p>
    <w:p>
      <w:pPr>
        <w:spacing w:after="0" w:line="362"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93" o:spid="_x0000_s1093" o:spt="20" style="position:absolute;left:0pt;margin-left:62.4pt;margin-top:12.25pt;height:0pt;width:400.4pt;mso-position-horizontal-relative:page;z-index:25174425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2"/>
          <w:numId w:val="35"/>
        </w:numPr>
        <w:tabs>
          <w:tab w:val="left" w:pos="1533"/>
        </w:tabs>
        <w:spacing w:before="67" w:after="0" w:line="362" w:lineRule="auto"/>
        <w:ind w:left="388" w:right="852" w:firstLine="424"/>
        <w:jc w:val="left"/>
        <w:rPr>
          <w:sz w:val="24"/>
        </w:rPr>
      </w:pPr>
      <w:r>
        <w:rPr>
          <w:spacing w:val="-1"/>
          <w:sz w:val="24"/>
        </w:rPr>
        <w:t>联合体牵头人负责与发包人和监理人联系，并接受指示，负责组织联合体各成</w:t>
      </w:r>
      <w:r>
        <w:rPr>
          <w:sz w:val="24"/>
        </w:rPr>
        <w:t>员全面履行合同。</w:t>
      </w:r>
    </w:p>
    <w:p>
      <w:pPr>
        <w:pStyle w:val="16"/>
        <w:numPr>
          <w:ilvl w:val="0"/>
          <w:numId w:val="35"/>
        </w:numPr>
        <w:tabs>
          <w:tab w:val="left" w:pos="748"/>
        </w:tabs>
        <w:spacing w:before="5" w:after="0" w:line="240" w:lineRule="auto"/>
        <w:ind w:left="748" w:right="0" w:hanging="360"/>
        <w:jc w:val="left"/>
        <w:outlineLvl w:val="2"/>
        <w:rPr>
          <w:sz w:val="24"/>
        </w:rPr>
      </w:pPr>
      <w:r>
        <w:rPr>
          <w:sz w:val="24"/>
        </w:rPr>
        <w:t>监理人</w:t>
      </w:r>
    </w:p>
    <w:p>
      <w:pPr>
        <w:pStyle w:val="16"/>
        <w:numPr>
          <w:ilvl w:val="1"/>
          <w:numId w:val="35"/>
        </w:numPr>
        <w:tabs>
          <w:tab w:val="left" w:pos="1048"/>
        </w:tabs>
        <w:spacing w:before="158" w:after="0" w:line="240" w:lineRule="auto"/>
        <w:ind w:left="1048" w:right="0" w:hanging="420"/>
        <w:jc w:val="both"/>
        <w:rPr>
          <w:sz w:val="24"/>
        </w:rPr>
      </w:pPr>
      <w:r>
        <w:rPr>
          <w:sz w:val="24"/>
        </w:rPr>
        <w:t>监理人的一般规定</w:t>
      </w:r>
    </w:p>
    <w:p>
      <w:pPr>
        <w:pStyle w:val="8"/>
        <w:spacing w:before="160" w:line="364" w:lineRule="auto"/>
        <w:ind w:left="388" w:right="798" w:firstLine="424"/>
        <w:jc w:val="both"/>
      </w:pPr>
      <w: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pStyle w:val="8"/>
        <w:spacing w:line="362" w:lineRule="auto"/>
        <w:ind w:left="388" w:right="581" w:firstLine="424"/>
      </w:pPr>
      <w:r>
        <w:t>除专用合同条款另有约定外，监理人在施工现场的办公场所、生活场所由承包人提供， 所发生的费用由发包人承担。</w:t>
      </w:r>
    </w:p>
    <w:p>
      <w:pPr>
        <w:pStyle w:val="16"/>
        <w:numPr>
          <w:ilvl w:val="1"/>
          <w:numId w:val="35"/>
        </w:numPr>
        <w:tabs>
          <w:tab w:val="left" w:pos="1048"/>
        </w:tabs>
        <w:spacing w:before="3" w:after="0" w:line="240" w:lineRule="auto"/>
        <w:ind w:left="1048" w:right="0" w:hanging="420"/>
        <w:jc w:val="left"/>
        <w:rPr>
          <w:sz w:val="24"/>
        </w:rPr>
      </w:pPr>
      <w:r>
        <w:rPr>
          <w:sz w:val="24"/>
        </w:rPr>
        <w:t>监理人员</w:t>
      </w:r>
    </w:p>
    <w:p>
      <w:pPr>
        <w:pStyle w:val="8"/>
        <w:spacing w:before="160" w:line="364" w:lineRule="auto"/>
        <w:ind w:left="388" w:right="798" w:firstLine="424"/>
        <w:jc w:val="both"/>
      </w:pPr>
      <w:r>
        <w:t>发包人授予监理人对工程实施监理的权利由监理人派驻施工现场的监理人员行使，监</w:t>
      </w:r>
      <w:r>
        <w:rPr>
          <w:spacing w:val="-1"/>
        </w:rPr>
        <w:t>理人员包括总监理工程师及监理工程师。监理人应将授权的总监理工程师和监理工程师的</w:t>
      </w:r>
      <w:r>
        <w:rPr>
          <w:spacing w:val="-2"/>
        </w:rPr>
        <w:t xml:space="preserve">姓名及授权范围以书面形式提前通知承包人。更换总监理工程师的，监理人应提前 </w:t>
      </w:r>
      <w:r>
        <w:t>7</w:t>
      </w:r>
      <w:r>
        <w:rPr>
          <w:spacing w:val="-27"/>
        </w:rPr>
        <w:t xml:space="preserve"> 天书</w:t>
      </w:r>
    </w:p>
    <w:p>
      <w:pPr>
        <w:pStyle w:val="8"/>
        <w:spacing w:line="304" w:lineRule="exact"/>
        <w:ind w:left="388"/>
        <w:jc w:val="both"/>
      </w:pPr>
      <w:r>
        <w:t>面通知承包人；更换其他监理人员，监理人应提前 48 小时书面通知承包人。</w:t>
      </w:r>
    </w:p>
    <w:p>
      <w:pPr>
        <w:pStyle w:val="16"/>
        <w:numPr>
          <w:ilvl w:val="1"/>
          <w:numId w:val="35"/>
        </w:numPr>
        <w:tabs>
          <w:tab w:val="left" w:pos="1048"/>
        </w:tabs>
        <w:spacing w:before="161" w:after="0" w:line="240" w:lineRule="auto"/>
        <w:ind w:left="1048" w:right="0" w:hanging="420"/>
        <w:jc w:val="both"/>
        <w:rPr>
          <w:sz w:val="24"/>
        </w:rPr>
      </w:pPr>
      <w:r>
        <w:rPr>
          <w:sz w:val="24"/>
        </w:rPr>
        <w:t>监理人的指示</w:t>
      </w:r>
    </w:p>
    <w:p>
      <w:pPr>
        <w:pStyle w:val="8"/>
        <w:spacing w:before="158" w:line="364" w:lineRule="auto"/>
        <w:ind w:left="388" w:right="798" w:firstLine="424"/>
        <w:jc w:val="both"/>
      </w:pPr>
      <w: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 24 小时内补发书面监理指示，补发的书面监理指示应与口头指示一致。</w:t>
      </w:r>
    </w:p>
    <w:p>
      <w:pPr>
        <w:pStyle w:val="8"/>
        <w:spacing w:line="364" w:lineRule="auto"/>
        <w:ind w:left="388" w:right="744" w:firstLine="424"/>
        <w:jc w:val="both"/>
      </w:pPr>
      <w:r>
        <w:t>监理人发出的指示应送达承包人项目经理或经项目经理授权接收的人员。因监理人未能按合同约定发出指示、指示延误或发出了错误指示而导致承包人费用增加和（或）工期</w:t>
      </w:r>
      <w:r>
        <w:rPr>
          <w:spacing w:val="-14"/>
        </w:rPr>
        <w:t xml:space="preserve">延误的，由发包人承担相应责任。除专用合同条款另有约定外，总监理工程师不应将第 </w:t>
      </w:r>
      <w:r>
        <w:rPr>
          <w:spacing w:val="-6"/>
        </w:rPr>
        <w:t xml:space="preserve">4.4 </w:t>
      </w:r>
      <w:r>
        <w:t>款〔商定或确定〕约定应由总监理工程师作出确定的权力授权或委托给其他监理人员。</w:t>
      </w:r>
    </w:p>
    <w:p>
      <w:pPr>
        <w:pStyle w:val="8"/>
        <w:spacing w:line="362" w:lineRule="auto"/>
        <w:ind w:left="388" w:right="624" w:firstLine="424"/>
        <w:jc w:val="both"/>
      </w:pPr>
      <w:r>
        <w:rPr>
          <w:spacing w:val="-4"/>
        </w:rPr>
        <w:t xml:space="preserve">承包人对监理人发出的指示有疑问的，应向监理人提出书面异议，监理人应在 </w:t>
      </w:r>
      <w:r>
        <w:t>48</w:t>
      </w:r>
      <w:r>
        <w:rPr>
          <w:spacing w:val="-20"/>
        </w:rPr>
        <w:t xml:space="preserve"> 小时</w:t>
      </w:r>
      <w:r>
        <w:rPr>
          <w:spacing w:val="-17"/>
        </w:rPr>
        <w:t>内对该指示予以确认、更改或撤销，监理人逾期未回复的，承包人有权拒绝执行上述指示。</w:t>
      </w:r>
    </w:p>
    <w:p>
      <w:pPr>
        <w:pStyle w:val="8"/>
        <w:spacing w:line="364" w:lineRule="auto"/>
        <w:ind w:left="388" w:right="798" w:firstLine="424"/>
        <w:jc w:val="both"/>
      </w:pPr>
      <w:r>
        <w:t>监理人对承包人的任何工作、工程或其采用的材料和工程设备未在约定的或合理期限内提出意见的，视为批准，但不免除或减轻承包人对该工作、工程、材料、工程设备等应承担的责任和义务。</w:t>
      </w:r>
    </w:p>
    <w:p>
      <w:pPr>
        <w:pStyle w:val="16"/>
        <w:numPr>
          <w:ilvl w:val="1"/>
          <w:numId w:val="35"/>
        </w:numPr>
        <w:tabs>
          <w:tab w:val="left" w:pos="1108"/>
        </w:tabs>
        <w:spacing w:before="0" w:after="0" w:line="307" w:lineRule="exact"/>
        <w:ind w:left="1108" w:right="0" w:hanging="480"/>
        <w:jc w:val="both"/>
        <w:rPr>
          <w:sz w:val="24"/>
        </w:rPr>
      </w:pPr>
      <w:r>
        <w:rPr>
          <w:sz w:val="24"/>
        </w:rPr>
        <w:t>商定或确定</w:t>
      </w:r>
    </w:p>
    <w:p>
      <w:pPr>
        <w:spacing w:after="0" w:line="307" w:lineRule="exact"/>
        <w:jc w:val="both"/>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94" o:spid="_x0000_s1094" o:spt="20" style="position:absolute;left:0pt;margin-left:62.4pt;margin-top:12.25pt;height:0pt;width:400.4pt;mso-position-horizontal-relative:page;z-index:25174528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2" w:lineRule="auto"/>
        <w:ind w:left="388" w:right="852" w:firstLine="424"/>
      </w:pPr>
      <w:r>
        <w:t>合同当事人进行商定或确定时，总监理工程师应当会同合同当事人尽量通过协商达成一致，不能达成一致的，由总监理工程师按照合同约定审慎做出公正的确定。</w:t>
      </w:r>
    </w:p>
    <w:p>
      <w:pPr>
        <w:pStyle w:val="8"/>
        <w:spacing w:before="5" w:line="364" w:lineRule="auto"/>
        <w:ind w:left="388" w:right="744" w:firstLine="424"/>
        <w:jc w:val="both"/>
      </w:pPr>
      <w:r>
        <w:t>总监理工程师应将确定以书面形式通知发包人和承包人，并附详细依据。合同当事人对总监理工程师的确定没有异议的，按照总监理工程师的确定执行。任何一方合同当事人</w:t>
      </w:r>
      <w:r>
        <w:rPr>
          <w:spacing w:val="-11"/>
        </w:rPr>
        <w:t xml:space="preserve">有异议，按照第 </w:t>
      </w:r>
      <w:r>
        <w:t>20</w:t>
      </w:r>
      <w:r>
        <w:rPr>
          <w:spacing w:val="-13"/>
        </w:rPr>
        <w:t xml:space="preserve"> 条〔争议解决〕约定处理。争议解决前，合同当事人暂按总监理工程师</w:t>
      </w:r>
      <w:r>
        <w:t>的确定执行；争议解决后，争议解决的结果与总监理工程师的确定不一致的，按照争议解决的结果执行，由此造成的损失由责任人承担。</w:t>
      </w:r>
    </w:p>
    <w:p>
      <w:pPr>
        <w:pStyle w:val="16"/>
        <w:numPr>
          <w:ilvl w:val="0"/>
          <w:numId w:val="35"/>
        </w:numPr>
        <w:tabs>
          <w:tab w:val="left" w:pos="748"/>
        </w:tabs>
        <w:spacing w:before="0" w:after="0" w:line="306" w:lineRule="exact"/>
        <w:ind w:left="748" w:right="0" w:hanging="360"/>
        <w:jc w:val="both"/>
        <w:outlineLvl w:val="2"/>
        <w:rPr>
          <w:sz w:val="24"/>
        </w:rPr>
      </w:pPr>
      <w:r>
        <w:rPr>
          <w:sz w:val="24"/>
        </w:rPr>
        <w:t>工程质量</w:t>
      </w:r>
    </w:p>
    <w:p>
      <w:pPr>
        <w:pStyle w:val="16"/>
        <w:numPr>
          <w:ilvl w:val="1"/>
          <w:numId w:val="35"/>
        </w:numPr>
        <w:tabs>
          <w:tab w:val="left" w:pos="1048"/>
        </w:tabs>
        <w:spacing w:before="158" w:after="0" w:line="240" w:lineRule="auto"/>
        <w:ind w:left="1048" w:right="0" w:hanging="420"/>
        <w:jc w:val="both"/>
        <w:rPr>
          <w:sz w:val="24"/>
        </w:rPr>
      </w:pPr>
      <w:r>
        <w:rPr>
          <w:sz w:val="24"/>
        </w:rPr>
        <w:t>质量要求</w:t>
      </w:r>
    </w:p>
    <w:p>
      <w:pPr>
        <w:pStyle w:val="16"/>
        <w:numPr>
          <w:ilvl w:val="2"/>
          <w:numId w:val="35"/>
        </w:numPr>
        <w:tabs>
          <w:tab w:val="left" w:pos="1533"/>
        </w:tabs>
        <w:spacing w:before="158" w:after="0" w:line="364" w:lineRule="auto"/>
        <w:ind w:left="388" w:right="852" w:firstLine="424"/>
        <w:jc w:val="both"/>
        <w:rPr>
          <w:sz w:val="24"/>
        </w:rPr>
      </w:pPr>
      <w:r>
        <w:rPr>
          <w:spacing w:val="-1"/>
          <w:sz w:val="24"/>
        </w:rPr>
        <w:t>工程质量标准必须符合现行国家有关工程施工质量验收规范和标准的要求。有</w:t>
      </w:r>
      <w:r>
        <w:rPr>
          <w:sz w:val="24"/>
        </w:rPr>
        <w:t>关工程质量的特殊标准或要求由合同当事人在专用合同条款中约定。</w:t>
      </w:r>
    </w:p>
    <w:p>
      <w:pPr>
        <w:pStyle w:val="16"/>
        <w:numPr>
          <w:ilvl w:val="2"/>
          <w:numId w:val="35"/>
        </w:numPr>
        <w:tabs>
          <w:tab w:val="left" w:pos="1533"/>
        </w:tabs>
        <w:spacing w:before="1" w:after="0" w:line="362" w:lineRule="auto"/>
        <w:ind w:left="388" w:right="852" w:firstLine="424"/>
        <w:jc w:val="both"/>
        <w:rPr>
          <w:sz w:val="24"/>
        </w:rPr>
      </w:pPr>
      <w:r>
        <w:rPr>
          <w:spacing w:val="-1"/>
          <w:sz w:val="24"/>
        </w:rPr>
        <w:t>因发包人原因造成工程质量未达到合同约定标准的，由发包人承担由此增加的</w:t>
      </w:r>
      <w:r>
        <w:rPr>
          <w:sz w:val="24"/>
        </w:rPr>
        <w:t>费用和（或）延误的工期，并支付承包人合理的利润。</w:t>
      </w:r>
    </w:p>
    <w:p>
      <w:pPr>
        <w:pStyle w:val="16"/>
        <w:numPr>
          <w:ilvl w:val="2"/>
          <w:numId w:val="35"/>
        </w:numPr>
        <w:tabs>
          <w:tab w:val="left" w:pos="1533"/>
        </w:tabs>
        <w:spacing w:before="5" w:after="0" w:line="364" w:lineRule="auto"/>
        <w:ind w:left="388" w:right="798" w:firstLine="424"/>
        <w:jc w:val="both"/>
        <w:rPr>
          <w:sz w:val="24"/>
        </w:rPr>
      </w:pPr>
      <w:r>
        <w:rPr>
          <w:sz w:val="24"/>
        </w:rPr>
        <w:t>因承包人原因造成工程质量未达到合同约定标准的，发包人有权要求承包人返工直至工程质量达到合同约定的标准为止，并由承包人承担由此增加的费用和（或）</w:t>
      </w:r>
      <w:r>
        <w:rPr>
          <w:spacing w:val="-10"/>
          <w:sz w:val="24"/>
        </w:rPr>
        <w:t>延误</w:t>
      </w:r>
      <w:r>
        <w:rPr>
          <w:sz w:val="24"/>
        </w:rPr>
        <w:t>的工期。</w:t>
      </w:r>
    </w:p>
    <w:p>
      <w:pPr>
        <w:pStyle w:val="16"/>
        <w:numPr>
          <w:ilvl w:val="1"/>
          <w:numId w:val="35"/>
        </w:numPr>
        <w:tabs>
          <w:tab w:val="left" w:pos="1048"/>
        </w:tabs>
        <w:spacing w:before="0" w:after="0" w:line="305" w:lineRule="exact"/>
        <w:ind w:left="1048" w:right="0" w:hanging="420"/>
        <w:jc w:val="both"/>
        <w:rPr>
          <w:sz w:val="24"/>
        </w:rPr>
      </w:pPr>
      <w:r>
        <w:rPr>
          <w:sz w:val="24"/>
        </w:rPr>
        <w:t>质量保证措施</w:t>
      </w:r>
    </w:p>
    <w:p>
      <w:pPr>
        <w:pStyle w:val="16"/>
        <w:numPr>
          <w:ilvl w:val="2"/>
          <w:numId w:val="35"/>
        </w:numPr>
        <w:tabs>
          <w:tab w:val="left" w:pos="1533"/>
        </w:tabs>
        <w:spacing w:before="161" w:after="0" w:line="240" w:lineRule="auto"/>
        <w:ind w:left="1532" w:right="0" w:hanging="721"/>
        <w:jc w:val="both"/>
        <w:rPr>
          <w:sz w:val="24"/>
        </w:rPr>
      </w:pPr>
      <w:r>
        <w:rPr>
          <w:sz w:val="24"/>
        </w:rPr>
        <w:t>发包人的质量管理</w:t>
      </w:r>
    </w:p>
    <w:p>
      <w:pPr>
        <w:pStyle w:val="8"/>
        <w:spacing w:before="158"/>
        <w:ind w:left="812"/>
      </w:pPr>
      <w:r>
        <w:t>发包人应按照法律规定及合同约定完成与工程质量有关的各项工作。</w:t>
      </w:r>
    </w:p>
    <w:p>
      <w:pPr>
        <w:pStyle w:val="16"/>
        <w:numPr>
          <w:ilvl w:val="2"/>
          <w:numId w:val="35"/>
        </w:numPr>
        <w:tabs>
          <w:tab w:val="left" w:pos="1533"/>
        </w:tabs>
        <w:spacing w:before="160" w:after="0" w:line="240" w:lineRule="auto"/>
        <w:ind w:left="1532" w:right="0" w:hanging="721"/>
        <w:jc w:val="both"/>
        <w:rPr>
          <w:sz w:val="24"/>
        </w:rPr>
      </w:pPr>
      <w:r>
        <w:rPr>
          <w:sz w:val="24"/>
        </w:rPr>
        <w:t>承包人的质量管理</w:t>
      </w:r>
    </w:p>
    <w:p>
      <w:pPr>
        <w:pStyle w:val="8"/>
        <w:spacing w:before="158" w:line="364" w:lineRule="auto"/>
        <w:ind w:left="388" w:right="798" w:firstLine="424"/>
        <w:jc w:val="both"/>
      </w:pPr>
      <w:r>
        <w:rPr>
          <w:spacing w:val="-9"/>
        </w:rPr>
        <w:t xml:space="preserve">承包人按照第 </w:t>
      </w:r>
      <w:r>
        <w:t>7.1</w:t>
      </w:r>
      <w:r>
        <w:rPr>
          <w:spacing w:val="-8"/>
        </w:rPr>
        <w:t xml:space="preserve"> 款〔施工组织设计〕约定向发包人和监理人提交工程质量保证体系</w:t>
      </w:r>
      <w:r>
        <w:rPr>
          <w:spacing w:val="-9"/>
        </w:rPr>
        <w:t>及措施文件，建立完善的质量检查制度，并提交相应的工程质量文件。对于发包人和监理</w:t>
      </w:r>
      <w:r>
        <w:t>人违反法律规定和合同约定的错误指示，承包人有权拒绝实施。</w:t>
      </w:r>
    </w:p>
    <w:p>
      <w:pPr>
        <w:pStyle w:val="8"/>
        <w:spacing w:line="364" w:lineRule="auto"/>
        <w:ind w:left="388" w:right="852" w:firstLine="424"/>
      </w:pPr>
      <w:r>
        <w:t>承包人应对施工人员进行质量教育和技术培训，定期考核施工人员的劳动技能，严格执行施工规范和操作规程。</w:t>
      </w:r>
    </w:p>
    <w:p>
      <w:pPr>
        <w:pStyle w:val="8"/>
        <w:spacing w:line="364" w:lineRule="auto"/>
        <w:ind w:left="388" w:right="798" w:firstLine="424"/>
        <w:jc w:val="both"/>
      </w:pPr>
      <w: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pStyle w:val="16"/>
        <w:numPr>
          <w:ilvl w:val="2"/>
          <w:numId w:val="35"/>
        </w:numPr>
        <w:tabs>
          <w:tab w:val="left" w:pos="1533"/>
        </w:tabs>
        <w:spacing w:before="0" w:after="0" w:line="305" w:lineRule="exact"/>
        <w:ind w:left="1532" w:right="0" w:hanging="721"/>
        <w:jc w:val="both"/>
        <w:rPr>
          <w:sz w:val="24"/>
        </w:rPr>
      </w:pPr>
      <w:r>
        <w:rPr>
          <w:sz w:val="24"/>
        </w:rPr>
        <w:t>监理人的质量检查和检验</w:t>
      </w:r>
    </w:p>
    <w:p>
      <w:pPr>
        <w:spacing w:after="0" w:line="305" w:lineRule="exact"/>
        <w:jc w:val="both"/>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95" o:spid="_x0000_s1095" o:spt="20" style="position:absolute;left:0pt;margin-left:62.4pt;margin-top:12.25pt;height:0pt;width:400.4pt;mso-position-horizontal-relative:page;z-index:25174630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4" w:lineRule="auto"/>
        <w:ind w:left="388" w:right="798" w:firstLine="424"/>
        <w:jc w:val="both"/>
      </w:pPr>
      <w: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pStyle w:val="8"/>
        <w:spacing w:line="364" w:lineRule="auto"/>
        <w:ind w:left="388" w:right="798" w:firstLine="424"/>
        <w:jc w:val="both"/>
      </w:pPr>
      <w: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pStyle w:val="16"/>
        <w:numPr>
          <w:ilvl w:val="1"/>
          <w:numId w:val="35"/>
        </w:numPr>
        <w:tabs>
          <w:tab w:val="left" w:pos="1108"/>
        </w:tabs>
        <w:spacing w:before="0" w:after="0" w:line="307" w:lineRule="exact"/>
        <w:ind w:left="1108" w:right="0" w:hanging="480"/>
        <w:jc w:val="both"/>
        <w:rPr>
          <w:sz w:val="24"/>
        </w:rPr>
      </w:pPr>
      <w:r>
        <w:rPr>
          <w:sz w:val="24"/>
        </w:rPr>
        <w:t>隐蔽工程检查</w:t>
      </w:r>
    </w:p>
    <w:p>
      <w:pPr>
        <w:pStyle w:val="16"/>
        <w:numPr>
          <w:ilvl w:val="2"/>
          <w:numId w:val="35"/>
        </w:numPr>
        <w:tabs>
          <w:tab w:val="left" w:pos="1473"/>
        </w:tabs>
        <w:spacing w:before="155" w:after="0" w:line="240" w:lineRule="auto"/>
        <w:ind w:left="1472" w:right="0" w:hanging="661"/>
        <w:jc w:val="left"/>
        <w:rPr>
          <w:sz w:val="24"/>
        </w:rPr>
      </w:pPr>
      <w:r>
        <w:rPr>
          <w:sz w:val="24"/>
        </w:rPr>
        <w:t>承包人自检</w:t>
      </w:r>
    </w:p>
    <w:p>
      <w:pPr>
        <w:pStyle w:val="8"/>
        <w:spacing w:before="159"/>
        <w:ind w:left="812"/>
      </w:pPr>
      <w:r>
        <w:t>承包人应当对工程隐蔽部位进行自检，并经自检确认是否具备覆盖条件。</w:t>
      </w:r>
    </w:p>
    <w:p>
      <w:pPr>
        <w:pStyle w:val="16"/>
        <w:numPr>
          <w:ilvl w:val="2"/>
          <w:numId w:val="35"/>
        </w:numPr>
        <w:tabs>
          <w:tab w:val="left" w:pos="1473"/>
        </w:tabs>
        <w:spacing w:before="160" w:after="0" w:line="240" w:lineRule="auto"/>
        <w:ind w:left="1472" w:right="0" w:hanging="661"/>
        <w:jc w:val="left"/>
        <w:rPr>
          <w:sz w:val="24"/>
        </w:rPr>
      </w:pPr>
      <w:r>
        <w:rPr>
          <w:sz w:val="24"/>
        </w:rPr>
        <w:t>检查程序</w:t>
      </w:r>
    </w:p>
    <w:p>
      <w:pPr>
        <w:pStyle w:val="8"/>
        <w:spacing w:before="161" w:line="364" w:lineRule="auto"/>
        <w:ind w:left="388" w:right="744" w:firstLine="424"/>
      </w:pPr>
      <w:r>
        <w:t>除专用合同条款另有约定外，工程隐蔽部位经承包人自检确认具备覆盖条件的，承包</w:t>
      </w:r>
      <w:r>
        <w:rPr>
          <w:spacing w:val="-7"/>
        </w:rPr>
        <w:t xml:space="preserve">人应在共同检查前 </w:t>
      </w:r>
      <w:r>
        <w:t>48</w:t>
      </w:r>
      <w:r>
        <w:rPr>
          <w:spacing w:val="-13"/>
        </w:rPr>
        <w:t xml:space="preserve"> 小时书面通知监理人检查，通知中应载明隐蔽检查的内容、时间和地</w:t>
      </w:r>
      <w:r>
        <w:t>点，并应附有自检记录和必要的检查资料。</w:t>
      </w:r>
    </w:p>
    <w:p>
      <w:pPr>
        <w:pStyle w:val="8"/>
        <w:spacing w:line="364" w:lineRule="auto"/>
        <w:ind w:left="388" w:right="798" w:firstLine="424"/>
        <w:jc w:val="both"/>
      </w:pPr>
      <w: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pStyle w:val="8"/>
        <w:spacing w:line="305" w:lineRule="exact"/>
        <w:ind w:left="812"/>
        <w:jc w:val="both"/>
      </w:pPr>
      <w:r>
        <w:t>除专用合同条款另有约定外，监理人不能按时进行检查的，应在检查前 24 小时向承包</w:t>
      </w:r>
    </w:p>
    <w:p>
      <w:pPr>
        <w:pStyle w:val="8"/>
        <w:spacing w:before="157" w:line="364" w:lineRule="auto"/>
        <w:ind w:left="388" w:right="678"/>
      </w:pPr>
      <w:r>
        <w:rPr>
          <w:spacing w:val="-4"/>
        </w:rPr>
        <w:t xml:space="preserve">人提交书面延期要求，但延期不能超过 </w:t>
      </w:r>
      <w:r>
        <w:t>48</w:t>
      </w:r>
      <w:r>
        <w:rPr>
          <w:spacing w:val="-9"/>
        </w:rPr>
        <w:t xml:space="preserve"> 小时，由此导致工期延误的，工期应予以顺延。</w:t>
      </w:r>
      <w:r>
        <w:t>监理人未按时进行检查，也未提出延期要求的，视为隐蔽工程检查合格，承包人可自行完成覆盖工作，并作相应记录报送监理人，监理人应签字确认。监理人事后对检查记录有疑</w:t>
      </w:r>
      <w:r>
        <w:rPr>
          <w:spacing w:val="-9"/>
        </w:rPr>
        <w:t xml:space="preserve">问的，可按第 </w:t>
      </w:r>
      <w:r>
        <w:t>5.3.3</w:t>
      </w:r>
      <w:r>
        <w:rPr>
          <w:spacing w:val="-8"/>
        </w:rPr>
        <w:t xml:space="preserve"> 项〔重新检查〕的约定重新检查。</w:t>
      </w:r>
    </w:p>
    <w:p>
      <w:pPr>
        <w:pStyle w:val="16"/>
        <w:numPr>
          <w:ilvl w:val="2"/>
          <w:numId w:val="35"/>
        </w:numPr>
        <w:tabs>
          <w:tab w:val="left" w:pos="1533"/>
        </w:tabs>
        <w:spacing w:before="0" w:after="0" w:line="305" w:lineRule="exact"/>
        <w:ind w:left="1532" w:right="0" w:hanging="721"/>
        <w:jc w:val="both"/>
        <w:rPr>
          <w:sz w:val="24"/>
        </w:rPr>
      </w:pPr>
      <w:r>
        <w:rPr>
          <w:sz w:val="24"/>
        </w:rPr>
        <w:t>重新检查</w:t>
      </w:r>
    </w:p>
    <w:p>
      <w:pPr>
        <w:pStyle w:val="8"/>
        <w:spacing w:before="161" w:line="364" w:lineRule="auto"/>
        <w:ind w:left="388" w:right="798" w:firstLine="424"/>
        <w:jc w:val="both"/>
      </w:pPr>
      <w: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pStyle w:val="16"/>
        <w:numPr>
          <w:ilvl w:val="2"/>
          <w:numId w:val="35"/>
        </w:numPr>
        <w:tabs>
          <w:tab w:val="left" w:pos="1533"/>
        </w:tabs>
        <w:spacing w:before="0" w:after="0" w:line="303" w:lineRule="exact"/>
        <w:ind w:left="1532" w:right="0" w:hanging="721"/>
        <w:jc w:val="both"/>
        <w:rPr>
          <w:sz w:val="24"/>
        </w:rPr>
      </w:pPr>
      <w:r>
        <w:rPr>
          <w:sz w:val="24"/>
        </w:rPr>
        <w:t>承包人私自覆盖</w:t>
      </w:r>
    </w:p>
    <w:p>
      <w:pPr>
        <w:spacing w:after="0" w:line="303" w:lineRule="exact"/>
        <w:jc w:val="both"/>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96" o:spid="_x0000_s1096" o:spt="20" style="position:absolute;left:0pt;margin-left:62.4pt;margin-top:12.25pt;height:0pt;width:400.4pt;mso-position-horizontal-relative:page;z-index:25174732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4" w:lineRule="auto"/>
        <w:ind w:left="388" w:right="798" w:firstLine="424"/>
        <w:jc w:val="both"/>
      </w:pPr>
      <w:r>
        <w:t>承包人未通知监理人到场检查，私自将工程隐蔽部位覆盖的，监理人有权指示承包人钻孔探测或揭开检查，无论工程隐蔽部位质量是否合格，由此增加的费用和（或）延误的工期均由承包人承担。</w:t>
      </w:r>
    </w:p>
    <w:p>
      <w:pPr>
        <w:pStyle w:val="16"/>
        <w:numPr>
          <w:ilvl w:val="1"/>
          <w:numId w:val="35"/>
        </w:numPr>
        <w:tabs>
          <w:tab w:val="left" w:pos="1048"/>
        </w:tabs>
        <w:spacing w:before="0" w:after="0" w:line="304" w:lineRule="exact"/>
        <w:ind w:left="1048" w:right="0" w:hanging="420"/>
        <w:jc w:val="both"/>
        <w:rPr>
          <w:sz w:val="24"/>
        </w:rPr>
      </w:pPr>
      <w:r>
        <w:rPr>
          <w:sz w:val="24"/>
        </w:rPr>
        <w:t>不合格工程的处理</w:t>
      </w:r>
    </w:p>
    <w:p>
      <w:pPr>
        <w:pStyle w:val="16"/>
        <w:numPr>
          <w:ilvl w:val="2"/>
          <w:numId w:val="35"/>
        </w:numPr>
        <w:tabs>
          <w:tab w:val="left" w:pos="1533"/>
        </w:tabs>
        <w:spacing w:before="160" w:after="0" w:line="364" w:lineRule="auto"/>
        <w:ind w:left="388" w:right="798" w:firstLine="424"/>
        <w:jc w:val="both"/>
        <w:rPr>
          <w:sz w:val="24"/>
        </w:rPr>
      </w:pPr>
      <w:r>
        <w:rPr>
          <w:sz w:val="24"/>
        </w:rPr>
        <w:t>因承包人原因造成工程不合格的，发包人有权随时要求承包人采取补救措施， 直至达到合同要求的质量标准，由此增加的费用和（或）</w:t>
      </w:r>
      <w:r>
        <w:rPr>
          <w:spacing w:val="-2"/>
          <w:sz w:val="24"/>
        </w:rPr>
        <w:t>延误的工期由承包人承担。无法</w:t>
      </w:r>
      <w:r>
        <w:rPr>
          <w:spacing w:val="-8"/>
          <w:sz w:val="24"/>
        </w:rPr>
        <w:t xml:space="preserve">补救的，按照第 </w:t>
      </w:r>
      <w:r>
        <w:rPr>
          <w:sz w:val="24"/>
        </w:rPr>
        <w:t>13.2.4</w:t>
      </w:r>
      <w:r>
        <w:rPr>
          <w:spacing w:val="-8"/>
          <w:sz w:val="24"/>
        </w:rPr>
        <w:t xml:space="preserve"> 项〔拒绝接收全部或部分工程〕约定执行。</w:t>
      </w:r>
    </w:p>
    <w:p>
      <w:pPr>
        <w:pStyle w:val="16"/>
        <w:numPr>
          <w:ilvl w:val="2"/>
          <w:numId w:val="35"/>
        </w:numPr>
        <w:tabs>
          <w:tab w:val="left" w:pos="1533"/>
        </w:tabs>
        <w:spacing w:before="0" w:after="0" w:line="362" w:lineRule="auto"/>
        <w:ind w:left="388" w:right="852" w:firstLine="424"/>
        <w:jc w:val="both"/>
        <w:rPr>
          <w:sz w:val="24"/>
        </w:rPr>
      </w:pPr>
      <w:r>
        <w:rPr>
          <w:sz w:val="24"/>
        </w:rPr>
        <w:t>因发包人原因造成工程不合格的，由此增加的费用和（或）</w:t>
      </w:r>
      <w:r>
        <w:rPr>
          <w:spacing w:val="-3"/>
          <w:sz w:val="24"/>
        </w:rPr>
        <w:t>延误的工期由发包</w:t>
      </w:r>
      <w:r>
        <w:rPr>
          <w:sz w:val="24"/>
        </w:rPr>
        <w:t>人承担，并支付承包人合理的利润。</w:t>
      </w:r>
    </w:p>
    <w:p>
      <w:pPr>
        <w:pStyle w:val="16"/>
        <w:numPr>
          <w:ilvl w:val="1"/>
          <w:numId w:val="35"/>
        </w:numPr>
        <w:tabs>
          <w:tab w:val="left" w:pos="1108"/>
        </w:tabs>
        <w:spacing w:before="2" w:after="0" w:line="240" w:lineRule="auto"/>
        <w:ind w:left="1108" w:right="0" w:hanging="480"/>
        <w:jc w:val="both"/>
        <w:rPr>
          <w:sz w:val="24"/>
        </w:rPr>
      </w:pPr>
      <w:r>
        <w:rPr>
          <w:sz w:val="24"/>
        </w:rPr>
        <w:t>质量争议检测</w:t>
      </w:r>
    </w:p>
    <w:p>
      <w:pPr>
        <w:pStyle w:val="8"/>
        <w:spacing w:before="161" w:line="364" w:lineRule="auto"/>
        <w:ind w:left="388" w:right="852" w:firstLine="424"/>
      </w:pPr>
      <w:r>
        <w:t>合同当事人对工程质量有争议的，由双方协商确定的工程质量检测机构鉴定，由此产生的费用及因此造成的损失，由责任方承担。</w:t>
      </w:r>
    </w:p>
    <w:p>
      <w:pPr>
        <w:pStyle w:val="8"/>
        <w:spacing w:line="364" w:lineRule="auto"/>
        <w:ind w:left="388" w:right="852" w:firstLine="424"/>
      </w:pPr>
      <w:r>
        <w:t>合同当事人均有责任的，由双方根据其责任分别承担。合同当事人无法达成一致的， 按照第 4.4 款〔商定或确定〕执行。</w:t>
      </w:r>
    </w:p>
    <w:p>
      <w:pPr>
        <w:pStyle w:val="16"/>
        <w:numPr>
          <w:ilvl w:val="0"/>
          <w:numId w:val="35"/>
        </w:numPr>
        <w:tabs>
          <w:tab w:val="left" w:pos="748"/>
        </w:tabs>
        <w:spacing w:before="0" w:after="0" w:line="306" w:lineRule="exact"/>
        <w:ind w:left="748" w:right="0" w:hanging="360"/>
        <w:jc w:val="left"/>
        <w:outlineLvl w:val="2"/>
        <w:rPr>
          <w:sz w:val="24"/>
        </w:rPr>
      </w:pPr>
      <w:r>
        <w:rPr>
          <w:sz w:val="24"/>
        </w:rPr>
        <w:t>安全文明施工与环境保护</w:t>
      </w:r>
    </w:p>
    <w:p>
      <w:pPr>
        <w:pStyle w:val="16"/>
        <w:numPr>
          <w:ilvl w:val="1"/>
          <w:numId w:val="35"/>
        </w:numPr>
        <w:tabs>
          <w:tab w:val="left" w:pos="1048"/>
        </w:tabs>
        <w:spacing w:before="159" w:after="0" w:line="240" w:lineRule="auto"/>
        <w:ind w:left="1048" w:right="0" w:hanging="420"/>
        <w:jc w:val="both"/>
        <w:rPr>
          <w:sz w:val="24"/>
        </w:rPr>
      </w:pPr>
      <w:r>
        <w:rPr>
          <w:sz w:val="24"/>
        </w:rPr>
        <w:t>安全文明施工</w:t>
      </w:r>
    </w:p>
    <w:p>
      <w:pPr>
        <w:pStyle w:val="16"/>
        <w:numPr>
          <w:ilvl w:val="2"/>
          <w:numId w:val="35"/>
        </w:numPr>
        <w:tabs>
          <w:tab w:val="left" w:pos="1473"/>
        </w:tabs>
        <w:spacing w:before="158" w:after="0" w:line="240" w:lineRule="auto"/>
        <w:ind w:left="1472" w:right="0" w:hanging="661"/>
        <w:jc w:val="both"/>
        <w:rPr>
          <w:sz w:val="24"/>
        </w:rPr>
      </w:pPr>
      <w:r>
        <w:rPr>
          <w:sz w:val="24"/>
        </w:rPr>
        <w:t>安全生产要求</w:t>
      </w:r>
    </w:p>
    <w:p>
      <w:pPr>
        <w:pStyle w:val="8"/>
        <w:spacing w:before="161" w:line="364" w:lineRule="auto"/>
        <w:ind w:left="388" w:right="798" w:firstLine="424"/>
        <w:jc w:val="both"/>
      </w:pPr>
      <w: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pStyle w:val="8"/>
        <w:spacing w:line="364" w:lineRule="auto"/>
        <w:ind w:left="388" w:right="798" w:firstLine="424"/>
        <w:jc w:val="both"/>
      </w:pPr>
      <w:r>
        <w:t>在施工过程中，如遇到突发的地质变动、事先未知的地下施工障碍等影响施工安全的紧急情况，承包人应及时报告监理人和发包人，发包人应当及时下令停工并报政府有关行政管理部门采取应急措施。</w:t>
      </w:r>
    </w:p>
    <w:p>
      <w:pPr>
        <w:pStyle w:val="8"/>
        <w:spacing w:line="307" w:lineRule="exact"/>
        <w:ind w:left="812"/>
        <w:jc w:val="both"/>
      </w:pPr>
      <w:r>
        <w:t>因安全生产需要暂停施工的，按照第 7.8 款〔暂停施工〕的约定执行。</w:t>
      </w:r>
    </w:p>
    <w:p>
      <w:pPr>
        <w:pStyle w:val="16"/>
        <w:numPr>
          <w:ilvl w:val="2"/>
          <w:numId w:val="35"/>
        </w:numPr>
        <w:tabs>
          <w:tab w:val="left" w:pos="1533"/>
        </w:tabs>
        <w:spacing w:before="157" w:after="0" w:line="240" w:lineRule="auto"/>
        <w:ind w:left="1532" w:right="0" w:hanging="721"/>
        <w:jc w:val="both"/>
        <w:rPr>
          <w:sz w:val="24"/>
        </w:rPr>
      </w:pPr>
      <w:r>
        <w:rPr>
          <w:sz w:val="24"/>
        </w:rPr>
        <w:t>安全生产保证措施</w:t>
      </w:r>
    </w:p>
    <w:p>
      <w:pPr>
        <w:pStyle w:val="8"/>
        <w:spacing w:before="158" w:line="364" w:lineRule="auto"/>
        <w:ind w:left="388" w:right="798" w:firstLine="424"/>
        <w:jc w:val="both"/>
      </w:pPr>
      <w: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pPr>
        <w:pStyle w:val="16"/>
        <w:numPr>
          <w:ilvl w:val="2"/>
          <w:numId w:val="35"/>
        </w:numPr>
        <w:tabs>
          <w:tab w:val="left" w:pos="1473"/>
        </w:tabs>
        <w:spacing w:before="0" w:after="0" w:line="305" w:lineRule="exact"/>
        <w:ind w:left="1472" w:right="0" w:hanging="661"/>
        <w:jc w:val="both"/>
        <w:rPr>
          <w:sz w:val="24"/>
        </w:rPr>
      </w:pPr>
      <w:r>
        <w:rPr>
          <w:sz w:val="24"/>
        </w:rPr>
        <w:t>特别安全生产事项</w:t>
      </w:r>
    </w:p>
    <w:p>
      <w:pPr>
        <w:spacing w:after="0" w:line="305" w:lineRule="exact"/>
        <w:jc w:val="both"/>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97" o:spid="_x0000_s1097" o:spt="20" style="position:absolute;left:0pt;margin-left:62.4pt;margin-top:12.25pt;height:0pt;width:400.4pt;mso-position-horizontal-relative:page;z-index:25174835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4" w:lineRule="auto"/>
        <w:ind w:left="388" w:right="798" w:firstLine="424"/>
        <w:jc w:val="both"/>
      </w:pPr>
      <w: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pStyle w:val="8"/>
        <w:spacing w:line="364" w:lineRule="auto"/>
        <w:ind w:left="388" w:right="798" w:firstLine="424"/>
        <w:jc w:val="both"/>
      </w:pPr>
      <w:r>
        <w:t>承包人在动力设备、输电线路、地下管道、密封防震车间、易燃易爆地段以及临街交通要道附近施工时，施工开始前应向发包人和监理人提出安全防护措施，经发包人认可后实施。</w:t>
      </w:r>
    </w:p>
    <w:p>
      <w:pPr>
        <w:pStyle w:val="8"/>
        <w:spacing w:line="364" w:lineRule="auto"/>
        <w:ind w:left="388" w:right="798" w:firstLine="424"/>
        <w:jc w:val="both"/>
      </w:pPr>
      <w:r>
        <w:t>实施爆破作业，在放射、毒害性环境中施工（含储存、运输、使用）及使用毒害性、</w:t>
      </w:r>
      <w:r>
        <w:rPr>
          <w:spacing w:val="-4"/>
        </w:rPr>
        <w:t xml:space="preserve">腐蚀性物品施工时，承包人应在施工前 </w:t>
      </w:r>
      <w:r>
        <w:t>7</w:t>
      </w:r>
      <w:r>
        <w:rPr>
          <w:spacing w:val="-9"/>
        </w:rPr>
        <w:t xml:space="preserve"> 天以书面通知发包人和监理人，并报送相应的安</w:t>
      </w:r>
      <w:r>
        <w:t>全防护措施，经发包人认可后实施。</w:t>
      </w:r>
    </w:p>
    <w:p>
      <w:pPr>
        <w:pStyle w:val="8"/>
        <w:spacing w:line="364" w:lineRule="auto"/>
        <w:ind w:left="388" w:right="852" w:firstLine="424"/>
      </w:pPr>
      <w:r>
        <w:t>需单独编制危险性较大分部分项专项工程施工方案的，及要求进行专家论证的超过一定规模的危险性较大的分部分项工程，承包人应及时编制和组织论证。</w:t>
      </w:r>
    </w:p>
    <w:p>
      <w:pPr>
        <w:pStyle w:val="16"/>
        <w:numPr>
          <w:ilvl w:val="2"/>
          <w:numId w:val="35"/>
        </w:numPr>
        <w:tabs>
          <w:tab w:val="left" w:pos="1533"/>
        </w:tabs>
        <w:spacing w:before="0" w:after="0" w:line="240" w:lineRule="auto"/>
        <w:ind w:left="1532" w:right="0" w:hanging="721"/>
        <w:jc w:val="left"/>
        <w:rPr>
          <w:sz w:val="24"/>
        </w:rPr>
      </w:pPr>
      <w:r>
        <w:rPr>
          <w:sz w:val="24"/>
        </w:rPr>
        <w:t>治安保卫</w:t>
      </w:r>
    </w:p>
    <w:p>
      <w:pPr>
        <w:pStyle w:val="8"/>
        <w:spacing w:before="152" w:line="364" w:lineRule="auto"/>
        <w:ind w:left="388" w:right="852" w:firstLine="424"/>
      </w:pPr>
      <w:r>
        <w:t>除专用合同条款另有约定外，发包人应与当地公安部门协商，在现场建立治安管理机构或联防组织，统一管理施工场地的治安保卫事项，履行合同工程的治安保卫职责。</w:t>
      </w:r>
    </w:p>
    <w:p>
      <w:pPr>
        <w:pStyle w:val="8"/>
        <w:spacing w:line="364" w:lineRule="auto"/>
        <w:ind w:left="388" w:right="852" w:firstLine="424"/>
      </w:pPr>
      <w:r>
        <w:t>发包人和承包人除应协助现场治安管理机构或联防组织维护施工场地的社会治安外， 还应做好包括生活区在内的各自管辖区的治安保卫工作。</w:t>
      </w:r>
    </w:p>
    <w:p>
      <w:pPr>
        <w:pStyle w:val="8"/>
        <w:spacing w:line="364" w:lineRule="auto"/>
        <w:ind w:left="388" w:right="624" w:firstLine="424"/>
      </w:pPr>
      <w:r>
        <w:rPr>
          <w:spacing w:val="-3"/>
        </w:rPr>
        <w:t xml:space="preserve">除专用合同条款另有约定外，发包人和承包人应在工程开工后 </w:t>
      </w:r>
      <w:r>
        <w:t>7</w:t>
      </w:r>
      <w:r>
        <w:rPr>
          <w:spacing w:val="-8"/>
        </w:rPr>
        <w:t xml:space="preserve"> 天内共同编制施工场地治安管理计划，并制定应对突发治安事件的紧急预案。在工程施工过程中，发生暴乱、爆炸等恐怖事件，以及群殴、械斗等群体性突发治安事件的，发包人和承包人应立即向当</w:t>
      </w:r>
      <w:r>
        <w:rPr>
          <w:spacing w:val="-11"/>
        </w:rPr>
        <w:t xml:space="preserve">地政府报告。发包人和承包人应积极协助当地有关部门采取措施平息事态，防止事态扩大， </w:t>
      </w:r>
      <w:r>
        <w:t>尽量避免人员伤亡和财产损失。</w:t>
      </w:r>
    </w:p>
    <w:p>
      <w:pPr>
        <w:pStyle w:val="16"/>
        <w:numPr>
          <w:ilvl w:val="2"/>
          <w:numId w:val="35"/>
        </w:numPr>
        <w:tabs>
          <w:tab w:val="left" w:pos="1533"/>
        </w:tabs>
        <w:spacing w:before="0" w:after="0" w:line="306" w:lineRule="exact"/>
        <w:ind w:left="1532" w:right="0" w:hanging="721"/>
        <w:jc w:val="left"/>
        <w:rPr>
          <w:sz w:val="24"/>
        </w:rPr>
      </w:pPr>
      <w:r>
        <w:rPr>
          <w:sz w:val="24"/>
        </w:rPr>
        <w:t>文明施工</w:t>
      </w:r>
    </w:p>
    <w:p>
      <w:pPr>
        <w:pStyle w:val="8"/>
        <w:spacing w:before="159" w:line="364" w:lineRule="auto"/>
        <w:ind w:left="388" w:right="798" w:firstLine="424"/>
        <w:jc w:val="both"/>
      </w:pPr>
      <w:r>
        <w:t>承包人在工程施工期间，应当采取措施保持施工现场平整，物料堆放整齐。工程所在地有关政府行政管理部门有特殊要求的，按照其要求执行。合同当事人对文明施工有其他要求的，可以在专用合同条款中明确。</w:t>
      </w:r>
    </w:p>
    <w:p>
      <w:pPr>
        <w:pStyle w:val="8"/>
        <w:spacing w:line="364" w:lineRule="auto"/>
        <w:ind w:left="388" w:right="798" w:firstLine="424"/>
        <w:jc w:val="both"/>
      </w:pPr>
      <w: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pStyle w:val="16"/>
        <w:numPr>
          <w:ilvl w:val="2"/>
          <w:numId w:val="35"/>
        </w:numPr>
        <w:tabs>
          <w:tab w:val="left" w:pos="1533"/>
        </w:tabs>
        <w:spacing w:before="0" w:after="0" w:line="307" w:lineRule="exact"/>
        <w:ind w:left="1532" w:right="0" w:hanging="721"/>
        <w:jc w:val="both"/>
        <w:rPr>
          <w:sz w:val="24"/>
        </w:rPr>
      </w:pPr>
      <w:r>
        <w:rPr>
          <w:sz w:val="24"/>
        </w:rPr>
        <w:t>安全文明施工费</w:t>
      </w:r>
    </w:p>
    <w:p>
      <w:pPr>
        <w:spacing w:after="0" w:line="307" w:lineRule="exact"/>
        <w:jc w:val="both"/>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98" o:spid="_x0000_s1098" o:spt="20" style="position:absolute;left:0pt;margin-left:62.4pt;margin-top:12.25pt;height:0pt;width:400.4pt;mso-position-horizontal-relative:page;z-index:25174937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2" w:lineRule="auto"/>
        <w:ind w:left="388" w:right="852" w:firstLine="424"/>
      </w:pPr>
      <w:r>
        <w:t>安全文明施工费由发包人承担，发包人不得以任何形式扣减该部分费用。因基准日期后合同所适用的法律或政府有关规定发生变化，增加的安全文明施工费由发包人承担。</w:t>
      </w:r>
    </w:p>
    <w:p>
      <w:pPr>
        <w:pStyle w:val="8"/>
        <w:spacing w:before="5" w:line="364" w:lineRule="auto"/>
        <w:ind w:left="388" w:right="798" w:firstLine="424"/>
        <w:jc w:val="both"/>
      </w:pPr>
      <w: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pStyle w:val="8"/>
        <w:spacing w:line="305" w:lineRule="exact"/>
        <w:ind w:left="812"/>
        <w:jc w:val="both"/>
      </w:pPr>
      <w:r>
        <w:t>除专用合同条款另有约定外，发包人应在开工后 28 天内预付安全文明施工费总额的</w:t>
      </w:r>
    </w:p>
    <w:p>
      <w:pPr>
        <w:pStyle w:val="8"/>
        <w:spacing w:before="160"/>
        <w:ind w:left="388"/>
        <w:jc w:val="both"/>
      </w:pPr>
      <w:r>
        <w:t>50%，其余部分与进度款同期支付。发包人逾期支付安全文明施工费超过 7 天的，承包人有</w:t>
      </w:r>
    </w:p>
    <w:p>
      <w:pPr>
        <w:pStyle w:val="8"/>
        <w:spacing w:before="161"/>
        <w:ind w:left="388"/>
        <w:jc w:val="both"/>
      </w:pPr>
      <w:r>
        <w:t>权向发包人发出要求预付的催告通知，发包人收到通知后 7 天内仍未支付的，承包人有权</w:t>
      </w:r>
    </w:p>
    <w:p>
      <w:pPr>
        <w:pStyle w:val="8"/>
        <w:spacing w:before="158"/>
        <w:ind w:left="388"/>
        <w:jc w:val="both"/>
      </w:pPr>
      <w:r>
        <w:t>暂停施工，并按第 16.1.1 项〔发包人违约的情形〕执行。</w:t>
      </w:r>
    </w:p>
    <w:p>
      <w:pPr>
        <w:pStyle w:val="8"/>
        <w:spacing w:before="158" w:line="364" w:lineRule="auto"/>
        <w:ind w:left="388" w:right="798" w:firstLine="424"/>
        <w:jc w:val="both"/>
      </w:pPr>
      <w: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pStyle w:val="16"/>
        <w:numPr>
          <w:ilvl w:val="2"/>
          <w:numId w:val="35"/>
        </w:numPr>
        <w:tabs>
          <w:tab w:val="left" w:pos="1533"/>
        </w:tabs>
        <w:spacing w:before="0" w:after="0" w:line="307" w:lineRule="exact"/>
        <w:ind w:left="1532" w:right="0" w:hanging="721"/>
        <w:jc w:val="both"/>
        <w:rPr>
          <w:sz w:val="24"/>
        </w:rPr>
      </w:pPr>
      <w:r>
        <w:rPr>
          <w:sz w:val="24"/>
        </w:rPr>
        <w:t>紧急情况处理</w:t>
      </w:r>
    </w:p>
    <w:p>
      <w:pPr>
        <w:pStyle w:val="8"/>
        <w:spacing w:before="160" w:line="364" w:lineRule="auto"/>
        <w:ind w:left="388" w:right="798" w:firstLine="424"/>
        <w:jc w:val="both"/>
      </w:pPr>
      <w: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pStyle w:val="16"/>
        <w:numPr>
          <w:ilvl w:val="2"/>
          <w:numId w:val="35"/>
        </w:numPr>
        <w:tabs>
          <w:tab w:val="left" w:pos="1533"/>
        </w:tabs>
        <w:spacing w:before="0" w:after="0" w:line="305" w:lineRule="exact"/>
        <w:ind w:left="1532" w:right="0" w:hanging="721"/>
        <w:jc w:val="both"/>
        <w:rPr>
          <w:sz w:val="24"/>
        </w:rPr>
      </w:pPr>
      <w:r>
        <w:rPr>
          <w:sz w:val="24"/>
        </w:rPr>
        <w:t>事故处理</w:t>
      </w:r>
    </w:p>
    <w:p>
      <w:pPr>
        <w:pStyle w:val="8"/>
        <w:spacing w:before="161" w:line="364" w:lineRule="auto"/>
        <w:ind w:left="388" w:right="798" w:firstLine="424"/>
        <w:jc w:val="both"/>
      </w:pPr>
      <w:r>
        <w:t>工程施工过程中发生事故的，承包人应立即通知监理人，监理人应立即通知发包人。发包人和承包人应立即组织人员和设备进行紧急抢救和抢修，减少人员伤亡和财产损失， 防止事故扩大，并保护事故现场。需要移动现场物品时，应作出标记和书面记录，妥善保管有关证据。发包人和承包人应按国家有关规定，及时如实地向有关部门报告事故发生的情况，以及正在采取的紧急措施等。</w:t>
      </w:r>
    </w:p>
    <w:p>
      <w:pPr>
        <w:pStyle w:val="16"/>
        <w:numPr>
          <w:ilvl w:val="2"/>
          <w:numId w:val="35"/>
        </w:numPr>
        <w:tabs>
          <w:tab w:val="left" w:pos="1533"/>
        </w:tabs>
        <w:spacing w:before="0" w:after="0" w:line="306" w:lineRule="exact"/>
        <w:ind w:left="1532" w:right="0" w:hanging="721"/>
        <w:jc w:val="both"/>
        <w:rPr>
          <w:sz w:val="24"/>
        </w:rPr>
      </w:pPr>
      <w:r>
        <w:rPr>
          <w:sz w:val="24"/>
        </w:rPr>
        <w:t>安全生产责任</w:t>
      </w:r>
    </w:p>
    <w:p>
      <w:pPr>
        <w:pStyle w:val="16"/>
        <w:numPr>
          <w:ilvl w:val="3"/>
          <w:numId w:val="35"/>
        </w:numPr>
        <w:tabs>
          <w:tab w:val="left" w:pos="1773"/>
        </w:tabs>
        <w:spacing w:before="158" w:after="0" w:line="240" w:lineRule="auto"/>
        <w:ind w:left="1772" w:right="0" w:hanging="961"/>
        <w:jc w:val="left"/>
        <w:rPr>
          <w:sz w:val="24"/>
        </w:rPr>
      </w:pPr>
      <w:r>
        <w:rPr>
          <w:sz w:val="24"/>
        </w:rPr>
        <w:t>发包人的安全责任</w:t>
      </w:r>
    </w:p>
    <w:p>
      <w:pPr>
        <w:pStyle w:val="8"/>
        <w:spacing w:before="161"/>
        <w:ind w:left="812"/>
      </w:pPr>
      <w:r>
        <w:t>发包人应负责赔偿以下各种情况造成的损失：</w:t>
      </w:r>
    </w:p>
    <w:p>
      <w:pPr>
        <w:pStyle w:val="16"/>
        <w:numPr>
          <w:ilvl w:val="0"/>
          <w:numId w:val="42"/>
        </w:numPr>
        <w:tabs>
          <w:tab w:val="left" w:pos="989"/>
        </w:tabs>
        <w:spacing w:before="158" w:after="0" w:line="240" w:lineRule="auto"/>
        <w:ind w:left="989" w:right="0" w:hanging="601"/>
        <w:jc w:val="left"/>
        <w:rPr>
          <w:sz w:val="24"/>
        </w:rPr>
      </w:pPr>
      <w:r>
        <w:rPr>
          <w:sz w:val="24"/>
        </w:rPr>
        <w:t>工程或工程的任何部分对土地的占用所造成的第三者财产损失；</w:t>
      </w:r>
    </w:p>
    <w:p>
      <w:pPr>
        <w:pStyle w:val="16"/>
        <w:numPr>
          <w:ilvl w:val="0"/>
          <w:numId w:val="42"/>
        </w:numPr>
        <w:tabs>
          <w:tab w:val="left" w:pos="989"/>
        </w:tabs>
        <w:spacing w:before="158" w:after="0" w:line="240" w:lineRule="auto"/>
        <w:ind w:left="989" w:right="0" w:hanging="601"/>
        <w:jc w:val="left"/>
        <w:rPr>
          <w:sz w:val="24"/>
        </w:rPr>
      </w:pPr>
      <w:r>
        <w:rPr>
          <w:sz w:val="24"/>
        </w:rPr>
        <w:t>由于发包人原因在施工场地及其毗邻地带造成的第三者人身伤亡和财产损失；</w:t>
      </w:r>
    </w:p>
    <w:p>
      <w:pPr>
        <w:pStyle w:val="16"/>
        <w:numPr>
          <w:ilvl w:val="0"/>
          <w:numId w:val="42"/>
        </w:numPr>
        <w:tabs>
          <w:tab w:val="left" w:pos="989"/>
        </w:tabs>
        <w:spacing w:before="160" w:after="0" w:line="240" w:lineRule="auto"/>
        <w:ind w:left="989" w:right="0" w:hanging="601"/>
        <w:jc w:val="left"/>
        <w:rPr>
          <w:sz w:val="24"/>
        </w:rPr>
      </w:pPr>
      <w:r>
        <w:rPr>
          <w:sz w:val="24"/>
        </w:rPr>
        <w:t>由于发包人原因对承包人、监理人造成的人员人身伤亡和财产损失；</w:t>
      </w:r>
    </w:p>
    <w:p>
      <w:pPr>
        <w:pStyle w:val="16"/>
        <w:numPr>
          <w:ilvl w:val="0"/>
          <w:numId w:val="42"/>
        </w:numPr>
        <w:tabs>
          <w:tab w:val="left" w:pos="989"/>
        </w:tabs>
        <w:spacing w:before="161" w:after="0" w:line="240" w:lineRule="auto"/>
        <w:ind w:left="989" w:right="0" w:hanging="601"/>
        <w:jc w:val="left"/>
        <w:rPr>
          <w:sz w:val="24"/>
        </w:rPr>
      </w:pPr>
      <w:r>
        <w:rPr>
          <w:sz w:val="24"/>
        </w:rPr>
        <w:t>由于发包人原因造成的发包人自身人员的人身伤害以及财产损失。</w:t>
      </w:r>
    </w:p>
    <w:p>
      <w:pPr>
        <w:pStyle w:val="16"/>
        <w:numPr>
          <w:ilvl w:val="3"/>
          <w:numId w:val="35"/>
        </w:numPr>
        <w:tabs>
          <w:tab w:val="left" w:pos="1773"/>
        </w:tabs>
        <w:spacing w:before="158" w:after="0" w:line="240" w:lineRule="auto"/>
        <w:ind w:left="1772" w:right="0" w:hanging="961"/>
        <w:jc w:val="left"/>
        <w:rPr>
          <w:sz w:val="24"/>
        </w:rPr>
      </w:pPr>
      <w:r>
        <w:rPr>
          <w:sz w:val="24"/>
        </w:rPr>
        <w:t>承包人的安全责任</w:t>
      </w:r>
    </w:p>
    <w:p>
      <w:pPr>
        <w:spacing w:after="0" w:line="240"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099" o:spid="_x0000_s1099" o:spt="20" style="position:absolute;left:0pt;margin-left:62.4pt;margin-top:12.25pt;height:0pt;width:400.4pt;mso-position-horizontal-relative:page;z-index:25175040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2" w:lineRule="auto"/>
        <w:ind w:left="388" w:right="852" w:firstLine="424"/>
      </w:pPr>
      <w:r>
        <w:t>由于承包人原因在施工场地内及其毗邻地带造成的发包人、监理人以及第三者人员伤亡和财产损失，由承包人负责赔偿。</w:t>
      </w:r>
    </w:p>
    <w:p>
      <w:pPr>
        <w:pStyle w:val="16"/>
        <w:numPr>
          <w:ilvl w:val="1"/>
          <w:numId w:val="35"/>
        </w:numPr>
        <w:tabs>
          <w:tab w:val="left" w:pos="1108"/>
        </w:tabs>
        <w:spacing w:before="5" w:after="0" w:line="240" w:lineRule="auto"/>
        <w:ind w:left="1108" w:right="0" w:hanging="480"/>
        <w:jc w:val="left"/>
        <w:rPr>
          <w:sz w:val="24"/>
        </w:rPr>
      </w:pPr>
      <w:r>
        <w:rPr>
          <w:sz w:val="24"/>
        </w:rPr>
        <w:t>职业健康</w:t>
      </w:r>
    </w:p>
    <w:p>
      <w:pPr>
        <w:pStyle w:val="16"/>
        <w:numPr>
          <w:ilvl w:val="2"/>
          <w:numId w:val="35"/>
        </w:numPr>
        <w:tabs>
          <w:tab w:val="left" w:pos="1533"/>
        </w:tabs>
        <w:spacing w:before="158" w:after="0" w:line="240" w:lineRule="auto"/>
        <w:ind w:left="1532" w:right="0" w:hanging="721"/>
        <w:jc w:val="left"/>
        <w:rPr>
          <w:sz w:val="24"/>
        </w:rPr>
      </w:pPr>
      <w:r>
        <w:rPr>
          <w:sz w:val="24"/>
        </w:rPr>
        <w:t>劳动保护</w:t>
      </w:r>
    </w:p>
    <w:p>
      <w:pPr>
        <w:pStyle w:val="8"/>
        <w:spacing w:before="160" w:line="364" w:lineRule="auto"/>
        <w:ind w:left="388" w:right="624" w:firstLine="424"/>
      </w:pPr>
      <w:r>
        <w:rPr>
          <w:spacing w:val="-2"/>
        </w:rPr>
        <w:t xml:space="preserve">承包人应按照法律规定安排现场施工人员的劳动和休息时间，保障劳动者的休息时间， </w:t>
      </w:r>
      <w:r>
        <w:t>并支付合理的报酬和费用。承包人应依法为其履行合同所雇用的人员办理必要的证件、许</w:t>
      </w:r>
      <w:r>
        <w:rPr>
          <w:spacing w:val="-9"/>
        </w:rPr>
        <w:t>可、保险和注册等，承包人应督促其分包人为分包人所雇用的人员办理必要的证件、许可、</w:t>
      </w:r>
      <w:r>
        <w:t>保险和注册等。</w:t>
      </w:r>
    </w:p>
    <w:p>
      <w:pPr>
        <w:pStyle w:val="8"/>
        <w:spacing w:line="364" w:lineRule="auto"/>
        <w:ind w:left="388" w:right="744" w:firstLine="424"/>
        <w:jc w:val="both"/>
      </w:pPr>
      <w:r>
        <w:rPr>
          <w:spacing w:val="-2"/>
        </w:rPr>
        <w:t>承包人应按照法律规定保障现场施工人员的劳动安全，并提供劳动保护,并应按国家有</w:t>
      </w:r>
      <w:r>
        <w:t>关劳动保护的规定，采取有效的防止粉尘、降低噪声、控制有害气体和保障高温、高寒、高空作业安全等劳动保护措施。承包人雇佣人员在施工中受到伤害的，承包人应立即采取有效措施进行抢救和治疗。</w:t>
      </w:r>
    </w:p>
    <w:p>
      <w:pPr>
        <w:pStyle w:val="8"/>
        <w:spacing w:line="364" w:lineRule="auto"/>
        <w:ind w:left="388" w:right="798" w:firstLine="424"/>
        <w:jc w:val="both"/>
      </w:pPr>
      <w:r>
        <w:t>承包人应按法律规定安排工作时间，保证其雇佣人员享有休息和休假的权利。因工程施工的特殊需要占用休假日或延长工作时间的，应不超过法律规定的限度，并按法律规定给予补休或付酬。</w:t>
      </w:r>
    </w:p>
    <w:p>
      <w:pPr>
        <w:pStyle w:val="16"/>
        <w:numPr>
          <w:ilvl w:val="2"/>
          <w:numId w:val="35"/>
        </w:numPr>
        <w:tabs>
          <w:tab w:val="left" w:pos="1533"/>
        </w:tabs>
        <w:spacing w:before="0" w:after="0" w:line="307" w:lineRule="exact"/>
        <w:ind w:left="1532" w:right="0" w:hanging="721"/>
        <w:jc w:val="both"/>
        <w:rPr>
          <w:sz w:val="24"/>
        </w:rPr>
      </w:pPr>
      <w:r>
        <w:rPr>
          <w:sz w:val="24"/>
        </w:rPr>
        <w:t>生活条件</w:t>
      </w:r>
    </w:p>
    <w:p>
      <w:pPr>
        <w:pStyle w:val="8"/>
        <w:spacing w:before="154" w:line="364" w:lineRule="auto"/>
        <w:ind w:left="388" w:right="798" w:firstLine="424"/>
        <w:jc w:val="both"/>
      </w:pPr>
      <w: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pStyle w:val="16"/>
        <w:numPr>
          <w:ilvl w:val="1"/>
          <w:numId w:val="35"/>
        </w:numPr>
        <w:tabs>
          <w:tab w:val="left" w:pos="1108"/>
        </w:tabs>
        <w:spacing w:before="0" w:after="0" w:line="305" w:lineRule="exact"/>
        <w:ind w:left="1108" w:right="0" w:hanging="480"/>
        <w:jc w:val="both"/>
        <w:rPr>
          <w:sz w:val="24"/>
        </w:rPr>
      </w:pPr>
      <w:r>
        <w:rPr>
          <w:sz w:val="24"/>
        </w:rPr>
        <w:t>环境保护</w:t>
      </w:r>
    </w:p>
    <w:p>
      <w:pPr>
        <w:pStyle w:val="8"/>
        <w:spacing w:before="160" w:line="364" w:lineRule="auto"/>
        <w:ind w:left="388" w:right="798" w:firstLine="424"/>
        <w:jc w:val="both"/>
      </w:pPr>
      <w:r>
        <w:t>承包人应在施工组织设计中列明环境保护的具体措施。在合同履行期间，承包人应采取合理措施保护施工现场环境。对施工作业过程中可能引起的大气、水、噪音以及固体废物污染采取具体可行的防范措施。</w:t>
      </w:r>
    </w:p>
    <w:p>
      <w:pPr>
        <w:pStyle w:val="8"/>
        <w:spacing w:line="362" w:lineRule="auto"/>
        <w:ind w:left="388" w:right="852" w:firstLine="424"/>
      </w:pPr>
      <w:r>
        <w:t>承包人应当承担因其原因引起的环境污染侵权损害赔偿责任，因上述环境污染引起纠纷而导致暂停施工的，由此增加的费用和（或）延误的工期由承包人承担。</w:t>
      </w:r>
    </w:p>
    <w:p>
      <w:pPr>
        <w:pStyle w:val="16"/>
        <w:numPr>
          <w:ilvl w:val="0"/>
          <w:numId w:val="35"/>
        </w:numPr>
        <w:tabs>
          <w:tab w:val="left" w:pos="748"/>
        </w:tabs>
        <w:spacing w:before="2" w:after="0" w:line="240" w:lineRule="auto"/>
        <w:ind w:left="748" w:right="0" w:hanging="360"/>
        <w:jc w:val="left"/>
        <w:outlineLvl w:val="2"/>
        <w:rPr>
          <w:sz w:val="24"/>
        </w:rPr>
      </w:pPr>
      <w:r>
        <w:rPr>
          <w:sz w:val="24"/>
        </w:rPr>
        <w:t>工期和进度</w:t>
      </w:r>
    </w:p>
    <w:p>
      <w:pPr>
        <w:pStyle w:val="16"/>
        <w:numPr>
          <w:ilvl w:val="1"/>
          <w:numId w:val="35"/>
        </w:numPr>
        <w:tabs>
          <w:tab w:val="left" w:pos="1048"/>
        </w:tabs>
        <w:spacing w:before="161" w:after="0" w:line="240" w:lineRule="auto"/>
        <w:ind w:left="1048" w:right="0" w:hanging="420"/>
        <w:jc w:val="left"/>
        <w:rPr>
          <w:sz w:val="24"/>
        </w:rPr>
      </w:pPr>
      <w:r>
        <w:rPr>
          <w:sz w:val="24"/>
        </w:rPr>
        <w:t>施工组织设计</w:t>
      </w:r>
    </w:p>
    <w:p>
      <w:pPr>
        <w:pStyle w:val="16"/>
        <w:numPr>
          <w:ilvl w:val="2"/>
          <w:numId w:val="35"/>
        </w:numPr>
        <w:tabs>
          <w:tab w:val="left" w:pos="1533"/>
        </w:tabs>
        <w:spacing w:before="160" w:after="0" w:line="240" w:lineRule="auto"/>
        <w:ind w:left="1532" w:right="0" w:hanging="721"/>
        <w:jc w:val="left"/>
        <w:rPr>
          <w:sz w:val="24"/>
        </w:rPr>
      </w:pPr>
      <w:r>
        <w:rPr>
          <w:sz w:val="24"/>
        </w:rPr>
        <w:t>施工组织设计的内容</w:t>
      </w:r>
    </w:p>
    <w:p>
      <w:pPr>
        <w:pStyle w:val="8"/>
        <w:spacing w:before="158"/>
        <w:ind w:left="812"/>
      </w:pPr>
      <w:r>
        <w:t>施工组织设计应包含以下内容：</w:t>
      </w:r>
    </w:p>
    <w:p>
      <w:pPr>
        <w:spacing w:after="0"/>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00" o:spid="_x0000_s1100" o:spt="20" style="position:absolute;left:0pt;margin-left:62.4pt;margin-top:12.25pt;height:0pt;width:400.4pt;mso-position-horizontal-relative:page;z-index:25175142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0"/>
          <w:numId w:val="43"/>
        </w:numPr>
        <w:tabs>
          <w:tab w:val="left" w:pos="1414"/>
        </w:tabs>
        <w:spacing w:before="67" w:after="0" w:line="240" w:lineRule="auto"/>
        <w:ind w:left="1413" w:right="0" w:hanging="602"/>
        <w:jc w:val="left"/>
        <w:rPr>
          <w:sz w:val="24"/>
        </w:rPr>
      </w:pPr>
      <w:r>
        <w:rPr>
          <w:sz w:val="24"/>
        </w:rPr>
        <w:t>施工方案；</w:t>
      </w:r>
    </w:p>
    <w:p>
      <w:pPr>
        <w:pStyle w:val="16"/>
        <w:numPr>
          <w:ilvl w:val="0"/>
          <w:numId w:val="43"/>
        </w:numPr>
        <w:tabs>
          <w:tab w:val="left" w:pos="1414"/>
        </w:tabs>
        <w:spacing w:before="158" w:after="0" w:line="240" w:lineRule="auto"/>
        <w:ind w:left="1413" w:right="0" w:hanging="602"/>
        <w:jc w:val="left"/>
        <w:rPr>
          <w:sz w:val="24"/>
        </w:rPr>
      </w:pPr>
      <w:r>
        <w:rPr>
          <w:sz w:val="24"/>
        </w:rPr>
        <w:t>施工现场平面布置图；</w:t>
      </w:r>
    </w:p>
    <w:p>
      <w:pPr>
        <w:pStyle w:val="16"/>
        <w:numPr>
          <w:ilvl w:val="0"/>
          <w:numId w:val="43"/>
        </w:numPr>
        <w:tabs>
          <w:tab w:val="left" w:pos="1414"/>
        </w:tabs>
        <w:spacing w:before="160" w:after="0" w:line="240" w:lineRule="auto"/>
        <w:ind w:left="1413" w:right="0" w:hanging="602"/>
        <w:jc w:val="left"/>
        <w:rPr>
          <w:sz w:val="24"/>
        </w:rPr>
      </w:pPr>
      <w:r>
        <w:rPr>
          <w:sz w:val="24"/>
        </w:rPr>
        <w:t>施工进度计划和保证措施；</w:t>
      </w:r>
    </w:p>
    <w:p>
      <w:pPr>
        <w:pStyle w:val="16"/>
        <w:numPr>
          <w:ilvl w:val="0"/>
          <w:numId w:val="43"/>
        </w:numPr>
        <w:tabs>
          <w:tab w:val="left" w:pos="1414"/>
        </w:tabs>
        <w:spacing w:before="158" w:after="0" w:line="240" w:lineRule="auto"/>
        <w:ind w:left="1413" w:right="0" w:hanging="602"/>
        <w:jc w:val="left"/>
        <w:rPr>
          <w:sz w:val="24"/>
        </w:rPr>
      </w:pPr>
      <w:r>
        <w:rPr>
          <w:sz w:val="24"/>
        </w:rPr>
        <w:t>劳动力及材料供应计划；</w:t>
      </w:r>
    </w:p>
    <w:p>
      <w:pPr>
        <w:pStyle w:val="16"/>
        <w:numPr>
          <w:ilvl w:val="0"/>
          <w:numId w:val="43"/>
        </w:numPr>
        <w:tabs>
          <w:tab w:val="left" w:pos="1414"/>
        </w:tabs>
        <w:spacing w:before="161" w:after="0" w:line="240" w:lineRule="auto"/>
        <w:ind w:left="1413" w:right="0" w:hanging="602"/>
        <w:jc w:val="left"/>
        <w:rPr>
          <w:sz w:val="24"/>
        </w:rPr>
      </w:pPr>
      <w:r>
        <w:rPr>
          <w:sz w:val="24"/>
        </w:rPr>
        <w:t>施工机械设备的选用；</w:t>
      </w:r>
    </w:p>
    <w:p>
      <w:pPr>
        <w:pStyle w:val="16"/>
        <w:numPr>
          <w:ilvl w:val="0"/>
          <w:numId w:val="43"/>
        </w:numPr>
        <w:tabs>
          <w:tab w:val="left" w:pos="1414"/>
        </w:tabs>
        <w:spacing w:before="158" w:after="0" w:line="240" w:lineRule="auto"/>
        <w:ind w:left="1413" w:right="0" w:hanging="602"/>
        <w:jc w:val="left"/>
        <w:rPr>
          <w:sz w:val="24"/>
        </w:rPr>
      </w:pPr>
      <w:r>
        <w:rPr>
          <w:sz w:val="24"/>
        </w:rPr>
        <w:t>质量保证体系及措施；</w:t>
      </w:r>
    </w:p>
    <w:p>
      <w:pPr>
        <w:pStyle w:val="16"/>
        <w:numPr>
          <w:ilvl w:val="0"/>
          <w:numId w:val="43"/>
        </w:numPr>
        <w:tabs>
          <w:tab w:val="left" w:pos="1414"/>
        </w:tabs>
        <w:spacing w:before="161" w:after="0" w:line="240" w:lineRule="auto"/>
        <w:ind w:left="1413" w:right="0" w:hanging="602"/>
        <w:jc w:val="left"/>
        <w:rPr>
          <w:sz w:val="24"/>
        </w:rPr>
      </w:pPr>
      <w:r>
        <w:rPr>
          <w:sz w:val="24"/>
        </w:rPr>
        <w:t>安全生产、文明施工措施；</w:t>
      </w:r>
    </w:p>
    <w:p>
      <w:pPr>
        <w:pStyle w:val="16"/>
        <w:numPr>
          <w:ilvl w:val="0"/>
          <w:numId w:val="43"/>
        </w:numPr>
        <w:tabs>
          <w:tab w:val="left" w:pos="1414"/>
        </w:tabs>
        <w:spacing w:before="160" w:after="0" w:line="240" w:lineRule="auto"/>
        <w:ind w:left="1413" w:right="0" w:hanging="602"/>
        <w:jc w:val="left"/>
        <w:rPr>
          <w:sz w:val="24"/>
        </w:rPr>
      </w:pPr>
      <w:r>
        <w:rPr>
          <w:sz w:val="24"/>
        </w:rPr>
        <w:t>环境保护、成本控制措施；</w:t>
      </w:r>
    </w:p>
    <w:p>
      <w:pPr>
        <w:pStyle w:val="16"/>
        <w:numPr>
          <w:ilvl w:val="0"/>
          <w:numId w:val="43"/>
        </w:numPr>
        <w:tabs>
          <w:tab w:val="left" w:pos="1414"/>
        </w:tabs>
        <w:spacing w:before="158" w:after="0" w:line="240" w:lineRule="auto"/>
        <w:ind w:left="1413" w:right="0" w:hanging="602"/>
        <w:jc w:val="left"/>
        <w:rPr>
          <w:sz w:val="24"/>
        </w:rPr>
      </w:pPr>
      <w:r>
        <w:rPr>
          <w:sz w:val="24"/>
        </w:rPr>
        <w:t>合同当事人约定的其他内容。</w:t>
      </w:r>
    </w:p>
    <w:p>
      <w:pPr>
        <w:pStyle w:val="16"/>
        <w:numPr>
          <w:ilvl w:val="2"/>
          <w:numId w:val="35"/>
        </w:numPr>
        <w:tabs>
          <w:tab w:val="left" w:pos="1533"/>
        </w:tabs>
        <w:spacing w:before="158" w:after="0" w:line="240" w:lineRule="auto"/>
        <w:ind w:left="1532" w:right="0" w:hanging="721"/>
        <w:jc w:val="left"/>
        <w:rPr>
          <w:sz w:val="24"/>
        </w:rPr>
      </w:pPr>
      <w:r>
        <w:rPr>
          <w:sz w:val="24"/>
        </w:rPr>
        <w:t>施工组织设计的提交和修改</w:t>
      </w:r>
    </w:p>
    <w:p>
      <w:pPr>
        <w:pStyle w:val="8"/>
        <w:spacing w:before="161"/>
        <w:ind w:left="812"/>
        <w:jc w:val="both"/>
      </w:pPr>
      <w:r>
        <w:t>除专用合同条款另有约定外，承包人应在合同签订后 14 天内，但至迟不得晚于第 7.3.2</w:t>
      </w:r>
    </w:p>
    <w:p>
      <w:pPr>
        <w:pStyle w:val="8"/>
        <w:spacing w:before="160" w:line="364" w:lineRule="auto"/>
        <w:ind w:left="388" w:right="798"/>
        <w:jc w:val="both"/>
      </w:pPr>
      <w:r>
        <w:rPr>
          <w:spacing w:val="-4"/>
        </w:rPr>
        <w:t xml:space="preserve">项〔开工通知〕载明的开工日期前 </w:t>
      </w:r>
      <w:r>
        <w:t>7</w:t>
      </w:r>
      <w:r>
        <w:rPr>
          <w:spacing w:val="-9"/>
        </w:rPr>
        <w:t xml:space="preserve"> 天，向监理人提交详细的施工组织设计，并由监理人</w:t>
      </w:r>
      <w:r>
        <w:rPr>
          <w:spacing w:val="-1"/>
        </w:rPr>
        <w:t>报送发包人。除专用合同条款另有约定外，发包人和监理人应在监理人收到施工组织设计</w:t>
      </w:r>
      <w:r>
        <w:rPr>
          <w:spacing w:val="-30"/>
        </w:rPr>
        <w:t xml:space="preserve">后 </w:t>
      </w:r>
      <w:r>
        <w:t>7</w:t>
      </w:r>
      <w:r>
        <w:rPr>
          <w:spacing w:val="-9"/>
        </w:rPr>
        <w:t xml:space="preserve"> 天内确认或提出修改意见。对发包人和监理人提出的合理意见和要求，承包人应自费</w:t>
      </w:r>
      <w:r>
        <w:rPr>
          <w:spacing w:val="-1"/>
        </w:rPr>
        <w:t>修改完善。根据工程实际情况需要修改施工组织设计的，承包人应向发包人和监理人提交</w:t>
      </w:r>
      <w:r>
        <w:t>修改后的施工组织设计。</w:t>
      </w:r>
    </w:p>
    <w:p>
      <w:pPr>
        <w:pStyle w:val="8"/>
        <w:spacing w:line="303" w:lineRule="exact"/>
        <w:ind w:left="812"/>
        <w:jc w:val="both"/>
      </w:pPr>
      <w:r>
        <w:t>施工进度计划的编制和修改按照第 7.2 款〔施工进度计划〕执行。</w:t>
      </w:r>
    </w:p>
    <w:p>
      <w:pPr>
        <w:pStyle w:val="16"/>
        <w:numPr>
          <w:ilvl w:val="1"/>
          <w:numId w:val="35"/>
        </w:numPr>
        <w:tabs>
          <w:tab w:val="left" w:pos="1108"/>
        </w:tabs>
        <w:spacing w:before="161" w:after="0" w:line="240" w:lineRule="auto"/>
        <w:ind w:left="1108" w:right="0" w:hanging="480"/>
        <w:jc w:val="both"/>
        <w:rPr>
          <w:sz w:val="24"/>
        </w:rPr>
      </w:pPr>
      <w:r>
        <w:rPr>
          <w:sz w:val="24"/>
        </w:rPr>
        <w:t>施工进度计划</w:t>
      </w:r>
    </w:p>
    <w:p>
      <w:pPr>
        <w:pStyle w:val="16"/>
        <w:numPr>
          <w:ilvl w:val="2"/>
          <w:numId w:val="35"/>
        </w:numPr>
        <w:tabs>
          <w:tab w:val="left" w:pos="1533"/>
        </w:tabs>
        <w:spacing w:before="158" w:after="0" w:line="240" w:lineRule="auto"/>
        <w:ind w:left="1532" w:right="0" w:hanging="721"/>
        <w:jc w:val="left"/>
        <w:rPr>
          <w:sz w:val="24"/>
        </w:rPr>
      </w:pPr>
      <w:r>
        <w:rPr>
          <w:sz w:val="24"/>
        </w:rPr>
        <w:t>施工进度计划的编制</w:t>
      </w:r>
    </w:p>
    <w:p>
      <w:pPr>
        <w:pStyle w:val="8"/>
        <w:spacing w:before="160" w:line="364" w:lineRule="auto"/>
        <w:ind w:left="388" w:right="624" w:firstLine="424"/>
      </w:pPr>
      <w:r>
        <w:rPr>
          <w:spacing w:val="-8"/>
        </w:rPr>
        <w:t xml:space="preserve">承包人应按照第 </w:t>
      </w:r>
      <w:r>
        <w:t>7.1</w:t>
      </w:r>
      <w:r>
        <w:rPr>
          <w:spacing w:val="-8"/>
        </w:rPr>
        <w:t xml:space="preserve"> 款〔施工组织设计〕约定提交详细的施工进度计划，施工进度计</w:t>
      </w:r>
      <w:r>
        <w:rPr>
          <w:spacing w:val="-12"/>
        </w:rPr>
        <w:t>划的编制应当符合国家法律规定和一般工程实践惯例，施工进度计划经发包人批准后实施。</w:t>
      </w:r>
      <w:r>
        <w:t>施工进度计划是控制工程进度的依据，发包人和监理人有权按照施工进度计划检查工程进度情况。</w:t>
      </w:r>
    </w:p>
    <w:p>
      <w:pPr>
        <w:pStyle w:val="16"/>
        <w:numPr>
          <w:ilvl w:val="2"/>
          <w:numId w:val="35"/>
        </w:numPr>
        <w:tabs>
          <w:tab w:val="left" w:pos="1533"/>
        </w:tabs>
        <w:spacing w:before="0" w:after="0" w:line="305" w:lineRule="exact"/>
        <w:ind w:left="1532" w:right="0" w:hanging="721"/>
        <w:jc w:val="left"/>
        <w:rPr>
          <w:sz w:val="24"/>
        </w:rPr>
      </w:pPr>
      <w:r>
        <w:rPr>
          <w:sz w:val="24"/>
        </w:rPr>
        <w:t>施工进度计划的修订</w:t>
      </w:r>
    </w:p>
    <w:p>
      <w:pPr>
        <w:pStyle w:val="8"/>
        <w:spacing w:before="161" w:line="364" w:lineRule="auto"/>
        <w:ind w:left="388" w:right="798" w:firstLine="424"/>
        <w:jc w:val="both"/>
      </w:pPr>
      <w:r>
        <w:t>施工进度计划不符合合同要求或与工程的实际进度不一致的，承包人应向监理人提交</w:t>
      </w:r>
      <w:r>
        <w:rPr>
          <w:spacing w:val="-1"/>
        </w:rPr>
        <w:t>修订的施工进度计划，并附具有关措施和相关资料，由监理人报送发包人。除专用合同条</w:t>
      </w:r>
      <w:r>
        <w:rPr>
          <w:spacing w:val="-3"/>
        </w:rPr>
        <w:t xml:space="preserve">款另有约定外，发包人和监理人应在收到修订的施工进度计划后 </w:t>
      </w:r>
      <w:r>
        <w:t>7</w:t>
      </w:r>
      <w:r>
        <w:rPr>
          <w:spacing w:val="-9"/>
        </w:rPr>
        <w:t xml:space="preserve"> 天内完成审核和批准或</w:t>
      </w:r>
      <w:r>
        <w:rPr>
          <w:spacing w:val="-1"/>
        </w:rPr>
        <w:t>提出修改意见。发包人和监理人对承包人提交的施工进度计划的确认，不能减轻或免除承</w:t>
      </w:r>
      <w:r>
        <w:t>包人根据法律规定和合同约定应承担的任何责任或义务。</w:t>
      </w:r>
    </w:p>
    <w:p>
      <w:pPr>
        <w:pStyle w:val="16"/>
        <w:numPr>
          <w:ilvl w:val="1"/>
          <w:numId w:val="35"/>
        </w:numPr>
        <w:tabs>
          <w:tab w:val="left" w:pos="1108"/>
        </w:tabs>
        <w:spacing w:before="0" w:after="0" w:line="303" w:lineRule="exact"/>
        <w:ind w:left="1108" w:right="0" w:hanging="480"/>
        <w:jc w:val="both"/>
        <w:rPr>
          <w:sz w:val="24"/>
        </w:rPr>
      </w:pPr>
      <w:r>
        <w:rPr>
          <w:sz w:val="24"/>
        </w:rPr>
        <w:t>开工</w:t>
      </w:r>
    </w:p>
    <w:p>
      <w:pPr>
        <w:spacing w:after="0" w:line="303" w:lineRule="exact"/>
        <w:jc w:val="both"/>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01" o:spid="_x0000_s1101" o:spt="20" style="position:absolute;left:0pt;margin-left:62.4pt;margin-top:12.25pt;height:0pt;width:400.4pt;mso-position-horizontal-relative:page;z-index:25175244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2"/>
          <w:numId w:val="35"/>
        </w:numPr>
        <w:tabs>
          <w:tab w:val="left" w:pos="1533"/>
        </w:tabs>
        <w:spacing w:before="67" w:after="0" w:line="240" w:lineRule="auto"/>
        <w:ind w:left="1532" w:right="0" w:hanging="721"/>
        <w:jc w:val="both"/>
        <w:rPr>
          <w:sz w:val="24"/>
        </w:rPr>
      </w:pPr>
      <w:r>
        <w:rPr>
          <w:sz w:val="24"/>
        </w:rPr>
        <w:t>开工准备</w:t>
      </w:r>
    </w:p>
    <w:p>
      <w:pPr>
        <w:pStyle w:val="8"/>
        <w:spacing w:before="158" w:line="364" w:lineRule="auto"/>
        <w:ind w:left="388" w:right="798" w:firstLine="424"/>
        <w:jc w:val="both"/>
      </w:pPr>
      <w:r>
        <w:rPr>
          <w:spacing w:val="-3"/>
        </w:rPr>
        <w:t xml:space="preserve">除专用合同条款另有约定外，承包人应按照第 </w:t>
      </w:r>
      <w:r>
        <w:t>7.1</w:t>
      </w:r>
      <w:r>
        <w:rPr>
          <w:spacing w:val="-8"/>
        </w:rPr>
        <w:t xml:space="preserve"> 款〔施工组织设计〕约定的期限， </w:t>
      </w:r>
      <w:r>
        <w:rPr>
          <w:spacing w:val="-9"/>
        </w:rPr>
        <w:t>向监理人提交工程开工报审表，经监理人报发包人批准后执行。开工报审表应详细说明按</w:t>
      </w:r>
      <w:r>
        <w:rPr>
          <w:spacing w:val="-1"/>
        </w:rPr>
        <w:t>施工进度计划正常施工所需的施工道路、临时设施、材料、工程设备、施工设备、施工人</w:t>
      </w:r>
      <w:r>
        <w:t>员等落实情况以及工程的进度安排。</w:t>
      </w:r>
    </w:p>
    <w:p>
      <w:pPr>
        <w:pStyle w:val="8"/>
        <w:spacing w:line="305" w:lineRule="exact"/>
        <w:ind w:left="812"/>
      </w:pPr>
      <w:r>
        <w:t>除专用合同条款另有约定外，合同当事人应按约定完成开工准备工作。</w:t>
      </w:r>
    </w:p>
    <w:p>
      <w:pPr>
        <w:pStyle w:val="16"/>
        <w:numPr>
          <w:ilvl w:val="2"/>
          <w:numId w:val="35"/>
        </w:numPr>
        <w:tabs>
          <w:tab w:val="left" w:pos="1533"/>
        </w:tabs>
        <w:spacing w:before="160" w:after="0" w:line="240" w:lineRule="auto"/>
        <w:ind w:left="1532" w:right="0" w:hanging="721"/>
        <w:jc w:val="both"/>
        <w:rPr>
          <w:sz w:val="24"/>
        </w:rPr>
      </w:pPr>
      <w:r>
        <w:rPr>
          <w:sz w:val="24"/>
        </w:rPr>
        <w:t>开工通知</w:t>
      </w:r>
    </w:p>
    <w:p>
      <w:pPr>
        <w:pStyle w:val="8"/>
        <w:spacing w:before="161" w:line="362" w:lineRule="auto"/>
        <w:ind w:left="388" w:right="798" w:firstLine="424"/>
        <w:jc w:val="both"/>
      </w:pPr>
      <w:r>
        <w:t>发包人应按照法律规定获得工程施工所需的许可。经发包人同意后，监理人发出的开</w:t>
      </w:r>
      <w:r>
        <w:rPr>
          <w:spacing w:val="-3"/>
        </w:rPr>
        <w:t xml:space="preserve">工通知应符合法律规定。监理人应在计划开工日期 </w:t>
      </w:r>
      <w:r>
        <w:t>7</w:t>
      </w:r>
      <w:r>
        <w:rPr>
          <w:spacing w:val="-9"/>
        </w:rPr>
        <w:t xml:space="preserve"> 天前向承包人发出开工通知，工期自</w:t>
      </w:r>
      <w:r>
        <w:t>开工通知中载明的开工日期起算。</w:t>
      </w:r>
    </w:p>
    <w:p>
      <w:pPr>
        <w:pStyle w:val="8"/>
        <w:spacing w:before="6" w:line="364" w:lineRule="auto"/>
        <w:ind w:left="388" w:right="792" w:firstLine="424"/>
        <w:jc w:val="both"/>
      </w:pPr>
      <w:r>
        <w:rPr>
          <w:spacing w:val="-2"/>
        </w:rPr>
        <w:t xml:space="preserve">除专用合同条款另有约定外，因发包人原因造成监理人未能在计划开工日期之日起 </w:t>
      </w:r>
      <w:r>
        <w:rPr>
          <w:spacing w:val="-9"/>
        </w:rPr>
        <w:t xml:space="preserve">90 </w:t>
      </w:r>
      <w:r>
        <w:rPr>
          <w:spacing w:val="-1"/>
        </w:rPr>
        <w:t>天内发出开工通知的，承包人有权提出价格调整要求，或者解除合同。发包人应当承担由</w:t>
      </w:r>
      <w:r>
        <w:t>此增加的费用和（或）延误的工期，并向承包人支付合理利润。</w:t>
      </w:r>
    </w:p>
    <w:p>
      <w:pPr>
        <w:pStyle w:val="16"/>
        <w:numPr>
          <w:ilvl w:val="1"/>
          <w:numId w:val="35"/>
        </w:numPr>
        <w:tabs>
          <w:tab w:val="left" w:pos="1048"/>
        </w:tabs>
        <w:spacing w:before="0" w:after="0" w:line="307" w:lineRule="exact"/>
        <w:ind w:left="1048" w:right="0" w:hanging="420"/>
        <w:jc w:val="both"/>
        <w:rPr>
          <w:sz w:val="24"/>
        </w:rPr>
      </w:pPr>
      <w:r>
        <w:rPr>
          <w:sz w:val="24"/>
        </w:rPr>
        <w:t>测量放线</w:t>
      </w:r>
    </w:p>
    <w:p>
      <w:pPr>
        <w:pStyle w:val="16"/>
        <w:numPr>
          <w:ilvl w:val="2"/>
          <w:numId w:val="35"/>
        </w:numPr>
        <w:tabs>
          <w:tab w:val="left" w:pos="1533"/>
        </w:tabs>
        <w:spacing w:before="158" w:after="0" w:line="364" w:lineRule="auto"/>
        <w:ind w:left="388" w:right="624" w:firstLine="424"/>
        <w:jc w:val="left"/>
        <w:rPr>
          <w:sz w:val="24"/>
        </w:rPr>
      </w:pPr>
      <w:r>
        <w:rPr>
          <w:spacing w:val="-4"/>
          <w:sz w:val="24"/>
        </w:rPr>
        <w:t xml:space="preserve">除专用合同条款另有约定外，发包人应在至迟不得晚于第 </w:t>
      </w:r>
      <w:r>
        <w:rPr>
          <w:sz w:val="24"/>
        </w:rPr>
        <w:t>7.3.2</w:t>
      </w:r>
      <w:r>
        <w:rPr>
          <w:spacing w:val="-12"/>
          <w:sz w:val="24"/>
        </w:rPr>
        <w:t xml:space="preserve"> 项〔开工通知〕</w:t>
      </w:r>
      <w:r>
        <w:rPr>
          <w:spacing w:val="-7"/>
          <w:sz w:val="24"/>
        </w:rPr>
        <w:t xml:space="preserve">载明的开工日期前 </w:t>
      </w:r>
      <w:r>
        <w:rPr>
          <w:sz w:val="24"/>
        </w:rPr>
        <w:t>7</w:t>
      </w:r>
      <w:r>
        <w:rPr>
          <w:spacing w:val="-8"/>
          <w:sz w:val="24"/>
        </w:rPr>
        <w:t xml:space="preserve"> 天通过监理人向承包人提供测量基准点、基准线和水准点及其书面资料。发包人应对其提供的测量基准点、基准线和水准点及其书面资料的真实性、准确性和完整性负责。</w:t>
      </w:r>
    </w:p>
    <w:p>
      <w:pPr>
        <w:pStyle w:val="8"/>
        <w:spacing w:line="364" w:lineRule="auto"/>
        <w:ind w:left="388" w:right="798" w:firstLine="424"/>
        <w:jc w:val="both"/>
      </w:pPr>
      <w: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pStyle w:val="16"/>
        <w:numPr>
          <w:ilvl w:val="2"/>
          <w:numId w:val="35"/>
        </w:numPr>
        <w:tabs>
          <w:tab w:val="left" w:pos="1533"/>
        </w:tabs>
        <w:spacing w:before="0" w:after="0" w:line="364" w:lineRule="auto"/>
        <w:ind w:left="388" w:right="624" w:firstLine="424"/>
        <w:jc w:val="left"/>
        <w:rPr>
          <w:sz w:val="24"/>
        </w:rPr>
      </w:pPr>
      <w:r>
        <w:rPr>
          <w:spacing w:val="-2"/>
          <w:sz w:val="24"/>
        </w:rPr>
        <w:t>承包人负责施工过程中的全部施工测量放线工作，并配置具有相应资质的人员、</w:t>
      </w:r>
      <w:r>
        <w:rPr>
          <w:sz w:val="24"/>
        </w:rPr>
        <w:t>合格的仪器、设备和其他物品。承包人应矫正工程的位置、标高、尺寸或准线中出现的任何差错，并对工程各部分的定位负责。</w:t>
      </w:r>
    </w:p>
    <w:p>
      <w:pPr>
        <w:pStyle w:val="8"/>
        <w:spacing w:line="307" w:lineRule="exact"/>
        <w:ind w:left="812"/>
      </w:pPr>
      <w:r>
        <w:t>施工过程中对施工现场内水准点等测量标志物的保护工作由承包人负责。</w:t>
      </w:r>
    </w:p>
    <w:p>
      <w:pPr>
        <w:pStyle w:val="16"/>
        <w:numPr>
          <w:ilvl w:val="1"/>
          <w:numId w:val="35"/>
        </w:numPr>
        <w:tabs>
          <w:tab w:val="left" w:pos="1108"/>
        </w:tabs>
        <w:spacing w:before="155" w:after="0" w:line="240" w:lineRule="auto"/>
        <w:ind w:left="1108" w:right="0" w:hanging="480"/>
        <w:jc w:val="both"/>
        <w:rPr>
          <w:sz w:val="24"/>
        </w:rPr>
      </w:pPr>
      <w:r>
        <w:rPr>
          <w:sz w:val="24"/>
        </w:rPr>
        <w:t>工期延误</w:t>
      </w:r>
    </w:p>
    <w:p>
      <w:pPr>
        <w:pStyle w:val="16"/>
        <w:numPr>
          <w:ilvl w:val="2"/>
          <w:numId w:val="35"/>
        </w:numPr>
        <w:tabs>
          <w:tab w:val="left" w:pos="1533"/>
        </w:tabs>
        <w:spacing w:before="158" w:after="0" w:line="240" w:lineRule="auto"/>
        <w:ind w:left="1532" w:right="0" w:hanging="721"/>
        <w:jc w:val="left"/>
        <w:rPr>
          <w:sz w:val="24"/>
        </w:rPr>
      </w:pPr>
      <w:r>
        <w:rPr>
          <w:sz w:val="24"/>
        </w:rPr>
        <w:t>因发包人原因导致工期延误</w:t>
      </w:r>
    </w:p>
    <w:p>
      <w:pPr>
        <w:pStyle w:val="8"/>
        <w:spacing w:before="161" w:line="364" w:lineRule="auto"/>
        <w:ind w:left="388" w:right="852" w:firstLine="424"/>
      </w:pPr>
      <w:r>
        <w:t>在合同履行过程中，因下列情况导致工期延误和（或）费用增加的，由发包人承担由此延误的工期和（或）增加的费用，且发包人应支付承包人合理的利润：</w:t>
      </w:r>
    </w:p>
    <w:p>
      <w:pPr>
        <w:pStyle w:val="16"/>
        <w:numPr>
          <w:ilvl w:val="0"/>
          <w:numId w:val="44"/>
        </w:numPr>
        <w:tabs>
          <w:tab w:val="left" w:pos="1414"/>
        </w:tabs>
        <w:spacing w:before="0" w:after="0" w:line="306" w:lineRule="exact"/>
        <w:ind w:left="1413" w:right="0" w:hanging="602"/>
        <w:jc w:val="left"/>
        <w:rPr>
          <w:sz w:val="24"/>
        </w:rPr>
      </w:pPr>
      <w:r>
        <w:rPr>
          <w:sz w:val="24"/>
        </w:rPr>
        <w:t>发包人未能按合同约定提供图纸或所提供图纸不符合合同约定的；</w:t>
      </w:r>
    </w:p>
    <w:p>
      <w:pPr>
        <w:spacing w:after="0" w:line="306" w:lineRule="exact"/>
        <w:jc w:val="left"/>
        <w:rPr>
          <w:sz w:val="24"/>
        </w:rPr>
        <w:sectPr>
          <w:footerReference r:id="rId11" w:type="default"/>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pgNumType w:start="60"/>
          <w:cols w:space="720" w:num="1"/>
        </w:sectPr>
      </w:pPr>
    </w:p>
    <w:p>
      <w:pPr>
        <w:tabs>
          <w:tab w:val="left" w:pos="7676"/>
        </w:tabs>
        <w:spacing w:before="45"/>
        <w:ind w:left="388" w:right="0" w:firstLine="0"/>
        <w:jc w:val="left"/>
        <w:rPr>
          <w:sz w:val="18"/>
        </w:rPr>
      </w:pPr>
      <w:r>
        <w:pict>
          <v:line id="_x0000_s1102" o:spid="_x0000_s1102" o:spt="20" style="position:absolute;left:0pt;margin-left:62.4pt;margin-top:12.25pt;height:0pt;width:400.4pt;mso-position-horizontal-relative:page;z-index:25175347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0"/>
          <w:numId w:val="44"/>
        </w:numPr>
        <w:tabs>
          <w:tab w:val="left" w:pos="1414"/>
        </w:tabs>
        <w:spacing w:before="67" w:after="0" w:line="362" w:lineRule="auto"/>
        <w:ind w:left="388" w:right="744" w:firstLine="424"/>
        <w:jc w:val="left"/>
        <w:rPr>
          <w:sz w:val="24"/>
        </w:rPr>
      </w:pPr>
      <w:r>
        <w:rPr>
          <w:spacing w:val="-3"/>
          <w:sz w:val="24"/>
        </w:rPr>
        <w:t>发包人未能按合同约定提供施工现场、施工条件、基础资料、许可、批准等开工</w:t>
      </w:r>
      <w:r>
        <w:rPr>
          <w:sz w:val="24"/>
        </w:rPr>
        <w:t>条件的；</w:t>
      </w:r>
    </w:p>
    <w:p>
      <w:pPr>
        <w:pStyle w:val="16"/>
        <w:numPr>
          <w:ilvl w:val="0"/>
          <w:numId w:val="44"/>
        </w:numPr>
        <w:tabs>
          <w:tab w:val="left" w:pos="1414"/>
        </w:tabs>
        <w:spacing w:before="5" w:after="0" w:line="240" w:lineRule="auto"/>
        <w:ind w:left="1413" w:right="0" w:hanging="602"/>
        <w:jc w:val="left"/>
        <w:rPr>
          <w:sz w:val="24"/>
        </w:rPr>
      </w:pPr>
      <w:r>
        <w:rPr>
          <w:sz w:val="24"/>
        </w:rPr>
        <w:t>发包人提供的测量基准点、基准线和水准点及其书面资料存在错误或疏漏的；</w:t>
      </w:r>
    </w:p>
    <w:p>
      <w:pPr>
        <w:pStyle w:val="16"/>
        <w:numPr>
          <w:ilvl w:val="0"/>
          <w:numId w:val="44"/>
        </w:numPr>
        <w:tabs>
          <w:tab w:val="left" w:pos="1414"/>
        </w:tabs>
        <w:spacing w:before="158" w:after="0" w:line="240" w:lineRule="auto"/>
        <w:ind w:left="1413" w:right="0" w:hanging="602"/>
        <w:jc w:val="left"/>
        <w:rPr>
          <w:sz w:val="24"/>
        </w:rPr>
      </w:pPr>
      <w:r>
        <w:rPr>
          <w:spacing w:val="-4"/>
          <w:sz w:val="24"/>
        </w:rPr>
        <w:t xml:space="preserve">发包人未能在计划开工日期之日起 </w:t>
      </w:r>
      <w:r>
        <w:rPr>
          <w:sz w:val="24"/>
        </w:rPr>
        <w:t>7</w:t>
      </w:r>
      <w:r>
        <w:rPr>
          <w:spacing w:val="-8"/>
          <w:sz w:val="24"/>
        </w:rPr>
        <w:t xml:space="preserve"> 天内同意下达开工通知的；</w:t>
      </w:r>
    </w:p>
    <w:p>
      <w:pPr>
        <w:pStyle w:val="16"/>
        <w:numPr>
          <w:ilvl w:val="0"/>
          <w:numId w:val="44"/>
        </w:numPr>
        <w:tabs>
          <w:tab w:val="left" w:pos="1414"/>
        </w:tabs>
        <w:spacing w:before="160" w:after="0" w:line="240" w:lineRule="auto"/>
        <w:ind w:left="1413" w:right="0" w:hanging="602"/>
        <w:jc w:val="left"/>
        <w:rPr>
          <w:sz w:val="24"/>
        </w:rPr>
      </w:pPr>
      <w:r>
        <w:rPr>
          <w:sz w:val="24"/>
        </w:rPr>
        <w:t>发包人未能按合同约定日期支付工程预付款、进度款或竣工结算款的；</w:t>
      </w:r>
    </w:p>
    <w:p>
      <w:pPr>
        <w:pStyle w:val="16"/>
        <w:numPr>
          <w:ilvl w:val="0"/>
          <w:numId w:val="44"/>
        </w:numPr>
        <w:tabs>
          <w:tab w:val="left" w:pos="1414"/>
        </w:tabs>
        <w:spacing w:before="158" w:after="0" w:line="240" w:lineRule="auto"/>
        <w:ind w:left="1413" w:right="0" w:hanging="602"/>
        <w:jc w:val="left"/>
        <w:rPr>
          <w:sz w:val="24"/>
        </w:rPr>
      </w:pPr>
      <w:r>
        <w:rPr>
          <w:sz w:val="24"/>
        </w:rPr>
        <w:t>监理人未按合同约定发出指示、批准等文件的；</w:t>
      </w:r>
    </w:p>
    <w:p>
      <w:pPr>
        <w:pStyle w:val="16"/>
        <w:numPr>
          <w:ilvl w:val="0"/>
          <w:numId w:val="44"/>
        </w:numPr>
        <w:tabs>
          <w:tab w:val="left" w:pos="1414"/>
        </w:tabs>
        <w:spacing w:before="161" w:after="0" w:line="240" w:lineRule="auto"/>
        <w:ind w:left="1413" w:right="0" w:hanging="602"/>
        <w:jc w:val="left"/>
        <w:rPr>
          <w:sz w:val="24"/>
        </w:rPr>
      </w:pPr>
      <w:r>
        <w:rPr>
          <w:sz w:val="24"/>
        </w:rPr>
        <w:t>专用合同条款中约定的其他情形。</w:t>
      </w:r>
    </w:p>
    <w:p>
      <w:pPr>
        <w:pStyle w:val="8"/>
        <w:spacing w:before="160" w:line="362" w:lineRule="auto"/>
        <w:ind w:left="388" w:right="798" w:firstLine="424"/>
        <w:jc w:val="both"/>
      </w:pPr>
      <w:r>
        <w:t>因发包人原因未按计划开工日期开工的，发包人应按实际开工日期顺延竣工日期，确保实际工期不低于合同约定的工期总日历天数。因发包人原因导致工期延误需要修订施工进度计划的，按照第 7.2.2 项〔施工进度计划的修订〕执行。</w:t>
      </w:r>
    </w:p>
    <w:p>
      <w:pPr>
        <w:pStyle w:val="16"/>
        <w:numPr>
          <w:ilvl w:val="2"/>
          <w:numId w:val="35"/>
        </w:numPr>
        <w:tabs>
          <w:tab w:val="left" w:pos="1533"/>
        </w:tabs>
        <w:spacing w:before="7" w:after="0" w:line="240" w:lineRule="auto"/>
        <w:ind w:left="1532" w:right="0" w:hanging="721"/>
        <w:jc w:val="both"/>
        <w:rPr>
          <w:sz w:val="24"/>
        </w:rPr>
      </w:pPr>
      <w:r>
        <w:rPr>
          <w:sz w:val="24"/>
        </w:rPr>
        <w:t>因承包人原因导致工期延误</w:t>
      </w:r>
    </w:p>
    <w:p>
      <w:pPr>
        <w:pStyle w:val="8"/>
        <w:spacing w:before="160" w:line="364" w:lineRule="auto"/>
        <w:ind w:left="388" w:right="798" w:firstLine="424"/>
        <w:jc w:val="both"/>
      </w:pPr>
      <w:r>
        <w:t>因承包人原因造成工期延误的，可以在专用合同条款中约定逾期竣工违约金的计算方法和逾期竣工违约金的上限。承包人支付逾期竣工违约金后，不免除承包人继续完成工程及修补缺陷的义务。</w:t>
      </w:r>
    </w:p>
    <w:p>
      <w:pPr>
        <w:pStyle w:val="16"/>
        <w:numPr>
          <w:ilvl w:val="1"/>
          <w:numId w:val="35"/>
        </w:numPr>
        <w:tabs>
          <w:tab w:val="left" w:pos="1108"/>
        </w:tabs>
        <w:spacing w:before="0" w:after="0" w:line="304" w:lineRule="exact"/>
        <w:ind w:left="1108" w:right="0" w:hanging="480"/>
        <w:jc w:val="both"/>
        <w:rPr>
          <w:sz w:val="24"/>
        </w:rPr>
      </w:pPr>
      <w:r>
        <w:rPr>
          <w:sz w:val="24"/>
        </w:rPr>
        <w:t>不利物质条件</w:t>
      </w:r>
    </w:p>
    <w:p>
      <w:pPr>
        <w:pStyle w:val="8"/>
        <w:spacing w:before="161" w:line="364" w:lineRule="auto"/>
        <w:ind w:left="388" w:right="798" w:firstLine="424"/>
        <w:jc w:val="both"/>
      </w:pPr>
      <w:r>
        <w:t>不利物质条件是指有经验的承包人在施工现场遇到的不可预见的自然物质条件、非自然的物质障碍和污染物，包括地表以下物质条件和水文条件以及专用合同条款约定的其他情形，但不包括气候条件。</w:t>
      </w:r>
    </w:p>
    <w:p>
      <w:pPr>
        <w:pStyle w:val="8"/>
        <w:spacing w:line="364" w:lineRule="auto"/>
        <w:ind w:left="388" w:right="624" w:firstLine="424"/>
      </w:pPr>
      <w:r>
        <w:t>承包人遇到不利物质条件时，应采取克服不利物质条件的合理措施继续施工，并及时通知发包人和监理人。通知应载明不利物质条件的内容以及承包人认为不可预见的理由。</w:t>
      </w:r>
      <w:r>
        <w:rPr>
          <w:spacing w:val="-7"/>
        </w:rPr>
        <w:t xml:space="preserve">监理人经发包人同意后应当及时发出指示，指示构成变更的，按第 </w:t>
      </w:r>
      <w:r>
        <w:t>10</w:t>
      </w:r>
      <w:r>
        <w:rPr>
          <w:spacing w:val="-18"/>
        </w:rPr>
        <w:t xml:space="preserve"> 条〔变更〕约定执行。</w:t>
      </w:r>
      <w:r>
        <w:t>承包人因采取合理措施而增加的费用和（或）延误的工期由发包人承担。</w:t>
      </w:r>
    </w:p>
    <w:p>
      <w:pPr>
        <w:pStyle w:val="16"/>
        <w:numPr>
          <w:ilvl w:val="1"/>
          <w:numId w:val="35"/>
        </w:numPr>
        <w:tabs>
          <w:tab w:val="left" w:pos="1108"/>
        </w:tabs>
        <w:spacing w:before="0" w:after="0" w:line="240" w:lineRule="auto"/>
        <w:ind w:left="1108" w:right="0" w:hanging="480"/>
        <w:jc w:val="left"/>
        <w:rPr>
          <w:sz w:val="24"/>
        </w:rPr>
      </w:pPr>
      <w:r>
        <w:rPr>
          <w:sz w:val="24"/>
        </w:rPr>
        <w:t>异常恶劣的气候条件</w:t>
      </w:r>
    </w:p>
    <w:p>
      <w:pPr>
        <w:pStyle w:val="8"/>
        <w:spacing w:before="155" w:line="364" w:lineRule="auto"/>
        <w:ind w:left="388" w:right="798" w:firstLine="424"/>
        <w:jc w:val="both"/>
      </w:pPr>
      <w: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pStyle w:val="8"/>
        <w:spacing w:line="364" w:lineRule="auto"/>
        <w:ind w:left="388" w:right="746" w:firstLine="424"/>
      </w:pPr>
      <w:r>
        <w:t>承包人应采取克服异常恶劣的气候条件的合理措施继续施工，并及时通知发包人和监</w:t>
      </w:r>
      <w:r>
        <w:rPr>
          <w:spacing w:val="-8"/>
        </w:rPr>
        <w:t xml:space="preserve">理人。监理人经发包人同意后应当及时发出指示，指示构成变更的，按第 </w:t>
      </w:r>
      <w:r>
        <w:t>10</w:t>
      </w:r>
      <w:r>
        <w:rPr>
          <w:spacing w:val="-15"/>
        </w:rPr>
        <w:t xml:space="preserve"> 条〔变更〕约</w:t>
      </w:r>
      <w:r>
        <w:t>定办理。承包人因采取合理措施而增加的费用和（或）延误的工期由发包人承担。</w:t>
      </w:r>
    </w:p>
    <w:p>
      <w:pPr>
        <w:pStyle w:val="16"/>
        <w:numPr>
          <w:ilvl w:val="1"/>
          <w:numId w:val="35"/>
        </w:numPr>
        <w:tabs>
          <w:tab w:val="left" w:pos="1108"/>
        </w:tabs>
        <w:spacing w:before="0" w:after="0" w:line="307" w:lineRule="exact"/>
        <w:ind w:left="1108" w:right="0" w:hanging="480"/>
        <w:jc w:val="left"/>
        <w:rPr>
          <w:sz w:val="24"/>
        </w:rPr>
      </w:pPr>
      <w:r>
        <w:rPr>
          <w:sz w:val="24"/>
        </w:rPr>
        <w:t>暂停施工</w:t>
      </w:r>
    </w:p>
    <w:p>
      <w:pPr>
        <w:spacing w:after="0" w:line="307" w:lineRule="exact"/>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03" o:spid="_x0000_s1103" o:spt="20" style="position:absolute;left:0pt;margin-left:62.4pt;margin-top:12.25pt;height:0pt;width:400.4pt;mso-position-horizontal-relative:page;z-index:25175449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2"/>
          <w:numId w:val="35"/>
        </w:numPr>
        <w:tabs>
          <w:tab w:val="left" w:pos="1473"/>
        </w:tabs>
        <w:spacing w:before="67" w:after="0" w:line="240" w:lineRule="auto"/>
        <w:ind w:left="1472" w:right="0" w:hanging="661"/>
        <w:jc w:val="left"/>
        <w:rPr>
          <w:sz w:val="24"/>
        </w:rPr>
      </w:pPr>
      <w:r>
        <w:rPr>
          <w:sz w:val="24"/>
        </w:rPr>
        <w:t>发包人原因引起的暂停施工</w:t>
      </w:r>
    </w:p>
    <w:p>
      <w:pPr>
        <w:pStyle w:val="8"/>
        <w:spacing w:before="158" w:line="364" w:lineRule="auto"/>
        <w:ind w:left="388" w:right="624" w:firstLine="424"/>
      </w:pPr>
      <w:r>
        <w:t>因发包人原因引起暂停施工的，监理人经发包人同意后，应及时下达暂停施工指示。</w:t>
      </w:r>
      <w:r>
        <w:rPr>
          <w:spacing w:val="-5"/>
        </w:rPr>
        <w:t xml:space="preserve">情况紧急且监理人未及时下达暂停施工指示的，按照第 </w:t>
      </w:r>
      <w:r>
        <w:t>7.8.4</w:t>
      </w:r>
      <w:r>
        <w:rPr>
          <w:spacing w:val="-12"/>
        </w:rPr>
        <w:t xml:space="preserve"> 项〔紧急情况下的暂停施工〕</w:t>
      </w:r>
      <w:r>
        <w:t>执行。</w:t>
      </w:r>
    </w:p>
    <w:p>
      <w:pPr>
        <w:pStyle w:val="8"/>
        <w:spacing w:line="362" w:lineRule="auto"/>
        <w:ind w:left="388" w:right="852" w:firstLine="424"/>
      </w:pPr>
      <w:r>
        <w:t>因发包人原因引起的暂停施工，发包人应承担由此增加的费用和（或）延误的工期， 并支付承包人合理的利润。</w:t>
      </w:r>
    </w:p>
    <w:p>
      <w:pPr>
        <w:pStyle w:val="16"/>
        <w:numPr>
          <w:ilvl w:val="2"/>
          <w:numId w:val="35"/>
        </w:numPr>
        <w:tabs>
          <w:tab w:val="left" w:pos="1533"/>
        </w:tabs>
        <w:spacing w:before="4" w:after="0" w:line="240" w:lineRule="auto"/>
        <w:ind w:left="1532" w:right="0" w:hanging="721"/>
        <w:jc w:val="left"/>
        <w:rPr>
          <w:sz w:val="24"/>
        </w:rPr>
      </w:pPr>
      <w:r>
        <w:rPr>
          <w:sz w:val="24"/>
        </w:rPr>
        <w:t>承包人原因引起的暂停施工</w:t>
      </w:r>
    </w:p>
    <w:p>
      <w:pPr>
        <w:pStyle w:val="8"/>
        <w:spacing w:before="161" w:line="362" w:lineRule="auto"/>
        <w:ind w:left="388" w:right="798" w:firstLine="424"/>
        <w:jc w:val="both"/>
      </w:pPr>
      <w:r>
        <w:t xml:space="preserve">因承包人原因引起的暂停施工，承包人应承担由此增加的费用和（或）延误的工期， </w:t>
      </w:r>
      <w:r>
        <w:rPr>
          <w:spacing w:val="-4"/>
        </w:rPr>
        <w:t xml:space="preserve">且承包人在收到监理人复工指示后 </w:t>
      </w:r>
      <w:r>
        <w:t>84</w:t>
      </w:r>
      <w:r>
        <w:rPr>
          <w:spacing w:val="-12"/>
        </w:rPr>
        <w:t xml:space="preserve"> 天内仍未复工的，视为第 </w:t>
      </w:r>
      <w:r>
        <w:t>16.2.1</w:t>
      </w:r>
      <w:r>
        <w:rPr>
          <w:spacing w:val="-10"/>
        </w:rPr>
        <w:t xml:space="preserve"> 项〔承包人违约的</w:t>
      </w:r>
      <w:r>
        <w:t>情形〕第（7）目约定的承包人无法继续履行合同的情形。</w:t>
      </w:r>
    </w:p>
    <w:p>
      <w:pPr>
        <w:pStyle w:val="16"/>
        <w:numPr>
          <w:ilvl w:val="2"/>
          <w:numId w:val="35"/>
        </w:numPr>
        <w:tabs>
          <w:tab w:val="left" w:pos="1533"/>
        </w:tabs>
        <w:spacing w:before="6" w:after="0" w:line="240" w:lineRule="auto"/>
        <w:ind w:left="1532" w:right="0" w:hanging="721"/>
        <w:jc w:val="both"/>
        <w:rPr>
          <w:sz w:val="24"/>
        </w:rPr>
      </w:pPr>
      <w:r>
        <w:rPr>
          <w:sz w:val="24"/>
        </w:rPr>
        <w:t>指示暂停施工</w:t>
      </w:r>
    </w:p>
    <w:p>
      <w:pPr>
        <w:pStyle w:val="8"/>
        <w:spacing w:before="160" w:line="362" w:lineRule="auto"/>
        <w:ind w:left="388" w:right="852" w:firstLine="424"/>
      </w:pPr>
      <w:r>
        <w:t>监理人认为有必要时，并经发包人批准后，可向承包人作出暂停施工的指示，承包人应按监理人指示暂停施工。</w:t>
      </w:r>
    </w:p>
    <w:p>
      <w:pPr>
        <w:pStyle w:val="16"/>
        <w:numPr>
          <w:ilvl w:val="2"/>
          <w:numId w:val="35"/>
        </w:numPr>
        <w:tabs>
          <w:tab w:val="left" w:pos="1533"/>
        </w:tabs>
        <w:spacing w:before="5" w:after="0" w:line="240" w:lineRule="auto"/>
        <w:ind w:left="1532" w:right="0" w:hanging="721"/>
        <w:jc w:val="left"/>
        <w:rPr>
          <w:sz w:val="24"/>
        </w:rPr>
      </w:pPr>
      <w:r>
        <w:rPr>
          <w:sz w:val="24"/>
        </w:rPr>
        <w:t>紧急情况下的暂停施工</w:t>
      </w:r>
    </w:p>
    <w:p>
      <w:pPr>
        <w:pStyle w:val="8"/>
        <w:spacing w:before="158" w:line="364" w:lineRule="auto"/>
        <w:ind w:left="388" w:right="624" w:firstLine="424"/>
      </w:pPr>
      <w:r>
        <w:rPr>
          <w:spacing w:val="-3"/>
        </w:rPr>
        <w:t xml:space="preserve">因紧急情况需暂停施工，且监理人未及时下达暂停施工指示的，承包人可先暂停施工， </w:t>
      </w:r>
      <w:r>
        <w:rPr>
          <w:spacing w:val="-6"/>
        </w:rPr>
        <w:t xml:space="preserve">并及时通知监理人。监理人应在接到通知后 </w:t>
      </w:r>
      <w:r>
        <w:t>24</w:t>
      </w:r>
      <w:r>
        <w:rPr>
          <w:spacing w:val="-10"/>
        </w:rPr>
        <w:t xml:space="preserve"> 小时内发出指示，逾期未发出指示，视为同意承包人暂停施工。监理人不同意承包人暂停施工的，应说明理由，承包人对监理人的答</w:t>
      </w:r>
      <w:r>
        <w:rPr>
          <w:spacing w:val="-16"/>
        </w:rPr>
        <w:t xml:space="preserve">复有异议，按照第 </w:t>
      </w:r>
      <w:r>
        <w:t>20</w:t>
      </w:r>
      <w:r>
        <w:rPr>
          <w:spacing w:val="-8"/>
        </w:rPr>
        <w:t xml:space="preserve"> 条〔争议解决〕约定处理。</w:t>
      </w:r>
    </w:p>
    <w:p>
      <w:pPr>
        <w:pStyle w:val="16"/>
        <w:numPr>
          <w:ilvl w:val="2"/>
          <w:numId w:val="35"/>
        </w:numPr>
        <w:tabs>
          <w:tab w:val="left" w:pos="1533"/>
        </w:tabs>
        <w:spacing w:before="0" w:after="0" w:line="305" w:lineRule="exact"/>
        <w:ind w:left="1532" w:right="0" w:hanging="721"/>
        <w:jc w:val="left"/>
        <w:rPr>
          <w:sz w:val="24"/>
        </w:rPr>
      </w:pPr>
      <w:r>
        <w:rPr>
          <w:sz w:val="24"/>
        </w:rPr>
        <w:t>暂停施工后的复工</w:t>
      </w:r>
    </w:p>
    <w:p>
      <w:pPr>
        <w:pStyle w:val="8"/>
        <w:spacing w:before="161" w:line="364" w:lineRule="auto"/>
        <w:ind w:left="388" w:right="798" w:firstLine="424"/>
        <w:jc w:val="both"/>
      </w:pPr>
      <w: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pStyle w:val="8"/>
        <w:spacing w:line="364" w:lineRule="auto"/>
        <w:ind w:left="388" w:right="798" w:firstLine="424"/>
        <w:jc w:val="both"/>
      </w:pPr>
      <w:r>
        <w:t>承包人无故拖延和拒绝复工的，承包人承担由此增加的费用和（或）延误的工期；因</w:t>
      </w:r>
      <w:r>
        <w:rPr>
          <w:spacing w:val="-4"/>
        </w:rPr>
        <w:t xml:space="preserve">发包人原因无法按时复工的，按照第 </w:t>
      </w:r>
      <w:r>
        <w:t>7.5.1</w:t>
      </w:r>
      <w:r>
        <w:rPr>
          <w:spacing w:val="-9"/>
        </w:rPr>
        <w:t xml:space="preserve"> 项〔因发包人原因导致工期延误〕约定办理。</w:t>
      </w:r>
    </w:p>
    <w:p>
      <w:pPr>
        <w:pStyle w:val="16"/>
        <w:numPr>
          <w:ilvl w:val="2"/>
          <w:numId w:val="35"/>
        </w:numPr>
        <w:tabs>
          <w:tab w:val="left" w:pos="1533"/>
        </w:tabs>
        <w:spacing w:before="0" w:after="0" w:line="306" w:lineRule="exact"/>
        <w:ind w:left="1532" w:right="0" w:hanging="721"/>
        <w:jc w:val="both"/>
        <w:rPr>
          <w:sz w:val="24"/>
        </w:rPr>
      </w:pPr>
      <w:r>
        <w:rPr>
          <w:spacing w:val="-9"/>
          <w:sz w:val="24"/>
        </w:rPr>
        <w:t xml:space="preserve">暂停施工持续 </w:t>
      </w:r>
      <w:r>
        <w:rPr>
          <w:sz w:val="24"/>
        </w:rPr>
        <w:t>56</w:t>
      </w:r>
      <w:r>
        <w:rPr>
          <w:spacing w:val="-15"/>
          <w:sz w:val="24"/>
        </w:rPr>
        <w:t xml:space="preserve"> 天以上</w:t>
      </w:r>
    </w:p>
    <w:p>
      <w:pPr>
        <w:pStyle w:val="8"/>
        <w:spacing w:before="156"/>
        <w:ind w:right="744"/>
        <w:jc w:val="right"/>
      </w:pPr>
      <w:r>
        <w:rPr>
          <w:spacing w:val="3"/>
        </w:rPr>
        <w:t>监理人发出暂停施工指示后</w:t>
      </w:r>
      <w:r>
        <w:t>56</w:t>
      </w:r>
      <w:r>
        <w:rPr>
          <w:spacing w:val="-14"/>
        </w:rPr>
        <w:t xml:space="preserve"> 天内未向承包人发出复工通知，除该项停工属于第</w:t>
      </w:r>
      <w:r>
        <w:t>7.8.2</w:t>
      </w:r>
    </w:p>
    <w:p>
      <w:pPr>
        <w:pStyle w:val="8"/>
        <w:spacing w:before="160"/>
        <w:ind w:right="744"/>
        <w:jc w:val="right"/>
      </w:pPr>
      <w:r>
        <w:rPr>
          <w:spacing w:val="-9"/>
        </w:rPr>
        <w:t xml:space="preserve">项〔承包人原因引起的暂停施工〕及第 </w:t>
      </w:r>
      <w:r>
        <w:t>17</w:t>
      </w:r>
      <w:r>
        <w:rPr>
          <w:spacing w:val="-11"/>
        </w:rPr>
        <w:t xml:space="preserve"> 条〔不可抗力〕约定的情形外，承包人可向发包</w:t>
      </w:r>
    </w:p>
    <w:p>
      <w:pPr>
        <w:pStyle w:val="8"/>
        <w:spacing w:before="161"/>
        <w:ind w:right="744"/>
        <w:jc w:val="right"/>
      </w:pPr>
      <w:r>
        <w:rPr>
          <w:spacing w:val="-11"/>
        </w:rPr>
        <w:t xml:space="preserve">人提交书面通知，要求发包人在收到书面通知后 </w:t>
      </w:r>
      <w:r>
        <w:t>28</w:t>
      </w:r>
      <w:r>
        <w:rPr>
          <w:spacing w:val="-8"/>
        </w:rPr>
        <w:t xml:space="preserve"> 天内准许已暂停施工的部分或全部工程</w:t>
      </w:r>
    </w:p>
    <w:p>
      <w:pPr>
        <w:spacing w:after="0"/>
        <w:jc w:val="right"/>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04" o:spid="_x0000_s1104" o:spt="20" style="position:absolute;left:0pt;margin-left:62.4pt;margin-top:12.25pt;height:0pt;width:400.4pt;mso-position-horizontal-relative:page;z-index:25175552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2" w:lineRule="auto"/>
        <w:ind w:left="388" w:right="798"/>
      </w:pPr>
      <w:r>
        <w:t>继续施工。发包人逾期不予批准的，则承包人可以通知发包人，将工程受影响的部分视为按第 10.1 款〔变更的范围〕第（2）项的可取消工作。</w:t>
      </w:r>
    </w:p>
    <w:p>
      <w:pPr>
        <w:pStyle w:val="8"/>
        <w:spacing w:before="5" w:line="362" w:lineRule="auto"/>
        <w:ind w:left="388" w:right="624" w:firstLine="424"/>
      </w:pPr>
      <w:r>
        <w:rPr>
          <w:spacing w:val="-9"/>
        </w:rPr>
        <w:t xml:space="preserve">暂停施工持续 </w:t>
      </w:r>
      <w:r>
        <w:t>84</w:t>
      </w:r>
      <w:r>
        <w:rPr>
          <w:spacing w:val="-16"/>
        </w:rPr>
        <w:t xml:space="preserve"> 天以上不复工的，且不属于第 </w:t>
      </w:r>
      <w:r>
        <w:t>7.8.2</w:t>
      </w:r>
      <w:r>
        <w:rPr>
          <w:spacing w:val="-13"/>
        </w:rPr>
        <w:t xml:space="preserve"> 项〔承包人原因引起的暂停施工〕</w:t>
      </w:r>
      <w:r>
        <w:rPr>
          <w:spacing w:val="-20"/>
        </w:rPr>
        <w:t xml:space="preserve">及第 </w:t>
      </w:r>
      <w:r>
        <w:t>17</w:t>
      </w:r>
      <w:r>
        <w:rPr>
          <w:spacing w:val="-13"/>
        </w:rPr>
        <w:t xml:space="preserve"> 条〔不可抗力〕约定的情形，并影响到整个工程以及合同目的实现的，承包人有权</w:t>
      </w:r>
    </w:p>
    <w:p>
      <w:pPr>
        <w:pStyle w:val="8"/>
        <w:spacing w:before="5" w:line="362" w:lineRule="auto"/>
        <w:ind w:left="388" w:right="744"/>
      </w:pPr>
      <w:r>
        <w:rPr>
          <w:spacing w:val="-8"/>
        </w:rPr>
        <w:t xml:space="preserve">提出价格调整要求，或者解除合同。解除合同的，按照第 </w:t>
      </w:r>
      <w:r>
        <w:t>16.1.3</w:t>
      </w:r>
      <w:r>
        <w:rPr>
          <w:spacing w:val="-10"/>
        </w:rPr>
        <w:t xml:space="preserve"> 项〔因发包人违约解除合</w:t>
      </w:r>
      <w:r>
        <w:t>同〕执行。</w:t>
      </w:r>
    </w:p>
    <w:p>
      <w:pPr>
        <w:pStyle w:val="16"/>
        <w:numPr>
          <w:ilvl w:val="2"/>
          <w:numId w:val="35"/>
        </w:numPr>
        <w:tabs>
          <w:tab w:val="left" w:pos="1533"/>
        </w:tabs>
        <w:spacing w:before="5" w:after="0" w:line="240" w:lineRule="auto"/>
        <w:ind w:left="1532" w:right="0" w:hanging="721"/>
        <w:jc w:val="left"/>
        <w:rPr>
          <w:sz w:val="24"/>
        </w:rPr>
      </w:pPr>
      <w:r>
        <w:rPr>
          <w:sz w:val="24"/>
        </w:rPr>
        <w:t>暂停施工期间的工程照管</w:t>
      </w:r>
    </w:p>
    <w:p>
      <w:pPr>
        <w:pStyle w:val="8"/>
        <w:spacing w:before="160" w:line="362" w:lineRule="auto"/>
        <w:ind w:left="388" w:right="852" w:firstLine="424"/>
      </w:pPr>
      <w:r>
        <w:t>暂停施工期间，承包人应负责妥善照管工程并提供安全保障，由此增加的费用由责任方承担。</w:t>
      </w:r>
    </w:p>
    <w:p>
      <w:pPr>
        <w:pStyle w:val="16"/>
        <w:numPr>
          <w:ilvl w:val="2"/>
          <w:numId w:val="35"/>
        </w:numPr>
        <w:tabs>
          <w:tab w:val="left" w:pos="1533"/>
        </w:tabs>
        <w:spacing w:before="3" w:after="0" w:line="240" w:lineRule="auto"/>
        <w:ind w:left="1532" w:right="0" w:hanging="721"/>
        <w:jc w:val="left"/>
        <w:rPr>
          <w:sz w:val="24"/>
        </w:rPr>
      </w:pPr>
      <w:r>
        <w:rPr>
          <w:sz w:val="24"/>
        </w:rPr>
        <w:t>暂停施工的措施</w:t>
      </w:r>
    </w:p>
    <w:p>
      <w:pPr>
        <w:pStyle w:val="8"/>
        <w:spacing w:before="160" w:line="364" w:lineRule="auto"/>
        <w:ind w:left="388" w:right="852" w:firstLine="424"/>
      </w:pPr>
      <w:r>
        <w:t>暂停施工期间，发包人和承包人均应采取必要的措施确保工程质量及安全，防止因暂停施工扩大损失。</w:t>
      </w:r>
    </w:p>
    <w:p>
      <w:pPr>
        <w:pStyle w:val="16"/>
        <w:numPr>
          <w:ilvl w:val="1"/>
          <w:numId w:val="35"/>
        </w:numPr>
        <w:tabs>
          <w:tab w:val="left" w:pos="1168"/>
        </w:tabs>
        <w:spacing w:before="0" w:after="0" w:line="306" w:lineRule="exact"/>
        <w:ind w:left="1168" w:right="0" w:hanging="420"/>
        <w:jc w:val="left"/>
        <w:rPr>
          <w:sz w:val="24"/>
        </w:rPr>
      </w:pPr>
      <w:r>
        <w:rPr>
          <w:sz w:val="24"/>
        </w:rPr>
        <w:t>提前竣工</w:t>
      </w:r>
    </w:p>
    <w:p>
      <w:pPr>
        <w:pStyle w:val="16"/>
        <w:numPr>
          <w:ilvl w:val="2"/>
          <w:numId w:val="35"/>
        </w:numPr>
        <w:tabs>
          <w:tab w:val="left" w:pos="1533"/>
        </w:tabs>
        <w:spacing w:before="161" w:after="0" w:line="364" w:lineRule="auto"/>
        <w:ind w:left="388" w:right="624" w:firstLine="424"/>
        <w:jc w:val="left"/>
        <w:rPr>
          <w:sz w:val="24"/>
        </w:rPr>
      </w:pPr>
      <w:r>
        <w:rPr>
          <w:sz w:val="24"/>
        </w:rPr>
        <w:t>发包人要求承包人提前竣工的，发包人应通过监理人向承包人下达提前竣工指</w:t>
      </w:r>
      <w:r>
        <w:rPr>
          <w:spacing w:val="-9"/>
          <w:sz w:val="24"/>
        </w:rPr>
        <w:t>示，承包人应向发包人和监理人提交提前竣工建议书，提前竣工建议书应包括实施的方案、</w:t>
      </w:r>
      <w:r>
        <w:rPr>
          <w:sz w:val="24"/>
        </w:rPr>
        <w:t>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w:t>
      </w:r>
      <w:r>
        <w:rPr>
          <w:spacing w:val="-5"/>
          <w:sz w:val="24"/>
        </w:rPr>
        <w:t xml:space="preserve">人和监理人应在收到异议后 </w:t>
      </w:r>
      <w:r>
        <w:rPr>
          <w:sz w:val="24"/>
        </w:rPr>
        <w:t>7</w:t>
      </w:r>
      <w:r>
        <w:rPr>
          <w:spacing w:val="-8"/>
          <w:sz w:val="24"/>
        </w:rPr>
        <w:t xml:space="preserve"> 天内予以答复。任何情况下，发包人不得压缩合理工期。</w:t>
      </w:r>
    </w:p>
    <w:p>
      <w:pPr>
        <w:pStyle w:val="16"/>
        <w:numPr>
          <w:ilvl w:val="2"/>
          <w:numId w:val="35"/>
        </w:numPr>
        <w:tabs>
          <w:tab w:val="left" w:pos="1533"/>
        </w:tabs>
        <w:spacing w:before="0" w:after="0" w:line="362" w:lineRule="auto"/>
        <w:ind w:left="388" w:right="852" w:firstLine="424"/>
        <w:jc w:val="left"/>
        <w:rPr>
          <w:sz w:val="24"/>
        </w:rPr>
      </w:pPr>
      <w:r>
        <w:rPr>
          <w:spacing w:val="-1"/>
          <w:sz w:val="24"/>
        </w:rPr>
        <w:t>发包人要求承包人提前竣工，或承包人提出提前竣工的建议能够给发包人带来</w:t>
      </w:r>
      <w:r>
        <w:rPr>
          <w:sz w:val="24"/>
        </w:rPr>
        <w:t>效益的，合同当事人可以在专用合同条款中约定提前竣工的奖励。</w:t>
      </w:r>
    </w:p>
    <w:p>
      <w:pPr>
        <w:pStyle w:val="16"/>
        <w:numPr>
          <w:ilvl w:val="0"/>
          <w:numId w:val="35"/>
        </w:numPr>
        <w:tabs>
          <w:tab w:val="left" w:pos="748"/>
        </w:tabs>
        <w:spacing w:before="1" w:after="0" w:line="240" w:lineRule="auto"/>
        <w:ind w:left="748" w:right="0" w:hanging="360"/>
        <w:jc w:val="left"/>
        <w:outlineLvl w:val="2"/>
        <w:rPr>
          <w:sz w:val="24"/>
        </w:rPr>
      </w:pPr>
      <w:r>
        <w:rPr>
          <w:sz w:val="24"/>
        </w:rPr>
        <w:t>材料与设备</w:t>
      </w:r>
    </w:p>
    <w:p>
      <w:pPr>
        <w:pStyle w:val="16"/>
        <w:numPr>
          <w:ilvl w:val="1"/>
          <w:numId w:val="35"/>
        </w:numPr>
        <w:tabs>
          <w:tab w:val="left" w:pos="1048"/>
        </w:tabs>
        <w:spacing w:before="161" w:after="0" w:line="240" w:lineRule="auto"/>
        <w:ind w:left="1048" w:right="0" w:hanging="420"/>
        <w:jc w:val="both"/>
        <w:rPr>
          <w:sz w:val="24"/>
        </w:rPr>
      </w:pPr>
      <w:r>
        <w:rPr>
          <w:sz w:val="24"/>
        </w:rPr>
        <w:t>发包人供应材料与工程设备</w:t>
      </w:r>
    </w:p>
    <w:p>
      <w:pPr>
        <w:pStyle w:val="8"/>
        <w:spacing w:before="158" w:line="364" w:lineRule="auto"/>
        <w:ind w:left="388" w:right="798" w:firstLine="424"/>
        <w:jc w:val="both"/>
      </w:pPr>
      <w:r>
        <w:t>发包人自行供应材料、工程设备的，应在签订合同时在专用合同条款的附件《发包人供应材料设备一览表》中明确材料、工程设备的品种、规格、型号、数量、单价、质量等级和送达地点。</w:t>
      </w:r>
    </w:p>
    <w:p>
      <w:pPr>
        <w:pStyle w:val="8"/>
        <w:spacing w:line="304" w:lineRule="exact"/>
        <w:ind w:left="812"/>
        <w:jc w:val="both"/>
      </w:pPr>
      <w:r>
        <w:t>承包人应提前 30 天通过监理人以书面形式通知发包人供应材料与工程设备进场。承包</w:t>
      </w:r>
    </w:p>
    <w:p>
      <w:pPr>
        <w:pStyle w:val="8"/>
        <w:spacing w:before="160" w:line="364" w:lineRule="auto"/>
        <w:ind w:left="388" w:right="798"/>
        <w:jc w:val="both"/>
      </w:pPr>
      <w:r>
        <w:rPr>
          <w:spacing w:val="-12"/>
        </w:rPr>
        <w:t xml:space="preserve">人按照第 </w:t>
      </w:r>
      <w:r>
        <w:t>7.2.2</w:t>
      </w:r>
      <w:r>
        <w:rPr>
          <w:spacing w:val="-9"/>
        </w:rPr>
        <w:t xml:space="preserve"> 项〔施工进度计划的修订〕约定修订施工进度计划时，需同时提交经修订</w:t>
      </w:r>
      <w:r>
        <w:t>后的发包人供应材料与工程设备的进场计划。</w:t>
      </w:r>
    </w:p>
    <w:p>
      <w:pPr>
        <w:pStyle w:val="16"/>
        <w:numPr>
          <w:ilvl w:val="1"/>
          <w:numId w:val="35"/>
        </w:numPr>
        <w:tabs>
          <w:tab w:val="left" w:pos="1048"/>
        </w:tabs>
        <w:spacing w:before="0" w:after="0" w:line="306" w:lineRule="exact"/>
        <w:ind w:left="1048" w:right="0" w:hanging="420"/>
        <w:jc w:val="both"/>
        <w:rPr>
          <w:sz w:val="24"/>
        </w:rPr>
      </w:pPr>
      <w:r>
        <w:rPr>
          <w:sz w:val="24"/>
        </w:rPr>
        <w:t>承包人采购材料与工程设备</w:t>
      </w:r>
    </w:p>
    <w:p>
      <w:pPr>
        <w:spacing w:after="0" w:line="306" w:lineRule="exact"/>
        <w:jc w:val="both"/>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05" o:spid="_x0000_s1105" o:spt="20" style="position:absolute;left:0pt;margin-left:62.4pt;margin-top:12.25pt;height:0pt;width:400.4pt;mso-position-horizontal-relative:page;z-index:25175654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4" w:lineRule="auto"/>
        <w:ind w:left="388" w:right="798" w:firstLine="424"/>
        <w:jc w:val="both"/>
      </w:pPr>
      <w:r>
        <w:t>承包人负责采购材料、工程设备的，应按照设计和有关标准要求采购，并提供产品合格证明及出厂证明，对材料、工程设备质量负责。合同约定由承包人采购的材料、工程设备，发包人不得指定生产厂家或磋商响应人，发包人违反本款约定指定生产厂家或磋商响应人的，承包人有权拒绝，并由发包人承担相应责任。</w:t>
      </w:r>
    </w:p>
    <w:p>
      <w:pPr>
        <w:pStyle w:val="16"/>
        <w:numPr>
          <w:ilvl w:val="1"/>
          <w:numId w:val="35"/>
        </w:numPr>
        <w:tabs>
          <w:tab w:val="left" w:pos="1048"/>
        </w:tabs>
        <w:spacing w:before="0" w:after="0" w:line="305" w:lineRule="exact"/>
        <w:ind w:left="1048" w:right="0" w:hanging="420"/>
        <w:jc w:val="both"/>
        <w:rPr>
          <w:sz w:val="24"/>
        </w:rPr>
      </w:pPr>
      <w:r>
        <w:rPr>
          <w:sz w:val="24"/>
        </w:rPr>
        <w:t>材料与工程设备的接收与拒收</w:t>
      </w:r>
    </w:p>
    <w:p>
      <w:pPr>
        <w:pStyle w:val="16"/>
        <w:numPr>
          <w:ilvl w:val="2"/>
          <w:numId w:val="35"/>
        </w:numPr>
        <w:tabs>
          <w:tab w:val="left" w:pos="1533"/>
        </w:tabs>
        <w:spacing w:before="158" w:after="0" w:line="364" w:lineRule="auto"/>
        <w:ind w:left="388" w:right="744" w:firstLine="424"/>
        <w:jc w:val="left"/>
        <w:rPr>
          <w:sz w:val="24"/>
        </w:rPr>
      </w:pPr>
      <w:r>
        <w:rPr>
          <w:sz w:val="24"/>
        </w:rPr>
        <w:t xml:space="preserve">发包人应按《发包人供应材料设备一览表》约定的内容提供材料和工程设备， </w:t>
      </w:r>
      <w:r>
        <w:rPr>
          <w:spacing w:val="-6"/>
          <w:sz w:val="24"/>
        </w:rPr>
        <w:t xml:space="preserve">并向承包人提供产品合格证明及出厂证明，对其质量负责。发包人应提前 </w:t>
      </w:r>
      <w:r>
        <w:rPr>
          <w:sz w:val="24"/>
        </w:rPr>
        <w:t>24</w:t>
      </w:r>
      <w:r>
        <w:rPr>
          <w:spacing w:val="-11"/>
          <w:sz w:val="24"/>
        </w:rPr>
        <w:t xml:space="preserve"> 小时以书面形</w:t>
      </w:r>
      <w:r>
        <w:rPr>
          <w:sz w:val="24"/>
        </w:rPr>
        <w:t>式通知承包人、监理人材料和工程设备到货时间，承包人负责材料和工程设备的清点、检验和接收。</w:t>
      </w:r>
    </w:p>
    <w:p>
      <w:pPr>
        <w:pStyle w:val="8"/>
        <w:spacing w:line="364" w:lineRule="auto"/>
        <w:ind w:left="388" w:right="678" w:firstLine="424"/>
      </w:pPr>
      <w:r>
        <w:t>发包人提供的材料和工程设备的规格、数量或质量不符合合同约定的，或因发包人原</w:t>
      </w:r>
      <w:r>
        <w:rPr>
          <w:spacing w:val="-3"/>
        </w:rPr>
        <w:t xml:space="preserve">因导致交货日期延误或交货地点变更等情况的，按照第 </w:t>
      </w:r>
      <w:r>
        <w:t>16.1</w:t>
      </w:r>
      <w:r>
        <w:rPr>
          <w:spacing w:val="-9"/>
        </w:rPr>
        <w:t xml:space="preserve"> 款〔发包人违约〕约定办理。</w:t>
      </w:r>
    </w:p>
    <w:p>
      <w:pPr>
        <w:pStyle w:val="16"/>
        <w:numPr>
          <w:ilvl w:val="2"/>
          <w:numId w:val="35"/>
        </w:numPr>
        <w:tabs>
          <w:tab w:val="left" w:pos="1533"/>
        </w:tabs>
        <w:spacing w:before="0" w:after="0" w:line="364" w:lineRule="auto"/>
        <w:ind w:left="388" w:right="744" w:firstLine="424"/>
        <w:jc w:val="left"/>
        <w:rPr>
          <w:sz w:val="24"/>
        </w:rPr>
      </w:pPr>
      <w:r>
        <w:rPr>
          <w:sz w:val="24"/>
        </w:rPr>
        <w:t>承包人采购的材料和工程设备，应保证产品质量合格，承包人应在材料和工程</w:t>
      </w:r>
      <w:r>
        <w:rPr>
          <w:spacing w:val="-10"/>
          <w:sz w:val="24"/>
        </w:rPr>
        <w:t xml:space="preserve">设备到货前 </w:t>
      </w:r>
      <w:r>
        <w:rPr>
          <w:sz w:val="24"/>
        </w:rPr>
        <w:t>24</w:t>
      </w:r>
      <w:r>
        <w:rPr>
          <w:spacing w:val="-13"/>
          <w:sz w:val="24"/>
        </w:rPr>
        <w:t xml:space="preserve"> 小时通知监理人检验。承包人进行永久设备、材料的制造和生产的，应符合</w:t>
      </w:r>
      <w:r>
        <w:rPr>
          <w:sz w:val="24"/>
        </w:rPr>
        <w:t>相关质量标准，并向监理人提交材料的样本以及有关资料，并应在使用该材料或工程设备之前获得监理人同意。</w:t>
      </w:r>
    </w:p>
    <w:p>
      <w:pPr>
        <w:pStyle w:val="8"/>
        <w:spacing w:line="364" w:lineRule="auto"/>
        <w:ind w:left="388" w:right="744" w:firstLine="544"/>
        <w:jc w:val="both"/>
      </w:pPr>
      <w:r>
        <w:rPr>
          <w:spacing w:val="-2"/>
        </w:rPr>
        <w:t>承包人采购的材料和工程设备不符合设计或有关标准要求时，承包人应在监理人要求</w:t>
      </w:r>
      <w:r>
        <w:t>的合理期限内将不符合设计或有关标准要求的材料、工程设备运出施工现场，并重新采购符合要求的材料、工程设备，由此增加的费用和（或）延误的工期，由承包人承担。</w:t>
      </w:r>
    </w:p>
    <w:p>
      <w:pPr>
        <w:pStyle w:val="16"/>
        <w:numPr>
          <w:ilvl w:val="1"/>
          <w:numId w:val="35"/>
        </w:numPr>
        <w:tabs>
          <w:tab w:val="left" w:pos="1048"/>
        </w:tabs>
        <w:spacing w:before="0" w:after="0" w:line="304" w:lineRule="exact"/>
        <w:ind w:left="1048" w:right="0" w:hanging="420"/>
        <w:jc w:val="both"/>
        <w:rPr>
          <w:sz w:val="24"/>
        </w:rPr>
      </w:pPr>
      <w:r>
        <w:rPr>
          <w:sz w:val="24"/>
        </w:rPr>
        <w:t>材料与工程设备的保管与使用</w:t>
      </w:r>
    </w:p>
    <w:p>
      <w:pPr>
        <w:pStyle w:val="16"/>
        <w:numPr>
          <w:ilvl w:val="2"/>
          <w:numId w:val="35"/>
        </w:numPr>
        <w:tabs>
          <w:tab w:val="left" w:pos="1533"/>
        </w:tabs>
        <w:spacing w:before="157" w:after="0" w:line="240" w:lineRule="auto"/>
        <w:ind w:left="1532" w:right="0" w:hanging="721"/>
        <w:jc w:val="both"/>
        <w:rPr>
          <w:sz w:val="24"/>
        </w:rPr>
      </w:pPr>
      <w:r>
        <w:rPr>
          <w:sz w:val="24"/>
        </w:rPr>
        <w:t>发包人供应材料与工程设备的保管与使用</w:t>
      </w:r>
    </w:p>
    <w:p>
      <w:pPr>
        <w:pStyle w:val="8"/>
        <w:spacing w:before="158" w:line="364" w:lineRule="auto"/>
        <w:ind w:left="388" w:right="798" w:firstLine="424"/>
        <w:jc w:val="both"/>
      </w:pPr>
      <w: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pStyle w:val="8"/>
        <w:spacing w:line="362" w:lineRule="auto"/>
        <w:ind w:left="388" w:right="852" w:firstLine="424"/>
      </w:pPr>
      <w:r>
        <w:t>发包人供应的材料和工程设备使用前，由承包人负责检验，检验费用由发包人承担， 不合格的不得使用。</w:t>
      </w:r>
    </w:p>
    <w:p>
      <w:pPr>
        <w:pStyle w:val="16"/>
        <w:numPr>
          <w:ilvl w:val="2"/>
          <w:numId w:val="35"/>
        </w:numPr>
        <w:tabs>
          <w:tab w:val="left" w:pos="1533"/>
        </w:tabs>
        <w:spacing w:before="2" w:after="0" w:line="240" w:lineRule="auto"/>
        <w:ind w:left="1532" w:right="0" w:hanging="721"/>
        <w:jc w:val="left"/>
        <w:rPr>
          <w:sz w:val="24"/>
        </w:rPr>
      </w:pPr>
      <w:r>
        <w:rPr>
          <w:sz w:val="24"/>
        </w:rPr>
        <w:t>承包人采购材料与工程设备的保管与使用</w:t>
      </w:r>
    </w:p>
    <w:p>
      <w:pPr>
        <w:pStyle w:val="8"/>
        <w:spacing w:before="161" w:line="364" w:lineRule="auto"/>
        <w:ind w:left="388" w:right="624" w:firstLine="424"/>
      </w:pPr>
      <w:r>
        <w:t>承包人采购的材料和工程设备由承包人妥善保管，保管费用由承包人承担。法律规定</w:t>
      </w:r>
      <w:r>
        <w:rPr>
          <w:spacing w:val="-5"/>
        </w:rPr>
        <w:t xml:space="preserve">材料和工程设备使用前必须进行检验或试验的，承包人应按监理人的要求进行检验或试验， </w:t>
      </w:r>
      <w:r>
        <w:t>检验或试验费用由承包人承担，不合格的不得使用。</w:t>
      </w:r>
    </w:p>
    <w:p>
      <w:pPr>
        <w:spacing w:after="0" w:line="364" w:lineRule="auto"/>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06" o:spid="_x0000_s1106" o:spt="20" style="position:absolute;left:0pt;margin-left:62.4pt;margin-top:12.25pt;height:0pt;width:400.4pt;mso-position-horizontal-relative:page;z-index:25175756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4" w:lineRule="auto"/>
        <w:ind w:left="388" w:right="798" w:firstLine="424"/>
        <w:jc w:val="both"/>
      </w:pPr>
      <w:r>
        <w:t>发包人或监理人发现承包人使用不符合设计或有关标准要求的材料和工程设备时，有权要求承包人进行修复、拆除或重新采购，由此增加的费用和（或）延误的工期，由承包人承担。</w:t>
      </w:r>
    </w:p>
    <w:p>
      <w:pPr>
        <w:pStyle w:val="16"/>
        <w:numPr>
          <w:ilvl w:val="1"/>
          <w:numId w:val="35"/>
        </w:numPr>
        <w:tabs>
          <w:tab w:val="left" w:pos="1048"/>
        </w:tabs>
        <w:spacing w:before="0" w:after="0" w:line="304" w:lineRule="exact"/>
        <w:ind w:left="1048" w:right="0" w:hanging="420"/>
        <w:jc w:val="both"/>
        <w:rPr>
          <w:sz w:val="24"/>
        </w:rPr>
      </w:pPr>
      <w:r>
        <w:rPr>
          <w:sz w:val="24"/>
        </w:rPr>
        <w:t>禁止使用不合格的材料和工程设备</w:t>
      </w:r>
    </w:p>
    <w:p>
      <w:pPr>
        <w:pStyle w:val="16"/>
        <w:numPr>
          <w:ilvl w:val="2"/>
          <w:numId w:val="35"/>
        </w:numPr>
        <w:tabs>
          <w:tab w:val="left" w:pos="1533"/>
        </w:tabs>
        <w:spacing w:before="160" w:after="0" w:line="364" w:lineRule="auto"/>
        <w:ind w:left="388" w:right="798" w:firstLine="424"/>
        <w:jc w:val="both"/>
        <w:rPr>
          <w:sz w:val="24"/>
        </w:rPr>
      </w:pPr>
      <w:r>
        <w:rPr>
          <w:sz w:val="24"/>
        </w:rPr>
        <w:t>监理人有权拒绝承包人提供的不合格材料或工程设备，并要求承包人立即进行更换。监理人应在更换后再次进行检查和检验，由此增加的费用和（或）</w:t>
      </w:r>
      <w:r>
        <w:rPr>
          <w:spacing w:val="-3"/>
          <w:sz w:val="24"/>
        </w:rPr>
        <w:t>延误的工期由承</w:t>
      </w:r>
      <w:r>
        <w:rPr>
          <w:sz w:val="24"/>
        </w:rPr>
        <w:t>包人承担。</w:t>
      </w:r>
    </w:p>
    <w:p>
      <w:pPr>
        <w:pStyle w:val="16"/>
        <w:numPr>
          <w:ilvl w:val="2"/>
          <w:numId w:val="35"/>
        </w:numPr>
        <w:tabs>
          <w:tab w:val="left" w:pos="1533"/>
        </w:tabs>
        <w:spacing w:before="0" w:after="0" w:line="362" w:lineRule="auto"/>
        <w:ind w:left="388" w:right="852" w:firstLine="424"/>
        <w:jc w:val="both"/>
        <w:rPr>
          <w:sz w:val="24"/>
        </w:rPr>
      </w:pPr>
      <w:r>
        <w:rPr>
          <w:spacing w:val="-1"/>
          <w:sz w:val="24"/>
        </w:rPr>
        <w:t>监理人发现承包人使用了不合格的材料和工程设备，承包人应按照监理人的指</w:t>
      </w:r>
      <w:r>
        <w:rPr>
          <w:sz w:val="24"/>
        </w:rPr>
        <w:t>示立即改正，并禁止在工程中继续使用不合格的材料和工程设备。</w:t>
      </w:r>
    </w:p>
    <w:p>
      <w:pPr>
        <w:pStyle w:val="16"/>
        <w:numPr>
          <w:ilvl w:val="2"/>
          <w:numId w:val="35"/>
        </w:numPr>
        <w:tabs>
          <w:tab w:val="left" w:pos="1533"/>
        </w:tabs>
        <w:spacing w:before="2" w:after="0" w:line="364" w:lineRule="auto"/>
        <w:ind w:left="388" w:right="798" w:firstLine="424"/>
        <w:jc w:val="both"/>
        <w:rPr>
          <w:sz w:val="24"/>
        </w:rPr>
      </w:pPr>
      <w:r>
        <w:rPr>
          <w:sz w:val="24"/>
        </w:rPr>
        <w:t>发包人提供的材料或工程设备不符合合同要求的，承包人有权拒绝，并可要求发包人更换，由此增加的费用和（或）</w:t>
      </w:r>
      <w:r>
        <w:rPr>
          <w:spacing w:val="-1"/>
          <w:sz w:val="24"/>
        </w:rPr>
        <w:t>延误的工期由发包人承担，并支付承包人合理的利</w:t>
      </w:r>
      <w:r>
        <w:rPr>
          <w:sz w:val="24"/>
        </w:rPr>
        <w:t>润。</w:t>
      </w:r>
    </w:p>
    <w:p>
      <w:pPr>
        <w:pStyle w:val="16"/>
        <w:numPr>
          <w:ilvl w:val="1"/>
          <w:numId w:val="35"/>
        </w:numPr>
        <w:tabs>
          <w:tab w:val="left" w:pos="1108"/>
        </w:tabs>
        <w:spacing w:before="0" w:after="0" w:line="307" w:lineRule="exact"/>
        <w:ind w:left="1108" w:right="0" w:hanging="480"/>
        <w:jc w:val="both"/>
        <w:rPr>
          <w:sz w:val="24"/>
        </w:rPr>
      </w:pPr>
      <w:r>
        <w:rPr>
          <w:sz w:val="24"/>
        </w:rPr>
        <w:t>样品</w:t>
      </w:r>
    </w:p>
    <w:p>
      <w:pPr>
        <w:pStyle w:val="16"/>
        <w:numPr>
          <w:ilvl w:val="2"/>
          <w:numId w:val="35"/>
        </w:numPr>
        <w:tabs>
          <w:tab w:val="left" w:pos="1647"/>
          <w:tab w:val="left" w:pos="1648"/>
        </w:tabs>
        <w:spacing w:before="161" w:after="0" w:line="240" w:lineRule="auto"/>
        <w:ind w:left="1648" w:right="0" w:hanging="836"/>
        <w:jc w:val="left"/>
        <w:rPr>
          <w:sz w:val="24"/>
        </w:rPr>
      </w:pPr>
      <w:r>
        <w:rPr>
          <w:sz w:val="24"/>
        </w:rPr>
        <w:t>样品的报送与封存</w:t>
      </w:r>
    </w:p>
    <w:p>
      <w:pPr>
        <w:pStyle w:val="8"/>
        <w:spacing w:before="158" w:line="364" w:lineRule="auto"/>
        <w:ind w:left="388" w:right="852" w:firstLine="424"/>
      </w:pPr>
      <w:r>
        <w:t>需要承包人报送样品的材料或工程设备，样品的种类、名称、规格、数量等要求均应在专用合同条款中约定。样品的报送程序如下：</w:t>
      </w:r>
    </w:p>
    <w:p>
      <w:pPr>
        <w:pStyle w:val="16"/>
        <w:numPr>
          <w:ilvl w:val="0"/>
          <w:numId w:val="45"/>
        </w:numPr>
        <w:tabs>
          <w:tab w:val="left" w:pos="1414"/>
        </w:tabs>
        <w:spacing w:before="0" w:after="0" w:line="364" w:lineRule="auto"/>
        <w:ind w:left="388" w:right="624" w:firstLine="424"/>
        <w:jc w:val="left"/>
        <w:rPr>
          <w:sz w:val="24"/>
        </w:rPr>
      </w:pPr>
      <w:r>
        <w:rPr>
          <w:spacing w:val="-6"/>
          <w:sz w:val="24"/>
        </w:rPr>
        <w:t xml:space="preserve">承包人应在计划采购前 </w:t>
      </w:r>
      <w:r>
        <w:rPr>
          <w:sz w:val="24"/>
        </w:rPr>
        <w:t>28</w:t>
      </w:r>
      <w:r>
        <w:rPr>
          <w:spacing w:val="-8"/>
          <w:sz w:val="24"/>
        </w:rPr>
        <w:t xml:space="preserve"> 天向监理人报送样品。承包人报送的样品均应来自供</w:t>
      </w:r>
      <w:r>
        <w:rPr>
          <w:spacing w:val="-13"/>
          <w:sz w:val="24"/>
        </w:rPr>
        <w:t>应材料的实际生产地，且提供的样品的规格、数量足以表明材料或工程设备的质量、型号、</w:t>
      </w:r>
      <w:r>
        <w:rPr>
          <w:sz w:val="24"/>
        </w:rPr>
        <w:t>颜色、表面处理、质地、误差和其他要求的特征。</w:t>
      </w:r>
    </w:p>
    <w:p>
      <w:pPr>
        <w:pStyle w:val="16"/>
        <w:numPr>
          <w:ilvl w:val="0"/>
          <w:numId w:val="45"/>
        </w:numPr>
        <w:tabs>
          <w:tab w:val="left" w:pos="1414"/>
        </w:tabs>
        <w:spacing w:before="0" w:after="0" w:line="364" w:lineRule="auto"/>
        <w:ind w:left="388" w:right="624" w:firstLine="424"/>
        <w:jc w:val="left"/>
        <w:rPr>
          <w:sz w:val="24"/>
        </w:rPr>
      </w:pPr>
      <w:r>
        <w:rPr>
          <w:spacing w:val="-4"/>
          <w:sz w:val="24"/>
        </w:rPr>
        <w:t>承包人每次报送样品时应随附申报单，申报单应载明报送样品的相关数据和资料，并标明每件样品对应的图纸号，预留监理人批复意见栏。监理人应在收到承包人报送的</w:t>
      </w:r>
      <w:r>
        <w:rPr>
          <w:spacing w:val="-18"/>
          <w:sz w:val="24"/>
        </w:rPr>
        <w:t xml:space="preserve">样品后 </w:t>
      </w:r>
      <w:r>
        <w:rPr>
          <w:sz w:val="24"/>
        </w:rPr>
        <w:t>7</w:t>
      </w:r>
      <w:r>
        <w:rPr>
          <w:spacing w:val="-8"/>
          <w:sz w:val="24"/>
        </w:rPr>
        <w:t xml:space="preserve"> 天向承包人回复经发包人签认的样品审批意见。</w:t>
      </w:r>
    </w:p>
    <w:p>
      <w:pPr>
        <w:pStyle w:val="16"/>
        <w:numPr>
          <w:ilvl w:val="0"/>
          <w:numId w:val="45"/>
        </w:numPr>
        <w:tabs>
          <w:tab w:val="left" w:pos="1414"/>
        </w:tabs>
        <w:spacing w:before="0" w:after="0" w:line="362" w:lineRule="auto"/>
        <w:ind w:left="388" w:right="744" w:firstLine="424"/>
        <w:jc w:val="left"/>
        <w:rPr>
          <w:sz w:val="24"/>
        </w:rPr>
      </w:pPr>
      <w:r>
        <w:rPr>
          <w:spacing w:val="-2"/>
          <w:sz w:val="24"/>
        </w:rPr>
        <w:t>经发包人和监理人审批确认的样品应按约定的方法封样，封存的样品作为检验工</w:t>
      </w:r>
      <w:r>
        <w:rPr>
          <w:sz w:val="24"/>
        </w:rPr>
        <w:t>程相关部分的标准之一。承包人在施工过程中不得使用与样品不符的材料或工程设备。</w:t>
      </w:r>
    </w:p>
    <w:p>
      <w:pPr>
        <w:pStyle w:val="16"/>
        <w:numPr>
          <w:ilvl w:val="0"/>
          <w:numId w:val="45"/>
        </w:numPr>
        <w:tabs>
          <w:tab w:val="left" w:pos="1414"/>
        </w:tabs>
        <w:spacing w:before="2" w:after="0" w:line="362" w:lineRule="auto"/>
        <w:ind w:left="388" w:right="732" w:firstLine="424"/>
        <w:jc w:val="both"/>
        <w:rPr>
          <w:sz w:val="24"/>
        </w:rPr>
      </w:pPr>
      <w:r>
        <w:rPr>
          <w:spacing w:val="-1"/>
          <w:sz w:val="24"/>
        </w:rPr>
        <w:t xml:space="preserve">发包人和监理人对样品的审批确认仅为确认相关材料或工程设备的特征或用途， </w:t>
      </w:r>
      <w:r>
        <w:rPr>
          <w:sz w:val="24"/>
        </w:rPr>
        <w:t>不得被理解为对合同的修改或改变，也并不减轻或免除承包人任何的责任和义务。如果封存的样品修改或改变了合同约定，合同当事人应当以书面协议予以确认。</w:t>
      </w:r>
    </w:p>
    <w:p>
      <w:pPr>
        <w:pStyle w:val="16"/>
        <w:numPr>
          <w:ilvl w:val="2"/>
          <w:numId w:val="35"/>
        </w:numPr>
        <w:tabs>
          <w:tab w:val="left" w:pos="1533"/>
        </w:tabs>
        <w:spacing w:before="7" w:after="0" w:line="240" w:lineRule="auto"/>
        <w:ind w:left="1532" w:right="0" w:hanging="721"/>
        <w:jc w:val="both"/>
        <w:rPr>
          <w:sz w:val="24"/>
        </w:rPr>
      </w:pPr>
      <w:r>
        <w:rPr>
          <w:sz w:val="24"/>
        </w:rPr>
        <w:t>样品的保管</w:t>
      </w:r>
    </w:p>
    <w:p>
      <w:pPr>
        <w:pStyle w:val="8"/>
        <w:spacing w:before="160" w:line="362" w:lineRule="auto"/>
        <w:ind w:left="388" w:right="852" w:firstLine="424"/>
      </w:pPr>
      <w:r>
        <w:t>经批准的样品应由监理人负责封存于现场，承包人应在现场为保存样品提供适当和固定的场所并保持适当和良好的存储环境条件。</w:t>
      </w:r>
    </w:p>
    <w:p>
      <w:pPr>
        <w:spacing w:after="0" w:line="362" w:lineRule="auto"/>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07" o:spid="_x0000_s1107" o:spt="20" style="position:absolute;left:0pt;margin-left:62.4pt;margin-top:12.25pt;height:0pt;width:400.4pt;mso-position-horizontal-relative:page;z-index:25175859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1"/>
          <w:numId w:val="35"/>
        </w:numPr>
        <w:tabs>
          <w:tab w:val="left" w:pos="1048"/>
        </w:tabs>
        <w:spacing w:before="67" w:after="0" w:line="240" w:lineRule="auto"/>
        <w:ind w:left="1048" w:right="0" w:hanging="420"/>
        <w:jc w:val="left"/>
        <w:rPr>
          <w:sz w:val="24"/>
        </w:rPr>
      </w:pPr>
      <w:r>
        <w:rPr>
          <w:sz w:val="24"/>
        </w:rPr>
        <w:t>材料与工程设备的替代</w:t>
      </w:r>
    </w:p>
    <w:p>
      <w:pPr>
        <w:pStyle w:val="16"/>
        <w:numPr>
          <w:ilvl w:val="2"/>
          <w:numId w:val="35"/>
        </w:numPr>
        <w:tabs>
          <w:tab w:val="left" w:pos="1533"/>
        </w:tabs>
        <w:spacing w:before="158" w:after="0" w:line="364" w:lineRule="auto"/>
        <w:ind w:left="388" w:right="852" w:firstLine="424"/>
        <w:jc w:val="left"/>
        <w:rPr>
          <w:sz w:val="24"/>
        </w:rPr>
      </w:pPr>
      <w:r>
        <w:rPr>
          <w:spacing w:val="-3"/>
          <w:sz w:val="24"/>
        </w:rPr>
        <w:t xml:space="preserve">出现下列情况需要使用替代材料和工程设备的，承包人应按照第 </w:t>
      </w:r>
      <w:r>
        <w:rPr>
          <w:sz w:val="24"/>
        </w:rPr>
        <w:t>8.7.2</w:t>
      </w:r>
      <w:r>
        <w:rPr>
          <w:spacing w:val="-20"/>
          <w:sz w:val="24"/>
        </w:rPr>
        <w:t xml:space="preserve"> 项约定</w:t>
      </w:r>
      <w:r>
        <w:rPr>
          <w:sz w:val="24"/>
        </w:rPr>
        <w:t>的程序执行：</w:t>
      </w:r>
    </w:p>
    <w:p>
      <w:pPr>
        <w:pStyle w:val="16"/>
        <w:numPr>
          <w:ilvl w:val="0"/>
          <w:numId w:val="46"/>
        </w:numPr>
        <w:tabs>
          <w:tab w:val="left" w:pos="1414"/>
        </w:tabs>
        <w:spacing w:before="0" w:after="0" w:line="306" w:lineRule="exact"/>
        <w:ind w:left="1413" w:right="0" w:hanging="602"/>
        <w:jc w:val="left"/>
        <w:rPr>
          <w:sz w:val="24"/>
        </w:rPr>
      </w:pPr>
      <w:r>
        <w:rPr>
          <w:sz w:val="24"/>
        </w:rPr>
        <w:t>基准日期后生效的法律规定禁止使用的；</w:t>
      </w:r>
    </w:p>
    <w:p>
      <w:pPr>
        <w:pStyle w:val="16"/>
        <w:numPr>
          <w:ilvl w:val="0"/>
          <w:numId w:val="46"/>
        </w:numPr>
        <w:tabs>
          <w:tab w:val="left" w:pos="1414"/>
        </w:tabs>
        <w:spacing w:before="160" w:after="0" w:line="240" w:lineRule="auto"/>
        <w:ind w:left="1413" w:right="0" w:hanging="602"/>
        <w:jc w:val="left"/>
        <w:rPr>
          <w:sz w:val="24"/>
        </w:rPr>
      </w:pPr>
      <w:r>
        <w:rPr>
          <w:sz w:val="24"/>
        </w:rPr>
        <w:t>发包人要求使用替代品的；</w:t>
      </w:r>
    </w:p>
    <w:p>
      <w:pPr>
        <w:pStyle w:val="16"/>
        <w:numPr>
          <w:ilvl w:val="0"/>
          <w:numId w:val="46"/>
        </w:numPr>
        <w:tabs>
          <w:tab w:val="left" w:pos="1414"/>
        </w:tabs>
        <w:spacing w:before="158" w:after="0" w:line="240" w:lineRule="auto"/>
        <w:ind w:left="1413" w:right="0" w:hanging="602"/>
        <w:jc w:val="left"/>
        <w:rPr>
          <w:sz w:val="24"/>
        </w:rPr>
      </w:pPr>
      <w:r>
        <w:rPr>
          <w:sz w:val="24"/>
        </w:rPr>
        <w:t>因其他原因必须使用替代品的。</w:t>
      </w:r>
    </w:p>
    <w:p>
      <w:pPr>
        <w:pStyle w:val="16"/>
        <w:numPr>
          <w:ilvl w:val="2"/>
          <w:numId w:val="35"/>
        </w:numPr>
        <w:tabs>
          <w:tab w:val="left" w:pos="1533"/>
        </w:tabs>
        <w:spacing w:before="161" w:after="0" w:line="240" w:lineRule="auto"/>
        <w:ind w:left="1532" w:right="0" w:hanging="721"/>
        <w:jc w:val="left"/>
        <w:rPr>
          <w:sz w:val="24"/>
        </w:rPr>
      </w:pPr>
      <w:r>
        <w:rPr>
          <w:spacing w:val="-4"/>
          <w:sz w:val="24"/>
        </w:rPr>
        <w:t xml:space="preserve">承包人应在使用替代材料和工程设备 </w:t>
      </w:r>
      <w:r>
        <w:rPr>
          <w:sz w:val="24"/>
        </w:rPr>
        <w:t>28</w:t>
      </w:r>
      <w:r>
        <w:rPr>
          <w:spacing w:val="-8"/>
          <w:sz w:val="24"/>
        </w:rPr>
        <w:t xml:space="preserve"> 天前书面通知监理人，并附下列文件：</w:t>
      </w:r>
    </w:p>
    <w:p>
      <w:pPr>
        <w:pStyle w:val="16"/>
        <w:numPr>
          <w:ilvl w:val="0"/>
          <w:numId w:val="47"/>
        </w:numPr>
        <w:tabs>
          <w:tab w:val="left" w:pos="1414"/>
        </w:tabs>
        <w:spacing w:before="160" w:after="0" w:line="362" w:lineRule="auto"/>
        <w:ind w:left="388" w:right="744" w:firstLine="424"/>
        <w:jc w:val="left"/>
        <w:rPr>
          <w:sz w:val="24"/>
        </w:rPr>
      </w:pPr>
      <w:r>
        <w:rPr>
          <w:spacing w:val="-4"/>
          <w:sz w:val="24"/>
        </w:rPr>
        <w:t>被替代的材料和工程设备的名称、数量、规格、型号、品牌、性能、价格及其他</w:t>
      </w:r>
      <w:r>
        <w:rPr>
          <w:sz w:val="24"/>
        </w:rPr>
        <w:t>相关资料；</w:t>
      </w:r>
    </w:p>
    <w:p>
      <w:pPr>
        <w:pStyle w:val="16"/>
        <w:numPr>
          <w:ilvl w:val="0"/>
          <w:numId w:val="47"/>
        </w:numPr>
        <w:tabs>
          <w:tab w:val="left" w:pos="1414"/>
        </w:tabs>
        <w:spacing w:before="3" w:after="0" w:line="240" w:lineRule="auto"/>
        <w:ind w:left="1413" w:right="0" w:hanging="602"/>
        <w:jc w:val="left"/>
        <w:rPr>
          <w:sz w:val="24"/>
        </w:rPr>
      </w:pPr>
      <w:r>
        <w:rPr>
          <w:sz w:val="24"/>
        </w:rPr>
        <w:t>替代品的名称、数量、规格、型号、品牌、性能、价格及其他相关资料；</w:t>
      </w:r>
    </w:p>
    <w:p>
      <w:pPr>
        <w:pStyle w:val="16"/>
        <w:numPr>
          <w:ilvl w:val="0"/>
          <w:numId w:val="47"/>
        </w:numPr>
        <w:tabs>
          <w:tab w:val="left" w:pos="1414"/>
        </w:tabs>
        <w:spacing w:before="161" w:after="0" w:line="240" w:lineRule="auto"/>
        <w:ind w:left="1413" w:right="0" w:hanging="602"/>
        <w:jc w:val="left"/>
        <w:rPr>
          <w:sz w:val="24"/>
        </w:rPr>
      </w:pPr>
      <w:r>
        <w:rPr>
          <w:sz w:val="24"/>
        </w:rPr>
        <w:t>替代品与被替代产品之间的差异以及使用替代品可能对工程产生的影响；</w:t>
      </w:r>
    </w:p>
    <w:p>
      <w:pPr>
        <w:pStyle w:val="16"/>
        <w:numPr>
          <w:ilvl w:val="0"/>
          <w:numId w:val="47"/>
        </w:numPr>
        <w:tabs>
          <w:tab w:val="left" w:pos="1414"/>
        </w:tabs>
        <w:spacing w:before="160" w:after="0" w:line="240" w:lineRule="auto"/>
        <w:ind w:left="1413" w:right="0" w:hanging="602"/>
        <w:jc w:val="left"/>
        <w:rPr>
          <w:sz w:val="24"/>
        </w:rPr>
      </w:pPr>
      <w:r>
        <w:rPr>
          <w:sz w:val="24"/>
        </w:rPr>
        <w:t>替代品与被替代产品的价格差异；</w:t>
      </w:r>
    </w:p>
    <w:p>
      <w:pPr>
        <w:pStyle w:val="16"/>
        <w:numPr>
          <w:ilvl w:val="0"/>
          <w:numId w:val="47"/>
        </w:numPr>
        <w:tabs>
          <w:tab w:val="left" w:pos="1414"/>
        </w:tabs>
        <w:spacing w:before="158" w:after="0" w:line="240" w:lineRule="auto"/>
        <w:ind w:left="1413" w:right="0" w:hanging="602"/>
        <w:jc w:val="left"/>
        <w:rPr>
          <w:sz w:val="24"/>
        </w:rPr>
      </w:pPr>
      <w:r>
        <w:rPr>
          <w:sz w:val="24"/>
        </w:rPr>
        <w:t>使用替代品的理由和原因说明；</w:t>
      </w:r>
    </w:p>
    <w:p>
      <w:pPr>
        <w:pStyle w:val="16"/>
        <w:numPr>
          <w:ilvl w:val="0"/>
          <w:numId w:val="47"/>
        </w:numPr>
        <w:tabs>
          <w:tab w:val="left" w:pos="1414"/>
        </w:tabs>
        <w:spacing w:before="161" w:after="0" w:line="240" w:lineRule="auto"/>
        <w:ind w:left="1413" w:right="0" w:hanging="602"/>
        <w:jc w:val="left"/>
        <w:rPr>
          <w:sz w:val="24"/>
        </w:rPr>
      </w:pPr>
      <w:r>
        <w:rPr>
          <w:sz w:val="24"/>
        </w:rPr>
        <w:t>监理人要求的其他文件。</w:t>
      </w:r>
    </w:p>
    <w:p>
      <w:pPr>
        <w:pStyle w:val="8"/>
        <w:spacing w:before="158" w:line="364" w:lineRule="auto"/>
        <w:ind w:left="388" w:right="744" w:firstLine="424"/>
      </w:pPr>
      <w:r>
        <w:rPr>
          <w:spacing w:val="-6"/>
        </w:rPr>
        <w:t xml:space="preserve">监理人应在收到通知后 </w:t>
      </w:r>
      <w:r>
        <w:t>14</w:t>
      </w:r>
      <w:r>
        <w:rPr>
          <w:spacing w:val="-10"/>
        </w:rPr>
        <w:t xml:space="preserve"> 天内向承包人发出经发包人签认的书面指示；监理人逾期发</w:t>
      </w:r>
      <w:r>
        <w:t>出书面指示的，视为发包人和监理人同意使用替代品。</w:t>
      </w:r>
    </w:p>
    <w:p>
      <w:pPr>
        <w:pStyle w:val="16"/>
        <w:numPr>
          <w:ilvl w:val="2"/>
          <w:numId w:val="35"/>
        </w:numPr>
        <w:tabs>
          <w:tab w:val="left" w:pos="1533"/>
        </w:tabs>
        <w:spacing w:before="0" w:after="0" w:line="364" w:lineRule="auto"/>
        <w:ind w:left="388" w:right="798" w:firstLine="424"/>
        <w:jc w:val="both"/>
        <w:rPr>
          <w:sz w:val="24"/>
        </w:rPr>
      </w:pPr>
      <w:r>
        <w:rPr>
          <w:sz w:val="24"/>
        </w:rPr>
        <w:t>发包人认可使用替代材料和工程设备的，替代材料和工程设备的价格，按照已</w:t>
      </w:r>
      <w:r>
        <w:rPr>
          <w:spacing w:val="-1"/>
          <w:sz w:val="24"/>
        </w:rPr>
        <w:t>标价工程量清单或预算书相同项目的价格认定；无相同项目的，参考相似项目价格认定； 既无相同项目也无相似项目的，按照合理的成本与利润构成的原则，由合同当事人按照第</w:t>
      </w:r>
    </w:p>
    <w:p>
      <w:pPr>
        <w:pStyle w:val="8"/>
        <w:spacing w:line="307" w:lineRule="exact"/>
        <w:ind w:left="388"/>
        <w:jc w:val="both"/>
      </w:pPr>
      <w:r>
        <w:t>4.4 款〔商定或确定〕确定价格。</w:t>
      </w:r>
    </w:p>
    <w:p>
      <w:pPr>
        <w:pStyle w:val="16"/>
        <w:numPr>
          <w:ilvl w:val="1"/>
          <w:numId w:val="48"/>
        </w:numPr>
        <w:tabs>
          <w:tab w:val="left" w:pos="1048"/>
        </w:tabs>
        <w:spacing w:before="157" w:after="0" w:line="240" w:lineRule="auto"/>
        <w:ind w:left="1048" w:right="0" w:hanging="420"/>
        <w:jc w:val="left"/>
        <w:rPr>
          <w:sz w:val="24"/>
        </w:rPr>
      </w:pPr>
      <w:r>
        <w:rPr>
          <w:sz w:val="24"/>
        </w:rPr>
        <w:t>施工设备和临时设施</w:t>
      </w:r>
    </w:p>
    <w:p>
      <w:pPr>
        <w:pStyle w:val="16"/>
        <w:numPr>
          <w:ilvl w:val="2"/>
          <w:numId w:val="48"/>
        </w:numPr>
        <w:tabs>
          <w:tab w:val="left" w:pos="1533"/>
        </w:tabs>
        <w:spacing w:before="160" w:after="0" w:line="240" w:lineRule="auto"/>
        <w:ind w:left="1532" w:right="0" w:hanging="721"/>
        <w:jc w:val="both"/>
        <w:rPr>
          <w:sz w:val="24"/>
        </w:rPr>
      </w:pPr>
      <w:r>
        <w:rPr>
          <w:sz w:val="24"/>
        </w:rPr>
        <w:t>承包人提供的施工设备和临时设施</w:t>
      </w:r>
    </w:p>
    <w:p>
      <w:pPr>
        <w:pStyle w:val="8"/>
        <w:spacing w:before="161" w:line="364" w:lineRule="auto"/>
        <w:ind w:left="388" w:right="798" w:firstLine="424"/>
        <w:jc w:val="both"/>
      </w:pPr>
      <w:r>
        <w:t>承包人应按合同进度计划的要求，及时配置施工设备和修建临时设施。进入施工场地的承包人设备需经监理人核查后才能投入使用。承包人更换合同约定的承包人设备的，应报监理人批准。</w:t>
      </w:r>
    </w:p>
    <w:p>
      <w:pPr>
        <w:pStyle w:val="8"/>
        <w:spacing w:line="362" w:lineRule="auto"/>
        <w:ind w:left="388" w:right="852" w:firstLine="424"/>
      </w:pPr>
      <w:r>
        <w:t>除专用合同条款另有约定外，承包人应自行承担修建临时设施的费用，需要临时占地的，应由发包人办理申请手续并承担相应费用。</w:t>
      </w:r>
    </w:p>
    <w:p>
      <w:pPr>
        <w:pStyle w:val="16"/>
        <w:numPr>
          <w:ilvl w:val="2"/>
          <w:numId w:val="48"/>
        </w:numPr>
        <w:tabs>
          <w:tab w:val="left" w:pos="1473"/>
        </w:tabs>
        <w:spacing w:before="2" w:after="0" w:line="240" w:lineRule="auto"/>
        <w:ind w:left="1472" w:right="0" w:hanging="661"/>
        <w:jc w:val="left"/>
        <w:rPr>
          <w:sz w:val="24"/>
        </w:rPr>
      </w:pPr>
      <w:r>
        <w:rPr>
          <w:sz w:val="24"/>
        </w:rPr>
        <w:t>发包人提供的施工设备和临时设施</w:t>
      </w:r>
    </w:p>
    <w:p>
      <w:pPr>
        <w:pStyle w:val="8"/>
        <w:spacing w:before="160"/>
        <w:ind w:left="812"/>
      </w:pPr>
      <w:r>
        <w:t>发包人提供的施工设备或临时设施在专用合同条款中约定。</w:t>
      </w:r>
    </w:p>
    <w:p>
      <w:pPr>
        <w:pStyle w:val="16"/>
        <w:numPr>
          <w:ilvl w:val="2"/>
          <w:numId w:val="48"/>
        </w:numPr>
        <w:tabs>
          <w:tab w:val="left" w:pos="1473"/>
        </w:tabs>
        <w:spacing w:before="158" w:after="0" w:line="240" w:lineRule="auto"/>
        <w:ind w:left="1472" w:right="0" w:hanging="661"/>
        <w:jc w:val="both"/>
        <w:rPr>
          <w:sz w:val="24"/>
        </w:rPr>
      </w:pPr>
      <w:r>
        <w:rPr>
          <w:sz w:val="24"/>
        </w:rPr>
        <w:t>要求承包人增加或更换施工设备</w:t>
      </w:r>
    </w:p>
    <w:p>
      <w:pPr>
        <w:spacing w:after="0" w:line="240" w:lineRule="auto"/>
        <w:jc w:val="both"/>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08" o:spid="_x0000_s1108" o:spt="20" style="position:absolute;left:0pt;margin-left:62.4pt;margin-top:12.25pt;height:0pt;width:400.4pt;mso-position-horizontal-relative:page;z-index:25175961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4" w:lineRule="auto"/>
        <w:ind w:left="388" w:right="798" w:firstLine="424"/>
        <w:jc w:val="both"/>
      </w:pPr>
      <w:r>
        <w:t>承包人使用的施工设备不能满足合同进度计划和（或）质量要求时，监理人有权要求承包人增加或更换施工设备，承包人应及时增加或更换，由此增加的费用和（或）延误的工期由承包人承担。</w:t>
      </w:r>
    </w:p>
    <w:p>
      <w:pPr>
        <w:pStyle w:val="16"/>
        <w:numPr>
          <w:ilvl w:val="1"/>
          <w:numId w:val="48"/>
        </w:numPr>
        <w:tabs>
          <w:tab w:val="left" w:pos="1048"/>
        </w:tabs>
        <w:spacing w:before="0" w:after="0" w:line="304" w:lineRule="exact"/>
        <w:ind w:left="1048" w:right="0" w:hanging="420"/>
        <w:jc w:val="both"/>
        <w:rPr>
          <w:sz w:val="24"/>
        </w:rPr>
      </w:pPr>
      <w:r>
        <w:rPr>
          <w:sz w:val="24"/>
        </w:rPr>
        <w:t>材料与设备专用要求</w:t>
      </w:r>
    </w:p>
    <w:p>
      <w:pPr>
        <w:pStyle w:val="8"/>
        <w:spacing w:before="160" w:line="364" w:lineRule="auto"/>
        <w:ind w:left="388" w:right="798" w:firstLine="424"/>
        <w:jc w:val="both"/>
      </w:pPr>
      <w:r>
        <w:t>承包人运入施工现场的材料、工程设备、施工设备以及在施工场地建设的临时设施， 包括备品备件、安装工具与资料，必须专用于工程。未经发包人批准，承包人不得运出施工现场或挪作他用；经发包人批准，承包人可以根据施工进度计划撤走闲置的施工设备和其他物品。</w:t>
      </w:r>
    </w:p>
    <w:p>
      <w:pPr>
        <w:pStyle w:val="16"/>
        <w:numPr>
          <w:ilvl w:val="0"/>
          <w:numId w:val="35"/>
        </w:numPr>
        <w:tabs>
          <w:tab w:val="left" w:pos="748"/>
        </w:tabs>
        <w:spacing w:before="0" w:after="0" w:line="305" w:lineRule="exact"/>
        <w:ind w:left="748" w:right="0" w:hanging="360"/>
        <w:jc w:val="both"/>
        <w:outlineLvl w:val="2"/>
        <w:rPr>
          <w:sz w:val="24"/>
        </w:rPr>
      </w:pPr>
      <w:r>
        <w:rPr>
          <w:sz w:val="24"/>
        </w:rPr>
        <w:t>试验与检验</w:t>
      </w:r>
    </w:p>
    <w:p>
      <w:pPr>
        <w:pStyle w:val="16"/>
        <w:numPr>
          <w:ilvl w:val="1"/>
          <w:numId w:val="35"/>
        </w:numPr>
        <w:tabs>
          <w:tab w:val="left" w:pos="1048"/>
        </w:tabs>
        <w:spacing w:before="158" w:after="0" w:line="240" w:lineRule="auto"/>
        <w:ind w:left="1048" w:right="0" w:hanging="420"/>
        <w:jc w:val="left"/>
        <w:rPr>
          <w:sz w:val="24"/>
        </w:rPr>
      </w:pPr>
      <w:r>
        <w:rPr>
          <w:sz w:val="24"/>
        </w:rPr>
        <w:t>试验设备与试验人员</w:t>
      </w:r>
    </w:p>
    <w:p>
      <w:pPr>
        <w:pStyle w:val="16"/>
        <w:numPr>
          <w:ilvl w:val="2"/>
          <w:numId w:val="35"/>
        </w:numPr>
        <w:tabs>
          <w:tab w:val="left" w:pos="1533"/>
        </w:tabs>
        <w:spacing w:before="161" w:after="0" w:line="364" w:lineRule="auto"/>
        <w:ind w:left="388" w:right="624" w:firstLine="424"/>
        <w:jc w:val="left"/>
        <w:rPr>
          <w:sz w:val="24"/>
        </w:rPr>
      </w:pPr>
      <w:r>
        <w:rPr>
          <w:sz w:val="24"/>
        </w:rPr>
        <w:t>承包人根据合同约定或监理人指示进行的现场材料试验，应由承包人提供试验场所、试验人员、试验设备以及其他必要的试验条件。监理人在必要时可以使用承包人提</w:t>
      </w:r>
      <w:r>
        <w:rPr>
          <w:spacing w:val="-9"/>
          <w:sz w:val="24"/>
        </w:rPr>
        <w:t xml:space="preserve">供的试验场所、试验设备以及其他试验条件，进行以工程质量检查为目的的材料复核试验， </w:t>
      </w:r>
      <w:r>
        <w:rPr>
          <w:sz w:val="24"/>
        </w:rPr>
        <w:t>承包人应予以协助。</w:t>
      </w:r>
    </w:p>
    <w:p>
      <w:pPr>
        <w:pStyle w:val="16"/>
        <w:numPr>
          <w:ilvl w:val="2"/>
          <w:numId w:val="35"/>
        </w:numPr>
        <w:tabs>
          <w:tab w:val="left" w:pos="1533"/>
        </w:tabs>
        <w:spacing w:before="0" w:after="0" w:line="364" w:lineRule="auto"/>
        <w:ind w:left="388" w:right="852" w:firstLine="424"/>
        <w:jc w:val="left"/>
        <w:rPr>
          <w:sz w:val="24"/>
        </w:rPr>
      </w:pPr>
      <w:r>
        <w:rPr>
          <w:spacing w:val="-1"/>
          <w:sz w:val="24"/>
        </w:rPr>
        <w:t>承包人应按专用合同条款的约定提供试验设备、取样装置、试验场所和试验条</w:t>
      </w:r>
      <w:r>
        <w:rPr>
          <w:sz w:val="24"/>
        </w:rPr>
        <w:t>件，并向监理人提交相应进场计划表。</w:t>
      </w:r>
    </w:p>
    <w:p>
      <w:pPr>
        <w:pStyle w:val="8"/>
        <w:spacing w:line="364" w:lineRule="auto"/>
        <w:ind w:left="388" w:right="852" w:firstLine="424"/>
      </w:pPr>
      <w:r>
        <w:t>承包人配置的试验设备要符合相应试验规程的要求并经过具有资质的检测单位检测， 且在正式使用该试验设备前，需要经过监理人与承包人共同校定。</w:t>
      </w:r>
    </w:p>
    <w:p>
      <w:pPr>
        <w:pStyle w:val="16"/>
        <w:numPr>
          <w:ilvl w:val="2"/>
          <w:numId w:val="35"/>
        </w:numPr>
        <w:tabs>
          <w:tab w:val="left" w:pos="1533"/>
        </w:tabs>
        <w:spacing w:before="0" w:after="0" w:line="364" w:lineRule="auto"/>
        <w:ind w:left="388" w:right="798" w:firstLine="424"/>
        <w:jc w:val="both"/>
        <w:rPr>
          <w:sz w:val="24"/>
        </w:rPr>
      </w:pPr>
      <w:r>
        <w:rPr>
          <w:sz w:val="24"/>
        </w:rPr>
        <w:t>承包人应向监理人提交试验人员的名单及其岗位、资格等证明资料，试验人员</w:t>
      </w:r>
      <w:r>
        <w:rPr>
          <w:spacing w:val="-1"/>
          <w:sz w:val="24"/>
        </w:rPr>
        <w:t>必须能够熟练进行相应的检测试验，承包人对试验人员的试验程序和试验结果的正确性负</w:t>
      </w:r>
      <w:r>
        <w:rPr>
          <w:sz w:val="24"/>
        </w:rPr>
        <w:t>责。</w:t>
      </w:r>
    </w:p>
    <w:p>
      <w:pPr>
        <w:pStyle w:val="16"/>
        <w:numPr>
          <w:ilvl w:val="1"/>
          <w:numId w:val="35"/>
        </w:numPr>
        <w:tabs>
          <w:tab w:val="left" w:pos="1048"/>
        </w:tabs>
        <w:spacing w:before="0" w:after="0" w:line="307" w:lineRule="exact"/>
        <w:ind w:left="1048" w:right="0" w:hanging="420"/>
        <w:jc w:val="both"/>
        <w:rPr>
          <w:sz w:val="24"/>
        </w:rPr>
      </w:pPr>
      <w:r>
        <w:rPr>
          <w:sz w:val="24"/>
        </w:rPr>
        <w:t>取样</w:t>
      </w:r>
    </w:p>
    <w:p>
      <w:pPr>
        <w:pStyle w:val="8"/>
        <w:spacing w:before="156" w:line="362" w:lineRule="auto"/>
        <w:ind w:left="388" w:right="852" w:firstLine="424"/>
      </w:pPr>
      <w:r>
        <w:t>试验属于自检性质的，承包人可以单独取样。试验属于监理人抽检性质的，可由监理人取样，也可由承包人的试验人员在监理人的监督下取样。</w:t>
      </w:r>
    </w:p>
    <w:p>
      <w:pPr>
        <w:pStyle w:val="16"/>
        <w:numPr>
          <w:ilvl w:val="1"/>
          <w:numId w:val="35"/>
        </w:numPr>
        <w:tabs>
          <w:tab w:val="left" w:pos="1048"/>
        </w:tabs>
        <w:spacing w:before="5" w:after="0" w:line="240" w:lineRule="auto"/>
        <w:ind w:left="1048" w:right="0" w:hanging="420"/>
        <w:jc w:val="left"/>
        <w:rPr>
          <w:sz w:val="24"/>
        </w:rPr>
      </w:pPr>
      <w:r>
        <w:rPr>
          <w:sz w:val="24"/>
        </w:rPr>
        <w:t>材料、工程设备和工程的试验和检验</w:t>
      </w:r>
    </w:p>
    <w:p>
      <w:pPr>
        <w:pStyle w:val="16"/>
        <w:numPr>
          <w:ilvl w:val="2"/>
          <w:numId w:val="35"/>
        </w:numPr>
        <w:tabs>
          <w:tab w:val="left" w:pos="1473"/>
        </w:tabs>
        <w:spacing w:before="158" w:after="0" w:line="364" w:lineRule="auto"/>
        <w:ind w:left="388" w:right="744" w:firstLine="424"/>
        <w:jc w:val="both"/>
        <w:rPr>
          <w:sz w:val="24"/>
        </w:rPr>
      </w:pPr>
      <w:r>
        <w:rPr>
          <w:spacing w:val="-6"/>
          <w:sz w:val="24"/>
        </w:rPr>
        <w:t>承包人应按合同约定进行材料、工程设备和工程的试验和检验，并为监理人对上</w:t>
      </w:r>
      <w:r>
        <w:rPr>
          <w:sz w:val="24"/>
        </w:rPr>
        <w:t>述材料、工程设备和工程的质量检查提供必要的试验资料和原始记录。按合同约定应由监理人与承包人共同进行试验和检验的，由承包人负责提供必要的试验资料和原始记录。</w:t>
      </w:r>
    </w:p>
    <w:p>
      <w:pPr>
        <w:pStyle w:val="16"/>
        <w:numPr>
          <w:ilvl w:val="2"/>
          <w:numId w:val="35"/>
        </w:numPr>
        <w:tabs>
          <w:tab w:val="left" w:pos="1473"/>
        </w:tabs>
        <w:spacing w:before="0" w:after="0" w:line="362" w:lineRule="auto"/>
        <w:ind w:left="388" w:right="672" w:firstLine="424"/>
        <w:jc w:val="both"/>
        <w:rPr>
          <w:sz w:val="24"/>
        </w:rPr>
      </w:pPr>
      <w:r>
        <w:rPr>
          <w:spacing w:val="-1"/>
          <w:sz w:val="24"/>
        </w:rPr>
        <w:t xml:space="preserve">试验属于自检性质的，承包人可以单独进行试验。试验属于监理人抽检性质的， </w:t>
      </w:r>
      <w:r>
        <w:rPr>
          <w:sz w:val="24"/>
        </w:rPr>
        <w:t>监理人可以单独进行试验，也可由承包人与监理人共同进行。承包人对由监理人单独进行</w:t>
      </w:r>
    </w:p>
    <w:p>
      <w:pPr>
        <w:spacing w:after="0" w:line="362" w:lineRule="auto"/>
        <w:jc w:val="both"/>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09" o:spid="_x0000_s1109" o:spt="20" style="position:absolute;left:0pt;margin-left:62.4pt;margin-top:12.25pt;height:0pt;width:400.4pt;mso-position-horizontal-relative:page;z-index:25176064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4" w:lineRule="auto"/>
        <w:ind w:left="388" w:right="798"/>
        <w:jc w:val="both"/>
      </w:pPr>
      <w:r>
        <w:t>的试验结果有异议的，可以申请重新共同进行试验。约定共同进行试验的，监理人未按照约定参加试验的，承包人可自行试验，并将试验结果报送监理人，监理人应承认该试验结果。</w:t>
      </w:r>
    </w:p>
    <w:p>
      <w:pPr>
        <w:pStyle w:val="16"/>
        <w:numPr>
          <w:ilvl w:val="2"/>
          <w:numId w:val="35"/>
        </w:numPr>
        <w:tabs>
          <w:tab w:val="left" w:pos="1473"/>
        </w:tabs>
        <w:spacing w:before="0" w:after="0" w:line="364" w:lineRule="auto"/>
        <w:ind w:left="388" w:right="744" w:firstLine="424"/>
        <w:jc w:val="both"/>
        <w:rPr>
          <w:sz w:val="24"/>
        </w:rPr>
      </w:pPr>
      <w:r>
        <w:rPr>
          <w:spacing w:val="-5"/>
          <w:sz w:val="24"/>
        </w:rPr>
        <w:t>监理人对承包人的试验和检验结果有异议的，或为查清承包人试验和检验成果的</w:t>
      </w:r>
      <w:r>
        <w:rPr>
          <w:sz w:val="24"/>
        </w:rPr>
        <w:t>可靠性要求承包人重新试验和检验的，可由监理人与承包人共同进行。重新试验和检验的结果证明该项材料、工程设备或工程的质量不符合合同要求的，由此增加的费用和（或） 延误的工期由承包人承担；重新试验和检验结果证明该项材料、工程设备和工程符合合同要求的，由此增加的费用和（或）延误的工期由发包人承担。</w:t>
      </w:r>
    </w:p>
    <w:p>
      <w:pPr>
        <w:pStyle w:val="16"/>
        <w:numPr>
          <w:ilvl w:val="1"/>
          <w:numId w:val="35"/>
        </w:numPr>
        <w:tabs>
          <w:tab w:val="left" w:pos="1048"/>
        </w:tabs>
        <w:spacing w:before="0" w:after="0" w:line="306" w:lineRule="exact"/>
        <w:ind w:left="1048" w:right="0" w:hanging="420"/>
        <w:jc w:val="both"/>
        <w:rPr>
          <w:sz w:val="24"/>
        </w:rPr>
      </w:pPr>
      <w:r>
        <w:rPr>
          <w:sz w:val="24"/>
        </w:rPr>
        <w:t>现场工艺试验</w:t>
      </w:r>
    </w:p>
    <w:p>
      <w:pPr>
        <w:pStyle w:val="8"/>
        <w:spacing w:before="155" w:line="364" w:lineRule="auto"/>
        <w:ind w:left="388" w:right="798" w:firstLine="424"/>
        <w:jc w:val="both"/>
      </w:pPr>
      <w:r>
        <w:t>承包人应按合同约定或监理人指示进行现场工艺试验。对大型的现场工艺试验，监理人认为必要时，承包人应根据监理人提出的工艺试验要求，编制工艺试验措施计划，报送监理人审查。</w:t>
      </w:r>
    </w:p>
    <w:p>
      <w:pPr>
        <w:pStyle w:val="16"/>
        <w:numPr>
          <w:ilvl w:val="0"/>
          <w:numId w:val="35"/>
        </w:numPr>
        <w:tabs>
          <w:tab w:val="left" w:pos="868"/>
        </w:tabs>
        <w:spacing w:before="0" w:after="0" w:line="307" w:lineRule="exact"/>
        <w:ind w:left="868" w:right="0" w:hanging="480"/>
        <w:jc w:val="both"/>
        <w:outlineLvl w:val="2"/>
        <w:rPr>
          <w:sz w:val="24"/>
        </w:rPr>
      </w:pPr>
      <w:r>
        <w:rPr>
          <w:sz w:val="24"/>
        </w:rPr>
        <w:t>变更</w:t>
      </w:r>
    </w:p>
    <w:p>
      <w:pPr>
        <w:pStyle w:val="16"/>
        <w:numPr>
          <w:ilvl w:val="1"/>
          <w:numId w:val="35"/>
        </w:numPr>
        <w:tabs>
          <w:tab w:val="left" w:pos="1168"/>
        </w:tabs>
        <w:spacing w:before="160" w:after="0" w:line="240" w:lineRule="auto"/>
        <w:ind w:left="1168" w:right="0" w:hanging="540"/>
        <w:jc w:val="left"/>
        <w:rPr>
          <w:sz w:val="24"/>
        </w:rPr>
      </w:pPr>
      <w:r>
        <w:rPr>
          <w:sz w:val="24"/>
        </w:rPr>
        <w:t>变更的范围</w:t>
      </w:r>
    </w:p>
    <w:p>
      <w:pPr>
        <w:pStyle w:val="8"/>
        <w:spacing w:before="158" w:line="364" w:lineRule="auto"/>
        <w:ind w:left="388" w:right="852" w:firstLine="424"/>
      </w:pPr>
      <w:r>
        <w:t>除专用合同条款另有约定外，合同履行过程中发生以下情形的，应按照本条约定进行变更：</w:t>
      </w:r>
    </w:p>
    <w:p>
      <w:pPr>
        <w:pStyle w:val="16"/>
        <w:numPr>
          <w:ilvl w:val="0"/>
          <w:numId w:val="49"/>
        </w:numPr>
        <w:tabs>
          <w:tab w:val="left" w:pos="1414"/>
        </w:tabs>
        <w:spacing w:before="0" w:after="0" w:line="306" w:lineRule="exact"/>
        <w:ind w:left="1413" w:right="0" w:hanging="602"/>
        <w:jc w:val="left"/>
        <w:rPr>
          <w:sz w:val="24"/>
        </w:rPr>
      </w:pPr>
      <w:r>
        <w:rPr>
          <w:sz w:val="24"/>
        </w:rPr>
        <w:t>增加或减少合同中任何工作，或追加额外的工作；</w:t>
      </w:r>
    </w:p>
    <w:p>
      <w:pPr>
        <w:pStyle w:val="16"/>
        <w:numPr>
          <w:ilvl w:val="0"/>
          <w:numId w:val="49"/>
        </w:numPr>
        <w:tabs>
          <w:tab w:val="left" w:pos="1414"/>
        </w:tabs>
        <w:spacing w:before="161" w:after="0" w:line="240" w:lineRule="auto"/>
        <w:ind w:left="1413" w:right="0" w:hanging="602"/>
        <w:jc w:val="left"/>
        <w:rPr>
          <w:sz w:val="24"/>
        </w:rPr>
      </w:pPr>
      <w:r>
        <w:rPr>
          <w:sz w:val="24"/>
        </w:rPr>
        <w:t>取消合同中任何工作，但转由他人实施的工作除外；</w:t>
      </w:r>
    </w:p>
    <w:p>
      <w:pPr>
        <w:pStyle w:val="16"/>
        <w:numPr>
          <w:ilvl w:val="0"/>
          <w:numId w:val="49"/>
        </w:numPr>
        <w:tabs>
          <w:tab w:val="left" w:pos="1414"/>
        </w:tabs>
        <w:spacing w:before="158" w:after="0" w:line="240" w:lineRule="auto"/>
        <w:ind w:left="1413" w:right="0" w:hanging="602"/>
        <w:jc w:val="left"/>
        <w:rPr>
          <w:sz w:val="24"/>
        </w:rPr>
      </w:pPr>
      <w:r>
        <w:rPr>
          <w:sz w:val="24"/>
        </w:rPr>
        <w:t>改变合同中任何工作的质量标准或其他特性；</w:t>
      </w:r>
    </w:p>
    <w:p>
      <w:pPr>
        <w:pStyle w:val="16"/>
        <w:numPr>
          <w:ilvl w:val="0"/>
          <w:numId w:val="49"/>
        </w:numPr>
        <w:tabs>
          <w:tab w:val="left" w:pos="1414"/>
        </w:tabs>
        <w:spacing w:before="161" w:after="0" w:line="240" w:lineRule="auto"/>
        <w:ind w:left="1413" w:right="0" w:hanging="602"/>
        <w:jc w:val="left"/>
        <w:rPr>
          <w:sz w:val="24"/>
        </w:rPr>
      </w:pPr>
      <w:r>
        <w:rPr>
          <w:sz w:val="24"/>
        </w:rPr>
        <w:t>改变工程的基线、标高、位置和尺寸；</w:t>
      </w:r>
    </w:p>
    <w:p>
      <w:pPr>
        <w:pStyle w:val="16"/>
        <w:numPr>
          <w:ilvl w:val="0"/>
          <w:numId w:val="49"/>
        </w:numPr>
        <w:tabs>
          <w:tab w:val="left" w:pos="1414"/>
        </w:tabs>
        <w:spacing w:before="158" w:after="0" w:line="240" w:lineRule="auto"/>
        <w:ind w:left="1413" w:right="0" w:hanging="602"/>
        <w:jc w:val="left"/>
        <w:rPr>
          <w:sz w:val="24"/>
        </w:rPr>
      </w:pPr>
      <w:r>
        <w:rPr>
          <w:sz w:val="24"/>
        </w:rPr>
        <w:t>改变工程的时间安排或实施顺序。</w:t>
      </w:r>
    </w:p>
    <w:p>
      <w:pPr>
        <w:pStyle w:val="16"/>
        <w:numPr>
          <w:ilvl w:val="1"/>
          <w:numId w:val="35"/>
        </w:numPr>
        <w:tabs>
          <w:tab w:val="left" w:pos="1168"/>
        </w:tabs>
        <w:spacing w:before="160" w:after="0" w:line="240" w:lineRule="auto"/>
        <w:ind w:left="1168" w:right="0" w:hanging="540"/>
        <w:jc w:val="left"/>
        <w:rPr>
          <w:sz w:val="24"/>
        </w:rPr>
      </w:pPr>
      <w:r>
        <w:rPr>
          <w:sz w:val="24"/>
        </w:rPr>
        <w:t>变更权</w:t>
      </w:r>
    </w:p>
    <w:p>
      <w:pPr>
        <w:pStyle w:val="8"/>
        <w:spacing w:before="161" w:line="364" w:lineRule="auto"/>
        <w:ind w:left="388" w:right="624" w:firstLine="424"/>
      </w:pPr>
      <w:r>
        <w:t>发包人和监理人均可以提出变更。变更指示均通过监理人发出，监理人发出变更指示</w:t>
      </w:r>
      <w:r>
        <w:rPr>
          <w:spacing w:val="-6"/>
        </w:rPr>
        <w:t xml:space="preserve">前应征得发包人同意。承包人收到经发包人签认的变更指示后，方可实施变更。未经许可， </w:t>
      </w:r>
      <w:r>
        <w:t>承包人不得擅自对工程的任何部分进行变更。</w:t>
      </w:r>
    </w:p>
    <w:p>
      <w:pPr>
        <w:pStyle w:val="8"/>
        <w:spacing w:line="362" w:lineRule="auto"/>
        <w:ind w:left="388" w:right="852" w:firstLine="424"/>
      </w:pPr>
      <w:r>
        <w:t>涉及设计变更的，应由设计人提供变更后的图纸和说明。如变更超过原设计标准或批准的建设规模时，发包人应及时办理规划、设计变更等审批手续。</w:t>
      </w:r>
    </w:p>
    <w:p>
      <w:pPr>
        <w:pStyle w:val="16"/>
        <w:numPr>
          <w:ilvl w:val="1"/>
          <w:numId w:val="35"/>
        </w:numPr>
        <w:tabs>
          <w:tab w:val="left" w:pos="1168"/>
        </w:tabs>
        <w:spacing w:before="2" w:after="0" w:line="240" w:lineRule="auto"/>
        <w:ind w:left="1168" w:right="0" w:hanging="540"/>
        <w:jc w:val="left"/>
        <w:rPr>
          <w:sz w:val="24"/>
        </w:rPr>
      </w:pPr>
      <w:r>
        <w:rPr>
          <w:sz w:val="24"/>
        </w:rPr>
        <w:t>变更程序</w:t>
      </w:r>
    </w:p>
    <w:p>
      <w:pPr>
        <w:pStyle w:val="16"/>
        <w:numPr>
          <w:ilvl w:val="2"/>
          <w:numId w:val="35"/>
        </w:numPr>
        <w:tabs>
          <w:tab w:val="left" w:pos="1653"/>
        </w:tabs>
        <w:spacing w:before="160" w:after="0" w:line="240" w:lineRule="auto"/>
        <w:ind w:left="1652" w:right="0" w:hanging="841"/>
        <w:jc w:val="left"/>
        <w:rPr>
          <w:sz w:val="24"/>
        </w:rPr>
      </w:pPr>
      <w:r>
        <w:rPr>
          <w:sz w:val="24"/>
        </w:rPr>
        <w:t>发包人提出变更</w:t>
      </w:r>
    </w:p>
    <w:p>
      <w:pPr>
        <w:spacing w:after="0" w:line="240"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10" o:spid="_x0000_s1110" o:spt="20" style="position:absolute;left:0pt;margin-left:62.4pt;margin-top:12.25pt;height:0pt;width:400.4pt;mso-position-horizontal-relative:page;z-index:25176166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2" w:lineRule="auto"/>
        <w:ind w:left="388" w:right="852" w:firstLine="424"/>
      </w:pPr>
      <w:r>
        <w:t>发包人提出变更的，应通过监理人向承包人发出变更指示，变更指示应说明计划变更的工程范围和变更的内容。</w:t>
      </w:r>
    </w:p>
    <w:p>
      <w:pPr>
        <w:pStyle w:val="16"/>
        <w:numPr>
          <w:ilvl w:val="2"/>
          <w:numId w:val="35"/>
        </w:numPr>
        <w:tabs>
          <w:tab w:val="left" w:pos="1653"/>
        </w:tabs>
        <w:spacing w:before="5" w:after="0" w:line="240" w:lineRule="auto"/>
        <w:ind w:left="1652" w:right="0" w:hanging="841"/>
        <w:jc w:val="left"/>
        <w:rPr>
          <w:sz w:val="24"/>
        </w:rPr>
      </w:pPr>
      <w:r>
        <w:rPr>
          <w:sz w:val="24"/>
        </w:rPr>
        <w:t>监理人提出变更建议</w:t>
      </w:r>
    </w:p>
    <w:p>
      <w:pPr>
        <w:pStyle w:val="8"/>
        <w:spacing w:before="158" w:line="364" w:lineRule="auto"/>
        <w:ind w:left="388" w:right="624" w:firstLine="424"/>
      </w:pPr>
      <w:r>
        <w:t>监理人提出变更建议的，需要向发包人以书面形式提出变更计划，说明计划变更工程</w:t>
      </w:r>
      <w:r>
        <w:rPr>
          <w:spacing w:val="-7"/>
        </w:rPr>
        <w:t xml:space="preserve">范围和变更的内容、理由，以及实施该变更对合同价格和工期的影响。发包人同意变更的， </w:t>
      </w:r>
      <w:r>
        <w:t>由监理人向承包人发出变更指示。发包人不同意变更的，监理人无权擅自发出变更指示。</w:t>
      </w:r>
    </w:p>
    <w:p>
      <w:pPr>
        <w:pStyle w:val="16"/>
        <w:numPr>
          <w:ilvl w:val="2"/>
          <w:numId w:val="35"/>
        </w:numPr>
        <w:tabs>
          <w:tab w:val="left" w:pos="1653"/>
        </w:tabs>
        <w:spacing w:before="0" w:after="0" w:line="307" w:lineRule="exact"/>
        <w:ind w:left="1652" w:right="0" w:hanging="841"/>
        <w:jc w:val="left"/>
        <w:rPr>
          <w:sz w:val="24"/>
        </w:rPr>
      </w:pPr>
      <w:r>
        <w:rPr>
          <w:sz w:val="24"/>
        </w:rPr>
        <w:t>变更执行</w:t>
      </w:r>
    </w:p>
    <w:p>
      <w:pPr>
        <w:pStyle w:val="8"/>
        <w:spacing w:before="160" w:line="362" w:lineRule="auto"/>
        <w:ind w:left="388" w:right="798" w:firstLine="424"/>
        <w:jc w:val="both"/>
      </w:pPr>
      <w:r>
        <w:t>承包人收到监理人下达的变更指示后，认为不能执行，应立即提出不能执行该变更指示的理由。承包人认为可以执行变更的，应当书面说明实施该变更指示对合同价格和工期的影响，且合同当事人应当按照第 10.4 款〔变更估价〕约定确定变更估价。</w:t>
      </w:r>
    </w:p>
    <w:p>
      <w:pPr>
        <w:pStyle w:val="16"/>
        <w:numPr>
          <w:ilvl w:val="1"/>
          <w:numId w:val="35"/>
        </w:numPr>
        <w:tabs>
          <w:tab w:val="left" w:pos="1168"/>
        </w:tabs>
        <w:spacing w:before="7" w:after="0" w:line="240" w:lineRule="auto"/>
        <w:ind w:left="1168" w:right="0" w:hanging="540"/>
        <w:jc w:val="both"/>
        <w:rPr>
          <w:sz w:val="24"/>
        </w:rPr>
      </w:pPr>
      <w:r>
        <w:rPr>
          <w:sz w:val="24"/>
        </w:rPr>
        <w:t>变更估价</w:t>
      </w:r>
    </w:p>
    <w:p>
      <w:pPr>
        <w:pStyle w:val="16"/>
        <w:numPr>
          <w:ilvl w:val="2"/>
          <w:numId w:val="35"/>
        </w:numPr>
        <w:tabs>
          <w:tab w:val="left" w:pos="1653"/>
        </w:tabs>
        <w:spacing w:before="160" w:after="0" w:line="240" w:lineRule="auto"/>
        <w:ind w:left="1652" w:right="0" w:hanging="841"/>
        <w:jc w:val="left"/>
        <w:rPr>
          <w:sz w:val="24"/>
        </w:rPr>
      </w:pPr>
      <w:r>
        <w:rPr>
          <w:sz w:val="24"/>
        </w:rPr>
        <w:t>变更估价原则</w:t>
      </w:r>
    </w:p>
    <w:p>
      <w:pPr>
        <w:pStyle w:val="8"/>
        <w:spacing w:before="158"/>
        <w:ind w:left="812"/>
      </w:pPr>
      <w:r>
        <w:t>除专用合同条款另有约定外，变更估价按照本款约定处理：</w:t>
      </w:r>
    </w:p>
    <w:p>
      <w:pPr>
        <w:pStyle w:val="16"/>
        <w:numPr>
          <w:ilvl w:val="0"/>
          <w:numId w:val="50"/>
        </w:numPr>
        <w:tabs>
          <w:tab w:val="left" w:pos="1414"/>
        </w:tabs>
        <w:spacing w:before="161" w:after="0" w:line="240" w:lineRule="auto"/>
        <w:ind w:left="1413" w:right="0" w:hanging="602"/>
        <w:jc w:val="left"/>
        <w:rPr>
          <w:sz w:val="24"/>
        </w:rPr>
      </w:pPr>
      <w:r>
        <w:rPr>
          <w:sz w:val="24"/>
        </w:rPr>
        <w:t>已标价工程量清单或预算书有相同项目的，按照相同项目单价认定；</w:t>
      </w:r>
    </w:p>
    <w:p>
      <w:pPr>
        <w:pStyle w:val="16"/>
        <w:numPr>
          <w:ilvl w:val="0"/>
          <w:numId w:val="50"/>
        </w:numPr>
        <w:tabs>
          <w:tab w:val="left" w:pos="1414"/>
        </w:tabs>
        <w:spacing w:before="158" w:after="0" w:line="364" w:lineRule="auto"/>
        <w:ind w:left="388" w:right="744" w:firstLine="424"/>
        <w:jc w:val="left"/>
        <w:rPr>
          <w:sz w:val="24"/>
        </w:rPr>
      </w:pPr>
      <w:r>
        <w:rPr>
          <w:spacing w:val="-3"/>
          <w:sz w:val="24"/>
        </w:rPr>
        <w:t>已标价工程量清单或预算书中无相同项目，但有类似项目的，参照类似项目的单</w:t>
      </w:r>
      <w:r>
        <w:rPr>
          <w:sz w:val="24"/>
        </w:rPr>
        <w:t>价认定；</w:t>
      </w:r>
    </w:p>
    <w:p>
      <w:pPr>
        <w:pStyle w:val="16"/>
        <w:numPr>
          <w:ilvl w:val="0"/>
          <w:numId w:val="50"/>
        </w:numPr>
        <w:tabs>
          <w:tab w:val="left" w:pos="1414"/>
        </w:tabs>
        <w:spacing w:before="0" w:after="0" w:line="364" w:lineRule="auto"/>
        <w:ind w:left="388" w:right="744" w:firstLine="424"/>
        <w:jc w:val="left"/>
        <w:rPr>
          <w:sz w:val="24"/>
        </w:rPr>
      </w:pPr>
      <w:r>
        <w:rPr>
          <w:spacing w:val="-1"/>
          <w:sz w:val="24"/>
        </w:rPr>
        <w:t>变更导致实际完成的变更工程量与已标价工程量清单或预算书中列明的该项目工</w:t>
      </w:r>
      <w:r>
        <w:rPr>
          <w:spacing w:val="-6"/>
          <w:sz w:val="24"/>
        </w:rPr>
        <w:t xml:space="preserve">程量的变化幅度超过 </w:t>
      </w:r>
      <w:r>
        <w:rPr>
          <w:sz w:val="24"/>
        </w:rPr>
        <w:t>15%的，或已标价工程量清单或预算书中无相同项目及类似项目单价</w:t>
      </w:r>
      <w:r>
        <w:rPr>
          <w:spacing w:val="-3"/>
          <w:sz w:val="24"/>
        </w:rPr>
        <w:t xml:space="preserve">的，按照合理的成本与利润构成的原则，由合同当事人按照第 </w:t>
      </w:r>
      <w:r>
        <w:rPr>
          <w:sz w:val="24"/>
        </w:rPr>
        <w:t>4.4</w:t>
      </w:r>
      <w:r>
        <w:rPr>
          <w:spacing w:val="-8"/>
          <w:sz w:val="24"/>
        </w:rPr>
        <w:t xml:space="preserve"> 款〔商定或确定〕确定变更工作的单价。</w:t>
      </w:r>
    </w:p>
    <w:p>
      <w:pPr>
        <w:pStyle w:val="16"/>
        <w:numPr>
          <w:ilvl w:val="2"/>
          <w:numId w:val="35"/>
        </w:numPr>
        <w:tabs>
          <w:tab w:val="left" w:pos="1653"/>
        </w:tabs>
        <w:spacing w:before="0" w:after="0" w:line="305" w:lineRule="exact"/>
        <w:ind w:left="1652" w:right="0" w:hanging="841"/>
        <w:jc w:val="left"/>
        <w:rPr>
          <w:sz w:val="24"/>
        </w:rPr>
      </w:pPr>
      <w:r>
        <w:rPr>
          <w:sz w:val="24"/>
        </w:rPr>
        <w:t>变更估价程序</w:t>
      </w:r>
    </w:p>
    <w:p>
      <w:pPr>
        <w:pStyle w:val="8"/>
        <w:spacing w:before="159"/>
        <w:ind w:left="812"/>
      </w:pPr>
      <w:r>
        <w:t>承包人应在收到变更指示后 14 天内，向监理人提交变更估价申请。监理人应在收到承</w:t>
      </w:r>
    </w:p>
    <w:p>
      <w:pPr>
        <w:pStyle w:val="8"/>
        <w:spacing w:before="161"/>
        <w:ind w:left="388"/>
      </w:pPr>
      <w:r>
        <w:t>包人提交的变更估价申请后 7 天内审查完毕并报送发包人，监理人对变更估价申请有异议，</w:t>
      </w:r>
    </w:p>
    <w:p>
      <w:pPr>
        <w:pStyle w:val="8"/>
        <w:spacing w:before="158" w:line="364" w:lineRule="auto"/>
        <w:ind w:left="388" w:right="744"/>
      </w:pPr>
      <w:r>
        <w:rPr>
          <w:spacing w:val="-5"/>
        </w:rPr>
        <w:t xml:space="preserve">通知承包人修改后重新提交。发包人应在承包人提交变更估价申请后 </w:t>
      </w:r>
      <w:r>
        <w:t>14</w:t>
      </w:r>
      <w:r>
        <w:rPr>
          <w:spacing w:val="-13"/>
        </w:rPr>
        <w:t xml:space="preserve"> 天内审批完毕。发</w:t>
      </w:r>
      <w:r>
        <w:t>包人逾期未完成审批或未提出异议的，视为认可承包人提交的变更估价申请。</w:t>
      </w:r>
    </w:p>
    <w:p>
      <w:pPr>
        <w:pStyle w:val="8"/>
        <w:spacing w:line="306" w:lineRule="exact"/>
        <w:ind w:left="812"/>
      </w:pPr>
      <w:r>
        <w:t>因变更引起的价格调整应计入最近一期的进度款中支付。</w:t>
      </w:r>
    </w:p>
    <w:p>
      <w:pPr>
        <w:pStyle w:val="16"/>
        <w:numPr>
          <w:ilvl w:val="1"/>
          <w:numId w:val="35"/>
        </w:numPr>
        <w:tabs>
          <w:tab w:val="left" w:pos="1168"/>
        </w:tabs>
        <w:spacing w:before="158" w:after="0" w:line="240" w:lineRule="auto"/>
        <w:ind w:left="1168" w:right="0" w:hanging="540"/>
        <w:jc w:val="left"/>
        <w:rPr>
          <w:sz w:val="24"/>
        </w:rPr>
      </w:pPr>
      <w:r>
        <w:rPr>
          <w:sz w:val="24"/>
        </w:rPr>
        <w:t>承包人的合理化建议</w:t>
      </w:r>
    </w:p>
    <w:p>
      <w:pPr>
        <w:pStyle w:val="8"/>
        <w:spacing w:before="160" w:line="364" w:lineRule="auto"/>
        <w:ind w:left="388" w:right="581" w:firstLine="424"/>
      </w:pPr>
      <w:r>
        <w:t>承包人提出合理化建议的，应向监理人提交合理化建议说明，说明建议的内容和理由， 以及实施该建议对合同价格和工期的影响。</w:t>
      </w:r>
    </w:p>
    <w:p>
      <w:pPr>
        <w:spacing w:after="0" w:line="364" w:lineRule="auto"/>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11" o:spid="_x0000_s1111" o:spt="20" style="position:absolute;left:0pt;margin-left:62.4pt;margin-top:12.25pt;height:0pt;width:400.4pt;mso-position-horizontal-relative:page;z-index:25176268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4" w:lineRule="auto"/>
        <w:ind w:left="388" w:right="798" w:firstLine="424"/>
        <w:jc w:val="both"/>
      </w:pPr>
      <w:r>
        <w:rPr>
          <w:spacing w:val="-2"/>
        </w:rPr>
        <w:t xml:space="preserve">除专用合同条款另有约定外，监理人应在收到承包人提交的合理化建议后 </w:t>
      </w:r>
      <w:r>
        <w:t>7</w:t>
      </w:r>
      <w:r>
        <w:rPr>
          <w:spacing w:val="-12"/>
        </w:rPr>
        <w:t xml:space="preserve"> 天内审查</w:t>
      </w:r>
      <w:r>
        <w:rPr>
          <w:spacing w:val="-13"/>
        </w:rPr>
        <w:t>完毕并报送发包人，发现其中存在技术上的缺陷，应通知承包人修改。发包人应在收到监</w:t>
      </w:r>
      <w:r>
        <w:rPr>
          <w:spacing w:val="-5"/>
        </w:rPr>
        <w:t xml:space="preserve">理人报送的合理化建议后 </w:t>
      </w:r>
      <w:r>
        <w:t>7</w:t>
      </w:r>
      <w:r>
        <w:rPr>
          <w:spacing w:val="-9"/>
        </w:rPr>
        <w:t xml:space="preserve"> 天内审批完毕。合理化建议经发包人批准的，监理人应及时发</w:t>
      </w:r>
    </w:p>
    <w:p>
      <w:pPr>
        <w:pStyle w:val="8"/>
        <w:spacing w:line="364" w:lineRule="auto"/>
        <w:ind w:left="388" w:right="744"/>
        <w:jc w:val="both"/>
      </w:pPr>
      <w:r>
        <w:rPr>
          <w:spacing w:val="-7"/>
        </w:rPr>
        <w:t xml:space="preserve">出变更指示，由此引起的合同价格调整按照第 </w:t>
      </w:r>
      <w:r>
        <w:t>10.4</w:t>
      </w:r>
      <w:r>
        <w:rPr>
          <w:spacing w:val="-13"/>
        </w:rPr>
        <w:t xml:space="preserve"> 款〔变更估价〕约定执行。发包人不同</w:t>
      </w:r>
      <w:r>
        <w:t>意变更的，监理人应书面通知承包人。</w:t>
      </w:r>
    </w:p>
    <w:p>
      <w:pPr>
        <w:pStyle w:val="8"/>
        <w:spacing w:line="364" w:lineRule="auto"/>
        <w:ind w:left="388" w:right="581" w:firstLine="424"/>
      </w:pPr>
      <w:r>
        <w:t>合理化建议降低了合同价格或者提高了工程经济效益的，发包人可对承包人给予奖励， 奖励的方法和金额在专用合同条款中约定。</w:t>
      </w:r>
    </w:p>
    <w:p>
      <w:pPr>
        <w:pStyle w:val="16"/>
        <w:numPr>
          <w:ilvl w:val="1"/>
          <w:numId w:val="35"/>
        </w:numPr>
        <w:tabs>
          <w:tab w:val="left" w:pos="1168"/>
        </w:tabs>
        <w:spacing w:before="0" w:after="0" w:line="240" w:lineRule="auto"/>
        <w:ind w:left="1168" w:right="0" w:hanging="540"/>
        <w:jc w:val="left"/>
        <w:rPr>
          <w:sz w:val="24"/>
        </w:rPr>
      </w:pPr>
      <w:r>
        <w:rPr>
          <w:sz w:val="24"/>
        </w:rPr>
        <w:t>变更引起的工期调整</w:t>
      </w:r>
    </w:p>
    <w:p>
      <w:pPr>
        <w:pStyle w:val="8"/>
        <w:spacing w:before="155" w:line="362" w:lineRule="auto"/>
        <w:ind w:left="388" w:right="744" w:firstLine="424"/>
      </w:pPr>
      <w:r>
        <w:rPr>
          <w:spacing w:val="-8"/>
        </w:rPr>
        <w:t xml:space="preserve">因变更引起工期变化的，合同当事人均可要求调整合同工期，由合同当事人按照第 </w:t>
      </w:r>
      <w:r>
        <w:rPr>
          <w:spacing w:val="-6"/>
        </w:rPr>
        <w:t xml:space="preserve">4.4 </w:t>
      </w:r>
      <w:r>
        <w:t>款〔商定或确定〕并参考工程所在地的工期定额标准确定增减工期天数。</w:t>
      </w:r>
    </w:p>
    <w:p>
      <w:pPr>
        <w:pStyle w:val="16"/>
        <w:numPr>
          <w:ilvl w:val="1"/>
          <w:numId w:val="35"/>
        </w:numPr>
        <w:tabs>
          <w:tab w:val="left" w:pos="1168"/>
        </w:tabs>
        <w:spacing w:before="5" w:after="0" w:line="240" w:lineRule="auto"/>
        <w:ind w:left="1168" w:right="0" w:hanging="540"/>
        <w:jc w:val="left"/>
        <w:rPr>
          <w:sz w:val="24"/>
        </w:rPr>
      </w:pPr>
      <w:r>
        <w:rPr>
          <w:sz w:val="24"/>
        </w:rPr>
        <w:t>暂估价</w:t>
      </w:r>
    </w:p>
    <w:p>
      <w:pPr>
        <w:pStyle w:val="8"/>
        <w:spacing w:before="160" w:line="362" w:lineRule="auto"/>
        <w:ind w:left="388" w:right="852" w:firstLine="424"/>
      </w:pPr>
      <w:r>
        <w:t>暂估价专业分包工程、服务、材料和工程设备的明细由合同当事人在专用合同条款中约定。</w:t>
      </w:r>
    </w:p>
    <w:p>
      <w:pPr>
        <w:pStyle w:val="16"/>
        <w:numPr>
          <w:ilvl w:val="2"/>
          <w:numId w:val="35"/>
        </w:numPr>
        <w:tabs>
          <w:tab w:val="left" w:pos="1653"/>
        </w:tabs>
        <w:spacing w:before="5" w:after="0" w:line="240" w:lineRule="auto"/>
        <w:ind w:left="1652" w:right="0" w:hanging="841"/>
        <w:jc w:val="left"/>
        <w:rPr>
          <w:sz w:val="24"/>
        </w:rPr>
      </w:pPr>
      <w:r>
        <w:rPr>
          <w:sz w:val="24"/>
        </w:rPr>
        <w:t>依法必须招标的暂估价项目</w:t>
      </w:r>
    </w:p>
    <w:p>
      <w:pPr>
        <w:pStyle w:val="8"/>
        <w:spacing w:before="158" w:line="364" w:lineRule="auto"/>
        <w:ind w:left="388" w:right="852" w:firstLine="424"/>
      </w:pPr>
      <w:r>
        <w:rPr>
          <w:spacing w:val="-3"/>
        </w:rPr>
        <w:t xml:space="preserve">对于依法必须招标的暂估价项目，采取以下第 </w:t>
      </w:r>
      <w:r>
        <w:t>1</w:t>
      </w:r>
      <w:r>
        <w:rPr>
          <w:spacing w:val="-9"/>
        </w:rPr>
        <w:t xml:space="preserve"> 种方式确定。合同当事人也可以在专</w:t>
      </w:r>
      <w:r>
        <w:t>用合同条款中选择其他招标方式。</w:t>
      </w:r>
    </w:p>
    <w:p>
      <w:pPr>
        <w:pStyle w:val="8"/>
        <w:spacing w:line="364" w:lineRule="auto"/>
        <w:ind w:left="388" w:right="852" w:firstLine="424"/>
      </w:pPr>
      <w:r>
        <w:rPr>
          <w:spacing w:val="-30"/>
        </w:rPr>
        <w:t xml:space="preserve">第 </w:t>
      </w:r>
      <w:r>
        <w:t>1</w:t>
      </w:r>
      <w:r>
        <w:rPr>
          <w:spacing w:val="-9"/>
        </w:rPr>
        <w:t xml:space="preserve"> 种方式：对于依法必须招标的暂估价项目，由承包人招标，对该暂估价项目的确</w:t>
      </w:r>
      <w:r>
        <w:t>认和批准按照以下约定执行：</w:t>
      </w:r>
    </w:p>
    <w:p>
      <w:pPr>
        <w:pStyle w:val="16"/>
        <w:numPr>
          <w:ilvl w:val="0"/>
          <w:numId w:val="51"/>
        </w:numPr>
        <w:tabs>
          <w:tab w:val="left" w:pos="1414"/>
        </w:tabs>
        <w:spacing w:before="0" w:after="0" w:line="306" w:lineRule="exact"/>
        <w:ind w:left="1413" w:right="0" w:hanging="602"/>
        <w:jc w:val="left"/>
        <w:rPr>
          <w:sz w:val="24"/>
        </w:rPr>
      </w:pPr>
      <w:r>
        <w:rPr>
          <w:spacing w:val="-3"/>
          <w:sz w:val="24"/>
        </w:rPr>
        <w:t xml:space="preserve">承包人应当根据施工进度计划，在招标工作启动前 </w:t>
      </w:r>
      <w:r>
        <w:rPr>
          <w:sz w:val="24"/>
        </w:rPr>
        <w:t>14</w:t>
      </w:r>
      <w:r>
        <w:rPr>
          <w:spacing w:val="-8"/>
          <w:sz w:val="24"/>
        </w:rPr>
        <w:t xml:space="preserve"> 天将招标方案通过监理人</w:t>
      </w:r>
    </w:p>
    <w:p>
      <w:pPr>
        <w:pStyle w:val="8"/>
        <w:spacing w:before="160" w:line="362" w:lineRule="auto"/>
        <w:ind w:left="388" w:right="624"/>
      </w:pPr>
      <w:r>
        <w:rPr>
          <w:spacing w:val="-10"/>
        </w:rPr>
        <w:t xml:space="preserve">报送发包人审查，发包人应当在收到承包人报送的招标方案后 </w:t>
      </w:r>
      <w:r>
        <w:t>7</w:t>
      </w:r>
      <w:r>
        <w:rPr>
          <w:spacing w:val="-9"/>
        </w:rPr>
        <w:t xml:space="preserve"> 天内批准或提出修改意见。</w:t>
      </w:r>
      <w:r>
        <w:t>承包人应当按照经过发包人批准的招标方案开展招标工作；</w:t>
      </w:r>
    </w:p>
    <w:p>
      <w:pPr>
        <w:pStyle w:val="16"/>
        <w:numPr>
          <w:ilvl w:val="0"/>
          <w:numId w:val="51"/>
        </w:numPr>
        <w:tabs>
          <w:tab w:val="left" w:pos="1414"/>
        </w:tabs>
        <w:spacing w:before="5" w:after="0" w:line="240" w:lineRule="auto"/>
        <w:ind w:left="1413" w:right="0" w:hanging="602"/>
        <w:jc w:val="left"/>
        <w:rPr>
          <w:sz w:val="24"/>
        </w:rPr>
      </w:pPr>
      <w:r>
        <w:rPr>
          <w:spacing w:val="-4"/>
          <w:sz w:val="24"/>
        </w:rPr>
        <w:t xml:space="preserve">承包人应当根据施工进度计划，提前 </w:t>
      </w:r>
      <w:r>
        <w:rPr>
          <w:sz w:val="24"/>
        </w:rPr>
        <w:t>14</w:t>
      </w:r>
      <w:r>
        <w:rPr>
          <w:spacing w:val="-8"/>
          <w:sz w:val="24"/>
        </w:rPr>
        <w:t xml:space="preserve"> 天将磋商文件通过监理人报送发包人审</w:t>
      </w:r>
    </w:p>
    <w:p>
      <w:pPr>
        <w:pStyle w:val="8"/>
        <w:spacing w:before="160" w:line="362" w:lineRule="auto"/>
        <w:ind w:left="388" w:right="798"/>
      </w:pPr>
      <w:r>
        <w:rPr>
          <w:spacing w:val="-3"/>
        </w:rPr>
        <w:t xml:space="preserve">批，发包人应当在收到承包人报送的相关文件后 </w:t>
      </w:r>
      <w:r>
        <w:t>7</w:t>
      </w:r>
      <w:r>
        <w:rPr>
          <w:spacing w:val="-9"/>
        </w:rPr>
        <w:t xml:space="preserve"> 天内完成审批或提出修改意见；发包人</w:t>
      </w:r>
      <w:r>
        <w:t>有权确定招标控制价并按照法律规定参加评标；</w:t>
      </w:r>
    </w:p>
    <w:p>
      <w:pPr>
        <w:pStyle w:val="16"/>
        <w:numPr>
          <w:ilvl w:val="0"/>
          <w:numId w:val="51"/>
        </w:numPr>
        <w:tabs>
          <w:tab w:val="left" w:pos="1469"/>
        </w:tabs>
        <w:spacing w:before="5" w:after="0" w:line="240" w:lineRule="auto"/>
        <w:ind w:left="1469" w:right="0" w:hanging="601"/>
        <w:jc w:val="left"/>
        <w:rPr>
          <w:sz w:val="24"/>
        </w:rPr>
      </w:pPr>
      <w:r>
        <w:rPr>
          <w:spacing w:val="-6"/>
          <w:sz w:val="24"/>
        </w:rPr>
        <w:t xml:space="preserve">承包人与磋商响应人、分包人在签订暂估价合同前，应当提前 </w:t>
      </w:r>
      <w:r>
        <w:rPr>
          <w:sz w:val="24"/>
        </w:rPr>
        <w:t>7</w:t>
      </w:r>
      <w:r>
        <w:rPr>
          <w:spacing w:val="-8"/>
          <w:sz w:val="24"/>
        </w:rPr>
        <w:t xml:space="preserve"> 天将确定的中标</w:t>
      </w:r>
    </w:p>
    <w:p>
      <w:pPr>
        <w:pStyle w:val="8"/>
        <w:spacing w:before="158"/>
        <w:ind w:left="388"/>
      </w:pPr>
      <w:r>
        <w:t>候选磋商响应人或中标候选分包人的资料报送发包人，发包人应在收到资料后 3 天内与承</w:t>
      </w:r>
    </w:p>
    <w:p>
      <w:pPr>
        <w:pStyle w:val="8"/>
        <w:spacing w:before="158" w:line="364" w:lineRule="auto"/>
        <w:ind w:left="388" w:right="798"/>
      </w:pPr>
      <w:r>
        <w:rPr>
          <w:spacing w:val="-3"/>
        </w:rPr>
        <w:t xml:space="preserve">包人共同确定中标人；承包人应当在签订合同后 </w:t>
      </w:r>
      <w:r>
        <w:t>7</w:t>
      </w:r>
      <w:r>
        <w:rPr>
          <w:spacing w:val="-9"/>
        </w:rPr>
        <w:t xml:space="preserve"> 天内，将暂估价合同副本报送发包人留</w:t>
      </w:r>
      <w:r>
        <w:t>存。</w:t>
      </w:r>
    </w:p>
    <w:p>
      <w:pPr>
        <w:pStyle w:val="8"/>
        <w:spacing w:before="1"/>
        <w:ind w:left="812"/>
      </w:pPr>
      <w:r>
        <w:t>第 2 种方式：对于依法必须招标的暂估价项目，由发包人和承包人共同招标确定暂估</w:t>
      </w:r>
    </w:p>
    <w:p>
      <w:pPr>
        <w:pStyle w:val="8"/>
        <w:spacing w:before="159"/>
        <w:ind w:left="388"/>
      </w:pPr>
      <w:r>
        <w:t>价磋商响应人或分包人的，承包人应按照施工进度计划，在招标工作启动前 14 天通知发包</w:t>
      </w:r>
    </w:p>
    <w:p>
      <w:pPr>
        <w:spacing w:after="0"/>
        <w:sectPr>
          <w:footerReference r:id="rId12" w:type="default"/>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pgNumType w:start="70"/>
          <w:cols w:space="720" w:num="1"/>
        </w:sectPr>
      </w:pPr>
    </w:p>
    <w:p>
      <w:pPr>
        <w:tabs>
          <w:tab w:val="left" w:pos="7676"/>
        </w:tabs>
        <w:spacing w:before="45"/>
        <w:ind w:left="388" w:right="0" w:firstLine="0"/>
        <w:jc w:val="left"/>
        <w:rPr>
          <w:sz w:val="18"/>
        </w:rPr>
      </w:pPr>
      <w:r>
        <w:pict>
          <v:line id="_x0000_s1112" o:spid="_x0000_s1112" o:spt="20" style="position:absolute;left:0pt;margin-left:62.4pt;margin-top:12.25pt;height:0pt;width:400.4pt;mso-position-horizontal-relative:page;z-index:25176371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2" w:lineRule="auto"/>
        <w:ind w:left="388" w:right="798"/>
      </w:pPr>
      <w:r>
        <w:rPr>
          <w:spacing w:val="-3"/>
        </w:rPr>
        <w:t xml:space="preserve">人，并提交暂估价招标方案和工作分工。发包人应在收到后 </w:t>
      </w:r>
      <w:r>
        <w:t>7</w:t>
      </w:r>
      <w:r>
        <w:rPr>
          <w:spacing w:val="-9"/>
        </w:rPr>
        <w:t xml:space="preserve"> 天内确认。确定中标人后， </w:t>
      </w:r>
      <w:r>
        <w:t>由发包人、承包人与中标人共同签订暂估价合同。</w:t>
      </w:r>
    </w:p>
    <w:p>
      <w:pPr>
        <w:pStyle w:val="16"/>
        <w:numPr>
          <w:ilvl w:val="2"/>
          <w:numId w:val="35"/>
        </w:numPr>
        <w:tabs>
          <w:tab w:val="left" w:pos="1593"/>
        </w:tabs>
        <w:spacing w:before="5" w:after="0" w:line="240" w:lineRule="auto"/>
        <w:ind w:left="1592" w:right="0" w:hanging="781"/>
        <w:jc w:val="left"/>
        <w:rPr>
          <w:sz w:val="24"/>
        </w:rPr>
      </w:pPr>
      <w:r>
        <w:rPr>
          <w:sz w:val="24"/>
        </w:rPr>
        <w:t>不属于依法必须招标的暂估价项目</w:t>
      </w:r>
    </w:p>
    <w:p>
      <w:pPr>
        <w:pStyle w:val="8"/>
        <w:spacing w:before="158" w:line="364" w:lineRule="auto"/>
        <w:ind w:left="388" w:right="845" w:firstLine="424"/>
      </w:pPr>
      <w:r>
        <w:t>除专用合同条款另有约定外，对于不属于依法必须招标的暂估价项目，采取以下第 1 种方式确定：</w:t>
      </w:r>
    </w:p>
    <w:p>
      <w:pPr>
        <w:pStyle w:val="8"/>
        <w:spacing w:line="306" w:lineRule="exact"/>
        <w:ind w:left="812"/>
      </w:pPr>
      <w:r>
        <w:t>第 1 种方式：对于不属于依法必须招标的暂估价项目，按本项约定确认和批准：</w:t>
      </w:r>
    </w:p>
    <w:p>
      <w:pPr>
        <w:pStyle w:val="16"/>
        <w:numPr>
          <w:ilvl w:val="0"/>
          <w:numId w:val="52"/>
        </w:numPr>
        <w:tabs>
          <w:tab w:val="left" w:pos="1414"/>
        </w:tabs>
        <w:spacing w:before="160" w:after="0" w:line="240" w:lineRule="auto"/>
        <w:ind w:left="1413" w:right="0" w:hanging="602"/>
        <w:jc w:val="left"/>
        <w:rPr>
          <w:sz w:val="24"/>
        </w:rPr>
      </w:pPr>
      <w:r>
        <w:rPr>
          <w:spacing w:val="-2"/>
          <w:sz w:val="24"/>
        </w:rPr>
        <w:t xml:space="preserve">承包人应根据施工进度计划，在签订暂估价项目的采购合同、分包合同前 </w:t>
      </w:r>
      <w:r>
        <w:rPr>
          <w:sz w:val="24"/>
        </w:rPr>
        <w:t>28</w:t>
      </w:r>
      <w:r>
        <w:rPr>
          <w:spacing w:val="-30"/>
          <w:sz w:val="24"/>
        </w:rPr>
        <w:t xml:space="preserve"> 天</w:t>
      </w:r>
    </w:p>
    <w:p>
      <w:pPr>
        <w:pStyle w:val="8"/>
        <w:spacing w:before="161"/>
        <w:ind w:left="388"/>
      </w:pPr>
      <w:r>
        <w:t>向监理人提出书面申请。监理人应当在收到申请后 3 天内报送发包人，发包人应当在收到</w:t>
      </w:r>
    </w:p>
    <w:p>
      <w:pPr>
        <w:pStyle w:val="8"/>
        <w:spacing w:before="158" w:line="362" w:lineRule="auto"/>
        <w:ind w:left="388" w:right="744"/>
      </w:pPr>
      <w:r>
        <w:rPr>
          <w:spacing w:val="-15"/>
        </w:rPr>
        <w:t xml:space="preserve">申请后 </w:t>
      </w:r>
      <w:r>
        <w:t>14</w:t>
      </w:r>
      <w:r>
        <w:rPr>
          <w:spacing w:val="-12"/>
        </w:rPr>
        <w:t xml:space="preserve"> 天内给予批准或提出修改意见，发包人逾期未予批准或提出修改意见的，视为该</w:t>
      </w:r>
      <w:r>
        <w:t>书面申请已获得同意；</w:t>
      </w:r>
    </w:p>
    <w:p>
      <w:pPr>
        <w:pStyle w:val="16"/>
        <w:numPr>
          <w:ilvl w:val="0"/>
          <w:numId w:val="52"/>
        </w:numPr>
        <w:tabs>
          <w:tab w:val="left" w:pos="1414"/>
        </w:tabs>
        <w:spacing w:before="5" w:after="0" w:line="364" w:lineRule="auto"/>
        <w:ind w:left="388" w:right="732" w:firstLine="424"/>
        <w:jc w:val="left"/>
        <w:rPr>
          <w:sz w:val="24"/>
        </w:rPr>
      </w:pPr>
      <w:r>
        <w:rPr>
          <w:spacing w:val="-1"/>
          <w:sz w:val="24"/>
        </w:rPr>
        <w:t xml:space="preserve">发包人认为承包人确定的磋商响应人、分包人无法满足工程质量或合同要求的， </w:t>
      </w:r>
      <w:r>
        <w:rPr>
          <w:sz w:val="24"/>
        </w:rPr>
        <w:t>发包人可以要求承包人重新确定暂估价项目的磋商响应人、分包人;</w:t>
      </w:r>
    </w:p>
    <w:p>
      <w:pPr>
        <w:pStyle w:val="16"/>
        <w:numPr>
          <w:ilvl w:val="0"/>
          <w:numId w:val="52"/>
        </w:numPr>
        <w:tabs>
          <w:tab w:val="left" w:pos="1414"/>
        </w:tabs>
        <w:spacing w:before="0" w:after="0" w:line="306" w:lineRule="exact"/>
        <w:ind w:left="1413" w:right="0" w:hanging="602"/>
        <w:jc w:val="left"/>
        <w:rPr>
          <w:sz w:val="24"/>
        </w:rPr>
      </w:pPr>
      <w:r>
        <w:rPr>
          <w:spacing w:val="-4"/>
          <w:sz w:val="24"/>
        </w:rPr>
        <w:t xml:space="preserve">承包人应当在签订暂估价合同后 </w:t>
      </w:r>
      <w:r>
        <w:rPr>
          <w:sz w:val="24"/>
        </w:rPr>
        <w:t>7</w:t>
      </w:r>
      <w:r>
        <w:rPr>
          <w:spacing w:val="-8"/>
          <w:sz w:val="24"/>
        </w:rPr>
        <w:t xml:space="preserve"> 天内，将暂估价合同副本报送发包人留存。</w:t>
      </w:r>
    </w:p>
    <w:p>
      <w:pPr>
        <w:pStyle w:val="8"/>
        <w:spacing w:before="160" w:line="362" w:lineRule="auto"/>
        <w:ind w:left="388" w:right="744" w:firstLine="424"/>
      </w:pPr>
      <w:r>
        <w:rPr>
          <w:spacing w:val="-30"/>
        </w:rPr>
        <w:t xml:space="preserve">第 </w:t>
      </w:r>
      <w:r>
        <w:t>2</w:t>
      </w:r>
      <w:r>
        <w:rPr>
          <w:spacing w:val="-13"/>
        </w:rPr>
        <w:t xml:space="preserve"> 种方式：承包人按照第 </w:t>
      </w:r>
      <w:r>
        <w:t>10.7.1</w:t>
      </w:r>
      <w:r>
        <w:rPr>
          <w:spacing w:val="-12"/>
        </w:rPr>
        <w:t xml:space="preserve"> 项〔依法必须招标的暂估价项目〕约定的第 </w:t>
      </w:r>
      <w:r>
        <w:t>1</w:t>
      </w:r>
      <w:r>
        <w:rPr>
          <w:spacing w:val="-26"/>
        </w:rPr>
        <w:t xml:space="preserve"> 种方</w:t>
      </w:r>
      <w:r>
        <w:t>式确定暂估价项目。</w:t>
      </w:r>
    </w:p>
    <w:p>
      <w:pPr>
        <w:pStyle w:val="8"/>
        <w:spacing w:before="5"/>
        <w:ind w:left="812"/>
      </w:pPr>
      <w:r>
        <w:t>第 3 种方式：承包人直接实施的暂估价项目</w:t>
      </w:r>
    </w:p>
    <w:p>
      <w:pPr>
        <w:pStyle w:val="8"/>
        <w:spacing w:before="158" w:line="364" w:lineRule="auto"/>
        <w:ind w:left="388" w:right="852" w:firstLine="424"/>
      </w:pPr>
      <w:r>
        <w:t>承包人具备实施暂估价项目的资格和条件的，经发包人和承包人协商一致后，可由承包人自行实施暂估价项目，合同当事人可以在专用合同条款约定具体事项。</w:t>
      </w:r>
    </w:p>
    <w:p>
      <w:pPr>
        <w:pStyle w:val="16"/>
        <w:numPr>
          <w:ilvl w:val="2"/>
          <w:numId w:val="35"/>
        </w:numPr>
        <w:tabs>
          <w:tab w:val="left" w:pos="1653"/>
        </w:tabs>
        <w:spacing w:before="0" w:after="0" w:line="364" w:lineRule="auto"/>
        <w:ind w:left="388" w:right="744" w:firstLine="424"/>
        <w:jc w:val="both"/>
        <w:rPr>
          <w:sz w:val="24"/>
        </w:rPr>
      </w:pPr>
      <w:r>
        <w:rPr>
          <w:spacing w:val="-2"/>
          <w:sz w:val="24"/>
        </w:rPr>
        <w:t>因发包人原因导致暂估价合同订立和履行迟延的，由此增加的费用和</w:t>
      </w:r>
      <w:r>
        <w:rPr>
          <w:sz w:val="24"/>
        </w:rPr>
        <w:t>（或</w:t>
      </w:r>
      <w:r>
        <w:rPr>
          <w:spacing w:val="-3"/>
          <w:sz w:val="24"/>
        </w:rPr>
        <w:t>）</w:t>
      </w:r>
      <w:r>
        <w:rPr>
          <w:spacing w:val="-16"/>
          <w:sz w:val="24"/>
        </w:rPr>
        <w:t>延</w:t>
      </w:r>
      <w:r>
        <w:rPr>
          <w:sz w:val="24"/>
        </w:rPr>
        <w:t>误的工期由发包人承担，并支付承包人合理的利润。因承包人原因导致暂估价合同订立和履行迟延的，由此增加的费用和（或）延误的工期由承包人承担。</w:t>
      </w:r>
    </w:p>
    <w:p>
      <w:pPr>
        <w:pStyle w:val="16"/>
        <w:numPr>
          <w:ilvl w:val="1"/>
          <w:numId w:val="35"/>
        </w:numPr>
        <w:tabs>
          <w:tab w:val="left" w:pos="1353"/>
        </w:tabs>
        <w:spacing w:before="0" w:after="0" w:line="307" w:lineRule="exact"/>
        <w:ind w:left="1352" w:right="0" w:hanging="541"/>
        <w:jc w:val="both"/>
        <w:rPr>
          <w:sz w:val="24"/>
        </w:rPr>
      </w:pPr>
      <w:r>
        <w:rPr>
          <w:sz w:val="24"/>
        </w:rPr>
        <w:t>暂列金额</w:t>
      </w:r>
    </w:p>
    <w:p>
      <w:pPr>
        <w:pStyle w:val="8"/>
        <w:spacing w:before="160" w:line="362" w:lineRule="auto"/>
        <w:ind w:left="388" w:right="852" w:firstLine="424"/>
      </w:pPr>
      <w:r>
        <w:t>暂列金额应按照发包人的要求使用，发包人的要求应通过监理人发出。合同当事人可以在专用合同条款中协商确定有关事项。</w:t>
      </w:r>
    </w:p>
    <w:p>
      <w:pPr>
        <w:pStyle w:val="16"/>
        <w:numPr>
          <w:ilvl w:val="1"/>
          <w:numId w:val="35"/>
        </w:numPr>
        <w:tabs>
          <w:tab w:val="left" w:pos="1353"/>
        </w:tabs>
        <w:spacing w:before="5" w:after="0" w:line="240" w:lineRule="auto"/>
        <w:ind w:left="1352" w:right="0" w:hanging="541"/>
        <w:jc w:val="left"/>
        <w:rPr>
          <w:sz w:val="24"/>
        </w:rPr>
      </w:pPr>
      <w:r>
        <w:rPr>
          <w:sz w:val="24"/>
        </w:rPr>
        <w:t>计日工</w:t>
      </w:r>
    </w:p>
    <w:p>
      <w:pPr>
        <w:pStyle w:val="8"/>
        <w:spacing w:before="158" w:line="364" w:lineRule="auto"/>
        <w:ind w:left="388" w:right="798" w:firstLine="424"/>
        <w:jc w:val="both"/>
      </w:pPr>
      <w: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 4.4 款〔商定或确定〕确定变更工作的单价。</w:t>
      </w:r>
    </w:p>
    <w:p>
      <w:pPr>
        <w:spacing w:after="0" w:line="364" w:lineRule="auto"/>
        <w:jc w:val="both"/>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13" o:spid="_x0000_s1113" o:spt="20" style="position:absolute;left:0pt;margin-left:62.4pt;margin-top:12.25pt;height:0pt;width:400.4pt;mso-position-horizontal-relative:page;z-index:25176473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2" w:lineRule="auto"/>
        <w:ind w:left="388" w:right="852" w:firstLine="424"/>
      </w:pPr>
      <w:r>
        <w:t>采用计日工计价的任何一项工作，承包人应在该项工作实施过程中，每天提交以下报表和有关凭证报送监理人审查：</w:t>
      </w:r>
    </w:p>
    <w:p>
      <w:pPr>
        <w:pStyle w:val="16"/>
        <w:numPr>
          <w:ilvl w:val="0"/>
          <w:numId w:val="53"/>
        </w:numPr>
        <w:tabs>
          <w:tab w:val="left" w:pos="1414"/>
        </w:tabs>
        <w:spacing w:before="5" w:after="0" w:line="240" w:lineRule="auto"/>
        <w:ind w:left="1413" w:right="0" w:hanging="602"/>
        <w:jc w:val="left"/>
        <w:rPr>
          <w:sz w:val="24"/>
        </w:rPr>
      </w:pPr>
      <w:r>
        <w:rPr>
          <w:sz w:val="24"/>
        </w:rPr>
        <w:t>工作名称、内容和数量；</w:t>
      </w:r>
    </w:p>
    <w:p>
      <w:pPr>
        <w:pStyle w:val="16"/>
        <w:numPr>
          <w:ilvl w:val="0"/>
          <w:numId w:val="53"/>
        </w:numPr>
        <w:tabs>
          <w:tab w:val="left" w:pos="1414"/>
        </w:tabs>
        <w:spacing w:before="158" w:after="0" w:line="240" w:lineRule="auto"/>
        <w:ind w:left="1413" w:right="0" w:hanging="602"/>
        <w:jc w:val="left"/>
        <w:rPr>
          <w:sz w:val="24"/>
        </w:rPr>
      </w:pPr>
      <w:r>
        <w:rPr>
          <w:sz w:val="24"/>
        </w:rPr>
        <w:t>投入该工作的所有人员的姓名、专业、工种、级别和耗用工时；</w:t>
      </w:r>
    </w:p>
    <w:p>
      <w:pPr>
        <w:pStyle w:val="16"/>
        <w:numPr>
          <w:ilvl w:val="0"/>
          <w:numId w:val="53"/>
        </w:numPr>
        <w:tabs>
          <w:tab w:val="left" w:pos="1414"/>
        </w:tabs>
        <w:spacing w:before="160" w:after="0" w:line="240" w:lineRule="auto"/>
        <w:ind w:left="1413" w:right="0" w:hanging="602"/>
        <w:jc w:val="left"/>
        <w:rPr>
          <w:sz w:val="24"/>
        </w:rPr>
      </w:pPr>
      <w:r>
        <w:rPr>
          <w:sz w:val="24"/>
        </w:rPr>
        <w:t>投入该工作的材料类别和数量；</w:t>
      </w:r>
    </w:p>
    <w:p>
      <w:pPr>
        <w:pStyle w:val="16"/>
        <w:numPr>
          <w:ilvl w:val="0"/>
          <w:numId w:val="53"/>
        </w:numPr>
        <w:tabs>
          <w:tab w:val="left" w:pos="1414"/>
        </w:tabs>
        <w:spacing w:before="158" w:after="0" w:line="240" w:lineRule="auto"/>
        <w:ind w:left="1413" w:right="0" w:hanging="602"/>
        <w:jc w:val="left"/>
        <w:rPr>
          <w:sz w:val="24"/>
        </w:rPr>
      </w:pPr>
      <w:r>
        <w:rPr>
          <w:sz w:val="24"/>
        </w:rPr>
        <w:t>投入该工作的施工设备型号、台数和耗用台时；</w:t>
      </w:r>
    </w:p>
    <w:p>
      <w:pPr>
        <w:pStyle w:val="16"/>
        <w:numPr>
          <w:ilvl w:val="0"/>
          <w:numId w:val="53"/>
        </w:numPr>
        <w:tabs>
          <w:tab w:val="left" w:pos="1414"/>
        </w:tabs>
        <w:spacing w:before="161" w:after="0" w:line="240" w:lineRule="auto"/>
        <w:ind w:left="1413" w:right="0" w:hanging="602"/>
        <w:jc w:val="left"/>
        <w:rPr>
          <w:sz w:val="24"/>
        </w:rPr>
      </w:pPr>
      <w:r>
        <w:rPr>
          <w:sz w:val="24"/>
        </w:rPr>
        <w:t>其他有关资料和凭证。</w:t>
      </w:r>
    </w:p>
    <w:p>
      <w:pPr>
        <w:pStyle w:val="8"/>
        <w:spacing w:before="160" w:line="362" w:lineRule="auto"/>
        <w:ind w:left="388" w:right="701" w:firstLine="544"/>
      </w:pPr>
      <w:r>
        <w:t>计日工由承包人汇总后，列入最近一期进度付款申请单，由监理人审查并经发包人批准后列入进度付款。</w:t>
      </w:r>
    </w:p>
    <w:p>
      <w:pPr>
        <w:pStyle w:val="16"/>
        <w:numPr>
          <w:ilvl w:val="0"/>
          <w:numId w:val="35"/>
        </w:numPr>
        <w:tabs>
          <w:tab w:val="left" w:pos="868"/>
        </w:tabs>
        <w:spacing w:before="3" w:after="0" w:line="240" w:lineRule="auto"/>
        <w:ind w:left="868" w:right="0" w:hanging="480"/>
        <w:jc w:val="left"/>
        <w:outlineLvl w:val="2"/>
        <w:rPr>
          <w:sz w:val="24"/>
        </w:rPr>
      </w:pPr>
      <w:r>
        <w:rPr>
          <w:sz w:val="24"/>
        </w:rPr>
        <w:t>价格调整</w:t>
      </w:r>
    </w:p>
    <w:p>
      <w:pPr>
        <w:pStyle w:val="16"/>
        <w:numPr>
          <w:ilvl w:val="1"/>
          <w:numId w:val="35"/>
        </w:numPr>
        <w:tabs>
          <w:tab w:val="left" w:pos="1353"/>
        </w:tabs>
        <w:spacing w:before="160" w:after="0" w:line="240" w:lineRule="auto"/>
        <w:ind w:left="1352" w:right="0" w:hanging="541"/>
        <w:jc w:val="left"/>
        <w:rPr>
          <w:sz w:val="24"/>
        </w:rPr>
      </w:pPr>
      <w:r>
        <w:rPr>
          <w:sz w:val="24"/>
        </w:rPr>
        <w:t>市场价格波动引起的调整</w:t>
      </w:r>
    </w:p>
    <w:p>
      <w:pPr>
        <w:pStyle w:val="8"/>
        <w:spacing w:before="161" w:line="362" w:lineRule="auto"/>
        <w:ind w:left="388" w:right="798" w:firstLine="424"/>
      </w:pPr>
      <w:r>
        <w:t>除专用合同条款另有约定外，市场价格波动超过合同当事人约定的范围，合同价格应当调整。合同当事人可以在专用合同条款中约定选择以下一种方式对合同价格进行调整：</w:t>
      </w:r>
    </w:p>
    <w:p>
      <w:pPr>
        <w:pStyle w:val="8"/>
        <w:spacing w:before="5"/>
        <w:ind w:left="812"/>
      </w:pPr>
      <w:r>
        <w:t>第 1 种方式：采用价格指数进行价格调整。</w:t>
      </w:r>
    </w:p>
    <w:p>
      <w:pPr>
        <w:pStyle w:val="16"/>
        <w:numPr>
          <w:ilvl w:val="0"/>
          <w:numId w:val="54"/>
        </w:numPr>
        <w:tabs>
          <w:tab w:val="left" w:pos="1414"/>
        </w:tabs>
        <w:spacing w:before="158" w:after="0" w:line="240" w:lineRule="auto"/>
        <w:ind w:left="1413" w:right="0" w:hanging="602"/>
        <w:jc w:val="left"/>
        <w:rPr>
          <w:sz w:val="24"/>
        </w:rPr>
      </w:pPr>
      <w:r>
        <w:rPr>
          <w:sz w:val="24"/>
        </w:rPr>
        <w:t>价格调整公式</w:t>
      </w:r>
    </w:p>
    <w:p>
      <w:pPr>
        <w:pStyle w:val="8"/>
        <w:spacing w:before="160" w:line="362" w:lineRule="auto"/>
        <w:ind w:left="388" w:right="852" w:firstLine="424"/>
      </w:pPr>
      <w:r>
        <w:t>因人工、材料和设备等价格波动影响合同价格时，根据专用合同条款中约定的数据， 按以下公式计算差额并调整合同价格：</w:t>
      </w:r>
    </w:p>
    <w:p>
      <w:pPr>
        <w:spacing w:before="38" w:after="9" w:line="218" w:lineRule="exact"/>
        <w:ind w:left="857" w:right="0" w:firstLine="0"/>
        <w:jc w:val="left"/>
        <w:rPr>
          <w:rFonts w:ascii="Symbol" w:hAnsi="Symbol"/>
          <w:sz w:val="30"/>
        </w:rPr>
      </w:pPr>
      <w:r>
        <w:rPr>
          <w:rFonts w:ascii="Symbol" w:hAnsi="Symbol"/>
          <w:spacing w:val="-5"/>
          <w:w w:val="105"/>
          <w:sz w:val="30"/>
        </w:rPr>
        <w:t></w:t>
      </w:r>
      <w:r>
        <w:rPr>
          <w:rFonts w:ascii="Times New Roman" w:hAnsi="Times New Roman"/>
          <w:spacing w:val="-5"/>
          <w:w w:val="105"/>
          <w:sz w:val="30"/>
        </w:rPr>
        <w:t xml:space="preserve">P </w:t>
      </w:r>
      <w:r>
        <w:rPr>
          <w:rFonts w:ascii="Symbol" w:hAnsi="Symbol"/>
          <w:w w:val="105"/>
          <w:sz w:val="30"/>
        </w:rPr>
        <w:t></w:t>
      </w:r>
      <w:r>
        <w:rPr>
          <w:rFonts w:ascii="Times New Roman" w:hAnsi="Times New Roman"/>
          <w:w w:val="105"/>
          <w:sz w:val="30"/>
        </w:rPr>
        <w:t xml:space="preserve"> P</w:t>
      </w:r>
      <w:r>
        <w:rPr>
          <w:rFonts w:ascii="Times New Roman" w:hAnsi="Times New Roman"/>
          <w:w w:val="105"/>
          <w:sz w:val="30"/>
          <w:vertAlign w:val="subscript"/>
        </w:rPr>
        <w:t>0</w:t>
      </w:r>
      <w:r>
        <w:rPr>
          <w:rFonts w:ascii="Symbol" w:hAnsi="Symbol"/>
          <w:w w:val="105"/>
          <w:position w:val="20"/>
          <w:sz w:val="30"/>
          <w:vertAlign w:val="baseline"/>
        </w:rPr>
        <w:t></w:t>
      </w:r>
      <w:r>
        <w:rPr>
          <w:rFonts w:ascii="Times New Roman" w:hAnsi="Times New Roman"/>
          <w:w w:val="105"/>
          <w:sz w:val="30"/>
          <w:vertAlign w:val="baseline"/>
        </w:rPr>
        <w:t xml:space="preserve">A </w:t>
      </w:r>
      <w:r>
        <w:rPr>
          <w:rFonts w:ascii="Symbol" w:hAnsi="Symbol"/>
          <w:spacing w:val="13"/>
          <w:w w:val="105"/>
          <w:sz w:val="30"/>
          <w:vertAlign w:val="baseline"/>
        </w:rPr>
        <w:t></w:t>
      </w:r>
      <w:r>
        <w:rPr>
          <w:rFonts w:ascii="Symbol" w:hAnsi="Symbol"/>
          <w:spacing w:val="13"/>
          <w:w w:val="105"/>
          <w:position w:val="17"/>
          <w:sz w:val="30"/>
          <w:vertAlign w:val="baseline"/>
        </w:rPr>
        <w:t></w:t>
      </w:r>
      <w:r>
        <w:rPr>
          <w:rFonts w:ascii="Times New Roman" w:hAnsi="Times New Roman"/>
          <w:spacing w:val="13"/>
          <w:w w:val="105"/>
          <w:sz w:val="30"/>
          <w:vertAlign w:val="baseline"/>
        </w:rPr>
        <w:t>B</w:t>
      </w:r>
      <w:r>
        <w:rPr>
          <w:rFonts w:ascii="Times New Roman" w:hAnsi="Times New Roman"/>
          <w:spacing w:val="13"/>
          <w:w w:val="105"/>
          <w:sz w:val="30"/>
          <w:vertAlign w:val="subscript"/>
        </w:rPr>
        <w:t>1</w:t>
      </w:r>
      <w:r>
        <w:rPr>
          <w:rFonts w:ascii="Symbol" w:hAnsi="Symbol"/>
          <w:spacing w:val="13"/>
          <w:w w:val="105"/>
          <w:sz w:val="30"/>
          <w:vertAlign w:val="baseline"/>
        </w:rPr>
        <w:t></w:t>
      </w:r>
      <w:r>
        <w:rPr>
          <w:rFonts w:ascii="Times New Roman" w:hAnsi="Times New Roman"/>
          <w:spacing w:val="13"/>
          <w:w w:val="105"/>
          <w:sz w:val="30"/>
          <w:vertAlign w:val="baseline"/>
        </w:rPr>
        <w:t xml:space="preserve"> </w:t>
      </w:r>
      <w:r>
        <w:rPr>
          <w:rFonts w:ascii="Times New Roman" w:hAnsi="Times New Roman"/>
          <w:spacing w:val="-4"/>
          <w:w w:val="105"/>
          <w:position w:val="19"/>
          <w:sz w:val="30"/>
          <w:vertAlign w:val="baseline"/>
        </w:rPr>
        <w:t>F</w:t>
      </w:r>
      <w:r>
        <w:rPr>
          <w:rFonts w:ascii="Times New Roman" w:hAnsi="Times New Roman"/>
          <w:spacing w:val="-4"/>
          <w:w w:val="105"/>
          <w:position w:val="19"/>
          <w:sz w:val="18"/>
          <w:vertAlign w:val="baseline"/>
        </w:rPr>
        <w:t xml:space="preserve">t1 </w:t>
      </w:r>
      <w:r>
        <w:rPr>
          <w:rFonts w:ascii="Symbol" w:hAnsi="Symbol"/>
          <w:w w:val="105"/>
          <w:sz w:val="30"/>
          <w:vertAlign w:val="baseline"/>
        </w:rPr>
        <w:t></w:t>
      </w:r>
      <w:r>
        <w:rPr>
          <w:rFonts w:ascii="Times New Roman" w:hAnsi="Times New Roman"/>
          <w:w w:val="105"/>
          <w:sz w:val="30"/>
          <w:vertAlign w:val="baseline"/>
        </w:rPr>
        <w:t xml:space="preserve"> </w:t>
      </w:r>
      <w:r>
        <w:rPr>
          <w:rFonts w:ascii="Times New Roman" w:hAnsi="Times New Roman"/>
          <w:spacing w:val="5"/>
          <w:w w:val="105"/>
          <w:sz w:val="30"/>
          <w:vertAlign w:val="baseline"/>
        </w:rPr>
        <w:t>B</w:t>
      </w:r>
      <w:r>
        <w:rPr>
          <w:rFonts w:ascii="Times New Roman" w:hAnsi="Times New Roman"/>
          <w:spacing w:val="5"/>
          <w:w w:val="105"/>
          <w:sz w:val="30"/>
          <w:vertAlign w:val="subscript"/>
        </w:rPr>
        <w:t>2</w:t>
      </w:r>
      <w:r>
        <w:rPr>
          <w:rFonts w:ascii="Symbol" w:hAnsi="Symbol"/>
          <w:spacing w:val="5"/>
          <w:w w:val="105"/>
          <w:sz w:val="30"/>
          <w:vertAlign w:val="baseline"/>
        </w:rPr>
        <w:t></w:t>
      </w:r>
      <w:r>
        <w:rPr>
          <w:rFonts w:ascii="Times New Roman" w:hAnsi="Times New Roman"/>
          <w:spacing w:val="5"/>
          <w:w w:val="105"/>
          <w:sz w:val="30"/>
          <w:vertAlign w:val="baseline"/>
        </w:rPr>
        <w:t xml:space="preserve"> </w:t>
      </w:r>
      <w:r>
        <w:rPr>
          <w:rFonts w:ascii="Times New Roman" w:hAnsi="Times New Roman"/>
          <w:spacing w:val="-4"/>
          <w:w w:val="105"/>
          <w:position w:val="19"/>
          <w:sz w:val="30"/>
          <w:vertAlign w:val="baseline"/>
        </w:rPr>
        <w:t>F</w:t>
      </w:r>
      <w:r>
        <w:rPr>
          <w:rFonts w:ascii="Times New Roman" w:hAnsi="Times New Roman"/>
          <w:spacing w:val="-4"/>
          <w:w w:val="105"/>
          <w:position w:val="19"/>
          <w:sz w:val="18"/>
          <w:vertAlign w:val="baseline"/>
        </w:rPr>
        <w:t xml:space="preserve">t2 </w:t>
      </w:r>
      <w:r>
        <w:rPr>
          <w:rFonts w:ascii="Symbol" w:hAnsi="Symbol"/>
          <w:w w:val="105"/>
          <w:sz w:val="30"/>
          <w:vertAlign w:val="baseline"/>
        </w:rPr>
        <w:t></w:t>
      </w:r>
      <w:r>
        <w:rPr>
          <w:rFonts w:ascii="Times New Roman" w:hAnsi="Times New Roman"/>
          <w:w w:val="105"/>
          <w:sz w:val="30"/>
          <w:vertAlign w:val="baseline"/>
        </w:rPr>
        <w:t xml:space="preserve"> </w:t>
      </w:r>
      <w:r>
        <w:rPr>
          <w:rFonts w:ascii="Times New Roman" w:hAnsi="Times New Roman"/>
          <w:spacing w:val="3"/>
          <w:w w:val="105"/>
          <w:sz w:val="30"/>
          <w:vertAlign w:val="baseline"/>
        </w:rPr>
        <w:t>B</w:t>
      </w:r>
      <w:r>
        <w:rPr>
          <w:rFonts w:ascii="Times New Roman" w:hAnsi="Times New Roman"/>
          <w:spacing w:val="3"/>
          <w:w w:val="105"/>
          <w:sz w:val="30"/>
          <w:vertAlign w:val="subscript"/>
        </w:rPr>
        <w:t>3</w:t>
      </w:r>
      <w:r>
        <w:rPr>
          <w:rFonts w:ascii="Symbol" w:hAnsi="Symbol"/>
          <w:spacing w:val="3"/>
          <w:w w:val="105"/>
          <w:sz w:val="30"/>
          <w:vertAlign w:val="baseline"/>
        </w:rPr>
        <w:t></w:t>
      </w:r>
      <w:r>
        <w:rPr>
          <w:rFonts w:ascii="Times New Roman" w:hAnsi="Times New Roman"/>
          <w:spacing w:val="3"/>
          <w:w w:val="105"/>
          <w:sz w:val="30"/>
          <w:vertAlign w:val="baseline"/>
        </w:rPr>
        <w:t xml:space="preserve"> </w:t>
      </w:r>
      <w:r>
        <w:rPr>
          <w:rFonts w:ascii="Times New Roman" w:hAnsi="Times New Roman"/>
          <w:spacing w:val="-4"/>
          <w:w w:val="105"/>
          <w:position w:val="19"/>
          <w:sz w:val="30"/>
          <w:vertAlign w:val="baseline"/>
        </w:rPr>
        <w:t>F</w:t>
      </w:r>
      <w:r>
        <w:rPr>
          <w:rFonts w:ascii="Times New Roman" w:hAnsi="Times New Roman"/>
          <w:spacing w:val="-4"/>
          <w:w w:val="105"/>
          <w:position w:val="19"/>
          <w:sz w:val="18"/>
          <w:vertAlign w:val="baseline"/>
        </w:rPr>
        <w:t xml:space="preserve">t3 </w:t>
      </w:r>
      <w:r>
        <w:rPr>
          <w:rFonts w:ascii="Symbol" w:hAnsi="Symbol"/>
          <w:spacing w:val="10"/>
          <w:w w:val="105"/>
          <w:sz w:val="30"/>
          <w:vertAlign w:val="baseline"/>
        </w:rPr>
        <w:t></w:t>
      </w:r>
      <w:r>
        <w:rPr>
          <w:rFonts w:ascii="MT Extra" w:hAnsi="MT Extra"/>
          <w:spacing w:val="10"/>
          <w:w w:val="105"/>
          <w:sz w:val="30"/>
          <w:vertAlign w:val="baseline"/>
        </w:rPr>
        <w:t></w:t>
      </w:r>
      <w:r>
        <w:rPr>
          <w:rFonts w:ascii="Symbol" w:hAnsi="Symbol"/>
          <w:spacing w:val="10"/>
          <w:w w:val="105"/>
          <w:sz w:val="30"/>
          <w:vertAlign w:val="baseline"/>
        </w:rPr>
        <w:t></w:t>
      </w:r>
      <w:r>
        <w:rPr>
          <w:rFonts w:ascii="Times New Roman" w:hAnsi="Times New Roman"/>
          <w:spacing w:val="10"/>
          <w:w w:val="105"/>
          <w:sz w:val="30"/>
          <w:vertAlign w:val="baseline"/>
        </w:rPr>
        <w:t xml:space="preserve"> </w:t>
      </w:r>
      <w:r>
        <w:rPr>
          <w:rFonts w:ascii="Times New Roman" w:hAnsi="Times New Roman"/>
          <w:spacing w:val="-7"/>
          <w:w w:val="105"/>
          <w:sz w:val="30"/>
          <w:vertAlign w:val="baseline"/>
        </w:rPr>
        <w:t>B</w:t>
      </w:r>
      <w:r>
        <w:rPr>
          <w:rFonts w:ascii="Times New Roman" w:hAnsi="Times New Roman"/>
          <w:spacing w:val="-7"/>
          <w:w w:val="105"/>
          <w:sz w:val="30"/>
          <w:vertAlign w:val="subscript"/>
        </w:rPr>
        <w:t>n</w:t>
      </w:r>
      <w:r>
        <w:rPr>
          <w:rFonts w:ascii="Times New Roman" w:hAnsi="Times New Roman"/>
          <w:spacing w:val="-7"/>
          <w:w w:val="105"/>
          <w:sz w:val="30"/>
          <w:vertAlign w:val="baseline"/>
        </w:rPr>
        <w:t xml:space="preserve"> </w:t>
      </w:r>
      <w:r>
        <w:rPr>
          <w:rFonts w:ascii="Symbol" w:hAnsi="Symbol"/>
          <w:w w:val="105"/>
          <w:sz w:val="30"/>
          <w:vertAlign w:val="baseline"/>
        </w:rPr>
        <w:t></w:t>
      </w:r>
      <w:r>
        <w:rPr>
          <w:rFonts w:ascii="Times New Roman" w:hAnsi="Times New Roman"/>
          <w:w w:val="105"/>
          <w:sz w:val="30"/>
          <w:vertAlign w:val="baseline"/>
        </w:rPr>
        <w:t xml:space="preserve"> </w:t>
      </w:r>
      <w:r>
        <w:rPr>
          <w:rFonts w:ascii="Times New Roman" w:hAnsi="Times New Roman"/>
          <w:spacing w:val="-4"/>
          <w:w w:val="105"/>
          <w:position w:val="19"/>
          <w:sz w:val="30"/>
          <w:vertAlign w:val="baseline"/>
        </w:rPr>
        <w:t>F</w:t>
      </w:r>
      <w:r>
        <w:rPr>
          <w:rFonts w:ascii="Times New Roman" w:hAnsi="Times New Roman"/>
          <w:spacing w:val="-4"/>
          <w:w w:val="105"/>
          <w:position w:val="19"/>
          <w:sz w:val="18"/>
          <w:vertAlign w:val="baseline"/>
        </w:rPr>
        <w:t xml:space="preserve">tn </w:t>
      </w:r>
      <w:r>
        <w:rPr>
          <w:rFonts w:ascii="Symbol" w:hAnsi="Symbol"/>
          <w:w w:val="105"/>
          <w:position w:val="17"/>
          <w:sz w:val="30"/>
          <w:vertAlign w:val="baseline"/>
        </w:rPr>
        <w:t></w:t>
      </w:r>
      <w:r>
        <w:rPr>
          <w:rFonts w:ascii="Times New Roman" w:hAnsi="Times New Roman"/>
          <w:w w:val="105"/>
          <w:position w:val="17"/>
          <w:sz w:val="30"/>
          <w:vertAlign w:val="baseline"/>
        </w:rPr>
        <w:t xml:space="preserve"> </w:t>
      </w:r>
      <w:r>
        <w:rPr>
          <w:rFonts w:ascii="Symbol" w:hAnsi="Symbol"/>
          <w:w w:val="105"/>
          <w:sz w:val="30"/>
          <w:vertAlign w:val="baseline"/>
        </w:rPr>
        <w:t></w:t>
      </w:r>
      <w:r>
        <w:rPr>
          <w:rFonts w:ascii="Times New Roman" w:hAnsi="Times New Roman"/>
          <w:spacing w:val="54"/>
          <w:w w:val="105"/>
          <w:sz w:val="30"/>
          <w:vertAlign w:val="baseline"/>
        </w:rPr>
        <w:t xml:space="preserve"> </w:t>
      </w:r>
      <w:r>
        <w:rPr>
          <w:rFonts w:ascii="Symbol" w:hAnsi="Symbol"/>
          <w:w w:val="105"/>
          <w:position w:val="20"/>
          <w:sz w:val="30"/>
          <w:vertAlign w:val="baseline"/>
        </w:rPr>
        <w:t></w:t>
      </w:r>
    </w:p>
    <w:p>
      <w:pPr>
        <w:tabs>
          <w:tab w:val="left" w:pos="4140"/>
          <w:tab w:val="left" w:pos="5293"/>
          <w:tab w:val="left" w:pos="6961"/>
          <w:tab w:val="left" w:pos="7719"/>
        </w:tabs>
        <w:spacing w:line="240" w:lineRule="auto"/>
        <w:ind w:left="2995" w:right="0" w:firstLine="0"/>
        <w:rPr>
          <w:rFonts w:ascii="Symbol" w:hAnsi="Symbol"/>
          <w:sz w:val="20"/>
        </w:rPr>
      </w:pPr>
      <w:r>
        <w:rPr>
          <w:rFonts w:ascii="Symbol" w:hAnsi="Symbol"/>
          <w:position w:val="14"/>
          <w:sz w:val="20"/>
        </w:rPr>
        <w:pict>
          <v:group id="_x0000_s1114" o:spid="_x0000_s1114" o:spt="203" style="height:0.65pt;width:17.7pt;" coordsize="354,13">
            <o:lock v:ext="edit"/>
            <v:line id="_x0000_s1115" o:spid="_x0000_s1115" o:spt="20" style="position:absolute;left:0;top:6;height:0;width:354;" stroked="t" coordsize="21600,21600">
              <v:path arrowok="t"/>
              <v:fill focussize="0,0"/>
              <v:stroke weight="0.62503937007874pt" color="#000000"/>
              <v:imagedata o:title=""/>
              <o:lock v:ext="edit"/>
            </v:line>
            <w10:wrap type="none"/>
            <w10:anchorlock/>
          </v:group>
        </w:pict>
      </w:r>
      <w:r>
        <w:rPr>
          <w:rFonts w:ascii="Symbol" w:hAnsi="Symbol"/>
          <w:position w:val="14"/>
          <w:sz w:val="20"/>
        </w:rPr>
        <w:t></w:t>
      </w:r>
      <w:r>
        <w:rPr>
          <w:rFonts w:ascii="Symbol" w:hAnsi="Symbol"/>
          <w:position w:val="14"/>
          <w:sz w:val="20"/>
        </w:rPr>
        <w:pict>
          <v:group id="_x0000_s1116" o:spid="_x0000_s1116" o:spt="203" style="height:0.65pt;width:18.35pt;" coordsize="367,13">
            <o:lock v:ext="edit"/>
            <v:line id="_x0000_s1117" o:spid="_x0000_s1117" o:spt="20" style="position:absolute;left:0;top:6;height:0;width:367;" stroked="t" coordsize="21600,21600">
              <v:path arrowok="t"/>
              <v:fill focussize="0,0"/>
              <v:stroke weight="0.62503937007874pt" color="#000000"/>
              <v:imagedata o:title=""/>
              <o:lock v:ext="edit"/>
            </v:line>
            <w10:wrap type="none"/>
            <w10:anchorlock/>
          </v:group>
        </w:pict>
      </w:r>
      <w:r>
        <w:rPr>
          <w:rFonts w:ascii="Symbol" w:hAnsi="Symbol"/>
          <w:position w:val="14"/>
          <w:sz w:val="20"/>
        </w:rPr>
        <w:t></w:t>
      </w:r>
      <w:r>
        <w:rPr>
          <w:rFonts w:ascii="Symbol" w:hAnsi="Symbol"/>
          <w:position w:val="14"/>
          <w:sz w:val="20"/>
        </w:rPr>
        <w:pict>
          <v:group id="_x0000_s1118" o:spid="_x0000_s1118" o:spt="203" style="height:0.65pt;width:18.1pt;" coordsize="362,13">
            <o:lock v:ext="edit"/>
            <v:line id="_x0000_s1119" o:spid="_x0000_s1119" o:spt="20" style="position:absolute;left:0;top:6;height:0;width:362;" stroked="t" coordsize="21600,21600">
              <v:path arrowok="t"/>
              <v:fill focussize="0,0"/>
              <v:stroke weight="0.62503937007874pt" color="#000000"/>
              <v:imagedata o:title=""/>
              <o:lock v:ext="edit"/>
            </v:line>
            <w10:wrap type="none"/>
            <w10:anchorlock/>
          </v:group>
        </w:pict>
      </w:r>
      <w:r>
        <w:rPr>
          <w:rFonts w:ascii="Symbol" w:hAnsi="Symbol"/>
          <w:position w:val="14"/>
          <w:sz w:val="20"/>
        </w:rPr>
        <w:t></w:t>
      </w:r>
      <w:r>
        <w:rPr>
          <w:rFonts w:ascii="Symbol" w:hAnsi="Symbol"/>
          <w:position w:val="14"/>
          <w:sz w:val="20"/>
        </w:rPr>
        <w:pict>
          <v:group id="_x0000_s1120" o:spid="_x0000_s1120" o:spt="203" style="height:0.65pt;width:18.8pt;" coordsize="376,13">
            <o:lock v:ext="edit"/>
            <v:line id="_x0000_s1121" o:spid="_x0000_s1121" o:spt="20" style="position:absolute;left:0;top:6;height:0;width:375;" stroked="t" coordsize="21600,21600">
              <v:path arrowok="t"/>
              <v:fill focussize="0,0"/>
              <v:stroke weight="0.62503937007874pt" color="#000000"/>
              <v:imagedata o:title=""/>
              <o:lock v:ext="edit"/>
            </v:line>
            <w10:wrap type="none"/>
            <w10:anchorlock/>
          </v:group>
        </w:pict>
      </w:r>
      <w:r>
        <w:rPr>
          <w:rFonts w:ascii="Symbol" w:hAnsi="Symbol"/>
          <w:position w:val="14"/>
          <w:sz w:val="20"/>
        </w:rPr>
        <w:t></w:t>
      </w:r>
      <w:r>
        <w:rPr>
          <w:rFonts w:ascii="Symbol" w:hAnsi="Symbol"/>
          <w:sz w:val="20"/>
        </w:rPr>
        <w:pict>
          <v:shape id="_x0000_s1122" o:spid="_x0000_s1122" o:spt="202" type="#_x0000_t202" style="height:17.05pt;width:6.45pt;" filled="f" stroked="f" coordsize="21600,21600">
            <v:path/>
            <v:fill on="f" focussize="0,0"/>
            <v:stroke on="f" joinstyle="miter"/>
            <v:imagedata o:title=""/>
            <o:lock v:ext="edit"/>
            <v:textbox inset="0mm,0mm,0mm,0mm">
              <w:txbxContent>
                <w:p>
                  <w:pPr>
                    <w:spacing w:before="0" w:line="339" w:lineRule="exact"/>
                    <w:ind w:left="0" w:right="0" w:firstLine="0"/>
                    <w:jc w:val="left"/>
                    <w:rPr>
                      <w:rFonts w:ascii="Times New Roman"/>
                      <w:sz w:val="30"/>
                    </w:rPr>
                  </w:pPr>
                  <w:r>
                    <w:rPr>
                      <w:rFonts w:ascii="Times New Roman"/>
                      <w:spacing w:val="-26"/>
                      <w:w w:val="102"/>
                      <w:sz w:val="30"/>
                    </w:rPr>
                    <w:t>1</w:t>
                  </w:r>
                </w:p>
              </w:txbxContent>
            </v:textbox>
            <w10:wrap type="none"/>
            <w10:anchorlock/>
          </v:shape>
        </w:pict>
      </w:r>
    </w:p>
    <w:p>
      <w:pPr>
        <w:spacing w:after="0" w:line="240" w:lineRule="auto"/>
        <w:rPr>
          <w:rFonts w:ascii="Symbol" w:hAnsi="Symbol"/>
          <w:sz w:val="20"/>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2352"/>
          <w:tab w:val="left" w:pos="3022"/>
        </w:tabs>
        <w:spacing w:before="0" w:line="115" w:lineRule="auto"/>
        <w:ind w:left="1762" w:right="0" w:firstLine="0"/>
        <w:jc w:val="left"/>
        <w:rPr>
          <w:rFonts w:ascii="Times New Roman" w:hAnsi="Times New Roman"/>
          <w:sz w:val="30"/>
        </w:rPr>
      </w:pPr>
      <w:r>
        <w:pict>
          <v:shape id="_x0000_s1123" o:spid="_x0000_s1123" o:spt="202" type="#_x0000_t202" style="position:absolute;left:0pt;margin-left:412pt;margin-top:5.65pt;height:18.85pt;width:5.9pt;mso-position-horizontal-relative:page;z-index:-251636736;mso-width-relative:page;mso-height-relative:page;" filled="f" stroked="f" coordsize="21600,21600">
            <v:path/>
            <v:fill on="f" focussize="0,0"/>
            <v:stroke on="f" joinstyle="miter"/>
            <v:imagedata o:title=""/>
            <o:lock v:ext="edit"/>
            <v:textbox inset="0mm,0mm,0mm,0mm">
              <w:txbxContent>
                <w:p>
                  <w:pPr>
                    <w:spacing w:before="7"/>
                    <w:ind w:left="0" w:right="0" w:firstLine="0"/>
                    <w:jc w:val="left"/>
                    <w:rPr>
                      <w:rFonts w:ascii="Symbol" w:hAnsi="Symbol"/>
                      <w:sz w:val="30"/>
                    </w:rPr>
                  </w:pPr>
                  <w:r>
                    <w:rPr>
                      <w:rFonts w:ascii="Symbol" w:hAnsi="Symbol"/>
                      <w:w w:val="102"/>
                      <w:sz w:val="30"/>
                    </w:rPr>
                    <w:t></w:t>
                  </w:r>
                </w:p>
              </w:txbxContent>
            </v:textbox>
          </v:shape>
        </w:pict>
      </w:r>
      <w:r>
        <w:pict>
          <v:shape id="_x0000_s1124" o:spid="_x0000_s1124" o:spt="202" type="#_x0000_t202" style="position:absolute;left:0pt;margin-left:131.1pt;margin-top:-3.25pt;height:18.85pt;width:5.9pt;mso-position-horizontal-relative:page;z-index:-251635712;mso-width-relative:page;mso-height-relative:page;" filled="f" stroked="f" coordsize="21600,21600">
            <v:path/>
            <v:fill on="f" focussize="0,0"/>
            <v:stroke on="f" joinstyle="miter"/>
            <v:imagedata o:title=""/>
            <o:lock v:ext="edit"/>
            <v:textbox inset="0mm,0mm,0mm,0mm">
              <w:txbxContent>
                <w:p>
                  <w:pPr>
                    <w:spacing w:before="7"/>
                    <w:ind w:left="0" w:right="0" w:firstLine="0"/>
                    <w:jc w:val="left"/>
                    <w:rPr>
                      <w:rFonts w:ascii="Symbol" w:hAnsi="Symbol"/>
                      <w:sz w:val="30"/>
                    </w:rPr>
                  </w:pPr>
                  <w:r>
                    <w:rPr>
                      <w:rFonts w:ascii="Symbol" w:hAnsi="Symbol"/>
                      <w:w w:val="102"/>
                      <w:sz w:val="30"/>
                    </w:rPr>
                    <w:t></w:t>
                  </w:r>
                </w:p>
              </w:txbxContent>
            </v:textbox>
          </v:shape>
        </w:pict>
      </w:r>
      <w:r>
        <w:pict>
          <v:shape id="_x0000_s1125" o:spid="_x0000_s1125" o:spt="202" type="#_x0000_t202" style="position:absolute;left:0pt;margin-left:160.6pt;margin-top:5.65pt;height:18.85pt;width:5.9pt;mso-position-horizontal-relative:page;z-index:-251634688;mso-width-relative:page;mso-height-relative:page;" filled="f" stroked="f" coordsize="21600,21600">
            <v:path/>
            <v:fill on="f" focussize="0,0"/>
            <v:stroke on="f" joinstyle="miter"/>
            <v:imagedata o:title=""/>
            <o:lock v:ext="edit"/>
            <v:textbox inset="0mm,0mm,0mm,0mm">
              <w:txbxContent>
                <w:p>
                  <w:pPr>
                    <w:spacing w:before="7"/>
                    <w:ind w:left="0" w:right="0" w:firstLine="0"/>
                    <w:jc w:val="left"/>
                    <w:rPr>
                      <w:rFonts w:ascii="Symbol" w:hAnsi="Symbol"/>
                      <w:sz w:val="30"/>
                    </w:rPr>
                  </w:pPr>
                  <w:r>
                    <w:rPr>
                      <w:rFonts w:ascii="Symbol" w:hAnsi="Symbol"/>
                      <w:w w:val="102"/>
                      <w:sz w:val="30"/>
                    </w:rPr>
                    <w:t></w:t>
                  </w:r>
                </w:p>
              </w:txbxContent>
            </v:textbox>
          </v:shape>
        </w:pict>
      </w:r>
      <w:r>
        <w:pict>
          <v:shape id="_x0000_s1126" o:spid="_x0000_s1126" o:spt="202" type="#_x0000_t202" style="position:absolute;left:0pt;margin-left:435.35pt;margin-top:6.95pt;height:18.85pt;width:5.9pt;mso-position-horizontal-relative:page;z-index:-251633664;mso-width-relative:page;mso-height-relative:page;" filled="f" stroked="f" coordsize="21600,21600">
            <v:path/>
            <v:fill on="f" focussize="0,0"/>
            <v:stroke on="f" joinstyle="miter"/>
            <v:imagedata o:title=""/>
            <o:lock v:ext="edit"/>
            <v:textbox inset="0mm,0mm,0mm,0mm">
              <w:txbxContent>
                <w:p>
                  <w:pPr>
                    <w:spacing w:before="7"/>
                    <w:ind w:left="0" w:right="0" w:firstLine="0"/>
                    <w:jc w:val="left"/>
                    <w:rPr>
                      <w:rFonts w:ascii="Symbol" w:hAnsi="Symbol"/>
                      <w:sz w:val="30"/>
                    </w:rPr>
                  </w:pPr>
                  <w:r>
                    <w:rPr>
                      <w:rFonts w:ascii="Symbol" w:hAnsi="Symbol"/>
                      <w:w w:val="102"/>
                      <w:sz w:val="30"/>
                    </w:rPr>
                    <w:t></w:t>
                  </w:r>
                </w:p>
              </w:txbxContent>
            </v:textbox>
          </v:shape>
        </w:pict>
      </w:r>
      <w:r>
        <w:rPr>
          <w:rFonts w:ascii="Symbol" w:hAnsi="Symbol"/>
          <w:w w:val="105"/>
          <w:position w:val="-5"/>
          <w:sz w:val="30"/>
        </w:rPr>
        <w:t></w:t>
      </w:r>
      <w:r>
        <w:rPr>
          <w:rFonts w:ascii="Times New Roman" w:hAnsi="Times New Roman"/>
          <w:w w:val="105"/>
          <w:position w:val="-5"/>
          <w:sz w:val="30"/>
        </w:rPr>
        <w:tab/>
      </w:r>
      <w:r>
        <w:rPr>
          <w:rFonts w:ascii="Symbol" w:hAnsi="Symbol"/>
          <w:w w:val="105"/>
          <w:position w:val="21"/>
          <w:sz w:val="30"/>
        </w:rPr>
        <w:t></w:t>
      </w:r>
      <w:r>
        <w:rPr>
          <w:rFonts w:ascii="Times New Roman" w:hAnsi="Times New Roman"/>
          <w:w w:val="105"/>
          <w:position w:val="21"/>
          <w:sz w:val="30"/>
        </w:rPr>
        <w:tab/>
      </w:r>
      <w:r>
        <w:rPr>
          <w:rFonts w:ascii="Times New Roman" w:hAnsi="Times New Roman"/>
          <w:spacing w:val="-21"/>
          <w:w w:val="105"/>
          <w:sz w:val="30"/>
        </w:rPr>
        <w:t>F</w:t>
      </w:r>
      <w:r>
        <w:rPr>
          <w:rFonts w:ascii="Times New Roman" w:hAnsi="Times New Roman"/>
          <w:spacing w:val="-21"/>
          <w:w w:val="105"/>
          <w:sz w:val="30"/>
          <w:vertAlign w:val="subscript"/>
        </w:rPr>
        <w:t>01</w:t>
      </w:r>
    </w:p>
    <w:p>
      <w:pPr>
        <w:spacing w:before="0" w:line="211" w:lineRule="exact"/>
        <w:ind w:left="0" w:right="0" w:firstLine="0"/>
        <w:jc w:val="right"/>
        <w:rPr>
          <w:rFonts w:ascii="Times New Roman"/>
          <w:sz w:val="30"/>
        </w:rPr>
      </w:pPr>
      <w:r>
        <w:br w:type="column"/>
      </w:r>
      <w:r>
        <w:rPr>
          <w:rFonts w:ascii="Times New Roman"/>
          <w:w w:val="105"/>
          <w:sz w:val="30"/>
        </w:rPr>
        <w:t>F</w:t>
      </w:r>
      <w:r>
        <w:rPr>
          <w:rFonts w:ascii="Times New Roman"/>
          <w:w w:val="105"/>
          <w:sz w:val="30"/>
          <w:vertAlign w:val="subscript"/>
        </w:rPr>
        <w:t>02</w:t>
      </w:r>
    </w:p>
    <w:p>
      <w:pPr>
        <w:spacing w:before="0" w:line="211" w:lineRule="exact"/>
        <w:ind w:left="0" w:right="0" w:firstLine="0"/>
        <w:jc w:val="right"/>
        <w:rPr>
          <w:rFonts w:ascii="Times New Roman"/>
          <w:sz w:val="30"/>
        </w:rPr>
      </w:pPr>
      <w:r>
        <w:br w:type="column"/>
      </w:r>
      <w:r>
        <w:rPr>
          <w:rFonts w:ascii="Times New Roman"/>
          <w:w w:val="105"/>
          <w:sz w:val="30"/>
        </w:rPr>
        <w:t>F</w:t>
      </w:r>
      <w:r>
        <w:rPr>
          <w:rFonts w:ascii="Times New Roman"/>
          <w:w w:val="105"/>
          <w:sz w:val="30"/>
          <w:vertAlign w:val="subscript"/>
        </w:rPr>
        <w:t>03</w:t>
      </w:r>
    </w:p>
    <w:p>
      <w:pPr>
        <w:pStyle w:val="6"/>
        <w:tabs>
          <w:tab w:val="left" w:pos="2148"/>
        </w:tabs>
        <w:spacing w:line="115" w:lineRule="auto"/>
        <w:ind w:left="1289"/>
        <w:rPr>
          <w:rFonts w:ascii="Symbol" w:hAnsi="Symbol"/>
        </w:rPr>
      </w:pPr>
      <w:r>
        <w:br w:type="column"/>
      </w:r>
      <w:r>
        <w:rPr>
          <w:rFonts w:ascii="Times New Roman" w:hAnsi="Times New Roman"/>
          <w:spacing w:val="-4"/>
          <w:w w:val="105"/>
        </w:rPr>
        <w:t>F</w:t>
      </w:r>
      <w:r>
        <w:rPr>
          <w:rFonts w:ascii="Times New Roman" w:hAnsi="Times New Roman"/>
          <w:spacing w:val="-4"/>
          <w:w w:val="105"/>
          <w:vertAlign w:val="subscript"/>
        </w:rPr>
        <w:t>0n</w:t>
      </w:r>
      <w:r>
        <w:rPr>
          <w:rFonts w:ascii="Times New Roman" w:hAnsi="Times New Roman"/>
          <w:spacing w:val="-26"/>
          <w:w w:val="105"/>
          <w:vertAlign w:val="baseline"/>
        </w:rPr>
        <w:t xml:space="preserve"> </w:t>
      </w:r>
      <w:r>
        <w:rPr>
          <w:rFonts w:ascii="Symbol" w:hAnsi="Symbol"/>
          <w:w w:val="105"/>
          <w:position w:val="21"/>
          <w:vertAlign w:val="baseline"/>
        </w:rPr>
        <w:t></w:t>
      </w:r>
      <w:r>
        <w:rPr>
          <w:rFonts w:ascii="Times New Roman" w:hAnsi="Times New Roman"/>
          <w:w w:val="105"/>
          <w:position w:val="21"/>
          <w:vertAlign w:val="baseline"/>
        </w:rPr>
        <w:tab/>
      </w:r>
      <w:r>
        <w:rPr>
          <w:rFonts w:ascii="Symbol" w:hAnsi="Symbol"/>
          <w:w w:val="105"/>
          <w:position w:val="14"/>
          <w:vertAlign w:val="baseline"/>
        </w:rPr>
        <w:t></w:t>
      </w:r>
    </w:p>
    <w:p>
      <w:pPr>
        <w:spacing w:after="0" w:line="115" w:lineRule="auto"/>
        <w:rPr>
          <w:rFonts w:ascii="Symbol" w:hAnsi="Symbol"/>
        </w:rPr>
        <w:sectPr>
          <w:type w:val="continuous"/>
          <w:pgSz w:w="11910" w:h="16840"/>
          <w:pgMar w:top="780" w:right="500" w:bottom="280" w:left="860" w:header="720" w:footer="720" w:gutter="0"/>
          <w:pgBorders w:offsetFrom="page">
            <w:top w:val="single" w:color="A6A6A6" w:sz="18" w:space="24"/>
            <w:left w:val="single" w:color="A6A6A6" w:sz="18" w:space="24"/>
            <w:bottom w:val="single" w:color="A6A6A6" w:sz="18" w:space="24"/>
            <w:right w:val="single" w:color="A6A6A6" w:sz="18" w:space="24"/>
          </w:pgBorders>
          <w:cols w:equalWidth="0" w:num="4">
            <w:col w:w="3362" w:space="40"/>
            <w:col w:w="1105" w:space="39"/>
            <w:col w:w="1113" w:space="40"/>
            <w:col w:w="4851"/>
          </w:cols>
        </w:sectPr>
      </w:pPr>
    </w:p>
    <w:p>
      <w:pPr>
        <w:pStyle w:val="8"/>
        <w:spacing w:before="1"/>
        <w:ind w:left="812"/>
      </w:pPr>
      <w:r>
        <w:t>公式中：ΔP——需调整的价格差额；</w:t>
      </w:r>
    </w:p>
    <w:p>
      <w:pPr>
        <w:pStyle w:val="8"/>
        <w:spacing w:before="151" w:line="352" w:lineRule="auto"/>
        <w:ind w:left="388" w:right="744" w:firstLine="473"/>
        <w:jc w:val="both"/>
      </w:pPr>
      <w:r>
        <w:rPr>
          <w:rFonts w:ascii="Times New Roman" w:hAnsi="Times New Roman" w:eastAsia="Times New Roman"/>
          <w:position w:val="8"/>
          <w:sz w:val="32"/>
        </w:rPr>
        <w:t>P</w:t>
      </w:r>
      <w:r>
        <w:rPr>
          <w:rFonts w:ascii="Times New Roman" w:hAnsi="Times New Roman" w:eastAsia="Times New Roman"/>
          <w:position w:val="8"/>
          <w:sz w:val="19"/>
        </w:rPr>
        <w:t xml:space="preserve">0 </w:t>
      </w:r>
      <w:r>
        <w:rPr>
          <w:spacing w:val="-2"/>
        </w:rPr>
        <w:t>——约定的付款证书中承包人应得到的已完成工程量的金额。此项金额应不包括价</w:t>
      </w:r>
      <w:r>
        <w:t>格调整、不计质量保证金的扣留和支付、预付款的支付和扣回。约定的变更及其他金额已按现行价格计价的，也不计在内；</w:t>
      </w:r>
    </w:p>
    <w:p>
      <w:pPr>
        <w:pStyle w:val="8"/>
        <w:spacing w:before="15"/>
        <w:ind w:left="812"/>
      </w:pPr>
      <w:r>
        <w:t>A——定值权重（即不调部分的权重）；</w:t>
      </w:r>
    </w:p>
    <w:p>
      <w:pPr>
        <w:tabs>
          <w:tab w:val="left" w:leader="dot" w:pos="2462"/>
        </w:tabs>
        <w:spacing w:before="151"/>
        <w:ind w:left="860" w:right="0" w:firstLine="0"/>
        <w:jc w:val="left"/>
        <w:rPr>
          <w:sz w:val="24"/>
        </w:rPr>
      </w:pPr>
      <w:r>
        <w:rPr>
          <w:rFonts w:ascii="Times New Roman" w:hAnsi="Times New Roman" w:eastAsia="Times New Roman"/>
          <w:spacing w:val="-4"/>
          <w:position w:val="14"/>
          <w:sz w:val="32"/>
        </w:rPr>
        <w:t>B</w:t>
      </w:r>
      <w:r>
        <w:rPr>
          <w:rFonts w:ascii="Times New Roman" w:hAnsi="Times New Roman" w:eastAsia="Times New Roman"/>
          <w:spacing w:val="-4"/>
          <w:position w:val="14"/>
          <w:sz w:val="19"/>
        </w:rPr>
        <w:t>1</w:t>
      </w:r>
      <w:r>
        <w:rPr>
          <w:rFonts w:ascii="Times New Roman" w:hAnsi="Times New Roman" w:eastAsia="Times New Roman"/>
          <w:spacing w:val="-26"/>
          <w:position w:val="14"/>
          <w:sz w:val="32"/>
        </w:rPr>
        <w:t xml:space="preserve">; </w:t>
      </w:r>
      <w:r>
        <w:rPr>
          <w:rFonts w:ascii="Times New Roman" w:hAnsi="Times New Roman" w:eastAsia="Times New Roman"/>
          <w:spacing w:val="-4"/>
          <w:position w:val="14"/>
          <w:sz w:val="32"/>
        </w:rPr>
        <w:t>B</w:t>
      </w:r>
      <w:r>
        <w:rPr>
          <w:rFonts w:ascii="Times New Roman" w:hAnsi="Times New Roman" w:eastAsia="Times New Roman"/>
          <w:spacing w:val="-4"/>
          <w:position w:val="14"/>
          <w:sz w:val="19"/>
        </w:rPr>
        <w:t>2</w:t>
      </w:r>
      <w:r>
        <w:rPr>
          <w:rFonts w:ascii="Times New Roman" w:hAnsi="Times New Roman" w:eastAsia="Times New Roman"/>
          <w:spacing w:val="-25"/>
          <w:position w:val="14"/>
          <w:sz w:val="32"/>
        </w:rPr>
        <w:t xml:space="preserve">; </w:t>
      </w:r>
      <w:r>
        <w:rPr>
          <w:rFonts w:ascii="Times New Roman" w:hAnsi="Times New Roman" w:eastAsia="Times New Roman"/>
          <w:spacing w:val="-5"/>
          <w:position w:val="14"/>
          <w:sz w:val="32"/>
        </w:rPr>
        <w:t>B</w:t>
      </w:r>
      <w:r>
        <w:rPr>
          <w:rFonts w:ascii="Times New Roman" w:hAnsi="Times New Roman" w:eastAsia="Times New Roman"/>
          <w:spacing w:val="-5"/>
          <w:position w:val="14"/>
          <w:sz w:val="19"/>
        </w:rPr>
        <w:t>3</w:t>
      </w:r>
      <w:r>
        <w:rPr>
          <w:rFonts w:ascii="Times New Roman" w:hAnsi="Times New Roman" w:eastAsia="Times New Roman"/>
          <w:spacing w:val="-5"/>
          <w:position w:val="14"/>
          <w:sz w:val="19"/>
        </w:rPr>
        <w:tab/>
      </w:r>
      <w:r>
        <w:rPr>
          <w:rFonts w:ascii="Times New Roman" w:hAnsi="Times New Roman" w:eastAsia="Times New Roman"/>
          <w:spacing w:val="-5"/>
          <w:position w:val="14"/>
          <w:sz w:val="32"/>
        </w:rPr>
        <w:t>B</w:t>
      </w:r>
      <w:r>
        <w:rPr>
          <w:rFonts w:ascii="Times New Roman" w:hAnsi="Times New Roman" w:eastAsia="Times New Roman"/>
          <w:spacing w:val="-5"/>
          <w:position w:val="14"/>
          <w:sz w:val="19"/>
        </w:rPr>
        <w:t>n</w:t>
      </w:r>
      <w:r>
        <w:rPr>
          <w:rFonts w:ascii="Times New Roman" w:hAnsi="Times New Roman" w:eastAsia="Times New Roman"/>
          <w:spacing w:val="20"/>
          <w:position w:val="14"/>
          <w:sz w:val="19"/>
        </w:rPr>
        <w:t xml:space="preserve"> </w:t>
      </w:r>
      <w:r>
        <w:rPr>
          <w:sz w:val="24"/>
        </w:rPr>
        <w:t>——各可调因子的变值权重（即可调部分的权重），为各可调因子</w:t>
      </w:r>
    </w:p>
    <w:p>
      <w:pPr>
        <w:pStyle w:val="8"/>
        <w:spacing w:before="159"/>
        <w:ind w:left="388"/>
      </w:pPr>
      <w:r>
        <w:t>在签约合同价中所占的比例；</w:t>
      </w:r>
    </w:p>
    <w:p>
      <w:pPr>
        <w:tabs>
          <w:tab w:val="left" w:leader="dot" w:pos="2484"/>
        </w:tabs>
        <w:spacing w:before="159"/>
        <w:ind w:left="859" w:right="0" w:firstLine="0"/>
        <w:jc w:val="left"/>
        <w:rPr>
          <w:sz w:val="24"/>
        </w:rPr>
      </w:pPr>
      <w:r>
        <w:rPr>
          <w:rFonts w:ascii="Times New Roman" w:hAnsi="Times New Roman" w:eastAsia="Times New Roman"/>
          <w:spacing w:val="-5"/>
          <w:position w:val="13"/>
          <w:sz w:val="32"/>
        </w:rPr>
        <w:t>F</w:t>
      </w:r>
      <w:r>
        <w:rPr>
          <w:rFonts w:ascii="Times New Roman" w:hAnsi="Times New Roman" w:eastAsia="Times New Roman"/>
          <w:spacing w:val="-5"/>
          <w:position w:val="13"/>
          <w:sz w:val="19"/>
        </w:rPr>
        <w:t>t1</w:t>
      </w:r>
      <w:r>
        <w:rPr>
          <w:rFonts w:ascii="Times New Roman" w:hAnsi="Times New Roman" w:eastAsia="Times New Roman"/>
          <w:spacing w:val="-27"/>
          <w:position w:val="13"/>
          <w:sz w:val="32"/>
        </w:rPr>
        <w:t xml:space="preserve">; </w:t>
      </w:r>
      <w:r>
        <w:rPr>
          <w:rFonts w:ascii="Times New Roman" w:hAnsi="Times New Roman" w:eastAsia="Times New Roman"/>
          <w:spacing w:val="-5"/>
          <w:position w:val="13"/>
          <w:sz w:val="32"/>
        </w:rPr>
        <w:t>F</w:t>
      </w:r>
      <w:r>
        <w:rPr>
          <w:rFonts w:ascii="Times New Roman" w:hAnsi="Times New Roman" w:eastAsia="Times New Roman"/>
          <w:spacing w:val="-5"/>
          <w:position w:val="13"/>
          <w:sz w:val="19"/>
        </w:rPr>
        <w:t>t2</w:t>
      </w:r>
      <w:r>
        <w:rPr>
          <w:rFonts w:ascii="Times New Roman" w:hAnsi="Times New Roman" w:eastAsia="Times New Roman"/>
          <w:spacing w:val="-27"/>
          <w:position w:val="13"/>
          <w:sz w:val="32"/>
        </w:rPr>
        <w:t xml:space="preserve">; </w:t>
      </w:r>
      <w:r>
        <w:rPr>
          <w:rFonts w:ascii="Times New Roman" w:hAnsi="Times New Roman" w:eastAsia="Times New Roman"/>
          <w:spacing w:val="-4"/>
          <w:position w:val="13"/>
          <w:sz w:val="32"/>
        </w:rPr>
        <w:t>F</w:t>
      </w:r>
      <w:r>
        <w:rPr>
          <w:rFonts w:ascii="Times New Roman" w:hAnsi="Times New Roman" w:eastAsia="Times New Roman"/>
          <w:spacing w:val="-4"/>
          <w:position w:val="13"/>
          <w:sz w:val="19"/>
        </w:rPr>
        <w:t>t3</w:t>
      </w:r>
      <w:r>
        <w:rPr>
          <w:rFonts w:ascii="Times New Roman" w:hAnsi="Times New Roman" w:eastAsia="Times New Roman"/>
          <w:spacing w:val="-4"/>
          <w:position w:val="13"/>
          <w:sz w:val="19"/>
        </w:rPr>
        <w:tab/>
      </w:r>
      <w:r>
        <w:rPr>
          <w:rFonts w:ascii="Times New Roman" w:hAnsi="Times New Roman" w:eastAsia="Times New Roman"/>
          <w:spacing w:val="-4"/>
          <w:position w:val="13"/>
          <w:sz w:val="32"/>
        </w:rPr>
        <w:t>F</w:t>
      </w:r>
      <w:r>
        <w:rPr>
          <w:rFonts w:ascii="Times New Roman" w:hAnsi="Times New Roman" w:eastAsia="Times New Roman"/>
          <w:spacing w:val="-4"/>
          <w:position w:val="13"/>
          <w:sz w:val="19"/>
        </w:rPr>
        <w:t>tn</w:t>
      </w:r>
      <w:r>
        <w:rPr>
          <w:rFonts w:ascii="Times New Roman" w:hAnsi="Times New Roman" w:eastAsia="Times New Roman"/>
          <w:spacing w:val="-3"/>
          <w:position w:val="13"/>
          <w:sz w:val="19"/>
        </w:rPr>
        <w:t xml:space="preserve"> </w:t>
      </w:r>
      <w:r>
        <w:rPr>
          <w:spacing w:val="-1"/>
          <w:sz w:val="24"/>
        </w:rPr>
        <w:t>——各可调因子的现行价格指数，指约定的付款证书相关周期最后</w:t>
      </w:r>
    </w:p>
    <w:p>
      <w:pPr>
        <w:pStyle w:val="8"/>
        <w:spacing w:before="158"/>
        <w:ind w:left="388"/>
      </w:pPr>
      <w:r>
        <w:t>一天的前 42 天的各可调因子的价格指数；</w:t>
      </w:r>
    </w:p>
    <w:p>
      <w:pPr>
        <w:spacing w:after="0"/>
        <w:sectPr>
          <w:type w:val="continuous"/>
          <w:pgSz w:w="11910" w:h="16840"/>
          <w:pgMar w:top="780" w:right="500" w:bottom="280" w:left="860" w:header="720" w:footer="720"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27" o:spid="_x0000_s1127" o:spt="20" style="position:absolute;left:0pt;margin-left:62.4pt;margin-top:12.25pt;height:0pt;width:400.4pt;mso-position-horizontal-relative:page;z-index:25176576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7"/>
        <w:rPr>
          <w:sz w:val="23"/>
        </w:rPr>
      </w:pPr>
    </w:p>
    <w:p>
      <w:pPr>
        <w:spacing w:before="99" w:line="357" w:lineRule="auto"/>
        <w:ind w:left="388" w:right="744" w:firstLine="469"/>
        <w:jc w:val="both"/>
        <w:rPr>
          <w:sz w:val="24"/>
        </w:rPr>
      </w:pPr>
      <w:r>
        <w:rPr>
          <w:rFonts w:ascii="Times New Roman" w:hAnsi="Times New Roman" w:eastAsia="Times New Roman"/>
          <w:position w:val="11"/>
          <w:sz w:val="27"/>
        </w:rPr>
        <w:t>F</w:t>
      </w:r>
      <w:r>
        <w:rPr>
          <w:rFonts w:ascii="Times New Roman" w:hAnsi="Times New Roman" w:eastAsia="Times New Roman"/>
          <w:position w:val="11"/>
          <w:sz w:val="16"/>
        </w:rPr>
        <w:t>01</w:t>
      </w:r>
      <w:r>
        <w:rPr>
          <w:rFonts w:ascii="Times New Roman" w:hAnsi="Times New Roman" w:eastAsia="Times New Roman"/>
          <w:position w:val="11"/>
          <w:sz w:val="27"/>
        </w:rPr>
        <w:t>; F</w:t>
      </w:r>
      <w:r>
        <w:rPr>
          <w:rFonts w:ascii="Times New Roman" w:hAnsi="Times New Roman" w:eastAsia="Times New Roman"/>
          <w:position w:val="11"/>
          <w:sz w:val="16"/>
        </w:rPr>
        <w:t>02</w:t>
      </w:r>
      <w:r>
        <w:rPr>
          <w:rFonts w:ascii="Times New Roman" w:hAnsi="Times New Roman" w:eastAsia="Times New Roman"/>
          <w:position w:val="11"/>
          <w:sz w:val="27"/>
        </w:rPr>
        <w:t>; F</w:t>
      </w:r>
      <w:r>
        <w:rPr>
          <w:rFonts w:ascii="Times New Roman" w:hAnsi="Times New Roman" w:eastAsia="Times New Roman"/>
          <w:position w:val="11"/>
          <w:sz w:val="16"/>
        </w:rPr>
        <w:t>03</w:t>
      </w:r>
      <w:r>
        <w:rPr>
          <w:rFonts w:ascii="Times New Roman" w:hAnsi="Times New Roman" w:eastAsia="Times New Roman"/>
          <w:position w:val="11"/>
          <w:sz w:val="27"/>
        </w:rPr>
        <w:t>......F</w:t>
      </w:r>
      <w:r>
        <w:rPr>
          <w:rFonts w:ascii="Times New Roman" w:hAnsi="Times New Roman" w:eastAsia="Times New Roman"/>
          <w:position w:val="11"/>
          <w:sz w:val="16"/>
        </w:rPr>
        <w:t xml:space="preserve">0n </w:t>
      </w:r>
      <w:r>
        <w:rPr>
          <w:sz w:val="24"/>
        </w:rPr>
        <w:t>——各可调因子的基本价格指数，指基准日期的各可调因子的价格指数。</w:t>
      </w:r>
    </w:p>
    <w:p>
      <w:pPr>
        <w:pStyle w:val="8"/>
        <w:spacing w:before="13" w:line="364" w:lineRule="auto"/>
        <w:ind w:left="388" w:right="798" w:firstLine="424"/>
        <w:jc w:val="both"/>
      </w:pPr>
      <w:r>
        <w:t>以上价格调整公式中的各可调因子、定值和变值权重，以及基本价格指数及其来源在</w:t>
      </w:r>
      <w:r>
        <w:rPr>
          <w:spacing w:val="-1"/>
        </w:rPr>
        <w:t>响应函附录价格指数和权重表中约定，非招标订立的合同，由合同当事人在专用合同条款中约定。价格指数应首先采用工程造价管理机构发布的价格指数，无前述价格指数时，可</w:t>
      </w:r>
      <w:r>
        <w:t>采用工程造价管理机构发布的价格代替。</w:t>
      </w:r>
    </w:p>
    <w:p>
      <w:pPr>
        <w:pStyle w:val="16"/>
        <w:numPr>
          <w:ilvl w:val="0"/>
          <w:numId w:val="54"/>
        </w:numPr>
        <w:tabs>
          <w:tab w:val="left" w:pos="1414"/>
        </w:tabs>
        <w:spacing w:before="0" w:after="0" w:line="240" w:lineRule="auto"/>
        <w:ind w:left="1413" w:right="0" w:hanging="602"/>
        <w:jc w:val="left"/>
        <w:rPr>
          <w:sz w:val="24"/>
        </w:rPr>
      </w:pPr>
      <w:r>
        <w:rPr>
          <w:sz w:val="24"/>
        </w:rPr>
        <w:t>暂时确定调整差额</w:t>
      </w:r>
    </w:p>
    <w:p>
      <w:pPr>
        <w:pStyle w:val="8"/>
        <w:spacing w:before="158" w:line="364" w:lineRule="auto"/>
        <w:ind w:left="388" w:right="852" w:firstLine="424"/>
      </w:pPr>
      <w:r>
        <w:t>在计算调整差额时无现行价格指数的，合同当事人同意暂用前次价格指数计算。实际价格指数有调整的，合同当事人进行相应调整。</w:t>
      </w:r>
    </w:p>
    <w:p>
      <w:pPr>
        <w:pStyle w:val="16"/>
        <w:numPr>
          <w:ilvl w:val="0"/>
          <w:numId w:val="54"/>
        </w:numPr>
        <w:tabs>
          <w:tab w:val="left" w:pos="1414"/>
        </w:tabs>
        <w:spacing w:before="2" w:after="0" w:line="240" w:lineRule="auto"/>
        <w:ind w:left="1413" w:right="0" w:hanging="602"/>
        <w:jc w:val="left"/>
        <w:rPr>
          <w:sz w:val="24"/>
        </w:rPr>
      </w:pPr>
      <w:r>
        <w:rPr>
          <w:sz w:val="24"/>
        </w:rPr>
        <w:t>权重的调整</w:t>
      </w:r>
    </w:p>
    <w:p>
      <w:pPr>
        <w:pStyle w:val="8"/>
        <w:spacing w:before="158"/>
        <w:ind w:left="812"/>
      </w:pPr>
      <w:r>
        <w:t>因变更导致合同约定的权重不合理时，按照第 4.4 款〔商定或确定〕执行。</w:t>
      </w:r>
    </w:p>
    <w:p>
      <w:pPr>
        <w:pStyle w:val="16"/>
        <w:numPr>
          <w:ilvl w:val="0"/>
          <w:numId w:val="54"/>
        </w:numPr>
        <w:tabs>
          <w:tab w:val="left" w:pos="1414"/>
        </w:tabs>
        <w:spacing w:before="158" w:after="0" w:line="240" w:lineRule="auto"/>
        <w:ind w:left="1413" w:right="0" w:hanging="602"/>
        <w:jc w:val="left"/>
        <w:rPr>
          <w:sz w:val="24"/>
        </w:rPr>
      </w:pPr>
      <w:r>
        <w:rPr>
          <w:sz w:val="24"/>
        </w:rPr>
        <w:t>因承包人原因工期延误后的价格调整</w:t>
      </w:r>
    </w:p>
    <w:p>
      <w:pPr>
        <w:pStyle w:val="8"/>
        <w:spacing w:before="160" w:line="364" w:lineRule="auto"/>
        <w:ind w:left="388" w:right="798" w:firstLine="424"/>
        <w:jc w:val="both"/>
      </w:pPr>
      <w:r>
        <w:t>因承包人原因未按期竣工的，对合同约定的竣工日期后继续施工的工程，在使用价格调整公式时，应采用计划竣工日期与实际竣工日期的两个价格指数中较低的一个作为现行价格指数。</w:t>
      </w:r>
    </w:p>
    <w:p>
      <w:pPr>
        <w:pStyle w:val="8"/>
        <w:spacing w:line="307" w:lineRule="exact"/>
        <w:ind w:left="812"/>
        <w:jc w:val="both"/>
      </w:pPr>
      <w:r>
        <w:t>第 2 种方式：采用造价信息进行价格调整。</w:t>
      </w:r>
    </w:p>
    <w:p>
      <w:pPr>
        <w:pStyle w:val="8"/>
        <w:spacing w:before="158" w:line="364" w:lineRule="auto"/>
        <w:ind w:left="388" w:right="624" w:firstLine="424"/>
      </w:pPr>
      <w:r>
        <w:rPr>
          <w:spacing w:val="-4"/>
        </w:rPr>
        <w:t>合同履行期间，因人工、材料、工程设备和机械台班价格波动影响合同价格时，人工、</w:t>
      </w:r>
      <w:r>
        <w:t>机械使用费按照国家或省、自治区、直辖市建设行政管理部门、行业建设管理部门或其授</w:t>
      </w:r>
      <w:r>
        <w:rPr>
          <w:spacing w:val="-6"/>
        </w:rPr>
        <w:t xml:space="preserve">权的工程造价管理机构发布的人工、机械使用费系数进行调整；需要进行价格调整的材料， </w:t>
      </w:r>
      <w:r>
        <w:t>其单价和采购数量应由发包人审批，发包人确认需调整的材料单价及数量，作为调整合同价格的依据。</w:t>
      </w:r>
    </w:p>
    <w:p>
      <w:pPr>
        <w:pStyle w:val="16"/>
        <w:numPr>
          <w:ilvl w:val="0"/>
          <w:numId w:val="55"/>
        </w:numPr>
        <w:tabs>
          <w:tab w:val="left" w:pos="1414"/>
        </w:tabs>
        <w:spacing w:before="0" w:after="0" w:line="364" w:lineRule="auto"/>
        <w:ind w:left="388" w:right="744" w:firstLine="424"/>
        <w:jc w:val="both"/>
        <w:rPr>
          <w:sz w:val="24"/>
        </w:rPr>
      </w:pPr>
      <w:r>
        <w:rPr>
          <w:spacing w:val="-2"/>
          <w:sz w:val="24"/>
        </w:rPr>
        <w:t>人工单价发生变化且符合省级或行业建设主管部门发布的人工费调整规定，合同</w:t>
      </w:r>
      <w:r>
        <w:rPr>
          <w:sz w:val="24"/>
        </w:rPr>
        <w:t>当事人应按省级或行业建设主管部门或其授权的工程造价管理机构发布的人工费等文件调整合同价格，但承包人对人工费或人工单价的报价高于发布价格的除外。</w:t>
      </w:r>
    </w:p>
    <w:p>
      <w:pPr>
        <w:pStyle w:val="16"/>
        <w:numPr>
          <w:ilvl w:val="0"/>
          <w:numId w:val="55"/>
        </w:numPr>
        <w:tabs>
          <w:tab w:val="left" w:pos="1414"/>
        </w:tabs>
        <w:spacing w:before="0" w:after="0" w:line="364" w:lineRule="auto"/>
        <w:ind w:left="388" w:right="744" w:firstLine="424"/>
        <w:jc w:val="left"/>
        <w:rPr>
          <w:sz w:val="24"/>
        </w:rPr>
      </w:pPr>
      <w:r>
        <w:rPr>
          <w:spacing w:val="-4"/>
          <w:sz w:val="24"/>
        </w:rPr>
        <w:t>材料、工程设备价格变化的价款调整按照发包人提供的基准价格，按以下风险范</w:t>
      </w:r>
      <w:r>
        <w:rPr>
          <w:sz w:val="24"/>
        </w:rPr>
        <w:t>围规定执行:</w:t>
      </w:r>
    </w:p>
    <w:p>
      <w:pPr>
        <w:pStyle w:val="8"/>
        <w:spacing w:line="364" w:lineRule="auto"/>
        <w:ind w:left="388" w:right="624" w:firstLine="424"/>
      </w:pPr>
      <w:r>
        <w:t>①承包人在已标价工程量清单或预算书中载明材料单价低于基准价格的：除专用合同</w:t>
      </w:r>
      <w:r>
        <w:rPr>
          <w:spacing w:val="-3"/>
        </w:rPr>
        <w:t xml:space="preserve">条款另有约定外，合同履行期间材料单价涨幅以基准价格为基础超过 </w:t>
      </w:r>
      <w:r>
        <w:t>5%</w:t>
      </w:r>
      <w:r>
        <w:rPr>
          <w:spacing w:val="-2"/>
        </w:rPr>
        <w:t>时，或材料单价跌</w:t>
      </w:r>
      <w:r>
        <w:rPr>
          <w:spacing w:val="-5"/>
        </w:rPr>
        <w:t xml:space="preserve">幅以在已标价工程量清单或预算书中载明材料单价为基础超过 </w:t>
      </w:r>
      <w:r>
        <w:t>5%</w:t>
      </w:r>
      <w:r>
        <w:rPr>
          <w:spacing w:val="-14"/>
        </w:rPr>
        <w:t>时，其超过部分据实调整。</w:t>
      </w:r>
    </w:p>
    <w:p>
      <w:pPr>
        <w:spacing w:after="0" w:line="364" w:lineRule="auto"/>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28" o:spid="_x0000_s1128" o:spt="20" style="position:absolute;left:0pt;margin-left:62.4pt;margin-top:12.25pt;height:0pt;width:400.4pt;mso-position-horizontal-relative:page;z-index:25176678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4" w:lineRule="auto"/>
        <w:ind w:left="388" w:right="670" w:firstLine="424"/>
      </w:pPr>
      <w:r>
        <w:t>②承包人在已标价工程量清单或预算书中载明材料单价高于基准价格的：除专用合同条款另有约定外，合同履行期间材料单价跌幅以基准价格为基础超过 5%时，材料单价涨幅以在已标价工程量清单或预算书中载明材料单价为基础超过 5%时，其超过部分据实调整。</w:t>
      </w:r>
    </w:p>
    <w:p>
      <w:pPr>
        <w:pStyle w:val="8"/>
        <w:spacing w:line="364" w:lineRule="auto"/>
        <w:ind w:left="388" w:right="798" w:firstLine="424"/>
        <w:jc w:val="both"/>
      </w:pPr>
      <w:r>
        <w:t>③承包人在已标价工程量清单或预算书中载明材料单价等于基准价格的：除专用合同条款另有约定外，合同履行期间材料单价涨跌幅以基准价格为基础超过±5%时，其超过部分据实调整。</w:t>
      </w:r>
    </w:p>
    <w:p>
      <w:pPr>
        <w:pStyle w:val="8"/>
        <w:spacing w:line="364" w:lineRule="auto"/>
        <w:ind w:left="388" w:right="798" w:firstLine="424"/>
        <w:jc w:val="both"/>
      </w:pPr>
      <w:r>
        <w:t>④承包人应在采购材料前将采购数量和新的材料单价报发包人核对，发包人确认用于工程时，发包人应确认采购材料的数量和单价。发包人在收到承包人报送的确认资料后 5 天内不予答复的视为认可，作为调整合同价格的依据。未经发包人事先核对，承包人自行采购材料的，发包人有权不予调整合同价格。发包人同意的，可以调整合同价格。</w:t>
      </w:r>
    </w:p>
    <w:p>
      <w:pPr>
        <w:pStyle w:val="8"/>
        <w:spacing w:line="364" w:lineRule="auto"/>
        <w:ind w:left="388" w:right="798" w:firstLine="424"/>
        <w:jc w:val="both"/>
      </w:pPr>
      <w:r>
        <w:t>前述基准价格是指由发包人在磋商文件或专用合同条款中给定的材料、工程设备的价格，该价格原则上应当按照省级或行业建设主管部门或其授权的工程造价管理机构发布的信息价编制。</w:t>
      </w:r>
    </w:p>
    <w:p>
      <w:pPr>
        <w:pStyle w:val="16"/>
        <w:numPr>
          <w:ilvl w:val="0"/>
          <w:numId w:val="55"/>
        </w:numPr>
        <w:tabs>
          <w:tab w:val="left" w:pos="1414"/>
        </w:tabs>
        <w:spacing w:before="0" w:after="0" w:line="362" w:lineRule="auto"/>
        <w:ind w:left="388" w:right="744" w:firstLine="424"/>
        <w:jc w:val="left"/>
        <w:rPr>
          <w:sz w:val="24"/>
        </w:rPr>
      </w:pPr>
      <w:r>
        <w:rPr>
          <w:spacing w:val="-1"/>
          <w:sz w:val="24"/>
        </w:rPr>
        <w:t>施工机械台班单价或施工机械使用费发生变化超过省级或行业建设主管部门或其</w:t>
      </w:r>
      <w:r>
        <w:rPr>
          <w:sz w:val="24"/>
        </w:rPr>
        <w:t>授权的工程造价管理机构规定的范围时，按规定调整合同价格。</w:t>
      </w:r>
    </w:p>
    <w:p>
      <w:pPr>
        <w:pStyle w:val="8"/>
        <w:ind w:left="812"/>
      </w:pPr>
      <w:r>
        <w:rPr>
          <w:spacing w:val="-30"/>
        </w:rPr>
        <w:t xml:space="preserve">第 </w:t>
      </w:r>
      <w:r>
        <w:t>3</w:t>
      </w:r>
      <w:r>
        <w:rPr>
          <w:spacing w:val="-8"/>
        </w:rPr>
        <w:t xml:space="preserve"> 种方式：专用合同条款约定的其他方式。</w:t>
      </w:r>
    </w:p>
    <w:p>
      <w:pPr>
        <w:pStyle w:val="16"/>
        <w:numPr>
          <w:ilvl w:val="1"/>
          <w:numId w:val="35"/>
        </w:numPr>
        <w:tabs>
          <w:tab w:val="left" w:pos="1353"/>
        </w:tabs>
        <w:spacing w:before="156" w:after="0" w:line="240" w:lineRule="auto"/>
        <w:ind w:left="1352" w:right="0" w:hanging="541"/>
        <w:jc w:val="both"/>
        <w:rPr>
          <w:sz w:val="24"/>
        </w:rPr>
      </w:pPr>
      <w:r>
        <w:rPr>
          <w:sz w:val="24"/>
        </w:rPr>
        <w:t>法律变化引起的调整</w:t>
      </w:r>
    </w:p>
    <w:p>
      <w:pPr>
        <w:pStyle w:val="8"/>
        <w:spacing w:before="161" w:line="364" w:lineRule="auto"/>
        <w:ind w:left="388" w:right="744" w:firstLine="424"/>
        <w:jc w:val="both"/>
      </w:pPr>
      <w:r>
        <w:rPr>
          <w:spacing w:val="-14"/>
        </w:rPr>
        <w:t xml:space="preserve">基准日期后，法律变化导致承包人在合同履行过程中所需要的费用发生除第 </w:t>
      </w:r>
      <w:r>
        <w:t>11.1</w:t>
      </w:r>
      <w:r>
        <w:rPr>
          <w:spacing w:val="-51"/>
        </w:rPr>
        <w:t xml:space="preserve"> 款〔市</w:t>
      </w:r>
      <w:r>
        <w:t>场价格波动引起的调整〕约定以外的增加时，由发包人承担由此增加的费用；减少时，应从合同价格中予以扣减。基准日期后，因法律变化造成工期延误时，工期应予以顺延。</w:t>
      </w:r>
    </w:p>
    <w:p>
      <w:pPr>
        <w:pStyle w:val="8"/>
        <w:spacing w:line="364" w:lineRule="auto"/>
        <w:ind w:left="388" w:right="852" w:firstLine="424"/>
        <w:jc w:val="both"/>
      </w:pPr>
      <w:r>
        <w:t>因法律变化引起的合同价格和工期调整，合同当事人无法达成一致的，由总监理工程师按第 4.4 款〔商定或确定〕的约定处理。</w:t>
      </w:r>
    </w:p>
    <w:p>
      <w:pPr>
        <w:pStyle w:val="8"/>
        <w:spacing w:line="362" w:lineRule="auto"/>
        <w:ind w:left="388" w:right="624" w:firstLine="424"/>
      </w:pPr>
      <w:r>
        <w:rPr>
          <w:spacing w:val="-13"/>
        </w:rPr>
        <w:t>因承包人原因造成工期延误，在工期延误期间出现法律变化的，由此增加的费用和</w:t>
      </w:r>
      <w:r>
        <w:t>（或</w:t>
      </w:r>
      <w:r>
        <w:rPr>
          <w:spacing w:val="-17"/>
        </w:rPr>
        <w:t xml:space="preserve">） </w:t>
      </w:r>
      <w:r>
        <w:t>延误的工期由承包人承担。</w:t>
      </w:r>
    </w:p>
    <w:p>
      <w:pPr>
        <w:pStyle w:val="16"/>
        <w:numPr>
          <w:ilvl w:val="0"/>
          <w:numId w:val="35"/>
        </w:numPr>
        <w:tabs>
          <w:tab w:val="left" w:pos="868"/>
        </w:tabs>
        <w:spacing w:before="3" w:after="0" w:line="240" w:lineRule="auto"/>
        <w:ind w:left="868" w:right="0" w:hanging="480"/>
        <w:jc w:val="left"/>
        <w:outlineLvl w:val="2"/>
        <w:rPr>
          <w:sz w:val="24"/>
        </w:rPr>
      </w:pPr>
      <w:r>
        <w:rPr>
          <w:sz w:val="24"/>
        </w:rPr>
        <w:t>合同价格、计量与支付</w:t>
      </w:r>
    </w:p>
    <w:p>
      <w:pPr>
        <w:pStyle w:val="16"/>
        <w:numPr>
          <w:ilvl w:val="1"/>
          <w:numId w:val="35"/>
        </w:numPr>
        <w:tabs>
          <w:tab w:val="left" w:pos="1413"/>
        </w:tabs>
        <w:spacing w:before="158" w:after="0" w:line="240" w:lineRule="auto"/>
        <w:ind w:left="1412" w:right="0" w:hanging="601"/>
        <w:jc w:val="left"/>
        <w:rPr>
          <w:sz w:val="24"/>
        </w:rPr>
      </w:pPr>
      <w:r>
        <w:rPr>
          <w:sz w:val="24"/>
        </w:rPr>
        <w:t>合同价格形式</w:t>
      </w:r>
    </w:p>
    <w:p>
      <w:pPr>
        <w:pStyle w:val="8"/>
        <w:spacing w:before="158" w:line="364" w:lineRule="auto"/>
        <w:ind w:left="812" w:right="3012"/>
      </w:pPr>
      <w:r>
        <w:t>发包人和承包人应在合同协议书中选择下列一种合同价格形式： 1、单价合同</w:t>
      </w:r>
    </w:p>
    <w:p>
      <w:pPr>
        <w:pStyle w:val="8"/>
        <w:spacing w:before="1" w:line="362" w:lineRule="auto"/>
        <w:ind w:left="388" w:right="798" w:firstLine="424"/>
      </w:pPr>
      <w:r>
        <w:t>单价合同是指合同当事人约定以工程量清单及其综合单价进行合同价格计算、调整和确认的建设工程施工合同，在约定的范围内合同单价不作调整。合同当事人应在专用合同</w:t>
      </w:r>
    </w:p>
    <w:p>
      <w:pPr>
        <w:spacing w:after="0" w:line="362" w:lineRule="auto"/>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29" o:spid="_x0000_s1129" o:spt="20" style="position:absolute;left:0pt;margin-left:62.4pt;margin-top:12.25pt;height:0pt;width:400.4pt;mso-position-horizontal-relative:page;z-index:25176780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4" w:lineRule="auto"/>
        <w:ind w:left="388" w:right="624"/>
      </w:pPr>
      <w:r>
        <w:t>条款中约定综合单价包含的风险范围和风险费用的计算方法，并约定风险范围以外的合同</w:t>
      </w:r>
      <w:r>
        <w:rPr>
          <w:spacing w:val="-12"/>
        </w:rPr>
        <w:t xml:space="preserve">价格的调整方法，其中因市场价格波动引起的调整按第 </w:t>
      </w:r>
      <w:r>
        <w:t>11.1</w:t>
      </w:r>
      <w:r>
        <w:rPr>
          <w:spacing w:val="-15"/>
        </w:rPr>
        <w:t xml:space="preserve"> 款〔市场价格波动引起的调整〕</w:t>
      </w:r>
      <w:r>
        <w:t>约定执行。</w:t>
      </w:r>
    </w:p>
    <w:p>
      <w:pPr>
        <w:pStyle w:val="8"/>
        <w:spacing w:line="304" w:lineRule="exact"/>
        <w:ind w:left="812"/>
        <w:outlineLvl w:val="2"/>
      </w:pPr>
      <w:r>
        <w:t>2、总价合同</w:t>
      </w:r>
    </w:p>
    <w:p>
      <w:pPr>
        <w:pStyle w:val="8"/>
        <w:spacing w:before="160" w:line="364" w:lineRule="auto"/>
        <w:ind w:left="388" w:right="744" w:firstLine="424"/>
        <w:jc w:val="both"/>
      </w:pPr>
      <w: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w:t>
      </w:r>
      <w:r>
        <w:rPr>
          <w:spacing w:val="-5"/>
        </w:rPr>
        <w:t xml:space="preserve">险范围以外的合同价格的调整方法，其中因市场价格波动引起的调整按第 </w:t>
      </w:r>
      <w:r>
        <w:t>11.1</w:t>
      </w:r>
      <w:r>
        <w:rPr>
          <w:spacing w:val="-20"/>
        </w:rPr>
        <w:t xml:space="preserve"> 款〔市场价</w:t>
      </w:r>
      <w:r>
        <w:rPr>
          <w:spacing w:val="-8"/>
        </w:rPr>
        <w:t xml:space="preserve">格波动引起的调整〕、因法律变化引起的调整按第 </w:t>
      </w:r>
      <w:r>
        <w:t>11.2</w:t>
      </w:r>
      <w:r>
        <w:rPr>
          <w:spacing w:val="-12"/>
        </w:rPr>
        <w:t xml:space="preserve"> 款〔法律变化引起的调整〕约定执</w:t>
      </w:r>
      <w:r>
        <w:t>行。</w:t>
      </w:r>
    </w:p>
    <w:p>
      <w:pPr>
        <w:pStyle w:val="8"/>
        <w:spacing w:line="304" w:lineRule="exact"/>
        <w:ind w:left="812"/>
        <w:outlineLvl w:val="2"/>
      </w:pPr>
      <w:r>
        <w:t>3、其它价格形式</w:t>
      </w:r>
    </w:p>
    <w:p>
      <w:pPr>
        <w:pStyle w:val="8"/>
        <w:spacing w:before="161"/>
        <w:ind w:left="812"/>
      </w:pPr>
      <w:r>
        <w:t>合同当事人可在专用合同条款中约定其他合同价格形式。</w:t>
      </w:r>
    </w:p>
    <w:p>
      <w:pPr>
        <w:pStyle w:val="16"/>
        <w:numPr>
          <w:ilvl w:val="1"/>
          <w:numId w:val="35"/>
        </w:numPr>
        <w:tabs>
          <w:tab w:val="left" w:pos="1353"/>
        </w:tabs>
        <w:spacing w:before="158" w:after="0" w:line="240" w:lineRule="auto"/>
        <w:ind w:left="1352" w:right="0" w:hanging="541"/>
        <w:jc w:val="both"/>
        <w:rPr>
          <w:sz w:val="24"/>
        </w:rPr>
      </w:pPr>
      <w:r>
        <w:rPr>
          <w:sz w:val="24"/>
        </w:rPr>
        <w:t>预付款</w:t>
      </w:r>
    </w:p>
    <w:p>
      <w:pPr>
        <w:pStyle w:val="16"/>
        <w:numPr>
          <w:ilvl w:val="2"/>
          <w:numId w:val="35"/>
        </w:numPr>
        <w:tabs>
          <w:tab w:val="left" w:pos="1593"/>
        </w:tabs>
        <w:spacing w:before="160" w:after="0" w:line="240" w:lineRule="auto"/>
        <w:ind w:left="1592" w:right="0" w:hanging="781"/>
        <w:jc w:val="both"/>
        <w:rPr>
          <w:sz w:val="24"/>
        </w:rPr>
      </w:pPr>
      <w:r>
        <w:rPr>
          <w:sz w:val="24"/>
        </w:rPr>
        <w:t>预付款的支付</w:t>
      </w:r>
    </w:p>
    <w:p>
      <w:pPr>
        <w:pStyle w:val="8"/>
        <w:spacing w:before="158" w:line="364" w:lineRule="auto"/>
        <w:ind w:left="388" w:right="798" w:firstLine="424"/>
        <w:jc w:val="both"/>
      </w:pPr>
      <w:r>
        <w:rPr>
          <w:spacing w:val="-2"/>
        </w:rPr>
        <w:t xml:space="preserve">预付款的支付按照专用合同条款约定执行，但至迟应在开工通知载明的开工日期 </w:t>
      </w:r>
      <w:r>
        <w:t>7</w:t>
      </w:r>
      <w:r>
        <w:rPr>
          <w:spacing w:val="-30"/>
        </w:rPr>
        <w:t xml:space="preserve"> 天前支付。预付款应当用于材料、工程设备、施工设备的采购及修建临时工程、组织施工队</w:t>
      </w:r>
      <w:r>
        <w:t>伍进场等。</w:t>
      </w:r>
    </w:p>
    <w:p>
      <w:pPr>
        <w:pStyle w:val="8"/>
        <w:spacing w:line="362" w:lineRule="auto"/>
        <w:ind w:left="388" w:right="852" w:firstLine="424"/>
      </w:pPr>
      <w:r>
        <w:t>除专用合同条款另有约定外，预付款在进度付款中同比例扣回。在颁发工程接收证书前，提前解除合同的，尚未扣完的预付款应与合同价款一并结算。</w:t>
      </w:r>
    </w:p>
    <w:p>
      <w:pPr>
        <w:pStyle w:val="8"/>
        <w:spacing w:before="5"/>
        <w:ind w:left="812"/>
      </w:pPr>
      <w:r>
        <w:t>发包人逾期支付预付款超过 7 天的，承包人有权向发包人发出要求预付的催告通知，</w:t>
      </w:r>
    </w:p>
    <w:p>
      <w:pPr>
        <w:pStyle w:val="8"/>
        <w:spacing w:before="158" w:line="364" w:lineRule="auto"/>
        <w:ind w:left="388" w:right="744"/>
      </w:pPr>
      <w:r>
        <w:rPr>
          <w:spacing w:val="-7"/>
        </w:rPr>
        <w:t xml:space="preserve">发包人收到通知后 </w:t>
      </w:r>
      <w:r>
        <w:t>7</w:t>
      </w:r>
      <w:r>
        <w:rPr>
          <w:spacing w:val="-13"/>
        </w:rPr>
        <w:t xml:space="preserve"> 天内仍未支付的，承包人有权暂停施工，并按第 </w:t>
      </w:r>
      <w:r>
        <w:t>16.1.1</w:t>
      </w:r>
      <w:r>
        <w:rPr>
          <w:spacing w:val="-16"/>
        </w:rPr>
        <w:t xml:space="preserve"> 项〔发包人违</w:t>
      </w:r>
      <w:r>
        <w:t>约的情形〕执行。</w:t>
      </w:r>
    </w:p>
    <w:p>
      <w:pPr>
        <w:pStyle w:val="16"/>
        <w:numPr>
          <w:ilvl w:val="2"/>
          <w:numId w:val="35"/>
        </w:numPr>
        <w:tabs>
          <w:tab w:val="left" w:pos="1653"/>
        </w:tabs>
        <w:spacing w:before="1" w:after="0" w:line="240" w:lineRule="auto"/>
        <w:ind w:left="1652" w:right="0" w:hanging="841"/>
        <w:jc w:val="left"/>
        <w:rPr>
          <w:sz w:val="24"/>
        </w:rPr>
      </w:pPr>
      <w:r>
        <w:rPr>
          <w:sz w:val="24"/>
        </w:rPr>
        <w:t>预付款担保</w:t>
      </w:r>
    </w:p>
    <w:p>
      <w:pPr>
        <w:pStyle w:val="8"/>
        <w:spacing w:before="158" w:line="364" w:lineRule="auto"/>
        <w:ind w:left="388" w:right="624" w:firstLine="424"/>
      </w:pPr>
      <w:r>
        <w:rPr>
          <w:spacing w:val="-2"/>
        </w:rPr>
        <w:t xml:space="preserve">发包人要求承包人提供预付款担保的，承包人应在发包人支付预付款 </w:t>
      </w:r>
      <w:r>
        <w:t>7</w:t>
      </w:r>
      <w:r>
        <w:rPr>
          <w:spacing w:val="-9"/>
        </w:rPr>
        <w:t xml:space="preserve"> 天前提供预付</w:t>
      </w:r>
      <w:r>
        <w:rPr>
          <w:spacing w:val="-11"/>
        </w:rPr>
        <w:t xml:space="preserve">款担保，专用合同条款另有约定除外。预付款担保可采用银行保函、担保公司担保等形式， </w:t>
      </w:r>
      <w:r>
        <w:t>具体由合同当事人在专用合同条款中约定。在预付款完全扣回之前，承包人应保证预付款担保持续有效。</w:t>
      </w:r>
    </w:p>
    <w:p>
      <w:pPr>
        <w:pStyle w:val="8"/>
        <w:spacing w:line="364" w:lineRule="auto"/>
        <w:ind w:left="388" w:right="852" w:firstLine="424"/>
      </w:pPr>
      <w:r>
        <w:t>发包人在工程款中逐期扣回预付款后，预付款担保额度应相应减少，但剩余的预付款担保金额不得低于未被扣回的预付款金额。</w:t>
      </w:r>
    </w:p>
    <w:p>
      <w:pPr>
        <w:pStyle w:val="16"/>
        <w:numPr>
          <w:ilvl w:val="1"/>
          <w:numId w:val="35"/>
        </w:numPr>
        <w:tabs>
          <w:tab w:val="left" w:pos="1353"/>
        </w:tabs>
        <w:spacing w:before="0" w:after="0" w:line="306" w:lineRule="exact"/>
        <w:ind w:left="1352" w:right="0" w:hanging="541"/>
        <w:jc w:val="left"/>
        <w:rPr>
          <w:sz w:val="24"/>
        </w:rPr>
      </w:pPr>
      <w:r>
        <w:rPr>
          <w:sz w:val="24"/>
        </w:rPr>
        <w:t>计量</w:t>
      </w:r>
    </w:p>
    <w:p>
      <w:pPr>
        <w:spacing w:after="0" w:line="306" w:lineRule="exact"/>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30" o:spid="_x0000_s1130" o:spt="20" style="position:absolute;left:0pt;margin-left:62.4pt;margin-top:12.25pt;height:0pt;width:400.4pt;mso-position-horizontal-relative:page;z-index:25176883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2"/>
          <w:numId w:val="35"/>
        </w:numPr>
        <w:tabs>
          <w:tab w:val="left" w:pos="1653"/>
        </w:tabs>
        <w:spacing w:before="67" w:after="0" w:line="240" w:lineRule="auto"/>
        <w:ind w:left="1652" w:right="0" w:hanging="841"/>
        <w:jc w:val="left"/>
        <w:rPr>
          <w:sz w:val="24"/>
        </w:rPr>
      </w:pPr>
      <w:r>
        <w:rPr>
          <w:sz w:val="24"/>
        </w:rPr>
        <w:t>计量原则</w:t>
      </w:r>
    </w:p>
    <w:p>
      <w:pPr>
        <w:pStyle w:val="8"/>
        <w:spacing w:before="158" w:line="364" w:lineRule="auto"/>
        <w:ind w:left="388" w:right="798" w:firstLine="424"/>
      </w:pPr>
      <w:r>
        <w:t>工程量计量按照合同约定的工程量计算规则、图纸及变更指示等进行计量。工程量计算规则应以相关的国家标准、行业标准等为依据，由合同当事人在专用合同条款中约定。</w:t>
      </w:r>
    </w:p>
    <w:p>
      <w:pPr>
        <w:pStyle w:val="16"/>
        <w:numPr>
          <w:ilvl w:val="2"/>
          <w:numId w:val="35"/>
        </w:numPr>
        <w:tabs>
          <w:tab w:val="left" w:pos="1653"/>
        </w:tabs>
        <w:spacing w:before="0" w:after="0" w:line="306" w:lineRule="exact"/>
        <w:ind w:left="1652" w:right="0" w:hanging="841"/>
        <w:jc w:val="left"/>
        <w:rPr>
          <w:sz w:val="24"/>
        </w:rPr>
      </w:pPr>
      <w:r>
        <w:rPr>
          <w:sz w:val="24"/>
        </w:rPr>
        <w:t>计量周期</w:t>
      </w:r>
    </w:p>
    <w:p>
      <w:pPr>
        <w:pStyle w:val="8"/>
        <w:spacing w:before="160"/>
        <w:ind w:left="812"/>
      </w:pPr>
      <w:r>
        <w:t>除专用合同条款另有约定外，工程量的计量按月进行。</w:t>
      </w:r>
    </w:p>
    <w:p>
      <w:pPr>
        <w:pStyle w:val="16"/>
        <w:numPr>
          <w:ilvl w:val="2"/>
          <w:numId w:val="35"/>
        </w:numPr>
        <w:tabs>
          <w:tab w:val="left" w:pos="1653"/>
        </w:tabs>
        <w:spacing w:before="158" w:after="0" w:line="240" w:lineRule="auto"/>
        <w:ind w:left="1652" w:right="0" w:hanging="841"/>
        <w:jc w:val="left"/>
        <w:rPr>
          <w:sz w:val="24"/>
        </w:rPr>
      </w:pPr>
      <w:r>
        <w:rPr>
          <w:sz w:val="24"/>
        </w:rPr>
        <w:t>单价合同的计量</w:t>
      </w:r>
    </w:p>
    <w:p>
      <w:pPr>
        <w:pStyle w:val="8"/>
        <w:spacing w:before="161"/>
        <w:ind w:left="812"/>
      </w:pPr>
      <w:r>
        <w:t>除专用合同条款另有约定外，单价合同的计量按照本项约定执行：</w:t>
      </w:r>
    </w:p>
    <w:p>
      <w:pPr>
        <w:pStyle w:val="16"/>
        <w:numPr>
          <w:ilvl w:val="0"/>
          <w:numId w:val="56"/>
        </w:numPr>
        <w:tabs>
          <w:tab w:val="left" w:pos="1414"/>
        </w:tabs>
        <w:spacing w:before="160" w:after="0" w:line="362" w:lineRule="auto"/>
        <w:ind w:left="388" w:right="624" w:firstLine="424"/>
        <w:jc w:val="both"/>
        <w:rPr>
          <w:sz w:val="24"/>
        </w:rPr>
      </w:pPr>
      <w:r>
        <w:rPr>
          <w:spacing w:val="-8"/>
          <w:sz w:val="24"/>
        </w:rPr>
        <w:t xml:space="preserve">承包人应于每月 </w:t>
      </w:r>
      <w:r>
        <w:rPr>
          <w:sz w:val="24"/>
        </w:rPr>
        <w:t>25</w:t>
      </w:r>
      <w:r>
        <w:rPr>
          <w:spacing w:val="-13"/>
          <w:sz w:val="24"/>
        </w:rPr>
        <w:t xml:space="preserve"> 日向监理人报送上月 </w:t>
      </w:r>
      <w:r>
        <w:rPr>
          <w:sz w:val="24"/>
        </w:rPr>
        <w:t>20</w:t>
      </w:r>
      <w:r>
        <w:rPr>
          <w:spacing w:val="-20"/>
          <w:sz w:val="24"/>
        </w:rPr>
        <w:t xml:space="preserve"> 日至当月 </w:t>
      </w:r>
      <w:r>
        <w:rPr>
          <w:sz w:val="24"/>
        </w:rPr>
        <w:t>19</w:t>
      </w:r>
      <w:r>
        <w:rPr>
          <w:spacing w:val="-9"/>
          <w:sz w:val="24"/>
        </w:rPr>
        <w:t xml:space="preserve"> 日已完成的工程量报告， </w:t>
      </w:r>
      <w:r>
        <w:rPr>
          <w:sz w:val="24"/>
        </w:rPr>
        <w:t>并附具进度付款申请单、已完成工程量报表和有关资料。</w:t>
      </w:r>
    </w:p>
    <w:p>
      <w:pPr>
        <w:pStyle w:val="16"/>
        <w:numPr>
          <w:ilvl w:val="0"/>
          <w:numId w:val="56"/>
        </w:numPr>
        <w:tabs>
          <w:tab w:val="left" w:pos="1414"/>
        </w:tabs>
        <w:spacing w:before="3" w:after="0" w:line="364" w:lineRule="auto"/>
        <w:ind w:left="388" w:right="744" w:firstLine="424"/>
        <w:jc w:val="both"/>
        <w:rPr>
          <w:sz w:val="24"/>
        </w:rPr>
      </w:pPr>
      <w:r>
        <w:rPr>
          <w:spacing w:val="-3"/>
          <w:sz w:val="24"/>
        </w:rPr>
        <w:t xml:space="preserve">监理人应在收到承包人提交的工程量报告后 </w:t>
      </w:r>
      <w:r>
        <w:rPr>
          <w:sz w:val="24"/>
        </w:rPr>
        <w:t>7</w:t>
      </w:r>
      <w:r>
        <w:rPr>
          <w:spacing w:val="-9"/>
          <w:sz w:val="24"/>
        </w:rPr>
        <w:t xml:space="preserve"> 天内完成对承包人提交的工程量报</w:t>
      </w:r>
      <w:r>
        <w:rPr>
          <w:sz w:val="24"/>
        </w:rPr>
        <w:t>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pStyle w:val="16"/>
        <w:numPr>
          <w:ilvl w:val="0"/>
          <w:numId w:val="56"/>
        </w:numPr>
        <w:tabs>
          <w:tab w:val="left" w:pos="1414"/>
        </w:tabs>
        <w:spacing w:before="0" w:after="0" w:line="364" w:lineRule="auto"/>
        <w:ind w:left="388" w:right="744" w:firstLine="424"/>
        <w:jc w:val="both"/>
        <w:rPr>
          <w:sz w:val="24"/>
        </w:rPr>
      </w:pPr>
      <w:r>
        <w:rPr>
          <w:spacing w:val="-3"/>
          <w:sz w:val="24"/>
        </w:rPr>
        <w:t xml:space="preserve">监理人未在收到承包人提交的工程量报表后的 </w:t>
      </w:r>
      <w:r>
        <w:rPr>
          <w:sz w:val="24"/>
        </w:rPr>
        <w:t>7</w:t>
      </w:r>
      <w:r>
        <w:rPr>
          <w:spacing w:val="-9"/>
          <w:sz w:val="24"/>
        </w:rPr>
        <w:t xml:space="preserve"> 天内完成审核的，承包人报送的</w:t>
      </w:r>
      <w:r>
        <w:rPr>
          <w:sz w:val="24"/>
        </w:rPr>
        <w:t>工程量报告中的工程量视为承包人实际完成的工程量，据此计算工程价款。</w:t>
      </w:r>
    </w:p>
    <w:p>
      <w:pPr>
        <w:pStyle w:val="16"/>
        <w:numPr>
          <w:ilvl w:val="2"/>
          <w:numId w:val="35"/>
        </w:numPr>
        <w:tabs>
          <w:tab w:val="left" w:pos="1653"/>
        </w:tabs>
        <w:spacing w:before="0" w:after="0" w:line="306" w:lineRule="exact"/>
        <w:ind w:left="1652" w:right="0" w:hanging="841"/>
        <w:jc w:val="both"/>
        <w:rPr>
          <w:sz w:val="24"/>
        </w:rPr>
      </w:pPr>
      <w:r>
        <w:rPr>
          <w:sz w:val="24"/>
        </w:rPr>
        <w:t>总价合同的计量</w:t>
      </w:r>
    </w:p>
    <w:p>
      <w:pPr>
        <w:pStyle w:val="8"/>
        <w:spacing w:before="159"/>
        <w:ind w:left="812"/>
      </w:pPr>
      <w:r>
        <w:t>除专用合同条款另有约定外，按月计量支付的总价合同，按照本项约定执行：</w:t>
      </w:r>
    </w:p>
    <w:p>
      <w:pPr>
        <w:pStyle w:val="16"/>
        <w:numPr>
          <w:ilvl w:val="0"/>
          <w:numId w:val="57"/>
        </w:numPr>
        <w:tabs>
          <w:tab w:val="left" w:pos="1414"/>
        </w:tabs>
        <w:spacing w:before="158" w:after="0" w:line="364" w:lineRule="auto"/>
        <w:ind w:left="388" w:right="624" w:firstLine="424"/>
        <w:jc w:val="both"/>
        <w:rPr>
          <w:sz w:val="24"/>
        </w:rPr>
      </w:pPr>
      <w:r>
        <w:rPr>
          <w:spacing w:val="-8"/>
          <w:sz w:val="24"/>
        </w:rPr>
        <w:t xml:space="preserve">承包人应于每月 </w:t>
      </w:r>
      <w:r>
        <w:rPr>
          <w:sz w:val="24"/>
        </w:rPr>
        <w:t>25</w:t>
      </w:r>
      <w:r>
        <w:rPr>
          <w:spacing w:val="-13"/>
          <w:sz w:val="24"/>
        </w:rPr>
        <w:t xml:space="preserve"> 日向监理人报送上月 </w:t>
      </w:r>
      <w:r>
        <w:rPr>
          <w:sz w:val="24"/>
        </w:rPr>
        <w:t>20</w:t>
      </w:r>
      <w:r>
        <w:rPr>
          <w:spacing w:val="-20"/>
          <w:sz w:val="24"/>
        </w:rPr>
        <w:t xml:space="preserve"> 日至当月 </w:t>
      </w:r>
      <w:r>
        <w:rPr>
          <w:sz w:val="24"/>
        </w:rPr>
        <w:t>19</w:t>
      </w:r>
      <w:r>
        <w:rPr>
          <w:spacing w:val="-9"/>
          <w:sz w:val="24"/>
        </w:rPr>
        <w:t xml:space="preserve"> 日已完成的工程量报告， </w:t>
      </w:r>
      <w:r>
        <w:rPr>
          <w:sz w:val="24"/>
        </w:rPr>
        <w:t>并附具进度付款申请单、已完成工程量报表和有关资料。</w:t>
      </w:r>
    </w:p>
    <w:p>
      <w:pPr>
        <w:pStyle w:val="16"/>
        <w:numPr>
          <w:ilvl w:val="0"/>
          <w:numId w:val="57"/>
        </w:numPr>
        <w:tabs>
          <w:tab w:val="left" w:pos="1414"/>
        </w:tabs>
        <w:spacing w:before="0" w:after="0" w:line="364" w:lineRule="auto"/>
        <w:ind w:left="388" w:right="744" w:firstLine="424"/>
        <w:jc w:val="both"/>
        <w:rPr>
          <w:sz w:val="24"/>
        </w:rPr>
      </w:pPr>
      <w:r>
        <w:rPr>
          <w:spacing w:val="-3"/>
          <w:sz w:val="24"/>
        </w:rPr>
        <w:t xml:space="preserve">监理人应在收到承包人提交的工程量报告后 </w:t>
      </w:r>
      <w:r>
        <w:rPr>
          <w:sz w:val="24"/>
        </w:rPr>
        <w:t>7</w:t>
      </w:r>
      <w:r>
        <w:rPr>
          <w:spacing w:val="-9"/>
          <w:sz w:val="24"/>
        </w:rPr>
        <w:t xml:space="preserve"> 天内完成对承包人提交的工程量报</w:t>
      </w:r>
      <w:r>
        <w:rPr>
          <w:sz w:val="24"/>
        </w:rPr>
        <w:t>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pStyle w:val="16"/>
        <w:numPr>
          <w:ilvl w:val="0"/>
          <w:numId w:val="57"/>
        </w:numPr>
        <w:tabs>
          <w:tab w:val="left" w:pos="1414"/>
        </w:tabs>
        <w:spacing w:before="0" w:after="0" w:line="362" w:lineRule="auto"/>
        <w:ind w:left="388" w:right="744" w:firstLine="424"/>
        <w:jc w:val="both"/>
        <w:rPr>
          <w:sz w:val="24"/>
        </w:rPr>
      </w:pPr>
      <w:r>
        <w:rPr>
          <w:spacing w:val="-3"/>
          <w:sz w:val="24"/>
        </w:rPr>
        <w:t xml:space="preserve">监理人未在收到承包人提交的工程量报表后的 </w:t>
      </w:r>
      <w:r>
        <w:rPr>
          <w:sz w:val="24"/>
        </w:rPr>
        <w:t>7</w:t>
      </w:r>
      <w:r>
        <w:rPr>
          <w:spacing w:val="-9"/>
          <w:sz w:val="24"/>
        </w:rPr>
        <w:t xml:space="preserve"> 天内完成复核的，承包人提交的</w:t>
      </w:r>
      <w:r>
        <w:rPr>
          <w:sz w:val="24"/>
        </w:rPr>
        <w:t>工程量报告中的工程量视为承包人实际完成的工程量。</w:t>
      </w:r>
    </w:p>
    <w:p>
      <w:pPr>
        <w:pStyle w:val="16"/>
        <w:numPr>
          <w:ilvl w:val="2"/>
          <w:numId w:val="35"/>
        </w:numPr>
        <w:tabs>
          <w:tab w:val="left" w:pos="1653"/>
        </w:tabs>
        <w:spacing w:before="2" w:after="0" w:line="364" w:lineRule="auto"/>
        <w:ind w:left="388" w:right="852" w:firstLine="424"/>
        <w:jc w:val="both"/>
        <w:rPr>
          <w:sz w:val="24"/>
        </w:rPr>
      </w:pPr>
      <w:r>
        <w:rPr>
          <w:spacing w:val="-3"/>
          <w:sz w:val="24"/>
        </w:rPr>
        <w:t xml:space="preserve">总价合同采用支付分解表计量支付的，可以按照第 </w:t>
      </w:r>
      <w:r>
        <w:rPr>
          <w:sz w:val="24"/>
        </w:rPr>
        <w:t>12.3.4</w:t>
      </w:r>
      <w:r>
        <w:rPr>
          <w:spacing w:val="-9"/>
          <w:sz w:val="24"/>
        </w:rPr>
        <w:t xml:space="preserve"> 项〔总价合同的计</w:t>
      </w:r>
      <w:r>
        <w:rPr>
          <w:sz w:val="24"/>
        </w:rPr>
        <w:t>量〕约定进行计量，但合同价款按照支付分解表进行支付。</w:t>
      </w:r>
    </w:p>
    <w:p>
      <w:pPr>
        <w:pStyle w:val="16"/>
        <w:numPr>
          <w:ilvl w:val="2"/>
          <w:numId w:val="35"/>
        </w:numPr>
        <w:tabs>
          <w:tab w:val="left" w:pos="1653"/>
        </w:tabs>
        <w:spacing w:before="0" w:after="0" w:line="306" w:lineRule="exact"/>
        <w:ind w:left="1652" w:right="0" w:hanging="841"/>
        <w:jc w:val="both"/>
        <w:rPr>
          <w:sz w:val="24"/>
        </w:rPr>
      </w:pPr>
      <w:r>
        <w:rPr>
          <w:sz w:val="24"/>
        </w:rPr>
        <w:t>其他价格形式合同的计量</w:t>
      </w:r>
    </w:p>
    <w:p>
      <w:pPr>
        <w:spacing w:after="0" w:line="306" w:lineRule="exact"/>
        <w:jc w:val="both"/>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31" o:spid="_x0000_s1131" o:spt="20" style="position:absolute;left:0pt;margin-left:62.4pt;margin-top:12.25pt;height:0pt;width:400.4pt;mso-position-horizontal-relative:page;z-index:25176985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812"/>
      </w:pPr>
      <w:r>
        <w:t>合同当事人可在专用合同条款中约定其他价格形式合同的计量方式和程序。</w:t>
      </w:r>
    </w:p>
    <w:p>
      <w:pPr>
        <w:pStyle w:val="16"/>
        <w:numPr>
          <w:ilvl w:val="1"/>
          <w:numId w:val="35"/>
        </w:numPr>
        <w:tabs>
          <w:tab w:val="left" w:pos="1353"/>
        </w:tabs>
        <w:spacing w:before="158" w:after="0" w:line="240" w:lineRule="auto"/>
        <w:ind w:left="1352" w:right="0" w:hanging="541"/>
        <w:jc w:val="left"/>
        <w:rPr>
          <w:sz w:val="24"/>
        </w:rPr>
      </w:pPr>
      <w:r>
        <w:rPr>
          <w:sz w:val="24"/>
        </w:rPr>
        <w:t>工程进度款支付</w:t>
      </w:r>
    </w:p>
    <w:p>
      <w:pPr>
        <w:pStyle w:val="16"/>
        <w:numPr>
          <w:ilvl w:val="2"/>
          <w:numId w:val="35"/>
        </w:numPr>
        <w:tabs>
          <w:tab w:val="left" w:pos="1653"/>
        </w:tabs>
        <w:spacing w:before="160" w:after="0" w:line="240" w:lineRule="auto"/>
        <w:ind w:left="1652" w:right="0" w:hanging="841"/>
        <w:jc w:val="left"/>
        <w:rPr>
          <w:sz w:val="24"/>
        </w:rPr>
      </w:pPr>
      <w:r>
        <w:rPr>
          <w:sz w:val="24"/>
        </w:rPr>
        <w:t>付款周期</w:t>
      </w:r>
    </w:p>
    <w:p>
      <w:pPr>
        <w:pStyle w:val="8"/>
        <w:spacing w:before="158" w:line="364" w:lineRule="auto"/>
        <w:ind w:left="388" w:right="744" w:firstLine="424"/>
      </w:pPr>
      <w:r>
        <w:rPr>
          <w:spacing w:val="-4"/>
        </w:rPr>
        <w:t xml:space="preserve">除专用合同条款另有约定外，付款周期应按照第 </w:t>
      </w:r>
      <w:r>
        <w:t>12.3.2</w:t>
      </w:r>
      <w:r>
        <w:rPr>
          <w:spacing w:val="-10"/>
        </w:rPr>
        <w:t xml:space="preserve"> 项〔计量周期〕的约定与计量</w:t>
      </w:r>
      <w:r>
        <w:t>周期保持一致。</w:t>
      </w:r>
    </w:p>
    <w:p>
      <w:pPr>
        <w:pStyle w:val="16"/>
        <w:numPr>
          <w:ilvl w:val="2"/>
          <w:numId w:val="35"/>
        </w:numPr>
        <w:tabs>
          <w:tab w:val="left" w:pos="1653"/>
        </w:tabs>
        <w:spacing w:before="0" w:after="0" w:line="306" w:lineRule="exact"/>
        <w:ind w:left="1652" w:right="0" w:hanging="841"/>
        <w:jc w:val="left"/>
        <w:rPr>
          <w:sz w:val="24"/>
        </w:rPr>
      </w:pPr>
      <w:r>
        <w:rPr>
          <w:sz w:val="24"/>
        </w:rPr>
        <w:t>进度付款申请单的编制</w:t>
      </w:r>
    </w:p>
    <w:p>
      <w:pPr>
        <w:pStyle w:val="8"/>
        <w:spacing w:before="161"/>
        <w:ind w:left="812"/>
      </w:pPr>
      <w:r>
        <w:t>除专用合同条款另有约定外，进度付款申请单应包括下列内容：</w:t>
      </w:r>
    </w:p>
    <w:p>
      <w:pPr>
        <w:pStyle w:val="16"/>
        <w:numPr>
          <w:ilvl w:val="0"/>
          <w:numId w:val="58"/>
        </w:numPr>
        <w:tabs>
          <w:tab w:val="left" w:pos="1414"/>
        </w:tabs>
        <w:spacing w:before="160" w:after="0" w:line="240" w:lineRule="auto"/>
        <w:ind w:left="1413" w:right="0" w:hanging="602"/>
        <w:jc w:val="left"/>
        <w:rPr>
          <w:sz w:val="24"/>
        </w:rPr>
      </w:pPr>
      <w:r>
        <w:rPr>
          <w:sz w:val="24"/>
        </w:rPr>
        <w:t>截至本次付款周期已完成工作对应的金额；</w:t>
      </w:r>
    </w:p>
    <w:p>
      <w:pPr>
        <w:pStyle w:val="16"/>
        <w:numPr>
          <w:ilvl w:val="0"/>
          <w:numId w:val="58"/>
        </w:numPr>
        <w:tabs>
          <w:tab w:val="left" w:pos="1414"/>
        </w:tabs>
        <w:spacing w:before="159" w:after="0" w:line="240" w:lineRule="auto"/>
        <w:ind w:left="1413" w:right="0" w:hanging="602"/>
        <w:jc w:val="left"/>
        <w:rPr>
          <w:sz w:val="24"/>
        </w:rPr>
      </w:pPr>
      <w:r>
        <w:rPr>
          <w:spacing w:val="-15"/>
          <w:sz w:val="24"/>
        </w:rPr>
        <w:t xml:space="preserve">根据第 </w:t>
      </w:r>
      <w:r>
        <w:rPr>
          <w:sz w:val="24"/>
        </w:rPr>
        <w:t>10</w:t>
      </w:r>
      <w:r>
        <w:rPr>
          <w:spacing w:val="-8"/>
          <w:sz w:val="24"/>
        </w:rPr>
        <w:t xml:space="preserve"> 条〔变更〕应增加和扣减的变更金额；</w:t>
      </w:r>
    </w:p>
    <w:p>
      <w:pPr>
        <w:pStyle w:val="16"/>
        <w:numPr>
          <w:ilvl w:val="0"/>
          <w:numId w:val="58"/>
        </w:numPr>
        <w:tabs>
          <w:tab w:val="left" w:pos="1414"/>
        </w:tabs>
        <w:spacing w:before="158" w:after="0" w:line="240" w:lineRule="auto"/>
        <w:ind w:left="1413" w:right="0" w:hanging="602"/>
        <w:jc w:val="left"/>
        <w:rPr>
          <w:sz w:val="24"/>
        </w:rPr>
      </w:pPr>
      <w:r>
        <w:rPr>
          <w:spacing w:val="-15"/>
          <w:sz w:val="24"/>
        </w:rPr>
        <w:t xml:space="preserve">根据第 </w:t>
      </w:r>
      <w:r>
        <w:rPr>
          <w:sz w:val="24"/>
        </w:rPr>
        <w:t>12.2</w:t>
      </w:r>
      <w:r>
        <w:rPr>
          <w:spacing w:val="-8"/>
          <w:sz w:val="24"/>
        </w:rPr>
        <w:t xml:space="preserve"> 款〔预付款〕约定应支付的预付款和扣减的返还预付款；</w:t>
      </w:r>
    </w:p>
    <w:p>
      <w:pPr>
        <w:pStyle w:val="16"/>
        <w:numPr>
          <w:ilvl w:val="0"/>
          <w:numId w:val="58"/>
        </w:numPr>
        <w:tabs>
          <w:tab w:val="left" w:pos="1414"/>
        </w:tabs>
        <w:spacing w:before="160" w:after="0" w:line="240" w:lineRule="auto"/>
        <w:ind w:left="1413" w:right="0" w:hanging="602"/>
        <w:jc w:val="left"/>
        <w:rPr>
          <w:sz w:val="24"/>
        </w:rPr>
      </w:pPr>
      <w:r>
        <w:rPr>
          <w:spacing w:val="-15"/>
          <w:sz w:val="24"/>
        </w:rPr>
        <w:t xml:space="preserve">根据第 </w:t>
      </w:r>
      <w:r>
        <w:rPr>
          <w:sz w:val="24"/>
        </w:rPr>
        <w:t>15.3</w:t>
      </w:r>
      <w:r>
        <w:rPr>
          <w:spacing w:val="-8"/>
          <w:sz w:val="24"/>
        </w:rPr>
        <w:t xml:space="preserve"> 款〔质量保证金〕约定应扣减的质量保证金；</w:t>
      </w:r>
    </w:p>
    <w:p>
      <w:pPr>
        <w:pStyle w:val="16"/>
        <w:numPr>
          <w:ilvl w:val="0"/>
          <w:numId w:val="58"/>
        </w:numPr>
        <w:tabs>
          <w:tab w:val="left" w:pos="1414"/>
        </w:tabs>
        <w:spacing w:before="161" w:after="0" w:line="240" w:lineRule="auto"/>
        <w:ind w:left="1413" w:right="0" w:hanging="602"/>
        <w:jc w:val="left"/>
        <w:rPr>
          <w:sz w:val="24"/>
        </w:rPr>
      </w:pPr>
      <w:r>
        <w:rPr>
          <w:spacing w:val="-15"/>
          <w:sz w:val="24"/>
        </w:rPr>
        <w:t xml:space="preserve">根据第 </w:t>
      </w:r>
      <w:r>
        <w:rPr>
          <w:sz w:val="24"/>
        </w:rPr>
        <w:t>19</w:t>
      </w:r>
      <w:r>
        <w:rPr>
          <w:spacing w:val="-8"/>
          <w:sz w:val="24"/>
        </w:rPr>
        <w:t xml:space="preserve"> 条〔索赔〕应增加和扣减的索赔金额；</w:t>
      </w:r>
    </w:p>
    <w:p>
      <w:pPr>
        <w:pStyle w:val="16"/>
        <w:numPr>
          <w:ilvl w:val="0"/>
          <w:numId w:val="58"/>
        </w:numPr>
        <w:tabs>
          <w:tab w:val="left" w:pos="1414"/>
        </w:tabs>
        <w:spacing w:before="158" w:after="0" w:line="364" w:lineRule="auto"/>
        <w:ind w:left="388" w:right="744" w:firstLine="424"/>
        <w:jc w:val="left"/>
        <w:rPr>
          <w:sz w:val="24"/>
        </w:rPr>
      </w:pPr>
      <w:r>
        <w:rPr>
          <w:spacing w:val="-2"/>
          <w:sz w:val="24"/>
        </w:rPr>
        <w:t>对已签发的进度款支付证书中出现错误的修正，应在本次进度付款中支付或扣除</w:t>
      </w:r>
      <w:r>
        <w:rPr>
          <w:sz w:val="24"/>
        </w:rPr>
        <w:t>的金额；</w:t>
      </w:r>
    </w:p>
    <w:p>
      <w:pPr>
        <w:pStyle w:val="16"/>
        <w:numPr>
          <w:ilvl w:val="0"/>
          <w:numId w:val="58"/>
        </w:numPr>
        <w:tabs>
          <w:tab w:val="left" w:pos="1414"/>
        </w:tabs>
        <w:spacing w:before="0" w:after="0" w:line="306" w:lineRule="exact"/>
        <w:ind w:left="1413" w:right="0" w:hanging="602"/>
        <w:jc w:val="left"/>
        <w:rPr>
          <w:sz w:val="24"/>
        </w:rPr>
      </w:pPr>
      <w:r>
        <w:rPr>
          <w:sz w:val="24"/>
        </w:rPr>
        <w:t>根据合同约定应增加和扣减的其他金额。</w:t>
      </w:r>
    </w:p>
    <w:p>
      <w:pPr>
        <w:pStyle w:val="16"/>
        <w:numPr>
          <w:ilvl w:val="2"/>
          <w:numId w:val="35"/>
        </w:numPr>
        <w:tabs>
          <w:tab w:val="left" w:pos="1653"/>
        </w:tabs>
        <w:spacing w:before="160" w:after="0" w:line="240" w:lineRule="auto"/>
        <w:ind w:left="1652" w:right="0" w:hanging="841"/>
        <w:jc w:val="left"/>
        <w:rPr>
          <w:sz w:val="24"/>
        </w:rPr>
      </w:pPr>
      <w:r>
        <w:rPr>
          <w:sz w:val="24"/>
        </w:rPr>
        <w:t>进度付款申请单的提交</w:t>
      </w:r>
    </w:p>
    <w:p>
      <w:pPr>
        <w:pStyle w:val="16"/>
        <w:numPr>
          <w:ilvl w:val="0"/>
          <w:numId w:val="59"/>
        </w:numPr>
        <w:tabs>
          <w:tab w:val="left" w:pos="1414"/>
        </w:tabs>
        <w:spacing w:before="158" w:after="0" w:line="240" w:lineRule="auto"/>
        <w:ind w:left="1413" w:right="0" w:hanging="602"/>
        <w:jc w:val="left"/>
        <w:rPr>
          <w:sz w:val="24"/>
        </w:rPr>
      </w:pPr>
      <w:r>
        <w:rPr>
          <w:sz w:val="24"/>
        </w:rPr>
        <w:t>单价合同进度付款申请单的提交</w:t>
      </w:r>
    </w:p>
    <w:p>
      <w:pPr>
        <w:pStyle w:val="8"/>
        <w:spacing w:before="161" w:line="364" w:lineRule="auto"/>
        <w:ind w:left="388" w:right="744" w:firstLine="424"/>
        <w:jc w:val="both"/>
      </w:pPr>
      <w:r>
        <w:rPr>
          <w:spacing w:val="-5"/>
        </w:rPr>
        <w:t xml:space="preserve">单价合同的进度付款申请单，按照第 </w:t>
      </w:r>
      <w:r>
        <w:t>12.3.3</w:t>
      </w:r>
      <w:r>
        <w:rPr>
          <w:spacing w:val="-10"/>
        </w:rPr>
        <w:t xml:space="preserve"> 项〔单价合同的计量〕约定的时间按月向</w:t>
      </w:r>
      <w:r>
        <w:t>监理人提交，并附上已完成工程量报表和有关资料。单价合同中的总价项目按月进行支付分解，并汇总列入当期进度付款申请单。</w:t>
      </w:r>
    </w:p>
    <w:p>
      <w:pPr>
        <w:pStyle w:val="16"/>
        <w:numPr>
          <w:ilvl w:val="0"/>
          <w:numId w:val="59"/>
        </w:numPr>
        <w:tabs>
          <w:tab w:val="left" w:pos="1414"/>
        </w:tabs>
        <w:spacing w:before="0" w:after="0" w:line="304" w:lineRule="exact"/>
        <w:ind w:left="1413" w:right="0" w:hanging="602"/>
        <w:jc w:val="left"/>
        <w:rPr>
          <w:sz w:val="24"/>
        </w:rPr>
      </w:pPr>
      <w:r>
        <w:rPr>
          <w:sz w:val="24"/>
        </w:rPr>
        <w:t>总价合同进度付款申请单的提交</w:t>
      </w:r>
    </w:p>
    <w:p>
      <w:pPr>
        <w:pStyle w:val="8"/>
        <w:spacing w:before="160" w:line="364" w:lineRule="auto"/>
        <w:ind w:left="388" w:right="744" w:firstLine="424"/>
      </w:pPr>
      <w:r>
        <w:rPr>
          <w:spacing w:val="-5"/>
        </w:rPr>
        <w:t xml:space="preserve">总价合同按月计量支付的，承包人按照第 </w:t>
      </w:r>
      <w:r>
        <w:t>12.3.4</w:t>
      </w:r>
      <w:r>
        <w:rPr>
          <w:spacing w:val="-10"/>
        </w:rPr>
        <w:t xml:space="preserve"> 项〔总价合同的计量〕约定的时间按</w:t>
      </w:r>
      <w:r>
        <w:t>月向监理人提交进度付款申请单，并附上已完成工程量报表和有关资料。</w:t>
      </w:r>
    </w:p>
    <w:p>
      <w:pPr>
        <w:pStyle w:val="8"/>
        <w:spacing w:line="364" w:lineRule="auto"/>
        <w:ind w:left="388" w:right="744" w:firstLine="424"/>
      </w:pPr>
      <w:r>
        <w:rPr>
          <w:spacing w:val="-5"/>
        </w:rPr>
        <w:t xml:space="preserve">总价合同按支付分解表支付的，承包人应按照第 </w:t>
      </w:r>
      <w:r>
        <w:t>12.4.6</w:t>
      </w:r>
      <w:r>
        <w:rPr>
          <w:spacing w:val="-16"/>
        </w:rPr>
        <w:t xml:space="preserve"> 项〔支付分解表〕及第 </w:t>
      </w:r>
      <w:r>
        <w:rPr>
          <w:spacing w:val="-3"/>
        </w:rPr>
        <w:t xml:space="preserve">12.4.2 </w:t>
      </w:r>
      <w:r>
        <w:t>项〔进度付款申请单的编制〕的约定向监理人提交进度付款申请单。</w:t>
      </w:r>
    </w:p>
    <w:p>
      <w:pPr>
        <w:pStyle w:val="16"/>
        <w:numPr>
          <w:ilvl w:val="0"/>
          <w:numId w:val="59"/>
        </w:numPr>
        <w:tabs>
          <w:tab w:val="left" w:pos="1414"/>
        </w:tabs>
        <w:spacing w:before="0" w:after="0" w:line="306" w:lineRule="exact"/>
        <w:ind w:left="1413" w:right="0" w:hanging="602"/>
        <w:jc w:val="left"/>
        <w:rPr>
          <w:sz w:val="24"/>
        </w:rPr>
      </w:pPr>
      <w:r>
        <w:rPr>
          <w:sz w:val="24"/>
        </w:rPr>
        <w:t>其他价格形式合同的进度付款申请单的提交</w:t>
      </w:r>
    </w:p>
    <w:p>
      <w:pPr>
        <w:pStyle w:val="8"/>
        <w:spacing w:before="157" w:line="364" w:lineRule="auto"/>
        <w:ind w:left="388" w:right="852" w:firstLine="424"/>
      </w:pPr>
      <w:r>
        <w:t>合同当事人可在专用合同条款中约定其他价格形式合同的进度付款申请单的编制和提交程序。</w:t>
      </w:r>
    </w:p>
    <w:p>
      <w:pPr>
        <w:pStyle w:val="16"/>
        <w:numPr>
          <w:ilvl w:val="2"/>
          <w:numId w:val="35"/>
        </w:numPr>
        <w:tabs>
          <w:tab w:val="left" w:pos="1653"/>
        </w:tabs>
        <w:spacing w:before="1" w:after="0" w:line="240" w:lineRule="auto"/>
        <w:ind w:left="1652" w:right="0" w:hanging="841"/>
        <w:jc w:val="left"/>
        <w:rPr>
          <w:sz w:val="24"/>
        </w:rPr>
      </w:pPr>
      <w:r>
        <w:rPr>
          <w:sz w:val="24"/>
        </w:rPr>
        <w:t>进度款审核和支付</w:t>
      </w:r>
    </w:p>
    <w:p>
      <w:pPr>
        <w:spacing w:after="0" w:line="240"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32" o:spid="_x0000_s1132" o:spt="20" style="position:absolute;left:0pt;margin-left:62.4pt;margin-top:12.25pt;height:0pt;width:400.4pt;mso-position-horizontal-relative:page;z-index:25177088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0"/>
          <w:numId w:val="60"/>
        </w:numPr>
        <w:tabs>
          <w:tab w:val="left" w:pos="1414"/>
        </w:tabs>
        <w:spacing w:before="67" w:after="0" w:line="364" w:lineRule="auto"/>
        <w:ind w:left="388" w:right="744" w:firstLine="424"/>
        <w:jc w:val="both"/>
        <w:rPr>
          <w:sz w:val="24"/>
        </w:rPr>
      </w:pPr>
      <w:r>
        <w:rPr>
          <w:spacing w:val="-2"/>
          <w:sz w:val="24"/>
        </w:rPr>
        <w:t>除专用合同条款另有约定外，监理人应在收到承包人进度付款申请单以及相关资</w:t>
      </w:r>
      <w:r>
        <w:rPr>
          <w:spacing w:val="-20"/>
          <w:sz w:val="24"/>
        </w:rPr>
        <w:t xml:space="preserve">料后 </w:t>
      </w:r>
      <w:r>
        <w:rPr>
          <w:sz w:val="24"/>
        </w:rPr>
        <w:t>7</w:t>
      </w:r>
      <w:r>
        <w:rPr>
          <w:spacing w:val="-11"/>
          <w:sz w:val="24"/>
        </w:rPr>
        <w:t xml:space="preserve"> 天内完成审查并报送发包人，发包人应在收到后 </w:t>
      </w:r>
      <w:r>
        <w:rPr>
          <w:sz w:val="24"/>
        </w:rPr>
        <w:t>7</w:t>
      </w:r>
      <w:r>
        <w:rPr>
          <w:spacing w:val="-8"/>
          <w:sz w:val="24"/>
        </w:rPr>
        <w:t xml:space="preserve"> 天内完成审批并签发进度款支付证书。发包人逾期未完成审批且未提出异议的，视为已签发进度款支付证书。</w:t>
      </w:r>
    </w:p>
    <w:p>
      <w:pPr>
        <w:pStyle w:val="8"/>
        <w:spacing w:line="364" w:lineRule="auto"/>
        <w:ind w:left="388" w:right="798" w:firstLine="424"/>
        <w:jc w:val="both"/>
      </w:pPr>
      <w:r>
        <w:t>发包人和监理人对承包人的进度付款申请单有异议的，有权要求承包人修正和提供补</w:t>
      </w:r>
      <w:r>
        <w:rPr>
          <w:spacing w:val="-1"/>
        </w:rPr>
        <w:t>充资料，承包人应提交修正后的进度付款申请单。监理人应在收到承包人修正后的进度付</w:t>
      </w:r>
      <w:r>
        <w:rPr>
          <w:spacing w:val="-6"/>
        </w:rPr>
        <w:t xml:space="preserve">款申请单及相关资料后 </w:t>
      </w:r>
      <w:r>
        <w:t>7</w:t>
      </w:r>
      <w:r>
        <w:rPr>
          <w:spacing w:val="-9"/>
        </w:rPr>
        <w:t xml:space="preserve"> 天内完成审查并报送发包人，发包人应在收到监理人报送的进度</w:t>
      </w:r>
    </w:p>
    <w:p>
      <w:pPr>
        <w:pStyle w:val="8"/>
        <w:spacing w:line="307" w:lineRule="exact"/>
        <w:ind w:left="388"/>
        <w:jc w:val="both"/>
      </w:pPr>
      <w:r>
        <w:rPr>
          <w:spacing w:val="-5"/>
        </w:rPr>
        <w:t xml:space="preserve">付款申请单及相关资料后 </w:t>
      </w:r>
      <w:r>
        <w:t>7</w:t>
      </w:r>
      <w:r>
        <w:rPr>
          <w:spacing w:val="-8"/>
        </w:rPr>
        <w:t xml:space="preserve"> 天内，向承包人签发无异议部分的临时进度款支付证书。存在</w:t>
      </w:r>
    </w:p>
    <w:p>
      <w:pPr>
        <w:pStyle w:val="8"/>
        <w:spacing w:before="157"/>
        <w:ind w:left="388"/>
        <w:jc w:val="both"/>
      </w:pPr>
      <w:r>
        <w:t>争议的部分，按照第 20 条〔争议解决〕的约定处理。</w:t>
      </w:r>
    </w:p>
    <w:p>
      <w:pPr>
        <w:pStyle w:val="16"/>
        <w:numPr>
          <w:ilvl w:val="0"/>
          <w:numId w:val="60"/>
        </w:numPr>
        <w:tabs>
          <w:tab w:val="left" w:pos="1414"/>
        </w:tabs>
        <w:spacing w:before="158" w:after="0" w:line="364" w:lineRule="auto"/>
        <w:ind w:left="388" w:right="744" w:firstLine="424"/>
        <w:jc w:val="both"/>
        <w:rPr>
          <w:sz w:val="24"/>
        </w:rPr>
      </w:pPr>
      <w:r>
        <w:rPr>
          <w:spacing w:val="-2"/>
          <w:sz w:val="24"/>
        </w:rPr>
        <w:t>除专用合同条款另有约定外，发包人应在进度款支付证书或临时进度款支付证书</w:t>
      </w:r>
      <w:r>
        <w:rPr>
          <w:spacing w:val="-15"/>
          <w:sz w:val="24"/>
        </w:rPr>
        <w:t xml:space="preserve">签发后 </w:t>
      </w:r>
      <w:r>
        <w:rPr>
          <w:sz w:val="24"/>
        </w:rPr>
        <w:t>14</w:t>
      </w:r>
      <w:r>
        <w:rPr>
          <w:spacing w:val="-13"/>
          <w:sz w:val="24"/>
        </w:rPr>
        <w:t xml:space="preserve"> 天内完成支付，发包人逾期支付进度款的，应按照中国人民银行发布的同期同类</w:t>
      </w:r>
      <w:r>
        <w:rPr>
          <w:sz w:val="24"/>
        </w:rPr>
        <w:t>贷款基准利率支付违约金。</w:t>
      </w:r>
    </w:p>
    <w:p>
      <w:pPr>
        <w:pStyle w:val="16"/>
        <w:numPr>
          <w:ilvl w:val="0"/>
          <w:numId w:val="60"/>
        </w:numPr>
        <w:tabs>
          <w:tab w:val="left" w:pos="1414"/>
        </w:tabs>
        <w:spacing w:before="0" w:after="0" w:line="362" w:lineRule="auto"/>
        <w:ind w:left="388" w:right="744" w:firstLine="424"/>
        <w:jc w:val="left"/>
        <w:rPr>
          <w:sz w:val="24"/>
        </w:rPr>
      </w:pPr>
      <w:r>
        <w:rPr>
          <w:spacing w:val="-3"/>
          <w:sz w:val="24"/>
        </w:rPr>
        <w:t>发包人签发进度款支付证书或临时进度款支付证书，不表明发包人已同意、批准</w:t>
      </w:r>
      <w:r>
        <w:rPr>
          <w:sz w:val="24"/>
        </w:rPr>
        <w:t>或接受了承包人完成的相应部分的工作。</w:t>
      </w:r>
    </w:p>
    <w:p>
      <w:pPr>
        <w:pStyle w:val="16"/>
        <w:numPr>
          <w:ilvl w:val="2"/>
          <w:numId w:val="35"/>
        </w:numPr>
        <w:tabs>
          <w:tab w:val="left" w:pos="1653"/>
        </w:tabs>
        <w:spacing w:before="5" w:after="0" w:line="240" w:lineRule="auto"/>
        <w:ind w:left="1652" w:right="0" w:hanging="841"/>
        <w:jc w:val="left"/>
        <w:rPr>
          <w:sz w:val="24"/>
        </w:rPr>
      </w:pPr>
      <w:r>
        <w:rPr>
          <w:sz w:val="24"/>
        </w:rPr>
        <w:t>进度付款的修正</w:t>
      </w:r>
    </w:p>
    <w:p>
      <w:pPr>
        <w:pStyle w:val="8"/>
        <w:spacing w:before="158" w:line="364" w:lineRule="auto"/>
        <w:ind w:left="388" w:right="798" w:firstLine="424"/>
        <w:jc w:val="both"/>
      </w:pPr>
      <w:r>
        <w:t>在对已签发的进度款支付证书进行阶段汇总和复核中发现错误、遗漏或重复的，发包人和承包人均有权提出修正申请。经发包人和承包人同意的修正，应在下期进度付款中支付或扣除。</w:t>
      </w:r>
    </w:p>
    <w:p>
      <w:pPr>
        <w:pStyle w:val="16"/>
        <w:numPr>
          <w:ilvl w:val="2"/>
          <w:numId w:val="35"/>
        </w:numPr>
        <w:tabs>
          <w:tab w:val="left" w:pos="1653"/>
        </w:tabs>
        <w:spacing w:before="0" w:after="0" w:line="307" w:lineRule="exact"/>
        <w:ind w:left="1652" w:right="0" w:hanging="841"/>
        <w:jc w:val="both"/>
        <w:rPr>
          <w:sz w:val="24"/>
        </w:rPr>
      </w:pPr>
      <w:r>
        <w:rPr>
          <w:sz w:val="24"/>
        </w:rPr>
        <w:t>支付分解表</w:t>
      </w:r>
    </w:p>
    <w:p>
      <w:pPr>
        <w:pStyle w:val="8"/>
        <w:spacing w:before="158"/>
        <w:ind w:left="812"/>
        <w:outlineLvl w:val="2"/>
      </w:pPr>
      <w:r>
        <w:t>1、支付分解表的编制要求</w:t>
      </w:r>
    </w:p>
    <w:p>
      <w:pPr>
        <w:pStyle w:val="16"/>
        <w:numPr>
          <w:ilvl w:val="0"/>
          <w:numId w:val="61"/>
        </w:numPr>
        <w:tabs>
          <w:tab w:val="left" w:pos="1414"/>
        </w:tabs>
        <w:spacing w:before="160" w:after="0" w:line="362" w:lineRule="auto"/>
        <w:ind w:left="388" w:right="624" w:firstLine="424"/>
        <w:jc w:val="left"/>
        <w:rPr>
          <w:sz w:val="24"/>
        </w:rPr>
      </w:pPr>
      <w:r>
        <w:rPr>
          <w:spacing w:val="-4"/>
          <w:sz w:val="24"/>
        </w:rPr>
        <w:t xml:space="preserve">支付分解表中所列的每期付款金额，应为第 </w:t>
      </w:r>
      <w:r>
        <w:rPr>
          <w:sz w:val="24"/>
        </w:rPr>
        <w:t>12.4.2</w:t>
      </w:r>
      <w:r>
        <w:rPr>
          <w:spacing w:val="-10"/>
          <w:sz w:val="24"/>
        </w:rPr>
        <w:t xml:space="preserve"> 项〔进度付款申请单的编制〕</w:t>
      </w:r>
      <w:r>
        <w:rPr>
          <w:sz w:val="24"/>
        </w:rPr>
        <w:t>第（1）目的估算金额；</w:t>
      </w:r>
    </w:p>
    <w:p>
      <w:pPr>
        <w:pStyle w:val="16"/>
        <w:numPr>
          <w:ilvl w:val="0"/>
          <w:numId w:val="61"/>
        </w:numPr>
        <w:tabs>
          <w:tab w:val="left" w:pos="1414"/>
        </w:tabs>
        <w:spacing w:before="5" w:after="0" w:line="364" w:lineRule="auto"/>
        <w:ind w:left="388" w:right="732" w:firstLine="424"/>
        <w:jc w:val="left"/>
        <w:rPr>
          <w:sz w:val="24"/>
        </w:rPr>
      </w:pPr>
      <w:r>
        <w:rPr>
          <w:spacing w:val="-3"/>
          <w:sz w:val="24"/>
        </w:rPr>
        <w:t xml:space="preserve">实际进度与施工进度计划不一致的，合同当事人可按照第 </w:t>
      </w:r>
      <w:r>
        <w:rPr>
          <w:sz w:val="24"/>
        </w:rPr>
        <w:t>4.4</w:t>
      </w:r>
      <w:r>
        <w:rPr>
          <w:spacing w:val="-9"/>
          <w:sz w:val="24"/>
        </w:rPr>
        <w:t xml:space="preserve"> 款〔商定或确定〕</w:t>
      </w:r>
      <w:r>
        <w:rPr>
          <w:sz w:val="24"/>
        </w:rPr>
        <w:t>修改支付分解表；</w:t>
      </w:r>
    </w:p>
    <w:p>
      <w:pPr>
        <w:pStyle w:val="16"/>
        <w:numPr>
          <w:ilvl w:val="0"/>
          <w:numId w:val="61"/>
        </w:numPr>
        <w:tabs>
          <w:tab w:val="left" w:pos="1414"/>
        </w:tabs>
        <w:spacing w:before="0" w:after="0" w:line="364" w:lineRule="auto"/>
        <w:ind w:left="388" w:right="744" w:firstLine="424"/>
        <w:jc w:val="left"/>
        <w:rPr>
          <w:sz w:val="24"/>
        </w:rPr>
      </w:pPr>
      <w:r>
        <w:rPr>
          <w:spacing w:val="-2"/>
          <w:sz w:val="24"/>
        </w:rPr>
        <w:t>不采用支付分解表的，承包人应向发包人和监理人提交按季度编制的支付估算分</w:t>
      </w:r>
      <w:r>
        <w:rPr>
          <w:sz w:val="24"/>
        </w:rPr>
        <w:t>解表，用于支付参考。</w:t>
      </w:r>
    </w:p>
    <w:p>
      <w:pPr>
        <w:pStyle w:val="8"/>
        <w:spacing w:line="306" w:lineRule="exact"/>
        <w:ind w:left="812"/>
        <w:outlineLvl w:val="2"/>
      </w:pPr>
      <w:r>
        <w:t>2、总价合同支付分解表的编制与审批</w:t>
      </w:r>
    </w:p>
    <w:p>
      <w:pPr>
        <w:pStyle w:val="16"/>
        <w:numPr>
          <w:ilvl w:val="0"/>
          <w:numId w:val="62"/>
        </w:numPr>
        <w:tabs>
          <w:tab w:val="left" w:pos="1414"/>
        </w:tabs>
        <w:spacing w:before="157" w:after="0" w:line="364" w:lineRule="auto"/>
        <w:ind w:left="388" w:right="744" w:firstLine="424"/>
        <w:jc w:val="both"/>
        <w:rPr>
          <w:sz w:val="24"/>
        </w:rPr>
      </w:pPr>
      <w:r>
        <w:rPr>
          <w:spacing w:val="-4"/>
          <w:sz w:val="24"/>
        </w:rPr>
        <w:t xml:space="preserve">除专用合同条款另有约定外，承包人应根据第 </w:t>
      </w:r>
      <w:r>
        <w:rPr>
          <w:sz w:val="24"/>
        </w:rPr>
        <w:t>7.2</w:t>
      </w:r>
      <w:r>
        <w:rPr>
          <w:spacing w:val="-10"/>
          <w:sz w:val="24"/>
        </w:rPr>
        <w:t xml:space="preserve"> 款〔施工进度计划〕约定的施</w:t>
      </w:r>
      <w:r>
        <w:rPr>
          <w:sz w:val="24"/>
        </w:rPr>
        <w:t>工进度计划、签约合同价和工程量等因素对总价合同按月进行分解，编制支付分解表。承</w:t>
      </w:r>
      <w:r>
        <w:rPr>
          <w:spacing w:val="-3"/>
          <w:sz w:val="24"/>
        </w:rPr>
        <w:t xml:space="preserve">包人应当在收到监理人和发包人批准的施工进度计划后 </w:t>
      </w:r>
      <w:r>
        <w:rPr>
          <w:sz w:val="24"/>
        </w:rPr>
        <w:t>7</w:t>
      </w:r>
      <w:r>
        <w:rPr>
          <w:spacing w:val="-8"/>
          <w:sz w:val="24"/>
        </w:rPr>
        <w:t xml:space="preserve"> 天内，将支付分解表及编制支付分解表的支持性资料报送监理人。</w:t>
      </w:r>
    </w:p>
    <w:p>
      <w:pPr>
        <w:spacing w:after="0" w:line="364" w:lineRule="auto"/>
        <w:jc w:val="both"/>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33" o:spid="_x0000_s1133" o:spt="20" style="position:absolute;left:0pt;margin-left:62.4pt;margin-top:12.25pt;height:0pt;width:400.4pt;mso-position-horizontal-relative:page;z-index:25177190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0"/>
          <w:numId w:val="62"/>
        </w:numPr>
        <w:tabs>
          <w:tab w:val="left" w:pos="1414"/>
        </w:tabs>
        <w:spacing w:before="67" w:after="0" w:line="240" w:lineRule="auto"/>
        <w:ind w:left="1413" w:right="0" w:hanging="602"/>
        <w:jc w:val="left"/>
        <w:rPr>
          <w:sz w:val="24"/>
        </w:rPr>
      </w:pPr>
      <w:r>
        <w:rPr>
          <w:spacing w:val="-5"/>
          <w:sz w:val="24"/>
        </w:rPr>
        <w:t xml:space="preserve">监理人应在收到支付分解表后 </w:t>
      </w:r>
      <w:r>
        <w:rPr>
          <w:sz w:val="24"/>
        </w:rPr>
        <w:t>7</w:t>
      </w:r>
      <w:r>
        <w:rPr>
          <w:spacing w:val="-8"/>
          <w:sz w:val="24"/>
        </w:rPr>
        <w:t xml:space="preserve"> 天内完成审核并报送发包人。发包人应在收到经</w:t>
      </w:r>
    </w:p>
    <w:p>
      <w:pPr>
        <w:pStyle w:val="8"/>
        <w:spacing w:before="158" w:line="364" w:lineRule="auto"/>
        <w:ind w:left="388" w:right="798"/>
      </w:pPr>
      <w:r>
        <w:rPr>
          <w:spacing w:val="-5"/>
        </w:rPr>
        <w:t xml:space="preserve">监理人审核的支付分解表后 </w:t>
      </w:r>
      <w:r>
        <w:t>7</w:t>
      </w:r>
      <w:r>
        <w:rPr>
          <w:spacing w:val="-9"/>
        </w:rPr>
        <w:t xml:space="preserve"> 天内完成审批，经发包人批准的支付分解表为有约束力的支</w:t>
      </w:r>
      <w:r>
        <w:t>付分解表。</w:t>
      </w:r>
    </w:p>
    <w:p>
      <w:pPr>
        <w:pStyle w:val="16"/>
        <w:numPr>
          <w:ilvl w:val="0"/>
          <w:numId w:val="62"/>
        </w:numPr>
        <w:tabs>
          <w:tab w:val="left" w:pos="1229"/>
        </w:tabs>
        <w:spacing w:before="0" w:after="0" w:line="364" w:lineRule="auto"/>
        <w:ind w:left="388" w:right="744" w:firstLine="240"/>
        <w:jc w:val="left"/>
        <w:rPr>
          <w:sz w:val="24"/>
        </w:rPr>
      </w:pPr>
      <w:r>
        <w:rPr>
          <w:spacing w:val="-2"/>
          <w:sz w:val="24"/>
        </w:rPr>
        <w:t>发包人逾期未完成支付分解表审批的，也未及时要求承包人进行修正和提供补充</w:t>
      </w:r>
      <w:r>
        <w:rPr>
          <w:spacing w:val="-4"/>
          <w:sz w:val="24"/>
        </w:rPr>
        <w:t>资料的，则承包人提交的支付分解表视为已经获得发包人批准。</w:t>
      </w:r>
    </w:p>
    <w:p>
      <w:pPr>
        <w:pStyle w:val="8"/>
        <w:spacing w:line="306" w:lineRule="exact"/>
        <w:ind w:left="812"/>
        <w:outlineLvl w:val="2"/>
      </w:pPr>
      <w:r>
        <w:t>3、单价合同的总价项目支付分解表的编制与审批</w:t>
      </w:r>
    </w:p>
    <w:p>
      <w:pPr>
        <w:pStyle w:val="8"/>
        <w:spacing w:before="159" w:line="364" w:lineRule="auto"/>
        <w:ind w:left="388" w:right="798" w:firstLine="424"/>
        <w:jc w:val="both"/>
      </w:pPr>
      <w: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pStyle w:val="16"/>
        <w:numPr>
          <w:ilvl w:val="1"/>
          <w:numId w:val="35"/>
        </w:numPr>
        <w:tabs>
          <w:tab w:val="left" w:pos="1353"/>
        </w:tabs>
        <w:spacing w:before="0" w:after="0" w:line="305" w:lineRule="exact"/>
        <w:ind w:left="1352" w:right="0" w:hanging="541"/>
        <w:jc w:val="both"/>
        <w:rPr>
          <w:sz w:val="24"/>
        </w:rPr>
      </w:pPr>
      <w:r>
        <w:rPr>
          <w:sz w:val="24"/>
        </w:rPr>
        <w:t>支付账户</w:t>
      </w:r>
    </w:p>
    <w:p>
      <w:pPr>
        <w:pStyle w:val="8"/>
        <w:spacing w:before="161"/>
        <w:ind w:left="812"/>
      </w:pPr>
      <w:r>
        <w:t>发包人应将合同价款支付至合同协议书中约定的承包人账户。</w:t>
      </w:r>
    </w:p>
    <w:p>
      <w:pPr>
        <w:pStyle w:val="16"/>
        <w:numPr>
          <w:ilvl w:val="0"/>
          <w:numId w:val="35"/>
        </w:numPr>
        <w:tabs>
          <w:tab w:val="left" w:pos="868"/>
        </w:tabs>
        <w:spacing w:before="160" w:after="0" w:line="240" w:lineRule="auto"/>
        <w:ind w:left="868" w:right="0" w:hanging="480"/>
        <w:jc w:val="left"/>
        <w:outlineLvl w:val="2"/>
        <w:rPr>
          <w:sz w:val="24"/>
        </w:rPr>
      </w:pPr>
      <w:r>
        <w:rPr>
          <w:sz w:val="24"/>
        </w:rPr>
        <w:t>验收和工程试车</w:t>
      </w:r>
    </w:p>
    <w:p>
      <w:pPr>
        <w:pStyle w:val="16"/>
        <w:numPr>
          <w:ilvl w:val="1"/>
          <w:numId w:val="35"/>
        </w:numPr>
        <w:tabs>
          <w:tab w:val="left" w:pos="1353"/>
        </w:tabs>
        <w:spacing w:before="158" w:after="0" w:line="240" w:lineRule="auto"/>
        <w:ind w:left="1352" w:right="0" w:hanging="541"/>
        <w:jc w:val="left"/>
        <w:rPr>
          <w:sz w:val="24"/>
        </w:rPr>
      </w:pPr>
      <w:r>
        <w:rPr>
          <w:sz w:val="24"/>
        </w:rPr>
        <w:t>分部分项工程验收</w:t>
      </w:r>
    </w:p>
    <w:p>
      <w:pPr>
        <w:pStyle w:val="16"/>
        <w:numPr>
          <w:ilvl w:val="2"/>
          <w:numId w:val="35"/>
        </w:numPr>
        <w:tabs>
          <w:tab w:val="left" w:pos="1653"/>
        </w:tabs>
        <w:spacing w:before="161" w:after="0" w:line="362" w:lineRule="auto"/>
        <w:ind w:left="388" w:right="744" w:firstLine="424"/>
        <w:jc w:val="left"/>
        <w:rPr>
          <w:sz w:val="24"/>
        </w:rPr>
      </w:pPr>
      <w:r>
        <w:rPr>
          <w:spacing w:val="-3"/>
          <w:sz w:val="24"/>
        </w:rPr>
        <w:t>分部分项工程质量应符合国家有关工程施工验收规范、标准及合同约定，承包</w:t>
      </w:r>
      <w:r>
        <w:rPr>
          <w:sz w:val="24"/>
        </w:rPr>
        <w:t>人应按照施工组织设计的要求完成分部分项工程施工。</w:t>
      </w:r>
    </w:p>
    <w:p>
      <w:pPr>
        <w:pStyle w:val="16"/>
        <w:numPr>
          <w:ilvl w:val="2"/>
          <w:numId w:val="35"/>
        </w:numPr>
        <w:tabs>
          <w:tab w:val="left" w:pos="1653"/>
        </w:tabs>
        <w:spacing w:before="5" w:after="0" w:line="364" w:lineRule="auto"/>
        <w:ind w:left="388" w:right="744" w:firstLine="424"/>
        <w:jc w:val="left"/>
        <w:rPr>
          <w:sz w:val="24"/>
        </w:rPr>
      </w:pPr>
      <w:r>
        <w:rPr>
          <w:spacing w:val="-2"/>
          <w:sz w:val="24"/>
        </w:rPr>
        <w:t>除专用合同条款另有约定外，分部分项工程经承包人自检合格并具备验收条件</w:t>
      </w:r>
      <w:r>
        <w:rPr>
          <w:spacing w:val="-12"/>
          <w:sz w:val="24"/>
        </w:rPr>
        <w:t xml:space="preserve">的，承包人应提前 </w:t>
      </w:r>
      <w:r>
        <w:rPr>
          <w:sz w:val="24"/>
        </w:rPr>
        <w:t>48</w:t>
      </w:r>
      <w:r>
        <w:rPr>
          <w:spacing w:val="-12"/>
          <w:sz w:val="24"/>
        </w:rPr>
        <w:t xml:space="preserve"> 小时通知监理人进行验收。监理人不能按时进行验收的，应在验收前</w:t>
      </w:r>
      <w:r>
        <w:rPr>
          <w:sz w:val="24"/>
        </w:rPr>
        <w:t>24</w:t>
      </w:r>
      <w:r>
        <w:rPr>
          <w:spacing w:val="-11"/>
          <w:sz w:val="24"/>
        </w:rPr>
        <w:t xml:space="preserve"> 小时向承包人提交书面延期要求，但延期不能超过 </w:t>
      </w:r>
      <w:r>
        <w:rPr>
          <w:sz w:val="24"/>
        </w:rPr>
        <w:t>48</w:t>
      </w:r>
      <w:r>
        <w:rPr>
          <w:spacing w:val="-8"/>
          <w:sz w:val="24"/>
        </w:rPr>
        <w:t xml:space="preserve"> 小时。监理人未按时进行验收， 也未提出延期要求的，承包人有权自行验收，监理人应认可验收结果。分部分项工程未经验收的，不得进入下一道工序施工。</w:t>
      </w:r>
    </w:p>
    <w:p>
      <w:pPr>
        <w:pStyle w:val="8"/>
        <w:spacing w:line="303" w:lineRule="exact"/>
        <w:ind w:left="812"/>
      </w:pPr>
      <w:r>
        <w:t>分部分项工程的验收资料应当作为竣工资料的组成部分。</w:t>
      </w:r>
    </w:p>
    <w:p>
      <w:pPr>
        <w:pStyle w:val="16"/>
        <w:numPr>
          <w:ilvl w:val="1"/>
          <w:numId w:val="35"/>
        </w:numPr>
        <w:tabs>
          <w:tab w:val="left" w:pos="1353"/>
        </w:tabs>
        <w:spacing w:before="160" w:after="0" w:line="240" w:lineRule="auto"/>
        <w:ind w:left="1352" w:right="0" w:hanging="541"/>
        <w:jc w:val="left"/>
        <w:rPr>
          <w:sz w:val="24"/>
        </w:rPr>
      </w:pPr>
      <w:r>
        <w:rPr>
          <w:sz w:val="24"/>
        </w:rPr>
        <w:t>竣工验收</w:t>
      </w:r>
    </w:p>
    <w:p>
      <w:pPr>
        <w:pStyle w:val="16"/>
        <w:numPr>
          <w:ilvl w:val="2"/>
          <w:numId w:val="35"/>
        </w:numPr>
        <w:tabs>
          <w:tab w:val="left" w:pos="1593"/>
        </w:tabs>
        <w:spacing w:before="161" w:after="0" w:line="240" w:lineRule="auto"/>
        <w:ind w:left="1592" w:right="0" w:hanging="781"/>
        <w:jc w:val="left"/>
        <w:rPr>
          <w:sz w:val="24"/>
        </w:rPr>
      </w:pPr>
      <w:r>
        <w:rPr>
          <w:sz w:val="24"/>
        </w:rPr>
        <w:t>竣工验收条件</w:t>
      </w:r>
    </w:p>
    <w:p>
      <w:pPr>
        <w:pStyle w:val="8"/>
        <w:spacing w:before="158"/>
        <w:ind w:left="812"/>
      </w:pPr>
      <w:r>
        <w:t>工程具备以下条件的，承包人可以申请竣工验收：</w:t>
      </w:r>
    </w:p>
    <w:p>
      <w:pPr>
        <w:pStyle w:val="16"/>
        <w:numPr>
          <w:ilvl w:val="0"/>
          <w:numId w:val="63"/>
        </w:numPr>
        <w:tabs>
          <w:tab w:val="left" w:pos="1414"/>
        </w:tabs>
        <w:spacing w:before="160" w:after="0" w:line="362" w:lineRule="auto"/>
        <w:ind w:left="388" w:right="744" w:firstLine="424"/>
        <w:jc w:val="left"/>
        <w:rPr>
          <w:sz w:val="24"/>
        </w:rPr>
      </w:pPr>
      <w:r>
        <w:rPr>
          <w:spacing w:val="-2"/>
          <w:sz w:val="24"/>
        </w:rPr>
        <w:t>除发包人同意的甩项工作和缺陷修补工作外，合同范围内的全部工程以及有关工</w:t>
      </w:r>
      <w:r>
        <w:rPr>
          <w:sz w:val="24"/>
        </w:rPr>
        <w:t>作，包括合同要求的试验、试运行以及检验均已完成，并符合合同要求；</w:t>
      </w:r>
    </w:p>
    <w:p>
      <w:pPr>
        <w:pStyle w:val="16"/>
        <w:numPr>
          <w:ilvl w:val="0"/>
          <w:numId w:val="63"/>
        </w:numPr>
        <w:tabs>
          <w:tab w:val="left" w:pos="1414"/>
        </w:tabs>
        <w:spacing w:before="3" w:after="0" w:line="240" w:lineRule="auto"/>
        <w:ind w:left="1413" w:right="0" w:hanging="602"/>
        <w:jc w:val="left"/>
        <w:rPr>
          <w:sz w:val="24"/>
        </w:rPr>
      </w:pPr>
      <w:r>
        <w:rPr>
          <w:sz w:val="24"/>
        </w:rPr>
        <w:t>已按合同约定编制了甩项工作和缺陷修补工作清单以及相应的施工计划；</w:t>
      </w:r>
    </w:p>
    <w:p>
      <w:pPr>
        <w:pStyle w:val="16"/>
        <w:numPr>
          <w:ilvl w:val="0"/>
          <w:numId w:val="63"/>
        </w:numPr>
        <w:tabs>
          <w:tab w:val="left" w:pos="1414"/>
        </w:tabs>
        <w:spacing w:before="160" w:after="0" w:line="240" w:lineRule="auto"/>
        <w:ind w:left="1413" w:right="0" w:hanging="602"/>
        <w:jc w:val="left"/>
        <w:rPr>
          <w:sz w:val="24"/>
        </w:rPr>
      </w:pPr>
      <w:r>
        <w:rPr>
          <w:sz w:val="24"/>
        </w:rPr>
        <w:t>已按合同约定的内容和份数备齐竣工资料。</w:t>
      </w:r>
    </w:p>
    <w:p>
      <w:pPr>
        <w:pStyle w:val="16"/>
        <w:numPr>
          <w:ilvl w:val="2"/>
          <w:numId w:val="35"/>
        </w:numPr>
        <w:tabs>
          <w:tab w:val="left" w:pos="1593"/>
        </w:tabs>
        <w:spacing w:before="161" w:after="0" w:line="240" w:lineRule="auto"/>
        <w:ind w:left="1592" w:right="0" w:hanging="781"/>
        <w:jc w:val="left"/>
        <w:rPr>
          <w:sz w:val="24"/>
        </w:rPr>
      </w:pPr>
      <w:r>
        <w:rPr>
          <w:sz w:val="24"/>
        </w:rPr>
        <w:t>竣工验收程序</w:t>
      </w:r>
    </w:p>
    <w:p>
      <w:pPr>
        <w:pStyle w:val="8"/>
        <w:spacing w:before="158"/>
        <w:ind w:left="812"/>
      </w:pPr>
      <w:r>
        <w:t>除专用合同条款另有约定外，承包人申请竣工验收的，应当按照以下程序进行：</w:t>
      </w:r>
    </w:p>
    <w:p>
      <w:pPr>
        <w:spacing w:after="0"/>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34" o:spid="_x0000_s1134" o:spt="20" style="position:absolute;left:0pt;margin-left:62.4pt;margin-top:12.25pt;height:0pt;width:400.4pt;mso-position-horizontal-relative:page;z-index:25177292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0"/>
          <w:numId w:val="64"/>
        </w:numPr>
        <w:tabs>
          <w:tab w:val="left" w:pos="1414"/>
        </w:tabs>
        <w:spacing w:before="67" w:after="0" w:line="364" w:lineRule="auto"/>
        <w:ind w:left="388" w:right="744" w:firstLine="424"/>
        <w:jc w:val="both"/>
        <w:rPr>
          <w:sz w:val="24"/>
        </w:rPr>
      </w:pPr>
      <w:r>
        <w:rPr>
          <w:spacing w:val="-2"/>
          <w:sz w:val="24"/>
        </w:rPr>
        <w:t xml:space="preserve">承包人向监理人报送竣工验收申请报告，监理人应在收到竣工验收申请报告后 </w:t>
      </w:r>
      <w:r>
        <w:rPr>
          <w:spacing w:val="-9"/>
          <w:sz w:val="24"/>
        </w:rPr>
        <w:t>14</w:t>
      </w:r>
      <w:r>
        <w:rPr>
          <w:sz w:val="24"/>
        </w:rPr>
        <w:t>天内完成审查并报送发包人。监理人审查后认为尚不具备验收条件的，应通知承包人在竣工验收前承包人还需完成的工作内容，承包人应在完成监理人通知的全部工作内容后， 再次提交竣工验收申请报告。</w:t>
      </w:r>
    </w:p>
    <w:p>
      <w:pPr>
        <w:pStyle w:val="16"/>
        <w:numPr>
          <w:ilvl w:val="0"/>
          <w:numId w:val="64"/>
        </w:numPr>
        <w:tabs>
          <w:tab w:val="left" w:pos="1414"/>
        </w:tabs>
        <w:spacing w:before="0" w:after="0" w:line="364" w:lineRule="auto"/>
        <w:ind w:left="388" w:right="732" w:firstLine="424"/>
        <w:jc w:val="both"/>
        <w:rPr>
          <w:sz w:val="24"/>
        </w:rPr>
      </w:pPr>
      <w:r>
        <w:rPr>
          <w:spacing w:val="-1"/>
          <w:sz w:val="24"/>
        </w:rPr>
        <w:t xml:space="preserve">监理人审查后认为已具备竣工验收条件的，应将竣工验收申请报告提交发包人， </w:t>
      </w:r>
      <w:r>
        <w:rPr>
          <w:spacing w:val="-3"/>
          <w:sz w:val="24"/>
        </w:rPr>
        <w:t xml:space="preserve">发包人应在收到经监理人审核的竣工验收申请报告后 </w:t>
      </w:r>
      <w:r>
        <w:rPr>
          <w:sz w:val="24"/>
        </w:rPr>
        <w:t>28</w:t>
      </w:r>
      <w:r>
        <w:rPr>
          <w:spacing w:val="-13"/>
          <w:sz w:val="24"/>
        </w:rPr>
        <w:t xml:space="preserve"> 天内审批完毕并组织监理人、承包人、设计人等相关单位完成竣工验收。</w:t>
      </w:r>
    </w:p>
    <w:p>
      <w:pPr>
        <w:pStyle w:val="16"/>
        <w:numPr>
          <w:ilvl w:val="0"/>
          <w:numId w:val="64"/>
        </w:numPr>
        <w:tabs>
          <w:tab w:val="left" w:pos="1414"/>
        </w:tabs>
        <w:spacing w:before="0" w:after="0" w:line="307" w:lineRule="exact"/>
        <w:ind w:left="1413" w:right="0" w:hanging="602"/>
        <w:jc w:val="both"/>
        <w:rPr>
          <w:sz w:val="24"/>
        </w:rPr>
      </w:pPr>
      <w:r>
        <w:rPr>
          <w:spacing w:val="-4"/>
          <w:sz w:val="24"/>
        </w:rPr>
        <w:t xml:space="preserve">竣工验收合格的，发包人应在验收合格后 </w:t>
      </w:r>
      <w:r>
        <w:rPr>
          <w:sz w:val="24"/>
        </w:rPr>
        <w:t>14</w:t>
      </w:r>
      <w:r>
        <w:rPr>
          <w:spacing w:val="-8"/>
          <w:sz w:val="24"/>
        </w:rPr>
        <w:t xml:space="preserve"> 天内向承包人签发工程接收证书。</w:t>
      </w:r>
    </w:p>
    <w:p>
      <w:pPr>
        <w:pStyle w:val="8"/>
        <w:spacing w:before="155" w:line="362" w:lineRule="auto"/>
        <w:ind w:left="388" w:right="744"/>
        <w:jc w:val="both"/>
      </w:pPr>
      <w:r>
        <w:rPr>
          <w:spacing w:val="-6"/>
        </w:rPr>
        <w:t xml:space="preserve">发包人无正当理由逾期不颁发工程接收证书的，自验收合格后第 </w:t>
      </w:r>
      <w:r>
        <w:t>15</w:t>
      </w:r>
      <w:r>
        <w:rPr>
          <w:spacing w:val="-9"/>
        </w:rPr>
        <w:t xml:space="preserve"> 天起视为已颁发工程接</w:t>
      </w:r>
      <w:r>
        <w:t>收证书。</w:t>
      </w:r>
    </w:p>
    <w:p>
      <w:pPr>
        <w:pStyle w:val="16"/>
        <w:numPr>
          <w:ilvl w:val="0"/>
          <w:numId w:val="64"/>
        </w:numPr>
        <w:tabs>
          <w:tab w:val="left" w:pos="1414"/>
        </w:tabs>
        <w:spacing w:before="5" w:after="0" w:line="364" w:lineRule="auto"/>
        <w:ind w:left="388" w:right="744" w:firstLine="424"/>
        <w:jc w:val="both"/>
        <w:rPr>
          <w:sz w:val="24"/>
        </w:rPr>
      </w:pPr>
      <w:r>
        <w:rPr>
          <w:spacing w:val="-3"/>
          <w:sz w:val="24"/>
        </w:rPr>
        <w:t>竣工验收不合格的，监理人应按照验收意见发出指示，要求承包人对不合格工程</w:t>
      </w:r>
      <w:r>
        <w:rPr>
          <w:sz w:val="24"/>
        </w:rPr>
        <w:t>返工、修复或采取其他补救措施，由此增加的费用和（或）延误的工期由承包人承担。承包人在完成不合格工程的返工、修复或采取其他补救措施后，应重新提交竣工验收申请报告，并按本项约定的程序重新进行验收。</w:t>
      </w:r>
    </w:p>
    <w:p>
      <w:pPr>
        <w:pStyle w:val="16"/>
        <w:numPr>
          <w:ilvl w:val="0"/>
          <w:numId w:val="64"/>
        </w:numPr>
        <w:tabs>
          <w:tab w:val="left" w:pos="1414"/>
        </w:tabs>
        <w:spacing w:before="0" w:after="0" w:line="364" w:lineRule="auto"/>
        <w:ind w:left="388" w:right="744" w:firstLine="424"/>
        <w:jc w:val="both"/>
        <w:rPr>
          <w:sz w:val="24"/>
        </w:rPr>
      </w:pPr>
      <w:r>
        <w:rPr>
          <w:spacing w:val="-4"/>
          <w:sz w:val="24"/>
        </w:rPr>
        <w:t xml:space="preserve">工程未经验收或验收不合格，发包人擅自使用的，应在转移占有工程后 </w:t>
      </w:r>
      <w:r>
        <w:rPr>
          <w:sz w:val="24"/>
        </w:rPr>
        <w:t>7</w:t>
      </w:r>
      <w:r>
        <w:rPr>
          <w:spacing w:val="-19"/>
          <w:sz w:val="24"/>
        </w:rPr>
        <w:t xml:space="preserve"> 天内向</w:t>
      </w:r>
      <w:r>
        <w:rPr>
          <w:sz w:val="24"/>
        </w:rPr>
        <w:t>承包人颁发工程接收证书；发包人无正当理由逾期不颁发工程接收证书的，自转移占有后</w:t>
      </w:r>
      <w:r>
        <w:rPr>
          <w:spacing w:val="-30"/>
          <w:sz w:val="24"/>
        </w:rPr>
        <w:t xml:space="preserve">第 </w:t>
      </w:r>
      <w:r>
        <w:rPr>
          <w:sz w:val="24"/>
        </w:rPr>
        <w:t>15</w:t>
      </w:r>
      <w:r>
        <w:rPr>
          <w:spacing w:val="-8"/>
          <w:sz w:val="24"/>
        </w:rPr>
        <w:t xml:space="preserve"> 天起视为已颁发工程接收证书。</w:t>
      </w:r>
    </w:p>
    <w:p>
      <w:pPr>
        <w:pStyle w:val="8"/>
        <w:spacing w:line="364" w:lineRule="auto"/>
        <w:ind w:left="388" w:right="798" w:firstLine="424"/>
        <w:jc w:val="both"/>
      </w:pPr>
      <w:r>
        <w:t>除专用合同条款另有约定外，发包人不按照本项约定组织竣工验收、颁发工程接收证书的，每逾期一天，应以签约合同价为基数，按照中国人民银行发布的同期同类贷款基准利率支付违约金。</w:t>
      </w:r>
    </w:p>
    <w:p>
      <w:pPr>
        <w:pStyle w:val="16"/>
        <w:numPr>
          <w:ilvl w:val="2"/>
          <w:numId w:val="35"/>
        </w:numPr>
        <w:tabs>
          <w:tab w:val="left" w:pos="1593"/>
        </w:tabs>
        <w:spacing w:before="0" w:after="0" w:line="304" w:lineRule="exact"/>
        <w:ind w:left="1592" w:right="0" w:hanging="781"/>
        <w:jc w:val="both"/>
        <w:rPr>
          <w:sz w:val="24"/>
        </w:rPr>
      </w:pPr>
      <w:r>
        <w:rPr>
          <w:sz w:val="24"/>
        </w:rPr>
        <w:t>竣工日期</w:t>
      </w:r>
    </w:p>
    <w:p>
      <w:pPr>
        <w:pStyle w:val="8"/>
        <w:spacing w:before="158" w:line="364" w:lineRule="auto"/>
        <w:ind w:left="388" w:right="673" w:firstLine="424"/>
      </w:pPr>
      <w:r>
        <w:t>工程经竣工验收合格的，以承包人提交竣工验收申请报告之日为实际竣工日期，并在工程接收证书中载明；因发包人原因，未在监理人收到承包人提交的竣工验收申请报告 42 天内完成竣工验收，或完成竣工验收不予签发工程接收证书的，以提交竣工验收申请报告的日期为实际竣工日期；工程未经竣工验收，发包人擅自使用的，以转移占有工程之日为实际竣工日期。</w:t>
      </w:r>
    </w:p>
    <w:p>
      <w:pPr>
        <w:pStyle w:val="16"/>
        <w:numPr>
          <w:ilvl w:val="2"/>
          <w:numId w:val="35"/>
        </w:numPr>
        <w:tabs>
          <w:tab w:val="left" w:pos="1653"/>
        </w:tabs>
        <w:spacing w:before="0" w:after="0" w:line="303" w:lineRule="exact"/>
        <w:ind w:left="1652" w:right="0" w:hanging="841"/>
        <w:jc w:val="left"/>
        <w:rPr>
          <w:sz w:val="24"/>
        </w:rPr>
      </w:pPr>
      <w:r>
        <w:rPr>
          <w:sz w:val="24"/>
        </w:rPr>
        <w:t>拒绝接收全部或部分工程</w:t>
      </w:r>
    </w:p>
    <w:p>
      <w:pPr>
        <w:pStyle w:val="8"/>
        <w:spacing w:before="160" w:line="364" w:lineRule="auto"/>
        <w:ind w:left="388" w:right="798" w:firstLine="424"/>
      </w:pPr>
      <w:r>
        <w:t>对于竣工验收不合格的工程，承包人完成整改后，应当重新进行竣工验收，经重新组织验收仍不合格的且无法采取措施补救的，则发包人可以拒绝接收不合格工程，因不合格</w:t>
      </w:r>
    </w:p>
    <w:p>
      <w:pPr>
        <w:spacing w:after="0" w:line="364" w:lineRule="auto"/>
        <w:sectPr>
          <w:footerReference r:id="rId13" w:type="default"/>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pgNumType w:start="80"/>
          <w:cols w:space="720" w:num="1"/>
        </w:sectPr>
      </w:pPr>
    </w:p>
    <w:p>
      <w:pPr>
        <w:tabs>
          <w:tab w:val="left" w:pos="7676"/>
        </w:tabs>
        <w:spacing w:before="45"/>
        <w:ind w:left="388" w:right="0" w:firstLine="0"/>
        <w:jc w:val="left"/>
        <w:rPr>
          <w:sz w:val="18"/>
        </w:rPr>
      </w:pPr>
      <w:r>
        <w:pict>
          <v:line id="_x0000_s1135" o:spid="_x0000_s1135" o:spt="20" style="position:absolute;left:0pt;margin-left:62.4pt;margin-top:12.25pt;height:0pt;width:400.4pt;mso-position-horizontal-relative:page;z-index:25177395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2" w:lineRule="auto"/>
        <w:ind w:left="388" w:right="798"/>
      </w:pPr>
      <w:r>
        <w:t>工程导致其他工程不能正常使用的，承包人应采取措施确保相关工程的正常使用，由此增加的费用和（或）延误的工期由承包人承担。</w:t>
      </w:r>
    </w:p>
    <w:p>
      <w:pPr>
        <w:pStyle w:val="16"/>
        <w:numPr>
          <w:ilvl w:val="2"/>
          <w:numId w:val="35"/>
        </w:numPr>
        <w:tabs>
          <w:tab w:val="left" w:pos="1653"/>
        </w:tabs>
        <w:spacing w:before="5" w:after="0" w:line="240" w:lineRule="auto"/>
        <w:ind w:left="1652" w:right="0" w:hanging="841"/>
        <w:jc w:val="both"/>
        <w:rPr>
          <w:sz w:val="24"/>
        </w:rPr>
      </w:pPr>
      <w:r>
        <w:rPr>
          <w:sz w:val="24"/>
        </w:rPr>
        <w:t>移交、接收全部与部分工程</w:t>
      </w:r>
    </w:p>
    <w:p>
      <w:pPr>
        <w:pStyle w:val="8"/>
        <w:spacing w:before="158" w:line="364" w:lineRule="auto"/>
        <w:ind w:left="388" w:right="852" w:firstLine="424"/>
        <w:jc w:val="both"/>
      </w:pPr>
      <w:r>
        <w:rPr>
          <w:spacing w:val="-2"/>
        </w:rPr>
        <w:t xml:space="preserve">除专用合同条款另有约定外，合同当事人应当在颁发工程接收证书后 </w:t>
      </w:r>
      <w:r>
        <w:t>7</w:t>
      </w:r>
      <w:r>
        <w:rPr>
          <w:spacing w:val="-11"/>
        </w:rPr>
        <w:t xml:space="preserve"> 天内完成工程</w:t>
      </w:r>
      <w:r>
        <w:t>的移交。</w:t>
      </w:r>
    </w:p>
    <w:p>
      <w:pPr>
        <w:pStyle w:val="8"/>
        <w:spacing w:line="364" w:lineRule="auto"/>
        <w:ind w:left="388" w:right="798" w:firstLine="424"/>
        <w:jc w:val="both"/>
      </w:pPr>
      <w:r>
        <w:t>发包人无正当理由不接收工程的，发包人自应当接收工程之日起，承担工程照管、成品保护、保管等与工程有关的各项费用，合同当事人可以在专用合同条款中另行约定发包人逾期接收工程的违约责任。</w:t>
      </w:r>
    </w:p>
    <w:p>
      <w:pPr>
        <w:pStyle w:val="8"/>
        <w:spacing w:line="364" w:lineRule="auto"/>
        <w:ind w:left="388" w:right="798" w:firstLine="424"/>
        <w:jc w:val="both"/>
      </w:pPr>
      <w:r>
        <w:t>承包人无正当理由不移交工程的，承包人应承担工程照管、成品保护、保管等与工程有关的各项费用，合同当事人可以在专用合同条款中另行约定承包人无正当理由不移交工程的违约责任。</w:t>
      </w:r>
    </w:p>
    <w:p>
      <w:pPr>
        <w:pStyle w:val="16"/>
        <w:numPr>
          <w:ilvl w:val="1"/>
          <w:numId w:val="35"/>
        </w:numPr>
        <w:tabs>
          <w:tab w:val="left" w:pos="1353"/>
        </w:tabs>
        <w:spacing w:before="0" w:after="0" w:line="307" w:lineRule="exact"/>
        <w:ind w:left="1352" w:right="0" w:hanging="541"/>
        <w:jc w:val="both"/>
        <w:rPr>
          <w:sz w:val="24"/>
        </w:rPr>
      </w:pPr>
      <w:r>
        <w:rPr>
          <w:sz w:val="24"/>
        </w:rPr>
        <w:t>工程试车</w:t>
      </w:r>
    </w:p>
    <w:p>
      <w:pPr>
        <w:pStyle w:val="16"/>
        <w:numPr>
          <w:ilvl w:val="2"/>
          <w:numId w:val="35"/>
        </w:numPr>
        <w:tabs>
          <w:tab w:val="left" w:pos="1593"/>
        </w:tabs>
        <w:spacing w:before="156" w:after="0" w:line="240" w:lineRule="auto"/>
        <w:ind w:left="1592" w:right="0" w:hanging="781"/>
        <w:jc w:val="left"/>
        <w:rPr>
          <w:sz w:val="24"/>
        </w:rPr>
      </w:pPr>
      <w:r>
        <w:rPr>
          <w:sz w:val="24"/>
        </w:rPr>
        <w:t>试车程序</w:t>
      </w:r>
    </w:p>
    <w:p>
      <w:pPr>
        <w:pStyle w:val="8"/>
        <w:spacing w:before="161" w:line="362" w:lineRule="auto"/>
        <w:ind w:left="388" w:right="581" w:firstLine="424"/>
      </w:pPr>
      <w:r>
        <w:t>工程需要试车的，除专用合同条款另有约定外，试车内容应与承包人承包范围相一致， 试车费用由承包人承担。工程试车应按如下程序进行：</w:t>
      </w:r>
    </w:p>
    <w:p>
      <w:pPr>
        <w:pStyle w:val="16"/>
        <w:numPr>
          <w:ilvl w:val="0"/>
          <w:numId w:val="65"/>
        </w:numPr>
        <w:tabs>
          <w:tab w:val="left" w:pos="1414"/>
        </w:tabs>
        <w:spacing w:before="5" w:after="0" w:line="364" w:lineRule="auto"/>
        <w:ind w:left="388" w:right="744" w:firstLine="424"/>
        <w:jc w:val="both"/>
        <w:rPr>
          <w:sz w:val="24"/>
        </w:rPr>
      </w:pPr>
      <w:r>
        <w:rPr>
          <w:spacing w:val="-3"/>
          <w:sz w:val="24"/>
        </w:rPr>
        <w:t xml:space="preserve">具备单机无负荷试车条件，承包人组织试车，并在试车前 </w:t>
      </w:r>
      <w:r>
        <w:rPr>
          <w:sz w:val="24"/>
        </w:rPr>
        <w:t>48</w:t>
      </w:r>
      <w:r>
        <w:rPr>
          <w:spacing w:val="-8"/>
          <w:sz w:val="24"/>
        </w:rPr>
        <w:t xml:space="preserve"> 小时书面通知监理人，通知中应载明试车内容、时间、地点。承包人准备试车记录，发包人根据承包人要求为试车提供必要条件。试车合格的，监理人在试车记录上签字。监理人在试车合格后不在</w:t>
      </w:r>
      <w:r>
        <w:rPr>
          <w:spacing w:val="-14"/>
          <w:sz w:val="24"/>
        </w:rPr>
        <w:t xml:space="preserve">试车记录上签字，自试车结束满 </w:t>
      </w:r>
      <w:r>
        <w:rPr>
          <w:sz w:val="24"/>
        </w:rPr>
        <w:t>24</w:t>
      </w:r>
      <w:r>
        <w:rPr>
          <w:spacing w:val="-11"/>
          <w:sz w:val="24"/>
        </w:rPr>
        <w:t xml:space="preserve"> 小时后视为监理人已经认可试车记录，承包人可继续施</w:t>
      </w:r>
      <w:r>
        <w:rPr>
          <w:sz w:val="24"/>
        </w:rPr>
        <w:t>工或办理竣工验收手续。</w:t>
      </w:r>
    </w:p>
    <w:p>
      <w:pPr>
        <w:pStyle w:val="8"/>
        <w:spacing w:line="303" w:lineRule="exact"/>
        <w:ind w:left="812"/>
        <w:jc w:val="both"/>
      </w:pPr>
      <w:r>
        <w:t>监理人不能按时参加试车，应在试车前 24 小时以书面形式向承包人提出延期要求，但</w:t>
      </w:r>
    </w:p>
    <w:p>
      <w:pPr>
        <w:pStyle w:val="8"/>
        <w:spacing w:before="160" w:line="364" w:lineRule="auto"/>
        <w:ind w:left="388" w:right="744"/>
        <w:jc w:val="both"/>
      </w:pPr>
      <w:r>
        <w:rPr>
          <w:spacing w:val="-9"/>
        </w:rPr>
        <w:t xml:space="preserve">延期不能超过 </w:t>
      </w:r>
      <w:r>
        <w:t>48</w:t>
      </w:r>
      <w:r>
        <w:rPr>
          <w:spacing w:val="-13"/>
        </w:rPr>
        <w:t xml:space="preserve"> 小时，由此导致工期延误的，工期应予以顺延。监理人未能在前述期限内</w:t>
      </w:r>
      <w:r>
        <w:t>提出延期要求，又不参加试车的，视为认可试车记录。</w:t>
      </w:r>
    </w:p>
    <w:p>
      <w:pPr>
        <w:pStyle w:val="16"/>
        <w:numPr>
          <w:ilvl w:val="0"/>
          <w:numId w:val="65"/>
        </w:numPr>
        <w:tabs>
          <w:tab w:val="left" w:pos="1414"/>
        </w:tabs>
        <w:spacing w:before="0" w:after="0" w:line="364" w:lineRule="auto"/>
        <w:ind w:left="388" w:right="798" w:firstLine="424"/>
        <w:jc w:val="both"/>
        <w:rPr>
          <w:sz w:val="24"/>
        </w:rPr>
      </w:pPr>
      <w:r>
        <w:rPr>
          <w:spacing w:val="-3"/>
          <w:sz w:val="24"/>
        </w:rPr>
        <w:t xml:space="preserve">具备无负荷联动试车条件，发包人组织试车，并在试车前 </w:t>
      </w:r>
      <w:r>
        <w:rPr>
          <w:sz w:val="24"/>
        </w:rPr>
        <w:t>48</w:t>
      </w:r>
      <w:r>
        <w:rPr>
          <w:spacing w:val="-8"/>
          <w:sz w:val="24"/>
        </w:rPr>
        <w:t xml:space="preserve"> 小时以书面形式通</w:t>
      </w:r>
      <w:r>
        <w:rPr>
          <w:spacing w:val="-9"/>
          <w:sz w:val="24"/>
        </w:rPr>
        <w:t>知承包人。通知中应载明试车内容、时间、地点和对承包人的要求，承包人按要求做好准</w:t>
      </w:r>
      <w:r>
        <w:rPr>
          <w:spacing w:val="-1"/>
          <w:sz w:val="24"/>
        </w:rPr>
        <w:t>备工作。试车合格，合同当事人在试车记录上签字。承包人无正当理由不参加试车的，视</w:t>
      </w:r>
      <w:r>
        <w:rPr>
          <w:sz w:val="24"/>
        </w:rPr>
        <w:t>为认可试车记录。</w:t>
      </w:r>
    </w:p>
    <w:p>
      <w:pPr>
        <w:pStyle w:val="16"/>
        <w:numPr>
          <w:ilvl w:val="2"/>
          <w:numId w:val="35"/>
        </w:numPr>
        <w:tabs>
          <w:tab w:val="left" w:pos="1653"/>
        </w:tabs>
        <w:spacing w:before="0" w:after="0" w:line="305" w:lineRule="exact"/>
        <w:ind w:left="1652" w:right="0" w:hanging="841"/>
        <w:jc w:val="both"/>
        <w:rPr>
          <w:sz w:val="24"/>
        </w:rPr>
      </w:pPr>
      <w:r>
        <w:rPr>
          <w:sz w:val="24"/>
        </w:rPr>
        <w:t>试车中的责任</w:t>
      </w:r>
    </w:p>
    <w:p>
      <w:pPr>
        <w:pStyle w:val="8"/>
        <w:spacing w:before="159" w:line="362" w:lineRule="auto"/>
        <w:ind w:left="388" w:right="798" w:firstLine="424"/>
      </w:pPr>
      <w:r>
        <w:t>因设计原因导致试车达不到验收要求，发包人应要求设计人修改设计，承包人按修改后的设计重新安装。发包人承担修改设计、拆除及重新安装的全部费用，工期相应顺延。</w:t>
      </w:r>
    </w:p>
    <w:p>
      <w:pPr>
        <w:spacing w:after="0" w:line="362" w:lineRule="auto"/>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36" o:spid="_x0000_s1136" o:spt="20" style="position:absolute;left:0pt;margin-left:62.4pt;margin-top:12.25pt;height:0pt;width:400.4pt;mso-position-horizontal-relative:page;z-index:25177497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2" w:lineRule="auto"/>
        <w:ind w:left="388" w:right="798"/>
      </w:pPr>
      <w:r>
        <w:t>因承包人原因导致试车达不到验收要求，承包人按监理人要求重新安装和试车，并承担重新安装和试车的费用，工期不予顺延。</w:t>
      </w:r>
    </w:p>
    <w:p>
      <w:pPr>
        <w:pStyle w:val="8"/>
        <w:spacing w:before="5" w:line="364" w:lineRule="auto"/>
        <w:ind w:left="388" w:right="798" w:firstLine="424"/>
        <w:jc w:val="both"/>
      </w:pPr>
      <w: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pStyle w:val="16"/>
        <w:numPr>
          <w:ilvl w:val="2"/>
          <w:numId w:val="35"/>
        </w:numPr>
        <w:tabs>
          <w:tab w:val="left" w:pos="1653"/>
        </w:tabs>
        <w:spacing w:before="0" w:after="0" w:line="305" w:lineRule="exact"/>
        <w:ind w:left="1652" w:right="0" w:hanging="841"/>
        <w:jc w:val="both"/>
        <w:rPr>
          <w:sz w:val="24"/>
        </w:rPr>
      </w:pPr>
      <w:r>
        <w:rPr>
          <w:sz w:val="24"/>
        </w:rPr>
        <w:t>投料试车</w:t>
      </w:r>
    </w:p>
    <w:p>
      <w:pPr>
        <w:pStyle w:val="8"/>
        <w:spacing w:before="160" w:line="364" w:lineRule="auto"/>
        <w:ind w:left="388" w:right="798" w:firstLine="424"/>
        <w:jc w:val="both"/>
      </w:pPr>
      <w:r>
        <w:t>如需进行投料试车的，发包人应在工程竣工验收后组织投料试车。发包人要求在工程竣工验收前进行或需要承包人配合时，应征得承包人同意，并在专用合同条款中约定有关事项。</w:t>
      </w:r>
    </w:p>
    <w:p>
      <w:pPr>
        <w:pStyle w:val="8"/>
        <w:spacing w:line="364" w:lineRule="auto"/>
        <w:ind w:left="388" w:right="798" w:firstLine="424"/>
        <w:jc w:val="both"/>
      </w:pPr>
      <w: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pPr>
        <w:pStyle w:val="16"/>
        <w:numPr>
          <w:ilvl w:val="1"/>
          <w:numId w:val="35"/>
        </w:numPr>
        <w:tabs>
          <w:tab w:val="left" w:pos="1168"/>
        </w:tabs>
        <w:spacing w:before="0" w:after="0" w:line="307" w:lineRule="exact"/>
        <w:ind w:left="1168" w:right="0" w:hanging="540"/>
        <w:jc w:val="both"/>
        <w:rPr>
          <w:sz w:val="24"/>
        </w:rPr>
      </w:pPr>
      <w:r>
        <w:rPr>
          <w:sz w:val="24"/>
        </w:rPr>
        <w:t>提前交付单位工程的验收</w:t>
      </w:r>
    </w:p>
    <w:p>
      <w:pPr>
        <w:pStyle w:val="16"/>
        <w:numPr>
          <w:ilvl w:val="2"/>
          <w:numId w:val="35"/>
        </w:numPr>
        <w:tabs>
          <w:tab w:val="left" w:pos="1653"/>
        </w:tabs>
        <w:spacing w:before="158" w:after="0" w:line="364" w:lineRule="auto"/>
        <w:ind w:left="388" w:right="624" w:firstLine="424"/>
        <w:jc w:val="left"/>
        <w:rPr>
          <w:sz w:val="24"/>
        </w:rPr>
      </w:pPr>
      <w:r>
        <w:rPr>
          <w:spacing w:val="-1"/>
          <w:sz w:val="24"/>
        </w:rPr>
        <w:t>发包人需要在工程竣工前使用单位工程的，或承包人提出提前交付已经竣工的</w:t>
      </w:r>
      <w:r>
        <w:rPr>
          <w:spacing w:val="-11"/>
          <w:sz w:val="24"/>
        </w:rPr>
        <w:t xml:space="preserve">单位工程且经发包人同意的，可进行单位工程验收，验收的程序按照第 </w:t>
      </w:r>
      <w:r>
        <w:rPr>
          <w:sz w:val="24"/>
        </w:rPr>
        <w:t>13.2</w:t>
      </w:r>
      <w:r>
        <w:rPr>
          <w:spacing w:val="-18"/>
          <w:sz w:val="24"/>
        </w:rPr>
        <w:t xml:space="preserve"> 款〔竣工验收〕</w:t>
      </w:r>
      <w:r>
        <w:rPr>
          <w:sz w:val="24"/>
        </w:rPr>
        <w:t>的约定进行。</w:t>
      </w:r>
    </w:p>
    <w:p>
      <w:pPr>
        <w:pStyle w:val="8"/>
        <w:spacing w:line="364" w:lineRule="auto"/>
        <w:ind w:left="388" w:right="798" w:firstLine="424"/>
        <w:jc w:val="both"/>
      </w:pPr>
      <w:r>
        <w:t>验收合格后，由监理人向承包人出具经发包人签认的单位工程接收证书。已签发单位工程接收证书的单位工程由发包人负责照管。单位工程的验收成果和结论作为整体工程竣工验收申请报告的附件。</w:t>
      </w:r>
    </w:p>
    <w:p>
      <w:pPr>
        <w:pStyle w:val="16"/>
        <w:numPr>
          <w:ilvl w:val="2"/>
          <w:numId w:val="35"/>
        </w:numPr>
        <w:tabs>
          <w:tab w:val="left" w:pos="1653"/>
        </w:tabs>
        <w:spacing w:before="0" w:after="0" w:line="362" w:lineRule="auto"/>
        <w:ind w:left="388" w:right="624" w:firstLine="424"/>
        <w:jc w:val="both"/>
        <w:rPr>
          <w:sz w:val="24"/>
        </w:rPr>
      </w:pPr>
      <w:r>
        <w:rPr>
          <w:spacing w:val="-2"/>
          <w:sz w:val="24"/>
        </w:rPr>
        <w:t>发包人要求在工程竣工前交付单位工程，由此导致承包人费用增加和</w:t>
      </w:r>
      <w:r>
        <w:rPr>
          <w:sz w:val="24"/>
        </w:rPr>
        <w:t>（或</w:t>
      </w:r>
      <w:r>
        <w:rPr>
          <w:spacing w:val="-3"/>
          <w:sz w:val="24"/>
        </w:rPr>
        <w:t>）</w:t>
      </w:r>
      <w:r>
        <w:rPr>
          <w:sz w:val="24"/>
        </w:rPr>
        <w:t>工</w:t>
      </w:r>
      <w:r>
        <w:rPr>
          <w:spacing w:val="-5"/>
          <w:sz w:val="24"/>
        </w:rPr>
        <w:t>期延误的，由发包人承担由此增加的费用和</w:t>
      </w:r>
      <w:r>
        <w:rPr>
          <w:spacing w:val="-3"/>
          <w:sz w:val="24"/>
        </w:rPr>
        <w:t>（</w:t>
      </w:r>
      <w:r>
        <w:rPr>
          <w:sz w:val="24"/>
        </w:rPr>
        <w:t>或</w:t>
      </w:r>
      <w:r>
        <w:rPr>
          <w:spacing w:val="-17"/>
          <w:sz w:val="24"/>
        </w:rPr>
        <w:t>）</w:t>
      </w:r>
      <w:r>
        <w:rPr>
          <w:spacing w:val="-4"/>
          <w:sz w:val="24"/>
        </w:rPr>
        <w:t>延误的工期，并支付承包人合理的利润。</w:t>
      </w:r>
    </w:p>
    <w:p>
      <w:pPr>
        <w:pStyle w:val="16"/>
        <w:numPr>
          <w:ilvl w:val="1"/>
          <w:numId w:val="35"/>
        </w:numPr>
        <w:tabs>
          <w:tab w:val="left" w:pos="1228"/>
        </w:tabs>
        <w:spacing w:before="1" w:after="0" w:line="240" w:lineRule="auto"/>
        <w:ind w:left="1228" w:right="0" w:hanging="600"/>
        <w:jc w:val="both"/>
        <w:rPr>
          <w:sz w:val="24"/>
        </w:rPr>
      </w:pPr>
      <w:r>
        <w:rPr>
          <w:sz w:val="24"/>
        </w:rPr>
        <w:t>施工期运行</w:t>
      </w:r>
    </w:p>
    <w:p>
      <w:pPr>
        <w:pStyle w:val="16"/>
        <w:numPr>
          <w:ilvl w:val="2"/>
          <w:numId w:val="35"/>
        </w:numPr>
        <w:tabs>
          <w:tab w:val="left" w:pos="1653"/>
        </w:tabs>
        <w:spacing w:before="161" w:after="0" w:line="364" w:lineRule="auto"/>
        <w:ind w:left="388" w:right="744" w:firstLine="424"/>
        <w:jc w:val="both"/>
        <w:rPr>
          <w:sz w:val="24"/>
        </w:rPr>
      </w:pPr>
      <w:r>
        <w:rPr>
          <w:spacing w:val="-2"/>
          <w:sz w:val="24"/>
        </w:rPr>
        <w:t>施工期运行是指合同工程尚未全部竣工，其中某项或某几项单位工程或工程设</w:t>
      </w:r>
      <w:r>
        <w:rPr>
          <w:spacing w:val="-18"/>
          <w:sz w:val="24"/>
        </w:rPr>
        <w:t xml:space="preserve">备安装已竣工，根据专用合同条款约定，需要投入施工期运行的，经发包人按第 </w:t>
      </w:r>
      <w:r>
        <w:rPr>
          <w:sz w:val="24"/>
        </w:rPr>
        <w:t>13.4</w:t>
      </w:r>
      <w:r>
        <w:rPr>
          <w:spacing w:val="-36"/>
          <w:sz w:val="24"/>
        </w:rPr>
        <w:t xml:space="preserve"> 款〔提</w:t>
      </w:r>
      <w:r>
        <w:rPr>
          <w:sz w:val="24"/>
        </w:rPr>
        <w:t>前交付单位工程的验收〕的约定验收合格，证明能确保安全后，才能在施工期投入运行。</w:t>
      </w:r>
    </w:p>
    <w:p>
      <w:pPr>
        <w:pStyle w:val="16"/>
        <w:numPr>
          <w:ilvl w:val="2"/>
          <w:numId w:val="35"/>
        </w:numPr>
        <w:tabs>
          <w:tab w:val="left" w:pos="1653"/>
        </w:tabs>
        <w:spacing w:before="0" w:after="0" w:line="362" w:lineRule="auto"/>
        <w:ind w:left="388" w:right="912" w:firstLine="424"/>
        <w:jc w:val="both"/>
        <w:rPr>
          <w:sz w:val="24"/>
        </w:rPr>
      </w:pPr>
      <w:r>
        <w:rPr>
          <w:spacing w:val="-2"/>
          <w:sz w:val="24"/>
        </w:rPr>
        <w:t xml:space="preserve">在施工期运行中发现工程或工程设备损坏或存在缺陷的，由承包人按第 </w:t>
      </w:r>
      <w:r>
        <w:rPr>
          <w:spacing w:val="-5"/>
          <w:sz w:val="24"/>
        </w:rPr>
        <w:t xml:space="preserve">15.2 </w:t>
      </w:r>
      <w:r>
        <w:rPr>
          <w:sz w:val="24"/>
        </w:rPr>
        <w:t>款〔缺陷责任期〕约定进行修复。</w:t>
      </w:r>
    </w:p>
    <w:p>
      <w:pPr>
        <w:pStyle w:val="16"/>
        <w:numPr>
          <w:ilvl w:val="1"/>
          <w:numId w:val="35"/>
        </w:numPr>
        <w:tabs>
          <w:tab w:val="left" w:pos="1228"/>
        </w:tabs>
        <w:spacing w:before="2" w:after="0" w:line="240" w:lineRule="auto"/>
        <w:ind w:left="1228" w:right="0" w:hanging="600"/>
        <w:jc w:val="both"/>
        <w:rPr>
          <w:sz w:val="24"/>
        </w:rPr>
      </w:pPr>
      <w:r>
        <w:rPr>
          <w:sz w:val="24"/>
        </w:rPr>
        <w:t>竣工退场</w:t>
      </w:r>
    </w:p>
    <w:p>
      <w:pPr>
        <w:pStyle w:val="16"/>
        <w:numPr>
          <w:ilvl w:val="2"/>
          <w:numId w:val="35"/>
        </w:numPr>
        <w:tabs>
          <w:tab w:val="left" w:pos="1653"/>
        </w:tabs>
        <w:spacing w:before="160" w:after="0" w:line="240" w:lineRule="auto"/>
        <w:ind w:left="1652" w:right="0" w:hanging="841"/>
        <w:jc w:val="both"/>
        <w:rPr>
          <w:sz w:val="24"/>
        </w:rPr>
      </w:pPr>
      <w:r>
        <w:rPr>
          <w:sz w:val="24"/>
        </w:rPr>
        <w:t>竣工退场</w:t>
      </w:r>
    </w:p>
    <w:p>
      <w:pPr>
        <w:pStyle w:val="8"/>
        <w:spacing w:before="158"/>
        <w:ind w:left="812"/>
      </w:pPr>
      <w:r>
        <w:t>颁发工程接收证书后，承包人应按以下要求对施工现场进行清理：</w:t>
      </w:r>
    </w:p>
    <w:p>
      <w:pPr>
        <w:spacing w:after="0"/>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37" o:spid="_x0000_s1137" o:spt="20" style="position:absolute;left:0pt;margin-left:62.4pt;margin-top:12.25pt;height:0pt;width:400.4pt;mso-position-horizontal-relative:page;z-index:25177600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0"/>
          <w:numId w:val="66"/>
        </w:numPr>
        <w:tabs>
          <w:tab w:val="left" w:pos="1414"/>
        </w:tabs>
        <w:spacing w:before="67" w:after="0" w:line="240" w:lineRule="auto"/>
        <w:ind w:left="1413" w:right="0" w:hanging="602"/>
        <w:jc w:val="left"/>
        <w:rPr>
          <w:sz w:val="24"/>
        </w:rPr>
      </w:pPr>
      <w:r>
        <w:rPr>
          <w:sz w:val="24"/>
        </w:rPr>
        <w:t>施工现场内残留的垃圾已全部清除出场；</w:t>
      </w:r>
    </w:p>
    <w:p>
      <w:pPr>
        <w:pStyle w:val="16"/>
        <w:numPr>
          <w:ilvl w:val="0"/>
          <w:numId w:val="66"/>
        </w:numPr>
        <w:tabs>
          <w:tab w:val="left" w:pos="1414"/>
        </w:tabs>
        <w:spacing w:before="158" w:after="0" w:line="240" w:lineRule="auto"/>
        <w:ind w:left="1413" w:right="0" w:hanging="602"/>
        <w:jc w:val="left"/>
        <w:rPr>
          <w:sz w:val="24"/>
        </w:rPr>
      </w:pPr>
      <w:r>
        <w:rPr>
          <w:sz w:val="24"/>
        </w:rPr>
        <w:t>临时工程已拆除，场地已进行清理、平整或复原；</w:t>
      </w:r>
    </w:p>
    <w:p>
      <w:pPr>
        <w:pStyle w:val="16"/>
        <w:numPr>
          <w:ilvl w:val="0"/>
          <w:numId w:val="66"/>
        </w:numPr>
        <w:tabs>
          <w:tab w:val="left" w:pos="1414"/>
        </w:tabs>
        <w:spacing w:before="160" w:after="0" w:line="362" w:lineRule="auto"/>
        <w:ind w:left="388" w:right="744" w:firstLine="424"/>
        <w:jc w:val="left"/>
        <w:rPr>
          <w:sz w:val="24"/>
        </w:rPr>
      </w:pPr>
      <w:r>
        <w:rPr>
          <w:spacing w:val="-3"/>
          <w:sz w:val="24"/>
        </w:rPr>
        <w:t>按合同约定应撤离的人员、承包人施工设备和剩余的材料，包括废弃的施工设备</w:t>
      </w:r>
      <w:r>
        <w:rPr>
          <w:sz w:val="24"/>
        </w:rPr>
        <w:t>和材料，已按计划撤离施工现场；</w:t>
      </w:r>
    </w:p>
    <w:p>
      <w:pPr>
        <w:pStyle w:val="16"/>
        <w:numPr>
          <w:ilvl w:val="0"/>
          <w:numId w:val="66"/>
        </w:numPr>
        <w:tabs>
          <w:tab w:val="left" w:pos="1414"/>
        </w:tabs>
        <w:spacing w:before="5" w:after="0" w:line="240" w:lineRule="auto"/>
        <w:ind w:left="1413" w:right="0" w:hanging="602"/>
        <w:jc w:val="left"/>
        <w:rPr>
          <w:sz w:val="24"/>
        </w:rPr>
      </w:pPr>
      <w:r>
        <w:rPr>
          <w:sz w:val="24"/>
        </w:rPr>
        <w:t>施工现场周边及其附近道路、河道的施工堆积物，已全部清理；</w:t>
      </w:r>
    </w:p>
    <w:p>
      <w:pPr>
        <w:pStyle w:val="16"/>
        <w:numPr>
          <w:ilvl w:val="0"/>
          <w:numId w:val="66"/>
        </w:numPr>
        <w:tabs>
          <w:tab w:val="left" w:pos="1414"/>
        </w:tabs>
        <w:spacing w:before="158" w:after="0" w:line="240" w:lineRule="auto"/>
        <w:ind w:left="1413" w:right="0" w:hanging="602"/>
        <w:jc w:val="left"/>
        <w:rPr>
          <w:sz w:val="24"/>
        </w:rPr>
      </w:pPr>
      <w:r>
        <w:rPr>
          <w:sz w:val="24"/>
        </w:rPr>
        <w:t>施工现场其他场地清理工作已全部完成。</w:t>
      </w:r>
    </w:p>
    <w:p>
      <w:pPr>
        <w:pStyle w:val="8"/>
        <w:spacing w:before="161" w:line="364" w:lineRule="auto"/>
        <w:ind w:left="388" w:right="798" w:firstLine="424"/>
        <w:jc w:val="both"/>
      </w:pPr>
      <w: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pStyle w:val="16"/>
        <w:numPr>
          <w:ilvl w:val="2"/>
          <w:numId w:val="35"/>
        </w:numPr>
        <w:tabs>
          <w:tab w:val="left" w:pos="1653"/>
        </w:tabs>
        <w:spacing w:before="0" w:after="0" w:line="305" w:lineRule="exact"/>
        <w:ind w:left="1652" w:right="0" w:hanging="841"/>
        <w:jc w:val="both"/>
        <w:rPr>
          <w:sz w:val="24"/>
        </w:rPr>
      </w:pPr>
      <w:r>
        <w:rPr>
          <w:sz w:val="24"/>
        </w:rPr>
        <w:t>地表还原</w:t>
      </w:r>
    </w:p>
    <w:p>
      <w:pPr>
        <w:pStyle w:val="8"/>
        <w:spacing w:before="160" w:line="364" w:lineRule="auto"/>
        <w:ind w:left="388" w:right="798" w:firstLine="424"/>
        <w:jc w:val="both"/>
      </w:pPr>
      <w:r>
        <w:t>承包人应按发包人要求恢复临时占地及清理场地，承包人未按发包人的要求恢复临时</w:t>
      </w:r>
      <w:r>
        <w:rPr>
          <w:spacing w:val="-1"/>
        </w:rPr>
        <w:t>占地，或者场地清理未达到合同约定要求的，发包人有权委托其他人恢复或清理，所发生</w:t>
      </w:r>
      <w:r>
        <w:t>的费用由承包人承担。</w:t>
      </w:r>
    </w:p>
    <w:p>
      <w:pPr>
        <w:pStyle w:val="16"/>
        <w:numPr>
          <w:ilvl w:val="0"/>
          <w:numId w:val="35"/>
        </w:numPr>
        <w:tabs>
          <w:tab w:val="left" w:pos="868"/>
        </w:tabs>
        <w:spacing w:before="0" w:after="0" w:line="307" w:lineRule="exact"/>
        <w:ind w:left="868" w:right="0" w:hanging="480"/>
        <w:jc w:val="both"/>
        <w:outlineLvl w:val="2"/>
        <w:rPr>
          <w:sz w:val="24"/>
        </w:rPr>
      </w:pPr>
      <w:r>
        <w:rPr>
          <w:sz w:val="24"/>
        </w:rPr>
        <w:t>竣工结算</w:t>
      </w:r>
    </w:p>
    <w:p>
      <w:pPr>
        <w:pStyle w:val="16"/>
        <w:numPr>
          <w:ilvl w:val="1"/>
          <w:numId w:val="35"/>
        </w:numPr>
        <w:tabs>
          <w:tab w:val="left" w:pos="1228"/>
        </w:tabs>
        <w:spacing w:before="158" w:after="0" w:line="240" w:lineRule="auto"/>
        <w:ind w:left="1228" w:right="0" w:hanging="600"/>
        <w:jc w:val="both"/>
        <w:rPr>
          <w:sz w:val="24"/>
        </w:rPr>
      </w:pPr>
      <w:r>
        <w:rPr>
          <w:sz w:val="24"/>
        </w:rPr>
        <w:t>竣工结算申请</w:t>
      </w:r>
    </w:p>
    <w:p>
      <w:pPr>
        <w:pStyle w:val="8"/>
        <w:spacing w:before="161" w:line="364" w:lineRule="auto"/>
        <w:ind w:left="388" w:right="744" w:firstLine="424"/>
        <w:jc w:val="both"/>
      </w:pPr>
      <w:r>
        <w:rPr>
          <w:spacing w:val="-4"/>
        </w:rPr>
        <w:t xml:space="preserve">除专用合同条款另有约定外，承包人应在工程竣工验收合格后 </w:t>
      </w:r>
      <w:r>
        <w:t>28</w:t>
      </w:r>
      <w:r>
        <w:rPr>
          <w:spacing w:val="-9"/>
        </w:rPr>
        <w:t xml:space="preserve"> 天内向发包人和监理</w:t>
      </w:r>
      <w:r>
        <w:t>人提交竣工结算申请单，并提交完整的结算资料，有关竣工结算申请单的资料清单和份数等要求由合同当事人在专用合同条款中约定。</w:t>
      </w:r>
    </w:p>
    <w:p>
      <w:pPr>
        <w:pStyle w:val="8"/>
        <w:spacing w:line="304" w:lineRule="exact"/>
        <w:ind w:left="812"/>
      </w:pPr>
      <w:r>
        <w:t>除专用合同条款另有约定外，竣工结算申请单应包括以下内容：</w:t>
      </w:r>
    </w:p>
    <w:p>
      <w:pPr>
        <w:pStyle w:val="16"/>
        <w:numPr>
          <w:ilvl w:val="0"/>
          <w:numId w:val="67"/>
        </w:numPr>
        <w:tabs>
          <w:tab w:val="left" w:pos="1414"/>
        </w:tabs>
        <w:spacing w:before="160" w:after="0" w:line="240" w:lineRule="auto"/>
        <w:ind w:left="1413" w:right="0" w:hanging="602"/>
        <w:jc w:val="left"/>
        <w:rPr>
          <w:sz w:val="24"/>
        </w:rPr>
      </w:pPr>
      <w:r>
        <w:rPr>
          <w:sz w:val="24"/>
        </w:rPr>
        <w:t>竣工结算合同价格；</w:t>
      </w:r>
    </w:p>
    <w:p>
      <w:pPr>
        <w:pStyle w:val="16"/>
        <w:numPr>
          <w:ilvl w:val="0"/>
          <w:numId w:val="67"/>
        </w:numPr>
        <w:tabs>
          <w:tab w:val="left" w:pos="1414"/>
        </w:tabs>
        <w:spacing w:before="159" w:after="0" w:line="240" w:lineRule="auto"/>
        <w:ind w:left="1413" w:right="0" w:hanging="602"/>
        <w:jc w:val="left"/>
        <w:rPr>
          <w:sz w:val="24"/>
        </w:rPr>
      </w:pPr>
      <w:r>
        <w:rPr>
          <w:sz w:val="24"/>
        </w:rPr>
        <w:t>发包人已支付承包人的款项；</w:t>
      </w:r>
    </w:p>
    <w:p>
      <w:pPr>
        <w:pStyle w:val="16"/>
        <w:numPr>
          <w:ilvl w:val="0"/>
          <w:numId w:val="67"/>
        </w:numPr>
        <w:tabs>
          <w:tab w:val="left" w:pos="1414"/>
        </w:tabs>
        <w:spacing w:before="160" w:after="0" w:line="240" w:lineRule="auto"/>
        <w:ind w:left="1413" w:right="0" w:hanging="602"/>
        <w:jc w:val="left"/>
        <w:rPr>
          <w:sz w:val="24"/>
        </w:rPr>
      </w:pPr>
      <w:r>
        <w:rPr>
          <w:sz w:val="24"/>
        </w:rPr>
        <w:t>应扣留的质量保证金；</w:t>
      </w:r>
    </w:p>
    <w:p>
      <w:pPr>
        <w:pStyle w:val="16"/>
        <w:numPr>
          <w:ilvl w:val="0"/>
          <w:numId w:val="67"/>
        </w:numPr>
        <w:tabs>
          <w:tab w:val="left" w:pos="1414"/>
        </w:tabs>
        <w:spacing w:before="161" w:after="0" w:line="240" w:lineRule="auto"/>
        <w:ind w:left="1413" w:right="0" w:hanging="602"/>
        <w:jc w:val="left"/>
        <w:rPr>
          <w:sz w:val="24"/>
        </w:rPr>
      </w:pPr>
      <w:r>
        <w:rPr>
          <w:sz w:val="24"/>
        </w:rPr>
        <w:t>发包人应支付承包人的合同价款。</w:t>
      </w:r>
    </w:p>
    <w:p>
      <w:pPr>
        <w:pStyle w:val="16"/>
        <w:numPr>
          <w:ilvl w:val="1"/>
          <w:numId w:val="35"/>
        </w:numPr>
        <w:tabs>
          <w:tab w:val="left" w:pos="1413"/>
        </w:tabs>
        <w:spacing w:before="158" w:after="0" w:line="240" w:lineRule="auto"/>
        <w:ind w:left="1412" w:right="0" w:hanging="601"/>
        <w:jc w:val="both"/>
        <w:rPr>
          <w:sz w:val="24"/>
        </w:rPr>
      </w:pPr>
      <w:r>
        <w:rPr>
          <w:sz w:val="24"/>
        </w:rPr>
        <w:t>竣工结算审核</w:t>
      </w:r>
    </w:p>
    <w:p>
      <w:pPr>
        <w:pStyle w:val="16"/>
        <w:numPr>
          <w:ilvl w:val="0"/>
          <w:numId w:val="68"/>
        </w:numPr>
        <w:tabs>
          <w:tab w:val="left" w:pos="1414"/>
        </w:tabs>
        <w:spacing w:before="160" w:after="0" w:line="240" w:lineRule="auto"/>
        <w:ind w:left="1413" w:right="0" w:hanging="602"/>
        <w:jc w:val="both"/>
        <w:rPr>
          <w:sz w:val="24"/>
        </w:rPr>
      </w:pPr>
      <w:r>
        <w:rPr>
          <w:spacing w:val="-3"/>
          <w:sz w:val="24"/>
        </w:rPr>
        <w:t xml:space="preserve">除专用合同条款另有约定外，监理人应在收到竣工结算申请单后 </w:t>
      </w:r>
      <w:r>
        <w:rPr>
          <w:sz w:val="24"/>
        </w:rPr>
        <w:t>14</w:t>
      </w:r>
      <w:r>
        <w:rPr>
          <w:spacing w:val="-10"/>
          <w:sz w:val="24"/>
        </w:rPr>
        <w:t xml:space="preserve"> 天内完成核</w:t>
      </w:r>
    </w:p>
    <w:p>
      <w:pPr>
        <w:pStyle w:val="8"/>
        <w:spacing w:before="158" w:line="364" w:lineRule="auto"/>
        <w:ind w:left="388" w:right="744"/>
        <w:jc w:val="both"/>
      </w:pPr>
      <w:r>
        <w:rPr>
          <w:spacing w:val="-10"/>
        </w:rPr>
        <w:t xml:space="preserve">查并报送发包人。发包人应在收到监理人提交的经审核的竣工结算申请单后 </w:t>
      </w:r>
      <w:r>
        <w:t>14</w:t>
      </w:r>
      <w:r>
        <w:rPr>
          <w:spacing w:val="-13"/>
        </w:rPr>
        <w:t xml:space="preserve"> 天内完成审</w:t>
      </w:r>
      <w:r>
        <w:t>批，并由监理人向承包人签发经发包人签认的竣工付款证书。监理人或发包人对竣工结算申请单有异议的，有权要求承包人进行修正和提供补充资料，承包人应提交修正后的竣工结算申请单。</w:t>
      </w:r>
    </w:p>
    <w:p>
      <w:pPr>
        <w:spacing w:after="0" w:line="364" w:lineRule="auto"/>
        <w:jc w:val="both"/>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38" o:spid="_x0000_s1138" o:spt="20" style="position:absolute;left:0pt;margin-left:62.4pt;margin-top:12.25pt;height:0pt;width:400.4pt;mso-position-horizontal-relative:page;z-index:25177702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4" w:lineRule="auto"/>
        <w:ind w:left="388" w:right="744" w:firstLine="424"/>
        <w:jc w:val="both"/>
      </w:pPr>
      <w:r>
        <w:rPr>
          <w:spacing w:val="-3"/>
        </w:rPr>
        <w:t xml:space="preserve">发包人在收到承包人提交竣工结算申请书后 </w:t>
      </w:r>
      <w:r>
        <w:t>28</w:t>
      </w:r>
      <w:r>
        <w:rPr>
          <w:spacing w:val="-10"/>
        </w:rPr>
        <w:t xml:space="preserve"> 天内未完成审批且未提出异议的，视为</w:t>
      </w:r>
      <w:r>
        <w:t>发包人认可承包人提交的竣工结算申请单，并自发包人收到承包人提交的竣工结算申请单</w:t>
      </w:r>
      <w:r>
        <w:rPr>
          <w:spacing w:val="-20"/>
        </w:rPr>
        <w:t xml:space="preserve">后第 </w:t>
      </w:r>
      <w:r>
        <w:t>29</w:t>
      </w:r>
      <w:r>
        <w:rPr>
          <w:spacing w:val="-8"/>
        </w:rPr>
        <w:t xml:space="preserve"> 天起视为已签发竣工付款证书。</w:t>
      </w:r>
    </w:p>
    <w:p>
      <w:pPr>
        <w:pStyle w:val="16"/>
        <w:numPr>
          <w:ilvl w:val="0"/>
          <w:numId w:val="68"/>
        </w:numPr>
        <w:tabs>
          <w:tab w:val="left" w:pos="1414"/>
        </w:tabs>
        <w:spacing w:before="0" w:after="0" w:line="364" w:lineRule="auto"/>
        <w:ind w:left="388" w:right="744" w:firstLine="424"/>
        <w:jc w:val="both"/>
        <w:rPr>
          <w:sz w:val="24"/>
        </w:rPr>
      </w:pPr>
      <w:r>
        <w:rPr>
          <w:spacing w:val="-3"/>
          <w:sz w:val="24"/>
        </w:rPr>
        <w:t xml:space="preserve">除专用合同条款另有约定外，发包人应在签发竣工付款证书后的 </w:t>
      </w:r>
      <w:r>
        <w:rPr>
          <w:sz w:val="24"/>
        </w:rPr>
        <w:t>14 天内，完成对承包人的竣工付款。发包人逾期支付的，按照中国人民银行发布的同期同类贷款基准利</w:t>
      </w:r>
      <w:r>
        <w:rPr>
          <w:spacing w:val="-10"/>
          <w:sz w:val="24"/>
        </w:rPr>
        <w:t xml:space="preserve">率支付违约金；逾期支付超过 </w:t>
      </w:r>
      <w:r>
        <w:rPr>
          <w:sz w:val="24"/>
        </w:rPr>
        <w:t>56</w:t>
      </w:r>
      <w:r>
        <w:rPr>
          <w:spacing w:val="-11"/>
          <w:sz w:val="24"/>
        </w:rPr>
        <w:t xml:space="preserve"> 天的，按照中国人民银行发布的同期同类贷款基准利率的</w:t>
      </w:r>
      <w:r>
        <w:rPr>
          <w:sz w:val="24"/>
        </w:rPr>
        <w:t>两倍支付违约金。</w:t>
      </w:r>
    </w:p>
    <w:p>
      <w:pPr>
        <w:pStyle w:val="16"/>
        <w:numPr>
          <w:ilvl w:val="0"/>
          <w:numId w:val="68"/>
        </w:numPr>
        <w:tabs>
          <w:tab w:val="left" w:pos="1414"/>
        </w:tabs>
        <w:spacing w:before="0" w:after="0" w:line="362" w:lineRule="auto"/>
        <w:ind w:left="388" w:right="744" w:firstLine="424"/>
        <w:jc w:val="both"/>
        <w:rPr>
          <w:sz w:val="24"/>
        </w:rPr>
      </w:pPr>
      <w:r>
        <w:rPr>
          <w:spacing w:val="-2"/>
          <w:sz w:val="24"/>
        </w:rPr>
        <w:t>承包人对发包人签认的竣工付款证书有异议的，对于有异议部分应在收到发包人</w:t>
      </w:r>
      <w:r>
        <w:rPr>
          <w:spacing w:val="-6"/>
          <w:sz w:val="24"/>
        </w:rPr>
        <w:t xml:space="preserve">签认的竣工付款证书后 </w:t>
      </w:r>
      <w:r>
        <w:rPr>
          <w:sz w:val="24"/>
        </w:rPr>
        <w:t>7</w:t>
      </w:r>
      <w:r>
        <w:rPr>
          <w:spacing w:val="-8"/>
          <w:sz w:val="24"/>
        </w:rPr>
        <w:t xml:space="preserve"> 天内提出异议，并由合同当事人按照专用合同条款约定的方式和</w:t>
      </w:r>
    </w:p>
    <w:p>
      <w:pPr>
        <w:pStyle w:val="8"/>
        <w:spacing w:line="364" w:lineRule="auto"/>
        <w:ind w:left="388" w:right="744"/>
        <w:jc w:val="both"/>
      </w:pPr>
      <w:r>
        <w:rPr>
          <w:spacing w:val="-8"/>
        </w:rPr>
        <w:t xml:space="preserve">程序进行复核，或按照第 </w:t>
      </w:r>
      <w:r>
        <w:t>20</w:t>
      </w:r>
      <w:r>
        <w:rPr>
          <w:spacing w:val="-13"/>
        </w:rPr>
        <w:t xml:space="preserve"> 条〔争议解决〕约定处理。对于无异议部分，发包人应签发临</w:t>
      </w:r>
      <w:r>
        <w:rPr>
          <w:spacing w:val="-3"/>
        </w:rPr>
        <w:t>时竣工付款证书，并按本款第</w:t>
      </w:r>
      <w:r>
        <w:rPr>
          <w:spacing w:val="-5"/>
        </w:rPr>
        <w:t>（2）</w:t>
      </w:r>
      <w:r>
        <w:rPr>
          <w:spacing w:val="-4"/>
        </w:rPr>
        <w:t>项完成付款。承包人逾期未提出异议的，视为认可发包</w:t>
      </w:r>
      <w:r>
        <w:t>人的审批结果。</w:t>
      </w:r>
    </w:p>
    <w:p>
      <w:pPr>
        <w:pStyle w:val="16"/>
        <w:numPr>
          <w:ilvl w:val="1"/>
          <w:numId w:val="35"/>
        </w:numPr>
        <w:tabs>
          <w:tab w:val="left" w:pos="1413"/>
        </w:tabs>
        <w:spacing w:before="0" w:after="0" w:line="307" w:lineRule="exact"/>
        <w:ind w:left="1412" w:right="0" w:hanging="601"/>
        <w:jc w:val="both"/>
        <w:rPr>
          <w:sz w:val="24"/>
        </w:rPr>
      </w:pPr>
      <w:r>
        <w:rPr>
          <w:sz w:val="24"/>
        </w:rPr>
        <w:t>甩项竣工协议</w:t>
      </w:r>
    </w:p>
    <w:p>
      <w:pPr>
        <w:pStyle w:val="8"/>
        <w:spacing w:before="160" w:line="364" w:lineRule="auto"/>
        <w:ind w:left="388" w:right="624" w:firstLine="424"/>
      </w:pPr>
      <w:r>
        <w:rPr>
          <w:spacing w:val="-3"/>
        </w:rPr>
        <w:t xml:space="preserve">发包人要求甩项竣工的，合同当事人应签订甩项竣工协议。在甩项竣工协议中应明确， </w:t>
      </w:r>
      <w:r>
        <w:rPr>
          <w:spacing w:val="-7"/>
        </w:rPr>
        <w:t xml:space="preserve">合同当事人按照第 </w:t>
      </w:r>
      <w:r>
        <w:t>14.1</w:t>
      </w:r>
      <w:r>
        <w:rPr>
          <w:spacing w:val="-13"/>
        </w:rPr>
        <w:t xml:space="preserve"> 款〔竣工结算申请〕及 </w:t>
      </w:r>
      <w:r>
        <w:t>14.2</w:t>
      </w:r>
      <w:r>
        <w:rPr>
          <w:spacing w:val="-8"/>
        </w:rPr>
        <w:t xml:space="preserve"> 款〔竣工结算审核〕的约定，对已完合格工程进行结算，并支付相应合同价款。</w:t>
      </w:r>
    </w:p>
    <w:p>
      <w:pPr>
        <w:pStyle w:val="16"/>
        <w:numPr>
          <w:ilvl w:val="1"/>
          <w:numId w:val="35"/>
        </w:numPr>
        <w:tabs>
          <w:tab w:val="left" w:pos="1228"/>
        </w:tabs>
        <w:spacing w:before="0" w:after="0" w:line="305" w:lineRule="exact"/>
        <w:ind w:left="1228" w:right="0" w:hanging="600"/>
        <w:jc w:val="left"/>
        <w:rPr>
          <w:sz w:val="24"/>
        </w:rPr>
      </w:pPr>
      <w:r>
        <w:rPr>
          <w:sz w:val="24"/>
        </w:rPr>
        <w:t>最终结清</w:t>
      </w:r>
    </w:p>
    <w:p>
      <w:pPr>
        <w:pStyle w:val="16"/>
        <w:numPr>
          <w:ilvl w:val="2"/>
          <w:numId w:val="35"/>
        </w:numPr>
        <w:tabs>
          <w:tab w:val="left" w:pos="1653"/>
        </w:tabs>
        <w:spacing w:before="160" w:after="0" w:line="240" w:lineRule="auto"/>
        <w:ind w:left="1652" w:right="0" w:hanging="841"/>
        <w:jc w:val="left"/>
        <w:rPr>
          <w:sz w:val="24"/>
        </w:rPr>
      </w:pPr>
      <w:r>
        <w:rPr>
          <w:sz w:val="24"/>
        </w:rPr>
        <w:t>最终结清申请单</w:t>
      </w:r>
    </w:p>
    <w:p>
      <w:pPr>
        <w:pStyle w:val="16"/>
        <w:numPr>
          <w:ilvl w:val="0"/>
          <w:numId w:val="69"/>
        </w:numPr>
        <w:tabs>
          <w:tab w:val="left" w:pos="1414"/>
        </w:tabs>
        <w:spacing w:before="158" w:after="0" w:line="364" w:lineRule="auto"/>
        <w:ind w:left="388" w:right="744" w:firstLine="424"/>
        <w:jc w:val="left"/>
        <w:rPr>
          <w:sz w:val="24"/>
        </w:rPr>
      </w:pPr>
      <w:r>
        <w:rPr>
          <w:spacing w:val="-3"/>
          <w:sz w:val="24"/>
        </w:rPr>
        <w:t xml:space="preserve">除专用合同条款另有约定外，承包人应在缺陷责任期终止证书颁发后 </w:t>
      </w:r>
      <w:r>
        <w:rPr>
          <w:sz w:val="24"/>
        </w:rPr>
        <w:t>7</w:t>
      </w:r>
      <w:r>
        <w:rPr>
          <w:spacing w:val="-16"/>
          <w:sz w:val="24"/>
        </w:rPr>
        <w:t xml:space="preserve"> 天内，按</w:t>
      </w:r>
      <w:r>
        <w:rPr>
          <w:sz w:val="24"/>
        </w:rPr>
        <w:t>专用合同条款约定的份数向发包人提交最终结清申请单，并提供相关证明材料。</w:t>
      </w:r>
    </w:p>
    <w:p>
      <w:pPr>
        <w:pStyle w:val="8"/>
        <w:spacing w:line="364" w:lineRule="auto"/>
        <w:ind w:left="388" w:right="852" w:firstLine="424"/>
      </w:pPr>
      <w:r>
        <w:t>除专用合同条款另有约定外，最终结清申请单应列明质量保证金、应扣除的质量保证金、缺陷责任期内发生的增减费用。</w:t>
      </w:r>
    </w:p>
    <w:p>
      <w:pPr>
        <w:pStyle w:val="16"/>
        <w:numPr>
          <w:ilvl w:val="0"/>
          <w:numId w:val="69"/>
        </w:numPr>
        <w:tabs>
          <w:tab w:val="left" w:pos="1414"/>
        </w:tabs>
        <w:spacing w:before="0" w:after="0" w:line="362" w:lineRule="auto"/>
        <w:ind w:left="388" w:right="744" w:firstLine="424"/>
        <w:jc w:val="left"/>
        <w:rPr>
          <w:sz w:val="24"/>
        </w:rPr>
      </w:pPr>
      <w:r>
        <w:rPr>
          <w:spacing w:val="-2"/>
          <w:sz w:val="24"/>
        </w:rPr>
        <w:t>发包人对最终结清申请单内容有异议的，有权要求承包人进行修正和提供补充资</w:t>
      </w:r>
      <w:r>
        <w:rPr>
          <w:sz w:val="24"/>
        </w:rPr>
        <w:t>料，承包人应向发包人提交修正后的最终结清申请单。</w:t>
      </w:r>
    </w:p>
    <w:p>
      <w:pPr>
        <w:pStyle w:val="16"/>
        <w:numPr>
          <w:ilvl w:val="2"/>
          <w:numId w:val="35"/>
        </w:numPr>
        <w:tabs>
          <w:tab w:val="left" w:pos="1653"/>
        </w:tabs>
        <w:spacing w:before="5" w:after="0" w:line="240" w:lineRule="auto"/>
        <w:ind w:left="1652" w:right="0" w:hanging="841"/>
        <w:jc w:val="left"/>
        <w:rPr>
          <w:sz w:val="24"/>
        </w:rPr>
      </w:pPr>
      <w:r>
        <w:rPr>
          <w:sz w:val="24"/>
        </w:rPr>
        <w:t>最终结清证书和支付</w:t>
      </w:r>
    </w:p>
    <w:p>
      <w:pPr>
        <w:pStyle w:val="16"/>
        <w:numPr>
          <w:ilvl w:val="0"/>
          <w:numId w:val="70"/>
        </w:numPr>
        <w:tabs>
          <w:tab w:val="left" w:pos="1414"/>
        </w:tabs>
        <w:spacing w:before="158" w:after="0" w:line="364" w:lineRule="auto"/>
        <w:ind w:left="388" w:right="744" w:firstLine="424"/>
        <w:jc w:val="both"/>
        <w:rPr>
          <w:sz w:val="24"/>
        </w:rPr>
      </w:pPr>
      <w:r>
        <w:rPr>
          <w:spacing w:val="-3"/>
          <w:sz w:val="24"/>
        </w:rPr>
        <w:t xml:space="preserve">除专用合同条款另有约定外，发包人应在收到承包人提交的最终结清申请单后 </w:t>
      </w:r>
      <w:r>
        <w:rPr>
          <w:spacing w:val="-9"/>
          <w:sz w:val="24"/>
        </w:rPr>
        <w:t>14</w:t>
      </w:r>
      <w:r>
        <w:rPr>
          <w:sz w:val="24"/>
        </w:rPr>
        <w:t>天内完成审批并向承包人颁发最终结清证书。发包人逾期未完成审批，又未提出修改意见的，视为发包人同意承包人提交的最终结清申请单，且自发包人收到承包人提交的最终</w:t>
      </w:r>
      <w:r>
        <w:rPr>
          <w:spacing w:val="-9"/>
          <w:sz w:val="24"/>
        </w:rPr>
        <w:t xml:space="preserve">结清申请单后 </w:t>
      </w:r>
      <w:r>
        <w:rPr>
          <w:sz w:val="24"/>
        </w:rPr>
        <w:t>15</w:t>
      </w:r>
      <w:r>
        <w:rPr>
          <w:spacing w:val="-8"/>
          <w:sz w:val="24"/>
        </w:rPr>
        <w:t xml:space="preserve"> 天起视为已颁发最终结清证书。</w:t>
      </w:r>
    </w:p>
    <w:p>
      <w:pPr>
        <w:spacing w:after="0" w:line="364" w:lineRule="auto"/>
        <w:jc w:val="both"/>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39" o:spid="_x0000_s1139" o:spt="20" style="position:absolute;left:0pt;margin-left:62.4pt;margin-top:12.25pt;height:0pt;width:400.4pt;mso-position-horizontal-relative:page;z-index:25177804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0"/>
          <w:numId w:val="70"/>
        </w:numPr>
        <w:tabs>
          <w:tab w:val="left" w:pos="1414"/>
        </w:tabs>
        <w:spacing w:before="67" w:after="0" w:line="364" w:lineRule="auto"/>
        <w:ind w:left="388" w:right="732" w:firstLine="424"/>
        <w:jc w:val="both"/>
        <w:rPr>
          <w:sz w:val="24"/>
        </w:rPr>
      </w:pPr>
      <w:r>
        <w:rPr>
          <w:spacing w:val="-3"/>
          <w:sz w:val="24"/>
        </w:rPr>
        <w:t xml:space="preserve">除专用合同条款另有约定外，发包人应在颁发最终结清证书后 </w:t>
      </w:r>
      <w:r>
        <w:rPr>
          <w:sz w:val="24"/>
        </w:rPr>
        <w:t>7</w:t>
      </w:r>
      <w:r>
        <w:rPr>
          <w:spacing w:val="-10"/>
          <w:sz w:val="24"/>
        </w:rPr>
        <w:t xml:space="preserve"> 天内完成支付。</w:t>
      </w:r>
      <w:r>
        <w:rPr>
          <w:sz w:val="24"/>
        </w:rPr>
        <w:t>发包人逾期支付的，按照中国人民银行发布的同期同类贷款基准利率支付违约金；逾期支</w:t>
      </w:r>
      <w:r>
        <w:rPr>
          <w:spacing w:val="-15"/>
          <w:sz w:val="24"/>
        </w:rPr>
        <w:t xml:space="preserve">付超过 </w:t>
      </w:r>
      <w:r>
        <w:rPr>
          <w:sz w:val="24"/>
        </w:rPr>
        <w:t>56</w:t>
      </w:r>
      <w:r>
        <w:rPr>
          <w:spacing w:val="-8"/>
          <w:sz w:val="24"/>
        </w:rPr>
        <w:t xml:space="preserve"> 天的，按照中国人民银行发布的同期同类贷款基准利率的两倍支付违约金。</w:t>
      </w:r>
    </w:p>
    <w:p>
      <w:pPr>
        <w:pStyle w:val="16"/>
        <w:numPr>
          <w:ilvl w:val="0"/>
          <w:numId w:val="70"/>
        </w:numPr>
        <w:tabs>
          <w:tab w:val="left" w:pos="1414"/>
        </w:tabs>
        <w:spacing w:before="0" w:after="0" w:line="364" w:lineRule="auto"/>
        <w:ind w:left="388" w:right="852" w:firstLine="424"/>
        <w:jc w:val="both"/>
        <w:rPr>
          <w:sz w:val="24"/>
        </w:rPr>
      </w:pPr>
      <w:r>
        <w:rPr>
          <w:spacing w:val="-3"/>
          <w:sz w:val="24"/>
        </w:rPr>
        <w:t xml:space="preserve">承包人对发包人颁发的最终结清证书有异议的，按第 </w:t>
      </w:r>
      <w:r>
        <w:rPr>
          <w:sz w:val="24"/>
        </w:rPr>
        <w:t>20</w:t>
      </w:r>
      <w:r>
        <w:rPr>
          <w:spacing w:val="-9"/>
          <w:sz w:val="24"/>
        </w:rPr>
        <w:t xml:space="preserve"> 条〔争议解决〕的约定</w:t>
      </w:r>
      <w:r>
        <w:rPr>
          <w:sz w:val="24"/>
        </w:rPr>
        <w:t>办理。</w:t>
      </w:r>
    </w:p>
    <w:p>
      <w:pPr>
        <w:pStyle w:val="16"/>
        <w:numPr>
          <w:ilvl w:val="0"/>
          <w:numId w:val="35"/>
        </w:numPr>
        <w:tabs>
          <w:tab w:val="left" w:pos="868"/>
        </w:tabs>
        <w:spacing w:before="0" w:after="0" w:line="306" w:lineRule="exact"/>
        <w:ind w:left="868" w:right="0" w:hanging="480"/>
        <w:jc w:val="both"/>
        <w:outlineLvl w:val="2"/>
        <w:rPr>
          <w:sz w:val="24"/>
        </w:rPr>
      </w:pPr>
      <w:r>
        <w:rPr>
          <w:sz w:val="24"/>
        </w:rPr>
        <w:t>缺陷责任与保修</w:t>
      </w:r>
    </w:p>
    <w:p>
      <w:pPr>
        <w:pStyle w:val="16"/>
        <w:numPr>
          <w:ilvl w:val="1"/>
          <w:numId w:val="35"/>
        </w:numPr>
        <w:tabs>
          <w:tab w:val="left" w:pos="1413"/>
        </w:tabs>
        <w:spacing w:before="157" w:after="0" w:line="240" w:lineRule="auto"/>
        <w:ind w:left="1412" w:right="0" w:hanging="601"/>
        <w:jc w:val="left"/>
        <w:rPr>
          <w:sz w:val="24"/>
        </w:rPr>
      </w:pPr>
      <w:r>
        <w:rPr>
          <w:sz w:val="24"/>
        </w:rPr>
        <w:t>工程保修的原则</w:t>
      </w:r>
    </w:p>
    <w:p>
      <w:pPr>
        <w:pStyle w:val="8"/>
        <w:spacing w:before="161" w:line="362" w:lineRule="auto"/>
        <w:ind w:left="388" w:right="581" w:firstLine="424"/>
      </w:pPr>
      <w:r>
        <w:t>在工程移交发包人后，因承包人原因产生的质量缺陷，承包人应承担质量缺陷责任和保修义务。缺陷责任期届满，承包人仍应按合同约定的工程各部位保修年限承担保修义务。</w:t>
      </w:r>
    </w:p>
    <w:p>
      <w:pPr>
        <w:pStyle w:val="16"/>
        <w:numPr>
          <w:ilvl w:val="1"/>
          <w:numId w:val="35"/>
        </w:numPr>
        <w:tabs>
          <w:tab w:val="left" w:pos="1228"/>
        </w:tabs>
        <w:spacing w:before="2" w:after="0" w:line="240" w:lineRule="auto"/>
        <w:ind w:left="1228" w:right="0" w:hanging="600"/>
        <w:jc w:val="left"/>
        <w:rPr>
          <w:sz w:val="24"/>
        </w:rPr>
      </w:pPr>
      <w:r>
        <w:rPr>
          <w:sz w:val="24"/>
        </w:rPr>
        <w:t>缺陷责任期</w:t>
      </w:r>
    </w:p>
    <w:p>
      <w:pPr>
        <w:pStyle w:val="16"/>
        <w:numPr>
          <w:ilvl w:val="2"/>
          <w:numId w:val="35"/>
        </w:numPr>
        <w:tabs>
          <w:tab w:val="left" w:pos="1653"/>
        </w:tabs>
        <w:spacing w:before="161" w:after="0" w:line="364" w:lineRule="auto"/>
        <w:ind w:left="388" w:right="744" w:firstLine="424"/>
        <w:jc w:val="both"/>
        <w:rPr>
          <w:sz w:val="24"/>
        </w:rPr>
      </w:pPr>
      <w:r>
        <w:rPr>
          <w:spacing w:val="-2"/>
          <w:sz w:val="24"/>
        </w:rPr>
        <w:t>缺陷责任期自实际竣工日期起计算，合同当事人应在专用合同条款约定缺陷责</w:t>
      </w:r>
      <w:r>
        <w:rPr>
          <w:spacing w:val="-4"/>
          <w:sz w:val="24"/>
        </w:rPr>
        <w:t xml:space="preserve">任期的具体期限，但该期限最长不超过 </w:t>
      </w:r>
      <w:r>
        <w:rPr>
          <w:sz w:val="24"/>
        </w:rPr>
        <w:t>24</w:t>
      </w:r>
      <w:r>
        <w:rPr>
          <w:spacing w:val="-15"/>
          <w:sz w:val="24"/>
        </w:rPr>
        <w:t xml:space="preserve"> 个月。</w:t>
      </w:r>
    </w:p>
    <w:p>
      <w:pPr>
        <w:pStyle w:val="8"/>
        <w:spacing w:line="364" w:lineRule="auto"/>
        <w:ind w:left="388" w:right="798" w:firstLine="424"/>
        <w:jc w:val="both"/>
      </w:pPr>
      <w:r>
        <w:t>单位工程先于全部工程进行验收，经验收合格并交付使用的，该单位工程缺陷责任期自单位工程验收合格之日起算。因发包人原因导致工程无法按合同约定期限进行竣工验收的，缺陷责任期自承包人提交竣工验收申请报告之日起开始计算；发包人未经竣工验收擅自使用工程的，缺陷责任期自工程转移占有之日起开始计算。</w:t>
      </w:r>
    </w:p>
    <w:p>
      <w:pPr>
        <w:pStyle w:val="16"/>
        <w:numPr>
          <w:ilvl w:val="2"/>
          <w:numId w:val="35"/>
        </w:numPr>
        <w:tabs>
          <w:tab w:val="left" w:pos="1653"/>
        </w:tabs>
        <w:spacing w:before="0" w:after="0" w:line="364" w:lineRule="auto"/>
        <w:ind w:left="388" w:right="744" w:firstLine="424"/>
        <w:jc w:val="both"/>
        <w:rPr>
          <w:sz w:val="24"/>
        </w:rPr>
      </w:pPr>
      <w:r>
        <w:rPr>
          <w:spacing w:val="-3"/>
          <w:sz w:val="24"/>
        </w:rPr>
        <w:t>工程竣工验收合格后，因承包人原因导致的缺陷或损坏致使工程、单位工程或</w:t>
      </w:r>
      <w:r>
        <w:rPr>
          <w:sz w:val="24"/>
        </w:rPr>
        <w:t>某项主要设备不能按原定目的使用的，则发包人有权要求承包人延长缺陷责任期，并应在</w:t>
      </w:r>
      <w:r>
        <w:rPr>
          <w:spacing w:val="-3"/>
          <w:sz w:val="24"/>
        </w:rPr>
        <w:t xml:space="preserve">原缺陷责任期届满前发出延长通知，但缺陷责任期最长不能超过 </w:t>
      </w:r>
      <w:r>
        <w:rPr>
          <w:sz w:val="24"/>
        </w:rPr>
        <w:t>24</w:t>
      </w:r>
      <w:r>
        <w:rPr>
          <w:spacing w:val="-15"/>
          <w:sz w:val="24"/>
        </w:rPr>
        <w:t xml:space="preserve"> 个月。</w:t>
      </w:r>
    </w:p>
    <w:p>
      <w:pPr>
        <w:pStyle w:val="16"/>
        <w:numPr>
          <w:ilvl w:val="2"/>
          <w:numId w:val="35"/>
        </w:numPr>
        <w:tabs>
          <w:tab w:val="left" w:pos="1653"/>
        </w:tabs>
        <w:spacing w:before="0" w:after="0" w:line="364" w:lineRule="auto"/>
        <w:ind w:left="388" w:right="798" w:firstLine="424"/>
        <w:jc w:val="left"/>
        <w:rPr>
          <w:sz w:val="24"/>
        </w:rPr>
      </w:pPr>
      <w:r>
        <w:rPr>
          <w:sz w:val="24"/>
        </w:rPr>
        <w:t>任何一项缺陷或损坏修复后，经检查证明其影响了工程或工程设备的使用性</w:t>
      </w:r>
      <w:r>
        <w:rPr>
          <w:spacing w:val="-1"/>
          <w:sz w:val="24"/>
        </w:rPr>
        <w:t>能，承包人应重新进行合同约定的试验和试运行，试验和试运行的全部费用应由责任方承</w:t>
      </w:r>
      <w:r>
        <w:rPr>
          <w:sz w:val="24"/>
        </w:rPr>
        <w:t>担。</w:t>
      </w:r>
    </w:p>
    <w:p>
      <w:pPr>
        <w:pStyle w:val="16"/>
        <w:numPr>
          <w:ilvl w:val="2"/>
          <w:numId w:val="35"/>
        </w:numPr>
        <w:tabs>
          <w:tab w:val="left" w:pos="1653"/>
        </w:tabs>
        <w:spacing w:before="0" w:after="0" w:line="364" w:lineRule="auto"/>
        <w:ind w:left="388" w:right="744" w:firstLine="424"/>
        <w:jc w:val="both"/>
        <w:rPr>
          <w:sz w:val="24"/>
        </w:rPr>
      </w:pPr>
      <w:r>
        <w:rPr>
          <w:spacing w:val="-4"/>
          <w:sz w:val="24"/>
        </w:rPr>
        <w:t xml:space="preserve">除专用合同条款另有约定外，承包人应于缺陷责任期届满后 </w:t>
      </w:r>
      <w:r>
        <w:rPr>
          <w:sz w:val="24"/>
        </w:rPr>
        <w:t>7</w:t>
      </w:r>
      <w:r>
        <w:rPr>
          <w:spacing w:val="-10"/>
          <w:sz w:val="24"/>
        </w:rPr>
        <w:t xml:space="preserve"> 天内向发包人发</w:t>
      </w:r>
      <w:r>
        <w:rPr>
          <w:spacing w:val="-9"/>
          <w:sz w:val="24"/>
        </w:rPr>
        <w:t xml:space="preserve">出缺陷责任期届满通知，发包人应在收到缺陷责任期满通知后 </w:t>
      </w:r>
      <w:r>
        <w:rPr>
          <w:sz w:val="24"/>
        </w:rPr>
        <w:t>14</w:t>
      </w:r>
      <w:r>
        <w:rPr>
          <w:spacing w:val="-9"/>
          <w:sz w:val="24"/>
        </w:rPr>
        <w:t xml:space="preserve"> 天内核实承包人是否履行</w:t>
      </w:r>
      <w:r>
        <w:rPr>
          <w:sz w:val="24"/>
        </w:rPr>
        <w:t>缺陷修复义务，承包人未能履行缺陷修复义务的，发包人有权扣除相应金额的维修费用。</w:t>
      </w:r>
      <w:r>
        <w:rPr>
          <w:spacing w:val="-4"/>
          <w:sz w:val="24"/>
        </w:rPr>
        <w:t xml:space="preserve">发包人应在收到缺陷责任期届满通知后 </w:t>
      </w:r>
      <w:r>
        <w:rPr>
          <w:sz w:val="24"/>
        </w:rPr>
        <w:t>14</w:t>
      </w:r>
      <w:r>
        <w:rPr>
          <w:spacing w:val="-8"/>
          <w:sz w:val="24"/>
        </w:rPr>
        <w:t xml:space="preserve"> 天内，向承包人颁发缺陷责任期终止证书。</w:t>
      </w:r>
    </w:p>
    <w:p>
      <w:pPr>
        <w:pStyle w:val="16"/>
        <w:numPr>
          <w:ilvl w:val="1"/>
          <w:numId w:val="35"/>
        </w:numPr>
        <w:tabs>
          <w:tab w:val="left" w:pos="1413"/>
        </w:tabs>
        <w:spacing w:before="0" w:after="0" w:line="303" w:lineRule="exact"/>
        <w:ind w:left="1412" w:right="0" w:hanging="601"/>
        <w:jc w:val="both"/>
        <w:rPr>
          <w:sz w:val="24"/>
        </w:rPr>
      </w:pPr>
      <w:r>
        <w:rPr>
          <w:sz w:val="24"/>
        </w:rPr>
        <w:t>质量保证金</w:t>
      </w:r>
    </w:p>
    <w:p>
      <w:pPr>
        <w:pStyle w:val="8"/>
        <w:spacing w:before="155"/>
        <w:ind w:left="812"/>
      </w:pPr>
      <w:r>
        <w:t>经合同当事人协商一致扣留质量保证金的，应在专用合同条款中予以明确。</w:t>
      </w:r>
    </w:p>
    <w:p>
      <w:pPr>
        <w:pStyle w:val="16"/>
        <w:numPr>
          <w:ilvl w:val="2"/>
          <w:numId w:val="35"/>
        </w:numPr>
        <w:tabs>
          <w:tab w:val="left" w:pos="1653"/>
        </w:tabs>
        <w:spacing w:before="161" w:after="0" w:line="240" w:lineRule="auto"/>
        <w:ind w:left="1652" w:right="0" w:hanging="841"/>
        <w:jc w:val="left"/>
        <w:rPr>
          <w:sz w:val="24"/>
        </w:rPr>
      </w:pPr>
      <w:r>
        <w:rPr>
          <w:sz w:val="24"/>
        </w:rPr>
        <w:t>承包人提供质量保证金的方式</w:t>
      </w:r>
    </w:p>
    <w:p>
      <w:pPr>
        <w:pStyle w:val="8"/>
        <w:spacing w:before="158"/>
        <w:ind w:left="812"/>
      </w:pPr>
      <w:r>
        <w:t>承包人提供质量保证金有以下三种方式：</w:t>
      </w:r>
    </w:p>
    <w:p>
      <w:pPr>
        <w:spacing w:after="0"/>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40" o:spid="_x0000_s1140" o:spt="20" style="position:absolute;left:0pt;margin-left:62.4pt;margin-top:12.25pt;height:0pt;width:400.4pt;mso-position-horizontal-relative:page;z-index:25177907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0"/>
          <w:numId w:val="71"/>
        </w:numPr>
        <w:tabs>
          <w:tab w:val="left" w:pos="1414"/>
        </w:tabs>
        <w:spacing w:before="67" w:after="0" w:line="240" w:lineRule="auto"/>
        <w:ind w:left="1413" w:right="0" w:hanging="602"/>
        <w:jc w:val="left"/>
        <w:rPr>
          <w:sz w:val="24"/>
        </w:rPr>
      </w:pPr>
      <w:r>
        <w:rPr>
          <w:sz w:val="24"/>
        </w:rPr>
        <w:t>质量保证金保函；</w:t>
      </w:r>
    </w:p>
    <w:p>
      <w:pPr>
        <w:pStyle w:val="16"/>
        <w:numPr>
          <w:ilvl w:val="0"/>
          <w:numId w:val="71"/>
        </w:numPr>
        <w:tabs>
          <w:tab w:val="left" w:pos="1414"/>
        </w:tabs>
        <w:spacing w:before="158" w:after="0" w:line="240" w:lineRule="auto"/>
        <w:ind w:left="1413" w:right="0" w:hanging="602"/>
        <w:jc w:val="left"/>
        <w:rPr>
          <w:sz w:val="24"/>
        </w:rPr>
      </w:pPr>
      <w:r>
        <w:rPr>
          <w:sz w:val="24"/>
        </w:rPr>
        <w:t>相应比例的工程款；</w:t>
      </w:r>
    </w:p>
    <w:p>
      <w:pPr>
        <w:pStyle w:val="16"/>
        <w:numPr>
          <w:ilvl w:val="0"/>
          <w:numId w:val="71"/>
        </w:numPr>
        <w:tabs>
          <w:tab w:val="left" w:pos="1414"/>
        </w:tabs>
        <w:spacing w:before="160" w:after="0" w:line="240" w:lineRule="auto"/>
        <w:ind w:left="1413" w:right="0" w:hanging="602"/>
        <w:jc w:val="left"/>
        <w:rPr>
          <w:sz w:val="24"/>
        </w:rPr>
      </w:pPr>
      <w:r>
        <w:rPr>
          <w:sz w:val="24"/>
        </w:rPr>
        <w:t>双方约定的其他方式。</w:t>
      </w:r>
    </w:p>
    <w:p>
      <w:pPr>
        <w:pStyle w:val="8"/>
        <w:spacing w:before="158"/>
        <w:ind w:left="812"/>
      </w:pPr>
      <w:r>
        <w:t>除专用合同条款另有约定外，质量保证金原则上采用上述第（1）种方式。</w:t>
      </w:r>
    </w:p>
    <w:p>
      <w:pPr>
        <w:pStyle w:val="16"/>
        <w:numPr>
          <w:ilvl w:val="2"/>
          <w:numId w:val="35"/>
        </w:numPr>
        <w:tabs>
          <w:tab w:val="left" w:pos="1653"/>
        </w:tabs>
        <w:spacing w:before="161" w:after="0" w:line="240" w:lineRule="auto"/>
        <w:ind w:left="1652" w:right="0" w:hanging="841"/>
        <w:jc w:val="both"/>
        <w:rPr>
          <w:sz w:val="24"/>
        </w:rPr>
      </w:pPr>
      <w:r>
        <w:rPr>
          <w:sz w:val="24"/>
        </w:rPr>
        <w:t>质量保证金的扣留</w:t>
      </w:r>
    </w:p>
    <w:p>
      <w:pPr>
        <w:pStyle w:val="8"/>
        <w:spacing w:before="158"/>
        <w:ind w:left="812"/>
      </w:pPr>
      <w:r>
        <w:t>质量保证金的扣留有以下三种方式：</w:t>
      </w:r>
    </w:p>
    <w:p>
      <w:pPr>
        <w:pStyle w:val="16"/>
        <w:numPr>
          <w:ilvl w:val="0"/>
          <w:numId w:val="72"/>
        </w:numPr>
        <w:tabs>
          <w:tab w:val="left" w:pos="1414"/>
        </w:tabs>
        <w:spacing w:before="161" w:after="0" w:line="364" w:lineRule="auto"/>
        <w:ind w:left="388" w:right="744" w:firstLine="424"/>
        <w:jc w:val="left"/>
        <w:rPr>
          <w:sz w:val="24"/>
        </w:rPr>
      </w:pPr>
      <w:r>
        <w:rPr>
          <w:spacing w:val="-3"/>
          <w:sz w:val="24"/>
        </w:rPr>
        <w:t>在支付工程进度款时逐次扣留，在此情形下，质量保证金的计算基数不包括预付</w:t>
      </w:r>
      <w:r>
        <w:rPr>
          <w:sz w:val="24"/>
        </w:rPr>
        <w:t>款的支付、扣回以及价格调整的金额；</w:t>
      </w:r>
    </w:p>
    <w:p>
      <w:pPr>
        <w:pStyle w:val="16"/>
        <w:numPr>
          <w:ilvl w:val="0"/>
          <w:numId w:val="72"/>
        </w:numPr>
        <w:tabs>
          <w:tab w:val="left" w:pos="1414"/>
        </w:tabs>
        <w:spacing w:before="0" w:after="0" w:line="306" w:lineRule="exact"/>
        <w:ind w:left="1413" w:right="0" w:hanging="602"/>
        <w:jc w:val="left"/>
        <w:rPr>
          <w:sz w:val="24"/>
        </w:rPr>
      </w:pPr>
      <w:r>
        <w:rPr>
          <w:sz w:val="24"/>
        </w:rPr>
        <w:t>工程竣工结算时一次性扣留质量保证金；</w:t>
      </w:r>
    </w:p>
    <w:p>
      <w:pPr>
        <w:pStyle w:val="16"/>
        <w:numPr>
          <w:ilvl w:val="0"/>
          <w:numId w:val="72"/>
        </w:numPr>
        <w:tabs>
          <w:tab w:val="left" w:pos="1414"/>
        </w:tabs>
        <w:spacing w:before="158" w:after="0" w:line="240" w:lineRule="auto"/>
        <w:ind w:left="1413" w:right="0" w:hanging="602"/>
        <w:jc w:val="left"/>
        <w:rPr>
          <w:sz w:val="24"/>
        </w:rPr>
      </w:pPr>
      <w:r>
        <w:rPr>
          <w:sz w:val="24"/>
        </w:rPr>
        <w:t>双方约定的其他扣留方式。</w:t>
      </w:r>
    </w:p>
    <w:p>
      <w:pPr>
        <w:pStyle w:val="8"/>
        <w:spacing w:before="160"/>
        <w:ind w:left="812"/>
      </w:pPr>
      <w:r>
        <w:t>除专用合同条款另有约定外，质量保证金的扣留原则上采用上述第（1）种方式。</w:t>
      </w:r>
    </w:p>
    <w:p>
      <w:pPr>
        <w:pStyle w:val="8"/>
        <w:spacing w:before="161" w:line="364" w:lineRule="auto"/>
        <w:ind w:left="388" w:right="744" w:firstLine="424"/>
        <w:jc w:val="both"/>
      </w:pPr>
      <w:r>
        <w:rPr>
          <w:spacing w:val="-3"/>
        </w:rPr>
        <w:t xml:space="preserve">发包人累计扣留的质量保证金不得超过结算合同价格的 </w:t>
      </w:r>
      <w:r>
        <w:t>5%，如承包人在发包人签发竣</w:t>
      </w:r>
      <w:r>
        <w:rPr>
          <w:spacing w:val="-9"/>
        </w:rPr>
        <w:t xml:space="preserve">工付款证书后 </w:t>
      </w:r>
      <w:r>
        <w:t>28</w:t>
      </w:r>
      <w:r>
        <w:rPr>
          <w:spacing w:val="-14"/>
        </w:rPr>
        <w:t xml:space="preserve"> 天内提交质量保证金保函，发包人应同时退还扣留的作为质量保证金的工</w:t>
      </w:r>
      <w:r>
        <w:t>程价款。</w:t>
      </w:r>
    </w:p>
    <w:p>
      <w:pPr>
        <w:pStyle w:val="16"/>
        <w:numPr>
          <w:ilvl w:val="2"/>
          <w:numId w:val="35"/>
        </w:numPr>
        <w:tabs>
          <w:tab w:val="left" w:pos="1653"/>
        </w:tabs>
        <w:spacing w:before="0" w:after="0" w:line="304" w:lineRule="exact"/>
        <w:ind w:left="1652" w:right="0" w:hanging="841"/>
        <w:jc w:val="both"/>
        <w:rPr>
          <w:sz w:val="24"/>
        </w:rPr>
      </w:pPr>
      <w:r>
        <w:rPr>
          <w:sz w:val="24"/>
        </w:rPr>
        <w:t>质量保证金的退还</w:t>
      </w:r>
    </w:p>
    <w:p>
      <w:pPr>
        <w:pStyle w:val="8"/>
        <w:spacing w:before="160"/>
        <w:ind w:left="812"/>
      </w:pPr>
      <w:r>
        <w:t>发包人应按 14.4 款〔最终结清〕的约定退还质量保证金。</w:t>
      </w:r>
    </w:p>
    <w:p>
      <w:pPr>
        <w:pStyle w:val="16"/>
        <w:numPr>
          <w:ilvl w:val="1"/>
          <w:numId w:val="35"/>
        </w:numPr>
        <w:tabs>
          <w:tab w:val="left" w:pos="1413"/>
        </w:tabs>
        <w:spacing w:before="158" w:after="0" w:line="240" w:lineRule="auto"/>
        <w:ind w:left="1412" w:right="0" w:hanging="601"/>
        <w:jc w:val="both"/>
        <w:rPr>
          <w:sz w:val="24"/>
        </w:rPr>
      </w:pPr>
      <w:r>
        <w:rPr>
          <w:sz w:val="24"/>
        </w:rPr>
        <w:t>保修</w:t>
      </w:r>
    </w:p>
    <w:p>
      <w:pPr>
        <w:pStyle w:val="16"/>
        <w:numPr>
          <w:ilvl w:val="2"/>
          <w:numId w:val="35"/>
        </w:numPr>
        <w:tabs>
          <w:tab w:val="left" w:pos="1593"/>
        </w:tabs>
        <w:spacing w:before="161" w:after="0" w:line="240" w:lineRule="auto"/>
        <w:ind w:left="1592" w:right="0" w:hanging="781"/>
        <w:jc w:val="both"/>
        <w:rPr>
          <w:sz w:val="24"/>
        </w:rPr>
      </w:pPr>
      <w:r>
        <w:rPr>
          <w:sz w:val="24"/>
        </w:rPr>
        <w:t>保修责任</w:t>
      </w:r>
    </w:p>
    <w:p>
      <w:pPr>
        <w:pStyle w:val="8"/>
        <w:spacing w:before="158" w:line="364" w:lineRule="auto"/>
        <w:ind w:left="388" w:right="798" w:firstLine="424"/>
        <w:jc w:val="both"/>
      </w:pPr>
      <w: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pStyle w:val="8"/>
        <w:spacing w:line="307" w:lineRule="exact"/>
        <w:ind w:left="812"/>
      </w:pPr>
      <w:r>
        <w:t>发包人未经竣工验收擅自使用工程的，保修期自转移占有之日起算。</w:t>
      </w:r>
    </w:p>
    <w:p>
      <w:pPr>
        <w:pStyle w:val="16"/>
        <w:numPr>
          <w:ilvl w:val="2"/>
          <w:numId w:val="35"/>
        </w:numPr>
        <w:tabs>
          <w:tab w:val="left" w:pos="1653"/>
        </w:tabs>
        <w:spacing w:before="160" w:after="0" w:line="240" w:lineRule="auto"/>
        <w:ind w:left="1652" w:right="0" w:hanging="841"/>
        <w:jc w:val="both"/>
        <w:rPr>
          <w:sz w:val="24"/>
        </w:rPr>
      </w:pPr>
      <w:r>
        <w:rPr>
          <w:sz w:val="24"/>
        </w:rPr>
        <w:t>修复费用</w:t>
      </w:r>
    </w:p>
    <w:p>
      <w:pPr>
        <w:pStyle w:val="8"/>
        <w:spacing w:before="158"/>
        <w:ind w:left="812"/>
      </w:pPr>
      <w:r>
        <w:t>保修期内，修复的费用按照以下约定处理：</w:t>
      </w:r>
    </w:p>
    <w:p>
      <w:pPr>
        <w:pStyle w:val="16"/>
        <w:numPr>
          <w:ilvl w:val="0"/>
          <w:numId w:val="73"/>
        </w:numPr>
        <w:tabs>
          <w:tab w:val="left" w:pos="1414"/>
        </w:tabs>
        <w:spacing w:before="161" w:after="0" w:line="362" w:lineRule="auto"/>
        <w:ind w:left="388" w:right="744" w:firstLine="424"/>
        <w:jc w:val="left"/>
        <w:rPr>
          <w:sz w:val="24"/>
        </w:rPr>
      </w:pPr>
      <w:r>
        <w:rPr>
          <w:spacing w:val="-3"/>
          <w:sz w:val="24"/>
        </w:rPr>
        <w:t>保修期内，因承包人原因造成工程的缺陷、损坏，承包人应负责修复，并承担修</w:t>
      </w:r>
      <w:r>
        <w:rPr>
          <w:sz w:val="24"/>
        </w:rPr>
        <w:t>复的费用以及因工程的缺陷、损坏造成的人身伤害和财产损失；</w:t>
      </w:r>
    </w:p>
    <w:p>
      <w:pPr>
        <w:pStyle w:val="16"/>
        <w:numPr>
          <w:ilvl w:val="0"/>
          <w:numId w:val="73"/>
        </w:numPr>
        <w:tabs>
          <w:tab w:val="left" w:pos="1414"/>
        </w:tabs>
        <w:spacing w:before="3" w:after="0" w:line="364" w:lineRule="auto"/>
        <w:ind w:left="388" w:right="744" w:firstLine="424"/>
        <w:jc w:val="left"/>
        <w:rPr>
          <w:sz w:val="24"/>
        </w:rPr>
      </w:pPr>
      <w:r>
        <w:rPr>
          <w:spacing w:val="-3"/>
          <w:sz w:val="24"/>
        </w:rPr>
        <w:t>保修期内，因发包人使用不当造成工程的缺陷、损坏，可以委托承包人修复，但</w:t>
      </w:r>
      <w:r>
        <w:rPr>
          <w:sz w:val="24"/>
        </w:rPr>
        <w:t>发包人应承担修复的费用，并支付承包人合理利润；</w:t>
      </w:r>
    </w:p>
    <w:p>
      <w:pPr>
        <w:spacing w:after="0" w:line="364"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41" o:spid="_x0000_s1141" o:spt="20" style="position:absolute;left:0pt;margin-left:62.4pt;margin-top:12.25pt;height:0pt;width:400.4pt;mso-position-horizontal-relative:page;z-index:25178009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0"/>
          <w:numId w:val="73"/>
        </w:numPr>
        <w:tabs>
          <w:tab w:val="left" w:pos="1414"/>
        </w:tabs>
        <w:spacing w:before="67" w:after="0" w:line="364" w:lineRule="auto"/>
        <w:ind w:left="388" w:right="744" w:firstLine="424"/>
        <w:jc w:val="both"/>
        <w:rPr>
          <w:sz w:val="24"/>
        </w:rPr>
      </w:pPr>
      <w:r>
        <w:rPr>
          <w:spacing w:val="-4"/>
          <w:sz w:val="24"/>
        </w:rPr>
        <w:t>因其他原因造成工程的缺陷、损坏，可以委托承包人修复，发包人应承担修复的</w:t>
      </w:r>
      <w:r>
        <w:rPr>
          <w:sz w:val="24"/>
        </w:rPr>
        <w:t>费用，并支付承包人合理的利润，因工程的缺陷、损坏造成的人身伤害和财产损失由责任方承担。</w:t>
      </w:r>
    </w:p>
    <w:p>
      <w:pPr>
        <w:pStyle w:val="16"/>
        <w:numPr>
          <w:ilvl w:val="2"/>
          <w:numId w:val="35"/>
        </w:numPr>
        <w:tabs>
          <w:tab w:val="left" w:pos="1653"/>
        </w:tabs>
        <w:spacing w:before="0" w:after="0" w:line="304" w:lineRule="exact"/>
        <w:ind w:left="1652" w:right="0" w:hanging="841"/>
        <w:jc w:val="both"/>
        <w:rPr>
          <w:sz w:val="24"/>
        </w:rPr>
      </w:pPr>
      <w:r>
        <w:rPr>
          <w:sz w:val="24"/>
        </w:rPr>
        <w:t>修复通知</w:t>
      </w:r>
    </w:p>
    <w:p>
      <w:pPr>
        <w:pStyle w:val="8"/>
        <w:spacing w:before="160" w:line="364" w:lineRule="auto"/>
        <w:ind w:left="388" w:right="744" w:firstLine="424"/>
        <w:jc w:val="both"/>
      </w:pPr>
      <w:r>
        <w:t>在保修期内，发包人在使用过程中，发现已接收的工程存在缺陷或损坏的，应书面通知承包人予以修复，但情况紧急必须立即修复缺陷或损坏的，发包人可以口头通知承包人</w:t>
      </w:r>
      <w:r>
        <w:rPr>
          <w:spacing w:val="-8"/>
        </w:rPr>
        <w:t xml:space="preserve">并在口头通知后 </w:t>
      </w:r>
      <w:r>
        <w:t>48</w:t>
      </w:r>
      <w:r>
        <w:rPr>
          <w:spacing w:val="-13"/>
        </w:rPr>
        <w:t xml:space="preserve"> 小时内书面确认，承包人应在专用合同条款约定的合理期限内到达工程</w:t>
      </w:r>
      <w:r>
        <w:t>现场并修复缺陷或损坏。</w:t>
      </w:r>
    </w:p>
    <w:p>
      <w:pPr>
        <w:pStyle w:val="16"/>
        <w:numPr>
          <w:ilvl w:val="2"/>
          <w:numId w:val="35"/>
        </w:numPr>
        <w:tabs>
          <w:tab w:val="left" w:pos="1653"/>
        </w:tabs>
        <w:spacing w:before="0" w:after="0" w:line="305" w:lineRule="exact"/>
        <w:ind w:left="1652" w:right="0" w:hanging="841"/>
        <w:jc w:val="both"/>
        <w:rPr>
          <w:sz w:val="24"/>
        </w:rPr>
      </w:pPr>
      <w:r>
        <w:rPr>
          <w:sz w:val="24"/>
        </w:rPr>
        <w:t>未能修复</w:t>
      </w:r>
    </w:p>
    <w:p>
      <w:pPr>
        <w:pStyle w:val="8"/>
        <w:spacing w:before="158" w:line="364" w:lineRule="auto"/>
        <w:ind w:left="388" w:right="798" w:firstLine="424"/>
        <w:jc w:val="both"/>
      </w:pPr>
      <w: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pPr>
        <w:pStyle w:val="16"/>
        <w:numPr>
          <w:ilvl w:val="2"/>
          <w:numId w:val="35"/>
        </w:numPr>
        <w:tabs>
          <w:tab w:val="left" w:pos="1653"/>
        </w:tabs>
        <w:spacing w:before="0" w:after="0" w:line="240" w:lineRule="auto"/>
        <w:ind w:left="1652" w:right="0" w:hanging="841"/>
        <w:jc w:val="both"/>
        <w:rPr>
          <w:sz w:val="24"/>
        </w:rPr>
      </w:pPr>
      <w:r>
        <w:rPr>
          <w:sz w:val="24"/>
        </w:rPr>
        <w:t>承包人出入权</w:t>
      </w:r>
    </w:p>
    <w:p>
      <w:pPr>
        <w:pStyle w:val="8"/>
        <w:spacing w:before="158" w:line="364" w:lineRule="auto"/>
        <w:ind w:left="388" w:right="744" w:firstLine="424"/>
      </w:pPr>
      <w:r>
        <w:t>在保修期内，为了修复缺陷或损坏，承包人有权出入工程现场，除情况紧急必须立即</w:t>
      </w:r>
      <w:r>
        <w:rPr>
          <w:spacing w:val="-8"/>
        </w:rPr>
        <w:t xml:space="preserve">修复缺陷或损坏外，承包人应提前 </w:t>
      </w:r>
      <w:r>
        <w:t>24</w:t>
      </w:r>
      <w:r>
        <w:rPr>
          <w:spacing w:val="-11"/>
        </w:rPr>
        <w:t xml:space="preserve"> 小时通知发包人进场修复的时间。承包人进入工程现</w:t>
      </w:r>
      <w:r>
        <w:t>场前应获得发包人同意，且不应影响发包人正常的生产经营，并应遵守发包人有关保安和保密等规定。</w:t>
      </w:r>
    </w:p>
    <w:p>
      <w:pPr>
        <w:pStyle w:val="16"/>
        <w:numPr>
          <w:ilvl w:val="0"/>
          <w:numId w:val="35"/>
        </w:numPr>
        <w:tabs>
          <w:tab w:val="left" w:pos="868"/>
        </w:tabs>
        <w:spacing w:before="0" w:after="0" w:line="305" w:lineRule="exact"/>
        <w:ind w:left="868" w:right="0" w:hanging="480"/>
        <w:jc w:val="left"/>
        <w:outlineLvl w:val="2"/>
        <w:rPr>
          <w:sz w:val="24"/>
        </w:rPr>
      </w:pPr>
      <w:r>
        <w:rPr>
          <w:sz w:val="24"/>
        </w:rPr>
        <w:t>违约</w:t>
      </w:r>
    </w:p>
    <w:p>
      <w:pPr>
        <w:pStyle w:val="16"/>
        <w:numPr>
          <w:ilvl w:val="1"/>
          <w:numId w:val="35"/>
        </w:numPr>
        <w:tabs>
          <w:tab w:val="left" w:pos="1413"/>
        </w:tabs>
        <w:spacing w:before="161" w:after="0" w:line="240" w:lineRule="auto"/>
        <w:ind w:left="1412" w:right="0" w:hanging="601"/>
        <w:jc w:val="both"/>
        <w:rPr>
          <w:sz w:val="24"/>
        </w:rPr>
      </w:pPr>
      <w:r>
        <w:rPr>
          <w:sz w:val="24"/>
        </w:rPr>
        <w:t>发包人违约</w:t>
      </w:r>
    </w:p>
    <w:p>
      <w:pPr>
        <w:pStyle w:val="16"/>
        <w:numPr>
          <w:ilvl w:val="2"/>
          <w:numId w:val="35"/>
        </w:numPr>
        <w:tabs>
          <w:tab w:val="left" w:pos="1653"/>
        </w:tabs>
        <w:spacing w:before="158" w:after="0" w:line="240" w:lineRule="auto"/>
        <w:ind w:left="1652" w:right="0" w:hanging="841"/>
        <w:jc w:val="left"/>
        <w:rPr>
          <w:sz w:val="24"/>
        </w:rPr>
      </w:pPr>
      <w:r>
        <w:rPr>
          <w:sz w:val="24"/>
        </w:rPr>
        <w:t>发包人违约的情形</w:t>
      </w:r>
    </w:p>
    <w:p>
      <w:pPr>
        <w:pStyle w:val="8"/>
        <w:spacing w:before="161"/>
        <w:ind w:left="812"/>
      </w:pPr>
      <w:r>
        <w:t>在合同履行过程中发生的下列情形，属于发包人违约：</w:t>
      </w:r>
    </w:p>
    <w:p>
      <w:pPr>
        <w:pStyle w:val="16"/>
        <w:numPr>
          <w:ilvl w:val="0"/>
          <w:numId w:val="74"/>
        </w:numPr>
        <w:tabs>
          <w:tab w:val="left" w:pos="1414"/>
        </w:tabs>
        <w:spacing w:before="160" w:after="0" w:line="240" w:lineRule="auto"/>
        <w:ind w:left="1413" w:right="0" w:hanging="602"/>
        <w:jc w:val="left"/>
        <w:rPr>
          <w:sz w:val="24"/>
        </w:rPr>
      </w:pPr>
      <w:r>
        <w:rPr>
          <w:spacing w:val="-4"/>
          <w:sz w:val="24"/>
        </w:rPr>
        <w:t xml:space="preserve">因发包人原因未能在计划开工日期前 </w:t>
      </w:r>
      <w:r>
        <w:rPr>
          <w:sz w:val="24"/>
        </w:rPr>
        <w:t>7</w:t>
      </w:r>
      <w:r>
        <w:rPr>
          <w:spacing w:val="-8"/>
          <w:sz w:val="24"/>
        </w:rPr>
        <w:t xml:space="preserve"> 天内下达开工通知的；</w:t>
      </w:r>
    </w:p>
    <w:p>
      <w:pPr>
        <w:pStyle w:val="16"/>
        <w:numPr>
          <w:ilvl w:val="0"/>
          <w:numId w:val="74"/>
        </w:numPr>
        <w:tabs>
          <w:tab w:val="left" w:pos="1414"/>
        </w:tabs>
        <w:spacing w:before="158" w:after="0" w:line="240" w:lineRule="auto"/>
        <w:ind w:left="1413" w:right="0" w:hanging="602"/>
        <w:jc w:val="left"/>
        <w:rPr>
          <w:sz w:val="24"/>
        </w:rPr>
      </w:pPr>
      <w:r>
        <w:rPr>
          <w:sz w:val="24"/>
        </w:rPr>
        <w:t>因发包人原因未能按合同约定支付合同价款的；</w:t>
      </w:r>
    </w:p>
    <w:p>
      <w:pPr>
        <w:pStyle w:val="16"/>
        <w:numPr>
          <w:ilvl w:val="0"/>
          <w:numId w:val="74"/>
        </w:numPr>
        <w:tabs>
          <w:tab w:val="left" w:pos="1414"/>
        </w:tabs>
        <w:spacing w:before="161" w:after="0" w:line="362" w:lineRule="auto"/>
        <w:ind w:left="388" w:right="744" w:firstLine="424"/>
        <w:jc w:val="left"/>
        <w:rPr>
          <w:sz w:val="24"/>
        </w:rPr>
      </w:pPr>
      <w:r>
        <w:rPr>
          <w:spacing w:val="-9"/>
          <w:sz w:val="24"/>
        </w:rPr>
        <w:t xml:space="preserve">发包人违反第 </w:t>
      </w:r>
      <w:r>
        <w:rPr>
          <w:sz w:val="24"/>
        </w:rPr>
        <w:t>10.1</w:t>
      </w:r>
      <w:r>
        <w:rPr>
          <w:spacing w:val="-10"/>
          <w:sz w:val="24"/>
        </w:rPr>
        <w:t xml:space="preserve"> 款〔变更的范围〕第</w:t>
      </w:r>
      <w:r>
        <w:rPr>
          <w:sz w:val="24"/>
        </w:rPr>
        <w:t>（2）</w:t>
      </w:r>
      <w:r>
        <w:rPr>
          <w:spacing w:val="-1"/>
          <w:sz w:val="24"/>
        </w:rPr>
        <w:t>项约定，自行实施被取消的工作或</w:t>
      </w:r>
      <w:r>
        <w:rPr>
          <w:sz w:val="24"/>
        </w:rPr>
        <w:t>转由他人实施的；</w:t>
      </w:r>
    </w:p>
    <w:p>
      <w:pPr>
        <w:pStyle w:val="16"/>
        <w:numPr>
          <w:ilvl w:val="0"/>
          <w:numId w:val="74"/>
        </w:numPr>
        <w:tabs>
          <w:tab w:val="left" w:pos="1414"/>
        </w:tabs>
        <w:spacing w:before="2" w:after="0" w:line="364" w:lineRule="auto"/>
        <w:ind w:left="388" w:right="744" w:firstLine="424"/>
        <w:jc w:val="left"/>
        <w:rPr>
          <w:sz w:val="24"/>
        </w:rPr>
      </w:pPr>
      <w:r>
        <w:rPr>
          <w:spacing w:val="-4"/>
          <w:sz w:val="24"/>
        </w:rPr>
        <w:t>发包人提供的材料、工程设备的规格、数量或质量不符合合同约定，或因发包人</w:t>
      </w:r>
      <w:r>
        <w:rPr>
          <w:sz w:val="24"/>
        </w:rPr>
        <w:t>原因导致交货日期延误或交货地点变更等情况的；</w:t>
      </w:r>
    </w:p>
    <w:p>
      <w:pPr>
        <w:pStyle w:val="16"/>
        <w:numPr>
          <w:ilvl w:val="0"/>
          <w:numId w:val="74"/>
        </w:numPr>
        <w:tabs>
          <w:tab w:val="left" w:pos="1414"/>
        </w:tabs>
        <w:spacing w:before="1" w:after="0" w:line="240" w:lineRule="auto"/>
        <w:ind w:left="1413" w:right="0" w:hanging="602"/>
        <w:jc w:val="left"/>
        <w:rPr>
          <w:sz w:val="24"/>
        </w:rPr>
      </w:pPr>
      <w:r>
        <w:rPr>
          <w:sz w:val="24"/>
        </w:rPr>
        <w:t>因发包人违反合同约定造成暂停施工的；</w:t>
      </w:r>
    </w:p>
    <w:p>
      <w:pPr>
        <w:pStyle w:val="16"/>
        <w:numPr>
          <w:ilvl w:val="0"/>
          <w:numId w:val="74"/>
        </w:numPr>
        <w:tabs>
          <w:tab w:val="left" w:pos="1414"/>
        </w:tabs>
        <w:spacing w:before="159" w:after="0" w:line="240" w:lineRule="auto"/>
        <w:ind w:left="1413" w:right="0" w:hanging="602"/>
        <w:jc w:val="left"/>
        <w:rPr>
          <w:sz w:val="24"/>
        </w:rPr>
      </w:pPr>
      <w:r>
        <w:rPr>
          <w:sz w:val="24"/>
        </w:rPr>
        <w:t>发包人无正当理由没有在约定期限内发出复工指示，导致承包人无法复工的；</w:t>
      </w:r>
    </w:p>
    <w:p>
      <w:pPr>
        <w:spacing w:after="0" w:line="240"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42" o:spid="_x0000_s1142" o:spt="20" style="position:absolute;left:0pt;margin-left:62.4pt;margin-top:12.25pt;height:0pt;width:400.4pt;mso-position-horizontal-relative:page;z-index:25178112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0"/>
          <w:numId w:val="74"/>
        </w:numPr>
        <w:tabs>
          <w:tab w:val="left" w:pos="1414"/>
        </w:tabs>
        <w:spacing w:before="67" w:after="0" w:line="240" w:lineRule="auto"/>
        <w:ind w:left="1413" w:right="0" w:hanging="602"/>
        <w:jc w:val="left"/>
        <w:rPr>
          <w:sz w:val="24"/>
        </w:rPr>
      </w:pPr>
      <w:r>
        <w:rPr>
          <w:sz w:val="24"/>
        </w:rPr>
        <w:t>发包人明确表示或者以其行为表明不履行合同主要义务的；</w:t>
      </w:r>
    </w:p>
    <w:p>
      <w:pPr>
        <w:pStyle w:val="16"/>
        <w:numPr>
          <w:ilvl w:val="0"/>
          <w:numId w:val="74"/>
        </w:numPr>
        <w:tabs>
          <w:tab w:val="left" w:pos="1414"/>
        </w:tabs>
        <w:spacing w:before="158" w:after="0" w:line="240" w:lineRule="auto"/>
        <w:ind w:left="1413" w:right="0" w:hanging="602"/>
        <w:jc w:val="left"/>
        <w:rPr>
          <w:sz w:val="24"/>
        </w:rPr>
      </w:pPr>
      <w:r>
        <w:rPr>
          <w:sz w:val="24"/>
        </w:rPr>
        <w:t>发包人未能按照合同约定履行其他义务的。</w:t>
      </w:r>
    </w:p>
    <w:p>
      <w:pPr>
        <w:pStyle w:val="8"/>
        <w:spacing w:before="160" w:line="364" w:lineRule="auto"/>
        <w:ind w:left="388" w:right="678" w:firstLine="424"/>
        <w:jc w:val="both"/>
      </w:pPr>
      <w:r>
        <w:rPr>
          <w:spacing w:val="-1"/>
        </w:rPr>
        <w:t>发包人发生除本项第</w:t>
      </w:r>
      <w:r>
        <w:t>（7）</w:t>
      </w:r>
      <w:r>
        <w:rPr>
          <w:spacing w:val="-2"/>
        </w:rPr>
        <w:t>目以外的违约情况时，承包人可向发包人发出通知，要求发</w:t>
      </w:r>
      <w:r>
        <w:rPr>
          <w:spacing w:val="-5"/>
        </w:rPr>
        <w:t xml:space="preserve">包人采取有效措施纠正违约行为。发包人收到承包人通知后 </w:t>
      </w:r>
      <w:r>
        <w:t>28</w:t>
      </w:r>
      <w:r>
        <w:rPr>
          <w:spacing w:val="-9"/>
        </w:rPr>
        <w:t xml:space="preserve"> 天内仍不纠正违约行为的， </w:t>
      </w:r>
      <w:r>
        <w:t>承包人有权暂停相应部位工程施工，并通知监理人。</w:t>
      </w:r>
    </w:p>
    <w:p>
      <w:pPr>
        <w:pStyle w:val="16"/>
        <w:numPr>
          <w:ilvl w:val="2"/>
          <w:numId w:val="35"/>
        </w:numPr>
        <w:tabs>
          <w:tab w:val="left" w:pos="1653"/>
        </w:tabs>
        <w:spacing w:before="0" w:after="0" w:line="305" w:lineRule="exact"/>
        <w:ind w:left="1652" w:right="0" w:hanging="841"/>
        <w:jc w:val="both"/>
        <w:rPr>
          <w:sz w:val="24"/>
        </w:rPr>
      </w:pPr>
      <w:r>
        <w:rPr>
          <w:sz w:val="24"/>
        </w:rPr>
        <w:t>发包人违约的责任</w:t>
      </w:r>
    </w:p>
    <w:p>
      <w:pPr>
        <w:pStyle w:val="8"/>
        <w:spacing w:before="161" w:line="364" w:lineRule="auto"/>
        <w:ind w:left="388" w:right="798" w:firstLine="424"/>
        <w:jc w:val="both"/>
      </w:pPr>
      <w:r>
        <w:t>发包人应承担因其违约给承包人增加的费用和（或）延误的工期，并支付承包人合理的利润。此外，合同当事人可在专用合同条款中另行约定发包人违约责任的承担方式和计算方法。</w:t>
      </w:r>
    </w:p>
    <w:p>
      <w:pPr>
        <w:pStyle w:val="16"/>
        <w:numPr>
          <w:ilvl w:val="2"/>
          <w:numId w:val="35"/>
        </w:numPr>
        <w:tabs>
          <w:tab w:val="left" w:pos="1653"/>
        </w:tabs>
        <w:spacing w:before="0" w:after="0" w:line="305" w:lineRule="exact"/>
        <w:ind w:left="1652" w:right="0" w:hanging="841"/>
        <w:jc w:val="both"/>
        <w:rPr>
          <w:sz w:val="24"/>
        </w:rPr>
      </w:pPr>
      <w:r>
        <w:rPr>
          <w:sz w:val="24"/>
        </w:rPr>
        <w:t>因发包人违约解除合同</w:t>
      </w:r>
    </w:p>
    <w:p>
      <w:pPr>
        <w:pStyle w:val="8"/>
        <w:spacing w:before="160"/>
        <w:ind w:left="812"/>
      </w:pPr>
      <w:r>
        <w:t>除专用合同条款另有约定外，承包人按第 16.1.1 项〔发包人违约的情形〕约定暂停施</w:t>
      </w:r>
    </w:p>
    <w:p>
      <w:pPr>
        <w:pStyle w:val="8"/>
        <w:spacing w:before="161" w:line="364" w:lineRule="auto"/>
        <w:ind w:left="388" w:right="744"/>
      </w:pPr>
      <w:r>
        <w:rPr>
          <w:spacing w:val="-20"/>
        </w:rPr>
        <w:t xml:space="preserve">工满 </w:t>
      </w:r>
      <w:r>
        <w:t>28</w:t>
      </w:r>
      <w:r>
        <w:rPr>
          <w:spacing w:val="-10"/>
        </w:rPr>
        <w:t xml:space="preserve"> 天后，发包人仍不纠正其违约行为并致使合同目的不能实现的，或出现第 </w:t>
      </w:r>
      <w:r>
        <w:t xml:space="preserve">16.1.1 </w:t>
      </w:r>
      <w:r>
        <w:rPr>
          <w:spacing w:val="-5"/>
        </w:rPr>
        <w:t>项〔发包人违约的情形〕第</w:t>
      </w:r>
      <w:r>
        <w:rPr>
          <w:spacing w:val="-4"/>
        </w:rPr>
        <w:t>（7）目约定的违约情况，承包人有权解除合同，发包人应承担</w:t>
      </w:r>
      <w:r>
        <w:t>由此增加的费用，并支付承包人合理的利润。</w:t>
      </w:r>
    </w:p>
    <w:p>
      <w:pPr>
        <w:pStyle w:val="16"/>
        <w:numPr>
          <w:ilvl w:val="2"/>
          <w:numId w:val="35"/>
        </w:numPr>
        <w:tabs>
          <w:tab w:val="left" w:pos="1653"/>
        </w:tabs>
        <w:spacing w:before="0" w:after="0" w:line="304" w:lineRule="exact"/>
        <w:ind w:left="1652" w:right="0" w:hanging="841"/>
        <w:jc w:val="left"/>
        <w:rPr>
          <w:sz w:val="24"/>
        </w:rPr>
      </w:pPr>
      <w:r>
        <w:rPr>
          <w:sz w:val="24"/>
        </w:rPr>
        <w:t>因发包人违约解除合同后的付款</w:t>
      </w:r>
    </w:p>
    <w:p>
      <w:pPr>
        <w:pStyle w:val="8"/>
        <w:spacing w:before="160" w:line="362" w:lineRule="auto"/>
        <w:ind w:left="388" w:right="744" w:firstLine="424"/>
      </w:pPr>
      <w:r>
        <w:rPr>
          <w:spacing w:val="-4"/>
        </w:rPr>
        <w:t xml:space="preserve">承包人按照本款约定解除合同的，发包人应在解除合同后 </w:t>
      </w:r>
      <w:r>
        <w:t>28</w:t>
      </w:r>
      <w:r>
        <w:rPr>
          <w:spacing w:val="-9"/>
        </w:rPr>
        <w:t xml:space="preserve"> 天内支付下列款项，并解</w:t>
      </w:r>
      <w:r>
        <w:t>除履约担保：</w:t>
      </w:r>
    </w:p>
    <w:p>
      <w:pPr>
        <w:pStyle w:val="16"/>
        <w:numPr>
          <w:ilvl w:val="0"/>
          <w:numId w:val="75"/>
        </w:numPr>
        <w:tabs>
          <w:tab w:val="left" w:pos="1414"/>
        </w:tabs>
        <w:spacing w:before="5" w:after="0" w:line="240" w:lineRule="auto"/>
        <w:ind w:left="1413" w:right="0" w:hanging="602"/>
        <w:jc w:val="left"/>
        <w:rPr>
          <w:sz w:val="24"/>
        </w:rPr>
      </w:pPr>
      <w:r>
        <w:rPr>
          <w:sz w:val="24"/>
        </w:rPr>
        <w:t>合同解除前所完成工作的价款；</w:t>
      </w:r>
    </w:p>
    <w:p>
      <w:pPr>
        <w:pStyle w:val="16"/>
        <w:numPr>
          <w:ilvl w:val="0"/>
          <w:numId w:val="75"/>
        </w:numPr>
        <w:tabs>
          <w:tab w:val="left" w:pos="1414"/>
        </w:tabs>
        <w:spacing w:before="158" w:after="0" w:line="240" w:lineRule="auto"/>
        <w:ind w:left="1413" w:right="0" w:hanging="602"/>
        <w:jc w:val="left"/>
        <w:rPr>
          <w:sz w:val="24"/>
        </w:rPr>
      </w:pPr>
      <w:r>
        <w:rPr>
          <w:sz w:val="24"/>
        </w:rPr>
        <w:t>承包人为工程施工订购并已付款的材料、工程设备和其他物品的价款；</w:t>
      </w:r>
    </w:p>
    <w:p>
      <w:pPr>
        <w:pStyle w:val="16"/>
        <w:numPr>
          <w:ilvl w:val="0"/>
          <w:numId w:val="75"/>
        </w:numPr>
        <w:tabs>
          <w:tab w:val="left" w:pos="1414"/>
        </w:tabs>
        <w:spacing w:before="161" w:after="0" w:line="240" w:lineRule="auto"/>
        <w:ind w:left="1413" w:right="0" w:hanging="602"/>
        <w:jc w:val="left"/>
        <w:rPr>
          <w:sz w:val="24"/>
        </w:rPr>
      </w:pPr>
      <w:r>
        <w:rPr>
          <w:sz w:val="24"/>
        </w:rPr>
        <w:t>承包人撤离施工现场以及遣散承包人人员的款项；</w:t>
      </w:r>
    </w:p>
    <w:p>
      <w:pPr>
        <w:pStyle w:val="16"/>
        <w:numPr>
          <w:ilvl w:val="0"/>
          <w:numId w:val="75"/>
        </w:numPr>
        <w:tabs>
          <w:tab w:val="left" w:pos="1414"/>
        </w:tabs>
        <w:spacing w:before="158" w:after="0" w:line="240" w:lineRule="auto"/>
        <w:ind w:left="1413" w:right="0" w:hanging="602"/>
        <w:jc w:val="left"/>
        <w:rPr>
          <w:sz w:val="24"/>
        </w:rPr>
      </w:pPr>
      <w:r>
        <w:rPr>
          <w:sz w:val="24"/>
        </w:rPr>
        <w:t>按照合同约定在合同解除前应支付的违约金；</w:t>
      </w:r>
    </w:p>
    <w:p>
      <w:pPr>
        <w:pStyle w:val="16"/>
        <w:numPr>
          <w:ilvl w:val="0"/>
          <w:numId w:val="75"/>
        </w:numPr>
        <w:tabs>
          <w:tab w:val="left" w:pos="1414"/>
        </w:tabs>
        <w:spacing w:before="161" w:after="0" w:line="240" w:lineRule="auto"/>
        <w:ind w:left="1413" w:right="0" w:hanging="602"/>
        <w:jc w:val="left"/>
        <w:rPr>
          <w:sz w:val="24"/>
        </w:rPr>
      </w:pPr>
      <w:r>
        <w:rPr>
          <w:sz w:val="24"/>
        </w:rPr>
        <w:t>按照合同约定应当支付给承包人的其他款项；</w:t>
      </w:r>
    </w:p>
    <w:p>
      <w:pPr>
        <w:pStyle w:val="16"/>
        <w:numPr>
          <w:ilvl w:val="0"/>
          <w:numId w:val="75"/>
        </w:numPr>
        <w:tabs>
          <w:tab w:val="left" w:pos="1414"/>
        </w:tabs>
        <w:spacing w:before="160" w:after="0" w:line="240" w:lineRule="auto"/>
        <w:ind w:left="1413" w:right="0" w:hanging="602"/>
        <w:jc w:val="left"/>
        <w:rPr>
          <w:sz w:val="24"/>
        </w:rPr>
      </w:pPr>
      <w:r>
        <w:rPr>
          <w:sz w:val="24"/>
        </w:rPr>
        <w:t>按照合同约定应退还的质量保证金；</w:t>
      </w:r>
    </w:p>
    <w:p>
      <w:pPr>
        <w:pStyle w:val="16"/>
        <w:numPr>
          <w:ilvl w:val="0"/>
          <w:numId w:val="75"/>
        </w:numPr>
        <w:tabs>
          <w:tab w:val="left" w:pos="1414"/>
        </w:tabs>
        <w:spacing w:before="158" w:after="0" w:line="240" w:lineRule="auto"/>
        <w:ind w:left="1413" w:right="0" w:hanging="602"/>
        <w:jc w:val="left"/>
        <w:rPr>
          <w:sz w:val="24"/>
        </w:rPr>
      </w:pPr>
      <w:r>
        <w:rPr>
          <w:sz w:val="24"/>
        </w:rPr>
        <w:t>因解除合同给承包人造成的损失。</w:t>
      </w:r>
    </w:p>
    <w:p>
      <w:pPr>
        <w:pStyle w:val="8"/>
        <w:spacing w:before="161" w:line="362" w:lineRule="auto"/>
        <w:ind w:left="388" w:right="744" w:firstLine="424"/>
      </w:pPr>
      <w:r>
        <w:rPr>
          <w:spacing w:val="-4"/>
        </w:rPr>
        <w:t xml:space="preserve">合同当事人未能就解除合同后的结清达成一致的，按照第 </w:t>
      </w:r>
      <w:r>
        <w:t>20</w:t>
      </w:r>
      <w:r>
        <w:rPr>
          <w:spacing w:val="-10"/>
        </w:rPr>
        <w:t xml:space="preserve"> 条〔争议解决〕的约定处</w:t>
      </w:r>
      <w:r>
        <w:t>理。</w:t>
      </w:r>
    </w:p>
    <w:p>
      <w:pPr>
        <w:pStyle w:val="8"/>
        <w:spacing w:before="2" w:line="364" w:lineRule="auto"/>
        <w:ind w:left="388" w:right="852" w:firstLine="424"/>
      </w:pPr>
      <w:r>
        <w:t>承包人应妥善做好已完工程和与工程有关的已购材料、工程设备的保护和移交工作， 并将施工设备和人员撤出施工现场，发包人应为承包人撤出提供必要条件。</w:t>
      </w:r>
    </w:p>
    <w:p>
      <w:pPr>
        <w:pStyle w:val="16"/>
        <w:numPr>
          <w:ilvl w:val="1"/>
          <w:numId w:val="35"/>
        </w:numPr>
        <w:tabs>
          <w:tab w:val="left" w:pos="1413"/>
        </w:tabs>
        <w:spacing w:before="1" w:after="0" w:line="240" w:lineRule="auto"/>
        <w:ind w:left="1412" w:right="0" w:hanging="601"/>
        <w:jc w:val="left"/>
        <w:rPr>
          <w:sz w:val="24"/>
        </w:rPr>
      </w:pPr>
      <w:r>
        <w:rPr>
          <w:sz w:val="24"/>
        </w:rPr>
        <w:t>承包人违约</w:t>
      </w:r>
    </w:p>
    <w:p>
      <w:pPr>
        <w:pStyle w:val="16"/>
        <w:numPr>
          <w:ilvl w:val="2"/>
          <w:numId w:val="35"/>
        </w:numPr>
        <w:tabs>
          <w:tab w:val="left" w:pos="1653"/>
        </w:tabs>
        <w:spacing w:before="158" w:after="0" w:line="240" w:lineRule="auto"/>
        <w:ind w:left="1652" w:right="0" w:hanging="841"/>
        <w:jc w:val="left"/>
        <w:rPr>
          <w:sz w:val="24"/>
        </w:rPr>
      </w:pPr>
      <w:r>
        <w:rPr>
          <w:sz w:val="24"/>
        </w:rPr>
        <w:t>承包人违约的情形</w:t>
      </w:r>
    </w:p>
    <w:p>
      <w:pPr>
        <w:spacing w:after="0" w:line="240"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43" o:spid="_x0000_s1143" o:spt="20" style="position:absolute;left:0pt;margin-left:62.4pt;margin-top:12.25pt;height:0pt;width:400.4pt;mso-position-horizontal-relative:page;z-index:25178214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812"/>
      </w:pPr>
      <w:r>
        <w:t>在合同履行过程中发生的下列情形，属于承包人违约：</w:t>
      </w:r>
    </w:p>
    <w:p>
      <w:pPr>
        <w:pStyle w:val="16"/>
        <w:numPr>
          <w:ilvl w:val="0"/>
          <w:numId w:val="76"/>
        </w:numPr>
        <w:tabs>
          <w:tab w:val="left" w:pos="1414"/>
        </w:tabs>
        <w:spacing w:before="158" w:after="0" w:line="240" w:lineRule="auto"/>
        <w:ind w:left="1413" w:right="0" w:hanging="602"/>
        <w:jc w:val="left"/>
        <w:rPr>
          <w:sz w:val="24"/>
        </w:rPr>
      </w:pPr>
      <w:r>
        <w:rPr>
          <w:sz w:val="24"/>
        </w:rPr>
        <w:t>承包人违反合同约定进行转包或违法分包的；</w:t>
      </w:r>
    </w:p>
    <w:p>
      <w:pPr>
        <w:pStyle w:val="16"/>
        <w:numPr>
          <w:ilvl w:val="0"/>
          <w:numId w:val="76"/>
        </w:numPr>
        <w:tabs>
          <w:tab w:val="left" w:pos="1414"/>
        </w:tabs>
        <w:spacing w:before="160" w:after="0" w:line="240" w:lineRule="auto"/>
        <w:ind w:left="1413" w:right="0" w:hanging="602"/>
        <w:jc w:val="left"/>
        <w:rPr>
          <w:sz w:val="24"/>
        </w:rPr>
      </w:pPr>
      <w:r>
        <w:rPr>
          <w:sz w:val="24"/>
        </w:rPr>
        <w:t>承包人违反合同约定采购和使用不合格的材料和工程设备的；</w:t>
      </w:r>
    </w:p>
    <w:p>
      <w:pPr>
        <w:pStyle w:val="16"/>
        <w:numPr>
          <w:ilvl w:val="0"/>
          <w:numId w:val="76"/>
        </w:numPr>
        <w:tabs>
          <w:tab w:val="left" w:pos="1414"/>
        </w:tabs>
        <w:spacing w:before="158" w:after="0" w:line="240" w:lineRule="auto"/>
        <w:ind w:left="1413" w:right="0" w:hanging="602"/>
        <w:jc w:val="left"/>
        <w:rPr>
          <w:sz w:val="24"/>
        </w:rPr>
      </w:pPr>
      <w:r>
        <w:rPr>
          <w:sz w:val="24"/>
        </w:rPr>
        <w:t>因承包人原因导致工程质量不符合合同要求的；</w:t>
      </w:r>
    </w:p>
    <w:p>
      <w:pPr>
        <w:pStyle w:val="16"/>
        <w:numPr>
          <w:ilvl w:val="0"/>
          <w:numId w:val="76"/>
        </w:numPr>
        <w:tabs>
          <w:tab w:val="left" w:pos="1414"/>
        </w:tabs>
        <w:spacing w:before="161" w:after="0" w:line="362" w:lineRule="auto"/>
        <w:ind w:left="388" w:right="744" w:firstLine="424"/>
        <w:jc w:val="left"/>
        <w:rPr>
          <w:sz w:val="24"/>
        </w:rPr>
      </w:pPr>
      <w:r>
        <w:rPr>
          <w:spacing w:val="-9"/>
          <w:sz w:val="24"/>
        </w:rPr>
        <w:t xml:space="preserve">承包人违反第 </w:t>
      </w:r>
      <w:r>
        <w:rPr>
          <w:sz w:val="24"/>
        </w:rPr>
        <w:t>8.9</w:t>
      </w:r>
      <w:r>
        <w:rPr>
          <w:spacing w:val="-9"/>
          <w:sz w:val="24"/>
        </w:rPr>
        <w:t xml:space="preserve"> 款〔材料与设备专用要求〕的约定，未经批准，私自将已按照</w:t>
      </w:r>
      <w:r>
        <w:rPr>
          <w:sz w:val="24"/>
        </w:rPr>
        <w:t>合同约定进入施工现场的材料或设备撤离施工现场的；</w:t>
      </w:r>
    </w:p>
    <w:p>
      <w:pPr>
        <w:pStyle w:val="16"/>
        <w:numPr>
          <w:ilvl w:val="0"/>
          <w:numId w:val="76"/>
        </w:numPr>
        <w:tabs>
          <w:tab w:val="left" w:pos="1414"/>
        </w:tabs>
        <w:spacing w:before="5" w:after="0" w:line="240" w:lineRule="auto"/>
        <w:ind w:left="1413" w:right="0" w:hanging="602"/>
        <w:jc w:val="left"/>
        <w:rPr>
          <w:sz w:val="24"/>
        </w:rPr>
      </w:pPr>
      <w:r>
        <w:rPr>
          <w:sz w:val="24"/>
        </w:rPr>
        <w:t>承包人未能按施工进度计划及时完成合同约定的工作，造成工期延误的；</w:t>
      </w:r>
    </w:p>
    <w:p>
      <w:pPr>
        <w:pStyle w:val="16"/>
        <w:numPr>
          <w:ilvl w:val="0"/>
          <w:numId w:val="76"/>
        </w:numPr>
        <w:tabs>
          <w:tab w:val="left" w:pos="1414"/>
        </w:tabs>
        <w:spacing w:before="160" w:after="0" w:line="362" w:lineRule="auto"/>
        <w:ind w:left="388" w:right="744" w:firstLine="424"/>
        <w:jc w:val="left"/>
        <w:rPr>
          <w:sz w:val="24"/>
        </w:rPr>
      </w:pPr>
      <w:r>
        <w:rPr>
          <w:spacing w:val="-3"/>
          <w:sz w:val="24"/>
        </w:rPr>
        <w:t>承包人在缺陷责任期及保修期内，未能在合理期限对工程缺陷进行修复，或拒绝</w:t>
      </w:r>
      <w:r>
        <w:rPr>
          <w:sz w:val="24"/>
        </w:rPr>
        <w:t>按发包人要求进行修复的；</w:t>
      </w:r>
    </w:p>
    <w:p>
      <w:pPr>
        <w:pStyle w:val="16"/>
        <w:numPr>
          <w:ilvl w:val="0"/>
          <w:numId w:val="76"/>
        </w:numPr>
        <w:tabs>
          <w:tab w:val="left" w:pos="1414"/>
        </w:tabs>
        <w:spacing w:before="3" w:after="0" w:line="240" w:lineRule="auto"/>
        <w:ind w:left="1413" w:right="0" w:hanging="602"/>
        <w:jc w:val="left"/>
        <w:rPr>
          <w:sz w:val="24"/>
        </w:rPr>
      </w:pPr>
      <w:r>
        <w:rPr>
          <w:sz w:val="24"/>
        </w:rPr>
        <w:t>承包人明确表示或者以其行为表明不履行合同主要义务的；</w:t>
      </w:r>
    </w:p>
    <w:p>
      <w:pPr>
        <w:pStyle w:val="16"/>
        <w:numPr>
          <w:ilvl w:val="0"/>
          <w:numId w:val="76"/>
        </w:numPr>
        <w:tabs>
          <w:tab w:val="left" w:pos="1414"/>
        </w:tabs>
        <w:spacing w:before="160" w:after="0" w:line="240" w:lineRule="auto"/>
        <w:ind w:left="1413" w:right="0" w:hanging="602"/>
        <w:jc w:val="left"/>
        <w:rPr>
          <w:sz w:val="24"/>
        </w:rPr>
      </w:pPr>
      <w:r>
        <w:rPr>
          <w:sz w:val="24"/>
        </w:rPr>
        <w:t>承包人未能按照合同约定履行其他义务的。</w:t>
      </w:r>
    </w:p>
    <w:p>
      <w:pPr>
        <w:pStyle w:val="8"/>
        <w:spacing w:before="161" w:line="362" w:lineRule="auto"/>
        <w:ind w:left="388" w:right="701" w:firstLine="424"/>
      </w:pPr>
      <w:r>
        <w:t>承包人发生除本项第（7）目约定以外的其他违约情况时，监理人可向承包人发出整改通知，要求其在指定的期限内改正。</w:t>
      </w:r>
    </w:p>
    <w:p>
      <w:pPr>
        <w:pStyle w:val="16"/>
        <w:numPr>
          <w:ilvl w:val="2"/>
          <w:numId w:val="35"/>
        </w:numPr>
        <w:tabs>
          <w:tab w:val="left" w:pos="1653"/>
        </w:tabs>
        <w:spacing w:before="5" w:after="0" w:line="240" w:lineRule="auto"/>
        <w:ind w:left="1652" w:right="0" w:hanging="841"/>
        <w:jc w:val="left"/>
        <w:rPr>
          <w:sz w:val="24"/>
        </w:rPr>
      </w:pPr>
      <w:r>
        <w:rPr>
          <w:sz w:val="24"/>
        </w:rPr>
        <w:t>承包人违约的责任</w:t>
      </w:r>
    </w:p>
    <w:p>
      <w:pPr>
        <w:pStyle w:val="8"/>
        <w:spacing w:before="158" w:line="364" w:lineRule="auto"/>
        <w:ind w:left="388" w:right="852" w:firstLine="424"/>
      </w:pPr>
      <w:r>
        <w:t>承包人应承担因其违约行为而增加的费用和（或）延误的工期。此外，合同当事人可在专用合同条款中另行约定承包人违约责任的承担方式和计算方法。</w:t>
      </w:r>
    </w:p>
    <w:p>
      <w:pPr>
        <w:pStyle w:val="16"/>
        <w:numPr>
          <w:ilvl w:val="2"/>
          <w:numId w:val="35"/>
        </w:numPr>
        <w:tabs>
          <w:tab w:val="left" w:pos="1653"/>
        </w:tabs>
        <w:spacing w:before="0" w:after="0" w:line="306" w:lineRule="exact"/>
        <w:ind w:left="1652" w:right="0" w:hanging="841"/>
        <w:jc w:val="left"/>
        <w:rPr>
          <w:sz w:val="24"/>
        </w:rPr>
      </w:pPr>
      <w:r>
        <w:rPr>
          <w:sz w:val="24"/>
        </w:rPr>
        <w:t>因承包人违约解除合同</w:t>
      </w:r>
    </w:p>
    <w:p>
      <w:pPr>
        <w:pStyle w:val="8"/>
        <w:spacing w:before="160" w:line="364" w:lineRule="auto"/>
        <w:ind w:left="388" w:right="624" w:firstLine="424"/>
      </w:pPr>
      <w:r>
        <w:rPr>
          <w:spacing w:val="-4"/>
        </w:rPr>
        <w:t xml:space="preserve">除专用合同条款另有约定外，出现第 </w:t>
      </w:r>
      <w:r>
        <w:t>16.2.1</w:t>
      </w:r>
      <w:r>
        <w:rPr>
          <w:spacing w:val="-8"/>
        </w:rPr>
        <w:t xml:space="preserve"> 项〔承包人违约的情形〕第</w:t>
      </w:r>
      <w:r>
        <w:t>（7）目约定的违约情况时，或监理人发出整改通知后，承包人在指定的合理期限内仍不纠正违约行为</w:t>
      </w:r>
      <w:r>
        <w:rPr>
          <w:spacing w:val="-5"/>
        </w:rPr>
        <w:t xml:space="preserve">并致使合同目的不能实现的，发包人有权解除合同。合同解除后，因继续完成工程的需要， </w:t>
      </w:r>
      <w:r>
        <w:t>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pPr>
        <w:pStyle w:val="16"/>
        <w:numPr>
          <w:ilvl w:val="2"/>
          <w:numId w:val="35"/>
        </w:numPr>
        <w:tabs>
          <w:tab w:val="left" w:pos="1593"/>
        </w:tabs>
        <w:spacing w:before="0" w:after="0" w:line="304" w:lineRule="exact"/>
        <w:ind w:left="1592" w:right="0" w:hanging="781"/>
        <w:jc w:val="left"/>
        <w:rPr>
          <w:sz w:val="24"/>
        </w:rPr>
      </w:pPr>
      <w:r>
        <w:rPr>
          <w:sz w:val="24"/>
        </w:rPr>
        <w:t>因承包人违约解除合同后的处理</w:t>
      </w:r>
    </w:p>
    <w:p>
      <w:pPr>
        <w:pStyle w:val="8"/>
        <w:spacing w:before="161" w:line="362" w:lineRule="auto"/>
        <w:ind w:left="388" w:right="744" w:firstLine="424"/>
      </w:pPr>
      <w:r>
        <w:rPr>
          <w:spacing w:val="-4"/>
        </w:rPr>
        <w:t xml:space="preserve">因承包人原因导致合同解除的，则合同当事人应在合同解除后 </w:t>
      </w:r>
      <w:r>
        <w:t>28</w:t>
      </w:r>
      <w:r>
        <w:rPr>
          <w:spacing w:val="-9"/>
        </w:rPr>
        <w:t xml:space="preserve"> 天内完成估价、付款</w:t>
      </w:r>
      <w:r>
        <w:t>和清算，并按以下约定执行：</w:t>
      </w:r>
    </w:p>
    <w:p>
      <w:pPr>
        <w:pStyle w:val="16"/>
        <w:numPr>
          <w:ilvl w:val="0"/>
          <w:numId w:val="77"/>
        </w:numPr>
        <w:tabs>
          <w:tab w:val="left" w:pos="1414"/>
        </w:tabs>
        <w:spacing w:before="3" w:after="0" w:line="364" w:lineRule="auto"/>
        <w:ind w:left="388" w:right="744" w:firstLine="424"/>
        <w:jc w:val="left"/>
        <w:rPr>
          <w:sz w:val="24"/>
        </w:rPr>
      </w:pPr>
      <w:r>
        <w:rPr>
          <w:spacing w:val="-8"/>
          <w:sz w:val="24"/>
        </w:rPr>
        <w:t xml:space="preserve">合同解除后，按第 </w:t>
      </w:r>
      <w:r>
        <w:rPr>
          <w:sz w:val="24"/>
        </w:rPr>
        <w:t>4.4</w:t>
      </w:r>
      <w:r>
        <w:rPr>
          <w:spacing w:val="-10"/>
          <w:sz w:val="24"/>
        </w:rPr>
        <w:t xml:space="preserve"> 款〔商定或确定〕商定或确定承包人实际完成工作对应的</w:t>
      </w:r>
      <w:r>
        <w:rPr>
          <w:sz w:val="24"/>
        </w:rPr>
        <w:t>合同价款，以及承包人已提供的材料、工程设备、施工设备和临时工程等的价值；</w:t>
      </w:r>
    </w:p>
    <w:p>
      <w:pPr>
        <w:pStyle w:val="16"/>
        <w:numPr>
          <w:ilvl w:val="0"/>
          <w:numId w:val="77"/>
        </w:numPr>
        <w:tabs>
          <w:tab w:val="left" w:pos="1414"/>
        </w:tabs>
        <w:spacing w:before="1" w:after="0" w:line="240" w:lineRule="auto"/>
        <w:ind w:left="1413" w:right="0" w:hanging="602"/>
        <w:jc w:val="left"/>
        <w:rPr>
          <w:sz w:val="24"/>
        </w:rPr>
      </w:pPr>
      <w:r>
        <w:rPr>
          <w:sz w:val="24"/>
        </w:rPr>
        <w:t>合同解除后，承包人应支付的违约金；</w:t>
      </w:r>
    </w:p>
    <w:p>
      <w:pPr>
        <w:pStyle w:val="16"/>
        <w:numPr>
          <w:ilvl w:val="0"/>
          <w:numId w:val="77"/>
        </w:numPr>
        <w:tabs>
          <w:tab w:val="left" w:pos="1414"/>
        </w:tabs>
        <w:spacing w:before="158" w:after="0" w:line="240" w:lineRule="auto"/>
        <w:ind w:left="1413" w:right="0" w:hanging="602"/>
        <w:jc w:val="left"/>
        <w:rPr>
          <w:sz w:val="24"/>
        </w:rPr>
      </w:pPr>
      <w:r>
        <w:rPr>
          <w:sz w:val="24"/>
        </w:rPr>
        <w:t>合同解除后，因解除合同给发包人造成的损失；</w:t>
      </w:r>
    </w:p>
    <w:p>
      <w:pPr>
        <w:spacing w:after="0" w:line="240"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44" o:spid="_x0000_s1144" o:spt="20" style="position:absolute;left:0pt;margin-left:62.4pt;margin-top:12.25pt;height:0pt;width:400.4pt;mso-position-horizontal-relative:page;z-index:25178316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0"/>
          <w:numId w:val="77"/>
        </w:numPr>
        <w:tabs>
          <w:tab w:val="left" w:pos="1414"/>
        </w:tabs>
        <w:spacing w:before="67" w:after="0" w:line="240" w:lineRule="auto"/>
        <w:ind w:left="1413" w:right="0" w:hanging="602"/>
        <w:jc w:val="left"/>
        <w:rPr>
          <w:sz w:val="24"/>
        </w:rPr>
      </w:pPr>
      <w:r>
        <w:rPr>
          <w:sz w:val="24"/>
        </w:rPr>
        <w:t>合同解除后，承包人应按照发包人要求和监理人的指示完成现场的清理和撤离；</w:t>
      </w:r>
    </w:p>
    <w:p>
      <w:pPr>
        <w:pStyle w:val="16"/>
        <w:numPr>
          <w:ilvl w:val="0"/>
          <w:numId w:val="77"/>
        </w:numPr>
        <w:tabs>
          <w:tab w:val="left" w:pos="1414"/>
        </w:tabs>
        <w:spacing w:before="158" w:after="0" w:line="364" w:lineRule="auto"/>
        <w:ind w:left="388" w:right="744" w:firstLine="424"/>
        <w:jc w:val="left"/>
        <w:rPr>
          <w:sz w:val="24"/>
        </w:rPr>
      </w:pPr>
      <w:r>
        <w:rPr>
          <w:spacing w:val="-3"/>
          <w:sz w:val="24"/>
        </w:rPr>
        <w:t>发包人和承包人应在合同解除后进行清算，出具最终结清付款证书，结清全部款</w:t>
      </w:r>
      <w:r>
        <w:rPr>
          <w:sz w:val="24"/>
        </w:rPr>
        <w:t>项。</w:t>
      </w:r>
    </w:p>
    <w:p>
      <w:pPr>
        <w:pStyle w:val="8"/>
        <w:spacing w:line="364" w:lineRule="auto"/>
        <w:ind w:left="388" w:right="744" w:firstLine="424"/>
      </w:pPr>
      <w:r>
        <w:t>因承包人违约解除合同的，发包人有权暂停对承包人的付款，查清各项付款和已扣款</w:t>
      </w:r>
      <w:r>
        <w:rPr>
          <w:spacing w:val="-8"/>
        </w:rPr>
        <w:t xml:space="preserve">项。发包人和承包人未能就合同解除后的清算和款项支付达成一致的，按照第 </w:t>
      </w:r>
      <w:r>
        <w:t>20</w:t>
      </w:r>
      <w:r>
        <w:rPr>
          <w:spacing w:val="-21"/>
        </w:rPr>
        <w:t xml:space="preserve"> 条〔争议</w:t>
      </w:r>
      <w:r>
        <w:t>解决〕的约定处理。</w:t>
      </w:r>
    </w:p>
    <w:p>
      <w:pPr>
        <w:pStyle w:val="16"/>
        <w:numPr>
          <w:ilvl w:val="2"/>
          <w:numId w:val="35"/>
        </w:numPr>
        <w:tabs>
          <w:tab w:val="left" w:pos="1593"/>
        </w:tabs>
        <w:spacing w:before="0" w:after="0" w:line="307" w:lineRule="exact"/>
        <w:ind w:left="1592" w:right="0" w:hanging="781"/>
        <w:jc w:val="left"/>
        <w:rPr>
          <w:sz w:val="24"/>
        </w:rPr>
      </w:pPr>
      <w:r>
        <w:rPr>
          <w:sz w:val="24"/>
        </w:rPr>
        <w:t>采购合同权益转让</w:t>
      </w:r>
    </w:p>
    <w:p>
      <w:pPr>
        <w:pStyle w:val="8"/>
        <w:spacing w:before="159" w:line="362" w:lineRule="auto"/>
        <w:ind w:left="388" w:right="744" w:firstLine="424"/>
      </w:pPr>
      <w:r>
        <w:t>因承包人违约解除合同的，发包人有权要求承包人将其为实施合同而签订的材料和设</w:t>
      </w:r>
      <w:r>
        <w:rPr>
          <w:spacing w:val="-5"/>
        </w:rPr>
        <w:t xml:space="preserve">备的采购合同的权益转让给发包人，承包人应在收到解除合同通知后 </w:t>
      </w:r>
      <w:r>
        <w:t>14</w:t>
      </w:r>
      <w:r>
        <w:rPr>
          <w:spacing w:val="-14"/>
        </w:rPr>
        <w:t xml:space="preserve"> 天内，协助发包人</w:t>
      </w:r>
      <w:r>
        <w:t>与采购合同的磋商响应人达成相关的转让协议。</w:t>
      </w:r>
    </w:p>
    <w:p>
      <w:pPr>
        <w:pStyle w:val="16"/>
        <w:numPr>
          <w:ilvl w:val="1"/>
          <w:numId w:val="35"/>
        </w:numPr>
        <w:tabs>
          <w:tab w:val="left" w:pos="1413"/>
        </w:tabs>
        <w:spacing w:before="6" w:after="0" w:line="240" w:lineRule="auto"/>
        <w:ind w:left="1412" w:right="0" w:hanging="601"/>
        <w:jc w:val="left"/>
        <w:rPr>
          <w:sz w:val="24"/>
        </w:rPr>
      </w:pPr>
      <w:r>
        <w:rPr>
          <w:sz w:val="24"/>
        </w:rPr>
        <w:t>第三人造成的违约</w:t>
      </w:r>
    </w:p>
    <w:p>
      <w:pPr>
        <w:pStyle w:val="8"/>
        <w:spacing w:before="161" w:line="362" w:lineRule="auto"/>
        <w:ind w:left="388" w:right="852" w:firstLine="424"/>
      </w:pPr>
      <w:r>
        <w:t>在履行合同过程中，一方当事人因第三人的原因造成违约的，应当向对方当事人承担违约责任。一方当事人和第三人之间的纠纷，依照法律规定或者按照约定解决。</w:t>
      </w:r>
    </w:p>
    <w:p>
      <w:pPr>
        <w:pStyle w:val="16"/>
        <w:numPr>
          <w:ilvl w:val="0"/>
          <w:numId w:val="35"/>
        </w:numPr>
        <w:tabs>
          <w:tab w:val="left" w:pos="868"/>
        </w:tabs>
        <w:spacing w:before="5" w:after="0" w:line="240" w:lineRule="auto"/>
        <w:ind w:left="868" w:right="0" w:hanging="480"/>
        <w:jc w:val="left"/>
        <w:outlineLvl w:val="2"/>
        <w:rPr>
          <w:sz w:val="24"/>
        </w:rPr>
      </w:pPr>
      <w:r>
        <w:rPr>
          <w:sz w:val="24"/>
        </w:rPr>
        <w:t>不可抗力</w:t>
      </w:r>
    </w:p>
    <w:p>
      <w:pPr>
        <w:pStyle w:val="16"/>
        <w:numPr>
          <w:ilvl w:val="1"/>
          <w:numId w:val="35"/>
        </w:numPr>
        <w:tabs>
          <w:tab w:val="left" w:pos="1413"/>
        </w:tabs>
        <w:spacing w:before="158" w:after="0" w:line="240" w:lineRule="auto"/>
        <w:ind w:left="1412" w:right="0" w:hanging="601"/>
        <w:jc w:val="both"/>
        <w:rPr>
          <w:sz w:val="24"/>
        </w:rPr>
      </w:pPr>
      <w:r>
        <w:rPr>
          <w:sz w:val="24"/>
        </w:rPr>
        <w:t>不可抗力的确认</w:t>
      </w:r>
    </w:p>
    <w:p>
      <w:pPr>
        <w:pStyle w:val="8"/>
        <w:spacing w:before="160" w:line="364" w:lineRule="auto"/>
        <w:ind w:left="388" w:right="798" w:firstLine="424"/>
        <w:jc w:val="both"/>
      </w:pPr>
      <w:r>
        <w:t>不可抗力是指合同当事人在签订合同时不可预见，在合同履行过程中不可避免且不能克服的自然灾害和社会性突发事件，如地震、海啸、瘟疫、骚乱、戒严、暴动、战争和专用合同条款中约定的其他情形。</w:t>
      </w:r>
    </w:p>
    <w:p>
      <w:pPr>
        <w:pStyle w:val="8"/>
        <w:spacing w:line="364" w:lineRule="auto"/>
        <w:ind w:left="388" w:right="744" w:firstLine="424"/>
        <w:jc w:val="both"/>
      </w:pPr>
      <w:r>
        <w:t>不可抗力发生后，发包人和承包人应收集证明不可抗力发生及不可抗力造成损失的证据，并及时认真统计所造成的损失。合同当事人对是否属于不可抗力或其损失的意见不一</w:t>
      </w:r>
      <w:r>
        <w:rPr>
          <w:spacing w:val="-9"/>
        </w:rPr>
        <w:t xml:space="preserve">致的，由监理人按第 </w:t>
      </w:r>
      <w:r>
        <w:t>4.4</w:t>
      </w:r>
      <w:r>
        <w:rPr>
          <w:spacing w:val="-14"/>
        </w:rPr>
        <w:t xml:space="preserve"> 款〔商定或确定〕的约定处理。发生争议时，按第 </w:t>
      </w:r>
      <w:r>
        <w:t>20</w:t>
      </w:r>
      <w:r>
        <w:rPr>
          <w:spacing w:val="-16"/>
        </w:rPr>
        <w:t xml:space="preserve"> 条〔争议解</w:t>
      </w:r>
      <w:r>
        <w:t>决〕的约定处理。</w:t>
      </w:r>
    </w:p>
    <w:p>
      <w:pPr>
        <w:pStyle w:val="16"/>
        <w:numPr>
          <w:ilvl w:val="1"/>
          <w:numId w:val="35"/>
        </w:numPr>
        <w:tabs>
          <w:tab w:val="left" w:pos="1413"/>
        </w:tabs>
        <w:spacing w:before="0" w:after="0" w:line="240" w:lineRule="auto"/>
        <w:ind w:left="1412" w:right="0" w:hanging="601"/>
        <w:jc w:val="both"/>
        <w:rPr>
          <w:sz w:val="24"/>
        </w:rPr>
      </w:pPr>
      <w:r>
        <w:rPr>
          <w:sz w:val="24"/>
        </w:rPr>
        <w:t>不可抗力的通知</w:t>
      </w:r>
    </w:p>
    <w:p>
      <w:pPr>
        <w:pStyle w:val="8"/>
        <w:spacing w:before="156" w:line="364" w:lineRule="auto"/>
        <w:ind w:left="388" w:right="852" w:firstLine="424"/>
      </w:pPr>
      <w:r>
        <w:t>合同一方当事人遇到不可抗力事件，使其履行合同义务受到阻碍时，应立即通知合同另一方当事人和监理人，书面说明不可抗力和受阻碍的详细情况，并提供必要的证明。</w:t>
      </w:r>
    </w:p>
    <w:p>
      <w:pPr>
        <w:pStyle w:val="8"/>
        <w:spacing w:line="364" w:lineRule="auto"/>
        <w:ind w:left="388" w:right="744" w:firstLine="424"/>
      </w:pPr>
      <w:r>
        <w:t>不可抗力持续发生的，合同一方当事人应及时向合同另一方当事人和监理人提交中间</w:t>
      </w:r>
      <w:r>
        <w:rPr>
          <w:spacing w:val="-10"/>
        </w:rPr>
        <w:t xml:space="preserve">报告，说明不可抗力和履行合同受阻的情况，并于不可抗力事件结束后 </w:t>
      </w:r>
      <w:r>
        <w:t>28</w:t>
      </w:r>
      <w:r>
        <w:rPr>
          <w:spacing w:val="-10"/>
        </w:rPr>
        <w:t xml:space="preserve"> 天内提交最终报</w:t>
      </w:r>
      <w:r>
        <w:t>告及有关资料。</w:t>
      </w:r>
    </w:p>
    <w:p>
      <w:pPr>
        <w:pStyle w:val="16"/>
        <w:numPr>
          <w:ilvl w:val="1"/>
          <w:numId w:val="35"/>
        </w:numPr>
        <w:tabs>
          <w:tab w:val="left" w:pos="1413"/>
        </w:tabs>
        <w:spacing w:before="0" w:after="0" w:line="307" w:lineRule="exact"/>
        <w:ind w:left="1412" w:right="0" w:hanging="601"/>
        <w:jc w:val="left"/>
        <w:rPr>
          <w:sz w:val="24"/>
        </w:rPr>
      </w:pPr>
      <w:r>
        <w:rPr>
          <w:sz w:val="24"/>
        </w:rPr>
        <w:t>不可抗力后果的承担</w:t>
      </w:r>
    </w:p>
    <w:p>
      <w:pPr>
        <w:spacing w:after="0" w:line="307" w:lineRule="exact"/>
        <w:jc w:val="left"/>
        <w:rPr>
          <w:sz w:val="24"/>
        </w:rPr>
        <w:sectPr>
          <w:footerReference r:id="rId14" w:type="default"/>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pgNumType w:start="90"/>
          <w:cols w:space="720" w:num="1"/>
        </w:sectPr>
      </w:pPr>
    </w:p>
    <w:p>
      <w:pPr>
        <w:tabs>
          <w:tab w:val="left" w:pos="7676"/>
        </w:tabs>
        <w:spacing w:before="45"/>
        <w:ind w:left="388" w:right="0" w:firstLine="0"/>
        <w:jc w:val="left"/>
        <w:rPr>
          <w:sz w:val="18"/>
        </w:rPr>
      </w:pPr>
      <w:r>
        <w:pict>
          <v:line id="_x0000_s1145" o:spid="_x0000_s1145" o:spt="20" style="position:absolute;left:0pt;margin-left:62.4pt;margin-top:12.25pt;height:0pt;width:400.4pt;mso-position-horizontal-relative:page;z-index:25178419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2"/>
          <w:numId w:val="35"/>
        </w:numPr>
        <w:tabs>
          <w:tab w:val="left" w:pos="1653"/>
        </w:tabs>
        <w:spacing w:before="67" w:after="0" w:line="362" w:lineRule="auto"/>
        <w:ind w:left="388" w:right="972" w:firstLine="424"/>
        <w:jc w:val="left"/>
        <w:rPr>
          <w:sz w:val="24"/>
        </w:rPr>
      </w:pPr>
      <w:r>
        <w:rPr>
          <w:spacing w:val="-1"/>
          <w:sz w:val="24"/>
        </w:rPr>
        <w:t>不可抗力引起的后果及造成的损失由合同当事人按照法律规定及合同约定各</w:t>
      </w:r>
      <w:r>
        <w:rPr>
          <w:sz w:val="24"/>
        </w:rPr>
        <w:t>自承担。不可抗力发生前已完成的工程应当按照合同约定进行计量支付。</w:t>
      </w:r>
    </w:p>
    <w:p>
      <w:pPr>
        <w:pStyle w:val="16"/>
        <w:numPr>
          <w:ilvl w:val="2"/>
          <w:numId w:val="35"/>
        </w:numPr>
        <w:tabs>
          <w:tab w:val="left" w:pos="1653"/>
        </w:tabs>
        <w:spacing w:before="5" w:after="0" w:line="362" w:lineRule="auto"/>
        <w:ind w:left="388" w:right="744" w:firstLine="424"/>
        <w:jc w:val="left"/>
        <w:rPr>
          <w:sz w:val="24"/>
        </w:rPr>
      </w:pPr>
      <w:r>
        <w:rPr>
          <w:spacing w:val="-2"/>
          <w:sz w:val="24"/>
        </w:rPr>
        <w:t>不可抗力导致的人员伤亡、财产损失、费用增加和</w:t>
      </w:r>
      <w:r>
        <w:rPr>
          <w:spacing w:val="-3"/>
          <w:sz w:val="24"/>
        </w:rPr>
        <w:t>（</w:t>
      </w:r>
      <w:r>
        <w:rPr>
          <w:sz w:val="24"/>
        </w:rPr>
        <w:t>或</w:t>
      </w:r>
      <w:r>
        <w:rPr>
          <w:spacing w:val="-3"/>
          <w:sz w:val="24"/>
        </w:rPr>
        <w:t>）</w:t>
      </w:r>
      <w:r>
        <w:rPr>
          <w:spacing w:val="-2"/>
          <w:sz w:val="24"/>
        </w:rPr>
        <w:t>工期延误等后果，由</w:t>
      </w:r>
      <w:r>
        <w:rPr>
          <w:sz w:val="24"/>
        </w:rPr>
        <w:t>合同当事人按以下原则承担：</w:t>
      </w:r>
    </w:p>
    <w:p>
      <w:pPr>
        <w:pStyle w:val="16"/>
        <w:numPr>
          <w:ilvl w:val="0"/>
          <w:numId w:val="78"/>
        </w:numPr>
        <w:tabs>
          <w:tab w:val="left" w:pos="1414"/>
        </w:tabs>
        <w:spacing w:before="5" w:after="0" w:line="362" w:lineRule="auto"/>
        <w:ind w:left="388" w:right="744" w:firstLine="424"/>
        <w:jc w:val="left"/>
        <w:rPr>
          <w:sz w:val="24"/>
        </w:rPr>
      </w:pPr>
      <w:r>
        <w:rPr>
          <w:spacing w:val="-3"/>
          <w:sz w:val="24"/>
        </w:rPr>
        <w:t>永久工程、已运至施工现场的材料和工程设备的损坏，以及因工程损坏造成的第</w:t>
      </w:r>
      <w:r>
        <w:rPr>
          <w:sz w:val="24"/>
        </w:rPr>
        <w:t>三人人员伤亡和财产损失由发包人承担；</w:t>
      </w:r>
    </w:p>
    <w:p>
      <w:pPr>
        <w:pStyle w:val="16"/>
        <w:numPr>
          <w:ilvl w:val="0"/>
          <w:numId w:val="78"/>
        </w:numPr>
        <w:tabs>
          <w:tab w:val="left" w:pos="1414"/>
        </w:tabs>
        <w:spacing w:before="5" w:after="0" w:line="240" w:lineRule="auto"/>
        <w:ind w:left="1413" w:right="0" w:hanging="602"/>
        <w:jc w:val="left"/>
        <w:rPr>
          <w:sz w:val="24"/>
        </w:rPr>
      </w:pPr>
      <w:r>
        <w:rPr>
          <w:sz w:val="24"/>
        </w:rPr>
        <w:t>承包人施工设备的损坏由承包人承担；</w:t>
      </w:r>
    </w:p>
    <w:p>
      <w:pPr>
        <w:pStyle w:val="16"/>
        <w:numPr>
          <w:ilvl w:val="0"/>
          <w:numId w:val="78"/>
        </w:numPr>
        <w:tabs>
          <w:tab w:val="left" w:pos="1414"/>
        </w:tabs>
        <w:spacing w:before="160" w:after="0" w:line="240" w:lineRule="auto"/>
        <w:ind w:left="1413" w:right="0" w:hanging="602"/>
        <w:jc w:val="left"/>
        <w:rPr>
          <w:sz w:val="24"/>
        </w:rPr>
      </w:pPr>
      <w:r>
        <w:rPr>
          <w:sz w:val="24"/>
        </w:rPr>
        <w:t>发包人和承包人承担各自人员伤亡和财产的损失；</w:t>
      </w:r>
    </w:p>
    <w:p>
      <w:pPr>
        <w:pStyle w:val="16"/>
        <w:numPr>
          <w:ilvl w:val="0"/>
          <w:numId w:val="78"/>
        </w:numPr>
        <w:tabs>
          <w:tab w:val="left" w:pos="1414"/>
        </w:tabs>
        <w:spacing w:before="158" w:after="0" w:line="364" w:lineRule="auto"/>
        <w:ind w:left="388" w:right="744" w:firstLine="424"/>
        <w:jc w:val="both"/>
        <w:rPr>
          <w:sz w:val="24"/>
        </w:rPr>
      </w:pPr>
      <w:r>
        <w:rPr>
          <w:spacing w:val="-3"/>
          <w:sz w:val="24"/>
        </w:rPr>
        <w:t>因不可抗力影响承包人履行合同约定的义务，已经引起或将引起工期延误的，应</w:t>
      </w:r>
      <w:r>
        <w:rPr>
          <w:sz w:val="24"/>
        </w:rPr>
        <w:t>当顺延工期，由此导致承包人停工的费用损失由发包人和承包人合理分担，停工期间必须支付的工人工资由发包人承担；</w:t>
      </w:r>
    </w:p>
    <w:p>
      <w:pPr>
        <w:pStyle w:val="16"/>
        <w:numPr>
          <w:ilvl w:val="0"/>
          <w:numId w:val="78"/>
        </w:numPr>
        <w:tabs>
          <w:tab w:val="left" w:pos="1414"/>
        </w:tabs>
        <w:spacing w:before="0" w:after="0" w:line="362" w:lineRule="auto"/>
        <w:ind w:left="388" w:right="744" w:firstLine="424"/>
        <w:jc w:val="left"/>
        <w:rPr>
          <w:sz w:val="24"/>
        </w:rPr>
      </w:pPr>
      <w:r>
        <w:rPr>
          <w:spacing w:val="-3"/>
          <w:sz w:val="24"/>
        </w:rPr>
        <w:t>因不可抗力引起或将引起工期延误，发包人要求赶工的，由此增加的赶工费用由</w:t>
      </w:r>
      <w:r>
        <w:rPr>
          <w:sz w:val="24"/>
        </w:rPr>
        <w:t>发包人承担；</w:t>
      </w:r>
    </w:p>
    <w:p>
      <w:pPr>
        <w:pStyle w:val="16"/>
        <w:numPr>
          <w:ilvl w:val="0"/>
          <w:numId w:val="78"/>
        </w:numPr>
        <w:tabs>
          <w:tab w:val="left" w:pos="1414"/>
        </w:tabs>
        <w:spacing w:before="5" w:after="0" w:line="362" w:lineRule="auto"/>
        <w:ind w:left="812" w:right="732" w:firstLine="0"/>
        <w:jc w:val="left"/>
        <w:rPr>
          <w:sz w:val="24"/>
        </w:rPr>
      </w:pPr>
      <w:r>
        <w:rPr>
          <w:spacing w:val="-1"/>
          <w:sz w:val="24"/>
        </w:rPr>
        <w:t>承包人在停工期间按照发包人要求照管、清理和修复工程的费用由发包人承担。</w:t>
      </w:r>
      <w:r>
        <w:rPr>
          <w:sz w:val="24"/>
        </w:rPr>
        <w:t>不可抗力发生后，合同当事人均应采取措施尽量避免和减少损失的扩大，任何一方当</w:t>
      </w:r>
    </w:p>
    <w:p>
      <w:pPr>
        <w:pStyle w:val="8"/>
        <w:spacing w:before="4"/>
        <w:ind w:left="388"/>
      </w:pPr>
      <w:r>
        <w:t>事人没有采取有效措施导致损失扩大的，应对扩大的损失承担责任。</w:t>
      </w:r>
    </w:p>
    <w:p>
      <w:pPr>
        <w:pStyle w:val="8"/>
        <w:spacing w:before="159"/>
        <w:ind w:left="812"/>
      </w:pPr>
      <w:r>
        <w:t>因合同一方迟延履行合同义务，在迟延履行期间遭遇不可抗力的，不免除其违约责任。</w:t>
      </w:r>
    </w:p>
    <w:p>
      <w:pPr>
        <w:pStyle w:val="16"/>
        <w:numPr>
          <w:ilvl w:val="1"/>
          <w:numId w:val="35"/>
        </w:numPr>
        <w:tabs>
          <w:tab w:val="left" w:pos="1413"/>
        </w:tabs>
        <w:spacing w:before="160" w:after="0" w:line="240" w:lineRule="auto"/>
        <w:ind w:left="1412" w:right="0" w:hanging="601"/>
        <w:jc w:val="left"/>
        <w:rPr>
          <w:sz w:val="24"/>
        </w:rPr>
      </w:pPr>
      <w:r>
        <w:rPr>
          <w:sz w:val="24"/>
        </w:rPr>
        <w:t>因不可抗力解除合同</w:t>
      </w:r>
    </w:p>
    <w:p>
      <w:pPr>
        <w:pStyle w:val="8"/>
        <w:spacing w:before="158"/>
        <w:ind w:left="812"/>
      </w:pPr>
      <w:r>
        <w:t>因不可抗力导致合同无法履行连续超过 84 天或累计超过 140 天的，发包人和承包人均</w:t>
      </w:r>
    </w:p>
    <w:p>
      <w:pPr>
        <w:pStyle w:val="8"/>
        <w:spacing w:before="161" w:line="362" w:lineRule="auto"/>
        <w:ind w:left="388" w:right="798"/>
      </w:pPr>
      <w:r>
        <w:rPr>
          <w:spacing w:val="-3"/>
        </w:rPr>
        <w:t xml:space="preserve">有权解除合同。合同解除后，由双方当事人按照第 </w:t>
      </w:r>
      <w:r>
        <w:t>4.4</w:t>
      </w:r>
      <w:r>
        <w:rPr>
          <w:spacing w:val="-9"/>
        </w:rPr>
        <w:t xml:space="preserve"> 款〔商定或确定〕商定或确定发包</w:t>
      </w:r>
      <w:r>
        <w:t>人应支付的款项，该款项包括：</w:t>
      </w:r>
    </w:p>
    <w:p>
      <w:pPr>
        <w:pStyle w:val="16"/>
        <w:numPr>
          <w:ilvl w:val="0"/>
          <w:numId w:val="79"/>
        </w:numPr>
        <w:tabs>
          <w:tab w:val="left" w:pos="1414"/>
        </w:tabs>
        <w:spacing w:before="5" w:after="0" w:line="240" w:lineRule="auto"/>
        <w:ind w:left="1413" w:right="0" w:hanging="602"/>
        <w:jc w:val="left"/>
        <w:rPr>
          <w:sz w:val="24"/>
        </w:rPr>
      </w:pPr>
      <w:r>
        <w:rPr>
          <w:sz w:val="24"/>
        </w:rPr>
        <w:t>合同解除前承包人已完成工作的价款；</w:t>
      </w:r>
    </w:p>
    <w:p>
      <w:pPr>
        <w:pStyle w:val="16"/>
        <w:numPr>
          <w:ilvl w:val="0"/>
          <w:numId w:val="79"/>
        </w:numPr>
        <w:tabs>
          <w:tab w:val="left" w:pos="1414"/>
        </w:tabs>
        <w:spacing w:before="160" w:after="0" w:line="362" w:lineRule="auto"/>
        <w:ind w:left="388" w:right="744" w:firstLine="424"/>
        <w:jc w:val="left"/>
        <w:rPr>
          <w:sz w:val="24"/>
        </w:rPr>
      </w:pPr>
      <w:r>
        <w:rPr>
          <w:spacing w:val="-3"/>
          <w:sz w:val="24"/>
        </w:rPr>
        <w:t>承包人为工程订购的并已交付给承包人，或承包人有责任接受交付的材料、工程</w:t>
      </w:r>
      <w:r>
        <w:rPr>
          <w:sz w:val="24"/>
        </w:rPr>
        <w:t>设备和其他物品的价款；</w:t>
      </w:r>
    </w:p>
    <w:p>
      <w:pPr>
        <w:pStyle w:val="16"/>
        <w:numPr>
          <w:ilvl w:val="0"/>
          <w:numId w:val="79"/>
        </w:numPr>
        <w:tabs>
          <w:tab w:val="left" w:pos="1414"/>
        </w:tabs>
        <w:spacing w:before="5" w:after="0" w:line="362" w:lineRule="auto"/>
        <w:ind w:left="388" w:right="744" w:firstLine="424"/>
        <w:jc w:val="left"/>
        <w:rPr>
          <w:sz w:val="24"/>
        </w:rPr>
      </w:pPr>
      <w:r>
        <w:rPr>
          <w:spacing w:val="-2"/>
          <w:sz w:val="24"/>
        </w:rPr>
        <w:t>发包人要求承包人退货或解除订货合同而产生的费用，或因不能退货或解除合同</w:t>
      </w:r>
      <w:r>
        <w:rPr>
          <w:sz w:val="24"/>
        </w:rPr>
        <w:t>而产生的损失；</w:t>
      </w:r>
    </w:p>
    <w:p>
      <w:pPr>
        <w:pStyle w:val="16"/>
        <w:numPr>
          <w:ilvl w:val="0"/>
          <w:numId w:val="79"/>
        </w:numPr>
        <w:tabs>
          <w:tab w:val="left" w:pos="1414"/>
        </w:tabs>
        <w:spacing w:before="3" w:after="0" w:line="240" w:lineRule="auto"/>
        <w:ind w:left="1413" w:right="0" w:hanging="602"/>
        <w:jc w:val="left"/>
        <w:rPr>
          <w:sz w:val="24"/>
        </w:rPr>
      </w:pPr>
      <w:r>
        <w:rPr>
          <w:sz w:val="24"/>
        </w:rPr>
        <w:t>承包人撤离施工现场以及遣散承包人人员的费用；</w:t>
      </w:r>
    </w:p>
    <w:p>
      <w:pPr>
        <w:pStyle w:val="16"/>
        <w:numPr>
          <w:ilvl w:val="0"/>
          <w:numId w:val="79"/>
        </w:numPr>
        <w:tabs>
          <w:tab w:val="left" w:pos="1414"/>
        </w:tabs>
        <w:spacing w:before="160" w:after="0" w:line="240" w:lineRule="auto"/>
        <w:ind w:left="1413" w:right="0" w:hanging="602"/>
        <w:jc w:val="left"/>
        <w:rPr>
          <w:sz w:val="24"/>
        </w:rPr>
      </w:pPr>
      <w:r>
        <w:rPr>
          <w:sz w:val="24"/>
        </w:rPr>
        <w:t>按照合同约定在合同解除前应支付给承包人的其他款项；</w:t>
      </w:r>
    </w:p>
    <w:p>
      <w:pPr>
        <w:pStyle w:val="16"/>
        <w:numPr>
          <w:ilvl w:val="0"/>
          <w:numId w:val="79"/>
        </w:numPr>
        <w:tabs>
          <w:tab w:val="left" w:pos="1414"/>
        </w:tabs>
        <w:spacing w:before="161" w:after="0" w:line="240" w:lineRule="auto"/>
        <w:ind w:left="1413" w:right="0" w:hanging="602"/>
        <w:jc w:val="left"/>
        <w:rPr>
          <w:sz w:val="24"/>
        </w:rPr>
      </w:pPr>
      <w:r>
        <w:rPr>
          <w:sz w:val="24"/>
        </w:rPr>
        <w:t>扣减承包人按照合同约定应向发包人支付的款项；</w:t>
      </w:r>
    </w:p>
    <w:p>
      <w:pPr>
        <w:pStyle w:val="16"/>
        <w:numPr>
          <w:ilvl w:val="0"/>
          <w:numId w:val="79"/>
        </w:numPr>
        <w:tabs>
          <w:tab w:val="left" w:pos="1414"/>
        </w:tabs>
        <w:spacing w:before="158" w:after="0" w:line="240" w:lineRule="auto"/>
        <w:ind w:left="1413" w:right="0" w:hanging="602"/>
        <w:jc w:val="left"/>
        <w:rPr>
          <w:sz w:val="24"/>
        </w:rPr>
      </w:pPr>
      <w:r>
        <w:rPr>
          <w:sz w:val="24"/>
        </w:rPr>
        <w:t>双方商定或确定的其他款项。</w:t>
      </w:r>
    </w:p>
    <w:p>
      <w:pPr>
        <w:spacing w:after="0" w:line="240"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46" o:spid="_x0000_s1146" o:spt="20" style="position:absolute;left:0pt;margin-left:62.4pt;margin-top:12.25pt;height:0pt;width:400.4pt;mso-position-horizontal-relative:page;z-index:25178521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2" w:lineRule="auto"/>
        <w:ind w:left="388" w:right="744" w:firstLine="424"/>
      </w:pPr>
      <w:r>
        <w:rPr>
          <w:spacing w:val="-4"/>
        </w:rPr>
        <w:t xml:space="preserve">除专用合同条款另有约定外，合同解除后，发包人应在商定或确定上述款项后 </w:t>
      </w:r>
      <w:r>
        <w:t>28</w:t>
      </w:r>
      <w:r>
        <w:rPr>
          <w:spacing w:val="-26"/>
        </w:rPr>
        <w:t xml:space="preserve"> 天内</w:t>
      </w:r>
      <w:r>
        <w:t>完成上述款项的支付。</w:t>
      </w:r>
    </w:p>
    <w:p>
      <w:pPr>
        <w:pStyle w:val="16"/>
        <w:numPr>
          <w:ilvl w:val="0"/>
          <w:numId w:val="35"/>
        </w:numPr>
        <w:tabs>
          <w:tab w:val="left" w:pos="868"/>
        </w:tabs>
        <w:spacing w:before="5" w:after="0" w:line="240" w:lineRule="auto"/>
        <w:ind w:left="868" w:right="0" w:hanging="480"/>
        <w:jc w:val="left"/>
        <w:outlineLvl w:val="2"/>
        <w:rPr>
          <w:sz w:val="24"/>
        </w:rPr>
      </w:pPr>
      <w:r>
        <w:rPr>
          <w:sz w:val="24"/>
        </w:rPr>
        <w:t>保险</w:t>
      </w:r>
    </w:p>
    <w:p>
      <w:pPr>
        <w:pStyle w:val="16"/>
        <w:numPr>
          <w:ilvl w:val="1"/>
          <w:numId w:val="35"/>
        </w:numPr>
        <w:tabs>
          <w:tab w:val="left" w:pos="1413"/>
        </w:tabs>
        <w:spacing w:before="158" w:after="0" w:line="240" w:lineRule="auto"/>
        <w:ind w:left="1412" w:right="0" w:hanging="601"/>
        <w:jc w:val="left"/>
        <w:rPr>
          <w:sz w:val="24"/>
        </w:rPr>
      </w:pPr>
      <w:r>
        <w:rPr>
          <w:sz w:val="24"/>
        </w:rPr>
        <w:t>工程保险</w:t>
      </w:r>
    </w:p>
    <w:p>
      <w:pPr>
        <w:pStyle w:val="8"/>
        <w:spacing w:before="160" w:line="362" w:lineRule="auto"/>
        <w:ind w:left="388" w:right="852" w:firstLine="424"/>
      </w:pPr>
      <w:r>
        <w:t>除专用合同条款另有约定外，发包人应投保建筑工程一切险或安装工程一切险；发包人委托承包人投保的，因投保产生的保险费和其他相关费用由发包人承担。</w:t>
      </w:r>
    </w:p>
    <w:p>
      <w:pPr>
        <w:pStyle w:val="16"/>
        <w:numPr>
          <w:ilvl w:val="1"/>
          <w:numId w:val="35"/>
        </w:numPr>
        <w:tabs>
          <w:tab w:val="left" w:pos="1413"/>
        </w:tabs>
        <w:spacing w:before="5" w:after="0" w:line="240" w:lineRule="auto"/>
        <w:ind w:left="1412" w:right="0" w:hanging="601"/>
        <w:jc w:val="both"/>
        <w:rPr>
          <w:sz w:val="24"/>
        </w:rPr>
      </w:pPr>
      <w:r>
        <w:rPr>
          <w:sz w:val="24"/>
        </w:rPr>
        <w:t>工伤保险</w:t>
      </w:r>
    </w:p>
    <w:p>
      <w:pPr>
        <w:pStyle w:val="16"/>
        <w:numPr>
          <w:ilvl w:val="2"/>
          <w:numId w:val="35"/>
        </w:numPr>
        <w:tabs>
          <w:tab w:val="left" w:pos="1653"/>
        </w:tabs>
        <w:spacing w:before="161" w:after="0" w:line="362" w:lineRule="auto"/>
        <w:ind w:left="388" w:right="744" w:firstLine="424"/>
        <w:jc w:val="both"/>
        <w:rPr>
          <w:sz w:val="24"/>
        </w:rPr>
      </w:pPr>
      <w:r>
        <w:rPr>
          <w:spacing w:val="-2"/>
          <w:sz w:val="24"/>
        </w:rPr>
        <w:t>发包人应依照法律规定参加工伤保险，并为在施工现场的全部员工办理工伤保</w:t>
      </w:r>
      <w:r>
        <w:rPr>
          <w:sz w:val="24"/>
        </w:rPr>
        <w:t>险，缴纳工伤保险费，并要求监理人及由发包人为履行合同聘请的第三方依法参加工伤保险。</w:t>
      </w:r>
    </w:p>
    <w:p>
      <w:pPr>
        <w:pStyle w:val="16"/>
        <w:numPr>
          <w:ilvl w:val="2"/>
          <w:numId w:val="35"/>
        </w:numPr>
        <w:tabs>
          <w:tab w:val="left" w:pos="1653"/>
        </w:tabs>
        <w:spacing w:before="6" w:after="0" w:line="364" w:lineRule="auto"/>
        <w:ind w:left="388" w:right="744" w:firstLine="424"/>
        <w:jc w:val="both"/>
        <w:rPr>
          <w:sz w:val="24"/>
        </w:rPr>
      </w:pPr>
      <w:r>
        <w:rPr>
          <w:spacing w:val="-2"/>
          <w:sz w:val="24"/>
        </w:rPr>
        <w:t>承包人应依照法律规定参加工伤保险，并为其履行合同的全部员工办理工伤保</w:t>
      </w:r>
      <w:r>
        <w:rPr>
          <w:sz w:val="24"/>
        </w:rPr>
        <w:t>险，缴纳工伤保险费，并要求分包人及由承包人为履行合同聘请的第三方依法参加工伤保险。</w:t>
      </w:r>
    </w:p>
    <w:p>
      <w:pPr>
        <w:pStyle w:val="16"/>
        <w:numPr>
          <w:ilvl w:val="1"/>
          <w:numId w:val="35"/>
        </w:numPr>
        <w:tabs>
          <w:tab w:val="left" w:pos="1353"/>
        </w:tabs>
        <w:spacing w:before="0" w:after="0" w:line="307" w:lineRule="exact"/>
        <w:ind w:left="1352" w:right="0" w:hanging="541"/>
        <w:jc w:val="both"/>
        <w:rPr>
          <w:sz w:val="24"/>
        </w:rPr>
      </w:pPr>
      <w:r>
        <w:rPr>
          <w:sz w:val="24"/>
        </w:rPr>
        <w:t>其他保险</w:t>
      </w:r>
    </w:p>
    <w:p>
      <w:pPr>
        <w:pStyle w:val="8"/>
        <w:spacing w:before="158" w:line="364" w:lineRule="auto"/>
        <w:ind w:left="388" w:right="798" w:firstLine="424"/>
      </w:pPr>
      <w:r>
        <w:t>发包人和承包人可以为其施工现场的全部人员办理意外伤害保险并支付保险费，包括其员工及为履行合同聘请的第三方的人员，具体事项由合同当事人在专用合同条款约定。</w:t>
      </w:r>
    </w:p>
    <w:p>
      <w:pPr>
        <w:pStyle w:val="8"/>
        <w:spacing w:line="306" w:lineRule="exact"/>
        <w:ind w:left="812"/>
      </w:pPr>
      <w:r>
        <w:t>除专用合同条款另有约定外，承包人应为其施工设备等办理财产保险。</w:t>
      </w:r>
    </w:p>
    <w:p>
      <w:pPr>
        <w:pStyle w:val="16"/>
        <w:numPr>
          <w:ilvl w:val="1"/>
          <w:numId w:val="35"/>
        </w:numPr>
        <w:tabs>
          <w:tab w:val="left" w:pos="1353"/>
        </w:tabs>
        <w:spacing w:before="161" w:after="0" w:line="240" w:lineRule="auto"/>
        <w:ind w:left="1352" w:right="0" w:hanging="541"/>
        <w:jc w:val="left"/>
        <w:rPr>
          <w:sz w:val="24"/>
        </w:rPr>
      </w:pPr>
      <w:r>
        <w:rPr>
          <w:sz w:val="24"/>
        </w:rPr>
        <w:t>持续保险</w:t>
      </w:r>
    </w:p>
    <w:p>
      <w:pPr>
        <w:pStyle w:val="8"/>
        <w:spacing w:before="158" w:line="364" w:lineRule="auto"/>
        <w:ind w:left="388" w:right="852" w:firstLine="424"/>
      </w:pPr>
      <w:r>
        <w:t>合同当事人应与保险人保持联系，使保险人能够随时了解工程实施中的变动，并确保按保险合同条款要求持续保险。</w:t>
      </w:r>
    </w:p>
    <w:p>
      <w:pPr>
        <w:pStyle w:val="16"/>
        <w:numPr>
          <w:ilvl w:val="1"/>
          <w:numId w:val="35"/>
        </w:numPr>
        <w:tabs>
          <w:tab w:val="left" w:pos="1413"/>
        </w:tabs>
        <w:spacing w:before="0" w:after="0" w:line="306" w:lineRule="exact"/>
        <w:ind w:left="1412" w:right="0" w:hanging="601"/>
        <w:jc w:val="left"/>
        <w:rPr>
          <w:sz w:val="24"/>
        </w:rPr>
      </w:pPr>
      <w:r>
        <w:rPr>
          <w:sz w:val="24"/>
        </w:rPr>
        <w:t>保险凭证</w:t>
      </w:r>
    </w:p>
    <w:p>
      <w:pPr>
        <w:pStyle w:val="8"/>
        <w:spacing w:before="160"/>
        <w:ind w:left="812"/>
      </w:pPr>
      <w:r>
        <w:t>合同当事人应及时向另一方当事人提交其已投保的各项保险的凭证和保险单复印件。</w:t>
      </w:r>
    </w:p>
    <w:p>
      <w:pPr>
        <w:pStyle w:val="16"/>
        <w:numPr>
          <w:ilvl w:val="1"/>
          <w:numId w:val="35"/>
        </w:numPr>
        <w:tabs>
          <w:tab w:val="left" w:pos="1413"/>
        </w:tabs>
        <w:spacing w:before="161" w:after="0" w:line="240" w:lineRule="auto"/>
        <w:ind w:left="1412" w:right="0" w:hanging="601"/>
        <w:jc w:val="both"/>
        <w:rPr>
          <w:sz w:val="24"/>
        </w:rPr>
      </w:pPr>
      <w:r>
        <w:rPr>
          <w:sz w:val="24"/>
        </w:rPr>
        <w:t>未按约定投保的补救</w:t>
      </w:r>
    </w:p>
    <w:p>
      <w:pPr>
        <w:pStyle w:val="16"/>
        <w:numPr>
          <w:ilvl w:val="2"/>
          <w:numId w:val="35"/>
        </w:numPr>
        <w:tabs>
          <w:tab w:val="left" w:pos="1593"/>
        </w:tabs>
        <w:spacing w:before="158" w:after="0" w:line="364" w:lineRule="auto"/>
        <w:ind w:left="388" w:right="792" w:firstLine="424"/>
        <w:jc w:val="both"/>
        <w:rPr>
          <w:sz w:val="24"/>
        </w:rPr>
      </w:pPr>
      <w:r>
        <w:rPr>
          <w:spacing w:val="-1"/>
          <w:sz w:val="24"/>
        </w:rPr>
        <w:t xml:space="preserve">发包人未按合同约定办理保险，或未能使保险持续有效的，则承包人可代为办理，所需费用由发包人承担。发包人未按合同约定办理保险，导致未能得到足额赔偿的， </w:t>
      </w:r>
      <w:r>
        <w:rPr>
          <w:sz w:val="24"/>
        </w:rPr>
        <w:t>由发包人负责补足。</w:t>
      </w:r>
    </w:p>
    <w:p>
      <w:pPr>
        <w:pStyle w:val="16"/>
        <w:numPr>
          <w:ilvl w:val="2"/>
          <w:numId w:val="35"/>
        </w:numPr>
        <w:tabs>
          <w:tab w:val="left" w:pos="1593"/>
        </w:tabs>
        <w:spacing w:before="0" w:after="0" w:line="364" w:lineRule="auto"/>
        <w:ind w:left="388" w:right="792" w:firstLine="424"/>
        <w:jc w:val="both"/>
        <w:rPr>
          <w:sz w:val="24"/>
        </w:rPr>
      </w:pPr>
      <w:r>
        <w:rPr>
          <w:spacing w:val="-1"/>
          <w:sz w:val="24"/>
        </w:rPr>
        <w:t xml:space="preserve">承包人未按合同约定办理保险，或未能使保险持续有效的，则发包人可代为办理，所需费用由承包人承担。承包人未按合同约定办理保险，导致未能得到足额赔偿的， </w:t>
      </w:r>
      <w:r>
        <w:rPr>
          <w:sz w:val="24"/>
        </w:rPr>
        <w:t>由承包人负责补足。</w:t>
      </w:r>
    </w:p>
    <w:p>
      <w:pPr>
        <w:pStyle w:val="16"/>
        <w:numPr>
          <w:ilvl w:val="1"/>
          <w:numId w:val="35"/>
        </w:numPr>
        <w:tabs>
          <w:tab w:val="left" w:pos="1413"/>
        </w:tabs>
        <w:spacing w:before="0" w:after="0" w:line="307" w:lineRule="exact"/>
        <w:ind w:left="1412" w:right="0" w:hanging="601"/>
        <w:jc w:val="both"/>
        <w:rPr>
          <w:sz w:val="24"/>
        </w:rPr>
      </w:pPr>
      <w:r>
        <w:rPr>
          <w:sz w:val="24"/>
        </w:rPr>
        <w:t>通知义务</w:t>
      </w:r>
    </w:p>
    <w:p>
      <w:pPr>
        <w:spacing w:after="0" w:line="307" w:lineRule="exact"/>
        <w:jc w:val="both"/>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47" o:spid="_x0000_s1147" o:spt="20" style="position:absolute;left:0pt;margin-left:62.4pt;margin-top:12.25pt;height:0pt;width:400.4pt;mso-position-horizontal-relative:page;z-index:25178624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4" w:lineRule="auto"/>
        <w:ind w:left="388" w:right="798" w:firstLine="424"/>
        <w:jc w:val="both"/>
      </w:pPr>
      <w:r>
        <w:t>除专用合同条款另有约定外，发包人变更除工伤保险之外的保险合同时，应事先征得承包人同意，并通知监理人；承包人变更除工伤保险之外的保险合同时，应事先征得发包人同意，并通知监理人。</w:t>
      </w:r>
    </w:p>
    <w:p>
      <w:pPr>
        <w:pStyle w:val="8"/>
        <w:spacing w:line="364" w:lineRule="auto"/>
        <w:ind w:left="388" w:right="852" w:firstLine="424"/>
      </w:pPr>
      <w:r>
        <w:t>保险事故发生时，投保人应按照保险合同规定的条件和期限及时向保险人报告。发包人和承包人应当在知道保险事故发生后及时通知对方。</w:t>
      </w:r>
    </w:p>
    <w:p>
      <w:pPr>
        <w:pStyle w:val="16"/>
        <w:numPr>
          <w:ilvl w:val="0"/>
          <w:numId w:val="35"/>
        </w:numPr>
        <w:tabs>
          <w:tab w:val="left" w:pos="868"/>
        </w:tabs>
        <w:spacing w:before="0" w:after="0" w:line="306" w:lineRule="exact"/>
        <w:ind w:left="868" w:right="0" w:hanging="480"/>
        <w:jc w:val="left"/>
        <w:outlineLvl w:val="2"/>
        <w:rPr>
          <w:sz w:val="24"/>
        </w:rPr>
      </w:pPr>
      <w:r>
        <w:rPr>
          <w:sz w:val="24"/>
        </w:rPr>
        <w:t>索赔</w:t>
      </w:r>
    </w:p>
    <w:p>
      <w:pPr>
        <w:pStyle w:val="16"/>
        <w:numPr>
          <w:ilvl w:val="1"/>
          <w:numId w:val="35"/>
        </w:numPr>
        <w:tabs>
          <w:tab w:val="left" w:pos="1353"/>
        </w:tabs>
        <w:spacing w:before="157" w:after="0" w:line="240" w:lineRule="auto"/>
        <w:ind w:left="1352" w:right="0" w:hanging="541"/>
        <w:jc w:val="left"/>
        <w:rPr>
          <w:sz w:val="24"/>
        </w:rPr>
      </w:pPr>
      <w:r>
        <w:rPr>
          <w:sz w:val="24"/>
        </w:rPr>
        <w:t>承包人的索赔</w:t>
      </w:r>
    </w:p>
    <w:p>
      <w:pPr>
        <w:pStyle w:val="8"/>
        <w:spacing w:before="161" w:line="362" w:lineRule="auto"/>
        <w:ind w:left="388" w:right="852" w:firstLine="424"/>
      </w:pPr>
      <w:r>
        <w:t>根据合同约定，承包人认为有权得到追加付款和（或）延长工期的，应按以下程序向发包人提出索赔：</w:t>
      </w:r>
    </w:p>
    <w:p>
      <w:pPr>
        <w:pStyle w:val="16"/>
        <w:numPr>
          <w:ilvl w:val="0"/>
          <w:numId w:val="80"/>
        </w:numPr>
        <w:tabs>
          <w:tab w:val="left" w:pos="1414"/>
        </w:tabs>
        <w:spacing w:before="2" w:after="0" w:line="240" w:lineRule="auto"/>
        <w:ind w:left="1413" w:right="0" w:hanging="602"/>
        <w:jc w:val="left"/>
        <w:rPr>
          <w:sz w:val="24"/>
        </w:rPr>
      </w:pPr>
      <w:r>
        <w:rPr>
          <w:spacing w:val="-3"/>
          <w:sz w:val="24"/>
        </w:rPr>
        <w:t xml:space="preserve">承包人应在知道或应当知道索赔事件发生后 </w:t>
      </w:r>
      <w:r>
        <w:rPr>
          <w:sz w:val="24"/>
        </w:rPr>
        <w:t>28</w:t>
      </w:r>
      <w:r>
        <w:rPr>
          <w:spacing w:val="-8"/>
          <w:sz w:val="24"/>
        </w:rPr>
        <w:t xml:space="preserve"> 天内，向监理人递交索赔意向通</w:t>
      </w:r>
    </w:p>
    <w:p>
      <w:pPr>
        <w:pStyle w:val="8"/>
        <w:spacing w:before="161" w:line="364" w:lineRule="auto"/>
        <w:ind w:left="388" w:right="744"/>
      </w:pPr>
      <w:r>
        <w:rPr>
          <w:spacing w:val="-10"/>
        </w:rPr>
        <w:t xml:space="preserve">知书，并说明发生索赔事件的事由；承包人未在前述 </w:t>
      </w:r>
      <w:r>
        <w:t>28</w:t>
      </w:r>
      <w:r>
        <w:rPr>
          <w:spacing w:val="-10"/>
        </w:rPr>
        <w:t xml:space="preserve"> 天内发出索赔意向通知书的，丧失</w:t>
      </w:r>
      <w:r>
        <w:t>要求追加付款和（或）延长工期的权利；</w:t>
      </w:r>
    </w:p>
    <w:p>
      <w:pPr>
        <w:pStyle w:val="16"/>
        <w:numPr>
          <w:ilvl w:val="0"/>
          <w:numId w:val="80"/>
        </w:numPr>
        <w:tabs>
          <w:tab w:val="left" w:pos="1414"/>
        </w:tabs>
        <w:spacing w:before="0" w:after="0" w:line="364" w:lineRule="auto"/>
        <w:ind w:left="388" w:right="798" w:firstLine="424"/>
        <w:jc w:val="both"/>
        <w:rPr>
          <w:sz w:val="24"/>
        </w:rPr>
      </w:pPr>
      <w:r>
        <w:rPr>
          <w:spacing w:val="-4"/>
          <w:sz w:val="24"/>
        </w:rPr>
        <w:t xml:space="preserve">承包人应在发出索赔意向通知书后 </w:t>
      </w:r>
      <w:r>
        <w:rPr>
          <w:sz w:val="24"/>
        </w:rPr>
        <w:t>28</w:t>
      </w:r>
      <w:r>
        <w:rPr>
          <w:spacing w:val="-8"/>
          <w:sz w:val="24"/>
        </w:rPr>
        <w:t xml:space="preserve"> 天内，向监理人正式递交索赔报告；索赔报告应详细说明索赔理由以及要求追加的付款金额和（或）</w:t>
      </w:r>
      <w:r>
        <w:rPr>
          <w:spacing w:val="-9"/>
          <w:sz w:val="24"/>
        </w:rPr>
        <w:t>延长的工期，并附必要的记录</w:t>
      </w:r>
      <w:r>
        <w:rPr>
          <w:sz w:val="24"/>
        </w:rPr>
        <w:t>和证明材料；</w:t>
      </w:r>
    </w:p>
    <w:p>
      <w:pPr>
        <w:pStyle w:val="16"/>
        <w:numPr>
          <w:ilvl w:val="0"/>
          <w:numId w:val="80"/>
        </w:numPr>
        <w:tabs>
          <w:tab w:val="left" w:pos="1414"/>
        </w:tabs>
        <w:spacing w:before="0" w:after="0" w:line="362" w:lineRule="auto"/>
        <w:ind w:left="388" w:right="744" w:firstLine="424"/>
        <w:jc w:val="left"/>
        <w:rPr>
          <w:sz w:val="24"/>
        </w:rPr>
      </w:pPr>
      <w:r>
        <w:rPr>
          <w:spacing w:val="-3"/>
          <w:sz w:val="24"/>
        </w:rPr>
        <w:t>索赔事件具有持续影响的，承包人应按合理时间间隔继续递交延续索赔通知，说</w:t>
      </w:r>
      <w:r>
        <w:rPr>
          <w:sz w:val="24"/>
        </w:rPr>
        <w:t>明持续影响的实际情况和记录，列出累计的追加付款金额和（或）工期延长天数；</w:t>
      </w:r>
    </w:p>
    <w:p>
      <w:pPr>
        <w:pStyle w:val="16"/>
        <w:numPr>
          <w:ilvl w:val="0"/>
          <w:numId w:val="80"/>
        </w:numPr>
        <w:tabs>
          <w:tab w:val="left" w:pos="1414"/>
        </w:tabs>
        <w:spacing w:before="3" w:after="0" w:line="362" w:lineRule="auto"/>
        <w:ind w:left="388" w:right="852" w:firstLine="424"/>
        <w:jc w:val="left"/>
        <w:rPr>
          <w:sz w:val="24"/>
        </w:rPr>
      </w:pPr>
      <w:r>
        <w:rPr>
          <w:spacing w:val="-6"/>
          <w:sz w:val="24"/>
        </w:rPr>
        <w:t xml:space="preserve">在索赔事件影响结束后 </w:t>
      </w:r>
      <w:r>
        <w:rPr>
          <w:sz w:val="24"/>
        </w:rPr>
        <w:t>28</w:t>
      </w:r>
      <w:r>
        <w:rPr>
          <w:spacing w:val="-9"/>
          <w:sz w:val="24"/>
        </w:rPr>
        <w:t xml:space="preserve"> 天内，承包人应向监理人递交最终索赔报告，说明最</w:t>
      </w:r>
      <w:r>
        <w:rPr>
          <w:sz w:val="24"/>
        </w:rPr>
        <w:t>终要求索赔的追加付款金额和（或）延长的工期，并附必要的记录和证明材料。</w:t>
      </w:r>
    </w:p>
    <w:p>
      <w:pPr>
        <w:pStyle w:val="16"/>
        <w:numPr>
          <w:ilvl w:val="1"/>
          <w:numId w:val="35"/>
        </w:numPr>
        <w:tabs>
          <w:tab w:val="left" w:pos="1413"/>
        </w:tabs>
        <w:spacing w:before="5" w:after="0" w:line="362" w:lineRule="auto"/>
        <w:ind w:left="812" w:right="6852" w:firstLine="0"/>
        <w:jc w:val="left"/>
        <w:rPr>
          <w:sz w:val="24"/>
        </w:rPr>
      </w:pPr>
      <w:r>
        <w:rPr>
          <w:sz w:val="24"/>
        </w:rPr>
        <w:t>对承包人索赔的处理</w:t>
      </w:r>
      <w:r>
        <w:rPr>
          <w:spacing w:val="-2"/>
          <w:sz w:val="24"/>
        </w:rPr>
        <w:t>对承包人索赔的处理如下：</w:t>
      </w:r>
    </w:p>
    <w:p>
      <w:pPr>
        <w:pStyle w:val="16"/>
        <w:numPr>
          <w:ilvl w:val="0"/>
          <w:numId w:val="81"/>
        </w:numPr>
        <w:tabs>
          <w:tab w:val="left" w:pos="1414"/>
        </w:tabs>
        <w:spacing w:before="5" w:after="0" w:line="364" w:lineRule="auto"/>
        <w:ind w:left="388" w:right="852" w:firstLine="424"/>
        <w:jc w:val="both"/>
        <w:rPr>
          <w:sz w:val="24"/>
        </w:rPr>
      </w:pPr>
      <w:r>
        <w:rPr>
          <w:spacing w:val="-5"/>
          <w:sz w:val="24"/>
        </w:rPr>
        <w:t xml:space="preserve">监理人应在收到索赔报告后 </w:t>
      </w:r>
      <w:r>
        <w:rPr>
          <w:sz w:val="24"/>
        </w:rPr>
        <w:t>14</w:t>
      </w:r>
      <w:r>
        <w:rPr>
          <w:spacing w:val="-9"/>
          <w:sz w:val="24"/>
        </w:rPr>
        <w:t xml:space="preserve"> 天内完成审查并报送发包人。监理人对索赔报告</w:t>
      </w:r>
      <w:r>
        <w:rPr>
          <w:sz w:val="24"/>
        </w:rPr>
        <w:t>存在异议的，有权要求承包人提交全部原始记录副本；</w:t>
      </w:r>
    </w:p>
    <w:p>
      <w:pPr>
        <w:pStyle w:val="16"/>
        <w:numPr>
          <w:ilvl w:val="0"/>
          <w:numId w:val="81"/>
        </w:numPr>
        <w:tabs>
          <w:tab w:val="left" w:pos="1414"/>
        </w:tabs>
        <w:spacing w:before="0" w:after="0" w:line="364" w:lineRule="auto"/>
        <w:ind w:left="388" w:right="798" w:firstLine="424"/>
        <w:jc w:val="both"/>
        <w:rPr>
          <w:sz w:val="24"/>
        </w:rPr>
      </w:pPr>
      <w:r>
        <w:rPr>
          <w:spacing w:val="-2"/>
          <w:sz w:val="24"/>
        </w:rPr>
        <w:t xml:space="preserve">发包人应在监理人收到索赔报告或有关索赔的进一步证明材料后的 </w:t>
      </w:r>
      <w:r>
        <w:rPr>
          <w:sz w:val="24"/>
        </w:rPr>
        <w:t>28</w:t>
      </w:r>
      <w:r>
        <w:rPr>
          <w:spacing w:val="-12"/>
          <w:sz w:val="24"/>
        </w:rPr>
        <w:t xml:space="preserve"> 天内，由</w:t>
      </w:r>
      <w:r>
        <w:rPr>
          <w:spacing w:val="-13"/>
          <w:sz w:val="24"/>
        </w:rPr>
        <w:t>监理人向承包人出具经发包人签认的索赔处理结果。发包人逾期答复的，则视为认可承包</w:t>
      </w:r>
      <w:r>
        <w:rPr>
          <w:sz w:val="24"/>
        </w:rPr>
        <w:t>人的索赔要求；</w:t>
      </w:r>
    </w:p>
    <w:p>
      <w:pPr>
        <w:pStyle w:val="16"/>
        <w:numPr>
          <w:ilvl w:val="0"/>
          <w:numId w:val="81"/>
        </w:numPr>
        <w:tabs>
          <w:tab w:val="left" w:pos="1414"/>
        </w:tabs>
        <w:spacing w:before="0" w:after="0" w:line="364" w:lineRule="auto"/>
        <w:ind w:left="388" w:right="744" w:firstLine="424"/>
        <w:jc w:val="both"/>
        <w:rPr>
          <w:sz w:val="24"/>
        </w:rPr>
      </w:pPr>
      <w:r>
        <w:rPr>
          <w:spacing w:val="-3"/>
          <w:sz w:val="24"/>
        </w:rPr>
        <w:t>承包人接受索赔处理结果的，索赔款项在当期进度款中进行支付；承包人不接受</w:t>
      </w:r>
      <w:r>
        <w:rPr>
          <w:spacing w:val="-5"/>
          <w:sz w:val="24"/>
        </w:rPr>
        <w:t xml:space="preserve">索赔处理结果的，按照第 </w:t>
      </w:r>
      <w:r>
        <w:rPr>
          <w:sz w:val="24"/>
        </w:rPr>
        <w:t>20</w:t>
      </w:r>
      <w:r>
        <w:rPr>
          <w:spacing w:val="-8"/>
          <w:sz w:val="24"/>
        </w:rPr>
        <w:t xml:space="preserve"> 条〔争议解决〕约定处理。</w:t>
      </w:r>
    </w:p>
    <w:p>
      <w:pPr>
        <w:pStyle w:val="16"/>
        <w:numPr>
          <w:ilvl w:val="1"/>
          <w:numId w:val="35"/>
        </w:numPr>
        <w:tabs>
          <w:tab w:val="left" w:pos="1353"/>
        </w:tabs>
        <w:spacing w:before="0" w:after="0" w:line="240" w:lineRule="auto"/>
        <w:ind w:left="1352" w:right="0" w:hanging="541"/>
        <w:jc w:val="both"/>
        <w:rPr>
          <w:sz w:val="24"/>
        </w:rPr>
      </w:pPr>
      <w:r>
        <w:rPr>
          <w:sz w:val="24"/>
        </w:rPr>
        <w:t>发包人的索赔</w:t>
      </w:r>
    </w:p>
    <w:p>
      <w:pPr>
        <w:spacing w:after="0" w:line="240" w:lineRule="auto"/>
        <w:jc w:val="both"/>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48" o:spid="_x0000_s1148" o:spt="20" style="position:absolute;left:0pt;margin-left:62.4pt;margin-top:12.25pt;height:0pt;width:400.4pt;mso-position-horizontal-relative:page;z-index:25178726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2" w:lineRule="auto"/>
        <w:ind w:left="388" w:right="852" w:firstLine="424"/>
      </w:pPr>
      <w:r>
        <w:t>根据合同约定，发包人认为有权得到赔付金额和（或）延长缺陷责任期的，监理人应向承包人发出通知并附有详细的证明。</w:t>
      </w:r>
    </w:p>
    <w:p>
      <w:pPr>
        <w:pStyle w:val="8"/>
        <w:spacing w:before="5"/>
        <w:ind w:left="812"/>
      </w:pPr>
      <w:r>
        <w:rPr>
          <w:spacing w:val="-4"/>
        </w:rPr>
        <w:t xml:space="preserve">发包人应在知道或应当知道索赔事件发生后 </w:t>
      </w:r>
      <w:r>
        <w:t>28</w:t>
      </w:r>
      <w:r>
        <w:rPr>
          <w:spacing w:val="-9"/>
        </w:rPr>
        <w:t xml:space="preserve"> 天内通过监理人向承包人提出索赔意向</w:t>
      </w:r>
    </w:p>
    <w:p>
      <w:pPr>
        <w:pStyle w:val="8"/>
        <w:spacing w:before="158"/>
        <w:ind w:left="388"/>
      </w:pPr>
      <w:r>
        <w:rPr>
          <w:spacing w:val="-9"/>
        </w:rPr>
        <w:t xml:space="preserve">通知书，发包人未在前述 </w:t>
      </w:r>
      <w:r>
        <w:t>28</w:t>
      </w:r>
      <w:r>
        <w:rPr>
          <w:spacing w:val="-10"/>
        </w:rPr>
        <w:t xml:space="preserve"> 天内发出索赔意向通知书的，丧失要求赔付金额和</w:t>
      </w:r>
      <w:r>
        <w:rPr>
          <w:spacing w:val="-3"/>
        </w:rPr>
        <w:t>（</w:t>
      </w:r>
      <w:r>
        <w:t>或</w:t>
      </w:r>
      <w:r>
        <w:rPr>
          <w:spacing w:val="-15"/>
        </w:rPr>
        <w:t>）</w:t>
      </w:r>
      <w:r>
        <w:t>延长</w:t>
      </w:r>
    </w:p>
    <w:p>
      <w:pPr>
        <w:pStyle w:val="8"/>
        <w:spacing w:before="160" w:line="362" w:lineRule="auto"/>
        <w:ind w:left="388" w:right="744"/>
      </w:pPr>
      <w:r>
        <w:rPr>
          <w:spacing w:val="-7"/>
        </w:rPr>
        <w:t xml:space="preserve">缺陷责任期的权利。发包人应在发出索赔意向通知书后 </w:t>
      </w:r>
      <w:r>
        <w:t>28</w:t>
      </w:r>
      <w:r>
        <w:rPr>
          <w:spacing w:val="-11"/>
        </w:rPr>
        <w:t xml:space="preserve"> 天内，通过监理人向承包人正式</w:t>
      </w:r>
      <w:r>
        <w:t>递交索赔报告。</w:t>
      </w:r>
    </w:p>
    <w:p>
      <w:pPr>
        <w:pStyle w:val="16"/>
        <w:numPr>
          <w:ilvl w:val="1"/>
          <w:numId w:val="35"/>
        </w:numPr>
        <w:tabs>
          <w:tab w:val="left" w:pos="1413"/>
        </w:tabs>
        <w:spacing w:before="5" w:after="0" w:line="364" w:lineRule="auto"/>
        <w:ind w:left="812" w:right="6852" w:firstLine="0"/>
        <w:jc w:val="left"/>
        <w:rPr>
          <w:sz w:val="24"/>
        </w:rPr>
      </w:pPr>
      <w:r>
        <w:rPr>
          <w:sz w:val="24"/>
        </w:rPr>
        <w:t>对发包人索赔的处理</w:t>
      </w:r>
      <w:r>
        <w:rPr>
          <w:spacing w:val="-2"/>
          <w:sz w:val="24"/>
        </w:rPr>
        <w:t>对发包人索赔的处理如下：</w:t>
      </w:r>
    </w:p>
    <w:p>
      <w:pPr>
        <w:pStyle w:val="16"/>
        <w:numPr>
          <w:ilvl w:val="0"/>
          <w:numId w:val="82"/>
        </w:numPr>
        <w:tabs>
          <w:tab w:val="left" w:pos="1414"/>
        </w:tabs>
        <w:spacing w:before="0" w:after="0" w:line="362" w:lineRule="auto"/>
        <w:ind w:left="388" w:right="744" w:firstLine="424"/>
        <w:jc w:val="left"/>
        <w:rPr>
          <w:sz w:val="24"/>
        </w:rPr>
      </w:pPr>
      <w:r>
        <w:rPr>
          <w:spacing w:val="-3"/>
          <w:sz w:val="24"/>
        </w:rPr>
        <w:t>承包人收到发包人提交的索赔报告后，应及时审查索赔报告的内容、查验发包人</w:t>
      </w:r>
      <w:r>
        <w:rPr>
          <w:sz w:val="24"/>
        </w:rPr>
        <w:t>证明材料；</w:t>
      </w:r>
    </w:p>
    <w:p>
      <w:pPr>
        <w:pStyle w:val="16"/>
        <w:numPr>
          <w:ilvl w:val="0"/>
          <w:numId w:val="82"/>
        </w:numPr>
        <w:tabs>
          <w:tab w:val="left" w:pos="1414"/>
        </w:tabs>
        <w:spacing w:before="4" w:after="0" w:line="364" w:lineRule="auto"/>
        <w:ind w:left="388" w:right="798" w:firstLine="424"/>
        <w:jc w:val="both"/>
        <w:rPr>
          <w:sz w:val="24"/>
        </w:rPr>
      </w:pPr>
      <w:r>
        <w:rPr>
          <w:spacing w:val="-3"/>
          <w:sz w:val="24"/>
        </w:rPr>
        <w:t xml:space="preserve">承包人应在收到索赔报告或有关索赔的进一步证明材料后 </w:t>
      </w:r>
      <w:r>
        <w:rPr>
          <w:sz w:val="24"/>
        </w:rPr>
        <w:t>28</w:t>
      </w:r>
      <w:r>
        <w:rPr>
          <w:spacing w:val="-8"/>
          <w:sz w:val="24"/>
        </w:rPr>
        <w:t xml:space="preserve"> 天内，将索赔处理</w:t>
      </w:r>
      <w:r>
        <w:rPr>
          <w:spacing w:val="-9"/>
          <w:sz w:val="24"/>
        </w:rPr>
        <w:t>结果答复发包人。如果承包人未在上述期限内作出答复的，则视为对发包人索赔要求的认</w:t>
      </w:r>
      <w:r>
        <w:rPr>
          <w:sz w:val="24"/>
        </w:rPr>
        <w:t>可；</w:t>
      </w:r>
    </w:p>
    <w:p>
      <w:pPr>
        <w:pStyle w:val="16"/>
        <w:numPr>
          <w:ilvl w:val="0"/>
          <w:numId w:val="82"/>
        </w:numPr>
        <w:tabs>
          <w:tab w:val="left" w:pos="1414"/>
        </w:tabs>
        <w:spacing w:before="0" w:after="0" w:line="364" w:lineRule="auto"/>
        <w:ind w:left="388" w:right="744" w:firstLine="424"/>
        <w:jc w:val="both"/>
        <w:rPr>
          <w:sz w:val="24"/>
        </w:rPr>
      </w:pPr>
      <w:r>
        <w:rPr>
          <w:spacing w:val="-2"/>
          <w:sz w:val="24"/>
        </w:rPr>
        <w:t>承包人接受索赔处理结果的，发包人可从应支付给承包人的合同价款中扣除赔付</w:t>
      </w:r>
      <w:r>
        <w:rPr>
          <w:spacing w:val="-5"/>
          <w:sz w:val="24"/>
        </w:rPr>
        <w:t xml:space="preserve">的金额或延长缺陷责任期；发包人不接受索赔处理结果的，按第 </w:t>
      </w:r>
      <w:r>
        <w:rPr>
          <w:sz w:val="24"/>
        </w:rPr>
        <w:t>20</w:t>
      </w:r>
      <w:r>
        <w:rPr>
          <w:spacing w:val="-13"/>
          <w:sz w:val="24"/>
        </w:rPr>
        <w:t xml:space="preserve"> 条〔争议解决〕约定处</w:t>
      </w:r>
      <w:r>
        <w:rPr>
          <w:sz w:val="24"/>
        </w:rPr>
        <w:t>理。</w:t>
      </w:r>
    </w:p>
    <w:p>
      <w:pPr>
        <w:pStyle w:val="16"/>
        <w:numPr>
          <w:ilvl w:val="1"/>
          <w:numId w:val="35"/>
        </w:numPr>
        <w:tabs>
          <w:tab w:val="left" w:pos="1413"/>
        </w:tabs>
        <w:spacing w:before="0" w:after="0" w:line="305" w:lineRule="exact"/>
        <w:ind w:left="1412" w:right="0" w:hanging="601"/>
        <w:jc w:val="both"/>
        <w:rPr>
          <w:sz w:val="24"/>
        </w:rPr>
      </w:pPr>
      <w:r>
        <w:rPr>
          <w:sz w:val="24"/>
        </w:rPr>
        <w:t>提出索赔的期限</w:t>
      </w:r>
    </w:p>
    <w:p>
      <w:pPr>
        <w:pStyle w:val="16"/>
        <w:numPr>
          <w:ilvl w:val="0"/>
          <w:numId w:val="83"/>
        </w:numPr>
        <w:tabs>
          <w:tab w:val="left" w:pos="1414"/>
        </w:tabs>
        <w:spacing w:before="160" w:after="0" w:line="362" w:lineRule="auto"/>
        <w:ind w:left="388" w:right="852" w:firstLine="424"/>
        <w:jc w:val="both"/>
        <w:rPr>
          <w:sz w:val="24"/>
        </w:rPr>
      </w:pPr>
      <w:r>
        <w:rPr>
          <w:spacing w:val="-10"/>
          <w:sz w:val="24"/>
        </w:rPr>
        <w:t xml:space="preserve">承包人按第 </w:t>
      </w:r>
      <w:r>
        <w:rPr>
          <w:sz w:val="24"/>
        </w:rPr>
        <w:t>14.2</w:t>
      </w:r>
      <w:r>
        <w:rPr>
          <w:spacing w:val="-9"/>
          <w:sz w:val="24"/>
        </w:rPr>
        <w:t xml:space="preserve"> 款〔竣工结算审核〕约定接收竣工付款证书后，应被视为已无</w:t>
      </w:r>
      <w:r>
        <w:rPr>
          <w:sz w:val="24"/>
        </w:rPr>
        <w:t>权再提出在工程接收证书颁发前所发生的任何索赔。</w:t>
      </w:r>
    </w:p>
    <w:p>
      <w:pPr>
        <w:pStyle w:val="16"/>
        <w:numPr>
          <w:ilvl w:val="0"/>
          <w:numId w:val="83"/>
        </w:numPr>
        <w:tabs>
          <w:tab w:val="left" w:pos="1414"/>
        </w:tabs>
        <w:spacing w:before="5" w:after="0" w:line="362" w:lineRule="auto"/>
        <w:ind w:left="388" w:right="852" w:firstLine="424"/>
        <w:jc w:val="both"/>
        <w:rPr>
          <w:sz w:val="24"/>
        </w:rPr>
      </w:pPr>
      <w:r>
        <w:rPr>
          <w:spacing w:val="-10"/>
          <w:sz w:val="24"/>
        </w:rPr>
        <w:t xml:space="preserve">承包人按第 </w:t>
      </w:r>
      <w:r>
        <w:rPr>
          <w:sz w:val="24"/>
        </w:rPr>
        <w:t>14.4</w:t>
      </w:r>
      <w:r>
        <w:rPr>
          <w:spacing w:val="-9"/>
          <w:sz w:val="24"/>
        </w:rPr>
        <w:t xml:space="preserve"> 款〔最终结清〕提交的最终结清申请单中，只限于提出工程接</w:t>
      </w:r>
      <w:r>
        <w:rPr>
          <w:sz w:val="24"/>
        </w:rPr>
        <w:t>收证书颁发后发生的索赔。提出索赔的期限自接受最终结清证书时终止。</w:t>
      </w:r>
    </w:p>
    <w:p>
      <w:pPr>
        <w:pStyle w:val="16"/>
        <w:numPr>
          <w:ilvl w:val="0"/>
          <w:numId w:val="35"/>
        </w:numPr>
        <w:tabs>
          <w:tab w:val="left" w:pos="868"/>
        </w:tabs>
        <w:spacing w:before="5" w:after="0" w:line="240" w:lineRule="auto"/>
        <w:ind w:left="868" w:right="0" w:hanging="480"/>
        <w:jc w:val="both"/>
        <w:outlineLvl w:val="2"/>
        <w:rPr>
          <w:sz w:val="24"/>
        </w:rPr>
      </w:pPr>
      <w:r>
        <w:rPr>
          <w:sz w:val="24"/>
        </w:rPr>
        <w:t>争议解决</w:t>
      </w:r>
    </w:p>
    <w:p>
      <w:pPr>
        <w:pStyle w:val="16"/>
        <w:numPr>
          <w:ilvl w:val="1"/>
          <w:numId w:val="35"/>
        </w:numPr>
        <w:tabs>
          <w:tab w:val="left" w:pos="1353"/>
        </w:tabs>
        <w:spacing w:before="160" w:after="0" w:line="240" w:lineRule="auto"/>
        <w:ind w:left="1352" w:right="0" w:hanging="541"/>
        <w:jc w:val="left"/>
        <w:rPr>
          <w:sz w:val="24"/>
        </w:rPr>
      </w:pPr>
      <w:r>
        <w:rPr>
          <w:sz w:val="24"/>
        </w:rPr>
        <w:t>和解</w:t>
      </w:r>
    </w:p>
    <w:p>
      <w:pPr>
        <w:pStyle w:val="8"/>
        <w:spacing w:before="158" w:line="364" w:lineRule="auto"/>
        <w:ind w:left="388" w:right="852" w:firstLine="424"/>
      </w:pPr>
      <w:r>
        <w:t>合同当事人可以就争议自行和解，自行和解达成协议的经双方签字并盖章后作为合同补充文件，双方均应遵照执行。</w:t>
      </w:r>
    </w:p>
    <w:p>
      <w:pPr>
        <w:pStyle w:val="16"/>
        <w:numPr>
          <w:ilvl w:val="1"/>
          <w:numId w:val="35"/>
        </w:numPr>
        <w:tabs>
          <w:tab w:val="left" w:pos="1353"/>
        </w:tabs>
        <w:spacing w:before="0" w:after="0" w:line="306" w:lineRule="exact"/>
        <w:ind w:left="1352" w:right="0" w:hanging="541"/>
        <w:jc w:val="left"/>
        <w:rPr>
          <w:sz w:val="24"/>
        </w:rPr>
      </w:pPr>
      <w:r>
        <w:rPr>
          <w:sz w:val="24"/>
        </w:rPr>
        <w:t>调解</w:t>
      </w:r>
    </w:p>
    <w:p>
      <w:pPr>
        <w:pStyle w:val="8"/>
        <w:spacing w:before="159" w:line="364" w:lineRule="auto"/>
        <w:ind w:left="388" w:right="852" w:firstLine="424"/>
      </w:pPr>
      <w:r>
        <w:t>合同当事人可以就争议请求建设行政主管部门、行业协会或其他第三方进行调解，调解达成协议的，经双方签字并盖章后作为合同补充文件，双方均应遵照执行。</w:t>
      </w:r>
    </w:p>
    <w:p>
      <w:pPr>
        <w:pStyle w:val="16"/>
        <w:numPr>
          <w:ilvl w:val="1"/>
          <w:numId w:val="35"/>
        </w:numPr>
        <w:tabs>
          <w:tab w:val="left" w:pos="1353"/>
        </w:tabs>
        <w:spacing w:before="1" w:after="0" w:line="240" w:lineRule="auto"/>
        <w:ind w:left="1352" w:right="0" w:hanging="541"/>
        <w:jc w:val="left"/>
        <w:rPr>
          <w:sz w:val="24"/>
        </w:rPr>
      </w:pPr>
      <w:r>
        <w:rPr>
          <w:sz w:val="24"/>
        </w:rPr>
        <w:t>争议评审</w:t>
      </w:r>
    </w:p>
    <w:p>
      <w:pPr>
        <w:spacing w:after="0" w:line="240"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49" o:spid="_x0000_s1149" o:spt="20" style="position:absolute;left:0pt;margin-left:62.4pt;margin-top:12.25pt;height:0pt;width:400.4pt;mso-position-horizontal-relative:page;z-index:251788288;mso-width-relative:page;mso-height-relative:page;" stroked="t" coordsize="21600,21600">
            <v:path arrowok="t"/>
            <v:fill focussize="0,0"/>
            <v:stroke weight="0.36pt" color="#000000"/>
            <v:imagedata o:title=""/>
            <o:lock v:ext="edit"/>
          </v:line>
        </w:pict>
      </w:r>
      <w:bookmarkStart w:id="123" w:name="第三部分 专用合同条款"/>
      <w:bookmarkEnd w:id="123"/>
      <w:r>
        <w:rPr>
          <w:rFonts w:hint="eastAsia"/>
          <w:sz w:val="18"/>
          <w:lang w:eastAsia="zh-CN"/>
        </w:rPr>
        <w:t xml:space="preserve"> </w:t>
      </w:r>
    </w:p>
    <w:p>
      <w:pPr>
        <w:pStyle w:val="8"/>
        <w:spacing w:before="6"/>
        <w:rPr>
          <w:sz w:val="25"/>
        </w:rPr>
      </w:pPr>
    </w:p>
    <w:p>
      <w:pPr>
        <w:pStyle w:val="8"/>
        <w:spacing w:before="67" w:line="362" w:lineRule="auto"/>
        <w:ind w:left="388" w:right="852" w:firstLine="424"/>
      </w:pPr>
      <w:r>
        <w:t>合同当事人在专用合同条款中约定采取争议评审方式解决争议以及评审规则，并按下列约定执行：</w:t>
      </w:r>
    </w:p>
    <w:p>
      <w:pPr>
        <w:pStyle w:val="16"/>
        <w:numPr>
          <w:ilvl w:val="2"/>
          <w:numId w:val="35"/>
        </w:numPr>
        <w:tabs>
          <w:tab w:val="left" w:pos="1653"/>
        </w:tabs>
        <w:spacing w:before="5" w:after="0" w:line="240" w:lineRule="auto"/>
        <w:ind w:left="1652" w:right="0" w:hanging="841"/>
        <w:jc w:val="left"/>
        <w:rPr>
          <w:sz w:val="24"/>
        </w:rPr>
      </w:pPr>
      <w:r>
        <w:rPr>
          <w:sz w:val="24"/>
        </w:rPr>
        <w:t>争议评审小组的确定</w:t>
      </w:r>
    </w:p>
    <w:p>
      <w:pPr>
        <w:pStyle w:val="8"/>
        <w:spacing w:before="158" w:line="364" w:lineRule="auto"/>
        <w:ind w:left="388" w:right="798" w:firstLine="424"/>
        <w:jc w:val="both"/>
      </w:pPr>
      <w:r>
        <w:t>合同当事人可以共同选择一名或三名争议评审员，组成争议评审小组。除专用合同条</w:t>
      </w:r>
      <w:r>
        <w:rPr>
          <w:spacing w:val="-3"/>
        </w:rPr>
        <w:t xml:space="preserve">款另有约定外，合同当事人应当自合同签订后 </w:t>
      </w:r>
      <w:r>
        <w:t>28</w:t>
      </w:r>
      <w:r>
        <w:rPr>
          <w:spacing w:val="-13"/>
        </w:rPr>
        <w:t xml:space="preserve"> 天内，或者争议发生后 </w:t>
      </w:r>
      <w:r>
        <w:t>14</w:t>
      </w:r>
      <w:r>
        <w:rPr>
          <w:spacing w:val="-12"/>
        </w:rPr>
        <w:t xml:space="preserve"> 天内，选定争</w:t>
      </w:r>
      <w:r>
        <w:t>议评审员。</w:t>
      </w:r>
    </w:p>
    <w:p>
      <w:pPr>
        <w:pStyle w:val="8"/>
        <w:spacing w:line="364" w:lineRule="auto"/>
        <w:ind w:left="388" w:right="798" w:firstLine="424"/>
        <w:jc w:val="both"/>
      </w:pPr>
      <w: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w:t>
      </w:r>
    </w:p>
    <w:p>
      <w:pPr>
        <w:pStyle w:val="8"/>
        <w:spacing w:line="305" w:lineRule="exact"/>
        <w:ind w:left="812"/>
      </w:pPr>
      <w:r>
        <w:t>除专用合同条款另有约定外，评审员报酬由发包人和承包人各承担一半。</w:t>
      </w:r>
    </w:p>
    <w:p>
      <w:pPr>
        <w:pStyle w:val="16"/>
        <w:numPr>
          <w:ilvl w:val="2"/>
          <w:numId w:val="35"/>
        </w:numPr>
        <w:tabs>
          <w:tab w:val="left" w:pos="1653"/>
        </w:tabs>
        <w:spacing w:before="160" w:after="0" w:line="240" w:lineRule="auto"/>
        <w:ind w:left="1652" w:right="0" w:hanging="841"/>
        <w:jc w:val="left"/>
        <w:rPr>
          <w:sz w:val="24"/>
        </w:rPr>
      </w:pPr>
      <w:r>
        <w:rPr>
          <w:sz w:val="24"/>
        </w:rPr>
        <w:t>争议评审小组的决定</w:t>
      </w:r>
    </w:p>
    <w:p>
      <w:pPr>
        <w:pStyle w:val="8"/>
        <w:spacing w:before="160" w:line="364" w:lineRule="auto"/>
        <w:ind w:left="388" w:right="624" w:firstLine="424"/>
      </w:pPr>
      <w:r>
        <w:t>合同当事人可在任何时间将与合同有关的任何争议共同提请争议评审小组进行评审。</w:t>
      </w:r>
      <w:r>
        <w:rPr>
          <w:spacing w:val="-6"/>
        </w:rPr>
        <w:t>争议评审小组应秉持客观、公正原则，充分听取合同当事人的意见，依据相关法律、规范、</w:t>
      </w:r>
      <w:r>
        <w:rPr>
          <w:spacing w:val="-9"/>
        </w:rPr>
        <w:t xml:space="preserve">标准、案例经验及商业惯例等，自收到争议评审申请报告后 </w:t>
      </w:r>
      <w:r>
        <w:t>14</w:t>
      </w:r>
      <w:r>
        <w:rPr>
          <w:spacing w:val="-10"/>
        </w:rPr>
        <w:t xml:space="preserve"> 天内作出书面决定，并说明理由。合同当事人可以在专用合同条款中对本项事项另行约定。</w:t>
      </w:r>
    </w:p>
    <w:p>
      <w:pPr>
        <w:pStyle w:val="16"/>
        <w:numPr>
          <w:ilvl w:val="2"/>
          <w:numId w:val="35"/>
        </w:numPr>
        <w:tabs>
          <w:tab w:val="left" w:pos="1653"/>
        </w:tabs>
        <w:spacing w:before="0" w:after="0" w:line="305" w:lineRule="exact"/>
        <w:ind w:left="1652" w:right="0" w:hanging="841"/>
        <w:jc w:val="left"/>
        <w:rPr>
          <w:sz w:val="24"/>
        </w:rPr>
      </w:pPr>
      <w:r>
        <w:rPr>
          <w:sz w:val="24"/>
        </w:rPr>
        <w:t>争议评审小组决定的效力</w:t>
      </w:r>
    </w:p>
    <w:p>
      <w:pPr>
        <w:pStyle w:val="8"/>
        <w:spacing w:before="158" w:line="364" w:lineRule="auto"/>
        <w:ind w:left="388" w:right="852" w:firstLine="424"/>
      </w:pPr>
      <w:r>
        <w:t>争议评审小组作出的书面决定经合同当事人签字确认后，对双方具有约束力，双方应遵照执行。</w:t>
      </w:r>
    </w:p>
    <w:p>
      <w:pPr>
        <w:pStyle w:val="8"/>
        <w:spacing w:line="364" w:lineRule="auto"/>
        <w:ind w:left="388" w:right="852" w:firstLine="424"/>
      </w:pPr>
      <w:r>
        <w:t>任何一方当事人不接受争议评审小组决定或不履行争议评审小组决定的，双方可选择采用其他争议解决方式。</w:t>
      </w:r>
    </w:p>
    <w:p>
      <w:pPr>
        <w:pStyle w:val="16"/>
        <w:numPr>
          <w:ilvl w:val="1"/>
          <w:numId w:val="35"/>
        </w:numPr>
        <w:tabs>
          <w:tab w:val="left" w:pos="1353"/>
        </w:tabs>
        <w:spacing w:before="0" w:after="0" w:line="306" w:lineRule="exact"/>
        <w:ind w:left="1352" w:right="0" w:hanging="541"/>
        <w:jc w:val="left"/>
        <w:rPr>
          <w:sz w:val="24"/>
        </w:rPr>
      </w:pPr>
      <w:r>
        <w:rPr>
          <w:sz w:val="24"/>
        </w:rPr>
        <w:t>仲裁或诉讼</w:t>
      </w:r>
    </w:p>
    <w:p>
      <w:pPr>
        <w:pStyle w:val="8"/>
        <w:spacing w:before="160" w:line="364" w:lineRule="auto"/>
        <w:ind w:left="388" w:right="852" w:firstLine="424"/>
      </w:pPr>
      <w:r>
        <w:t>因合同及合同有关事项产生的争议，合同当事人可以在专用合同条款中约定以下一种方式解决争议：</w:t>
      </w:r>
    </w:p>
    <w:p>
      <w:pPr>
        <w:pStyle w:val="16"/>
        <w:numPr>
          <w:ilvl w:val="0"/>
          <w:numId w:val="84"/>
        </w:numPr>
        <w:tabs>
          <w:tab w:val="left" w:pos="1414"/>
        </w:tabs>
        <w:spacing w:before="0" w:after="0" w:line="306" w:lineRule="exact"/>
        <w:ind w:left="1413" w:right="0" w:hanging="602"/>
        <w:jc w:val="left"/>
        <w:rPr>
          <w:sz w:val="24"/>
        </w:rPr>
      </w:pPr>
      <w:r>
        <w:rPr>
          <w:sz w:val="24"/>
        </w:rPr>
        <w:t>向约定的仲裁委员会申请仲裁；</w:t>
      </w:r>
    </w:p>
    <w:p>
      <w:pPr>
        <w:pStyle w:val="16"/>
        <w:numPr>
          <w:ilvl w:val="0"/>
          <w:numId w:val="84"/>
        </w:numPr>
        <w:tabs>
          <w:tab w:val="left" w:pos="1414"/>
        </w:tabs>
        <w:spacing w:before="160" w:after="0" w:line="240" w:lineRule="auto"/>
        <w:ind w:left="1413" w:right="0" w:hanging="602"/>
        <w:jc w:val="left"/>
        <w:rPr>
          <w:sz w:val="24"/>
        </w:rPr>
      </w:pPr>
      <w:r>
        <w:rPr>
          <w:sz w:val="24"/>
        </w:rPr>
        <w:t>向有管辖权的人民法院起诉。</w:t>
      </w:r>
    </w:p>
    <w:p>
      <w:pPr>
        <w:pStyle w:val="16"/>
        <w:numPr>
          <w:ilvl w:val="1"/>
          <w:numId w:val="35"/>
        </w:numPr>
        <w:tabs>
          <w:tab w:val="left" w:pos="1353"/>
        </w:tabs>
        <w:spacing w:before="158" w:after="0" w:line="240" w:lineRule="auto"/>
        <w:ind w:left="1352" w:right="0" w:hanging="541"/>
        <w:jc w:val="left"/>
        <w:rPr>
          <w:sz w:val="24"/>
        </w:rPr>
      </w:pPr>
      <w:r>
        <w:rPr>
          <w:sz w:val="24"/>
        </w:rPr>
        <w:t>争议解决条款效力</w:t>
      </w:r>
    </w:p>
    <w:p>
      <w:pPr>
        <w:pStyle w:val="8"/>
        <w:spacing w:before="158" w:line="364" w:lineRule="auto"/>
        <w:ind w:left="388" w:right="852" w:firstLine="424"/>
      </w:pPr>
      <w:r>
        <w:t>合同有关争议解决的条款独立存在，合同的变更、解除、终止、无效或者被撤销均不影响其效力。</w:t>
      </w:r>
    </w:p>
    <w:p>
      <w:pPr>
        <w:spacing w:after="0" w:line="364" w:lineRule="auto"/>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50" o:spid="_x0000_s1150" o:spt="20" style="position:absolute;left:0pt;margin-left:62.4pt;margin-top:12.25pt;height:0pt;width:400.4pt;mso-position-horizontal-relative:page;z-index:25179033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rPr>
          <w:sz w:val="20"/>
        </w:rPr>
      </w:pPr>
    </w:p>
    <w:p>
      <w:pPr>
        <w:pStyle w:val="8"/>
        <w:spacing w:before="9"/>
        <w:rPr>
          <w:sz w:val="25"/>
        </w:rPr>
      </w:pPr>
    </w:p>
    <w:p>
      <w:pPr>
        <w:pStyle w:val="7"/>
        <w:spacing w:before="67"/>
        <w:ind w:left="426" w:right="362"/>
        <w:jc w:val="center"/>
        <w:outlineLvl w:val="1"/>
      </w:pPr>
      <w:r>
        <w:t>第三部分 专用合同条款</w:t>
      </w:r>
    </w:p>
    <w:p>
      <w:pPr>
        <w:pStyle w:val="8"/>
        <w:rPr>
          <w:b/>
        </w:rPr>
      </w:pPr>
    </w:p>
    <w:p>
      <w:pPr>
        <w:pStyle w:val="16"/>
        <w:numPr>
          <w:ilvl w:val="0"/>
          <w:numId w:val="85"/>
        </w:numPr>
        <w:tabs>
          <w:tab w:val="left" w:pos="1228"/>
        </w:tabs>
        <w:spacing w:before="184" w:after="0" w:line="240" w:lineRule="auto"/>
        <w:ind w:left="1228" w:right="0" w:hanging="360"/>
        <w:jc w:val="left"/>
        <w:outlineLvl w:val="2"/>
        <w:rPr>
          <w:sz w:val="24"/>
        </w:rPr>
      </w:pPr>
      <w:r>
        <w:rPr>
          <w:sz w:val="24"/>
        </w:rPr>
        <w:t>一般约定</w:t>
      </w:r>
    </w:p>
    <w:p>
      <w:pPr>
        <w:pStyle w:val="16"/>
        <w:numPr>
          <w:ilvl w:val="1"/>
          <w:numId w:val="85"/>
        </w:numPr>
        <w:tabs>
          <w:tab w:val="left" w:pos="1348"/>
        </w:tabs>
        <w:spacing w:before="158" w:after="0" w:line="240" w:lineRule="auto"/>
        <w:ind w:left="1348" w:right="0" w:hanging="480"/>
        <w:jc w:val="left"/>
        <w:rPr>
          <w:sz w:val="24"/>
        </w:rPr>
      </w:pPr>
      <w:r>
        <w:rPr>
          <w:sz w:val="24"/>
        </w:rPr>
        <w:t>词语定义</w:t>
      </w:r>
    </w:p>
    <w:p>
      <w:pPr>
        <w:pStyle w:val="16"/>
        <w:numPr>
          <w:ilvl w:val="2"/>
          <w:numId w:val="85"/>
        </w:numPr>
        <w:tabs>
          <w:tab w:val="left" w:pos="1528"/>
        </w:tabs>
        <w:spacing w:before="161" w:after="0" w:line="240" w:lineRule="auto"/>
        <w:ind w:left="1528" w:right="0" w:hanging="660"/>
        <w:jc w:val="left"/>
        <w:rPr>
          <w:sz w:val="24"/>
        </w:rPr>
      </w:pPr>
      <w:r>
        <w:rPr>
          <w:sz w:val="24"/>
        </w:rPr>
        <w:t>合同</w:t>
      </w:r>
    </w:p>
    <w:p>
      <w:pPr>
        <w:pStyle w:val="8"/>
        <w:tabs>
          <w:tab w:val="left" w:pos="7707"/>
        </w:tabs>
        <w:spacing w:before="158"/>
        <w:ind w:left="868"/>
        <w:rPr>
          <w:rFonts w:ascii="Times New Roman" w:eastAsia="Times New Roman"/>
        </w:rPr>
      </w:pPr>
      <w:r>
        <w:t>1.1.1.10</w:t>
      </w:r>
      <w:r>
        <w:rPr>
          <w:spacing w:val="-60"/>
        </w:rPr>
        <w:t xml:space="preserve"> </w:t>
      </w:r>
      <w:r>
        <w:t>其他合同文件包括：</w:t>
      </w:r>
      <w:r>
        <w:rPr>
          <w:rFonts w:ascii="Times New Roman" w:eastAsia="Times New Roman"/>
          <w:u w:val="single"/>
        </w:rPr>
        <w:t xml:space="preserve"> </w:t>
      </w:r>
      <w:r>
        <w:rPr>
          <w:rFonts w:ascii="Times New Roman" w:eastAsia="Times New Roman"/>
          <w:u w:val="single"/>
        </w:rPr>
        <w:tab/>
      </w:r>
    </w:p>
    <w:p>
      <w:pPr>
        <w:pStyle w:val="8"/>
        <w:rPr>
          <w:rFonts w:ascii="Times New Roman"/>
          <w:sz w:val="20"/>
        </w:rPr>
      </w:pPr>
    </w:p>
    <w:p>
      <w:pPr>
        <w:pStyle w:val="8"/>
        <w:spacing w:before="1"/>
        <w:rPr>
          <w:rFonts w:ascii="Times New Roman"/>
          <w:sz w:val="13"/>
        </w:rPr>
      </w:pPr>
      <w:r>
        <w:pict>
          <v:line id="_x0000_s1151" o:spid="_x0000_s1151" o:spt="20" style="position:absolute;left:0pt;margin-left:86.4pt;margin-top:9.75pt;height:0pt;width:353.95pt;mso-position-horizontal-relative:page;mso-wrap-distance-bottom:0pt;mso-wrap-distance-top:0pt;z-index:-251527168;mso-width-relative:page;mso-height-relative:page;" stroked="t" coordsize="21600,21600">
            <v:path arrowok="t"/>
            <v:fill focussize="0,0"/>
            <v:stroke weight="0.6pt" color="#000000"/>
            <v:imagedata o:title=""/>
            <o:lock v:ext="edit"/>
            <w10:wrap type="topAndBottom"/>
          </v:line>
        </w:pict>
      </w:r>
    </w:p>
    <w:p>
      <w:pPr>
        <w:pStyle w:val="8"/>
        <w:spacing w:before="6"/>
        <w:rPr>
          <w:rFonts w:ascii="Times New Roman"/>
          <w:sz w:val="8"/>
        </w:rPr>
      </w:pPr>
    </w:p>
    <w:p>
      <w:pPr>
        <w:pStyle w:val="8"/>
        <w:spacing w:before="67"/>
        <w:ind w:left="868"/>
      </w:pPr>
      <w:r>
        <w:t>。</w:t>
      </w:r>
    </w:p>
    <w:p>
      <w:pPr>
        <w:pStyle w:val="16"/>
        <w:numPr>
          <w:ilvl w:val="2"/>
          <w:numId w:val="85"/>
        </w:numPr>
        <w:tabs>
          <w:tab w:val="left" w:pos="1588"/>
        </w:tabs>
        <w:spacing w:before="160" w:after="0" w:line="240" w:lineRule="auto"/>
        <w:ind w:left="1588" w:right="0" w:hanging="720"/>
        <w:jc w:val="left"/>
        <w:rPr>
          <w:sz w:val="24"/>
        </w:rPr>
      </w:pPr>
      <w:r>
        <w:rPr>
          <w:sz w:val="24"/>
        </w:rPr>
        <w:t>合同当事人及其他相关方</w:t>
      </w:r>
    </w:p>
    <w:p>
      <w:pPr>
        <w:pStyle w:val="16"/>
        <w:numPr>
          <w:ilvl w:val="3"/>
          <w:numId w:val="86"/>
        </w:numPr>
        <w:tabs>
          <w:tab w:val="left" w:pos="1768"/>
        </w:tabs>
        <w:spacing w:before="159" w:after="0" w:line="240" w:lineRule="auto"/>
        <w:ind w:left="1768" w:right="0" w:hanging="900"/>
        <w:jc w:val="left"/>
        <w:rPr>
          <w:sz w:val="24"/>
        </w:rPr>
      </w:pPr>
      <w:r>
        <w:rPr>
          <w:sz w:val="24"/>
        </w:rPr>
        <w:t>监理人：</w:t>
      </w:r>
    </w:p>
    <w:p>
      <w:pPr>
        <w:pStyle w:val="8"/>
        <w:tabs>
          <w:tab w:val="left" w:pos="1587"/>
          <w:tab w:val="left" w:pos="7347"/>
          <w:tab w:val="left" w:pos="7467"/>
        </w:tabs>
        <w:spacing w:before="160" w:line="364" w:lineRule="auto"/>
        <w:ind w:left="868" w:right="2838"/>
      </w:pPr>
      <w:r>
        <w:t>名</w:t>
      </w:r>
      <w:r>
        <w:tab/>
      </w:r>
      <w:r>
        <w:t>称：</w:t>
      </w:r>
      <w:r>
        <w:rPr>
          <w:u w:val="single"/>
        </w:rPr>
        <w:t xml:space="preserve"> </w:t>
      </w:r>
      <w:r>
        <w:rPr>
          <w:u w:val="single"/>
        </w:rPr>
        <w:tab/>
      </w:r>
      <w:r>
        <w:t>； 资质类别和等级：</w:t>
      </w:r>
      <w:r>
        <w:rPr>
          <w:u w:val="single"/>
        </w:rPr>
        <w:t xml:space="preserve"> </w:t>
      </w:r>
      <w:r>
        <w:rPr>
          <w:u w:val="single"/>
        </w:rPr>
        <w:tab/>
      </w:r>
      <w:r>
        <w:rPr>
          <w:u w:val="single"/>
        </w:rPr>
        <w:tab/>
      </w:r>
      <w:r>
        <w:rPr>
          <w:spacing w:val="-18"/>
        </w:rPr>
        <w:t xml:space="preserve">； </w:t>
      </w:r>
      <w:r>
        <w:t>联系电话：</w:t>
      </w:r>
      <w:r>
        <w:rPr>
          <w:u w:val="single"/>
        </w:rPr>
        <w:t xml:space="preserve"> </w:t>
      </w:r>
      <w:r>
        <w:rPr>
          <w:u w:val="single"/>
        </w:rPr>
        <w:tab/>
      </w:r>
      <w:r>
        <w:t>； 电子信箱：</w:t>
      </w:r>
      <w:r>
        <w:rPr>
          <w:u w:val="single"/>
        </w:rPr>
        <w:t xml:space="preserve"> </w:t>
      </w:r>
      <w:r>
        <w:rPr>
          <w:u w:val="single"/>
        </w:rPr>
        <w:tab/>
      </w:r>
      <w:r>
        <w:t>； 通信地址：</w:t>
      </w:r>
      <w:r>
        <w:rPr>
          <w:u w:val="single"/>
        </w:rPr>
        <w:t xml:space="preserve"> </w:t>
      </w:r>
      <w:r>
        <w:rPr>
          <w:u w:val="single"/>
        </w:rPr>
        <w:tab/>
      </w:r>
      <w:r>
        <w:t>。</w:t>
      </w:r>
    </w:p>
    <w:p>
      <w:pPr>
        <w:pStyle w:val="16"/>
        <w:numPr>
          <w:ilvl w:val="3"/>
          <w:numId w:val="86"/>
        </w:numPr>
        <w:tabs>
          <w:tab w:val="left" w:pos="1828"/>
        </w:tabs>
        <w:spacing w:before="0" w:after="0" w:line="306" w:lineRule="exact"/>
        <w:ind w:left="1828" w:right="0" w:hanging="960"/>
        <w:jc w:val="left"/>
        <w:rPr>
          <w:sz w:val="24"/>
        </w:rPr>
      </w:pPr>
      <w:r>
        <w:rPr>
          <w:sz w:val="24"/>
        </w:rPr>
        <w:t>设计人：</w:t>
      </w:r>
    </w:p>
    <w:p>
      <w:pPr>
        <w:pStyle w:val="8"/>
        <w:tabs>
          <w:tab w:val="left" w:pos="1587"/>
          <w:tab w:val="left" w:pos="7347"/>
          <w:tab w:val="left" w:pos="7467"/>
        </w:tabs>
        <w:spacing w:before="158" w:line="364" w:lineRule="auto"/>
        <w:ind w:left="868" w:right="2838"/>
      </w:pPr>
      <w:r>
        <w:t>名</w:t>
      </w:r>
      <w:r>
        <w:tab/>
      </w:r>
      <w:r>
        <w:t>称：</w:t>
      </w:r>
      <w:r>
        <w:rPr>
          <w:u w:val="single"/>
        </w:rPr>
        <w:t xml:space="preserve"> </w:t>
      </w:r>
      <w:r>
        <w:rPr>
          <w:u w:val="single"/>
        </w:rPr>
        <w:tab/>
      </w:r>
      <w:r>
        <w:rPr>
          <w:u w:val="single"/>
        </w:rPr>
        <w:tab/>
      </w:r>
      <w:r>
        <w:rPr>
          <w:spacing w:val="-18"/>
        </w:rPr>
        <w:t xml:space="preserve">； </w:t>
      </w:r>
      <w:r>
        <w:t>资质类别和等级：</w:t>
      </w:r>
      <w:r>
        <w:rPr>
          <w:u w:val="single"/>
        </w:rPr>
        <w:t xml:space="preserve"> </w:t>
      </w:r>
      <w:r>
        <w:rPr>
          <w:u w:val="single"/>
        </w:rPr>
        <w:tab/>
      </w:r>
      <w:r>
        <w:rPr>
          <w:u w:val="single"/>
        </w:rPr>
        <w:tab/>
      </w:r>
      <w:r>
        <w:rPr>
          <w:spacing w:val="-18"/>
        </w:rPr>
        <w:t xml:space="preserve">； </w:t>
      </w:r>
      <w:r>
        <w:t>联系电话：</w:t>
      </w:r>
      <w:r>
        <w:rPr>
          <w:u w:val="single"/>
        </w:rPr>
        <w:t xml:space="preserve"> </w:t>
      </w:r>
      <w:r>
        <w:rPr>
          <w:u w:val="single"/>
        </w:rPr>
        <w:tab/>
      </w:r>
      <w:r>
        <w:rPr>
          <w:u w:val="single"/>
        </w:rPr>
        <w:tab/>
      </w:r>
      <w:r>
        <w:rPr>
          <w:spacing w:val="-18"/>
        </w:rPr>
        <w:t xml:space="preserve">； </w:t>
      </w:r>
      <w:r>
        <w:t>电子信箱：</w:t>
      </w:r>
      <w:r>
        <w:rPr>
          <w:u w:val="single"/>
        </w:rPr>
        <w:t xml:space="preserve"> </w:t>
      </w:r>
      <w:r>
        <w:rPr>
          <w:u w:val="single"/>
        </w:rPr>
        <w:tab/>
      </w:r>
      <w:r>
        <w:t>； 通信地址：</w:t>
      </w:r>
      <w:r>
        <w:rPr>
          <w:u w:val="single"/>
        </w:rPr>
        <w:t xml:space="preserve"> </w:t>
      </w:r>
      <w:r>
        <w:rPr>
          <w:u w:val="single"/>
        </w:rPr>
        <w:tab/>
      </w:r>
      <w:r>
        <w:t>。</w:t>
      </w:r>
    </w:p>
    <w:p>
      <w:pPr>
        <w:pStyle w:val="16"/>
        <w:numPr>
          <w:ilvl w:val="2"/>
          <w:numId w:val="85"/>
        </w:numPr>
        <w:tabs>
          <w:tab w:val="left" w:pos="1588"/>
        </w:tabs>
        <w:spacing w:before="0" w:after="0" w:line="306" w:lineRule="exact"/>
        <w:ind w:left="1588" w:right="0" w:hanging="720"/>
        <w:jc w:val="left"/>
        <w:rPr>
          <w:sz w:val="24"/>
        </w:rPr>
      </w:pPr>
      <w:r>
        <w:rPr>
          <w:sz w:val="24"/>
        </w:rPr>
        <w:t>工程和设备</w:t>
      </w:r>
    </w:p>
    <w:p>
      <w:pPr>
        <w:pStyle w:val="8"/>
        <w:spacing w:before="158"/>
        <w:ind w:left="868"/>
      </w:pPr>
      <w:r>
        <w:t>1.1.3.7 作为施工现场组成部分的其他场所包括：</w:t>
      </w:r>
    </w:p>
    <w:p>
      <w:pPr>
        <w:pStyle w:val="8"/>
        <w:tabs>
          <w:tab w:val="left" w:pos="7827"/>
        </w:tabs>
        <w:spacing w:before="161"/>
        <w:ind w:left="868"/>
      </w:pPr>
      <w:r>
        <w:rPr>
          <w:rFonts w:ascii="Times New Roman" w:eastAsia="Times New Roman"/>
          <w:u w:val="single"/>
        </w:rPr>
        <w:t xml:space="preserve"> </w:t>
      </w:r>
      <w:r>
        <w:rPr>
          <w:rFonts w:ascii="Times New Roman" w:eastAsia="Times New Roman"/>
          <w:u w:val="single"/>
        </w:rPr>
        <w:tab/>
      </w:r>
      <w:r>
        <w:t>。</w:t>
      </w:r>
    </w:p>
    <w:p>
      <w:pPr>
        <w:pStyle w:val="16"/>
        <w:numPr>
          <w:ilvl w:val="3"/>
          <w:numId w:val="87"/>
        </w:numPr>
        <w:tabs>
          <w:tab w:val="left" w:pos="1828"/>
          <w:tab w:val="left" w:pos="7587"/>
        </w:tabs>
        <w:spacing w:before="158" w:after="0" w:line="240" w:lineRule="auto"/>
        <w:ind w:left="1828" w:right="0" w:hanging="960"/>
        <w:jc w:val="left"/>
        <w:rPr>
          <w:sz w:val="24"/>
        </w:rPr>
      </w:pPr>
      <w:r>
        <w:rPr>
          <w:sz w:val="24"/>
        </w:rPr>
        <w:t>永久占地包括：</w:t>
      </w:r>
      <w:r>
        <w:rPr>
          <w:sz w:val="24"/>
          <w:u w:val="single"/>
        </w:rPr>
        <w:t xml:space="preserve"> </w:t>
      </w:r>
      <w:r>
        <w:rPr>
          <w:sz w:val="24"/>
          <w:u w:val="single"/>
        </w:rPr>
        <w:tab/>
      </w:r>
      <w:r>
        <w:rPr>
          <w:sz w:val="24"/>
        </w:rPr>
        <w:t>。</w:t>
      </w:r>
    </w:p>
    <w:p>
      <w:pPr>
        <w:pStyle w:val="16"/>
        <w:numPr>
          <w:ilvl w:val="3"/>
          <w:numId w:val="87"/>
        </w:numPr>
        <w:tabs>
          <w:tab w:val="left" w:pos="1948"/>
          <w:tab w:val="left" w:pos="7587"/>
        </w:tabs>
        <w:spacing w:before="160" w:after="0" w:line="240" w:lineRule="auto"/>
        <w:ind w:left="1948" w:right="0" w:hanging="1080"/>
        <w:jc w:val="left"/>
        <w:rPr>
          <w:sz w:val="24"/>
        </w:rPr>
      </w:pPr>
      <w:r>
        <w:rPr>
          <w:sz w:val="24"/>
        </w:rPr>
        <w:t>临时占地包括：</w:t>
      </w:r>
      <w:r>
        <w:rPr>
          <w:sz w:val="24"/>
          <w:u w:val="single"/>
        </w:rPr>
        <w:t xml:space="preserve"> </w:t>
      </w:r>
      <w:r>
        <w:rPr>
          <w:sz w:val="24"/>
          <w:u w:val="single"/>
        </w:rPr>
        <w:tab/>
      </w:r>
      <w:r>
        <w:rPr>
          <w:sz w:val="24"/>
        </w:rPr>
        <w:t>。</w:t>
      </w:r>
    </w:p>
    <w:p>
      <w:pPr>
        <w:pStyle w:val="16"/>
        <w:numPr>
          <w:ilvl w:val="1"/>
          <w:numId w:val="88"/>
        </w:numPr>
        <w:tabs>
          <w:tab w:val="left" w:pos="1288"/>
        </w:tabs>
        <w:spacing w:before="161" w:after="0" w:line="240" w:lineRule="auto"/>
        <w:ind w:left="1288" w:right="0" w:hanging="420"/>
        <w:jc w:val="left"/>
        <w:rPr>
          <w:sz w:val="24"/>
        </w:rPr>
      </w:pPr>
      <w:r>
        <w:rPr>
          <w:sz w:val="24"/>
        </w:rPr>
        <w:t>法律</w:t>
      </w:r>
    </w:p>
    <w:p>
      <w:pPr>
        <w:pStyle w:val="8"/>
        <w:tabs>
          <w:tab w:val="left" w:pos="7287"/>
        </w:tabs>
        <w:spacing w:before="158"/>
        <w:ind w:left="868"/>
        <w:rPr>
          <w:rFonts w:ascii="Times New Roman" w:eastAsia="Times New Roman"/>
        </w:rPr>
      </w:pPr>
      <w:r>
        <w:t>适用于合同的其他规范性文件：</w:t>
      </w:r>
      <w:r>
        <w:rPr>
          <w:rFonts w:ascii="Times New Roman" w:eastAsia="Times New Roman"/>
          <w:u w:val="single"/>
        </w:rPr>
        <w:t xml:space="preserve"> </w:t>
      </w:r>
      <w:r>
        <w:rPr>
          <w:rFonts w:ascii="Times New Roman" w:eastAsia="Times New Roman"/>
          <w:u w:val="single"/>
        </w:rPr>
        <w:tab/>
      </w:r>
    </w:p>
    <w:p>
      <w:pPr>
        <w:pStyle w:val="8"/>
        <w:tabs>
          <w:tab w:val="left" w:pos="7707"/>
        </w:tabs>
        <w:spacing w:before="158"/>
        <w:ind w:left="868"/>
      </w:pPr>
      <w:r>
        <w:rPr>
          <w:rFonts w:ascii="Times New Roman" w:eastAsia="Times New Roman"/>
          <w:u w:val="single"/>
        </w:rPr>
        <w:t xml:space="preserve"> </w:t>
      </w:r>
      <w:r>
        <w:rPr>
          <w:rFonts w:ascii="Times New Roman" w:eastAsia="Times New Roman"/>
          <w:u w:val="single"/>
        </w:rPr>
        <w:tab/>
      </w:r>
      <w:r>
        <w:t>。</w:t>
      </w:r>
    </w:p>
    <w:p>
      <w:pPr>
        <w:pStyle w:val="16"/>
        <w:numPr>
          <w:ilvl w:val="1"/>
          <w:numId w:val="88"/>
        </w:numPr>
        <w:tabs>
          <w:tab w:val="left" w:pos="1348"/>
        </w:tabs>
        <w:spacing w:before="160" w:after="0" w:line="240" w:lineRule="auto"/>
        <w:ind w:left="1348" w:right="0" w:hanging="480"/>
        <w:jc w:val="left"/>
        <w:rPr>
          <w:sz w:val="24"/>
        </w:rPr>
      </w:pPr>
      <w:r>
        <w:rPr>
          <w:sz w:val="24"/>
        </w:rPr>
        <w:t>标准和规范</w:t>
      </w:r>
    </w:p>
    <w:p>
      <w:pPr>
        <w:spacing w:after="0" w:line="240"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52" o:spid="_x0000_s1152" o:spt="20" style="position:absolute;left:0pt;margin-left:62.4pt;margin-top:12.25pt;height:0pt;width:400.4pt;mso-position-horizontal-relative:page;z-index:25179340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12"/>
      </w:pPr>
    </w:p>
    <w:p>
      <w:pPr>
        <w:pStyle w:val="16"/>
        <w:numPr>
          <w:ilvl w:val="2"/>
          <w:numId w:val="88"/>
        </w:numPr>
        <w:tabs>
          <w:tab w:val="left" w:pos="1528"/>
          <w:tab w:val="left" w:pos="7347"/>
        </w:tabs>
        <w:spacing w:before="74" w:after="0" w:line="240" w:lineRule="auto"/>
        <w:ind w:left="1528" w:right="0" w:hanging="660"/>
        <w:jc w:val="left"/>
        <w:rPr>
          <w:rFonts w:ascii="Times New Roman" w:eastAsia="Times New Roman"/>
          <w:sz w:val="24"/>
        </w:rPr>
      </w:pPr>
      <w:r>
        <w:rPr>
          <w:sz w:val="24"/>
        </w:rPr>
        <w:t>适用于工程的标准规范包括：</w:t>
      </w:r>
      <w:r>
        <w:rPr>
          <w:rFonts w:ascii="Times New Roman" w:eastAsia="Times New Roman"/>
          <w:sz w:val="24"/>
          <w:u w:val="single"/>
        </w:rPr>
        <w:t xml:space="preserve"> </w:t>
      </w:r>
      <w:r>
        <w:rPr>
          <w:rFonts w:ascii="Times New Roman" w:eastAsia="Times New Roman"/>
          <w:sz w:val="24"/>
          <w:u w:val="single"/>
        </w:rPr>
        <w:tab/>
      </w:r>
    </w:p>
    <w:p>
      <w:pPr>
        <w:pStyle w:val="8"/>
        <w:tabs>
          <w:tab w:val="left" w:pos="7827"/>
        </w:tabs>
        <w:spacing w:before="158"/>
        <w:ind w:left="868"/>
      </w:pPr>
      <w:r>
        <w:rPr>
          <w:rFonts w:ascii="Times New Roman" w:eastAsia="Times New Roman"/>
          <w:u w:val="single"/>
        </w:rPr>
        <w:t xml:space="preserve"> </w:t>
      </w:r>
      <w:r>
        <w:rPr>
          <w:rFonts w:ascii="Times New Roman" w:eastAsia="Times New Roman"/>
          <w:u w:val="single"/>
        </w:rPr>
        <w:tab/>
      </w:r>
      <w:r>
        <w:t>。</w:t>
      </w:r>
    </w:p>
    <w:p>
      <w:pPr>
        <w:pStyle w:val="16"/>
        <w:numPr>
          <w:ilvl w:val="2"/>
          <w:numId w:val="88"/>
        </w:numPr>
        <w:tabs>
          <w:tab w:val="left" w:pos="1588"/>
        </w:tabs>
        <w:spacing w:before="160" w:after="0" w:line="362" w:lineRule="auto"/>
        <w:ind w:left="868" w:right="5118" w:firstLine="0"/>
        <w:jc w:val="left"/>
        <w:rPr>
          <w:sz w:val="24"/>
        </w:rPr>
      </w:pPr>
      <w:r>
        <w:rPr>
          <w:spacing w:val="-2"/>
          <w:sz w:val="24"/>
        </w:rPr>
        <w:t xml:space="preserve">发包人提供国外标准、规范的名称： </w:t>
      </w:r>
      <w:r>
        <w:rPr>
          <w:sz w:val="24"/>
        </w:rPr>
        <w:t>发包人提供国外标准、规范的份数：；</w:t>
      </w:r>
    </w:p>
    <w:p>
      <w:pPr>
        <w:pStyle w:val="8"/>
        <w:spacing w:before="5"/>
        <w:ind w:left="868"/>
      </w:pPr>
      <w:r>
        <w:t>发包人提供国外标准、规范的名称：。</w:t>
      </w:r>
    </w:p>
    <w:p>
      <w:pPr>
        <w:pStyle w:val="16"/>
        <w:numPr>
          <w:ilvl w:val="2"/>
          <w:numId w:val="88"/>
        </w:numPr>
        <w:tabs>
          <w:tab w:val="left" w:pos="1528"/>
        </w:tabs>
        <w:spacing w:before="158" w:after="0" w:line="240" w:lineRule="auto"/>
        <w:ind w:left="1528" w:right="0" w:hanging="660"/>
        <w:jc w:val="left"/>
        <w:rPr>
          <w:sz w:val="24"/>
        </w:rPr>
      </w:pPr>
      <w:r>
        <w:rPr>
          <w:sz w:val="24"/>
        </w:rPr>
        <w:t>发包人对工程的技术标准和功能要求的特殊要求：</w:t>
      </w:r>
    </w:p>
    <w:p>
      <w:pPr>
        <w:pStyle w:val="8"/>
        <w:rPr>
          <w:sz w:val="20"/>
        </w:rPr>
      </w:pPr>
    </w:p>
    <w:p>
      <w:pPr>
        <w:pStyle w:val="8"/>
        <w:spacing w:before="1"/>
        <w:rPr>
          <w:sz w:val="10"/>
        </w:rPr>
      </w:pPr>
      <w:r>
        <w:pict>
          <v:line id="_x0000_s1153" o:spid="_x0000_s1153" o:spt="20" style="position:absolute;left:0pt;margin-left:86.4pt;margin-top:8.7pt;height:0pt;width:293.95pt;mso-position-horizontal-relative:page;mso-wrap-distance-bottom:0pt;mso-wrap-distance-top:0pt;z-index:-251525120;mso-width-relative:page;mso-height-relative:page;" stroked="t" coordsize="21600,21600">
            <v:path arrowok="t"/>
            <v:fill focussize="0,0"/>
            <v:stroke weight="0.6pt" color="#000000"/>
            <v:imagedata o:title=""/>
            <o:lock v:ext="edit"/>
            <w10:wrap type="topAndBottom"/>
          </v:line>
        </w:pict>
      </w:r>
    </w:p>
    <w:p>
      <w:pPr>
        <w:pStyle w:val="8"/>
        <w:spacing w:before="12"/>
        <w:rPr>
          <w:sz w:val="6"/>
        </w:rPr>
      </w:pPr>
    </w:p>
    <w:p>
      <w:pPr>
        <w:pStyle w:val="8"/>
        <w:tabs>
          <w:tab w:val="left" w:pos="7227"/>
        </w:tabs>
        <w:spacing w:before="74"/>
        <w:ind w:left="388"/>
      </w:pPr>
      <w:r>
        <w:rPr>
          <w:rFonts w:ascii="Times New Roman" w:eastAsia="Times New Roman"/>
          <w:u w:val="single"/>
        </w:rPr>
        <w:t xml:space="preserve"> </w:t>
      </w:r>
      <w:r>
        <w:rPr>
          <w:rFonts w:ascii="Times New Roman" w:eastAsia="Times New Roman"/>
          <w:u w:val="single"/>
        </w:rPr>
        <w:tab/>
      </w:r>
      <w:r>
        <w:t>。</w:t>
      </w:r>
    </w:p>
    <w:p>
      <w:pPr>
        <w:pStyle w:val="16"/>
        <w:numPr>
          <w:ilvl w:val="1"/>
          <w:numId w:val="88"/>
        </w:numPr>
        <w:tabs>
          <w:tab w:val="left" w:pos="1348"/>
        </w:tabs>
        <w:spacing w:before="158" w:after="0" w:line="240" w:lineRule="auto"/>
        <w:ind w:left="1348" w:right="0" w:hanging="480"/>
        <w:jc w:val="left"/>
        <w:rPr>
          <w:sz w:val="24"/>
        </w:rPr>
      </w:pPr>
      <w:r>
        <w:rPr>
          <w:sz w:val="24"/>
        </w:rPr>
        <w:t>合同文件的优先顺序</w:t>
      </w:r>
    </w:p>
    <w:p>
      <w:pPr>
        <w:pStyle w:val="8"/>
        <w:tabs>
          <w:tab w:val="left" w:pos="9807"/>
        </w:tabs>
        <w:spacing w:before="158"/>
        <w:ind w:left="868"/>
        <w:rPr>
          <w:rFonts w:ascii="Times New Roman" w:eastAsia="Times New Roman"/>
        </w:rPr>
      </w:pPr>
      <w:r>
        <w:t>合同文件组成及优先顺序为：</w:t>
      </w:r>
      <w:r>
        <w:rPr>
          <w:rFonts w:ascii="Times New Roman" w:eastAsia="Times New Roman"/>
          <w:u w:val="single"/>
        </w:rPr>
        <w:t xml:space="preserve"> </w:t>
      </w:r>
      <w:r>
        <w:rPr>
          <w:rFonts w:ascii="Times New Roman" w:eastAsia="Times New Roman"/>
          <w:u w:val="single"/>
        </w:rPr>
        <w:tab/>
      </w:r>
    </w:p>
    <w:p>
      <w:pPr>
        <w:pStyle w:val="8"/>
        <w:rPr>
          <w:rFonts w:ascii="Times New Roman"/>
          <w:sz w:val="20"/>
        </w:rPr>
      </w:pPr>
    </w:p>
    <w:p>
      <w:pPr>
        <w:pStyle w:val="8"/>
        <w:spacing w:before="3"/>
        <w:rPr>
          <w:rFonts w:ascii="Times New Roman"/>
          <w:sz w:val="13"/>
        </w:rPr>
      </w:pPr>
      <w:r>
        <w:pict>
          <v:line id="_x0000_s1154" o:spid="_x0000_s1154" o:spt="20" style="position:absolute;left:0pt;margin-left:62.4pt;margin-top:9.85pt;height:0pt;width:245.95pt;mso-position-horizontal-relative:page;mso-wrap-distance-bottom:0pt;mso-wrap-distance-top:0pt;z-index:-251524096;mso-width-relative:page;mso-height-relative:page;" stroked="t" coordsize="21600,21600">
            <v:path arrowok="t"/>
            <v:fill focussize="0,0"/>
            <v:stroke weight="0.6pt" color="#000000"/>
            <v:imagedata o:title=""/>
            <o:lock v:ext="edit"/>
            <w10:wrap type="topAndBottom"/>
          </v:line>
        </w:pict>
      </w:r>
    </w:p>
    <w:p>
      <w:pPr>
        <w:pStyle w:val="8"/>
        <w:spacing w:before="7"/>
        <w:rPr>
          <w:rFonts w:ascii="Times New Roman"/>
          <w:sz w:val="8"/>
        </w:rPr>
      </w:pPr>
    </w:p>
    <w:p>
      <w:pPr>
        <w:pStyle w:val="8"/>
        <w:tabs>
          <w:tab w:val="left" w:pos="4827"/>
        </w:tabs>
        <w:spacing w:before="67"/>
        <w:ind w:left="388"/>
      </w:pPr>
      <w:r>
        <w:rPr>
          <w:rFonts w:ascii="Times New Roman" w:eastAsia="Times New Roman"/>
          <w:u w:val="single"/>
        </w:rPr>
        <w:t xml:space="preserve"> </w:t>
      </w:r>
      <w:r>
        <w:rPr>
          <w:rFonts w:ascii="Times New Roman" w:eastAsia="Times New Roman"/>
          <w:u w:val="single"/>
        </w:rPr>
        <w:tab/>
      </w:r>
      <w:r>
        <w:t>。</w:t>
      </w:r>
    </w:p>
    <w:p>
      <w:pPr>
        <w:pStyle w:val="16"/>
        <w:numPr>
          <w:ilvl w:val="1"/>
          <w:numId w:val="88"/>
        </w:numPr>
        <w:tabs>
          <w:tab w:val="left" w:pos="1348"/>
        </w:tabs>
        <w:spacing w:before="158" w:after="0" w:line="240" w:lineRule="auto"/>
        <w:ind w:left="1348" w:right="0" w:hanging="480"/>
        <w:jc w:val="both"/>
        <w:rPr>
          <w:sz w:val="24"/>
        </w:rPr>
      </w:pPr>
      <w:r>
        <w:rPr>
          <w:sz w:val="24"/>
        </w:rPr>
        <w:t>图纸和承包人文件</w:t>
      </w:r>
    </w:p>
    <w:p>
      <w:pPr>
        <w:pStyle w:val="16"/>
        <w:numPr>
          <w:ilvl w:val="2"/>
          <w:numId w:val="88"/>
        </w:numPr>
        <w:tabs>
          <w:tab w:val="left" w:pos="1588"/>
        </w:tabs>
        <w:spacing w:before="160" w:after="0" w:line="240" w:lineRule="auto"/>
        <w:ind w:left="1588" w:right="0" w:hanging="720"/>
        <w:jc w:val="both"/>
        <w:rPr>
          <w:sz w:val="24"/>
        </w:rPr>
      </w:pPr>
      <w:r>
        <w:rPr>
          <w:sz w:val="24"/>
        </w:rPr>
        <w:t>图纸的提供</w:t>
      </w:r>
    </w:p>
    <w:p>
      <w:pPr>
        <w:pStyle w:val="8"/>
        <w:tabs>
          <w:tab w:val="left" w:pos="7347"/>
        </w:tabs>
        <w:spacing w:before="158" w:line="364" w:lineRule="auto"/>
        <w:ind w:left="868" w:right="2958"/>
        <w:jc w:val="both"/>
      </w:pPr>
      <w:r>
        <w:t>发包人向承包人提供图纸的期限：</w:t>
      </w:r>
      <w:r>
        <w:rPr>
          <w:u w:val="single"/>
        </w:rPr>
        <w:t xml:space="preserve"> </w:t>
      </w:r>
      <w:r>
        <w:rPr>
          <w:u w:val="single"/>
        </w:rPr>
        <w:tab/>
      </w:r>
      <w:r>
        <w:rPr>
          <w:spacing w:val="-18"/>
        </w:rPr>
        <w:t xml:space="preserve">； </w:t>
      </w:r>
      <w:r>
        <w:t>发包人向承包人提供图纸的数量：</w:t>
      </w:r>
      <w:r>
        <w:rPr>
          <w:u w:val="single"/>
        </w:rPr>
        <w:t xml:space="preserve"> </w:t>
      </w:r>
      <w:r>
        <w:rPr>
          <w:u w:val="single"/>
        </w:rPr>
        <w:tab/>
      </w:r>
      <w:r>
        <w:rPr>
          <w:spacing w:val="-18"/>
        </w:rPr>
        <w:t xml:space="preserve">； </w:t>
      </w:r>
      <w:r>
        <w:t>发包人向承包人提供图纸的内容：</w:t>
      </w:r>
      <w:r>
        <w:rPr>
          <w:u w:val="single"/>
        </w:rPr>
        <w:t xml:space="preserve"> </w:t>
      </w:r>
      <w:r>
        <w:rPr>
          <w:u w:val="single"/>
        </w:rPr>
        <w:tab/>
      </w:r>
      <w:r>
        <w:rPr>
          <w:spacing w:val="-18"/>
        </w:rPr>
        <w:t>。</w:t>
      </w:r>
    </w:p>
    <w:p>
      <w:pPr>
        <w:pStyle w:val="16"/>
        <w:numPr>
          <w:ilvl w:val="2"/>
          <w:numId w:val="89"/>
        </w:numPr>
        <w:tabs>
          <w:tab w:val="left" w:pos="1588"/>
        </w:tabs>
        <w:spacing w:before="0" w:after="0" w:line="307" w:lineRule="exact"/>
        <w:ind w:left="1588" w:right="0" w:hanging="720"/>
        <w:jc w:val="both"/>
        <w:rPr>
          <w:sz w:val="24"/>
        </w:rPr>
      </w:pPr>
      <w:r>
        <w:rPr>
          <w:sz w:val="24"/>
        </w:rPr>
        <w:t>承包人文件</w:t>
      </w:r>
    </w:p>
    <w:p>
      <w:pPr>
        <w:pStyle w:val="8"/>
        <w:tabs>
          <w:tab w:val="left" w:pos="7407"/>
        </w:tabs>
        <w:spacing w:before="158"/>
        <w:ind w:left="868"/>
        <w:rPr>
          <w:rFonts w:ascii="Times New Roman" w:eastAsia="Times New Roman"/>
        </w:rPr>
      </w:pPr>
      <w:r>
        <w:t>需要由承包人提供的文件，包括：</w:t>
      </w:r>
      <w:r>
        <w:rPr>
          <w:rFonts w:ascii="Times New Roman" w:eastAsia="Times New Roman"/>
          <w:u w:val="single"/>
        </w:rPr>
        <w:t xml:space="preserve"> </w:t>
      </w:r>
      <w:r>
        <w:rPr>
          <w:rFonts w:ascii="Times New Roman" w:eastAsia="Times New Roman"/>
          <w:u w:val="single"/>
        </w:rPr>
        <w:tab/>
      </w:r>
    </w:p>
    <w:p>
      <w:pPr>
        <w:pStyle w:val="8"/>
        <w:tabs>
          <w:tab w:val="left" w:pos="7347"/>
          <w:tab w:val="left" w:pos="7467"/>
        </w:tabs>
        <w:spacing w:before="161" w:line="364" w:lineRule="auto"/>
        <w:ind w:left="868" w:right="2838"/>
      </w:pPr>
      <w:r>
        <w:rPr>
          <w:rFonts w:ascii="Times New Roman" w:eastAsia="Times New Roman"/>
          <w:u w:val="single"/>
        </w:rPr>
        <w:t xml:space="preserve"> </w:t>
      </w:r>
      <w:r>
        <w:rPr>
          <w:rFonts w:ascii="Times New Roman" w:eastAsia="Times New Roman"/>
          <w:u w:val="single"/>
        </w:rPr>
        <w:tab/>
      </w:r>
      <w:r>
        <w:t>； 承包人提供的文件的期限为：</w:t>
      </w:r>
      <w:r>
        <w:rPr>
          <w:u w:val="single"/>
        </w:rPr>
        <w:t xml:space="preserve"> </w:t>
      </w:r>
      <w:r>
        <w:rPr>
          <w:u w:val="single"/>
        </w:rPr>
        <w:tab/>
      </w:r>
      <w:r>
        <w:rPr>
          <w:u w:val="single"/>
        </w:rPr>
        <w:tab/>
      </w:r>
      <w:r>
        <w:rPr>
          <w:spacing w:val="-18"/>
        </w:rPr>
        <w:t xml:space="preserve">； </w:t>
      </w:r>
      <w:r>
        <w:t>承包人提供的文件的数量为：</w:t>
      </w:r>
      <w:r>
        <w:rPr>
          <w:u w:val="single"/>
        </w:rPr>
        <w:t xml:space="preserve"> </w:t>
      </w:r>
      <w:r>
        <w:rPr>
          <w:u w:val="single"/>
        </w:rPr>
        <w:tab/>
      </w:r>
      <w:r>
        <w:t>； 承包人提供的文件的形式为：</w:t>
      </w:r>
      <w:r>
        <w:rPr>
          <w:u w:val="single"/>
        </w:rPr>
        <w:t xml:space="preserve"> </w:t>
      </w:r>
      <w:r>
        <w:rPr>
          <w:u w:val="single"/>
        </w:rPr>
        <w:tab/>
      </w:r>
      <w:r>
        <w:rPr>
          <w:u w:val="single"/>
        </w:rPr>
        <w:tab/>
      </w:r>
      <w:r>
        <w:rPr>
          <w:spacing w:val="-18"/>
        </w:rPr>
        <w:t xml:space="preserve">； </w:t>
      </w:r>
      <w:r>
        <w:t>发包人审批承包人文件的期限：</w:t>
      </w:r>
      <w:r>
        <w:rPr>
          <w:u w:val="single"/>
        </w:rPr>
        <w:t xml:space="preserve"> </w:t>
      </w:r>
      <w:r>
        <w:rPr>
          <w:u w:val="single"/>
        </w:rPr>
        <w:tab/>
      </w:r>
      <w:r>
        <w:rPr>
          <w:u w:val="single"/>
        </w:rPr>
        <w:tab/>
      </w:r>
      <w:r>
        <w:rPr>
          <w:spacing w:val="-18"/>
        </w:rPr>
        <w:t>。</w:t>
      </w:r>
    </w:p>
    <w:p>
      <w:pPr>
        <w:pStyle w:val="16"/>
        <w:numPr>
          <w:ilvl w:val="2"/>
          <w:numId w:val="89"/>
        </w:numPr>
        <w:tabs>
          <w:tab w:val="left" w:pos="1588"/>
        </w:tabs>
        <w:spacing w:before="0" w:after="0" w:line="306" w:lineRule="exact"/>
        <w:ind w:left="1588" w:right="0" w:hanging="720"/>
        <w:jc w:val="left"/>
        <w:rPr>
          <w:sz w:val="24"/>
        </w:rPr>
      </w:pPr>
      <w:r>
        <w:rPr>
          <w:sz w:val="24"/>
        </w:rPr>
        <w:t>现场图纸准备</w:t>
      </w:r>
    </w:p>
    <w:p>
      <w:pPr>
        <w:pStyle w:val="8"/>
        <w:tabs>
          <w:tab w:val="left" w:pos="7347"/>
        </w:tabs>
        <w:spacing w:before="158"/>
        <w:ind w:left="868"/>
      </w:pPr>
      <w:r>
        <w:t>关于现场图纸准备的约定：</w:t>
      </w:r>
      <w:r>
        <w:rPr>
          <w:u w:val="single"/>
        </w:rPr>
        <w:t xml:space="preserve"> </w:t>
      </w:r>
      <w:r>
        <w:rPr>
          <w:u w:val="single"/>
        </w:rPr>
        <w:tab/>
      </w:r>
      <w:r>
        <w:t>。</w:t>
      </w:r>
    </w:p>
    <w:p>
      <w:pPr>
        <w:pStyle w:val="16"/>
        <w:numPr>
          <w:ilvl w:val="1"/>
          <w:numId w:val="88"/>
        </w:numPr>
        <w:tabs>
          <w:tab w:val="left" w:pos="1348"/>
        </w:tabs>
        <w:spacing w:before="158" w:after="0" w:line="240" w:lineRule="auto"/>
        <w:ind w:left="1348" w:right="0" w:hanging="480"/>
        <w:jc w:val="left"/>
        <w:rPr>
          <w:sz w:val="24"/>
        </w:rPr>
      </w:pPr>
      <w:r>
        <w:rPr>
          <w:sz w:val="24"/>
        </w:rPr>
        <w:t>联络</w:t>
      </w:r>
    </w:p>
    <w:p>
      <w:pPr>
        <w:pStyle w:val="16"/>
        <w:numPr>
          <w:ilvl w:val="2"/>
          <w:numId w:val="88"/>
        </w:numPr>
        <w:tabs>
          <w:tab w:val="left" w:pos="1528"/>
          <w:tab w:val="left" w:pos="4647"/>
        </w:tabs>
        <w:spacing w:before="161" w:after="0" w:line="364" w:lineRule="auto"/>
        <w:ind w:left="388" w:right="858" w:firstLine="480"/>
        <w:jc w:val="left"/>
        <w:rPr>
          <w:sz w:val="24"/>
        </w:rPr>
      </w:pPr>
      <w:r>
        <w:rPr>
          <w:sz w:val="24"/>
        </w:rPr>
        <w:t>发包人和承包人应当在</w:t>
      </w:r>
      <w:r>
        <w:rPr>
          <w:sz w:val="24"/>
          <w:u w:val="single"/>
        </w:rPr>
        <w:t xml:space="preserve"> </w:t>
      </w:r>
      <w:r>
        <w:rPr>
          <w:sz w:val="24"/>
          <w:u w:val="single"/>
        </w:rPr>
        <w:tab/>
      </w:r>
      <w:r>
        <w:rPr>
          <w:sz w:val="24"/>
        </w:rPr>
        <w:t>天内将与合同有关的通知、批准、证明、证书</w:t>
      </w:r>
      <w:r>
        <w:rPr>
          <w:spacing w:val="-18"/>
          <w:sz w:val="24"/>
        </w:rPr>
        <w:t>、</w:t>
      </w:r>
      <w:r>
        <w:rPr>
          <w:sz w:val="24"/>
        </w:rPr>
        <w:t>指示、指令、要求、请求、同意、意见、确定和决定等书面函件送达对方当事人。</w:t>
      </w:r>
    </w:p>
    <w:p>
      <w:pPr>
        <w:pStyle w:val="16"/>
        <w:numPr>
          <w:ilvl w:val="2"/>
          <w:numId w:val="88"/>
        </w:numPr>
        <w:tabs>
          <w:tab w:val="left" w:pos="1588"/>
          <w:tab w:val="left" w:pos="7347"/>
        </w:tabs>
        <w:spacing w:before="0" w:after="0" w:line="306" w:lineRule="exact"/>
        <w:ind w:left="1588" w:right="0" w:hanging="720"/>
        <w:jc w:val="left"/>
        <w:rPr>
          <w:sz w:val="24"/>
        </w:rPr>
      </w:pPr>
      <w:r>
        <w:rPr>
          <w:sz w:val="24"/>
        </w:rPr>
        <w:t>发包人接收文件的地点：</w:t>
      </w:r>
      <w:r>
        <w:rPr>
          <w:sz w:val="24"/>
          <w:u w:val="single"/>
        </w:rPr>
        <w:t xml:space="preserve"> </w:t>
      </w:r>
      <w:r>
        <w:rPr>
          <w:sz w:val="24"/>
          <w:u w:val="single"/>
        </w:rPr>
        <w:tab/>
      </w:r>
      <w:r>
        <w:rPr>
          <w:sz w:val="24"/>
        </w:rPr>
        <w:t>；</w:t>
      </w:r>
    </w:p>
    <w:p>
      <w:pPr>
        <w:spacing w:after="0" w:line="306" w:lineRule="exact"/>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55" o:spid="_x0000_s1155" o:spt="20" style="position:absolute;left:0pt;margin-left:62.4pt;margin-top:12.25pt;height:0pt;width:400.4pt;mso-position-horizontal-relative:page;z-index:25179648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12"/>
      </w:pPr>
    </w:p>
    <w:p>
      <w:pPr>
        <w:pStyle w:val="8"/>
        <w:tabs>
          <w:tab w:val="left" w:pos="7107"/>
          <w:tab w:val="left" w:pos="7227"/>
        </w:tabs>
        <w:spacing w:before="74" w:line="364" w:lineRule="auto"/>
        <w:ind w:left="868" w:right="3078"/>
      </w:pPr>
      <w:r>
        <w:t>发包人指定的接收人为：</w:t>
      </w:r>
      <w:r>
        <w:rPr>
          <w:u w:val="single"/>
        </w:rPr>
        <w:t xml:space="preserve"> </w:t>
      </w:r>
      <w:r>
        <w:rPr>
          <w:u w:val="single"/>
        </w:rPr>
        <w:tab/>
      </w:r>
      <w:r>
        <w:rPr>
          <w:u w:val="single"/>
        </w:rPr>
        <w:tab/>
      </w:r>
      <w:r>
        <w:rPr>
          <w:spacing w:val="-18"/>
        </w:rPr>
        <w:t>。</w:t>
      </w:r>
      <w:r>
        <w:t>承包人接收文件的地点：</w:t>
      </w:r>
      <w:r>
        <w:rPr>
          <w:u w:val="single"/>
        </w:rPr>
        <w:t xml:space="preserve"> </w:t>
      </w:r>
      <w:r>
        <w:rPr>
          <w:u w:val="single"/>
        </w:rPr>
        <w:tab/>
      </w:r>
      <w:r>
        <w:rPr>
          <w:u w:val="single"/>
        </w:rPr>
        <w:tab/>
      </w:r>
      <w:r>
        <w:rPr>
          <w:spacing w:val="-18"/>
        </w:rPr>
        <w:t xml:space="preserve">； </w:t>
      </w:r>
      <w:r>
        <w:t>承包人指定的接收人为：</w:t>
      </w:r>
      <w:r>
        <w:rPr>
          <w:u w:val="single"/>
        </w:rPr>
        <w:t xml:space="preserve"> </w:t>
      </w:r>
      <w:r>
        <w:rPr>
          <w:u w:val="single"/>
        </w:rPr>
        <w:tab/>
      </w:r>
      <w:r>
        <w:rPr>
          <w:u w:val="single"/>
        </w:rPr>
        <w:tab/>
      </w:r>
      <w:r>
        <w:rPr>
          <w:spacing w:val="-18"/>
        </w:rPr>
        <w:t>。</w:t>
      </w:r>
      <w:r>
        <w:t>监理人接收文件的地点：</w:t>
      </w:r>
      <w:r>
        <w:rPr>
          <w:u w:val="single"/>
        </w:rPr>
        <w:t xml:space="preserve"> </w:t>
      </w:r>
      <w:r>
        <w:rPr>
          <w:u w:val="single"/>
        </w:rPr>
        <w:tab/>
      </w:r>
      <w:r>
        <w:t>； 监理人指定的接收人为：</w:t>
      </w:r>
      <w:r>
        <w:rPr>
          <w:u w:val="single"/>
        </w:rPr>
        <w:t xml:space="preserve"> </w:t>
      </w:r>
      <w:r>
        <w:rPr>
          <w:u w:val="single"/>
        </w:rPr>
        <w:tab/>
      </w:r>
      <w:r>
        <w:t>。</w:t>
      </w:r>
    </w:p>
    <w:p>
      <w:pPr>
        <w:pStyle w:val="16"/>
        <w:numPr>
          <w:ilvl w:val="1"/>
          <w:numId w:val="90"/>
        </w:numPr>
        <w:tabs>
          <w:tab w:val="left" w:pos="1468"/>
        </w:tabs>
        <w:spacing w:before="0" w:after="0" w:line="303" w:lineRule="exact"/>
        <w:ind w:left="1468" w:right="0" w:hanging="600"/>
        <w:jc w:val="left"/>
        <w:rPr>
          <w:sz w:val="24"/>
        </w:rPr>
      </w:pPr>
      <w:r>
        <w:rPr>
          <w:sz w:val="24"/>
        </w:rPr>
        <w:t>交通运输</w:t>
      </w:r>
    </w:p>
    <w:p>
      <w:pPr>
        <w:pStyle w:val="16"/>
        <w:numPr>
          <w:ilvl w:val="2"/>
          <w:numId w:val="90"/>
        </w:numPr>
        <w:tabs>
          <w:tab w:val="left" w:pos="1708"/>
        </w:tabs>
        <w:spacing w:before="160" w:after="0" w:line="240" w:lineRule="auto"/>
        <w:ind w:left="1708" w:right="0" w:hanging="840"/>
        <w:jc w:val="left"/>
        <w:rPr>
          <w:sz w:val="24"/>
        </w:rPr>
      </w:pPr>
      <w:r>
        <w:rPr>
          <w:sz w:val="24"/>
        </w:rPr>
        <w:t>出入现场的权利</w:t>
      </w:r>
    </w:p>
    <w:p>
      <w:pPr>
        <w:pStyle w:val="8"/>
        <w:tabs>
          <w:tab w:val="left" w:pos="7407"/>
        </w:tabs>
        <w:spacing w:before="161"/>
        <w:ind w:left="868"/>
        <w:rPr>
          <w:rFonts w:ascii="Times New Roman" w:eastAsia="Times New Roman"/>
        </w:rPr>
      </w:pPr>
      <w:r>
        <w:t>关于出入现场的权利的约定：</w:t>
      </w:r>
      <w:r>
        <w:rPr>
          <w:rFonts w:ascii="Times New Roman" w:eastAsia="Times New Roman"/>
          <w:u w:val="single"/>
        </w:rPr>
        <w:t xml:space="preserve"> </w:t>
      </w:r>
      <w:r>
        <w:rPr>
          <w:rFonts w:ascii="Times New Roman" w:eastAsia="Times New Roman"/>
          <w:u w:val="single"/>
        </w:rPr>
        <w:tab/>
      </w:r>
    </w:p>
    <w:p>
      <w:pPr>
        <w:pStyle w:val="8"/>
        <w:tabs>
          <w:tab w:val="left" w:pos="7707"/>
        </w:tabs>
        <w:spacing w:before="158"/>
        <w:ind w:left="868"/>
      </w:pPr>
      <w:r>
        <w:rPr>
          <w:rFonts w:ascii="Times New Roman" w:eastAsia="Times New Roman"/>
          <w:u w:val="single"/>
        </w:rPr>
        <w:t xml:space="preserve"> </w:t>
      </w:r>
      <w:r>
        <w:rPr>
          <w:rFonts w:ascii="Times New Roman" w:eastAsia="Times New Roman"/>
          <w:u w:val="single"/>
        </w:rPr>
        <w:tab/>
      </w:r>
      <w:r>
        <w:t>。</w:t>
      </w:r>
    </w:p>
    <w:p>
      <w:pPr>
        <w:pStyle w:val="16"/>
        <w:numPr>
          <w:ilvl w:val="2"/>
          <w:numId w:val="91"/>
        </w:numPr>
        <w:tabs>
          <w:tab w:val="left" w:pos="1708"/>
        </w:tabs>
        <w:spacing w:before="158" w:after="0" w:line="240" w:lineRule="auto"/>
        <w:ind w:left="1708" w:right="0" w:hanging="840"/>
        <w:jc w:val="left"/>
        <w:rPr>
          <w:sz w:val="24"/>
        </w:rPr>
      </w:pPr>
      <w:r>
        <w:rPr>
          <w:sz w:val="24"/>
        </w:rPr>
        <w:t>场内交通</w:t>
      </w:r>
    </w:p>
    <w:p>
      <w:pPr>
        <w:pStyle w:val="8"/>
        <w:tabs>
          <w:tab w:val="left" w:pos="9859"/>
        </w:tabs>
        <w:spacing w:before="160"/>
        <w:ind w:left="868"/>
        <w:rPr>
          <w:rFonts w:ascii="Times New Roman" w:eastAsia="Times New Roman"/>
        </w:rPr>
      </w:pPr>
      <w:r>
        <w:t>关于场外交通和场内交通的边界的约定：</w:t>
      </w:r>
      <w:r>
        <w:rPr>
          <w:rFonts w:ascii="Times New Roman" w:eastAsia="Times New Roman"/>
          <w:u w:val="single"/>
        </w:rPr>
        <w:t xml:space="preserve"> </w:t>
      </w:r>
      <w:r>
        <w:rPr>
          <w:rFonts w:ascii="Times New Roman" w:eastAsia="Times New Roman"/>
          <w:u w:val="single"/>
        </w:rPr>
        <w:tab/>
      </w:r>
    </w:p>
    <w:p>
      <w:pPr>
        <w:pStyle w:val="8"/>
        <w:spacing w:before="161"/>
        <w:ind w:left="388"/>
      </w:pPr>
      <w:r>
        <w:rPr>
          <w:rFonts w:ascii="Times New Roman" w:eastAsia="Times New Roman"/>
          <w:u w:val="single"/>
        </w:rPr>
        <w:t xml:space="preserve">    </w:t>
      </w:r>
      <w:r>
        <w:t>。</w:t>
      </w:r>
    </w:p>
    <w:p>
      <w:pPr>
        <w:pStyle w:val="8"/>
        <w:tabs>
          <w:tab w:val="left" w:pos="9807"/>
        </w:tabs>
        <w:spacing w:before="158"/>
        <w:ind w:left="868"/>
        <w:rPr>
          <w:rFonts w:ascii="Times New Roman" w:eastAsia="Times New Roman"/>
        </w:rPr>
      </w:pPr>
      <w:r>
        <w:t>关于发包人向承包人免费提供满足工程施工需要的场内道路和交通设施的约定：</w:t>
      </w:r>
      <w:r>
        <w:rPr>
          <w:rFonts w:ascii="Times New Roman" w:eastAsia="Times New Roman"/>
          <w:u w:val="single"/>
        </w:rPr>
        <w:t xml:space="preserve"> </w:t>
      </w:r>
      <w:r>
        <w:rPr>
          <w:rFonts w:ascii="Times New Roman" w:eastAsia="Times New Roman"/>
          <w:u w:val="single"/>
        </w:rPr>
        <w:tab/>
      </w:r>
    </w:p>
    <w:p>
      <w:pPr>
        <w:pStyle w:val="8"/>
        <w:rPr>
          <w:rFonts w:ascii="Times New Roman"/>
          <w:sz w:val="20"/>
        </w:rPr>
      </w:pPr>
    </w:p>
    <w:p>
      <w:pPr>
        <w:pStyle w:val="8"/>
        <w:spacing w:before="1"/>
        <w:rPr>
          <w:rFonts w:ascii="Times New Roman"/>
          <w:sz w:val="13"/>
        </w:rPr>
      </w:pPr>
      <w:r>
        <w:pict>
          <v:line id="_x0000_s1156" o:spid="_x0000_s1156" o:spt="20" style="position:absolute;left:0pt;margin-left:62.4pt;margin-top:9.8pt;height:0pt;width:470.6pt;mso-position-horizontal-relative:page;mso-wrap-distance-bottom:0pt;mso-wrap-distance-top:0pt;z-index:-251522048;mso-width-relative:page;mso-height-relative:page;" stroked="t" coordsize="21600,21600">
            <v:path arrowok="t"/>
            <v:fill focussize="0,0"/>
            <v:stroke weight="0.6pt" color="#000000"/>
            <v:imagedata o:title=""/>
            <o:lock v:ext="edit"/>
            <w10:wrap type="topAndBottom"/>
          </v:line>
        </w:pict>
      </w:r>
    </w:p>
    <w:p>
      <w:pPr>
        <w:pStyle w:val="8"/>
        <w:spacing w:before="10"/>
        <w:rPr>
          <w:rFonts w:ascii="Times New Roman"/>
          <w:sz w:val="7"/>
        </w:rPr>
      </w:pPr>
    </w:p>
    <w:p>
      <w:pPr>
        <w:pStyle w:val="8"/>
        <w:tabs>
          <w:tab w:val="left" w:pos="1827"/>
        </w:tabs>
        <w:spacing w:before="74"/>
        <w:ind w:left="388"/>
      </w:pPr>
      <w:r>
        <w:rPr>
          <w:rFonts w:ascii="Times New Roman" w:eastAsia="Times New Roman"/>
          <w:u w:val="single"/>
        </w:rPr>
        <w:t xml:space="preserve"> </w:t>
      </w:r>
      <w:r>
        <w:rPr>
          <w:rFonts w:ascii="Times New Roman" w:eastAsia="Times New Roman"/>
          <w:u w:val="single"/>
        </w:rPr>
        <w:tab/>
      </w:r>
      <w:r>
        <w:t>。</w:t>
      </w:r>
    </w:p>
    <w:p>
      <w:pPr>
        <w:pStyle w:val="16"/>
        <w:numPr>
          <w:ilvl w:val="2"/>
          <w:numId w:val="91"/>
        </w:numPr>
        <w:tabs>
          <w:tab w:val="left" w:pos="1648"/>
        </w:tabs>
        <w:spacing w:before="161" w:after="0" w:line="240" w:lineRule="auto"/>
        <w:ind w:left="1648" w:right="0" w:hanging="780"/>
        <w:jc w:val="left"/>
        <w:rPr>
          <w:sz w:val="24"/>
        </w:rPr>
      </w:pPr>
      <w:r>
        <w:rPr>
          <w:sz w:val="24"/>
        </w:rPr>
        <w:t>超大件和超重件的运输</w:t>
      </w:r>
    </w:p>
    <w:p>
      <w:pPr>
        <w:pStyle w:val="8"/>
        <w:spacing w:before="158"/>
        <w:ind w:left="868"/>
      </w:pPr>
      <w:r>
        <w:t>运输超大件或超重件所需的道路和桥梁临时加固改造费用和其他有关费用由承担。</w:t>
      </w:r>
    </w:p>
    <w:p>
      <w:pPr>
        <w:pStyle w:val="16"/>
        <w:numPr>
          <w:ilvl w:val="1"/>
          <w:numId w:val="90"/>
        </w:numPr>
        <w:tabs>
          <w:tab w:val="left" w:pos="1468"/>
        </w:tabs>
        <w:spacing w:before="161" w:after="0" w:line="240" w:lineRule="auto"/>
        <w:ind w:left="1468" w:right="0" w:hanging="600"/>
        <w:jc w:val="left"/>
        <w:rPr>
          <w:sz w:val="24"/>
        </w:rPr>
      </w:pPr>
      <w:r>
        <w:rPr>
          <w:sz w:val="24"/>
        </w:rPr>
        <w:t>知识产权</w:t>
      </w:r>
    </w:p>
    <w:p>
      <w:pPr>
        <w:pStyle w:val="16"/>
        <w:numPr>
          <w:ilvl w:val="2"/>
          <w:numId w:val="90"/>
        </w:numPr>
        <w:tabs>
          <w:tab w:val="left" w:pos="1648"/>
          <w:tab w:val="left" w:pos="9859"/>
        </w:tabs>
        <w:spacing w:before="158" w:after="0" w:line="364" w:lineRule="auto"/>
        <w:ind w:left="388" w:right="685" w:firstLine="480"/>
        <w:jc w:val="left"/>
        <w:rPr>
          <w:rFonts w:ascii="Times New Roman" w:eastAsia="Times New Roman"/>
          <w:sz w:val="24"/>
        </w:rPr>
      </w:pPr>
      <w:r>
        <w:rPr>
          <w:sz w:val="24"/>
        </w:rPr>
        <w:t>关于发包人提供给承包人的图纸</w:t>
      </w:r>
      <w:r>
        <w:rPr>
          <w:spacing w:val="-8"/>
          <w:sz w:val="24"/>
        </w:rPr>
        <w:t>、</w:t>
      </w:r>
      <w:r>
        <w:rPr>
          <w:sz w:val="24"/>
        </w:rPr>
        <w:t>发包人为实施工程自行编制或委托编制的技术规范以及反映发包人关于合同要求或其他类似性质的文件的著作权的归属：</w:t>
      </w:r>
      <w:r>
        <w:rPr>
          <w:rFonts w:ascii="Times New Roman" w:eastAsia="Times New Roman"/>
          <w:sz w:val="24"/>
          <w:u w:val="single"/>
        </w:rPr>
        <w:t xml:space="preserve"> </w:t>
      </w:r>
      <w:r>
        <w:rPr>
          <w:rFonts w:ascii="Times New Roman" w:eastAsia="Times New Roman"/>
          <w:sz w:val="24"/>
          <w:u w:val="single"/>
        </w:rPr>
        <w:tab/>
      </w:r>
    </w:p>
    <w:p>
      <w:pPr>
        <w:pStyle w:val="8"/>
        <w:spacing w:before="2"/>
        <w:rPr>
          <w:rFonts w:ascii="Times New Roman"/>
          <w:sz w:val="19"/>
        </w:rPr>
      </w:pPr>
      <w:r>
        <w:pict>
          <v:line id="_x0000_s1157" o:spid="_x0000_s1157" o:spt="20" style="position:absolute;left:0pt;margin-left:62.4pt;margin-top:13.25pt;height:0pt;width:12pt;mso-position-horizontal-relative:page;mso-wrap-distance-bottom:0pt;mso-wrap-distance-top:0pt;z-index:-251521024;mso-width-relative:page;mso-height-relative:page;" stroked="t" coordsize="21600,21600">
            <v:path arrowok="t"/>
            <v:fill focussize="0,0"/>
            <v:stroke weight="0.6pt" color="#000000"/>
            <v:imagedata o:title=""/>
            <o:lock v:ext="edit"/>
            <w10:wrap type="topAndBottom"/>
          </v:line>
        </w:pict>
      </w:r>
    </w:p>
    <w:p>
      <w:pPr>
        <w:pStyle w:val="8"/>
        <w:spacing w:before="7"/>
        <w:rPr>
          <w:rFonts w:ascii="Times New Roman"/>
          <w:sz w:val="8"/>
        </w:rPr>
      </w:pPr>
    </w:p>
    <w:p>
      <w:pPr>
        <w:pStyle w:val="8"/>
        <w:tabs>
          <w:tab w:val="left" w:pos="7707"/>
        </w:tabs>
        <w:spacing w:before="67" w:line="364" w:lineRule="auto"/>
        <w:ind w:left="868" w:right="2598"/>
      </w:pPr>
      <w:r>
        <w:rPr>
          <w:rFonts w:ascii="Times New Roman" w:eastAsia="Times New Roman"/>
          <w:u w:val="single"/>
        </w:rPr>
        <w:t xml:space="preserve"> </w:t>
      </w:r>
      <w:r>
        <w:rPr>
          <w:rFonts w:ascii="Times New Roman" w:eastAsia="Times New Roman"/>
          <w:u w:val="single"/>
        </w:rPr>
        <w:tab/>
      </w:r>
      <w:r>
        <w:rPr>
          <w:spacing w:val="-18"/>
        </w:rPr>
        <w:t>。</w:t>
      </w:r>
      <w:r>
        <w:t>关于发包人提供的上述文件的使用限制的要求：</w:t>
      </w:r>
    </w:p>
    <w:p>
      <w:pPr>
        <w:pStyle w:val="8"/>
        <w:tabs>
          <w:tab w:val="left" w:pos="7707"/>
        </w:tabs>
        <w:spacing w:line="306" w:lineRule="exact"/>
        <w:ind w:left="868"/>
      </w:pPr>
      <w:r>
        <w:rPr>
          <w:rFonts w:ascii="Times New Roman" w:eastAsia="Times New Roman"/>
          <w:u w:val="single"/>
        </w:rPr>
        <w:t xml:space="preserve"> </w:t>
      </w:r>
      <w:r>
        <w:rPr>
          <w:rFonts w:ascii="Times New Roman" w:eastAsia="Times New Roman"/>
          <w:u w:val="single"/>
        </w:rPr>
        <w:tab/>
      </w:r>
      <w:r>
        <w:t>。</w:t>
      </w:r>
    </w:p>
    <w:p>
      <w:pPr>
        <w:pStyle w:val="16"/>
        <w:numPr>
          <w:ilvl w:val="2"/>
          <w:numId w:val="90"/>
        </w:numPr>
        <w:tabs>
          <w:tab w:val="left" w:pos="1708"/>
        </w:tabs>
        <w:spacing w:before="160" w:after="0" w:line="240" w:lineRule="auto"/>
        <w:ind w:left="1708" w:right="0" w:hanging="840"/>
        <w:jc w:val="left"/>
        <w:rPr>
          <w:sz w:val="24"/>
        </w:rPr>
      </w:pPr>
      <w:r>
        <w:rPr>
          <w:sz w:val="24"/>
        </w:rPr>
        <w:t>关于承包人为实施工程所编制文件的著作权的归属：</w:t>
      </w:r>
    </w:p>
    <w:p>
      <w:pPr>
        <w:pStyle w:val="8"/>
        <w:tabs>
          <w:tab w:val="left" w:pos="7527"/>
          <w:tab w:val="left" w:pos="7707"/>
        </w:tabs>
        <w:spacing w:before="158" w:line="362" w:lineRule="auto"/>
        <w:ind w:left="868" w:right="2598"/>
        <w:rPr>
          <w:rFonts w:ascii="Times New Roman" w:eastAsia="Times New Roman"/>
        </w:rPr>
      </w:pP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r>
        <w:rPr>
          <w:spacing w:val="-18"/>
        </w:rPr>
        <w:t>。</w:t>
      </w:r>
      <w:r>
        <w:t>关于承包人提供的上述文件的使用限制的要求：</w:t>
      </w:r>
      <w:r>
        <w:rPr>
          <w:rFonts w:ascii="Times New Roman" w:eastAsia="Times New Roman"/>
          <w:u w:val="single"/>
        </w:rPr>
        <w:t xml:space="preserve"> </w:t>
      </w:r>
      <w:r>
        <w:rPr>
          <w:rFonts w:ascii="Times New Roman" w:eastAsia="Times New Roman"/>
          <w:u w:val="single"/>
        </w:rPr>
        <w:tab/>
      </w:r>
    </w:p>
    <w:p>
      <w:pPr>
        <w:pStyle w:val="8"/>
        <w:tabs>
          <w:tab w:val="left" w:pos="7707"/>
        </w:tabs>
        <w:spacing w:before="5"/>
        <w:ind w:left="868"/>
      </w:pPr>
      <w:r>
        <w:rPr>
          <w:rFonts w:ascii="Times New Roman" w:eastAsia="Times New Roman"/>
          <w:u w:val="single"/>
        </w:rPr>
        <w:t xml:space="preserve"> </w:t>
      </w:r>
      <w:r>
        <w:rPr>
          <w:rFonts w:ascii="Times New Roman" w:eastAsia="Times New Roman"/>
          <w:u w:val="single"/>
        </w:rPr>
        <w:tab/>
      </w:r>
      <w:r>
        <w:t>。</w:t>
      </w:r>
    </w:p>
    <w:p>
      <w:pPr>
        <w:pStyle w:val="8"/>
        <w:spacing w:before="161"/>
        <w:ind w:left="868"/>
      </w:pPr>
      <w:r>
        <w:t>1.11.4 承包人在施工过程中所采用的专利、专有技术、技术秘密的使用费的承担方式：</w:t>
      </w:r>
    </w:p>
    <w:p>
      <w:pPr>
        <w:pStyle w:val="8"/>
        <w:tabs>
          <w:tab w:val="left" w:pos="4707"/>
        </w:tabs>
        <w:spacing w:before="158"/>
        <w:ind w:left="388"/>
      </w:pPr>
      <w:r>
        <w:rPr>
          <w:rFonts w:ascii="Times New Roman" w:eastAsia="Times New Roman"/>
          <w:u w:val="single"/>
        </w:rPr>
        <w:t xml:space="preserve"> </w:t>
      </w:r>
      <w:r>
        <w:rPr>
          <w:rFonts w:ascii="Times New Roman" w:eastAsia="Times New Roman"/>
          <w:u w:val="single"/>
        </w:rPr>
        <w:tab/>
      </w:r>
      <w:r>
        <w:t>。</w:t>
      </w:r>
    </w:p>
    <w:p>
      <w:pPr>
        <w:spacing w:after="0"/>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58" o:spid="_x0000_s1158" o:spt="20" style="position:absolute;left:0pt;margin-left:62.4pt;margin-top:12.25pt;height:0pt;width:400.4pt;mso-position-horizontal-relative:page;z-index:25179750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868"/>
      </w:pPr>
      <w:r>
        <w:t>1.13 工程量清单错误的修正</w:t>
      </w:r>
    </w:p>
    <w:p>
      <w:pPr>
        <w:pStyle w:val="8"/>
        <w:tabs>
          <w:tab w:val="left" w:pos="7347"/>
          <w:tab w:val="left" w:pos="7407"/>
        </w:tabs>
        <w:spacing w:before="158" w:line="364" w:lineRule="auto"/>
        <w:ind w:left="868" w:right="2958"/>
        <w:rPr>
          <w:rFonts w:ascii="Times New Roman" w:eastAsia="Times New Roman"/>
        </w:rPr>
      </w:pPr>
      <w:r>
        <w:t>出现工程量清单错误时，是否调整合同价格：</w:t>
      </w:r>
      <w:r>
        <w:rPr>
          <w:u w:val="single"/>
        </w:rPr>
        <w:t xml:space="preserve"> </w:t>
      </w:r>
      <w:r>
        <w:rPr>
          <w:u w:val="single"/>
        </w:rPr>
        <w:tab/>
      </w:r>
      <w:r>
        <w:rPr>
          <w:spacing w:val="-18"/>
        </w:rPr>
        <w:t>。</w:t>
      </w:r>
      <w:r>
        <w:t>允许调整合同价格的工程量偏差范围：</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p>
    <w:p>
      <w:pPr>
        <w:pStyle w:val="8"/>
        <w:tabs>
          <w:tab w:val="left" w:pos="7707"/>
        </w:tabs>
        <w:spacing w:line="306" w:lineRule="exact"/>
        <w:ind w:left="868"/>
      </w:pPr>
      <w:r>
        <w:rPr>
          <w:rFonts w:ascii="Times New Roman" w:eastAsia="Times New Roman"/>
          <w:u w:val="single"/>
        </w:rPr>
        <w:t xml:space="preserve"> </w:t>
      </w:r>
      <w:r>
        <w:rPr>
          <w:rFonts w:ascii="Times New Roman" w:eastAsia="Times New Roman"/>
          <w:u w:val="single"/>
        </w:rPr>
        <w:tab/>
      </w:r>
      <w:r>
        <w:t>。</w:t>
      </w:r>
    </w:p>
    <w:p>
      <w:pPr>
        <w:pStyle w:val="16"/>
        <w:numPr>
          <w:ilvl w:val="0"/>
          <w:numId w:val="85"/>
        </w:numPr>
        <w:tabs>
          <w:tab w:val="left" w:pos="1228"/>
        </w:tabs>
        <w:spacing w:before="160" w:after="0" w:line="240" w:lineRule="auto"/>
        <w:ind w:left="1228" w:right="0" w:hanging="360"/>
        <w:jc w:val="left"/>
        <w:outlineLvl w:val="2"/>
        <w:rPr>
          <w:sz w:val="24"/>
        </w:rPr>
      </w:pPr>
      <w:r>
        <w:rPr>
          <w:sz w:val="24"/>
        </w:rPr>
        <w:t>发包人</w:t>
      </w:r>
    </w:p>
    <w:p>
      <w:pPr>
        <w:pStyle w:val="8"/>
        <w:spacing w:before="158" w:line="364" w:lineRule="auto"/>
        <w:ind w:left="868" w:right="7998"/>
      </w:pPr>
      <w:r>
        <w:t>2.2 发包人代表发包人代表：</w:t>
      </w:r>
    </w:p>
    <w:p>
      <w:pPr>
        <w:pStyle w:val="8"/>
        <w:tabs>
          <w:tab w:val="left" w:pos="1587"/>
          <w:tab w:val="left" w:pos="5907"/>
          <w:tab w:val="left" w:pos="6027"/>
        </w:tabs>
        <w:spacing w:before="2" w:line="364" w:lineRule="auto"/>
        <w:ind w:left="868" w:right="4278"/>
      </w:pPr>
      <w:r>
        <w:t>姓</w:t>
      </w:r>
      <w:r>
        <w:tab/>
      </w:r>
      <w:r>
        <w:t>名：</w:t>
      </w:r>
      <w:r>
        <w:rPr>
          <w:u w:val="single"/>
        </w:rPr>
        <w:t xml:space="preserve"> </w:t>
      </w:r>
      <w:r>
        <w:rPr>
          <w:u w:val="single"/>
        </w:rPr>
        <w:tab/>
      </w:r>
      <w:r>
        <w:rPr>
          <w:u w:val="single"/>
        </w:rPr>
        <w:tab/>
      </w:r>
      <w:r>
        <w:rPr>
          <w:spacing w:val="-18"/>
        </w:rPr>
        <w:t xml:space="preserve">； </w:t>
      </w:r>
      <w:r>
        <w:t>身份证号：</w:t>
      </w:r>
      <w:r>
        <w:rPr>
          <w:u w:val="single"/>
        </w:rPr>
        <w:t xml:space="preserve"> </w:t>
      </w:r>
      <w:r>
        <w:rPr>
          <w:u w:val="single"/>
        </w:rPr>
        <w:tab/>
      </w:r>
      <w:r>
        <w:t>； 职</w:t>
      </w:r>
      <w:r>
        <w:tab/>
      </w:r>
      <w:r>
        <w:t>务：</w:t>
      </w:r>
      <w:r>
        <w:rPr>
          <w:u w:val="single"/>
        </w:rPr>
        <w:t xml:space="preserve"> </w:t>
      </w:r>
      <w:r>
        <w:rPr>
          <w:u w:val="single"/>
        </w:rPr>
        <w:tab/>
      </w:r>
      <w:r>
        <w:t>； 联系电话：</w:t>
      </w:r>
      <w:r>
        <w:rPr>
          <w:u w:val="single"/>
        </w:rPr>
        <w:t xml:space="preserve"> </w:t>
      </w:r>
      <w:r>
        <w:rPr>
          <w:u w:val="single"/>
        </w:rPr>
        <w:tab/>
      </w:r>
      <w:r>
        <w:rPr>
          <w:u w:val="single"/>
        </w:rPr>
        <w:tab/>
      </w:r>
      <w:r>
        <w:rPr>
          <w:spacing w:val="-18"/>
        </w:rPr>
        <w:t xml:space="preserve">； </w:t>
      </w:r>
      <w:r>
        <w:t>电子信箱：</w:t>
      </w:r>
      <w:r>
        <w:rPr>
          <w:u w:val="single"/>
        </w:rPr>
        <w:t xml:space="preserve"> </w:t>
      </w:r>
      <w:r>
        <w:rPr>
          <w:u w:val="single"/>
        </w:rPr>
        <w:tab/>
      </w:r>
      <w:r>
        <w:rPr>
          <w:u w:val="single"/>
        </w:rPr>
        <w:tab/>
      </w:r>
      <w:r>
        <w:rPr>
          <w:spacing w:val="-18"/>
        </w:rPr>
        <w:t xml:space="preserve">； </w:t>
      </w:r>
      <w:r>
        <w:t>通信地址：</w:t>
      </w:r>
      <w:r>
        <w:rPr>
          <w:u w:val="single"/>
        </w:rPr>
        <w:t xml:space="preserve"> </w:t>
      </w:r>
      <w:r>
        <w:rPr>
          <w:u w:val="single"/>
        </w:rPr>
        <w:tab/>
      </w:r>
      <w:r>
        <w:t>。</w:t>
      </w:r>
    </w:p>
    <w:p>
      <w:pPr>
        <w:pStyle w:val="8"/>
        <w:tabs>
          <w:tab w:val="left" w:pos="7527"/>
        </w:tabs>
        <w:spacing w:line="304" w:lineRule="exact"/>
        <w:ind w:left="868"/>
        <w:rPr>
          <w:rFonts w:ascii="Times New Roman" w:eastAsia="Times New Roman"/>
        </w:rPr>
      </w:pPr>
      <w:r>
        <w:t>发包人对发包人代表的授权范围如下：</w:t>
      </w:r>
      <w:r>
        <w:rPr>
          <w:rFonts w:ascii="Times New Roman" w:eastAsia="Times New Roman"/>
          <w:u w:val="single"/>
        </w:rPr>
        <w:t xml:space="preserve"> </w:t>
      </w:r>
      <w:r>
        <w:rPr>
          <w:rFonts w:ascii="Times New Roman" w:eastAsia="Times New Roman"/>
          <w:u w:val="single"/>
        </w:rPr>
        <w:tab/>
      </w:r>
    </w:p>
    <w:p>
      <w:pPr>
        <w:pStyle w:val="8"/>
        <w:tabs>
          <w:tab w:val="left" w:pos="7587"/>
        </w:tabs>
        <w:spacing w:before="158"/>
        <w:ind w:left="868"/>
      </w:pPr>
      <w:r>
        <w:rPr>
          <w:rFonts w:ascii="Times New Roman" w:eastAsia="Times New Roman"/>
          <w:u w:val="single"/>
        </w:rPr>
        <w:t xml:space="preserve"> </w:t>
      </w:r>
      <w:r>
        <w:rPr>
          <w:rFonts w:ascii="Times New Roman" w:eastAsia="Times New Roman"/>
          <w:u w:val="single"/>
        </w:rPr>
        <w:tab/>
      </w:r>
      <w:r>
        <w:t>。</w:t>
      </w:r>
    </w:p>
    <w:p>
      <w:pPr>
        <w:pStyle w:val="16"/>
        <w:numPr>
          <w:ilvl w:val="1"/>
          <w:numId w:val="92"/>
        </w:numPr>
        <w:tabs>
          <w:tab w:val="left" w:pos="1293"/>
        </w:tabs>
        <w:spacing w:before="160" w:after="0" w:line="240" w:lineRule="auto"/>
        <w:ind w:left="1292" w:right="0" w:hanging="481"/>
        <w:jc w:val="left"/>
        <w:rPr>
          <w:sz w:val="24"/>
        </w:rPr>
      </w:pPr>
      <w:r>
        <w:rPr>
          <w:sz w:val="24"/>
        </w:rPr>
        <w:t>施工现场、施工条件和基础资料的提供</w:t>
      </w:r>
    </w:p>
    <w:p>
      <w:pPr>
        <w:pStyle w:val="16"/>
        <w:numPr>
          <w:ilvl w:val="2"/>
          <w:numId w:val="92"/>
        </w:numPr>
        <w:tabs>
          <w:tab w:val="left" w:pos="1533"/>
        </w:tabs>
        <w:spacing w:before="158" w:after="0" w:line="240" w:lineRule="auto"/>
        <w:ind w:left="1532" w:right="0" w:hanging="721"/>
        <w:jc w:val="left"/>
        <w:rPr>
          <w:sz w:val="24"/>
        </w:rPr>
      </w:pPr>
      <w:r>
        <w:rPr>
          <w:sz w:val="24"/>
        </w:rPr>
        <w:t>提供施工现场</w:t>
      </w:r>
    </w:p>
    <w:p>
      <w:pPr>
        <w:pStyle w:val="8"/>
        <w:tabs>
          <w:tab w:val="left" w:pos="9859"/>
        </w:tabs>
        <w:spacing w:before="161"/>
        <w:ind w:left="812"/>
        <w:rPr>
          <w:rFonts w:ascii="Times New Roman" w:eastAsia="Times New Roman"/>
        </w:rPr>
      </w:pPr>
      <w:r>
        <w:rPr>
          <w:spacing w:val="-1"/>
        </w:rPr>
        <w:t>关</w:t>
      </w:r>
      <w:r>
        <w:t>于发包人移交施工现场的期限要求：</w:t>
      </w:r>
      <w:r>
        <w:rPr>
          <w:rFonts w:ascii="Times New Roman" w:eastAsia="Times New Roman"/>
          <w:u w:val="single"/>
        </w:rPr>
        <w:t xml:space="preserve"> </w:t>
      </w:r>
      <w:r>
        <w:rPr>
          <w:rFonts w:ascii="Times New Roman" w:eastAsia="Times New Roman"/>
          <w:u w:val="single"/>
        </w:rPr>
        <w:tab/>
      </w:r>
    </w:p>
    <w:p>
      <w:pPr>
        <w:pStyle w:val="8"/>
        <w:tabs>
          <w:tab w:val="left" w:pos="4587"/>
        </w:tabs>
        <w:spacing w:before="158"/>
        <w:ind w:left="388"/>
      </w:pPr>
      <w:r>
        <w:rPr>
          <w:rFonts w:ascii="Times New Roman" w:eastAsia="Times New Roman"/>
          <w:u w:val="single"/>
        </w:rPr>
        <w:t xml:space="preserve"> </w:t>
      </w:r>
      <w:r>
        <w:rPr>
          <w:rFonts w:ascii="Times New Roman" w:eastAsia="Times New Roman"/>
          <w:u w:val="single"/>
        </w:rPr>
        <w:tab/>
      </w:r>
      <w:r>
        <w:t>。</w:t>
      </w:r>
    </w:p>
    <w:p>
      <w:pPr>
        <w:pStyle w:val="16"/>
        <w:numPr>
          <w:ilvl w:val="2"/>
          <w:numId w:val="92"/>
        </w:numPr>
        <w:tabs>
          <w:tab w:val="left" w:pos="1533"/>
        </w:tabs>
        <w:spacing w:before="160" w:after="0" w:line="240" w:lineRule="auto"/>
        <w:ind w:left="1532" w:right="0" w:hanging="721"/>
        <w:jc w:val="left"/>
        <w:rPr>
          <w:sz w:val="24"/>
        </w:rPr>
      </w:pPr>
      <w:r>
        <w:rPr>
          <w:sz w:val="24"/>
        </w:rPr>
        <w:t>提供施工条件</w:t>
      </w:r>
    </w:p>
    <w:p>
      <w:pPr>
        <w:pStyle w:val="8"/>
        <w:tabs>
          <w:tab w:val="left" w:pos="7591"/>
        </w:tabs>
        <w:spacing w:before="159"/>
        <w:ind w:left="812"/>
        <w:rPr>
          <w:rFonts w:ascii="Times New Roman" w:eastAsia="Times New Roman"/>
        </w:rPr>
      </w:pPr>
      <w:r>
        <w:rPr>
          <w:spacing w:val="-1"/>
        </w:rPr>
        <w:t>关</w:t>
      </w:r>
      <w:r>
        <w:t>于发包人应负责提供施工所需要的条件，包括：</w:t>
      </w:r>
      <w:r>
        <w:rPr>
          <w:rFonts w:ascii="Times New Roman" w:eastAsia="Times New Roman"/>
          <w:u w:val="single"/>
        </w:rPr>
        <w:t xml:space="preserve"> </w:t>
      </w:r>
      <w:r>
        <w:rPr>
          <w:rFonts w:ascii="Times New Roman" w:eastAsia="Times New Roman"/>
          <w:u w:val="single"/>
        </w:rPr>
        <w:tab/>
      </w:r>
    </w:p>
    <w:p>
      <w:pPr>
        <w:pStyle w:val="8"/>
        <w:tabs>
          <w:tab w:val="left" w:pos="6867"/>
        </w:tabs>
        <w:spacing w:before="160"/>
        <w:ind w:left="388"/>
      </w:pPr>
      <w:r>
        <w:rPr>
          <w:rFonts w:ascii="Times New Roman" w:eastAsia="Times New Roman"/>
          <w:u w:val="single"/>
        </w:rPr>
        <w:t xml:space="preserve"> </w:t>
      </w:r>
      <w:r>
        <w:rPr>
          <w:rFonts w:ascii="Times New Roman" w:eastAsia="Times New Roman"/>
          <w:u w:val="single"/>
        </w:rPr>
        <w:tab/>
      </w:r>
      <w:r>
        <w:t>。</w:t>
      </w:r>
    </w:p>
    <w:p>
      <w:pPr>
        <w:pStyle w:val="16"/>
        <w:numPr>
          <w:ilvl w:val="1"/>
          <w:numId w:val="92"/>
        </w:numPr>
        <w:tabs>
          <w:tab w:val="left" w:pos="1293"/>
        </w:tabs>
        <w:spacing w:before="161" w:after="0" w:line="240" w:lineRule="auto"/>
        <w:ind w:left="1292" w:right="0" w:hanging="481"/>
        <w:jc w:val="both"/>
        <w:rPr>
          <w:sz w:val="24"/>
        </w:rPr>
      </w:pPr>
      <w:r>
        <w:rPr>
          <w:sz w:val="24"/>
        </w:rPr>
        <w:t>资金来源证明及支付担保</w:t>
      </w:r>
    </w:p>
    <w:p>
      <w:pPr>
        <w:pStyle w:val="8"/>
        <w:tabs>
          <w:tab w:val="left" w:pos="7172"/>
        </w:tabs>
        <w:spacing w:before="158" w:line="364" w:lineRule="auto"/>
        <w:ind w:left="812" w:right="3132"/>
        <w:jc w:val="both"/>
      </w:pPr>
      <w:r>
        <w:t>发包人提供资金来源证明的期限要求：</w:t>
      </w:r>
      <w:r>
        <w:rPr>
          <w:u w:val="single"/>
        </w:rPr>
        <w:t xml:space="preserve"> </w:t>
      </w:r>
      <w:r>
        <w:rPr>
          <w:u w:val="single"/>
        </w:rPr>
        <w:tab/>
      </w:r>
      <w:r>
        <w:rPr>
          <w:spacing w:val="-17"/>
        </w:rPr>
        <w:t>。</w:t>
      </w:r>
      <w:r>
        <w:t>发包人是否提供支付担保：</w:t>
      </w:r>
      <w:r>
        <w:rPr>
          <w:u w:val="single"/>
        </w:rPr>
        <w:t xml:space="preserve"> </w:t>
      </w:r>
      <w:r>
        <w:rPr>
          <w:u w:val="single"/>
        </w:rPr>
        <w:tab/>
      </w:r>
      <w:r>
        <w:rPr>
          <w:spacing w:val="-17"/>
        </w:rPr>
        <w:t>。</w:t>
      </w:r>
      <w:r>
        <w:t>发包人提供支付担保的形式：</w:t>
      </w:r>
      <w:r>
        <w:rPr>
          <w:u w:val="single"/>
        </w:rPr>
        <w:t xml:space="preserve"> </w:t>
      </w:r>
      <w:r>
        <w:rPr>
          <w:u w:val="single"/>
        </w:rPr>
        <w:tab/>
      </w:r>
      <w:r>
        <w:rPr>
          <w:spacing w:val="-17"/>
        </w:rPr>
        <w:t>。</w:t>
      </w:r>
    </w:p>
    <w:p>
      <w:pPr>
        <w:pStyle w:val="16"/>
        <w:numPr>
          <w:ilvl w:val="0"/>
          <w:numId w:val="85"/>
        </w:numPr>
        <w:tabs>
          <w:tab w:val="left" w:pos="1173"/>
        </w:tabs>
        <w:spacing w:before="0" w:after="0" w:line="304" w:lineRule="exact"/>
        <w:ind w:left="1172" w:right="0" w:hanging="361"/>
        <w:jc w:val="both"/>
        <w:outlineLvl w:val="2"/>
        <w:rPr>
          <w:sz w:val="24"/>
        </w:rPr>
      </w:pPr>
      <w:r>
        <w:rPr>
          <w:sz w:val="24"/>
        </w:rPr>
        <w:t>承包人</w:t>
      </w:r>
    </w:p>
    <w:p>
      <w:pPr>
        <w:pStyle w:val="16"/>
        <w:numPr>
          <w:ilvl w:val="1"/>
          <w:numId w:val="85"/>
        </w:numPr>
        <w:tabs>
          <w:tab w:val="left" w:pos="1293"/>
        </w:tabs>
        <w:spacing w:before="160" w:after="0" w:line="240" w:lineRule="auto"/>
        <w:ind w:left="1292" w:right="0" w:hanging="481"/>
        <w:jc w:val="left"/>
        <w:rPr>
          <w:sz w:val="24"/>
        </w:rPr>
      </w:pPr>
      <w:r>
        <w:rPr>
          <w:sz w:val="24"/>
        </w:rPr>
        <w:t>承包人的一般义务</w:t>
      </w:r>
    </w:p>
    <w:p>
      <w:pPr>
        <w:pStyle w:val="16"/>
        <w:numPr>
          <w:ilvl w:val="0"/>
          <w:numId w:val="93"/>
        </w:numPr>
        <w:tabs>
          <w:tab w:val="left" w:pos="1414"/>
        </w:tabs>
        <w:spacing w:before="161" w:after="0" w:line="362" w:lineRule="auto"/>
        <w:ind w:left="812" w:right="5772" w:firstLine="0"/>
        <w:jc w:val="left"/>
        <w:rPr>
          <w:sz w:val="24"/>
        </w:rPr>
      </w:pPr>
      <w:r>
        <w:rPr>
          <w:spacing w:val="-2"/>
          <w:sz w:val="24"/>
        </w:rPr>
        <w:t xml:space="preserve">承包人提交的竣工资料的内容： </w:t>
      </w:r>
      <w:r>
        <w:rPr>
          <w:sz w:val="24"/>
        </w:rPr>
        <w:t>承包人需要提交的竣工资料套数：。</w:t>
      </w:r>
    </w:p>
    <w:p>
      <w:pPr>
        <w:spacing w:after="0" w:line="362"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59" o:spid="_x0000_s1159" o:spt="20" style="position:absolute;left:0pt;margin-left:62.4pt;margin-top:12.25pt;height:0pt;width:400.4pt;mso-position-horizontal-relative:page;z-index:25179955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4" w:lineRule="auto"/>
        <w:ind w:left="812" w:right="5652"/>
      </w:pPr>
      <w:r>
        <w:rPr>
          <w:spacing w:val="-1"/>
        </w:rPr>
        <w:t>承包人提交的竣工资料的费用承担：。</w:t>
      </w:r>
      <w:r>
        <w:t>承包人提交的竣工资料移交时间：。 承包人提交的竣工资料形式要求：。</w:t>
      </w:r>
    </w:p>
    <w:p>
      <w:pPr>
        <w:pStyle w:val="16"/>
        <w:numPr>
          <w:ilvl w:val="0"/>
          <w:numId w:val="93"/>
        </w:numPr>
        <w:tabs>
          <w:tab w:val="left" w:pos="1414"/>
          <w:tab w:val="left" w:pos="8311"/>
        </w:tabs>
        <w:spacing w:before="0" w:after="0" w:line="304" w:lineRule="exact"/>
        <w:ind w:left="1413" w:right="0" w:hanging="602"/>
        <w:jc w:val="left"/>
        <w:rPr>
          <w:rFonts w:ascii="Times New Roman" w:eastAsia="Times New Roman"/>
          <w:sz w:val="24"/>
        </w:rPr>
      </w:pPr>
      <w:r>
        <w:rPr>
          <w:spacing w:val="-1"/>
          <w:sz w:val="24"/>
        </w:rPr>
        <w:t>承</w:t>
      </w:r>
      <w:r>
        <w:rPr>
          <w:sz w:val="24"/>
        </w:rPr>
        <w:t>包人应履行的其他义务：</w:t>
      </w:r>
      <w:r>
        <w:rPr>
          <w:rFonts w:ascii="Times New Roman" w:eastAsia="Times New Roman"/>
          <w:sz w:val="24"/>
          <w:u w:val="single"/>
        </w:rPr>
        <w:t xml:space="preserve"> </w:t>
      </w:r>
      <w:r>
        <w:rPr>
          <w:rFonts w:ascii="Times New Roman" w:eastAsia="Times New Roman"/>
          <w:sz w:val="24"/>
          <w:u w:val="single"/>
        </w:rPr>
        <w:tab/>
      </w:r>
    </w:p>
    <w:p>
      <w:pPr>
        <w:pStyle w:val="8"/>
        <w:tabs>
          <w:tab w:val="left" w:pos="6987"/>
        </w:tabs>
        <w:spacing w:before="160"/>
        <w:ind w:left="388"/>
      </w:pPr>
      <w:r>
        <w:rPr>
          <w:rFonts w:ascii="Times New Roman" w:eastAsia="Times New Roman"/>
          <w:u w:val="single"/>
        </w:rPr>
        <w:t xml:space="preserve"> </w:t>
      </w:r>
      <w:r>
        <w:rPr>
          <w:rFonts w:ascii="Times New Roman" w:eastAsia="Times New Roman"/>
          <w:u w:val="single"/>
        </w:rPr>
        <w:tab/>
      </w:r>
      <w:r>
        <w:t>。</w:t>
      </w:r>
    </w:p>
    <w:p>
      <w:pPr>
        <w:pStyle w:val="16"/>
        <w:numPr>
          <w:ilvl w:val="1"/>
          <w:numId w:val="85"/>
        </w:numPr>
        <w:tabs>
          <w:tab w:val="left" w:pos="1293"/>
        </w:tabs>
        <w:spacing w:before="158" w:after="0" w:line="240" w:lineRule="auto"/>
        <w:ind w:left="1292" w:right="0" w:hanging="481"/>
        <w:jc w:val="both"/>
        <w:rPr>
          <w:sz w:val="24"/>
        </w:rPr>
      </w:pPr>
      <w:r>
        <w:rPr>
          <w:sz w:val="24"/>
        </w:rPr>
        <w:t>项目经理</w:t>
      </w:r>
    </w:p>
    <w:p>
      <w:pPr>
        <w:pStyle w:val="16"/>
        <w:numPr>
          <w:ilvl w:val="2"/>
          <w:numId w:val="85"/>
        </w:numPr>
        <w:tabs>
          <w:tab w:val="left" w:pos="1533"/>
        </w:tabs>
        <w:spacing w:before="161" w:after="0" w:line="240" w:lineRule="auto"/>
        <w:ind w:left="1532" w:right="0" w:hanging="721"/>
        <w:jc w:val="both"/>
        <w:rPr>
          <w:sz w:val="24"/>
        </w:rPr>
      </w:pPr>
      <w:r>
        <w:rPr>
          <w:sz w:val="24"/>
        </w:rPr>
        <w:t>项目经理：</w:t>
      </w:r>
    </w:p>
    <w:p>
      <w:pPr>
        <w:pStyle w:val="8"/>
        <w:tabs>
          <w:tab w:val="left" w:pos="6452"/>
        </w:tabs>
        <w:spacing w:before="160" w:line="364" w:lineRule="auto"/>
        <w:ind w:left="812" w:right="3852"/>
        <w:jc w:val="both"/>
      </w:pPr>
      <w:r>
        <w:t xml:space="preserve">姓  </w:t>
      </w:r>
      <w:r>
        <w:rPr>
          <w:spacing w:val="119"/>
        </w:rPr>
        <w:t xml:space="preserve"> </w:t>
      </w:r>
      <w:r>
        <w:t>名：</w:t>
      </w:r>
      <w:r>
        <w:rPr>
          <w:u w:val="single"/>
        </w:rPr>
        <w:t xml:space="preserve"> </w:t>
      </w:r>
      <w:r>
        <w:rPr>
          <w:u w:val="single"/>
        </w:rPr>
        <w:tab/>
      </w:r>
      <w:r>
        <w:rPr>
          <w:spacing w:val="-17"/>
        </w:rPr>
        <w:t xml:space="preserve">； </w:t>
      </w:r>
      <w:r>
        <w:t>身份证号：</w:t>
      </w:r>
      <w:r>
        <w:rPr>
          <w:u w:val="single"/>
        </w:rPr>
        <w:t xml:space="preserve"> </w:t>
      </w:r>
      <w:r>
        <w:rPr>
          <w:u w:val="single"/>
        </w:rPr>
        <w:tab/>
      </w:r>
      <w:r>
        <w:rPr>
          <w:spacing w:val="-17"/>
        </w:rPr>
        <w:t xml:space="preserve">； </w:t>
      </w:r>
      <w:r>
        <w:t>建造师执业资格等级：</w:t>
      </w:r>
      <w:r>
        <w:rPr>
          <w:u w:val="single"/>
        </w:rPr>
        <w:t xml:space="preserve"> </w:t>
      </w:r>
      <w:r>
        <w:rPr>
          <w:u w:val="single"/>
        </w:rPr>
        <w:tab/>
      </w:r>
      <w:r>
        <w:rPr>
          <w:spacing w:val="-17"/>
        </w:rPr>
        <w:t xml:space="preserve">； </w:t>
      </w:r>
      <w:r>
        <w:t>建造师注册证书号：</w:t>
      </w:r>
      <w:r>
        <w:rPr>
          <w:u w:val="single"/>
        </w:rPr>
        <w:t xml:space="preserve"> </w:t>
      </w:r>
      <w:r>
        <w:rPr>
          <w:u w:val="single"/>
        </w:rPr>
        <w:tab/>
      </w:r>
      <w:r>
        <w:rPr>
          <w:spacing w:val="-17"/>
        </w:rPr>
        <w:t xml:space="preserve">； </w:t>
      </w:r>
      <w:r>
        <w:t>建造师执业印章号：</w:t>
      </w:r>
      <w:r>
        <w:rPr>
          <w:u w:val="single"/>
        </w:rPr>
        <w:t xml:space="preserve"> </w:t>
      </w:r>
      <w:r>
        <w:rPr>
          <w:u w:val="single"/>
        </w:rPr>
        <w:tab/>
      </w:r>
      <w:r>
        <w:rPr>
          <w:spacing w:val="-17"/>
        </w:rPr>
        <w:t xml:space="preserve">； </w:t>
      </w:r>
      <w:r>
        <w:t>安全生产考核合格证书号：</w:t>
      </w:r>
      <w:r>
        <w:rPr>
          <w:u w:val="single"/>
        </w:rPr>
        <w:t xml:space="preserve"> </w:t>
      </w:r>
      <w:r>
        <w:rPr>
          <w:u w:val="single"/>
        </w:rPr>
        <w:tab/>
      </w:r>
      <w:r>
        <w:rPr>
          <w:spacing w:val="-17"/>
        </w:rPr>
        <w:t xml:space="preserve">； </w:t>
      </w:r>
      <w:r>
        <w:t>联系电话：</w:t>
      </w:r>
      <w:r>
        <w:rPr>
          <w:u w:val="single"/>
        </w:rPr>
        <w:t xml:space="preserve"> </w:t>
      </w:r>
      <w:r>
        <w:rPr>
          <w:u w:val="single"/>
        </w:rPr>
        <w:tab/>
      </w:r>
      <w:r>
        <w:rPr>
          <w:spacing w:val="-17"/>
        </w:rPr>
        <w:t xml:space="preserve">； </w:t>
      </w:r>
      <w:r>
        <w:t>电子信箱：</w:t>
      </w:r>
      <w:r>
        <w:rPr>
          <w:u w:val="single"/>
        </w:rPr>
        <w:t xml:space="preserve"> </w:t>
      </w:r>
      <w:r>
        <w:rPr>
          <w:u w:val="single"/>
        </w:rPr>
        <w:tab/>
      </w:r>
      <w:r>
        <w:rPr>
          <w:spacing w:val="-17"/>
        </w:rPr>
        <w:t xml:space="preserve">； </w:t>
      </w:r>
      <w:r>
        <w:t>通信地址：</w:t>
      </w:r>
      <w:r>
        <w:rPr>
          <w:u w:val="single"/>
        </w:rPr>
        <w:t xml:space="preserve"> </w:t>
      </w:r>
      <w:r>
        <w:rPr>
          <w:u w:val="single"/>
        </w:rPr>
        <w:tab/>
      </w:r>
      <w:r>
        <w:rPr>
          <w:spacing w:val="-17"/>
        </w:rPr>
        <w:t>；</w:t>
      </w:r>
    </w:p>
    <w:p>
      <w:pPr>
        <w:pStyle w:val="8"/>
        <w:tabs>
          <w:tab w:val="left" w:pos="7471"/>
        </w:tabs>
        <w:spacing w:line="301" w:lineRule="exact"/>
        <w:ind w:left="812"/>
        <w:rPr>
          <w:rFonts w:ascii="Times New Roman" w:eastAsia="Times New Roman"/>
        </w:rPr>
      </w:pPr>
      <w:r>
        <w:rPr>
          <w:spacing w:val="-1"/>
        </w:rPr>
        <w:t>承</w:t>
      </w:r>
      <w:r>
        <w:t>包人对项目经理的授权范围如下：</w:t>
      </w:r>
      <w:r>
        <w:rPr>
          <w:rFonts w:ascii="Times New Roman" w:eastAsia="Times New Roman"/>
          <w:u w:val="single"/>
        </w:rPr>
        <w:t xml:space="preserve"> </w:t>
      </w:r>
      <w:r>
        <w:rPr>
          <w:rFonts w:ascii="Times New Roman" w:eastAsia="Times New Roman"/>
          <w:u w:val="single"/>
        </w:rPr>
        <w:tab/>
      </w:r>
    </w:p>
    <w:p>
      <w:pPr>
        <w:pStyle w:val="8"/>
        <w:tabs>
          <w:tab w:val="left" w:pos="7227"/>
        </w:tabs>
        <w:spacing w:before="161"/>
        <w:ind w:left="388"/>
      </w:pPr>
      <w:r>
        <w:rPr>
          <w:rFonts w:ascii="Times New Roman" w:eastAsia="Times New Roman"/>
          <w:u w:val="single"/>
        </w:rPr>
        <w:t xml:space="preserve"> </w:t>
      </w:r>
      <w:r>
        <w:rPr>
          <w:rFonts w:ascii="Times New Roman" w:eastAsia="Times New Roman"/>
          <w:u w:val="single"/>
        </w:rPr>
        <w:tab/>
      </w:r>
      <w:r>
        <w:t>。</w:t>
      </w:r>
    </w:p>
    <w:p>
      <w:pPr>
        <w:pStyle w:val="8"/>
        <w:tabs>
          <w:tab w:val="left" w:pos="9859"/>
        </w:tabs>
        <w:spacing w:before="158"/>
        <w:ind w:left="812"/>
        <w:rPr>
          <w:rFonts w:ascii="Times New Roman" w:eastAsia="Times New Roman"/>
        </w:rPr>
      </w:pPr>
      <w:r>
        <w:rPr>
          <w:spacing w:val="-1"/>
        </w:rPr>
        <w:t>关</w:t>
      </w:r>
      <w:r>
        <w:t>于项目经理每月在施工现场的时间要求：</w:t>
      </w:r>
      <w:r>
        <w:rPr>
          <w:rFonts w:ascii="Times New Roman" w:eastAsia="Times New Roman"/>
          <w:u w:val="single"/>
        </w:rPr>
        <w:t xml:space="preserve"> </w:t>
      </w:r>
      <w:r>
        <w:rPr>
          <w:rFonts w:ascii="Times New Roman" w:eastAsia="Times New Roman"/>
          <w:u w:val="single"/>
        </w:rPr>
        <w:tab/>
      </w:r>
    </w:p>
    <w:p>
      <w:pPr>
        <w:pStyle w:val="8"/>
        <w:spacing w:before="160"/>
        <w:ind w:left="388"/>
      </w:pPr>
      <w:r>
        <w:rPr>
          <w:rFonts w:ascii="Times New Roman" w:eastAsia="Times New Roman"/>
          <w:u w:val="single"/>
        </w:rPr>
        <w:t xml:space="preserve">    </w:t>
      </w:r>
      <w:r>
        <w:t>。</w:t>
      </w:r>
    </w:p>
    <w:p>
      <w:pPr>
        <w:pStyle w:val="8"/>
        <w:tabs>
          <w:tab w:val="left" w:pos="9859"/>
        </w:tabs>
        <w:spacing w:before="159"/>
        <w:ind w:left="812"/>
        <w:rPr>
          <w:rFonts w:ascii="Times New Roman" w:eastAsia="Times New Roman"/>
        </w:rPr>
      </w:pPr>
      <w:r>
        <w:t>承包人未提交劳动合同</w:t>
      </w:r>
      <w:r>
        <w:rPr>
          <w:spacing w:val="-8"/>
        </w:rPr>
        <w:t>，</w:t>
      </w:r>
      <w:r>
        <w:t>以及没有为项目经理缴纳社会保险证明的违约责任</w:t>
      </w:r>
      <w:r>
        <w:rPr>
          <w:spacing w:val="-6"/>
        </w:rPr>
        <w:t>：</w:t>
      </w:r>
      <w:r>
        <w:rPr>
          <w:rFonts w:ascii="Times New Roman" w:eastAsia="Times New Roman"/>
          <w:u w:val="single"/>
        </w:rPr>
        <w:t xml:space="preserve"> </w:t>
      </w:r>
      <w:r>
        <w:rPr>
          <w:rFonts w:ascii="Times New Roman" w:eastAsia="Times New Roman"/>
          <w:u w:val="single"/>
        </w:rPr>
        <w:tab/>
      </w:r>
    </w:p>
    <w:p>
      <w:pPr>
        <w:pStyle w:val="8"/>
        <w:rPr>
          <w:rFonts w:ascii="Times New Roman"/>
          <w:sz w:val="20"/>
        </w:rPr>
      </w:pPr>
    </w:p>
    <w:p>
      <w:pPr>
        <w:pStyle w:val="8"/>
        <w:spacing w:before="2"/>
        <w:rPr>
          <w:rFonts w:ascii="Times New Roman"/>
          <w:sz w:val="13"/>
        </w:rPr>
      </w:pPr>
      <w:r>
        <w:pict>
          <v:line id="_x0000_s1160" o:spid="_x0000_s1160" o:spt="20" style="position:absolute;left:0pt;margin-left:62.4pt;margin-top:9.85pt;height:0pt;width:470.6pt;mso-position-horizontal-relative:page;mso-wrap-distance-bottom:0pt;mso-wrap-distance-top:0pt;z-index:-251517952;mso-width-relative:page;mso-height-relative:page;" stroked="t" coordsize="21600,21600">
            <v:path arrowok="t"/>
            <v:fill focussize="0,0"/>
            <v:stroke weight="0.6pt" color="#000000"/>
            <v:imagedata o:title=""/>
            <o:lock v:ext="edit"/>
            <w10:wrap type="topAndBottom"/>
          </v:line>
        </w:pict>
      </w:r>
    </w:p>
    <w:p>
      <w:pPr>
        <w:pStyle w:val="8"/>
        <w:spacing w:before="7"/>
        <w:rPr>
          <w:rFonts w:ascii="Times New Roman"/>
          <w:sz w:val="8"/>
        </w:rPr>
      </w:pPr>
    </w:p>
    <w:p>
      <w:pPr>
        <w:pStyle w:val="8"/>
        <w:spacing w:before="67"/>
        <w:ind w:left="388"/>
      </w:pPr>
      <w:r>
        <w:rPr>
          <w:rFonts w:ascii="Times New Roman" w:eastAsia="Times New Roman"/>
          <w:u w:val="single"/>
        </w:rPr>
        <w:t xml:space="preserve">    </w:t>
      </w:r>
      <w:r>
        <w:t>。</w:t>
      </w:r>
    </w:p>
    <w:p>
      <w:pPr>
        <w:pStyle w:val="8"/>
        <w:tabs>
          <w:tab w:val="left" w:pos="9799"/>
        </w:tabs>
        <w:spacing w:before="158"/>
        <w:ind w:left="812"/>
      </w:pPr>
      <w:r>
        <w:t>项目经理未经批准</w:t>
      </w:r>
      <w:r>
        <w:rPr>
          <w:spacing w:val="-68"/>
        </w:rPr>
        <w:t>，</w:t>
      </w:r>
      <w:r>
        <w:t>擅自离开施工现场的违约责任：</w:t>
      </w:r>
      <w:r>
        <w:tab/>
      </w:r>
    </w:p>
    <w:p>
      <w:pPr>
        <w:pStyle w:val="8"/>
        <w:spacing w:before="160"/>
        <w:ind w:left="388"/>
      </w:pPr>
      <w:r>
        <w:rPr>
          <w:rFonts w:ascii="Times New Roman" w:eastAsia="Times New Roman"/>
          <w:u w:val="single"/>
        </w:rPr>
        <w:t xml:space="preserve">    </w:t>
      </w:r>
      <w:r>
        <w:t>。</w:t>
      </w:r>
    </w:p>
    <w:p>
      <w:pPr>
        <w:pStyle w:val="16"/>
        <w:numPr>
          <w:ilvl w:val="2"/>
          <w:numId w:val="94"/>
        </w:numPr>
        <w:tabs>
          <w:tab w:val="left" w:pos="1533"/>
          <w:tab w:val="left" w:pos="7591"/>
        </w:tabs>
        <w:spacing w:before="158" w:after="0" w:line="240" w:lineRule="auto"/>
        <w:ind w:left="1532" w:right="0" w:hanging="721"/>
        <w:jc w:val="left"/>
        <w:rPr>
          <w:rFonts w:ascii="Times New Roman" w:eastAsia="Times New Roman"/>
          <w:sz w:val="24"/>
        </w:rPr>
      </w:pPr>
      <w:r>
        <w:rPr>
          <w:spacing w:val="-1"/>
          <w:sz w:val="24"/>
        </w:rPr>
        <w:t>承</w:t>
      </w:r>
      <w:r>
        <w:rPr>
          <w:sz w:val="24"/>
        </w:rPr>
        <w:t>包人擅自更换项目经理的违约责任：</w:t>
      </w:r>
      <w:r>
        <w:rPr>
          <w:rFonts w:ascii="Times New Roman" w:eastAsia="Times New Roman"/>
          <w:sz w:val="24"/>
          <w:u w:val="single"/>
        </w:rPr>
        <w:t xml:space="preserve"> </w:t>
      </w:r>
      <w:r>
        <w:rPr>
          <w:rFonts w:ascii="Times New Roman" w:eastAsia="Times New Roman"/>
          <w:sz w:val="24"/>
          <w:u w:val="single"/>
        </w:rPr>
        <w:tab/>
      </w:r>
    </w:p>
    <w:p>
      <w:pPr>
        <w:pStyle w:val="8"/>
        <w:tabs>
          <w:tab w:val="left" w:pos="7652"/>
        </w:tabs>
        <w:spacing w:before="159"/>
        <w:ind w:left="811"/>
      </w:pPr>
      <w:r>
        <w:rPr>
          <w:rFonts w:ascii="Times New Roman" w:eastAsia="Times New Roman"/>
          <w:u w:val="single"/>
        </w:rPr>
        <w:t xml:space="preserve"> </w:t>
      </w:r>
      <w:r>
        <w:rPr>
          <w:rFonts w:ascii="Times New Roman" w:eastAsia="Times New Roman"/>
          <w:u w:val="single"/>
        </w:rPr>
        <w:tab/>
      </w:r>
      <w:r>
        <w:t>。</w:t>
      </w:r>
    </w:p>
    <w:p>
      <w:pPr>
        <w:pStyle w:val="16"/>
        <w:numPr>
          <w:ilvl w:val="2"/>
          <w:numId w:val="94"/>
        </w:numPr>
        <w:tabs>
          <w:tab w:val="left" w:pos="2013"/>
          <w:tab w:val="left" w:pos="9859"/>
        </w:tabs>
        <w:spacing w:before="160" w:after="0" w:line="240" w:lineRule="auto"/>
        <w:ind w:left="2012" w:right="0" w:hanging="721"/>
        <w:jc w:val="left"/>
        <w:rPr>
          <w:rFonts w:ascii="Times New Roman" w:eastAsia="Times New Roman"/>
          <w:sz w:val="24"/>
        </w:rPr>
      </w:pPr>
      <w:r>
        <w:rPr>
          <w:spacing w:val="-1"/>
          <w:sz w:val="24"/>
        </w:rPr>
        <w:t>承</w:t>
      </w:r>
      <w:r>
        <w:rPr>
          <w:sz w:val="24"/>
        </w:rPr>
        <w:t>包人无正当理由拒绝更换项目经理的违约责任：</w:t>
      </w:r>
      <w:r>
        <w:rPr>
          <w:rFonts w:ascii="Times New Roman" w:eastAsia="Times New Roman"/>
          <w:sz w:val="24"/>
          <w:u w:val="single"/>
        </w:rPr>
        <w:t xml:space="preserve"> </w:t>
      </w:r>
      <w:r>
        <w:rPr>
          <w:rFonts w:ascii="Times New Roman" w:eastAsia="Times New Roman"/>
          <w:sz w:val="24"/>
          <w:u w:val="single"/>
        </w:rPr>
        <w:tab/>
      </w:r>
    </w:p>
    <w:p>
      <w:pPr>
        <w:pStyle w:val="8"/>
        <w:tabs>
          <w:tab w:val="left" w:pos="5067"/>
        </w:tabs>
        <w:spacing w:before="161"/>
        <w:ind w:left="388"/>
      </w:pPr>
      <w:r>
        <w:rPr>
          <w:rFonts w:ascii="Times New Roman" w:eastAsia="Times New Roman"/>
          <w:u w:val="single"/>
        </w:rPr>
        <w:t xml:space="preserve"> </w:t>
      </w:r>
      <w:r>
        <w:rPr>
          <w:rFonts w:ascii="Times New Roman" w:eastAsia="Times New Roman"/>
          <w:u w:val="single"/>
        </w:rPr>
        <w:tab/>
      </w:r>
      <w:r>
        <w:t>。</w:t>
      </w:r>
    </w:p>
    <w:p>
      <w:pPr>
        <w:pStyle w:val="16"/>
        <w:numPr>
          <w:ilvl w:val="1"/>
          <w:numId w:val="85"/>
        </w:numPr>
        <w:tabs>
          <w:tab w:val="left" w:pos="1293"/>
        </w:tabs>
        <w:spacing w:before="158" w:after="0" w:line="240" w:lineRule="auto"/>
        <w:ind w:left="1292" w:right="0" w:hanging="481"/>
        <w:jc w:val="left"/>
        <w:rPr>
          <w:sz w:val="24"/>
        </w:rPr>
      </w:pPr>
      <w:r>
        <w:rPr>
          <w:sz w:val="24"/>
        </w:rPr>
        <w:t>承包人人员</w:t>
      </w:r>
    </w:p>
    <w:p>
      <w:pPr>
        <w:spacing w:after="0" w:line="240" w:lineRule="auto"/>
        <w:jc w:val="left"/>
        <w:rPr>
          <w:sz w:val="24"/>
        </w:rPr>
        <w:sectPr>
          <w:footerReference r:id="rId15" w:type="default"/>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pgNumType w:start="100"/>
          <w:cols w:space="720" w:num="1"/>
        </w:sectPr>
      </w:pPr>
    </w:p>
    <w:p>
      <w:pPr>
        <w:tabs>
          <w:tab w:val="left" w:pos="7676"/>
        </w:tabs>
        <w:spacing w:before="45"/>
        <w:ind w:left="388" w:right="0" w:firstLine="0"/>
        <w:jc w:val="left"/>
        <w:rPr>
          <w:sz w:val="18"/>
        </w:rPr>
      </w:pPr>
      <w:r>
        <w:pict>
          <v:line id="_x0000_s1161" o:spid="_x0000_s1161" o:spt="20" style="position:absolute;left:0pt;margin-left:62.4pt;margin-top:12.25pt;height:0pt;width:400.4pt;mso-position-horizontal-relative:page;z-index:25180057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2"/>
          <w:numId w:val="85"/>
        </w:numPr>
        <w:tabs>
          <w:tab w:val="left" w:pos="1533"/>
          <w:tab w:val="left" w:pos="9859"/>
        </w:tabs>
        <w:spacing w:before="67" w:after="0" w:line="240" w:lineRule="auto"/>
        <w:ind w:left="1532" w:right="0" w:hanging="721"/>
        <w:jc w:val="left"/>
        <w:rPr>
          <w:rFonts w:ascii="Times New Roman" w:eastAsia="Times New Roman"/>
          <w:sz w:val="24"/>
        </w:rPr>
      </w:pPr>
      <w:r>
        <w:rPr>
          <w:spacing w:val="-1"/>
          <w:sz w:val="24"/>
        </w:rPr>
        <w:t>承</w:t>
      </w:r>
      <w:r>
        <w:rPr>
          <w:sz w:val="24"/>
        </w:rPr>
        <w:t>包人提交项目管理机构及施工现场管理人员安排报告的期限：</w:t>
      </w:r>
      <w:r>
        <w:rPr>
          <w:rFonts w:ascii="Times New Roman" w:eastAsia="Times New Roman"/>
          <w:sz w:val="24"/>
          <w:u w:val="single"/>
        </w:rPr>
        <w:t xml:space="preserve"> </w:t>
      </w:r>
      <w:r>
        <w:rPr>
          <w:rFonts w:ascii="Times New Roman" w:eastAsia="Times New Roman"/>
          <w:sz w:val="24"/>
          <w:u w:val="single"/>
        </w:rPr>
        <w:tab/>
      </w:r>
    </w:p>
    <w:p>
      <w:pPr>
        <w:pStyle w:val="8"/>
        <w:tabs>
          <w:tab w:val="left" w:pos="1227"/>
        </w:tabs>
        <w:spacing w:before="158"/>
        <w:ind w:left="388"/>
      </w:pPr>
      <w:r>
        <w:rPr>
          <w:rFonts w:ascii="Times New Roman" w:eastAsia="Times New Roman"/>
          <w:u w:val="single"/>
        </w:rPr>
        <w:t xml:space="preserve"> </w:t>
      </w:r>
      <w:r>
        <w:rPr>
          <w:rFonts w:ascii="Times New Roman" w:eastAsia="Times New Roman"/>
          <w:u w:val="single"/>
        </w:rPr>
        <w:tab/>
      </w:r>
      <w:r>
        <w:t>。</w:t>
      </w:r>
    </w:p>
    <w:p>
      <w:pPr>
        <w:pStyle w:val="16"/>
        <w:numPr>
          <w:ilvl w:val="2"/>
          <w:numId w:val="95"/>
        </w:numPr>
        <w:tabs>
          <w:tab w:val="left" w:pos="1533"/>
          <w:tab w:val="left" w:pos="9859"/>
        </w:tabs>
        <w:spacing w:before="160" w:after="0" w:line="240" w:lineRule="auto"/>
        <w:ind w:left="1532" w:right="0" w:hanging="721"/>
        <w:jc w:val="left"/>
        <w:rPr>
          <w:rFonts w:ascii="Times New Roman" w:eastAsia="Times New Roman"/>
          <w:sz w:val="24"/>
        </w:rPr>
      </w:pPr>
      <w:r>
        <w:rPr>
          <w:spacing w:val="-1"/>
          <w:sz w:val="24"/>
        </w:rPr>
        <w:t>承</w:t>
      </w:r>
      <w:r>
        <w:rPr>
          <w:sz w:val="24"/>
        </w:rPr>
        <w:t>包人无正当理由拒绝撤换主要施工管理人员的违约责任：</w:t>
      </w:r>
      <w:r>
        <w:rPr>
          <w:rFonts w:ascii="Times New Roman" w:eastAsia="Times New Roman"/>
          <w:sz w:val="24"/>
          <w:u w:val="single"/>
        </w:rPr>
        <w:t xml:space="preserve"> </w:t>
      </w:r>
      <w:r>
        <w:rPr>
          <w:rFonts w:ascii="Times New Roman" w:eastAsia="Times New Roman"/>
          <w:sz w:val="24"/>
          <w:u w:val="single"/>
        </w:rPr>
        <w:tab/>
      </w:r>
    </w:p>
    <w:p>
      <w:pPr>
        <w:pStyle w:val="8"/>
        <w:tabs>
          <w:tab w:val="left" w:pos="3507"/>
        </w:tabs>
        <w:spacing w:before="158"/>
        <w:ind w:left="388"/>
      </w:pPr>
      <w:r>
        <w:rPr>
          <w:rFonts w:ascii="Times New Roman" w:eastAsia="Times New Roman"/>
          <w:u w:val="single"/>
        </w:rPr>
        <w:t xml:space="preserve"> </w:t>
      </w:r>
      <w:r>
        <w:rPr>
          <w:rFonts w:ascii="Times New Roman" w:eastAsia="Times New Roman"/>
          <w:u w:val="single"/>
        </w:rPr>
        <w:tab/>
      </w:r>
      <w:r>
        <w:t>。</w:t>
      </w:r>
    </w:p>
    <w:p>
      <w:pPr>
        <w:pStyle w:val="16"/>
        <w:numPr>
          <w:ilvl w:val="2"/>
          <w:numId w:val="95"/>
        </w:numPr>
        <w:tabs>
          <w:tab w:val="left" w:pos="1533"/>
        </w:tabs>
        <w:spacing w:before="161" w:after="0" w:line="240" w:lineRule="auto"/>
        <w:ind w:left="1532" w:right="0" w:hanging="721"/>
        <w:jc w:val="left"/>
        <w:rPr>
          <w:sz w:val="24"/>
        </w:rPr>
      </w:pPr>
      <w:r>
        <w:rPr>
          <w:sz w:val="24"/>
        </w:rPr>
        <w:t>承包人主要施工管理人员离开施工现场的批准要求：</w:t>
      </w:r>
    </w:p>
    <w:p>
      <w:pPr>
        <w:pStyle w:val="8"/>
        <w:tabs>
          <w:tab w:val="left" w:pos="7227"/>
        </w:tabs>
        <w:spacing w:before="158"/>
        <w:ind w:left="388"/>
      </w:pPr>
      <w:r>
        <w:rPr>
          <w:rFonts w:ascii="Times New Roman" w:eastAsia="Times New Roman"/>
          <w:u w:val="single"/>
        </w:rPr>
        <w:t xml:space="preserve"> </w:t>
      </w:r>
      <w:r>
        <w:rPr>
          <w:rFonts w:ascii="Times New Roman" w:eastAsia="Times New Roman"/>
          <w:u w:val="single"/>
        </w:rPr>
        <w:tab/>
      </w:r>
      <w:r>
        <w:t>。</w:t>
      </w:r>
    </w:p>
    <w:p>
      <w:pPr>
        <w:pStyle w:val="16"/>
        <w:numPr>
          <w:ilvl w:val="2"/>
          <w:numId w:val="95"/>
        </w:numPr>
        <w:tabs>
          <w:tab w:val="left" w:pos="1473"/>
          <w:tab w:val="left" w:pos="7531"/>
        </w:tabs>
        <w:spacing w:before="161" w:after="0" w:line="240" w:lineRule="auto"/>
        <w:ind w:left="1472" w:right="0" w:hanging="661"/>
        <w:jc w:val="left"/>
        <w:rPr>
          <w:rFonts w:ascii="Times New Roman" w:eastAsia="Times New Roman"/>
          <w:sz w:val="24"/>
        </w:rPr>
      </w:pPr>
      <w:r>
        <w:rPr>
          <w:spacing w:val="-1"/>
          <w:sz w:val="24"/>
        </w:rPr>
        <w:t>承</w:t>
      </w:r>
      <w:r>
        <w:rPr>
          <w:sz w:val="24"/>
        </w:rPr>
        <w:t>包人擅自更换主要施工管理人员的违约责任：</w:t>
      </w:r>
      <w:r>
        <w:rPr>
          <w:rFonts w:ascii="Times New Roman" w:eastAsia="Times New Roman"/>
          <w:sz w:val="24"/>
          <w:u w:val="single"/>
        </w:rPr>
        <w:t xml:space="preserve"> </w:t>
      </w:r>
      <w:r>
        <w:rPr>
          <w:rFonts w:ascii="Times New Roman" w:eastAsia="Times New Roman"/>
          <w:sz w:val="24"/>
          <w:u w:val="single"/>
        </w:rPr>
        <w:tab/>
      </w:r>
    </w:p>
    <w:p>
      <w:pPr>
        <w:pStyle w:val="8"/>
        <w:tabs>
          <w:tab w:val="left" w:pos="6987"/>
        </w:tabs>
        <w:spacing w:before="160"/>
        <w:ind w:left="388"/>
      </w:pPr>
      <w:r>
        <w:rPr>
          <w:rFonts w:ascii="Times New Roman" w:eastAsia="Times New Roman"/>
          <w:u w:val="single"/>
        </w:rPr>
        <w:t xml:space="preserve"> </w:t>
      </w:r>
      <w:r>
        <w:rPr>
          <w:rFonts w:ascii="Times New Roman" w:eastAsia="Times New Roman"/>
          <w:u w:val="single"/>
        </w:rPr>
        <w:tab/>
      </w:r>
      <w:r>
        <w:t>。</w:t>
      </w:r>
    </w:p>
    <w:p>
      <w:pPr>
        <w:pStyle w:val="8"/>
        <w:tabs>
          <w:tab w:val="left" w:pos="7711"/>
        </w:tabs>
        <w:spacing w:before="158"/>
        <w:ind w:left="812"/>
        <w:rPr>
          <w:rFonts w:ascii="Times New Roman" w:eastAsia="Times New Roman"/>
        </w:rPr>
      </w:pPr>
      <w:r>
        <w:rPr>
          <w:spacing w:val="-1"/>
        </w:rPr>
        <w:t>承</w:t>
      </w:r>
      <w:r>
        <w:t>包人主要施工管理人员擅自离开施工现场的违约责任：</w:t>
      </w:r>
      <w:r>
        <w:rPr>
          <w:rFonts w:ascii="Times New Roman" w:eastAsia="Times New Roman"/>
          <w:u w:val="single"/>
        </w:rPr>
        <w:t xml:space="preserve"> </w:t>
      </w:r>
      <w:r>
        <w:rPr>
          <w:rFonts w:ascii="Times New Roman" w:eastAsia="Times New Roman"/>
          <w:u w:val="single"/>
        </w:rPr>
        <w:tab/>
      </w:r>
    </w:p>
    <w:p>
      <w:pPr>
        <w:pStyle w:val="8"/>
        <w:tabs>
          <w:tab w:val="left" w:pos="6987"/>
        </w:tabs>
        <w:spacing w:before="158"/>
        <w:ind w:left="388"/>
      </w:pPr>
      <w:r>
        <w:rPr>
          <w:rFonts w:ascii="Times New Roman" w:eastAsia="Times New Roman"/>
          <w:u w:val="single"/>
        </w:rPr>
        <w:t xml:space="preserve"> </w:t>
      </w:r>
      <w:r>
        <w:rPr>
          <w:rFonts w:ascii="Times New Roman" w:eastAsia="Times New Roman"/>
          <w:u w:val="single"/>
        </w:rPr>
        <w:tab/>
      </w:r>
      <w:r>
        <w:t>。</w:t>
      </w:r>
    </w:p>
    <w:p>
      <w:pPr>
        <w:pStyle w:val="16"/>
        <w:numPr>
          <w:ilvl w:val="1"/>
          <w:numId w:val="96"/>
        </w:numPr>
        <w:tabs>
          <w:tab w:val="left" w:pos="1293"/>
        </w:tabs>
        <w:spacing w:before="161" w:after="0" w:line="240" w:lineRule="auto"/>
        <w:ind w:left="1292" w:right="0" w:hanging="481"/>
        <w:jc w:val="left"/>
        <w:rPr>
          <w:sz w:val="24"/>
        </w:rPr>
      </w:pPr>
      <w:r>
        <w:rPr>
          <w:sz w:val="24"/>
        </w:rPr>
        <w:t>分包</w:t>
      </w:r>
    </w:p>
    <w:p>
      <w:pPr>
        <w:pStyle w:val="16"/>
        <w:numPr>
          <w:ilvl w:val="2"/>
          <w:numId w:val="96"/>
        </w:numPr>
        <w:tabs>
          <w:tab w:val="left" w:pos="1533"/>
        </w:tabs>
        <w:spacing w:before="160" w:after="0" w:line="240" w:lineRule="auto"/>
        <w:ind w:left="1532" w:right="0" w:hanging="721"/>
        <w:jc w:val="left"/>
        <w:rPr>
          <w:sz w:val="24"/>
        </w:rPr>
      </w:pPr>
      <w:r>
        <w:rPr>
          <w:sz w:val="24"/>
        </w:rPr>
        <w:t>分包的一般约定</w:t>
      </w:r>
    </w:p>
    <w:p>
      <w:pPr>
        <w:pStyle w:val="8"/>
        <w:tabs>
          <w:tab w:val="left" w:pos="6812"/>
          <w:tab w:val="left" w:pos="7351"/>
        </w:tabs>
        <w:spacing w:before="158" w:line="364" w:lineRule="auto"/>
        <w:ind w:left="812" w:right="3193"/>
        <w:rPr>
          <w:rFonts w:ascii="Times New Roman" w:eastAsia="Times New Roman"/>
        </w:rPr>
      </w:pPr>
      <w:r>
        <w:t>禁止分包的工程包括：</w:t>
      </w:r>
      <w:r>
        <w:rPr>
          <w:u w:val="single"/>
        </w:rPr>
        <w:t xml:space="preserve"> </w:t>
      </w:r>
      <w:r>
        <w:rPr>
          <w:u w:val="single"/>
        </w:rPr>
        <w:tab/>
      </w:r>
      <w:r>
        <w:t xml:space="preserve">。 </w:t>
      </w:r>
      <w:r>
        <w:rPr>
          <w:spacing w:val="-1"/>
        </w:rPr>
        <w:t>主</w:t>
      </w:r>
      <w:r>
        <w:t>体结构、关键性工作的范围：</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p>
    <w:p>
      <w:pPr>
        <w:pStyle w:val="16"/>
        <w:numPr>
          <w:ilvl w:val="2"/>
          <w:numId w:val="96"/>
        </w:numPr>
        <w:tabs>
          <w:tab w:val="left" w:pos="1473"/>
        </w:tabs>
        <w:spacing w:before="0" w:after="0" w:line="306" w:lineRule="exact"/>
        <w:ind w:left="1472" w:right="0" w:hanging="661"/>
        <w:jc w:val="left"/>
        <w:rPr>
          <w:sz w:val="24"/>
        </w:rPr>
      </w:pPr>
      <w:r>
        <w:rPr>
          <w:sz w:val="24"/>
        </w:rPr>
        <w:t>分包的确定</w:t>
      </w:r>
    </w:p>
    <w:p>
      <w:pPr>
        <w:pStyle w:val="8"/>
        <w:tabs>
          <w:tab w:val="left" w:pos="7172"/>
        </w:tabs>
        <w:spacing w:before="161" w:line="362" w:lineRule="auto"/>
        <w:ind w:left="812" w:right="3132"/>
      </w:pPr>
      <w:r>
        <w:t>允许分包的专业工程包括：</w:t>
      </w:r>
      <w:r>
        <w:rPr>
          <w:u w:val="single"/>
        </w:rPr>
        <w:t xml:space="preserve"> </w:t>
      </w:r>
      <w:r>
        <w:rPr>
          <w:u w:val="single"/>
        </w:rPr>
        <w:tab/>
      </w:r>
      <w:r>
        <w:rPr>
          <w:spacing w:val="-17"/>
        </w:rPr>
        <w:t>。</w:t>
      </w:r>
      <w:r>
        <w:t>其他关于分包的约定：</w:t>
      </w:r>
    </w:p>
    <w:p>
      <w:pPr>
        <w:pStyle w:val="8"/>
        <w:spacing w:before="5"/>
        <w:ind w:left="812"/>
      </w:pPr>
      <w:r>
        <w:t>3.5.4 分包合同价款</w:t>
      </w:r>
    </w:p>
    <w:p>
      <w:pPr>
        <w:pStyle w:val="8"/>
        <w:tabs>
          <w:tab w:val="left" w:pos="7292"/>
        </w:tabs>
        <w:spacing w:before="158"/>
        <w:ind w:left="812"/>
      </w:pPr>
      <w:r>
        <w:t>关于分包合同价款支付的约定：</w:t>
      </w:r>
      <w:r>
        <w:rPr>
          <w:u w:val="single"/>
        </w:rPr>
        <w:t xml:space="preserve"> </w:t>
      </w:r>
      <w:r>
        <w:rPr>
          <w:u w:val="single"/>
        </w:rPr>
        <w:tab/>
      </w:r>
      <w:r>
        <w:t>。</w:t>
      </w:r>
    </w:p>
    <w:p>
      <w:pPr>
        <w:pStyle w:val="16"/>
        <w:numPr>
          <w:ilvl w:val="1"/>
          <w:numId w:val="96"/>
        </w:numPr>
        <w:tabs>
          <w:tab w:val="left" w:pos="1293"/>
        </w:tabs>
        <w:spacing w:before="160" w:after="0" w:line="240" w:lineRule="auto"/>
        <w:ind w:left="1292" w:right="0" w:hanging="481"/>
        <w:jc w:val="left"/>
        <w:rPr>
          <w:sz w:val="24"/>
        </w:rPr>
      </w:pPr>
      <w:r>
        <w:rPr>
          <w:sz w:val="24"/>
        </w:rPr>
        <w:t>工程照管与成品、半成品保护</w:t>
      </w:r>
    </w:p>
    <w:p>
      <w:pPr>
        <w:pStyle w:val="8"/>
        <w:spacing w:before="159"/>
        <w:ind w:left="812"/>
      </w:pPr>
      <w:r>
        <w:t>承包人负责照管工程及工程相关的材料、工程设备的起始时间：。</w:t>
      </w:r>
    </w:p>
    <w:p>
      <w:pPr>
        <w:pStyle w:val="16"/>
        <w:numPr>
          <w:ilvl w:val="0"/>
          <w:numId w:val="85"/>
        </w:numPr>
        <w:tabs>
          <w:tab w:val="left" w:pos="1173"/>
        </w:tabs>
        <w:spacing w:before="160" w:after="0" w:line="240" w:lineRule="auto"/>
        <w:ind w:left="1172" w:right="0" w:hanging="361"/>
        <w:jc w:val="left"/>
        <w:outlineLvl w:val="2"/>
        <w:rPr>
          <w:sz w:val="24"/>
        </w:rPr>
      </w:pPr>
      <w:r>
        <w:rPr>
          <w:sz w:val="24"/>
        </w:rPr>
        <w:t>监理人</w:t>
      </w:r>
    </w:p>
    <w:p>
      <w:pPr>
        <w:pStyle w:val="16"/>
        <w:numPr>
          <w:ilvl w:val="1"/>
          <w:numId w:val="85"/>
        </w:numPr>
        <w:tabs>
          <w:tab w:val="left" w:pos="1233"/>
        </w:tabs>
        <w:spacing w:before="161" w:after="0" w:line="240" w:lineRule="auto"/>
        <w:ind w:left="1232" w:right="0" w:hanging="421"/>
        <w:jc w:val="left"/>
        <w:rPr>
          <w:sz w:val="24"/>
        </w:rPr>
      </w:pPr>
      <w:r>
        <w:rPr>
          <w:sz w:val="24"/>
        </w:rPr>
        <w:t>监理人的一般规定</w:t>
      </w:r>
    </w:p>
    <w:p>
      <w:pPr>
        <w:pStyle w:val="8"/>
        <w:spacing w:before="158" w:line="364" w:lineRule="auto"/>
        <w:ind w:left="812" w:right="6852"/>
      </w:pPr>
      <w:r>
        <w:t>关于监理人的监理内容：。关于监理人的监理权限：。</w:t>
      </w:r>
    </w:p>
    <w:p>
      <w:pPr>
        <w:pStyle w:val="8"/>
        <w:spacing w:line="306" w:lineRule="exact"/>
        <w:ind w:left="812"/>
      </w:pPr>
      <w:r>
        <w:t>关于监理人在施工现场的办公场所、生活场所的提供和费用承担的约定：</w:t>
      </w:r>
    </w:p>
    <w:p>
      <w:pPr>
        <w:pStyle w:val="16"/>
        <w:numPr>
          <w:ilvl w:val="1"/>
          <w:numId w:val="85"/>
        </w:numPr>
        <w:tabs>
          <w:tab w:val="left" w:pos="1293"/>
        </w:tabs>
        <w:spacing w:before="158" w:after="0" w:line="364" w:lineRule="auto"/>
        <w:ind w:left="812" w:right="8052" w:firstLine="0"/>
        <w:jc w:val="left"/>
        <w:rPr>
          <w:sz w:val="24"/>
        </w:rPr>
      </w:pPr>
      <w:r>
        <w:rPr>
          <w:sz w:val="24"/>
        </w:rPr>
        <w:t xml:space="preserve">监理人员 </w:t>
      </w:r>
      <w:r>
        <w:rPr>
          <w:spacing w:val="-3"/>
          <w:sz w:val="24"/>
        </w:rPr>
        <w:t>总监理工程师：</w:t>
      </w:r>
    </w:p>
    <w:p>
      <w:pPr>
        <w:pStyle w:val="8"/>
        <w:tabs>
          <w:tab w:val="left" w:pos="1532"/>
          <w:tab w:val="left" w:pos="5732"/>
        </w:tabs>
        <w:spacing w:before="1" w:line="362" w:lineRule="auto"/>
        <w:ind w:left="812" w:right="4572"/>
      </w:pPr>
      <w:r>
        <w:t>姓</w:t>
      </w:r>
      <w:r>
        <w:tab/>
      </w:r>
      <w:r>
        <w:t>名：</w:t>
      </w:r>
      <w:r>
        <w:rPr>
          <w:u w:val="single"/>
        </w:rPr>
        <w:t xml:space="preserve"> </w:t>
      </w:r>
      <w:r>
        <w:rPr>
          <w:u w:val="single"/>
        </w:rPr>
        <w:tab/>
      </w:r>
      <w:r>
        <w:rPr>
          <w:spacing w:val="-17"/>
        </w:rPr>
        <w:t xml:space="preserve">； </w:t>
      </w:r>
      <w:r>
        <w:t>职</w:t>
      </w:r>
      <w:r>
        <w:tab/>
      </w:r>
      <w:r>
        <w:t>务：</w:t>
      </w:r>
      <w:r>
        <w:rPr>
          <w:u w:val="single"/>
        </w:rPr>
        <w:t xml:space="preserve"> </w:t>
      </w:r>
      <w:r>
        <w:rPr>
          <w:u w:val="single"/>
        </w:rPr>
        <w:tab/>
      </w:r>
      <w:r>
        <w:rPr>
          <w:spacing w:val="-17"/>
        </w:rPr>
        <w:t>；</w:t>
      </w:r>
    </w:p>
    <w:p>
      <w:pPr>
        <w:spacing w:after="0" w:line="362" w:lineRule="auto"/>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62" o:spid="_x0000_s1162" o:spt="20" style="position:absolute;left:0pt;margin-left:62.4pt;margin-top:12.25pt;height:0pt;width:400.4pt;mso-position-horizontal-relative:page;z-index:25180160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tabs>
          <w:tab w:val="left" w:pos="5732"/>
        </w:tabs>
        <w:spacing w:before="67" w:line="364" w:lineRule="auto"/>
        <w:ind w:left="812" w:right="4572"/>
        <w:jc w:val="both"/>
      </w:pPr>
      <w:r>
        <w:t>监理工程师执业资格证书号：</w:t>
      </w:r>
      <w:r>
        <w:rPr>
          <w:u w:val="single"/>
        </w:rPr>
        <w:t xml:space="preserve"> </w:t>
      </w:r>
      <w:r>
        <w:rPr>
          <w:u w:val="single"/>
        </w:rPr>
        <w:tab/>
      </w:r>
      <w:r>
        <w:rPr>
          <w:spacing w:val="-17"/>
        </w:rPr>
        <w:t xml:space="preserve">； </w:t>
      </w:r>
      <w:r>
        <w:t>联系电话：</w:t>
      </w:r>
      <w:r>
        <w:rPr>
          <w:u w:val="single"/>
        </w:rPr>
        <w:t xml:space="preserve"> </w:t>
      </w:r>
      <w:r>
        <w:rPr>
          <w:u w:val="single"/>
        </w:rPr>
        <w:tab/>
      </w:r>
      <w:r>
        <w:rPr>
          <w:spacing w:val="-17"/>
        </w:rPr>
        <w:t xml:space="preserve">； </w:t>
      </w:r>
      <w:r>
        <w:t>电子信箱：</w:t>
      </w:r>
      <w:r>
        <w:rPr>
          <w:u w:val="single"/>
        </w:rPr>
        <w:t xml:space="preserve"> </w:t>
      </w:r>
      <w:r>
        <w:rPr>
          <w:u w:val="single"/>
        </w:rPr>
        <w:tab/>
      </w:r>
      <w:r>
        <w:rPr>
          <w:spacing w:val="-17"/>
        </w:rPr>
        <w:t xml:space="preserve">； </w:t>
      </w:r>
      <w:r>
        <w:t>通信地址：</w:t>
      </w:r>
      <w:r>
        <w:rPr>
          <w:u w:val="single"/>
        </w:rPr>
        <w:t xml:space="preserve"> </w:t>
      </w:r>
      <w:r>
        <w:rPr>
          <w:u w:val="single"/>
        </w:rPr>
        <w:tab/>
      </w:r>
      <w:r>
        <w:rPr>
          <w:spacing w:val="-17"/>
        </w:rPr>
        <w:t xml:space="preserve">； </w:t>
      </w:r>
      <w:r>
        <w:t>关于监理人的其他约定：</w:t>
      </w:r>
      <w:r>
        <w:rPr>
          <w:u w:val="single"/>
        </w:rPr>
        <w:t xml:space="preserve"> </w:t>
      </w:r>
      <w:r>
        <w:rPr>
          <w:u w:val="single"/>
        </w:rPr>
        <w:tab/>
      </w:r>
      <w:r>
        <w:rPr>
          <w:spacing w:val="-17"/>
        </w:rPr>
        <w:t>。</w:t>
      </w:r>
    </w:p>
    <w:p>
      <w:pPr>
        <w:pStyle w:val="8"/>
        <w:spacing w:line="303" w:lineRule="exact"/>
        <w:ind w:left="812"/>
        <w:jc w:val="both"/>
      </w:pPr>
      <w:r>
        <w:t>4.4 商定或确定</w:t>
      </w:r>
    </w:p>
    <w:p>
      <w:pPr>
        <w:pStyle w:val="8"/>
        <w:spacing w:before="160" w:line="364" w:lineRule="auto"/>
        <w:ind w:left="388" w:right="852" w:firstLine="424"/>
      </w:pPr>
      <w:r>
        <w:t>在发包人和承包人不能通过协商达成一致意见时，发包人授权监理人对以下事项进行确定：</w:t>
      </w:r>
    </w:p>
    <w:p>
      <w:pPr>
        <w:pStyle w:val="8"/>
        <w:spacing w:line="306" w:lineRule="exact"/>
        <w:ind w:left="812"/>
      </w:pPr>
      <w:r>
        <w:t>（1）；</w:t>
      </w:r>
    </w:p>
    <w:p>
      <w:pPr>
        <w:pStyle w:val="8"/>
        <w:spacing w:before="158"/>
        <w:ind w:left="812"/>
      </w:pPr>
      <w:r>
        <w:t>（2）；</w:t>
      </w:r>
    </w:p>
    <w:p>
      <w:pPr>
        <w:pStyle w:val="8"/>
        <w:spacing w:before="161"/>
        <w:ind w:left="812"/>
      </w:pPr>
      <w:r>
        <w:t>（3）。</w:t>
      </w:r>
    </w:p>
    <w:p>
      <w:pPr>
        <w:pStyle w:val="16"/>
        <w:numPr>
          <w:ilvl w:val="0"/>
          <w:numId w:val="85"/>
        </w:numPr>
        <w:tabs>
          <w:tab w:val="left" w:pos="1173"/>
        </w:tabs>
        <w:spacing w:before="160" w:after="0" w:line="240" w:lineRule="auto"/>
        <w:ind w:left="1172" w:right="0" w:hanging="361"/>
        <w:jc w:val="left"/>
        <w:outlineLvl w:val="2"/>
        <w:rPr>
          <w:sz w:val="24"/>
        </w:rPr>
      </w:pPr>
      <w:r>
        <w:rPr>
          <w:sz w:val="24"/>
        </w:rPr>
        <w:t>工程质量</w:t>
      </w:r>
    </w:p>
    <w:p>
      <w:pPr>
        <w:pStyle w:val="16"/>
        <w:numPr>
          <w:ilvl w:val="1"/>
          <w:numId w:val="85"/>
        </w:numPr>
        <w:tabs>
          <w:tab w:val="left" w:pos="1293"/>
        </w:tabs>
        <w:spacing w:before="158" w:after="0" w:line="240" w:lineRule="auto"/>
        <w:ind w:left="1292" w:right="0" w:hanging="481"/>
        <w:jc w:val="left"/>
        <w:rPr>
          <w:sz w:val="24"/>
        </w:rPr>
      </w:pPr>
      <w:r>
        <w:rPr>
          <w:sz w:val="24"/>
        </w:rPr>
        <w:t>质量要求</w:t>
      </w:r>
    </w:p>
    <w:p>
      <w:pPr>
        <w:pStyle w:val="16"/>
        <w:numPr>
          <w:ilvl w:val="2"/>
          <w:numId w:val="85"/>
        </w:numPr>
        <w:tabs>
          <w:tab w:val="left" w:pos="1533"/>
        </w:tabs>
        <w:spacing w:before="161" w:after="0" w:line="362" w:lineRule="auto"/>
        <w:ind w:left="812" w:right="6612" w:firstLine="0"/>
        <w:jc w:val="left"/>
        <w:rPr>
          <w:sz w:val="24"/>
        </w:rPr>
      </w:pPr>
      <w:r>
        <w:rPr>
          <w:spacing w:val="-2"/>
          <w:sz w:val="24"/>
        </w:rPr>
        <w:t xml:space="preserve">特殊质量标准和要求： </w:t>
      </w:r>
      <w:r>
        <w:rPr>
          <w:sz w:val="24"/>
        </w:rPr>
        <w:t>关于工程奖项的约定：</w:t>
      </w:r>
    </w:p>
    <w:p>
      <w:pPr>
        <w:pStyle w:val="8"/>
        <w:spacing w:before="5"/>
        <w:ind w:left="812"/>
      </w:pPr>
      <w:r>
        <w:t>5.3 隐蔽工程检查</w:t>
      </w:r>
    </w:p>
    <w:p>
      <w:pPr>
        <w:pStyle w:val="8"/>
        <w:spacing w:before="158" w:line="364" w:lineRule="auto"/>
        <w:ind w:left="812" w:right="3252"/>
      </w:pPr>
      <w:r>
        <w:t xml:space="preserve">5.3.2 承包人提前通知监理人隐蔽工程检查的期限的约定： </w:t>
      </w:r>
      <w:r>
        <w:rPr>
          <w:spacing w:val="-1"/>
        </w:rPr>
        <w:t>监理人不能按时进行检查时，应提前小时提交书面延期要求。</w:t>
      </w:r>
      <w:r>
        <w:t>关于延期最长不得超过：小时。</w:t>
      </w:r>
    </w:p>
    <w:p>
      <w:pPr>
        <w:pStyle w:val="16"/>
        <w:numPr>
          <w:ilvl w:val="0"/>
          <w:numId w:val="85"/>
        </w:numPr>
        <w:tabs>
          <w:tab w:val="left" w:pos="1173"/>
        </w:tabs>
        <w:spacing w:before="0" w:after="0" w:line="307" w:lineRule="exact"/>
        <w:ind w:left="1172" w:right="0" w:hanging="361"/>
        <w:jc w:val="left"/>
        <w:outlineLvl w:val="2"/>
        <w:rPr>
          <w:sz w:val="24"/>
        </w:rPr>
      </w:pPr>
      <w:r>
        <w:rPr>
          <w:sz w:val="24"/>
        </w:rPr>
        <w:t>安全文明施工与环境保护</w:t>
      </w:r>
    </w:p>
    <w:p>
      <w:pPr>
        <w:pStyle w:val="16"/>
        <w:numPr>
          <w:ilvl w:val="1"/>
          <w:numId w:val="85"/>
        </w:numPr>
        <w:tabs>
          <w:tab w:val="left" w:pos="1233"/>
        </w:tabs>
        <w:spacing w:before="158" w:after="0" w:line="240" w:lineRule="auto"/>
        <w:ind w:left="1232" w:right="0" w:hanging="421"/>
        <w:jc w:val="left"/>
        <w:rPr>
          <w:sz w:val="24"/>
        </w:rPr>
      </w:pPr>
      <w:r>
        <w:rPr>
          <w:sz w:val="24"/>
        </w:rPr>
        <w:t>安全文明施工</w:t>
      </w:r>
    </w:p>
    <w:p>
      <w:pPr>
        <w:pStyle w:val="16"/>
        <w:numPr>
          <w:ilvl w:val="2"/>
          <w:numId w:val="85"/>
        </w:numPr>
        <w:tabs>
          <w:tab w:val="left" w:pos="1533"/>
        </w:tabs>
        <w:spacing w:before="161" w:after="0" w:line="240" w:lineRule="auto"/>
        <w:ind w:left="1532" w:right="0" w:hanging="721"/>
        <w:jc w:val="left"/>
        <w:rPr>
          <w:sz w:val="24"/>
        </w:rPr>
      </w:pPr>
      <w:r>
        <w:rPr>
          <w:sz w:val="24"/>
        </w:rPr>
        <w:t>项目安全生产的达标目标及相应事项的约定：</w:t>
      </w:r>
    </w:p>
    <w:p>
      <w:pPr>
        <w:pStyle w:val="16"/>
        <w:numPr>
          <w:ilvl w:val="2"/>
          <w:numId w:val="97"/>
        </w:numPr>
        <w:tabs>
          <w:tab w:val="left" w:pos="1533"/>
        </w:tabs>
        <w:spacing w:before="160" w:after="0" w:line="240" w:lineRule="auto"/>
        <w:ind w:left="1532" w:right="0" w:hanging="721"/>
        <w:jc w:val="left"/>
        <w:rPr>
          <w:sz w:val="24"/>
        </w:rPr>
      </w:pPr>
      <w:r>
        <w:rPr>
          <w:sz w:val="24"/>
        </w:rPr>
        <w:t>关于治安保卫的特别约定：</w:t>
      </w:r>
    </w:p>
    <w:p>
      <w:pPr>
        <w:pStyle w:val="8"/>
        <w:spacing w:before="158"/>
        <w:ind w:left="812"/>
      </w:pPr>
      <w:r>
        <w:t>关于编制施工场地治安管理计划的约定：</w:t>
      </w:r>
    </w:p>
    <w:p>
      <w:pPr>
        <w:pStyle w:val="16"/>
        <w:numPr>
          <w:ilvl w:val="2"/>
          <w:numId w:val="97"/>
        </w:numPr>
        <w:tabs>
          <w:tab w:val="left" w:pos="1533"/>
        </w:tabs>
        <w:spacing w:before="161" w:after="0" w:line="240" w:lineRule="auto"/>
        <w:ind w:left="1532" w:right="0" w:hanging="721"/>
        <w:jc w:val="left"/>
        <w:rPr>
          <w:sz w:val="24"/>
        </w:rPr>
      </w:pPr>
      <w:r>
        <w:rPr>
          <w:sz w:val="24"/>
        </w:rPr>
        <w:t>文明施工</w:t>
      </w:r>
    </w:p>
    <w:p>
      <w:pPr>
        <w:pStyle w:val="8"/>
        <w:spacing w:before="158"/>
        <w:ind w:left="812"/>
      </w:pPr>
      <w:r>
        <w:t>合同当事人对文明施工的要求：</w:t>
      </w:r>
    </w:p>
    <w:p>
      <w:pPr>
        <w:pStyle w:val="16"/>
        <w:numPr>
          <w:ilvl w:val="2"/>
          <w:numId w:val="97"/>
        </w:numPr>
        <w:tabs>
          <w:tab w:val="left" w:pos="1533"/>
        </w:tabs>
        <w:spacing w:before="158" w:after="0" w:line="240" w:lineRule="auto"/>
        <w:ind w:left="1532" w:right="0" w:hanging="721"/>
        <w:jc w:val="left"/>
        <w:rPr>
          <w:sz w:val="24"/>
        </w:rPr>
      </w:pPr>
      <w:r>
        <w:rPr>
          <w:sz w:val="24"/>
        </w:rPr>
        <w:t>关于安全文明施工费支付比例和支付期限的约定：</w:t>
      </w:r>
    </w:p>
    <w:p>
      <w:pPr>
        <w:pStyle w:val="16"/>
        <w:numPr>
          <w:ilvl w:val="0"/>
          <w:numId w:val="85"/>
        </w:numPr>
        <w:tabs>
          <w:tab w:val="left" w:pos="1173"/>
        </w:tabs>
        <w:spacing w:before="160" w:after="0" w:line="240" w:lineRule="auto"/>
        <w:ind w:left="1172" w:right="0" w:hanging="361"/>
        <w:jc w:val="left"/>
        <w:outlineLvl w:val="2"/>
        <w:rPr>
          <w:sz w:val="24"/>
        </w:rPr>
      </w:pPr>
      <w:r>
        <w:rPr>
          <w:sz w:val="24"/>
        </w:rPr>
        <w:t>工期和进度</w:t>
      </w:r>
    </w:p>
    <w:p>
      <w:pPr>
        <w:pStyle w:val="16"/>
        <w:numPr>
          <w:ilvl w:val="1"/>
          <w:numId w:val="85"/>
        </w:numPr>
        <w:tabs>
          <w:tab w:val="left" w:pos="1293"/>
        </w:tabs>
        <w:spacing w:before="161" w:after="0" w:line="240" w:lineRule="auto"/>
        <w:ind w:left="1292" w:right="0" w:hanging="481"/>
        <w:jc w:val="left"/>
        <w:rPr>
          <w:sz w:val="24"/>
        </w:rPr>
      </w:pPr>
      <w:r>
        <w:rPr>
          <w:sz w:val="24"/>
        </w:rPr>
        <w:t>施工组织设计</w:t>
      </w:r>
    </w:p>
    <w:p>
      <w:pPr>
        <w:pStyle w:val="16"/>
        <w:numPr>
          <w:ilvl w:val="2"/>
          <w:numId w:val="85"/>
        </w:numPr>
        <w:tabs>
          <w:tab w:val="left" w:pos="1533"/>
        </w:tabs>
        <w:spacing w:before="158" w:after="0" w:line="240" w:lineRule="auto"/>
        <w:ind w:left="1532" w:right="0" w:hanging="721"/>
        <w:jc w:val="left"/>
        <w:rPr>
          <w:sz w:val="24"/>
        </w:rPr>
      </w:pPr>
      <w:r>
        <w:rPr>
          <w:sz w:val="24"/>
        </w:rPr>
        <w:t>合同当事人约定的施工组织设计应包括的其他内容：</w:t>
      </w:r>
    </w:p>
    <w:p>
      <w:pPr>
        <w:spacing w:after="0" w:line="240"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63" o:spid="_x0000_s1163" o:spt="20" style="position:absolute;left:0pt;margin-left:62.4pt;margin-top:12.25pt;height:0pt;width:400.4pt;mso-position-horizontal-relative:page;z-index:25180262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2"/>
          <w:numId w:val="85"/>
        </w:numPr>
        <w:tabs>
          <w:tab w:val="left" w:pos="1533"/>
        </w:tabs>
        <w:spacing w:before="67" w:after="0" w:line="240" w:lineRule="auto"/>
        <w:ind w:left="1532" w:right="0" w:hanging="721"/>
        <w:jc w:val="left"/>
        <w:rPr>
          <w:sz w:val="24"/>
        </w:rPr>
      </w:pPr>
      <w:r>
        <w:rPr>
          <w:sz w:val="24"/>
        </w:rPr>
        <w:t>施工组织设计的提交和修改</w:t>
      </w:r>
    </w:p>
    <w:p>
      <w:pPr>
        <w:pStyle w:val="8"/>
        <w:spacing w:before="158"/>
        <w:ind w:left="812"/>
      </w:pPr>
      <w:r>
        <w:t>承包人提交详细施工组织设计的期限的约定：</w:t>
      </w:r>
    </w:p>
    <w:p>
      <w:pPr>
        <w:pStyle w:val="8"/>
        <w:spacing w:before="160"/>
        <w:ind w:left="812"/>
      </w:pPr>
      <w:r>
        <w:t>发包人和监理人在收到详细的施工组织设计后确认或提出修改意见的期限：。</w:t>
      </w:r>
    </w:p>
    <w:p>
      <w:pPr>
        <w:pStyle w:val="16"/>
        <w:numPr>
          <w:ilvl w:val="1"/>
          <w:numId w:val="85"/>
        </w:numPr>
        <w:tabs>
          <w:tab w:val="left" w:pos="1293"/>
        </w:tabs>
        <w:spacing w:before="158" w:after="0" w:line="240" w:lineRule="auto"/>
        <w:ind w:left="1292" w:right="0" w:hanging="481"/>
        <w:jc w:val="left"/>
        <w:rPr>
          <w:sz w:val="24"/>
        </w:rPr>
      </w:pPr>
      <w:r>
        <w:rPr>
          <w:sz w:val="24"/>
        </w:rPr>
        <w:t>施工进度计划</w:t>
      </w:r>
    </w:p>
    <w:p>
      <w:pPr>
        <w:pStyle w:val="8"/>
        <w:spacing w:before="161"/>
        <w:ind w:left="812"/>
      </w:pPr>
      <w:r>
        <w:t>7.2.2 施工进度计划的修订</w:t>
      </w:r>
    </w:p>
    <w:p>
      <w:pPr>
        <w:pStyle w:val="8"/>
        <w:spacing w:before="158"/>
        <w:ind w:left="812"/>
      </w:pPr>
      <w:r>
        <w:t>发包人和监理人在收到修订的施工进度计划后确认或提出修改意见的期限：。</w:t>
      </w:r>
    </w:p>
    <w:p>
      <w:pPr>
        <w:pStyle w:val="16"/>
        <w:numPr>
          <w:ilvl w:val="1"/>
          <w:numId w:val="85"/>
        </w:numPr>
        <w:tabs>
          <w:tab w:val="left" w:pos="1293"/>
        </w:tabs>
        <w:spacing w:before="161" w:after="0" w:line="240" w:lineRule="auto"/>
        <w:ind w:left="1292" w:right="0" w:hanging="481"/>
        <w:jc w:val="left"/>
        <w:rPr>
          <w:sz w:val="24"/>
        </w:rPr>
      </w:pPr>
      <w:r>
        <w:rPr>
          <w:sz w:val="24"/>
        </w:rPr>
        <w:t>开工</w:t>
      </w:r>
    </w:p>
    <w:p>
      <w:pPr>
        <w:pStyle w:val="16"/>
        <w:numPr>
          <w:ilvl w:val="2"/>
          <w:numId w:val="85"/>
        </w:numPr>
        <w:tabs>
          <w:tab w:val="left" w:pos="1533"/>
        </w:tabs>
        <w:spacing w:before="160" w:after="0" w:line="240" w:lineRule="auto"/>
        <w:ind w:left="1532" w:right="0" w:hanging="721"/>
        <w:jc w:val="left"/>
        <w:rPr>
          <w:sz w:val="24"/>
        </w:rPr>
      </w:pPr>
      <w:r>
        <w:rPr>
          <w:sz w:val="24"/>
        </w:rPr>
        <w:t>开工准备</w:t>
      </w:r>
    </w:p>
    <w:p>
      <w:pPr>
        <w:pStyle w:val="8"/>
        <w:spacing w:before="158"/>
        <w:ind w:left="812"/>
      </w:pPr>
      <w:r>
        <w:t>关于承包人提交工程开工报审表的期限：。</w:t>
      </w:r>
    </w:p>
    <w:p>
      <w:pPr>
        <w:pStyle w:val="8"/>
        <w:spacing w:before="158" w:line="364" w:lineRule="auto"/>
        <w:ind w:left="812" w:right="4692"/>
      </w:pPr>
      <w:r>
        <w:t>关于发包人应完成的其他开工准备工作及期限： 关于承包人应完成的其他开工准备工作及期限：</w:t>
      </w:r>
    </w:p>
    <w:p>
      <w:pPr>
        <w:pStyle w:val="16"/>
        <w:numPr>
          <w:ilvl w:val="2"/>
          <w:numId w:val="85"/>
        </w:numPr>
        <w:tabs>
          <w:tab w:val="left" w:pos="1473"/>
        </w:tabs>
        <w:spacing w:before="1" w:after="0" w:line="240" w:lineRule="auto"/>
        <w:ind w:left="1472" w:right="0" w:hanging="661"/>
        <w:jc w:val="left"/>
        <w:rPr>
          <w:sz w:val="24"/>
        </w:rPr>
      </w:pPr>
      <w:r>
        <w:rPr>
          <w:sz w:val="24"/>
        </w:rPr>
        <w:t>开工通知</w:t>
      </w:r>
    </w:p>
    <w:p>
      <w:pPr>
        <w:pStyle w:val="8"/>
        <w:spacing w:before="159" w:line="364" w:lineRule="auto"/>
        <w:ind w:left="388" w:right="852" w:firstLine="424"/>
      </w:pPr>
      <w:r>
        <w:t>因发包人原因造成监理人未能在计划开工日期之日起天内发出开工通知的，承包人有权提出价格调整要求，或者解除合同。</w:t>
      </w:r>
    </w:p>
    <w:p>
      <w:pPr>
        <w:pStyle w:val="16"/>
        <w:numPr>
          <w:ilvl w:val="1"/>
          <w:numId w:val="85"/>
        </w:numPr>
        <w:tabs>
          <w:tab w:val="left" w:pos="1293"/>
        </w:tabs>
        <w:spacing w:before="0" w:after="0" w:line="306" w:lineRule="exact"/>
        <w:ind w:left="1292" w:right="0" w:hanging="481"/>
        <w:jc w:val="left"/>
        <w:rPr>
          <w:sz w:val="24"/>
        </w:rPr>
      </w:pPr>
      <w:r>
        <w:rPr>
          <w:sz w:val="24"/>
        </w:rPr>
        <w:t>测量放线</w:t>
      </w:r>
    </w:p>
    <w:p>
      <w:pPr>
        <w:pStyle w:val="16"/>
        <w:numPr>
          <w:ilvl w:val="2"/>
          <w:numId w:val="85"/>
        </w:numPr>
        <w:tabs>
          <w:tab w:val="left" w:pos="1473"/>
        </w:tabs>
        <w:spacing w:before="160" w:after="0" w:line="362" w:lineRule="auto"/>
        <w:ind w:left="388" w:right="744" w:firstLine="424"/>
        <w:jc w:val="left"/>
        <w:rPr>
          <w:sz w:val="24"/>
        </w:rPr>
      </w:pPr>
      <w:r>
        <w:rPr>
          <w:spacing w:val="-5"/>
          <w:sz w:val="24"/>
        </w:rPr>
        <w:t>发包人通过监理人向承包人提供测量基准点、基准线和水准点及其书面资料的期</w:t>
      </w:r>
      <w:r>
        <w:rPr>
          <w:sz w:val="24"/>
        </w:rPr>
        <w:t>限：。</w:t>
      </w:r>
    </w:p>
    <w:p>
      <w:pPr>
        <w:pStyle w:val="16"/>
        <w:numPr>
          <w:ilvl w:val="1"/>
          <w:numId w:val="85"/>
        </w:numPr>
        <w:tabs>
          <w:tab w:val="left" w:pos="1293"/>
        </w:tabs>
        <w:spacing w:before="5" w:after="0" w:line="240" w:lineRule="auto"/>
        <w:ind w:left="1292" w:right="0" w:hanging="481"/>
        <w:jc w:val="left"/>
        <w:rPr>
          <w:sz w:val="24"/>
        </w:rPr>
      </w:pPr>
      <w:r>
        <w:rPr>
          <w:sz w:val="24"/>
        </w:rPr>
        <w:t>工期延误</w:t>
      </w:r>
    </w:p>
    <w:p>
      <w:pPr>
        <w:pStyle w:val="16"/>
        <w:numPr>
          <w:ilvl w:val="2"/>
          <w:numId w:val="85"/>
        </w:numPr>
        <w:tabs>
          <w:tab w:val="left" w:pos="1533"/>
        </w:tabs>
        <w:spacing w:before="158" w:after="0" w:line="240" w:lineRule="auto"/>
        <w:ind w:left="1532" w:right="0" w:hanging="721"/>
        <w:jc w:val="left"/>
        <w:rPr>
          <w:sz w:val="24"/>
        </w:rPr>
      </w:pPr>
      <w:r>
        <w:rPr>
          <w:sz w:val="24"/>
        </w:rPr>
        <w:t>因发包人原因导致工期延误</w:t>
      </w:r>
    </w:p>
    <w:p>
      <w:pPr>
        <w:pStyle w:val="8"/>
        <w:spacing w:before="161"/>
        <w:ind w:left="812"/>
      </w:pPr>
      <w:r>
        <w:t>（7）因发包人原因导致工期延误的其他情形：</w:t>
      </w:r>
    </w:p>
    <w:p>
      <w:pPr>
        <w:pStyle w:val="16"/>
        <w:numPr>
          <w:ilvl w:val="2"/>
          <w:numId w:val="85"/>
        </w:numPr>
        <w:tabs>
          <w:tab w:val="left" w:pos="1533"/>
        </w:tabs>
        <w:spacing w:before="158" w:after="0" w:line="240" w:lineRule="auto"/>
        <w:ind w:left="1532" w:right="0" w:hanging="721"/>
        <w:jc w:val="left"/>
        <w:rPr>
          <w:sz w:val="24"/>
        </w:rPr>
      </w:pPr>
      <w:r>
        <w:rPr>
          <w:sz w:val="24"/>
        </w:rPr>
        <w:t>因承包人原因导致工期延误</w:t>
      </w:r>
    </w:p>
    <w:p>
      <w:pPr>
        <w:pStyle w:val="8"/>
        <w:spacing w:before="160" w:line="364" w:lineRule="auto"/>
        <w:ind w:left="812" w:right="3252"/>
      </w:pPr>
      <w:r>
        <w:t>因承包人原因造成工期延误，逾期竣工违约金的计算方法为： 因承包人原因造成工期延误，逾期竣工违约金的上限：</w:t>
      </w:r>
    </w:p>
    <w:p>
      <w:pPr>
        <w:pStyle w:val="16"/>
        <w:numPr>
          <w:ilvl w:val="1"/>
          <w:numId w:val="85"/>
        </w:numPr>
        <w:tabs>
          <w:tab w:val="left" w:pos="1293"/>
        </w:tabs>
        <w:spacing w:before="0" w:after="0" w:line="306" w:lineRule="exact"/>
        <w:ind w:left="1292" w:right="0" w:hanging="481"/>
        <w:jc w:val="left"/>
        <w:rPr>
          <w:sz w:val="24"/>
        </w:rPr>
      </w:pPr>
      <w:r>
        <w:rPr>
          <w:sz w:val="24"/>
        </w:rPr>
        <w:t>不利物质条件</w:t>
      </w:r>
    </w:p>
    <w:p>
      <w:pPr>
        <w:pStyle w:val="8"/>
        <w:spacing w:before="161"/>
        <w:ind w:left="812"/>
      </w:pPr>
      <w:r>
        <w:t>不利物质条件的其他情形和有关约定：</w:t>
      </w:r>
    </w:p>
    <w:p>
      <w:pPr>
        <w:pStyle w:val="16"/>
        <w:numPr>
          <w:ilvl w:val="1"/>
          <w:numId w:val="85"/>
        </w:numPr>
        <w:tabs>
          <w:tab w:val="left" w:pos="1233"/>
        </w:tabs>
        <w:spacing w:before="158" w:after="0" w:line="240" w:lineRule="auto"/>
        <w:ind w:left="1232" w:right="0" w:hanging="421"/>
        <w:jc w:val="left"/>
        <w:rPr>
          <w:sz w:val="24"/>
        </w:rPr>
      </w:pPr>
      <w:r>
        <w:rPr>
          <w:sz w:val="24"/>
        </w:rPr>
        <w:t>异常恶劣的气候条件</w:t>
      </w:r>
    </w:p>
    <w:p>
      <w:pPr>
        <w:pStyle w:val="8"/>
        <w:spacing w:before="158"/>
        <w:ind w:left="812"/>
      </w:pPr>
      <w:r>
        <w:t>发包人和承包人同意以下情形视为异常恶劣的气候条件：</w:t>
      </w:r>
    </w:p>
    <w:p>
      <w:pPr>
        <w:pStyle w:val="8"/>
        <w:spacing w:before="160"/>
        <w:ind w:left="812"/>
      </w:pPr>
      <w:r>
        <w:t>（1）；</w:t>
      </w:r>
    </w:p>
    <w:p>
      <w:pPr>
        <w:pStyle w:val="8"/>
        <w:spacing w:before="161"/>
        <w:ind w:left="812"/>
      </w:pPr>
      <w:r>
        <w:t>（2）；</w:t>
      </w:r>
    </w:p>
    <w:p>
      <w:pPr>
        <w:pStyle w:val="8"/>
        <w:spacing w:before="158"/>
        <w:ind w:left="812"/>
      </w:pPr>
      <w:r>
        <w:t>（3）。</w:t>
      </w:r>
    </w:p>
    <w:p>
      <w:pPr>
        <w:spacing w:after="0"/>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64" o:spid="_x0000_s1164" o:spt="20" style="position:absolute;left:0pt;margin-left:62.4pt;margin-top:12.25pt;height:0pt;width:400.4pt;mso-position-horizontal-relative:page;z-index:25180364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812"/>
      </w:pPr>
      <w:r>
        <w:t>7.9 提前竣工的奖励</w:t>
      </w:r>
    </w:p>
    <w:p>
      <w:pPr>
        <w:pStyle w:val="8"/>
        <w:spacing w:before="158"/>
        <w:ind w:left="812"/>
      </w:pPr>
      <w:r>
        <w:t>7.9.2</w:t>
      </w:r>
      <w:r>
        <w:rPr>
          <w:spacing w:val="-8"/>
        </w:rPr>
        <w:t xml:space="preserve"> 提前竣工的奖励：。</w:t>
      </w:r>
    </w:p>
    <w:p>
      <w:pPr>
        <w:pStyle w:val="16"/>
        <w:numPr>
          <w:ilvl w:val="0"/>
          <w:numId w:val="85"/>
        </w:numPr>
        <w:tabs>
          <w:tab w:val="left" w:pos="1173"/>
        </w:tabs>
        <w:spacing w:before="160" w:after="0" w:line="240" w:lineRule="auto"/>
        <w:ind w:left="1172" w:right="0" w:hanging="361"/>
        <w:jc w:val="left"/>
        <w:outlineLvl w:val="2"/>
        <w:rPr>
          <w:sz w:val="24"/>
        </w:rPr>
      </w:pPr>
      <w:r>
        <w:rPr>
          <w:sz w:val="24"/>
        </w:rPr>
        <w:t>材料与设备</w:t>
      </w:r>
    </w:p>
    <w:p>
      <w:pPr>
        <w:pStyle w:val="16"/>
        <w:numPr>
          <w:ilvl w:val="1"/>
          <w:numId w:val="98"/>
        </w:numPr>
        <w:tabs>
          <w:tab w:val="left" w:pos="1233"/>
        </w:tabs>
        <w:spacing w:before="158" w:after="0" w:line="240" w:lineRule="auto"/>
        <w:ind w:left="1232" w:right="0" w:hanging="421"/>
        <w:jc w:val="left"/>
        <w:rPr>
          <w:sz w:val="24"/>
        </w:rPr>
      </w:pPr>
      <w:r>
        <w:rPr>
          <w:sz w:val="24"/>
        </w:rPr>
        <w:t>材料与工程设备的保管与使用</w:t>
      </w:r>
    </w:p>
    <w:p>
      <w:pPr>
        <w:pStyle w:val="16"/>
        <w:numPr>
          <w:ilvl w:val="2"/>
          <w:numId w:val="98"/>
        </w:numPr>
        <w:tabs>
          <w:tab w:val="left" w:pos="1473"/>
        </w:tabs>
        <w:spacing w:before="161" w:after="0" w:line="240" w:lineRule="auto"/>
        <w:ind w:left="1472" w:right="0" w:hanging="661"/>
        <w:jc w:val="left"/>
        <w:rPr>
          <w:sz w:val="24"/>
        </w:rPr>
      </w:pPr>
      <w:r>
        <w:rPr>
          <w:sz w:val="24"/>
        </w:rPr>
        <w:t>发包人供应的材料设备的保管费用的承担：</w:t>
      </w:r>
    </w:p>
    <w:p>
      <w:pPr>
        <w:pStyle w:val="16"/>
        <w:numPr>
          <w:ilvl w:val="1"/>
          <w:numId w:val="99"/>
        </w:numPr>
        <w:tabs>
          <w:tab w:val="left" w:pos="1293"/>
        </w:tabs>
        <w:spacing w:before="158" w:after="0" w:line="240" w:lineRule="auto"/>
        <w:ind w:left="1292" w:right="0" w:hanging="481"/>
        <w:jc w:val="left"/>
        <w:rPr>
          <w:sz w:val="24"/>
        </w:rPr>
      </w:pPr>
      <w:r>
        <w:rPr>
          <w:sz w:val="24"/>
        </w:rPr>
        <w:t>样品</w:t>
      </w:r>
    </w:p>
    <w:p>
      <w:pPr>
        <w:pStyle w:val="16"/>
        <w:numPr>
          <w:ilvl w:val="2"/>
          <w:numId w:val="99"/>
        </w:numPr>
        <w:tabs>
          <w:tab w:val="left" w:pos="1647"/>
          <w:tab w:val="left" w:pos="1648"/>
        </w:tabs>
        <w:spacing w:before="161" w:after="0" w:line="240" w:lineRule="auto"/>
        <w:ind w:left="1648" w:right="0" w:hanging="836"/>
        <w:jc w:val="left"/>
        <w:rPr>
          <w:sz w:val="24"/>
        </w:rPr>
      </w:pPr>
      <w:r>
        <w:rPr>
          <w:sz w:val="24"/>
        </w:rPr>
        <w:t>样品的报送与封存</w:t>
      </w:r>
    </w:p>
    <w:p>
      <w:pPr>
        <w:pStyle w:val="8"/>
        <w:spacing w:before="160"/>
        <w:ind w:left="812"/>
      </w:pPr>
      <w:r>
        <w:t>需要承包人报送样品的材料或工程设备，样品的种类、名称、规格、数量要求：</w:t>
      </w:r>
    </w:p>
    <w:p>
      <w:pPr>
        <w:pStyle w:val="16"/>
        <w:numPr>
          <w:ilvl w:val="1"/>
          <w:numId w:val="100"/>
        </w:numPr>
        <w:tabs>
          <w:tab w:val="left" w:pos="1293"/>
        </w:tabs>
        <w:spacing w:before="158" w:after="0" w:line="240" w:lineRule="auto"/>
        <w:ind w:left="1292" w:right="0" w:hanging="481"/>
        <w:jc w:val="left"/>
        <w:rPr>
          <w:sz w:val="24"/>
        </w:rPr>
      </w:pPr>
      <w:r>
        <w:rPr>
          <w:sz w:val="24"/>
        </w:rPr>
        <w:t>施工设备和临时设施</w:t>
      </w:r>
    </w:p>
    <w:p>
      <w:pPr>
        <w:pStyle w:val="16"/>
        <w:numPr>
          <w:ilvl w:val="2"/>
          <w:numId w:val="100"/>
        </w:numPr>
        <w:tabs>
          <w:tab w:val="left" w:pos="1533"/>
        </w:tabs>
        <w:spacing w:before="158" w:after="0" w:line="364" w:lineRule="auto"/>
        <w:ind w:left="812" w:right="5412" w:firstLine="0"/>
        <w:jc w:val="left"/>
        <w:rPr>
          <w:sz w:val="24"/>
        </w:rPr>
      </w:pPr>
      <w:r>
        <w:rPr>
          <w:spacing w:val="-2"/>
          <w:sz w:val="24"/>
        </w:rPr>
        <w:t>承包人提供的施工设备和临时设施</w:t>
      </w:r>
      <w:r>
        <w:rPr>
          <w:sz w:val="24"/>
        </w:rPr>
        <w:t>关于修建临时设施费用承担的约定：</w:t>
      </w:r>
    </w:p>
    <w:p>
      <w:pPr>
        <w:pStyle w:val="16"/>
        <w:numPr>
          <w:ilvl w:val="0"/>
          <w:numId w:val="85"/>
        </w:numPr>
        <w:tabs>
          <w:tab w:val="left" w:pos="1173"/>
        </w:tabs>
        <w:spacing w:before="1" w:after="0" w:line="240" w:lineRule="auto"/>
        <w:ind w:left="1172" w:right="0" w:hanging="361"/>
        <w:jc w:val="left"/>
        <w:outlineLvl w:val="2"/>
        <w:rPr>
          <w:sz w:val="24"/>
        </w:rPr>
      </w:pPr>
      <w:r>
        <w:rPr>
          <w:sz w:val="24"/>
        </w:rPr>
        <w:t>试验与检验</w:t>
      </w:r>
    </w:p>
    <w:p>
      <w:pPr>
        <w:pStyle w:val="16"/>
        <w:numPr>
          <w:ilvl w:val="1"/>
          <w:numId w:val="85"/>
        </w:numPr>
        <w:tabs>
          <w:tab w:val="left" w:pos="1233"/>
        </w:tabs>
        <w:spacing w:before="159" w:after="0" w:line="240" w:lineRule="auto"/>
        <w:ind w:left="1232" w:right="0" w:hanging="421"/>
        <w:jc w:val="left"/>
        <w:rPr>
          <w:sz w:val="24"/>
        </w:rPr>
      </w:pPr>
      <w:r>
        <w:rPr>
          <w:sz w:val="24"/>
        </w:rPr>
        <w:t>试验设备与试验人员</w:t>
      </w:r>
    </w:p>
    <w:p>
      <w:pPr>
        <w:pStyle w:val="8"/>
        <w:spacing w:before="160"/>
        <w:ind w:left="812"/>
      </w:pPr>
      <w:r>
        <w:t>9.1.2 试验设备</w:t>
      </w:r>
    </w:p>
    <w:p>
      <w:pPr>
        <w:pStyle w:val="8"/>
        <w:spacing w:before="158" w:line="364" w:lineRule="auto"/>
        <w:ind w:left="812" w:right="6372"/>
      </w:pPr>
      <w:r>
        <w:t>施工现场需要配置的试验场所： 施工现场需要配备的试验设备：</w:t>
      </w:r>
    </w:p>
    <w:p>
      <w:pPr>
        <w:pStyle w:val="8"/>
        <w:spacing w:line="306" w:lineRule="exact"/>
        <w:ind w:left="812"/>
      </w:pPr>
      <w:r>
        <w:t>施工现场需要具备的其他试验条件：</w:t>
      </w:r>
    </w:p>
    <w:p>
      <w:pPr>
        <w:pStyle w:val="8"/>
        <w:spacing w:before="161"/>
        <w:ind w:left="812"/>
      </w:pPr>
      <w:r>
        <w:t>9.4 现场工艺试验</w:t>
      </w:r>
    </w:p>
    <w:p>
      <w:pPr>
        <w:pStyle w:val="8"/>
        <w:spacing w:before="158"/>
        <w:ind w:left="812"/>
      </w:pPr>
      <w:r>
        <w:t>现场工艺试验的有关约定：</w:t>
      </w:r>
    </w:p>
    <w:p>
      <w:pPr>
        <w:pStyle w:val="16"/>
        <w:numPr>
          <w:ilvl w:val="0"/>
          <w:numId w:val="85"/>
        </w:numPr>
        <w:tabs>
          <w:tab w:val="left" w:pos="1293"/>
        </w:tabs>
        <w:spacing w:before="160" w:after="0" w:line="240" w:lineRule="auto"/>
        <w:ind w:left="1292" w:right="0" w:hanging="481"/>
        <w:jc w:val="left"/>
        <w:outlineLvl w:val="2"/>
        <w:rPr>
          <w:sz w:val="24"/>
        </w:rPr>
      </w:pPr>
      <w:r>
        <w:rPr>
          <w:sz w:val="24"/>
        </w:rPr>
        <w:t>变更</w:t>
      </w:r>
    </w:p>
    <w:p>
      <w:pPr>
        <w:pStyle w:val="16"/>
        <w:numPr>
          <w:ilvl w:val="1"/>
          <w:numId w:val="85"/>
        </w:numPr>
        <w:tabs>
          <w:tab w:val="left" w:pos="1353"/>
        </w:tabs>
        <w:spacing w:before="158" w:after="0" w:line="240" w:lineRule="auto"/>
        <w:ind w:left="1352" w:right="0" w:hanging="541"/>
        <w:jc w:val="left"/>
        <w:rPr>
          <w:sz w:val="24"/>
        </w:rPr>
      </w:pPr>
      <w:r>
        <w:rPr>
          <w:sz w:val="24"/>
        </w:rPr>
        <w:t>变更的范围</w:t>
      </w:r>
    </w:p>
    <w:p>
      <w:pPr>
        <w:pStyle w:val="8"/>
        <w:spacing w:before="161"/>
        <w:ind w:left="812"/>
      </w:pPr>
      <w:r>
        <w:t>关于变更的范围的约定：</w:t>
      </w:r>
    </w:p>
    <w:p>
      <w:pPr>
        <w:pStyle w:val="16"/>
        <w:numPr>
          <w:ilvl w:val="1"/>
          <w:numId w:val="101"/>
        </w:numPr>
        <w:tabs>
          <w:tab w:val="left" w:pos="1413"/>
        </w:tabs>
        <w:spacing w:before="160" w:after="0" w:line="240" w:lineRule="auto"/>
        <w:ind w:left="1412" w:right="0" w:hanging="601"/>
        <w:jc w:val="left"/>
        <w:rPr>
          <w:sz w:val="24"/>
        </w:rPr>
      </w:pPr>
      <w:r>
        <w:rPr>
          <w:sz w:val="24"/>
        </w:rPr>
        <w:t>变更估价</w:t>
      </w:r>
    </w:p>
    <w:p>
      <w:pPr>
        <w:pStyle w:val="16"/>
        <w:numPr>
          <w:ilvl w:val="2"/>
          <w:numId w:val="101"/>
        </w:numPr>
        <w:tabs>
          <w:tab w:val="left" w:pos="1653"/>
        </w:tabs>
        <w:spacing w:before="158" w:after="0" w:line="364" w:lineRule="auto"/>
        <w:ind w:left="812" w:right="7452" w:firstLine="0"/>
        <w:jc w:val="left"/>
        <w:rPr>
          <w:sz w:val="24"/>
        </w:rPr>
      </w:pPr>
      <w:r>
        <w:rPr>
          <w:spacing w:val="-3"/>
          <w:sz w:val="24"/>
        </w:rPr>
        <w:t>变更估价原则</w:t>
      </w:r>
      <w:r>
        <w:rPr>
          <w:spacing w:val="-2"/>
          <w:sz w:val="24"/>
        </w:rPr>
        <w:t>关于变更估价的约定:</w:t>
      </w:r>
    </w:p>
    <w:p>
      <w:pPr>
        <w:pStyle w:val="16"/>
        <w:numPr>
          <w:ilvl w:val="1"/>
          <w:numId w:val="101"/>
        </w:numPr>
        <w:tabs>
          <w:tab w:val="left" w:pos="1353"/>
        </w:tabs>
        <w:spacing w:before="0" w:after="0" w:line="306" w:lineRule="exact"/>
        <w:ind w:left="1352" w:right="0" w:hanging="541"/>
        <w:jc w:val="left"/>
        <w:rPr>
          <w:sz w:val="24"/>
        </w:rPr>
      </w:pPr>
      <w:r>
        <w:rPr>
          <w:sz w:val="24"/>
        </w:rPr>
        <w:t>承包人的合理化建议</w:t>
      </w:r>
    </w:p>
    <w:p>
      <w:pPr>
        <w:pStyle w:val="8"/>
        <w:spacing w:before="159" w:line="364" w:lineRule="auto"/>
        <w:ind w:left="812" w:right="5412"/>
      </w:pPr>
      <w:r>
        <w:t>监理人审查承包人合理化建议的期限：。发包人审批承包人合理化建议的期限：。</w:t>
      </w:r>
    </w:p>
    <w:p>
      <w:pPr>
        <w:pStyle w:val="8"/>
        <w:spacing w:before="1" w:line="362" w:lineRule="auto"/>
        <w:ind w:left="388" w:right="852" w:firstLine="424"/>
      </w:pPr>
      <w:r>
        <w:t>承包人提出的合理化建议降低了合同价格或者提高了工程经济效益的奖励的方法和金额为：</w:t>
      </w:r>
    </w:p>
    <w:p>
      <w:pPr>
        <w:spacing w:after="0" w:line="362" w:lineRule="auto"/>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65" o:spid="_x0000_s1165" o:spt="20" style="position:absolute;left:0pt;margin-left:62.4pt;margin-top:12.25pt;height:0pt;width:400.4pt;mso-position-horizontal-relative:page;z-index:25180467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1"/>
          <w:numId w:val="102"/>
        </w:numPr>
        <w:tabs>
          <w:tab w:val="left" w:pos="1413"/>
        </w:tabs>
        <w:spacing w:before="67" w:after="0" w:line="240" w:lineRule="auto"/>
        <w:ind w:left="1412" w:right="0" w:hanging="601"/>
        <w:jc w:val="left"/>
        <w:rPr>
          <w:sz w:val="24"/>
        </w:rPr>
      </w:pPr>
      <w:r>
        <w:rPr>
          <w:sz w:val="24"/>
        </w:rPr>
        <w:t>暂估价</w:t>
      </w:r>
    </w:p>
    <w:p>
      <w:pPr>
        <w:pStyle w:val="8"/>
        <w:spacing w:before="158"/>
        <w:ind w:left="812"/>
      </w:pPr>
      <w:r>
        <w:t>暂估价材料和工程设备的明细详见附件 11：《暂估价一览表》。</w:t>
      </w:r>
    </w:p>
    <w:p>
      <w:pPr>
        <w:pStyle w:val="16"/>
        <w:numPr>
          <w:ilvl w:val="2"/>
          <w:numId w:val="102"/>
        </w:numPr>
        <w:tabs>
          <w:tab w:val="left" w:pos="1653"/>
        </w:tabs>
        <w:spacing w:before="160" w:after="0" w:line="240" w:lineRule="auto"/>
        <w:ind w:left="1652" w:right="0" w:hanging="841"/>
        <w:jc w:val="left"/>
        <w:rPr>
          <w:sz w:val="24"/>
        </w:rPr>
      </w:pPr>
      <w:r>
        <w:rPr>
          <w:sz w:val="24"/>
        </w:rPr>
        <w:t>依法必须招标的暂估价项目</w:t>
      </w:r>
    </w:p>
    <w:p>
      <w:pPr>
        <w:pStyle w:val="8"/>
        <w:spacing w:before="158"/>
        <w:ind w:left="812"/>
      </w:pPr>
      <w:r>
        <w:t>对于依法必须招标的暂估价项目的确认和批准采取第种方式确定。</w:t>
      </w:r>
    </w:p>
    <w:p>
      <w:pPr>
        <w:pStyle w:val="16"/>
        <w:numPr>
          <w:ilvl w:val="2"/>
          <w:numId w:val="102"/>
        </w:numPr>
        <w:tabs>
          <w:tab w:val="left" w:pos="1653"/>
        </w:tabs>
        <w:spacing w:before="161" w:after="0" w:line="240" w:lineRule="auto"/>
        <w:ind w:left="1652" w:right="0" w:hanging="841"/>
        <w:jc w:val="left"/>
        <w:rPr>
          <w:sz w:val="24"/>
        </w:rPr>
      </w:pPr>
      <w:r>
        <w:rPr>
          <w:sz w:val="24"/>
        </w:rPr>
        <w:t>不属于依法必须招标的暂估价项目</w:t>
      </w:r>
    </w:p>
    <w:p>
      <w:pPr>
        <w:pStyle w:val="8"/>
        <w:spacing w:before="158" w:line="364" w:lineRule="auto"/>
        <w:ind w:left="812" w:right="1932"/>
      </w:pPr>
      <w:r>
        <w:t>对于不属于依法必须招标的暂估价项目的确认和批准采取第 种方式确定。第 3 种方式：承包人直接实施的暂估价项目</w:t>
      </w:r>
    </w:p>
    <w:p>
      <w:pPr>
        <w:pStyle w:val="8"/>
        <w:spacing w:before="1"/>
        <w:ind w:left="812"/>
      </w:pPr>
      <w:r>
        <w:t>承包人直接实施的暂估价项目的约定：</w:t>
      </w:r>
    </w:p>
    <w:p>
      <w:pPr>
        <w:pStyle w:val="16"/>
        <w:numPr>
          <w:ilvl w:val="1"/>
          <w:numId w:val="102"/>
        </w:numPr>
        <w:tabs>
          <w:tab w:val="left" w:pos="1413"/>
        </w:tabs>
        <w:spacing w:before="158" w:after="0" w:line="240" w:lineRule="auto"/>
        <w:ind w:left="1412" w:right="0" w:hanging="601"/>
        <w:jc w:val="left"/>
        <w:rPr>
          <w:sz w:val="24"/>
        </w:rPr>
      </w:pPr>
      <w:r>
        <w:rPr>
          <w:sz w:val="24"/>
        </w:rPr>
        <w:t>暂列金额</w:t>
      </w:r>
    </w:p>
    <w:p>
      <w:pPr>
        <w:pStyle w:val="8"/>
        <w:spacing w:before="158"/>
        <w:ind w:left="812"/>
      </w:pPr>
      <w:r>
        <w:t>合同当事人关于暂列金额使用的约定：</w:t>
      </w:r>
    </w:p>
    <w:p>
      <w:pPr>
        <w:pStyle w:val="16"/>
        <w:numPr>
          <w:ilvl w:val="0"/>
          <w:numId w:val="85"/>
        </w:numPr>
        <w:tabs>
          <w:tab w:val="left" w:pos="1293"/>
        </w:tabs>
        <w:spacing w:before="161" w:after="0" w:line="240" w:lineRule="auto"/>
        <w:ind w:left="1292" w:right="0" w:hanging="481"/>
        <w:jc w:val="left"/>
        <w:outlineLvl w:val="2"/>
        <w:rPr>
          <w:sz w:val="24"/>
        </w:rPr>
      </w:pPr>
      <w:r>
        <w:rPr>
          <w:sz w:val="24"/>
        </w:rPr>
        <w:t>价格调整</w:t>
      </w:r>
    </w:p>
    <w:p>
      <w:pPr>
        <w:pStyle w:val="16"/>
        <w:numPr>
          <w:ilvl w:val="1"/>
          <w:numId w:val="85"/>
        </w:numPr>
        <w:tabs>
          <w:tab w:val="left" w:pos="1413"/>
        </w:tabs>
        <w:spacing w:before="160" w:after="0" w:line="240" w:lineRule="auto"/>
        <w:ind w:left="1412" w:right="0" w:hanging="601"/>
        <w:jc w:val="left"/>
        <w:rPr>
          <w:sz w:val="24"/>
        </w:rPr>
      </w:pPr>
      <w:r>
        <w:rPr>
          <w:sz w:val="24"/>
        </w:rPr>
        <w:t>市场价格波动引起的调整</w:t>
      </w:r>
    </w:p>
    <w:p>
      <w:pPr>
        <w:pStyle w:val="8"/>
        <w:spacing w:before="159"/>
        <w:ind w:left="812"/>
      </w:pPr>
      <w:r>
        <w:t>市场价格波动是否调整合同价格的约定：。</w:t>
      </w:r>
    </w:p>
    <w:p>
      <w:pPr>
        <w:pStyle w:val="8"/>
        <w:spacing w:before="160" w:line="362" w:lineRule="auto"/>
        <w:ind w:left="812" w:right="2052"/>
      </w:pPr>
      <w:r>
        <w:rPr>
          <w:spacing w:val="-1"/>
        </w:rPr>
        <w:t xml:space="preserve">因市场价格波动调整合同价格，采用以下第种方式对合同价格进行调整： </w:t>
      </w:r>
      <w:r>
        <w:rPr>
          <w:spacing w:val="-30"/>
        </w:rPr>
        <w:t xml:space="preserve">第 </w:t>
      </w:r>
      <w:r>
        <w:t>1</w:t>
      </w:r>
      <w:r>
        <w:rPr>
          <w:spacing w:val="-8"/>
        </w:rPr>
        <w:t xml:space="preserve"> 种方式：采用价格指数进行价格调整。</w:t>
      </w:r>
    </w:p>
    <w:p>
      <w:pPr>
        <w:pStyle w:val="8"/>
        <w:spacing w:before="5" w:line="362" w:lineRule="auto"/>
        <w:ind w:left="812" w:right="1812"/>
      </w:pPr>
      <w:r>
        <w:rPr>
          <w:spacing w:val="-2"/>
        </w:rPr>
        <w:t xml:space="preserve">关于各可调因子、定值和变值权重，以及基本价格指数及其来源的约定：； </w:t>
      </w:r>
      <w:r>
        <w:rPr>
          <w:spacing w:val="-30"/>
        </w:rPr>
        <w:t xml:space="preserve">第 </w:t>
      </w:r>
      <w:r>
        <w:t>2</w:t>
      </w:r>
      <w:r>
        <w:rPr>
          <w:spacing w:val="-8"/>
        </w:rPr>
        <w:t xml:space="preserve"> 种方式：采用造价信息进行价格调整。</w:t>
      </w:r>
    </w:p>
    <w:p>
      <w:pPr>
        <w:pStyle w:val="8"/>
        <w:spacing w:before="5"/>
        <w:ind w:left="812"/>
      </w:pPr>
      <w:r>
        <w:t>（2）关于基准价格的约定：。</w:t>
      </w:r>
    </w:p>
    <w:p>
      <w:pPr>
        <w:pStyle w:val="8"/>
        <w:spacing w:before="158" w:line="364" w:lineRule="auto"/>
        <w:ind w:left="388" w:right="744" w:firstLine="424"/>
      </w:pPr>
      <w:r>
        <w:t>专用合同条款①承包人在已标价工程量清单或预算书中载明的材料单价低于基准价格</w:t>
      </w:r>
      <w:r>
        <w:rPr>
          <w:spacing w:val="-8"/>
        </w:rPr>
        <w:t>的：专用合同条款合同履行期间材料单价涨幅以基准价格为基础超过%时，或材料单价跌幅</w:t>
      </w:r>
      <w:r>
        <w:t>以已标价工程量清单或预算书中载明材料单价为基础超过%时，其超过部分据实调整。</w:t>
      </w:r>
    </w:p>
    <w:p>
      <w:pPr>
        <w:pStyle w:val="8"/>
        <w:spacing w:line="364" w:lineRule="auto"/>
        <w:ind w:left="388" w:right="673" w:firstLine="424"/>
      </w:pPr>
      <w: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pPr>
        <w:pStyle w:val="8"/>
        <w:spacing w:line="362" w:lineRule="auto"/>
        <w:ind w:left="388" w:right="852" w:firstLine="424"/>
      </w:pPr>
      <w:r>
        <w:t>③承包人在已标价工程量清单或预算书中载明的材料单价等于基准单价的：专用合同条款合同履行期间材料单价涨跌幅以基准单价为基础超过±%时，其超过部分据实调整。</w:t>
      </w:r>
    </w:p>
    <w:p>
      <w:pPr>
        <w:pStyle w:val="8"/>
        <w:spacing w:before="1"/>
        <w:ind w:left="812"/>
      </w:pPr>
      <w:r>
        <w:t>第 3 种方式：其他价格调整方式：</w:t>
      </w:r>
    </w:p>
    <w:p>
      <w:pPr>
        <w:pStyle w:val="16"/>
        <w:numPr>
          <w:ilvl w:val="0"/>
          <w:numId w:val="85"/>
        </w:numPr>
        <w:tabs>
          <w:tab w:val="left" w:pos="1293"/>
        </w:tabs>
        <w:spacing w:before="161" w:after="0" w:line="240" w:lineRule="auto"/>
        <w:ind w:left="1292" w:right="0" w:hanging="481"/>
        <w:jc w:val="left"/>
        <w:outlineLvl w:val="2"/>
        <w:rPr>
          <w:sz w:val="24"/>
        </w:rPr>
      </w:pPr>
      <w:r>
        <w:rPr>
          <w:sz w:val="24"/>
        </w:rPr>
        <w:t>合同价格、计量与支付</w:t>
      </w:r>
    </w:p>
    <w:p>
      <w:pPr>
        <w:pStyle w:val="16"/>
        <w:numPr>
          <w:ilvl w:val="1"/>
          <w:numId w:val="85"/>
        </w:numPr>
        <w:tabs>
          <w:tab w:val="left" w:pos="1413"/>
        </w:tabs>
        <w:spacing w:before="160" w:after="0" w:line="362" w:lineRule="auto"/>
        <w:ind w:left="812" w:right="7692" w:firstLine="0"/>
        <w:jc w:val="left"/>
        <w:rPr>
          <w:sz w:val="24"/>
        </w:rPr>
      </w:pPr>
      <w:r>
        <w:rPr>
          <w:spacing w:val="-3"/>
          <w:sz w:val="24"/>
        </w:rPr>
        <w:t>合同价格形式</w:t>
      </w:r>
      <w:r>
        <w:rPr>
          <w:sz w:val="24"/>
        </w:rPr>
        <w:t>1、单价合同。</w:t>
      </w:r>
    </w:p>
    <w:p>
      <w:pPr>
        <w:spacing w:after="0" w:line="362"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66" o:spid="_x0000_s1166" o:spt="20" style="position:absolute;left:0pt;margin-left:62.4pt;margin-top:12.25pt;height:0pt;width:400.4pt;mso-position-horizontal-relative:page;z-index:25180569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2" w:lineRule="auto"/>
        <w:ind w:left="812" w:right="6852"/>
      </w:pPr>
      <w:r>
        <w:t>综合单价包含的风险范围： 风险费用的计算方法：</w:t>
      </w:r>
    </w:p>
    <w:p>
      <w:pPr>
        <w:pStyle w:val="8"/>
        <w:spacing w:before="5" w:line="362" w:lineRule="auto"/>
        <w:ind w:left="812" w:right="5892"/>
      </w:pPr>
      <w:r>
        <w:t>风险范围以外合同价格的调整方法： 2、总价合同。</w:t>
      </w:r>
    </w:p>
    <w:p>
      <w:pPr>
        <w:pStyle w:val="8"/>
        <w:spacing w:before="5" w:line="362" w:lineRule="auto"/>
        <w:ind w:left="812" w:right="7332"/>
      </w:pPr>
      <w:r>
        <w:t>总价包含的风险范围： 风险费用的计算方法：</w:t>
      </w:r>
    </w:p>
    <w:p>
      <w:pPr>
        <w:pStyle w:val="8"/>
        <w:spacing w:before="5" w:line="364" w:lineRule="auto"/>
        <w:ind w:left="812" w:right="5878"/>
      </w:pPr>
      <w:r>
        <w:t>风险范围以外合同价格的调整方法： 3、其他价格方式：</w:t>
      </w:r>
    </w:p>
    <w:p>
      <w:pPr>
        <w:pStyle w:val="16"/>
        <w:numPr>
          <w:ilvl w:val="1"/>
          <w:numId w:val="85"/>
        </w:numPr>
        <w:tabs>
          <w:tab w:val="left" w:pos="1413"/>
        </w:tabs>
        <w:spacing w:before="0" w:after="0" w:line="306" w:lineRule="exact"/>
        <w:ind w:left="1412" w:right="0" w:hanging="601"/>
        <w:jc w:val="left"/>
        <w:rPr>
          <w:sz w:val="24"/>
        </w:rPr>
      </w:pPr>
      <w:r>
        <w:rPr>
          <w:sz w:val="24"/>
        </w:rPr>
        <w:t>预付款</w:t>
      </w:r>
    </w:p>
    <w:p>
      <w:pPr>
        <w:pStyle w:val="16"/>
        <w:numPr>
          <w:ilvl w:val="2"/>
          <w:numId w:val="85"/>
        </w:numPr>
        <w:tabs>
          <w:tab w:val="left" w:pos="1653"/>
        </w:tabs>
        <w:spacing w:before="158" w:after="0" w:line="240" w:lineRule="auto"/>
        <w:ind w:left="1652" w:right="0" w:hanging="841"/>
        <w:jc w:val="left"/>
        <w:rPr>
          <w:sz w:val="24"/>
        </w:rPr>
      </w:pPr>
      <w:r>
        <w:rPr>
          <w:sz w:val="24"/>
        </w:rPr>
        <w:t>预付款的支付</w:t>
      </w:r>
    </w:p>
    <w:p>
      <w:pPr>
        <w:pStyle w:val="8"/>
        <w:spacing w:before="160" w:line="364" w:lineRule="auto"/>
        <w:ind w:left="812" w:right="6852"/>
      </w:pPr>
      <w:r>
        <w:t>预付款支付比例或金额：。预付款支付期限：。</w:t>
      </w:r>
    </w:p>
    <w:p>
      <w:pPr>
        <w:pStyle w:val="8"/>
        <w:spacing w:line="306" w:lineRule="exact"/>
        <w:ind w:left="812"/>
      </w:pPr>
      <w:r>
        <w:t>预付款扣回的方式：。</w:t>
      </w:r>
    </w:p>
    <w:p>
      <w:pPr>
        <w:pStyle w:val="16"/>
        <w:numPr>
          <w:ilvl w:val="2"/>
          <w:numId w:val="85"/>
        </w:numPr>
        <w:tabs>
          <w:tab w:val="left" w:pos="1653"/>
        </w:tabs>
        <w:spacing w:before="161" w:after="0" w:line="240" w:lineRule="auto"/>
        <w:ind w:left="1652" w:right="0" w:hanging="841"/>
        <w:jc w:val="left"/>
        <w:rPr>
          <w:sz w:val="24"/>
        </w:rPr>
      </w:pPr>
      <w:r>
        <w:rPr>
          <w:sz w:val="24"/>
        </w:rPr>
        <w:t>预付款担保</w:t>
      </w:r>
    </w:p>
    <w:p>
      <w:pPr>
        <w:pStyle w:val="8"/>
        <w:spacing w:before="158" w:line="364" w:lineRule="auto"/>
        <w:ind w:left="812" w:right="6132"/>
      </w:pPr>
      <w:r>
        <w:rPr>
          <w:spacing w:val="-2"/>
        </w:rPr>
        <w:t>承包人提交预付款担保的期限：。</w:t>
      </w:r>
      <w:r>
        <w:t>预付款担保的形式为：。</w:t>
      </w:r>
    </w:p>
    <w:p>
      <w:pPr>
        <w:pStyle w:val="16"/>
        <w:numPr>
          <w:ilvl w:val="1"/>
          <w:numId w:val="85"/>
        </w:numPr>
        <w:tabs>
          <w:tab w:val="left" w:pos="1413"/>
        </w:tabs>
        <w:spacing w:before="0" w:after="0" w:line="306" w:lineRule="exact"/>
        <w:ind w:left="1412" w:right="0" w:hanging="601"/>
        <w:jc w:val="left"/>
        <w:rPr>
          <w:sz w:val="24"/>
        </w:rPr>
      </w:pPr>
      <w:r>
        <w:rPr>
          <w:sz w:val="24"/>
        </w:rPr>
        <w:t>计量</w:t>
      </w:r>
    </w:p>
    <w:p>
      <w:pPr>
        <w:pStyle w:val="16"/>
        <w:numPr>
          <w:ilvl w:val="2"/>
          <w:numId w:val="85"/>
        </w:numPr>
        <w:tabs>
          <w:tab w:val="left" w:pos="1653"/>
        </w:tabs>
        <w:spacing w:before="160" w:after="0" w:line="240" w:lineRule="auto"/>
        <w:ind w:left="1652" w:right="0" w:hanging="841"/>
        <w:jc w:val="left"/>
        <w:rPr>
          <w:sz w:val="24"/>
        </w:rPr>
      </w:pPr>
      <w:r>
        <w:rPr>
          <w:sz w:val="24"/>
        </w:rPr>
        <w:t>计量原则</w:t>
      </w:r>
    </w:p>
    <w:p>
      <w:pPr>
        <w:pStyle w:val="8"/>
        <w:spacing w:before="158"/>
        <w:ind w:left="812"/>
      </w:pPr>
      <w:r>
        <w:t>工程量计算规则：。</w:t>
      </w:r>
    </w:p>
    <w:p>
      <w:pPr>
        <w:pStyle w:val="16"/>
        <w:numPr>
          <w:ilvl w:val="2"/>
          <w:numId w:val="85"/>
        </w:numPr>
        <w:tabs>
          <w:tab w:val="left" w:pos="1653"/>
        </w:tabs>
        <w:spacing w:before="161" w:after="0" w:line="240" w:lineRule="auto"/>
        <w:ind w:left="1652" w:right="0" w:hanging="841"/>
        <w:jc w:val="left"/>
        <w:rPr>
          <w:sz w:val="24"/>
        </w:rPr>
      </w:pPr>
      <w:r>
        <w:rPr>
          <w:sz w:val="24"/>
        </w:rPr>
        <w:t>计量周期</w:t>
      </w:r>
    </w:p>
    <w:p>
      <w:pPr>
        <w:pStyle w:val="8"/>
        <w:spacing w:before="158"/>
        <w:ind w:left="812"/>
      </w:pPr>
      <w:r>
        <w:t>关于计量周期的约定：。</w:t>
      </w:r>
    </w:p>
    <w:p>
      <w:pPr>
        <w:pStyle w:val="16"/>
        <w:numPr>
          <w:ilvl w:val="2"/>
          <w:numId w:val="85"/>
        </w:numPr>
        <w:tabs>
          <w:tab w:val="left" w:pos="1653"/>
        </w:tabs>
        <w:spacing w:before="161" w:after="0" w:line="240" w:lineRule="auto"/>
        <w:ind w:left="1652" w:right="0" w:hanging="841"/>
        <w:jc w:val="left"/>
        <w:rPr>
          <w:sz w:val="24"/>
        </w:rPr>
      </w:pPr>
      <w:r>
        <w:rPr>
          <w:sz w:val="24"/>
        </w:rPr>
        <w:t>单价合同的计量</w:t>
      </w:r>
    </w:p>
    <w:p>
      <w:pPr>
        <w:pStyle w:val="8"/>
        <w:spacing w:before="160"/>
        <w:ind w:left="812"/>
      </w:pPr>
      <w:r>
        <w:t>关于单价合同计量的约定：。</w:t>
      </w:r>
    </w:p>
    <w:p>
      <w:pPr>
        <w:pStyle w:val="16"/>
        <w:numPr>
          <w:ilvl w:val="2"/>
          <w:numId w:val="85"/>
        </w:numPr>
        <w:tabs>
          <w:tab w:val="left" w:pos="1653"/>
        </w:tabs>
        <w:spacing w:before="158" w:after="0" w:line="240" w:lineRule="auto"/>
        <w:ind w:left="1652" w:right="0" w:hanging="841"/>
        <w:jc w:val="left"/>
        <w:rPr>
          <w:sz w:val="24"/>
        </w:rPr>
      </w:pPr>
      <w:r>
        <w:rPr>
          <w:sz w:val="24"/>
        </w:rPr>
        <w:t>总价合同的计量</w:t>
      </w:r>
    </w:p>
    <w:p>
      <w:pPr>
        <w:pStyle w:val="8"/>
        <w:spacing w:before="161"/>
        <w:ind w:left="812"/>
      </w:pPr>
      <w:r>
        <w:t>关于总价合同计量的约定：。</w:t>
      </w:r>
    </w:p>
    <w:p>
      <w:pPr>
        <w:pStyle w:val="16"/>
        <w:numPr>
          <w:ilvl w:val="2"/>
          <w:numId w:val="85"/>
        </w:numPr>
        <w:tabs>
          <w:tab w:val="left" w:pos="1593"/>
        </w:tabs>
        <w:spacing w:before="158" w:after="0" w:line="362" w:lineRule="auto"/>
        <w:ind w:left="388" w:right="852" w:firstLine="424"/>
        <w:jc w:val="left"/>
        <w:rPr>
          <w:sz w:val="24"/>
        </w:rPr>
      </w:pPr>
      <w:r>
        <w:rPr>
          <w:spacing w:val="-3"/>
          <w:sz w:val="24"/>
        </w:rPr>
        <w:t xml:space="preserve">总价合同采用支付分解表计量支付的，是否适用第 </w:t>
      </w:r>
      <w:r>
        <w:rPr>
          <w:sz w:val="24"/>
        </w:rPr>
        <w:t>12.3.4</w:t>
      </w:r>
      <w:r>
        <w:rPr>
          <w:spacing w:val="-2"/>
          <w:sz w:val="24"/>
        </w:rPr>
        <w:t xml:space="preserve"> 项〔总价合同的计</w:t>
      </w:r>
      <w:r>
        <w:rPr>
          <w:sz w:val="24"/>
        </w:rPr>
        <w:t>量〕约定进行计量：。</w:t>
      </w:r>
    </w:p>
    <w:p>
      <w:pPr>
        <w:pStyle w:val="16"/>
        <w:numPr>
          <w:ilvl w:val="2"/>
          <w:numId w:val="85"/>
        </w:numPr>
        <w:tabs>
          <w:tab w:val="left" w:pos="1653"/>
        </w:tabs>
        <w:spacing w:before="5" w:after="0" w:line="364" w:lineRule="auto"/>
        <w:ind w:left="812" w:right="6132" w:firstLine="0"/>
        <w:jc w:val="left"/>
        <w:rPr>
          <w:sz w:val="24"/>
        </w:rPr>
      </w:pPr>
      <w:r>
        <w:rPr>
          <w:sz w:val="24"/>
        </w:rPr>
        <w:t>其他价格形式合同的计量</w:t>
      </w:r>
      <w:r>
        <w:rPr>
          <w:spacing w:val="-2"/>
          <w:sz w:val="24"/>
        </w:rPr>
        <w:t>其他价格形式的计量方式和程序：</w:t>
      </w:r>
    </w:p>
    <w:p>
      <w:pPr>
        <w:pStyle w:val="16"/>
        <w:numPr>
          <w:ilvl w:val="1"/>
          <w:numId w:val="85"/>
        </w:numPr>
        <w:tabs>
          <w:tab w:val="left" w:pos="1413"/>
        </w:tabs>
        <w:spacing w:before="0" w:after="0" w:line="306" w:lineRule="exact"/>
        <w:ind w:left="1412" w:right="0" w:hanging="601"/>
        <w:jc w:val="left"/>
        <w:rPr>
          <w:sz w:val="24"/>
        </w:rPr>
      </w:pPr>
      <w:r>
        <w:rPr>
          <w:sz w:val="24"/>
        </w:rPr>
        <w:t>工程进度款支付</w:t>
      </w:r>
    </w:p>
    <w:p>
      <w:pPr>
        <w:spacing w:after="0" w:line="306" w:lineRule="exact"/>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67" o:spid="_x0000_s1167" o:spt="20" style="position:absolute;left:0pt;margin-left:62.4pt;margin-top:12.25pt;height:0pt;width:400.4pt;mso-position-horizontal-relative:page;z-index:25180672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2"/>
          <w:numId w:val="85"/>
        </w:numPr>
        <w:tabs>
          <w:tab w:val="left" w:pos="1653"/>
        </w:tabs>
        <w:spacing w:before="67" w:after="0" w:line="240" w:lineRule="auto"/>
        <w:ind w:left="1652" w:right="0" w:hanging="841"/>
        <w:jc w:val="left"/>
        <w:rPr>
          <w:sz w:val="24"/>
        </w:rPr>
      </w:pPr>
      <w:r>
        <w:rPr>
          <w:sz w:val="24"/>
        </w:rPr>
        <w:t>付款周期</w:t>
      </w:r>
    </w:p>
    <w:p>
      <w:pPr>
        <w:pStyle w:val="8"/>
        <w:spacing w:before="158"/>
        <w:ind w:left="812"/>
      </w:pPr>
      <w:r>
        <w:t>关于付款周期的约定：。</w:t>
      </w:r>
    </w:p>
    <w:p>
      <w:pPr>
        <w:pStyle w:val="16"/>
        <w:numPr>
          <w:ilvl w:val="2"/>
          <w:numId w:val="85"/>
        </w:numPr>
        <w:tabs>
          <w:tab w:val="left" w:pos="1653"/>
        </w:tabs>
        <w:spacing w:before="160" w:after="0" w:line="240" w:lineRule="auto"/>
        <w:ind w:left="1652" w:right="0" w:hanging="841"/>
        <w:jc w:val="left"/>
        <w:rPr>
          <w:sz w:val="24"/>
        </w:rPr>
      </w:pPr>
      <w:r>
        <w:rPr>
          <w:sz w:val="24"/>
        </w:rPr>
        <w:t>进度付款申请单的编制</w:t>
      </w:r>
    </w:p>
    <w:p>
      <w:pPr>
        <w:pStyle w:val="8"/>
        <w:spacing w:before="158"/>
        <w:ind w:left="812"/>
      </w:pPr>
      <w:r>
        <w:t>关于进度付款申请单编制的约定：</w:t>
      </w:r>
    </w:p>
    <w:p>
      <w:pPr>
        <w:pStyle w:val="16"/>
        <w:numPr>
          <w:ilvl w:val="2"/>
          <w:numId w:val="85"/>
        </w:numPr>
        <w:tabs>
          <w:tab w:val="left" w:pos="1653"/>
        </w:tabs>
        <w:spacing w:before="161" w:after="0" w:line="240" w:lineRule="auto"/>
        <w:ind w:left="1652" w:right="0" w:hanging="841"/>
        <w:jc w:val="left"/>
        <w:rPr>
          <w:sz w:val="24"/>
        </w:rPr>
      </w:pPr>
      <w:r>
        <w:rPr>
          <w:sz w:val="24"/>
        </w:rPr>
        <w:t>进度付款申请单的提交</w:t>
      </w:r>
    </w:p>
    <w:p>
      <w:pPr>
        <w:pStyle w:val="16"/>
        <w:numPr>
          <w:ilvl w:val="0"/>
          <w:numId w:val="103"/>
        </w:numPr>
        <w:tabs>
          <w:tab w:val="left" w:pos="1414"/>
        </w:tabs>
        <w:spacing w:before="158" w:after="0" w:line="240" w:lineRule="auto"/>
        <w:ind w:left="1413" w:right="0" w:hanging="602"/>
        <w:jc w:val="left"/>
        <w:rPr>
          <w:sz w:val="24"/>
        </w:rPr>
      </w:pPr>
      <w:r>
        <w:rPr>
          <w:sz w:val="24"/>
        </w:rPr>
        <w:t>单价合同进度付款申请单提交的约定：。</w:t>
      </w:r>
    </w:p>
    <w:p>
      <w:pPr>
        <w:pStyle w:val="16"/>
        <w:numPr>
          <w:ilvl w:val="0"/>
          <w:numId w:val="103"/>
        </w:numPr>
        <w:tabs>
          <w:tab w:val="left" w:pos="1414"/>
        </w:tabs>
        <w:spacing w:before="161" w:after="0" w:line="240" w:lineRule="auto"/>
        <w:ind w:left="1413" w:right="0" w:hanging="602"/>
        <w:jc w:val="left"/>
        <w:rPr>
          <w:sz w:val="24"/>
        </w:rPr>
      </w:pPr>
      <w:r>
        <w:rPr>
          <w:sz w:val="24"/>
        </w:rPr>
        <w:t>总价合同进度付款申请单提交的约定：。</w:t>
      </w:r>
    </w:p>
    <w:p>
      <w:pPr>
        <w:pStyle w:val="16"/>
        <w:numPr>
          <w:ilvl w:val="0"/>
          <w:numId w:val="103"/>
        </w:numPr>
        <w:tabs>
          <w:tab w:val="left" w:pos="1414"/>
        </w:tabs>
        <w:spacing w:before="160" w:after="0" w:line="240" w:lineRule="auto"/>
        <w:ind w:left="1413" w:right="0" w:hanging="602"/>
        <w:jc w:val="left"/>
        <w:rPr>
          <w:sz w:val="24"/>
        </w:rPr>
      </w:pPr>
      <w:r>
        <w:rPr>
          <w:sz w:val="24"/>
        </w:rPr>
        <w:t>其他价格形式合同进度付款申请单提交的约定：</w:t>
      </w:r>
    </w:p>
    <w:p>
      <w:pPr>
        <w:pStyle w:val="16"/>
        <w:numPr>
          <w:ilvl w:val="2"/>
          <w:numId w:val="85"/>
        </w:numPr>
        <w:tabs>
          <w:tab w:val="left" w:pos="1653"/>
        </w:tabs>
        <w:spacing w:before="158" w:after="0" w:line="240" w:lineRule="auto"/>
        <w:ind w:left="1652" w:right="0" w:hanging="841"/>
        <w:jc w:val="left"/>
        <w:rPr>
          <w:sz w:val="24"/>
        </w:rPr>
      </w:pPr>
      <w:r>
        <w:rPr>
          <w:sz w:val="24"/>
        </w:rPr>
        <w:t>进度款审核和支付</w:t>
      </w:r>
    </w:p>
    <w:p>
      <w:pPr>
        <w:pStyle w:val="16"/>
        <w:numPr>
          <w:ilvl w:val="0"/>
          <w:numId w:val="104"/>
        </w:numPr>
        <w:tabs>
          <w:tab w:val="left" w:pos="1414"/>
        </w:tabs>
        <w:spacing w:before="158" w:after="0" w:line="240" w:lineRule="auto"/>
        <w:ind w:left="1413" w:right="0" w:hanging="602"/>
        <w:jc w:val="left"/>
        <w:rPr>
          <w:sz w:val="24"/>
        </w:rPr>
      </w:pPr>
      <w:r>
        <w:rPr>
          <w:sz w:val="24"/>
        </w:rPr>
        <w:t>监理人审查并报送发包人的期限：。</w:t>
      </w:r>
    </w:p>
    <w:p>
      <w:pPr>
        <w:pStyle w:val="8"/>
        <w:spacing w:before="161"/>
        <w:ind w:left="812"/>
      </w:pPr>
      <w:r>
        <w:t>发包人完成审批并签发进度款支付证书的期限：</w:t>
      </w:r>
    </w:p>
    <w:p>
      <w:pPr>
        <w:pStyle w:val="16"/>
        <w:numPr>
          <w:ilvl w:val="0"/>
          <w:numId w:val="104"/>
        </w:numPr>
        <w:tabs>
          <w:tab w:val="left" w:pos="1414"/>
        </w:tabs>
        <w:spacing w:before="160" w:after="0" w:line="240" w:lineRule="auto"/>
        <w:ind w:left="1413" w:right="0" w:hanging="602"/>
        <w:jc w:val="left"/>
        <w:rPr>
          <w:sz w:val="24"/>
        </w:rPr>
      </w:pPr>
      <w:r>
        <w:rPr>
          <w:sz w:val="24"/>
        </w:rPr>
        <w:t>发包人支付进度款的期限：。</w:t>
      </w:r>
    </w:p>
    <w:p>
      <w:pPr>
        <w:pStyle w:val="8"/>
        <w:spacing w:before="158"/>
        <w:ind w:left="812"/>
      </w:pPr>
      <w:r>
        <w:t>发包人逾期支付进度款的违约金的计算方式：</w:t>
      </w:r>
    </w:p>
    <w:p>
      <w:pPr>
        <w:pStyle w:val="8"/>
        <w:spacing w:before="161"/>
        <w:ind w:left="812"/>
      </w:pPr>
      <w:r>
        <w:t>12.4.6 支付分解表的编制</w:t>
      </w:r>
    </w:p>
    <w:p>
      <w:pPr>
        <w:pStyle w:val="8"/>
        <w:spacing w:before="158"/>
        <w:ind w:left="812"/>
      </w:pPr>
      <w:r>
        <w:t>2、总价合同支付分解表的编制与审批：</w:t>
      </w:r>
    </w:p>
    <w:p>
      <w:pPr>
        <w:pStyle w:val="8"/>
        <w:spacing w:before="160"/>
        <w:ind w:left="812"/>
      </w:pPr>
      <w:r>
        <w:t>3、单价合同的总价项目支付分解表的编制与审批：</w:t>
      </w:r>
    </w:p>
    <w:p>
      <w:pPr>
        <w:pStyle w:val="16"/>
        <w:numPr>
          <w:ilvl w:val="0"/>
          <w:numId w:val="85"/>
        </w:numPr>
        <w:tabs>
          <w:tab w:val="left" w:pos="1293"/>
        </w:tabs>
        <w:spacing w:before="159" w:after="0" w:line="240" w:lineRule="auto"/>
        <w:ind w:left="1292" w:right="0" w:hanging="481"/>
        <w:jc w:val="left"/>
        <w:rPr>
          <w:sz w:val="24"/>
        </w:rPr>
      </w:pPr>
      <w:r>
        <w:rPr>
          <w:sz w:val="24"/>
        </w:rPr>
        <w:t>验收和工程试车</w:t>
      </w:r>
    </w:p>
    <w:p>
      <w:pPr>
        <w:pStyle w:val="16"/>
        <w:numPr>
          <w:ilvl w:val="1"/>
          <w:numId w:val="85"/>
        </w:numPr>
        <w:tabs>
          <w:tab w:val="left" w:pos="1413"/>
        </w:tabs>
        <w:spacing w:before="160" w:after="0" w:line="240" w:lineRule="auto"/>
        <w:ind w:left="1412" w:right="0" w:hanging="601"/>
        <w:jc w:val="left"/>
        <w:rPr>
          <w:sz w:val="24"/>
        </w:rPr>
      </w:pPr>
      <w:r>
        <w:rPr>
          <w:sz w:val="24"/>
        </w:rPr>
        <w:t>分部分项工程验收</w:t>
      </w:r>
    </w:p>
    <w:p>
      <w:pPr>
        <w:pStyle w:val="8"/>
        <w:spacing w:before="158" w:line="364" w:lineRule="auto"/>
        <w:ind w:left="812" w:right="2472"/>
      </w:pPr>
      <w:r>
        <w:t>13.1.2</w:t>
      </w:r>
      <w:r>
        <w:rPr>
          <w:spacing w:val="-9"/>
        </w:rPr>
        <w:t xml:space="preserve"> 监理人不能按时进行验收时，应提前小时提交书面延期要求。</w:t>
      </w:r>
      <w:r>
        <w:t>关于延期最长不得超过：小时。</w:t>
      </w:r>
    </w:p>
    <w:p>
      <w:pPr>
        <w:pStyle w:val="16"/>
        <w:numPr>
          <w:ilvl w:val="1"/>
          <w:numId w:val="85"/>
        </w:numPr>
        <w:tabs>
          <w:tab w:val="left" w:pos="1413"/>
        </w:tabs>
        <w:spacing w:before="0" w:after="0" w:line="306" w:lineRule="exact"/>
        <w:ind w:left="1412" w:right="0" w:hanging="601"/>
        <w:jc w:val="left"/>
        <w:rPr>
          <w:sz w:val="24"/>
        </w:rPr>
      </w:pPr>
      <w:r>
        <w:rPr>
          <w:sz w:val="24"/>
        </w:rPr>
        <w:t>竣工验收</w:t>
      </w:r>
    </w:p>
    <w:p>
      <w:pPr>
        <w:pStyle w:val="8"/>
        <w:spacing w:before="161"/>
        <w:ind w:left="812"/>
      </w:pPr>
      <w:r>
        <w:t>13.2.2 竣工验收程序</w:t>
      </w:r>
    </w:p>
    <w:p>
      <w:pPr>
        <w:pStyle w:val="8"/>
        <w:spacing w:before="160"/>
        <w:ind w:left="812"/>
      </w:pPr>
      <w:r>
        <w:t>关于竣工验收程序的约定：</w:t>
      </w:r>
    </w:p>
    <w:p>
      <w:pPr>
        <w:pStyle w:val="8"/>
        <w:spacing w:before="158"/>
        <w:ind w:left="812"/>
      </w:pPr>
      <w:r>
        <w:t>发包人不按照本项约定组织竣工验收、颁发工程接收证书的违约金的计算方法：</w:t>
      </w:r>
    </w:p>
    <w:p>
      <w:pPr>
        <w:pStyle w:val="8"/>
        <w:spacing w:before="161" w:line="362" w:lineRule="auto"/>
        <w:ind w:left="812" w:right="5892"/>
      </w:pPr>
      <w:r>
        <w:t>13.2.5 移交、接收全部与部分工程承包人向发包人移交工程的期限：。</w:t>
      </w:r>
    </w:p>
    <w:p>
      <w:pPr>
        <w:pStyle w:val="8"/>
        <w:spacing w:before="2" w:line="364" w:lineRule="auto"/>
        <w:ind w:left="812" w:right="2052"/>
      </w:pPr>
      <w:r>
        <w:t>发包人未按本合同约定接收全部或部分工程的，违约金的计算方法为：。承包人未按时移交工程的，违约金的计算方法为：</w:t>
      </w:r>
    </w:p>
    <w:p>
      <w:pPr>
        <w:pStyle w:val="16"/>
        <w:numPr>
          <w:ilvl w:val="1"/>
          <w:numId w:val="85"/>
        </w:numPr>
        <w:tabs>
          <w:tab w:val="left" w:pos="1413"/>
        </w:tabs>
        <w:spacing w:before="1" w:after="0" w:line="240" w:lineRule="auto"/>
        <w:ind w:left="1412" w:right="0" w:hanging="601"/>
        <w:jc w:val="left"/>
        <w:rPr>
          <w:sz w:val="24"/>
        </w:rPr>
      </w:pPr>
      <w:r>
        <w:rPr>
          <w:sz w:val="24"/>
        </w:rPr>
        <w:t>工程试车</w:t>
      </w:r>
    </w:p>
    <w:p>
      <w:pPr>
        <w:pStyle w:val="16"/>
        <w:numPr>
          <w:ilvl w:val="2"/>
          <w:numId w:val="85"/>
        </w:numPr>
        <w:tabs>
          <w:tab w:val="left" w:pos="1653"/>
        </w:tabs>
        <w:spacing w:before="159" w:after="0" w:line="240" w:lineRule="auto"/>
        <w:ind w:left="1652" w:right="0" w:hanging="841"/>
        <w:jc w:val="left"/>
        <w:rPr>
          <w:sz w:val="24"/>
        </w:rPr>
      </w:pPr>
      <w:r>
        <w:rPr>
          <w:sz w:val="24"/>
        </w:rPr>
        <w:t>试车程序</w:t>
      </w:r>
    </w:p>
    <w:p>
      <w:pPr>
        <w:spacing w:after="0" w:line="240"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68" o:spid="_x0000_s1168" o:spt="20" style="position:absolute;left:0pt;margin-left:62.4pt;margin-top:12.25pt;height:0pt;width:400.4pt;mso-position-horizontal-relative:page;z-index:25180774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812"/>
      </w:pPr>
      <w:r>
        <w:t>工程试车内容：</w:t>
      </w:r>
    </w:p>
    <w:p>
      <w:pPr>
        <w:pStyle w:val="16"/>
        <w:numPr>
          <w:ilvl w:val="0"/>
          <w:numId w:val="105"/>
        </w:numPr>
        <w:tabs>
          <w:tab w:val="left" w:pos="1414"/>
        </w:tabs>
        <w:spacing w:before="158" w:after="0" w:line="240" w:lineRule="auto"/>
        <w:ind w:left="1413" w:right="0" w:hanging="602"/>
        <w:jc w:val="left"/>
        <w:rPr>
          <w:sz w:val="24"/>
        </w:rPr>
      </w:pPr>
      <w:r>
        <w:rPr>
          <w:sz w:val="24"/>
        </w:rPr>
        <w:t>单机无负荷试车费用由承担；</w:t>
      </w:r>
    </w:p>
    <w:p>
      <w:pPr>
        <w:pStyle w:val="16"/>
        <w:numPr>
          <w:ilvl w:val="0"/>
          <w:numId w:val="105"/>
        </w:numPr>
        <w:tabs>
          <w:tab w:val="left" w:pos="1414"/>
        </w:tabs>
        <w:spacing w:before="160" w:after="0" w:line="240" w:lineRule="auto"/>
        <w:ind w:left="1413" w:right="0" w:hanging="602"/>
        <w:jc w:val="left"/>
        <w:rPr>
          <w:sz w:val="24"/>
        </w:rPr>
      </w:pPr>
      <w:r>
        <w:rPr>
          <w:sz w:val="24"/>
        </w:rPr>
        <w:t>无负荷联动试车费用由承担。</w:t>
      </w:r>
    </w:p>
    <w:p>
      <w:pPr>
        <w:pStyle w:val="8"/>
        <w:spacing w:before="158"/>
        <w:ind w:left="812"/>
      </w:pPr>
      <w:r>
        <w:t>13.3.3 投料试车</w:t>
      </w:r>
    </w:p>
    <w:p>
      <w:pPr>
        <w:pStyle w:val="8"/>
        <w:spacing w:before="161"/>
        <w:ind w:left="812"/>
      </w:pPr>
      <w:r>
        <w:t>关于投料试车相关事项的约定：</w:t>
      </w:r>
    </w:p>
    <w:p>
      <w:pPr>
        <w:pStyle w:val="16"/>
        <w:numPr>
          <w:ilvl w:val="1"/>
          <w:numId w:val="106"/>
        </w:numPr>
        <w:tabs>
          <w:tab w:val="left" w:pos="1413"/>
        </w:tabs>
        <w:spacing w:before="158" w:after="0" w:line="240" w:lineRule="auto"/>
        <w:ind w:left="1412" w:right="0" w:hanging="601"/>
        <w:jc w:val="left"/>
        <w:rPr>
          <w:sz w:val="24"/>
        </w:rPr>
      </w:pPr>
      <w:r>
        <w:rPr>
          <w:sz w:val="24"/>
        </w:rPr>
        <w:t>竣工退场</w:t>
      </w:r>
    </w:p>
    <w:p>
      <w:pPr>
        <w:pStyle w:val="16"/>
        <w:numPr>
          <w:ilvl w:val="2"/>
          <w:numId w:val="106"/>
        </w:numPr>
        <w:tabs>
          <w:tab w:val="left" w:pos="1653"/>
        </w:tabs>
        <w:spacing w:before="161" w:after="0" w:line="240" w:lineRule="auto"/>
        <w:ind w:left="1652" w:right="0" w:hanging="841"/>
        <w:jc w:val="left"/>
        <w:rPr>
          <w:sz w:val="24"/>
        </w:rPr>
      </w:pPr>
      <w:r>
        <w:rPr>
          <w:sz w:val="24"/>
        </w:rPr>
        <w:t>竣工退场</w:t>
      </w:r>
    </w:p>
    <w:p>
      <w:pPr>
        <w:pStyle w:val="8"/>
        <w:spacing w:before="160"/>
        <w:ind w:left="812"/>
      </w:pPr>
      <w:r>
        <w:t>承包人完成竣工退场的期限：。</w:t>
      </w:r>
    </w:p>
    <w:p>
      <w:pPr>
        <w:pStyle w:val="16"/>
        <w:numPr>
          <w:ilvl w:val="0"/>
          <w:numId w:val="85"/>
        </w:numPr>
        <w:tabs>
          <w:tab w:val="left" w:pos="1293"/>
        </w:tabs>
        <w:spacing w:before="158" w:after="0" w:line="240" w:lineRule="auto"/>
        <w:ind w:left="1292" w:right="0" w:hanging="481"/>
        <w:jc w:val="left"/>
        <w:outlineLvl w:val="2"/>
        <w:rPr>
          <w:sz w:val="24"/>
        </w:rPr>
      </w:pPr>
      <w:r>
        <w:rPr>
          <w:sz w:val="24"/>
        </w:rPr>
        <w:t>竣工结算</w:t>
      </w:r>
    </w:p>
    <w:p>
      <w:pPr>
        <w:pStyle w:val="16"/>
        <w:numPr>
          <w:ilvl w:val="1"/>
          <w:numId w:val="85"/>
        </w:numPr>
        <w:tabs>
          <w:tab w:val="left" w:pos="1413"/>
        </w:tabs>
        <w:spacing w:before="158" w:after="0" w:line="240" w:lineRule="auto"/>
        <w:ind w:left="1412" w:right="0" w:hanging="601"/>
        <w:jc w:val="left"/>
        <w:rPr>
          <w:sz w:val="24"/>
        </w:rPr>
      </w:pPr>
      <w:r>
        <w:rPr>
          <w:sz w:val="24"/>
        </w:rPr>
        <w:t>竣工付款申请</w:t>
      </w:r>
    </w:p>
    <w:p>
      <w:pPr>
        <w:pStyle w:val="8"/>
        <w:spacing w:before="161" w:line="364" w:lineRule="auto"/>
        <w:ind w:left="812" w:right="5652"/>
      </w:pPr>
      <w:r>
        <w:t>承包人提交竣工付款申请单的期限：。竣工付款申请单应包括的内容：</w:t>
      </w:r>
    </w:p>
    <w:p>
      <w:pPr>
        <w:pStyle w:val="16"/>
        <w:numPr>
          <w:ilvl w:val="1"/>
          <w:numId w:val="85"/>
        </w:numPr>
        <w:tabs>
          <w:tab w:val="left" w:pos="1413"/>
        </w:tabs>
        <w:spacing w:before="0" w:after="0" w:line="306" w:lineRule="exact"/>
        <w:ind w:left="1412" w:right="0" w:hanging="601"/>
        <w:jc w:val="left"/>
        <w:rPr>
          <w:sz w:val="24"/>
        </w:rPr>
      </w:pPr>
      <w:r>
        <w:rPr>
          <w:sz w:val="24"/>
        </w:rPr>
        <w:t>竣工结算审核</w:t>
      </w:r>
    </w:p>
    <w:p>
      <w:pPr>
        <w:pStyle w:val="8"/>
        <w:spacing w:before="160" w:line="362" w:lineRule="auto"/>
        <w:ind w:left="812" w:right="5652"/>
      </w:pPr>
      <w:r>
        <w:t>发包人审批竣工付款申请单的期限：。发包人完成竣工付款的期限：。</w:t>
      </w:r>
    </w:p>
    <w:p>
      <w:pPr>
        <w:pStyle w:val="8"/>
        <w:spacing w:before="5"/>
        <w:ind w:left="812"/>
      </w:pPr>
      <w:r>
        <w:t>关于竣工付款证书异议部分复核的方式和程序：</w:t>
      </w:r>
    </w:p>
    <w:p>
      <w:pPr>
        <w:pStyle w:val="16"/>
        <w:numPr>
          <w:ilvl w:val="1"/>
          <w:numId w:val="107"/>
        </w:numPr>
        <w:tabs>
          <w:tab w:val="left" w:pos="1413"/>
        </w:tabs>
        <w:spacing w:before="158" w:after="0" w:line="240" w:lineRule="auto"/>
        <w:ind w:left="1412" w:right="0" w:hanging="601"/>
        <w:jc w:val="left"/>
        <w:rPr>
          <w:sz w:val="24"/>
        </w:rPr>
      </w:pPr>
      <w:r>
        <w:rPr>
          <w:sz w:val="24"/>
        </w:rPr>
        <w:t>最终结清</w:t>
      </w:r>
    </w:p>
    <w:p>
      <w:pPr>
        <w:pStyle w:val="16"/>
        <w:numPr>
          <w:ilvl w:val="2"/>
          <w:numId w:val="107"/>
        </w:numPr>
        <w:tabs>
          <w:tab w:val="left" w:pos="1653"/>
        </w:tabs>
        <w:spacing w:before="161" w:after="0" w:line="240" w:lineRule="auto"/>
        <w:ind w:left="1652" w:right="0" w:hanging="841"/>
        <w:jc w:val="left"/>
        <w:rPr>
          <w:sz w:val="24"/>
        </w:rPr>
      </w:pPr>
      <w:r>
        <w:rPr>
          <w:sz w:val="24"/>
        </w:rPr>
        <w:t>最终结清申请单</w:t>
      </w:r>
    </w:p>
    <w:p>
      <w:pPr>
        <w:pStyle w:val="8"/>
        <w:spacing w:before="158" w:line="364" w:lineRule="auto"/>
        <w:ind w:left="812" w:right="5652"/>
      </w:pPr>
      <w:r>
        <w:rPr>
          <w:spacing w:val="-1"/>
        </w:rPr>
        <w:t>承包人提交最终结清申请单的份数：。承包人提交最终结算申请单的期限：。</w:t>
      </w:r>
    </w:p>
    <w:p>
      <w:pPr>
        <w:pStyle w:val="16"/>
        <w:numPr>
          <w:ilvl w:val="2"/>
          <w:numId w:val="107"/>
        </w:numPr>
        <w:tabs>
          <w:tab w:val="left" w:pos="1653"/>
        </w:tabs>
        <w:spacing w:before="0" w:after="0" w:line="306" w:lineRule="exact"/>
        <w:ind w:left="1652" w:right="0" w:hanging="841"/>
        <w:jc w:val="left"/>
        <w:rPr>
          <w:sz w:val="24"/>
        </w:rPr>
      </w:pPr>
      <w:r>
        <w:rPr>
          <w:sz w:val="24"/>
        </w:rPr>
        <w:t>最终结清证书和支付</w:t>
      </w:r>
    </w:p>
    <w:p>
      <w:pPr>
        <w:pStyle w:val="16"/>
        <w:numPr>
          <w:ilvl w:val="0"/>
          <w:numId w:val="108"/>
        </w:numPr>
        <w:tabs>
          <w:tab w:val="left" w:pos="1414"/>
        </w:tabs>
        <w:spacing w:before="160" w:after="0" w:line="240" w:lineRule="auto"/>
        <w:ind w:left="1413" w:right="0" w:hanging="602"/>
        <w:jc w:val="left"/>
        <w:rPr>
          <w:sz w:val="24"/>
        </w:rPr>
      </w:pPr>
      <w:r>
        <w:rPr>
          <w:sz w:val="24"/>
        </w:rPr>
        <w:t>发包人完成最终结清申请单的审批并颁发最终结清证书的期限：。</w:t>
      </w:r>
    </w:p>
    <w:p>
      <w:pPr>
        <w:pStyle w:val="16"/>
        <w:numPr>
          <w:ilvl w:val="0"/>
          <w:numId w:val="108"/>
        </w:numPr>
        <w:tabs>
          <w:tab w:val="left" w:pos="1414"/>
        </w:tabs>
        <w:spacing w:before="161" w:after="0" w:line="240" w:lineRule="auto"/>
        <w:ind w:left="1413" w:right="0" w:hanging="602"/>
        <w:jc w:val="left"/>
        <w:rPr>
          <w:sz w:val="24"/>
        </w:rPr>
      </w:pPr>
      <w:r>
        <w:rPr>
          <w:sz w:val="24"/>
        </w:rPr>
        <w:t>发包人完成支付的期限：。</w:t>
      </w:r>
    </w:p>
    <w:p>
      <w:pPr>
        <w:pStyle w:val="16"/>
        <w:numPr>
          <w:ilvl w:val="0"/>
          <w:numId w:val="85"/>
        </w:numPr>
        <w:tabs>
          <w:tab w:val="left" w:pos="1293"/>
        </w:tabs>
        <w:spacing w:before="158" w:after="0" w:line="240" w:lineRule="auto"/>
        <w:ind w:left="1292" w:right="0" w:hanging="481"/>
        <w:jc w:val="left"/>
        <w:outlineLvl w:val="2"/>
        <w:rPr>
          <w:sz w:val="24"/>
        </w:rPr>
      </w:pPr>
      <w:r>
        <w:rPr>
          <w:sz w:val="24"/>
        </w:rPr>
        <w:t>缺陷责任期与保修</w:t>
      </w:r>
    </w:p>
    <w:p>
      <w:pPr>
        <w:pStyle w:val="16"/>
        <w:numPr>
          <w:ilvl w:val="1"/>
          <w:numId w:val="109"/>
        </w:numPr>
        <w:tabs>
          <w:tab w:val="left" w:pos="1353"/>
        </w:tabs>
        <w:spacing w:before="160" w:after="0" w:line="240" w:lineRule="auto"/>
        <w:ind w:left="1352" w:right="0" w:hanging="541"/>
        <w:jc w:val="left"/>
        <w:rPr>
          <w:sz w:val="24"/>
        </w:rPr>
      </w:pPr>
      <w:r>
        <w:rPr>
          <w:sz w:val="24"/>
        </w:rPr>
        <w:t>缺陷责任期</w:t>
      </w:r>
    </w:p>
    <w:p>
      <w:pPr>
        <w:pStyle w:val="8"/>
        <w:spacing w:before="159"/>
        <w:ind w:left="812"/>
      </w:pPr>
      <w:r>
        <w:t>缺陷责任期的具体期限：</w:t>
      </w:r>
    </w:p>
    <w:p>
      <w:pPr>
        <w:pStyle w:val="16"/>
        <w:numPr>
          <w:ilvl w:val="1"/>
          <w:numId w:val="109"/>
        </w:numPr>
        <w:tabs>
          <w:tab w:val="left" w:pos="1413"/>
        </w:tabs>
        <w:spacing w:before="158" w:after="0" w:line="240" w:lineRule="auto"/>
        <w:ind w:left="1412" w:right="0" w:hanging="601"/>
        <w:jc w:val="left"/>
        <w:rPr>
          <w:sz w:val="24"/>
        </w:rPr>
      </w:pPr>
      <w:r>
        <w:rPr>
          <w:sz w:val="24"/>
        </w:rPr>
        <w:t>质量保证金</w:t>
      </w:r>
    </w:p>
    <w:p>
      <w:pPr>
        <w:pStyle w:val="8"/>
        <w:spacing w:before="160"/>
        <w:ind w:left="812"/>
      </w:pPr>
      <w:r>
        <w:t>关于是否扣留质量保证金的约定：。</w:t>
      </w:r>
    </w:p>
    <w:p>
      <w:pPr>
        <w:pStyle w:val="16"/>
        <w:numPr>
          <w:ilvl w:val="2"/>
          <w:numId w:val="109"/>
        </w:numPr>
        <w:tabs>
          <w:tab w:val="left" w:pos="1653"/>
        </w:tabs>
        <w:spacing w:before="161" w:after="0" w:line="362" w:lineRule="auto"/>
        <w:ind w:left="812" w:right="5772" w:firstLine="0"/>
        <w:jc w:val="left"/>
        <w:rPr>
          <w:sz w:val="24"/>
        </w:rPr>
      </w:pPr>
      <w:r>
        <w:rPr>
          <w:spacing w:val="-2"/>
          <w:sz w:val="24"/>
        </w:rPr>
        <w:t>承包人提供质量保证金的方式</w:t>
      </w:r>
      <w:r>
        <w:rPr>
          <w:sz w:val="24"/>
        </w:rPr>
        <w:t>质量保证金采用以下第种方式：</w:t>
      </w:r>
    </w:p>
    <w:p>
      <w:pPr>
        <w:spacing w:after="0" w:line="362"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69" o:spid="_x0000_s1169" o:spt="20" style="position:absolute;left:0pt;margin-left:62.4pt;margin-top:12.25pt;height:0pt;width:400.4pt;mso-position-horizontal-relative:page;z-index:25180876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0"/>
          <w:numId w:val="110"/>
        </w:numPr>
        <w:tabs>
          <w:tab w:val="left" w:pos="1414"/>
        </w:tabs>
        <w:spacing w:before="67" w:after="0" w:line="240" w:lineRule="auto"/>
        <w:ind w:left="1413" w:right="0" w:hanging="602"/>
        <w:jc w:val="left"/>
        <w:rPr>
          <w:sz w:val="24"/>
        </w:rPr>
      </w:pPr>
      <w:r>
        <w:rPr>
          <w:sz w:val="24"/>
        </w:rPr>
        <w:t>质量保证金保函，保证金额为：；</w:t>
      </w:r>
    </w:p>
    <w:p>
      <w:pPr>
        <w:pStyle w:val="16"/>
        <w:numPr>
          <w:ilvl w:val="0"/>
          <w:numId w:val="110"/>
        </w:numPr>
        <w:tabs>
          <w:tab w:val="left" w:pos="1414"/>
        </w:tabs>
        <w:spacing w:before="158" w:after="0" w:line="240" w:lineRule="auto"/>
        <w:ind w:left="1413" w:right="0" w:hanging="602"/>
        <w:jc w:val="left"/>
        <w:rPr>
          <w:sz w:val="24"/>
        </w:rPr>
      </w:pPr>
      <w:r>
        <w:rPr>
          <w:sz w:val="24"/>
        </w:rPr>
        <w:t>%的工程款；</w:t>
      </w:r>
    </w:p>
    <w:p>
      <w:pPr>
        <w:pStyle w:val="16"/>
        <w:numPr>
          <w:ilvl w:val="0"/>
          <w:numId w:val="110"/>
        </w:numPr>
        <w:tabs>
          <w:tab w:val="left" w:pos="1414"/>
        </w:tabs>
        <w:spacing w:before="160" w:after="0" w:line="240" w:lineRule="auto"/>
        <w:ind w:left="1413" w:right="0" w:hanging="602"/>
        <w:jc w:val="left"/>
        <w:rPr>
          <w:sz w:val="24"/>
        </w:rPr>
      </w:pPr>
      <w:r>
        <w:rPr>
          <w:sz w:val="24"/>
        </w:rPr>
        <w:t>其他方式:。</w:t>
      </w:r>
    </w:p>
    <w:p>
      <w:pPr>
        <w:pStyle w:val="16"/>
        <w:numPr>
          <w:ilvl w:val="2"/>
          <w:numId w:val="109"/>
        </w:numPr>
        <w:tabs>
          <w:tab w:val="left" w:pos="1653"/>
        </w:tabs>
        <w:spacing w:before="158" w:after="0" w:line="240" w:lineRule="auto"/>
        <w:ind w:left="1652" w:right="0" w:hanging="841"/>
        <w:jc w:val="left"/>
        <w:rPr>
          <w:sz w:val="24"/>
        </w:rPr>
      </w:pPr>
      <w:r>
        <w:rPr>
          <w:sz w:val="24"/>
        </w:rPr>
        <w:t>质量保证金的扣留</w:t>
      </w:r>
    </w:p>
    <w:p>
      <w:pPr>
        <w:pStyle w:val="8"/>
        <w:spacing w:before="161"/>
        <w:ind w:left="812"/>
      </w:pPr>
      <w:r>
        <w:t>质量保证金的扣留采取以下第种方式：</w:t>
      </w:r>
    </w:p>
    <w:p>
      <w:pPr>
        <w:pStyle w:val="16"/>
        <w:numPr>
          <w:ilvl w:val="0"/>
          <w:numId w:val="111"/>
        </w:numPr>
        <w:tabs>
          <w:tab w:val="left" w:pos="1414"/>
        </w:tabs>
        <w:spacing w:before="158" w:after="0" w:line="364" w:lineRule="auto"/>
        <w:ind w:left="388" w:right="744" w:firstLine="424"/>
        <w:jc w:val="left"/>
        <w:rPr>
          <w:sz w:val="24"/>
        </w:rPr>
      </w:pPr>
      <w:r>
        <w:rPr>
          <w:spacing w:val="-3"/>
          <w:sz w:val="24"/>
        </w:rPr>
        <w:t>在支付工程进度款时逐次扣留，在此情形下，质量保证金的计算基数不包括预付</w:t>
      </w:r>
      <w:r>
        <w:rPr>
          <w:sz w:val="24"/>
        </w:rPr>
        <w:t>款的支付、扣回以及价格调整的金额；</w:t>
      </w:r>
    </w:p>
    <w:p>
      <w:pPr>
        <w:pStyle w:val="16"/>
        <w:numPr>
          <w:ilvl w:val="0"/>
          <w:numId w:val="111"/>
        </w:numPr>
        <w:tabs>
          <w:tab w:val="left" w:pos="1414"/>
        </w:tabs>
        <w:spacing w:before="1" w:after="0" w:line="240" w:lineRule="auto"/>
        <w:ind w:left="1413" w:right="0" w:hanging="602"/>
        <w:jc w:val="left"/>
        <w:rPr>
          <w:sz w:val="24"/>
        </w:rPr>
      </w:pPr>
      <w:r>
        <w:rPr>
          <w:sz w:val="24"/>
        </w:rPr>
        <w:t>工程竣工结算时一次性扣留质量保证金；</w:t>
      </w:r>
    </w:p>
    <w:p>
      <w:pPr>
        <w:pStyle w:val="16"/>
        <w:numPr>
          <w:ilvl w:val="0"/>
          <w:numId w:val="111"/>
        </w:numPr>
        <w:tabs>
          <w:tab w:val="left" w:pos="1414"/>
        </w:tabs>
        <w:spacing w:before="158" w:after="0" w:line="240" w:lineRule="auto"/>
        <w:ind w:left="1413" w:right="0" w:hanging="602"/>
        <w:jc w:val="left"/>
        <w:rPr>
          <w:sz w:val="24"/>
        </w:rPr>
      </w:pPr>
      <w:r>
        <w:rPr>
          <w:sz w:val="24"/>
        </w:rPr>
        <w:t>其他扣留方式:。</w:t>
      </w:r>
    </w:p>
    <w:p>
      <w:pPr>
        <w:pStyle w:val="8"/>
        <w:spacing w:before="158"/>
        <w:ind w:left="812"/>
      </w:pPr>
      <w:r>
        <w:t>关于质量保证金的补充约定：</w:t>
      </w:r>
    </w:p>
    <w:p>
      <w:pPr>
        <w:pStyle w:val="16"/>
        <w:numPr>
          <w:ilvl w:val="1"/>
          <w:numId w:val="109"/>
        </w:numPr>
        <w:tabs>
          <w:tab w:val="left" w:pos="1353"/>
        </w:tabs>
        <w:spacing w:before="161" w:after="0" w:line="240" w:lineRule="auto"/>
        <w:ind w:left="1352" w:right="0" w:hanging="541"/>
        <w:jc w:val="left"/>
        <w:rPr>
          <w:sz w:val="24"/>
        </w:rPr>
      </w:pPr>
      <w:r>
        <w:rPr>
          <w:sz w:val="24"/>
        </w:rPr>
        <w:t>保修</w:t>
      </w:r>
    </w:p>
    <w:p>
      <w:pPr>
        <w:pStyle w:val="16"/>
        <w:numPr>
          <w:ilvl w:val="2"/>
          <w:numId w:val="109"/>
        </w:numPr>
        <w:tabs>
          <w:tab w:val="left" w:pos="1653"/>
        </w:tabs>
        <w:spacing w:before="160" w:after="0" w:line="362" w:lineRule="auto"/>
        <w:ind w:left="812" w:right="7932" w:firstLine="0"/>
        <w:jc w:val="left"/>
        <w:rPr>
          <w:sz w:val="24"/>
        </w:rPr>
      </w:pPr>
      <w:r>
        <w:rPr>
          <w:spacing w:val="-5"/>
          <w:sz w:val="24"/>
        </w:rPr>
        <w:t>保修责任</w:t>
      </w:r>
      <w:r>
        <w:rPr>
          <w:sz w:val="24"/>
        </w:rPr>
        <w:t>工程保修期为：</w:t>
      </w:r>
    </w:p>
    <w:p>
      <w:pPr>
        <w:pStyle w:val="8"/>
        <w:spacing w:before="5"/>
        <w:ind w:left="812"/>
      </w:pPr>
      <w:r>
        <w:t>15.4.3 修复通知</w:t>
      </w:r>
    </w:p>
    <w:p>
      <w:pPr>
        <w:pStyle w:val="8"/>
        <w:spacing w:before="158"/>
        <w:ind w:left="812"/>
      </w:pPr>
      <w:r>
        <w:t>承包人收到保修通知并到达工程现场的合理时间：</w:t>
      </w:r>
    </w:p>
    <w:p>
      <w:pPr>
        <w:pStyle w:val="16"/>
        <w:numPr>
          <w:ilvl w:val="0"/>
          <w:numId w:val="85"/>
        </w:numPr>
        <w:tabs>
          <w:tab w:val="left" w:pos="1293"/>
        </w:tabs>
        <w:spacing w:before="161" w:after="0" w:line="240" w:lineRule="auto"/>
        <w:ind w:left="1292" w:right="0" w:hanging="481"/>
        <w:jc w:val="left"/>
        <w:outlineLvl w:val="2"/>
        <w:rPr>
          <w:sz w:val="24"/>
        </w:rPr>
      </w:pPr>
      <w:r>
        <w:rPr>
          <w:sz w:val="24"/>
        </w:rPr>
        <w:t>违约</w:t>
      </w:r>
    </w:p>
    <w:p>
      <w:pPr>
        <w:pStyle w:val="16"/>
        <w:numPr>
          <w:ilvl w:val="1"/>
          <w:numId w:val="85"/>
        </w:numPr>
        <w:tabs>
          <w:tab w:val="left" w:pos="1413"/>
        </w:tabs>
        <w:spacing w:before="158" w:after="0" w:line="240" w:lineRule="auto"/>
        <w:ind w:left="1412" w:right="0" w:hanging="601"/>
        <w:jc w:val="left"/>
        <w:rPr>
          <w:sz w:val="24"/>
        </w:rPr>
      </w:pPr>
      <w:r>
        <w:rPr>
          <w:sz w:val="24"/>
        </w:rPr>
        <w:t>发包人违约</w:t>
      </w:r>
    </w:p>
    <w:p>
      <w:pPr>
        <w:pStyle w:val="16"/>
        <w:numPr>
          <w:ilvl w:val="2"/>
          <w:numId w:val="85"/>
        </w:numPr>
        <w:tabs>
          <w:tab w:val="left" w:pos="1593"/>
        </w:tabs>
        <w:spacing w:before="161" w:after="0" w:line="362" w:lineRule="auto"/>
        <w:ind w:left="812" w:right="7032" w:firstLine="0"/>
        <w:jc w:val="left"/>
        <w:rPr>
          <w:sz w:val="24"/>
        </w:rPr>
      </w:pPr>
      <w:r>
        <w:rPr>
          <w:spacing w:val="-3"/>
          <w:sz w:val="24"/>
        </w:rPr>
        <w:t>发包人违约的情形</w:t>
      </w:r>
      <w:r>
        <w:rPr>
          <w:sz w:val="24"/>
        </w:rPr>
        <w:t>发包人违约的其他情形：</w:t>
      </w:r>
    </w:p>
    <w:p>
      <w:pPr>
        <w:pStyle w:val="16"/>
        <w:numPr>
          <w:ilvl w:val="2"/>
          <w:numId w:val="85"/>
        </w:numPr>
        <w:tabs>
          <w:tab w:val="left" w:pos="1708"/>
        </w:tabs>
        <w:spacing w:before="5" w:after="0" w:line="240" w:lineRule="auto"/>
        <w:ind w:left="1708" w:right="0" w:hanging="840"/>
        <w:jc w:val="left"/>
        <w:rPr>
          <w:sz w:val="24"/>
        </w:rPr>
      </w:pPr>
      <w:r>
        <w:rPr>
          <w:sz w:val="24"/>
        </w:rPr>
        <w:t>发包人违约的责任</w:t>
      </w:r>
    </w:p>
    <w:p>
      <w:pPr>
        <w:pStyle w:val="8"/>
        <w:spacing w:before="158"/>
        <w:ind w:left="812"/>
      </w:pPr>
      <w:r>
        <w:t>发包人违约责任的承担方式和计算方法：</w:t>
      </w:r>
    </w:p>
    <w:p>
      <w:pPr>
        <w:pStyle w:val="16"/>
        <w:numPr>
          <w:ilvl w:val="0"/>
          <w:numId w:val="112"/>
        </w:numPr>
        <w:tabs>
          <w:tab w:val="left" w:pos="1414"/>
        </w:tabs>
        <w:spacing w:before="160" w:after="0" w:line="240" w:lineRule="auto"/>
        <w:ind w:left="1413" w:right="0" w:hanging="602"/>
        <w:jc w:val="left"/>
        <w:rPr>
          <w:sz w:val="24"/>
        </w:rPr>
      </w:pPr>
      <w:r>
        <w:rPr>
          <w:spacing w:val="-4"/>
          <w:sz w:val="24"/>
        </w:rPr>
        <w:t xml:space="preserve">因发包人原因未能在计划开工日期前 </w:t>
      </w:r>
      <w:r>
        <w:rPr>
          <w:sz w:val="24"/>
        </w:rPr>
        <w:t>7</w:t>
      </w:r>
      <w:r>
        <w:rPr>
          <w:spacing w:val="-8"/>
          <w:sz w:val="24"/>
        </w:rPr>
        <w:t xml:space="preserve"> 天内下达开工通知的违约责任：。</w:t>
      </w:r>
    </w:p>
    <w:p>
      <w:pPr>
        <w:pStyle w:val="16"/>
        <w:numPr>
          <w:ilvl w:val="0"/>
          <w:numId w:val="112"/>
        </w:numPr>
        <w:tabs>
          <w:tab w:val="left" w:pos="1414"/>
        </w:tabs>
        <w:spacing w:before="161" w:after="0" w:line="240" w:lineRule="auto"/>
        <w:ind w:left="1413" w:right="0" w:hanging="602"/>
        <w:jc w:val="left"/>
        <w:rPr>
          <w:sz w:val="24"/>
        </w:rPr>
      </w:pPr>
      <w:r>
        <w:rPr>
          <w:sz w:val="24"/>
        </w:rPr>
        <w:t>因发包人原因未能按合同约定支付合同价款的违约责任：。</w:t>
      </w:r>
    </w:p>
    <w:p>
      <w:pPr>
        <w:pStyle w:val="16"/>
        <w:numPr>
          <w:ilvl w:val="0"/>
          <w:numId w:val="112"/>
        </w:numPr>
        <w:tabs>
          <w:tab w:val="left" w:pos="1414"/>
        </w:tabs>
        <w:spacing w:before="158" w:after="0" w:line="364" w:lineRule="auto"/>
        <w:ind w:left="388" w:right="744" w:firstLine="424"/>
        <w:jc w:val="left"/>
        <w:rPr>
          <w:sz w:val="24"/>
        </w:rPr>
      </w:pPr>
      <w:r>
        <w:rPr>
          <w:spacing w:val="-9"/>
          <w:sz w:val="24"/>
        </w:rPr>
        <w:t xml:space="preserve">发包人违反第 </w:t>
      </w:r>
      <w:r>
        <w:rPr>
          <w:sz w:val="24"/>
        </w:rPr>
        <w:t>10.1</w:t>
      </w:r>
      <w:r>
        <w:rPr>
          <w:spacing w:val="-10"/>
          <w:sz w:val="24"/>
        </w:rPr>
        <w:t xml:space="preserve"> 款〔变更的范围〕第</w:t>
      </w:r>
      <w:r>
        <w:rPr>
          <w:sz w:val="24"/>
        </w:rPr>
        <w:t>（2）</w:t>
      </w:r>
      <w:r>
        <w:rPr>
          <w:spacing w:val="-1"/>
          <w:sz w:val="24"/>
        </w:rPr>
        <w:t>项约定，自行实施被取消的工作或</w:t>
      </w:r>
      <w:r>
        <w:rPr>
          <w:sz w:val="24"/>
        </w:rPr>
        <w:t>转由他人实施的违约责任：</w:t>
      </w:r>
    </w:p>
    <w:p>
      <w:pPr>
        <w:pStyle w:val="16"/>
        <w:numPr>
          <w:ilvl w:val="0"/>
          <w:numId w:val="112"/>
        </w:numPr>
        <w:tabs>
          <w:tab w:val="left" w:pos="1414"/>
        </w:tabs>
        <w:spacing w:before="0" w:after="0" w:line="362" w:lineRule="auto"/>
        <w:ind w:left="388" w:right="744" w:firstLine="424"/>
        <w:jc w:val="left"/>
        <w:rPr>
          <w:sz w:val="24"/>
        </w:rPr>
      </w:pPr>
      <w:r>
        <w:rPr>
          <w:spacing w:val="-4"/>
          <w:sz w:val="24"/>
        </w:rPr>
        <w:t>发包人提供的材料、工程设备的规格、数量或质量不符合合同约定，或因发包人</w:t>
      </w:r>
      <w:r>
        <w:rPr>
          <w:sz w:val="24"/>
        </w:rPr>
        <w:t>原因导致交货日期延误或交货地点变更等情况的违约责任：。</w:t>
      </w:r>
    </w:p>
    <w:p>
      <w:pPr>
        <w:pStyle w:val="16"/>
        <w:numPr>
          <w:ilvl w:val="0"/>
          <w:numId w:val="112"/>
        </w:numPr>
        <w:tabs>
          <w:tab w:val="left" w:pos="1414"/>
        </w:tabs>
        <w:spacing w:before="4" w:after="0" w:line="240" w:lineRule="auto"/>
        <w:ind w:left="1413" w:right="0" w:hanging="602"/>
        <w:jc w:val="left"/>
        <w:rPr>
          <w:sz w:val="24"/>
        </w:rPr>
      </w:pPr>
      <w:r>
        <w:rPr>
          <w:sz w:val="24"/>
        </w:rPr>
        <w:t>因发包人违反合同约定造成暂停施工的违约责任：</w:t>
      </w:r>
    </w:p>
    <w:p>
      <w:pPr>
        <w:pStyle w:val="16"/>
        <w:numPr>
          <w:ilvl w:val="0"/>
          <w:numId w:val="112"/>
        </w:numPr>
        <w:tabs>
          <w:tab w:val="left" w:pos="1414"/>
        </w:tabs>
        <w:spacing w:before="160" w:after="0" w:line="362" w:lineRule="auto"/>
        <w:ind w:left="388" w:right="744" w:firstLine="424"/>
        <w:jc w:val="left"/>
        <w:rPr>
          <w:sz w:val="24"/>
        </w:rPr>
      </w:pPr>
      <w:r>
        <w:rPr>
          <w:spacing w:val="-2"/>
          <w:sz w:val="24"/>
        </w:rPr>
        <w:t>发包人无正当理由没有在约定期限内发出复工指示，导致承包人无法复工的违约</w:t>
      </w:r>
      <w:r>
        <w:rPr>
          <w:sz w:val="24"/>
        </w:rPr>
        <w:t>责任：。</w:t>
      </w:r>
    </w:p>
    <w:p>
      <w:pPr>
        <w:spacing w:after="0" w:line="362"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70" o:spid="_x0000_s1170" o:spt="20" style="position:absolute;left:0pt;margin-left:62.4pt;margin-top:12.25pt;height:0pt;width:400.4pt;mso-position-horizontal-relative:page;z-index:25180979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0"/>
          <w:numId w:val="112"/>
        </w:numPr>
        <w:tabs>
          <w:tab w:val="left" w:pos="1414"/>
        </w:tabs>
        <w:spacing w:before="67" w:after="0" w:line="240" w:lineRule="auto"/>
        <w:ind w:left="1413" w:right="0" w:hanging="602"/>
        <w:jc w:val="left"/>
        <w:rPr>
          <w:sz w:val="24"/>
        </w:rPr>
      </w:pPr>
      <w:r>
        <w:rPr>
          <w:sz w:val="24"/>
        </w:rPr>
        <w:t>其他：。</w:t>
      </w:r>
    </w:p>
    <w:p>
      <w:pPr>
        <w:pStyle w:val="16"/>
        <w:numPr>
          <w:ilvl w:val="2"/>
          <w:numId w:val="85"/>
        </w:numPr>
        <w:tabs>
          <w:tab w:val="left" w:pos="1653"/>
        </w:tabs>
        <w:spacing w:before="158" w:after="0" w:line="240" w:lineRule="auto"/>
        <w:ind w:left="1652" w:right="0" w:hanging="841"/>
        <w:jc w:val="left"/>
        <w:rPr>
          <w:sz w:val="24"/>
        </w:rPr>
      </w:pPr>
      <w:r>
        <w:rPr>
          <w:sz w:val="24"/>
        </w:rPr>
        <w:t>因发包人违约解除合同</w:t>
      </w:r>
    </w:p>
    <w:p>
      <w:pPr>
        <w:pStyle w:val="8"/>
        <w:spacing w:before="160" w:line="362" w:lineRule="auto"/>
        <w:ind w:left="388" w:right="744" w:firstLine="424"/>
      </w:pPr>
      <w:r>
        <w:rPr>
          <w:spacing w:val="-12"/>
        </w:rPr>
        <w:t xml:space="preserve">承包人按 </w:t>
      </w:r>
      <w:r>
        <w:t>16.1.1</w:t>
      </w:r>
      <w:r>
        <w:rPr>
          <w:spacing w:val="-10"/>
        </w:rPr>
        <w:t xml:space="preserve"> 项〔发包人违约的情形〕约定暂停施工满天后发包人仍不纠正其违约</w:t>
      </w:r>
      <w:r>
        <w:t>行为并致使合同目的不能实现的，承包人有权解除合同。</w:t>
      </w:r>
    </w:p>
    <w:p>
      <w:pPr>
        <w:pStyle w:val="16"/>
        <w:numPr>
          <w:ilvl w:val="1"/>
          <w:numId w:val="85"/>
        </w:numPr>
        <w:tabs>
          <w:tab w:val="left" w:pos="1413"/>
        </w:tabs>
        <w:spacing w:before="5" w:after="0" w:line="240" w:lineRule="auto"/>
        <w:ind w:left="1412" w:right="0" w:hanging="601"/>
        <w:jc w:val="left"/>
        <w:rPr>
          <w:sz w:val="24"/>
        </w:rPr>
      </w:pPr>
      <w:r>
        <w:rPr>
          <w:sz w:val="24"/>
        </w:rPr>
        <w:t>承包人违约</w:t>
      </w:r>
    </w:p>
    <w:p>
      <w:pPr>
        <w:pStyle w:val="16"/>
        <w:numPr>
          <w:ilvl w:val="2"/>
          <w:numId w:val="85"/>
        </w:numPr>
        <w:tabs>
          <w:tab w:val="left" w:pos="1653"/>
        </w:tabs>
        <w:spacing w:before="158" w:after="0" w:line="364" w:lineRule="auto"/>
        <w:ind w:left="812" w:right="6972" w:firstLine="0"/>
        <w:jc w:val="left"/>
        <w:rPr>
          <w:sz w:val="24"/>
        </w:rPr>
      </w:pPr>
      <w:r>
        <w:rPr>
          <w:spacing w:val="-3"/>
          <w:sz w:val="24"/>
        </w:rPr>
        <w:t>承包人违约的情形</w:t>
      </w:r>
      <w:r>
        <w:rPr>
          <w:sz w:val="24"/>
        </w:rPr>
        <w:t>承包人违约的其他情形：</w:t>
      </w:r>
    </w:p>
    <w:p>
      <w:pPr>
        <w:pStyle w:val="16"/>
        <w:numPr>
          <w:ilvl w:val="2"/>
          <w:numId w:val="85"/>
        </w:numPr>
        <w:tabs>
          <w:tab w:val="left" w:pos="1593"/>
        </w:tabs>
        <w:spacing w:before="2" w:after="0" w:line="240" w:lineRule="auto"/>
        <w:ind w:left="1592" w:right="0" w:hanging="781"/>
        <w:jc w:val="left"/>
        <w:rPr>
          <w:sz w:val="24"/>
        </w:rPr>
      </w:pPr>
      <w:r>
        <w:rPr>
          <w:sz w:val="24"/>
        </w:rPr>
        <w:t>承包人违约的责任</w:t>
      </w:r>
    </w:p>
    <w:p>
      <w:pPr>
        <w:pStyle w:val="8"/>
        <w:spacing w:before="158"/>
        <w:ind w:left="812"/>
      </w:pPr>
      <w:r>
        <w:t>承包人违约责任的承担方式和计算方法：</w:t>
      </w:r>
    </w:p>
    <w:p>
      <w:pPr>
        <w:pStyle w:val="16"/>
        <w:numPr>
          <w:ilvl w:val="2"/>
          <w:numId w:val="85"/>
        </w:numPr>
        <w:tabs>
          <w:tab w:val="left" w:pos="1653"/>
        </w:tabs>
        <w:spacing w:before="158" w:after="0" w:line="240" w:lineRule="auto"/>
        <w:ind w:left="1652" w:right="0" w:hanging="841"/>
        <w:jc w:val="left"/>
        <w:rPr>
          <w:sz w:val="24"/>
        </w:rPr>
      </w:pPr>
      <w:r>
        <w:rPr>
          <w:sz w:val="24"/>
        </w:rPr>
        <w:t>因承包人违约解除合同</w:t>
      </w:r>
    </w:p>
    <w:p>
      <w:pPr>
        <w:pStyle w:val="8"/>
        <w:spacing w:before="160"/>
        <w:ind w:left="812"/>
      </w:pPr>
      <w:r>
        <w:t>关于承包人违约解除合同的特别约定：</w:t>
      </w:r>
    </w:p>
    <w:p>
      <w:pPr>
        <w:pStyle w:val="8"/>
        <w:spacing w:before="161" w:line="362" w:lineRule="auto"/>
        <w:ind w:left="388" w:right="852" w:firstLine="424"/>
      </w:pPr>
      <w:r>
        <w:t>发包人继续使用承包人在施工现场的材料、设备、临时工程、承包人文件和由承包人或以其名义编制的其他文件的费用承担方式：。</w:t>
      </w:r>
    </w:p>
    <w:p>
      <w:pPr>
        <w:pStyle w:val="16"/>
        <w:numPr>
          <w:ilvl w:val="0"/>
          <w:numId w:val="85"/>
        </w:numPr>
        <w:tabs>
          <w:tab w:val="left" w:pos="1293"/>
        </w:tabs>
        <w:spacing w:before="5" w:after="0" w:line="240" w:lineRule="auto"/>
        <w:ind w:left="1292" w:right="0" w:hanging="481"/>
        <w:jc w:val="left"/>
        <w:outlineLvl w:val="2"/>
        <w:rPr>
          <w:sz w:val="24"/>
        </w:rPr>
      </w:pPr>
      <w:r>
        <w:rPr>
          <w:sz w:val="24"/>
        </w:rPr>
        <w:t>不可抗力</w:t>
      </w:r>
    </w:p>
    <w:p>
      <w:pPr>
        <w:pStyle w:val="16"/>
        <w:numPr>
          <w:ilvl w:val="1"/>
          <w:numId w:val="85"/>
        </w:numPr>
        <w:tabs>
          <w:tab w:val="left" w:pos="1413"/>
        </w:tabs>
        <w:spacing w:before="158" w:after="0" w:line="240" w:lineRule="auto"/>
        <w:ind w:left="1412" w:right="0" w:hanging="601"/>
        <w:jc w:val="left"/>
        <w:rPr>
          <w:sz w:val="24"/>
        </w:rPr>
      </w:pPr>
      <w:r>
        <w:rPr>
          <w:sz w:val="24"/>
        </w:rPr>
        <w:t>不可抗力的确认</w:t>
      </w:r>
    </w:p>
    <w:p>
      <w:pPr>
        <w:pStyle w:val="8"/>
        <w:spacing w:before="160"/>
        <w:ind w:left="812"/>
      </w:pPr>
      <w:r>
        <w:t>除通用合同条款约定的不可抗力事件之外，视为不可抗力的其他情形： 。</w:t>
      </w:r>
    </w:p>
    <w:p>
      <w:pPr>
        <w:pStyle w:val="8"/>
        <w:spacing w:before="158"/>
        <w:ind w:left="812"/>
      </w:pPr>
      <w:r>
        <w:t>17.4 因不可抗力解除合同</w:t>
      </w:r>
    </w:p>
    <w:p>
      <w:pPr>
        <w:pStyle w:val="8"/>
        <w:spacing w:before="161"/>
        <w:ind w:left="812"/>
      </w:pPr>
      <w:r>
        <w:t>合同解除后，发包人应在商定或确定发包人应支付款项后天内完成款项的支付。</w:t>
      </w:r>
    </w:p>
    <w:p>
      <w:pPr>
        <w:pStyle w:val="16"/>
        <w:numPr>
          <w:ilvl w:val="0"/>
          <w:numId w:val="85"/>
        </w:numPr>
        <w:tabs>
          <w:tab w:val="left" w:pos="1293"/>
        </w:tabs>
        <w:spacing w:before="158" w:after="0" w:line="240" w:lineRule="auto"/>
        <w:ind w:left="1292" w:right="0" w:hanging="481"/>
        <w:jc w:val="left"/>
        <w:outlineLvl w:val="2"/>
        <w:rPr>
          <w:sz w:val="24"/>
        </w:rPr>
      </w:pPr>
      <w:r>
        <w:rPr>
          <w:sz w:val="24"/>
        </w:rPr>
        <w:t>保险</w:t>
      </w:r>
    </w:p>
    <w:p>
      <w:pPr>
        <w:pStyle w:val="16"/>
        <w:numPr>
          <w:ilvl w:val="1"/>
          <w:numId w:val="85"/>
        </w:numPr>
        <w:tabs>
          <w:tab w:val="left" w:pos="1413"/>
        </w:tabs>
        <w:spacing w:before="161" w:after="0" w:line="240" w:lineRule="auto"/>
        <w:ind w:left="1412" w:right="0" w:hanging="601"/>
        <w:jc w:val="left"/>
        <w:rPr>
          <w:sz w:val="24"/>
        </w:rPr>
      </w:pPr>
      <w:r>
        <w:rPr>
          <w:sz w:val="24"/>
        </w:rPr>
        <w:t>工程保险</w:t>
      </w:r>
    </w:p>
    <w:p>
      <w:pPr>
        <w:pStyle w:val="8"/>
        <w:spacing w:before="158"/>
        <w:ind w:left="812"/>
      </w:pPr>
      <w:r>
        <w:t>关于工程保险的特别约定：。</w:t>
      </w:r>
    </w:p>
    <w:p>
      <w:pPr>
        <w:pStyle w:val="8"/>
        <w:spacing w:before="160"/>
        <w:ind w:left="812"/>
      </w:pPr>
      <w:r>
        <w:t>18.3 其他保险</w:t>
      </w:r>
    </w:p>
    <w:p>
      <w:pPr>
        <w:pStyle w:val="8"/>
        <w:spacing w:before="161"/>
        <w:ind w:left="812"/>
      </w:pPr>
      <w:r>
        <w:t>关于其他保险的约定：。</w:t>
      </w:r>
    </w:p>
    <w:p>
      <w:pPr>
        <w:pStyle w:val="8"/>
        <w:spacing w:before="158"/>
        <w:ind w:left="812"/>
      </w:pPr>
      <w:r>
        <w:t>承包人是否应为其施工设备等办理财产保险：</w:t>
      </w:r>
    </w:p>
    <w:p>
      <w:pPr>
        <w:pStyle w:val="8"/>
        <w:spacing w:before="160"/>
        <w:ind w:left="812"/>
      </w:pPr>
      <w:r>
        <w:t>18.7 通知义务</w:t>
      </w:r>
    </w:p>
    <w:p>
      <w:pPr>
        <w:pStyle w:val="8"/>
        <w:spacing w:before="158"/>
        <w:ind w:left="812"/>
      </w:pPr>
      <w:r>
        <w:t>关于变更保险合同时的通知义务的约定：</w:t>
      </w:r>
    </w:p>
    <w:p>
      <w:pPr>
        <w:pStyle w:val="8"/>
        <w:spacing w:before="158"/>
        <w:ind w:left="812"/>
        <w:outlineLvl w:val="2"/>
      </w:pPr>
      <w:r>
        <w:t>20. 争议解决</w:t>
      </w:r>
    </w:p>
    <w:p>
      <w:pPr>
        <w:pStyle w:val="16"/>
        <w:numPr>
          <w:ilvl w:val="1"/>
          <w:numId w:val="113"/>
        </w:numPr>
        <w:tabs>
          <w:tab w:val="left" w:pos="1413"/>
        </w:tabs>
        <w:spacing w:before="161" w:after="0" w:line="240" w:lineRule="auto"/>
        <w:ind w:left="1412" w:right="0" w:hanging="601"/>
        <w:jc w:val="left"/>
        <w:rPr>
          <w:sz w:val="24"/>
        </w:rPr>
      </w:pPr>
      <w:r>
        <w:rPr>
          <w:sz w:val="24"/>
        </w:rPr>
        <w:t>争议评审</w:t>
      </w:r>
    </w:p>
    <w:p>
      <w:pPr>
        <w:pStyle w:val="8"/>
        <w:spacing w:before="160"/>
        <w:ind w:left="812"/>
      </w:pPr>
      <w:r>
        <w:t>合同当事人是否同意将工程争议提交争议评审小组决定：</w:t>
      </w:r>
    </w:p>
    <w:p>
      <w:pPr>
        <w:pStyle w:val="16"/>
        <w:numPr>
          <w:ilvl w:val="2"/>
          <w:numId w:val="113"/>
        </w:numPr>
        <w:tabs>
          <w:tab w:val="left" w:pos="1653"/>
        </w:tabs>
        <w:spacing w:before="159" w:after="0" w:line="240" w:lineRule="auto"/>
        <w:ind w:left="1652" w:right="0" w:hanging="841"/>
        <w:jc w:val="left"/>
        <w:rPr>
          <w:sz w:val="24"/>
        </w:rPr>
      </w:pPr>
      <w:r>
        <w:rPr>
          <w:sz w:val="24"/>
        </w:rPr>
        <w:t>争议评审小组的确定</w:t>
      </w:r>
    </w:p>
    <w:p>
      <w:pPr>
        <w:spacing w:after="0" w:line="240" w:lineRule="auto"/>
        <w:jc w:val="left"/>
        <w:rPr>
          <w:sz w:val="24"/>
        </w:rPr>
        <w:sectPr>
          <w:footerReference r:id="rId16" w:type="default"/>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pgNumType w:start="110"/>
          <w:cols w:space="720" w:num="1"/>
        </w:sectPr>
      </w:pPr>
    </w:p>
    <w:p>
      <w:pPr>
        <w:tabs>
          <w:tab w:val="left" w:pos="7676"/>
        </w:tabs>
        <w:spacing w:before="45"/>
        <w:ind w:left="388" w:right="0" w:firstLine="0"/>
        <w:jc w:val="left"/>
        <w:rPr>
          <w:sz w:val="18"/>
        </w:rPr>
      </w:pPr>
      <w:r>
        <w:pict>
          <v:line id="_x0000_s1171" o:spid="_x0000_s1171" o:spt="20" style="position:absolute;left:0pt;margin-left:62.4pt;margin-top:12.25pt;height:0pt;width:400.4pt;mso-position-horizontal-relative:page;z-index:25181081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2" w:lineRule="auto"/>
        <w:ind w:left="812" w:right="6612"/>
      </w:pPr>
      <w:r>
        <w:t>争议评审小组成员的确定：。选定争议评审员的期限：。</w:t>
      </w:r>
    </w:p>
    <w:p>
      <w:pPr>
        <w:pStyle w:val="8"/>
        <w:spacing w:before="5" w:line="362" w:lineRule="auto"/>
        <w:ind w:left="812" w:right="5652"/>
      </w:pPr>
      <w:r>
        <w:t>争议评审小组成员的报酬承担方式：。其他事项的约定：。</w:t>
      </w:r>
    </w:p>
    <w:p>
      <w:pPr>
        <w:pStyle w:val="16"/>
        <w:numPr>
          <w:ilvl w:val="2"/>
          <w:numId w:val="113"/>
        </w:numPr>
        <w:tabs>
          <w:tab w:val="left" w:pos="1653"/>
        </w:tabs>
        <w:spacing w:before="5" w:after="0" w:line="240" w:lineRule="auto"/>
        <w:ind w:left="1652" w:right="0" w:hanging="841"/>
        <w:jc w:val="left"/>
        <w:rPr>
          <w:sz w:val="24"/>
        </w:rPr>
      </w:pPr>
      <w:r>
        <w:rPr>
          <w:sz w:val="24"/>
        </w:rPr>
        <w:t>争议评审小组的决定</w:t>
      </w:r>
    </w:p>
    <w:p>
      <w:pPr>
        <w:pStyle w:val="8"/>
        <w:spacing w:before="158"/>
        <w:ind w:left="812"/>
      </w:pPr>
      <w:r>
        <w:t>合同当事人关于本项的约定：。</w:t>
      </w:r>
    </w:p>
    <w:p>
      <w:pPr>
        <w:pStyle w:val="16"/>
        <w:numPr>
          <w:ilvl w:val="1"/>
          <w:numId w:val="113"/>
        </w:numPr>
        <w:tabs>
          <w:tab w:val="left" w:pos="1353"/>
        </w:tabs>
        <w:spacing w:before="160" w:after="0" w:line="240" w:lineRule="auto"/>
        <w:ind w:left="1352" w:right="0" w:hanging="541"/>
        <w:jc w:val="left"/>
        <w:rPr>
          <w:sz w:val="24"/>
        </w:rPr>
      </w:pPr>
      <w:r>
        <w:rPr>
          <w:sz w:val="24"/>
        </w:rPr>
        <w:t>仲裁或诉讼</w:t>
      </w:r>
    </w:p>
    <w:p>
      <w:pPr>
        <w:pStyle w:val="8"/>
        <w:spacing w:before="161"/>
        <w:ind w:left="812"/>
      </w:pPr>
      <w:r>
        <w:t>因合同及合同有关事项发生的争议，按下列第种方式解决：</w:t>
      </w:r>
    </w:p>
    <w:p>
      <w:pPr>
        <w:pStyle w:val="16"/>
        <w:numPr>
          <w:ilvl w:val="0"/>
          <w:numId w:val="114"/>
        </w:numPr>
        <w:tabs>
          <w:tab w:val="left" w:pos="1414"/>
        </w:tabs>
        <w:spacing w:before="158" w:after="0" w:line="240" w:lineRule="auto"/>
        <w:ind w:left="1413" w:right="0" w:hanging="602"/>
        <w:jc w:val="left"/>
        <w:rPr>
          <w:sz w:val="24"/>
        </w:rPr>
      </w:pPr>
      <w:r>
        <w:rPr>
          <w:sz w:val="24"/>
        </w:rPr>
        <w:t>向仲裁委员会申请仲裁；</w:t>
      </w:r>
    </w:p>
    <w:p>
      <w:pPr>
        <w:pStyle w:val="16"/>
        <w:numPr>
          <w:ilvl w:val="0"/>
          <w:numId w:val="114"/>
        </w:numPr>
        <w:tabs>
          <w:tab w:val="left" w:pos="1414"/>
        </w:tabs>
        <w:spacing w:before="158" w:after="0" w:line="240" w:lineRule="auto"/>
        <w:ind w:left="1413" w:right="0" w:hanging="602"/>
        <w:jc w:val="left"/>
        <w:rPr>
          <w:sz w:val="24"/>
        </w:rPr>
      </w:pPr>
      <w:r>
        <w:rPr>
          <w:sz w:val="24"/>
        </w:rPr>
        <w:t>向人民法院起诉。</w:t>
      </w:r>
    </w:p>
    <w:p>
      <w:pPr>
        <w:spacing w:after="0" w:line="240"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72" o:spid="_x0000_s1172" o:spt="20" style="position:absolute;left:0pt;margin-left:62.4pt;margin-top:12.25pt;height:0pt;width:400.4pt;mso-position-horizontal-relative:page;z-index:25181184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7"/>
        <w:spacing w:before="67"/>
      </w:pPr>
      <w:r>
        <w:t>附件</w:t>
      </w:r>
    </w:p>
    <w:p>
      <w:pPr>
        <w:pStyle w:val="8"/>
        <w:spacing w:before="158"/>
        <w:ind w:left="388"/>
      </w:pPr>
      <w:r>
        <w:t>协议书附件：</w:t>
      </w:r>
    </w:p>
    <w:p>
      <w:pPr>
        <w:pStyle w:val="8"/>
        <w:spacing w:before="160" w:line="362" w:lineRule="auto"/>
        <w:ind w:left="388" w:right="6310"/>
      </w:pPr>
      <w:r>
        <w:t>附件 1：承包人承揽工程项目一览表专用合同条款附件：</w:t>
      </w:r>
    </w:p>
    <w:p>
      <w:pPr>
        <w:pStyle w:val="8"/>
        <w:spacing w:before="5" w:line="362" w:lineRule="auto"/>
        <w:ind w:left="388" w:right="6310"/>
      </w:pPr>
      <w:r>
        <w:t>附件 2：发包人供应材料设备一览表附件 3：工程质量保修书</w:t>
      </w:r>
    </w:p>
    <w:p>
      <w:pPr>
        <w:pStyle w:val="8"/>
        <w:spacing w:before="5"/>
        <w:ind w:left="388"/>
      </w:pPr>
      <w:r>
        <w:t>附件 4：主要建设工程文件目录</w:t>
      </w:r>
    </w:p>
    <w:p>
      <w:pPr>
        <w:pStyle w:val="8"/>
        <w:spacing w:before="161" w:line="362" w:lineRule="auto"/>
        <w:ind w:left="388" w:right="5350"/>
      </w:pPr>
      <w:r>
        <w:t>附件 5：承包人用于本工程施工的机械设备表附件 6：承包人主要施工管理人员表</w:t>
      </w:r>
    </w:p>
    <w:p>
      <w:pPr>
        <w:pStyle w:val="8"/>
        <w:spacing w:before="2" w:line="364" w:lineRule="auto"/>
        <w:ind w:left="388" w:right="6310"/>
      </w:pPr>
      <w:r>
        <w:t>附件 7：分包人主要施工管理人员表附件 8：暂估价一览表</w:t>
      </w:r>
    </w:p>
    <w:p>
      <w:pPr>
        <w:spacing w:after="0" w:line="364" w:lineRule="auto"/>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73" o:spid="_x0000_s1173" o:spt="20" style="position:absolute;left:0pt;margin-left:62.4pt;margin-top:12.25pt;height:0pt;width:400.4pt;mso-position-horizontal-relative:page;z-index:251812864;mso-width-relative:page;mso-height-relative:page;" stroked="t" coordsize="21600,21600">
            <v:path arrowok="t"/>
            <v:fill focussize="0,0"/>
            <v:stroke weight="0.36pt" color="#000000"/>
            <v:imagedata o:title=""/>
            <o:lock v:ext="edit"/>
          </v:line>
        </w:pict>
      </w:r>
      <w:bookmarkStart w:id="124" w:name="附件2："/>
      <w:bookmarkEnd w:id="124"/>
      <w:r>
        <w:rPr>
          <w:rFonts w:hint="eastAsia"/>
          <w:sz w:val="18"/>
          <w:lang w:eastAsia="zh-CN"/>
        </w:rPr>
        <w:t xml:space="preserve"> </w:t>
      </w:r>
    </w:p>
    <w:p>
      <w:pPr>
        <w:pStyle w:val="8"/>
        <w:spacing w:before="6"/>
        <w:rPr>
          <w:sz w:val="25"/>
        </w:rPr>
      </w:pPr>
    </w:p>
    <w:p>
      <w:pPr>
        <w:pStyle w:val="8"/>
        <w:spacing w:before="67"/>
        <w:ind w:left="388"/>
      </w:pPr>
      <w:r>
        <w:t>附件 1：</w:t>
      </w:r>
    </w:p>
    <w:p>
      <w:pPr>
        <w:pStyle w:val="7"/>
        <w:spacing w:before="158"/>
      </w:pPr>
      <w:bookmarkStart w:id="125" w:name="承包人承揽工程项目一览表"/>
      <w:bookmarkEnd w:id="125"/>
      <w:r>
        <w:t>承包人承揽工程项目一览表</w:t>
      </w:r>
    </w:p>
    <w:p>
      <w:pPr>
        <w:pStyle w:val="8"/>
        <w:rPr>
          <w:b/>
          <w:sz w:val="20"/>
        </w:rPr>
      </w:pPr>
    </w:p>
    <w:p>
      <w:pPr>
        <w:pStyle w:val="8"/>
        <w:spacing w:before="9"/>
        <w:rPr>
          <w:b/>
          <w:sz w:val="12"/>
        </w:rPr>
      </w:pPr>
    </w:p>
    <w:tbl>
      <w:tblPr>
        <w:tblStyle w:val="13"/>
        <w:tblW w:w="0" w:type="auto"/>
        <w:tblInd w:w="37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40"/>
        <w:gridCol w:w="1209"/>
        <w:gridCol w:w="1349"/>
        <w:gridCol w:w="1163"/>
        <w:gridCol w:w="558"/>
        <w:gridCol w:w="1023"/>
        <w:gridCol w:w="1232"/>
        <w:gridCol w:w="1090"/>
        <w:gridCol w:w="558"/>
        <w:gridCol w:w="55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3" w:hRule="atLeast"/>
        </w:trPr>
        <w:tc>
          <w:tcPr>
            <w:tcW w:w="840" w:type="dxa"/>
            <w:tcBorders>
              <w:bottom w:val="double" w:color="000000" w:sz="2" w:space="0"/>
              <w:right w:val="single" w:color="000000" w:sz="6" w:space="0"/>
            </w:tcBorders>
          </w:tcPr>
          <w:p>
            <w:pPr>
              <w:pStyle w:val="17"/>
              <w:spacing w:before="2"/>
              <w:ind w:left="59"/>
              <w:rPr>
                <w:sz w:val="24"/>
              </w:rPr>
            </w:pPr>
            <w:r>
              <w:rPr>
                <w:sz w:val="24"/>
              </w:rPr>
              <w:t>单位工</w:t>
            </w:r>
          </w:p>
          <w:p>
            <w:pPr>
              <w:pStyle w:val="17"/>
              <w:spacing w:before="158"/>
              <w:ind w:left="59"/>
              <w:rPr>
                <w:sz w:val="24"/>
              </w:rPr>
            </w:pPr>
            <w:r>
              <w:rPr>
                <w:sz w:val="24"/>
              </w:rPr>
              <w:t>程名称</w:t>
            </w:r>
          </w:p>
        </w:tc>
        <w:tc>
          <w:tcPr>
            <w:tcW w:w="1209" w:type="dxa"/>
            <w:tcBorders>
              <w:left w:val="single" w:color="000000" w:sz="6" w:space="0"/>
              <w:bottom w:val="double" w:color="000000" w:sz="2" w:space="0"/>
              <w:right w:val="single" w:color="000000" w:sz="6" w:space="0"/>
            </w:tcBorders>
          </w:tcPr>
          <w:p>
            <w:pPr>
              <w:pStyle w:val="17"/>
              <w:spacing w:before="4"/>
              <w:rPr>
                <w:b/>
                <w:sz w:val="18"/>
              </w:rPr>
            </w:pPr>
          </w:p>
          <w:p>
            <w:pPr>
              <w:pStyle w:val="17"/>
              <w:ind w:left="131"/>
              <w:rPr>
                <w:sz w:val="24"/>
              </w:rPr>
            </w:pPr>
            <w:r>
              <w:rPr>
                <w:sz w:val="24"/>
              </w:rPr>
              <w:t>建设规模</w:t>
            </w:r>
          </w:p>
        </w:tc>
        <w:tc>
          <w:tcPr>
            <w:tcW w:w="1349" w:type="dxa"/>
            <w:tcBorders>
              <w:left w:val="single" w:color="000000" w:sz="6" w:space="0"/>
              <w:bottom w:val="double" w:color="000000" w:sz="2" w:space="0"/>
              <w:right w:val="single" w:color="000000" w:sz="6" w:space="0"/>
            </w:tcBorders>
          </w:tcPr>
          <w:p>
            <w:pPr>
              <w:pStyle w:val="17"/>
              <w:spacing w:before="2"/>
              <w:ind w:left="199"/>
              <w:rPr>
                <w:sz w:val="24"/>
              </w:rPr>
            </w:pPr>
            <w:r>
              <w:rPr>
                <w:sz w:val="24"/>
              </w:rPr>
              <w:t>建筑面积</w:t>
            </w:r>
          </w:p>
          <w:p>
            <w:pPr>
              <w:pStyle w:val="17"/>
              <w:spacing w:before="158"/>
              <w:ind w:left="199"/>
              <w:rPr>
                <w:sz w:val="24"/>
              </w:rPr>
            </w:pPr>
            <w:r>
              <w:rPr>
                <w:sz w:val="24"/>
              </w:rPr>
              <w:t>(平方米)</w:t>
            </w:r>
          </w:p>
        </w:tc>
        <w:tc>
          <w:tcPr>
            <w:tcW w:w="1163" w:type="dxa"/>
            <w:tcBorders>
              <w:left w:val="single" w:color="000000" w:sz="6" w:space="0"/>
              <w:bottom w:val="double" w:color="000000" w:sz="2" w:space="0"/>
              <w:right w:val="single" w:color="000000" w:sz="6" w:space="0"/>
            </w:tcBorders>
          </w:tcPr>
          <w:p>
            <w:pPr>
              <w:pStyle w:val="17"/>
              <w:spacing w:before="4"/>
              <w:rPr>
                <w:b/>
                <w:sz w:val="18"/>
              </w:rPr>
            </w:pPr>
          </w:p>
          <w:p>
            <w:pPr>
              <w:pStyle w:val="17"/>
              <w:ind w:left="108"/>
              <w:rPr>
                <w:sz w:val="24"/>
              </w:rPr>
            </w:pPr>
            <w:r>
              <w:rPr>
                <w:sz w:val="24"/>
              </w:rPr>
              <w:t>结构形式</w:t>
            </w:r>
          </w:p>
        </w:tc>
        <w:tc>
          <w:tcPr>
            <w:tcW w:w="558" w:type="dxa"/>
            <w:tcBorders>
              <w:left w:val="single" w:color="000000" w:sz="6" w:space="0"/>
              <w:bottom w:val="double" w:color="000000" w:sz="2" w:space="0"/>
              <w:right w:val="single" w:color="000000" w:sz="6" w:space="0"/>
            </w:tcBorders>
          </w:tcPr>
          <w:p>
            <w:pPr>
              <w:pStyle w:val="17"/>
              <w:spacing w:before="4"/>
              <w:rPr>
                <w:b/>
                <w:sz w:val="18"/>
              </w:rPr>
            </w:pPr>
          </w:p>
          <w:p>
            <w:pPr>
              <w:pStyle w:val="17"/>
              <w:ind w:left="46"/>
              <w:rPr>
                <w:sz w:val="24"/>
              </w:rPr>
            </w:pPr>
            <w:r>
              <w:rPr>
                <w:sz w:val="24"/>
              </w:rPr>
              <w:t>层数</w:t>
            </w:r>
          </w:p>
        </w:tc>
        <w:tc>
          <w:tcPr>
            <w:tcW w:w="1023" w:type="dxa"/>
            <w:tcBorders>
              <w:left w:val="single" w:color="000000" w:sz="6" w:space="0"/>
              <w:bottom w:val="double" w:color="000000" w:sz="2" w:space="0"/>
              <w:right w:val="single" w:color="000000" w:sz="6" w:space="0"/>
            </w:tcBorders>
          </w:tcPr>
          <w:p>
            <w:pPr>
              <w:pStyle w:val="17"/>
              <w:spacing w:before="4"/>
              <w:rPr>
                <w:b/>
                <w:sz w:val="18"/>
              </w:rPr>
            </w:pPr>
          </w:p>
          <w:p>
            <w:pPr>
              <w:pStyle w:val="17"/>
              <w:ind w:left="38"/>
              <w:rPr>
                <w:sz w:val="24"/>
              </w:rPr>
            </w:pPr>
            <w:r>
              <w:rPr>
                <w:sz w:val="24"/>
              </w:rPr>
              <w:t>生产能力</w:t>
            </w:r>
          </w:p>
        </w:tc>
        <w:tc>
          <w:tcPr>
            <w:tcW w:w="1232" w:type="dxa"/>
            <w:tcBorders>
              <w:left w:val="single" w:color="000000" w:sz="6" w:space="0"/>
              <w:bottom w:val="double" w:color="000000" w:sz="2" w:space="0"/>
              <w:right w:val="single" w:color="000000" w:sz="6" w:space="0"/>
            </w:tcBorders>
          </w:tcPr>
          <w:p>
            <w:pPr>
              <w:pStyle w:val="17"/>
              <w:spacing w:before="2"/>
              <w:ind w:left="123" w:right="93"/>
              <w:jc w:val="center"/>
              <w:rPr>
                <w:sz w:val="24"/>
              </w:rPr>
            </w:pPr>
            <w:r>
              <w:rPr>
                <w:sz w:val="24"/>
              </w:rPr>
              <w:t>设备安装</w:t>
            </w:r>
          </w:p>
          <w:p>
            <w:pPr>
              <w:pStyle w:val="17"/>
              <w:spacing w:before="158"/>
              <w:ind w:left="123" w:right="93"/>
              <w:jc w:val="center"/>
              <w:rPr>
                <w:sz w:val="24"/>
              </w:rPr>
            </w:pPr>
            <w:r>
              <w:rPr>
                <w:sz w:val="24"/>
              </w:rPr>
              <w:t>内容</w:t>
            </w:r>
          </w:p>
        </w:tc>
        <w:tc>
          <w:tcPr>
            <w:tcW w:w="1090" w:type="dxa"/>
            <w:tcBorders>
              <w:left w:val="single" w:color="000000" w:sz="6" w:space="0"/>
              <w:bottom w:val="double" w:color="000000" w:sz="2" w:space="0"/>
              <w:right w:val="single" w:color="000000" w:sz="6" w:space="0"/>
            </w:tcBorders>
          </w:tcPr>
          <w:p>
            <w:pPr>
              <w:pStyle w:val="17"/>
              <w:spacing w:before="2"/>
              <w:ind w:left="70"/>
              <w:rPr>
                <w:sz w:val="24"/>
              </w:rPr>
            </w:pPr>
            <w:r>
              <w:rPr>
                <w:sz w:val="24"/>
              </w:rPr>
              <w:t>合同价格</w:t>
            </w:r>
          </w:p>
          <w:p>
            <w:pPr>
              <w:pStyle w:val="17"/>
              <w:spacing w:before="158"/>
              <w:ind w:left="190"/>
              <w:rPr>
                <w:sz w:val="24"/>
              </w:rPr>
            </w:pPr>
            <w:r>
              <w:rPr>
                <w:sz w:val="24"/>
              </w:rPr>
              <w:t>（元）</w:t>
            </w:r>
          </w:p>
        </w:tc>
        <w:tc>
          <w:tcPr>
            <w:tcW w:w="558" w:type="dxa"/>
            <w:tcBorders>
              <w:left w:val="single" w:color="000000" w:sz="6" w:space="0"/>
              <w:bottom w:val="double" w:color="000000" w:sz="2" w:space="0"/>
              <w:right w:val="single" w:color="000000" w:sz="6" w:space="0"/>
            </w:tcBorders>
          </w:tcPr>
          <w:p>
            <w:pPr>
              <w:pStyle w:val="17"/>
              <w:spacing w:before="2"/>
              <w:ind w:left="46"/>
              <w:rPr>
                <w:sz w:val="24"/>
              </w:rPr>
            </w:pPr>
            <w:r>
              <w:rPr>
                <w:sz w:val="24"/>
              </w:rPr>
              <w:t>开工</w:t>
            </w:r>
          </w:p>
          <w:p>
            <w:pPr>
              <w:pStyle w:val="17"/>
              <w:spacing w:before="158"/>
              <w:ind w:left="46"/>
              <w:rPr>
                <w:sz w:val="24"/>
              </w:rPr>
            </w:pPr>
            <w:r>
              <w:rPr>
                <w:sz w:val="24"/>
              </w:rPr>
              <w:t>日期</w:t>
            </w:r>
          </w:p>
        </w:tc>
        <w:tc>
          <w:tcPr>
            <w:tcW w:w="558" w:type="dxa"/>
            <w:tcBorders>
              <w:left w:val="single" w:color="000000" w:sz="6" w:space="0"/>
              <w:bottom w:val="double" w:color="000000" w:sz="2" w:space="0"/>
            </w:tcBorders>
          </w:tcPr>
          <w:p>
            <w:pPr>
              <w:pStyle w:val="17"/>
              <w:spacing w:before="2"/>
              <w:ind w:left="45"/>
              <w:rPr>
                <w:sz w:val="24"/>
              </w:rPr>
            </w:pPr>
            <w:r>
              <w:rPr>
                <w:sz w:val="24"/>
              </w:rPr>
              <w:t>竣工</w:t>
            </w:r>
          </w:p>
          <w:p>
            <w:pPr>
              <w:pStyle w:val="17"/>
              <w:spacing w:before="158"/>
              <w:ind w:left="45"/>
              <w:rPr>
                <w:sz w:val="24"/>
              </w:rPr>
            </w:pPr>
            <w:r>
              <w:rPr>
                <w:sz w:val="24"/>
              </w:rPr>
              <w:t>日期</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840" w:type="dxa"/>
            <w:tcBorders>
              <w:top w:val="double" w:color="000000" w:sz="2" w:space="0"/>
              <w:bottom w:val="single" w:color="000000" w:sz="6" w:space="0"/>
              <w:right w:val="single" w:color="000000" w:sz="6" w:space="0"/>
            </w:tcBorders>
          </w:tcPr>
          <w:p>
            <w:pPr>
              <w:pStyle w:val="17"/>
              <w:rPr>
                <w:rFonts w:ascii="Times New Roman"/>
                <w:sz w:val="20"/>
              </w:rPr>
            </w:pPr>
          </w:p>
        </w:tc>
        <w:tc>
          <w:tcPr>
            <w:tcW w:w="1209"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349"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163"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023"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232"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090"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double" w:color="000000" w:sz="2"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840" w:type="dxa"/>
            <w:tcBorders>
              <w:top w:val="single" w:color="000000" w:sz="6" w:space="0"/>
              <w:bottom w:val="single" w:color="000000" w:sz="6" w:space="0"/>
              <w:right w:val="single" w:color="000000" w:sz="6" w:space="0"/>
            </w:tcBorders>
          </w:tcPr>
          <w:p>
            <w:pPr>
              <w:pStyle w:val="17"/>
              <w:rPr>
                <w:rFonts w:ascii="Times New Roman"/>
                <w:sz w:val="20"/>
              </w:rPr>
            </w:pPr>
          </w:p>
        </w:tc>
        <w:tc>
          <w:tcPr>
            <w:tcW w:w="1209"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49"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16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3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840" w:type="dxa"/>
            <w:tcBorders>
              <w:top w:val="single" w:color="000000" w:sz="6" w:space="0"/>
              <w:bottom w:val="single" w:color="000000" w:sz="6" w:space="0"/>
              <w:right w:val="single" w:color="000000" w:sz="6" w:space="0"/>
            </w:tcBorders>
          </w:tcPr>
          <w:p>
            <w:pPr>
              <w:pStyle w:val="17"/>
              <w:rPr>
                <w:rFonts w:ascii="Times New Roman"/>
                <w:sz w:val="20"/>
              </w:rPr>
            </w:pPr>
          </w:p>
        </w:tc>
        <w:tc>
          <w:tcPr>
            <w:tcW w:w="1209"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49"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16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3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840" w:type="dxa"/>
            <w:tcBorders>
              <w:top w:val="single" w:color="000000" w:sz="6" w:space="0"/>
              <w:bottom w:val="single" w:color="000000" w:sz="6" w:space="0"/>
              <w:right w:val="single" w:color="000000" w:sz="6" w:space="0"/>
            </w:tcBorders>
          </w:tcPr>
          <w:p>
            <w:pPr>
              <w:pStyle w:val="17"/>
              <w:rPr>
                <w:rFonts w:ascii="Times New Roman"/>
                <w:sz w:val="20"/>
              </w:rPr>
            </w:pPr>
          </w:p>
        </w:tc>
        <w:tc>
          <w:tcPr>
            <w:tcW w:w="1209"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49"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16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3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840" w:type="dxa"/>
            <w:tcBorders>
              <w:top w:val="single" w:color="000000" w:sz="6" w:space="0"/>
              <w:bottom w:val="single" w:color="000000" w:sz="6" w:space="0"/>
              <w:right w:val="single" w:color="000000" w:sz="6" w:space="0"/>
            </w:tcBorders>
          </w:tcPr>
          <w:p>
            <w:pPr>
              <w:pStyle w:val="17"/>
              <w:rPr>
                <w:rFonts w:ascii="Times New Roman"/>
                <w:sz w:val="20"/>
              </w:rPr>
            </w:pPr>
          </w:p>
        </w:tc>
        <w:tc>
          <w:tcPr>
            <w:tcW w:w="1209"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49"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16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3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840" w:type="dxa"/>
            <w:tcBorders>
              <w:top w:val="single" w:color="000000" w:sz="6" w:space="0"/>
              <w:bottom w:val="single" w:color="000000" w:sz="6" w:space="0"/>
              <w:right w:val="single" w:color="000000" w:sz="6" w:space="0"/>
            </w:tcBorders>
          </w:tcPr>
          <w:p>
            <w:pPr>
              <w:pStyle w:val="17"/>
              <w:rPr>
                <w:rFonts w:ascii="Times New Roman"/>
                <w:sz w:val="20"/>
              </w:rPr>
            </w:pPr>
          </w:p>
        </w:tc>
        <w:tc>
          <w:tcPr>
            <w:tcW w:w="1209"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49"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16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3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840" w:type="dxa"/>
            <w:tcBorders>
              <w:top w:val="single" w:color="000000" w:sz="6" w:space="0"/>
              <w:bottom w:val="single" w:color="000000" w:sz="6" w:space="0"/>
              <w:right w:val="single" w:color="000000" w:sz="6" w:space="0"/>
            </w:tcBorders>
          </w:tcPr>
          <w:p>
            <w:pPr>
              <w:pStyle w:val="17"/>
              <w:rPr>
                <w:rFonts w:ascii="Times New Roman"/>
                <w:sz w:val="20"/>
              </w:rPr>
            </w:pPr>
          </w:p>
        </w:tc>
        <w:tc>
          <w:tcPr>
            <w:tcW w:w="1209"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49"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16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3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840" w:type="dxa"/>
            <w:tcBorders>
              <w:top w:val="single" w:color="000000" w:sz="6" w:space="0"/>
              <w:bottom w:val="single" w:color="000000" w:sz="6" w:space="0"/>
              <w:right w:val="single" w:color="000000" w:sz="6" w:space="0"/>
            </w:tcBorders>
          </w:tcPr>
          <w:p>
            <w:pPr>
              <w:pStyle w:val="17"/>
              <w:rPr>
                <w:rFonts w:ascii="Times New Roman"/>
                <w:sz w:val="20"/>
              </w:rPr>
            </w:pPr>
          </w:p>
        </w:tc>
        <w:tc>
          <w:tcPr>
            <w:tcW w:w="1209"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49"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16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3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840" w:type="dxa"/>
            <w:tcBorders>
              <w:top w:val="single" w:color="000000" w:sz="6" w:space="0"/>
              <w:bottom w:val="single" w:color="000000" w:sz="6" w:space="0"/>
              <w:right w:val="single" w:color="000000" w:sz="6" w:space="0"/>
            </w:tcBorders>
          </w:tcPr>
          <w:p>
            <w:pPr>
              <w:pStyle w:val="17"/>
              <w:rPr>
                <w:rFonts w:ascii="Times New Roman"/>
                <w:sz w:val="20"/>
              </w:rPr>
            </w:pPr>
          </w:p>
        </w:tc>
        <w:tc>
          <w:tcPr>
            <w:tcW w:w="1209"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49"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16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3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9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840" w:type="dxa"/>
            <w:tcBorders>
              <w:top w:val="single" w:color="000000" w:sz="6" w:space="0"/>
              <w:right w:val="single" w:color="000000" w:sz="6" w:space="0"/>
            </w:tcBorders>
          </w:tcPr>
          <w:p>
            <w:pPr>
              <w:pStyle w:val="17"/>
              <w:rPr>
                <w:rFonts w:ascii="Times New Roman"/>
                <w:sz w:val="20"/>
              </w:rPr>
            </w:pPr>
          </w:p>
        </w:tc>
        <w:tc>
          <w:tcPr>
            <w:tcW w:w="1209" w:type="dxa"/>
            <w:tcBorders>
              <w:top w:val="single" w:color="000000" w:sz="6" w:space="0"/>
              <w:left w:val="single" w:color="000000" w:sz="6" w:space="0"/>
              <w:right w:val="single" w:color="000000" w:sz="6" w:space="0"/>
            </w:tcBorders>
          </w:tcPr>
          <w:p>
            <w:pPr>
              <w:pStyle w:val="17"/>
              <w:rPr>
                <w:rFonts w:ascii="Times New Roman"/>
                <w:sz w:val="20"/>
              </w:rPr>
            </w:pPr>
          </w:p>
        </w:tc>
        <w:tc>
          <w:tcPr>
            <w:tcW w:w="1349" w:type="dxa"/>
            <w:tcBorders>
              <w:top w:val="single" w:color="000000" w:sz="6" w:space="0"/>
              <w:left w:val="single" w:color="000000" w:sz="6" w:space="0"/>
              <w:right w:val="single" w:color="000000" w:sz="6" w:space="0"/>
            </w:tcBorders>
          </w:tcPr>
          <w:p>
            <w:pPr>
              <w:pStyle w:val="17"/>
              <w:rPr>
                <w:rFonts w:ascii="Times New Roman"/>
                <w:sz w:val="20"/>
              </w:rPr>
            </w:pPr>
          </w:p>
        </w:tc>
        <w:tc>
          <w:tcPr>
            <w:tcW w:w="1163" w:type="dxa"/>
            <w:tcBorders>
              <w:top w:val="single" w:color="000000" w:sz="6" w:space="0"/>
              <w:left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right w:val="single" w:color="000000" w:sz="6" w:space="0"/>
            </w:tcBorders>
          </w:tcPr>
          <w:p>
            <w:pPr>
              <w:pStyle w:val="17"/>
              <w:rPr>
                <w:rFonts w:ascii="Times New Roman"/>
                <w:sz w:val="20"/>
              </w:rPr>
            </w:pPr>
          </w:p>
        </w:tc>
        <w:tc>
          <w:tcPr>
            <w:tcW w:w="1023" w:type="dxa"/>
            <w:tcBorders>
              <w:top w:val="single" w:color="000000" w:sz="6" w:space="0"/>
              <w:left w:val="single" w:color="000000" w:sz="6" w:space="0"/>
              <w:right w:val="single" w:color="000000" w:sz="6" w:space="0"/>
            </w:tcBorders>
          </w:tcPr>
          <w:p>
            <w:pPr>
              <w:pStyle w:val="17"/>
              <w:rPr>
                <w:rFonts w:ascii="Times New Roman"/>
                <w:sz w:val="20"/>
              </w:rPr>
            </w:pPr>
          </w:p>
        </w:tc>
        <w:tc>
          <w:tcPr>
            <w:tcW w:w="1232" w:type="dxa"/>
            <w:tcBorders>
              <w:top w:val="single" w:color="000000" w:sz="6" w:space="0"/>
              <w:left w:val="single" w:color="000000" w:sz="6" w:space="0"/>
              <w:right w:val="single" w:color="000000" w:sz="6" w:space="0"/>
            </w:tcBorders>
          </w:tcPr>
          <w:p>
            <w:pPr>
              <w:pStyle w:val="17"/>
              <w:rPr>
                <w:rFonts w:ascii="Times New Roman"/>
                <w:sz w:val="20"/>
              </w:rPr>
            </w:pPr>
          </w:p>
        </w:tc>
        <w:tc>
          <w:tcPr>
            <w:tcW w:w="1090" w:type="dxa"/>
            <w:tcBorders>
              <w:top w:val="single" w:color="000000" w:sz="6" w:space="0"/>
              <w:left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right w:val="single" w:color="000000" w:sz="6" w:space="0"/>
            </w:tcBorders>
          </w:tcPr>
          <w:p>
            <w:pPr>
              <w:pStyle w:val="17"/>
              <w:rPr>
                <w:rFonts w:ascii="Times New Roman"/>
                <w:sz w:val="20"/>
              </w:rPr>
            </w:pPr>
          </w:p>
        </w:tc>
        <w:tc>
          <w:tcPr>
            <w:tcW w:w="558" w:type="dxa"/>
            <w:tcBorders>
              <w:top w:val="single" w:color="000000" w:sz="6" w:space="0"/>
              <w:left w:val="single" w:color="000000" w:sz="6" w:space="0"/>
            </w:tcBorders>
          </w:tcPr>
          <w:p>
            <w:pPr>
              <w:pStyle w:val="17"/>
              <w:rPr>
                <w:rFonts w:ascii="Times New Roman"/>
                <w:sz w:val="20"/>
              </w:rPr>
            </w:pPr>
          </w:p>
        </w:tc>
      </w:tr>
    </w:tbl>
    <w:p>
      <w:pPr>
        <w:spacing w:after="0"/>
        <w:rPr>
          <w:rFonts w:ascii="Times New Roman"/>
          <w:sz w:val="20"/>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74" o:spid="_x0000_s1174" o:spt="20" style="position:absolute;left:0pt;margin-left:62.4pt;margin-top:12.25pt;height:0pt;width:400.4pt;mso-position-horizontal-relative:page;z-index:25181388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7"/>
        <w:spacing w:before="67"/>
      </w:pPr>
      <w:r>
        <w:t>附件 2：</w:t>
      </w:r>
    </w:p>
    <w:p>
      <w:pPr>
        <w:pStyle w:val="8"/>
        <w:spacing w:before="7"/>
        <w:rPr>
          <w:b/>
          <w:sz w:val="20"/>
        </w:rPr>
      </w:pPr>
    </w:p>
    <w:p>
      <w:pPr>
        <w:spacing w:before="0"/>
        <w:ind w:left="388" w:right="0" w:firstLine="0"/>
        <w:jc w:val="left"/>
        <w:rPr>
          <w:b/>
          <w:sz w:val="24"/>
        </w:rPr>
      </w:pPr>
      <w:bookmarkStart w:id="126" w:name="发包人供应材料设备一览表"/>
      <w:bookmarkEnd w:id="126"/>
      <w:r>
        <w:rPr>
          <w:b/>
          <w:sz w:val="24"/>
        </w:rPr>
        <w:t>发包人供应材料设备一览表</w:t>
      </w:r>
    </w:p>
    <w:p>
      <w:pPr>
        <w:pStyle w:val="8"/>
        <w:spacing w:before="6"/>
        <w:rPr>
          <w:b/>
          <w:sz w:val="20"/>
        </w:rPr>
      </w:pPr>
    </w:p>
    <w:tbl>
      <w:tblPr>
        <w:tblStyle w:val="13"/>
        <w:tblW w:w="0" w:type="auto"/>
        <w:tblInd w:w="37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45"/>
        <w:gridCol w:w="1226"/>
        <w:gridCol w:w="992"/>
        <w:gridCol w:w="709"/>
        <w:gridCol w:w="709"/>
        <w:gridCol w:w="850"/>
        <w:gridCol w:w="1134"/>
        <w:gridCol w:w="1276"/>
        <w:gridCol w:w="1134"/>
        <w:gridCol w:w="85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2" w:hRule="atLeast"/>
        </w:trPr>
        <w:tc>
          <w:tcPr>
            <w:tcW w:w="645" w:type="dxa"/>
            <w:tcBorders>
              <w:bottom w:val="double" w:color="000000" w:sz="2" w:space="0"/>
              <w:right w:val="single" w:color="000000" w:sz="6" w:space="0"/>
            </w:tcBorders>
          </w:tcPr>
          <w:p>
            <w:pPr>
              <w:pStyle w:val="17"/>
              <w:spacing w:before="2"/>
              <w:rPr>
                <w:b/>
                <w:sz w:val="18"/>
              </w:rPr>
            </w:pPr>
          </w:p>
          <w:p>
            <w:pPr>
              <w:pStyle w:val="17"/>
              <w:spacing w:before="1"/>
              <w:ind w:left="81"/>
              <w:rPr>
                <w:sz w:val="24"/>
              </w:rPr>
            </w:pPr>
            <w:r>
              <w:rPr>
                <w:sz w:val="24"/>
              </w:rPr>
              <w:t>序号</w:t>
            </w:r>
          </w:p>
        </w:tc>
        <w:tc>
          <w:tcPr>
            <w:tcW w:w="1226" w:type="dxa"/>
            <w:tcBorders>
              <w:left w:val="single" w:color="000000" w:sz="6" w:space="0"/>
              <w:bottom w:val="double" w:color="000000" w:sz="2" w:space="0"/>
              <w:right w:val="single" w:color="000000" w:sz="6" w:space="0"/>
            </w:tcBorders>
          </w:tcPr>
          <w:p>
            <w:pPr>
              <w:pStyle w:val="17"/>
              <w:ind w:left="259"/>
              <w:rPr>
                <w:sz w:val="24"/>
              </w:rPr>
            </w:pPr>
            <w:r>
              <w:rPr>
                <w:sz w:val="24"/>
              </w:rPr>
              <w:t>材料、</w:t>
            </w:r>
          </w:p>
          <w:p>
            <w:pPr>
              <w:pStyle w:val="17"/>
              <w:spacing w:before="159"/>
              <w:ind w:left="139"/>
              <w:rPr>
                <w:sz w:val="24"/>
              </w:rPr>
            </w:pPr>
            <w:r>
              <w:rPr>
                <w:sz w:val="24"/>
              </w:rPr>
              <w:t>设备品种</w:t>
            </w:r>
          </w:p>
        </w:tc>
        <w:tc>
          <w:tcPr>
            <w:tcW w:w="992" w:type="dxa"/>
            <w:tcBorders>
              <w:left w:val="single" w:color="000000" w:sz="6" w:space="0"/>
              <w:bottom w:val="double" w:color="000000" w:sz="2" w:space="0"/>
              <w:right w:val="single" w:color="000000" w:sz="6" w:space="0"/>
            </w:tcBorders>
          </w:tcPr>
          <w:p>
            <w:pPr>
              <w:pStyle w:val="17"/>
              <w:ind w:left="122" w:right="94"/>
              <w:jc w:val="center"/>
              <w:rPr>
                <w:sz w:val="24"/>
              </w:rPr>
            </w:pPr>
            <w:r>
              <w:rPr>
                <w:sz w:val="24"/>
              </w:rPr>
              <w:t>规格型</w:t>
            </w:r>
          </w:p>
          <w:p>
            <w:pPr>
              <w:pStyle w:val="17"/>
              <w:spacing w:before="159"/>
              <w:ind w:left="28"/>
              <w:jc w:val="center"/>
              <w:rPr>
                <w:sz w:val="24"/>
              </w:rPr>
            </w:pPr>
            <w:r>
              <w:rPr>
                <w:sz w:val="24"/>
              </w:rPr>
              <w:t>号</w:t>
            </w:r>
          </w:p>
        </w:tc>
        <w:tc>
          <w:tcPr>
            <w:tcW w:w="709" w:type="dxa"/>
            <w:tcBorders>
              <w:left w:val="single" w:color="000000" w:sz="6" w:space="0"/>
              <w:bottom w:val="double" w:color="000000" w:sz="2" w:space="0"/>
              <w:right w:val="single" w:color="000000" w:sz="6" w:space="0"/>
            </w:tcBorders>
          </w:tcPr>
          <w:p>
            <w:pPr>
              <w:pStyle w:val="17"/>
              <w:spacing w:before="2"/>
              <w:rPr>
                <w:b/>
                <w:sz w:val="18"/>
              </w:rPr>
            </w:pPr>
          </w:p>
          <w:p>
            <w:pPr>
              <w:pStyle w:val="17"/>
              <w:spacing w:before="1"/>
              <w:ind w:left="120"/>
              <w:rPr>
                <w:sz w:val="24"/>
              </w:rPr>
            </w:pPr>
            <w:r>
              <w:rPr>
                <w:sz w:val="24"/>
              </w:rPr>
              <w:t>单位</w:t>
            </w:r>
          </w:p>
        </w:tc>
        <w:tc>
          <w:tcPr>
            <w:tcW w:w="709" w:type="dxa"/>
            <w:tcBorders>
              <w:left w:val="single" w:color="000000" w:sz="6" w:space="0"/>
              <w:bottom w:val="double" w:color="000000" w:sz="2" w:space="0"/>
              <w:right w:val="single" w:color="000000" w:sz="6" w:space="0"/>
            </w:tcBorders>
          </w:tcPr>
          <w:p>
            <w:pPr>
              <w:pStyle w:val="17"/>
              <w:spacing w:before="2"/>
              <w:rPr>
                <w:b/>
                <w:sz w:val="18"/>
              </w:rPr>
            </w:pPr>
          </w:p>
          <w:p>
            <w:pPr>
              <w:pStyle w:val="17"/>
              <w:spacing w:before="1"/>
              <w:ind w:left="121"/>
              <w:rPr>
                <w:sz w:val="24"/>
              </w:rPr>
            </w:pPr>
            <w:r>
              <w:rPr>
                <w:sz w:val="24"/>
              </w:rPr>
              <w:t>数量</w:t>
            </w:r>
          </w:p>
        </w:tc>
        <w:tc>
          <w:tcPr>
            <w:tcW w:w="850" w:type="dxa"/>
            <w:tcBorders>
              <w:left w:val="single" w:color="000000" w:sz="6" w:space="0"/>
              <w:bottom w:val="double" w:color="000000" w:sz="2" w:space="0"/>
              <w:right w:val="single" w:color="000000" w:sz="6" w:space="0"/>
            </w:tcBorders>
          </w:tcPr>
          <w:p>
            <w:pPr>
              <w:pStyle w:val="17"/>
              <w:ind w:left="192"/>
              <w:rPr>
                <w:sz w:val="24"/>
              </w:rPr>
            </w:pPr>
            <w:r>
              <w:rPr>
                <w:sz w:val="24"/>
              </w:rPr>
              <w:t>单价</w:t>
            </w:r>
          </w:p>
          <w:p>
            <w:pPr>
              <w:pStyle w:val="17"/>
              <w:spacing w:before="159"/>
              <w:ind w:left="72"/>
              <w:rPr>
                <w:sz w:val="24"/>
              </w:rPr>
            </w:pPr>
            <w:r>
              <w:rPr>
                <w:sz w:val="24"/>
              </w:rPr>
              <w:t>（元）</w:t>
            </w:r>
          </w:p>
        </w:tc>
        <w:tc>
          <w:tcPr>
            <w:tcW w:w="1134" w:type="dxa"/>
            <w:tcBorders>
              <w:left w:val="single" w:color="000000" w:sz="6" w:space="0"/>
              <w:bottom w:val="double" w:color="000000" w:sz="2" w:space="0"/>
              <w:right w:val="single" w:color="000000" w:sz="6" w:space="0"/>
            </w:tcBorders>
          </w:tcPr>
          <w:p>
            <w:pPr>
              <w:pStyle w:val="17"/>
              <w:spacing w:before="2"/>
              <w:rPr>
                <w:b/>
                <w:sz w:val="18"/>
              </w:rPr>
            </w:pPr>
          </w:p>
          <w:p>
            <w:pPr>
              <w:pStyle w:val="17"/>
              <w:spacing w:before="1"/>
              <w:ind w:left="93"/>
              <w:rPr>
                <w:sz w:val="24"/>
              </w:rPr>
            </w:pPr>
            <w:r>
              <w:rPr>
                <w:sz w:val="24"/>
              </w:rPr>
              <w:t>质量等级</w:t>
            </w:r>
          </w:p>
        </w:tc>
        <w:tc>
          <w:tcPr>
            <w:tcW w:w="1276" w:type="dxa"/>
            <w:tcBorders>
              <w:left w:val="single" w:color="000000" w:sz="6" w:space="0"/>
              <w:bottom w:val="double" w:color="000000" w:sz="2" w:space="0"/>
              <w:right w:val="single" w:color="000000" w:sz="6" w:space="0"/>
            </w:tcBorders>
          </w:tcPr>
          <w:p>
            <w:pPr>
              <w:pStyle w:val="17"/>
              <w:spacing w:before="2"/>
              <w:rPr>
                <w:b/>
                <w:sz w:val="18"/>
              </w:rPr>
            </w:pPr>
          </w:p>
          <w:p>
            <w:pPr>
              <w:pStyle w:val="17"/>
              <w:spacing w:before="1"/>
              <w:ind w:left="164"/>
              <w:rPr>
                <w:sz w:val="24"/>
              </w:rPr>
            </w:pPr>
            <w:r>
              <w:rPr>
                <w:sz w:val="24"/>
              </w:rPr>
              <w:t>供应时间</w:t>
            </w:r>
          </w:p>
        </w:tc>
        <w:tc>
          <w:tcPr>
            <w:tcW w:w="1134" w:type="dxa"/>
            <w:tcBorders>
              <w:left w:val="single" w:color="000000" w:sz="6" w:space="0"/>
              <w:bottom w:val="double" w:color="000000" w:sz="2" w:space="0"/>
              <w:right w:val="single" w:color="000000" w:sz="6" w:space="0"/>
            </w:tcBorders>
          </w:tcPr>
          <w:p>
            <w:pPr>
              <w:pStyle w:val="17"/>
              <w:spacing w:before="2"/>
              <w:rPr>
                <w:b/>
                <w:sz w:val="18"/>
              </w:rPr>
            </w:pPr>
          </w:p>
          <w:p>
            <w:pPr>
              <w:pStyle w:val="17"/>
              <w:spacing w:before="1"/>
              <w:ind w:left="93"/>
              <w:rPr>
                <w:sz w:val="24"/>
              </w:rPr>
            </w:pPr>
            <w:r>
              <w:rPr>
                <w:sz w:val="24"/>
              </w:rPr>
              <w:t>送达地点</w:t>
            </w:r>
          </w:p>
        </w:tc>
        <w:tc>
          <w:tcPr>
            <w:tcW w:w="851" w:type="dxa"/>
            <w:tcBorders>
              <w:left w:val="single" w:color="000000" w:sz="6" w:space="0"/>
              <w:bottom w:val="double" w:color="000000" w:sz="2" w:space="0"/>
            </w:tcBorders>
          </w:tcPr>
          <w:p>
            <w:pPr>
              <w:pStyle w:val="17"/>
              <w:spacing w:before="2"/>
              <w:rPr>
                <w:b/>
                <w:sz w:val="18"/>
              </w:rPr>
            </w:pPr>
          </w:p>
          <w:p>
            <w:pPr>
              <w:pStyle w:val="17"/>
              <w:spacing w:before="1"/>
              <w:ind w:left="192"/>
              <w:rPr>
                <w:sz w:val="24"/>
              </w:rPr>
            </w:pPr>
            <w:r>
              <w:rPr>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645" w:type="dxa"/>
            <w:tcBorders>
              <w:top w:val="double" w:color="000000" w:sz="2" w:space="0"/>
              <w:bottom w:val="single" w:color="000000" w:sz="6" w:space="0"/>
              <w:right w:val="single" w:color="000000" w:sz="6" w:space="0"/>
            </w:tcBorders>
          </w:tcPr>
          <w:p>
            <w:pPr>
              <w:pStyle w:val="17"/>
              <w:rPr>
                <w:rFonts w:ascii="Times New Roman"/>
                <w:sz w:val="20"/>
              </w:rPr>
            </w:pPr>
          </w:p>
        </w:tc>
        <w:tc>
          <w:tcPr>
            <w:tcW w:w="1226"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992"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709"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709"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850"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134"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276"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134"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double" w:color="000000" w:sz="2"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645" w:type="dxa"/>
            <w:tcBorders>
              <w:top w:val="single" w:color="000000" w:sz="6" w:space="0"/>
              <w:bottom w:val="single" w:color="000000" w:sz="6" w:space="0"/>
              <w:right w:val="single" w:color="000000" w:sz="6" w:space="0"/>
            </w:tcBorders>
          </w:tcPr>
          <w:p>
            <w:pPr>
              <w:pStyle w:val="17"/>
              <w:rPr>
                <w:rFonts w:ascii="Times New Roman"/>
                <w:sz w:val="20"/>
              </w:rPr>
            </w:pPr>
          </w:p>
        </w:tc>
        <w:tc>
          <w:tcPr>
            <w:tcW w:w="122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99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09"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09"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645" w:type="dxa"/>
            <w:tcBorders>
              <w:top w:val="single" w:color="000000" w:sz="6" w:space="0"/>
              <w:bottom w:val="single" w:color="000000" w:sz="6" w:space="0"/>
              <w:right w:val="single" w:color="000000" w:sz="6" w:space="0"/>
            </w:tcBorders>
          </w:tcPr>
          <w:p>
            <w:pPr>
              <w:pStyle w:val="17"/>
              <w:rPr>
                <w:rFonts w:ascii="Times New Roman"/>
                <w:sz w:val="20"/>
              </w:rPr>
            </w:pPr>
          </w:p>
        </w:tc>
        <w:tc>
          <w:tcPr>
            <w:tcW w:w="122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99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09"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09"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645" w:type="dxa"/>
            <w:tcBorders>
              <w:top w:val="single" w:color="000000" w:sz="6" w:space="0"/>
              <w:bottom w:val="single" w:color="000000" w:sz="6" w:space="0"/>
              <w:right w:val="single" w:color="000000" w:sz="6" w:space="0"/>
            </w:tcBorders>
          </w:tcPr>
          <w:p>
            <w:pPr>
              <w:pStyle w:val="17"/>
              <w:rPr>
                <w:rFonts w:ascii="Times New Roman"/>
                <w:sz w:val="20"/>
              </w:rPr>
            </w:pPr>
          </w:p>
        </w:tc>
        <w:tc>
          <w:tcPr>
            <w:tcW w:w="122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99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09"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09"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645" w:type="dxa"/>
            <w:tcBorders>
              <w:top w:val="single" w:color="000000" w:sz="6" w:space="0"/>
              <w:right w:val="single" w:color="000000" w:sz="6" w:space="0"/>
            </w:tcBorders>
          </w:tcPr>
          <w:p>
            <w:pPr>
              <w:pStyle w:val="17"/>
              <w:rPr>
                <w:rFonts w:ascii="Times New Roman"/>
                <w:sz w:val="20"/>
              </w:rPr>
            </w:pPr>
          </w:p>
        </w:tc>
        <w:tc>
          <w:tcPr>
            <w:tcW w:w="1226" w:type="dxa"/>
            <w:tcBorders>
              <w:top w:val="single" w:color="000000" w:sz="6" w:space="0"/>
              <w:left w:val="single" w:color="000000" w:sz="6" w:space="0"/>
              <w:right w:val="single" w:color="000000" w:sz="6" w:space="0"/>
            </w:tcBorders>
          </w:tcPr>
          <w:p>
            <w:pPr>
              <w:pStyle w:val="17"/>
              <w:rPr>
                <w:rFonts w:ascii="Times New Roman"/>
                <w:sz w:val="20"/>
              </w:rPr>
            </w:pPr>
          </w:p>
        </w:tc>
        <w:tc>
          <w:tcPr>
            <w:tcW w:w="992" w:type="dxa"/>
            <w:tcBorders>
              <w:top w:val="single" w:color="000000" w:sz="6" w:space="0"/>
              <w:left w:val="single" w:color="000000" w:sz="6" w:space="0"/>
              <w:right w:val="single" w:color="000000" w:sz="6" w:space="0"/>
            </w:tcBorders>
          </w:tcPr>
          <w:p>
            <w:pPr>
              <w:pStyle w:val="17"/>
              <w:rPr>
                <w:rFonts w:ascii="Times New Roman"/>
                <w:sz w:val="20"/>
              </w:rPr>
            </w:pPr>
          </w:p>
        </w:tc>
        <w:tc>
          <w:tcPr>
            <w:tcW w:w="709" w:type="dxa"/>
            <w:tcBorders>
              <w:top w:val="single" w:color="000000" w:sz="6" w:space="0"/>
              <w:left w:val="single" w:color="000000" w:sz="6" w:space="0"/>
              <w:right w:val="single" w:color="000000" w:sz="6" w:space="0"/>
            </w:tcBorders>
          </w:tcPr>
          <w:p>
            <w:pPr>
              <w:pStyle w:val="17"/>
              <w:rPr>
                <w:rFonts w:ascii="Times New Roman"/>
                <w:sz w:val="20"/>
              </w:rPr>
            </w:pPr>
          </w:p>
        </w:tc>
        <w:tc>
          <w:tcPr>
            <w:tcW w:w="709" w:type="dxa"/>
            <w:tcBorders>
              <w:top w:val="single" w:color="000000" w:sz="6" w:space="0"/>
              <w:left w:val="single" w:color="000000" w:sz="6" w:space="0"/>
              <w:right w:val="single" w:color="000000" w:sz="6" w:space="0"/>
            </w:tcBorders>
          </w:tcPr>
          <w:p>
            <w:pPr>
              <w:pStyle w:val="17"/>
              <w:rPr>
                <w:rFonts w:ascii="Times New Roman"/>
                <w:sz w:val="20"/>
              </w:rPr>
            </w:pPr>
          </w:p>
        </w:tc>
        <w:tc>
          <w:tcPr>
            <w:tcW w:w="850" w:type="dxa"/>
            <w:tcBorders>
              <w:top w:val="single" w:color="000000" w:sz="6" w:space="0"/>
              <w:left w:val="single" w:color="000000" w:sz="6" w:space="0"/>
              <w:right w:val="single" w:color="000000" w:sz="6" w:space="0"/>
            </w:tcBorders>
          </w:tcPr>
          <w:p>
            <w:pPr>
              <w:pStyle w:val="17"/>
              <w:rPr>
                <w:rFonts w:ascii="Times New Roman"/>
                <w:sz w:val="20"/>
              </w:rPr>
            </w:pPr>
          </w:p>
        </w:tc>
        <w:tc>
          <w:tcPr>
            <w:tcW w:w="1134" w:type="dxa"/>
            <w:tcBorders>
              <w:top w:val="single" w:color="000000" w:sz="6" w:space="0"/>
              <w:left w:val="single" w:color="000000" w:sz="6" w:space="0"/>
              <w:right w:val="single" w:color="000000" w:sz="6" w:space="0"/>
            </w:tcBorders>
          </w:tcPr>
          <w:p>
            <w:pPr>
              <w:pStyle w:val="17"/>
              <w:rPr>
                <w:rFonts w:ascii="Times New Roman"/>
                <w:sz w:val="20"/>
              </w:rPr>
            </w:pPr>
          </w:p>
        </w:tc>
        <w:tc>
          <w:tcPr>
            <w:tcW w:w="1276" w:type="dxa"/>
            <w:tcBorders>
              <w:top w:val="single" w:color="000000" w:sz="6" w:space="0"/>
              <w:left w:val="single" w:color="000000" w:sz="6" w:space="0"/>
              <w:right w:val="single" w:color="000000" w:sz="6" w:space="0"/>
            </w:tcBorders>
          </w:tcPr>
          <w:p>
            <w:pPr>
              <w:pStyle w:val="17"/>
              <w:rPr>
                <w:rFonts w:ascii="Times New Roman"/>
                <w:sz w:val="20"/>
              </w:rPr>
            </w:pPr>
          </w:p>
        </w:tc>
        <w:tc>
          <w:tcPr>
            <w:tcW w:w="1134" w:type="dxa"/>
            <w:tcBorders>
              <w:top w:val="single" w:color="000000" w:sz="6" w:space="0"/>
              <w:left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tcBorders>
          </w:tcPr>
          <w:p>
            <w:pPr>
              <w:pStyle w:val="17"/>
              <w:rPr>
                <w:rFonts w:ascii="Times New Roman"/>
                <w:sz w:val="20"/>
              </w:rPr>
            </w:pPr>
          </w:p>
        </w:tc>
      </w:tr>
    </w:tbl>
    <w:p>
      <w:pPr>
        <w:spacing w:after="0"/>
        <w:rPr>
          <w:rFonts w:ascii="Times New Roman"/>
          <w:sz w:val="20"/>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75" o:spid="_x0000_s1175" o:spt="20" style="position:absolute;left:0pt;margin-left:62.4pt;margin-top:12.25pt;height:0pt;width:400.4pt;mso-position-horizontal-relative:page;z-index:25181798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7"/>
        <w:spacing w:before="67"/>
      </w:pPr>
      <w:bookmarkStart w:id="127" w:name="附件3："/>
      <w:bookmarkEnd w:id="127"/>
      <w:r>
        <w:t>附件 3：</w:t>
      </w:r>
    </w:p>
    <w:p>
      <w:pPr>
        <w:pStyle w:val="8"/>
        <w:spacing w:before="7"/>
        <w:rPr>
          <w:b/>
          <w:sz w:val="32"/>
        </w:rPr>
      </w:pPr>
    </w:p>
    <w:p>
      <w:pPr>
        <w:spacing w:before="0"/>
        <w:ind w:left="388" w:right="0" w:firstLine="0"/>
        <w:jc w:val="left"/>
        <w:rPr>
          <w:b/>
          <w:sz w:val="24"/>
        </w:rPr>
      </w:pPr>
      <w:bookmarkStart w:id="128" w:name="工程质量保修书"/>
      <w:bookmarkEnd w:id="128"/>
      <w:r>
        <w:rPr>
          <w:b/>
          <w:sz w:val="24"/>
        </w:rPr>
        <w:t>工程质量保修书</w:t>
      </w:r>
    </w:p>
    <w:p>
      <w:pPr>
        <w:pStyle w:val="8"/>
        <w:spacing w:before="10"/>
        <w:rPr>
          <w:b/>
          <w:sz w:val="32"/>
        </w:rPr>
      </w:pPr>
    </w:p>
    <w:p>
      <w:pPr>
        <w:pStyle w:val="8"/>
        <w:spacing w:line="364" w:lineRule="auto"/>
        <w:ind w:left="812" w:right="7812"/>
      </w:pPr>
      <w:r>
        <w:t>发包人（全称）： 承包人（全称）：</w:t>
      </w:r>
    </w:p>
    <w:p>
      <w:pPr>
        <w:pStyle w:val="8"/>
        <w:tabs>
          <w:tab w:val="left" w:pos="3747"/>
        </w:tabs>
        <w:spacing w:before="1" w:line="362" w:lineRule="auto"/>
        <w:ind w:left="388" w:right="852" w:firstLine="904"/>
      </w:pPr>
      <w:r>
        <w:t>发包人和承包人根据《中华人民共和国建筑法》和《建设工程质量管理条例》</w:t>
      </w:r>
      <w:r>
        <w:rPr>
          <w:spacing w:val="-17"/>
        </w:rPr>
        <w:t xml:space="preserve">， </w:t>
      </w:r>
      <w:r>
        <w:t>经协商一致就</w:t>
      </w:r>
      <w:r>
        <w:tab/>
      </w:r>
      <w:r>
        <w:t>（工程全称）签订工程质量保修书。</w:t>
      </w:r>
    </w:p>
    <w:p>
      <w:pPr>
        <w:pStyle w:val="8"/>
        <w:spacing w:before="5"/>
        <w:ind w:left="812"/>
      </w:pPr>
      <w:r>
        <w:t>一、工程质量保修范围和内容</w:t>
      </w:r>
    </w:p>
    <w:p>
      <w:pPr>
        <w:pStyle w:val="8"/>
        <w:spacing w:before="158" w:line="364" w:lineRule="auto"/>
        <w:ind w:left="1292" w:right="581"/>
      </w:pPr>
      <w:r>
        <w:t>承包人在质量保修期内，按照有关法律规定和合同约定，承担工程质量保修责任。质量保修范围包括地基基础工程、主体结构工程，屋面防水工程、房间和外墙面</w:t>
      </w:r>
    </w:p>
    <w:p>
      <w:pPr>
        <w:pStyle w:val="8"/>
        <w:spacing w:line="364" w:lineRule="auto"/>
        <w:ind w:left="388" w:right="798"/>
      </w:pPr>
      <w:r>
        <w:t>的防渗漏，电气管线、给排水管道、设备安装和装修工程，以及双方约定的其他项目。具体保修的内容，双方约定如下：</w:t>
      </w:r>
    </w:p>
    <w:p>
      <w:pPr>
        <w:pStyle w:val="8"/>
        <w:spacing w:before="2"/>
        <w:rPr>
          <w:sz w:val="17"/>
        </w:rPr>
      </w:pPr>
      <w:r>
        <w:pict>
          <v:line id="_x0000_s1176" o:spid="_x0000_s1176" o:spt="20" style="position:absolute;left:0pt;margin-left:84.15pt;margin-top:13.25pt;height:0pt;width:448.8pt;mso-position-horizontal-relative:page;mso-wrap-distance-bottom:0pt;mso-wrap-distance-top:0pt;z-index:-251501568;mso-width-relative:page;mso-height-relative:page;" stroked="t" coordsize="21600,21600">
            <v:path arrowok="t"/>
            <v:fill focussize="0,0"/>
            <v:stroke weight="0.6pt" color="#000000"/>
            <v:imagedata o:title=""/>
            <o:lock v:ext="edit"/>
            <w10:wrap type="topAndBottom"/>
          </v:line>
        </w:pict>
      </w:r>
    </w:p>
    <w:p>
      <w:pPr>
        <w:pStyle w:val="8"/>
        <w:rPr>
          <w:sz w:val="20"/>
        </w:rPr>
      </w:pPr>
    </w:p>
    <w:p>
      <w:pPr>
        <w:pStyle w:val="8"/>
        <w:rPr>
          <w:sz w:val="10"/>
        </w:rPr>
      </w:pPr>
      <w:r>
        <w:pict>
          <v:line id="_x0000_s1177" o:spid="_x0000_s1177" o:spt="20" style="position:absolute;left:0pt;margin-left:69pt;margin-top:8.65pt;height:0pt;width:464pt;mso-position-horizontal-relative:page;mso-wrap-distance-bottom:0pt;mso-wrap-distance-top:0pt;z-index:-251500544;mso-width-relative:page;mso-height-relative:page;" stroked="t" coordsize="21600,21600">
            <v:path arrowok="t"/>
            <v:fill focussize="0,0"/>
            <v:stroke weight="0.6pt" color="#000000"/>
            <v:imagedata o:title=""/>
            <o:lock v:ext="edit"/>
            <w10:wrap type="topAndBottom"/>
          </v:line>
        </w:pict>
      </w:r>
    </w:p>
    <w:p>
      <w:pPr>
        <w:pStyle w:val="8"/>
        <w:rPr>
          <w:sz w:val="20"/>
        </w:rPr>
      </w:pPr>
    </w:p>
    <w:p>
      <w:pPr>
        <w:pStyle w:val="8"/>
        <w:spacing w:before="3"/>
        <w:rPr>
          <w:sz w:val="10"/>
        </w:rPr>
      </w:pPr>
      <w:r>
        <w:pict>
          <v:line id="_x0000_s1178" o:spid="_x0000_s1178" o:spt="20" style="position:absolute;left:0pt;margin-left:69pt;margin-top:8.8pt;height:0pt;width:462pt;mso-position-horizontal-relative:page;mso-wrap-distance-bottom:0pt;mso-wrap-distance-top:0pt;z-index:-251499520;mso-width-relative:page;mso-height-relative:page;" stroked="t" coordsize="21600,21600">
            <v:path arrowok="t"/>
            <v:fill focussize="0,0"/>
            <v:stroke weight="0.6pt" color="#000000"/>
            <v:imagedata o:title=""/>
            <o:lock v:ext="edit"/>
            <w10:wrap type="topAndBottom"/>
          </v:line>
        </w:pict>
      </w:r>
    </w:p>
    <w:p>
      <w:pPr>
        <w:pStyle w:val="8"/>
        <w:spacing w:before="2"/>
        <w:rPr>
          <w:sz w:val="7"/>
        </w:rPr>
      </w:pPr>
    </w:p>
    <w:p>
      <w:pPr>
        <w:pStyle w:val="8"/>
        <w:tabs>
          <w:tab w:val="left" w:pos="7359"/>
        </w:tabs>
        <w:spacing w:before="74" w:line="364" w:lineRule="auto"/>
        <w:ind w:left="812" w:right="2946" w:hanging="293"/>
      </w:pP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r>
        <w:rPr>
          <w:spacing w:val="-18"/>
        </w:rPr>
        <w:t>。</w:t>
      </w:r>
      <w:r>
        <w:t>二、质量保修期</w:t>
      </w:r>
    </w:p>
    <w:p>
      <w:pPr>
        <w:pStyle w:val="8"/>
        <w:spacing w:line="362" w:lineRule="auto"/>
        <w:ind w:left="812" w:right="2158"/>
      </w:pPr>
      <w:r>
        <w:t>根据《建设工程质量管理条例》及有关规定，工程的质量保修期如下： 1．地基基础工程和主体结构工程为设计文件规定的工程合理使用年限；</w:t>
      </w:r>
    </w:p>
    <w:p>
      <w:pPr>
        <w:pStyle w:val="16"/>
        <w:numPr>
          <w:ilvl w:val="0"/>
          <w:numId w:val="115"/>
        </w:numPr>
        <w:tabs>
          <w:tab w:val="left" w:pos="1174"/>
        </w:tabs>
        <w:spacing w:before="4" w:after="0" w:line="240" w:lineRule="auto"/>
        <w:ind w:left="1173" w:right="0" w:hanging="362"/>
        <w:jc w:val="left"/>
        <w:rPr>
          <w:sz w:val="24"/>
        </w:rPr>
      </w:pPr>
      <w:r>
        <w:rPr>
          <w:sz w:val="24"/>
        </w:rPr>
        <w:t>屋面防水工程、房间和外墙面的防渗为年；</w:t>
      </w:r>
    </w:p>
    <w:p>
      <w:pPr>
        <w:pStyle w:val="16"/>
        <w:numPr>
          <w:ilvl w:val="0"/>
          <w:numId w:val="115"/>
        </w:numPr>
        <w:tabs>
          <w:tab w:val="left" w:pos="1174"/>
        </w:tabs>
        <w:spacing w:before="158" w:after="0" w:line="240" w:lineRule="auto"/>
        <w:ind w:left="1173" w:right="0" w:hanging="362"/>
        <w:jc w:val="left"/>
        <w:rPr>
          <w:sz w:val="24"/>
        </w:rPr>
      </w:pPr>
      <w:r>
        <w:rPr>
          <w:sz w:val="24"/>
        </w:rPr>
        <w:t>装修工程为年；</w:t>
      </w:r>
    </w:p>
    <w:p>
      <w:pPr>
        <w:pStyle w:val="16"/>
        <w:numPr>
          <w:ilvl w:val="0"/>
          <w:numId w:val="115"/>
        </w:numPr>
        <w:tabs>
          <w:tab w:val="left" w:pos="1174"/>
        </w:tabs>
        <w:spacing w:before="160" w:after="0" w:line="240" w:lineRule="auto"/>
        <w:ind w:left="1173" w:right="0" w:hanging="362"/>
        <w:jc w:val="left"/>
        <w:rPr>
          <w:sz w:val="24"/>
        </w:rPr>
      </w:pPr>
      <w:r>
        <w:rPr>
          <w:sz w:val="24"/>
        </w:rPr>
        <w:t>电气管线、给排水管道、设备安装工程为年；</w:t>
      </w:r>
    </w:p>
    <w:p>
      <w:pPr>
        <w:pStyle w:val="16"/>
        <w:numPr>
          <w:ilvl w:val="0"/>
          <w:numId w:val="115"/>
        </w:numPr>
        <w:tabs>
          <w:tab w:val="left" w:pos="1174"/>
        </w:tabs>
        <w:spacing w:before="161" w:after="0" w:line="240" w:lineRule="auto"/>
        <w:ind w:left="1173" w:right="0" w:hanging="362"/>
        <w:jc w:val="left"/>
        <w:rPr>
          <w:sz w:val="24"/>
        </w:rPr>
      </w:pPr>
      <w:r>
        <w:rPr>
          <w:sz w:val="24"/>
        </w:rPr>
        <w:t>其他项目保修期限约定如下：</w:t>
      </w:r>
    </w:p>
    <w:p>
      <w:pPr>
        <w:pStyle w:val="8"/>
      </w:pPr>
    </w:p>
    <w:p>
      <w:pPr>
        <w:pStyle w:val="8"/>
        <w:spacing w:before="11"/>
      </w:pPr>
    </w:p>
    <w:p>
      <w:pPr>
        <w:pStyle w:val="8"/>
        <w:ind w:left="1052"/>
      </w:pPr>
      <w:r>
        <w:t>质量保修期自工程竣工验收合格之日起计算。</w:t>
      </w:r>
    </w:p>
    <w:p>
      <w:pPr>
        <w:spacing w:after="0"/>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79" o:spid="_x0000_s1179" o:spt="20" style="position:absolute;left:0pt;margin-left:62.4pt;margin-top:12.25pt;height:0pt;width:400.4pt;mso-position-horizontal-relative:page;z-index:25181900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812"/>
      </w:pPr>
      <w:r>
        <w:t>三、缺陷责任期</w:t>
      </w:r>
    </w:p>
    <w:p>
      <w:pPr>
        <w:pStyle w:val="8"/>
        <w:tabs>
          <w:tab w:val="left" w:pos="3812"/>
        </w:tabs>
        <w:spacing w:before="158" w:line="364" w:lineRule="auto"/>
        <w:ind w:left="388" w:right="744" w:firstLine="424"/>
      </w:pPr>
      <w:r>
        <w:t>工程缺陷责任期为</w:t>
      </w:r>
      <w:r>
        <w:tab/>
      </w:r>
      <w:r>
        <w:t>个月</w:t>
      </w:r>
      <w:r>
        <w:rPr>
          <w:spacing w:val="-8"/>
        </w:rPr>
        <w:t>，</w:t>
      </w:r>
      <w:r>
        <w:t>缺陷责任期自工程竣工验收合格之日起计算</w:t>
      </w:r>
      <w:r>
        <w:rPr>
          <w:spacing w:val="-5"/>
        </w:rPr>
        <w:t>。</w:t>
      </w:r>
      <w:r>
        <w:t>单</w:t>
      </w:r>
      <w:r>
        <w:rPr>
          <w:spacing w:val="-16"/>
        </w:rPr>
        <w:t>位</w:t>
      </w:r>
      <w:r>
        <w:t>工程先于全部工程进行验收，单位工程缺陷责任期自单位工程验收合格之日起算。</w:t>
      </w:r>
    </w:p>
    <w:p>
      <w:pPr>
        <w:pStyle w:val="8"/>
        <w:spacing w:line="364" w:lineRule="auto"/>
        <w:ind w:left="812" w:right="3972"/>
      </w:pPr>
      <w:r>
        <w:t>缺陷责任期终止后，发包人应退还剩余的质量保证金。四、质量保修责任</w:t>
      </w:r>
    </w:p>
    <w:p>
      <w:pPr>
        <w:pStyle w:val="16"/>
        <w:numPr>
          <w:ilvl w:val="0"/>
          <w:numId w:val="116"/>
        </w:numPr>
        <w:tabs>
          <w:tab w:val="left" w:pos="1174"/>
        </w:tabs>
        <w:spacing w:before="0" w:after="0" w:line="364" w:lineRule="auto"/>
        <w:ind w:left="388" w:right="732" w:firstLine="424"/>
        <w:jc w:val="left"/>
        <w:rPr>
          <w:sz w:val="24"/>
        </w:rPr>
      </w:pPr>
      <w:r>
        <w:rPr>
          <w:spacing w:val="-3"/>
          <w:sz w:val="24"/>
        </w:rPr>
        <w:t xml:space="preserve">属于保修范围、内容的项目，承包人应当在接到保修通知之日起 </w:t>
      </w:r>
      <w:r>
        <w:rPr>
          <w:sz w:val="24"/>
        </w:rPr>
        <w:t>7</w:t>
      </w:r>
      <w:r>
        <w:rPr>
          <w:spacing w:val="-10"/>
          <w:sz w:val="24"/>
        </w:rPr>
        <w:t xml:space="preserve"> 天内派人保修。</w:t>
      </w:r>
      <w:r>
        <w:rPr>
          <w:sz w:val="24"/>
        </w:rPr>
        <w:t>承包人不在约定期限内派人保修的，发包人可以委托他人修理。</w:t>
      </w:r>
    </w:p>
    <w:p>
      <w:pPr>
        <w:pStyle w:val="16"/>
        <w:numPr>
          <w:ilvl w:val="0"/>
          <w:numId w:val="116"/>
        </w:numPr>
        <w:tabs>
          <w:tab w:val="left" w:pos="1174"/>
        </w:tabs>
        <w:spacing w:before="0" w:after="0" w:line="240" w:lineRule="auto"/>
        <w:ind w:left="1173" w:right="0" w:hanging="362"/>
        <w:jc w:val="left"/>
        <w:rPr>
          <w:sz w:val="24"/>
        </w:rPr>
      </w:pPr>
      <w:r>
        <w:rPr>
          <w:sz w:val="24"/>
        </w:rPr>
        <w:t>发生紧急事故需抢修的，承包人在接到事故通知后，应当立即到达事故现场抢修。</w:t>
      </w:r>
    </w:p>
    <w:p>
      <w:pPr>
        <w:pStyle w:val="16"/>
        <w:numPr>
          <w:ilvl w:val="0"/>
          <w:numId w:val="116"/>
        </w:numPr>
        <w:tabs>
          <w:tab w:val="left" w:pos="1174"/>
        </w:tabs>
        <w:spacing w:before="157" w:after="0" w:line="364" w:lineRule="auto"/>
        <w:ind w:left="388" w:right="744" w:firstLine="424"/>
        <w:jc w:val="both"/>
        <w:rPr>
          <w:sz w:val="24"/>
        </w:rPr>
      </w:pPr>
      <w:r>
        <w:rPr>
          <w:spacing w:val="-4"/>
          <w:sz w:val="24"/>
        </w:rPr>
        <w:t>对于涉及结构安全的质量问题，应当按照《建设工程质量管理条例》的规定，立即</w:t>
      </w:r>
      <w:r>
        <w:rPr>
          <w:sz w:val="24"/>
        </w:rPr>
        <w:t>向当地建设行政主管部门和有关部门报告，采取安全防范措施，并由原设计人或者具有相应资质等级的设计人提出保修方案，承包人实施保修。</w:t>
      </w:r>
    </w:p>
    <w:p>
      <w:pPr>
        <w:pStyle w:val="16"/>
        <w:numPr>
          <w:ilvl w:val="0"/>
          <w:numId w:val="116"/>
        </w:numPr>
        <w:tabs>
          <w:tab w:val="left" w:pos="1174"/>
        </w:tabs>
        <w:spacing w:before="0" w:after="0" w:line="362" w:lineRule="auto"/>
        <w:ind w:left="812" w:right="5292" w:firstLine="0"/>
        <w:jc w:val="left"/>
        <w:outlineLvl w:val="2"/>
        <w:rPr>
          <w:sz w:val="24"/>
        </w:rPr>
      </w:pPr>
      <w:r>
        <w:rPr>
          <w:spacing w:val="-1"/>
          <w:sz w:val="24"/>
        </w:rPr>
        <w:t>质量保修完成后，由发包人组织验收。</w:t>
      </w:r>
      <w:r>
        <w:rPr>
          <w:sz w:val="24"/>
        </w:rPr>
        <w:t>五、保修费用</w:t>
      </w:r>
    </w:p>
    <w:p>
      <w:pPr>
        <w:pStyle w:val="8"/>
        <w:spacing w:before="4" w:line="362" w:lineRule="auto"/>
        <w:ind w:left="812" w:right="4932" w:firstLine="480"/>
      </w:pPr>
      <w:r>
        <w:t>保修费用由造成质量缺陷的责任方承担。六、双方约定的其他工程质量保修事项：</w:t>
      </w:r>
    </w:p>
    <w:p>
      <w:pPr>
        <w:pStyle w:val="8"/>
      </w:pPr>
    </w:p>
    <w:p>
      <w:pPr>
        <w:pStyle w:val="8"/>
        <w:spacing w:before="163"/>
        <w:ind w:left="5308"/>
      </w:pPr>
      <w:r>
        <w:t>。</w:t>
      </w:r>
    </w:p>
    <w:p>
      <w:pPr>
        <w:pStyle w:val="8"/>
        <w:spacing w:before="161" w:line="362" w:lineRule="auto"/>
        <w:ind w:left="388" w:right="852" w:firstLine="424"/>
      </w:pPr>
      <w:r>
        <w:t>工程质量保修书由发包人、承包人在工程竣工验收前共同签署，作为施工合同附件， 其有效期限至保修期满。</w:t>
      </w:r>
    </w:p>
    <w:p>
      <w:pPr>
        <w:pStyle w:val="8"/>
        <w:tabs>
          <w:tab w:val="left" w:pos="8492"/>
        </w:tabs>
        <w:spacing w:before="5"/>
        <w:ind w:left="812"/>
      </w:pPr>
      <w:r>
        <w:t>发包人(公章)：</w:t>
      </w:r>
      <w:r>
        <w:tab/>
      </w:r>
      <w:r>
        <w:t>承包人(公</w:t>
      </w:r>
    </w:p>
    <w:p>
      <w:pPr>
        <w:pStyle w:val="8"/>
        <w:spacing w:before="158"/>
        <w:ind w:left="388"/>
      </w:pPr>
      <w:r>
        <w:t>章)：</w:t>
      </w:r>
    </w:p>
    <w:p>
      <w:pPr>
        <w:pStyle w:val="8"/>
        <w:tabs>
          <w:tab w:val="left" w:pos="1292"/>
          <w:tab w:val="left" w:pos="8365"/>
          <w:tab w:val="left" w:pos="8845"/>
        </w:tabs>
        <w:spacing w:before="160"/>
        <w:ind w:left="812"/>
      </w:pPr>
      <w:r>
        <w:t>地</w:t>
      </w:r>
      <w:r>
        <w:tab/>
      </w:r>
      <w:r>
        <w:t>址：</w:t>
      </w:r>
      <w:r>
        <w:tab/>
      </w:r>
      <w:r>
        <w:t>地</w:t>
      </w:r>
      <w:r>
        <w:tab/>
      </w:r>
      <w:r>
        <w:t>址：</w:t>
      </w:r>
    </w:p>
    <w:p>
      <w:pPr>
        <w:pStyle w:val="8"/>
      </w:pPr>
    </w:p>
    <w:p>
      <w:pPr>
        <w:pStyle w:val="8"/>
        <w:spacing w:before="11"/>
      </w:pPr>
    </w:p>
    <w:p>
      <w:pPr>
        <w:pStyle w:val="8"/>
        <w:tabs>
          <w:tab w:val="left" w:pos="8240"/>
        </w:tabs>
        <w:ind w:left="812"/>
      </w:pPr>
      <w:r>
        <w:t>法定代表人(签字)：</w:t>
      </w:r>
      <w:r>
        <w:tab/>
      </w:r>
      <w:r>
        <w:t>法定代表人(签</w:t>
      </w:r>
    </w:p>
    <w:p>
      <w:pPr>
        <w:pStyle w:val="8"/>
        <w:spacing w:before="161"/>
        <w:ind w:left="388"/>
      </w:pPr>
      <w:r>
        <w:t>字)：</w:t>
      </w:r>
    </w:p>
    <w:p>
      <w:pPr>
        <w:pStyle w:val="8"/>
        <w:tabs>
          <w:tab w:val="left" w:pos="8240"/>
        </w:tabs>
        <w:spacing w:before="158"/>
        <w:ind w:left="812"/>
      </w:pPr>
      <w:r>
        <w:t>委托代理人(签字)：</w:t>
      </w:r>
      <w:r>
        <w:tab/>
      </w:r>
      <w:r>
        <w:t>委托代理人(签</w:t>
      </w:r>
    </w:p>
    <w:p>
      <w:pPr>
        <w:pStyle w:val="8"/>
        <w:spacing w:before="158"/>
        <w:ind w:left="388"/>
      </w:pPr>
      <w:r>
        <w:t>字)：</w:t>
      </w:r>
    </w:p>
    <w:p>
      <w:pPr>
        <w:pStyle w:val="8"/>
        <w:tabs>
          <w:tab w:val="left" w:pos="1292"/>
          <w:tab w:val="left" w:pos="8125"/>
          <w:tab w:val="left" w:pos="8605"/>
        </w:tabs>
        <w:spacing w:before="161"/>
        <w:ind w:left="812"/>
      </w:pPr>
      <w:r>
        <w:t>电</w:t>
      </w:r>
      <w:r>
        <w:tab/>
      </w:r>
      <w:r>
        <w:t>话：</w:t>
      </w:r>
      <w:r>
        <w:tab/>
      </w:r>
      <w:r>
        <w:t>电</w:t>
      </w:r>
      <w:r>
        <w:tab/>
      </w:r>
      <w:r>
        <w:t>话：</w:t>
      </w:r>
    </w:p>
    <w:p>
      <w:pPr>
        <w:spacing w:after="0"/>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80" o:spid="_x0000_s1180" o:spt="20" style="position:absolute;left:0pt;margin-left:62.4pt;margin-top:12.25pt;height:0pt;width:400.4pt;mso-position-horizontal-relative:page;z-index:25182003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tabs>
          <w:tab w:val="left" w:pos="1292"/>
          <w:tab w:val="left" w:pos="8125"/>
          <w:tab w:val="left" w:pos="8605"/>
        </w:tabs>
        <w:spacing w:before="67"/>
        <w:ind w:left="812"/>
      </w:pPr>
      <w:r>
        <w:t>传</w:t>
      </w:r>
      <w:r>
        <w:tab/>
      </w:r>
      <w:r>
        <w:t>真：</w:t>
      </w:r>
      <w:r>
        <w:tab/>
      </w:r>
      <w:r>
        <w:t>传</w:t>
      </w:r>
      <w:r>
        <w:tab/>
      </w:r>
      <w:r>
        <w:t>真：</w:t>
      </w:r>
    </w:p>
    <w:p>
      <w:pPr>
        <w:pStyle w:val="8"/>
      </w:pPr>
    </w:p>
    <w:p>
      <w:pPr>
        <w:pStyle w:val="8"/>
        <w:spacing w:before="11"/>
      </w:pPr>
    </w:p>
    <w:p>
      <w:pPr>
        <w:pStyle w:val="8"/>
        <w:tabs>
          <w:tab w:val="left" w:pos="8012"/>
        </w:tabs>
        <w:ind w:left="812"/>
      </w:pPr>
      <w:r>
        <w:t>开户银行：</w:t>
      </w:r>
      <w:r>
        <w:tab/>
      </w:r>
      <w:r>
        <w:t>开户银行：</w:t>
      </w:r>
    </w:p>
    <w:p>
      <w:pPr>
        <w:pStyle w:val="8"/>
      </w:pPr>
    </w:p>
    <w:p>
      <w:pPr>
        <w:pStyle w:val="8"/>
        <w:spacing w:before="11"/>
      </w:pPr>
    </w:p>
    <w:p>
      <w:pPr>
        <w:pStyle w:val="8"/>
        <w:tabs>
          <w:tab w:val="left" w:pos="1292"/>
          <w:tab w:val="left" w:pos="8612"/>
          <w:tab w:val="left" w:pos="9092"/>
        </w:tabs>
        <w:ind w:left="812"/>
      </w:pPr>
      <w:r>
        <w:t>账</w:t>
      </w:r>
      <w:r>
        <w:tab/>
      </w:r>
      <w:r>
        <w:t>号：</w:t>
      </w:r>
      <w:r>
        <w:tab/>
      </w:r>
      <w:r>
        <w:t>账</w:t>
      </w:r>
      <w:r>
        <w:tab/>
      </w:r>
      <w:r>
        <w:t>号：</w:t>
      </w:r>
    </w:p>
    <w:p>
      <w:pPr>
        <w:spacing w:after="0"/>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81" o:spid="_x0000_s1181" o:spt="20" style="position:absolute;left:0pt;margin-left:62.4pt;margin-top:12.25pt;height:0pt;width:400.4pt;mso-position-horizontal-relative:page;z-index:251821056;mso-width-relative:page;mso-height-relative:page;" stroked="t" coordsize="21600,21600">
            <v:path arrowok="t"/>
            <v:fill focussize="0,0"/>
            <v:stroke weight="0.36pt" color="#000000"/>
            <v:imagedata o:title=""/>
            <o:lock v:ext="edit"/>
          </v:line>
        </w:pict>
      </w:r>
      <w:bookmarkStart w:id="129" w:name="附件5："/>
      <w:bookmarkEnd w:id="129"/>
      <w:r>
        <w:rPr>
          <w:rFonts w:hint="eastAsia"/>
          <w:sz w:val="18"/>
          <w:lang w:eastAsia="zh-CN"/>
        </w:rPr>
        <w:t xml:space="preserve"> </w:t>
      </w:r>
    </w:p>
    <w:p>
      <w:pPr>
        <w:pStyle w:val="8"/>
        <w:spacing w:before="6"/>
        <w:rPr>
          <w:sz w:val="25"/>
        </w:rPr>
      </w:pPr>
    </w:p>
    <w:p>
      <w:pPr>
        <w:pStyle w:val="7"/>
        <w:spacing w:before="67"/>
        <w:outlineLvl w:val="0"/>
      </w:pPr>
      <w:bookmarkStart w:id="130" w:name="附件4："/>
      <w:bookmarkEnd w:id="130"/>
      <w:bookmarkStart w:id="131" w:name="_Toc3822"/>
      <w:r>
        <w:t>附件 4：</w:t>
      </w:r>
      <w:bookmarkEnd w:id="131"/>
    </w:p>
    <w:p>
      <w:pPr>
        <w:pStyle w:val="8"/>
        <w:spacing w:before="7"/>
        <w:rPr>
          <w:b/>
          <w:sz w:val="20"/>
        </w:rPr>
      </w:pPr>
    </w:p>
    <w:p>
      <w:pPr>
        <w:spacing w:before="0"/>
        <w:ind w:left="388" w:right="0" w:firstLine="0"/>
        <w:jc w:val="left"/>
        <w:rPr>
          <w:b/>
          <w:sz w:val="24"/>
        </w:rPr>
      </w:pPr>
      <w:bookmarkStart w:id="132" w:name="主要建设工程文件目录"/>
      <w:bookmarkEnd w:id="132"/>
      <w:r>
        <w:rPr>
          <w:b/>
          <w:sz w:val="24"/>
        </w:rPr>
        <w:t>主要建设工程文件目录</w:t>
      </w:r>
    </w:p>
    <w:p>
      <w:pPr>
        <w:pStyle w:val="8"/>
        <w:spacing w:before="6"/>
        <w:rPr>
          <w:b/>
          <w:sz w:val="20"/>
        </w:rPr>
      </w:pPr>
    </w:p>
    <w:tbl>
      <w:tblPr>
        <w:tblStyle w:val="13"/>
        <w:tblW w:w="0" w:type="auto"/>
        <w:tblInd w:w="58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953"/>
        <w:gridCol w:w="1276"/>
        <w:gridCol w:w="1450"/>
        <w:gridCol w:w="1243"/>
        <w:gridCol w:w="1450"/>
        <w:gridCol w:w="166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3" w:hRule="atLeast"/>
        </w:trPr>
        <w:tc>
          <w:tcPr>
            <w:tcW w:w="1953" w:type="dxa"/>
            <w:tcBorders>
              <w:bottom w:val="double" w:color="000000" w:sz="2" w:space="0"/>
              <w:right w:val="single" w:color="000000" w:sz="6" w:space="0"/>
            </w:tcBorders>
          </w:tcPr>
          <w:p>
            <w:pPr>
              <w:pStyle w:val="17"/>
              <w:spacing w:before="108"/>
              <w:ind w:left="495"/>
              <w:rPr>
                <w:sz w:val="24"/>
              </w:rPr>
            </w:pPr>
            <w:r>
              <w:rPr>
                <w:sz w:val="24"/>
              </w:rPr>
              <w:t>文件名称</w:t>
            </w:r>
          </w:p>
        </w:tc>
        <w:tc>
          <w:tcPr>
            <w:tcW w:w="1276" w:type="dxa"/>
            <w:tcBorders>
              <w:left w:val="single" w:color="000000" w:sz="6" w:space="0"/>
              <w:bottom w:val="double" w:color="000000" w:sz="2" w:space="0"/>
              <w:right w:val="single" w:color="000000" w:sz="6" w:space="0"/>
            </w:tcBorders>
          </w:tcPr>
          <w:p>
            <w:pPr>
              <w:pStyle w:val="17"/>
              <w:spacing w:before="108"/>
              <w:ind w:left="404"/>
              <w:rPr>
                <w:sz w:val="24"/>
              </w:rPr>
            </w:pPr>
            <w:r>
              <w:rPr>
                <w:sz w:val="24"/>
              </w:rPr>
              <w:t>套数</w:t>
            </w:r>
          </w:p>
        </w:tc>
        <w:tc>
          <w:tcPr>
            <w:tcW w:w="1450" w:type="dxa"/>
            <w:tcBorders>
              <w:left w:val="single" w:color="000000" w:sz="6" w:space="0"/>
              <w:bottom w:val="double" w:color="000000" w:sz="2" w:space="0"/>
              <w:right w:val="single" w:color="000000" w:sz="6" w:space="0"/>
            </w:tcBorders>
          </w:tcPr>
          <w:p>
            <w:pPr>
              <w:pStyle w:val="17"/>
              <w:spacing w:before="108"/>
              <w:ind w:left="131"/>
              <w:rPr>
                <w:sz w:val="24"/>
              </w:rPr>
            </w:pPr>
            <w:r>
              <w:rPr>
                <w:sz w:val="24"/>
              </w:rPr>
              <w:t>费用（元）</w:t>
            </w:r>
          </w:p>
        </w:tc>
        <w:tc>
          <w:tcPr>
            <w:tcW w:w="1243" w:type="dxa"/>
            <w:tcBorders>
              <w:left w:val="single" w:color="000000" w:sz="6" w:space="0"/>
              <w:bottom w:val="double" w:color="000000" w:sz="2" w:space="0"/>
              <w:right w:val="single" w:color="000000" w:sz="6" w:space="0"/>
            </w:tcBorders>
          </w:tcPr>
          <w:p>
            <w:pPr>
              <w:pStyle w:val="17"/>
              <w:spacing w:before="108"/>
              <w:ind w:left="388"/>
              <w:rPr>
                <w:sz w:val="24"/>
              </w:rPr>
            </w:pPr>
            <w:r>
              <w:rPr>
                <w:sz w:val="24"/>
              </w:rPr>
              <w:t>质量</w:t>
            </w:r>
          </w:p>
        </w:tc>
        <w:tc>
          <w:tcPr>
            <w:tcW w:w="1450" w:type="dxa"/>
            <w:tcBorders>
              <w:left w:val="single" w:color="000000" w:sz="6" w:space="0"/>
              <w:bottom w:val="double" w:color="000000" w:sz="2" w:space="0"/>
              <w:right w:val="single" w:color="000000" w:sz="6" w:space="0"/>
            </w:tcBorders>
          </w:tcPr>
          <w:p>
            <w:pPr>
              <w:pStyle w:val="17"/>
              <w:spacing w:before="108"/>
              <w:ind w:left="251"/>
              <w:rPr>
                <w:sz w:val="24"/>
              </w:rPr>
            </w:pPr>
            <w:r>
              <w:rPr>
                <w:sz w:val="24"/>
              </w:rPr>
              <w:t>移交时间</w:t>
            </w:r>
          </w:p>
        </w:tc>
        <w:tc>
          <w:tcPr>
            <w:tcW w:w="1667" w:type="dxa"/>
            <w:tcBorders>
              <w:left w:val="single" w:color="000000" w:sz="6" w:space="0"/>
              <w:bottom w:val="double" w:color="000000" w:sz="2" w:space="0"/>
            </w:tcBorders>
          </w:tcPr>
          <w:p>
            <w:pPr>
              <w:pStyle w:val="17"/>
              <w:spacing w:before="108"/>
              <w:ind w:left="479"/>
              <w:rPr>
                <w:sz w:val="24"/>
              </w:rPr>
            </w:pPr>
            <w:r>
              <w:rPr>
                <w:sz w:val="24"/>
              </w:rPr>
              <w:t>责任人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953" w:type="dxa"/>
            <w:tcBorders>
              <w:top w:val="double" w:color="000000" w:sz="2" w:space="0"/>
              <w:bottom w:val="single" w:color="000000" w:sz="6" w:space="0"/>
              <w:right w:val="single" w:color="000000" w:sz="6" w:space="0"/>
            </w:tcBorders>
          </w:tcPr>
          <w:p>
            <w:pPr>
              <w:pStyle w:val="17"/>
              <w:rPr>
                <w:rFonts w:ascii="Times New Roman"/>
                <w:sz w:val="20"/>
              </w:rPr>
            </w:pPr>
          </w:p>
        </w:tc>
        <w:tc>
          <w:tcPr>
            <w:tcW w:w="1276"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243"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667" w:type="dxa"/>
            <w:tcBorders>
              <w:top w:val="double" w:color="000000" w:sz="2"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953" w:type="dxa"/>
            <w:tcBorders>
              <w:top w:val="single" w:color="000000" w:sz="6" w:space="0"/>
              <w:bottom w:val="single" w:color="000000" w:sz="6" w:space="0"/>
              <w:right w:val="single" w:color="000000" w:sz="6" w:space="0"/>
            </w:tcBorders>
          </w:tcPr>
          <w:p>
            <w:pPr>
              <w:pStyle w:val="17"/>
              <w:rPr>
                <w:rFonts w:ascii="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4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667"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953" w:type="dxa"/>
            <w:tcBorders>
              <w:top w:val="single" w:color="000000" w:sz="6" w:space="0"/>
              <w:bottom w:val="single" w:color="000000" w:sz="6" w:space="0"/>
              <w:right w:val="single" w:color="000000" w:sz="6" w:space="0"/>
            </w:tcBorders>
          </w:tcPr>
          <w:p>
            <w:pPr>
              <w:pStyle w:val="17"/>
              <w:rPr>
                <w:rFonts w:ascii="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4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667"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953" w:type="dxa"/>
            <w:tcBorders>
              <w:top w:val="single" w:color="000000" w:sz="6" w:space="0"/>
              <w:bottom w:val="single" w:color="000000" w:sz="6" w:space="0"/>
              <w:right w:val="single" w:color="000000" w:sz="6" w:space="0"/>
            </w:tcBorders>
          </w:tcPr>
          <w:p>
            <w:pPr>
              <w:pStyle w:val="17"/>
              <w:rPr>
                <w:rFonts w:ascii="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4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667"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953" w:type="dxa"/>
            <w:tcBorders>
              <w:top w:val="single" w:color="000000" w:sz="6" w:space="0"/>
              <w:bottom w:val="single" w:color="000000" w:sz="6" w:space="0"/>
              <w:right w:val="single" w:color="000000" w:sz="6" w:space="0"/>
            </w:tcBorders>
          </w:tcPr>
          <w:p>
            <w:pPr>
              <w:pStyle w:val="17"/>
              <w:rPr>
                <w:rFonts w:ascii="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4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667"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953" w:type="dxa"/>
            <w:tcBorders>
              <w:top w:val="single" w:color="000000" w:sz="6" w:space="0"/>
              <w:bottom w:val="single" w:color="000000" w:sz="6" w:space="0"/>
              <w:right w:val="single" w:color="000000" w:sz="6" w:space="0"/>
            </w:tcBorders>
          </w:tcPr>
          <w:p>
            <w:pPr>
              <w:pStyle w:val="17"/>
              <w:rPr>
                <w:rFonts w:ascii="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4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667"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953" w:type="dxa"/>
            <w:tcBorders>
              <w:top w:val="single" w:color="000000" w:sz="6" w:space="0"/>
              <w:bottom w:val="single" w:color="000000" w:sz="6" w:space="0"/>
              <w:right w:val="single" w:color="000000" w:sz="6" w:space="0"/>
            </w:tcBorders>
          </w:tcPr>
          <w:p>
            <w:pPr>
              <w:pStyle w:val="17"/>
              <w:rPr>
                <w:rFonts w:ascii="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4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667"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953" w:type="dxa"/>
            <w:tcBorders>
              <w:top w:val="single" w:color="000000" w:sz="6" w:space="0"/>
              <w:bottom w:val="single" w:color="000000" w:sz="6" w:space="0"/>
              <w:right w:val="single" w:color="000000" w:sz="6" w:space="0"/>
            </w:tcBorders>
          </w:tcPr>
          <w:p>
            <w:pPr>
              <w:pStyle w:val="17"/>
              <w:rPr>
                <w:rFonts w:ascii="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4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667"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953" w:type="dxa"/>
            <w:tcBorders>
              <w:top w:val="single" w:color="000000" w:sz="6" w:space="0"/>
              <w:bottom w:val="single" w:color="000000" w:sz="6" w:space="0"/>
              <w:right w:val="single" w:color="000000" w:sz="6" w:space="0"/>
            </w:tcBorders>
          </w:tcPr>
          <w:p>
            <w:pPr>
              <w:pStyle w:val="17"/>
              <w:rPr>
                <w:rFonts w:ascii="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4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667"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953" w:type="dxa"/>
            <w:tcBorders>
              <w:top w:val="single" w:color="000000" w:sz="6" w:space="0"/>
              <w:bottom w:val="single" w:color="000000" w:sz="6" w:space="0"/>
              <w:right w:val="single" w:color="000000" w:sz="6" w:space="0"/>
            </w:tcBorders>
          </w:tcPr>
          <w:p>
            <w:pPr>
              <w:pStyle w:val="17"/>
              <w:rPr>
                <w:rFonts w:ascii="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4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667"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953" w:type="dxa"/>
            <w:tcBorders>
              <w:top w:val="single" w:color="000000" w:sz="6" w:space="0"/>
              <w:bottom w:val="single" w:color="000000" w:sz="6" w:space="0"/>
              <w:right w:val="single" w:color="000000" w:sz="6" w:space="0"/>
            </w:tcBorders>
          </w:tcPr>
          <w:p>
            <w:pPr>
              <w:pStyle w:val="17"/>
              <w:rPr>
                <w:rFonts w:ascii="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4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667"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953" w:type="dxa"/>
            <w:tcBorders>
              <w:top w:val="single" w:color="000000" w:sz="6" w:space="0"/>
              <w:bottom w:val="single" w:color="000000" w:sz="6" w:space="0"/>
              <w:right w:val="single" w:color="000000" w:sz="6" w:space="0"/>
            </w:tcBorders>
          </w:tcPr>
          <w:p>
            <w:pPr>
              <w:pStyle w:val="17"/>
              <w:rPr>
                <w:rFonts w:ascii="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4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667"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953" w:type="dxa"/>
            <w:tcBorders>
              <w:top w:val="single" w:color="000000" w:sz="6" w:space="0"/>
              <w:bottom w:val="single" w:color="000000" w:sz="6" w:space="0"/>
              <w:right w:val="single" w:color="000000" w:sz="6" w:space="0"/>
            </w:tcBorders>
          </w:tcPr>
          <w:p>
            <w:pPr>
              <w:pStyle w:val="17"/>
              <w:rPr>
                <w:rFonts w:ascii="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4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667"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953" w:type="dxa"/>
            <w:tcBorders>
              <w:top w:val="single" w:color="000000" w:sz="6" w:space="0"/>
              <w:bottom w:val="single" w:color="000000" w:sz="6" w:space="0"/>
              <w:right w:val="single" w:color="000000" w:sz="6" w:space="0"/>
            </w:tcBorders>
          </w:tcPr>
          <w:p>
            <w:pPr>
              <w:pStyle w:val="17"/>
              <w:rPr>
                <w:rFonts w:ascii="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4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667"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953" w:type="dxa"/>
            <w:tcBorders>
              <w:top w:val="single" w:color="000000" w:sz="6" w:space="0"/>
              <w:bottom w:val="single" w:color="000000" w:sz="6" w:space="0"/>
              <w:right w:val="single" w:color="000000" w:sz="6" w:space="0"/>
            </w:tcBorders>
          </w:tcPr>
          <w:p>
            <w:pPr>
              <w:pStyle w:val="17"/>
              <w:rPr>
                <w:rFonts w:ascii="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4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667"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953" w:type="dxa"/>
            <w:tcBorders>
              <w:top w:val="single" w:color="000000" w:sz="6" w:space="0"/>
              <w:bottom w:val="single" w:color="000000" w:sz="6" w:space="0"/>
              <w:right w:val="single" w:color="000000" w:sz="6" w:space="0"/>
            </w:tcBorders>
          </w:tcPr>
          <w:p>
            <w:pPr>
              <w:pStyle w:val="17"/>
              <w:rPr>
                <w:rFonts w:ascii="Times New Roman"/>
                <w:sz w:val="20"/>
              </w:rPr>
            </w:pPr>
          </w:p>
        </w:tc>
        <w:tc>
          <w:tcPr>
            <w:tcW w:w="127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4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667"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953" w:type="dxa"/>
            <w:tcBorders>
              <w:top w:val="single" w:color="000000" w:sz="6" w:space="0"/>
              <w:right w:val="single" w:color="000000" w:sz="6" w:space="0"/>
            </w:tcBorders>
          </w:tcPr>
          <w:p>
            <w:pPr>
              <w:pStyle w:val="17"/>
              <w:rPr>
                <w:rFonts w:ascii="Times New Roman"/>
                <w:sz w:val="20"/>
              </w:rPr>
            </w:pPr>
          </w:p>
        </w:tc>
        <w:tc>
          <w:tcPr>
            <w:tcW w:w="1276" w:type="dxa"/>
            <w:tcBorders>
              <w:top w:val="single" w:color="000000" w:sz="6" w:space="0"/>
              <w:left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right w:val="single" w:color="000000" w:sz="6" w:space="0"/>
            </w:tcBorders>
          </w:tcPr>
          <w:p>
            <w:pPr>
              <w:pStyle w:val="17"/>
              <w:rPr>
                <w:rFonts w:ascii="Times New Roman"/>
                <w:sz w:val="20"/>
              </w:rPr>
            </w:pPr>
          </w:p>
        </w:tc>
        <w:tc>
          <w:tcPr>
            <w:tcW w:w="1243" w:type="dxa"/>
            <w:tcBorders>
              <w:top w:val="single" w:color="000000" w:sz="6" w:space="0"/>
              <w:left w:val="single" w:color="000000" w:sz="6" w:space="0"/>
              <w:right w:val="single" w:color="000000" w:sz="6" w:space="0"/>
            </w:tcBorders>
          </w:tcPr>
          <w:p>
            <w:pPr>
              <w:pStyle w:val="17"/>
              <w:rPr>
                <w:rFonts w:ascii="Times New Roman"/>
                <w:sz w:val="20"/>
              </w:rPr>
            </w:pPr>
          </w:p>
        </w:tc>
        <w:tc>
          <w:tcPr>
            <w:tcW w:w="1450" w:type="dxa"/>
            <w:tcBorders>
              <w:top w:val="single" w:color="000000" w:sz="6" w:space="0"/>
              <w:left w:val="single" w:color="000000" w:sz="6" w:space="0"/>
              <w:right w:val="single" w:color="000000" w:sz="6" w:space="0"/>
            </w:tcBorders>
          </w:tcPr>
          <w:p>
            <w:pPr>
              <w:pStyle w:val="17"/>
              <w:rPr>
                <w:rFonts w:ascii="Times New Roman"/>
                <w:sz w:val="20"/>
              </w:rPr>
            </w:pPr>
          </w:p>
        </w:tc>
        <w:tc>
          <w:tcPr>
            <w:tcW w:w="1667" w:type="dxa"/>
            <w:tcBorders>
              <w:top w:val="single" w:color="000000" w:sz="6" w:space="0"/>
              <w:left w:val="single" w:color="000000" w:sz="6" w:space="0"/>
            </w:tcBorders>
          </w:tcPr>
          <w:p>
            <w:pPr>
              <w:pStyle w:val="17"/>
              <w:rPr>
                <w:rFonts w:ascii="Times New Roman"/>
                <w:sz w:val="20"/>
              </w:rPr>
            </w:pPr>
          </w:p>
        </w:tc>
      </w:tr>
    </w:tbl>
    <w:p>
      <w:pPr>
        <w:spacing w:after="0"/>
        <w:rPr>
          <w:rFonts w:ascii="Times New Roman"/>
          <w:sz w:val="20"/>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82" o:spid="_x0000_s1182" o:spt="20" style="position:absolute;left:0pt;margin-left:62.4pt;margin-top:12.25pt;height:0pt;width:400.4pt;mso-position-horizontal-relative:page;z-index:25182208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7"/>
        <w:spacing w:before="67"/>
      </w:pPr>
      <w:r>
        <w:t>附件 5：</w:t>
      </w:r>
    </w:p>
    <w:p>
      <w:pPr>
        <w:pStyle w:val="8"/>
        <w:spacing w:before="7"/>
        <w:rPr>
          <w:b/>
          <w:sz w:val="20"/>
        </w:rPr>
      </w:pPr>
    </w:p>
    <w:p>
      <w:pPr>
        <w:spacing w:before="0"/>
        <w:ind w:left="388" w:right="0" w:firstLine="0"/>
        <w:jc w:val="left"/>
        <w:rPr>
          <w:b/>
          <w:sz w:val="24"/>
        </w:rPr>
      </w:pPr>
      <w:bookmarkStart w:id="133" w:name="承包人用于本工程施工的机械设备表"/>
      <w:bookmarkEnd w:id="133"/>
      <w:r>
        <w:rPr>
          <w:b/>
          <w:sz w:val="24"/>
        </w:rPr>
        <w:t>承包人用于本工程施工的机械设备表</w:t>
      </w:r>
    </w:p>
    <w:p>
      <w:pPr>
        <w:pStyle w:val="8"/>
        <w:spacing w:before="6"/>
        <w:rPr>
          <w:b/>
          <w:sz w:val="20"/>
        </w:rPr>
      </w:pPr>
    </w:p>
    <w:tbl>
      <w:tblPr>
        <w:tblStyle w:val="13"/>
        <w:tblW w:w="0" w:type="auto"/>
        <w:tblInd w:w="20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62"/>
        <w:gridCol w:w="1418"/>
        <w:gridCol w:w="850"/>
        <w:gridCol w:w="1058"/>
        <w:gridCol w:w="880"/>
        <w:gridCol w:w="1020"/>
        <w:gridCol w:w="1480"/>
        <w:gridCol w:w="1020"/>
        <w:gridCol w:w="92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932" w:hRule="atLeast"/>
        </w:trPr>
        <w:tc>
          <w:tcPr>
            <w:tcW w:w="1162" w:type="dxa"/>
            <w:tcBorders>
              <w:bottom w:val="double" w:color="000000" w:sz="2" w:space="0"/>
              <w:right w:val="single" w:color="000000" w:sz="6" w:space="0"/>
            </w:tcBorders>
          </w:tcPr>
          <w:p>
            <w:pPr>
              <w:pStyle w:val="17"/>
              <w:spacing w:before="2"/>
              <w:rPr>
                <w:b/>
                <w:sz w:val="18"/>
              </w:rPr>
            </w:pPr>
          </w:p>
          <w:p>
            <w:pPr>
              <w:pStyle w:val="17"/>
              <w:spacing w:before="1"/>
              <w:ind w:left="340"/>
              <w:rPr>
                <w:sz w:val="24"/>
              </w:rPr>
            </w:pPr>
            <w:r>
              <w:rPr>
                <w:sz w:val="24"/>
              </w:rPr>
              <w:t>序号</w:t>
            </w:r>
          </w:p>
        </w:tc>
        <w:tc>
          <w:tcPr>
            <w:tcW w:w="1418" w:type="dxa"/>
            <w:tcBorders>
              <w:left w:val="single" w:color="000000" w:sz="6" w:space="0"/>
              <w:bottom w:val="double" w:color="000000" w:sz="2" w:space="0"/>
              <w:right w:val="single" w:color="000000" w:sz="6" w:space="0"/>
            </w:tcBorders>
          </w:tcPr>
          <w:p>
            <w:pPr>
              <w:pStyle w:val="17"/>
              <w:ind w:left="96" w:right="66"/>
              <w:jc w:val="center"/>
              <w:rPr>
                <w:sz w:val="24"/>
              </w:rPr>
            </w:pPr>
            <w:r>
              <w:rPr>
                <w:sz w:val="24"/>
              </w:rPr>
              <w:t>机械或设备</w:t>
            </w:r>
          </w:p>
          <w:p>
            <w:pPr>
              <w:pStyle w:val="17"/>
              <w:spacing w:before="159"/>
              <w:ind w:left="96" w:right="66"/>
              <w:jc w:val="center"/>
              <w:rPr>
                <w:sz w:val="24"/>
              </w:rPr>
            </w:pPr>
            <w:r>
              <w:rPr>
                <w:sz w:val="24"/>
              </w:rPr>
              <w:t>名称</w:t>
            </w:r>
          </w:p>
        </w:tc>
        <w:tc>
          <w:tcPr>
            <w:tcW w:w="850" w:type="dxa"/>
            <w:tcBorders>
              <w:left w:val="single" w:color="000000" w:sz="6" w:space="0"/>
              <w:bottom w:val="double" w:color="000000" w:sz="2" w:space="0"/>
              <w:right w:val="single" w:color="000000" w:sz="6" w:space="0"/>
            </w:tcBorders>
          </w:tcPr>
          <w:p>
            <w:pPr>
              <w:pStyle w:val="17"/>
              <w:ind w:left="191"/>
              <w:rPr>
                <w:sz w:val="24"/>
              </w:rPr>
            </w:pPr>
            <w:r>
              <w:rPr>
                <w:sz w:val="24"/>
              </w:rPr>
              <w:t>规格</w:t>
            </w:r>
          </w:p>
          <w:p>
            <w:pPr>
              <w:pStyle w:val="17"/>
              <w:spacing w:before="159"/>
              <w:ind w:left="191"/>
              <w:rPr>
                <w:sz w:val="24"/>
              </w:rPr>
            </w:pPr>
            <w:r>
              <w:rPr>
                <w:sz w:val="24"/>
              </w:rPr>
              <w:t>型号</w:t>
            </w:r>
          </w:p>
        </w:tc>
        <w:tc>
          <w:tcPr>
            <w:tcW w:w="1058" w:type="dxa"/>
            <w:tcBorders>
              <w:left w:val="single" w:color="000000" w:sz="6" w:space="0"/>
              <w:bottom w:val="double" w:color="000000" w:sz="2" w:space="0"/>
              <w:right w:val="single" w:color="000000" w:sz="6" w:space="0"/>
            </w:tcBorders>
          </w:tcPr>
          <w:p>
            <w:pPr>
              <w:pStyle w:val="17"/>
              <w:spacing w:before="2"/>
              <w:rPr>
                <w:b/>
                <w:sz w:val="18"/>
              </w:rPr>
            </w:pPr>
          </w:p>
          <w:p>
            <w:pPr>
              <w:pStyle w:val="17"/>
              <w:spacing w:before="1"/>
              <w:ind w:left="296"/>
              <w:rPr>
                <w:sz w:val="24"/>
              </w:rPr>
            </w:pPr>
            <w:r>
              <w:rPr>
                <w:sz w:val="24"/>
              </w:rPr>
              <w:t>数量</w:t>
            </w:r>
          </w:p>
        </w:tc>
        <w:tc>
          <w:tcPr>
            <w:tcW w:w="880" w:type="dxa"/>
            <w:tcBorders>
              <w:left w:val="single" w:color="000000" w:sz="6" w:space="0"/>
              <w:bottom w:val="double" w:color="000000" w:sz="2" w:space="0"/>
              <w:right w:val="single" w:color="000000" w:sz="6" w:space="0"/>
            </w:tcBorders>
          </w:tcPr>
          <w:p>
            <w:pPr>
              <w:pStyle w:val="17"/>
              <w:spacing w:before="2"/>
              <w:rPr>
                <w:b/>
                <w:sz w:val="18"/>
              </w:rPr>
            </w:pPr>
          </w:p>
          <w:p>
            <w:pPr>
              <w:pStyle w:val="17"/>
              <w:spacing w:before="1"/>
              <w:ind w:left="205"/>
              <w:rPr>
                <w:sz w:val="24"/>
              </w:rPr>
            </w:pPr>
            <w:r>
              <w:rPr>
                <w:sz w:val="24"/>
              </w:rPr>
              <w:t>产地</w:t>
            </w:r>
          </w:p>
        </w:tc>
        <w:tc>
          <w:tcPr>
            <w:tcW w:w="1020" w:type="dxa"/>
            <w:tcBorders>
              <w:left w:val="single" w:color="000000" w:sz="6" w:space="0"/>
              <w:bottom w:val="double" w:color="000000" w:sz="2" w:space="0"/>
              <w:right w:val="single" w:color="000000" w:sz="6" w:space="0"/>
            </w:tcBorders>
          </w:tcPr>
          <w:p>
            <w:pPr>
              <w:pStyle w:val="17"/>
              <w:spacing w:before="2"/>
              <w:rPr>
                <w:b/>
                <w:sz w:val="18"/>
              </w:rPr>
            </w:pPr>
          </w:p>
          <w:p>
            <w:pPr>
              <w:pStyle w:val="17"/>
              <w:spacing w:before="1"/>
              <w:ind w:left="36"/>
              <w:rPr>
                <w:sz w:val="24"/>
              </w:rPr>
            </w:pPr>
            <w:r>
              <w:rPr>
                <w:sz w:val="24"/>
              </w:rPr>
              <w:t>制造年份</w:t>
            </w:r>
          </w:p>
        </w:tc>
        <w:tc>
          <w:tcPr>
            <w:tcW w:w="1480" w:type="dxa"/>
            <w:tcBorders>
              <w:left w:val="single" w:color="000000" w:sz="6" w:space="0"/>
              <w:bottom w:val="double" w:color="000000" w:sz="2" w:space="0"/>
              <w:right w:val="single" w:color="000000" w:sz="6" w:space="0"/>
            </w:tcBorders>
          </w:tcPr>
          <w:p>
            <w:pPr>
              <w:pStyle w:val="17"/>
              <w:ind w:left="246" w:right="218"/>
              <w:jc w:val="center"/>
              <w:rPr>
                <w:sz w:val="24"/>
              </w:rPr>
            </w:pPr>
            <w:r>
              <w:rPr>
                <w:sz w:val="24"/>
              </w:rPr>
              <w:t>额定功率</w:t>
            </w:r>
          </w:p>
          <w:p>
            <w:pPr>
              <w:pStyle w:val="17"/>
              <w:spacing w:before="159"/>
              <w:ind w:left="246" w:right="218"/>
              <w:jc w:val="center"/>
              <w:rPr>
                <w:sz w:val="24"/>
              </w:rPr>
            </w:pPr>
            <w:r>
              <w:rPr>
                <w:sz w:val="24"/>
              </w:rPr>
              <w:t>(kW)</w:t>
            </w:r>
          </w:p>
        </w:tc>
        <w:tc>
          <w:tcPr>
            <w:tcW w:w="1020" w:type="dxa"/>
            <w:tcBorders>
              <w:left w:val="single" w:color="000000" w:sz="6" w:space="0"/>
              <w:bottom w:val="double" w:color="000000" w:sz="2" w:space="0"/>
              <w:right w:val="single" w:color="000000" w:sz="6" w:space="0"/>
            </w:tcBorders>
          </w:tcPr>
          <w:p>
            <w:pPr>
              <w:pStyle w:val="17"/>
              <w:spacing w:before="2"/>
              <w:rPr>
                <w:b/>
                <w:sz w:val="18"/>
              </w:rPr>
            </w:pPr>
          </w:p>
          <w:p>
            <w:pPr>
              <w:pStyle w:val="17"/>
              <w:spacing w:before="1"/>
              <w:ind w:left="37"/>
              <w:rPr>
                <w:sz w:val="24"/>
              </w:rPr>
            </w:pPr>
            <w:r>
              <w:rPr>
                <w:sz w:val="24"/>
              </w:rPr>
              <w:t>生产能力</w:t>
            </w:r>
          </w:p>
        </w:tc>
        <w:tc>
          <w:tcPr>
            <w:tcW w:w="921" w:type="dxa"/>
            <w:tcBorders>
              <w:left w:val="single" w:color="000000" w:sz="6" w:space="0"/>
              <w:bottom w:val="double" w:color="000000" w:sz="2" w:space="0"/>
            </w:tcBorders>
          </w:tcPr>
          <w:p>
            <w:pPr>
              <w:pStyle w:val="17"/>
              <w:spacing w:before="2"/>
              <w:rPr>
                <w:b/>
                <w:sz w:val="18"/>
              </w:rPr>
            </w:pPr>
          </w:p>
          <w:p>
            <w:pPr>
              <w:pStyle w:val="17"/>
              <w:spacing w:before="1"/>
              <w:ind w:left="226"/>
              <w:rPr>
                <w:sz w:val="24"/>
              </w:rPr>
            </w:pPr>
            <w:r>
              <w:rPr>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162" w:type="dxa"/>
            <w:tcBorders>
              <w:top w:val="double" w:color="000000" w:sz="2" w:space="0"/>
              <w:bottom w:val="single" w:color="000000" w:sz="6" w:space="0"/>
              <w:right w:val="single" w:color="000000" w:sz="6" w:space="0"/>
            </w:tcBorders>
          </w:tcPr>
          <w:p>
            <w:pPr>
              <w:pStyle w:val="17"/>
              <w:rPr>
                <w:rFonts w:ascii="Times New Roman"/>
                <w:sz w:val="20"/>
              </w:rPr>
            </w:pPr>
          </w:p>
        </w:tc>
        <w:tc>
          <w:tcPr>
            <w:tcW w:w="1418"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850"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058"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880"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480"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921" w:type="dxa"/>
            <w:tcBorders>
              <w:top w:val="double" w:color="000000" w:sz="2"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162" w:type="dxa"/>
            <w:tcBorders>
              <w:top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92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162" w:type="dxa"/>
            <w:tcBorders>
              <w:top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92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162" w:type="dxa"/>
            <w:tcBorders>
              <w:top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92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162" w:type="dxa"/>
            <w:tcBorders>
              <w:top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92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162" w:type="dxa"/>
            <w:tcBorders>
              <w:top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92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162" w:type="dxa"/>
            <w:tcBorders>
              <w:top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92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162" w:type="dxa"/>
            <w:tcBorders>
              <w:top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92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162" w:type="dxa"/>
            <w:tcBorders>
              <w:top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92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162" w:type="dxa"/>
            <w:tcBorders>
              <w:top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92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162" w:type="dxa"/>
            <w:tcBorders>
              <w:top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92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162" w:type="dxa"/>
            <w:tcBorders>
              <w:top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92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162" w:type="dxa"/>
            <w:tcBorders>
              <w:top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92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162" w:type="dxa"/>
            <w:tcBorders>
              <w:top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92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162" w:type="dxa"/>
            <w:tcBorders>
              <w:top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92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162" w:type="dxa"/>
            <w:tcBorders>
              <w:top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92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162" w:type="dxa"/>
            <w:tcBorders>
              <w:top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5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92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162" w:type="dxa"/>
            <w:tcBorders>
              <w:top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right w:val="single" w:color="000000" w:sz="6" w:space="0"/>
            </w:tcBorders>
          </w:tcPr>
          <w:p>
            <w:pPr>
              <w:pStyle w:val="17"/>
              <w:rPr>
                <w:rFonts w:ascii="Times New Roman"/>
                <w:sz w:val="20"/>
              </w:rPr>
            </w:pPr>
          </w:p>
        </w:tc>
        <w:tc>
          <w:tcPr>
            <w:tcW w:w="850" w:type="dxa"/>
            <w:tcBorders>
              <w:top w:val="single" w:color="000000" w:sz="6" w:space="0"/>
              <w:left w:val="single" w:color="000000" w:sz="6" w:space="0"/>
              <w:right w:val="single" w:color="000000" w:sz="6" w:space="0"/>
            </w:tcBorders>
          </w:tcPr>
          <w:p>
            <w:pPr>
              <w:pStyle w:val="17"/>
              <w:rPr>
                <w:rFonts w:ascii="Times New Roman"/>
                <w:sz w:val="20"/>
              </w:rPr>
            </w:pPr>
          </w:p>
        </w:tc>
        <w:tc>
          <w:tcPr>
            <w:tcW w:w="1058" w:type="dxa"/>
            <w:tcBorders>
              <w:top w:val="single" w:color="000000" w:sz="6" w:space="0"/>
              <w:left w:val="single" w:color="000000" w:sz="6" w:space="0"/>
              <w:right w:val="single" w:color="000000" w:sz="6" w:space="0"/>
            </w:tcBorders>
          </w:tcPr>
          <w:p>
            <w:pPr>
              <w:pStyle w:val="17"/>
              <w:rPr>
                <w:rFonts w:ascii="Times New Roman"/>
                <w:sz w:val="20"/>
              </w:rPr>
            </w:pPr>
          </w:p>
        </w:tc>
        <w:tc>
          <w:tcPr>
            <w:tcW w:w="880" w:type="dxa"/>
            <w:tcBorders>
              <w:top w:val="single" w:color="000000" w:sz="6" w:space="0"/>
              <w:left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right w:val="single" w:color="000000" w:sz="6" w:space="0"/>
            </w:tcBorders>
          </w:tcPr>
          <w:p>
            <w:pPr>
              <w:pStyle w:val="17"/>
              <w:rPr>
                <w:rFonts w:ascii="Times New Roman"/>
                <w:sz w:val="20"/>
              </w:rPr>
            </w:pPr>
          </w:p>
        </w:tc>
        <w:tc>
          <w:tcPr>
            <w:tcW w:w="1480" w:type="dxa"/>
            <w:tcBorders>
              <w:top w:val="single" w:color="000000" w:sz="6" w:space="0"/>
              <w:left w:val="single" w:color="000000" w:sz="6" w:space="0"/>
              <w:right w:val="single" w:color="000000" w:sz="6" w:space="0"/>
            </w:tcBorders>
          </w:tcPr>
          <w:p>
            <w:pPr>
              <w:pStyle w:val="17"/>
              <w:rPr>
                <w:rFonts w:ascii="Times New Roman"/>
                <w:sz w:val="20"/>
              </w:rPr>
            </w:pPr>
          </w:p>
        </w:tc>
        <w:tc>
          <w:tcPr>
            <w:tcW w:w="1020" w:type="dxa"/>
            <w:tcBorders>
              <w:top w:val="single" w:color="000000" w:sz="6" w:space="0"/>
              <w:left w:val="single" w:color="000000" w:sz="6" w:space="0"/>
              <w:right w:val="single" w:color="000000" w:sz="6" w:space="0"/>
            </w:tcBorders>
          </w:tcPr>
          <w:p>
            <w:pPr>
              <w:pStyle w:val="17"/>
              <w:rPr>
                <w:rFonts w:ascii="Times New Roman"/>
                <w:sz w:val="20"/>
              </w:rPr>
            </w:pPr>
          </w:p>
        </w:tc>
        <w:tc>
          <w:tcPr>
            <w:tcW w:w="921" w:type="dxa"/>
            <w:tcBorders>
              <w:top w:val="single" w:color="000000" w:sz="6" w:space="0"/>
              <w:left w:val="single" w:color="000000" w:sz="6" w:space="0"/>
            </w:tcBorders>
          </w:tcPr>
          <w:p>
            <w:pPr>
              <w:pStyle w:val="17"/>
              <w:rPr>
                <w:rFonts w:ascii="Times New Roman"/>
                <w:sz w:val="20"/>
              </w:rPr>
            </w:pPr>
          </w:p>
        </w:tc>
      </w:tr>
    </w:tbl>
    <w:p>
      <w:pPr>
        <w:spacing w:after="0"/>
        <w:rPr>
          <w:rFonts w:ascii="Times New Roman"/>
          <w:sz w:val="20"/>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83" o:spid="_x0000_s1183" o:spt="20" style="position:absolute;left:0pt;margin-left:62.4pt;margin-top:12.25pt;height:0pt;width:400.4pt;mso-position-horizontal-relative:page;z-index:251823104;mso-width-relative:page;mso-height-relative:page;" stroked="t" coordsize="21600,21600">
            <v:path arrowok="t"/>
            <v:fill focussize="0,0"/>
            <v:stroke weight="0.36pt" color="#000000"/>
            <v:imagedata o:title=""/>
            <o:lock v:ext="edit"/>
          </v:line>
        </w:pict>
      </w:r>
      <w:bookmarkStart w:id="134" w:name="附件7："/>
      <w:bookmarkEnd w:id="134"/>
      <w:r>
        <w:rPr>
          <w:rFonts w:hint="eastAsia"/>
          <w:sz w:val="18"/>
          <w:lang w:eastAsia="zh-CN"/>
        </w:rPr>
        <w:t xml:space="preserve"> </w:t>
      </w:r>
    </w:p>
    <w:p>
      <w:pPr>
        <w:pStyle w:val="8"/>
        <w:spacing w:before="6"/>
        <w:rPr>
          <w:sz w:val="25"/>
        </w:rPr>
      </w:pPr>
    </w:p>
    <w:p>
      <w:pPr>
        <w:pStyle w:val="7"/>
        <w:spacing w:before="67"/>
      </w:pPr>
      <w:bookmarkStart w:id="135" w:name="附件6："/>
      <w:bookmarkEnd w:id="135"/>
      <w:r>
        <w:t>附件 6：</w:t>
      </w:r>
    </w:p>
    <w:p>
      <w:pPr>
        <w:pStyle w:val="8"/>
        <w:spacing w:before="7"/>
        <w:rPr>
          <w:b/>
          <w:sz w:val="20"/>
        </w:rPr>
      </w:pPr>
    </w:p>
    <w:p>
      <w:pPr>
        <w:spacing w:before="0"/>
        <w:ind w:left="388" w:right="0" w:firstLine="0"/>
        <w:jc w:val="left"/>
        <w:rPr>
          <w:b/>
          <w:sz w:val="24"/>
        </w:rPr>
      </w:pPr>
      <w:bookmarkStart w:id="136" w:name="承包人主要施工管理人员表"/>
      <w:bookmarkEnd w:id="136"/>
      <w:r>
        <w:rPr>
          <w:b/>
          <w:sz w:val="24"/>
        </w:rPr>
        <w:t>承包人主要施工管理人员表</w:t>
      </w:r>
    </w:p>
    <w:p>
      <w:pPr>
        <w:pStyle w:val="8"/>
        <w:spacing w:before="6"/>
        <w:rPr>
          <w:b/>
          <w:sz w:val="20"/>
        </w:rPr>
      </w:pPr>
    </w:p>
    <w:tbl>
      <w:tblPr>
        <w:tblStyle w:val="13"/>
        <w:tblW w:w="0" w:type="auto"/>
        <w:tblInd w:w="20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71"/>
        <w:gridCol w:w="1418"/>
        <w:gridCol w:w="1134"/>
        <w:gridCol w:w="1134"/>
        <w:gridCol w:w="425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5" w:hRule="atLeast"/>
        </w:trPr>
        <w:tc>
          <w:tcPr>
            <w:tcW w:w="1871" w:type="dxa"/>
            <w:tcBorders>
              <w:bottom w:val="double" w:color="000000" w:sz="2" w:space="0"/>
              <w:right w:val="single" w:color="000000" w:sz="6" w:space="0"/>
            </w:tcBorders>
          </w:tcPr>
          <w:p>
            <w:pPr>
              <w:pStyle w:val="17"/>
              <w:tabs>
                <w:tab w:val="left" w:pos="1172"/>
              </w:tabs>
              <w:ind w:left="452"/>
              <w:rPr>
                <w:sz w:val="24"/>
              </w:rPr>
            </w:pPr>
            <w:r>
              <w:rPr>
                <w:sz w:val="24"/>
              </w:rPr>
              <w:t>名</w:t>
            </w:r>
            <w:r>
              <w:rPr>
                <w:sz w:val="24"/>
              </w:rPr>
              <w:tab/>
            </w:r>
            <w:r>
              <w:rPr>
                <w:sz w:val="24"/>
              </w:rPr>
              <w:t>称</w:t>
            </w:r>
          </w:p>
        </w:tc>
        <w:tc>
          <w:tcPr>
            <w:tcW w:w="1418" w:type="dxa"/>
            <w:tcBorders>
              <w:left w:val="single" w:color="000000" w:sz="6" w:space="0"/>
              <w:bottom w:val="double" w:color="000000" w:sz="2" w:space="0"/>
              <w:right w:val="single" w:color="000000" w:sz="6" w:space="0"/>
            </w:tcBorders>
          </w:tcPr>
          <w:p>
            <w:pPr>
              <w:pStyle w:val="17"/>
              <w:ind w:left="458"/>
              <w:rPr>
                <w:sz w:val="24"/>
              </w:rPr>
            </w:pPr>
            <w:r>
              <w:rPr>
                <w:sz w:val="24"/>
              </w:rPr>
              <w:t>姓名</w:t>
            </w:r>
          </w:p>
        </w:tc>
        <w:tc>
          <w:tcPr>
            <w:tcW w:w="1134" w:type="dxa"/>
            <w:tcBorders>
              <w:left w:val="single" w:color="000000" w:sz="6" w:space="0"/>
              <w:bottom w:val="double" w:color="000000" w:sz="2" w:space="0"/>
              <w:right w:val="single" w:color="000000" w:sz="6" w:space="0"/>
            </w:tcBorders>
          </w:tcPr>
          <w:p>
            <w:pPr>
              <w:pStyle w:val="17"/>
              <w:ind w:left="459"/>
              <w:rPr>
                <w:sz w:val="24"/>
              </w:rPr>
            </w:pPr>
            <w:r>
              <w:rPr>
                <w:sz w:val="24"/>
              </w:rPr>
              <w:t>职务</w:t>
            </w:r>
          </w:p>
        </w:tc>
        <w:tc>
          <w:tcPr>
            <w:tcW w:w="1134" w:type="dxa"/>
            <w:tcBorders>
              <w:left w:val="single" w:color="000000" w:sz="6" w:space="0"/>
              <w:bottom w:val="double" w:color="000000" w:sz="2" w:space="0"/>
              <w:right w:val="single" w:color="000000" w:sz="6" w:space="0"/>
            </w:tcBorders>
          </w:tcPr>
          <w:p>
            <w:pPr>
              <w:pStyle w:val="17"/>
              <w:ind w:left="460"/>
              <w:rPr>
                <w:sz w:val="24"/>
              </w:rPr>
            </w:pPr>
            <w:r>
              <w:rPr>
                <w:sz w:val="24"/>
              </w:rPr>
              <w:t>职称</w:t>
            </w:r>
          </w:p>
        </w:tc>
        <w:tc>
          <w:tcPr>
            <w:tcW w:w="4252" w:type="dxa"/>
            <w:tcBorders>
              <w:left w:val="single" w:color="000000" w:sz="6" w:space="0"/>
              <w:bottom w:val="double" w:color="000000" w:sz="2" w:space="0"/>
            </w:tcBorders>
          </w:tcPr>
          <w:p>
            <w:pPr>
              <w:pStyle w:val="17"/>
              <w:ind w:left="459"/>
              <w:rPr>
                <w:sz w:val="24"/>
              </w:rPr>
            </w:pPr>
            <w:r>
              <w:rPr>
                <w:sz w:val="24"/>
              </w:rPr>
              <w:t>主要资历、经验及承担过的项目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809" w:type="dxa"/>
            <w:gridSpan w:val="5"/>
            <w:tcBorders>
              <w:top w:val="double" w:color="000000" w:sz="2" w:space="0"/>
              <w:bottom w:val="single" w:color="000000" w:sz="6" w:space="0"/>
            </w:tcBorders>
          </w:tcPr>
          <w:p>
            <w:pPr>
              <w:pStyle w:val="17"/>
              <w:spacing w:before="3"/>
              <w:ind w:left="3948" w:right="3923"/>
              <w:jc w:val="center"/>
              <w:rPr>
                <w:sz w:val="24"/>
              </w:rPr>
            </w:pPr>
            <w:r>
              <w:rPr>
                <w:sz w:val="24"/>
              </w:rPr>
              <w:t>一、总部人员</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871" w:type="dxa"/>
            <w:tcBorders>
              <w:top w:val="single" w:color="000000" w:sz="6" w:space="0"/>
              <w:bottom w:val="single" w:color="000000" w:sz="6" w:space="0"/>
              <w:right w:val="single" w:color="000000" w:sz="6" w:space="0"/>
            </w:tcBorders>
          </w:tcPr>
          <w:p>
            <w:pPr>
              <w:pStyle w:val="17"/>
              <w:spacing w:before="1"/>
              <w:ind w:left="452"/>
              <w:rPr>
                <w:sz w:val="24"/>
              </w:rPr>
            </w:pPr>
            <w:r>
              <w:rPr>
                <w:sz w:val="24"/>
              </w:rPr>
              <w:t>项目主管</w:t>
            </w: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871" w:type="dxa"/>
            <w:vMerge w:val="restart"/>
            <w:tcBorders>
              <w:top w:val="single" w:color="000000" w:sz="6" w:space="0"/>
              <w:bottom w:val="single" w:color="000000" w:sz="6" w:space="0"/>
              <w:right w:val="single" w:color="000000" w:sz="6" w:space="0"/>
            </w:tcBorders>
          </w:tcPr>
          <w:p>
            <w:pPr>
              <w:pStyle w:val="17"/>
              <w:rPr>
                <w:b/>
                <w:sz w:val="24"/>
              </w:rPr>
            </w:pPr>
          </w:p>
          <w:p>
            <w:pPr>
              <w:pStyle w:val="17"/>
              <w:spacing w:before="176"/>
              <w:ind w:left="452"/>
              <w:rPr>
                <w:sz w:val="24"/>
              </w:rPr>
            </w:pPr>
            <w:r>
              <w:rPr>
                <w:sz w:val="24"/>
              </w:rPr>
              <w:t>其他人员</w:t>
            </w: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1871" w:type="dxa"/>
            <w:vMerge w:val="continue"/>
            <w:tcBorders>
              <w:top w:val="nil"/>
              <w:bottom w:val="single" w:color="000000" w:sz="6" w:space="0"/>
              <w:right w:val="single" w:color="000000" w:sz="6" w:space="0"/>
            </w:tcBorders>
          </w:tcPr>
          <w:p>
            <w:pPr>
              <w:rPr>
                <w:sz w:val="2"/>
                <w:szCs w:val="2"/>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871" w:type="dxa"/>
            <w:vMerge w:val="continue"/>
            <w:tcBorders>
              <w:top w:val="nil"/>
              <w:bottom w:val="single" w:color="000000" w:sz="6" w:space="0"/>
              <w:right w:val="single" w:color="000000" w:sz="6" w:space="0"/>
            </w:tcBorders>
          </w:tcPr>
          <w:p>
            <w:pPr>
              <w:rPr>
                <w:sz w:val="2"/>
                <w:szCs w:val="2"/>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809" w:type="dxa"/>
            <w:gridSpan w:val="5"/>
            <w:tcBorders>
              <w:top w:val="single" w:color="000000" w:sz="6" w:space="0"/>
              <w:bottom w:val="single" w:color="000000" w:sz="6" w:space="0"/>
            </w:tcBorders>
          </w:tcPr>
          <w:p>
            <w:pPr>
              <w:pStyle w:val="17"/>
              <w:ind w:left="4162" w:right="3709"/>
              <w:jc w:val="center"/>
              <w:rPr>
                <w:sz w:val="24"/>
              </w:rPr>
            </w:pPr>
            <w:r>
              <w:rPr>
                <w:sz w:val="24"/>
              </w:rPr>
              <w:t>二、现场人员</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871" w:type="dxa"/>
            <w:tcBorders>
              <w:top w:val="single" w:color="000000" w:sz="6" w:space="0"/>
              <w:bottom w:val="single" w:color="000000" w:sz="6" w:space="0"/>
              <w:right w:val="single" w:color="000000" w:sz="6" w:space="0"/>
            </w:tcBorders>
          </w:tcPr>
          <w:p>
            <w:pPr>
              <w:pStyle w:val="17"/>
              <w:ind w:left="452"/>
              <w:rPr>
                <w:sz w:val="24"/>
              </w:rPr>
            </w:pPr>
            <w:r>
              <w:rPr>
                <w:sz w:val="24"/>
              </w:rPr>
              <w:t>项目经理</w:t>
            </w: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1871" w:type="dxa"/>
            <w:tcBorders>
              <w:top w:val="single" w:color="000000" w:sz="6" w:space="0"/>
              <w:bottom w:val="single" w:color="000000" w:sz="6" w:space="0"/>
              <w:right w:val="single" w:color="000000" w:sz="6" w:space="0"/>
            </w:tcBorders>
          </w:tcPr>
          <w:p>
            <w:pPr>
              <w:pStyle w:val="17"/>
              <w:spacing w:before="1"/>
              <w:ind w:left="452"/>
              <w:rPr>
                <w:sz w:val="24"/>
              </w:rPr>
            </w:pPr>
            <w:r>
              <w:rPr>
                <w:sz w:val="24"/>
              </w:rPr>
              <w:t>项目副经理</w:t>
            </w: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1871" w:type="dxa"/>
            <w:tcBorders>
              <w:top w:val="single" w:color="000000" w:sz="6" w:space="0"/>
              <w:bottom w:val="single" w:color="000000" w:sz="6" w:space="0"/>
              <w:right w:val="single" w:color="000000" w:sz="6" w:space="0"/>
            </w:tcBorders>
          </w:tcPr>
          <w:p>
            <w:pPr>
              <w:pStyle w:val="17"/>
              <w:spacing w:before="2"/>
              <w:ind w:left="452"/>
              <w:rPr>
                <w:sz w:val="24"/>
              </w:rPr>
            </w:pPr>
            <w:r>
              <w:rPr>
                <w:sz w:val="24"/>
              </w:rPr>
              <w:t>技术负责人</w:t>
            </w: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871" w:type="dxa"/>
            <w:tcBorders>
              <w:top w:val="single" w:color="000000" w:sz="6" w:space="0"/>
              <w:bottom w:val="single" w:color="000000" w:sz="6" w:space="0"/>
              <w:right w:val="single" w:color="000000" w:sz="6" w:space="0"/>
            </w:tcBorders>
          </w:tcPr>
          <w:p>
            <w:pPr>
              <w:pStyle w:val="17"/>
              <w:spacing w:before="3"/>
              <w:ind w:left="452"/>
              <w:rPr>
                <w:sz w:val="24"/>
              </w:rPr>
            </w:pPr>
            <w:r>
              <w:rPr>
                <w:sz w:val="24"/>
              </w:rPr>
              <w:t>造价管理</w:t>
            </w: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1871" w:type="dxa"/>
            <w:tcBorders>
              <w:top w:val="single" w:color="000000" w:sz="6" w:space="0"/>
              <w:bottom w:val="single" w:color="000000" w:sz="6" w:space="0"/>
              <w:right w:val="single" w:color="000000" w:sz="6" w:space="0"/>
            </w:tcBorders>
          </w:tcPr>
          <w:p>
            <w:pPr>
              <w:pStyle w:val="17"/>
              <w:spacing w:before="3"/>
              <w:ind w:left="452"/>
              <w:rPr>
                <w:sz w:val="24"/>
              </w:rPr>
            </w:pPr>
            <w:r>
              <w:rPr>
                <w:sz w:val="24"/>
              </w:rPr>
              <w:t>质量管理</w:t>
            </w: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871" w:type="dxa"/>
            <w:tcBorders>
              <w:top w:val="single" w:color="000000" w:sz="6" w:space="0"/>
              <w:bottom w:val="single" w:color="000000" w:sz="6" w:space="0"/>
              <w:right w:val="single" w:color="000000" w:sz="6" w:space="0"/>
            </w:tcBorders>
          </w:tcPr>
          <w:p>
            <w:pPr>
              <w:pStyle w:val="17"/>
              <w:spacing w:before="1"/>
              <w:ind w:left="452"/>
              <w:rPr>
                <w:sz w:val="24"/>
              </w:rPr>
            </w:pPr>
            <w:r>
              <w:rPr>
                <w:sz w:val="24"/>
              </w:rPr>
              <w:t>材料管理</w:t>
            </w: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871" w:type="dxa"/>
            <w:tcBorders>
              <w:top w:val="single" w:color="000000" w:sz="6" w:space="0"/>
              <w:bottom w:val="single" w:color="000000" w:sz="6" w:space="0"/>
              <w:right w:val="single" w:color="000000" w:sz="6" w:space="0"/>
            </w:tcBorders>
          </w:tcPr>
          <w:p>
            <w:pPr>
              <w:pStyle w:val="17"/>
              <w:spacing w:before="1"/>
              <w:ind w:left="452"/>
              <w:rPr>
                <w:sz w:val="24"/>
              </w:rPr>
            </w:pPr>
            <w:r>
              <w:rPr>
                <w:sz w:val="24"/>
              </w:rPr>
              <w:t>计划管理</w:t>
            </w: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1871" w:type="dxa"/>
            <w:tcBorders>
              <w:top w:val="single" w:color="000000" w:sz="6" w:space="0"/>
              <w:bottom w:val="single" w:color="000000" w:sz="6" w:space="0"/>
              <w:right w:val="single" w:color="000000" w:sz="6" w:space="0"/>
            </w:tcBorders>
          </w:tcPr>
          <w:p>
            <w:pPr>
              <w:pStyle w:val="17"/>
              <w:spacing w:before="2"/>
              <w:ind w:left="452"/>
              <w:rPr>
                <w:sz w:val="24"/>
              </w:rPr>
            </w:pPr>
            <w:r>
              <w:rPr>
                <w:sz w:val="24"/>
              </w:rPr>
              <w:t>安全管理</w:t>
            </w: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9" w:hRule="atLeast"/>
        </w:trPr>
        <w:tc>
          <w:tcPr>
            <w:tcW w:w="1871" w:type="dxa"/>
            <w:vMerge w:val="restart"/>
            <w:tcBorders>
              <w:top w:val="single" w:color="000000" w:sz="6" w:space="0"/>
              <w:right w:val="single" w:color="000000" w:sz="6" w:space="0"/>
            </w:tcBorders>
          </w:tcPr>
          <w:p>
            <w:pPr>
              <w:pStyle w:val="17"/>
              <w:rPr>
                <w:b/>
                <w:sz w:val="24"/>
              </w:rPr>
            </w:pPr>
          </w:p>
          <w:p>
            <w:pPr>
              <w:pStyle w:val="17"/>
              <w:rPr>
                <w:b/>
                <w:sz w:val="24"/>
              </w:rPr>
            </w:pPr>
          </w:p>
          <w:p>
            <w:pPr>
              <w:pStyle w:val="17"/>
              <w:rPr>
                <w:b/>
                <w:sz w:val="24"/>
              </w:rPr>
            </w:pPr>
          </w:p>
          <w:p>
            <w:pPr>
              <w:pStyle w:val="17"/>
              <w:rPr>
                <w:b/>
                <w:sz w:val="22"/>
              </w:rPr>
            </w:pPr>
          </w:p>
          <w:p>
            <w:pPr>
              <w:pStyle w:val="17"/>
              <w:ind w:left="452"/>
              <w:rPr>
                <w:sz w:val="24"/>
              </w:rPr>
            </w:pPr>
            <w:r>
              <w:rPr>
                <w:sz w:val="24"/>
              </w:rPr>
              <w:t>其他人员</w:t>
            </w: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0" w:hRule="atLeast"/>
        </w:trPr>
        <w:tc>
          <w:tcPr>
            <w:tcW w:w="1871" w:type="dxa"/>
            <w:vMerge w:val="continue"/>
            <w:tcBorders>
              <w:top w:val="nil"/>
              <w:right w:val="single" w:color="000000" w:sz="6" w:space="0"/>
            </w:tcBorders>
          </w:tcPr>
          <w:p>
            <w:pPr>
              <w:rPr>
                <w:sz w:val="2"/>
                <w:szCs w:val="2"/>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1871" w:type="dxa"/>
            <w:vMerge w:val="continue"/>
            <w:tcBorders>
              <w:top w:val="nil"/>
              <w:right w:val="single" w:color="000000" w:sz="6" w:space="0"/>
            </w:tcBorders>
          </w:tcPr>
          <w:p>
            <w:pPr>
              <w:rPr>
                <w:sz w:val="2"/>
                <w:szCs w:val="2"/>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1871" w:type="dxa"/>
            <w:vMerge w:val="continue"/>
            <w:tcBorders>
              <w:top w:val="nil"/>
              <w:right w:val="single" w:color="000000" w:sz="6" w:space="0"/>
            </w:tcBorders>
          </w:tcPr>
          <w:p>
            <w:pPr>
              <w:rPr>
                <w:sz w:val="2"/>
                <w:szCs w:val="2"/>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1871" w:type="dxa"/>
            <w:vMerge w:val="continue"/>
            <w:tcBorders>
              <w:top w:val="nil"/>
              <w:right w:val="single" w:color="000000" w:sz="6" w:space="0"/>
            </w:tcBorders>
          </w:tcPr>
          <w:p>
            <w:pPr>
              <w:rPr>
                <w:sz w:val="2"/>
                <w:szCs w:val="2"/>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9" w:hRule="atLeast"/>
        </w:trPr>
        <w:tc>
          <w:tcPr>
            <w:tcW w:w="1871" w:type="dxa"/>
            <w:vMerge w:val="continue"/>
            <w:tcBorders>
              <w:top w:val="nil"/>
              <w:right w:val="single" w:color="000000" w:sz="6" w:space="0"/>
            </w:tcBorders>
          </w:tcPr>
          <w:p>
            <w:pPr>
              <w:rPr>
                <w:sz w:val="2"/>
                <w:szCs w:val="2"/>
              </w:rPr>
            </w:pPr>
          </w:p>
        </w:tc>
        <w:tc>
          <w:tcPr>
            <w:tcW w:w="1418" w:type="dxa"/>
            <w:tcBorders>
              <w:top w:val="single" w:color="000000" w:sz="6" w:space="0"/>
              <w:left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tcBorders>
          </w:tcPr>
          <w:p>
            <w:pPr>
              <w:pStyle w:val="17"/>
              <w:rPr>
                <w:rFonts w:ascii="Times New Roman"/>
                <w:sz w:val="22"/>
              </w:rPr>
            </w:pPr>
          </w:p>
        </w:tc>
      </w:tr>
    </w:tbl>
    <w:p>
      <w:pPr>
        <w:spacing w:after="0"/>
        <w:rPr>
          <w:rFonts w:ascii="Times New Roman"/>
          <w:sz w:val="22"/>
        </w:rPr>
        <w:sectPr>
          <w:footerReference r:id="rId17" w:type="default"/>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pgNumType w:start="120"/>
          <w:cols w:space="720" w:num="1"/>
        </w:sectPr>
      </w:pPr>
    </w:p>
    <w:p>
      <w:pPr>
        <w:tabs>
          <w:tab w:val="left" w:pos="7676"/>
        </w:tabs>
        <w:spacing w:before="45"/>
        <w:ind w:left="388" w:right="0" w:firstLine="0"/>
        <w:jc w:val="left"/>
        <w:rPr>
          <w:sz w:val="18"/>
        </w:rPr>
      </w:pPr>
      <w:r>
        <w:pict>
          <v:line id="_x0000_s1184" o:spid="_x0000_s1184" o:spt="20" style="position:absolute;left:0pt;margin-left:62.4pt;margin-top:12.25pt;height:0pt;width:400.4pt;mso-position-horizontal-relative:page;z-index:25182412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7"/>
        <w:spacing w:before="67"/>
      </w:pPr>
      <w:r>
        <w:t>附件 7：</w:t>
      </w:r>
    </w:p>
    <w:p>
      <w:pPr>
        <w:pStyle w:val="8"/>
        <w:spacing w:before="7"/>
        <w:rPr>
          <w:b/>
          <w:sz w:val="20"/>
        </w:rPr>
      </w:pPr>
    </w:p>
    <w:p>
      <w:pPr>
        <w:spacing w:before="0"/>
        <w:ind w:left="388" w:right="0" w:firstLine="0"/>
        <w:jc w:val="left"/>
        <w:rPr>
          <w:b/>
          <w:sz w:val="24"/>
        </w:rPr>
      </w:pPr>
      <w:bookmarkStart w:id="137" w:name="分包人主要施工管理人员表（本项目不适用）"/>
      <w:bookmarkEnd w:id="137"/>
      <w:r>
        <w:rPr>
          <w:b/>
          <w:sz w:val="24"/>
        </w:rPr>
        <w:t>分包人主要施工管理人员表（本项目不适用）</w:t>
      </w:r>
    </w:p>
    <w:p>
      <w:pPr>
        <w:pStyle w:val="8"/>
        <w:spacing w:before="6"/>
        <w:rPr>
          <w:b/>
          <w:sz w:val="20"/>
        </w:rPr>
      </w:pPr>
    </w:p>
    <w:tbl>
      <w:tblPr>
        <w:tblStyle w:val="13"/>
        <w:tblW w:w="0" w:type="auto"/>
        <w:tblInd w:w="20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71"/>
        <w:gridCol w:w="1418"/>
        <w:gridCol w:w="1134"/>
        <w:gridCol w:w="1134"/>
        <w:gridCol w:w="425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5" w:hRule="atLeast"/>
        </w:trPr>
        <w:tc>
          <w:tcPr>
            <w:tcW w:w="1871" w:type="dxa"/>
            <w:tcBorders>
              <w:bottom w:val="double" w:color="000000" w:sz="2" w:space="0"/>
              <w:right w:val="single" w:color="000000" w:sz="6" w:space="0"/>
            </w:tcBorders>
          </w:tcPr>
          <w:p>
            <w:pPr>
              <w:pStyle w:val="17"/>
              <w:tabs>
                <w:tab w:val="left" w:pos="1172"/>
              </w:tabs>
              <w:ind w:left="452"/>
              <w:rPr>
                <w:sz w:val="24"/>
              </w:rPr>
            </w:pPr>
            <w:r>
              <w:rPr>
                <w:sz w:val="24"/>
              </w:rPr>
              <w:t>名</w:t>
            </w:r>
            <w:r>
              <w:rPr>
                <w:sz w:val="24"/>
              </w:rPr>
              <w:tab/>
            </w:r>
            <w:r>
              <w:rPr>
                <w:sz w:val="24"/>
              </w:rPr>
              <w:t>称</w:t>
            </w:r>
          </w:p>
        </w:tc>
        <w:tc>
          <w:tcPr>
            <w:tcW w:w="1418" w:type="dxa"/>
            <w:tcBorders>
              <w:left w:val="single" w:color="000000" w:sz="6" w:space="0"/>
              <w:bottom w:val="double" w:color="000000" w:sz="2" w:space="0"/>
              <w:right w:val="single" w:color="000000" w:sz="6" w:space="0"/>
            </w:tcBorders>
          </w:tcPr>
          <w:p>
            <w:pPr>
              <w:pStyle w:val="17"/>
              <w:ind w:left="458"/>
              <w:rPr>
                <w:sz w:val="24"/>
              </w:rPr>
            </w:pPr>
            <w:r>
              <w:rPr>
                <w:sz w:val="24"/>
              </w:rPr>
              <w:t>姓名</w:t>
            </w:r>
          </w:p>
        </w:tc>
        <w:tc>
          <w:tcPr>
            <w:tcW w:w="1134" w:type="dxa"/>
            <w:tcBorders>
              <w:left w:val="single" w:color="000000" w:sz="6" w:space="0"/>
              <w:bottom w:val="double" w:color="000000" w:sz="2" w:space="0"/>
              <w:right w:val="single" w:color="000000" w:sz="6" w:space="0"/>
            </w:tcBorders>
          </w:tcPr>
          <w:p>
            <w:pPr>
              <w:pStyle w:val="17"/>
              <w:ind w:left="459"/>
              <w:rPr>
                <w:sz w:val="24"/>
              </w:rPr>
            </w:pPr>
            <w:r>
              <w:rPr>
                <w:sz w:val="24"/>
              </w:rPr>
              <w:t>职务</w:t>
            </w:r>
          </w:p>
        </w:tc>
        <w:tc>
          <w:tcPr>
            <w:tcW w:w="1134" w:type="dxa"/>
            <w:tcBorders>
              <w:left w:val="single" w:color="000000" w:sz="6" w:space="0"/>
              <w:bottom w:val="double" w:color="000000" w:sz="2" w:space="0"/>
              <w:right w:val="single" w:color="000000" w:sz="6" w:space="0"/>
            </w:tcBorders>
          </w:tcPr>
          <w:p>
            <w:pPr>
              <w:pStyle w:val="17"/>
              <w:ind w:left="460"/>
              <w:rPr>
                <w:sz w:val="24"/>
              </w:rPr>
            </w:pPr>
            <w:r>
              <w:rPr>
                <w:sz w:val="24"/>
              </w:rPr>
              <w:t>职称</w:t>
            </w:r>
          </w:p>
        </w:tc>
        <w:tc>
          <w:tcPr>
            <w:tcW w:w="4252" w:type="dxa"/>
            <w:tcBorders>
              <w:left w:val="single" w:color="000000" w:sz="6" w:space="0"/>
              <w:bottom w:val="double" w:color="000000" w:sz="2" w:space="0"/>
            </w:tcBorders>
          </w:tcPr>
          <w:p>
            <w:pPr>
              <w:pStyle w:val="17"/>
              <w:ind w:left="459"/>
              <w:rPr>
                <w:sz w:val="24"/>
              </w:rPr>
            </w:pPr>
            <w:r>
              <w:rPr>
                <w:sz w:val="24"/>
              </w:rPr>
              <w:t>主要资历、经验及承担过的项目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809" w:type="dxa"/>
            <w:gridSpan w:val="5"/>
            <w:tcBorders>
              <w:top w:val="double" w:color="000000" w:sz="2" w:space="0"/>
              <w:bottom w:val="single" w:color="000000" w:sz="6" w:space="0"/>
            </w:tcBorders>
          </w:tcPr>
          <w:p>
            <w:pPr>
              <w:pStyle w:val="17"/>
              <w:spacing w:before="3"/>
              <w:ind w:left="4162" w:right="3709"/>
              <w:jc w:val="center"/>
              <w:rPr>
                <w:sz w:val="24"/>
              </w:rPr>
            </w:pPr>
            <w:r>
              <w:rPr>
                <w:sz w:val="24"/>
              </w:rPr>
              <w:t>一、总部人员</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871" w:type="dxa"/>
            <w:tcBorders>
              <w:top w:val="single" w:color="000000" w:sz="6" w:space="0"/>
              <w:bottom w:val="single" w:color="000000" w:sz="6" w:space="0"/>
              <w:right w:val="single" w:color="000000" w:sz="6" w:space="0"/>
            </w:tcBorders>
          </w:tcPr>
          <w:p>
            <w:pPr>
              <w:pStyle w:val="17"/>
              <w:spacing w:before="1"/>
              <w:ind w:left="452"/>
              <w:rPr>
                <w:sz w:val="24"/>
              </w:rPr>
            </w:pPr>
            <w:r>
              <w:rPr>
                <w:sz w:val="24"/>
              </w:rPr>
              <w:t>项目主管</w:t>
            </w: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871" w:type="dxa"/>
            <w:vMerge w:val="restart"/>
            <w:tcBorders>
              <w:top w:val="single" w:color="000000" w:sz="6" w:space="0"/>
              <w:bottom w:val="single" w:color="000000" w:sz="6" w:space="0"/>
              <w:right w:val="single" w:color="000000" w:sz="6" w:space="0"/>
            </w:tcBorders>
          </w:tcPr>
          <w:p>
            <w:pPr>
              <w:pStyle w:val="17"/>
              <w:rPr>
                <w:b/>
                <w:sz w:val="24"/>
              </w:rPr>
            </w:pPr>
          </w:p>
          <w:p>
            <w:pPr>
              <w:pStyle w:val="17"/>
              <w:spacing w:before="176"/>
              <w:ind w:left="452"/>
              <w:rPr>
                <w:sz w:val="24"/>
              </w:rPr>
            </w:pPr>
            <w:r>
              <w:rPr>
                <w:sz w:val="24"/>
              </w:rPr>
              <w:t>其他人员</w:t>
            </w: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1871" w:type="dxa"/>
            <w:vMerge w:val="continue"/>
            <w:tcBorders>
              <w:top w:val="nil"/>
              <w:bottom w:val="single" w:color="000000" w:sz="6" w:space="0"/>
              <w:right w:val="single" w:color="000000" w:sz="6" w:space="0"/>
            </w:tcBorders>
          </w:tcPr>
          <w:p>
            <w:pPr>
              <w:rPr>
                <w:sz w:val="2"/>
                <w:szCs w:val="2"/>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871" w:type="dxa"/>
            <w:vMerge w:val="continue"/>
            <w:tcBorders>
              <w:top w:val="nil"/>
              <w:bottom w:val="single" w:color="000000" w:sz="6" w:space="0"/>
              <w:right w:val="single" w:color="000000" w:sz="6" w:space="0"/>
            </w:tcBorders>
          </w:tcPr>
          <w:p>
            <w:pPr>
              <w:rPr>
                <w:sz w:val="2"/>
                <w:szCs w:val="2"/>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809" w:type="dxa"/>
            <w:gridSpan w:val="5"/>
            <w:tcBorders>
              <w:top w:val="single" w:color="000000" w:sz="6" w:space="0"/>
              <w:bottom w:val="single" w:color="000000" w:sz="6" w:space="0"/>
            </w:tcBorders>
          </w:tcPr>
          <w:p>
            <w:pPr>
              <w:pStyle w:val="17"/>
              <w:ind w:left="4162" w:right="3709"/>
              <w:jc w:val="center"/>
              <w:rPr>
                <w:sz w:val="24"/>
              </w:rPr>
            </w:pPr>
            <w:r>
              <w:rPr>
                <w:sz w:val="24"/>
              </w:rPr>
              <w:t>二、现场人员</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871" w:type="dxa"/>
            <w:tcBorders>
              <w:top w:val="single" w:color="000000" w:sz="6" w:space="0"/>
              <w:bottom w:val="single" w:color="000000" w:sz="6" w:space="0"/>
              <w:right w:val="single" w:color="000000" w:sz="6" w:space="0"/>
            </w:tcBorders>
          </w:tcPr>
          <w:p>
            <w:pPr>
              <w:pStyle w:val="17"/>
              <w:ind w:left="452"/>
              <w:rPr>
                <w:sz w:val="24"/>
              </w:rPr>
            </w:pPr>
            <w:r>
              <w:rPr>
                <w:sz w:val="24"/>
              </w:rPr>
              <w:t>项目经理</w:t>
            </w: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1871" w:type="dxa"/>
            <w:tcBorders>
              <w:top w:val="single" w:color="000000" w:sz="6" w:space="0"/>
              <w:bottom w:val="single" w:color="000000" w:sz="6" w:space="0"/>
              <w:right w:val="single" w:color="000000" w:sz="6" w:space="0"/>
            </w:tcBorders>
          </w:tcPr>
          <w:p>
            <w:pPr>
              <w:pStyle w:val="17"/>
              <w:spacing w:before="1"/>
              <w:ind w:left="452"/>
              <w:rPr>
                <w:sz w:val="24"/>
              </w:rPr>
            </w:pPr>
            <w:r>
              <w:rPr>
                <w:sz w:val="24"/>
              </w:rPr>
              <w:t>项目副经理</w:t>
            </w: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1871" w:type="dxa"/>
            <w:tcBorders>
              <w:top w:val="single" w:color="000000" w:sz="6" w:space="0"/>
              <w:bottom w:val="single" w:color="000000" w:sz="6" w:space="0"/>
              <w:right w:val="single" w:color="000000" w:sz="6" w:space="0"/>
            </w:tcBorders>
          </w:tcPr>
          <w:p>
            <w:pPr>
              <w:pStyle w:val="17"/>
              <w:spacing w:before="2"/>
              <w:ind w:left="452"/>
              <w:rPr>
                <w:sz w:val="24"/>
              </w:rPr>
            </w:pPr>
            <w:r>
              <w:rPr>
                <w:sz w:val="24"/>
              </w:rPr>
              <w:t>技术负责人</w:t>
            </w: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871" w:type="dxa"/>
            <w:tcBorders>
              <w:top w:val="single" w:color="000000" w:sz="6" w:space="0"/>
              <w:bottom w:val="single" w:color="000000" w:sz="6" w:space="0"/>
              <w:right w:val="single" w:color="000000" w:sz="6" w:space="0"/>
            </w:tcBorders>
          </w:tcPr>
          <w:p>
            <w:pPr>
              <w:pStyle w:val="17"/>
              <w:spacing w:before="3"/>
              <w:ind w:left="452"/>
              <w:rPr>
                <w:sz w:val="24"/>
              </w:rPr>
            </w:pPr>
            <w:r>
              <w:rPr>
                <w:sz w:val="24"/>
              </w:rPr>
              <w:t>造价管理</w:t>
            </w: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1871" w:type="dxa"/>
            <w:tcBorders>
              <w:top w:val="single" w:color="000000" w:sz="6" w:space="0"/>
              <w:bottom w:val="single" w:color="000000" w:sz="6" w:space="0"/>
              <w:right w:val="single" w:color="000000" w:sz="6" w:space="0"/>
            </w:tcBorders>
          </w:tcPr>
          <w:p>
            <w:pPr>
              <w:pStyle w:val="17"/>
              <w:spacing w:before="3"/>
              <w:ind w:left="452"/>
              <w:rPr>
                <w:sz w:val="24"/>
              </w:rPr>
            </w:pPr>
            <w:r>
              <w:rPr>
                <w:sz w:val="24"/>
              </w:rPr>
              <w:t>质量管理</w:t>
            </w: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871" w:type="dxa"/>
            <w:tcBorders>
              <w:top w:val="single" w:color="000000" w:sz="6" w:space="0"/>
              <w:bottom w:val="single" w:color="000000" w:sz="6" w:space="0"/>
              <w:right w:val="single" w:color="000000" w:sz="6" w:space="0"/>
            </w:tcBorders>
          </w:tcPr>
          <w:p>
            <w:pPr>
              <w:pStyle w:val="17"/>
              <w:spacing w:before="1"/>
              <w:ind w:left="452"/>
              <w:rPr>
                <w:sz w:val="24"/>
              </w:rPr>
            </w:pPr>
            <w:r>
              <w:rPr>
                <w:sz w:val="24"/>
              </w:rPr>
              <w:t>材料管理</w:t>
            </w: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871" w:type="dxa"/>
            <w:tcBorders>
              <w:top w:val="single" w:color="000000" w:sz="6" w:space="0"/>
              <w:bottom w:val="single" w:color="000000" w:sz="6" w:space="0"/>
              <w:right w:val="single" w:color="000000" w:sz="6" w:space="0"/>
            </w:tcBorders>
          </w:tcPr>
          <w:p>
            <w:pPr>
              <w:pStyle w:val="17"/>
              <w:spacing w:before="1"/>
              <w:ind w:left="452"/>
              <w:rPr>
                <w:sz w:val="24"/>
              </w:rPr>
            </w:pPr>
            <w:r>
              <w:rPr>
                <w:sz w:val="24"/>
              </w:rPr>
              <w:t>计划管理</w:t>
            </w: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1871" w:type="dxa"/>
            <w:tcBorders>
              <w:top w:val="single" w:color="000000" w:sz="6" w:space="0"/>
              <w:bottom w:val="single" w:color="000000" w:sz="6" w:space="0"/>
              <w:right w:val="single" w:color="000000" w:sz="6" w:space="0"/>
            </w:tcBorders>
          </w:tcPr>
          <w:p>
            <w:pPr>
              <w:pStyle w:val="17"/>
              <w:spacing w:before="2"/>
              <w:ind w:left="452"/>
              <w:rPr>
                <w:sz w:val="24"/>
              </w:rPr>
            </w:pPr>
            <w:r>
              <w:rPr>
                <w:sz w:val="24"/>
              </w:rPr>
              <w:t>安全管理</w:t>
            </w: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9" w:hRule="atLeast"/>
        </w:trPr>
        <w:tc>
          <w:tcPr>
            <w:tcW w:w="1871" w:type="dxa"/>
            <w:vMerge w:val="restart"/>
            <w:tcBorders>
              <w:top w:val="single" w:color="000000" w:sz="6" w:space="0"/>
              <w:right w:val="single" w:color="000000" w:sz="6" w:space="0"/>
            </w:tcBorders>
          </w:tcPr>
          <w:p>
            <w:pPr>
              <w:pStyle w:val="17"/>
              <w:rPr>
                <w:b/>
                <w:sz w:val="24"/>
              </w:rPr>
            </w:pPr>
          </w:p>
          <w:p>
            <w:pPr>
              <w:pStyle w:val="17"/>
              <w:rPr>
                <w:b/>
                <w:sz w:val="24"/>
              </w:rPr>
            </w:pPr>
          </w:p>
          <w:p>
            <w:pPr>
              <w:pStyle w:val="17"/>
              <w:rPr>
                <w:b/>
                <w:sz w:val="24"/>
              </w:rPr>
            </w:pPr>
          </w:p>
          <w:p>
            <w:pPr>
              <w:pStyle w:val="17"/>
              <w:rPr>
                <w:b/>
                <w:sz w:val="22"/>
              </w:rPr>
            </w:pPr>
          </w:p>
          <w:p>
            <w:pPr>
              <w:pStyle w:val="17"/>
              <w:ind w:left="452"/>
              <w:rPr>
                <w:sz w:val="24"/>
              </w:rPr>
            </w:pPr>
            <w:r>
              <w:rPr>
                <w:sz w:val="24"/>
              </w:rPr>
              <w:t>其他人员</w:t>
            </w: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0" w:hRule="atLeast"/>
        </w:trPr>
        <w:tc>
          <w:tcPr>
            <w:tcW w:w="1871" w:type="dxa"/>
            <w:vMerge w:val="continue"/>
            <w:tcBorders>
              <w:top w:val="nil"/>
              <w:right w:val="single" w:color="000000" w:sz="6" w:space="0"/>
            </w:tcBorders>
          </w:tcPr>
          <w:p>
            <w:pPr>
              <w:rPr>
                <w:sz w:val="2"/>
                <w:szCs w:val="2"/>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1871" w:type="dxa"/>
            <w:vMerge w:val="continue"/>
            <w:tcBorders>
              <w:top w:val="nil"/>
              <w:right w:val="single" w:color="000000" w:sz="6" w:space="0"/>
            </w:tcBorders>
          </w:tcPr>
          <w:p>
            <w:pPr>
              <w:rPr>
                <w:sz w:val="2"/>
                <w:szCs w:val="2"/>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1871" w:type="dxa"/>
            <w:vMerge w:val="continue"/>
            <w:tcBorders>
              <w:top w:val="nil"/>
              <w:right w:val="single" w:color="000000" w:sz="6" w:space="0"/>
            </w:tcBorders>
          </w:tcPr>
          <w:p>
            <w:pPr>
              <w:rPr>
                <w:sz w:val="2"/>
                <w:szCs w:val="2"/>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1871" w:type="dxa"/>
            <w:vMerge w:val="continue"/>
            <w:tcBorders>
              <w:top w:val="nil"/>
              <w:right w:val="single" w:color="000000" w:sz="6" w:space="0"/>
            </w:tcBorders>
          </w:tcPr>
          <w:p>
            <w:pPr>
              <w:rPr>
                <w:sz w:val="2"/>
                <w:szCs w:val="2"/>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9" w:hRule="atLeast"/>
        </w:trPr>
        <w:tc>
          <w:tcPr>
            <w:tcW w:w="1871" w:type="dxa"/>
            <w:vMerge w:val="continue"/>
            <w:tcBorders>
              <w:top w:val="nil"/>
              <w:right w:val="single" w:color="000000" w:sz="6" w:space="0"/>
            </w:tcBorders>
          </w:tcPr>
          <w:p>
            <w:pPr>
              <w:rPr>
                <w:sz w:val="2"/>
                <w:szCs w:val="2"/>
              </w:rPr>
            </w:pPr>
          </w:p>
        </w:tc>
        <w:tc>
          <w:tcPr>
            <w:tcW w:w="1418" w:type="dxa"/>
            <w:tcBorders>
              <w:top w:val="single" w:color="000000" w:sz="6" w:space="0"/>
              <w:left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right w:val="single" w:color="000000" w:sz="6" w:space="0"/>
            </w:tcBorders>
          </w:tcPr>
          <w:p>
            <w:pPr>
              <w:pStyle w:val="17"/>
              <w:rPr>
                <w:rFonts w:ascii="Times New Roman"/>
                <w:sz w:val="22"/>
              </w:rPr>
            </w:pPr>
          </w:p>
        </w:tc>
        <w:tc>
          <w:tcPr>
            <w:tcW w:w="1134" w:type="dxa"/>
            <w:tcBorders>
              <w:top w:val="single" w:color="000000" w:sz="6" w:space="0"/>
              <w:left w:val="single" w:color="000000" w:sz="6" w:space="0"/>
              <w:right w:val="single" w:color="000000" w:sz="6" w:space="0"/>
            </w:tcBorders>
          </w:tcPr>
          <w:p>
            <w:pPr>
              <w:pStyle w:val="17"/>
              <w:rPr>
                <w:rFonts w:ascii="Times New Roman"/>
                <w:sz w:val="22"/>
              </w:rPr>
            </w:pPr>
          </w:p>
        </w:tc>
        <w:tc>
          <w:tcPr>
            <w:tcW w:w="4252" w:type="dxa"/>
            <w:tcBorders>
              <w:top w:val="single" w:color="000000" w:sz="6" w:space="0"/>
              <w:left w:val="single" w:color="000000" w:sz="6" w:space="0"/>
            </w:tcBorders>
          </w:tcPr>
          <w:p>
            <w:pPr>
              <w:pStyle w:val="17"/>
              <w:rPr>
                <w:rFonts w:ascii="Times New Roman"/>
                <w:sz w:val="22"/>
              </w:rPr>
            </w:pPr>
          </w:p>
        </w:tc>
      </w:tr>
    </w:tbl>
    <w:p>
      <w:pPr>
        <w:spacing w:after="0"/>
        <w:rPr>
          <w:rFonts w:ascii="Times New Roman"/>
          <w:sz w:val="22"/>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85" o:spid="_x0000_s1185" o:spt="20" style="position:absolute;left:0pt;margin-left:62.4pt;margin-top:12.25pt;height:0pt;width:400.4pt;mso-position-horizontal-relative:page;z-index:25182515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7"/>
        <w:spacing w:before="67"/>
      </w:pPr>
      <w:bookmarkStart w:id="138" w:name="附件8："/>
      <w:bookmarkEnd w:id="138"/>
      <w:r>
        <w:t>附件 8：</w:t>
      </w:r>
    </w:p>
    <w:p>
      <w:pPr>
        <w:pStyle w:val="8"/>
        <w:spacing w:before="7"/>
        <w:rPr>
          <w:b/>
          <w:sz w:val="20"/>
        </w:rPr>
      </w:pPr>
    </w:p>
    <w:p>
      <w:pPr>
        <w:pStyle w:val="16"/>
        <w:numPr>
          <w:ilvl w:val="1"/>
          <w:numId w:val="117"/>
        </w:numPr>
        <w:tabs>
          <w:tab w:val="left" w:pos="752"/>
        </w:tabs>
        <w:spacing w:before="0" w:after="0" w:line="240" w:lineRule="auto"/>
        <w:ind w:left="751" w:right="0" w:hanging="364"/>
        <w:jc w:val="left"/>
        <w:rPr>
          <w:b/>
          <w:sz w:val="24"/>
        </w:rPr>
      </w:pPr>
      <w:bookmarkStart w:id="139" w:name="8-1：材料暂估价表"/>
      <w:bookmarkEnd w:id="139"/>
      <w:bookmarkStart w:id="140" w:name="_bookmark75"/>
      <w:bookmarkEnd w:id="140"/>
      <w:r>
        <w:rPr>
          <w:b/>
          <w:sz w:val="24"/>
        </w:rPr>
        <w:t>：材料暂估价表</w:t>
      </w:r>
    </w:p>
    <w:p>
      <w:pPr>
        <w:pStyle w:val="8"/>
        <w:spacing w:before="6"/>
        <w:rPr>
          <w:b/>
          <w:sz w:val="20"/>
        </w:rPr>
      </w:pPr>
    </w:p>
    <w:tbl>
      <w:tblPr>
        <w:tblStyle w:val="13"/>
        <w:tblW w:w="0" w:type="auto"/>
        <w:tblInd w:w="26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93"/>
        <w:gridCol w:w="1984"/>
        <w:gridCol w:w="851"/>
        <w:gridCol w:w="774"/>
        <w:gridCol w:w="1352"/>
        <w:gridCol w:w="1418"/>
        <w:gridCol w:w="170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5" w:hRule="atLeast"/>
        </w:trPr>
        <w:tc>
          <w:tcPr>
            <w:tcW w:w="993" w:type="dxa"/>
            <w:tcBorders>
              <w:bottom w:val="double" w:color="000000" w:sz="2" w:space="0"/>
              <w:right w:val="single" w:color="000000" w:sz="6" w:space="0"/>
            </w:tcBorders>
          </w:tcPr>
          <w:p>
            <w:pPr>
              <w:pStyle w:val="17"/>
              <w:ind w:left="255"/>
              <w:rPr>
                <w:sz w:val="24"/>
              </w:rPr>
            </w:pPr>
            <w:r>
              <w:rPr>
                <w:sz w:val="24"/>
              </w:rPr>
              <w:t>序号</w:t>
            </w:r>
          </w:p>
        </w:tc>
        <w:tc>
          <w:tcPr>
            <w:tcW w:w="1984" w:type="dxa"/>
            <w:tcBorders>
              <w:left w:val="single" w:color="000000" w:sz="6" w:space="0"/>
              <w:bottom w:val="double" w:color="000000" w:sz="2" w:space="0"/>
              <w:right w:val="single" w:color="000000" w:sz="6" w:space="0"/>
            </w:tcBorders>
          </w:tcPr>
          <w:p>
            <w:pPr>
              <w:pStyle w:val="17"/>
              <w:ind w:left="737" w:right="711"/>
              <w:jc w:val="center"/>
              <w:rPr>
                <w:sz w:val="24"/>
              </w:rPr>
            </w:pPr>
            <w:r>
              <w:rPr>
                <w:sz w:val="24"/>
              </w:rPr>
              <w:t>名称</w:t>
            </w:r>
          </w:p>
        </w:tc>
        <w:tc>
          <w:tcPr>
            <w:tcW w:w="851" w:type="dxa"/>
            <w:tcBorders>
              <w:left w:val="single" w:color="000000" w:sz="6" w:space="0"/>
              <w:bottom w:val="double" w:color="000000" w:sz="2" w:space="0"/>
              <w:right w:val="single" w:color="000000" w:sz="6" w:space="0"/>
            </w:tcBorders>
          </w:tcPr>
          <w:p>
            <w:pPr>
              <w:pStyle w:val="17"/>
              <w:ind w:left="192"/>
              <w:rPr>
                <w:sz w:val="24"/>
              </w:rPr>
            </w:pPr>
            <w:r>
              <w:rPr>
                <w:sz w:val="24"/>
              </w:rPr>
              <w:t>单位</w:t>
            </w:r>
          </w:p>
        </w:tc>
        <w:tc>
          <w:tcPr>
            <w:tcW w:w="774" w:type="dxa"/>
            <w:tcBorders>
              <w:left w:val="single" w:color="000000" w:sz="6" w:space="0"/>
              <w:bottom w:val="double" w:color="000000" w:sz="2" w:space="0"/>
              <w:right w:val="single" w:color="000000" w:sz="6" w:space="0"/>
            </w:tcBorders>
          </w:tcPr>
          <w:p>
            <w:pPr>
              <w:pStyle w:val="17"/>
              <w:ind w:left="154"/>
              <w:rPr>
                <w:sz w:val="24"/>
              </w:rPr>
            </w:pPr>
            <w:r>
              <w:rPr>
                <w:sz w:val="24"/>
              </w:rPr>
              <w:t>数量</w:t>
            </w:r>
          </w:p>
        </w:tc>
        <w:tc>
          <w:tcPr>
            <w:tcW w:w="1352" w:type="dxa"/>
            <w:tcBorders>
              <w:left w:val="single" w:color="000000" w:sz="6" w:space="0"/>
              <w:bottom w:val="double" w:color="000000" w:sz="2" w:space="0"/>
              <w:right w:val="single" w:color="000000" w:sz="6" w:space="0"/>
            </w:tcBorders>
          </w:tcPr>
          <w:p>
            <w:pPr>
              <w:pStyle w:val="17"/>
              <w:ind w:left="83"/>
              <w:rPr>
                <w:sz w:val="24"/>
              </w:rPr>
            </w:pPr>
            <w:r>
              <w:rPr>
                <w:sz w:val="24"/>
              </w:rPr>
              <w:t>单价（元）</w:t>
            </w:r>
          </w:p>
        </w:tc>
        <w:tc>
          <w:tcPr>
            <w:tcW w:w="1418" w:type="dxa"/>
            <w:tcBorders>
              <w:left w:val="single" w:color="000000" w:sz="6" w:space="0"/>
              <w:bottom w:val="double" w:color="000000" w:sz="2" w:space="0"/>
              <w:right w:val="single" w:color="000000" w:sz="6" w:space="0"/>
            </w:tcBorders>
          </w:tcPr>
          <w:p>
            <w:pPr>
              <w:pStyle w:val="17"/>
              <w:ind w:left="116"/>
              <w:rPr>
                <w:sz w:val="24"/>
              </w:rPr>
            </w:pPr>
            <w:r>
              <w:rPr>
                <w:sz w:val="24"/>
              </w:rPr>
              <w:t>合价（元）</w:t>
            </w:r>
          </w:p>
        </w:tc>
        <w:tc>
          <w:tcPr>
            <w:tcW w:w="1701" w:type="dxa"/>
            <w:tcBorders>
              <w:left w:val="single" w:color="000000" w:sz="6" w:space="0"/>
              <w:bottom w:val="double" w:color="000000" w:sz="2" w:space="0"/>
            </w:tcBorders>
          </w:tcPr>
          <w:p>
            <w:pPr>
              <w:pStyle w:val="17"/>
              <w:ind w:left="596" w:right="562"/>
              <w:jc w:val="center"/>
              <w:rPr>
                <w:sz w:val="24"/>
              </w:rPr>
            </w:pPr>
            <w:r>
              <w:rPr>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double" w:color="000000" w:sz="2" w:space="0"/>
              <w:bottom w:val="single" w:color="000000" w:sz="6" w:space="0"/>
              <w:right w:val="single" w:color="000000" w:sz="6" w:space="0"/>
            </w:tcBorders>
          </w:tcPr>
          <w:p>
            <w:pPr>
              <w:pStyle w:val="17"/>
              <w:rPr>
                <w:rFonts w:ascii="Times New Roman"/>
                <w:sz w:val="20"/>
              </w:rPr>
            </w:pPr>
          </w:p>
        </w:tc>
        <w:tc>
          <w:tcPr>
            <w:tcW w:w="1984"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double" w:color="000000" w:sz="2"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5"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93" w:type="dxa"/>
            <w:tcBorders>
              <w:top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tcBorders>
          </w:tcPr>
          <w:p>
            <w:pPr>
              <w:pStyle w:val="17"/>
              <w:rPr>
                <w:rFonts w:ascii="Times New Roman"/>
                <w:sz w:val="20"/>
              </w:rPr>
            </w:pPr>
          </w:p>
        </w:tc>
      </w:tr>
    </w:tbl>
    <w:p>
      <w:pPr>
        <w:spacing w:after="0"/>
        <w:rPr>
          <w:rFonts w:ascii="Times New Roman"/>
          <w:sz w:val="20"/>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86" o:spid="_x0000_s1186" o:spt="20" style="position:absolute;left:0pt;margin-left:62.4pt;margin-top:12.25pt;height:0pt;width:400.4pt;mso-position-horizontal-relative:page;z-index:251826176;mso-width-relative:page;mso-height-relative:page;" stroked="t" coordsize="21600,21600">
            <v:path arrowok="t"/>
            <v:fill focussize="0,0"/>
            <v:stroke weight="0.36pt" color="#000000"/>
            <v:imagedata o:title=""/>
            <o:lock v:ext="edit"/>
          </v:line>
        </w:pict>
      </w:r>
      <w:bookmarkStart w:id="141" w:name="8-3：专业工程暂估价表"/>
      <w:bookmarkEnd w:id="141"/>
      <w:r>
        <w:rPr>
          <w:rFonts w:hint="eastAsia"/>
          <w:sz w:val="18"/>
          <w:lang w:eastAsia="zh-CN"/>
        </w:rPr>
        <w:t xml:space="preserve"> </w:t>
      </w:r>
    </w:p>
    <w:p>
      <w:pPr>
        <w:pStyle w:val="8"/>
        <w:rPr>
          <w:sz w:val="20"/>
        </w:rPr>
      </w:pPr>
    </w:p>
    <w:p>
      <w:pPr>
        <w:pStyle w:val="8"/>
        <w:rPr>
          <w:sz w:val="20"/>
        </w:rPr>
      </w:pPr>
    </w:p>
    <w:p>
      <w:pPr>
        <w:pStyle w:val="8"/>
        <w:spacing w:before="11"/>
        <w:rPr>
          <w:sz w:val="21"/>
        </w:rPr>
      </w:pPr>
    </w:p>
    <w:p>
      <w:pPr>
        <w:pStyle w:val="7"/>
        <w:numPr>
          <w:ilvl w:val="1"/>
          <w:numId w:val="117"/>
        </w:numPr>
        <w:tabs>
          <w:tab w:val="left" w:pos="752"/>
        </w:tabs>
        <w:spacing w:before="66" w:after="0" w:line="240" w:lineRule="auto"/>
        <w:ind w:left="751" w:right="0" w:hanging="364"/>
        <w:jc w:val="left"/>
      </w:pPr>
      <w:bookmarkStart w:id="142" w:name="_bookmark76"/>
      <w:bookmarkEnd w:id="142"/>
      <w:bookmarkStart w:id="143" w:name="8-2：工程设备暂估价表"/>
      <w:bookmarkEnd w:id="143"/>
      <w:r>
        <w:t>：工程设备暂估价表</w:t>
      </w:r>
    </w:p>
    <w:p>
      <w:pPr>
        <w:pStyle w:val="8"/>
        <w:spacing w:before="7"/>
        <w:rPr>
          <w:b/>
          <w:sz w:val="20"/>
        </w:rPr>
      </w:pPr>
    </w:p>
    <w:tbl>
      <w:tblPr>
        <w:tblStyle w:val="13"/>
        <w:tblW w:w="0" w:type="auto"/>
        <w:tblInd w:w="26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93"/>
        <w:gridCol w:w="1984"/>
        <w:gridCol w:w="851"/>
        <w:gridCol w:w="774"/>
        <w:gridCol w:w="1352"/>
        <w:gridCol w:w="1418"/>
        <w:gridCol w:w="170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93" w:type="dxa"/>
            <w:tcBorders>
              <w:bottom w:val="double" w:color="000000" w:sz="2" w:space="0"/>
              <w:right w:val="single" w:color="000000" w:sz="6" w:space="0"/>
            </w:tcBorders>
          </w:tcPr>
          <w:p>
            <w:pPr>
              <w:pStyle w:val="17"/>
              <w:spacing w:before="2"/>
              <w:ind w:left="255"/>
              <w:rPr>
                <w:sz w:val="24"/>
              </w:rPr>
            </w:pPr>
            <w:r>
              <w:rPr>
                <w:sz w:val="24"/>
              </w:rPr>
              <w:t>序号</w:t>
            </w:r>
          </w:p>
        </w:tc>
        <w:tc>
          <w:tcPr>
            <w:tcW w:w="1984" w:type="dxa"/>
            <w:tcBorders>
              <w:left w:val="single" w:color="000000" w:sz="6" w:space="0"/>
              <w:bottom w:val="double" w:color="000000" w:sz="2" w:space="0"/>
              <w:right w:val="single" w:color="000000" w:sz="6" w:space="0"/>
            </w:tcBorders>
          </w:tcPr>
          <w:p>
            <w:pPr>
              <w:pStyle w:val="17"/>
              <w:spacing w:before="2"/>
              <w:ind w:left="737" w:right="711"/>
              <w:jc w:val="center"/>
              <w:rPr>
                <w:sz w:val="24"/>
              </w:rPr>
            </w:pPr>
            <w:r>
              <w:rPr>
                <w:sz w:val="24"/>
              </w:rPr>
              <w:t>名称</w:t>
            </w:r>
          </w:p>
        </w:tc>
        <w:tc>
          <w:tcPr>
            <w:tcW w:w="851" w:type="dxa"/>
            <w:tcBorders>
              <w:left w:val="single" w:color="000000" w:sz="6" w:space="0"/>
              <w:bottom w:val="double" w:color="000000" w:sz="2" w:space="0"/>
              <w:right w:val="single" w:color="000000" w:sz="6" w:space="0"/>
            </w:tcBorders>
          </w:tcPr>
          <w:p>
            <w:pPr>
              <w:pStyle w:val="17"/>
              <w:spacing w:before="2"/>
              <w:ind w:left="192"/>
              <w:rPr>
                <w:sz w:val="24"/>
              </w:rPr>
            </w:pPr>
            <w:r>
              <w:rPr>
                <w:sz w:val="24"/>
              </w:rPr>
              <w:t>单位</w:t>
            </w:r>
          </w:p>
        </w:tc>
        <w:tc>
          <w:tcPr>
            <w:tcW w:w="774" w:type="dxa"/>
            <w:tcBorders>
              <w:left w:val="single" w:color="000000" w:sz="6" w:space="0"/>
              <w:bottom w:val="double" w:color="000000" w:sz="2" w:space="0"/>
              <w:right w:val="single" w:color="000000" w:sz="6" w:space="0"/>
            </w:tcBorders>
          </w:tcPr>
          <w:p>
            <w:pPr>
              <w:pStyle w:val="17"/>
              <w:spacing w:before="2"/>
              <w:ind w:left="154"/>
              <w:rPr>
                <w:sz w:val="24"/>
              </w:rPr>
            </w:pPr>
            <w:r>
              <w:rPr>
                <w:sz w:val="24"/>
              </w:rPr>
              <w:t>数量</w:t>
            </w:r>
          </w:p>
        </w:tc>
        <w:tc>
          <w:tcPr>
            <w:tcW w:w="1352" w:type="dxa"/>
            <w:tcBorders>
              <w:left w:val="single" w:color="000000" w:sz="6" w:space="0"/>
              <w:bottom w:val="double" w:color="000000" w:sz="2" w:space="0"/>
              <w:right w:val="single" w:color="000000" w:sz="6" w:space="0"/>
            </w:tcBorders>
          </w:tcPr>
          <w:p>
            <w:pPr>
              <w:pStyle w:val="17"/>
              <w:spacing w:before="2"/>
              <w:ind w:left="83"/>
              <w:rPr>
                <w:sz w:val="24"/>
              </w:rPr>
            </w:pPr>
            <w:r>
              <w:rPr>
                <w:sz w:val="24"/>
              </w:rPr>
              <w:t>单价（元）</w:t>
            </w:r>
          </w:p>
        </w:tc>
        <w:tc>
          <w:tcPr>
            <w:tcW w:w="1418" w:type="dxa"/>
            <w:tcBorders>
              <w:left w:val="single" w:color="000000" w:sz="6" w:space="0"/>
              <w:bottom w:val="double" w:color="000000" w:sz="2" w:space="0"/>
              <w:right w:val="single" w:color="000000" w:sz="6" w:space="0"/>
            </w:tcBorders>
          </w:tcPr>
          <w:p>
            <w:pPr>
              <w:pStyle w:val="17"/>
              <w:spacing w:before="2"/>
              <w:ind w:left="116"/>
              <w:rPr>
                <w:sz w:val="24"/>
              </w:rPr>
            </w:pPr>
            <w:r>
              <w:rPr>
                <w:sz w:val="24"/>
              </w:rPr>
              <w:t>合价（元）</w:t>
            </w:r>
          </w:p>
        </w:tc>
        <w:tc>
          <w:tcPr>
            <w:tcW w:w="1701" w:type="dxa"/>
            <w:tcBorders>
              <w:left w:val="single" w:color="000000" w:sz="6" w:space="0"/>
              <w:bottom w:val="double" w:color="000000" w:sz="2" w:space="0"/>
            </w:tcBorders>
          </w:tcPr>
          <w:p>
            <w:pPr>
              <w:pStyle w:val="17"/>
              <w:spacing w:before="2"/>
              <w:ind w:left="596" w:right="562"/>
              <w:jc w:val="center"/>
              <w:rPr>
                <w:sz w:val="24"/>
              </w:rPr>
            </w:pPr>
            <w:r>
              <w:rPr>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double" w:color="000000" w:sz="2" w:space="0"/>
              <w:bottom w:val="single" w:color="000000" w:sz="6" w:space="0"/>
              <w:right w:val="single" w:color="000000" w:sz="6" w:space="0"/>
            </w:tcBorders>
          </w:tcPr>
          <w:p>
            <w:pPr>
              <w:pStyle w:val="17"/>
              <w:rPr>
                <w:rFonts w:ascii="Times New Roman"/>
                <w:sz w:val="20"/>
              </w:rPr>
            </w:pPr>
          </w:p>
        </w:tc>
        <w:tc>
          <w:tcPr>
            <w:tcW w:w="1984"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double" w:color="000000" w:sz="2"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66"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66"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5"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66" w:hRule="atLeast"/>
        </w:trPr>
        <w:tc>
          <w:tcPr>
            <w:tcW w:w="993" w:type="dxa"/>
            <w:tcBorders>
              <w:top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tcBorders>
          </w:tcPr>
          <w:p>
            <w:pPr>
              <w:pStyle w:val="17"/>
              <w:rPr>
                <w:rFonts w:ascii="Times New Roman"/>
                <w:sz w:val="20"/>
              </w:rPr>
            </w:pPr>
          </w:p>
        </w:tc>
      </w:tr>
    </w:tbl>
    <w:p>
      <w:pPr>
        <w:spacing w:after="0"/>
        <w:rPr>
          <w:rFonts w:ascii="Times New Roman"/>
          <w:sz w:val="20"/>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87" o:spid="_x0000_s1187" o:spt="20" style="position:absolute;left:0pt;margin-left:62.4pt;margin-top:12.25pt;height:0pt;width:400.4pt;mso-position-horizontal-relative:page;z-index:251827200;mso-width-relative:page;mso-height-relative:page;" stroked="t" coordsize="21600,21600">
            <v:path arrowok="t"/>
            <v:fill focussize="0,0"/>
            <v:stroke weight="0.36pt" color="#000000"/>
            <v:imagedata o:title=""/>
            <o:lock v:ext="edit"/>
          </v:line>
        </w:pict>
      </w:r>
      <w:bookmarkStart w:id="144" w:name="第五章  磋商响应文件格式"/>
      <w:bookmarkEnd w:id="144"/>
      <w:r>
        <w:rPr>
          <w:rFonts w:hint="eastAsia"/>
          <w:sz w:val="18"/>
          <w:lang w:eastAsia="zh-CN"/>
        </w:rPr>
        <w:t xml:space="preserve"> </w:t>
      </w:r>
    </w:p>
    <w:p>
      <w:pPr>
        <w:pStyle w:val="8"/>
        <w:spacing w:before="6"/>
        <w:rPr>
          <w:sz w:val="25"/>
        </w:rPr>
      </w:pPr>
    </w:p>
    <w:p>
      <w:pPr>
        <w:pStyle w:val="7"/>
        <w:numPr>
          <w:ilvl w:val="1"/>
          <w:numId w:val="117"/>
        </w:numPr>
        <w:tabs>
          <w:tab w:val="left" w:pos="752"/>
        </w:tabs>
        <w:spacing w:before="67" w:after="0" w:line="240" w:lineRule="auto"/>
        <w:ind w:left="751" w:right="0" w:hanging="364"/>
        <w:jc w:val="left"/>
      </w:pPr>
      <w:bookmarkStart w:id="145" w:name="_bookmark77"/>
      <w:bookmarkEnd w:id="145"/>
      <w:r>
        <w:t>：专业工程暂估价表</w:t>
      </w:r>
    </w:p>
    <w:p>
      <w:pPr>
        <w:pStyle w:val="8"/>
        <w:spacing w:before="5"/>
        <w:rPr>
          <w:b/>
          <w:sz w:val="20"/>
        </w:rPr>
      </w:pPr>
    </w:p>
    <w:tbl>
      <w:tblPr>
        <w:tblStyle w:val="13"/>
        <w:tblW w:w="0" w:type="auto"/>
        <w:tblInd w:w="26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93"/>
        <w:gridCol w:w="1984"/>
        <w:gridCol w:w="851"/>
        <w:gridCol w:w="774"/>
        <w:gridCol w:w="1352"/>
        <w:gridCol w:w="1418"/>
        <w:gridCol w:w="170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93" w:type="dxa"/>
            <w:tcBorders>
              <w:bottom w:val="double" w:color="000000" w:sz="2" w:space="0"/>
              <w:right w:val="single" w:color="000000" w:sz="6" w:space="0"/>
            </w:tcBorders>
          </w:tcPr>
          <w:p>
            <w:pPr>
              <w:pStyle w:val="17"/>
              <w:spacing w:before="1"/>
              <w:ind w:left="255"/>
              <w:rPr>
                <w:sz w:val="24"/>
              </w:rPr>
            </w:pPr>
            <w:r>
              <w:rPr>
                <w:sz w:val="24"/>
              </w:rPr>
              <w:t>序号</w:t>
            </w:r>
          </w:p>
        </w:tc>
        <w:tc>
          <w:tcPr>
            <w:tcW w:w="1984" w:type="dxa"/>
            <w:tcBorders>
              <w:left w:val="single" w:color="000000" w:sz="6" w:space="0"/>
              <w:bottom w:val="double" w:color="000000" w:sz="2" w:space="0"/>
              <w:right w:val="single" w:color="000000" w:sz="6" w:space="0"/>
            </w:tcBorders>
          </w:tcPr>
          <w:p>
            <w:pPr>
              <w:pStyle w:val="17"/>
              <w:spacing w:before="1"/>
              <w:ind w:left="737" w:right="711"/>
              <w:jc w:val="center"/>
              <w:rPr>
                <w:sz w:val="24"/>
              </w:rPr>
            </w:pPr>
            <w:r>
              <w:rPr>
                <w:sz w:val="24"/>
              </w:rPr>
              <w:t>名称</w:t>
            </w:r>
          </w:p>
        </w:tc>
        <w:tc>
          <w:tcPr>
            <w:tcW w:w="851" w:type="dxa"/>
            <w:tcBorders>
              <w:left w:val="single" w:color="000000" w:sz="6" w:space="0"/>
              <w:bottom w:val="double" w:color="000000" w:sz="2" w:space="0"/>
              <w:right w:val="single" w:color="000000" w:sz="6" w:space="0"/>
            </w:tcBorders>
          </w:tcPr>
          <w:p>
            <w:pPr>
              <w:pStyle w:val="17"/>
              <w:spacing w:before="1"/>
              <w:ind w:left="192"/>
              <w:rPr>
                <w:sz w:val="24"/>
              </w:rPr>
            </w:pPr>
            <w:r>
              <w:rPr>
                <w:sz w:val="24"/>
              </w:rPr>
              <w:t>单位</w:t>
            </w:r>
          </w:p>
        </w:tc>
        <w:tc>
          <w:tcPr>
            <w:tcW w:w="774" w:type="dxa"/>
            <w:tcBorders>
              <w:left w:val="single" w:color="000000" w:sz="6" w:space="0"/>
              <w:bottom w:val="double" w:color="000000" w:sz="2" w:space="0"/>
              <w:right w:val="single" w:color="000000" w:sz="6" w:space="0"/>
            </w:tcBorders>
          </w:tcPr>
          <w:p>
            <w:pPr>
              <w:pStyle w:val="17"/>
              <w:spacing w:before="1"/>
              <w:ind w:left="154"/>
              <w:rPr>
                <w:sz w:val="24"/>
              </w:rPr>
            </w:pPr>
            <w:r>
              <w:rPr>
                <w:sz w:val="24"/>
              </w:rPr>
              <w:t>数量</w:t>
            </w:r>
          </w:p>
        </w:tc>
        <w:tc>
          <w:tcPr>
            <w:tcW w:w="1352" w:type="dxa"/>
            <w:tcBorders>
              <w:left w:val="single" w:color="000000" w:sz="6" w:space="0"/>
              <w:bottom w:val="double" w:color="000000" w:sz="2" w:space="0"/>
              <w:right w:val="single" w:color="000000" w:sz="6" w:space="0"/>
            </w:tcBorders>
          </w:tcPr>
          <w:p>
            <w:pPr>
              <w:pStyle w:val="17"/>
              <w:spacing w:before="1"/>
              <w:ind w:left="83"/>
              <w:rPr>
                <w:sz w:val="24"/>
              </w:rPr>
            </w:pPr>
            <w:r>
              <w:rPr>
                <w:sz w:val="24"/>
              </w:rPr>
              <w:t>单价（元）</w:t>
            </w:r>
          </w:p>
        </w:tc>
        <w:tc>
          <w:tcPr>
            <w:tcW w:w="1418" w:type="dxa"/>
            <w:tcBorders>
              <w:left w:val="single" w:color="000000" w:sz="6" w:space="0"/>
              <w:bottom w:val="double" w:color="000000" w:sz="2" w:space="0"/>
              <w:right w:val="single" w:color="000000" w:sz="6" w:space="0"/>
            </w:tcBorders>
          </w:tcPr>
          <w:p>
            <w:pPr>
              <w:pStyle w:val="17"/>
              <w:spacing w:before="1"/>
              <w:ind w:left="116"/>
              <w:rPr>
                <w:sz w:val="24"/>
              </w:rPr>
            </w:pPr>
            <w:r>
              <w:rPr>
                <w:sz w:val="24"/>
              </w:rPr>
              <w:t>合价（元）</w:t>
            </w:r>
          </w:p>
        </w:tc>
        <w:tc>
          <w:tcPr>
            <w:tcW w:w="1701" w:type="dxa"/>
            <w:tcBorders>
              <w:left w:val="single" w:color="000000" w:sz="6" w:space="0"/>
              <w:bottom w:val="double" w:color="000000" w:sz="2" w:space="0"/>
            </w:tcBorders>
          </w:tcPr>
          <w:p>
            <w:pPr>
              <w:pStyle w:val="17"/>
              <w:spacing w:before="1"/>
              <w:ind w:left="596" w:right="562"/>
              <w:jc w:val="center"/>
              <w:rPr>
                <w:sz w:val="24"/>
              </w:rPr>
            </w:pPr>
            <w:r>
              <w:rPr>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double" w:color="000000" w:sz="2" w:space="0"/>
              <w:bottom w:val="single" w:color="000000" w:sz="6" w:space="0"/>
              <w:right w:val="single" w:color="000000" w:sz="6" w:space="0"/>
            </w:tcBorders>
          </w:tcPr>
          <w:p>
            <w:pPr>
              <w:pStyle w:val="17"/>
              <w:rPr>
                <w:rFonts w:ascii="Times New Roman"/>
                <w:sz w:val="20"/>
              </w:rPr>
            </w:pPr>
          </w:p>
        </w:tc>
        <w:tc>
          <w:tcPr>
            <w:tcW w:w="1984"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double" w:color="000000" w:sz="2"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double" w:color="000000" w:sz="2"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5" w:hRule="atLeast"/>
        </w:trPr>
        <w:tc>
          <w:tcPr>
            <w:tcW w:w="993" w:type="dxa"/>
            <w:tcBorders>
              <w:top w:val="single" w:color="000000" w:sz="6" w:space="0"/>
              <w:bottom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bottom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6" w:hRule="atLeast"/>
        </w:trPr>
        <w:tc>
          <w:tcPr>
            <w:tcW w:w="993" w:type="dxa"/>
            <w:tcBorders>
              <w:top w:val="single" w:color="000000" w:sz="6" w:space="0"/>
              <w:right w:val="single" w:color="000000" w:sz="6" w:space="0"/>
            </w:tcBorders>
          </w:tcPr>
          <w:p>
            <w:pPr>
              <w:pStyle w:val="17"/>
              <w:rPr>
                <w:rFonts w:ascii="Times New Roman"/>
                <w:sz w:val="20"/>
              </w:rPr>
            </w:pPr>
          </w:p>
        </w:tc>
        <w:tc>
          <w:tcPr>
            <w:tcW w:w="1984" w:type="dxa"/>
            <w:tcBorders>
              <w:top w:val="single" w:color="000000" w:sz="6" w:space="0"/>
              <w:left w:val="single" w:color="000000" w:sz="6" w:space="0"/>
              <w:right w:val="single" w:color="000000" w:sz="6" w:space="0"/>
            </w:tcBorders>
          </w:tcPr>
          <w:p>
            <w:pPr>
              <w:pStyle w:val="17"/>
              <w:rPr>
                <w:rFonts w:ascii="Times New Roman"/>
                <w:sz w:val="20"/>
              </w:rPr>
            </w:pPr>
          </w:p>
        </w:tc>
        <w:tc>
          <w:tcPr>
            <w:tcW w:w="851" w:type="dxa"/>
            <w:tcBorders>
              <w:top w:val="single" w:color="000000" w:sz="6" w:space="0"/>
              <w:left w:val="single" w:color="000000" w:sz="6" w:space="0"/>
              <w:right w:val="single" w:color="000000" w:sz="6" w:space="0"/>
            </w:tcBorders>
          </w:tcPr>
          <w:p>
            <w:pPr>
              <w:pStyle w:val="17"/>
              <w:rPr>
                <w:rFonts w:ascii="Times New Roman"/>
                <w:sz w:val="20"/>
              </w:rPr>
            </w:pPr>
          </w:p>
        </w:tc>
        <w:tc>
          <w:tcPr>
            <w:tcW w:w="774" w:type="dxa"/>
            <w:tcBorders>
              <w:top w:val="single" w:color="000000" w:sz="6" w:space="0"/>
              <w:left w:val="single" w:color="000000" w:sz="6" w:space="0"/>
              <w:right w:val="single" w:color="000000" w:sz="6" w:space="0"/>
            </w:tcBorders>
          </w:tcPr>
          <w:p>
            <w:pPr>
              <w:pStyle w:val="17"/>
              <w:rPr>
                <w:rFonts w:ascii="Times New Roman"/>
                <w:sz w:val="20"/>
              </w:rPr>
            </w:pPr>
          </w:p>
        </w:tc>
        <w:tc>
          <w:tcPr>
            <w:tcW w:w="1352" w:type="dxa"/>
            <w:tcBorders>
              <w:top w:val="single" w:color="000000" w:sz="6" w:space="0"/>
              <w:left w:val="single" w:color="000000" w:sz="6" w:space="0"/>
              <w:right w:val="single" w:color="000000" w:sz="6" w:space="0"/>
            </w:tcBorders>
          </w:tcPr>
          <w:p>
            <w:pPr>
              <w:pStyle w:val="17"/>
              <w:rPr>
                <w:rFonts w:ascii="Times New Roman"/>
                <w:sz w:val="20"/>
              </w:rPr>
            </w:pPr>
          </w:p>
        </w:tc>
        <w:tc>
          <w:tcPr>
            <w:tcW w:w="1418" w:type="dxa"/>
            <w:tcBorders>
              <w:top w:val="single" w:color="000000" w:sz="6" w:space="0"/>
              <w:left w:val="single" w:color="000000" w:sz="6" w:space="0"/>
              <w:right w:val="single" w:color="000000" w:sz="6" w:space="0"/>
            </w:tcBorders>
          </w:tcPr>
          <w:p>
            <w:pPr>
              <w:pStyle w:val="17"/>
              <w:rPr>
                <w:rFonts w:ascii="Times New Roman"/>
                <w:sz w:val="20"/>
              </w:rPr>
            </w:pPr>
          </w:p>
        </w:tc>
        <w:tc>
          <w:tcPr>
            <w:tcW w:w="1701" w:type="dxa"/>
            <w:tcBorders>
              <w:top w:val="single" w:color="000000" w:sz="6" w:space="0"/>
              <w:left w:val="single" w:color="000000" w:sz="6" w:space="0"/>
            </w:tcBorders>
          </w:tcPr>
          <w:p>
            <w:pPr>
              <w:pStyle w:val="17"/>
              <w:rPr>
                <w:rFonts w:ascii="Times New Roman"/>
                <w:sz w:val="20"/>
              </w:rPr>
            </w:pPr>
          </w:p>
        </w:tc>
      </w:tr>
    </w:tbl>
    <w:p>
      <w:pPr>
        <w:spacing w:after="0"/>
        <w:rPr>
          <w:rFonts w:ascii="Times New Roman"/>
          <w:sz w:val="20"/>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88" o:spid="_x0000_s1188" o:spt="20" style="position:absolute;left:0pt;margin-left:62.4pt;margin-top:12.25pt;height:0pt;width:400.4pt;mso-position-horizontal-relative:page;z-index:25182822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10"/>
        <w:rPr>
          <w:sz w:val="26"/>
        </w:rPr>
      </w:pPr>
    </w:p>
    <w:p>
      <w:pPr>
        <w:pStyle w:val="4"/>
        <w:tabs>
          <w:tab w:val="left" w:pos="1439"/>
        </w:tabs>
        <w:ind w:right="362"/>
        <w:outlineLvl w:val="0"/>
      </w:pPr>
      <w:bookmarkStart w:id="146" w:name="_Toc15013"/>
      <w:r>
        <w:t>第五章</w:t>
      </w:r>
      <w:r>
        <w:tab/>
      </w:r>
      <w:r>
        <w:t>磋商响应文件格式</w:t>
      </w:r>
      <w:bookmarkEnd w:id="146"/>
    </w:p>
    <w:p>
      <w:pPr>
        <w:pStyle w:val="8"/>
        <w:spacing w:before="239" w:line="362" w:lineRule="auto"/>
        <w:ind w:left="388" w:right="744" w:firstLine="537"/>
      </w:pPr>
      <w:r>
        <w:t>磋商人应严格按照本格式要求编制磋商响应文件，胶装成册并编制相应页码，否则其磋商响应文件将不予接受。</w:t>
      </w:r>
    </w:p>
    <w:p>
      <w:pPr>
        <w:spacing w:after="0" w:line="362" w:lineRule="auto"/>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89" o:spid="_x0000_s1189" o:spt="20" style="position:absolute;left:0pt;margin-left:62.4pt;margin-top:12.25pt;height:0pt;width:400.4pt;mso-position-horizontal-relative:page;z-index:251829248;mso-width-relative:page;mso-height-relative:page;" stroked="t" coordsize="21600,21600">
            <v:path arrowok="t"/>
            <v:fill focussize="0,0"/>
            <v:stroke weight="0.36pt" color="#000000"/>
            <v:imagedata o:title=""/>
            <o:lock v:ext="edit"/>
          </v:line>
        </w:pict>
      </w:r>
      <w:bookmarkStart w:id="147" w:name="一、响应函及响应函附录"/>
      <w:bookmarkEnd w:id="147"/>
      <w:r>
        <w:rPr>
          <w:rFonts w:hint="eastAsia"/>
          <w:sz w:val="18"/>
          <w:lang w:eastAsia="zh-CN"/>
        </w:rPr>
        <w:t xml:space="preserve"> </w:t>
      </w:r>
    </w:p>
    <w:p>
      <w:pPr>
        <w:pStyle w:val="8"/>
        <w:rPr>
          <w:sz w:val="20"/>
        </w:rPr>
      </w:pPr>
    </w:p>
    <w:p>
      <w:pPr>
        <w:pStyle w:val="8"/>
        <w:rPr>
          <w:sz w:val="20"/>
        </w:rPr>
      </w:pPr>
    </w:p>
    <w:p>
      <w:pPr>
        <w:pStyle w:val="8"/>
        <w:spacing w:before="6"/>
        <w:rPr>
          <w:sz w:val="27"/>
        </w:rPr>
      </w:pPr>
    </w:p>
    <w:p>
      <w:pPr>
        <w:spacing w:before="0" w:line="922" w:lineRule="exact"/>
        <w:ind w:left="0" w:right="363" w:firstLine="0"/>
        <w:jc w:val="center"/>
        <w:outlineLvl w:val="1"/>
        <w:rPr>
          <w:b/>
          <w:sz w:val="72"/>
        </w:rPr>
      </w:pPr>
      <w:r>
        <w:rPr>
          <w:b/>
          <w:sz w:val="72"/>
        </w:rPr>
        <w:t>青海省政府采购项目</w:t>
      </w:r>
    </w:p>
    <w:p>
      <w:pPr>
        <w:pStyle w:val="8"/>
        <w:rPr>
          <w:b/>
          <w:sz w:val="72"/>
        </w:rPr>
      </w:pPr>
    </w:p>
    <w:p>
      <w:pPr>
        <w:pStyle w:val="8"/>
        <w:rPr>
          <w:b/>
          <w:sz w:val="72"/>
        </w:rPr>
      </w:pPr>
    </w:p>
    <w:p>
      <w:pPr>
        <w:pStyle w:val="2"/>
        <w:spacing w:before="499"/>
      </w:pPr>
      <w:r>
        <w:t>磋商响应文件</w:t>
      </w:r>
    </w:p>
    <w:p>
      <w:pPr>
        <w:pStyle w:val="8"/>
        <w:rPr>
          <w:b/>
          <w:sz w:val="52"/>
        </w:rPr>
      </w:pPr>
    </w:p>
    <w:p>
      <w:pPr>
        <w:pStyle w:val="8"/>
        <w:rPr>
          <w:b/>
          <w:sz w:val="52"/>
        </w:rPr>
      </w:pPr>
    </w:p>
    <w:p>
      <w:pPr>
        <w:pStyle w:val="8"/>
        <w:rPr>
          <w:b/>
          <w:sz w:val="52"/>
        </w:rPr>
      </w:pPr>
    </w:p>
    <w:p>
      <w:pPr>
        <w:pStyle w:val="8"/>
        <w:rPr>
          <w:b/>
          <w:sz w:val="52"/>
        </w:rPr>
      </w:pPr>
    </w:p>
    <w:p>
      <w:pPr>
        <w:pStyle w:val="8"/>
        <w:rPr>
          <w:b/>
          <w:sz w:val="52"/>
        </w:rPr>
      </w:pPr>
    </w:p>
    <w:p>
      <w:pPr>
        <w:pStyle w:val="8"/>
        <w:spacing w:before="3"/>
        <w:rPr>
          <w:b/>
          <w:sz w:val="58"/>
        </w:rPr>
      </w:pPr>
    </w:p>
    <w:p>
      <w:pPr>
        <w:tabs>
          <w:tab w:val="left" w:pos="4719"/>
          <w:tab w:val="left" w:pos="7611"/>
          <w:tab w:val="left" w:pos="8953"/>
        </w:tabs>
        <w:spacing w:before="0" w:line="364" w:lineRule="auto"/>
        <w:ind w:left="1026" w:right="1548" w:firstLine="0"/>
        <w:jc w:val="both"/>
        <w:rPr>
          <w:b/>
          <w:sz w:val="32"/>
        </w:rPr>
      </w:pPr>
      <w:r>
        <w:rPr>
          <w:b/>
          <w:w w:val="95"/>
          <w:sz w:val="32"/>
        </w:rPr>
        <w:t>采购项目编号</w:t>
      </w:r>
      <w:r>
        <w:rPr>
          <w:w w:val="95"/>
          <w:sz w:val="32"/>
        </w:rPr>
        <w:t>：</w:t>
      </w:r>
      <w:r>
        <w:rPr>
          <w:w w:val="95"/>
          <w:sz w:val="32"/>
          <w:u w:val="single"/>
        </w:rPr>
        <w:tab/>
      </w:r>
      <w:r>
        <w:rPr>
          <w:w w:val="95"/>
          <w:sz w:val="32"/>
          <w:u w:val="single"/>
        </w:rPr>
        <w:tab/>
      </w:r>
      <w:r>
        <w:rPr>
          <w:w w:val="95"/>
          <w:sz w:val="32"/>
          <w:u w:val="single"/>
        </w:rPr>
        <w:tab/>
      </w:r>
      <w:r>
        <w:rPr>
          <w:w w:val="95"/>
          <w:sz w:val="32"/>
          <w:u w:val="single"/>
        </w:rPr>
        <w:t xml:space="preserve">                                    </w:t>
      </w:r>
      <w:r>
        <w:rPr>
          <w:b/>
          <w:w w:val="95"/>
          <w:sz w:val="32"/>
        </w:rPr>
        <w:t>采购项目名称：</w:t>
      </w:r>
      <w:r>
        <w:rPr>
          <w:b/>
          <w:w w:val="95"/>
          <w:sz w:val="32"/>
          <w:u w:val="single"/>
        </w:rPr>
        <w:tab/>
      </w:r>
      <w:r>
        <w:rPr>
          <w:b/>
          <w:w w:val="95"/>
          <w:sz w:val="32"/>
          <w:u w:val="single"/>
        </w:rPr>
        <w:tab/>
      </w:r>
      <w:r>
        <w:rPr>
          <w:b/>
          <w:w w:val="95"/>
          <w:sz w:val="32"/>
          <w:u w:val="single"/>
        </w:rPr>
        <w:tab/>
      </w:r>
      <w:r>
        <w:rPr>
          <w:b/>
          <w:w w:val="95"/>
          <w:sz w:val="32"/>
          <w:u w:val="single"/>
        </w:rPr>
        <w:t xml:space="preserve"> </w:t>
      </w:r>
      <w:r>
        <w:rPr>
          <w:b/>
          <w:sz w:val="32"/>
        </w:rPr>
        <w:t>磋商响应人：</w:t>
      </w:r>
      <w:r>
        <w:rPr>
          <w:b/>
          <w:sz w:val="32"/>
          <w:u w:val="single"/>
        </w:rPr>
        <w:t xml:space="preserve"> </w:t>
      </w:r>
      <w:r>
        <w:rPr>
          <w:b/>
          <w:sz w:val="32"/>
          <w:u w:val="single"/>
        </w:rPr>
        <w:tab/>
      </w:r>
      <w:r>
        <w:rPr>
          <w:b/>
          <w:sz w:val="32"/>
          <w:u w:val="single"/>
        </w:rPr>
        <w:tab/>
      </w:r>
      <w:r>
        <w:rPr>
          <w:b/>
          <w:sz w:val="32"/>
          <w:u w:val="single"/>
        </w:rPr>
        <w:t xml:space="preserve">（公章） </w:t>
      </w:r>
      <w:r>
        <w:rPr>
          <w:b/>
          <w:sz w:val="32"/>
        </w:rPr>
        <w:t>法定代表人：</w:t>
      </w:r>
      <w:r>
        <w:rPr>
          <w:b/>
          <w:sz w:val="32"/>
          <w:u w:val="single"/>
        </w:rPr>
        <w:t xml:space="preserve"> </w:t>
      </w:r>
      <w:r>
        <w:rPr>
          <w:b/>
          <w:sz w:val="32"/>
          <w:u w:val="single"/>
        </w:rPr>
        <w:tab/>
      </w:r>
      <w:r>
        <w:rPr>
          <w:b/>
          <w:sz w:val="32"/>
          <w:u w:val="single"/>
        </w:rPr>
        <w:t>（签字或加盖法定代表人章）</w:t>
      </w:r>
    </w:p>
    <w:p>
      <w:pPr>
        <w:pStyle w:val="8"/>
        <w:rPr>
          <w:b/>
          <w:sz w:val="20"/>
        </w:rPr>
      </w:pPr>
    </w:p>
    <w:p>
      <w:pPr>
        <w:pStyle w:val="8"/>
        <w:spacing w:before="4"/>
        <w:rPr>
          <w:b/>
        </w:rPr>
      </w:pPr>
    </w:p>
    <w:p>
      <w:pPr>
        <w:pStyle w:val="5"/>
        <w:tabs>
          <w:tab w:val="left" w:pos="6615"/>
          <w:tab w:val="left" w:pos="7256"/>
        </w:tabs>
        <w:ind w:left="5816"/>
      </w:pPr>
      <w:r>
        <w:t>年</w:t>
      </w:r>
      <w:r>
        <w:tab/>
      </w:r>
      <w:r>
        <w:t>月</w:t>
      </w:r>
      <w:r>
        <w:tab/>
      </w:r>
      <w:r>
        <w:t>日</w:t>
      </w:r>
    </w:p>
    <w:p>
      <w:pPr>
        <w:spacing w:after="0"/>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90" o:spid="_x0000_s1190" o:spt="20" style="position:absolute;left:0pt;margin-left:62.4pt;margin-top:12.25pt;height:0pt;width:400.4pt;mso-position-horizontal-relative:page;z-index:25183027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rPr>
          <w:sz w:val="20"/>
        </w:rPr>
      </w:pPr>
    </w:p>
    <w:p>
      <w:pPr>
        <w:pStyle w:val="8"/>
        <w:spacing w:before="9"/>
        <w:rPr>
          <w:sz w:val="25"/>
        </w:rPr>
      </w:pPr>
    </w:p>
    <w:p>
      <w:pPr>
        <w:pStyle w:val="7"/>
        <w:spacing w:before="67"/>
        <w:outlineLvl w:val="1"/>
      </w:pPr>
      <w:r>
        <w:t>一、响应函及响应函附录</w:t>
      </w:r>
    </w:p>
    <w:p>
      <w:pPr>
        <w:pStyle w:val="8"/>
        <w:rPr>
          <w:b/>
          <w:sz w:val="20"/>
        </w:rPr>
      </w:pPr>
    </w:p>
    <w:p>
      <w:pPr>
        <w:pStyle w:val="8"/>
        <w:spacing w:before="4"/>
        <w:rPr>
          <w:b/>
          <w:sz w:val="18"/>
        </w:rPr>
      </w:pPr>
    </w:p>
    <w:p>
      <w:pPr>
        <w:spacing w:before="1"/>
        <w:ind w:left="0" w:right="362" w:firstLine="0"/>
        <w:jc w:val="center"/>
        <w:outlineLvl w:val="2"/>
        <w:rPr>
          <w:b/>
          <w:sz w:val="24"/>
        </w:rPr>
      </w:pPr>
      <w:r>
        <w:rPr>
          <w:b/>
          <w:sz w:val="24"/>
        </w:rPr>
        <w:t>（一）响 应 函</w:t>
      </w:r>
    </w:p>
    <w:p>
      <w:pPr>
        <w:pStyle w:val="8"/>
        <w:spacing w:before="158"/>
        <w:ind w:left="812"/>
      </w:pPr>
      <w:r>
        <w:t>致：（招标人名称）</w:t>
      </w:r>
    </w:p>
    <w:p>
      <w:pPr>
        <w:pStyle w:val="8"/>
        <w:tabs>
          <w:tab w:val="left" w:pos="4050"/>
        </w:tabs>
        <w:spacing w:before="160" w:line="362" w:lineRule="auto"/>
        <w:ind w:left="388" w:right="744" w:firstLine="424"/>
      </w:pPr>
      <w:r>
        <w:t>在充分研究</w:t>
      </w:r>
      <w:r>
        <w:rPr>
          <w:u w:val="single"/>
        </w:rPr>
        <w:t xml:space="preserve"> </w:t>
      </w:r>
      <w:r>
        <w:rPr>
          <w:u w:val="single"/>
        </w:rPr>
        <w:tab/>
      </w:r>
      <w:r>
        <w:rPr>
          <w:u w:val="single"/>
        </w:rPr>
        <w:t>（项目名称</w:t>
      </w:r>
      <w:r>
        <w:rPr>
          <w:spacing w:val="-3"/>
          <w:u w:val="single"/>
        </w:rPr>
        <w:t>）</w:t>
      </w:r>
      <w:r>
        <w:rPr>
          <w:spacing w:val="-3"/>
        </w:rPr>
        <w:t>（</w:t>
      </w:r>
      <w:r>
        <w:t>以下简</w:t>
      </w:r>
      <w:r>
        <w:rPr>
          <w:spacing w:val="-3"/>
        </w:rPr>
        <w:t>称</w:t>
      </w:r>
      <w:r>
        <w:t>“本工程”）施工竞争性磋</w:t>
      </w:r>
      <w:r>
        <w:rPr>
          <w:spacing w:val="-16"/>
        </w:rPr>
        <w:t>商</w:t>
      </w:r>
      <w:r>
        <w:t>文件的全部内容后，我方兹以：</w:t>
      </w:r>
    </w:p>
    <w:p>
      <w:pPr>
        <w:pStyle w:val="8"/>
        <w:tabs>
          <w:tab w:val="left" w:pos="2372"/>
          <w:tab w:val="left" w:pos="3092"/>
        </w:tabs>
        <w:spacing w:before="5" w:line="362" w:lineRule="auto"/>
        <w:ind w:left="812" w:right="7212"/>
      </w:pPr>
      <w:r>
        <w:t>人民币（大写）：</w:t>
      </w:r>
      <w:r>
        <w:tab/>
      </w:r>
      <w:r>
        <w:rPr>
          <w:spacing w:val="-17"/>
        </w:rPr>
        <w:t>元</w:t>
      </w:r>
      <w:r>
        <w:t>RMB￥：</w:t>
      </w:r>
      <w:r>
        <w:tab/>
      </w:r>
      <w:r>
        <w:t>元</w:t>
      </w:r>
    </w:p>
    <w:p>
      <w:pPr>
        <w:pStyle w:val="8"/>
        <w:spacing w:before="5" w:line="362" w:lineRule="auto"/>
        <w:ind w:left="388" w:right="744" w:firstLine="424"/>
      </w:pPr>
      <w:r>
        <w:t>的投标价格和按合同约定有权得到的其它金额，并严格按照合同约定，施工、完工和交付本工程并维修其中的任何缺陷。</w:t>
      </w:r>
    </w:p>
    <w:p>
      <w:pPr>
        <w:pStyle w:val="8"/>
        <w:tabs>
          <w:tab w:val="left" w:pos="3992"/>
        </w:tabs>
        <w:spacing w:before="5" w:line="364" w:lineRule="auto"/>
        <w:ind w:left="812" w:right="6312"/>
      </w:pPr>
      <w:r>
        <w:t>在我方的上述报价中，包括： 安全文明施工费</w:t>
      </w:r>
      <w:r>
        <w:rPr>
          <w:spacing w:val="-60"/>
        </w:rPr>
        <w:t xml:space="preserve"> </w:t>
      </w:r>
      <w:r>
        <w:t>RMB￥：</w:t>
      </w:r>
      <w:r>
        <w:tab/>
      </w:r>
      <w:r>
        <w:rPr>
          <w:spacing w:val="-17"/>
        </w:rPr>
        <w:t>元</w:t>
      </w:r>
    </w:p>
    <w:p>
      <w:pPr>
        <w:pStyle w:val="8"/>
        <w:tabs>
          <w:tab w:val="left" w:pos="4112"/>
          <w:tab w:val="left" w:pos="5612"/>
        </w:tabs>
        <w:spacing w:line="362" w:lineRule="auto"/>
        <w:ind w:left="812" w:right="4692"/>
      </w:pPr>
      <w:r>
        <w:t>暂列金额（不包括计日工部分）RMB￥：</w:t>
      </w:r>
      <w:r>
        <w:tab/>
      </w:r>
      <w:r>
        <w:rPr>
          <w:spacing w:val="-17"/>
        </w:rPr>
        <w:t>元</w:t>
      </w:r>
      <w:r>
        <w:t>专业工程暂估价</w:t>
      </w:r>
      <w:r>
        <w:rPr>
          <w:spacing w:val="-60"/>
        </w:rPr>
        <w:t xml:space="preserve"> </w:t>
      </w:r>
      <w:r>
        <w:t>RMB￥：</w:t>
      </w:r>
      <w:r>
        <w:tab/>
      </w:r>
      <w:r>
        <w:t>元</w:t>
      </w:r>
    </w:p>
    <w:p>
      <w:pPr>
        <w:pStyle w:val="8"/>
        <w:spacing w:before="4" w:line="364" w:lineRule="auto"/>
        <w:ind w:left="388" w:right="744" w:firstLine="424"/>
        <w:jc w:val="both"/>
      </w:pPr>
      <w:r>
        <w:rPr>
          <w:spacing w:val="-2"/>
        </w:rPr>
        <w:t>如果我方中标，我方保证在</w:t>
      </w:r>
      <w:r>
        <w:rPr>
          <w:spacing w:val="118"/>
          <w:u w:val="single"/>
        </w:rPr>
        <w:t xml:space="preserve"> </w:t>
      </w:r>
      <w:r>
        <w:t>年</w:t>
      </w:r>
      <w:r>
        <w:rPr>
          <w:spacing w:val="119"/>
          <w:u w:val="single"/>
        </w:rPr>
        <w:t xml:space="preserve"> </w:t>
      </w:r>
      <w:r>
        <w:t>月</w:t>
      </w:r>
      <w:r>
        <w:rPr>
          <w:u w:val="single"/>
        </w:rPr>
        <w:t xml:space="preserve">  </w:t>
      </w:r>
      <w:r>
        <w:rPr>
          <w:spacing w:val="-1"/>
        </w:rPr>
        <w:t>日或按照合同约定的开工日期开始本工程的施</w:t>
      </w:r>
      <w:r>
        <w:rPr>
          <w:spacing w:val="-8"/>
        </w:rPr>
        <w:t>工，</w:t>
      </w:r>
      <w:r>
        <w:rPr>
          <w:spacing w:val="-8"/>
          <w:u w:val="single"/>
        </w:rPr>
        <w:t xml:space="preserve"> </w:t>
      </w:r>
      <w:r>
        <w:rPr>
          <w:spacing w:val="-15"/>
        </w:rPr>
        <w:t>天</w:t>
      </w:r>
      <w:r>
        <w:t>（日历日</w:t>
      </w:r>
      <w:r>
        <w:rPr>
          <w:spacing w:val="-15"/>
        </w:rPr>
        <w:t>）</w:t>
      </w:r>
      <w:r>
        <w:rPr>
          <w:spacing w:val="-5"/>
        </w:rPr>
        <w:t>内完工，并确保工程质量达到标准。我方同意本响应函在磋商文件规</w:t>
      </w:r>
      <w:r>
        <w:t>定的提交响应文件截止时间后，在磋商文件规定的磋商有效期</w:t>
      </w:r>
      <w:r>
        <w:rPr>
          <w:u w:val="single"/>
        </w:rPr>
        <w:t xml:space="preserve"> </w:t>
      </w:r>
      <w:r>
        <w:t>天（日历日）期满前对我方具有约束力，且随时准备接受你方发出的成交通知书。</w:t>
      </w:r>
    </w:p>
    <w:p>
      <w:pPr>
        <w:pStyle w:val="8"/>
        <w:spacing w:line="305" w:lineRule="exact"/>
        <w:ind w:left="812"/>
      </w:pPr>
      <w:r>
        <w:t>随本响应函递交的响应函附录是本响应函的组成部分，对我方构成约束力。</w:t>
      </w:r>
    </w:p>
    <w:p>
      <w:pPr>
        <w:pStyle w:val="8"/>
        <w:tabs>
          <w:tab w:val="left" w:pos="8245"/>
        </w:tabs>
        <w:spacing w:before="160" w:line="362" w:lineRule="auto"/>
        <w:ind w:left="808" w:right="624" w:firstLine="4"/>
      </w:pPr>
      <w:r>
        <w:t>随同本响应函递交磋商保证金一份</w:t>
      </w:r>
      <w:r>
        <w:rPr>
          <w:spacing w:val="-3"/>
        </w:rPr>
        <w:t>，</w:t>
      </w:r>
      <w:r>
        <w:t>金额为人民</w:t>
      </w:r>
      <w:r>
        <w:rPr>
          <w:spacing w:val="-3"/>
        </w:rPr>
        <w:t>币</w:t>
      </w:r>
      <w:r>
        <w:t>（大写）：</w:t>
      </w:r>
      <w:r>
        <w:rPr>
          <w:u w:val="single"/>
        </w:rPr>
        <w:t xml:space="preserve"> </w:t>
      </w:r>
      <w:r>
        <w:rPr>
          <w:u w:val="single"/>
        </w:rPr>
        <w:tab/>
      </w:r>
      <w:r>
        <w:rPr>
          <w:spacing w:val="-3"/>
        </w:rPr>
        <w:t>元</w:t>
      </w:r>
      <w:r>
        <w:t>（￥：元）</w:t>
      </w:r>
      <w:r>
        <w:rPr>
          <w:spacing w:val="-16"/>
        </w:rPr>
        <w:t>。</w:t>
      </w:r>
      <w:r>
        <w:t>在签署协议书之前，你方的成交通知书连同本响应函，包括响应函附录，对双方具有</w:t>
      </w:r>
    </w:p>
    <w:p>
      <w:pPr>
        <w:pStyle w:val="8"/>
        <w:spacing w:before="5"/>
        <w:ind w:left="388"/>
      </w:pPr>
      <w:r>
        <w:t>约束力。</w:t>
      </w:r>
    </w:p>
    <w:p>
      <w:pPr>
        <w:pStyle w:val="7"/>
        <w:spacing w:before="158"/>
        <w:ind w:left="6668"/>
      </w:pPr>
      <w:r>
        <w:t>磋商响应人：</w:t>
      </w:r>
      <w:r>
        <w:rPr>
          <w:u w:val="single"/>
        </w:rPr>
        <w:t>名称</w:t>
      </w:r>
      <w:r>
        <w:t>（公章）</w:t>
      </w:r>
    </w:p>
    <w:p>
      <w:pPr>
        <w:tabs>
          <w:tab w:val="left" w:pos="8595"/>
          <w:tab w:val="left" w:pos="8955"/>
          <w:tab w:val="left" w:pos="9558"/>
        </w:tabs>
        <w:spacing w:before="161" w:line="362" w:lineRule="auto"/>
        <w:ind w:left="8353" w:right="746" w:hanging="4817"/>
        <w:jc w:val="left"/>
        <w:rPr>
          <w:b/>
          <w:sz w:val="24"/>
        </w:rPr>
      </w:pPr>
      <w:r>
        <w:rPr>
          <w:b/>
          <w:sz w:val="24"/>
        </w:rPr>
        <w:t>法定代表</w:t>
      </w:r>
      <w:r>
        <w:rPr>
          <w:b/>
          <w:spacing w:val="-3"/>
          <w:sz w:val="24"/>
        </w:rPr>
        <w:t>人</w:t>
      </w:r>
      <w:r>
        <w:rPr>
          <w:b/>
          <w:sz w:val="24"/>
        </w:rPr>
        <w:t>/或委托代理人：</w:t>
      </w:r>
      <w:r>
        <w:rPr>
          <w:b/>
          <w:sz w:val="24"/>
        </w:rPr>
        <w:tab/>
      </w:r>
      <w:r>
        <w:rPr>
          <w:b/>
          <w:sz w:val="24"/>
        </w:rPr>
        <w:tab/>
      </w:r>
      <w:r>
        <w:rPr>
          <w:b/>
          <w:sz w:val="24"/>
        </w:rPr>
        <w:t xml:space="preserve">（签字） </w:t>
      </w:r>
      <w:r>
        <w:rPr>
          <w:b/>
          <w:w w:val="95"/>
          <w:sz w:val="24"/>
        </w:rPr>
        <w:t>年</w:t>
      </w:r>
      <w:r>
        <w:rPr>
          <w:b/>
          <w:w w:val="95"/>
          <w:sz w:val="24"/>
        </w:rPr>
        <w:tab/>
      </w:r>
      <w:r>
        <w:rPr>
          <w:b/>
          <w:w w:val="95"/>
          <w:sz w:val="24"/>
        </w:rPr>
        <w:tab/>
      </w:r>
      <w:r>
        <w:rPr>
          <w:b/>
          <w:sz w:val="24"/>
        </w:rPr>
        <w:t>月</w:t>
      </w:r>
      <w:r>
        <w:rPr>
          <w:b/>
          <w:sz w:val="24"/>
        </w:rPr>
        <w:tab/>
      </w:r>
      <w:r>
        <w:rPr>
          <w:b/>
          <w:spacing w:val="-17"/>
          <w:sz w:val="24"/>
        </w:rPr>
        <w:t>日</w:t>
      </w:r>
    </w:p>
    <w:p>
      <w:pPr>
        <w:spacing w:after="0" w:line="362"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91" o:spid="_x0000_s1191" o:spt="20" style="position:absolute;left:0pt;margin-left:62.4pt;margin-top:12.25pt;height:0pt;width:400.4pt;mso-position-horizontal-relative:page;z-index:25183129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7"/>
        <w:spacing w:before="67"/>
        <w:ind w:left="0" w:right="358"/>
        <w:jc w:val="center"/>
        <w:outlineLvl w:val="2"/>
      </w:pPr>
      <w:r>
        <w:t>（二）响应函附录</w:t>
      </w:r>
    </w:p>
    <w:p>
      <w:pPr>
        <w:pStyle w:val="8"/>
        <w:spacing w:before="158"/>
        <w:ind w:left="388"/>
      </w:pPr>
      <w:r>
        <w:t>工程名称：（项目名称）</w:t>
      </w:r>
    </w:p>
    <w:p>
      <w:pPr>
        <w:pStyle w:val="8"/>
        <w:spacing w:before="5"/>
        <w:rPr>
          <w:sz w:val="12"/>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3"/>
        <w:gridCol w:w="3084"/>
        <w:gridCol w:w="1625"/>
        <w:gridCol w:w="2184"/>
        <w:gridCol w:w="1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73" w:type="dxa"/>
          </w:tcPr>
          <w:p>
            <w:pPr>
              <w:pStyle w:val="17"/>
              <w:spacing w:before="1"/>
              <w:ind w:left="108"/>
              <w:rPr>
                <w:sz w:val="24"/>
              </w:rPr>
            </w:pPr>
            <w:r>
              <w:rPr>
                <w:sz w:val="24"/>
              </w:rPr>
              <w:t>序号</w:t>
            </w:r>
          </w:p>
        </w:tc>
        <w:tc>
          <w:tcPr>
            <w:tcW w:w="3084" w:type="dxa"/>
          </w:tcPr>
          <w:p>
            <w:pPr>
              <w:pStyle w:val="17"/>
              <w:spacing w:before="1"/>
              <w:ind w:left="107"/>
              <w:rPr>
                <w:sz w:val="24"/>
              </w:rPr>
            </w:pPr>
            <w:r>
              <w:rPr>
                <w:sz w:val="24"/>
              </w:rPr>
              <w:t>条款内容</w:t>
            </w:r>
          </w:p>
        </w:tc>
        <w:tc>
          <w:tcPr>
            <w:tcW w:w="1625" w:type="dxa"/>
          </w:tcPr>
          <w:p>
            <w:pPr>
              <w:pStyle w:val="17"/>
              <w:spacing w:before="1"/>
              <w:ind w:left="107"/>
              <w:rPr>
                <w:sz w:val="24"/>
              </w:rPr>
            </w:pPr>
            <w:r>
              <w:rPr>
                <w:sz w:val="24"/>
              </w:rPr>
              <w:t>合同条款号</w:t>
            </w:r>
          </w:p>
        </w:tc>
        <w:tc>
          <w:tcPr>
            <w:tcW w:w="2184" w:type="dxa"/>
          </w:tcPr>
          <w:p>
            <w:pPr>
              <w:pStyle w:val="17"/>
              <w:spacing w:before="1"/>
              <w:ind w:left="107"/>
              <w:rPr>
                <w:sz w:val="24"/>
              </w:rPr>
            </w:pPr>
            <w:r>
              <w:rPr>
                <w:sz w:val="24"/>
              </w:rPr>
              <w:t>约定内容</w:t>
            </w:r>
          </w:p>
        </w:tc>
        <w:tc>
          <w:tcPr>
            <w:tcW w:w="1874" w:type="dxa"/>
          </w:tcPr>
          <w:p>
            <w:pPr>
              <w:pStyle w:val="17"/>
              <w:spacing w:before="1"/>
              <w:ind w:left="107"/>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73" w:type="dxa"/>
          </w:tcPr>
          <w:p>
            <w:pPr>
              <w:pStyle w:val="17"/>
              <w:spacing w:before="50"/>
              <w:ind w:left="108"/>
              <w:rPr>
                <w:sz w:val="24"/>
              </w:rPr>
            </w:pPr>
            <w:r>
              <w:rPr>
                <w:sz w:val="24"/>
              </w:rPr>
              <w:t>1</w:t>
            </w:r>
          </w:p>
        </w:tc>
        <w:tc>
          <w:tcPr>
            <w:tcW w:w="3084" w:type="dxa"/>
          </w:tcPr>
          <w:p>
            <w:pPr>
              <w:pStyle w:val="17"/>
              <w:spacing w:before="50"/>
              <w:ind w:left="107"/>
              <w:rPr>
                <w:sz w:val="24"/>
              </w:rPr>
            </w:pPr>
            <w:r>
              <w:rPr>
                <w:sz w:val="24"/>
              </w:rPr>
              <w:t>项目经理</w:t>
            </w:r>
          </w:p>
        </w:tc>
        <w:tc>
          <w:tcPr>
            <w:tcW w:w="1625" w:type="dxa"/>
          </w:tcPr>
          <w:p>
            <w:pPr>
              <w:pStyle w:val="17"/>
              <w:spacing w:before="50"/>
              <w:ind w:left="170"/>
              <w:rPr>
                <w:sz w:val="24"/>
              </w:rPr>
            </w:pPr>
            <w:r>
              <w:rPr>
                <w:sz w:val="24"/>
              </w:rPr>
              <w:t>1.1.2.4</w:t>
            </w:r>
          </w:p>
        </w:tc>
        <w:tc>
          <w:tcPr>
            <w:tcW w:w="2184" w:type="dxa"/>
          </w:tcPr>
          <w:p>
            <w:pPr>
              <w:pStyle w:val="17"/>
              <w:spacing w:before="50"/>
              <w:ind w:left="107"/>
              <w:rPr>
                <w:sz w:val="24"/>
              </w:rPr>
            </w:pPr>
            <w:r>
              <w:rPr>
                <w:sz w:val="24"/>
              </w:rPr>
              <w:t>姓名：</w:t>
            </w:r>
          </w:p>
        </w:tc>
        <w:tc>
          <w:tcPr>
            <w:tcW w:w="1874"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973" w:type="dxa"/>
          </w:tcPr>
          <w:p>
            <w:pPr>
              <w:pStyle w:val="17"/>
              <w:spacing w:before="116"/>
              <w:ind w:left="108"/>
              <w:rPr>
                <w:sz w:val="24"/>
              </w:rPr>
            </w:pPr>
            <w:r>
              <w:rPr>
                <w:sz w:val="24"/>
              </w:rPr>
              <w:t>2</w:t>
            </w:r>
          </w:p>
        </w:tc>
        <w:tc>
          <w:tcPr>
            <w:tcW w:w="3084" w:type="dxa"/>
          </w:tcPr>
          <w:p>
            <w:pPr>
              <w:pStyle w:val="17"/>
              <w:spacing w:before="116"/>
              <w:ind w:left="107"/>
              <w:rPr>
                <w:sz w:val="24"/>
              </w:rPr>
            </w:pPr>
            <w:r>
              <w:rPr>
                <w:sz w:val="24"/>
              </w:rPr>
              <w:t>工期</w:t>
            </w:r>
          </w:p>
        </w:tc>
        <w:tc>
          <w:tcPr>
            <w:tcW w:w="1625" w:type="dxa"/>
          </w:tcPr>
          <w:p>
            <w:pPr>
              <w:pStyle w:val="17"/>
              <w:spacing w:before="116"/>
              <w:ind w:left="170"/>
              <w:rPr>
                <w:sz w:val="24"/>
              </w:rPr>
            </w:pPr>
            <w:r>
              <w:rPr>
                <w:sz w:val="24"/>
              </w:rPr>
              <w:t>1.1.4.3</w:t>
            </w:r>
          </w:p>
        </w:tc>
        <w:tc>
          <w:tcPr>
            <w:tcW w:w="2184" w:type="dxa"/>
          </w:tcPr>
          <w:p>
            <w:pPr>
              <w:pStyle w:val="17"/>
              <w:tabs>
                <w:tab w:val="left" w:pos="707"/>
              </w:tabs>
              <w:spacing w:before="116"/>
              <w:ind w:left="106"/>
              <w:rPr>
                <w:sz w:val="24"/>
              </w:rPr>
            </w:pPr>
            <w:r>
              <w:rPr>
                <w:rFonts w:ascii="Times New Roman" w:eastAsia="Times New Roman"/>
                <w:sz w:val="24"/>
                <w:u w:val="single"/>
              </w:rPr>
              <w:t xml:space="preserve"> </w:t>
            </w:r>
            <w:r>
              <w:rPr>
                <w:rFonts w:ascii="Times New Roman" w:eastAsia="Times New Roman"/>
                <w:sz w:val="24"/>
                <w:u w:val="single"/>
              </w:rPr>
              <w:tab/>
            </w:r>
            <w:r>
              <w:rPr>
                <w:sz w:val="24"/>
              </w:rPr>
              <w:t>日历日</w:t>
            </w:r>
          </w:p>
        </w:tc>
        <w:tc>
          <w:tcPr>
            <w:tcW w:w="1874"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73" w:type="dxa"/>
          </w:tcPr>
          <w:p>
            <w:pPr>
              <w:pStyle w:val="17"/>
              <w:spacing w:before="51"/>
              <w:ind w:left="108"/>
              <w:rPr>
                <w:sz w:val="24"/>
              </w:rPr>
            </w:pPr>
            <w:r>
              <w:rPr>
                <w:sz w:val="24"/>
              </w:rPr>
              <w:t>3</w:t>
            </w:r>
          </w:p>
        </w:tc>
        <w:tc>
          <w:tcPr>
            <w:tcW w:w="3084" w:type="dxa"/>
          </w:tcPr>
          <w:p>
            <w:pPr>
              <w:pStyle w:val="17"/>
              <w:spacing w:before="51"/>
              <w:ind w:left="107"/>
              <w:rPr>
                <w:sz w:val="24"/>
              </w:rPr>
            </w:pPr>
            <w:r>
              <w:rPr>
                <w:sz w:val="24"/>
              </w:rPr>
              <w:t>缺陷责任期</w:t>
            </w:r>
          </w:p>
        </w:tc>
        <w:tc>
          <w:tcPr>
            <w:tcW w:w="1625" w:type="dxa"/>
          </w:tcPr>
          <w:p>
            <w:pPr>
              <w:pStyle w:val="17"/>
              <w:spacing w:before="51"/>
              <w:ind w:left="170"/>
              <w:rPr>
                <w:sz w:val="24"/>
              </w:rPr>
            </w:pPr>
            <w:r>
              <w:rPr>
                <w:sz w:val="24"/>
              </w:rPr>
              <w:t>1.1.4.5</w:t>
            </w:r>
          </w:p>
        </w:tc>
        <w:tc>
          <w:tcPr>
            <w:tcW w:w="2184" w:type="dxa"/>
          </w:tcPr>
          <w:p>
            <w:pPr>
              <w:pStyle w:val="17"/>
              <w:spacing w:before="51"/>
              <w:ind w:left="107"/>
              <w:rPr>
                <w:sz w:val="24"/>
              </w:rPr>
            </w:pPr>
            <w:r>
              <w:rPr>
                <w:sz w:val="24"/>
              </w:rPr>
              <w:t>叁年</w:t>
            </w:r>
          </w:p>
        </w:tc>
        <w:tc>
          <w:tcPr>
            <w:tcW w:w="1874"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73" w:type="dxa"/>
          </w:tcPr>
          <w:p>
            <w:pPr>
              <w:pStyle w:val="17"/>
              <w:spacing w:before="50"/>
              <w:ind w:left="108"/>
              <w:rPr>
                <w:sz w:val="24"/>
              </w:rPr>
            </w:pPr>
            <w:r>
              <w:rPr>
                <w:sz w:val="24"/>
              </w:rPr>
              <w:t>4</w:t>
            </w:r>
          </w:p>
        </w:tc>
        <w:tc>
          <w:tcPr>
            <w:tcW w:w="3084" w:type="dxa"/>
          </w:tcPr>
          <w:p>
            <w:pPr>
              <w:pStyle w:val="17"/>
              <w:spacing w:before="50"/>
              <w:ind w:left="107"/>
              <w:rPr>
                <w:sz w:val="24"/>
              </w:rPr>
            </w:pPr>
            <w:r>
              <w:rPr>
                <w:sz w:val="24"/>
              </w:rPr>
              <w:t>承包人履约担保金额</w:t>
            </w:r>
          </w:p>
        </w:tc>
        <w:tc>
          <w:tcPr>
            <w:tcW w:w="1625" w:type="dxa"/>
          </w:tcPr>
          <w:p>
            <w:pPr>
              <w:pStyle w:val="17"/>
              <w:spacing w:before="50"/>
              <w:ind w:left="170"/>
              <w:rPr>
                <w:sz w:val="24"/>
              </w:rPr>
            </w:pPr>
            <w:r>
              <w:rPr>
                <w:sz w:val="24"/>
              </w:rPr>
              <w:t>4.2</w:t>
            </w:r>
          </w:p>
        </w:tc>
        <w:tc>
          <w:tcPr>
            <w:tcW w:w="2184" w:type="dxa"/>
          </w:tcPr>
          <w:p>
            <w:pPr>
              <w:pStyle w:val="17"/>
              <w:spacing w:before="50"/>
              <w:ind w:left="107"/>
              <w:rPr>
                <w:sz w:val="24"/>
              </w:rPr>
            </w:pPr>
            <w:r>
              <w:rPr>
                <w:sz w:val="24"/>
              </w:rPr>
              <w:t>无</w:t>
            </w:r>
          </w:p>
        </w:tc>
        <w:tc>
          <w:tcPr>
            <w:tcW w:w="1874"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73" w:type="dxa"/>
          </w:tcPr>
          <w:p>
            <w:pPr>
              <w:pStyle w:val="17"/>
              <w:spacing w:before="51"/>
              <w:ind w:left="108"/>
              <w:rPr>
                <w:sz w:val="24"/>
              </w:rPr>
            </w:pPr>
            <w:r>
              <w:rPr>
                <w:sz w:val="24"/>
              </w:rPr>
              <w:t>5</w:t>
            </w:r>
          </w:p>
        </w:tc>
        <w:tc>
          <w:tcPr>
            <w:tcW w:w="3084" w:type="dxa"/>
          </w:tcPr>
          <w:p>
            <w:pPr>
              <w:pStyle w:val="17"/>
              <w:spacing w:before="51"/>
              <w:ind w:left="107"/>
              <w:rPr>
                <w:sz w:val="24"/>
              </w:rPr>
            </w:pPr>
            <w:r>
              <w:rPr>
                <w:sz w:val="24"/>
              </w:rPr>
              <w:t>分包</w:t>
            </w:r>
          </w:p>
        </w:tc>
        <w:tc>
          <w:tcPr>
            <w:tcW w:w="1625" w:type="dxa"/>
          </w:tcPr>
          <w:p>
            <w:pPr>
              <w:pStyle w:val="17"/>
              <w:spacing w:before="51"/>
              <w:ind w:left="170"/>
              <w:rPr>
                <w:sz w:val="24"/>
              </w:rPr>
            </w:pPr>
            <w:r>
              <w:rPr>
                <w:sz w:val="24"/>
              </w:rPr>
              <w:t>4.3.4</w:t>
            </w:r>
          </w:p>
        </w:tc>
        <w:tc>
          <w:tcPr>
            <w:tcW w:w="2184" w:type="dxa"/>
          </w:tcPr>
          <w:p>
            <w:pPr>
              <w:pStyle w:val="17"/>
              <w:spacing w:before="51"/>
              <w:ind w:left="107"/>
              <w:rPr>
                <w:sz w:val="24"/>
              </w:rPr>
            </w:pPr>
            <w:r>
              <w:rPr>
                <w:sz w:val="24"/>
              </w:rPr>
              <w:t>见分包项目情况表</w:t>
            </w:r>
          </w:p>
        </w:tc>
        <w:tc>
          <w:tcPr>
            <w:tcW w:w="1874"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73" w:type="dxa"/>
          </w:tcPr>
          <w:p>
            <w:pPr>
              <w:pStyle w:val="17"/>
              <w:spacing w:before="50"/>
              <w:ind w:left="108"/>
              <w:rPr>
                <w:sz w:val="24"/>
              </w:rPr>
            </w:pPr>
            <w:r>
              <w:rPr>
                <w:sz w:val="24"/>
              </w:rPr>
              <w:t>6</w:t>
            </w:r>
          </w:p>
        </w:tc>
        <w:tc>
          <w:tcPr>
            <w:tcW w:w="3084" w:type="dxa"/>
          </w:tcPr>
          <w:p>
            <w:pPr>
              <w:pStyle w:val="17"/>
              <w:spacing w:before="50"/>
              <w:ind w:left="107"/>
              <w:rPr>
                <w:sz w:val="24"/>
              </w:rPr>
            </w:pPr>
            <w:r>
              <w:rPr>
                <w:sz w:val="24"/>
              </w:rPr>
              <w:t>逾期竣工违约金</w:t>
            </w:r>
          </w:p>
        </w:tc>
        <w:tc>
          <w:tcPr>
            <w:tcW w:w="1625" w:type="dxa"/>
          </w:tcPr>
          <w:p>
            <w:pPr>
              <w:pStyle w:val="17"/>
              <w:spacing w:before="50"/>
              <w:ind w:left="170"/>
              <w:rPr>
                <w:sz w:val="24"/>
              </w:rPr>
            </w:pPr>
            <w:r>
              <w:rPr>
                <w:sz w:val="24"/>
              </w:rPr>
              <w:t>11.5</w:t>
            </w:r>
          </w:p>
        </w:tc>
        <w:tc>
          <w:tcPr>
            <w:tcW w:w="2184" w:type="dxa"/>
          </w:tcPr>
          <w:p>
            <w:pPr>
              <w:pStyle w:val="17"/>
              <w:spacing w:before="50"/>
              <w:ind w:left="107"/>
              <w:rPr>
                <w:sz w:val="24"/>
              </w:rPr>
            </w:pPr>
            <w:r>
              <w:rPr>
                <w:sz w:val="24"/>
              </w:rPr>
              <w:t>元/天</w:t>
            </w:r>
          </w:p>
        </w:tc>
        <w:tc>
          <w:tcPr>
            <w:tcW w:w="1874"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73" w:type="dxa"/>
          </w:tcPr>
          <w:p>
            <w:pPr>
              <w:pStyle w:val="17"/>
              <w:spacing w:before="52"/>
              <w:ind w:left="108"/>
              <w:rPr>
                <w:sz w:val="24"/>
              </w:rPr>
            </w:pPr>
            <w:r>
              <w:rPr>
                <w:sz w:val="24"/>
              </w:rPr>
              <w:t>7</w:t>
            </w:r>
          </w:p>
        </w:tc>
        <w:tc>
          <w:tcPr>
            <w:tcW w:w="3084" w:type="dxa"/>
          </w:tcPr>
          <w:p>
            <w:pPr>
              <w:pStyle w:val="17"/>
              <w:spacing w:before="52"/>
              <w:ind w:left="107"/>
              <w:rPr>
                <w:sz w:val="24"/>
              </w:rPr>
            </w:pPr>
            <w:r>
              <w:rPr>
                <w:sz w:val="24"/>
              </w:rPr>
              <w:t>逾期竣工违约金最高限额</w:t>
            </w:r>
          </w:p>
        </w:tc>
        <w:tc>
          <w:tcPr>
            <w:tcW w:w="1625" w:type="dxa"/>
          </w:tcPr>
          <w:p>
            <w:pPr>
              <w:pStyle w:val="17"/>
              <w:spacing w:before="52"/>
              <w:ind w:left="170"/>
              <w:rPr>
                <w:sz w:val="24"/>
              </w:rPr>
            </w:pPr>
            <w:r>
              <w:rPr>
                <w:sz w:val="24"/>
              </w:rPr>
              <w:t>11.5</w:t>
            </w:r>
          </w:p>
        </w:tc>
        <w:tc>
          <w:tcPr>
            <w:tcW w:w="2184" w:type="dxa"/>
          </w:tcPr>
          <w:p>
            <w:pPr>
              <w:pStyle w:val="17"/>
              <w:rPr>
                <w:rFonts w:ascii="Times New Roman"/>
                <w:sz w:val="22"/>
              </w:rPr>
            </w:pPr>
          </w:p>
        </w:tc>
        <w:tc>
          <w:tcPr>
            <w:tcW w:w="1874"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73" w:type="dxa"/>
          </w:tcPr>
          <w:p>
            <w:pPr>
              <w:pStyle w:val="17"/>
              <w:spacing w:before="50"/>
              <w:ind w:left="108"/>
              <w:rPr>
                <w:sz w:val="24"/>
              </w:rPr>
            </w:pPr>
            <w:r>
              <w:rPr>
                <w:sz w:val="24"/>
              </w:rPr>
              <w:t>8</w:t>
            </w:r>
          </w:p>
        </w:tc>
        <w:tc>
          <w:tcPr>
            <w:tcW w:w="3084" w:type="dxa"/>
          </w:tcPr>
          <w:p>
            <w:pPr>
              <w:pStyle w:val="17"/>
              <w:spacing w:before="50"/>
              <w:ind w:left="107"/>
              <w:rPr>
                <w:sz w:val="24"/>
              </w:rPr>
            </w:pPr>
            <w:r>
              <w:rPr>
                <w:sz w:val="24"/>
              </w:rPr>
              <w:t>质量标准</w:t>
            </w:r>
          </w:p>
        </w:tc>
        <w:tc>
          <w:tcPr>
            <w:tcW w:w="1625" w:type="dxa"/>
          </w:tcPr>
          <w:p>
            <w:pPr>
              <w:pStyle w:val="17"/>
              <w:spacing w:before="50"/>
              <w:ind w:left="170"/>
              <w:rPr>
                <w:sz w:val="24"/>
              </w:rPr>
            </w:pPr>
            <w:r>
              <w:rPr>
                <w:sz w:val="24"/>
              </w:rPr>
              <w:t>13.1</w:t>
            </w:r>
          </w:p>
        </w:tc>
        <w:tc>
          <w:tcPr>
            <w:tcW w:w="2184" w:type="dxa"/>
          </w:tcPr>
          <w:p>
            <w:pPr>
              <w:pStyle w:val="17"/>
              <w:spacing w:before="50"/>
              <w:ind w:left="107"/>
              <w:rPr>
                <w:sz w:val="24"/>
              </w:rPr>
            </w:pPr>
            <w:r>
              <w:rPr>
                <w:sz w:val="24"/>
              </w:rPr>
              <w:t>合格</w:t>
            </w:r>
          </w:p>
        </w:tc>
        <w:tc>
          <w:tcPr>
            <w:tcW w:w="1874"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73" w:type="dxa"/>
          </w:tcPr>
          <w:p>
            <w:pPr>
              <w:pStyle w:val="17"/>
              <w:spacing w:before="52"/>
              <w:ind w:left="108"/>
              <w:rPr>
                <w:sz w:val="24"/>
              </w:rPr>
            </w:pPr>
            <w:r>
              <w:rPr>
                <w:sz w:val="24"/>
              </w:rPr>
              <w:t>9</w:t>
            </w:r>
          </w:p>
        </w:tc>
        <w:tc>
          <w:tcPr>
            <w:tcW w:w="3084" w:type="dxa"/>
          </w:tcPr>
          <w:p>
            <w:pPr>
              <w:pStyle w:val="17"/>
              <w:spacing w:before="52"/>
              <w:ind w:left="107"/>
              <w:rPr>
                <w:sz w:val="24"/>
              </w:rPr>
            </w:pPr>
            <w:r>
              <w:rPr>
                <w:sz w:val="24"/>
              </w:rPr>
              <w:t>价格调整的差额计算</w:t>
            </w:r>
          </w:p>
        </w:tc>
        <w:tc>
          <w:tcPr>
            <w:tcW w:w="1625" w:type="dxa"/>
          </w:tcPr>
          <w:p>
            <w:pPr>
              <w:pStyle w:val="17"/>
              <w:spacing w:before="52"/>
              <w:ind w:left="170"/>
              <w:rPr>
                <w:sz w:val="24"/>
              </w:rPr>
            </w:pPr>
            <w:r>
              <w:rPr>
                <w:sz w:val="24"/>
              </w:rPr>
              <w:t>16.1.1</w:t>
            </w:r>
          </w:p>
        </w:tc>
        <w:tc>
          <w:tcPr>
            <w:tcW w:w="2184" w:type="dxa"/>
          </w:tcPr>
          <w:p>
            <w:pPr>
              <w:pStyle w:val="17"/>
              <w:spacing w:before="52"/>
              <w:ind w:left="107"/>
              <w:rPr>
                <w:sz w:val="24"/>
              </w:rPr>
            </w:pPr>
            <w:r>
              <w:rPr>
                <w:sz w:val="24"/>
              </w:rPr>
              <w:t>无</w:t>
            </w:r>
          </w:p>
        </w:tc>
        <w:tc>
          <w:tcPr>
            <w:tcW w:w="1874"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973" w:type="dxa"/>
          </w:tcPr>
          <w:p>
            <w:pPr>
              <w:pStyle w:val="17"/>
              <w:ind w:left="108"/>
              <w:rPr>
                <w:sz w:val="24"/>
              </w:rPr>
            </w:pPr>
            <w:r>
              <w:rPr>
                <w:sz w:val="24"/>
              </w:rPr>
              <w:t>10</w:t>
            </w:r>
          </w:p>
        </w:tc>
        <w:tc>
          <w:tcPr>
            <w:tcW w:w="3084" w:type="dxa"/>
          </w:tcPr>
          <w:p>
            <w:pPr>
              <w:pStyle w:val="17"/>
              <w:ind w:left="107"/>
              <w:rPr>
                <w:sz w:val="24"/>
              </w:rPr>
            </w:pPr>
            <w:r>
              <w:rPr>
                <w:sz w:val="24"/>
              </w:rPr>
              <w:t>预付款额度</w:t>
            </w:r>
          </w:p>
        </w:tc>
        <w:tc>
          <w:tcPr>
            <w:tcW w:w="1625" w:type="dxa"/>
          </w:tcPr>
          <w:p>
            <w:pPr>
              <w:pStyle w:val="17"/>
              <w:ind w:left="170"/>
              <w:rPr>
                <w:sz w:val="24"/>
              </w:rPr>
            </w:pPr>
            <w:r>
              <w:rPr>
                <w:sz w:val="24"/>
              </w:rPr>
              <w:t>12.2.1</w:t>
            </w:r>
          </w:p>
        </w:tc>
        <w:tc>
          <w:tcPr>
            <w:tcW w:w="2184" w:type="dxa"/>
          </w:tcPr>
          <w:p>
            <w:pPr>
              <w:pStyle w:val="17"/>
              <w:ind w:left="107"/>
              <w:rPr>
                <w:sz w:val="24"/>
              </w:rPr>
            </w:pPr>
            <w:r>
              <w:rPr>
                <w:sz w:val="24"/>
              </w:rPr>
              <w:t>无</w:t>
            </w:r>
          </w:p>
        </w:tc>
        <w:tc>
          <w:tcPr>
            <w:tcW w:w="1874"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73" w:type="dxa"/>
          </w:tcPr>
          <w:p>
            <w:pPr>
              <w:pStyle w:val="17"/>
              <w:spacing w:before="51"/>
              <w:ind w:left="108"/>
              <w:rPr>
                <w:sz w:val="24"/>
              </w:rPr>
            </w:pPr>
            <w:r>
              <w:rPr>
                <w:sz w:val="24"/>
              </w:rPr>
              <w:t>11</w:t>
            </w:r>
          </w:p>
        </w:tc>
        <w:tc>
          <w:tcPr>
            <w:tcW w:w="3084" w:type="dxa"/>
          </w:tcPr>
          <w:p>
            <w:pPr>
              <w:pStyle w:val="17"/>
              <w:spacing w:before="51"/>
              <w:ind w:left="107"/>
              <w:rPr>
                <w:sz w:val="24"/>
              </w:rPr>
            </w:pPr>
            <w:r>
              <w:rPr>
                <w:sz w:val="24"/>
              </w:rPr>
              <w:t>预付款保函金额</w:t>
            </w:r>
          </w:p>
        </w:tc>
        <w:tc>
          <w:tcPr>
            <w:tcW w:w="1625" w:type="dxa"/>
          </w:tcPr>
          <w:p>
            <w:pPr>
              <w:pStyle w:val="17"/>
              <w:spacing w:before="51"/>
              <w:ind w:left="170"/>
              <w:rPr>
                <w:sz w:val="24"/>
              </w:rPr>
            </w:pPr>
            <w:r>
              <w:rPr>
                <w:sz w:val="24"/>
              </w:rPr>
              <w:t>17.2.2</w:t>
            </w:r>
          </w:p>
        </w:tc>
        <w:tc>
          <w:tcPr>
            <w:tcW w:w="2184" w:type="dxa"/>
          </w:tcPr>
          <w:p>
            <w:pPr>
              <w:pStyle w:val="17"/>
              <w:spacing w:before="51"/>
              <w:ind w:left="107"/>
              <w:rPr>
                <w:sz w:val="24"/>
              </w:rPr>
            </w:pPr>
            <w:r>
              <w:rPr>
                <w:sz w:val="24"/>
              </w:rPr>
              <w:t>无</w:t>
            </w:r>
          </w:p>
        </w:tc>
        <w:tc>
          <w:tcPr>
            <w:tcW w:w="1874"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73" w:type="dxa"/>
          </w:tcPr>
          <w:p>
            <w:pPr>
              <w:pStyle w:val="17"/>
              <w:spacing w:before="51"/>
              <w:ind w:left="108"/>
              <w:rPr>
                <w:sz w:val="24"/>
              </w:rPr>
            </w:pPr>
            <w:r>
              <w:rPr>
                <w:sz w:val="24"/>
              </w:rPr>
              <w:t>12</w:t>
            </w:r>
          </w:p>
        </w:tc>
        <w:tc>
          <w:tcPr>
            <w:tcW w:w="3084" w:type="dxa"/>
          </w:tcPr>
          <w:p>
            <w:pPr>
              <w:pStyle w:val="17"/>
              <w:spacing w:before="51"/>
              <w:ind w:left="107"/>
              <w:rPr>
                <w:sz w:val="24"/>
              </w:rPr>
            </w:pPr>
            <w:r>
              <w:rPr>
                <w:sz w:val="24"/>
              </w:rPr>
              <w:t>质量保证金扣留百分比</w:t>
            </w:r>
          </w:p>
        </w:tc>
        <w:tc>
          <w:tcPr>
            <w:tcW w:w="1625" w:type="dxa"/>
          </w:tcPr>
          <w:p>
            <w:pPr>
              <w:pStyle w:val="17"/>
              <w:spacing w:before="51"/>
              <w:ind w:left="170"/>
              <w:rPr>
                <w:sz w:val="24"/>
              </w:rPr>
            </w:pPr>
            <w:r>
              <w:rPr>
                <w:sz w:val="24"/>
              </w:rPr>
              <w:t>17.4.1</w:t>
            </w:r>
          </w:p>
        </w:tc>
        <w:tc>
          <w:tcPr>
            <w:tcW w:w="2184" w:type="dxa"/>
          </w:tcPr>
          <w:p>
            <w:pPr>
              <w:pStyle w:val="17"/>
              <w:spacing w:before="51"/>
              <w:ind w:left="107"/>
              <w:rPr>
                <w:sz w:val="24"/>
              </w:rPr>
            </w:pPr>
            <w:r>
              <w:rPr>
                <w:sz w:val="24"/>
              </w:rPr>
              <w:t>合同价的 2%</w:t>
            </w:r>
          </w:p>
        </w:tc>
        <w:tc>
          <w:tcPr>
            <w:tcW w:w="1874"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73" w:type="dxa"/>
          </w:tcPr>
          <w:p>
            <w:pPr>
              <w:pStyle w:val="17"/>
              <w:spacing w:before="2"/>
              <w:ind w:left="108"/>
              <w:rPr>
                <w:sz w:val="24"/>
              </w:rPr>
            </w:pPr>
            <w:r>
              <w:rPr>
                <w:sz w:val="24"/>
              </w:rPr>
              <w:t>13</w:t>
            </w:r>
          </w:p>
        </w:tc>
        <w:tc>
          <w:tcPr>
            <w:tcW w:w="3084" w:type="dxa"/>
          </w:tcPr>
          <w:p>
            <w:pPr>
              <w:pStyle w:val="17"/>
              <w:spacing w:before="2"/>
              <w:ind w:left="107"/>
              <w:rPr>
                <w:sz w:val="24"/>
              </w:rPr>
            </w:pPr>
            <w:r>
              <w:rPr>
                <w:sz w:val="24"/>
              </w:rPr>
              <w:t>质量保证金额度</w:t>
            </w:r>
          </w:p>
        </w:tc>
        <w:tc>
          <w:tcPr>
            <w:tcW w:w="1625" w:type="dxa"/>
          </w:tcPr>
          <w:p>
            <w:pPr>
              <w:pStyle w:val="17"/>
              <w:spacing w:before="2"/>
              <w:ind w:left="170"/>
              <w:rPr>
                <w:sz w:val="24"/>
              </w:rPr>
            </w:pPr>
            <w:r>
              <w:rPr>
                <w:sz w:val="24"/>
              </w:rPr>
              <w:t>17.4.1</w:t>
            </w:r>
          </w:p>
        </w:tc>
        <w:tc>
          <w:tcPr>
            <w:tcW w:w="2184" w:type="dxa"/>
          </w:tcPr>
          <w:p>
            <w:pPr>
              <w:pStyle w:val="17"/>
              <w:rPr>
                <w:rFonts w:ascii="Times New Roman"/>
                <w:sz w:val="22"/>
              </w:rPr>
            </w:pPr>
          </w:p>
        </w:tc>
        <w:tc>
          <w:tcPr>
            <w:tcW w:w="1874"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73" w:type="dxa"/>
          </w:tcPr>
          <w:p>
            <w:pPr>
              <w:pStyle w:val="17"/>
              <w:spacing w:before="1"/>
              <w:ind w:left="108"/>
              <w:rPr>
                <w:sz w:val="24"/>
              </w:rPr>
            </w:pPr>
            <w:r>
              <w:rPr>
                <w:sz w:val="24"/>
              </w:rPr>
              <w:t>……</w:t>
            </w:r>
          </w:p>
        </w:tc>
        <w:tc>
          <w:tcPr>
            <w:tcW w:w="3084" w:type="dxa"/>
          </w:tcPr>
          <w:p>
            <w:pPr>
              <w:pStyle w:val="17"/>
              <w:spacing w:before="1"/>
              <w:ind w:left="107"/>
              <w:rPr>
                <w:sz w:val="24"/>
              </w:rPr>
            </w:pPr>
            <w:r>
              <w:rPr>
                <w:sz w:val="24"/>
              </w:rPr>
              <w:t>……</w:t>
            </w:r>
          </w:p>
        </w:tc>
        <w:tc>
          <w:tcPr>
            <w:tcW w:w="1625" w:type="dxa"/>
          </w:tcPr>
          <w:p>
            <w:pPr>
              <w:pStyle w:val="17"/>
              <w:rPr>
                <w:rFonts w:ascii="Times New Roman"/>
                <w:sz w:val="22"/>
              </w:rPr>
            </w:pPr>
          </w:p>
        </w:tc>
        <w:tc>
          <w:tcPr>
            <w:tcW w:w="2184" w:type="dxa"/>
          </w:tcPr>
          <w:p>
            <w:pPr>
              <w:pStyle w:val="17"/>
              <w:rPr>
                <w:rFonts w:ascii="Times New Roman"/>
                <w:sz w:val="22"/>
              </w:rPr>
            </w:pPr>
          </w:p>
        </w:tc>
        <w:tc>
          <w:tcPr>
            <w:tcW w:w="1874"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740" w:type="dxa"/>
            <w:gridSpan w:val="5"/>
          </w:tcPr>
          <w:p>
            <w:pPr>
              <w:pStyle w:val="17"/>
              <w:spacing w:before="1"/>
              <w:ind w:left="108"/>
              <w:rPr>
                <w:sz w:val="24"/>
              </w:rPr>
            </w:pPr>
            <w:r>
              <w:rPr>
                <w:sz w:val="24"/>
              </w:rPr>
              <w:t>备注：磋商响应人在响应文件中规定的实质性要求和条件的基础上，可做出其他有利于招标</w:t>
            </w:r>
          </w:p>
          <w:p>
            <w:pPr>
              <w:pStyle w:val="17"/>
              <w:spacing w:before="158"/>
              <w:ind w:left="108"/>
              <w:rPr>
                <w:sz w:val="24"/>
              </w:rPr>
            </w:pPr>
            <w:r>
              <w:rPr>
                <w:sz w:val="24"/>
              </w:rPr>
              <w:t>人的承诺。此类承诺可在本表中予以补充填写。</w:t>
            </w:r>
          </w:p>
        </w:tc>
      </w:tr>
    </w:tbl>
    <w:p>
      <w:pPr>
        <w:pStyle w:val="7"/>
        <w:tabs>
          <w:tab w:val="left" w:pos="4456"/>
        </w:tabs>
        <w:spacing w:before="3"/>
        <w:ind w:left="0" w:right="746"/>
        <w:jc w:val="right"/>
        <w:outlineLvl w:val="1"/>
      </w:pPr>
      <w:r>
        <w:t>磋商响应人：</w:t>
      </w:r>
      <w:r>
        <w:tab/>
      </w:r>
      <w:r>
        <w:rPr>
          <w:w w:val="95"/>
        </w:rPr>
        <w:t>（公章）</w:t>
      </w:r>
    </w:p>
    <w:p>
      <w:pPr>
        <w:tabs>
          <w:tab w:val="left" w:pos="8835"/>
          <w:tab w:val="left" w:pos="8955"/>
          <w:tab w:val="left" w:pos="9558"/>
        </w:tabs>
        <w:spacing w:before="158" w:line="362" w:lineRule="auto"/>
        <w:ind w:left="8353" w:right="746" w:hanging="3735"/>
        <w:jc w:val="right"/>
        <w:rPr>
          <w:b/>
          <w:sz w:val="24"/>
        </w:rPr>
      </w:pPr>
      <w:r>
        <w:rPr>
          <w:b/>
          <w:sz w:val="24"/>
        </w:rPr>
        <w:t>法定代表人或委托代理人：</w:t>
      </w:r>
      <w:r>
        <w:rPr>
          <w:b/>
          <w:sz w:val="24"/>
        </w:rPr>
        <w:tab/>
      </w:r>
      <w:r>
        <w:rPr>
          <w:b/>
          <w:sz w:val="24"/>
        </w:rPr>
        <w:tab/>
      </w:r>
      <w:r>
        <w:rPr>
          <w:b/>
          <w:w w:val="95"/>
          <w:sz w:val="24"/>
        </w:rPr>
        <w:t>（签字</w:t>
      </w:r>
      <w:r>
        <w:rPr>
          <w:b/>
          <w:spacing w:val="-16"/>
          <w:w w:val="95"/>
          <w:sz w:val="24"/>
        </w:rPr>
        <w:t xml:space="preserve">） </w:t>
      </w:r>
      <w:r>
        <w:rPr>
          <w:b/>
          <w:sz w:val="24"/>
        </w:rPr>
        <w:t>年</w:t>
      </w:r>
      <w:r>
        <w:rPr>
          <w:b/>
          <w:sz w:val="24"/>
        </w:rPr>
        <w:tab/>
      </w:r>
      <w:r>
        <w:rPr>
          <w:b/>
          <w:sz w:val="24"/>
        </w:rPr>
        <w:tab/>
      </w:r>
      <w:r>
        <w:rPr>
          <w:b/>
          <w:sz w:val="24"/>
        </w:rPr>
        <w:t>月</w:t>
      </w:r>
      <w:r>
        <w:rPr>
          <w:b/>
          <w:sz w:val="24"/>
        </w:rPr>
        <w:tab/>
      </w:r>
      <w:r>
        <w:rPr>
          <w:b/>
          <w:spacing w:val="-17"/>
          <w:w w:val="95"/>
          <w:sz w:val="24"/>
        </w:rPr>
        <w:t>日</w:t>
      </w:r>
    </w:p>
    <w:p>
      <w:pPr>
        <w:spacing w:after="0" w:line="362" w:lineRule="auto"/>
        <w:jc w:val="righ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92" o:spid="_x0000_s1192" o:spt="20" style="position:absolute;left:0pt;margin-left:62.4pt;margin-top:12.25pt;height:0pt;width:400.4pt;mso-position-horizontal-relative:page;z-index:25183232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7"/>
        <w:spacing w:before="67"/>
        <w:outlineLvl w:val="1"/>
      </w:pPr>
      <w:bookmarkStart w:id="148" w:name="二、首次报价表格式"/>
      <w:bookmarkEnd w:id="148"/>
      <w:r>
        <w:t>二、首次报价表格式</w:t>
      </w:r>
    </w:p>
    <w:p>
      <w:pPr>
        <w:pStyle w:val="8"/>
        <w:spacing w:before="2"/>
        <w:rPr>
          <w:b/>
          <w:sz w:val="18"/>
        </w:rPr>
      </w:pPr>
    </w:p>
    <w:p>
      <w:pPr>
        <w:spacing w:before="0"/>
        <w:ind w:left="4492" w:right="0" w:firstLine="0"/>
        <w:jc w:val="left"/>
        <w:rPr>
          <w:b/>
          <w:sz w:val="24"/>
        </w:rPr>
      </w:pPr>
      <w:r>
        <w:rPr>
          <w:b/>
          <w:sz w:val="24"/>
        </w:rPr>
        <w:t>首次报价表</w:t>
      </w:r>
    </w:p>
    <w:p>
      <w:pPr>
        <w:pStyle w:val="8"/>
        <w:spacing w:before="5"/>
        <w:ind w:left="388"/>
        <w:rPr>
          <w:rFonts w:hint="eastAsia"/>
          <w:lang w:val="en-US" w:eastAsia="zh-CN"/>
        </w:rPr>
      </w:pPr>
      <w:r>
        <w:t xml:space="preserve">磋商响应人名称： </w:t>
      </w:r>
      <w:r>
        <w:rPr>
          <w:rFonts w:hint="eastAsia"/>
          <w:lang w:val="en-US" w:eastAsia="zh-CN"/>
        </w:rPr>
        <w:t xml:space="preserve">                                             </w:t>
      </w:r>
    </w:p>
    <w:p>
      <w:pPr>
        <w:pStyle w:val="8"/>
        <w:spacing w:before="5"/>
        <w:ind w:left="388"/>
        <w:rPr>
          <w:rFonts w:hint="default" w:eastAsia="宋体"/>
          <w:lang w:val="en-US" w:eastAsia="zh-CN"/>
        </w:rPr>
      </w:pPr>
      <w:r>
        <w:rPr>
          <w:rFonts w:hint="eastAsia"/>
          <w:lang w:val="en-US" w:eastAsia="zh-CN"/>
        </w:rPr>
        <w:t>项目编号</w:t>
      </w:r>
    </w:p>
    <w:p>
      <w:pPr>
        <w:pStyle w:val="8"/>
        <w:spacing w:before="10"/>
        <w:rPr>
          <w:sz w:val="23"/>
        </w:rPr>
      </w:pPr>
    </w:p>
    <w:tbl>
      <w:tblPr>
        <w:tblStyle w:val="13"/>
        <w:tblW w:w="9646" w:type="dxa"/>
        <w:tblInd w:w="1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2039"/>
        <w:gridCol w:w="2825"/>
        <w:gridCol w:w="2301"/>
        <w:gridCol w:w="16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50" w:type="dxa"/>
            <w:vAlign w:val="center"/>
          </w:tcPr>
          <w:p>
            <w:pPr>
              <w:pStyle w:val="17"/>
              <w:ind w:right="231"/>
              <w:jc w:val="center"/>
              <w:rPr>
                <w:sz w:val="24"/>
              </w:rPr>
            </w:pPr>
            <w:r>
              <w:rPr>
                <w:sz w:val="24"/>
              </w:rPr>
              <w:t>序号</w:t>
            </w:r>
          </w:p>
        </w:tc>
        <w:tc>
          <w:tcPr>
            <w:tcW w:w="2039" w:type="dxa"/>
            <w:vAlign w:val="center"/>
          </w:tcPr>
          <w:p>
            <w:pPr>
              <w:pStyle w:val="17"/>
              <w:jc w:val="center"/>
              <w:rPr>
                <w:sz w:val="24"/>
              </w:rPr>
            </w:pPr>
            <w:r>
              <w:rPr>
                <w:sz w:val="24"/>
              </w:rPr>
              <w:t>项目名称</w:t>
            </w:r>
          </w:p>
        </w:tc>
        <w:tc>
          <w:tcPr>
            <w:tcW w:w="2825" w:type="dxa"/>
            <w:vAlign w:val="center"/>
          </w:tcPr>
          <w:p>
            <w:pPr>
              <w:pStyle w:val="17"/>
              <w:jc w:val="center"/>
              <w:rPr>
                <w:sz w:val="24"/>
              </w:rPr>
            </w:pPr>
            <w:r>
              <w:rPr>
                <w:sz w:val="24"/>
              </w:rPr>
              <w:t>投标总价（万元）</w:t>
            </w:r>
          </w:p>
        </w:tc>
        <w:tc>
          <w:tcPr>
            <w:tcW w:w="2301" w:type="dxa"/>
            <w:vAlign w:val="center"/>
          </w:tcPr>
          <w:p>
            <w:pPr>
              <w:pStyle w:val="17"/>
              <w:spacing w:before="153"/>
              <w:ind w:right="337"/>
              <w:jc w:val="center"/>
              <w:rPr>
                <w:sz w:val="24"/>
              </w:rPr>
            </w:pPr>
            <w:r>
              <w:rPr>
                <w:sz w:val="24"/>
              </w:rPr>
              <w:t>工期（日历天）</w:t>
            </w:r>
          </w:p>
        </w:tc>
        <w:tc>
          <w:tcPr>
            <w:tcW w:w="1631" w:type="dxa"/>
            <w:vAlign w:val="center"/>
          </w:tcPr>
          <w:p>
            <w:pPr>
              <w:pStyle w:val="17"/>
              <w:spacing w:before="153"/>
              <w:ind w:right="337"/>
              <w:jc w:val="center"/>
              <w:rPr>
                <w:rFonts w:hint="default" w:eastAsia="宋体"/>
                <w:sz w:val="24"/>
                <w:lang w:val="en-US" w:eastAsia="zh-CN"/>
              </w:rPr>
            </w:pPr>
            <w:r>
              <w:rPr>
                <w:rFonts w:hint="eastAsia"/>
                <w:sz w:val="24"/>
                <w:lang w:val="en-US" w:eastAsia="zh-CN"/>
              </w:rPr>
              <w:t>项目经理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5" w:hRule="atLeast"/>
        </w:trPr>
        <w:tc>
          <w:tcPr>
            <w:tcW w:w="850" w:type="dxa"/>
            <w:vAlign w:val="center"/>
          </w:tcPr>
          <w:p>
            <w:pPr>
              <w:pStyle w:val="17"/>
              <w:jc w:val="center"/>
              <w:rPr>
                <w:rFonts w:ascii="Times New Roman"/>
                <w:sz w:val="22"/>
              </w:rPr>
            </w:pPr>
          </w:p>
        </w:tc>
        <w:tc>
          <w:tcPr>
            <w:tcW w:w="2039" w:type="dxa"/>
          </w:tcPr>
          <w:p>
            <w:pPr>
              <w:pStyle w:val="17"/>
              <w:rPr>
                <w:rFonts w:ascii="Times New Roman"/>
                <w:sz w:val="22"/>
              </w:rPr>
            </w:pPr>
          </w:p>
        </w:tc>
        <w:tc>
          <w:tcPr>
            <w:tcW w:w="2825" w:type="dxa"/>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sz w:val="24"/>
              </w:rPr>
            </w:pPr>
            <w:r>
              <w:rPr>
                <w:sz w:val="24"/>
              </w:rPr>
              <w:t>大写：</w:t>
            </w:r>
          </w:p>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sz w:val="24"/>
              </w:rPr>
            </w:pPr>
            <w:r>
              <w:rPr>
                <w:sz w:val="24"/>
              </w:rPr>
              <w:t>小写：</w:t>
            </w:r>
          </w:p>
        </w:tc>
        <w:tc>
          <w:tcPr>
            <w:tcW w:w="2301" w:type="dxa"/>
          </w:tcPr>
          <w:p>
            <w:pPr>
              <w:pStyle w:val="17"/>
              <w:rPr>
                <w:rFonts w:ascii="Times New Roman"/>
                <w:sz w:val="22"/>
              </w:rPr>
            </w:pPr>
          </w:p>
        </w:tc>
        <w:tc>
          <w:tcPr>
            <w:tcW w:w="1631"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1" w:hRule="atLeast"/>
        </w:trPr>
        <w:tc>
          <w:tcPr>
            <w:tcW w:w="850" w:type="dxa"/>
            <w:vAlign w:val="center"/>
          </w:tcPr>
          <w:p>
            <w:pPr>
              <w:pStyle w:val="17"/>
              <w:spacing w:before="2"/>
              <w:jc w:val="center"/>
              <w:rPr>
                <w:sz w:val="30"/>
              </w:rPr>
            </w:pPr>
          </w:p>
          <w:p>
            <w:pPr>
              <w:pStyle w:val="17"/>
              <w:spacing w:before="1"/>
              <w:ind w:right="231"/>
              <w:jc w:val="center"/>
              <w:rPr>
                <w:b/>
                <w:sz w:val="24"/>
              </w:rPr>
            </w:pPr>
            <w:r>
              <w:rPr>
                <w:b/>
                <w:sz w:val="24"/>
              </w:rPr>
              <w:t>合计</w:t>
            </w:r>
          </w:p>
        </w:tc>
        <w:tc>
          <w:tcPr>
            <w:tcW w:w="8796" w:type="dxa"/>
            <w:gridSpan w:val="4"/>
          </w:tcPr>
          <w:p>
            <w:pPr>
              <w:pStyle w:val="17"/>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sz w:val="24"/>
              </w:rPr>
            </w:pPr>
            <w:r>
              <w:rPr>
                <w:sz w:val="24"/>
              </w:rPr>
              <w:t xml:space="preserve">大写： </w:t>
            </w:r>
          </w:p>
          <w:p>
            <w:pPr>
              <w:pStyle w:val="17"/>
              <w:spacing w:before="152" w:line="364" w:lineRule="auto"/>
              <w:ind w:right="6554"/>
              <w:rPr>
                <w:sz w:val="24"/>
              </w:rPr>
            </w:pPr>
            <w:r>
              <w:rPr>
                <w:sz w:val="24"/>
              </w:rPr>
              <w:t>小写：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7" w:hRule="atLeast"/>
        </w:trPr>
        <w:tc>
          <w:tcPr>
            <w:tcW w:w="9646" w:type="dxa"/>
            <w:gridSpan w:val="5"/>
          </w:tcPr>
          <w:p>
            <w:pPr>
              <w:pStyle w:val="17"/>
              <w:spacing w:before="7"/>
              <w:rPr>
                <w:sz w:val="18"/>
              </w:rPr>
            </w:pPr>
          </w:p>
          <w:p>
            <w:pPr>
              <w:pStyle w:val="17"/>
              <w:ind w:left="107"/>
              <w:rPr>
                <w:sz w:val="24"/>
              </w:rPr>
            </w:pPr>
            <w:r>
              <w:rPr>
                <w:sz w:val="24"/>
              </w:rPr>
              <w:t>优惠承诺及其他：</w:t>
            </w:r>
          </w:p>
        </w:tc>
      </w:tr>
    </w:tbl>
    <w:p>
      <w:pPr>
        <w:pStyle w:val="7"/>
        <w:spacing w:before="2"/>
        <w:outlineLvl w:val="2"/>
      </w:pPr>
      <w:r>
        <w:t>注：</w:t>
      </w:r>
    </w:p>
    <w:p>
      <w:pPr>
        <w:pStyle w:val="8"/>
        <w:spacing w:before="158"/>
        <w:ind w:left="388"/>
      </w:pPr>
      <w:r>
        <w:t>1、填写此表时不得改变表格的形式。</w:t>
      </w:r>
    </w:p>
    <w:p>
      <w:pPr>
        <w:pStyle w:val="8"/>
        <w:spacing w:before="160"/>
        <w:ind w:left="388"/>
      </w:pPr>
      <w:r>
        <w:rPr>
          <w:rFonts w:hint="eastAsia"/>
          <w:lang w:val="en-US" w:eastAsia="zh-CN"/>
        </w:rPr>
        <w:t>2</w:t>
      </w:r>
      <w:r>
        <w:t>、工期是指签订合同后多少个日历日内交付使用或完工。</w:t>
      </w:r>
    </w:p>
    <w:p>
      <w:pPr>
        <w:pStyle w:val="8"/>
        <w:spacing w:before="158" w:line="364" w:lineRule="auto"/>
        <w:ind w:left="388" w:right="744"/>
        <w:jc w:val="both"/>
      </w:pPr>
      <w:r>
        <w:rPr>
          <w:rFonts w:hint="eastAsia"/>
          <w:spacing w:val="-9"/>
          <w:lang w:val="en-US" w:eastAsia="zh-CN"/>
        </w:rPr>
        <w:t>3</w:t>
      </w:r>
      <w:r>
        <w:rPr>
          <w:spacing w:val="-9"/>
        </w:rPr>
        <w:t>、报价应是本响应文件所确定的全部工作内容的价格体现。其应包括施工设备、劳务、管</w:t>
      </w:r>
      <w:r>
        <w:t>理、材料、招标代理服务费、安装、维护、税金及人工费、材料费、机械费、措施项目费等政策性文件规定的各项应有费用。</w:t>
      </w:r>
    </w:p>
    <w:p>
      <w:pPr>
        <w:pStyle w:val="8"/>
        <w:spacing w:line="364" w:lineRule="auto"/>
        <w:ind w:left="388" w:right="678"/>
      </w:pPr>
      <w:r>
        <w:rPr>
          <w:rFonts w:hint="eastAsia"/>
          <w:lang w:val="en-US" w:eastAsia="zh-CN"/>
        </w:rPr>
        <w:t>4</w:t>
      </w:r>
      <w:r>
        <w:t>、磋商响应人如果需要对报价、服务或其它内容加以说明，可在“优惠条件及其他承诺” 一栏中填写。</w:t>
      </w:r>
    </w:p>
    <w:p>
      <w:pPr>
        <w:pStyle w:val="8"/>
        <w:spacing w:before="67"/>
        <w:ind w:left="388"/>
      </w:pPr>
      <w:r>
        <w:rPr>
          <w:rFonts w:hint="eastAsia"/>
          <w:lang w:val="en-US" w:eastAsia="zh-CN"/>
        </w:rPr>
        <w:t>5</w:t>
      </w:r>
      <w:r>
        <w:t>、响应文件的报价大写金额和小写金额不一致时，以大写金额为准。</w:t>
      </w:r>
    </w:p>
    <w:p>
      <w:pPr>
        <w:pStyle w:val="8"/>
        <w:spacing w:before="158" w:line="364" w:lineRule="auto"/>
        <w:ind w:left="5960" w:right="744" w:firstLine="960"/>
        <w:jc w:val="right"/>
      </w:pPr>
      <w:r>
        <w:t>磋商响应人名称（盖章</w:t>
      </w:r>
      <w:r>
        <w:rPr>
          <w:spacing w:val="-9"/>
        </w:rPr>
        <w:t>）：</w:t>
      </w:r>
      <w:r>
        <w:t>法定代表人或委托代理人（签字</w:t>
      </w:r>
      <w:r>
        <w:rPr>
          <w:spacing w:val="-9"/>
        </w:rPr>
        <w:t>）：</w:t>
      </w:r>
    </w:p>
    <w:p>
      <w:pPr>
        <w:spacing w:after="0" w:line="364" w:lineRule="auto"/>
      </w:pPr>
    </w:p>
    <w:p>
      <w:pPr>
        <w:pStyle w:val="8"/>
        <w:tabs>
          <w:tab w:val="left" w:pos="4640"/>
          <w:tab w:val="left" w:pos="5240"/>
          <w:tab w:val="left" w:pos="8840"/>
        </w:tabs>
        <w:spacing w:before="1" w:line="364" w:lineRule="auto"/>
        <w:ind w:left="4040" w:right="744" w:firstLine="1080"/>
        <w:jc w:val="right"/>
      </w:pPr>
      <w:r>
        <w:t>年</w:t>
      </w:r>
      <w:r>
        <w:rPr>
          <w:rFonts w:hint="eastAsia"/>
          <w:lang w:val="en-US" w:eastAsia="zh-CN"/>
        </w:rPr>
        <w:t xml:space="preserve">      </w:t>
      </w:r>
      <w:r>
        <w:t>月</w:t>
      </w:r>
      <w:r>
        <w:rPr>
          <w:rFonts w:hint="eastAsia"/>
          <w:lang w:val="en-US" w:eastAsia="zh-CN"/>
        </w:rPr>
        <w:t xml:space="preserve">      </w:t>
      </w:r>
      <w:r>
        <w:t>日</w:t>
      </w:r>
    </w:p>
    <w:p>
      <w:pPr>
        <w:spacing w:after="0" w:line="364" w:lineRule="auto"/>
        <w:sectPr>
          <w:footerReference r:id="rId18" w:type="default"/>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25"/>
        </w:rPr>
      </w:pPr>
      <w:r>
        <w:pict>
          <v:line id="_x0000_s1193" o:spid="_x0000_s1193" o:spt="20" style="position:absolute;left:0pt;margin-left:62.4pt;margin-top:12.25pt;height:0pt;width:400.4pt;mso-position-horizontal-relative:page;z-index:251833344;mso-width-relative:page;mso-height-relative:page;" stroked="t" coordsize="21600,21600">
            <v:path arrowok="t"/>
            <v:fill focussize="0,0"/>
            <v:stroke weight="0.36pt" color="#000000"/>
            <v:imagedata o:title=""/>
            <o:lock v:ext="edit"/>
          </v:line>
        </w:pict>
      </w:r>
      <w:bookmarkStart w:id="149" w:name="三、法定代表人证明书"/>
      <w:bookmarkEnd w:id="149"/>
      <w:r>
        <w:rPr>
          <w:rFonts w:hint="eastAsia"/>
          <w:sz w:val="18"/>
          <w:lang w:eastAsia="zh-CN"/>
        </w:rPr>
        <w:t xml:space="preserve"> </w:t>
      </w:r>
    </w:p>
    <w:p>
      <w:pPr>
        <w:pStyle w:val="7"/>
        <w:spacing w:before="67"/>
        <w:outlineLvl w:val="1"/>
      </w:pPr>
      <w:r>
        <w:t>三、法定代表人证明书</w:t>
      </w:r>
    </w:p>
    <w:p>
      <w:pPr>
        <w:pStyle w:val="8"/>
        <w:rPr>
          <w:b/>
          <w:sz w:val="20"/>
        </w:rPr>
      </w:pPr>
    </w:p>
    <w:p>
      <w:pPr>
        <w:pStyle w:val="8"/>
        <w:spacing w:before="8"/>
        <w:rPr>
          <w:b/>
          <w:sz w:val="29"/>
        </w:rPr>
      </w:pPr>
    </w:p>
    <w:p>
      <w:pPr>
        <w:spacing w:before="67"/>
        <w:ind w:left="0" w:right="358" w:firstLine="0"/>
        <w:jc w:val="center"/>
        <w:rPr>
          <w:b/>
          <w:sz w:val="24"/>
        </w:rPr>
      </w:pPr>
      <w:r>
        <w:rPr>
          <w:b/>
          <w:sz w:val="24"/>
        </w:rPr>
        <w:t>法定代表人证明书</w:t>
      </w:r>
    </w:p>
    <w:p>
      <w:pPr>
        <w:pStyle w:val="8"/>
        <w:rPr>
          <w:b/>
        </w:rPr>
      </w:pPr>
    </w:p>
    <w:p>
      <w:pPr>
        <w:pStyle w:val="8"/>
        <w:rPr>
          <w:b/>
          <w:sz w:val="31"/>
        </w:rPr>
      </w:pPr>
    </w:p>
    <w:p>
      <w:pPr>
        <w:spacing w:before="0"/>
        <w:ind w:left="388" w:right="0" w:firstLine="0"/>
        <w:jc w:val="left"/>
        <w:rPr>
          <w:b/>
          <w:sz w:val="24"/>
        </w:rPr>
      </w:pPr>
      <w:r>
        <w:rPr>
          <w:b/>
          <w:sz w:val="24"/>
        </w:rPr>
        <w:t>致：</w:t>
      </w:r>
      <w:r>
        <w:rPr>
          <w:b/>
          <w:sz w:val="24"/>
          <w:u w:val="single"/>
        </w:rPr>
        <w:t>青海汇森招标有限公司</w:t>
      </w:r>
    </w:p>
    <w:p>
      <w:pPr>
        <w:pStyle w:val="8"/>
        <w:tabs>
          <w:tab w:val="left" w:pos="4947"/>
        </w:tabs>
        <w:spacing w:before="159"/>
        <w:ind w:left="868"/>
      </w:pPr>
      <w:r>
        <w:rPr>
          <w:u w:val="single"/>
        </w:rPr>
        <w:t>（法定代表人姓名）</w:t>
      </w:r>
      <w:r>
        <w:t>现任我单位</w:t>
      </w:r>
      <w:r>
        <w:rPr>
          <w:u w:val="single"/>
        </w:rPr>
        <w:t xml:space="preserve"> </w:t>
      </w:r>
      <w:r>
        <w:rPr>
          <w:u w:val="single"/>
        </w:rPr>
        <w:tab/>
      </w:r>
      <w:r>
        <w:t>职务，为法定代表人，特此证明。</w:t>
      </w:r>
    </w:p>
    <w:p>
      <w:pPr>
        <w:pStyle w:val="8"/>
        <w:rPr>
          <w:sz w:val="26"/>
        </w:rPr>
      </w:pPr>
    </w:p>
    <w:p>
      <w:pPr>
        <w:pStyle w:val="8"/>
        <w:spacing w:before="10"/>
        <w:rPr>
          <w:sz w:val="22"/>
        </w:rPr>
      </w:pPr>
    </w:p>
    <w:p>
      <w:pPr>
        <w:pStyle w:val="8"/>
        <w:spacing w:before="1"/>
        <w:ind w:left="388"/>
      </w:pPr>
      <w:r>
        <w:t>法定代表人基本情况：</w:t>
      </w:r>
    </w:p>
    <w:p>
      <w:pPr>
        <w:pStyle w:val="8"/>
        <w:tabs>
          <w:tab w:val="left" w:pos="2427"/>
          <w:tab w:val="left" w:pos="4527"/>
          <w:tab w:val="left" w:pos="6447"/>
        </w:tabs>
        <w:spacing w:before="160" w:line="362" w:lineRule="auto"/>
        <w:ind w:left="388" w:right="4097"/>
      </w:pPr>
      <w:r>
        <w:t>性别：</w:t>
      </w:r>
      <w:r>
        <w:rPr>
          <w:u w:val="single"/>
        </w:rPr>
        <w:t xml:space="preserve"> </w:t>
      </w:r>
      <w:r>
        <w:rPr>
          <w:u w:val="single"/>
        </w:rPr>
        <w:tab/>
      </w:r>
      <w:r>
        <w:t>年龄：</w:t>
      </w:r>
      <w:r>
        <w:rPr>
          <w:u w:val="single"/>
        </w:rPr>
        <w:t xml:space="preserve"> </w:t>
      </w:r>
      <w:r>
        <w:rPr>
          <w:u w:val="single"/>
        </w:rPr>
        <w:tab/>
      </w:r>
      <w:r>
        <w:t>民族：</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 xml:space="preserve"> </w:t>
      </w:r>
      <w:r>
        <w:t>地址：</w:t>
      </w:r>
    </w:p>
    <w:p>
      <w:pPr>
        <w:pStyle w:val="8"/>
        <w:spacing w:before="5"/>
        <w:ind w:left="388"/>
      </w:pPr>
      <w:r>
        <w:t>身份证号码：</w:t>
      </w:r>
    </w:p>
    <w:p>
      <w:pPr>
        <w:pStyle w:val="8"/>
      </w:pPr>
    </w:p>
    <w:p>
      <w:pPr>
        <w:pStyle w:val="8"/>
        <w:spacing w:before="11"/>
      </w:pPr>
    </w:p>
    <w:p>
      <w:pPr>
        <w:pStyle w:val="8"/>
        <w:ind w:left="388"/>
        <w:outlineLvl w:val="2"/>
      </w:pPr>
      <w:r>
        <w:t>附法定代表人第二代身份证双面扫描（或复印）件）</w:t>
      </w:r>
    </w:p>
    <w:p>
      <w:pPr>
        <w:pStyle w:val="8"/>
      </w:pPr>
    </w:p>
    <w:p>
      <w:pPr>
        <w:pStyle w:val="8"/>
      </w:pPr>
    </w:p>
    <w:p>
      <w:pPr>
        <w:pStyle w:val="8"/>
      </w:pPr>
    </w:p>
    <w:p>
      <w:pPr>
        <w:pStyle w:val="8"/>
      </w:pPr>
    </w:p>
    <w:p>
      <w:pPr>
        <w:pStyle w:val="8"/>
        <w:spacing w:before="9"/>
        <w:rPr>
          <w:sz w:val="25"/>
        </w:rPr>
      </w:pPr>
    </w:p>
    <w:p>
      <w:pPr>
        <w:pStyle w:val="7"/>
        <w:tabs>
          <w:tab w:val="left" w:pos="6599"/>
          <w:tab w:val="left" w:pos="7321"/>
          <w:tab w:val="left" w:pos="7751"/>
        </w:tabs>
        <w:spacing w:before="1" w:line="364" w:lineRule="auto"/>
        <w:ind w:left="5876" w:right="1831" w:hanging="2220"/>
      </w:pPr>
      <w:r>
        <w:t>磋商响应人名称：</w:t>
      </w:r>
      <w:r>
        <w:tab/>
      </w:r>
      <w:r>
        <w:tab/>
      </w:r>
      <w:r>
        <w:tab/>
      </w:r>
      <w:r>
        <w:tab/>
      </w:r>
      <w:r>
        <w:t>（公章</w:t>
      </w:r>
      <w:r>
        <w:rPr>
          <w:spacing w:val="-17"/>
        </w:rPr>
        <w:t xml:space="preserve">） </w:t>
      </w:r>
      <w:r>
        <w:t>年</w:t>
      </w:r>
      <w:r>
        <w:tab/>
      </w:r>
      <w:r>
        <w:t>月</w:t>
      </w:r>
      <w:r>
        <w:tab/>
      </w:r>
      <w:r>
        <w:t>日</w:t>
      </w:r>
    </w:p>
    <w:p>
      <w:pPr>
        <w:spacing w:after="0" w:line="364" w:lineRule="auto"/>
        <w:sectPr>
          <w:footerReference r:id="rId19" w:type="default"/>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95" o:spid="_x0000_s1195" o:spt="20" style="position:absolute;left:0pt;margin-left:62.4pt;margin-top:12.25pt;height:0pt;width:400.4pt;mso-position-horizontal-relative:page;z-index:25183436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7"/>
        <w:spacing w:before="67"/>
        <w:outlineLvl w:val="1"/>
      </w:pPr>
      <w:bookmarkStart w:id="150" w:name="四、法定代表人授权书"/>
      <w:bookmarkEnd w:id="150"/>
      <w:r>
        <w:t>四、法定代表人授权书</w:t>
      </w:r>
    </w:p>
    <w:p>
      <w:pPr>
        <w:pStyle w:val="8"/>
        <w:rPr>
          <w:b/>
          <w:sz w:val="20"/>
        </w:rPr>
      </w:pPr>
    </w:p>
    <w:p>
      <w:pPr>
        <w:pStyle w:val="8"/>
        <w:spacing w:before="8"/>
        <w:rPr>
          <w:b/>
          <w:sz w:val="29"/>
        </w:rPr>
      </w:pPr>
    </w:p>
    <w:p>
      <w:pPr>
        <w:spacing w:before="67"/>
        <w:ind w:left="0" w:right="358" w:firstLine="0"/>
        <w:jc w:val="center"/>
        <w:rPr>
          <w:b/>
          <w:sz w:val="24"/>
        </w:rPr>
      </w:pPr>
      <w:r>
        <w:rPr>
          <w:b/>
          <w:sz w:val="24"/>
        </w:rPr>
        <w:t>法定代表人授权书</w:t>
      </w:r>
    </w:p>
    <w:p>
      <w:pPr>
        <w:pStyle w:val="8"/>
        <w:rPr>
          <w:b/>
        </w:rPr>
      </w:pPr>
    </w:p>
    <w:p>
      <w:pPr>
        <w:pStyle w:val="8"/>
        <w:rPr>
          <w:b/>
          <w:sz w:val="31"/>
        </w:rPr>
      </w:pPr>
    </w:p>
    <w:p>
      <w:pPr>
        <w:spacing w:before="0"/>
        <w:ind w:left="388" w:right="0" w:firstLine="0"/>
        <w:jc w:val="left"/>
        <w:rPr>
          <w:b/>
          <w:sz w:val="24"/>
        </w:rPr>
      </w:pPr>
      <w:r>
        <w:rPr>
          <w:b/>
          <w:sz w:val="24"/>
        </w:rPr>
        <w:t>致：</w:t>
      </w:r>
      <w:r>
        <w:rPr>
          <w:b/>
          <w:sz w:val="24"/>
          <w:u w:val="single"/>
        </w:rPr>
        <w:t>青海汇森招标有限公司</w:t>
      </w:r>
    </w:p>
    <w:p>
      <w:pPr>
        <w:pStyle w:val="8"/>
        <w:tabs>
          <w:tab w:val="left" w:pos="8787"/>
        </w:tabs>
        <w:spacing w:before="159"/>
        <w:ind w:left="868"/>
      </w:pPr>
      <w:r>
        <w:rPr>
          <w:u w:val="single"/>
        </w:rPr>
        <w:t>（磋商响应人名称）</w:t>
      </w:r>
      <w:r>
        <w:t>系中华人民共和国合法企业，法定地址</w:t>
      </w:r>
      <w:r>
        <w:rPr>
          <w:u w:val="single"/>
        </w:rPr>
        <w:t xml:space="preserve"> </w:t>
      </w:r>
      <w:r>
        <w:rPr>
          <w:u w:val="single"/>
        </w:rPr>
        <w:tab/>
      </w:r>
      <w:r>
        <w:t>。</w:t>
      </w:r>
    </w:p>
    <w:p>
      <w:pPr>
        <w:pStyle w:val="8"/>
        <w:spacing w:before="160"/>
        <w:ind w:left="868"/>
        <w:outlineLvl w:val="2"/>
      </w:pPr>
      <w:r>
        <w:rPr>
          <w:u w:val="single"/>
        </w:rPr>
        <w:t>（法定代表人姓名）</w:t>
      </w:r>
      <w:r>
        <w:t>特授权</w:t>
      </w:r>
      <w:r>
        <w:rPr>
          <w:u w:val="single"/>
        </w:rPr>
        <w:t>（委托代理人姓名）</w:t>
      </w:r>
      <w:r>
        <w:t>代表我单位全权办理</w:t>
      </w:r>
    </w:p>
    <w:p>
      <w:pPr>
        <w:pStyle w:val="8"/>
        <w:tabs>
          <w:tab w:val="left" w:pos="3387"/>
        </w:tabs>
        <w:spacing w:before="158" w:line="364" w:lineRule="auto"/>
        <w:ind w:left="868" w:right="624" w:hanging="480"/>
      </w:pP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r>
        <w:rPr>
          <w:spacing w:val="-15"/>
        </w:rPr>
        <w:t>项目的投标、答疑等具体工作，并签署全部有关的文件、资料。</w:t>
      </w:r>
      <w:r>
        <w:t>我单位对被授权人的签名负全部责任。</w:t>
      </w:r>
    </w:p>
    <w:p>
      <w:pPr>
        <w:pStyle w:val="8"/>
        <w:tabs>
          <w:tab w:val="left" w:pos="2787"/>
          <w:tab w:val="left" w:pos="3507"/>
          <w:tab w:val="left" w:pos="4227"/>
          <w:tab w:val="left" w:pos="5427"/>
          <w:tab w:val="left" w:pos="6147"/>
          <w:tab w:val="left" w:pos="6867"/>
        </w:tabs>
        <w:spacing w:line="364" w:lineRule="auto"/>
        <w:ind w:left="388" w:right="798" w:firstLine="480"/>
      </w:pPr>
      <w:r>
        <w:t>授权期限：自</w:t>
      </w:r>
      <w:r>
        <w:tab/>
      </w:r>
      <w:r>
        <w:t>年</w:t>
      </w:r>
      <w:r>
        <w:tab/>
      </w:r>
      <w:r>
        <w:t>月</w:t>
      </w:r>
      <w:r>
        <w:tab/>
      </w:r>
      <w:r>
        <w:t>日起至</w:t>
      </w:r>
      <w:r>
        <w:tab/>
      </w:r>
      <w:r>
        <w:t>年</w:t>
      </w:r>
      <w:r>
        <w:tab/>
      </w:r>
      <w:r>
        <w:t>月</w:t>
      </w:r>
      <w:r>
        <w:tab/>
      </w:r>
      <w:r>
        <w:t>日止（授权期限必须满足</w:t>
      </w:r>
      <w:r>
        <w:rPr>
          <w:spacing w:val="-18"/>
        </w:rPr>
        <w:t>投</w:t>
      </w:r>
      <w:r>
        <w:t>标有效期的要求）。</w:t>
      </w:r>
    </w:p>
    <w:p>
      <w:pPr>
        <w:pStyle w:val="8"/>
        <w:ind w:left="868"/>
      </w:pPr>
      <w:r>
        <w:t>被授权人联系电话：</w:t>
      </w:r>
    </w:p>
    <w:p>
      <w:pPr>
        <w:pStyle w:val="8"/>
        <w:tabs>
          <w:tab w:val="left" w:pos="4647"/>
          <w:tab w:val="left" w:pos="8847"/>
        </w:tabs>
        <w:spacing w:before="158" w:line="364" w:lineRule="auto"/>
        <w:ind w:left="388" w:right="1697"/>
        <w:rPr>
          <w:rFonts w:ascii="Times New Roman" w:eastAsia="Times New Roman"/>
        </w:rPr>
      </w:pPr>
      <w:r>
        <w:t>被授权人（委托代理人）签字：</w:t>
      </w:r>
      <w:r>
        <w:rPr>
          <w:u w:val="single"/>
        </w:rPr>
        <w:t xml:space="preserve"> </w:t>
      </w:r>
      <w:r>
        <w:rPr>
          <w:u w:val="single"/>
        </w:rPr>
        <w:tab/>
      </w:r>
      <w:r>
        <w:t>授权人（法定代表人）签字：</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 xml:space="preserve"> </w:t>
      </w:r>
      <w:r>
        <w:t>职务：</w:t>
      </w:r>
      <w:r>
        <w:rPr>
          <w:u w:val="single"/>
        </w:rPr>
        <w:t xml:space="preserve"> </w:t>
      </w:r>
      <w:r>
        <w:rPr>
          <w:u w:val="single"/>
        </w:rPr>
        <w:tab/>
      </w:r>
      <w:r>
        <w:t>职务：</w:t>
      </w:r>
      <w:r>
        <w:rPr>
          <w:rFonts w:ascii="Times New Roman" w:eastAsia="Times New Roman"/>
          <w:u w:val="single"/>
        </w:rPr>
        <w:t xml:space="preserve"> </w:t>
      </w:r>
      <w:r>
        <w:rPr>
          <w:rFonts w:ascii="Times New Roman" w:eastAsia="Times New Roman"/>
          <w:u w:val="single"/>
        </w:rPr>
        <w:tab/>
      </w:r>
    </w:p>
    <w:p>
      <w:pPr>
        <w:pStyle w:val="8"/>
        <w:rPr>
          <w:rFonts w:ascii="Times New Roman"/>
          <w:sz w:val="20"/>
        </w:rPr>
      </w:pPr>
    </w:p>
    <w:p>
      <w:pPr>
        <w:pStyle w:val="8"/>
        <w:spacing w:before="5"/>
        <w:rPr>
          <w:rFonts w:ascii="Times New Roman"/>
          <w:sz w:val="20"/>
        </w:rPr>
      </w:pPr>
    </w:p>
    <w:p>
      <w:pPr>
        <w:pStyle w:val="8"/>
        <w:ind w:left="868"/>
      </w:pPr>
      <w:r>
        <w:t>附被授权人第二代身份证双面扫描（或复印）件</w:t>
      </w:r>
    </w:p>
    <w:p>
      <w:pPr>
        <w:pStyle w:val="8"/>
      </w:pPr>
    </w:p>
    <w:p>
      <w:pPr>
        <w:pStyle w:val="8"/>
      </w:pPr>
    </w:p>
    <w:p>
      <w:pPr>
        <w:pStyle w:val="8"/>
      </w:pPr>
    </w:p>
    <w:p>
      <w:pPr>
        <w:pStyle w:val="8"/>
      </w:pPr>
    </w:p>
    <w:p>
      <w:pPr>
        <w:pStyle w:val="8"/>
        <w:spacing w:before="11"/>
        <w:rPr>
          <w:sz w:val="25"/>
        </w:rPr>
      </w:pPr>
    </w:p>
    <w:p>
      <w:pPr>
        <w:pStyle w:val="7"/>
        <w:tabs>
          <w:tab w:val="left" w:pos="6296"/>
          <w:tab w:val="left" w:pos="7021"/>
          <w:tab w:val="left" w:pos="7751"/>
        </w:tabs>
        <w:spacing w:line="362" w:lineRule="auto"/>
        <w:ind w:left="5574" w:right="1831" w:hanging="1918"/>
      </w:pPr>
      <w:r>
        <w:t>磋商响应</w:t>
      </w:r>
      <w:r>
        <w:rPr>
          <w:spacing w:val="-3"/>
        </w:rPr>
        <w:t>人</w:t>
      </w:r>
      <w:r>
        <w:t>名称：</w:t>
      </w:r>
      <w:r>
        <w:tab/>
      </w:r>
      <w:r>
        <w:tab/>
      </w:r>
      <w:r>
        <w:tab/>
      </w:r>
      <w:r>
        <w:t>（公章</w:t>
      </w:r>
      <w:r>
        <w:rPr>
          <w:spacing w:val="-17"/>
        </w:rPr>
        <w:t xml:space="preserve">） </w:t>
      </w:r>
      <w:r>
        <w:t>年</w:t>
      </w:r>
      <w:r>
        <w:tab/>
      </w:r>
      <w:r>
        <w:t>月</w:t>
      </w:r>
      <w:r>
        <w:tab/>
      </w:r>
      <w:r>
        <w:t>日</w:t>
      </w:r>
    </w:p>
    <w:p>
      <w:pPr>
        <w:spacing w:after="0" w:line="362" w:lineRule="auto"/>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96" o:spid="_x0000_s1196" o:spt="20" style="position:absolute;left:0pt;margin-left:62.4pt;margin-top:12.25pt;height:0pt;width:400.4pt;mso-position-horizontal-relative:page;z-index:25183539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7"/>
        <w:spacing w:before="67"/>
        <w:outlineLvl w:val="1"/>
      </w:pPr>
      <w:bookmarkStart w:id="151" w:name="五、磋商响应人诚信承诺书"/>
      <w:bookmarkEnd w:id="151"/>
      <w:r>
        <w:t>五、磋商响应人诚信承诺书</w:t>
      </w:r>
    </w:p>
    <w:p>
      <w:pPr>
        <w:spacing w:before="158"/>
        <w:ind w:left="0" w:right="356" w:firstLine="0"/>
        <w:jc w:val="center"/>
        <w:outlineLvl w:val="2"/>
        <w:rPr>
          <w:b/>
          <w:sz w:val="24"/>
        </w:rPr>
      </w:pPr>
      <w:r>
        <w:rPr>
          <w:b/>
          <w:sz w:val="24"/>
        </w:rPr>
        <w:t>磋商响应人诚信承诺书</w:t>
      </w:r>
    </w:p>
    <w:p>
      <w:pPr>
        <w:pStyle w:val="8"/>
        <w:rPr>
          <w:b/>
          <w:sz w:val="20"/>
        </w:rPr>
      </w:pPr>
    </w:p>
    <w:p>
      <w:pPr>
        <w:pStyle w:val="8"/>
        <w:spacing w:before="9"/>
        <w:rPr>
          <w:b/>
          <w:sz w:val="23"/>
        </w:rPr>
      </w:pPr>
    </w:p>
    <w:p>
      <w:pPr>
        <w:spacing w:before="66"/>
        <w:ind w:left="388" w:right="0" w:firstLine="0"/>
        <w:jc w:val="left"/>
        <w:rPr>
          <w:b/>
          <w:sz w:val="24"/>
        </w:rPr>
      </w:pPr>
      <w:r>
        <w:rPr>
          <w:b/>
          <w:sz w:val="24"/>
        </w:rPr>
        <w:t>致：青海汇森招标有限公司</w:t>
      </w:r>
    </w:p>
    <w:p>
      <w:pPr>
        <w:pStyle w:val="8"/>
        <w:rPr>
          <w:b/>
        </w:rPr>
      </w:pPr>
    </w:p>
    <w:p>
      <w:pPr>
        <w:pStyle w:val="8"/>
        <w:spacing w:before="11"/>
        <w:rPr>
          <w:b/>
        </w:rPr>
      </w:pPr>
    </w:p>
    <w:p>
      <w:pPr>
        <w:pStyle w:val="8"/>
        <w:ind w:left="868"/>
      </w:pPr>
      <w:r>
        <w:t>为了诚实、客观、有序地参与青海省政府采购活动，愿就以下内容做出承诺：</w:t>
      </w:r>
    </w:p>
    <w:p>
      <w:pPr>
        <w:pStyle w:val="8"/>
        <w:spacing w:before="161" w:line="364" w:lineRule="auto"/>
        <w:ind w:left="388" w:right="798" w:firstLine="480"/>
      </w:pPr>
      <w:r>
        <w:t>一、自觉遵守各项法律、法规、规章、制度以及社会公德，维护廉洁环境，与同场竞争的磋商响应人平等参加政府采购活动。</w:t>
      </w:r>
    </w:p>
    <w:p>
      <w:pPr>
        <w:pStyle w:val="8"/>
        <w:spacing w:line="362" w:lineRule="auto"/>
        <w:ind w:left="388" w:right="798" w:firstLine="480"/>
      </w:pPr>
      <w:r>
        <w:t>二、参加采购代理机构组织的政府采购活动时，严格按照磋商文件的规定和要求提供所需的相关材料，并对所提供的各类资料的真实性负责，不虚假应标，不虚列业绩。</w:t>
      </w:r>
    </w:p>
    <w:p>
      <w:pPr>
        <w:pStyle w:val="8"/>
        <w:spacing w:before="3" w:line="364" w:lineRule="auto"/>
        <w:ind w:left="388" w:right="624" w:firstLine="480"/>
      </w:pPr>
      <w:r>
        <w:rPr>
          <w:spacing w:val="-9"/>
        </w:rPr>
        <w:t>三、尊重参与政府采购活动各相关方的合法行为，接受政府采购活动依法形成的意见、</w:t>
      </w:r>
      <w:r>
        <w:t>结果。</w:t>
      </w:r>
    </w:p>
    <w:p>
      <w:pPr>
        <w:pStyle w:val="8"/>
        <w:spacing w:line="364" w:lineRule="auto"/>
        <w:ind w:left="388" w:right="798" w:firstLine="480"/>
      </w:pPr>
      <w:r>
        <w:t>四、依法参加政府采购活动，不围标、串标，维护市场秩序，不提供“三无”产品、以次充好。</w:t>
      </w:r>
    </w:p>
    <w:p>
      <w:pPr>
        <w:pStyle w:val="8"/>
        <w:spacing w:line="364" w:lineRule="auto"/>
        <w:ind w:left="388" w:right="798" w:firstLine="480"/>
        <w:jc w:val="both"/>
      </w:pPr>
      <w:r>
        <w:t>五、积极推动政府采购活动健康开展，对采购活动有疑问、异议时，按法律规定的程序实名（加盖单位章和法定代表人签名）反映情况，不恶意中伤、无事生非，以和谐、平等的心态参加政府采购活动。</w:t>
      </w:r>
    </w:p>
    <w:p>
      <w:pPr>
        <w:pStyle w:val="8"/>
        <w:spacing w:line="362" w:lineRule="auto"/>
        <w:ind w:left="388" w:right="798" w:firstLine="480"/>
      </w:pPr>
      <w:r>
        <w:t>六、认真履行成交人应承担的责任和义务，全面执行采购合同规定的各项内容，保质保量地按时提供采购物品。</w:t>
      </w:r>
    </w:p>
    <w:p>
      <w:pPr>
        <w:pStyle w:val="8"/>
        <w:spacing w:before="2" w:line="362" w:lineRule="auto"/>
        <w:ind w:left="388" w:right="798" w:firstLine="480"/>
      </w:pPr>
      <w:r>
        <w:t>若本企业（单位）发生有悖于上述承诺的行为，愿意接受《中华人民共和国政府采购法》和《政府采购法实施条例》中对磋商响应人的相关处理。</w:t>
      </w:r>
    </w:p>
    <w:p>
      <w:pPr>
        <w:pStyle w:val="8"/>
        <w:spacing w:before="5"/>
        <w:ind w:left="388"/>
      </w:pPr>
      <w:r>
        <w:t>本承诺是采购项目磋商文件的组成部分。</w:t>
      </w:r>
    </w:p>
    <w:p>
      <w:pPr>
        <w:pStyle w:val="8"/>
      </w:pPr>
    </w:p>
    <w:p>
      <w:pPr>
        <w:pStyle w:val="8"/>
      </w:pPr>
    </w:p>
    <w:p>
      <w:pPr>
        <w:pStyle w:val="8"/>
      </w:pPr>
    </w:p>
    <w:p>
      <w:pPr>
        <w:pStyle w:val="8"/>
      </w:pPr>
    </w:p>
    <w:p>
      <w:pPr>
        <w:pStyle w:val="8"/>
        <w:spacing w:before="9"/>
        <w:rPr>
          <w:sz w:val="31"/>
        </w:rPr>
      </w:pPr>
    </w:p>
    <w:p>
      <w:pPr>
        <w:pStyle w:val="8"/>
        <w:tabs>
          <w:tab w:val="left" w:pos="4640"/>
          <w:tab w:val="left" w:pos="5240"/>
          <w:tab w:val="left" w:pos="8840"/>
        </w:tabs>
        <w:spacing w:before="1" w:line="364" w:lineRule="auto"/>
        <w:ind w:left="4040" w:right="744" w:firstLine="1080"/>
        <w:jc w:val="right"/>
      </w:pPr>
      <w:r>
        <w:t>磋商响应人：</w:t>
      </w:r>
      <w:r>
        <w:tab/>
      </w:r>
      <w:r>
        <w:t>（公章</w:t>
      </w:r>
      <w:r>
        <w:rPr>
          <w:spacing w:val="-17"/>
        </w:rPr>
        <w:t>）</w:t>
      </w:r>
      <w:r>
        <w:t>法定代表人或委托代理人：</w:t>
      </w:r>
      <w:r>
        <w:tab/>
      </w:r>
      <w:r>
        <w:t>（签字</w:t>
      </w:r>
      <w:r>
        <w:rPr>
          <w:spacing w:val="-17"/>
        </w:rPr>
        <w:t>）</w:t>
      </w:r>
      <w:r>
        <w:t>年</w:t>
      </w:r>
      <w:r>
        <w:tab/>
      </w:r>
      <w:r>
        <w:t>月</w:t>
      </w:r>
      <w:r>
        <w:tab/>
      </w:r>
      <w:r>
        <w:t>日</w:t>
      </w:r>
    </w:p>
    <w:p>
      <w:pPr>
        <w:spacing w:after="0" w:line="364" w:lineRule="auto"/>
        <w:jc w:val="right"/>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97" o:spid="_x0000_s1197" o:spt="20" style="position:absolute;left:0pt;margin-left:62.4pt;margin-top:12.25pt;height:0pt;width:400.4pt;mso-position-horizontal-relative:page;z-index:251836416;mso-width-relative:page;mso-height-relative:page;" stroked="t" coordsize="21600,21600">
            <v:path arrowok="t"/>
            <v:fill focussize="0,0"/>
            <v:stroke weight="0.36pt" color="#000000"/>
            <v:imagedata o:title=""/>
            <o:lock v:ext="edit"/>
          </v:line>
        </w:pict>
      </w:r>
      <w:bookmarkStart w:id="152" w:name="七、未被列入“失信被执行人”的证明"/>
      <w:bookmarkEnd w:id="152"/>
      <w:r>
        <w:rPr>
          <w:rFonts w:hint="eastAsia"/>
          <w:sz w:val="18"/>
          <w:lang w:eastAsia="zh-CN"/>
        </w:rPr>
        <w:t xml:space="preserve"> </w:t>
      </w:r>
    </w:p>
    <w:p>
      <w:pPr>
        <w:pStyle w:val="8"/>
        <w:spacing w:before="6"/>
        <w:rPr>
          <w:sz w:val="25"/>
        </w:rPr>
      </w:pPr>
    </w:p>
    <w:p>
      <w:pPr>
        <w:spacing w:after="0"/>
        <w:rPr>
          <w:sz w:val="25"/>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pStyle w:val="7"/>
        <w:spacing w:before="67"/>
        <w:outlineLvl w:val="1"/>
      </w:pPr>
      <w:bookmarkStart w:id="153" w:name="六、磋商磋商响应人承诺函"/>
      <w:bookmarkEnd w:id="153"/>
      <w:r>
        <w:rPr>
          <w:w w:val="95"/>
        </w:rPr>
        <w:t>六、磋商磋商响应人承诺函</w:t>
      </w:r>
    </w:p>
    <w:p>
      <w:pPr>
        <w:pStyle w:val="8"/>
        <w:rPr>
          <w:b/>
        </w:rPr>
      </w:pPr>
    </w:p>
    <w:p>
      <w:pPr>
        <w:pStyle w:val="8"/>
        <w:spacing w:before="11"/>
        <w:rPr>
          <w:b/>
        </w:rPr>
      </w:pPr>
    </w:p>
    <w:p>
      <w:pPr>
        <w:spacing w:before="0"/>
        <w:ind w:left="388" w:right="0" w:firstLine="0"/>
        <w:jc w:val="left"/>
        <w:outlineLvl w:val="2"/>
        <w:rPr>
          <w:b/>
          <w:sz w:val="24"/>
        </w:rPr>
      </w:pPr>
      <w:r>
        <w:rPr>
          <w:b/>
          <w:w w:val="95"/>
          <w:sz w:val="24"/>
        </w:rPr>
        <w:t>致：青海汇森招标有限公司</w:t>
      </w:r>
    </w:p>
    <w:p>
      <w:pPr>
        <w:pStyle w:val="8"/>
        <w:rPr>
          <w:b/>
        </w:rPr>
      </w:pPr>
      <w:r>
        <w:br w:type="column"/>
      </w:r>
    </w:p>
    <w:p>
      <w:pPr>
        <w:pStyle w:val="8"/>
        <w:spacing w:before="7"/>
        <w:rPr>
          <w:b/>
          <w:sz w:val="17"/>
        </w:rPr>
      </w:pPr>
    </w:p>
    <w:p>
      <w:pPr>
        <w:spacing w:before="0"/>
        <w:ind w:left="388" w:right="0" w:firstLine="0"/>
        <w:jc w:val="left"/>
        <w:rPr>
          <w:b/>
          <w:sz w:val="24"/>
        </w:rPr>
      </w:pPr>
      <w:r>
        <w:rPr>
          <w:b/>
          <w:sz w:val="24"/>
        </w:rPr>
        <w:t>磋商磋商响应人承诺函</w:t>
      </w:r>
    </w:p>
    <w:p>
      <w:pPr>
        <w:spacing w:after="0"/>
        <w:jc w:val="left"/>
        <w:rPr>
          <w:sz w:val="24"/>
        </w:rPr>
        <w:sectPr>
          <w:type w:val="continuous"/>
          <w:pgSz w:w="11910" w:h="16840"/>
          <w:pgMar w:top="780" w:right="500" w:bottom="280" w:left="860" w:header="720" w:footer="720" w:gutter="0"/>
          <w:pgBorders w:offsetFrom="page">
            <w:top w:val="single" w:color="A6A6A6" w:sz="18" w:space="24"/>
            <w:left w:val="single" w:color="A6A6A6" w:sz="18" w:space="24"/>
            <w:bottom w:val="single" w:color="A6A6A6" w:sz="18" w:space="24"/>
            <w:right w:val="single" w:color="A6A6A6" w:sz="18" w:space="24"/>
          </w:pgBorders>
          <w:cols w:equalWidth="0" w:num="2">
            <w:col w:w="3318" w:space="184"/>
            <w:col w:w="7048"/>
          </w:cols>
        </w:sectPr>
      </w:pPr>
    </w:p>
    <w:p>
      <w:pPr>
        <w:pStyle w:val="8"/>
        <w:rPr>
          <w:b/>
          <w:sz w:val="20"/>
        </w:rPr>
      </w:pPr>
    </w:p>
    <w:p>
      <w:pPr>
        <w:pStyle w:val="8"/>
        <w:spacing w:before="1"/>
        <w:rPr>
          <w:b/>
          <w:sz w:val="23"/>
        </w:rPr>
      </w:pPr>
    </w:p>
    <w:p>
      <w:pPr>
        <w:pStyle w:val="8"/>
        <w:spacing w:before="74" w:line="364" w:lineRule="auto"/>
        <w:ind w:left="388" w:right="798" w:firstLine="480"/>
        <w:jc w:val="both"/>
      </w:pPr>
      <w:r>
        <w:t>关于贵方</w:t>
      </w:r>
      <w:r>
        <w:rPr>
          <w:u w:val="single"/>
        </w:rPr>
        <w:t xml:space="preserve">  </w:t>
      </w:r>
      <w:r>
        <w:t>年</w:t>
      </w:r>
      <w:r>
        <w:rPr>
          <w:u w:val="single"/>
        </w:rPr>
        <w:t xml:space="preserve">   </w:t>
      </w:r>
      <w:r>
        <w:t>月</w:t>
      </w:r>
      <w:r>
        <w:rPr>
          <w:u w:val="single"/>
        </w:rPr>
        <w:t xml:space="preserve">   </w:t>
      </w:r>
      <w:r>
        <w:t>日</w:t>
      </w:r>
      <w:r>
        <w:rPr>
          <w:u w:val="single"/>
        </w:rPr>
        <w:t xml:space="preserve"> (项目名称)</w:t>
      </w:r>
      <w:r>
        <w:t>采购项目，本签字人愿意参加磋商，提供采购一览表中要求的所有产品，并证实提交的所有资料是准确的和真实的。同时，我代表（磋商磋商响应人名称），在此作如下承诺：</w:t>
      </w:r>
    </w:p>
    <w:p>
      <w:pPr>
        <w:pStyle w:val="8"/>
        <w:spacing w:line="307" w:lineRule="exact"/>
        <w:ind w:left="868"/>
        <w:outlineLvl w:val="2"/>
      </w:pPr>
      <w:r>
        <w:t>1、完全理解和接受磋商文件的一切规定和要求；</w:t>
      </w:r>
    </w:p>
    <w:p>
      <w:pPr>
        <w:pStyle w:val="8"/>
        <w:spacing w:before="158" w:line="364" w:lineRule="auto"/>
        <w:ind w:left="388" w:right="744" w:firstLine="480"/>
        <w:jc w:val="both"/>
      </w:pPr>
      <w:r>
        <w:t>2</w:t>
      </w:r>
      <w:r>
        <w:rPr>
          <w:spacing w:val="-9"/>
        </w:rPr>
        <w:t>、若成交，我方将按照磋商文件的具体规定与采购单位签订合同，并且严格履行合同</w:t>
      </w:r>
      <w:r>
        <w:t>义务，按时交货，提供优质的产品和服务。如果在合同执行过程中，发现质量出现问题， 我方一定尽快更换或保修，并承担相应的经济责任；</w:t>
      </w:r>
    </w:p>
    <w:p>
      <w:pPr>
        <w:pStyle w:val="8"/>
        <w:spacing w:line="362" w:lineRule="auto"/>
        <w:ind w:left="388" w:right="744" w:firstLine="480"/>
      </w:pPr>
      <w:r>
        <w:t>3</w:t>
      </w:r>
      <w:r>
        <w:rPr>
          <w:spacing w:val="-8"/>
        </w:rPr>
        <w:t>、在整个磋商过程中我方若有违规行为，贵方可按磋商文件之规定给予惩罚，我方完</w:t>
      </w:r>
      <w:r>
        <w:t>全接受。</w:t>
      </w:r>
    </w:p>
    <w:p>
      <w:pPr>
        <w:pStyle w:val="8"/>
        <w:spacing w:before="4"/>
        <w:ind w:left="868"/>
      </w:pPr>
      <w:r>
        <w:t>4、若成交，本承诺将成为合同不可分割的一部分，与合同具有同等的法律效力。</w:t>
      </w: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spacing w:before="7"/>
        <w:rPr>
          <w:sz w:val="29"/>
        </w:rPr>
      </w:pPr>
    </w:p>
    <w:p>
      <w:pPr>
        <w:pStyle w:val="8"/>
        <w:tabs>
          <w:tab w:val="left" w:pos="4640"/>
          <w:tab w:val="left" w:pos="5240"/>
          <w:tab w:val="left" w:pos="8840"/>
        </w:tabs>
        <w:spacing w:line="364" w:lineRule="auto"/>
        <w:ind w:left="4040" w:right="744" w:firstLine="1080"/>
        <w:jc w:val="right"/>
      </w:pPr>
      <w:r>
        <w:t>磋商响应人：</w:t>
      </w:r>
      <w:r>
        <w:tab/>
      </w:r>
      <w:r>
        <w:t>（公章</w:t>
      </w:r>
      <w:r>
        <w:rPr>
          <w:spacing w:val="-17"/>
        </w:rPr>
        <w:t>）</w:t>
      </w:r>
      <w:r>
        <w:t>法定代表人或委托代理人：</w:t>
      </w:r>
      <w:r>
        <w:tab/>
      </w:r>
      <w:r>
        <w:t>（签字</w:t>
      </w:r>
      <w:r>
        <w:rPr>
          <w:spacing w:val="-17"/>
        </w:rPr>
        <w:t>）</w:t>
      </w:r>
      <w:r>
        <w:t>年</w:t>
      </w:r>
      <w:r>
        <w:tab/>
      </w:r>
      <w:r>
        <w:t>月</w:t>
      </w:r>
      <w:r>
        <w:tab/>
      </w:r>
      <w:r>
        <w:t>日</w:t>
      </w:r>
    </w:p>
    <w:p>
      <w:pPr>
        <w:spacing w:after="0" w:line="364" w:lineRule="auto"/>
        <w:jc w:val="right"/>
        <w:sectPr>
          <w:type w:val="continuous"/>
          <w:pgSz w:w="11910" w:h="16840"/>
          <w:pgMar w:top="780" w:right="500" w:bottom="280" w:left="860" w:header="720" w:footer="720"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98" o:spid="_x0000_s1198" o:spt="20" style="position:absolute;left:0pt;margin-left:62.4pt;margin-top:12.25pt;height:0pt;width:400.4pt;mso-position-horizontal-relative:page;z-index:25183744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7"/>
        <w:spacing w:before="67"/>
        <w:outlineLvl w:val="1"/>
      </w:pPr>
      <w:r>
        <w:t>七、未被列入“失信被执行人”的证明</w:t>
      </w:r>
    </w:p>
    <w:p>
      <w:pPr>
        <w:spacing w:before="158"/>
        <w:ind w:left="0" w:right="361" w:firstLine="0"/>
        <w:jc w:val="center"/>
        <w:outlineLvl w:val="2"/>
        <w:rPr>
          <w:b/>
          <w:sz w:val="24"/>
        </w:rPr>
      </w:pPr>
      <w:r>
        <w:rPr>
          <w:b/>
          <w:sz w:val="24"/>
        </w:rPr>
        <w:t>未被列入“失信被执行人”的证明</w:t>
      </w:r>
    </w:p>
    <w:p>
      <w:pPr>
        <w:pStyle w:val="8"/>
        <w:rPr>
          <w:b/>
        </w:rPr>
      </w:pPr>
    </w:p>
    <w:p>
      <w:pPr>
        <w:pStyle w:val="8"/>
        <w:spacing w:before="11"/>
        <w:rPr>
          <w:b/>
        </w:rPr>
      </w:pPr>
    </w:p>
    <w:p>
      <w:pPr>
        <w:pStyle w:val="8"/>
        <w:spacing w:line="364" w:lineRule="auto"/>
        <w:ind w:left="388" w:right="744" w:firstLine="480"/>
        <w:jc w:val="both"/>
      </w:pPr>
      <w:r>
        <w:rPr>
          <w:spacing w:val="-4"/>
        </w:rPr>
        <w:t>经信用中国</w:t>
      </w:r>
      <w:r>
        <w:fldChar w:fldCharType="begin"/>
      </w:r>
      <w:r>
        <w:instrText xml:space="preserve"> HYPERLINK "http://www.creditchina.gov.cn/" \h </w:instrText>
      </w:r>
      <w:r>
        <w:fldChar w:fldCharType="separate"/>
      </w:r>
      <w:r>
        <w:rPr>
          <w:spacing w:val="-1"/>
        </w:rPr>
        <w:t>（www.creditchina.gov.cn</w:t>
      </w:r>
      <w:r>
        <w:rPr>
          <w:spacing w:val="-1"/>
        </w:rPr>
        <w:fldChar w:fldCharType="end"/>
      </w:r>
      <w:r>
        <w:rPr>
          <w:spacing w:val="-1"/>
        </w:rPr>
        <w:t>）</w:t>
      </w:r>
      <w:r>
        <w:rPr>
          <w:spacing w:val="-5"/>
        </w:rPr>
        <w:t>、中国政府采购网</w:t>
      </w:r>
      <w:r>
        <w:t>（</w:t>
      </w:r>
      <w:r>
        <w:fldChar w:fldCharType="begin"/>
      </w:r>
      <w:r>
        <w:instrText xml:space="preserve"> HYPERLINK "http://www.ccgp.gov.cn/" \h </w:instrText>
      </w:r>
      <w:r>
        <w:fldChar w:fldCharType="separate"/>
      </w:r>
      <w:r>
        <w:t>www.ccgp.gov.cn</w:t>
      </w:r>
      <w:r>
        <w:fldChar w:fldCharType="end"/>
      </w:r>
      <w:r>
        <w:t>）</w:t>
      </w:r>
      <w:r>
        <w:rPr>
          <w:spacing w:val="-8"/>
        </w:rPr>
        <w:t>等渠</w:t>
      </w:r>
      <w:r>
        <w:t>道查询后，列入失信被执行人、重大税收违法案件当事人名单、政府采购严重违法失信行为记录名单的，取消投标资格。（提供“信用中国”及“中国政府采购网”网站无任何不</w:t>
      </w:r>
      <w:r>
        <w:rPr>
          <w:spacing w:val="-3"/>
        </w:rPr>
        <w:t xml:space="preserve">良记录的查询截图，时间为投标截止时间前 </w:t>
      </w:r>
      <w:r>
        <w:t>20</w:t>
      </w:r>
      <w:r>
        <w:rPr>
          <w:spacing w:val="-20"/>
        </w:rPr>
        <w:t xml:space="preserve"> 天内</w:t>
      </w:r>
      <w:r>
        <w:t>）。</w:t>
      </w:r>
    </w:p>
    <w:p>
      <w:pPr>
        <w:pStyle w:val="8"/>
        <w:spacing w:line="362" w:lineRule="auto"/>
        <w:ind w:left="388" w:right="678"/>
        <w:jc w:val="both"/>
      </w:pPr>
      <w:r>
        <w:rPr>
          <w:spacing w:val="-2"/>
        </w:rPr>
        <w:t xml:space="preserve">注：附网站查询截图，截图中须显示“报告查看时间”，时间为投标截止时间前 </w:t>
      </w:r>
      <w:r>
        <w:t>20</w:t>
      </w:r>
      <w:r>
        <w:rPr>
          <w:spacing w:val="-20"/>
        </w:rPr>
        <w:t xml:space="preserve"> 天内， </w:t>
      </w:r>
      <w:r>
        <w:t>否则视为无效投标。</w:t>
      </w:r>
    </w:p>
    <w:p>
      <w:pPr>
        <w:spacing w:after="0" w:line="362" w:lineRule="auto"/>
        <w:jc w:val="both"/>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199" o:spid="_x0000_s1199" o:spt="20" style="position:absolute;left:0pt;margin-left:62.4pt;margin-top:12.25pt;height:0pt;width:400.4pt;mso-position-horizontal-relative:page;z-index:25183846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7"/>
        <w:spacing w:before="67"/>
        <w:outlineLvl w:val="1"/>
      </w:pPr>
      <w:bookmarkStart w:id="154" w:name="八、已标价工程量清单"/>
      <w:bookmarkEnd w:id="154"/>
      <w:r>
        <w:t>八、已标价工程量清单</w:t>
      </w:r>
    </w:p>
    <w:p>
      <w:pPr>
        <w:pStyle w:val="8"/>
        <w:rPr>
          <w:b/>
          <w:sz w:val="20"/>
        </w:rPr>
      </w:pPr>
    </w:p>
    <w:p>
      <w:pPr>
        <w:pStyle w:val="8"/>
        <w:spacing w:before="8"/>
        <w:rPr>
          <w:b/>
          <w:sz w:val="23"/>
        </w:rPr>
      </w:pPr>
    </w:p>
    <w:p>
      <w:pPr>
        <w:spacing w:before="67"/>
        <w:ind w:left="0" w:right="358" w:firstLine="0"/>
        <w:jc w:val="center"/>
        <w:rPr>
          <w:b/>
          <w:sz w:val="24"/>
        </w:rPr>
      </w:pPr>
      <w:r>
        <w:rPr>
          <w:b/>
          <w:sz w:val="24"/>
        </w:rPr>
        <w:t>已标价工程量清单</w:t>
      </w:r>
    </w:p>
    <w:p>
      <w:pPr>
        <w:pStyle w:val="8"/>
        <w:spacing w:before="158"/>
        <w:ind w:left="388"/>
        <w:outlineLvl w:val="2"/>
      </w:pPr>
      <w:bookmarkStart w:id="155" w:name="（一）工程量清单报价表封面"/>
      <w:bookmarkEnd w:id="155"/>
      <w:r>
        <w:t>（一）工程量清单报价表封面</w:t>
      </w:r>
    </w:p>
    <w:p>
      <w:pPr>
        <w:pStyle w:val="8"/>
        <w:rPr>
          <w:sz w:val="20"/>
        </w:rPr>
      </w:pPr>
    </w:p>
    <w:p>
      <w:pPr>
        <w:pStyle w:val="8"/>
        <w:spacing w:before="1"/>
        <w:rPr>
          <w:sz w:val="23"/>
        </w:rPr>
      </w:pPr>
    </w:p>
    <w:p>
      <w:pPr>
        <w:pStyle w:val="8"/>
        <w:tabs>
          <w:tab w:val="left" w:pos="5607"/>
        </w:tabs>
        <w:spacing w:before="74"/>
        <w:ind w:left="388"/>
      </w:pPr>
      <w:r>
        <w:t>招 标 人：</w:t>
      </w:r>
      <w:r>
        <w:rPr>
          <w:u w:val="single"/>
        </w:rPr>
        <w:t xml:space="preserve"> </w:t>
      </w:r>
      <w:r>
        <w:rPr>
          <w:u w:val="single"/>
        </w:rPr>
        <w:tab/>
      </w:r>
      <w:r>
        <w:t>。</w:t>
      </w:r>
    </w:p>
    <w:p>
      <w:pPr>
        <w:pStyle w:val="8"/>
        <w:rPr>
          <w:sz w:val="26"/>
        </w:rPr>
      </w:pPr>
    </w:p>
    <w:p>
      <w:pPr>
        <w:pStyle w:val="8"/>
        <w:spacing w:before="1"/>
        <w:rPr>
          <w:sz w:val="23"/>
        </w:rPr>
      </w:pPr>
    </w:p>
    <w:p>
      <w:pPr>
        <w:pStyle w:val="8"/>
        <w:tabs>
          <w:tab w:val="left" w:pos="5547"/>
        </w:tabs>
        <w:ind w:left="388"/>
      </w:pPr>
      <w:r>
        <w:t>工程名称：</w:t>
      </w:r>
      <w:r>
        <w:rPr>
          <w:u w:val="single"/>
        </w:rPr>
        <w:t xml:space="preserve"> </w:t>
      </w:r>
      <w:r>
        <w:rPr>
          <w:u w:val="single"/>
        </w:rPr>
        <w:tab/>
      </w:r>
      <w:r>
        <w:t>。</w:t>
      </w:r>
    </w:p>
    <w:p>
      <w:pPr>
        <w:pStyle w:val="8"/>
        <w:rPr>
          <w:sz w:val="26"/>
        </w:rPr>
      </w:pPr>
    </w:p>
    <w:p>
      <w:pPr>
        <w:pStyle w:val="8"/>
        <w:spacing w:before="8"/>
        <w:rPr>
          <w:sz w:val="22"/>
        </w:rPr>
      </w:pPr>
    </w:p>
    <w:p>
      <w:pPr>
        <w:pStyle w:val="8"/>
        <w:tabs>
          <w:tab w:val="left" w:pos="5547"/>
        </w:tabs>
        <w:spacing w:before="1"/>
        <w:ind w:left="388"/>
      </w:pPr>
      <w:r>
        <w:t>响应总价（小写） ：</w:t>
      </w:r>
      <w:r>
        <w:rPr>
          <w:u w:val="single"/>
        </w:rPr>
        <w:t xml:space="preserve"> </w:t>
      </w:r>
      <w:r>
        <w:rPr>
          <w:u w:val="single"/>
        </w:rPr>
        <w:tab/>
      </w:r>
      <w:r>
        <w:t>。</w:t>
      </w:r>
    </w:p>
    <w:p>
      <w:pPr>
        <w:pStyle w:val="8"/>
        <w:rPr>
          <w:sz w:val="26"/>
        </w:rPr>
      </w:pPr>
    </w:p>
    <w:p>
      <w:pPr>
        <w:pStyle w:val="8"/>
        <w:rPr>
          <w:sz w:val="23"/>
        </w:rPr>
      </w:pPr>
    </w:p>
    <w:p>
      <w:pPr>
        <w:pStyle w:val="8"/>
        <w:tabs>
          <w:tab w:val="left" w:pos="5967"/>
        </w:tabs>
        <w:ind w:left="388"/>
      </w:pPr>
      <w:r>
        <w:t>（大写）：</w:t>
      </w:r>
      <w:r>
        <w:rPr>
          <w:u w:val="single"/>
        </w:rPr>
        <w:t xml:space="preserve"> </w:t>
      </w:r>
      <w:r>
        <w:rPr>
          <w:u w:val="single"/>
        </w:rPr>
        <w:tab/>
      </w:r>
      <w:r>
        <w:t>。</w:t>
      </w:r>
    </w:p>
    <w:p>
      <w:pPr>
        <w:pStyle w:val="8"/>
        <w:rPr>
          <w:sz w:val="26"/>
        </w:rPr>
      </w:pPr>
    </w:p>
    <w:p>
      <w:pPr>
        <w:pStyle w:val="8"/>
        <w:rPr>
          <w:sz w:val="26"/>
        </w:rPr>
      </w:pPr>
    </w:p>
    <w:p>
      <w:pPr>
        <w:pStyle w:val="8"/>
        <w:spacing w:before="3"/>
        <w:rPr>
          <w:sz w:val="33"/>
        </w:rPr>
      </w:pPr>
    </w:p>
    <w:p>
      <w:pPr>
        <w:pStyle w:val="8"/>
        <w:tabs>
          <w:tab w:val="left" w:pos="5907"/>
        </w:tabs>
        <w:ind w:left="388"/>
      </w:pPr>
      <w:r>
        <w:t>投 标 人：</w:t>
      </w:r>
      <w:r>
        <w:rPr>
          <w:u w:val="single"/>
        </w:rPr>
        <w:t xml:space="preserve"> </w:t>
      </w:r>
      <w:r>
        <w:rPr>
          <w:u w:val="single"/>
        </w:rPr>
        <w:tab/>
      </w:r>
      <w:r>
        <w:t>（单位盖章）</w:t>
      </w:r>
    </w:p>
    <w:p>
      <w:pPr>
        <w:pStyle w:val="8"/>
        <w:rPr>
          <w:sz w:val="26"/>
        </w:rPr>
      </w:pPr>
    </w:p>
    <w:p>
      <w:pPr>
        <w:pStyle w:val="8"/>
        <w:spacing w:before="11"/>
        <w:rPr>
          <w:sz w:val="22"/>
        </w:rPr>
      </w:pPr>
    </w:p>
    <w:p>
      <w:pPr>
        <w:pStyle w:val="8"/>
        <w:ind w:left="388"/>
      </w:pPr>
      <w:r>
        <w:t>法定代表人</w:t>
      </w:r>
    </w:p>
    <w:p>
      <w:pPr>
        <w:pStyle w:val="8"/>
        <w:tabs>
          <w:tab w:val="left" w:pos="4467"/>
        </w:tabs>
        <w:spacing w:before="161"/>
        <w:ind w:left="388"/>
      </w:pPr>
      <w:r>
        <w:t>或其授权人：</w:t>
      </w:r>
      <w:r>
        <w:rPr>
          <w:u w:val="single"/>
        </w:rPr>
        <w:t xml:space="preserve"> </w:t>
      </w:r>
      <w:r>
        <w:rPr>
          <w:u w:val="single"/>
        </w:rPr>
        <w:tab/>
      </w:r>
      <w:r>
        <w:t>（签字或盖章）</w:t>
      </w:r>
    </w:p>
    <w:p>
      <w:pPr>
        <w:pStyle w:val="8"/>
        <w:rPr>
          <w:sz w:val="26"/>
        </w:rPr>
      </w:pPr>
    </w:p>
    <w:p>
      <w:pPr>
        <w:pStyle w:val="8"/>
        <w:rPr>
          <w:sz w:val="26"/>
        </w:rPr>
      </w:pPr>
    </w:p>
    <w:p>
      <w:pPr>
        <w:pStyle w:val="8"/>
        <w:spacing w:before="2"/>
        <w:rPr>
          <w:sz w:val="33"/>
        </w:rPr>
      </w:pPr>
    </w:p>
    <w:p>
      <w:pPr>
        <w:pStyle w:val="8"/>
        <w:tabs>
          <w:tab w:val="left" w:pos="4347"/>
        </w:tabs>
        <w:ind w:left="388"/>
      </w:pPr>
      <w:r>
        <w:t>编制人：</w:t>
      </w:r>
      <w:r>
        <w:rPr>
          <w:u w:val="single"/>
        </w:rPr>
        <w:t xml:space="preserve"> </w:t>
      </w:r>
      <w:r>
        <w:rPr>
          <w:u w:val="single"/>
        </w:rPr>
        <w:tab/>
      </w:r>
      <w:r>
        <w:t>（造价人员签字并加盖专用章）</w:t>
      </w:r>
    </w:p>
    <w:p>
      <w:pPr>
        <w:pStyle w:val="8"/>
        <w:rPr>
          <w:sz w:val="26"/>
        </w:rPr>
      </w:pPr>
    </w:p>
    <w:p>
      <w:pPr>
        <w:pStyle w:val="8"/>
        <w:rPr>
          <w:sz w:val="26"/>
        </w:rPr>
      </w:pPr>
    </w:p>
    <w:p>
      <w:pPr>
        <w:pStyle w:val="8"/>
        <w:spacing w:before="5"/>
        <w:rPr>
          <w:sz w:val="33"/>
        </w:rPr>
      </w:pPr>
    </w:p>
    <w:p>
      <w:pPr>
        <w:pStyle w:val="8"/>
        <w:tabs>
          <w:tab w:val="left" w:pos="3267"/>
          <w:tab w:val="left" w:pos="4227"/>
          <w:tab w:val="left" w:pos="5187"/>
        </w:tabs>
        <w:ind w:left="388"/>
      </w:pPr>
      <w:r>
        <w:t>编制时间：</w:t>
      </w:r>
      <w:r>
        <w:tab/>
      </w:r>
      <w:r>
        <w:t>年</w:t>
      </w:r>
      <w:r>
        <w:tab/>
      </w:r>
      <w:r>
        <w:t>月</w:t>
      </w:r>
      <w:r>
        <w:tab/>
      </w:r>
      <w:r>
        <w:t>日</w:t>
      </w:r>
    </w:p>
    <w:p>
      <w:pPr>
        <w:spacing w:after="0"/>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00" o:spid="_x0000_s1200" o:spt="20" style="position:absolute;left:0pt;margin-left:62.4pt;margin-top:12.25pt;height:0pt;width:400.4pt;mso-position-horizontal-relative:page;z-index:25183948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4" w:lineRule="auto"/>
        <w:ind w:left="388" w:right="8718"/>
      </w:pPr>
      <w:bookmarkStart w:id="156" w:name="（二）总说明"/>
      <w:bookmarkEnd w:id="156"/>
      <w:r>
        <w:t>（二）</w:t>
      </w:r>
      <w:r>
        <w:rPr>
          <w:spacing w:val="-7"/>
        </w:rPr>
        <w:t>总说明</w:t>
      </w:r>
      <w:r>
        <w:t>工程名称： 总说明</w:t>
      </w:r>
    </w:p>
    <w:p>
      <w:pPr>
        <w:pStyle w:val="8"/>
        <w:ind w:left="269"/>
        <w:rPr>
          <w:sz w:val="20"/>
        </w:rPr>
      </w:pPr>
      <w:r>
        <w:rPr>
          <w:sz w:val="20"/>
        </w:rPr>
        <w:pict>
          <v:group id="_x0000_s1201" o:spid="_x0000_s1201" o:spt="203" style="height:513.5pt;width:481.9pt;" coordsize="9638,10270">
            <o:lock v:ext="edit"/>
            <v:line id="_x0000_s1202" o:spid="_x0000_s1202" o:spt="20" style="position:absolute;left:0;top:5;height:0;width:9638;" stroked="t" coordsize="21600,21600">
              <v:path arrowok="t"/>
              <v:fill focussize="0,0"/>
              <v:stroke weight="0.48pt" color="#000000"/>
              <v:imagedata o:title=""/>
              <o:lock v:ext="edit"/>
            </v:line>
            <v:line id="_x0000_s1203" o:spid="_x0000_s1203" o:spt="20" style="position:absolute;left:0;top:10265;height:0;width:9638;" stroked="t" coordsize="21600,21600">
              <v:path arrowok="t"/>
              <v:fill focussize="0,0"/>
              <v:stroke weight="0.48pt" color="#000000"/>
              <v:imagedata o:title=""/>
              <o:lock v:ext="edit"/>
            </v:line>
            <v:line id="_x0000_s1204" o:spid="_x0000_s1204" o:spt="20" style="position:absolute;left:5;top:0;height:10260;width:0;" stroked="t" coordsize="21600,21600">
              <v:path arrowok="t"/>
              <v:fill focussize="0,0"/>
              <v:stroke weight="0.48pt" color="#000000"/>
              <v:imagedata o:title=""/>
              <o:lock v:ext="edit"/>
            </v:line>
            <v:line id="_x0000_s1205" o:spid="_x0000_s1205" o:spt="20" style="position:absolute;left:9633;top:0;height:10260;width:0;" stroked="t" coordsize="21600,21600">
              <v:path arrowok="t"/>
              <v:fill focussize="0,0"/>
              <v:stroke weight="0.48pt" color="#000000"/>
              <v:imagedata o:title=""/>
              <o:lock v:ext="edit"/>
            </v:line>
            <w10:wrap type="none"/>
            <w10:anchorlock/>
          </v:group>
        </w:pict>
      </w:r>
    </w:p>
    <w:p>
      <w:pPr>
        <w:spacing w:after="0"/>
        <w:rPr>
          <w:sz w:val="20"/>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06" o:spid="_x0000_s1206" o:spt="20" style="position:absolute;left:0pt;margin-left:62.4pt;margin-top:12.25pt;height:0pt;width:400.4pt;mso-position-horizontal-relative:page;z-index:25184051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388"/>
      </w:pPr>
      <w:r>
        <w:t>（三）建设项目报价汇总表</w:t>
      </w:r>
    </w:p>
    <w:p>
      <w:pPr>
        <w:pStyle w:val="8"/>
        <w:tabs>
          <w:tab w:val="left" w:pos="8187"/>
          <w:tab w:val="left" w:pos="8667"/>
        </w:tabs>
        <w:spacing w:before="158"/>
        <w:ind w:left="388"/>
      </w:pPr>
      <w:r>
        <w:t>工程名称：</w:t>
      </w:r>
      <w:r>
        <w:tab/>
      </w:r>
      <w:r>
        <w:t>第</w:t>
      </w:r>
      <w:r>
        <w:tab/>
      </w:r>
      <w:r>
        <w:t>页 共 页</w:t>
      </w:r>
    </w:p>
    <w:p>
      <w:pPr>
        <w:pStyle w:val="8"/>
        <w:spacing w:before="5"/>
        <w:rPr>
          <w:sz w:val="12"/>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6"/>
        <w:gridCol w:w="2419"/>
        <w:gridCol w:w="1253"/>
        <w:gridCol w:w="1457"/>
        <w:gridCol w:w="2160"/>
        <w:gridCol w:w="16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26" w:type="dxa"/>
            <w:vMerge w:val="restart"/>
          </w:tcPr>
          <w:p>
            <w:pPr>
              <w:pStyle w:val="17"/>
              <w:rPr>
                <w:sz w:val="24"/>
              </w:rPr>
            </w:pPr>
          </w:p>
          <w:p>
            <w:pPr>
              <w:pStyle w:val="17"/>
              <w:spacing w:before="164"/>
              <w:ind w:left="173"/>
              <w:rPr>
                <w:sz w:val="24"/>
              </w:rPr>
            </w:pPr>
            <w:r>
              <w:rPr>
                <w:sz w:val="24"/>
              </w:rPr>
              <w:t>序号</w:t>
            </w:r>
          </w:p>
        </w:tc>
        <w:tc>
          <w:tcPr>
            <w:tcW w:w="2419" w:type="dxa"/>
            <w:vMerge w:val="restart"/>
          </w:tcPr>
          <w:p>
            <w:pPr>
              <w:pStyle w:val="17"/>
              <w:rPr>
                <w:sz w:val="24"/>
              </w:rPr>
            </w:pPr>
          </w:p>
          <w:p>
            <w:pPr>
              <w:pStyle w:val="17"/>
              <w:spacing w:before="164"/>
              <w:ind w:left="487"/>
              <w:rPr>
                <w:sz w:val="24"/>
              </w:rPr>
            </w:pPr>
            <w:r>
              <w:rPr>
                <w:sz w:val="24"/>
              </w:rPr>
              <w:t>单项工程名称</w:t>
            </w:r>
          </w:p>
        </w:tc>
        <w:tc>
          <w:tcPr>
            <w:tcW w:w="1253" w:type="dxa"/>
            <w:vMerge w:val="restart"/>
          </w:tcPr>
          <w:p>
            <w:pPr>
              <w:pStyle w:val="17"/>
              <w:rPr>
                <w:sz w:val="24"/>
              </w:rPr>
            </w:pPr>
          </w:p>
          <w:p>
            <w:pPr>
              <w:pStyle w:val="17"/>
              <w:spacing w:before="164"/>
              <w:ind w:left="108" w:right="-29"/>
              <w:rPr>
                <w:sz w:val="24"/>
              </w:rPr>
            </w:pPr>
            <w:r>
              <w:rPr>
                <w:spacing w:val="-22"/>
                <w:sz w:val="24"/>
              </w:rPr>
              <w:t>金额</w:t>
            </w:r>
            <w:r>
              <w:rPr>
                <w:sz w:val="24"/>
              </w:rPr>
              <w:t>（元</w:t>
            </w:r>
            <w:r>
              <w:rPr>
                <w:spacing w:val="-12"/>
                <w:sz w:val="24"/>
              </w:rPr>
              <w:t>）</w:t>
            </w:r>
          </w:p>
        </w:tc>
        <w:tc>
          <w:tcPr>
            <w:tcW w:w="5242" w:type="dxa"/>
            <w:gridSpan w:val="3"/>
          </w:tcPr>
          <w:p>
            <w:pPr>
              <w:pStyle w:val="17"/>
              <w:spacing w:before="1"/>
              <w:ind w:left="3461"/>
              <w:rPr>
                <w:sz w:val="24"/>
              </w:rPr>
            </w:pPr>
            <w:r>
              <w:rPr>
                <w:sz w:val="24"/>
              </w:rPr>
              <w:t>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atLeast"/>
        </w:trPr>
        <w:tc>
          <w:tcPr>
            <w:tcW w:w="826" w:type="dxa"/>
            <w:vMerge w:val="continue"/>
            <w:tcBorders>
              <w:top w:val="nil"/>
            </w:tcBorders>
          </w:tcPr>
          <w:p>
            <w:pPr>
              <w:rPr>
                <w:sz w:val="2"/>
                <w:szCs w:val="2"/>
              </w:rPr>
            </w:pPr>
          </w:p>
        </w:tc>
        <w:tc>
          <w:tcPr>
            <w:tcW w:w="2419" w:type="dxa"/>
            <w:vMerge w:val="continue"/>
            <w:tcBorders>
              <w:top w:val="nil"/>
            </w:tcBorders>
          </w:tcPr>
          <w:p>
            <w:pPr>
              <w:rPr>
                <w:sz w:val="2"/>
                <w:szCs w:val="2"/>
              </w:rPr>
            </w:pPr>
          </w:p>
        </w:tc>
        <w:tc>
          <w:tcPr>
            <w:tcW w:w="1253" w:type="dxa"/>
            <w:vMerge w:val="continue"/>
            <w:tcBorders>
              <w:top w:val="nil"/>
            </w:tcBorders>
          </w:tcPr>
          <w:p>
            <w:pPr>
              <w:rPr>
                <w:sz w:val="2"/>
                <w:szCs w:val="2"/>
              </w:rPr>
            </w:pPr>
          </w:p>
        </w:tc>
        <w:tc>
          <w:tcPr>
            <w:tcW w:w="1457" w:type="dxa"/>
          </w:tcPr>
          <w:p>
            <w:pPr>
              <w:pStyle w:val="17"/>
              <w:spacing w:before="4"/>
              <w:rPr>
                <w:sz w:val="18"/>
              </w:rPr>
            </w:pPr>
          </w:p>
          <w:p>
            <w:pPr>
              <w:pStyle w:val="17"/>
              <w:ind w:left="108" w:right="-29"/>
              <w:rPr>
                <w:sz w:val="24"/>
              </w:rPr>
            </w:pPr>
            <w:r>
              <w:rPr>
                <w:spacing w:val="-27"/>
                <w:sz w:val="24"/>
              </w:rPr>
              <w:t>暂估价</w:t>
            </w:r>
            <w:r>
              <w:rPr>
                <w:sz w:val="24"/>
              </w:rPr>
              <w:t>（元</w:t>
            </w:r>
            <w:r>
              <w:rPr>
                <w:spacing w:val="-12"/>
                <w:sz w:val="24"/>
              </w:rPr>
              <w:t>）</w:t>
            </w:r>
          </w:p>
        </w:tc>
        <w:tc>
          <w:tcPr>
            <w:tcW w:w="2160" w:type="dxa"/>
          </w:tcPr>
          <w:p>
            <w:pPr>
              <w:pStyle w:val="17"/>
              <w:spacing w:before="2"/>
              <w:ind w:left="220" w:right="210"/>
              <w:jc w:val="center"/>
              <w:rPr>
                <w:sz w:val="24"/>
              </w:rPr>
            </w:pPr>
            <w:r>
              <w:rPr>
                <w:sz w:val="24"/>
              </w:rPr>
              <w:t>安全文明施工费</w:t>
            </w:r>
          </w:p>
          <w:p>
            <w:pPr>
              <w:pStyle w:val="17"/>
              <w:spacing w:before="158"/>
              <w:ind w:left="220" w:right="210"/>
              <w:jc w:val="center"/>
              <w:rPr>
                <w:sz w:val="24"/>
              </w:rPr>
            </w:pPr>
            <w:r>
              <w:rPr>
                <w:sz w:val="24"/>
              </w:rPr>
              <w:t>（元）</w:t>
            </w:r>
          </w:p>
        </w:tc>
        <w:tc>
          <w:tcPr>
            <w:tcW w:w="1625" w:type="dxa"/>
          </w:tcPr>
          <w:p>
            <w:pPr>
              <w:pStyle w:val="17"/>
              <w:spacing w:before="4"/>
              <w:rPr>
                <w:sz w:val="18"/>
              </w:rPr>
            </w:pPr>
          </w:p>
          <w:p>
            <w:pPr>
              <w:pStyle w:val="17"/>
              <w:ind w:left="211"/>
              <w:rPr>
                <w:sz w:val="24"/>
              </w:rPr>
            </w:pPr>
            <w:r>
              <w:rPr>
                <w:sz w:val="24"/>
              </w:rPr>
              <w:t>规费（元）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26" w:type="dxa"/>
          </w:tcPr>
          <w:p>
            <w:pPr>
              <w:pStyle w:val="17"/>
              <w:rPr>
                <w:rFonts w:ascii="Times New Roman"/>
                <w:sz w:val="22"/>
              </w:rPr>
            </w:pPr>
          </w:p>
        </w:tc>
        <w:tc>
          <w:tcPr>
            <w:tcW w:w="2419"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26" w:type="dxa"/>
          </w:tcPr>
          <w:p>
            <w:pPr>
              <w:pStyle w:val="17"/>
              <w:rPr>
                <w:rFonts w:ascii="Times New Roman"/>
                <w:sz w:val="22"/>
              </w:rPr>
            </w:pPr>
          </w:p>
        </w:tc>
        <w:tc>
          <w:tcPr>
            <w:tcW w:w="2419"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26" w:type="dxa"/>
          </w:tcPr>
          <w:p>
            <w:pPr>
              <w:pStyle w:val="17"/>
              <w:rPr>
                <w:rFonts w:ascii="Times New Roman"/>
                <w:sz w:val="22"/>
              </w:rPr>
            </w:pPr>
          </w:p>
        </w:tc>
        <w:tc>
          <w:tcPr>
            <w:tcW w:w="2419"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26" w:type="dxa"/>
          </w:tcPr>
          <w:p>
            <w:pPr>
              <w:pStyle w:val="17"/>
              <w:rPr>
                <w:rFonts w:ascii="Times New Roman"/>
                <w:sz w:val="22"/>
              </w:rPr>
            </w:pPr>
          </w:p>
        </w:tc>
        <w:tc>
          <w:tcPr>
            <w:tcW w:w="2419"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26" w:type="dxa"/>
          </w:tcPr>
          <w:p>
            <w:pPr>
              <w:pStyle w:val="17"/>
              <w:rPr>
                <w:rFonts w:ascii="Times New Roman"/>
                <w:sz w:val="22"/>
              </w:rPr>
            </w:pPr>
          </w:p>
        </w:tc>
        <w:tc>
          <w:tcPr>
            <w:tcW w:w="2419"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26" w:type="dxa"/>
          </w:tcPr>
          <w:p>
            <w:pPr>
              <w:pStyle w:val="17"/>
              <w:rPr>
                <w:rFonts w:ascii="Times New Roman"/>
                <w:sz w:val="22"/>
              </w:rPr>
            </w:pPr>
          </w:p>
        </w:tc>
        <w:tc>
          <w:tcPr>
            <w:tcW w:w="2419"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26" w:type="dxa"/>
          </w:tcPr>
          <w:p>
            <w:pPr>
              <w:pStyle w:val="17"/>
              <w:rPr>
                <w:rFonts w:ascii="Times New Roman"/>
                <w:sz w:val="22"/>
              </w:rPr>
            </w:pPr>
          </w:p>
        </w:tc>
        <w:tc>
          <w:tcPr>
            <w:tcW w:w="2419"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26" w:type="dxa"/>
          </w:tcPr>
          <w:p>
            <w:pPr>
              <w:pStyle w:val="17"/>
              <w:rPr>
                <w:rFonts w:ascii="Times New Roman"/>
                <w:sz w:val="22"/>
              </w:rPr>
            </w:pPr>
          </w:p>
        </w:tc>
        <w:tc>
          <w:tcPr>
            <w:tcW w:w="2419"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26" w:type="dxa"/>
          </w:tcPr>
          <w:p>
            <w:pPr>
              <w:pStyle w:val="17"/>
              <w:rPr>
                <w:rFonts w:ascii="Times New Roman"/>
                <w:sz w:val="22"/>
              </w:rPr>
            </w:pPr>
          </w:p>
        </w:tc>
        <w:tc>
          <w:tcPr>
            <w:tcW w:w="2419"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26" w:type="dxa"/>
          </w:tcPr>
          <w:p>
            <w:pPr>
              <w:pStyle w:val="17"/>
              <w:rPr>
                <w:rFonts w:ascii="Times New Roman"/>
                <w:sz w:val="22"/>
              </w:rPr>
            </w:pPr>
          </w:p>
        </w:tc>
        <w:tc>
          <w:tcPr>
            <w:tcW w:w="2419"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26" w:type="dxa"/>
          </w:tcPr>
          <w:p>
            <w:pPr>
              <w:pStyle w:val="17"/>
              <w:rPr>
                <w:rFonts w:ascii="Times New Roman"/>
                <w:sz w:val="22"/>
              </w:rPr>
            </w:pPr>
          </w:p>
        </w:tc>
        <w:tc>
          <w:tcPr>
            <w:tcW w:w="2419"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26" w:type="dxa"/>
          </w:tcPr>
          <w:p>
            <w:pPr>
              <w:pStyle w:val="17"/>
              <w:rPr>
                <w:rFonts w:ascii="Times New Roman"/>
                <w:sz w:val="22"/>
              </w:rPr>
            </w:pPr>
          </w:p>
        </w:tc>
        <w:tc>
          <w:tcPr>
            <w:tcW w:w="2419"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26" w:type="dxa"/>
          </w:tcPr>
          <w:p>
            <w:pPr>
              <w:pStyle w:val="17"/>
              <w:rPr>
                <w:rFonts w:ascii="Times New Roman"/>
                <w:sz w:val="22"/>
              </w:rPr>
            </w:pPr>
          </w:p>
        </w:tc>
        <w:tc>
          <w:tcPr>
            <w:tcW w:w="2419"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26" w:type="dxa"/>
          </w:tcPr>
          <w:p>
            <w:pPr>
              <w:pStyle w:val="17"/>
              <w:rPr>
                <w:rFonts w:ascii="Times New Roman"/>
                <w:sz w:val="22"/>
              </w:rPr>
            </w:pPr>
          </w:p>
        </w:tc>
        <w:tc>
          <w:tcPr>
            <w:tcW w:w="2419"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26" w:type="dxa"/>
          </w:tcPr>
          <w:p>
            <w:pPr>
              <w:pStyle w:val="17"/>
              <w:rPr>
                <w:rFonts w:ascii="Times New Roman"/>
                <w:sz w:val="22"/>
              </w:rPr>
            </w:pPr>
          </w:p>
        </w:tc>
        <w:tc>
          <w:tcPr>
            <w:tcW w:w="2419"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26" w:type="dxa"/>
          </w:tcPr>
          <w:p>
            <w:pPr>
              <w:pStyle w:val="17"/>
              <w:rPr>
                <w:rFonts w:ascii="Times New Roman"/>
                <w:sz w:val="22"/>
              </w:rPr>
            </w:pPr>
          </w:p>
        </w:tc>
        <w:tc>
          <w:tcPr>
            <w:tcW w:w="2419"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bl>
    <w:p>
      <w:pPr>
        <w:pStyle w:val="8"/>
        <w:spacing w:before="2"/>
        <w:ind w:left="388"/>
      </w:pPr>
      <w:r>
        <w:t>注：本表适用于建设项目招标控制价或响应报价的汇总。</w:t>
      </w:r>
    </w:p>
    <w:p>
      <w:pPr>
        <w:spacing w:after="0"/>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07" o:spid="_x0000_s1207" o:spt="20" style="position:absolute;left:0pt;margin-left:62.4pt;margin-top:12.25pt;height:0pt;width:400.4pt;mso-position-horizontal-relative:page;z-index:25184153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388"/>
        <w:outlineLvl w:val="2"/>
      </w:pPr>
      <w:r>
        <w:t>（四）单项工程报价总汇表</w:t>
      </w:r>
    </w:p>
    <w:p>
      <w:pPr>
        <w:tabs>
          <w:tab w:val="left" w:pos="8156"/>
          <w:tab w:val="left" w:pos="8576"/>
          <w:tab w:val="left" w:pos="9311"/>
        </w:tabs>
        <w:spacing w:before="157"/>
        <w:ind w:left="388" w:right="0" w:firstLine="0"/>
        <w:jc w:val="left"/>
        <w:rPr>
          <w:sz w:val="21"/>
        </w:rPr>
      </w:pPr>
      <w:r>
        <w:rPr>
          <w:sz w:val="21"/>
        </w:rPr>
        <w:t>工程名称：</w:t>
      </w:r>
      <w:r>
        <w:rPr>
          <w:sz w:val="21"/>
        </w:rPr>
        <w:tab/>
      </w:r>
      <w:r>
        <w:rPr>
          <w:sz w:val="21"/>
        </w:rPr>
        <w:t>第</w:t>
      </w:r>
      <w:r>
        <w:rPr>
          <w:sz w:val="21"/>
        </w:rPr>
        <w:tab/>
      </w:r>
      <w:r>
        <w:rPr>
          <w:sz w:val="21"/>
        </w:rPr>
        <w:t>页</w:t>
      </w:r>
      <w:r>
        <w:rPr>
          <w:spacing w:val="-1"/>
          <w:sz w:val="21"/>
        </w:rPr>
        <w:t xml:space="preserve"> </w:t>
      </w:r>
      <w:r>
        <w:rPr>
          <w:sz w:val="21"/>
        </w:rPr>
        <w:t>共</w:t>
      </w:r>
      <w:r>
        <w:rPr>
          <w:sz w:val="21"/>
        </w:rPr>
        <w:tab/>
      </w:r>
      <w:r>
        <w:rPr>
          <w:sz w:val="21"/>
        </w:rPr>
        <w:t>页</w:t>
      </w:r>
    </w:p>
    <w:p>
      <w:pPr>
        <w:pStyle w:val="8"/>
        <w:spacing w:before="11"/>
        <w:rPr>
          <w:sz w:val="10"/>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2312"/>
        <w:gridCol w:w="1253"/>
        <w:gridCol w:w="1457"/>
        <w:gridCol w:w="2160"/>
        <w:gridCol w:w="16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3" w:type="dxa"/>
            <w:vMerge w:val="restart"/>
          </w:tcPr>
          <w:p>
            <w:pPr>
              <w:pStyle w:val="17"/>
              <w:rPr>
                <w:sz w:val="24"/>
              </w:rPr>
            </w:pPr>
          </w:p>
          <w:p>
            <w:pPr>
              <w:pStyle w:val="17"/>
              <w:spacing w:before="165"/>
              <w:ind w:left="226"/>
              <w:rPr>
                <w:sz w:val="24"/>
              </w:rPr>
            </w:pPr>
            <w:r>
              <w:rPr>
                <w:sz w:val="24"/>
              </w:rPr>
              <w:t>序号</w:t>
            </w:r>
          </w:p>
        </w:tc>
        <w:tc>
          <w:tcPr>
            <w:tcW w:w="2312" w:type="dxa"/>
            <w:vMerge w:val="restart"/>
          </w:tcPr>
          <w:p>
            <w:pPr>
              <w:pStyle w:val="17"/>
              <w:rPr>
                <w:sz w:val="24"/>
              </w:rPr>
            </w:pPr>
          </w:p>
          <w:p>
            <w:pPr>
              <w:pStyle w:val="17"/>
              <w:spacing w:before="165"/>
              <w:ind w:left="435"/>
              <w:rPr>
                <w:sz w:val="24"/>
              </w:rPr>
            </w:pPr>
            <w:r>
              <w:rPr>
                <w:sz w:val="24"/>
              </w:rPr>
              <w:t>单位工程名称</w:t>
            </w:r>
          </w:p>
        </w:tc>
        <w:tc>
          <w:tcPr>
            <w:tcW w:w="1253" w:type="dxa"/>
            <w:vMerge w:val="restart"/>
          </w:tcPr>
          <w:p>
            <w:pPr>
              <w:pStyle w:val="17"/>
              <w:rPr>
                <w:sz w:val="24"/>
              </w:rPr>
            </w:pPr>
          </w:p>
          <w:p>
            <w:pPr>
              <w:pStyle w:val="17"/>
              <w:spacing w:before="165"/>
              <w:ind w:left="108" w:right="-29"/>
              <w:rPr>
                <w:sz w:val="24"/>
              </w:rPr>
            </w:pPr>
            <w:r>
              <w:rPr>
                <w:spacing w:val="-22"/>
                <w:sz w:val="24"/>
              </w:rPr>
              <w:t>金额</w:t>
            </w:r>
            <w:r>
              <w:rPr>
                <w:sz w:val="24"/>
              </w:rPr>
              <w:t>（元</w:t>
            </w:r>
            <w:r>
              <w:rPr>
                <w:spacing w:val="-12"/>
                <w:sz w:val="24"/>
              </w:rPr>
              <w:t>）</w:t>
            </w:r>
          </w:p>
        </w:tc>
        <w:tc>
          <w:tcPr>
            <w:tcW w:w="5242" w:type="dxa"/>
            <w:gridSpan w:val="3"/>
          </w:tcPr>
          <w:p>
            <w:pPr>
              <w:pStyle w:val="17"/>
              <w:spacing w:before="2"/>
              <w:ind w:left="2241" w:right="2231"/>
              <w:jc w:val="center"/>
              <w:rPr>
                <w:sz w:val="24"/>
              </w:rPr>
            </w:pPr>
            <w:r>
              <w:rPr>
                <w:sz w:val="24"/>
              </w:rPr>
              <w:t>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33" w:type="dxa"/>
            <w:vMerge w:val="continue"/>
            <w:tcBorders>
              <w:top w:val="nil"/>
            </w:tcBorders>
          </w:tcPr>
          <w:p>
            <w:pPr>
              <w:rPr>
                <w:sz w:val="2"/>
                <w:szCs w:val="2"/>
              </w:rPr>
            </w:pPr>
          </w:p>
        </w:tc>
        <w:tc>
          <w:tcPr>
            <w:tcW w:w="2312" w:type="dxa"/>
            <w:vMerge w:val="continue"/>
            <w:tcBorders>
              <w:top w:val="nil"/>
            </w:tcBorders>
          </w:tcPr>
          <w:p>
            <w:pPr>
              <w:rPr>
                <w:sz w:val="2"/>
                <w:szCs w:val="2"/>
              </w:rPr>
            </w:pPr>
          </w:p>
        </w:tc>
        <w:tc>
          <w:tcPr>
            <w:tcW w:w="1253" w:type="dxa"/>
            <w:vMerge w:val="continue"/>
            <w:tcBorders>
              <w:top w:val="nil"/>
            </w:tcBorders>
          </w:tcPr>
          <w:p>
            <w:pPr>
              <w:rPr>
                <w:sz w:val="2"/>
                <w:szCs w:val="2"/>
              </w:rPr>
            </w:pPr>
          </w:p>
        </w:tc>
        <w:tc>
          <w:tcPr>
            <w:tcW w:w="1457" w:type="dxa"/>
          </w:tcPr>
          <w:p>
            <w:pPr>
              <w:pStyle w:val="17"/>
              <w:spacing w:before="5"/>
              <w:rPr>
                <w:sz w:val="18"/>
              </w:rPr>
            </w:pPr>
          </w:p>
          <w:p>
            <w:pPr>
              <w:pStyle w:val="17"/>
              <w:ind w:left="108" w:right="-29"/>
              <w:rPr>
                <w:sz w:val="24"/>
              </w:rPr>
            </w:pPr>
            <w:r>
              <w:rPr>
                <w:spacing w:val="-27"/>
                <w:sz w:val="24"/>
              </w:rPr>
              <w:t>暂估价</w:t>
            </w:r>
            <w:r>
              <w:rPr>
                <w:sz w:val="24"/>
              </w:rPr>
              <w:t>（元</w:t>
            </w:r>
            <w:r>
              <w:rPr>
                <w:spacing w:val="-12"/>
                <w:sz w:val="24"/>
              </w:rPr>
              <w:t>）</w:t>
            </w:r>
          </w:p>
        </w:tc>
        <w:tc>
          <w:tcPr>
            <w:tcW w:w="2160" w:type="dxa"/>
          </w:tcPr>
          <w:p>
            <w:pPr>
              <w:pStyle w:val="17"/>
              <w:spacing w:before="1"/>
              <w:ind w:left="220" w:right="210"/>
              <w:jc w:val="center"/>
              <w:rPr>
                <w:sz w:val="24"/>
              </w:rPr>
            </w:pPr>
            <w:r>
              <w:rPr>
                <w:sz w:val="24"/>
              </w:rPr>
              <w:t>安全文明施工费</w:t>
            </w:r>
          </w:p>
          <w:p>
            <w:pPr>
              <w:pStyle w:val="17"/>
              <w:spacing w:before="160"/>
              <w:ind w:left="220" w:right="210"/>
              <w:jc w:val="center"/>
              <w:rPr>
                <w:sz w:val="24"/>
              </w:rPr>
            </w:pPr>
            <w:r>
              <w:rPr>
                <w:sz w:val="24"/>
              </w:rPr>
              <w:t>（元）</w:t>
            </w:r>
          </w:p>
        </w:tc>
        <w:tc>
          <w:tcPr>
            <w:tcW w:w="1625" w:type="dxa"/>
          </w:tcPr>
          <w:p>
            <w:pPr>
              <w:pStyle w:val="17"/>
              <w:spacing w:before="5"/>
              <w:rPr>
                <w:sz w:val="18"/>
              </w:rPr>
            </w:pPr>
          </w:p>
          <w:p>
            <w:pPr>
              <w:pStyle w:val="17"/>
              <w:ind w:left="211"/>
              <w:rPr>
                <w:sz w:val="24"/>
              </w:rPr>
            </w:pPr>
            <w:r>
              <w:rPr>
                <w:sz w:val="24"/>
              </w:rPr>
              <w:t>规费（元）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3" w:type="dxa"/>
          </w:tcPr>
          <w:p>
            <w:pPr>
              <w:pStyle w:val="17"/>
              <w:rPr>
                <w:rFonts w:ascii="Times New Roman"/>
                <w:sz w:val="22"/>
              </w:rPr>
            </w:pPr>
          </w:p>
        </w:tc>
        <w:tc>
          <w:tcPr>
            <w:tcW w:w="2312"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3" w:type="dxa"/>
          </w:tcPr>
          <w:p>
            <w:pPr>
              <w:pStyle w:val="17"/>
              <w:rPr>
                <w:rFonts w:ascii="Times New Roman"/>
                <w:sz w:val="22"/>
              </w:rPr>
            </w:pPr>
          </w:p>
        </w:tc>
        <w:tc>
          <w:tcPr>
            <w:tcW w:w="2312"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3" w:type="dxa"/>
          </w:tcPr>
          <w:p>
            <w:pPr>
              <w:pStyle w:val="17"/>
              <w:rPr>
                <w:rFonts w:ascii="Times New Roman"/>
                <w:sz w:val="22"/>
              </w:rPr>
            </w:pPr>
          </w:p>
        </w:tc>
        <w:tc>
          <w:tcPr>
            <w:tcW w:w="2312"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933" w:type="dxa"/>
          </w:tcPr>
          <w:p>
            <w:pPr>
              <w:pStyle w:val="17"/>
              <w:rPr>
                <w:rFonts w:ascii="Times New Roman"/>
                <w:sz w:val="22"/>
              </w:rPr>
            </w:pPr>
          </w:p>
        </w:tc>
        <w:tc>
          <w:tcPr>
            <w:tcW w:w="2312"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33" w:type="dxa"/>
          </w:tcPr>
          <w:p>
            <w:pPr>
              <w:pStyle w:val="17"/>
              <w:rPr>
                <w:rFonts w:ascii="Times New Roman"/>
                <w:sz w:val="22"/>
              </w:rPr>
            </w:pPr>
          </w:p>
        </w:tc>
        <w:tc>
          <w:tcPr>
            <w:tcW w:w="2312"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3" w:type="dxa"/>
          </w:tcPr>
          <w:p>
            <w:pPr>
              <w:pStyle w:val="17"/>
              <w:rPr>
                <w:rFonts w:ascii="Times New Roman"/>
                <w:sz w:val="22"/>
              </w:rPr>
            </w:pPr>
          </w:p>
        </w:tc>
        <w:tc>
          <w:tcPr>
            <w:tcW w:w="2312"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933" w:type="dxa"/>
          </w:tcPr>
          <w:p>
            <w:pPr>
              <w:pStyle w:val="17"/>
              <w:rPr>
                <w:rFonts w:ascii="Times New Roman"/>
                <w:sz w:val="22"/>
              </w:rPr>
            </w:pPr>
          </w:p>
        </w:tc>
        <w:tc>
          <w:tcPr>
            <w:tcW w:w="2312"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933" w:type="dxa"/>
          </w:tcPr>
          <w:p>
            <w:pPr>
              <w:pStyle w:val="17"/>
              <w:rPr>
                <w:rFonts w:ascii="Times New Roman"/>
                <w:sz w:val="22"/>
              </w:rPr>
            </w:pPr>
          </w:p>
        </w:tc>
        <w:tc>
          <w:tcPr>
            <w:tcW w:w="2312"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3" w:type="dxa"/>
          </w:tcPr>
          <w:p>
            <w:pPr>
              <w:pStyle w:val="17"/>
              <w:rPr>
                <w:rFonts w:ascii="Times New Roman"/>
                <w:sz w:val="22"/>
              </w:rPr>
            </w:pPr>
          </w:p>
        </w:tc>
        <w:tc>
          <w:tcPr>
            <w:tcW w:w="2312"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933" w:type="dxa"/>
          </w:tcPr>
          <w:p>
            <w:pPr>
              <w:pStyle w:val="17"/>
              <w:rPr>
                <w:rFonts w:ascii="Times New Roman"/>
                <w:sz w:val="22"/>
              </w:rPr>
            </w:pPr>
          </w:p>
        </w:tc>
        <w:tc>
          <w:tcPr>
            <w:tcW w:w="2312"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3" w:type="dxa"/>
          </w:tcPr>
          <w:p>
            <w:pPr>
              <w:pStyle w:val="17"/>
              <w:rPr>
                <w:rFonts w:ascii="Times New Roman"/>
                <w:sz w:val="22"/>
              </w:rPr>
            </w:pPr>
          </w:p>
        </w:tc>
        <w:tc>
          <w:tcPr>
            <w:tcW w:w="2312"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3" w:type="dxa"/>
          </w:tcPr>
          <w:p>
            <w:pPr>
              <w:pStyle w:val="17"/>
              <w:rPr>
                <w:rFonts w:ascii="Times New Roman"/>
                <w:sz w:val="22"/>
              </w:rPr>
            </w:pPr>
          </w:p>
        </w:tc>
        <w:tc>
          <w:tcPr>
            <w:tcW w:w="2312"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33" w:type="dxa"/>
          </w:tcPr>
          <w:p>
            <w:pPr>
              <w:pStyle w:val="17"/>
              <w:rPr>
                <w:rFonts w:ascii="Times New Roman"/>
                <w:sz w:val="22"/>
              </w:rPr>
            </w:pPr>
          </w:p>
        </w:tc>
        <w:tc>
          <w:tcPr>
            <w:tcW w:w="2312"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3" w:type="dxa"/>
          </w:tcPr>
          <w:p>
            <w:pPr>
              <w:pStyle w:val="17"/>
              <w:rPr>
                <w:rFonts w:ascii="Times New Roman"/>
                <w:sz w:val="22"/>
              </w:rPr>
            </w:pPr>
          </w:p>
        </w:tc>
        <w:tc>
          <w:tcPr>
            <w:tcW w:w="2312"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933" w:type="dxa"/>
          </w:tcPr>
          <w:p>
            <w:pPr>
              <w:pStyle w:val="17"/>
              <w:rPr>
                <w:rFonts w:ascii="Times New Roman"/>
                <w:sz w:val="22"/>
              </w:rPr>
            </w:pPr>
          </w:p>
        </w:tc>
        <w:tc>
          <w:tcPr>
            <w:tcW w:w="2312"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3" w:type="dxa"/>
          </w:tcPr>
          <w:p>
            <w:pPr>
              <w:pStyle w:val="17"/>
              <w:rPr>
                <w:rFonts w:ascii="Times New Roman"/>
                <w:sz w:val="22"/>
              </w:rPr>
            </w:pPr>
          </w:p>
        </w:tc>
        <w:tc>
          <w:tcPr>
            <w:tcW w:w="2312"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3" w:type="dxa"/>
          </w:tcPr>
          <w:p>
            <w:pPr>
              <w:pStyle w:val="17"/>
              <w:rPr>
                <w:rFonts w:ascii="Times New Roman"/>
                <w:sz w:val="22"/>
              </w:rPr>
            </w:pPr>
          </w:p>
        </w:tc>
        <w:tc>
          <w:tcPr>
            <w:tcW w:w="2312"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33" w:type="dxa"/>
          </w:tcPr>
          <w:p>
            <w:pPr>
              <w:pStyle w:val="17"/>
              <w:rPr>
                <w:rFonts w:ascii="Times New Roman"/>
                <w:sz w:val="22"/>
              </w:rPr>
            </w:pPr>
          </w:p>
        </w:tc>
        <w:tc>
          <w:tcPr>
            <w:tcW w:w="2312" w:type="dxa"/>
          </w:tcPr>
          <w:p>
            <w:pPr>
              <w:pStyle w:val="17"/>
              <w:rPr>
                <w:rFonts w:ascii="Times New Roman"/>
                <w:sz w:val="22"/>
              </w:rPr>
            </w:pPr>
          </w:p>
        </w:tc>
        <w:tc>
          <w:tcPr>
            <w:tcW w:w="1253" w:type="dxa"/>
          </w:tcPr>
          <w:p>
            <w:pPr>
              <w:pStyle w:val="17"/>
              <w:rPr>
                <w:rFonts w:ascii="Times New Roman"/>
                <w:sz w:val="22"/>
              </w:rPr>
            </w:pPr>
          </w:p>
        </w:tc>
        <w:tc>
          <w:tcPr>
            <w:tcW w:w="1457" w:type="dxa"/>
          </w:tcPr>
          <w:p>
            <w:pPr>
              <w:pStyle w:val="17"/>
              <w:rPr>
                <w:rFonts w:ascii="Times New Roman"/>
                <w:sz w:val="22"/>
              </w:rPr>
            </w:pPr>
          </w:p>
        </w:tc>
        <w:tc>
          <w:tcPr>
            <w:tcW w:w="2160" w:type="dxa"/>
          </w:tcPr>
          <w:p>
            <w:pPr>
              <w:pStyle w:val="17"/>
              <w:rPr>
                <w:rFonts w:ascii="Times New Roman"/>
                <w:sz w:val="22"/>
              </w:rPr>
            </w:pPr>
          </w:p>
        </w:tc>
        <w:tc>
          <w:tcPr>
            <w:tcW w:w="1625" w:type="dxa"/>
          </w:tcPr>
          <w:p>
            <w:pPr>
              <w:pStyle w:val="17"/>
              <w:rPr>
                <w:rFonts w:ascii="Times New Roman"/>
                <w:sz w:val="22"/>
              </w:rPr>
            </w:pPr>
          </w:p>
        </w:tc>
      </w:tr>
    </w:tbl>
    <w:p>
      <w:pPr>
        <w:pStyle w:val="8"/>
        <w:spacing w:before="1" w:line="364" w:lineRule="auto"/>
        <w:ind w:left="388" w:right="798"/>
      </w:pPr>
      <w:r>
        <w:t>注意：本表适用于单项工程招标控制价或响应报价的汇总。暂估价包括分布分项工程中的暂估价和专业工程工程暂估价</w:t>
      </w:r>
    </w:p>
    <w:p>
      <w:pPr>
        <w:spacing w:after="0" w:line="364" w:lineRule="auto"/>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08" o:spid="_x0000_s1208" o:spt="20" style="position:absolute;left:0pt;margin-left:62.4pt;margin-top:12.25pt;height:0pt;width:400.4pt;mso-position-horizontal-relative:page;z-index:25184256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388"/>
        <w:outlineLvl w:val="2"/>
      </w:pPr>
      <w:r>
        <w:t>（五）单位工程报价汇总表</w:t>
      </w:r>
    </w:p>
    <w:p>
      <w:pPr>
        <w:pStyle w:val="8"/>
        <w:tabs>
          <w:tab w:val="left" w:pos="7467"/>
          <w:tab w:val="left" w:pos="7947"/>
          <w:tab w:val="left" w:pos="8547"/>
          <w:tab w:val="left" w:pos="9027"/>
        </w:tabs>
        <w:spacing w:before="158"/>
        <w:ind w:left="388"/>
      </w:pPr>
      <w:r>
        <w:t>工程名称：</w:t>
      </w:r>
      <w:r>
        <w:tab/>
      </w:r>
      <w:r>
        <w:t>第</w:t>
      </w:r>
      <w:r>
        <w:tab/>
      </w:r>
      <w:r>
        <w:t>页</w:t>
      </w:r>
      <w:r>
        <w:tab/>
      </w:r>
      <w:r>
        <w:t>共</w:t>
      </w:r>
      <w:r>
        <w:tab/>
      </w:r>
      <w:r>
        <w:t>页</w:t>
      </w:r>
    </w:p>
    <w:p>
      <w:pPr>
        <w:pStyle w:val="8"/>
        <w:spacing w:before="5"/>
        <w:rPr>
          <w:sz w:val="12"/>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8"/>
        <w:gridCol w:w="3238"/>
        <w:gridCol w:w="3705"/>
        <w:gridCol w:w="19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808" w:type="dxa"/>
          </w:tcPr>
          <w:p>
            <w:pPr>
              <w:pStyle w:val="17"/>
              <w:spacing w:before="3"/>
              <w:rPr>
                <w:sz w:val="18"/>
              </w:rPr>
            </w:pPr>
          </w:p>
          <w:p>
            <w:pPr>
              <w:pStyle w:val="17"/>
              <w:ind w:left="163"/>
              <w:rPr>
                <w:sz w:val="24"/>
              </w:rPr>
            </w:pPr>
            <w:r>
              <w:rPr>
                <w:sz w:val="24"/>
              </w:rPr>
              <w:t>序号</w:t>
            </w:r>
          </w:p>
        </w:tc>
        <w:tc>
          <w:tcPr>
            <w:tcW w:w="3238" w:type="dxa"/>
          </w:tcPr>
          <w:p>
            <w:pPr>
              <w:pStyle w:val="17"/>
              <w:spacing w:before="3"/>
              <w:rPr>
                <w:sz w:val="18"/>
              </w:rPr>
            </w:pPr>
          </w:p>
          <w:p>
            <w:pPr>
              <w:pStyle w:val="17"/>
              <w:ind w:left="1119" w:right="1109"/>
              <w:jc w:val="center"/>
              <w:rPr>
                <w:sz w:val="24"/>
              </w:rPr>
            </w:pPr>
            <w:r>
              <w:rPr>
                <w:sz w:val="24"/>
              </w:rPr>
              <w:t>汇总内容</w:t>
            </w:r>
          </w:p>
        </w:tc>
        <w:tc>
          <w:tcPr>
            <w:tcW w:w="3705" w:type="dxa"/>
          </w:tcPr>
          <w:p>
            <w:pPr>
              <w:pStyle w:val="17"/>
              <w:spacing w:before="3"/>
              <w:rPr>
                <w:sz w:val="18"/>
              </w:rPr>
            </w:pPr>
          </w:p>
          <w:p>
            <w:pPr>
              <w:pStyle w:val="17"/>
              <w:ind w:left="1351" w:right="1343"/>
              <w:jc w:val="center"/>
              <w:rPr>
                <w:sz w:val="24"/>
              </w:rPr>
            </w:pPr>
            <w:r>
              <w:rPr>
                <w:sz w:val="24"/>
              </w:rPr>
              <w:t>金额(元)</w:t>
            </w:r>
          </w:p>
        </w:tc>
        <w:tc>
          <w:tcPr>
            <w:tcW w:w="1989" w:type="dxa"/>
          </w:tcPr>
          <w:p>
            <w:pPr>
              <w:pStyle w:val="17"/>
              <w:spacing w:before="1"/>
              <w:ind w:left="252" w:right="246"/>
              <w:jc w:val="center"/>
              <w:rPr>
                <w:sz w:val="24"/>
              </w:rPr>
            </w:pPr>
            <w:r>
              <w:rPr>
                <w:sz w:val="24"/>
              </w:rPr>
              <w:t>其中：暂估价</w:t>
            </w:r>
          </w:p>
          <w:p>
            <w:pPr>
              <w:pStyle w:val="17"/>
              <w:spacing w:before="158"/>
              <w:ind w:left="252" w:right="246"/>
              <w:jc w:val="center"/>
              <w:rPr>
                <w:sz w:val="24"/>
              </w:rPr>
            </w:pPr>
            <w:r>
              <w:rPr>
                <w:sz w:val="24"/>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808" w:type="dxa"/>
          </w:tcPr>
          <w:p>
            <w:pPr>
              <w:pStyle w:val="17"/>
              <w:spacing w:before="5"/>
              <w:ind w:left="9"/>
              <w:jc w:val="center"/>
              <w:rPr>
                <w:sz w:val="24"/>
              </w:rPr>
            </w:pPr>
            <w:r>
              <w:rPr>
                <w:sz w:val="24"/>
              </w:rPr>
              <w:t>1</w:t>
            </w:r>
          </w:p>
        </w:tc>
        <w:tc>
          <w:tcPr>
            <w:tcW w:w="3238" w:type="dxa"/>
          </w:tcPr>
          <w:p>
            <w:pPr>
              <w:pStyle w:val="17"/>
              <w:rPr>
                <w:rFonts w:ascii="Times New Roman"/>
                <w:sz w:val="22"/>
              </w:rPr>
            </w:pPr>
          </w:p>
        </w:tc>
        <w:tc>
          <w:tcPr>
            <w:tcW w:w="3705" w:type="dxa"/>
          </w:tcPr>
          <w:p>
            <w:pPr>
              <w:pStyle w:val="17"/>
              <w:rPr>
                <w:rFonts w:ascii="Times New Roman"/>
                <w:sz w:val="22"/>
              </w:rPr>
            </w:pPr>
          </w:p>
        </w:tc>
        <w:tc>
          <w:tcPr>
            <w:tcW w:w="198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808" w:type="dxa"/>
          </w:tcPr>
          <w:p>
            <w:pPr>
              <w:pStyle w:val="17"/>
              <w:spacing w:before="5"/>
              <w:ind w:left="108"/>
              <w:rPr>
                <w:sz w:val="24"/>
              </w:rPr>
            </w:pPr>
            <w:r>
              <w:rPr>
                <w:sz w:val="24"/>
              </w:rPr>
              <w:t>1.1</w:t>
            </w:r>
          </w:p>
        </w:tc>
        <w:tc>
          <w:tcPr>
            <w:tcW w:w="3238" w:type="dxa"/>
          </w:tcPr>
          <w:p>
            <w:pPr>
              <w:pStyle w:val="17"/>
              <w:spacing w:before="5"/>
              <w:ind w:left="107"/>
              <w:rPr>
                <w:sz w:val="24"/>
              </w:rPr>
            </w:pPr>
            <w:r>
              <w:rPr>
                <w:sz w:val="24"/>
              </w:rPr>
              <w:t>分部分项工程</w:t>
            </w:r>
          </w:p>
        </w:tc>
        <w:tc>
          <w:tcPr>
            <w:tcW w:w="3705" w:type="dxa"/>
          </w:tcPr>
          <w:p>
            <w:pPr>
              <w:pStyle w:val="17"/>
              <w:rPr>
                <w:rFonts w:ascii="Times New Roman"/>
                <w:sz w:val="22"/>
              </w:rPr>
            </w:pPr>
          </w:p>
        </w:tc>
        <w:tc>
          <w:tcPr>
            <w:tcW w:w="198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808" w:type="dxa"/>
          </w:tcPr>
          <w:p>
            <w:pPr>
              <w:pStyle w:val="17"/>
              <w:spacing w:before="4"/>
              <w:ind w:left="108"/>
              <w:rPr>
                <w:sz w:val="24"/>
              </w:rPr>
            </w:pPr>
            <w:r>
              <w:rPr>
                <w:sz w:val="24"/>
              </w:rPr>
              <w:t>1.2</w:t>
            </w:r>
          </w:p>
        </w:tc>
        <w:tc>
          <w:tcPr>
            <w:tcW w:w="3238" w:type="dxa"/>
          </w:tcPr>
          <w:p>
            <w:pPr>
              <w:pStyle w:val="17"/>
              <w:rPr>
                <w:rFonts w:ascii="Times New Roman"/>
                <w:sz w:val="22"/>
              </w:rPr>
            </w:pPr>
          </w:p>
        </w:tc>
        <w:tc>
          <w:tcPr>
            <w:tcW w:w="3705" w:type="dxa"/>
          </w:tcPr>
          <w:p>
            <w:pPr>
              <w:pStyle w:val="17"/>
              <w:rPr>
                <w:rFonts w:ascii="Times New Roman"/>
                <w:sz w:val="22"/>
              </w:rPr>
            </w:pPr>
          </w:p>
        </w:tc>
        <w:tc>
          <w:tcPr>
            <w:tcW w:w="198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808" w:type="dxa"/>
          </w:tcPr>
          <w:p>
            <w:pPr>
              <w:pStyle w:val="17"/>
              <w:spacing w:before="5"/>
              <w:ind w:left="108"/>
              <w:rPr>
                <w:sz w:val="24"/>
              </w:rPr>
            </w:pPr>
            <w:r>
              <w:rPr>
                <w:sz w:val="24"/>
              </w:rPr>
              <w:t>1.3</w:t>
            </w:r>
          </w:p>
        </w:tc>
        <w:tc>
          <w:tcPr>
            <w:tcW w:w="3238" w:type="dxa"/>
          </w:tcPr>
          <w:p>
            <w:pPr>
              <w:pStyle w:val="17"/>
              <w:rPr>
                <w:rFonts w:ascii="Times New Roman"/>
                <w:sz w:val="22"/>
              </w:rPr>
            </w:pPr>
          </w:p>
        </w:tc>
        <w:tc>
          <w:tcPr>
            <w:tcW w:w="3705" w:type="dxa"/>
          </w:tcPr>
          <w:p>
            <w:pPr>
              <w:pStyle w:val="17"/>
              <w:rPr>
                <w:rFonts w:ascii="Times New Roman"/>
                <w:sz w:val="22"/>
              </w:rPr>
            </w:pPr>
          </w:p>
        </w:tc>
        <w:tc>
          <w:tcPr>
            <w:tcW w:w="198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808" w:type="dxa"/>
          </w:tcPr>
          <w:p>
            <w:pPr>
              <w:pStyle w:val="17"/>
              <w:spacing w:before="4"/>
              <w:ind w:left="108"/>
              <w:rPr>
                <w:sz w:val="24"/>
              </w:rPr>
            </w:pPr>
            <w:r>
              <w:rPr>
                <w:sz w:val="24"/>
              </w:rPr>
              <w:t>1.4</w:t>
            </w:r>
          </w:p>
        </w:tc>
        <w:tc>
          <w:tcPr>
            <w:tcW w:w="3238" w:type="dxa"/>
          </w:tcPr>
          <w:p>
            <w:pPr>
              <w:pStyle w:val="17"/>
              <w:rPr>
                <w:rFonts w:ascii="Times New Roman"/>
                <w:sz w:val="22"/>
              </w:rPr>
            </w:pPr>
          </w:p>
        </w:tc>
        <w:tc>
          <w:tcPr>
            <w:tcW w:w="3705" w:type="dxa"/>
          </w:tcPr>
          <w:p>
            <w:pPr>
              <w:pStyle w:val="17"/>
              <w:rPr>
                <w:rFonts w:ascii="Times New Roman"/>
                <w:sz w:val="22"/>
              </w:rPr>
            </w:pPr>
          </w:p>
        </w:tc>
        <w:tc>
          <w:tcPr>
            <w:tcW w:w="198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808" w:type="dxa"/>
          </w:tcPr>
          <w:p>
            <w:pPr>
              <w:pStyle w:val="17"/>
              <w:spacing w:before="5"/>
              <w:ind w:left="108"/>
              <w:rPr>
                <w:sz w:val="24"/>
              </w:rPr>
            </w:pPr>
            <w:r>
              <w:rPr>
                <w:sz w:val="24"/>
              </w:rPr>
              <w:t>1.5</w:t>
            </w:r>
          </w:p>
        </w:tc>
        <w:tc>
          <w:tcPr>
            <w:tcW w:w="3238" w:type="dxa"/>
          </w:tcPr>
          <w:p>
            <w:pPr>
              <w:pStyle w:val="17"/>
              <w:rPr>
                <w:rFonts w:ascii="Times New Roman"/>
                <w:sz w:val="22"/>
              </w:rPr>
            </w:pPr>
          </w:p>
        </w:tc>
        <w:tc>
          <w:tcPr>
            <w:tcW w:w="3705" w:type="dxa"/>
          </w:tcPr>
          <w:p>
            <w:pPr>
              <w:pStyle w:val="17"/>
              <w:rPr>
                <w:rFonts w:ascii="Times New Roman"/>
                <w:sz w:val="22"/>
              </w:rPr>
            </w:pPr>
          </w:p>
        </w:tc>
        <w:tc>
          <w:tcPr>
            <w:tcW w:w="198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808" w:type="dxa"/>
          </w:tcPr>
          <w:p>
            <w:pPr>
              <w:pStyle w:val="17"/>
              <w:rPr>
                <w:rFonts w:ascii="Times New Roman"/>
                <w:sz w:val="22"/>
              </w:rPr>
            </w:pPr>
          </w:p>
        </w:tc>
        <w:tc>
          <w:tcPr>
            <w:tcW w:w="3238" w:type="dxa"/>
          </w:tcPr>
          <w:p>
            <w:pPr>
              <w:pStyle w:val="17"/>
              <w:rPr>
                <w:rFonts w:ascii="Times New Roman"/>
                <w:sz w:val="22"/>
              </w:rPr>
            </w:pPr>
          </w:p>
        </w:tc>
        <w:tc>
          <w:tcPr>
            <w:tcW w:w="3705" w:type="dxa"/>
          </w:tcPr>
          <w:p>
            <w:pPr>
              <w:pStyle w:val="17"/>
              <w:rPr>
                <w:rFonts w:ascii="Times New Roman"/>
                <w:sz w:val="22"/>
              </w:rPr>
            </w:pPr>
          </w:p>
        </w:tc>
        <w:tc>
          <w:tcPr>
            <w:tcW w:w="198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808" w:type="dxa"/>
          </w:tcPr>
          <w:p>
            <w:pPr>
              <w:pStyle w:val="17"/>
              <w:rPr>
                <w:rFonts w:ascii="Times New Roman"/>
                <w:sz w:val="22"/>
              </w:rPr>
            </w:pPr>
          </w:p>
        </w:tc>
        <w:tc>
          <w:tcPr>
            <w:tcW w:w="3238" w:type="dxa"/>
          </w:tcPr>
          <w:p>
            <w:pPr>
              <w:pStyle w:val="17"/>
              <w:rPr>
                <w:rFonts w:ascii="Times New Roman"/>
                <w:sz w:val="22"/>
              </w:rPr>
            </w:pPr>
          </w:p>
        </w:tc>
        <w:tc>
          <w:tcPr>
            <w:tcW w:w="3705" w:type="dxa"/>
          </w:tcPr>
          <w:p>
            <w:pPr>
              <w:pStyle w:val="17"/>
              <w:rPr>
                <w:rFonts w:ascii="Times New Roman"/>
                <w:sz w:val="22"/>
              </w:rPr>
            </w:pPr>
          </w:p>
        </w:tc>
        <w:tc>
          <w:tcPr>
            <w:tcW w:w="198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808" w:type="dxa"/>
          </w:tcPr>
          <w:p>
            <w:pPr>
              <w:pStyle w:val="17"/>
              <w:spacing w:before="5"/>
              <w:ind w:left="108"/>
              <w:rPr>
                <w:sz w:val="24"/>
              </w:rPr>
            </w:pPr>
            <w:r>
              <w:rPr>
                <w:sz w:val="24"/>
              </w:rPr>
              <w:t>2</w:t>
            </w:r>
          </w:p>
        </w:tc>
        <w:tc>
          <w:tcPr>
            <w:tcW w:w="3238" w:type="dxa"/>
          </w:tcPr>
          <w:p>
            <w:pPr>
              <w:pStyle w:val="17"/>
              <w:spacing w:before="5"/>
              <w:ind w:left="107"/>
              <w:rPr>
                <w:sz w:val="24"/>
              </w:rPr>
            </w:pPr>
            <w:r>
              <w:rPr>
                <w:sz w:val="24"/>
              </w:rPr>
              <w:t>措施项目</w:t>
            </w:r>
          </w:p>
        </w:tc>
        <w:tc>
          <w:tcPr>
            <w:tcW w:w="3705" w:type="dxa"/>
          </w:tcPr>
          <w:p>
            <w:pPr>
              <w:pStyle w:val="17"/>
              <w:rPr>
                <w:rFonts w:ascii="Times New Roman"/>
                <w:sz w:val="22"/>
              </w:rPr>
            </w:pPr>
          </w:p>
        </w:tc>
        <w:tc>
          <w:tcPr>
            <w:tcW w:w="198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808" w:type="dxa"/>
          </w:tcPr>
          <w:p>
            <w:pPr>
              <w:pStyle w:val="17"/>
              <w:spacing w:before="6"/>
              <w:ind w:left="108"/>
              <w:rPr>
                <w:sz w:val="24"/>
              </w:rPr>
            </w:pPr>
            <w:r>
              <w:rPr>
                <w:sz w:val="24"/>
              </w:rPr>
              <w:t>2.1</w:t>
            </w:r>
          </w:p>
        </w:tc>
        <w:tc>
          <w:tcPr>
            <w:tcW w:w="3238" w:type="dxa"/>
          </w:tcPr>
          <w:p>
            <w:pPr>
              <w:pStyle w:val="17"/>
              <w:spacing w:before="6"/>
              <w:ind w:left="107"/>
              <w:rPr>
                <w:sz w:val="24"/>
              </w:rPr>
            </w:pPr>
            <w:r>
              <w:rPr>
                <w:sz w:val="24"/>
              </w:rPr>
              <w:t>其中：安全文明施工措施费</w:t>
            </w:r>
          </w:p>
        </w:tc>
        <w:tc>
          <w:tcPr>
            <w:tcW w:w="3705" w:type="dxa"/>
          </w:tcPr>
          <w:p>
            <w:pPr>
              <w:pStyle w:val="17"/>
              <w:rPr>
                <w:rFonts w:ascii="Times New Roman"/>
                <w:sz w:val="22"/>
              </w:rPr>
            </w:pPr>
          </w:p>
        </w:tc>
        <w:tc>
          <w:tcPr>
            <w:tcW w:w="198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808" w:type="dxa"/>
          </w:tcPr>
          <w:p>
            <w:pPr>
              <w:pStyle w:val="17"/>
              <w:spacing w:before="5"/>
              <w:ind w:left="108"/>
              <w:rPr>
                <w:sz w:val="24"/>
              </w:rPr>
            </w:pPr>
            <w:r>
              <w:rPr>
                <w:sz w:val="24"/>
              </w:rPr>
              <w:t>3</w:t>
            </w:r>
          </w:p>
        </w:tc>
        <w:tc>
          <w:tcPr>
            <w:tcW w:w="3238" w:type="dxa"/>
          </w:tcPr>
          <w:p>
            <w:pPr>
              <w:pStyle w:val="17"/>
              <w:spacing w:before="5"/>
              <w:ind w:left="107"/>
              <w:rPr>
                <w:sz w:val="24"/>
              </w:rPr>
            </w:pPr>
            <w:r>
              <w:rPr>
                <w:sz w:val="24"/>
              </w:rPr>
              <w:t>其他项目</w:t>
            </w:r>
          </w:p>
        </w:tc>
        <w:tc>
          <w:tcPr>
            <w:tcW w:w="3705" w:type="dxa"/>
          </w:tcPr>
          <w:p>
            <w:pPr>
              <w:pStyle w:val="17"/>
              <w:rPr>
                <w:rFonts w:ascii="Times New Roman"/>
                <w:sz w:val="22"/>
              </w:rPr>
            </w:pPr>
          </w:p>
        </w:tc>
        <w:tc>
          <w:tcPr>
            <w:tcW w:w="198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808" w:type="dxa"/>
          </w:tcPr>
          <w:p>
            <w:pPr>
              <w:pStyle w:val="17"/>
              <w:spacing w:before="6"/>
              <w:ind w:left="108"/>
              <w:rPr>
                <w:sz w:val="24"/>
              </w:rPr>
            </w:pPr>
            <w:r>
              <w:rPr>
                <w:sz w:val="24"/>
              </w:rPr>
              <w:t>3.1</w:t>
            </w:r>
          </w:p>
        </w:tc>
        <w:tc>
          <w:tcPr>
            <w:tcW w:w="3238" w:type="dxa"/>
          </w:tcPr>
          <w:p>
            <w:pPr>
              <w:pStyle w:val="17"/>
              <w:spacing w:before="6"/>
              <w:ind w:left="107"/>
              <w:rPr>
                <w:sz w:val="24"/>
              </w:rPr>
            </w:pPr>
            <w:r>
              <w:rPr>
                <w:sz w:val="24"/>
              </w:rPr>
              <w:t>其中：暂列金额</w:t>
            </w:r>
          </w:p>
        </w:tc>
        <w:tc>
          <w:tcPr>
            <w:tcW w:w="3705" w:type="dxa"/>
          </w:tcPr>
          <w:p>
            <w:pPr>
              <w:pStyle w:val="17"/>
              <w:rPr>
                <w:rFonts w:ascii="Times New Roman"/>
                <w:sz w:val="22"/>
              </w:rPr>
            </w:pPr>
          </w:p>
        </w:tc>
        <w:tc>
          <w:tcPr>
            <w:tcW w:w="198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808" w:type="dxa"/>
          </w:tcPr>
          <w:p>
            <w:pPr>
              <w:pStyle w:val="17"/>
              <w:spacing w:before="6"/>
              <w:ind w:left="108"/>
              <w:rPr>
                <w:sz w:val="24"/>
              </w:rPr>
            </w:pPr>
            <w:r>
              <w:rPr>
                <w:sz w:val="24"/>
              </w:rPr>
              <w:t>3.2</w:t>
            </w:r>
          </w:p>
        </w:tc>
        <w:tc>
          <w:tcPr>
            <w:tcW w:w="3238" w:type="dxa"/>
          </w:tcPr>
          <w:p>
            <w:pPr>
              <w:pStyle w:val="17"/>
              <w:spacing w:before="6"/>
              <w:ind w:left="107"/>
              <w:rPr>
                <w:sz w:val="24"/>
              </w:rPr>
            </w:pPr>
            <w:r>
              <w:rPr>
                <w:sz w:val="24"/>
              </w:rPr>
              <w:t>其他项目</w:t>
            </w:r>
          </w:p>
        </w:tc>
        <w:tc>
          <w:tcPr>
            <w:tcW w:w="3705" w:type="dxa"/>
          </w:tcPr>
          <w:p>
            <w:pPr>
              <w:pStyle w:val="17"/>
              <w:rPr>
                <w:rFonts w:ascii="Times New Roman"/>
                <w:sz w:val="22"/>
              </w:rPr>
            </w:pPr>
          </w:p>
        </w:tc>
        <w:tc>
          <w:tcPr>
            <w:tcW w:w="1989" w:type="dxa"/>
          </w:tcPr>
          <w:p>
            <w:pPr>
              <w:pStyle w:val="17"/>
              <w:spacing w:before="6"/>
              <w:ind w:left="107"/>
              <w:rPr>
                <w:sz w:val="24"/>
              </w:rPr>
            </w:pP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808" w:type="dxa"/>
          </w:tcPr>
          <w:p>
            <w:pPr>
              <w:pStyle w:val="17"/>
              <w:spacing w:before="5"/>
              <w:ind w:left="108"/>
              <w:rPr>
                <w:sz w:val="24"/>
              </w:rPr>
            </w:pPr>
            <w:r>
              <w:rPr>
                <w:sz w:val="24"/>
              </w:rPr>
              <w:t>3.3</w:t>
            </w:r>
          </w:p>
        </w:tc>
        <w:tc>
          <w:tcPr>
            <w:tcW w:w="3238" w:type="dxa"/>
          </w:tcPr>
          <w:p>
            <w:pPr>
              <w:pStyle w:val="17"/>
              <w:spacing w:before="5"/>
              <w:ind w:left="107"/>
              <w:rPr>
                <w:sz w:val="24"/>
              </w:rPr>
            </w:pPr>
            <w:r>
              <w:rPr>
                <w:sz w:val="24"/>
              </w:rPr>
              <w:t>其中：专业工程暂估价</w:t>
            </w:r>
          </w:p>
        </w:tc>
        <w:tc>
          <w:tcPr>
            <w:tcW w:w="3705" w:type="dxa"/>
          </w:tcPr>
          <w:p>
            <w:pPr>
              <w:pStyle w:val="17"/>
              <w:rPr>
                <w:rFonts w:ascii="Times New Roman"/>
                <w:sz w:val="22"/>
              </w:rPr>
            </w:pPr>
          </w:p>
        </w:tc>
        <w:tc>
          <w:tcPr>
            <w:tcW w:w="1989" w:type="dxa"/>
          </w:tcPr>
          <w:p>
            <w:pPr>
              <w:pStyle w:val="17"/>
              <w:spacing w:before="5"/>
              <w:ind w:left="107"/>
              <w:rPr>
                <w:sz w:val="24"/>
              </w:rPr>
            </w:pP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808" w:type="dxa"/>
          </w:tcPr>
          <w:p>
            <w:pPr>
              <w:pStyle w:val="17"/>
              <w:spacing w:before="6"/>
              <w:ind w:left="108"/>
              <w:rPr>
                <w:sz w:val="24"/>
              </w:rPr>
            </w:pPr>
            <w:r>
              <w:rPr>
                <w:sz w:val="24"/>
              </w:rPr>
              <w:t>3.4</w:t>
            </w:r>
          </w:p>
        </w:tc>
        <w:tc>
          <w:tcPr>
            <w:tcW w:w="3238" w:type="dxa"/>
          </w:tcPr>
          <w:p>
            <w:pPr>
              <w:pStyle w:val="17"/>
              <w:spacing w:before="6"/>
              <w:ind w:left="107"/>
              <w:rPr>
                <w:sz w:val="24"/>
              </w:rPr>
            </w:pPr>
            <w:r>
              <w:rPr>
                <w:sz w:val="24"/>
              </w:rPr>
              <w:t>其中：总承包服务费</w:t>
            </w:r>
          </w:p>
        </w:tc>
        <w:tc>
          <w:tcPr>
            <w:tcW w:w="3705" w:type="dxa"/>
          </w:tcPr>
          <w:p>
            <w:pPr>
              <w:pStyle w:val="17"/>
              <w:rPr>
                <w:rFonts w:ascii="Times New Roman"/>
                <w:sz w:val="22"/>
              </w:rPr>
            </w:pPr>
          </w:p>
        </w:tc>
        <w:tc>
          <w:tcPr>
            <w:tcW w:w="1989" w:type="dxa"/>
          </w:tcPr>
          <w:p>
            <w:pPr>
              <w:pStyle w:val="17"/>
              <w:spacing w:before="6"/>
              <w:ind w:left="107"/>
              <w:rPr>
                <w:sz w:val="24"/>
              </w:rPr>
            </w:pP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808" w:type="dxa"/>
          </w:tcPr>
          <w:p>
            <w:pPr>
              <w:pStyle w:val="17"/>
              <w:spacing w:before="4"/>
              <w:ind w:left="108"/>
              <w:rPr>
                <w:sz w:val="24"/>
              </w:rPr>
            </w:pPr>
            <w:r>
              <w:rPr>
                <w:sz w:val="24"/>
              </w:rPr>
              <w:t>4</w:t>
            </w:r>
          </w:p>
        </w:tc>
        <w:tc>
          <w:tcPr>
            <w:tcW w:w="3238" w:type="dxa"/>
          </w:tcPr>
          <w:p>
            <w:pPr>
              <w:pStyle w:val="17"/>
              <w:spacing w:before="4"/>
              <w:ind w:left="107"/>
              <w:rPr>
                <w:sz w:val="24"/>
              </w:rPr>
            </w:pPr>
            <w:r>
              <w:rPr>
                <w:sz w:val="24"/>
              </w:rPr>
              <w:t>规费</w:t>
            </w:r>
          </w:p>
        </w:tc>
        <w:tc>
          <w:tcPr>
            <w:tcW w:w="3705" w:type="dxa"/>
          </w:tcPr>
          <w:p>
            <w:pPr>
              <w:pStyle w:val="17"/>
              <w:rPr>
                <w:rFonts w:ascii="Times New Roman"/>
                <w:sz w:val="22"/>
              </w:rPr>
            </w:pPr>
          </w:p>
        </w:tc>
        <w:tc>
          <w:tcPr>
            <w:tcW w:w="1989" w:type="dxa"/>
          </w:tcPr>
          <w:p>
            <w:pPr>
              <w:pStyle w:val="17"/>
              <w:spacing w:before="4"/>
              <w:ind w:left="107"/>
              <w:rPr>
                <w:sz w:val="24"/>
              </w:rPr>
            </w:pP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808" w:type="dxa"/>
          </w:tcPr>
          <w:p>
            <w:pPr>
              <w:pStyle w:val="17"/>
              <w:spacing w:before="6"/>
              <w:ind w:left="108"/>
              <w:rPr>
                <w:sz w:val="24"/>
              </w:rPr>
            </w:pPr>
            <w:r>
              <w:rPr>
                <w:sz w:val="24"/>
              </w:rPr>
              <w:t>5</w:t>
            </w:r>
          </w:p>
        </w:tc>
        <w:tc>
          <w:tcPr>
            <w:tcW w:w="3238" w:type="dxa"/>
          </w:tcPr>
          <w:p>
            <w:pPr>
              <w:pStyle w:val="17"/>
              <w:spacing w:before="6"/>
              <w:ind w:left="107"/>
              <w:rPr>
                <w:sz w:val="24"/>
              </w:rPr>
            </w:pPr>
            <w:r>
              <w:rPr>
                <w:sz w:val="24"/>
              </w:rPr>
              <w:t>税金</w:t>
            </w:r>
          </w:p>
        </w:tc>
        <w:tc>
          <w:tcPr>
            <w:tcW w:w="3705" w:type="dxa"/>
          </w:tcPr>
          <w:p>
            <w:pPr>
              <w:pStyle w:val="17"/>
              <w:rPr>
                <w:rFonts w:ascii="Times New Roman"/>
                <w:sz w:val="22"/>
              </w:rPr>
            </w:pPr>
          </w:p>
        </w:tc>
        <w:tc>
          <w:tcPr>
            <w:tcW w:w="1989" w:type="dxa"/>
          </w:tcPr>
          <w:p>
            <w:pPr>
              <w:pStyle w:val="17"/>
              <w:spacing w:before="6"/>
              <w:ind w:left="107"/>
              <w:rPr>
                <w:sz w:val="24"/>
              </w:rPr>
            </w:pP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808" w:type="dxa"/>
          </w:tcPr>
          <w:p>
            <w:pPr>
              <w:pStyle w:val="17"/>
              <w:rPr>
                <w:rFonts w:ascii="Times New Roman"/>
                <w:sz w:val="22"/>
              </w:rPr>
            </w:pPr>
          </w:p>
        </w:tc>
        <w:tc>
          <w:tcPr>
            <w:tcW w:w="3238" w:type="dxa"/>
          </w:tcPr>
          <w:p>
            <w:pPr>
              <w:pStyle w:val="17"/>
              <w:rPr>
                <w:rFonts w:ascii="Times New Roman"/>
                <w:sz w:val="22"/>
              </w:rPr>
            </w:pPr>
          </w:p>
        </w:tc>
        <w:tc>
          <w:tcPr>
            <w:tcW w:w="3705" w:type="dxa"/>
          </w:tcPr>
          <w:p>
            <w:pPr>
              <w:pStyle w:val="17"/>
              <w:rPr>
                <w:rFonts w:ascii="Times New Roman"/>
                <w:sz w:val="22"/>
              </w:rPr>
            </w:pPr>
          </w:p>
        </w:tc>
        <w:tc>
          <w:tcPr>
            <w:tcW w:w="1989" w:type="dxa"/>
          </w:tcPr>
          <w:p>
            <w:pPr>
              <w:pStyle w:val="17"/>
              <w:spacing w:before="5"/>
              <w:ind w:left="107"/>
              <w:rPr>
                <w:sz w:val="24"/>
              </w:rPr>
            </w:pP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808" w:type="dxa"/>
          </w:tcPr>
          <w:p>
            <w:pPr>
              <w:pStyle w:val="17"/>
              <w:rPr>
                <w:rFonts w:ascii="Times New Roman"/>
                <w:sz w:val="22"/>
              </w:rPr>
            </w:pPr>
          </w:p>
        </w:tc>
        <w:tc>
          <w:tcPr>
            <w:tcW w:w="3238" w:type="dxa"/>
          </w:tcPr>
          <w:p>
            <w:pPr>
              <w:pStyle w:val="17"/>
              <w:rPr>
                <w:rFonts w:ascii="Times New Roman"/>
                <w:sz w:val="22"/>
              </w:rPr>
            </w:pPr>
          </w:p>
        </w:tc>
        <w:tc>
          <w:tcPr>
            <w:tcW w:w="3705" w:type="dxa"/>
          </w:tcPr>
          <w:p>
            <w:pPr>
              <w:pStyle w:val="17"/>
              <w:rPr>
                <w:rFonts w:ascii="Times New Roman"/>
                <w:sz w:val="22"/>
              </w:rPr>
            </w:pPr>
          </w:p>
        </w:tc>
        <w:tc>
          <w:tcPr>
            <w:tcW w:w="1989" w:type="dxa"/>
          </w:tcPr>
          <w:p>
            <w:pPr>
              <w:pStyle w:val="17"/>
              <w:spacing w:before="4"/>
              <w:ind w:left="107"/>
              <w:rPr>
                <w:sz w:val="24"/>
              </w:rPr>
            </w:pP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4046" w:type="dxa"/>
            <w:gridSpan w:val="2"/>
          </w:tcPr>
          <w:p>
            <w:pPr>
              <w:pStyle w:val="17"/>
              <w:spacing w:before="5"/>
              <w:ind w:left="108"/>
              <w:rPr>
                <w:sz w:val="24"/>
              </w:rPr>
            </w:pPr>
            <w:r>
              <w:rPr>
                <w:sz w:val="24"/>
              </w:rPr>
              <w:t>合计=1+2+3+4+5</w:t>
            </w:r>
          </w:p>
        </w:tc>
        <w:tc>
          <w:tcPr>
            <w:tcW w:w="3705" w:type="dxa"/>
          </w:tcPr>
          <w:p>
            <w:pPr>
              <w:pStyle w:val="17"/>
              <w:rPr>
                <w:rFonts w:ascii="Times New Roman"/>
                <w:sz w:val="22"/>
              </w:rPr>
            </w:pPr>
          </w:p>
        </w:tc>
        <w:tc>
          <w:tcPr>
            <w:tcW w:w="1989" w:type="dxa"/>
          </w:tcPr>
          <w:p>
            <w:pPr>
              <w:pStyle w:val="17"/>
              <w:spacing w:before="5"/>
              <w:ind w:left="107"/>
              <w:rPr>
                <w:sz w:val="24"/>
              </w:rPr>
            </w:pPr>
            <w:r>
              <w:rPr>
                <w:sz w:val="24"/>
              </w:rPr>
              <w:t>—</w:t>
            </w:r>
          </w:p>
        </w:tc>
      </w:tr>
    </w:tbl>
    <w:p>
      <w:pPr>
        <w:pStyle w:val="8"/>
        <w:spacing w:before="2" w:line="362" w:lineRule="auto"/>
        <w:ind w:left="388" w:right="798"/>
      </w:pPr>
      <w:r>
        <w:t>注：本表适用于单项工程招标控制价或响应报价的汇总，如无单位工程划分，单项工程也适用本表。</w:t>
      </w:r>
    </w:p>
    <w:p>
      <w:pPr>
        <w:spacing w:after="0" w:line="362" w:lineRule="auto"/>
        <w:sectPr>
          <w:footerReference r:id="rId20" w:type="default"/>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pgNumType w:start="140"/>
          <w:cols w:space="720" w:num="1"/>
        </w:sectPr>
      </w:pPr>
    </w:p>
    <w:p>
      <w:pPr>
        <w:tabs>
          <w:tab w:val="left" w:pos="7676"/>
        </w:tabs>
        <w:spacing w:before="45"/>
        <w:ind w:left="388" w:right="0" w:firstLine="0"/>
        <w:jc w:val="left"/>
        <w:rPr>
          <w:sz w:val="18"/>
        </w:rPr>
      </w:pPr>
      <w:r>
        <w:pict>
          <v:line id="_x0000_s1209" o:spid="_x0000_s1209" o:spt="20" style="position:absolute;left:0pt;margin-left:62.4pt;margin-top:12.25pt;height:0pt;width:400.4pt;mso-position-horizontal-relative:page;z-index:25184358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388"/>
        <w:outlineLvl w:val="2"/>
      </w:pPr>
      <w:r>
        <w:t>（六）分部分项工程和单价措施项目清单与计价表</w:t>
      </w:r>
    </w:p>
    <w:p>
      <w:pPr>
        <w:pStyle w:val="8"/>
        <w:tabs>
          <w:tab w:val="left" w:pos="8067"/>
          <w:tab w:val="left" w:pos="8547"/>
          <w:tab w:val="left" w:pos="9267"/>
        </w:tabs>
        <w:spacing w:before="158"/>
        <w:ind w:left="388"/>
      </w:pPr>
      <w:r>
        <w:t>工程名称：</w:t>
      </w:r>
      <w:r>
        <w:tab/>
      </w:r>
      <w:r>
        <w:t>第</w:t>
      </w:r>
      <w:r>
        <w:tab/>
      </w:r>
      <w:r>
        <w:t>页共</w:t>
      </w:r>
      <w:r>
        <w:tab/>
      </w:r>
      <w:r>
        <w:t>页</w:t>
      </w:r>
    </w:p>
    <w:p>
      <w:pPr>
        <w:pStyle w:val="8"/>
        <w:spacing w:before="5"/>
        <w:rPr>
          <w:sz w:val="12"/>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9"/>
        <w:gridCol w:w="1551"/>
        <w:gridCol w:w="859"/>
        <w:gridCol w:w="1810"/>
        <w:gridCol w:w="746"/>
        <w:gridCol w:w="1042"/>
        <w:gridCol w:w="923"/>
        <w:gridCol w:w="1118"/>
        <w:gridCol w:w="11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09" w:type="dxa"/>
            <w:vMerge w:val="restart"/>
          </w:tcPr>
          <w:p>
            <w:pPr>
              <w:pStyle w:val="17"/>
              <w:spacing w:before="8"/>
              <w:rPr>
                <w:sz w:val="18"/>
              </w:rPr>
            </w:pPr>
          </w:p>
          <w:p>
            <w:pPr>
              <w:pStyle w:val="17"/>
              <w:spacing w:line="362" w:lineRule="auto"/>
              <w:ind w:left="132" w:right="124"/>
              <w:rPr>
                <w:sz w:val="24"/>
              </w:rPr>
            </w:pPr>
            <w:r>
              <w:rPr>
                <w:sz w:val="24"/>
              </w:rPr>
              <w:t>序号</w:t>
            </w:r>
          </w:p>
        </w:tc>
        <w:tc>
          <w:tcPr>
            <w:tcW w:w="1551" w:type="dxa"/>
            <w:vMerge w:val="restart"/>
          </w:tcPr>
          <w:p>
            <w:pPr>
              <w:pStyle w:val="17"/>
              <w:rPr>
                <w:sz w:val="24"/>
              </w:rPr>
            </w:pPr>
          </w:p>
          <w:p>
            <w:pPr>
              <w:pStyle w:val="17"/>
              <w:spacing w:before="164"/>
              <w:ind w:left="295"/>
              <w:rPr>
                <w:sz w:val="24"/>
              </w:rPr>
            </w:pPr>
            <w:r>
              <w:rPr>
                <w:sz w:val="24"/>
              </w:rPr>
              <w:t>项目编码</w:t>
            </w:r>
          </w:p>
        </w:tc>
        <w:tc>
          <w:tcPr>
            <w:tcW w:w="859" w:type="dxa"/>
            <w:vMerge w:val="restart"/>
          </w:tcPr>
          <w:p>
            <w:pPr>
              <w:pStyle w:val="17"/>
              <w:spacing w:before="8"/>
              <w:rPr>
                <w:sz w:val="18"/>
              </w:rPr>
            </w:pPr>
          </w:p>
          <w:p>
            <w:pPr>
              <w:pStyle w:val="17"/>
              <w:spacing w:line="362" w:lineRule="auto"/>
              <w:ind w:left="189" w:right="177"/>
              <w:rPr>
                <w:sz w:val="24"/>
              </w:rPr>
            </w:pPr>
            <w:r>
              <w:rPr>
                <w:sz w:val="24"/>
              </w:rPr>
              <w:t>项目名称</w:t>
            </w:r>
          </w:p>
        </w:tc>
        <w:tc>
          <w:tcPr>
            <w:tcW w:w="1810" w:type="dxa"/>
            <w:vMerge w:val="restart"/>
          </w:tcPr>
          <w:p>
            <w:pPr>
              <w:pStyle w:val="17"/>
              <w:rPr>
                <w:sz w:val="24"/>
              </w:rPr>
            </w:pPr>
          </w:p>
          <w:p>
            <w:pPr>
              <w:pStyle w:val="17"/>
              <w:spacing w:before="164"/>
              <w:ind w:left="184"/>
              <w:rPr>
                <w:sz w:val="24"/>
              </w:rPr>
            </w:pPr>
            <w:r>
              <w:rPr>
                <w:sz w:val="24"/>
              </w:rPr>
              <w:t>项目特征描述</w:t>
            </w:r>
          </w:p>
        </w:tc>
        <w:tc>
          <w:tcPr>
            <w:tcW w:w="746" w:type="dxa"/>
            <w:vMerge w:val="restart"/>
          </w:tcPr>
          <w:p>
            <w:pPr>
              <w:pStyle w:val="17"/>
              <w:spacing w:before="8"/>
              <w:rPr>
                <w:sz w:val="18"/>
              </w:rPr>
            </w:pPr>
          </w:p>
          <w:p>
            <w:pPr>
              <w:pStyle w:val="17"/>
              <w:spacing w:line="362" w:lineRule="auto"/>
              <w:ind w:left="131" w:right="122"/>
              <w:rPr>
                <w:sz w:val="24"/>
              </w:rPr>
            </w:pPr>
            <w:r>
              <w:rPr>
                <w:sz w:val="24"/>
              </w:rPr>
              <w:t>计量单位</w:t>
            </w:r>
          </w:p>
        </w:tc>
        <w:tc>
          <w:tcPr>
            <w:tcW w:w="1042" w:type="dxa"/>
            <w:vMerge w:val="restart"/>
          </w:tcPr>
          <w:p>
            <w:pPr>
              <w:pStyle w:val="17"/>
              <w:rPr>
                <w:sz w:val="24"/>
              </w:rPr>
            </w:pPr>
          </w:p>
          <w:p>
            <w:pPr>
              <w:pStyle w:val="17"/>
              <w:spacing w:before="164"/>
              <w:ind w:left="160"/>
              <w:rPr>
                <w:sz w:val="24"/>
              </w:rPr>
            </w:pPr>
            <w:r>
              <w:rPr>
                <w:sz w:val="24"/>
              </w:rPr>
              <w:t>工程量</w:t>
            </w:r>
          </w:p>
        </w:tc>
        <w:tc>
          <w:tcPr>
            <w:tcW w:w="3223" w:type="dxa"/>
            <w:gridSpan w:val="3"/>
          </w:tcPr>
          <w:p>
            <w:pPr>
              <w:pStyle w:val="17"/>
              <w:spacing w:before="1"/>
              <w:ind w:left="1010"/>
              <w:rPr>
                <w:sz w:val="24"/>
              </w:rPr>
            </w:pPr>
            <w:r>
              <w:rPr>
                <w:sz w:val="24"/>
              </w:rPr>
              <w:t>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atLeast"/>
        </w:trPr>
        <w:tc>
          <w:tcPr>
            <w:tcW w:w="509" w:type="dxa"/>
            <w:vMerge w:val="continue"/>
            <w:tcBorders>
              <w:top w:val="nil"/>
            </w:tcBorders>
          </w:tcPr>
          <w:p>
            <w:pPr>
              <w:rPr>
                <w:sz w:val="2"/>
                <w:szCs w:val="2"/>
              </w:rPr>
            </w:pPr>
          </w:p>
        </w:tc>
        <w:tc>
          <w:tcPr>
            <w:tcW w:w="1551" w:type="dxa"/>
            <w:vMerge w:val="continue"/>
            <w:tcBorders>
              <w:top w:val="nil"/>
            </w:tcBorders>
          </w:tcPr>
          <w:p>
            <w:pPr>
              <w:rPr>
                <w:sz w:val="2"/>
                <w:szCs w:val="2"/>
              </w:rPr>
            </w:pPr>
          </w:p>
        </w:tc>
        <w:tc>
          <w:tcPr>
            <w:tcW w:w="859" w:type="dxa"/>
            <w:vMerge w:val="continue"/>
            <w:tcBorders>
              <w:top w:val="nil"/>
            </w:tcBorders>
          </w:tcPr>
          <w:p>
            <w:pPr>
              <w:rPr>
                <w:sz w:val="2"/>
                <w:szCs w:val="2"/>
              </w:rPr>
            </w:pPr>
          </w:p>
        </w:tc>
        <w:tc>
          <w:tcPr>
            <w:tcW w:w="1810" w:type="dxa"/>
            <w:vMerge w:val="continue"/>
            <w:tcBorders>
              <w:top w:val="nil"/>
            </w:tcBorders>
          </w:tcPr>
          <w:p>
            <w:pPr>
              <w:rPr>
                <w:sz w:val="2"/>
                <w:szCs w:val="2"/>
              </w:rPr>
            </w:pPr>
          </w:p>
        </w:tc>
        <w:tc>
          <w:tcPr>
            <w:tcW w:w="746" w:type="dxa"/>
            <w:vMerge w:val="continue"/>
            <w:tcBorders>
              <w:top w:val="nil"/>
            </w:tcBorders>
          </w:tcPr>
          <w:p>
            <w:pPr>
              <w:rPr>
                <w:sz w:val="2"/>
                <w:szCs w:val="2"/>
              </w:rPr>
            </w:pPr>
          </w:p>
        </w:tc>
        <w:tc>
          <w:tcPr>
            <w:tcW w:w="1042" w:type="dxa"/>
            <w:vMerge w:val="continue"/>
            <w:tcBorders>
              <w:top w:val="nil"/>
            </w:tcBorders>
          </w:tcPr>
          <w:p>
            <w:pPr>
              <w:rPr>
                <w:sz w:val="2"/>
                <w:szCs w:val="2"/>
              </w:rPr>
            </w:pPr>
          </w:p>
        </w:tc>
        <w:tc>
          <w:tcPr>
            <w:tcW w:w="923" w:type="dxa"/>
          </w:tcPr>
          <w:p>
            <w:pPr>
              <w:pStyle w:val="17"/>
              <w:spacing w:before="2"/>
              <w:ind w:left="220"/>
              <w:rPr>
                <w:sz w:val="24"/>
              </w:rPr>
            </w:pPr>
            <w:r>
              <w:rPr>
                <w:sz w:val="24"/>
              </w:rPr>
              <w:t>综合</w:t>
            </w:r>
          </w:p>
          <w:p>
            <w:pPr>
              <w:pStyle w:val="17"/>
              <w:spacing w:before="158"/>
              <w:ind w:left="220"/>
              <w:rPr>
                <w:sz w:val="24"/>
              </w:rPr>
            </w:pPr>
            <w:r>
              <w:rPr>
                <w:sz w:val="24"/>
              </w:rPr>
              <w:t>单价</w:t>
            </w:r>
          </w:p>
        </w:tc>
        <w:tc>
          <w:tcPr>
            <w:tcW w:w="1118" w:type="dxa"/>
          </w:tcPr>
          <w:p>
            <w:pPr>
              <w:pStyle w:val="17"/>
              <w:spacing w:before="4"/>
              <w:rPr>
                <w:sz w:val="18"/>
              </w:rPr>
            </w:pPr>
          </w:p>
          <w:p>
            <w:pPr>
              <w:pStyle w:val="17"/>
              <w:ind w:left="317"/>
              <w:rPr>
                <w:sz w:val="24"/>
              </w:rPr>
            </w:pPr>
            <w:r>
              <w:rPr>
                <w:sz w:val="24"/>
              </w:rPr>
              <w:t>合价</w:t>
            </w:r>
          </w:p>
        </w:tc>
        <w:tc>
          <w:tcPr>
            <w:tcW w:w="1182" w:type="dxa"/>
          </w:tcPr>
          <w:p>
            <w:pPr>
              <w:pStyle w:val="17"/>
              <w:spacing w:before="2"/>
              <w:ind w:left="231"/>
              <w:rPr>
                <w:sz w:val="24"/>
              </w:rPr>
            </w:pPr>
            <w:r>
              <w:rPr>
                <w:sz w:val="24"/>
              </w:rPr>
              <w:t>其中：</w:t>
            </w:r>
          </w:p>
          <w:p>
            <w:pPr>
              <w:pStyle w:val="17"/>
              <w:spacing w:before="158"/>
              <w:ind w:left="231"/>
              <w:rPr>
                <w:sz w:val="24"/>
              </w:rPr>
            </w:pPr>
            <w:r>
              <w:rPr>
                <w:sz w:val="24"/>
              </w:rPr>
              <w:t>暂估价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09" w:type="dxa"/>
          </w:tcPr>
          <w:p>
            <w:pPr>
              <w:pStyle w:val="17"/>
              <w:rPr>
                <w:rFonts w:ascii="Times New Roman"/>
                <w:sz w:val="22"/>
              </w:rPr>
            </w:pPr>
          </w:p>
        </w:tc>
        <w:tc>
          <w:tcPr>
            <w:tcW w:w="1551" w:type="dxa"/>
          </w:tcPr>
          <w:p>
            <w:pPr>
              <w:pStyle w:val="17"/>
              <w:rPr>
                <w:rFonts w:ascii="Times New Roman"/>
                <w:sz w:val="22"/>
              </w:rPr>
            </w:pPr>
          </w:p>
        </w:tc>
        <w:tc>
          <w:tcPr>
            <w:tcW w:w="859" w:type="dxa"/>
          </w:tcPr>
          <w:p>
            <w:pPr>
              <w:pStyle w:val="17"/>
              <w:rPr>
                <w:rFonts w:ascii="Times New Roman"/>
                <w:sz w:val="22"/>
              </w:rPr>
            </w:pPr>
          </w:p>
        </w:tc>
        <w:tc>
          <w:tcPr>
            <w:tcW w:w="1810" w:type="dxa"/>
          </w:tcPr>
          <w:p>
            <w:pPr>
              <w:pStyle w:val="17"/>
              <w:rPr>
                <w:rFonts w:ascii="Times New Roman"/>
                <w:sz w:val="22"/>
              </w:rPr>
            </w:pPr>
          </w:p>
        </w:tc>
        <w:tc>
          <w:tcPr>
            <w:tcW w:w="746" w:type="dxa"/>
          </w:tcPr>
          <w:p>
            <w:pPr>
              <w:pStyle w:val="17"/>
              <w:rPr>
                <w:rFonts w:ascii="Times New Roman"/>
                <w:sz w:val="22"/>
              </w:rPr>
            </w:pPr>
          </w:p>
        </w:tc>
        <w:tc>
          <w:tcPr>
            <w:tcW w:w="1042" w:type="dxa"/>
          </w:tcPr>
          <w:p>
            <w:pPr>
              <w:pStyle w:val="17"/>
              <w:rPr>
                <w:rFonts w:ascii="Times New Roman"/>
                <w:sz w:val="22"/>
              </w:rPr>
            </w:pPr>
          </w:p>
        </w:tc>
        <w:tc>
          <w:tcPr>
            <w:tcW w:w="923" w:type="dxa"/>
          </w:tcPr>
          <w:p>
            <w:pPr>
              <w:pStyle w:val="17"/>
              <w:rPr>
                <w:rFonts w:ascii="Times New Roman"/>
                <w:sz w:val="22"/>
              </w:rPr>
            </w:pPr>
          </w:p>
        </w:tc>
        <w:tc>
          <w:tcPr>
            <w:tcW w:w="1118" w:type="dxa"/>
          </w:tcPr>
          <w:p>
            <w:pPr>
              <w:pStyle w:val="17"/>
              <w:rPr>
                <w:rFonts w:ascii="Times New Roman"/>
                <w:sz w:val="22"/>
              </w:rPr>
            </w:pPr>
          </w:p>
        </w:tc>
        <w:tc>
          <w:tcPr>
            <w:tcW w:w="1182"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09" w:type="dxa"/>
          </w:tcPr>
          <w:p>
            <w:pPr>
              <w:pStyle w:val="17"/>
              <w:rPr>
                <w:rFonts w:ascii="Times New Roman"/>
                <w:sz w:val="22"/>
              </w:rPr>
            </w:pPr>
          </w:p>
        </w:tc>
        <w:tc>
          <w:tcPr>
            <w:tcW w:w="1551" w:type="dxa"/>
          </w:tcPr>
          <w:p>
            <w:pPr>
              <w:pStyle w:val="17"/>
              <w:rPr>
                <w:rFonts w:ascii="Times New Roman"/>
                <w:sz w:val="22"/>
              </w:rPr>
            </w:pPr>
          </w:p>
        </w:tc>
        <w:tc>
          <w:tcPr>
            <w:tcW w:w="859" w:type="dxa"/>
          </w:tcPr>
          <w:p>
            <w:pPr>
              <w:pStyle w:val="17"/>
              <w:rPr>
                <w:rFonts w:ascii="Times New Roman"/>
                <w:sz w:val="22"/>
              </w:rPr>
            </w:pPr>
          </w:p>
        </w:tc>
        <w:tc>
          <w:tcPr>
            <w:tcW w:w="1810" w:type="dxa"/>
          </w:tcPr>
          <w:p>
            <w:pPr>
              <w:pStyle w:val="17"/>
              <w:rPr>
                <w:rFonts w:ascii="Times New Roman"/>
                <w:sz w:val="22"/>
              </w:rPr>
            </w:pPr>
          </w:p>
        </w:tc>
        <w:tc>
          <w:tcPr>
            <w:tcW w:w="746" w:type="dxa"/>
          </w:tcPr>
          <w:p>
            <w:pPr>
              <w:pStyle w:val="17"/>
              <w:rPr>
                <w:rFonts w:ascii="Times New Roman"/>
                <w:sz w:val="22"/>
              </w:rPr>
            </w:pPr>
          </w:p>
        </w:tc>
        <w:tc>
          <w:tcPr>
            <w:tcW w:w="1042" w:type="dxa"/>
          </w:tcPr>
          <w:p>
            <w:pPr>
              <w:pStyle w:val="17"/>
              <w:rPr>
                <w:rFonts w:ascii="Times New Roman"/>
                <w:sz w:val="22"/>
              </w:rPr>
            </w:pPr>
          </w:p>
        </w:tc>
        <w:tc>
          <w:tcPr>
            <w:tcW w:w="923" w:type="dxa"/>
          </w:tcPr>
          <w:p>
            <w:pPr>
              <w:pStyle w:val="17"/>
              <w:rPr>
                <w:rFonts w:ascii="Times New Roman"/>
                <w:sz w:val="22"/>
              </w:rPr>
            </w:pPr>
          </w:p>
        </w:tc>
        <w:tc>
          <w:tcPr>
            <w:tcW w:w="1118" w:type="dxa"/>
          </w:tcPr>
          <w:p>
            <w:pPr>
              <w:pStyle w:val="17"/>
              <w:rPr>
                <w:rFonts w:ascii="Times New Roman"/>
                <w:sz w:val="22"/>
              </w:rPr>
            </w:pPr>
          </w:p>
        </w:tc>
        <w:tc>
          <w:tcPr>
            <w:tcW w:w="1182"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09" w:type="dxa"/>
          </w:tcPr>
          <w:p>
            <w:pPr>
              <w:pStyle w:val="17"/>
              <w:rPr>
                <w:rFonts w:ascii="Times New Roman"/>
                <w:sz w:val="22"/>
              </w:rPr>
            </w:pPr>
          </w:p>
        </w:tc>
        <w:tc>
          <w:tcPr>
            <w:tcW w:w="1551" w:type="dxa"/>
          </w:tcPr>
          <w:p>
            <w:pPr>
              <w:pStyle w:val="17"/>
              <w:rPr>
                <w:rFonts w:ascii="Times New Roman"/>
                <w:sz w:val="22"/>
              </w:rPr>
            </w:pPr>
          </w:p>
        </w:tc>
        <w:tc>
          <w:tcPr>
            <w:tcW w:w="859" w:type="dxa"/>
          </w:tcPr>
          <w:p>
            <w:pPr>
              <w:pStyle w:val="17"/>
              <w:rPr>
                <w:rFonts w:ascii="Times New Roman"/>
                <w:sz w:val="22"/>
              </w:rPr>
            </w:pPr>
          </w:p>
        </w:tc>
        <w:tc>
          <w:tcPr>
            <w:tcW w:w="1810" w:type="dxa"/>
          </w:tcPr>
          <w:p>
            <w:pPr>
              <w:pStyle w:val="17"/>
              <w:rPr>
                <w:rFonts w:ascii="Times New Roman"/>
                <w:sz w:val="22"/>
              </w:rPr>
            </w:pPr>
          </w:p>
        </w:tc>
        <w:tc>
          <w:tcPr>
            <w:tcW w:w="746" w:type="dxa"/>
          </w:tcPr>
          <w:p>
            <w:pPr>
              <w:pStyle w:val="17"/>
              <w:rPr>
                <w:rFonts w:ascii="Times New Roman"/>
                <w:sz w:val="22"/>
              </w:rPr>
            </w:pPr>
          </w:p>
        </w:tc>
        <w:tc>
          <w:tcPr>
            <w:tcW w:w="1042" w:type="dxa"/>
          </w:tcPr>
          <w:p>
            <w:pPr>
              <w:pStyle w:val="17"/>
              <w:rPr>
                <w:rFonts w:ascii="Times New Roman"/>
                <w:sz w:val="22"/>
              </w:rPr>
            </w:pPr>
          </w:p>
        </w:tc>
        <w:tc>
          <w:tcPr>
            <w:tcW w:w="923" w:type="dxa"/>
          </w:tcPr>
          <w:p>
            <w:pPr>
              <w:pStyle w:val="17"/>
              <w:rPr>
                <w:rFonts w:ascii="Times New Roman"/>
                <w:sz w:val="22"/>
              </w:rPr>
            </w:pPr>
          </w:p>
        </w:tc>
        <w:tc>
          <w:tcPr>
            <w:tcW w:w="1118" w:type="dxa"/>
          </w:tcPr>
          <w:p>
            <w:pPr>
              <w:pStyle w:val="17"/>
              <w:rPr>
                <w:rFonts w:ascii="Times New Roman"/>
                <w:sz w:val="22"/>
              </w:rPr>
            </w:pPr>
          </w:p>
        </w:tc>
        <w:tc>
          <w:tcPr>
            <w:tcW w:w="1182"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09" w:type="dxa"/>
          </w:tcPr>
          <w:p>
            <w:pPr>
              <w:pStyle w:val="17"/>
              <w:rPr>
                <w:rFonts w:ascii="Times New Roman"/>
                <w:sz w:val="22"/>
              </w:rPr>
            </w:pPr>
          </w:p>
        </w:tc>
        <w:tc>
          <w:tcPr>
            <w:tcW w:w="1551" w:type="dxa"/>
          </w:tcPr>
          <w:p>
            <w:pPr>
              <w:pStyle w:val="17"/>
              <w:rPr>
                <w:rFonts w:ascii="Times New Roman"/>
                <w:sz w:val="22"/>
              </w:rPr>
            </w:pPr>
          </w:p>
        </w:tc>
        <w:tc>
          <w:tcPr>
            <w:tcW w:w="859" w:type="dxa"/>
          </w:tcPr>
          <w:p>
            <w:pPr>
              <w:pStyle w:val="17"/>
              <w:rPr>
                <w:rFonts w:ascii="Times New Roman"/>
                <w:sz w:val="22"/>
              </w:rPr>
            </w:pPr>
          </w:p>
        </w:tc>
        <w:tc>
          <w:tcPr>
            <w:tcW w:w="1810" w:type="dxa"/>
          </w:tcPr>
          <w:p>
            <w:pPr>
              <w:pStyle w:val="17"/>
              <w:rPr>
                <w:rFonts w:ascii="Times New Roman"/>
                <w:sz w:val="22"/>
              </w:rPr>
            </w:pPr>
          </w:p>
        </w:tc>
        <w:tc>
          <w:tcPr>
            <w:tcW w:w="746" w:type="dxa"/>
          </w:tcPr>
          <w:p>
            <w:pPr>
              <w:pStyle w:val="17"/>
              <w:rPr>
                <w:rFonts w:ascii="Times New Roman"/>
                <w:sz w:val="22"/>
              </w:rPr>
            </w:pPr>
          </w:p>
        </w:tc>
        <w:tc>
          <w:tcPr>
            <w:tcW w:w="1042" w:type="dxa"/>
          </w:tcPr>
          <w:p>
            <w:pPr>
              <w:pStyle w:val="17"/>
              <w:rPr>
                <w:rFonts w:ascii="Times New Roman"/>
                <w:sz w:val="22"/>
              </w:rPr>
            </w:pPr>
          </w:p>
        </w:tc>
        <w:tc>
          <w:tcPr>
            <w:tcW w:w="923" w:type="dxa"/>
          </w:tcPr>
          <w:p>
            <w:pPr>
              <w:pStyle w:val="17"/>
              <w:rPr>
                <w:rFonts w:ascii="Times New Roman"/>
                <w:sz w:val="22"/>
              </w:rPr>
            </w:pPr>
          </w:p>
        </w:tc>
        <w:tc>
          <w:tcPr>
            <w:tcW w:w="1118" w:type="dxa"/>
          </w:tcPr>
          <w:p>
            <w:pPr>
              <w:pStyle w:val="17"/>
              <w:rPr>
                <w:rFonts w:ascii="Times New Roman"/>
                <w:sz w:val="22"/>
              </w:rPr>
            </w:pPr>
          </w:p>
        </w:tc>
        <w:tc>
          <w:tcPr>
            <w:tcW w:w="1182"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09" w:type="dxa"/>
          </w:tcPr>
          <w:p>
            <w:pPr>
              <w:pStyle w:val="17"/>
              <w:rPr>
                <w:rFonts w:ascii="Times New Roman"/>
                <w:sz w:val="22"/>
              </w:rPr>
            </w:pPr>
          </w:p>
        </w:tc>
        <w:tc>
          <w:tcPr>
            <w:tcW w:w="1551" w:type="dxa"/>
          </w:tcPr>
          <w:p>
            <w:pPr>
              <w:pStyle w:val="17"/>
              <w:rPr>
                <w:rFonts w:ascii="Times New Roman"/>
                <w:sz w:val="22"/>
              </w:rPr>
            </w:pPr>
          </w:p>
        </w:tc>
        <w:tc>
          <w:tcPr>
            <w:tcW w:w="859" w:type="dxa"/>
          </w:tcPr>
          <w:p>
            <w:pPr>
              <w:pStyle w:val="17"/>
              <w:rPr>
                <w:rFonts w:ascii="Times New Roman"/>
                <w:sz w:val="22"/>
              </w:rPr>
            </w:pPr>
          </w:p>
        </w:tc>
        <w:tc>
          <w:tcPr>
            <w:tcW w:w="1810" w:type="dxa"/>
          </w:tcPr>
          <w:p>
            <w:pPr>
              <w:pStyle w:val="17"/>
              <w:rPr>
                <w:rFonts w:ascii="Times New Roman"/>
                <w:sz w:val="22"/>
              </w:rPr>
            </w:pPr>
          </w:p>
        </w:tc>
        <w:tc>
          <w:tcPr>
            <w:tcW w:w="746" w:type="dxa"/>
          </w:tcPr>
          <w:p>
            <w:pPr>
              <w:pStyle w:val="17"/>
              <w:rPr>
                <w:rFonts w:ascii="Times New Roman"/>
                <w:sz w:val="22"/>
              </w:rPr>
            </w:pPr>
          </w:p>
        </w:tc>
        <w:tc>
          <w:tcPr>
            <w:tcW w:w="1042" w:type="dxa"/>
          </w:tcPr>
          <w:p>
            <w:pPr>
              <w:pStyle w:val="17"/>
              <w:rPr>
                <w:rFonts w:ascii="Times New Roman"/>
                <w:sz w:val="22"/>
              </w:rPr>
            </w:pPr>
          </w:p>
        </w:tc>
        <w:tc>
          <w:tcPr>
            <w:tcW w:w="923" w:type="dxa"/>
          </w:tcPr>
          <w:p>
            <w:pPr>
              <w:pStyle w:val="17"/>
              <w:rPr>
                <w:rFonts w:ascii="Times New Roman"/>
                <w:sz w:val="22"/>
              </w:rPr>
            </w:pPr>
          </w:p>
        </w:tc>
        <w:tc>
          <w:tcPr>
            <w:tcW w:w="1118" w:type="dxa"/>
          </w:tcPr>
          <w:p>
            <w:pPr>
              <w:pStyle w:val="17"/>
              <w:rPr>
                <w:rFonts w:ascii="Times New Roman"/>
                <w:sz w:val="22"/>
              </w:rPr>
            </w:pPr>
          </w:p>
        </w:tc>
        <w:tc>
          <w:tcPr>
            <w:tcW w:w="1182"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09" w:type="dxa"/>
          </w:tcPr>
          <w:p>
            <w:pPr>
              <w:pStyle w:val="17"/>
              <w:rPr>
                <w:rFonts w:ascii="Times New Roman"/>
                <w:sz w:val="22"/>
              </w:rPr>
            </w:pPr>
          </w:p>
        </w:tc>
        <w:tc>
          <w:tcPr>
            <w:tcW w:w="1551" w:type="dxa"/>
          </w:tcPr>
          <w:p>
            <w:pPr>
              <w:pStyle w:val="17"/>
              <w:rPr>
                <w:rFonts w:ascii="Times New Roman"/>
                <w:sz w:val="22"/>
              </w:rPr>
            </w:pPr>
          </w:p>
        </w:tc>
        <w:tc>
          <w:tcPr>
            <w:tcW w:w="859" w:type="dxa"/>
          </w:tcPr>
          <w:p>
            <w:pPr>
              <w:pStyle w:val="17"/>
              <w:rPr>
                <w:rFonts w:ascii="Times New Roman"/>
                <w:sz w:val="22"/>
              </w:rPr>
            </w:pPr>
          </w:p>
        </w:tc>
        <w:tc>
          <w:tcPr>
            <w:tcW w:w="1810" w:type="dxa"/>
          </w:tcPr>
          <w:p>
            <w:pPr>
              <w:pStyle w:val="17"/>
              <w:rPr>
                <w:rFonts w:ascii="Times New Roman"/>
                <w:sz w:val="22"/>
              </w:rPr>
            </w:pPr>
          </w:p>
        </w:tc>
        <w:tc>
          <w:tcPr>
            <w:tcW w:w="746" w:type="dxa"/>
          </w:tcPr>
          <w:p>
            <w:pPr>
              <w:pStyle w:val="17"/>
              <w:rPr>
                <w:rFonts w:ascii="Times New Roman"/>
                <w:sz w:val="22"/>
              </w:rPr>
            </w:pPr>
          </w:p>
        </w:tc>
        <w:tc>
          <w:tcPr>
            <w:tcW w:w="1042" w:type="dxa"/>
          </w:tcPr>
          <w:p>
            <w:pPr>
              <w:pStyle w:val="17"/>
              <w:rPr>
                <w:rFonts w:ascii="Times New Roman"/>
                <w:sz w:val="22"/>
              </w:rPr>
            </w:pPr>
          </w:p>
        </w:tc>
        <w:tc>
          <w:tcPr>
            <w:tcW w:w="923" w:type="dxa"/>
          </w:tcPr>
          <w:p>
            <w:pPr>
              <w:pStyle w:val="17"/>
              <w:rPr>
                <w:rFonts w:ascii="Times New Roman"/>
                <w:sz w:val="22"/>
              </w:rPr>
            </w:pPr>
          </w:p>
        </w:tc>
        <w:tc>
          <w:tcPr>
            <w:tcW w:w="1118" w:type="dxa"/>
          </w:tcPr>
          <w:p>
            <w:pPr>
              <w:pStyle w:val="17"/>
              <w:rPr>
                <w:rFonts w:ascii="Times New Roman"/>
                <w:sz w:val="22"/>
              </w:rPr>
            </w:pPr>
          </w:p>
        </w:tc>
        <w:tc>
          <w:tcPr>
            <w:tcW w:w="1182"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09" w:type="dxa"/>
          </w:tcPr>
          <w:p>
            <w:pPr>
              <w:pStyle w:val="17"/>
              <w:rPr>
                <w:rFonts w:ascii="Times New Roman"/>
                <w:sz w:val="22"/>
              </w:rPr>
            </w:pPr>
          </w:p>
        </w:tc>
        <w:tc>
          <w:tcPr>
            <w:tcW w:w="1551" w:type="dxa"/>
          </w:tcPr>
          <w:p>
            <w:pPr>
              <w:pStyle w:val="17"/>
              <w:rPr>
                <w:rFonts w:ascii="Times New Roman"/>
                <w:sz w:val="22"/>
              </w:rPr>
            </w:pPr>
          </w:p>
        </w:tc>
        <w:tc>
          <w:tcPr>
            <w:tcW w:w="859" w:type="dxa"/>
          </w:tcPr>
          <w:p>
            <w:pPr>
              <w:pStyle w:val="17"/>
              <w:rPr>
                <w:rFonts w:ascii="Times New Roman"/>
                <w:sz w:val="22"/>
              </w:rPr>
            </w:pPr>
          </w:p>
        </w:tc>
        <w:tc>
          <w:tcPr>
            <w:tcW w:w="1810" w:type="dxa"/>
          </w:tcPr>
          <w:p>
            <w:pPr>
              <w:pStyle w:val="17"/>
              <w:rPr>
                <w:rFonts w:ascii="Times New Roman"/>
                <w:sz w:val="22"/>
              </w:rPr>
            </w:pPr>
          </w:p>
        </w:tc>
        <w:tc>
          <w:tcPr>
            <w:tcW w:w="746" w:type="dxa"/>
          </w:tcPr>
          <w:p>
            <w:pPr>
              <w:pStyle w:val="17"/>
              <w:rPr>
                <w:rFonts w:ascii="Times New Roman"/>
                <w:sz w:val="22"/>
              </w:rPr>
            </w:pPr>
          </w:p>
        </w:tc>
        <w:tc>
          <w:tcPr>
            <w:tcW w:w="1042" w:type="dxa"/>
          </w:tcPr>
          <w:p>
            <w:pPr>
              <w:pStyle w:val="17"/>
              <w:rPr>
                <w:rFonts w:ascii="Times New Roman"/>
                <w:sz w:val="22"/>
              </w:rPr>
            </w:pPr>
          </w:p>
        </w:tc>
        <w:tc>
          <w:tcPr>
            <w:tcW w:w="923" w:type="dxa"/>
          </w:tcPr>
          <w:p>
            <w:pPr>
              <w:pStyle w:val="17"/>
              <w:rPr>
                <w:rFonts w:ascii="Times New Roman"/>
                <w:sz w:val="22"/>
              </w:rPr>
            </w:pPr>
          </w:p>
        </w:tc>
        <w:tc>
          <w:tcPr>
            <w:tcW w:w="1118" w:type="dxa"/>
          </w:tcPr>
          <w:p>
            <w:pPr>
              <w:pStyle w:val="17"/>
              <w:rPr>
                <w:rFonts w:ascii="Times New Roman"/>
                <w:sz w:val="22"/>
              </w:rPr>
            </w:pPr>
          </w:p>
        </w:tc>
        <w:tc>
          <w:tcPr>
            <w:tcW w:w="1182"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09" w:type="dxa"/>
          </w:tcPr>
          <w:p>
            <w:pPr>
              <w:pStyle w:val="17"/>
              <w:rPr>
                <w:rFonts w:ascii="Times New Roman"/>
                <w:sz w:val="22"/>
              </w:rPr>
            </w:pPr>
          </w:p>
        </w:tc>
        <w:tc>
          <w:tcPr>
            <w:tcW w:w="1551" w:type="dxa"/>
          </w:tcPr>
          <w:p>
            <w:pPr>
              <w:pStyle w:val="17"/>
              <w:rPr>
                <w:rFonts w:ascii="Times New Roman"/>
                <w:sz w:val="22"/>
              </w:rPr>
            </w:pPr>
          </w:p>
        </w:tc>
        <w:tc>
          <w:tcPr>
            <w:tcW w:w="859" w:type="dxa"/>
          </w:tcPr>
          <w:p>
            <w:pPr>
              <w:pStyle w:val="17"/>
              <w:rPr>
                <w:rFonts w:ascii="Times New Roman"/>
                <w:sz w:val="22"/>
              </w:rPr>
            </w:pPr>
          </w:p>
        </w:tc>
        <w:tc>
          <w:tcPr>
            <w:tcW w:w="1810" w:type="dxa"/>
          </w:tcPr>
          <w:p>
            <w:pPr>
              <w:pStyle w:val="17"/>
              <w:rPr>
                <w:rFonts w:ascii="Times New Roman"/>
                <w:sz w:val="22"/>
              </w:rPr>
            </w:pPr>
          </w:p>
        </w:tc>
        <w:tc>
          <w:tcPr>
            <w:tcW w:w="746" w:type="dxa"/>
          </w:tcPr>
          <w:p>
            <w:pPr>
              <w:pStyle w:val="17"/>
              <w:rPr>
                <w:rFonts w:ascii="Times New Roman"/>
                <w:sz w:val="22"/>
              </w:rPr>
            </w:pPr>
          </w:p>
        </w:tc>
        <w:tc>
          <w:tcPr>
            <w:tcW w:w="1042" w:type="dxa"/>
          </w:tcPr>
          <w:p>
            <w:pPr>
              <w:pStyle w:val="17"/>
              <w:rPr>
                <w:rFonts w:ascii="Times New Roman"/>
                <w:sz w:val="22"/>
              </w:rPr>
            </w:pPr>
          </w:p>
        </w:tc>
        <w:tc>
          <w:tcPr>
            <w:tcW w:w="923" w:type="dxa"/>
          </w:tcPr>
          <w:p>
            <w:pPr>
              <w:pStyle w:val="17"/>
              <w:rPr>
                <w:rFonts w:ascii="Times New Roman"/>
                <w:sz w:val="22"/>
              </w:rPr>
            </w:pPr>
          </w:p>
        </w:tc>
        <w:tc>
          <w:tcPr>
            <w:tcW w:w="1118" w:type="dxa"/>
          </w:tcPr>
          <w:p>
            <w:pPr>
              <w:pStyle w:val="17"/>
              <w:rPr>
                <w:rFonts w:ascii="Times New Roman"/>
                <w:sz w:val="22"/>
              </w:rPr>
            </w:pPr>
          </w:p>
        </w:tc>
        <w:tc>
          <w:tcPr>
            <w:tcW w:w="1182"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09" w:type="dxa"/>
          </w:tcPr>
          <w:p>
            <w:pPr>
              <w:pStyle w:val="17"/>
              <w:rPr>
                <w:rFonts w:ascii="Times New Roman"/>
                <w:sz w:val="22"/>
              </w:rPr>
            </w:pPr>
          </w:p>
        </w:tc>
        <w:tc>
          <w:tcPr>
            <w:tcW w:w="1551" w:type="dxa"/>
          </w:tcPr>
          <w:p>
            <w:pPr>
              <w:pStyle w:val="17"/>
              <w:rPr>
                <w:rFonts w:ascii="Times New Roman"/>
                <w:sz w:val="22"/>
              </w:rPr>
            </w:pPr>
          </w:p>
        </w:tc>
        <w:tc>
          <w:tcPr>
            <w:tcW w:w="859" w:type="dxa"/>
          </w:tcPr>
          <w:p>
            <w:pPr>
              <w:pStyle w:val="17"/>
              <w:rPr>
                <w:rFonts w:ascii="Times New Roman"/>
                <w:sz w:val="22"/>
              </w:rPr>
            </w:pPr>
          </w:p>
        </w:tc>
        <w:tc>
          <w:tcPr>
            <w:tcW w:w="1810" w:type="dxa"/>
          </w:tcPr>
          <w:p>
            <w:pPr>
              <w:pStyle w:val="17"/>
              <w:rPr>
                <w:rFonts w:ascii="Times New Roman"/>
                <w:sz w:val="22"/>
              </w:rPr>
            </w:pPr>
          </w:p>
        </w:tc>
        <w:tc>
          <w:tcPr>
            <w:tcW w:w="746" w:type="dxa"/>
          </w:tcPr>
          <w:p>
            <w:pPr>
              <w:pStyle w:val="17"/>
              <w:rPr>
                <w:rFonts w:ascii="Times New Roman"/>
                <w:sz w:val="22"/>
              </w:rPr>
            </w:pPr>
          </w:p>
        </w:tc>
        <w:tc>
          <w:tcPr>
            <w:tcW w:w="1042" w:type="dxa"/>
          </w:tcPr>
          <w:p>
            <w:pPr>
              <w:pStyle w:val="17"/>
              <w:rPr>
                <w:rFonts w:ascii="Times New Roman"/>
                <w:sz w:val="22"/>
              </w:rPr>
            </w:pPr>
          </w:p>
        </w:tc>
        <w:tc>
          <w:tcPr>
            <w:tcW w:w="923" w:type="dxa"/>
          </w:tcPr>
          <w:p>
            <w:pPr>
              <w:pStyle w:val="17"/>
              <w:rPr>
                <w:rFonts w:ascii="Times New Roman"/>
                <w:sz w:val="22"/>
              </w:rPr>
            </w:pPr>
          </w:p>
        </w:tc>
        <w:tc>
          <w:tcPr>
            <w:tcW w:w="1118" w:type="dxa"/>
          </w:tcPr>
          <w:p>
            <w:pPr>
              <w:pStyle w:val="17"/>
              <w:rPr>
                <w:rFonts w:ascii="Times New Roman"/>
                <w:sz w:val="22"/>
              </w:rPr>
            </w:pPr>
          </w:p>
        </w:tc>
        <w:tc>
          <w:tcPr>
            <w:tcW w:w="1182"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09" w:type="dxa"/>
          </w:tcPr>
          <w:p>
            <w:pPr>
              <w:pStyle w:val="17"/>
              <w:rPr>
                <w:rFonts w:ascii="Times New Roman"/>
                <w:sz w:val="22"/>
              </w:rPr>
            </w:pPr>
          </w:p>
        </w:tc>
        <w:tc>
          <w:tcPr>
            <w:tcW w:w="1551" w:type="dxa"/>
          </w:tcPr>
          <w:p>
            <w:pPr>
              <w:pStyle w:val="17"/>
              <w:rPr>
                <w:rFonts w:ascii="Times New Roman"/>
                <w:sz w:val="22"/>
              </w:rPr>
            </w:pPr>
          </w:p>
        </w:tc>
        <w:tc>
          <w:tcPr>
            <w:tcW w:w="859" w:type="dxa"/>
          </w:tcPr>
          <w:p>
            <w:pPr>
              <w:pStyle w:val="17"/>
              <w:rPr>
                <w:rFonts w:ascii="Times New Roman"/>
                <w:sz w:val="22"/>
              </w:rPr>
            </w:pPr>
          </w:p>
        </w:tc>
        <w:tc>
          <w:tcPr>
            <w:tcW w:w="1810" w:type="dxa"/>
          </w:tcPr>
          <w:p>
            <w:pPr>
              <w:pStyle w:val="17"/>
              <w:rPr>
                <w:rFonts w:ascii="Times New Roman"/>
                <w:sz w:val="22"/>
              </w:rPr>
            </w:pPr>
          </w:p>
        </w:tc>
        <w:tc>
          <w:tcPr>
            <w:tcW w:w="746" w:type="dxa"/>
          </w:tcPr>
          <w:p>
            <w:pPr>
              <w:pStyle w:val="17"/>
              <w:rPr>
                <w:rFonts w:ascii="Times New Roman"/>
                <w:sz w:val="22"/>
              </w:rPr>
            </w:pPr>
          </w:p>
        </w:tc>
        <w:tc>
          <w:tcPr>
            <w:tcW w:w="1042" w:type="dxa"/>
          </w:tcPr>
          <w:p>
            <w:pPr>
              <w:pStyle w:val="17"/>
              <w:rPr>
                <w:rFonts w:ascii="Times New Roman"/>
                <w:sz w:val="22"/>
              </w:rPr>
            </w:pPr>
          </w:p>
        </w:tc>
        <w:tc>
          <w:tcPr>
            <w:tcW w:w="923" w:type="dxa"/>
          </w:tcPr>
          <w:p>
            <w:pPr>
              <w:pStyle w:val="17"/>
              <w:rPr>
                <w:rFonts w:ascii="Times New Roman"/>
                <w:sz w:val="22"/>
              </w:rPr>
            </w:pPr>
          </w:p>
        </w:tc>
        <w:tc>
          <w:tcPr>
            <w:tcW w:w="1118" w:type="dxa"/>
          </w:tcPr>
          <w:p>
            <w:pPr>
              <w:pStyle w:val="17"/>
              <w:rPr>
                <w:rFonts w:ascii="Times New Roman"/>
                <w:sz w:val="22"/>
              </w:rPr>
            </w:pPr>
          </w:p>
        </w:tc>
        <w:tc>
          <w:tcPr>
            <w:tcW w:w="1182"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09" w:type="dxa"/>
          </w:tcPr>
          <w:p>
            <w:pPr>
              <w:pStyle w:val="17"/>
              <w:rPr>
                <w:rFonts w:ascii="Times New Roman"/>
                <w:sz w:val="22"/>
              </w:rPr>
            </w:pPr>
          </w:p>
        </w:tc>
        <w:tc>
          <w:tcPr>
            <w:tcW w:w="1551" w:type="dxa"/>
          </w:tcPr>
          <w:p>
            <w:pPr>
              <w:pStyle w:val="17"/>
              <w:rPr>
                <w:rFonts w:ascii="Times New Roman"/>
                <w:sz w:val="22"/>
              </w:rPr>
            </w:pPr>
          </w:p>
        </w:tc>
        <w:tc>
          <w:tcPr>
            <w:tcW w:w="859" w:type="dxa"/>
          </w:tcPr>
          <w:p>
            <w:pPr>
              <w:pStyle w:val="17"/>
              <w:rPr>
                <w:rFonts w:ascii="Times New Roman"/>
                <w:sz w:val="22"/>
              </w:rPr>
            </w:pPr>
          </w:p>
        </w:tc>
        <w:tc>
          <w:tcPr>
            <w:tcW w:w="1810" w:type="dxa"/>
          </w:tcPr>
          <w:p>
            <w:pPr>
              <w:pStyle w:val="17"/>
              <w:rPr>
                <w:rFonts w:ascii="Times New Roman"/>
                <w:sz w:val="22"/>
              </w:rPr>
            </w:pPr>
          </w:p>
        </w:tc>
        <w:tc>
          <w:tcPr>
            <w:tcW w:w="746" w:type="dxa"/>
          </w:tcPr>
          <w:p>
            <w:pPr>
              <w:pStyle w:val="17"/>
              <w:rPr>
                <w:rFonts w:ascii="Times New Roman"/>
                <w:sz w:val="22"/>
              </w:rPr>
            </w:pPr>
          </w:p>
        </w:tc>
        <w:tc>
          <w:tcPr>
            <w:tcW w:w="1042" w:type="dxa"/>
          </w:tcPr>
          <w:p>
            <w:pPr>
              <w:pStyle w:val="17"/>
              <w:rPr>
                <w:rFonts w:ascii="Times New Roman"/>
                <w:sz w:val="22"/>
              </w:rPr>
            </w:pPr>
          </w:p>
        </w:tc>
        <w:tc>
          <w:tcPr>
            <w:tcW w:w="923" w:type="dxa"/>
          </w:tcPr>
          <w:p>
            <w:pPr>
              <w:pStyle w:val="17"/>
              <w:rPr>
                <w:rFonts w:ascii="Times New Roman"/>
                <w:sz w:val="22"/>
              </w:rPr>
            </w:pPr>
          </w:p>
        </w:tc>
        <w:tc>
          <w:tcPr>
            <w:tcW w:w="1118" w:type="dxa"/>
          </w:tcPr>
          <w:p>
            <w:pPr>
              <w:pStyle w:val="17"/>
              <w:rPr>
                <w:rFonts w:ascii="Times New Roman"/>
                <w:sz w:val="22"/>
              </w:rPr>
            </w:pPr>
          </w:p>
        </w:tc>
        <w:tc>
          <w:tcPr>
            <w:tcW w:w="1182"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09" w:type="dxa"/>
          </w:tcPr>
          <w:p>
            <w:pPr>
              <w:pStyle w:val="17"/>
              <w:rPr>
                <w:rFonts w:ascii="Times New Roman"/>
                <w:sz w:val="22"/>
              </w:rPr>
            </w:pPr>
          </w:p>
        </w:tc>
        <w:tc>
          <w:tcPr>
            <w:tcW w:w="1551" w:type="dxa"/>
          </w:tcPr>
          <w:p>
            <w:pPr>
              <w:pStyle w:val="17"/>
              <w:rPr>
                <w:rFonts w:ascii="Times New Roman"/>
                <w:sz w:val="22"/>
              </w:rPr>
            </w:pPr>
          </w:p>
        </w:tc>
        <w:tc>
          <w:tcPr>
            <w:tcW w:w="859" w:type="dxa"/>
          </w:tcPr>
          <w:p>
            <w:pPr>
              <w:pStyle w:val="17"/>
              <w:rPr>
                <w:rFonts w:ascii="Times New Roman"/>
                <w:sz w:val="22"/>
              </w:rPr>
            </w:pPr>
          </w:p>
        </w:tc>
        <w:tc>
          <w:tcPr>
            <w:tcW w:w="1810" w:type="dxa"/>
          </w:tcPr>
          <w:p>
            <w:pPr>
              <w:pStyle w:val="17"/>
              <w:rPr>
                <w:rFonts w:ascii="Times New Roman"/>
                <w:sz w:val="22"/>
              </w:rPr>
            </w:pPr>
          </w:p>
        </w:tc>
        <w:tc>
          <w:tcPr>
            <w:tcW w:w="746" w:type="dxa"/>
          </w:tcPr>
          <w:p>
            <w:pPr>
              <w:pStyle w:val="17"/>
              <w:rPr>
                <w:rFonts w:ascii="Times New Roman"/>
                <w:sz w:val="22"/>
              </w:rPr>
            </w:pPr>
          </w:p>
        </w:tc>
        <w:tc>
          <w:tcPr>
            <w:tcW w:w="1042" w:type="dxa"/>
          </w:tcPr>
          <w:p>
            <w:pPr>
              <w:pStyle w:val="17"/>
              <w:rPr>
                <w:rFonts w:ascii="Times New Roman"/>
                <w:sz w:val="22"/>
              </w:rPr>
            </w:pPr>
          </w:p>
        </w:tc>
        <w:tc>
          <w:tcPr>
            <w:tcW w:w="923" w:type="dxa"/>
          </w:tcPr>
          <w:p>
            <w:pPr>
              <w:pStyle w:val="17"/>
              <w:rPr>
                <w:rFonts w:ascii="Times New Roman"/>
                <w:sz w:val="22"/>
              </w:rPr>
            </w:pPr>
          </w:p>
        </w:tc>
        <w:tc>
          <w:tcPr>
            <w:tcW w:w="1118" w:type="dxa"/>
          </w:tcPr>
          <w:p>
            <w:pPr>
              <w:pStyle w:val="17"/>
              <w:rPr>
                <w:rFonts w:ascii="Times New Roman"/>
                <w:sz w:val="22"/>
              </w:rPr>
            </w:pPr>
          </w:p>
        </w:tc>
        <w:tc>
          <w:tcPr>
            <w:tcW w:w="1182"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09" w:type="dxa"/>
          </w:tcPr>
          <w:p>
            <w:pPr>
              <w:pStyle w:val="17"/>
              <w:rPr>
                <w:rFonts w:ascii="Times New Roman"/>
                <w:sz w:val="22"/>
              </w:rPr>
            </w:pPr>
          </w:p>
        </w:tc>
        <w:tc>
          <w:tcPr>
            <w:tcW w:w="1551" w:type="dxa"/>
          </w:tcPr>
          <w:p>
            <w:pPr>
              <w:pStyle w:val="17"/>
              <w:rPr>
                <w:rFonts w:ascii="Times New Roman"/>
                <w:sz w:val="22"/>
              </w:rPr>
            </w:pPr>
          </w:p>
        </w:tc>
        <w:tc>
          <w:tcPr>
            <w:tcW w:w="859" w:type="dxa"/>
          </w:tcPr>
          <w:p>
            <w:pPr>
              <w:pStyle w:val="17"/>
              <w:rPr>
                <w:rFonts w:ascii="Times New Roman"/>
                <w:sz w:val="22"/>
              </w:rPr>
            </w:pPr>
          </w:p>
        </w:tc>
        <w:tc>
          <w:tcPr>
            <w:tcW w:w="1810" w:type="dxa"/>
          </w:tcPr>
          <w:p>
            <w:pPr>
              <w:pStyle w:val="17"/>
              <w:rPr>
                <w:rFonts w:ascii="Times New Roman"/>
                <w:sz w:val="22"/>
              </w:rPr>
            </w:pPr>
          </w:p>
        </w:tc>
        <w:tc>
          <w:tcPr>
            <w:tcW w:w="746" w:type="dxa"/>
          </w:tcPr>
          <w:p>
            <w:pPr>
              <w:pStyle w:val="17"/>
              <w:rPr>
                <w:rFonts w:ascii="Times New Roman"/>
                <w:sz w:val="22"/>
              </w:rPr>
            </w:pPr>
          </w:p>
        </w:tc>
        <w:tc>
          <w:tcPr>
            <w:tcW w:w="1042" w:type="dxa"/>
          </w:tcPr>
          <w:p>
            <w:pPr>
              <w:pStyle w:val="17"/>
              <w:rPr>
                <w:rFonts w:ascii="Times New Roman"/>
                <w:sz w:val="22"/>
              </w:rPr>
            </w:pPr>
          </w:p>
        </w:tc>
        <w:tc>
          <w:tcPr>
            <w:tcW w:w="923" w:type="dxa"/>
          </w:tcPr>
          <w:p>
            <w:pPr>
              <w:pStyle w:val="17"/>
              <w:rPr>
                <w:rFonts w:ascii="Times New Roman"/>
                <w:sz w:val="22"/>
              </w:rPr>
            </w:pPr>
          </w:p>
        </w:tc>
        <w:tc>
          <w:tcPr>
            <w:tcW w:w="1118" w:type="dxa"/>
          </w:tcPr>
          <w:p>
            <w:pPr>
              <w:pStyle w:val="17"/>
              <w:rPr>
                <w:rFonts w:ascii="Times New Roman"/>
                <w:sz w:val="22"/>
              </w:rPr>
            </w:pPr>
          </w:p>
        </w:tc>
        <w:tc>
          <w:tcPr>
            <w:tcW w:w="1182"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09" w:type="dxa"/>
          </w:tcPr>
          <w:p>
            <w:pPr>
              <w:pStyle w:val="17"/>
              <w:rPr>
                <w:rFonts w:ascii="Times New Roman"/>
                <w:sz w:val="22"/>
              </w:rPr>
            </w:pPr>
          </w:p>
        </w:tc>
        <w:tc>
          <w:tcPr>
            <w:tcW w:w="1551" w:type="dxa"/>
          </w:tcPr>
          <w:p>
            <w:pPr>
              <w:pStyle w:val="17"/>
              <w:rPr>
                <w:rFonts w:ascii="Times New Roman"/>
                <w:sz w:val="22"/>
              </w:rPr>
            </w:pPr>
          </w:p>
        </w:tc>
        <w:tc>
          <w:tcPr>
            <w:tcW w:w="859" w:type="dxa"/>
          </w:tcPr>
          <w:p>
            <w:pPr>
              <w:pStyle w:val="17"/>
              <w:rPr>
                <w:rFonts w:ascii="Times New Roman"/>
                <w:sz w:val="22"/>
              </w:rPr>
            </w:pPr>
          </w:p>
        </w:tc>
        <w:tc>
          <w:tcPr>
            <w:tcW w:w="1810" w:type="dxa"/>
          </w:tcPr>
          <w:p>
            <w:pPr>
              <w:pStyle w:val="17"/>
              <w:rPr>
                <w:rFonts w:ascii="Times New Roman"/>
                <w:sz w:val="22"/>
              </w:rPr>
            </w:pPr>
          </w:p>
        </w:tc>
        <w:tc>
          <w:tcPr>
            <w:tcW w:w="746" w:type="dxa"/>
          </w:tcPr>
          <w:p>
            <w:pPr>
              <w:pStyle w:val="17"/>
              <w:rPr>
                <w:rFonts w:ascii="Times New Roman"/>
                <w:sz w:val="22"/>
              </w:rPr>
            </w:pPr>
          </w:p>
        </w:tc>
        <w:tc>
          <w:tcPr>
            <w:tcW w:w="1042" w:type="dxa"/>
          </w:tcPr>
          <w:p>
            <w:pPr>
              <w:pStyle w:val="17"/>
              <w:rPr>
                <w:rFonts w:ascii="Times New Roman"/>
                <w:sz w:val="22"/>
              </w:rPr>
            </w:pPr>
          </w:p>
        </w:tc>
        <w:tc>
          <w:tcPr>
            <w:tcW w:w="923" w:type="dxa"/>
          </w:tcPr>
          <w:p>
            <w:pPr>
              <w:pStyle w:val="17"/>
              <w:rPr>
                <w:rFonts w:ascii="Times New Roman"/>
                <w:sz w:val="22"/>
              </w:rPr>
            </w:pPr>
          </w:p>
        </w:tc>
        <w:tc>
          <w:tcPr>
            <w:tcW w:w="1118" w:type="dxa"/>
          </w:tcPr>
          <w:p>
            <w:pPr>
              <w:pStyle w:val="17"/>
              <w:rPr>
                <w:rFonts w:ascii="Times New Roman"/>
                <w:sz w:val="22"/>
              </w:rPr>
            </w:pPr>
          </w:p>
        </w:tc>
        <w:tc>
          <w:tcPr>
            <w:tcW w:w="1182"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09" w:type="dxa"/>
          </w:tcPr>
          <w:p>
            <w:pPr>
              <w:pStyle w:val="17"/>
              <w:rPr>
                <w:rFonts w:ascii="Times New Roman"/>
                <w:sz w:val="22"/>
              </w:rPr>
            </w:pPr>
          </w:p>
        </w:tc>
        <w:tc>
          <w:tcPr>
            <w:tcW w:w="1551" w:type="dxa"/>
          </w:tcPr>
          <w:p>
            <w:pPr>
              <w:pStyle w:val="17"/>
              <w:rPr>
                <w:rFonts w:ascii="Times New Roman"/>
                <w:sz w:val="22"/>
              </w:rPr>
            </w:pPr>
          </w:p>
        </w:tc>
        <w:tc>
          <w:tcPr>
            <w:tcW w:w="859" w:type="dxa"/>
          </w:tcPr>
          <w:p>
            <w:pPr>
              <w:pStyle w:val="17"/>
              <w:rPr>
                <w:rFonts w:ascii="Times New Roman"/>
                <w:sz w:val="22"/>
              </w:rPr>
            </w:pPr>
          </w:p>
        </w:tc>
        <w:tc>
          <w:tcPr>
            <w:tcW w:w="1810" w:type="dxa"/>
          </w:tcPr>
          <w:p>
            <w:pPr>
              <w:pStyle w:val="17"/>
              <w:rPr>
                <w:rFonts w:ascii="Times New Roman"/>
                <w:sz w:val="22"/>
              </w:rPr>
            </w:pPr>
          </w:p>
        </w:tc>
        <w:tc>
          <w:tcPr>
            <w:tcW w:w="746" w:type="dxa"/>
          </w:tcPr>
          <w:p>
            <w:pPr>
              <w:pStyle w:val="17"/>
              <w:rPr>
                <w:rFonts w:ascii="Times New Roman"/>
                <w:sz w:val="22"/>
              </w:rPr>
            </w:pPr>
          </w:p>
        </w:tc>
        <w:tc>
          <w:tcPr>
            <w:tcW w:w="1042" w:type="dxa"/>
          </w:tcPr>
          <w:p>
            <w:pPr>
              <w:pStyle w:val="17"/>
              <w:rPr>
                <w:rFonts w:ascii="Times New Roman"/>
                <w:sz w:val="22"/>
              </w:rPr>
            </w:pPr>
          </w:p>
        </w:tc>
        <w:tc>
          <w:tcPr>
            <w:tcW w:w="923" w:type="dxa"/>
          </w:tcPr>
          <w:p>
            <w:pPr>
              <w:pStyle w:val="17"/>
              <w:rPr>
                <w:rFonts w:ascii="Times New Roman"/>
                <w:sz w:val="22"/>
              </w:rPr>
            </w:pPr>
          </w:p>
        </w:tc>
        <w:tc>
          <w:tcPr>
            <w:tcW w:w="1118" w:type="dxa"/>
          </w:tcPr>
          <w:p>
            <w:pPr>
              <w:pStyle w:val="17"/>
              <w:rPr>
                <w:rFonts w:ascii="Times New Roman"/>
                <w:sz w:val="22"/>
              </w:rPr>
            </w:pPr>
          </w:p>
        </w:tc>
        <w:tc>
          <w:tcPr>
            <w:tcW w:w="1182"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509" w:type="dxa"/>
          </w:tcPr>
          <w:p>
            <w:pPr>
              <w:pStyle w:val="17"/>
              <w:rPr>
                <w:rFonts w:ascii="Times New Roman"/>
                <w:sz w:val="22"/>
              </w:rPr>
            </w:pPr>
          </w:p>
        </w:tc>
        <w:tc>
          <w:tcPr>
            <w:tcW w:w="1551" w:type="dxa"/>
          </w:tcPr>
          <w:p>
            <w:pPr>
              <w:pStyle w:val="17"/>
              <w:rPr>
                <w:rFonts w:ascii="Times New Roman"/>
                <w:sz w:val="22"/>
              </w:rPr>
            </w:pPr>
          </w:p>
        </w:tc>
        <w:tc>
          <w:tcPr>
            <w:tcW w:w="859" w:type="dxa"/>
          </w:tcPr>
          <w:p>
            <w:pPr>
              <w:pStyle w:val="17"/>
              <w:rPr>
                <w:rFonts w:ascii="Times New Roman"/>
                <w:sz w:val="22"/>
              </w:rPr>
            </w:pPr>
          </w:p>
        </w:tc>
        <w:tc>
          <w:tcPr>
            <w:tcW w:w="1810" w:type="dxa"/>
          </w:tcPr>
          <w:p>
            <w:pPr>
              <w:pStyle w:val="17"/>
              <w:rPr>
                <w:rFonts w:ascii="Times New Roman"/>
                <w:sz w:val="22"/>
              </w:rPr>
            </w:pPr>
          </w:p>
        </w:tc>
        <w:tc>
          <w:tcPr>
            <w:tcW w:w="746" w:type="dxa"/>
          </w:tcPr>
          <w:p>
            <w:pPr>
              <w:pStyle w:val="17"/>
              <w:rPr>
                <w:rFonts w:ascii="Times New Roman"/>
                <w:sz w:val="22"/>
              </w:rPr>
            </w:pPr>
          </w:p>
        </w:tc>
        <w:tc>
          <w:tcPr>
            <w:tcW w:w="1042" w:type="dxa"/>
          </w:tcPr>
          <w:p>
            <w:pPr>
              <w:pStyle w:val="17"/>
              <w:rPr>
                <w:rFonts w:ascii="Times New Roman"/>
                <w:sz w:val="22"/>
              </w:rPr>
            </w:pPr>
          </w:p>
        </w:tc>
        <w:tc>
          <w:tcPr>
            <w:tcW w:w="923" w:type="dxa"/>
          </w:tcPr>
          <w:p>
            <w:pPr>
              <w:pStyle w:val="17"/>
              <w:rPr>
                <w:rFonts w:ascii="Times New Roman"/>
                <w:sz w:val="22"/>
              </w:rPr>
            </w:pPr>
          </w:p>
        </w:tc>
        <w:tc>
          <w:tcPr>
            <w:tcW w:w="1118" w:type="dxa"/>
          </w:tcPr>
          <w:p>
            <w:pPr>
              <w:pStyle w:val="17"/>
              <w:rPr>
                <w:rFonts w:ascii="Times New Roman"/>
                <w:sz w:val="22"/>
              </w:rPr>
            </w:pPr>
          </w:p>
        </w:tc>
        <w:tc>
          <w:tcPr>
            <w:tcW w:w="1182"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09" w:type="dxa"/>
          </w:tcPr>
          <w:p>
            <w:pPr>
              <w:pStyle w:val="17"/>
              <w:rPr>
                <w:rFonts w:ascii="Times New Roman"/>
                <w:sz w:val="22"/>
              </w:rPr>
            </w:pPr>
          </w:p>
        </w:tc>
        <w:tc>
          <w:tcPr>
            <w:tcW w:w="1551" w:type="dxa"/>
          </w:tcPr>
          <w:p>
            <w:pPr>
              <w:pStyle w:val="17"/>
              <w:rPr>
                <w:rFonts w:ascii="Times New Roman"/>
                <w:sz w:val="22"/>
              </w:rPr>
            </w:pPr>
          </w:p>
        </w:tc>
        <w:tc>
          <w:tcPr>
            <w:tcW w:w="859" w:type="dxa"/>
          </w:tcPr>
          <w:p>
            <w:pPr>
              <w:pStyle w:val="17"/>
              <w:rPr>
                <w:rFonts w:ascii="Times New Roman"/>
                <w:sz w:val="22"/>
              </w:rPr>
            </w:pPr>
          </w:p>
        </w:tc>
        <w:tc>
          <w:tcPr>
            <w:tcW w:w="1810" w:type="dxa"/>
          </w:tcPr>
          <w:p>
            <w:pPr>
              <w:pStyle w:val="17"/>
              <w:rPr>
                <w:rFonts w:ascii="Times New Roman"/>
                <w:sz w:val="22"/>
              </w:rPr>
            </w:pPr>
          </w:p>
        </w:tc>
        <w:tc>
          <w:tcPr>
            <w:tcW w:w="746" w:type="dxa"/>
          </w:tcPr>
          <w:p>
            <w:pPr>
              <w:pStyle w:val="17"/>
              <w:rPr>
                <w:rFonts w:ascii="Times New Roman"/>
                <w:sz w:val="22"/>
              </w:rPr>
            </w:pPr>
          </w:p>
        </w:tc>
        <w:tc>
          <w:tcPr>
            <w:tcW w:w="1042" w:type="dxa"/>
          </w:tcPr>
          <w:p>
            <w:pPr>
              <w:pStyle w:val="17"/>
              <w:rPr>
                <w:rFonts w:ascii="Times New Roman"/>
                <w:sz w:val="22"/>
              </w:rPr>
            </w:pPr>
          </w:p>
        </w:tc>
        <w:tc>
          <w:tcPr>
            <w:tcW w:w="923" w:type="dxa"/>
          </w:tcPr>
          <w:p>
            <w:pPr>
              <w:pStyle w:val="17"/>
              <w:rPr>
                <w:rFonts w:ascii="Times New Roman"/>
                <w:sz w:val="22"/>
              </w:rPr>
            </w:pPr>
          </w:p>
        </w:tc>
        <w:tc>
          <w:tcPr>
            <w:tcW w:w="1118" w:type="dxa"/>
          </w:tcPr>
          <w:p>
            <w:pPr>
              <w:pStyle w:val="17"/>
              <w:rPr>
                <w:rFonts w:ascii="Times New Roman"/>
                <w:sz w:val="22"/>
              </w:rPr>
            </w:pPr>
          </w:p>
        </w:tc>
        <w:tc>
          <w:tcPr>
            <w:tcW w:w="1182"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440" w:type="dxa"/>
            <w:gridSpan w:val="7"/>
          </w:tcPr>
          <w:p>
            <w:pPr>
              <w:pStyle w:val="17"/>
              <w:spacing w:before="2"/>
              <w:ind w:left="108"/>
              <w:rPr>
                <w:sz w:val="24"/>
              </w:rPr>
            </w:pPr>
            <w:r>
              <w:rPr>
                <w:sz w:val="24"/>
              </w:rPr>
              <w:t>本页小计</w:t>
            </w:r>
          </w:p>
        </w:tc>
        <w:tc>
          <w:tcPr>
            <w:tcW w:w="1118" w:type="dxa"/>
          </w:tcPr>
          <w:p>
            <w:pPr>
              <w:pStyle w:val="17"/>
              <w:rPr>
                <w:rFonts w:ascii="Times New Roman"/>
                <w:sz w:val="22"/>
              </w:rPr>
            </w:pPr>
          </w:p>
        </w:tc>
        <w:tc>
          <w:tcPr>
            <w:tcW w:w="1182"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440" w:type="dxa"/>
            <w:gridSpan w:val="7"/>
          </w:tcPr>
          <w:p>
            <w:pPr>
              <w:pStyle w:val="17"/>
              <w:spacing w:before="3"/>
              <w:ind w:left="108"/>
              <w:rPr>
                <w:sz w:val="24"/>
              </w:rPr>
            </w:pPr>
            <w:r>
              <w:rPr>
                <w:sz w:val="24"/>
              </w:rPr>
              <w:t>合计</w:t>
            </w:r>
          </w:p>
        </w:tc>
        <w:tc>
          <w:tcPr>
            <w:tcW w:w="1118" w:type="dxa"/>
          </w:tcPr>
          <w:p>
            <w:pPr>
              <w:pStyle w:val="17"/>
              <w:rPr>
                <w:rFonts w:ascii="Times New Roman"/>
                <w:sz w:val="22"/>
              </w:rPr>
            </w:pPr>
          </w:p>
        </w:tc>
        <w:tc>
          <w:tcPr>
            <w:tcW w:w="1182" w:type="dxa"/>
          </w:tcPr>
          <w:p>
            <w:pPr>
              <w:pStyle w:val="17"/>
              <w:rPr>
                <w:rFonts w:ascii="Times New Roman"/>
                <w:sz w:val="22"/>
              </w:rPr>
            </w:pPr>
          </w:p>
        </w:tc>
      </w:tr>
    </w:tbl>
    <w:p>
      <w:pPr>
        <w:pStyle w:val="8"/>
        <w:spacing w:before="1"/>
        <w:ind w:left="388"/>
      </w:pPr>
      <w:r>
        <w:t>注意：为记取规费的适用，可以在表中增设其中：“定额人工费”</w:t>
      </w:r>
    </w:p>
    <w:p>
      <w:pPr>
        <w:spacing w:after="0"/>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10" o:spid="_x0000_s1210" o:spt="20" style="position:absolute;left:0pt;margin-left:62.4pt;margin-top:12.25pt;height:0pt;width:400.4pt;mso-position-horizontal-relative:page;z-index:25184460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388"/>
        <w:outlineLvl w:val="2"/>
      </w:pPr>
      <w:r>
        <w:t>（七）总价措施项目清单与计价表</w:t>
      </w:r>
    </w:p>
    <w:p>
      <w:pPr>
        <w:pStyle w:val="8"/>
        <w:tabs>
          <w:tab w:val="left" w:pos="8067"/>
          <w:tab w:val="left" w:pos="8547"/>
          <w:tab w:val="left" w:pos="9267"/>
        </w:tabs>
        <w:spacing w:before="158"/>
        <w:ind w:left="388"/>
      </w:pPr>
      <w:r>
        <w:t>工程名称</w:t>
      </w:r>
      <w:r>
        <w:tab/>
      </w:r>
      <w:r>
        <w:t>第</w:t>
      </w:r>
      <w:r>
        <w:tab/>
      </w:r>
      <w:r>
        <w:t>页共</w:t>
      </w:r>
      <w:r>
        <w:tab/>
      </w:r>
      <w:r>
        <w:t>页</w:t>
      </w:r>
    </w:p>
    <w:p>
      <w:pPr>
        <w:pStyle w:val="8"/>
        <w:spacing w:before="5"/>
        <w:rPr>
          <w:sz w:val="12"/>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992"/>
        <w:gridCol w:w="2551"/>
        <w:gridCol w:w="709"/>
        <w:gridCol w:w="798"/>
        <w:gridCol w:w="1045"/>
        <w:gridCol w:w="978"/>
        <w:gridCol w:w="1432"/>
        <w:gridCol w:w="7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4" w:hRule="atLeast"/>
        </w:trPr>
        <w:tc>
          <w:tcPr>
            <w:tcW w:w="534" w:type="dxa"/>
          </w:tcPr>
          <w:p>
            <w:pPr>
              <w:pStyle w:val="17"/>
              <w:spacing w:before="2"/>
              <w:rPr>
                <w:sz w:val="19"/>
              </w:rPr>
            </w:pPr>
          </w:p>
          <w:p>
            <w:pPr>
              <w:pStyle w:val="17"/>
              <w:spacing w:line="362" w:lineRule="auto"/>
              <w:ind w:left="147" w:right="134"/>
              <w:rPr>
                <w:sz w:val="24"/>
              </w:rPr>
            </w:pPr>
            <w:r>
              <w:rPr>
                <w:sz w:val="24"/>
              </w:rPr>
              <w:t>序号</w:t>
            </w:r>
          </w:p>
        </w:tc>
        <w:tc>
          <w:tcPr>
            <w:tcW w:w="992" w:type="dxa"/>
          </w:tcPr>
          <w:p>
            <w:pPr>
              <w:pStyle w:val="17"/>
              <w:spacing w:before="2"/>
              <w:rPr>
                <w:sz w:val="19"/>
              </w:rPr>
            </w:pPr>
          </w:p>
          <w:p>
            <w:pPr>
              <w:pStyle w:val="17"/>
              <w:spacing w:line="362" w:lineRule="auto"/>
              <w:ind w:left="256" w:right="243"/>
              <w:rPr>
                <w:sz w:val="24"/>
              </w:rPr>
            </w:pPr>
            <w:r>
              <w:rPr>
                <w:sz w:val="24"/>
              </w:rPr>
              <w:t>项目编码</w:t>
            </w:r>
          </w:p>
        </w:tc>
        <w:tc>
          <w:tcPr>
            <w:tcW w:w="2551" w:type="dxa"/>
          </w:tcPr>
          <w:p>
            <w:pPr>
              <w:pStyle w:val="17"/>
              <w:rPr>
                <w:sz w:val="24"/>
              </w:rPr>
            </w:pPr>
          </w:p>
          <w:p>
            <w:pPr>
              <w:pStyle w:val="17"/>
              <w:spacing w:before="171"/>
              <w:ind w:left="795"/>
              <w:rPr>
                <w:sz w:val="24"/>
              </w:rPr>
            </w:pPr>
            <w:r>
              <w:rPr>
                <w:sz w:val="24"/>
              </w:rPr>
              <w:t>项目名称</w:t>
            </w:r>
          </w:p>
        </w:tc>
        <w:tc>
          <w:tcPr>
            <w:tcW w:w="709" w:type="dxa"/>
          </w:tcPr>
          <w:p>
            <w:pPr>
              <w:pStyle w:val="17"/>
              <w:spacing w:before="2"/>
              <w:rPr>
                <w:sz w:val="19"/>
              </w:rPr>
            </w:pPr>
          </w:p>
          <w:p>
            <w:pPr>
              <w:pStyle w:val="17"/>
              <w:spacing w:line="362" w:lineRule="auto"/>
              <w:ind w:left="114" w:right="102"/>
              <w:rPr>
                <w:sz w:val="24"/>
              </w:rPr>
            </w:pPr>
            <w:r>
              <w:rPr>
                <w:sz w:val="24"/>
              </w:rPr>
              <w:t>计算基础</w:t>
            </w:r>
          </w:p>
        </w:tc>
        <w:tc>
          <w:tcPr>
            <w:tcW w:w="798" w:type="dxa"/>
          </w:tcPr>
          <w:p>
            <w:pPr>
              <w:pStyle w:val="17"/>
              <w:spacing w:before="2"/>
              <w:rPr>
                <w:sz w:val="19"/>
              </w:rPr>
            </w:pPr>
          </w:p>
          <w:p>
            <w:pPr>
              <w:pStyle w:val="17"/>
              <w:ind w:left="158"/>
              <w:rPr>
                <w:sz w:val="24"/>
              </w:rPr>
            </w:pPr>
            <w:r>
              <w:rPr>
                <w:sz w:val="24"/>
              </w:rPr>
              <w:t>费率</w:t>
            </w:r>
          </w:p>
          <w:p>
            <w:pPr>
              <w:pStyle w:val="17"/>
              <w:spacing w:before="159"/>
              <w:ind w:left="108"/>
              <w:rPr>
                <w:sz w:val="24"/>
              </w:rPr>
            </w:pPr>
            <w:r>
              <w:rPr>
                <w:sz w:val="24"/>
              </w:rPr>
              <w:t>（%）</w:t>
            </w:r>
          </w:p>
        </w:tc>
        <w:tc>
          <w:tcPr>
            <w:tcW w:w="1045" w:type="dxa"/>
          </w:tcPr>
          <w:p>
            <w:pPr>
              <w:pStyle w:val="17"/>
              <w:spacing w:before="2"/>
              <w:rPr>
                <w:sz w:val="19"/>
              </w:rPr>
            </w:pPr>
          </w:p>
          <w:p>
            <w:pPr>
              <w:pStyle w:val="17"/>
              <w:ind w:left="282"/>
              <w:rPr>
                <w:sz w:val="24"/>
              </w:rPr>
            </w:pPr>
            <w:r>
              <w:rPr>
                <w:sz w:val="24"/>
              </w:rPr>
              <w:t>金额</w:t>
            </w:r>
          </w:p>
          <w:p>
            <w:pPr>
              <w:pStyle w:val="17"/>
              <w:spacing w:before="159"/>
              <w:ind w:left="162"/>
              <w:rPr>
                <w:sz w:val="24"/>
              </w:rPr>
            </w:pPr>
            <w:r>
              <w:rPr>
                <w:sz w:val="24"/>
              </w:rPr>
              <w:t>（元）</w:t>
            </w:r>
          </w:p>
        </w:tc>
        <w:tc>
          <w:tcPr>
            <w:tcW w:w="978" w:type="dxa"/>
          </w:tcPr>
          <w:p>
            <w:pPr>
              <w:pStyle w:val="17"/>
              <w:spacing w:before="11" w:line="364" w:lineRule="auto"/>
              <w:ind w:left="247" w:right="238"/>
              <w:rPr>
                <w:sz w:val="24"/>
              </w:rPr>
            </w:pPr>
            <w:r>
              <w:rPr>
                <w:spacing w:val="-9"/>
                <w:sz w:val="24"/>
              </w:rPr>
              <w:t>调整费率</w:t>
            </w:r>
          </w:p>
          <w:p>
            <w:pPr>
              <w:pStyle w:val="17"/>
              <w:spacing w:line="306" w:lineRule="exact"/>
              <w:ind w:left="187"/>
              <w:rPr>
                <w:sz w:val="24"/>
              </w:rPr>
            </w:pPr>
            <w:r>
              <w:rPr>
                <w:sz w:val="24"/>
              </w:rPr>
              <w:t>（%）</w:t>
            </w:r>
          </w:p>
        </w:tc>
        <w:tc>
          <w:tcPr>
            <w:tcW w:w="1432" w:type="dxa"/>
          </w:tcPr>
          <w:p>
            <w:pPr>
              <w:pStyle w:val="17"/>
              <w:rPr>
                <w:sz w:val="24"/>
              </w:rPr>
            </w:pPr>
          </w:p>
          <w:p>
            <w:pPr>
              <w:pStyle w:val="17"/>
              <w:spacing w:before="171"/>
              <w:ind w:left="114"/>
              <w:rPr>
                <w:sz w:val="24"/>
              </w:rPr>
            </w:pPr>
            <w:r>
              <w:rPr>
                <w:sz w:val="24"/>
              </w:rPr>
              <w:t>调整后金额</w:t>
            </w:r>
          </w:p>
        </w:tc>
        <w:tc>
          <w:tcPr>
            <w:tcW w:w="742" w:type="dxa"/>
          </w:tcPr>
          <w:p>
            <w:pPr>
              <w:pStyle w:val="17"/>
              <w:rPr>
                <w:sz w:val="24"/>
              </w:rPr>
            </w:pPr>
          </w:p>
          <w:p>
            <w:pPr>
              <w:pStyle w:val="17"/>
              <w:spacing w:before="171"/>
              <w:ind w:left="129"/>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34" w:type="dxa"/>
          </w:tcPr>
          <w:p>
            <w:pPr>
              <w:pStyle w:val="17"/>
              <w:rPr>
                <w:rFonts w:ascii="Times New Roman"/>
                <w:sz w:val="20"/>
              </w:rPr>
            </w:pPr>
          </w:p>
        </w:tc>
        <w:tc>
          <w:tcPr>
            <w:tcW w:w="992" w:type="dxa"/>
          </w:tcPr>
          <w:p>
            <w:pPr>
              <w:pStyle w:val="17"/>
              <w:rPr>
                <w:rFonts w:ascii="Times New Roman"/>
                <w:sz w:val="20"/>
              </w:rPr>
            </w:pPr>
          </w:p>
        </w:tc>
        <w:tc>
          <w:tcPr>
            <w:tcW w:w="2551" w:type="dxa"/>
          </w:tcPr>
          <w:p>
            <w:pPr>
              <w:pStyle w:val="17"/>
              <w:ind w:left="106"/>
              <w:rPr>
                <w:sz w:val="24"/>
              </w:rPr>
            </w:pPr>
            <w:r>
              <w:rPr>
                <w:sz w:val="24"/>
              </w:rPr>
              <w:t>安全文明施工费</w:t>
            </w:r>
          </w:p>
        </w:tc>
        <w:tc>
          <w:tcPr>
            <w:tcW w:w="709" w:type="dxa"/>
          </w:tcPr>
          <w:p>
            <w:pPr>
              <w:pStyle w:val="17"/>
              <w:rPr>
                <w:rFonts w:ascii="Times New Roman"/>
                <w:sz w:val="20"/>
              </w:rPr>
            </w:pPr>
          </w:p>
        </w:tc>
        <w:tc>
          <w:tcPr>
            <w:tcW w:w="798" w:type="dxa"/>
          </w:tcPr>
          <w:p>
            <w:pPr>
              <w:pStyle w:val="17"/>
              <w:rPr>
                <w:rFonts w:ascii="Times New Roman"/>
                <w:sz w:val="20"/>
              </w:rPr>
            </w:pPr>
          </w:p>
        </w:tc>
        <w:tc>
          <w:tcPr>
            <w:tcW w:w="1045" w:type="dxa"/>
          </w:tcPr>
          <w:p>
            <w:pPr>
              <w:pStyle w:val="17"/>
              <w:rPr>
                <w:rFonts w:ascii="Times New Roman"/>
                <w:sz w:val="20"/>
              </w:rPr>
            </w:pPr>
          </w:p>
        </w:tc>
        <w:tc>
          <w:tcPr>
            <w:tcW w:w="978" w:type="dxa"/>
          </w:tcPr>
          <w:p>
            <w:pPr>
              <w:pStyle w:val="17"/>
              <w:rPr>
                <w:rFonts w:ascii="Times New Roman"/>
                <w:sz w:val="20"/>
              </w:rPr>
            </w:pPr>
          </w:p>
        </w:tc>
        <w:tc>
          <w:tcPr>
            <w:tcW w:w="1432" w:type="dxa"/>
          </w:tcPr>
          <w:p>
            <w:pPr>
              <w:pStyle w:val="17"/>
              <w:rPr>
                <w:rFonts w:ascii="Times New Roman"/>
                <w:sz w:val="20"/>
              </w:rPr>
            </w:pPr>
          </w:p>
        </w:tc>
        <w:tc>
          <w:tcPr>
            <w:tcW w:w="74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34" w:type="dxa"/>
          </w:tcPr>
          <w:p>
            <w:pPr>
              <w:pStyle w:val="17"/>
              <w:rPr>
                <w:rFonts w:ascii="Times New Roman"/>
                <w:sz w:val="20"/>
              </w:rPr>
            </w:pPr>
          </w:p>
        </w:tc>
        <w:tc>
          <w:tcPr>
            <w:tcW w:w="992" w:type="dxa"/>
          </w:tcPr>
          <w:p>
            <w:pPr>
              <w:pStyle w:val="17"/>
              <w:rPr>
                <w:rFonts w:ascii="Times New Roman"/>
                <w:sz w:val="20"/>
              </w:rPr>
            </w:pPr>
          </w:p>
        </w:tc>
        <w:tc>
          <w:tcPr>
            <w:tcW w:w="2551" w:type="dxa"/>
          </w:tcPr>
          <w:p>
            <w:pPr>
              <w:pStyle w:val="17"/>
              <w:spacing w:before="1"/>
              <w:ind w:left="106"/>
              <w:rPr>
                <w:sz w:val="24"/>
              </w:rPr>
            </w:pPr>
            <w:r>
              <w:rPr>
                <w:sz w:val="24"/>
              </w:rPr>
              <w:t>夜间施工增加费</w:t>
            </w:r>
          </w:p>
        </w:tc>
        <w:tc>
          <w:tcPr>
            <w:tcW w:w="709" w:type="dxa"/>
          </w:tcPr>
          <w:p>
            <w:pPr>
              <w:pStyle w:val="17"/>
              <w:rPr>
                <w:rFonts w:ascii="Times New Roman"/>
                <w:sz w:val="20"/>
              </w:rPr>
            </w:pPr>
          </w:p>
        </w:tc>
        <w:tc>
          <w:tcPr>
            <w:tcW w:w="798" w:type="dxa"/>
          </w:tcPr>
          <w:p>
            <w:pPr>
              <w:pStyle w:val="17"/>
              <w:rPr>
                <w:rFonts w:ascii="Times New Roman"/>
                <w:sz w:val="20"/>
              </w:rPr>
            </w:pPr>
          </w:p>
        </w:tc>
        <w:tc>
          <w:tcPr>
            <w:tcW w:w="1045" w:type="dxa"/>
          </w:tcPr>
          <w:p>
            <w:pPr>
              <w:pStyle w:val="17"/>
              <w:rPr>
                <w:rFonts w:ascii="Times New Roman"/>
                <w:sz w:val="20"/>
              </w:rPr>
            </w:pPr>
          </w:p>
        </w:tc>
        <w:tc>
          <w:tcPr>
            <w:tcW w:w="978" w:type="dxa"/>
          </w:tcPr>
          <w:p>
            <w:pPr>
              <w:pStyle w:val="17"/>
              <w:rPr>
                <w:rFonts w:ascii="Times New Roman"/>
                <w:sz w:val="20"/>
              </w:rPr>
            </w:pPr>
          </w:p>
        </w:tc>
        <w:tc>
          <w:tcPr>
            <w:tcW w:w="1432" w:type="dxa"/>
          </w:tcPr>
          <w:p>
            <w:pPr>
              <w:pStyle w:val="17"/>
              <w:rPr>
                <w:rFonts w:ascii="Times New Roman"/>
                <w:sz w:val="20"/>
              </w:rPr>
            </w:pPr>
          </w:p>
        </w:tc>
        <w:tc>
          <w:tcPr>
            <w:tcW w:w="74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534" w:type="dxa"/>
          </w:tcPr>
          <w:p>
            <w:pPr>
              <w:pStyle w:val="17"/>
              <w:rPr>
                <w:rFonts w:ascii="Times New Roman"/>
                <w:sz w:val="20"/>
              </w:rPr>
            </w:pPr>
          </w:p>
        </w:tc>
        <w:tc>
          <w:tcPr>
            <w:tcW w:w="992" w:type="dxa"/>
          </w:tcPr>
          <w:p>
            <w:pPr>
              <w:pStyle w:val="17"/>
              <w:rPr>
                <w:rFonts w:ascii="Times New Roman"/>
                <w:sz w:val="20"/>
              </w:rPr>
            </w:pPr>
          </w:p>
        </w:tc>
        <w:tc>
          <w:tcPr>
            <w:tcW w:w="2551" w:type="dxa"/>
          </w:tcPr>
          <w:p>
            <w:pPr>
              <w:pStyle w:val="17"/>
              <w:spacing w:before="1"/>
              <w:ind w:left="106"/>
              <w:rPr>
                <w:sz w:val="24"/>
              </w:rPr>
            </w:pPr>
            <w:r>
              <w:rPr>
                <w:sz w:val="24"/>
              </w:rPr>
              <w:t>二次搬运费</w:t>
            </w:r>
          </w:p>
        </w:tc>
        <w:tc>
          <w:tcPr>
            <w:tcW w:w="709" w:type="dxa"/>
          </w:tcPr>
          <w:p>
            <w:pPr>
              <w:pStyle w:val="17"/>
              <w:rPr>
                <w:rFonts w:ascii="Times New Roman"/>
                <w:sz w:val="20"/>
              </w:rPr>
            </w:pPr>
          </w:p>
        </w:tc>
        <w:tc>
          <w:tcPr>
            <w:tcW w:w="798" w:type="dxa"/>
          </w:tcPr>
          <w:p>
            <w:pPr>
              <w:pStyle w:val="17"/>
              <w:rPr>
                <w:rFonts w:ascii="Times New Roman"/>
                <w:sz w:val="20"/>
              </w:rPr>
            </w:pPr>
          </w:p>
        </w:tc>
        <w:tc>
          <w:tcPr>
            <w:tcW w:w="1045" w:type="dxa"/>
          </w:tcPr>
          <w:p>
            <w:pPr>
              <w:pStyle w:val="17"/>
              <w:rPr>
                <w:rFonts w:ascii="Times New Roman"/>
                <w:sz w:val="20"/>
              </w:rPr>
            </w:pPr>
          </w:p>
        </w:tc>
        <w:tc>
          <w:tcPr>
            <w:tcW w:w="978" w:type="dxa"/>
          </w:tcPr>
          <w:p>
            <w:pPr>
              <w:pStyle w:val="17"/>
              <w:rPr>
                <w:rFonts w:ascii="Times New Roman"/>
                <w:sz w:val="20"/>
              </w:rPr>
            </w:pPr>
          </w:p>
        </w:tc>
        <w:tc>
          <w:tcPr>
            <w:tcW w:w="1432" w:type="dxa"/>
          </w:tcPr>
          <w:p>
            <w:pPr>
              <w:pStyle w:val="17"/>
              <w:rPr>
                <w:rFonts w:ascii="Times New Roman"/>
                <w:sz w:val="20"/>
              </w:rPr>
            </w:pPr>
          </w:p>
        </w:tc>
        <w:tc>
          <w:tcPr>
            <w:tcW w:w="74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34" w:type="dxa"/>
          </w:tcPr>
          <w:p>
            <w:pPr>
              <w:pStyle w:val="17"/>
              <w:rPr>
                <w:rFonts w:ascii="Times New Roman"/>
                <w:sz w:val="20"/>
              </w:rPr>
            </w:pPr>
          </w:p>
        </w:tc>
        <w:tc>
          <w:tcPr>
            <w:tcW w:w="992" w:type="dxa"/>
          </w:tcPr>
          <w:p>
            <w:pPr>
              <w:pStyle w:val="17"/>
              <w:rPr>
                <w:rFonts w:ascii="Times New Roman"/>
                <w:sz w:val="20"/>
              </w:rPr>
            </w:pPr>
          </w:p>
        </w:tc>
        <w:tc>
          <w:tcPr>
            <w:tcW w:w="2551" w:type="dxa"/>
          </w:tcPr>
          <w:p>
            <w:pPr>
              <w:pStyle w:val="17"/>
              <w:spacing w:before="3"/>
              <w:ind w:left="106"/>
              <w:rPr>
                <w:sz w:val="24"/>
              </w:rPr>
            </w:pPr>
            <w:r>
              <w:rPr>
                <w:sz w:val="24"/>
              </w:rPr>
              <w:t>冬季施工增加费</w:t>
            </w:r>
          </w:p>
        </w:tc>
        <w:tc>
          <w:tcPr>
            <w:tcW w:w="709" w:type="dxa"/>
          </w:tcPr>
          <w:p>
            <w:pPr>
              <w:pStyle w:val="17"/>
              <w:rPr>
                <w:rFonts w:ascii="Times New Roman"/>
                <w:sz w:val="20"/>
              </w:rPr>
            </w:pPr>
          </w:p>
        </w:tc>
        <w:tc>
          <w:tcPr>
            <w:tcW w:w="798" w:type="dxa"/>
          </w:tcPr>
          <w:p>
            <w:pPr>
              <w:pStyle w:val="17"/>
              <w:rPr>
                <w:rFonts w:ascii="Times New Roman"/>
                <w:sz w:val="20"/>
              </w:rPr>
            </w:pPr>
          </w:p>
        </w:tc>
        <w:tc>
          <w:tcPr>
            <w:tcW w:w="1045" w:type="dxa"/>
          </w:tcPr>
          <w:p>
            <w:pPr>
              <w:pStyle w:val="17"/>
              <w:rPr>
                <w:rFonts w:ascii="Times New Roman"/>
                <w:sz w:val="20"/>
              </w:rPr>
            </w:pPr>
          </w:p>
        </w:tc>
        <w:tc>
          <w:tcPr>
            <w:tcW w:w="978" w:type="dxa"/>
          </w:tcPr>
          <w:p>
            <w:pPr>
              <w:pStyle w:val="17"/>
              <w:rPr>
                <w:rFonts w:ascii="Times New Roman"/>
                <w:sz w:val="20"/>
              </w:rPr>
            </w:pPr>
          </w:p>
        </w:tc>
        <w:tc>
          <w:tcPr>
            <w:tcW w:w="1432" w:type="dxa"/>
          </w:tcPr>
          <w:p>
            <w:pPr>
              <w:pStyle w:val="17"/>
              <w:rPr>
                <w:rFonts w:ascii="Times New Roman"/>
                <w:sz w:val="20"/>
              </w:rPr>
            </w:pPr>
          </w:p>
        </w:tc>
        <w:tc>
          <w:tcPr>
            <w:tcW w:w="74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34" w:type="dxa"/>
          </w:tcPr>
          <w:p>
            <w:pPr>
              <w:pStyle w:val="17"/>
              <w:rPr>
                <w:rFonts w:ascii="Times New Roman"/>
                <w:sz w:val="20"/>
              </w:rPr>
            </w:pPr>
          </w:p>
        </w:tc>
        <w:tc>
          <w:tcPr>
            <w:tcW w:w="992" w:type="dxa"/>
          </w:tcPr>
          <w:p>
            <w:pPr>
              <w:pStyle w:val="17"/>
              <w:rPr>
                <w:rFonts w:ascii="Times New Roman"/>
                <w:sz w:val="20"/>
              </w:rPr>
            </w:pPr>
          </w:p>
        </w:tc>
        <w:tc>
          <w:tcPr>
            <w:tcW w:w="2551" w:type="dxa"/>
          </w:tcPr>
          <w:p>
            <w:pPr>
              <w:pStyle w:val="17"/>
              <w:rPr>
                <w:rFonts w:ascii="Times New Roman"/>
                <w:sz w:val="20"/>
              </w:rPr>
            </w:pPr>
          </w:p>
        </w:tc>
        <w:tc>
          <w:tcPr>
            <w:tcW w:w="709" w:type="dxa"/>
          </w:tcPr>
          <w:p>
            <w:pPr>
              <w:pStyle w:val="17"/>
              <w:rPr>
                <w:rFonts w:ascii="Times New Roman"/>
                <w:sz w:val="20"/>
              </w:rPr>
            </w:pPr>
          </w:p>
        </w:tc>
        <w:tc>
          <w:tcPr>
            <w:tcW w:w="798" w:type="dxa"/>
          </w:tcPr>
          <w:p>
            <w:pPr>
              <w:pStyle w:val="17"/>
              <w:rPr>
                <w:rFonts w:ascii="Times New Roman"/>
                <w:sz w:val="20"/>
              </w:rPr>
            </w:pPr>
          </w:p>
        </w:tc>
        <w:tc>
          <w:tcPr>
            <w:tcW w:w="1045" w:type="dxa"/>
          </w:tcPr>
          <w:p>
            <w:pPr>
              <w:pStyle w:val="17"/>
              <w:rPr>
                <w:rFonts w:ascii="Times New Roman"/>
                <w:sz w:val="20"/>
              </w:rPr>
            </w:pPr>
          </w:p>
        </w:tc>
        <w:tc>
          <w:tcPr>
            <w:tcW w:w="978" w:type="dxa"/>
          </w:tcPr>
          <w:p>
            <w:pPr>
              <w:pStyle w:val="17"/>
              <w:rPr>
                <w:rFonts w:ascii="Times New Roman"/>
                <w:sz w:val="20"/>
              </w:rPr>
            </w:pPr>
          </w:p>
        </w:tc>
        <w:tc>
          <w:tcPr>
            <w:tcW w:w="1432" w:type="dxa"/>
          </w:tcPr>
          <w:p>
            <w:pPr>
              <w:pStyle w:val="17"/>
              <w:rPr>
                <w:rFonts w:ascii="Times New Roman"/>
                <w:sz w:val="20"/>
              </w:rPr>
            </w:pPr>
          </w:p>
        </w:tc>
        <w:tc>
          <w:tcPr>
            <w:tcW w:w="74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34" w:type="dxa"/>
          </w:tcPr>
          <w:p>
            <w:pPr>
              <w:pStyle w:val="17"/>
              <w:rPr>
                <w:rFonts w:ascii="Times New Roman"/>
                <w:sz w:val="20"/>
              </w:rPr>
            </w:pPr>
          </w:p>
        </w:tc>
        <w:tc>
          <w:tcPr>
            <w:tcW w:w="992" w:type="dxa"/>
          </w:tcPr>
          <w:p>
            <w:pPr>
              <w:pStyle w:val="17"/>
              <w:rPr>
                <w:rFonts w:ascii="Times New Roman"/>
                <w:sz w:val="20"/>
              </w:rPr>
            </w:pPr>
          </w:p>
        </w:tc>
        <w:tc>
          <w:tcPr>
            <w:tcW w:w="2551" w:type="dxa"/>
          </w:tcPr>
          <w:p>
            <w:pPr>
              <w:pStyle w:val="17"/>
              <w:rPr>
                <w:rFonts w:ascii="Times New Roman"/>
                <w:sz w:val="20"/>
              </w:rPr>
            </w:pPr>
          </w:p>
        </w:tc>
        <w:tc>
          <w:tcPr>
            <w:tcW w:w="709" w:type="dxa"/>
          </w:tcPr>
          <w:p>
            <w:pPr>
              <w:pStyle w:val="17"/>
              <w:rPr>
                <w:rFonts w:ascii="Times New Roman"/>
                <w:sz w:val="20"/>
              </w:rPr>
            </w:pPr>
          </w:p>
        </w:tc>
        <w:tc>
          <w:tcPr>
            <w:tcW w:w="798" w:type="dxa"/>
          </w:tcPr>
          <w:p>
            <w:pPr>
              <w:pStyle w:val="17"/>
              <w:rPr>
                <w:rFonts w:ascii="Times New Roman"/>
                <w:sz w:val="20"/>
              </w:rPr>
            </w:pPr>
          </w:p>
        </w:tc>
        <w:tc>
          <w:tcPr>
            <w:tcW w:w="1045" w:type="dxa"/>
          </w:tcPr>
          <w:p>
            <w:pPr>
              <w:pStyle w:val="17"/>
              <w:rPr>
                <w:rFonts w:ascii="Times New Roman"/>
                <w:sz w:val="20"/>
              </w:rPr>
            </w:pPr>
          </w:p>
        </w:tc>
        <w:tc>
          <w:tcPr>
            <w:tcW w:w="978" w:type="dxa"/>
          </w:tcPr>
          <w:p>
            <w:pPr>
              <w:pStyle w:val="17"/>
              <w:rPr>
                <w:rFonts w:ascii="Times New Roman"/>
                <w:sz w:val="20"/>
              </w:rPr>
            </w:pPr>
          </w:p>
        </w:tc>
        <w:tc>
          <w:tcPr>
            <w:tcW w:w="1432" w:type="dxa"/>
          </w:tcPr>
          <w:p>
            <w:pPr>
              <w:pStyle w:val="17"/>
              <w:rPr>
                <w:rFonts w:ascii="Times New Roman"/>
                <w:sz w:val="20"/>
              </w:rPr>
            </w:pPr>
          </w:p>
        </w:tc>
        <w:tc>
          <w:tcPr>
            <w:tcW w:w="74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34" w:type="dxa"/>
          </w:tcPr>
          <w:p>
            <w:pPr>
              <w:pStyle w:val="17"/>
              <w:rPr>
                <w:rFonts w:ascii="Times New Roman"/>
                <w:sz w:val="20"/>
              </w:rPr>
            </w:pPr>
          </w:p>
        </w:tc>
        <w:tc>
          <w:tcPr>
            <w:tcW w:w="992" w:type="dxa"/>
          </w:tcPr>
          <w:p>
            <w:pPr>
              <w:pStyle w:val="17"/>
              <w:rPr>
                <w:rFonts w:ascii="Times New Roman"/>
                <w:sz w:val="20"/>
              </w:rPr>
            </w:pPr>
          </w:p>
        </w:tc>
        <w:tc>
          <w:tcPr>
            <w:tcW w:w="2551" w:type="dxa"/>
          </w:tcPr>
          <w:p>
            <w:pPr>
              <w:pStyle w:val="17"/>
              <w:rPr>
                <w:rFonts w:ascii="Times New Roman"/>
                <w:sz w:val="20"/>
              </w:rPr>
            </w:pPr>
          </w:p>
        </w:tc>
        <w:tc>
          <w:tcPr>
            <w:tcW w:w="709" w:type="dxa"/>
          </w:tcPr>
          <w:p>
            <w:pPr>
              <w:pStyle w:val="17"/>
              <w:rPr>
                <w:rFonts w:ascii="Times New Roman"/>
                <w:sz w:val="20"/>
              </w:rPr>
            </w:pPr>
          </w:p>
        </w:tc>
        <w:tc>
          <w:tcPr>
            <w:tcW w:w="798" w:type="dxa"/>
          </w:tcPr>
          <w:p>
            <w:pPr>
              <w:pStyle w:val="17"/>
              <w:rPr>
                <w:rFonts w:ascii="Times New Roman"/>
                <w:sz w:val="20"/>
              </w:rPr>
            </w:pPr>
          </w:p>
        </w:tc>
        <w:tc>
          <w:tcPr>
            <w:tcW w:w="1045" w:type="dxa"/>
          </w:tcPr>
          <w:p>
            <w:pPr>
              <w:pStyle w:val="17"/>
              <w:rPr>
                <w:rFonts w:ascii="Times New Roman"/>
                <w:sz w:val="20"/>
              </w:rPr>
            </w:pPr>
          </w:p>
        </w:tc>
        <w:tc>
          <w:tcPr>
            <w:tcW w:w="978" w:type="dxa"/>
          </w:tcPr>
          <w:p>
            <w:pPr>
              <w:pStyle w:val="17"/>
              <w:rPr>
                <w:rFonts w:ascii="Times New Roman"/>
                <w:sz w:val="20"/>
              </w:rPr>
            </w:pPr>
          </w:p>
        </w:tc>
        <w:tc>
          <w:tcPr>
            <w:tcW w:w="1432" w:type="dxa"/>
          </w:tcPr>
          <w:p>
            <w:pPr>
              <w:pStyle w:val="17"/>
              <w:rPr>
                <w:rFonts w:ascii="Times New Roman"/>
                <w:sz w:val="20"/>
              </w:rPr>
            </w:pPr>
          </w:p>
        </w:tc>
        <w:tc>
          <w:tcPr>
            <w:tcW w:w="74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34" w:type="dxa"/>
          </w:tcPr>
          <w:p>
            <w:pPr>
              <w:pStyle w:val="17"/>
              <w:rPr>
                <w:rFonts w:ascii="Times New Roman"/>
                <w:sz w:val="20"/>
              </w:rPr>
            </w:pPr>
          </w:p>
        </w:tc>
        <w:tc>
          <w:tcPr>
            <w:tcW w:w="992" w:type="dxa"/>
          </w:tcPr>
          <w:p>
            <w:pPr>
              <w:pStyle w:val="17"/>
              <w:rPr>
                <w:rFonts w:ascii="Times New Roman"/>
                <w:sz w:val="20"/>
              </w:rPr>
            </w:pPr>
          </w:p>
        </w:tc>
        <w:tc>
          <w:tcPr>
            <w:tcW w:w="2551" w:type="dxa"/>
          </w:tcPr>
          <w:p>
            <w:pPr>
              <w:pStyle w:val="17"/>
              <w:rPr>
                <w:rFonts w:ascii="Times New Roman"/>
                <w:sz w:val="20"/>
              </w:rPr>
            </w:pPr>
          </w:p>
        </w:tc>
        <w:tc>
          <w:tcPr>
            <w:tcW w:w="709" w:type="dxa"/>
          </w:tcPr>
          <w:p>
            <w:pPr>
              <w:pStyle w:val="17"/>
              <w:rPr>
                <w:rFonts w:ascii="Times New Roman"/>
                <w:sz w:val="20"/>
              </w:rPr>
            </w:pPr>
          </w:p>
        </w:tc>
        <w:tc>
          <w:tcPr>
            <w:tcW w:w="798" w:type="dxa"/>
          </w:tcPr>
          <w:p>
            <w:pPr>
              <w:pStyle w:val="17"/>
              <w:rPr>
                <w:rFonts w:ascii="Times New Roman"/>
                <w:sz w:val="20"/>
              </w:rPr>
            </w:pPr>
          </w:p>
        </w:tc>
        <w:tc>
          <w:tcPr>
            <w:tcW w:w="1045" w:type="dxa"/>
          </w:tcPr>
          <w:p>
            <w:pPr>
              <w:pStyle w:val="17"/>
              <w:rPr>
                <w:rFonts w:ascii="Times New Roman"/>
                <w:sz w:val="20"/>
              </w:rPr>
            </w:pPr>
          </w:p>
        </w:tc>
        <w:tc>
          <w:tcPr>
            <w:tcW w:w="978" w:type="dxa"/>
          </w:tcPr>
          <w:p>
            <w:pPr>
              <w:pStyle w:val="17"/>
              <w:rPr>
                <w:rFonts w:ascii="Times New Roman"/>
                <w:sz w:val="20"/>
              </w:rPr>
            </w:pPr>
          </w:p>
        </w:tc>
        <w:tc>
          <w:tcPr>
            <w:tcW w:w="1432" w:type="dxa"/>
          </w:tcPr>
          <w:p>
            <w:pPr>
              <w:pStyle w:val="17"/>
              <w:rPr>
                <w:rFonts w:ascii="Times New Roman"/>
                <w:sz w:val="20"/>
              </w:rPr>
            </w:pPr>
          </w:p>
        </w:tc>
        <w:tc>
          <w:tcPr>
            <w:tcW w:w="74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34" w:type="dxa"/>
          </w:tcPr>
          <w:p>
            <w:pPr>
              <w:pStyle w:val="17"/>
              <w:rPr>
                <w:rFonts w:ascii="Times New Roman"/>
                <w:sz w:val="20"/>
              </w:rPr>
            </w:pPr>
          </w:p>
        </w:tc>
        <w:tc>
          <w:tcPr>
            <w:tcW w:w="992" w:type="dxa"/>
          </w:tcPr>
          <w:p>
            <w:pPr>
              <w:pStyle w:val="17"/>
              <w:rPr>
                <w:rFonts w:ascii="Times New Roman"/>
                <w:sz w:val="20"/>
              </w:rPr>
            </w:pPr>
          </w:p>
        </w:tc>
        <w:tc>
          <w:tcPr>
            <w:tcW w:w="2551" w:type="dxa"/>
          </w:tcPr>
          <w:p>
            <w:pPr>
              <w:pStyle w:val="17"/>
              <w:rPr>
                <w:rFonts w:ascii="Times New Roman"/>
                <w:sz w:val="20"/>
              </w:rPr>
            </w:pPr>
          </w:p>
        </w:tc>
        <w:tc>
          <w:tcPr>
            <w:tcW w:w="709" w:type="dxa"/>
          </w:tcPr>
          <w:p>
            <w:pPr>
              <w:pStyle w:val="17"/>
              <w:rPr>
                <w:rFonts w:ascii="Times New Roman"/>
                <w:sz w:val="20"/>
              </w:rPr>
            </w:pPr>
          </w:p>
        </w:tc>
        <w:tc>
          <w:tcPr>
            <w:tcW w:w="798" w:type="dxa"/>
          </w:tcPr>
          <w:p>
            <w:pPr>
              <w:pStyle w:val="17"/>
              <w:rPr>
                <w:rFonts w:ascii="Times New Roman"/>
                <w:sz w:val="20"/>
              </w:rPr>
            </w:pPr>
          </w:p>
        </w:tc>
        <w:tc>
          <w:tcPr>
            <w:tcW w:w="1045" w:type="dxa"/>
          </w:tcPr>
          <w:p>
            <w:pPr>
              <w:pStyle w:val="17"/>
              <w:rPr>
                <w:rFonts w:ascii="Times New Roman"/>
                <w:sz w:val="20"/>
              </w:rPr>
            </w:pPr>
          </w:p>
        </w:tc>
        <w:tc>
          <w:tcPr>
            <w:tcW w:w="978" w:type="dxa"/>
          </w:tcPr>
          <w:p>
            <w:pPr>
              <w:pStyle w:val="17"/>
              <w:rPr>
                <w:rFonts w:ascii="Times New Roman"/>
                <w:sz w:val="20"/>
              </w:rPr>
            </w:pPr>
          </w:p>
        </w:tc>
        <w:tc>
          <w:tcPr>
            <w:tcW w:w="1432" w:type="dxa"/>
          </w:tcPr>
          <w:p>
            <w:pPr>
              <w:pStyle w:val="17"/>
              <w:rPr>
                <w:rFonts w:ascii="Times New Roman"/>
                <w:sz w:val="20"/>
              </w:rPr>
            </w:pPr>
          </w:p>
        </w:tc>
        <w:tc>
          <w:tcPr>
            <w:tcW w:w="74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34" w:type="dxa"/>
          </w:tcPr>
          <w:p>
            <w:pPr>
              <w:pStyle w:val="17"/>
              <w:rPr>
                <w:rFonts w:ascii="Times New Roman"/>
                <w:sz w:val="20"/>
              </w:rPr>
            </w:pPr>
          </w:p>
        </w:tc>
        <w:tc>
          <w:tcPr>
            <w:tcW w:w="992" w:type="dxa"/>
          </w:tcPr>
          <w:p>
            <w:pPr>
              <w:pStyle w:val="17"/>
              <w:rPr>
                <w:rFonts w:ascii="Times New Roman"/>
                <w:sz w:val="20"/>
              </w:rPr>
            </w:pPr>
          </w:p>
        </w:tc>
        <w:tc>
          <w:tcPr>
            <w:tcW w:w="2551" w:type="dxa"/>
          </w:tcPr>
          <w:p>
            <w:pPr>
              <w:pStyle w:val="17"/>
              <w:rPr>
                <w:rFonts w:ascii="Times New Roman"/>
                <w:sz w:val="20"/>
              </w:rPr>
            </w:pPr>
          </w:p>
        </w:tc>
        <w:tc>
          <w:tcPr>
            <w:tcW w:w="709" w:type="dxa"/>
          </w:tcPr>
          <w:p>
            <w:pPr>
              <w:pStyle w:val="17"/>
              <w:rPr>
                <w:rFonts w:ascii="Times New Roman"/>
                <w:sz w:val="20"/>
              </w:rPr>
            </w:pPr>
          </w:p>
        </w:tc>
        <w:tc>
          <w:tcPr>
            <w:tcW w:w="798" w:type="dxa"/>
          </w:tcPr>
          <w:p>
            <w:pPr>
              <w:pStyle w:val="17"/>
              <w:rPr>
                <w:rFonts w:ascii="Times New Roman"/>
                <w:sz w:val="20"/>
              </w:rPr>
            </w:pPr>
          </w:p>
        </w:tc>
        <w:tc>
          <w:tcPr>
            <w:tcW w:w="1045" w:type="dxa"/>
          </w:tcPr>
          <w:p>
            <w:pPr>
              <w:pStyle w:val="17"/>
              <w:rPr>
                <w:rFonts w:ascii="Times New Roman"/>
                <w:sz w:val="20"/>
              </w:rPr>
            </w:pPr>
          </w:p>
        </w:tc>
        <w:tc>
          <w:tcPr>
            <w:tcW w:w="978" w:type="dxa"/>
          </w:tcPr>
          <w:p>
            <w:pPr>
              <w:pStyle w:val="17"/>
              <w:rPr>
                <w:rFonts w:ascii="Times New Roman"/>
                <w:sz w:val="20"/>
              </w:rPr>
            </w:pPr>
          </w:p>
        </w:tc>
        <w:tc>
          <w:tcPr>
            <w:tcW w:w="1432" w:type="dxa"/>
          </w:tcPr>
          <w:p>
            <w:pPr>
              <w:pStyle w:val="17"/>
              <w:rPr>
                <w:rFonts w:ascii="Times New Roman"/>
                <w:sz w:val="20"/>
              </w:rPr>
            </w:pPr>
          </w:p>
        </w:tc>
        <w:tc>
          <w:tcPr>
            <w:tcW w:w="74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34" w:type="dxa"/>
          </w:tcPr>
          <w:p>
            <w:pPr>
              <w:pStyle w:val="17"/>
              <w:rPr>
                <w:rFonts w:ascii="Times New Roman"/>
                <w:sz w:val="20"/>
              </w:rPr>
            </w:pPr>
          </w:p>
        </w:tc>
        <w:tc>
          <w:tcPr>
            <w:tcW w:w="992" w:type="dxa"/>
          </w:tcPr>
          <w:p>
            <w:pPr>
              <w:pStyle w:val="17"/>
              <w:rPr>
                <w:rFonts w:ascii="Times New Roman"/>
                <w:sz w:val="20"/>
              </w:rPr>
            </w:pPr>
          </w:p>
        </w:tc>
        <w:tc>
          <w:tcPr>
            <w:tcW w:w="2551" w:type="dxa"/>
          </w:tcPr>
          <w:p>
            <w:pPr>
              <w:pStyle w:val="17"/>
              <w:rPr>
                <w:rFonts w:ascii="Times New Roman"/>
                <w:sz w:val="20"/>
              </w:rPr>
            </w:pPr>
          </w:p>
        </w:tc>
        <w:tc>
          <w:tcPr>
            <w:tcW w:w="709" w:type="dxa"/>
          </w:tcPr>
          <w:p>
            <w:pPr>
              <w:pStyle w:val="17"/>
              <w:rPr>
                <w:rFonts w:ascii="Times New Roman"/>
                <w:sz w:val="20"/>
              </w:rPr>
            </w:pPr>
          </w:p>
        </w:tc>
        <w:tc>
          <w:tcPr>
            <w:tcW w:w="798" w:type="dxa"/>
          </w:tcPr>
          <w:p>
            <w:pPr>
              <w:pStyle w:val="17"/>
              <w:rPr>
                <w:rFonts w:ascii="Times New Roman"/>
                <w:sz w:val="20"/>
              </w:rPr>
            </w:pPr>
          </w:p>
        </w:tc>
        <w:tc>
          <w:tcPr>
            <w:tcW w:w="1045" w:type="dxa"/>
          </w:tcPr>
          <w:p>
            <w:pPr>
              <w:pStyle w:val="17"/>
              <w:rPr>
                <w:rFonts w:ascii="Times New Roman"/>
                <w:sz w:val="20"/>
              </w:rPr>
            </w:pPr>
          </w:p>
        </w:tc>
        <w:tc>
          <w:tcPr>
            <w:tcW w:w="978" w:type="dxa"/>
          </w:tcPr>
          <w:p>
            <w:pPr>
              <w:pStyle w:val="17"/>
              <w:rPr>
                <w:rFonts w:ascii="Times New Roman"/>
                <w:sz w:val="20"/>
              </w:rPr>
            </w:pPr>
          </w:p>
        </w:tc>
        <w:tc>
          <w:tcPr>
            <w:tcW w:w="1432" w:type="dxa"/>
          </w:tcPr>
          <w:p>
            <w:pPr>
              <w:pStyle w:val="17"/>
              <w:rPr>
                <w:rFonts w:ascii="Times New Roman"/>
                <w:sz w:val="20"/>
              </w:rPr>
            </w:pPr>
          </w:p>
        </w:tc>
        <w:tc>
          <w:tcPr>
            <w:tcW w:w="74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34" w:type="dxa"/>
          </w:tcPr>
          <w:p>
            <w:pPr>
              <w:pStyle w:val="17"/>
              <w:rPr>
                <w:rFonts w:ascii="Times New Roman"/>
                <w:sz w:val="20"/>
              </w:rPr>
            </w:pPr>
          </w:p>
        </w:tc>
        <w:tc>
          <w:tcPr>
            <w:tcW w:w="992" w:type="dxa"/>
          </w:tcPr>
          <w:p>
            <w:pPr>
              <w:pStyle w:val="17"/>
              <w:rPr>
                <w:rFonts w:ascii="Times New Roman"/>
                <w:sz w:val="20"/>
              </w:rPr>
            </w:pPr>
          </w:p>
        </w:tc>
        <w:tc>
          <w:tcPr>
            <w:tcW w:w="2551" w:type="dxa"/>
          </w:tcPr>
          <w:p>
            <w:pPr>
              <w:pStyle w:val="17"/>
              <w:rPr>
                <w:rFonts w:ascii="Times New Roman"/>
                <w:sz w:val="20"/>
              </w:rPr>
            </w:pPr>
          </w:p>
        </w:tc>
        <w:tc>
          <w:tcPr>
            <w:tcW w:w="709" w:type="dxa"/>
          </w:tcPr>
          <w:p>
            <w:pPr>
              <w:pStyle w:val="17"/>
              <w:rPr>
                <w:rFonts w:ascii="Times New Roman"/>
                <w:sz w:val="20"/>
              </w:rPr>
            </w:pPr>
          </w:p>
        </w:tc>
        <w:tc>
          <w:tcPr>
            <w:tcW w:w="798" w:type="dxa"/>
          </w:tcPr>
          <w:p>
            <w:pPr>
              <w:pStyle w:val="17"/>
              <w:rPr>
                <w:rFonts w:ascii="Times New Roman"/>
                <w:sz w:val="20"/>
              </w:rPr>
            </w:pPr>
          </w:p>
        </w:tc>
        <w:tc>
          <w:tcPr>
            <w:tcW w:w="1045" w:type="dxa"/>
          </w:tcPr>
          <w:p>
            <w:pPr>
              <w:pStyle w:val="17"/>
              <w:rPr>
                <w:rFonts w:ascii="Times New Roman"/>
                <w:sz w:val="20"/>
              </w:rPr>
            </w:pPr>
          </w:p>
        </w:tc>
        <w:tc>
          <w:tcPr>
            <w:tcW w:w="978" w:type="dxa"/>
          </w:tcPr>
          <w:p>
            <w:pPr>
              <w:pStyle w:val="17"/>
              <w:rPr>
                <w:rFonts w:ascii="Times New Roman"/>
                <w:sz w:val="20"/>
              </w:rPr>
            </w:pPr>
          </w:p>
        </w:tc>
        <w:tc>
          <w:tcPr>
            <w:tcW w:w="1432" w:type="dxa"/>
          </w:tcPr>
          <w:p>
            <w:pPr>
              <w:pStyle w:val="17"/>
              <w:rPr>
                <w:rFonts w:ascii="Times New Roman"/>
                <w:sz w:val="20"/>
              </w:rPr>
            </w:pPr>
          </w:p>
        </w:tc>
        <w:tc>
          <w:tcPr>
            <w:tcW w:w="74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34" w:type="dxa"/>
          </w:tcPr>
          <w:p>
            <w:pPr>
              <w:pStyle w:val="17"/>
              <w:rPr>
                <w:rFonts w:ascii="Times New Roman"/>
                <w:sz w:val="20"/>
              </w:rPr>
            </w:pPr>
          </w:p>
        </w:tc>
        <w:tc>
          <w:tcPr>
            <w:tcW w:w="992" w:type="dxa"/>
          </w:tcPr>
          <w:p>
            <w:pPr>
              <w:pStyle w:val="17"/>
              <w:rPr>
                <w:rFonts w:ascii="Times New Roman"/>
                <w:sz w:val="20"/>
              </w:rPr>
            </w:pPr>
          </w:p>
        </w:tc>
        <w:tc>
          <w:tcPr>
            <w:tcW w:w="2551" w:type="dxa"/>
          </w:tcPr>
          <w:p>
            <w:pPr>
              <w:pStyle w:val="17"/>
              <w:rPr>
                <w:rFonts w:ascii="Times New Roman"/>
                <w:sz w:val="20"/>
              </w:rPr>
            </w:pPr>
          </w:p>
        </w:tc>
        <w:tc>
          <w:tcPr>
            <w:tcW w:w="709" w:type="dxa"/>
          </w:tcPr>
          <w:p>
            <w:pPr>
              <w:pStyle w:val="17"/>
              <w:rPr>
                <w:rFonts w:ascii="Times New Roman"/>
                <w:sz w:val="20"/>
              </w:rPr>
            </w:pPr>
          </w:p>
        </w:tc>
        <w:tc>
          <w:tcPr>
            <w:tcW w:w="798" w:type="dxa"/>
          </w:tcPr>
          <w:p>
            <w:pPr>
              <w:pStyle w:val="17"/>
              <w:rPr>
                <w:rFonts w:ascii="Times New Roman"/>
                <w:sz w:val="20"/>
              </w:rPr>
            </w:pPr>
          </w:p>
        </w:tc>
        <w:tc>
          <w:tcPr>
            <w:tcW w:w="1045" w:type="dxa"/>
          </w:tcPr>
          <w:p>
            <w:pPr>
              <w:pStyle w:val="17"/>
              <w:rPr>
                <w:rFonts w:ascii="Times New Roman"/>
                <w:sz w:val="20"/>
              </w:rPr>
            </w:pPr>
          </w:p>
        </w:tc>
        <w:tc>
          <w:tcPr>
            <w:tcW w:w="978" w:type="dxa"/>
          </w:tcPr>
          <w:p>
            <w:pPr>
              <w:pStyle w:val="17"/>
              <w:rPr>
                <w:rFonts w:ascii="Times New Roman"/>
                <w:sz w:val="20"/>
              </w:rPr>
            </w:pPr>
          </w:p>
        </w:tc>
        <w:tc>
          <w:tcPr>
            <w:tcW w:w="1432" w:type="dxa"/>
          </w:tcPr>
          <w:p>
            <w:pPr>
              <w:pStyle w:val="17"/>
              <w:rPr>
                <w:rFonts w:ascii="Times New Roman"/>
                <w:sz w:val="20"/>
              </w:rPr>
            </w:pPr>
          </w:p>
        </w:tc>
        <w:tc>
          <w:tcPr>
            <w:tcW w:w="74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34" w:type="dxa"/>
          </w:tcPr>
          <w:p>
            <w:pPr>
              <w:pStyle w:val="17"/>
              <w:rPr>
                <w:rFonts w:ascii="Times New Roman"/>
                <w:sz w:val="20"/>
              </w:rPr>
            </w:pPr>
          </w:p>
        </w:tc>
        <w:tc>
          <w:tcPr>
            <w:tcW w:w="992" w:type="dxa"/>
          </w:tcPr>
          <w:p>
            <w:pPr>
              <w:pStyle w:val="17"/>
              <w:rPr>
                <w:rFonts w:ascii="Times New Roman"/>
                <w:sz w:val="20"/>
              </w:rPr>
            </w:pPr>
          </w:p>
        </w:tc>
        <w:tc>
          <w:tcPr>
            <w:tcW w:w="2551" w:type="dxa"/>
          </w:tcPr>
          <w:p>
            <w:pPr>
              <w:pStyle w:val="17"/>
              <w:rPr>
                <w:rFonts w:ascii="Times New Roman"/>
                <w:sz w:val="20"/>
              </w:rPr>
            </w:pPr>
          </w:p>
        </w:tc>
        <w:tc>
          <w:tcPr>
            <w:tcW w:w="709" w:type="dxa"/>
          </w:tcPr>
          <w:p>
            <w:pPr>
              <w:pStyle w:val="17"/>
              <w:rPr>
                <w:rFonts w:ascii="Times New Roman"/>
                <w:sz w:val="20"/>
              </w:rPr>
            </w:pPr>
          </w:p>
        </w:tc>
        <w:tc>
          <w:tcPr>
            <w:tcW w:w="798" w:type="dxa"/>
          </w:tcPr>
          <w:p>
            <w:pPr>
              <w:pStyle w:val="17"/>
              <w:rPr>
                <w:rFonts w:ascii="Times New Roman"/>
                <w:sz w:val="20"/>
              </w:rPr>
            </w:pPr>
          </w:p>
        </w:tc>
        <w:tc>
          <w:tcPr>
            <w:tcW w:w="1045" w:type="dxa"/>
          </w:tcPr>
          <w:p>
            <w:pPr>
              <w:pStyle w:val="17"/>
              <w:rPr>
                <w:rFonts w:ascii="Times New Roman"/>
                <w:sz w:val="20"/>
              </w:rPr>
            </w:pPr>
          </w:p>
        </w:tc>
        <w:tc>
          <w:tcPr>
            <w:tcW w:w="978" w:type="dxa"/>
          </w:tcPr>
          <w:p>
            <w:pPr>
              <w:pStyle w:val="17"/>
              <w:rPr>
                <w:rFonts w:ascii="Times New Roman"/>
                <w:sz w:val="20"/>
              </w:rPr>
            </w:pPr>
          </w:p>
        </w:tc>
        <w:tc>
          <w:tcPr>
            <w:tcW w:w="1432" w:type="dxa"/>
          </w:tcPr>
          <w:p>
            <w:pPr>
              <w:pStyle w:val="17"/>
              <w:rPr>
                <w:rFonts w:ascii="Times New Roman"/>
                <w:sz w:val="20"/>
              </w:rPr>
            </w:pPr>
          </w:p>
        </w:tc>
        <w:tc>
          <w:tcPr>
            <w:tcW w:w="742" w:type="dxa"/>
          </w:tcPr>
          <w:p>
            <w:pPr>
              <w:pStyle w:val="17"/>
              <w:rPr>
                <w:rFonts w:ascii="Times New Roman"/>
                <w:sz w:val="20"/>
              </w:rPr>
            </w:pPr>
          </w:p>
        </w:tc>
      </w:tr>
    </w:tbl>
    <w:p>
      <w:pPr>
        <w:pStyle w:val="8"/>
        <w:tabs>
          <w:tab w:val="left" w:pos="7107"/>
        </w:tabs>
        <w:spacing w:before="1"/>
        <w:ind w:left="388"/>
      </w:pPr>
      <w:r>
        <w:t>编制人（造价员）：</w:t>
      </w:r>
      <w:r>
        <w:tab/>
      </w:r>
      <w:r>
        <w:t>复核人（工程师）：</w:t>
      </w:r>
    </w:p>
    <w:p>
      <w:pPr>
        <w:spacing w:before="0" w:line="367" w:lineRule="auto"/>
        <w:ind w:left="388" w:right="816" w:firstLine="0"/>
        <w:jc w:val="left"/>
        <w:rPr>
          <w:w w:val="95"/>
          <w:sz w:val="21"/>
        </w:rPr>
      </w:pPr>
      <w:r>
        <w:rPr>
          <w:w w:val="95"/>
          <w:sz w:val="21"/>
        </w:rPr>
        <w:t>注：1、“计算基础”中安全文明施工费可为“定额基价”、“定额人工费”或“定额人工费”+“定额   机械费”，其他项目可为“定额人工费”或“定额人工费”+“定额机械费”。</w:t>
      </w:r>
    </w:p>
    <w:p>
      <w:pPr>
        <w:spacing w:before="0" w:line="367" w:lineRule="auto"/>
        <w:ind w:left="388" w:right="816" w:firstLine="0"/>
        <w:jc w:val="left"/>
        <w:rPr>
          <w:sz w:val="21"/>
        </w:rPr>
      </w:pPr>
      <w:r>
        <w:rPr>
          <w:w w:val="95"/>
          <w:sz w:val="21"/>
        </w:rPr>
        <w:t>2、按施工方案计算的措施费，若无“计算基础”和“费率”的数值，也可只填“金额”数值，但应该   在备注栏说明施工方案出处或计算方式</w:t>
      </w:r>
    </w:p>
    <w:p>
      <w:pPr>
        <w:spacing w:after="0" w:line="367" w:lineRule="auto"/>
        <w:jc w:val="left"/>
        <w:rPr>
          <w:sz w:val="21"/>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11" o:spid="_x0000_s1211" o:spt="20" style="position:absolute;left:0pt;margin-left:62.4pt;margin-top:12.25pt;height:0pt;width:400.4pt;mso-position-horizontal-relative:page;z-index:25184563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388"/>
        <w:outlineLvl w:val="2"/>
      </w:pPr>
      <w:r>
        <w:t>（八）其他项目清单与计价汇总表</w:t>
      </w:r>
    </w:p>
    <w:p>
      <w:pPr>
        <w:pStyle w:val="8"/>
        <w:tabs>
          <w:tab w:val="left" w:pos="8187"/>
          <w:tab w:val="left" w:pos="8667"/>
          <w:tab w:val="left" w:pos="9387"/>
        </w:tabs>
        <w:spacing w:before="158"/>
        <w:ind w:left="388"/>
      </w:pPr>
      <w:r>
        <w:t>工程名称</w:t>
      </w:r>
      <w:r>
        <w:tab/>
      </w:r>
      <w:r>
        <w:t>第</w:t>
      </w:r>
      <w:r>
        <w:tab/>
      </w:r>
      <w:r>
        <w:t>页共</w:t>
      </w:r>
      <w:r>
        <w:tab/>
      </w:r>
      <w:r>
        <w:t>页</w:t>
      </w:r>
    </w:p>
    <w:p>
      <w:pPr>
        <w:pStyle w:val="8"/>
        <w:spacing w:before="5"/>
        <w:rPr>
          <w:sz w:val="12"/>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0"/>
        <w:gridCol w:w="2976"/>
        <w:gridCol w:w="1700"/>
        <w:gridCol w:w="1926"/>
        <w:gridCol w:w="19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00" w:type="dxa"/>
          </w:tcPr>
          <w:p>
            <w:pPr>
              <w:pStyle w:val="17"/>
              <w:spacing w:before="1"/>
              <w:ind w:left="108"/>
              <w:rPr>
                <w:sz w:val="24"/>
              </w:rPr>
            </w:pPr>
            <w:r>
              <w:rPr>
                <w:sz w:val="24"/>
              </w:rPr>
              <w:t>序号</w:t>
            </w:r>
          </w:p>
        </w:tc>
        <w:tc>
          <w:tcPr>
            <w:tcW w:w="2976" w:type="dxa"/>
          </w:tcPr>
          <w:p>
            <w:pPr>
              <w:pStyle w:val="17"/>
              <w:spacing w:before="1"/>
              <w:ind w:left="107"/>
              <w:rPr>
                <w:sz w:val="24"/>
              </w:rPr>
            </w:pPr>
            <w:r>
              <w:rPr>
                <w:sz w:val="24"/>
              </w:rPr>
              <w:t>项目名称</w:t>
            </w:r>
          </w:p>
        </w:tc>
        <w:tc>
          <w:tcPr>
            <w:tcW w:w="1700" w:type="dxa"/>
          </w:tcPr>
          <w:p>
            <w:pPr>
              <w:pStyle w:val="17"/>
              <w:spacing w:before="1"/>
              <w:ind w:left="107"/>
              <w:rPr>
                <w:sz w:val="24"/>
              </w:rPr>
            </w:pPr>
            <w:r>
              <w:rPr>
                <w:sz w:val="24"/>
              </w:rPr>
              <w:t>计量计价</w:t>
            </w:r>
          </w:p>
        </w:tc>
        <w:tc>
          <w:tcPr>
            <w:tcW w:w="1926" w:type="dxa"/>
          </w:tcPr>
          <w:p>
            <w:pPr>
              <w:pStyle w:val="17"/>
              <w:spacing w:before="1"/>
              <w:ind w:left="107"/>
              <w:rPr>
                <w:sz w:val="24"/>
              </w:rPr>
            </w:pPr>
            <w:r>
              <w:rPr>
                <w:sz w:val="24"/>
              </w:rPr>
              <w:t>金额</w:t>
            </w:r>
          </w:p>
        </w:tc>
        <w:tc>
          <w:tcPr>
            <w:tcW w:w="1926" w:type="dxa"/>
          </w:tcPr>
          <w:p>
            <w:pPr>
              <w:pStyle w:val="17"/>
              <w:spacing w:before="1"/>
              <w:ind w:left="108"/>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00" w:type="dxa"/>
          </w:tcPr>
          <w:p>
            <w:pPr>
              <w:pStyle w:val="17"/>
              <w:spacing w:before="2"/>
              <w:ind w:left="108"/>
              <w:rPr>
                <w:sz w:val="24"/>
              </w:rPr>
            </w:pPr>
            <w:r>
              <w:rPr>
                <w:sz w:val="24"/>
              </w:rPr>
              <w:t>1</w:t>
            </w:r>
          </w:p>
        </w:tc>
        <w:tc>
          <w:tcPr>
            <w:tcW w:w="2976" w:type="dxa"/>
          </w:tcPr>
          <w:p>
            <w:pPr>
              <w:pStyle w:val="17"/>
              <w:spacing w:before="2"/>
              <w:ind w:left="107"/>
              <w:rPr>
                <w:sz w:val="24"/>
              </w:rPr>
            </w:pPr>
            <w:r>
              <w:rPr>
                <w:sz w:val="24"/>
              </w:rPr>
              <w:t>暂列金额</w:t>
            </w:r>
          </w:p>
        </w:tc>
        <w:tc>
          <w:tcPr>
            <w:tcW w:w="1700" w:type="dxa"/>
          </w:tcPr>
          <w:p>
            <w:pPr>
              <w:pStyle w:val="17"/>
              <w:rPr>
                <w:rFonts w:ascii="Times New Roman"/>
                <w:sz w:val="22"/>
              </w:rPr>
            </w:pPr>
          </w:p>
        </w:tc>
        <w:tc>
          <w:tcPr>
            <w:tcW w:w="1926" w:type="dxa"/>
          </w:tcPr>
          <w:p>
            <w:pPr>
              <w:pStyle w:val="17"/>
              <w:rPr>
                <w:rFonts w:ascii="Times New Roman"/>
                <w:sz w:val="22"/>
              </w:rPr>
            </w:pPr>
          </w:p>
        </w:tc>
        <w:tc>
          <w:tcPr>
            <w:tcW w:w="192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100" w:type="dxa"/>
          </w:tcPr>
          <w:p>
            <w:pPr>
              <w:pStyle w:val="17"/>
              <w:ind w:left="108"/>
              <w:rPr>
                <w:sz w:val="24"/>
              </w:rPr>
            </w:pPr>
            <w:r>
              <w:rPr>
                <w:sz w:val="24"/>
              </w:rPr>
              <w:t>2</w:t>
            </w:r>
          </w:p>
        </w:tc>
        <w:tc>
          <w:tcPr>
            <w:tcW w:w="2976" w:type="dxa"/>
          </w:tcPr>
          <w:p>
            <w:pPr>
              <w:pStyle w:val="17"/>
              <w:ind w:left="107"/>
              <w:rPr>
                <w:sz w:val="24"/>
              </w:rPr>
            </w:pPr>
            <w:r>
              <w:rPr>
                <w:sz w:val="24"/>
              </w:rPr>
              <w:t>暂估价</w:t>
            </w:r>
          </w:p>
        </w:tc>
        <w:tc>
          <w:tcPr>
            <w:tcW w:w="1700" w:type="dxa"/>
          </w:tcPr>
          <w:p>
            <w:pPr>
              <w:pStyle w:val="17"/>
              <w:rPr>
                <w:rFonts w:ascii="Times New Roman"/>
                <w:sz w:val="22"/>
              </w:rPr>
            </w:pPr>
          </w:p>
        </w:tc>
        <w:tc>
          <w:tcPr>
            <w:tcW w:w="1926" w:type="dxa"/>
          </w:tcPr>
          <w:p>
            <w:pPr>
              <w:pStyle w:val="17"/>
              <w:rPr>
                <w:rFonts w:ascii="Times New Roman"/>
                <w:sz w:val="22"/>
              </w:rPr>
            </w:pPr>
          </w:p>
        </w:tc>
        <w:tc>
          <w:tcPr>
            <w:tcW w:w="192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00" w:type="dxa"/>
          </w:tcPr>
          <w:p>
            <w:pPr>
              <w:pStyle w:val="17"/>
              <w:rPr>
                <w:rFonts w:ascii="Times New Roman"/>
                <w:sz w:val="22"/>
              </w:rPr>
            </w:pPr>
          </w:p>
        </w:tc>
        <w:tc>
          <w:tcPr>
            <w:tcW w:w="2976" w:type="dxa"/>
          </w:tcPr>
          <w:p>
            <w:pPr>
              <w:pStyle w:val="17"/>
              <w:spacing w:before="2"/>
              <w:ind w:left="107"/>
              <w:rPr>
                <w:sz w:val="24"/>
              </w:rPr>
            </w:pPr>
            <w:r>
              <w:rPr>
                <w:sz w:val="24"/>
              </w:rPr>
              <w:t>材料（工程设备）暂估价</w:t>
            </w:r>
          </w:p>
        </w:tc>
        <w:tc>
          <w:tcPr>
            <w:tcW w:w="1700" w:type="dxa"/>
          </w:tcPr>
          <w:p>
            <w:pPr>
              <w:pStyle w:val="17"/>
              <w:rPr>
                <w:rFonts w:ascii="Times New Roman"/>
                <w:sz w:val="22"/>
              </w:rPr>
            </w:pPr>
          </w:p>
        </w:tc>
        <w:tc>
          <w:tcPr>
            <w:tcW w:w="1926" w:type="dxa"/>
          </w:tcPr>
          <w:p>
            <w:pPr>
              <w:pStyle w:val="17"/>
              <w:rPr>
                <w:rFonts w:ascii="Times New Roman"/>
                <w:sz w:val="22"/>
              </w:rPr>
            </w:pPr>
          </w:p>
        </w:tc>
        <w:tc>
          <w:tcPr>
            <w:tcW w:w="192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00" w:type="dxa"/>
          </w:tcPr>
          <w:p>
            <w:pPr>
              <w:pStyle w:val="17"/>
              <w:rPr>
                <w:rFonts w:ascii="Times New Roman"/>
                <w:sz w:val="22"/>
              </w:rPr>
            </w:pPr>
          </w:p>
        </w:tc>
        <w:tc>
          <w:tcPr>
            <w:tcW w:w="2976" w:type="dxa"/>
          </w:tcPr>
          <w:p>
            <w:pPr>
              <w:pStyle w:val="17"/>
              <w:spacing w:before="2"/>
              <w:ind w:left="107"/>
              <w:rPr>
                <w:sz w:val="24"/>
              </w:rPr>
            </w:pPr>
            <w:r>
              <w:rPr>
                <w:sz w:val="24"/>
              </w:rPr>
              <w:t>专业工程暂估价</w:t>
            </w:r>
          </w:p>
        </w:tc>
        <w:tc>
          <w:tcPr>
            <w:tcW w:w="1700" w:type="dxa"/>
          </w:tcPr>
          <w:p>
            <w:pPr>
              <w:pStyle w:val="17"/>
              <w:rPr>
                <w:rFonts w:ascii="Times New Roman"/>
                <w:sz w:val="22"/>
              </w:rPr>
            </w:pPr>
          </w:p>
        </w:tc>
        <w:tc>
          <w:tcPr>
            <w:tcW w:w="1926" w:type="dxa"/>
          </w:tcPr>
          <w:p>
            <w:pPr>
              <w:pStyle w:val="17"/>
              <w:rPr>
                <w:rFonts w:ascii="Times New Roman"/>
                <w:sz w:val="22"/>
              </w:rPr>
            </w:pPr>
          </w:p>
        </w:tc>
        <w:tc>
          <w:tcPr>
            <w:tcW w:w="192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00" w:type="dxa"/>
          </w:tcPr>
          <w:p>
            <w:pPr>
              <w:pStyle w:val="17"/>
              <w:spacing w:before="3"/>
              <w:ind w:left="108"/>
              <w:rPr>
                <w:sz w:val="24"/>
              </w:rPr>
            </w:pPr>
            <w:r>
              <w:rPr>
                <w:sz w:val="24"/>
              </w:rPr>
              <w:t>3</w:t>
            </w:r>
          </w:p>
        </w:tc>
        <w:tc>
          <w:tcPr>
            <w:tcW w:w="2976" w:type="dxa"/>
          </w:tcPr>
          <w:p>
            <w:pPr>
              <w:pStyle w:val="17"/>
              <w:spacing w:before="3"/>
              <w:ind w:left="107"/>
              <w:rPr>
                <w:sz w:val="24"/>
              </w:rPr>
            </w:pPr>
            <w:r>
              <w:rPr>
                <w:sz w:val="24"/>
              </w:rPr>
              <w:t>计日工</w:t>
            </w:r>
          </w:p>
        </w:tc>
        <w:tc>
          <w:tcPr>
            <w:tcW w:w="1700" w:type="dxa"/>
          </w:tcPr>
          <w:p>
            <w:pPr>
              <w:pStyle w:val="17"/>
              <w:rPr>
                <w:rFonts w:ascii="Times New Roman"/>
                <w:sz w:val="22"/>
              </w:rPr>
            </w:pPr>
          </w:p>
        </w:tc>
        <w:tc>
          <w:tcPr>
            <w:tcW w:w="1926" w:type="dxa"/>
          </w:tcPr>
          <w:p>
            <w:pPr>
              <w:pStyle w:val="17"/>
              <w:rPr>
                <w:rFonts w:ascii="Times New Roman"/>
                <w:sz w:val="22"/>
              </w:rPr>
            </w:pPr>
          </w:p>
        </w:tc>
        <w:tc>
          <w:tcPr>
            <w:tcW w:w="192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00" w:type="dxa"/>
          </w:tcPr>
          <w:p>
            <w:pPr>
              <w:pStyle w:val="17"/>
              <w:spacing w:before="1"/>
              <w:ind w:left="108"/>
              <w:rPr>
                <w:sz w:val="24"/>
              </w:rPr>
            </w:pPr>
            <w:r>
              <w:rPr>
                <w:sz w:val="24"/>
              </w:rPr>
              <w:t>4</w:t>
            </w:r>
          </w:p>
        </w:tc>
        <w:tc>
          <w:tcPr>
            <w:tcW w:w="2976" w:type="dxa"/>
          </w:tcPr>
          <w:p>
            <w:pPr>
              <w:pStyle w:val="17"/>
              <w:spacing w:before="1"/>
              <w:ind w:left="107"/>
              <w:rPr>
                <w:sz w:val="24"/>
              </w:rPr>
            </w:pPr>
            <w:r>
              <w:rPr>
                <w:sz w:val="24"/>
              </w:rPr>
              <w:t>总承包服务费</w:t>
            </w:r>
          </w:p>
        </w:tc>
        <w:tc>
          <w:tcPr>
            <w:tcW w:w="1700" w:type="dxa"/>
          </w:tcPr>
          <w:p>
            <w:pPr>
              <w:pStyle w:val="17"/>
              <w:rPr>
                <w:rFonts w:ascii="Times New Roman"/>
                <w:sz w:val="22"/>
              </w:rPr>
            </w:pPr>
          </w:p>
        </w:tc>
        <w:tc>
          <w:tcPr>
            <w:tcW w:w="1926" w:type="dxa"/>
          </w:tcPr>
          <w:p>
            <w:pPr>
              <w:pStyle w:val="17"/>
              <w:rPr>
                <w:rFonts w:ascii="Times New Roman"/>
                <w:sz w:val="22"/>
              </w:rPr>
            </w:pPr>
          </w:p>
        </w:tc>
        <w:tc>
          <w:tcPr>
            <w:tcW w:w="192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100" w:type="dxa"/>
          </w:tcPr>
          <w:p>
            <w:pPr>
              <w:pStyle w:val="17"/>
              <w:spacing w:before="2"/>
              <w:ind w:left="108"/>
              <w:rPr>
                <w:sz w:val="24"/>
              </w:rPr>
            </w:pPr>
            <w:r>
              <w:rPr>
                <w:sz w:val="24"/>
              </w:rPr>
              <w:t>5</w:t>
            </w:r>
          </w:p>
        </w:tc>
        <w:tc>
          <w:tcPr>
            <w:tcW w:w="2976" w:type="dxa"/>
          </w:tcPr>
          <w:p>
            <w:pPr>
              <w:pStyle w:val="17"/>
              <w:spacing w:before="2"/>
              <w:ind w:left="107"/>
              <w:rPr>
                <w:sz w:val="24"/>
              </w:rPr>
            </w:pPr>
            <w:r>
              <w:rPr>
                <w:sz w:val="24"/>
              </w:rPr>
              <w:t>索赔与现场签证</w:t>
            </w:r>
          </w:p>
        </w:tc>
        <w:tc>
          <w:tcPr>
            <w:tcW w:w="1700" w:type="dxa"/>
          </w:tcPr>
          <w:p>
            <w:pPr>
              <w:pStyle w:val="17"/>
              <w:rPr>
                <w:rFonts w:ascii="Times New Roman"/>
                <w:sz w:val="22"/>
              </w:rPr>
            </w:pPr>
          </w:p>
        </w:tc>
        <w:tc>
          <w:tcPr>
            <w:tcW w:w="1926" w:type="dxa"/>
          </w:tcPr>
          <w:p>
            <w:pPr>
              <w:pStyle w:val="17"/>
              <w:rPr>
                <w:rFonts w:ascii="Times New Roman"/>
                <w:sz w:val="22"/>
              </w:rPr>
            </w:pPr>
          </w:p>
        </w:tc>
        <w:tc>
          <w:tcPr>
            <w:tcW w:w="192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00" w:type="dxa"/>
          </w:tcPr>
          <w:p>
            <w:pPr>
              <w:pStyle w:val="17"/>
              <w:rPr>
                <w:rFonts w:ascii="Times New Roman"/>
                <w:sz w:val="22"/>
              </w:rPr>
            </w:pPr>
          </w:p>
        </w:tc>
        <w:tc>
          <w:tcPr>
            <w:tcW w:w="2976" w:type="dxa"/>
          </w:tcPr>
          <w:p>
            <w:pPr>
              <w:pStyle w:val="17"/>
              <w:rPr>
                <w:rFonts w:ascii="Times New Roman"/>
                <w:sz w:val="22"/>
              </w:rPr>
            </w:pPr>
          </w:p>
        </w:tc>
        <w:tc>
          <w:tcPr>
            <w:tcW w:w="1700" w:type="dxa"/>
          </w:tcPr>
          <w:p>
            <w:pPr>
              <w:pStyle w:val="17"/>
              <w:rPr>
                <w:rFonts w:ascii="Times New Roman"/>
                <w:sz w:val="22"/>
              </w:rPr>
            </w:pPr>
          </w:p>
        </w:tc>
        <w:tc>
          <w:tcPr>
            <w:tcW w:w="1926" w:type="dxa"/>
          </w:tcPr>
          <w:p>
            <w:pPr>
              <w:pStyle w:val="17"/>
              <w:rPr>
                <w:rFonts w:ascii="Times New Roman"/>
                <w:sz w:val="22"/>
              </w:rPr>
            </w:pPr>
          </w:p>
        </w:tc>
        <w:tc>
          <w:tcPr>
            <w:tcW w:w="192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00" w:type="dxa"/>
          </w:tcPr>
          <w:p>
            <w:pPr>
              <w:pStyle w:val="17"/>
              <w:rPr>
                <w:rFonts w:ascii="Times New Roman"/>
                <w:sz w:val="22"/>
              </w:rPr>
            </w:pPr>
          </w:p>
        </w:tc>
        <w:tc>
          <w:tcPr>
            <w:tcW w:w="2976" w:type="dxa"/>
          </w:tcPr>
          <w:p>
            <w:pPr>
              <w:pStyle w:val="17"/>
              <w:rPr>
                <w:rFonts w:ascii="Times New Roman"/>
                <w:sz w:val="22"/>
              </w:rPr>
            </w:pPr>
          </w:p>
        </w:tc>
        <w:tc>
          <w:tcPr>
            <w:tcW w:w="1700" w:type="dxa"/>
          </w:tcPr>
          <w:p>
            <w:pPr>
              <w:pStyle w:val="17"/>
              <w:rPr>
                <w:rFonts w:ascii="Times New Roman"/>
                <w:sz w:val="22"/>
              </w:rPr>
            </w:pPr>
          </w:p>
        </w:tc>
        <w:tc>
          <w:tcPr>
            <w:tcW w:w="1926" w:type="dxa"/>
          </w:tcPr>
          <w:p>
            <w:pPr>
              <w:pStyle w:val="17"/>
              <w:rPr>
                <w:rFonts w:ascii="Times New Roman"/>
                <w:sz w:val="22"/>
              </w:rPr>
            </w:pPr>
          </w:p>
        </w:tc>
        <w:tc>
          <w:tcPr>
            <w:tcW w:w="192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100" w:type="dxa"/>
          </w:tcPr>
          <w:p>
            <w:pPr>
              <w:pStyle w:val="17"/>
              <w:rPr>
                <w:rFonts w:ascii="Times New Roman"/>
                <w:sz w:val="22"/>
              </w:rPr>
            </w:pPr>
          </w:p>
        </w:tc>
        <w:tc>
          <w:tcPr>
            <w:tcW w:w="2976" w:type="dxa"/>
          </w:tcPr>
          <w:p>
            <w:pPr>
              <w:pStyle w:val="17"/>
              <w:rPr>
                <w:rFonts w:ascii="Times New Roman"/>
                <w:sz w:val="22"/>
              </w:rPr>
            </w:pPr>
          </w:p>
        </w:tc>
        <w:tc>
          <w:tcPr>
            <w:tcW w:w="1700" w:type="dxa"/>
          </w:tcPr>
          <w:p>
            <w:pPr>
              <w:pStyle w:val="17"/>
              <w:rPr>
                <w:rFonts w:ascii="Times New Roman"/>
                <w:sz w:val="22"/>
              </w:rPr>
            </w:pPr>
          </w:p>
        </w:tc>
        <w:tc>
          <w:tcPr>
            <w:tcW w:w="1926" w:type="dxa"/>
          </w:tcPr>
          <w:p>
            <w:pPr>
              <w:pStyle w:val="17"/>
              <w:rPr>
                <w:rFonts w:ascii="Times New Roman"/>
                <w:sz w:val="22"/>
              </w:rPr>
            </w:pPr>
          </w:p>
        </w:tc>
        <w:tc>
          <w:tcPr>
            <w:tcW w:w="192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100" w:type="dxa"/>
          </w:tcPr>
          <w:p>
            <w:pPr>
              <w:pStyle w:val="17"/>
              <w:rPr>
                <w:rFonts w:ascii="Times New Roman"/>
                <w:sz w:val="22"/>
              </w:rPr>
            </w:pPr>
          </w:p>
        </w:tc>
        <w:tc>
          <w:tcPr>
            <w:tcW w:w="2976" w:type="dxa"/>
          </w:tcPr>
          <w:p>
            <w:pPr>
              <w:pStyle w:val="17"/>
              <w:rPr>
                <w:rFonts w:ascii="Times New Roman"/>
                <w:sz w:val="22"/>
              </w:rPr>
            </w:pPr>
          </w:p>
        </w:tc>
        <w:tc>
          <w:tcPr>
            <w:tcW w:w="1700" w:type="dxa"/>
          </w:tcPr>
          <w:p>
            <w:pPr>
              <w:pStyle w:val="17"/>
              <w:rPr>
                <w:rFonts w:ascii="Times New Roman"/>
                <w:sz w:val="22"/>
              </w:rPr>
            </w:pPr>
          </w:p>
        </w:tc>
        <w:tc>
          <w:tcPr>
            <w:tcW w:w="1926" w:type="dxa"/>
          </w:tcPr>
          <w:p>
            <w:pPr>
              <w:pStyle w:val="17"/>
              <w:rPr>
                <w:rFonts w:ascii="Times New Roman"/>
                <w:sz w:val="22"/>
              </w:rPr>
            </w:pPr>
          </w:p>
        </w:tc>
        <w:tc>
          <w:tcPr>
            <w:tcW w:w="192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00" w:type="dxa"/>
          </w:tcPr>
          <w:p>
            <w:pPr>
              <w:pStyle w:val="17"/>
              <w:rPr>
                <w:rFonts w:ascii="Times New Roman"/>
                <w:sz w:val="22"/>
              </w:rPr>
            </w:pPr>
          </w:p>
        </w:tc>
        <w:tc>
          <w:tcPr>
            <w:tcW w:w="2976" w:type="dxa"/>
          </w:tcPr>
          <w:p>
            <w:pPr>
              <w:pStyle w:val="17"/>
              <w:rPr>
                <w:rFonts w:ascii="Times New Roman"/>
                <w:sz w:val="22"/>
              </w:rPr>
            </w:pPr>
          </w:p>
        </w:tc>
        <w:tc>
          <w:tcPr>
            <w:tcW w:w="1700" w:type="dxa"/>
          </w:tcPr>
          <w:p>
            <w:pPr>
              <w:pStyle w:val="17"/>
              <w:rPr>
                <w:rFonts w:ascii="Times New Roman"/>
                <w:sz w:val="22"/>
              </w:rPr>
            </w:pPr>
          </w:p>
        </w:tc>
        <w:tc>
          <w:tcPr>
            <w:tcW w:w="1926" w:type="dxa"/>
          </w:tcPr>
          <w:p>
            <w:pPr>
              <w:pStyle w:val="17"/>
              <w:rPr>
                <w:rFonts w:ascii="Times New Roman"/>
                <w:sz w:val="22"/>
              </w:rPr>
            </w:pPr>
          </w:p>
        </w:tc>
        <w:tc>
          <w:tcPr>
            <w:tcW w:w="192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100" w:type="dxa"/>
          </w:tcPr>
          <w:p>
            <w:pPr>
              <w:pStyle w:val="17"/>
              <w:rPr>
                <w:rFonts w:ascii="Times New Roman"/>
                <w:sz w:val="22"/>
              </w:rPr>
            </w:pPr>
          </w:p>
        </w:tc>
        <w:tc>
          <w:tcPr>
            <w:tcW w:w="2976" w:type="dxa"/>
          </w:tcPr>
          <w:p>
            <w:pPr>
              <w:pStyle w:val="17"/>
              <w:rPr>
                <w:rFonts w:ascii="Times New Roman"/>
                <w:sz w:val="22"/>
              </w:rPr>
            </w:pPr>
          </w:p>
        </w:tc>
        <w:tc>
          <w:tcPr>
            <w:tcW w:w="1700" w:type="dxa"/>
          </w:tcPr>
          <w:p>
            <w:pPr>
              <w:pStyle w:val="17"/>
              <w:rPr>
                <w:rFonts w:ascii="Times New Roman"/>
                <w:sz w:val="22"/>
              </w:rPr>
            </w:pPr>
          </w:p>
        </w:tc>
        <w:tc>
          <w:tcPr>
            <w:tcW w:w="1926" w:type="dxa"/>
          </w:tcPr>
          <w:p>
            <w:pPr>
              <w:pStyle w:val="17"/>
              <w:rPr>
                <w:rFonts w:ascii="Times New Roman"/>
                <w:sz w:val="22"/>
              </w:rPr>
            </w:pPr>
          </w:p>
        </w:tc>
        <w:tc>
          <w:tcPr>
            <w:tcW w:w="192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00" w:type="dxa"/>
          </w:tcPr>
          <w:p>
            <w:pPr>
              <w:pStyle w:val="17"/>
              <w:rPr>
                <w:rFonts w:ascii="Times New Roman"/>
                <w:sz w:val="22"/>
              </w:rPr>
            </w:pPr>
          </w:p>
        </w:tc>
        <w:tc>
          <w:tcPr>
            <w:tcW w:w="2976" w:type="dxa"/>
          </w:tcPr>
          <w:p>
            <w:pPr>
              <w:pStyle w:val="17"/>
              <w:rPr>
                <w:rFonts w:ascii="Times New Roman"/>
                <w:sz w:val="22"/>
              </w:rPr>
            </w:pPr>
          </w:p>
        </w:tc>
        <w:tc>
          <w:tcPr>
            <w:tcW w:w="1700" w:type="dxa"/>
          </w:tcPr>
          <w:p>
            <w:pPr>
              <w:pStyle w:val="17"/>
              <w:rPr>
                <w:rFonts w:ascii="Times New Roman"/>
                <w:sz w:val="22"/>
              </w:rPr>
            </w:pPr>
          </w:p>
        </w:tc>
        <w:tc>
          <w:tcPr>
            <w:tcW w:w="1926" w:type="dxa"/>
          </w:tcPr>
          <w:p>
            <w:pPr>
              <w:pStyle w:val="17"/>
              <w:rPr>
                <w:rFonts w:ascii="Times New Roman"/>
                <w:sz w:val="22"/>
              </w:rPr>
            </w:pPr>
          </w:p>
        </w:tc>
        <w:tc>
          <w:tcPr>
            <w:tcW w:w="192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00" w:type="dxa"/>
          </w:tcPr>
          <w:p>
            <w:pPr>
              <w:pStyle w:val="17"/>
              <w:rPr>
                <w:rFonts w:ascii="Times New Roman"/>
                <w:sz w:val="22"/>
              </w:rPr>
            </w:pPr>
          </w:p>
        </w:tc>
        <w:tc>
          <w:tcPr>
            <w:tcW w:w="2976" w:type="dxa"/>
          </w:tcPr>
          <w:p>
            <w:pPr>
              <w:pStyle w:val="17"/>
              <w:rPr>
                <w:rFonts w:ascii="Times New Roman"/>
                <w:sz w:val="22"/>
              </w:rPr>
            </w:pPr>
          </w:p>
        </w:tc>
        <w:tc>
          <w:tcPr>
            <w:tcW w:w="1700" w:type="dxa"/>
          </w:tcPr>
          <w:p>
            <w:pPr>
              <w:pStyle w:val="17"/>
              <w:rPr>
                <w:rFonts w:ascii="Times New Roman"/>
                <w:sz w:val="22"/>
              </w:rPr>
            </w:pPr>
          </w:p>
        </w:tc>
        <w:tc>
          <w:tcPr>
            <w:tcW w:w="1926" w:type="dxa"/>
          </w:tcPr>
          <w:p>
            <w:pPr>
              <w:pStyle w:val="17"/>
              <w:rPr>
                <w:rFonts w:ascii="Times New Roman"/>
                <w:sz w:val="22"/>
              </w:rPr>
            </w:pPr>
          </w:p>
        </w:tc>
        <w:tc>
          <w:tcPr>
            <w:tcW w:w="192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100" w:type="dxa"/>
          </w:tcPr>
          <w:p>
            <w:pPr>
              <w:pStyle w:val="17"/>
              <w:rPr>
                <w:rFonts w:ascii="Times New Roman"/>
                <w:sz w:val="22"/>
              </w:rPr>
            </w:pPr>
          </w:p>
        </w:tc>
        <w:tc>
          <w:tcPr>
            <w:tcW w:w="2976" w:type="dxa"/>
          </w:tcPr>
          <w:p>
            <w:pPr>
              <w:pStyle w:val="17"/>
              <w:rPr>
                <w:rFonts w:ascii="Times New Roman"/>
                <w:sz w:val="22"/>
              </w:rPr>
            </w:pPr>
          </w:p>
        </w:tc>
        <w:tc>
          <w:tcPr>
            <w:tcW w:w="1700" w:type="dxa"/>
          </w:tcPr>
          <w:p>
            <w:pPr>
              <w:pStyle w:val="17"/>
              <w:rPr>
                <w:rFonts w:ascii="Times New Roman"/>
                <w:sz w:val="22"/>
              </w:rPr>
            </w:pPr>
          </w:p>
        </w:tc>
        <w:tc>
          <w:tcPr>
            <w:tcW w:w="1926" w:type="dxa"/>
          </w:tcPr>
          <w:p>
            <w:pPr>
              <w:pStyle w:val="17"/>
              <w:rPr>
                <w:rFonts w:ascii="Times New Roman"/>
                <w:sz w:val="22"/>
              </w:rPr>
            </w:pPr>
          </w:p>
        </w:tc>
        <w:tc>
          <w:tcPr>
            <w:tcW w:w="192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00" w:type="dxa"/>
          </w:tcPr>
          <w:p>
            <w:pPr>
              <w:pStyle w:val="17"/>
              <w:rPr>
                <w:rFonts w:ascii="Times New Roman"/>
                <w:sz w:val="22"/>
              </w:rPr>
            </w:pPr>
          </w:p>
        </w:tc>
        <w:tc>
          <w:tcPr>
            <w:tcW w:w="2976" w:type="dxa"/>
          </w:tcPr>
          <w:p>
            <w:pPr>
              <w:pStyle w:val="17"/>
              <w:rPr>
                <w:rFonts w:ascii="Times New Roman"/>
                <w:sz w:val="22"/>
              </w:rPr>
            </w:pPr>
          </w:p>
        </w:tc>
        <w:tc>
          <w:tcPr>
            <w:tcW w:w="1700" w:type="dxa"/>
          </w:tcPr>
          <w:p>
            <w:pPr>
              <w:pStyle w:val="17"/>
              <w:rPr>
                <w:rFonts w:ascii="Times New Roman"/>
                <w:sz w:val="22"/>
              </w:rPr>
            </w:pPr>
          </w:p>
        </w:tc>
        <w:tc>
          <w:tcPr>
            <w:tcW w:w="1926" w:type="dxa"/>
          </w:tcPr>
          <w:p>
            <w:pPr>
              <w:pStyle w:val="17"/>
              <w:rPr>
                <w:rFonts w:ascii="Times New Roman"/>
                <w:sz w:val="22"/>
              </w:rPr>
            </w:pPr>
          </w:p>
        </w:tc>
        <w:tc>
          <w:tcPr>
            <w:tcW w:w="192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100" w:type="dxa"/>
          </w:tcPr>
          <w:p>
            <w:pPr>
              <w:pStyle w:val="17"/>
              <w:rPr>
                <w:rFonts w:ascii="Times New Roman"/>
                <w:sz w:val="22"/>
              </w:rPr>
            </w:pPr>
          </w:p>
        </w:tc>
        <w:tc>
          <w:tcPr>
            <w:tcW w:w="2976" w:type="dxa"/>
          </w:tcPr>
          <w:p>
            <w:pPr>
              <w:pStyle w:val="17"/>
              <w:rPr>
                <w:rFonts w:ascii="Times New Roman"/>
                <w:sz w:val="22"/>
              </w:rPr>
            </w:pPr>
          </w:p>
        </w:tc>
        <w:tc>
          <w:tcPr>
            <w:tcW w:w="1700" w:type="dxa"/>
          </w:tcPr>
          <w:p>
            <w:pPr>
              <w:pStyle w:val="17"/>
              <w:rPr>
                <w:rFonts w:ascii="Times New Roman"/>
                <w:sz w:val="22"/>
              </w:rPr>
            </w:pPr>
          </w:p>
        </w:tc>
        <w:tc>
          <w:tcPr>
            <w:tcW w:w="1926" w:type="dxa"/>
          </w:tcPr>
          <w:p>
            <w:pPr>
              <w:pStyle w:val="17"/>
              <w:rPr>
                <w:rFonts w:ascii="Times New Roman"/>
                <w:sz w:val="22"/>
              </w:rPr>
            </w:pPr>
          </w:p>
        </w:tc>
        <w:tc>
          <w:tcPr>
            <w:tcW w:w="192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076" w:type="dxa"/>
            <w:gridSpan w:val="2"/>
          </w:tcPr>
          <w:p>
            <w:pPr>
              <w:pStyle w:val="17"/>
              <w:spacing w:before="1"/>
              <w:ind w:left="108"/>
              <w:rPr>
                <w:sz w:val="24"/>
              </w:rPr>
            </w:pPr>
            <w:r>
              <w:rPr>
                <w:sz w:val="24"/>
              </w:rPr>
              <w:t>合计</w:t>
            </w:r>
          </w:p>
        </w:tc>
        <w:tc>
          <w:tcPr>
            <w:tcW w:w="1700" w:type="dxa"/>
          </w:tcPr>
          <w:p>
            <w:pPr>
              <w:pStyle w:val="17"/>
              <w:rPr>
                <w:rFonts w:ascii="Times New Roman"/>
                <w:sz w:val="22"/>
              </w:rPr>
            </w:pPr>
          </w:p>
        </w:tc>
        <w:tc>
          <w:tcPr>
            <w:tcW w:w="1926" w:type="dxa"/>
          </w:tcPr>
          <w:p>
            <w:pPr>
              <w:pStyle w:val="17"/>
              <w:rPr>
                <w:rFonts w:ascii="Times New Roman"/>
                <w:sz w:val="22"/>
              </w:rPr>
            </w:pPr>
          </w:p>
        </w:tc>
        <w:tc>
          <w:tcPr>
            <w:tcW w:w="1926" w:type="dxa"/>
          </w:tcPr>
          <w:p>
            <w:pPr>
              <w:pStyle w:val="17"/>
              <w:spacing w:before="1"/>
              <w:ind w:left="108"/>
              <w:rPr>
                <w:sz w:val="24"/>
              </w:rPr>
            </w:pPr>
            <w:r>
              <w:rPr>
                <w:sz w:val="24"/>
              </w:rPr>
              <w:t>/</w:t>
            </w:r>
          </w:p>
        </w:tc>
      </w:tr>
    </w:tbl>
    <w:p>
      <w:pPr>
        <w:pStyle w:val="8"/>
        <w:spacing w:before="2"/>
        <w:ind w:left="388"/>
      </w:pPr>
      <w:r>
        <w:t>注：材料（工程设备）暂估单价进入清单项目综合单价，此处不汇总</w:t>
      </w:r>
    </w:p>
    <w:p>
      <w:pPr>
        <w:spacing w:after="0"/>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12" o:spid="_x0000_s1212" o:spt="20" style="position:absolute;left:0pt;margin-left:62.4pt;margin-top:12.25pt;height:0pt;width:400.4pt;mso-position-horizontal-relative:page;z-index:25184665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388"/>
        <w:outlineLvl w:val="2"/>
      </w:pPr>
      <w:r>
        <w:t>（九）暂列金额明细表</w:t>
      </w:r>
    </w:p>
    <w:p>
      <w:pPr>
        <w:pStyle w:val="8"/>
        <w:tabs>
          <w:tab w:val="left" w:pos="8187"/>
          <w:tab w:val="left" w:pos="8667"/>
          <w:tab w:val="left" w:pos="9387"/>
        </w:tabs>
        <w:spacing w:before="158"/>
        <w:ind w:left="388"/>
      </w:pPr>
      <w:r>
        <w:t>工程名称</w:t>
      </w:r>
      <w:r>
        <w:tab/>
      </w:r>
      <w:r>
        <w:t>第</w:t>
      </w:r>
      <w:r>
        <w:tab/>
      </w:r>
      <w:r>
        <w:t>页共</w:t>
      </w:r>
      <w:r>
        <w:tab/>
      </w:r>
      <w:r>
        <w:t>页</w:t>
      </w:r>
    </w:p>
    <w:p>
      <w:pPr>
        <w:pStyle w:val="8"/>
        <w:spacing w:before="5"/>
        <w:rPr>
          <w:sz w:val="12"/>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24"/>
        <w:gridCol w:w="1926"/>
        <w:gridCol w:w="1926"/>
        <w:gridCol w:w="1926"/>
        <w:gridCol w:w="19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24" w:type="dxa"/>
          </w:tcPr>
          <w:p>
            <w:pPr>
              <w:pStyle w:val="17"/>
              <w:spacing w:before="1"/>
              <w:ind w:left="108"/>
              <w:rPr>
                <w:sz w:val="24"/>
              </w:rPr>
            </w:pPr>
            <w:r>
              <w:rPr>
                <w:sz w:val="24"/>
              </w:rPr>
              <w:t>序号</w:t>
            </w:r>
          </w:p>
        </w:tc>
        <w:tc>
          <w:tcPr>
            <w:tcW w:w="1926" w:type="dxa"/>
          </w:tcPr>
          <w:p>
            <w:pPr>
              <w:pStyle w:val="17"/>
              <w:spacing w:before="1"/>
              <w:ind w:left="107"/>
              <w:rPr>
                <w:sz w:val="24"/>
              </w:rPr>
            </w:pPr>
            <w:r>
              <w:rPr>
                <w:sz w:val="24"/>
              </w:rPr>
              <w:t>名称</w:t>
            </w:r>
          </w:p>
        </w:tc>
        <w:tc>
          <w:tcPr>
            <w:tcW w:w="1926" w:type="dxa"/>
          </w:tcPr>
          <w:p>
            <w:pPr>
              <w:pStyle w:val="17"/>
              <w:spacing w:before="1"/>
              <w:ind w:left="108"/>
              <w:rPr>
                <w:sz w:val="24"/>
              </w:rPr>
            </w:pPr>
            <w:r>
              <w:rPr>
                <w:sz w:val="24"/>
              </w:rPr>
              <w:t>计量单位</w:t>
            </w:r>
          </w:p>
        </w:tc>
        <w:tc>
          <w:tcPr>
            <w:tcW w:w="1926" w:type="dxa"/>
          </w:tcPr>
          <w:p>
            <w:pPr>
              <w:pStyle w:val="17"/>
              <w:spacing w:before="1"/>
              <w:ind w:left="107"/>
              <w:rPr>
                <w:sz w:val="24"/>
              </w:rPr>
            </w:pPr>
            <w:r>
              <w:rPr>
                <w:sz w:val="24"/>
              </w:rPr>
              <w:t>暂定金额（元）</w:t>
            </w:r>
          </w:p>
        </w:tc>
        <w:tc>
          <w:tcPr>
            <w:tcW w:w="1926" w:type="dxa"/>
          </w:tcPr>
          <w:p>
            <w:pPr>
              <w:pStyle w:val="17"/>
              <w:spacing w:before="1"/>
              <w:ind w:left="108"/>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24"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924"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24"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24"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24"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24"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924"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24"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24"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924"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924"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24"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924"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24"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24"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924"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24"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924"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24"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c>
          <w:tcPr>
            <w:tcW w:w="1926" w:type="dxa"/>
          </w:tcPr>
          <w:p>
            <w:pPr>
              <w:pStyle w:val="17"/>
              <w:rPr>
                <w:rFonts w:ascii="Times New Roman"/>
                <w:sz w:val="20"/>
              </w:rPr>
            </w:pPr>
          </w:p>
        </w:tc>
      </w:tr>
    </w:tbl>
    <w:p>
      <w:pPr>
        <w:spacing w:after="0"/>
        <w:rPr>
          <w:rFonts w:ascii="Times New Roman"/>
          <w:sz w:val="20"/>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13" o:spid="_x0000_s1213" o:spt="20" style="position:absolute;left:0pt;margin-left:62.4pt;margin-top:12.25pt;height:0pt;width:400.4pt;mso-position-horizontal-relative:page;z-index:25184768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388"/>
        <w:outlineLvl w:val="2"/>
      </w:pPr>
      <w:r>
        <w:t>（十）材料（工程设备）暂估单价表</w:t>
      </w:r>
    </w:p>
    <w:p>
      <w:pPr>
        <w:pStyle w:val="8"/>
        <w:tabs>
          <w:tab w:val="left" w:pos="7827"/>
          <w:tab w:val="left" w:pos="8307"/>
          <w:tab w:val="left" w:pos="9147"/>
        </w:tabs>
        <w:spacing w:before="158"/>
        <w:ind w:left="388"/>
      </w:pPr>
      <w:r>
        <w:t>工程名称</w:t>
      </w:r>
      <w:r>
        <w:tab/>
      </w:r>
      <w:r>
        <w:t>第</w:t>
      </w:r>
      <w:r>
        <w:tab/>
      </w:r>
      <w:r>
        <w:t>页共</w:t>
      </w:r>
      <w:r>
        <w:tab/>
      </w:r>
      <w:r>
        <w:t>页</w:t>
      </w:r>
    </w:p>
    <w:p>
      <w:pPr>
        <w:pStyle w:val="8"/>
        <w:spacing w:before="5"/>
        <w:rPr>
          <w:sz w:val="12"/>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5"/>
        <w:gridCol w:w="1182"/>
        <w:gridCol w:w="1359"/>
        <w:gridCol w:w="1091"/>
        <w:gridCol w:w="535"/>
        <w:gridCol w:w="571"/>
        <w:gridCol w:w="535"/>
        <w:gridCol w:w="567"/>
        <w:gridCol w:w="567"/>
        <w:gridCol w:w="567"/>
        <w:gridCol w:w="559"/>
        <w:gridCol w:w="575"/>
        <w:gridCol w:w="10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505" w:type="dxa"/>
            <w:vMerge w:val="restart"/>
          </w:tcPr>
          <w:p>
            <w:pPr>
              <w:pStyle w:val="17"/>
              <w:rPr>
                <w:sz w:val="24"/>
              </w:rPr>
            </w:pPr>
          </w:p>
          <w:p>
            <w:pPr>
              <w:pStyle w:val="17"/>
              <w:spacing w:before="164" w:line="362" w:lineRule="auto"/>
              <w:ind w:left="132" w:right="120"/>
              <w:rPr>
                <w:sz w:val="24"/>
              </w:rPr>
            </w:pPr>
            <w:r>
              <w:rPr>
                <w:sz w:val="24"/>
              </w:rPr>
              <w:t>序号</w:t>
            </w:r>
          </w:p>
        </w:tc>
        <w:tc>
          <w:tcPr>
            <w:tcW w:w="1182" w:type="dxa"/>
            <w:vMerge w:val="restart"/>
          </w:tcPr>
          <w:p>
            <w:pPr>
              <w:pStyle w:val="17"/>
              <w:rPr>
                <w:sz w:val="24"/>
              </w:rPr>
            </w:pPr>
          </w:p>
          <w:p>
            <w:pPr>
              <w:pStyle w:val="17"/>
              <w:spacing w:before="2"/>
              <w:rPr>
                <w:sz w:val="31"/>
              </w:rPr>
            </w:pPr>
          </w:p>
          <w:p>
            <w:pPr>
              <w:pStyle w:val="17"/>
              <w:ind w:left="110"/>
              <w:rPr>
                <w:sz w:val="24"/>
              </w:rPr>
            </w:pPr>
            <w:r>
              <w:rPr>
                <w:sz w:val="24"/>
              </w:rPr>
              <w:t>材料编码</w:t>
            </w:r>
          </w:p>
        </w:tc>
        <w:tc>
          <w:tcPr>
            <w:tcW w:w="1359" w:type="dxa"/>
            <w:vMerge w:val="restart"/>
          </w:tcPr>
          <w:p>
            <w:pPr>
              <w:pStyle w:val="17"/>
              <w:spacing w:before="6" w:line="362" w:lineRule="auto"/>
              <w:ind w:left="106" w:right="40" w:hanging="56"/>
              <w:jc w:val="center"/>
              <w:rPr>
                <w:sz w:val="24"/>
              </w:rPr>
            </w:pPr>
            <w:r>
              <w:rPr>
                <w:spacing w:val="-28"/>
                <w:sz w:val="24"/>
              </w:rPr>
              <w:t>材料</w:t>
            </w:r>
            <w:r>
              <w:rPr>
                <w:sz w:val="24"/>
              </w:rPr>
              <w:t xml:space="preserve">（工程设备）名 </w:t>
            </w:r>
            <w:r>
              <w:rPr>
                <w:spacing w:val="-4"/>
                <w:sz w:val="24"/>
              </w:rPr>
              <w:t>称、规格、</w:t>
            </w:r>
          </w:p>
          <w:p>
            <w:pPr>
              <w:pStyle w:val="17"/>
              <w:spacing w:before="6"/>
              <w:ind w:left="417" w:right="411"/>
              <w:jc w:val="center"/>
              <w:rPr>
                <w:sz w:val="24"/>
              </w:rPr>
            </w:pPr>
            <w:r>
              <w:rPr>
                <w:sz w:val="24"/>
              </w:rPr>
              <w:t>型号</w:t>
            </w:r>
          </w:p>
        </w:tc>
        <w:tc>
          <w:tcPr>
            <w:tcW w:w="1091" w:type="dxa"/>
            <w:vMerge w:val="restart"/>
          </w:tcPr>
          <w:p>
            <w:pPr>
              <w:pStyle w:val="17"/>
              <w:rPr>
                <w:sz w:val="24"/>
              </w:rPr>
            </w:pPr>
          </w:p>
          <w:p>
            <w:pPr>
              <w:pStyle w:val="17"/>
              <w:spacing w:before="164" w:line="362" w:lineRule="auto"/>
              <w:ind w:left="305" w:right="293"/>
              <w:rPr>
                <w:sz w:val="24"/>
              </w:rPr>
            </w:pPr>
            <w:r>
              <w:rPr>
                <w:sz w:val="24"/>
              </w:rPr>
              <w:t>计量单位</w:t>
            </w:r>
          </w:p>
        </w:tc>
        <w:tc>
          <w:tcPr>
            <w:tcW w:w="1106" w:type="dxa"/>
            <w:gridSpan w:val="2"/>
          </w:tcPr>
          <w:p>
            <w:pPr>
              <w:pStyle w:val="17"/>
              <w:spacing w:before="3"/>
              <w:rPr>
                <w:sz w:val="18"/>
              </w:rPr>
            </w:pPr>
          </w:p>
          <w:p>
            <w:pPr>
              <w:pStyle w:val="17"/>
              <w:ind w:left="313"/>
              <w:rPr>
                <w:sz w:val="24"/>
              </w:rPr>
            </w:pPr>
            <w:r>
              <w:rPr>
                <w:sz w:val="24"/>
              </w:rPr>
              <w:t>数量</w:t>
            </w:r>
          </w:p>
        </w:tc>
        <w:tc>
          <w:tcPr>
            <w:tcW w:w="1102" w:type="dxa"/>
            <w:gridSpan w:val="2"/>
          </w:tcPr>
          <w:p>
            <w:pPr>
              <w:pStyle w:val="17"/>
              <w:spacing w:before="1"/>
              <w:ind w:left="311"/>
              <w:rPr>
                <w:sz w:val="24"/>
              </w:rPr>
            </w:pPr>
            <w:r>
              <w:rPr>
                <w:sz w:val="24"/>
              </w:rPr>
              <w:t>暂估</w:t>
            </w:r>
          </w:p>
          <w:p>
            <w:pPr>
              <w:pStyle w:val="17"/>
              <w:spacing w:before="158"/>
              <w:ind w:left="191"/>
              <w:rPr>
                <w:sz w:val="24"/>
              </w:rPr>
            </w:pPr>
            <w:r>
              <w:rPr>
                <w:sz w:val="24"/>
              </w:rPr>
              <w:t>（元）</w:t>
            </w:r>
          </w:p>
        </w:tc>
        <w:tc>
          <w:tcPr>
            <w:tcW w:w="1134" w:type="dxa"/>
            <w:gridSpan w:val="2"/>
          </w:tcPr>
          <w:p>
            <w:pPr>
              <w:pStyle w:val="17"/>
              <w:spacing w:before="1"/>
              <w:ind w:left="327"/>
              <w:rPr>
                <w:sz w:val="24"/>
              </w:rPr>
            </w:pPr>
            <w:r>
              <w:rPr>
                <w:sz w:val="24"/>
              </w:rPr>
              <w:t>确认</w:t>
            </w:r>
          </w:p>
          <w:p>
            <w:pPr>
              <w:pStyle w:val="17"/>
              <w:spacing w:before="158"/>
              <w:ind w:left="207"/>
              <w:rPr>
                <w:sz w:val="24"/>
              </w:rPr>
            </w:pPr>
            <w:r>
              <w:rPr>
                <w:sz w:val="24"/>
              </w:rPr>
              <w:t>（元）</w:t>
            </w:r>
          </w:p>
        </w:tc>
        <w:tc>
          <w:tcPr>
            <w:tcW w:w="1134" w:type="dxa"/>
            <w:gridSpan w:val="2"/>
          </w:tcPr>
          <w:p>
            <w:pPr>
              <w:pStyle w:val="17"/>
              <w:spacing w:before="1"/>
              <w:ind w:left="326"/>
              <w:rPr>
                <w:sz w:val="24"/>
              </w:rPr>
            </w:pPr>
            <w:r>
              <w:rPr>
                <w:sz w:val="24"/>
              </w:rPr>
              <w:t>差额</w:t>
            </w:r>
          </w:p>
          <w:p>
            <w:pPr>
              <w:pStyle w:val="17"/>
              <w:spacing w:before="158"/>
              <w:ind w:left="206"/>
              <w:rPr>
                <w:sz w:val="24"/>
              </w:rPr>
            </w:pPr>
            <w:r>
              <w:rPr>
                <w:sz w:val="24"/>
              </w:rPr>
              <w:t>（元）</w:t>
            </w:r>
          </w:p>
        </w:tc>
        <w:tc>
          <w:tcPr>
            <w:tcW w:w="1016" w:type="dxa"/>
            <w:vMerge w:val="restart"/>
          </w:tcPr>
          <w:p>
            <w:pPr>
              <w:pStyle w:val="17"/>
              <w:rPr>
                <w:sz w:val="24"/>
              </w:rPr>
            </w:pPr>
          </w:p>
          <w:p>
            <w:pPr>
              <w:pStyle w:val="17"/>
              <w:spacing w:before="2"/>
              <w:rPr>
                <w:sz w:val="31"/>
              </w:rPr>
            </w:pPr>
          </w:p>
          <w:p>
            <w:pPr>
              <w:pStyle w:val="17"/>
              <w:ind w:left="267"/>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atLeast"/>
        </w:trPr>
        <w:tc>
          <w:tcPr>
            <w:tcW w:w="505" w:type="dxa"/>
            <w:vMerge w:val="continue"/>
            <w:tcBorders>
              <w:top w:val="nil"/>
            </w:tcBorders>
          </w:tcPr>
          <w:p>
            <w:pPr>
              <w:rPr>
                <w:sz w:val="2"/>
                <w:szCs w:val="2"/>
              </w:rPr>
            </w:pPr>
          </w:p>
        </w:tc>
        <w:tc>
          <w:tcPr>
            <w:tcW w:w="1182" w:type="dxa"/>
            <w:vMerge w:val="continue"/>
            <w:tcBorders>
              <w:top w:val="nil"/>
            </w:tcBorders>
          </w:tcPr>
          <w:p>
            <w:pPr>
              <w:rPr>
                <w:sz w:val="2"/>
                <w:szCs w:val="2"/>
              </w:rPr>
            </w:pPr>
          </w:p>
        </w:tc>
        <w:tc>
          <w:tcPr>
            <w:tcW w:w="1359" w:type="dxa"/>
            <w:vMerge w:val="continue"/>
            <w:tcBorders>
              <w:top w:val="nil"/>
            </w:tcBorders>
          </w:tcPr>
          <w:p>
            <w:pPr>
              <w:rPr>
                <w:sz w:val="2"/>
                <w:szCs w:val="2"/>
              </w:rPr>
            </w:pPr>
          </w:p>
        </w:tc>
        <w:tc>
          <w:tcPr>
            <w:tcW w:w="1091" w:type="dxa"/>
            <w:vMerge w:val="continue"/>
            <w:tcBorders>
              <w:top w:val="nil"/>
            </w:tcBorders>
          </w:tcPr>
          <w:p>
            <w:pPr>
              <w:rPr>
                <w:sz w:val="2"/>
                <w:szCs w:val="2"/>
              </w:rPr>
            </w:pPr>
          </w:p>
        </w:tc>
        <w:tc>
          <w:tcPr>
            <w:tcW w:w="535" w:type="dxa"/>
          </w:tcPr>
          <w:p>
            <w:pPr>
              <w:pStyle w:val="17"/>
              <w:ind w:left="106"/>
              <w:rPr>
                <w:sz w:val="24"/>
              </w:rPr>
            </w:pPr>
            <w:r>
              <w:rPr>
                <w:sz w:val="24"/>
              </w:rPr>
              <w:t>暂</w:t>
            </w:r>
          </w:p>
          <w:p>
            <w:pPr>
              <w:pStyle w:val="17"/>
              <w:spacing w:before="158"/>
              <w:ind w:left="106"/>
              <w:rPr>
                <w:sz w:val="24"/>
              </w:rPr>
            </w:pPr>
            <w:r>
              <w:rPr>
                <w:sz w:val="24"/>
              </w:rPr>
              <w:t>估</w:t>
            </w:r>
          </w:p>
        </w:tc>
        <w:tc>
          <w:tcPr>
            <w:tcW w:w="571" w:type="dxa"/>
          </w:tcPr>
          <w:p>
            <w:pPr>
              <w:pStyle w:val="17"/>
              <w:ind w:left="107"/>
              <w:rPr>
                <w:sz w:val="24"/>
              </w:rPr>
            </w:pPr>
            <w:r>
              <w:rPr>
                <w:sz w:val="24"/>
              </w:rPr>
              <w:t>确</w:t>
            </w:r>
          </w:p>
          <w:p>
            <w:pPr>
              <w:pStyle w:val="17"/>
              <w:spacing w:before="158"/>
              <w:ind w:left="107"/>
              <w:rPr>
                <w:sz w:val="24"/>
              </w:rPr>
            </w:pPr>
            <w:r>
              <w:rPr>
                <w:sz w:val="24"/>
              </w:rPr>
              <w:t>认</w:t>
            </w:r>
          </w:p>
        </w:tc>
        <w:tc>
          <w:tcPr>
            <w:tcW w:w="535" w:type="dxa"/>
          </w:tcPr>
          <w:p>
            <w:pPr>
              <w:pStyle w:val="17"/>
              <w:ind w:left="107"/>
              <w:rPr>
                <w:sz w:val="24"/>
              </w:rPr>
            </w:pPr>
            <w:r>
              <w:rPr>
                <w:sz w:val="24"/>
              </w:rPr>
              <w:t>单</w:t>
            </w:r>
          </w:p>
          <w:p>
            <w:pPr>
              <w:pStyle w:val="17"/>
              <w:spacing w:before="158"/>
              <w:ind w:left="107"/>
              <w:rPr>
                <w:sz w:val="24"/>
              </w:rPr>
            </w:pPr>
            <w:r>
              <w:rPr>
                <w:sz w:val="24"/>
              </w:rPr>
              <w:t>价</w:t>
            </w:r>
          </w:p>
        </w:tc>
        <w:tc>
          <w:tcPr>
            <w:tcW w:w="567" w:type="dxa"/>
          </w:tcPr>
          <w:p>
            <w:pPr>
              <w:pStyle w:val="17"/>
              <w:ind w:left="107"/>
              <w:rPr>
                <w:sz w:val="24"/>
              </w:rPr>
            </w:pPr>
            <w:r>
              <w:rPr>
                <w:sz w:val="24"/>
              </w:rPr>
              <w:t>合</w:t>
            </w:r>
          </w:p>
          <w:p>
            <w:pPr>
              <w:pStyle w:val="17"/>
              <w:spacing w:before="158"/>
              <w:ind w:left="107"/>
              <w:rPr>
                <w:sz w:val="24"/>
              </w:rPr>
            </w:pPr>
            <w:r>
              <w:rPr>
                <w:sz w:val="24"/>
              </w:rPr>
              <w:t>价</w:t>
            </w:r>
          </w:p>
        </w:tc>
        <w:tc>
          <w:tcPr>
            <w:tcW w:w="567" w:type="dxa"/>
          </w:tcPr>
          <w:p>
            <w:pPr>
              <w:pStyle w:val="17"/>
              <w:ind w:left="106"/>
              <w:rPr>
                <w:sz w:val="24"/>
              </w:rPr>
            </w:pPr>
            <w:r>
              <w:rPr>
                <w:sz w:val="24"/>
              </w:rPr>
              <w:t>单</w:t>
            </w:r>
          </w:p>
          <w:p>
            <w:pPr>
              <w:pStyle w:val="17"/>
              <w:spacing w:before="158"/>
              <w:ind w:left="106"/>
              <w:rPr>
                <w:sz w:val="24"/>
              </w:rPr>
            </w:pPr>
            <w:r>
              <w:rPr>
                <w:sz w:val="24"/>
              </w:rPr>
              <w:t>价</w:t>
            </w:r>
          </w:p>
        </w:tc>
        <w:tc>
          <w:tcPr>
            <w:tcW w:w="567" w:type="dxa"/>
          </w:tcPr>
          <w:p>
            <w:pPr>
              <w:pStyle w:val="17"/>
              <w:ind w:left="108"/>
              <w:rPr>
                <w:sz w:val="24"/>
              </w:rPr>
            </w:pPr>
            <w:r>
              <w:rPr>
                <w:sz w:val="24"/>
              </w:rPr>
              <w:t>合</w:t>
            </w:r>
          </w:p>
          <w:p>
            <w:pPr>
              <w:pStyle w:val="17"/>
              <w:spacing w:before="158"/>
              <w:ind w:left="108"/>
              <w:rPr>
                <w:sz w:val="24"/>
              </w:rPr>
            </w:pPr>
            <w:r>
              <w:rPr>
                <w:sz w:val="24"/>
              </w:rPr>
              <w:t>价</w:t>
            </w:r>
          </w:p>
        </w:tc>
        <w:tc>
          <w:tcPr>
            <w:tcW w:w="559" w:type="dxa"/>
          </w:tcPr>
          <w:p>
            <w:pPr>
              <w:pStyle w:val="17"/>
              <w:ind w:left="108"/>
              <w:rPr>
                <w:sz w:val="24"/>
              </w:rPr>
            </w:pPr>
            <w:r>
              <w:rPr>
                <w:sz w:val="24"/>
              </w:rPr>
              <w:t>单</w:t>
            </w:r>
          </w:p>
          <w:p>
            <w:pPr>
              <w:pStyle w:val="17"/>
              <w:spacing w:before="158"/>
              <w:ind w:left="108"/>
              <w:rPr>
                <w:sz w:val="24"/>
              </w:rPr>
            </w:pPr>
            <w:r>
              <w:rPr>
                <w:sz w:val="24"/>
              </w:rPr>
              <w:t>价</w:t>
            </w:r>
          </w:p>
        </w:tc>
        <w:tc>
          <w:tcPr>
            <w:tcW w:w="575" w:type="dxa"/>
          </w:tcPr>
          <w:p>
            <w:pPr>
              <w:pStyle w:val="17"/>
              <w:ind w:left="115"/>
              <w:rPr>
                <w:sz w:val="24"/>
              </w:rPr>
            </w:pPr>
            <w:r>
              <w:rPr>
                <w:sz w:val="24"/>
              </w:rPr>
              <w:t>合</w:t>
            </w:r>
          </w:p>
          <w:p>
            <w:pPr>
              <w:pStyle w:val="17"/>
              <w:spacing w:before="158"/>
              <w:ind w:left="115"/>
              <w:rPr>
                <w:sz w:val="24"/>
              </w:rPr>
            </w:pPr>
            <w:r>
              <w:rPr>
                <w:sz w:val="24"/>
              </w:rPr>
              <w:t>价</w:t>
            </w:r>
          </w:p>
        </w:tc>
        <w:tc>
          <w:tcPr>
            <w:tcW w:w="101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05" w:type="dxa"/>
          </w:tcPr>
          <w:p>
            <w:pPr>
              <w:pStyle w:val="17"/>
              <w:rPr>
                <w:rFonts w:ascii="Times New Roman"/>
                <w:sz w:val="22"/>
              </w:rPr>
            </w:pPr>
          </w:p>
        </w:tc>
        <w:tc>
          <w:tcPr>
            <w:tcW w:w="1182" w:type="dxa"/>
          </w:tcPr>
          <w:p>
            <w:pPr>
              <w:pStyle w:val="17"/>
              <w:rPr>
                <w:rFonts w:ascii="Times New Roman"/>
                <w:sz w:val="22"/>
              </w:rPr>
            </w:pPr>
          </w:p>
        </w:tc>
        <w:tc>
          <w:tcPr>
            <w:tcW w:w="1359" w:type="dxa"/>
          </w:tcPr>
          <w:p>
            <w:pPr>
              <w:pStyle w:val="17"/>
              <w:rPr>
                <w:rFonts w:ascii="Times New Roman"/>
                <w:sz w:val="22"/>
              </w:rPr>
            </w:pPr>
          </w:p>
        </w:tc>
        <w:tc>
          <w:tcPr>
            <w:tcW w:w="1091" w:type="dxa"/>
          </w:tcPr>
          <w:p>
            <w:pPr>
              <w:pStyle w:val="17"/>
              <w:rPr>
                <w:rFonts w:ascii="Times New Roman"/>
                <w:sz w:val="22"/>
              </w:rPr>
            </w:pPr>
          </w:p>
        </w:tc>
        <w:tc>
          <w:tcPr>
            <w:tcW w:w="535" w:type="dxa"/>
          </w:tcPr>
          <w:p>
            <w:pPr>
              <w:pStyle w:val="17"/>
              <w:rPr>
                <w:rFonts w:ascii="Times New Roman"/>
                <w:sz w:val="22"/>
              </w:rPr>
            </w:pPr>
          </w:p>
        </w:tc>
        <w:tc>
          <w:tcPr>
            <w:tcW w:w="571" w:type="dxa"/>
          </w:tcPr>
          <w:p>
            <w:pPr>
              <w:pStyle w:val="17"/>
              <w:rPr>
                <w:rFonts w:ascii="Times New Roman"/>
                <w:sz w:val="22"/>
              </w:rPr>
            </w:pPr>
          </w:p>
        </w:tc>
        <w:tc>
          <w:tcPr>
            <w:tcW w:w="535"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59" w:type="dxa"/>
          </w:tcPr>
          <w:p>
            <w:pPr>
              <w:pStyle w:val="17"/>
              <w:rPr>
                <w:rFonts w:ascii="Times New Roman"/>
                <w:sz w:val="22"/>
              </w:rPr>
            </w:pPr>
          </w:p>
        </w:tc>
        <w:tc>
          <w:tcPr>
            <w:tcW w:w="575"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05" w:type="dxa"/>
          </w:tcPr>
          <w:p>
            <w:pPr>
              <w:pStyle w:val="17"/>
              <w:rPr>
                <w:rFonts w:ascii="Times New Roman"/>
                <w:sz w:val="22"/>
              </w:rPr>
            </w:pPr>
          </w:p>
        </w:tc>
        <w:tc>
          <w:tcPr>
            <w:tcW w:w="1182" w:type="dxa"/>
          </w:tcPr>
          <w:p>
            <w:pPr>
              <w:pStyle w:val="17"/>
              <w:rPr>
                <w:rFonts w:ascii="Times New Roman"/>
                <w:sz w:val="22"/>
              </w:rPr>
            </w:pPr>
          </w:p>
        </w:tc>
        <w:tc>
          <w:tcPr>
            <w:tcW w:w="1359" w:type="dxa"/>
          </w:tcPr>
          <w:p>
            <w:pPr>
              <w:pStyle w:val="17"/>
              <w:rPr>
                <w:rFonts w:ascii="Times New Roman"/>
                <w:sz w:val="22"/>
              </w:rPr>
            </w:pPr>
          </w:p>
        </w:tc>
        <w:tc>
          <w:tcPr>
            <w:tcW w:w="1091" w:type="dxa"/>
          </w:tcPr>
          <w:p>
            <w:pPr>
              <w:pStyle w:val="17"/>
              <w:rPr>
                <w:rFonts w:ascii="Times New Roman"/>
                <w:sz w:val="22"/>
              </w:rPr>
            </w:pPr>
          </w:p>
        </w:tc>
        <w:tc>
          <w:tcPr>
            <w:tcW w:w="535" w:type="dxa"/>
          </w:tcPr>
          <w:p>
            <w:pPr>
              <w:pStyle w:val="17"/>
              <w:rPr>
                <w:rFonts w:ascii="Times New Roman"/>
                <w:sz w:val="22"/>
              </w:rPr>
            </w:pPr>
          </w:p>
        </w:tc>
        <w:tc>
          <w:tcPr>
            <w:tcW w:w="571" w:type="dxa"/>
          </w:tcPr>
          <w:p>
            <w:pPr>
              <w:pStyle w:val="17"/>
              <w:rPr>
                <w:rFonts w:ascii="Times New Roman"/>
                <w:sz w:val="22"/>
              </w:rPr>
            </w:pPr>
          </w:p>
        </w:tc>
        <w:tc>
          <w:tcPr>
            <w:tcW w:w="535"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59" w:type="dxa"/>
          </w:tcPr>
          <w:p>
            <w:pPr>
              <w:pStyle w:val="17"/>
              <w:rPr>
                <w:rFonts w:ascii="Times New Roman"/>
                <w:sz w:val="22"/>
              </w:rPr>
            </w:pPr>
          </w:p>
        </w:tc>
        <w:tc>
          <w:tcPr>
            <w:tcW w:w="575"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05" w:type="dxa"/>
          </w:tcPr>
          <w:p>
            <w:pPr>
              <w:pStyle w:val="17"/>
              <w:rPr>
                <w:rFonts w:ascii="Times New Roman"/>
                <w:sz w:val="22"/>
              </w:rPr>
            </w:pPr>
          </w:p>
        </w:tc>
        <w:tc>
          <w:tcPr>
            <w:tcW w:w="1182" w:type="dxa"/>
          </w:tcPr>
          <w:p>
            <w:pPr>
              <w:pStyle w:val="17"/>
              <w:rPr>
                <w:rFonts w:ascii="Times New Roman"/>
                <w:sz w:val="22"/>
              </w:rPr>
            </w:pPr>
          </w:p>
        </w:tc>
        <w:tc>
          <w:tcPr>
            <w:tcW w:w="1359" w:type="dxa"/>
          </w:tcPr>
          <w:p>
            <w:pPr>
              <w:pStyle w:val="17"/>
              <w:rPr>
                <w:rFonts w:ascii="Times New Roman"/>
                <w:sz w:val="22"/>
              </w:rPr>
            </w:pPr>
          </w:p>
        </w:tc>
        <w:tc>
          <w:tcPr>
            <w:tcW w:w="1091" w:type="dxa"/>
          </w:tcPr>
          <w:p>
            <w:pPr>
              <w:pStyle w:val="17"/>
              <w:rPr>
                <w:rFonts w:ascii="Times New Roman"/>
                <w:sz w:val="22"/>
              </w:rPr>
            </w:pPr>
          </w:p>
        </w:tc>
        <w:tc>
          <w:tcPr>
            <w:tcW w:w="535" w:type="dxa"/>
          </w:tcPr>
          <w:p>
            <w:pPr>
              <w:pStyle w:val="17"/>
              <w:rPr>
                <w:rFonts w:ascii="Times New Roman"/>
                <w:sz w:val="22"/>
              </w:rPr>
            </w:pPr>
          </w:p>
        </w:tc>
        <w:tc>
          <w:tcPr>
            <w:tcW w:w="571" w:type="dxa"/>
          </w:tcPr>
          <w:p>
            <w:pPr>
              <w:pStyle w:val="17"/>
              <w:rPr>
                <w:rFonts w:ascii="Times New Roman"/>
                <w:sz w:val="22"/>
              </w:rPr>
            </w:pPr>
          </w:p>
        </w:tc>
        <w:tc>
          <w:tcPr>
            <w:tcW w:w="535"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59" w:type="dxa"/>
          </w:tcPr>
          <w:p>
            <w:pPr>
              <w:pStyle w:val="17"/>
              <w:rPr>
                <w:rFonts w:ascii="Times New Roman"/>
                <w:sz w:val="22"/>
              </w:rPr>
            </w:pPr>
          </w:p>
        </w:tc>
        <w:tc>
          <w:tcPr>
            <w:tcW w:w="575"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05" w:type="dxa"/>
          </w:tcPr>
          <w:p>
            <w:pPr>
              <w:pStyle w:val="17"/>
              <w:rPr>
                <w:rFonts w:ascii="Times New Roman"/>
                <w:sz w:val="22"/>
              </w:rPr>
            </w:pPr>
          </w:p>
        </w:tc>
        <w:tc>
          <w:tcPr>
            <w:tcW w:w="1182" w:type="dxa"/>
          </w:tcPr>
          <w:p>
            <w:pPr>
              <w:pStyle w:val="17"/>
              <w:rPr>
                <w:rFonts w:ascii="Times New Roman"/>
                <w:sz w:val="22"/>
              </w:rPr>
            </w:pPr>
          </w:p>
        </w:tc>
        <w:tc>
          <w:tcPr>
            <w:tcW w:w="1359" w:type="dxa"/>
          </w:tcPr>
          <w:p>
            <w:pPr>
              <w:pStyle w:val="17"/>
              <w:rPr>
                <w:rFonts w:ascii="Times New Roman"/>
                <w:sz w:val="22"/>
              </w:rPr>
            </w:pPr>
          </w:p>
        </w:tc>
        <w:tc>
          <w:tcPr>
            <w:tcW w:w="1091" w:type="dxa"/>
          </w:tcPr>
          <w:p>
            <w:pPr>
              <w:pStyle w:val="17"/>
              <w:rPr>
                <w:rFonts w:ascii="Times New Roman"/>
                <w:sz w:val="22"/>
              </w:rPr>
            </w:pPr>
          </w:p>
        </w:tc>
        <w:tc>
          <w:tcPr>
            <w:tcW w:w="535" w:type="dxa"/>
          </w:tcPr>
          <w:p>
            <w:pPr>
              <w:pStyle w:val="17"/>
              <w:rPr>
                <w:rFonts w:ascii="Times New Roman"/>
                <w:sz w:val="22"/>
              </w:rPr>
            </w:pPr>
          </w:p>
        </w:tc>
        <w:tc>
          <w:tcPr>
            <w:tcW w:w="571" w:type="dxa"/>
          </w:tcPr>
          <w:p>
            <w:pPr>
              <w:pStyle w:val="17"/>
              <w:rPr>
                <w:rFonts w:ascii="Times New Roman"/>
                <w:sz w:val="22"/>
              </w:rPr>
            </w:pPr>
          </w:p>
        </w:tc>
        <w:tc>
          <w:tcPr>
            <w:tcW w:w="535"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59" w:type="dxa"/>
          </w:tcPr>
          <w:p>
            <w:pPr>
              <w:pStyle w:val="17"/>
              <w:rPr>
                <w:rFonts w:ascii="Times New Roman"/>
                <w:sz w:val="22"/>
              </w:rPr>
            </w:pPr>
          </w:p>
        </w:tc>
        <w:tc>
          <w:tcPr>
            <w:tcW w:w="575"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05" w:type="dxa"/>
          </w:tcPr>
          <w:p>
            <w:pPr>
              <w:pStyle w:val="17"/>
              <w:rPr>
                <w:rFonts w:ascii="Times New Roman"/>
                <w:sz w:val="22"/>
              </w:rPr>
            </w:pPr>
          </w:p>
        </w:tc>
        <w:tc>
          <w:tcPr>
            <w:tcW w:w="1182" w:type="dxa"/>
          </w:tcPr>
          <w:p>
            <w:pPr>
              <w:pStyle w:val="17"/>
              <w:rPr>
                <w:rFonts w:ascii="Times New Roman"/>
                <w:sz w:val="22"/>
              </w:rPr>
            </w:pPr>
          </w:p>
        </w:tc>
        <w:tc>
          <w:tcPr>
            <w:tcW w:w="1359" w:type="dxa"/>
          </w:tcPr>
          <w:p>
            <w:pPr>
              <w:pStyle w:val="17"/>
              <w:rPr>
                <w:rFonts w:ascii="Times New Roman"/>
                <w:sz w:val="22"/>
              </w:rPr>
            </w:pPr>
          </w:p>
        </w:tc>
        <w:tc>
          <w:tcPr>
            <w:tcW w:w="1091" w:type="dxa"/>
          </w:tcPr>
          <w:p>
            <w:pPr>
              <w:pStyle w:val="17"/>
              <w:rPr>
                <w:rFonts w:ascii="Times New Roman"/>
                <w:sz w:val="22"/>
              </w:rPr>
            </w:pPr>
          </w:p>
        </w:tc>
        <w:tc>
          <w:tcPr>
            <w:tcW w:w="535" w:type="dxa"/>
          </w:tcPr>
          <w:p>
            <w:pPr>
              <w:pStyle w:val="17"/>
              <w:rPr>
                <w:rFonts w:ascii="Times New Roman"/>
                <w:sz w:val="22"/>
              </w:rPr>
            </w:pPr>
          </w:p>
        </w:tc>
        <w:tc>
          <w:tcPr>
            <w:tcW w:w="571" w:type="dxa"/>
          </w:tcPr>
          <w:p>
            <w:pPr>
              <w:pStyle w:val="17"/>
              <w:rPr>
                <w:rFonts w:ascii="Times New Roman"/>
                <w:sz w:val="22"/>
              </w:rPr>
            </w:pPr>
          </w:p>
        </w:tc>
        <w:tc>
          <w:tcPr>
            <w:tcW w:w="535"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59" w:type="dxa"/>
          </w:tcPr>
          <w:p>
            <w:pPr>
              <w:pStyle w:val="17"/>
              <w:rPr>
                <w:rFonts w:ascii="Times New Roman"/>
                <w:sz w:val="22"/>
              </w:rPr>
            </w:pPr>
          </w:p>
        </w:tc>
        <w:tc>
          <w:tcPr>
            <w:tcW w:w="575"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05" w:type="dxa"/>
          </w:tcPr>
          <w:p>
            <w:pPr>
              <w:pStyle w:val="17"/>
              <w:rPr>
                <w:rFonts w:ascii="Times New Roman"/>
                <w:sz w:val="22"/>
              </w:rPr>
            </w:pPr>
          </w:p>
        </w:tc>
        <w:tc>
          <w:tcPr>
            <w:tcW w:w="1182" w:type="dxa"/>
          </w:tcPr>
          <w:p>
            <w:pPr>
              <w:pStyle w:val="17"/>
              <w:rPr>
                <w:rFonts w:ascii="Times New Roman"/>
                <w:sz w:val="22"/>
              </w:rPr>
            </w:pPr>
          </w:p>
        </w:tc>
        <w:tc>
          <w:tcPr>
            <w:tcW w:w="1359" w:type="dxa"/>
          </w:tcPr>
          <w:p>
            <w:pPr>
              <w:pStyle w:val="17"/>
              <w:rPr>
                <w:rFonts w:ascii="Times New Roman"/>
                <w:sz w:val="22"/>
              </w:rPr>
            </w:pPr>
          </w:p>
        </w:tc>
        <w:tc>
          <w:tcPr>
            <w:tcW w:w="1091" w:type="dxa"/>
          </w:tcPr>
          <w:p>
            <w:pPr>
              <w:pStyle w:val="17"/>
              <w:rPr>
                <w:rFonts w:ascii="Times New Roman"/>
                <w:sz w:val="22"/>
              </w:rPr>
            </w:pPr>
          </w:p>
        </w:tc>
        <w:tc>
          <w:tcPr>
            <w:tcW w:w="535" w:type="dxa"/>
          </w:tcPr>
          <w:p>
            <w:pPr>
              <w:pStyle w:val="17"/>
              <w:rPr>
                <w:rFonts w:ascii="Times New Roman"/>
                <w:sz w:val="22"/>
              </w:rPr>
            </w:pPr>
          </w:p>
        </w:tc>
        <w:tc>
          <w:tcPr>
            <w:tcW w:w="571" w:type="dxa"/>
          </w:tcPr>
          <w:p>
            <w:pPr>
              <w:pStyle w:val="17"/>
              <w:rPr>
                <w:rFonts w:ascii="Times New Roman"/>
                <w:sz w:val="22"/>
              </w:rPr>
            </w:pPr>
          </w:p>
        </w:tc>
        <w:tc>
          <w:tcPr>
            <w:tcW w:w="535"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59" w:type="dxa"/>
          </w:tcPr>
          <w:p>
            <w:pPr>
              <w:pStyle w:val="17"/>
              <w:rPr>
                <w:rFonts w:ascii="Times New Roman"/>
                <w:sz w:val="22"/>
              </w:rPr>
            </w:pPr>
          </w:p>
        </w:tc>
        <w:tc>
          <w:tcPr>
            <w:tcW w:w="575"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05" w:type="dxa"/>
          </w:tcPr>
          <w:p>
            <w:pPr>
              <w:pStyle w:val="17"/>
              <w:rPr>
                <w:rFonts w:ascii="Times New Roman"/>
                <w:sz w:val="22"/>
              </w:rPr>
            </w:pPr>
          </w:p>
        </w:tc>
        <w:tc>
          <w:tcPr>
            <w:tcW w:w="1182" w:type="dxa"/>
          </w:tcPr>
          <w:p>
            <w:pPr>
              <w:pStyle w:val="17"/>
              <w:rPr>
                <w:rFonts w:ascii="Times New Roman"/>
                <w:sz w:val="22"/>
              </w:rPr>
            </w:pPr>
          </w:p>
        </w:tc>
        <w:tc>
          <w:tcPr>
            <w:tcW w:w="1359" w:type="dxa"/>
          </w:tcPr>
          <w:p>
            <w:pPr>
              <w:pStyle w:val="17"/>
              <w:rPr>
                <w:rFonts w:ascii="Times New Roman"/>
                <w:sz w:val="22"/>
              </w:rPr>
            </w:pPr>
          </w:p>
        </w:tc>
        <w:tc>
          <w:tcPr>
            <w:tcW w:w="1091" w:type="dxa"/>
          </w:tcPr>
          <w:p>
            <w:pPr>
              <w:pStyle w:val="17"/>
              <w:rPr>
                <w:rFonts w:ascii="Times New Roman"/>
                <w:sz w:val="22"/>
              </w:rPr>
            </w:pPr>
          </w:p>
        </w:tc>
        <w:tc>
          <w:tcPr>
            <w:tcW w:w="535" w:type="dxa"/>
          </w:tcPr>
          <w:p>
            <w:pPr>
              <w:pStyle w:val="17"/>
              <w:rPr>
                <w:rFonts w:ascii="Times New Roman"/>
                <w:sz w:val="22"/>
              </w:rPr>
            </w:pPr>
          </w:p>
        </w:tc>
        <w:tc>
          <w:tcPr>
            <w:tcW w:w="571" w:type="dxa"/>
          </w:tcPr>
          <w:p>
            <w:pPr>
              <w:pStyle w:val="17"/>
              <w:rPr>
                <w:rFonts w:ascii="Times New Roman"/>
                <w:sz w:val="22"/>
              </w:rPr>
            </w:pPr>
          </w:p>
        </w:tc>
        <w:tc>
          <w:tcPr>
            <w:tcW w:w="535"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59" w:type="dxa"/>
          </w:tcPr>
          <w:p>
            <w:pPr>
              <w:pStyle w:val="17"/>
              <w:rPr>
                <w:rFonts w:ascii="Times New Roman"/>
                <w:sz w:val="22"/>
              </w:rPr>
            </w:pPr>
          </w:p>
        </w:tc>
        <w:tc>
          <w:tcPr>
            <w:tcW w:w="575"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05" w:type="dxa"/>
          </w:tcPr>
          <w:p>
            <w:pPr>
              <w:pStyle w:val="17"/>
              <w:rPr>
                <w:rFonts w:ascii="Times New Roman"/>
                <w:sz w:val="22"/>
              </w:rPr>
            </w:pPr>
          </w:p>
        </w:tc>
        <w:tc>
          <w:tcPr>
            <w:tcW w:w="1182" w:type="dxa"/>
          </w:tcPr>
          <w:p>
            <w:pPr>
              <w:pStyle w:val="17"/>
              <w:rPr>
                <w:rFonts w:ascii="Times New Roman"/>
                <w:sz w:val="22"/>
              </w:rPr>
            </w:pPr>
          </w:p>
        </w:tc>
        <w:tc>
          <w:tcPr>
            <w:tcW w:w="1359" w:type="dxa"/>
          </w:tcPr>
          <w:p>
            <w:pPr>
              <w:pStyle w:val="17"/>
              <w:rPr>
                <w:rFonts w:ascii="Times New Roman"/>
                <w:sz w:val="22"/>
              </w:rPr>
            </w:pPr>
          </w:p>
        </w:tc>
        <w:tc>
          <w:tcPr>
            <w:tcW w:w="1091" w:type="dxa"/>
          </w:tcPr>
          <w:p>
            <w:pPr>
              <w:pStyle w:val="17"/>
              <w:rPr>
                <w:rFonts w:ascii="Times New Roman"/>
                <w:sz w:val="22"/>
              </w:rPr>
            </w:pPr>
          </w:p>
        </w:tc>
        <w:tc>
          <w:tcPr>
            <w:tcW w:w="535" w:type="dxa"/>
          </w:tcPr>
          <w:p>
            <w:pPr>
              <w:pStyle w:val="17"/>
              <w:rPr>
                <w:rFonts w:ascii="Times New Roman"/>
                <w:sz w:val="22"/>
              </w:rPr>
            </w:pPr>
          </w:p>
        </w:tc>
        <w:tc>
          <w:tcPr>
            <w:tcW w:w="571" w:type="dxa"/>
          </w:tcPr>
          <w:p>
            <w:pPr>
              <w:pStyle w:val="17"/>
              <w:rPr>
                <w:rFonts w:ascii="Times New Roman"/>
                <w:sz w:val="22"/>
              </w:rPr>
            </w:pPr>
          </w:p>
        </w:tc>
        <w:tc>
          <w:tcPr>
            <w:tcW w:w="535"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59" w:type="dxa"/>
          </w:tcPr>
          <w:p>
            <w:pPr>
              <w:pStyle w:val="17"/>
              <w:rPr>
                <w:rFonts w:ascii="Times New Roman"/>
                <w:sz w:val="22"/>
              </w:rPr>
            </w:pPr>
          </w:p>
        </w:tc>
        <w:tc>
          <w:tcPr>
            <w:tcW w:w="575"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05" w:type="dxa"/>
          </w:tcPr>
          <w:p>
            <w:pPr>
              <w:pStyle w:val="17"/>
              <w:rPr>
                <w:rFonts w:ascii="Times New Roman"/>
                <w:sz w:val="22"/>
              </w:rPr>
            </w:pPr>
          </w:p>
        </w:tc>
        <w:tc>
          <w:tcPr>
            <w:tcW w:w="1182" w:type="dxa"/>
          </w:tcPr>
          <w:p>
            <w:pPr>
              <w:pStyle w:val="17"/>
              <w:rPr>
                <w:rFonts w:ascii="Times New Roman"/>
                <w:sz w:val="22"/>
              </w:rPr>
            </w:pPr>
          </w:p>
        </w:tc>
        <w:tc>
          <w:tcPr>
            <w:tcW w:w="1359" w:type="dxa"/>
          </w:tcPr>
          <w:p>
            <w:pPr>
              <w:pStyle w:val="17"/>
              <w:rPr>
                <w:rFonts w:ascii="Times New Roman"/>
                <w:sz w:val="22"/>
              </w:rPr>
            </w:pPr>
          </w:p>
        </w:tc>
        <w:tc>
          <w:tcPr>
            <w:tcW w:w="1091" w:type="dxa"/>
          </w:tcPr>
          <w:p>
            <w:pPr>
              <w:pStyle w:val="17"/>
              <w:rPr>
                <w:rFonts w:ascii="Times New Roman"/>
                <w:sz w:val="22"/>
              </w:rPr>
            </w:pPr>
          </w:p>
        </w:tc>
        <w:tc>
          <w:tcPr>
            <w:tcW w:w="535" w:type="dxa"/>
          </w:tcPr>
          <w:p>
            <w:pPr>
              <w:pStyle w:val="17"/>
              <w:rPr>
                <w:rFonts w:ascii="Times New Roman"/>
                <w:sz w:val="22"/>
              </w:rPr>
            </w:pPr>
          </w:p>
        </w:tc>
        <w:tc>
          <w:tcPr>
            <w:tcW w:w="571" w:type="dxa"/>
          </w:tcPr>
          <w:p>
            <w:pPr>
              <w:pStyle w:val="17"/>
              <w:rPr>
                <w:rFonts w:ascii="Times New Roman"/>
                <w:sz w:val="22"/>
              </w:rPr>
            </w:pPr>
          </w:p>
        </w:tc>
        <w:tc>
          <w:tcPr>
            <w:tcW w:w="535"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59" w:type="dxa"/>
          </w:tcPr>
          <w:p>
            <w:pPr>
              <w:pStyle w:val="17"/>
              <w:rPr>
                <w:rFonts w:ascii="Times New Roman"/>
                <w:sz w:val="22"/>
              </w:rPr>
            </w:pPr>
          </w:p>
        </w:tc>
        <w:tc>
          <w:tcPr>
            <w:tcW w:w="575"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05" w:type="dxa"/>
          </w:tcPr>
          <w:p>
            <w:pPr>
              <w:pStyle w:val="17"/>
              <w:rPr>
                <w:rFonts w:ascii="Times New Roman"/>
                <w:sz w:val="22"/>
              </w:rPr>
            </w:pPr>
          </w:p>
        </w:tc>
        <w:tc>
          <w:tcPr>
            <w:tcW w:w="1182" w:type="dxa"/>
          </w:tcPr>
          <w:p>
            <w:pPr>
              <w:pStyle w:val="17"/>
              <w:rPr>
                <w:rFonts w:ascii="Times New Roman"/>
                <w:sz w:val="22"/>
              </w:rPr>
            </w:pPr>
          </w:p>
        </w:tc>
        <w:tc>
          <w:tcPr>
            <w:tcW w:w="1359" w:type="dxa"/>
          </w:tcPr>
          <w:p>
            <w:pPr>
              <w:pStyle w:val="17"/>
              <w:rPr>
                <w:rFonts w:ascii="Times New Roman"/>
                <w:sz w:val="22"/>
              </w:rPr>
            </w:pPr>
          </w:p>
        </w:tc>
        <w:tc>
          <w:tcPr>
            <w:tcW w:w="1091" w:type="dxa"/>
          </w:tcPr>
          <w:p>
            <w:pPr>
              <w:pStyle w:val="17"/>
              <w:rPr>
                <w:rFonts w:ascii="Times New Roman"/>
                <w:sz w:val="22"/>
              </w:rPr>
            </w:pPr>
          </w:p>
        </w:tc>
        <w:tc>
          <w:tcPr>
            <w:tcW w:w="535" w:type="dxa"/>
          </w:tcPr>
          <w:p>
            <w:pPr>
              <w:pStyle w:val="17"/>
              <w:rPr>
                <w:rFonts w:ascii="Times New Roman"/>
                <w:sz w:val="22"/>
              </w:rPr>
            </w:pPr>
          </w:p>
        </w:tc>
        <w:tc>
          <w:tcPr>
            <w:tcW w:w="571" w:type="dxa"/>
          </w:tcPr>
          <w:p>
            <w:pPr>
              <w:pStyle w:val="17"/>
              <w:rPr>
                <w:rFonts w:ascii="Times New Roman"/>
                <w:sz w:val="22"/>
              </w:rPr>
            </w:pPr>
          </w:p>
        </w:tc>
        <w:tc>
          <w:tcPr>
            <w:tcW w:w="535"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59" w:type="dxa"/>
          </w:tcPr>
          <w:p>
            <w:pPr>
              <w:pStyle w:val="17"/>
              <w:rPr>
                <w:rFonts w:ascii="Times New Roman"/>
                <w:sz w:val="22"/>
              </w:rPr>
            </w:pPr>
          </w:p>
        </w:tc>
        <w:tc>
          <w:tcPr>
            <w:tcW w:w="575"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05" w:type="dxa"/>
          </w:tcPr>
          <w:p>
            <w:pPr>
              <w:pStyle w:val="17"/>
              <w:rPr>
                <w:rFonts w:ascii="Times New Roman"/>
                <w:sz w:val="22"/>
              </w:rPr>
            </w:pPr>
          </w:p>
        </w:tc>
        <w:tc>
          <w:tcPr>
            <w:tcW w:w="1182" w:type="dxa"/>
          </w:tcPr>
          <w:p>
            <w:pPr>
              <w:pStyle w:val="17"/>
              <w:rPr>
                <w:rFonts w:ascii="Times New Roman"/>
                <w:sz w:val="22"/>
              </w:rPr>
            </w:pPr>
          </w:p>
        </w:tc>
        <w:tc>
          <w:tcPr>
            <w:tcW w:w="1359" w:type="dxa"/>
          </w:tcPr>
          <w:p>
            <w:pPr>
              <w:pStyle w:val="17"/>
              <w:rPr>
                <w:rFonts w:ascii="Times New Roman"/>
                <w:sz w:val="22"/>
              </w:rPr>
            </w:pPr>
          </w:p>
        </w:tc>
        <w:tc>
          <w:tcPr>
            <w:tcW w:w="1091" w:type="dxa"/>
          </w:tcPr>
          <w:p>
            <w:pPr>
              <w:pStyle w:val="17"/>
              <w:rPr>
                <w:rFonts w:ascii="Times New Roman"/>
                <w:sz w:val="22"/>
              </w:rPr>
            </w:pPr>
          </w:p>
        </w:tc>
        <w:tc>
          <w:tcPr>
            <w:tcW w:w="535" w:type="dxa"/>
          </w:tcPr>
          <w:p>
            <w:pPr>
              <w:pStyle w:val="17"/>
              <w:rPr>
                <w:rFonts w:ascii="Times New Roman"/>
                <w:sz w:val="22"/>
              </w:rPr>
            </w:pPr>
          </w:p>
        </w:tc>
        <w:tc>
          <w:tcPr>
            <w:tcW w:w="571" w:type="dxa"/>
          </w:tcPr>
          <w:p>
            <w:pPr>
              <w:pStyle w:val="17"/>
              <w:rPr>
                <w:rFonts w:ascii="Times New Roman"/>
                <w:sz w:val="22"/>
              </w:rPr>
            </w:pPr>
          </w:p>
        </w:tc>
        <w:tc>
          <w:tcPr>
            <w:tcW w:w="535"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59" w:type="dxa"/>
          </w:tcPr>
          <w:p>
            <w:pPr>
              <w:pStyle w:val="17"/>
              <w:rPr>
                <w:rFonts w:ascii="Times New Roman"/>
                <w:sz w:val="22"/>
              </w:rPr>
            </w:pPr>
          </w:p>
        </w:tc>
        <w:tc>
          <w:tcPr>
            <w:tcW w:w="575"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05" w:type="dxa"/>
          </w:tcPr>
          <w:p>
            <w:pPr>
              <w:pStyle w:val="17"/>
              <w:rPr>
                <w:rFonts w:ascii="Times New Roman"/>
                <w:sz w:val="22"/>
              </w:rPr>
            </w:pPr>
          </w:p>
        </w:tc>
        <w:tc>
          <w:tcPr>
            <w:tcW w:w="1182" w:type="dxa"/>
          </w:tcPr>
          <w:p>
            <w:pPr>
              <w:pStyle w:val="17"/>
              <w:rPr>
                <w:rFonts w:ascii="Times New Roman"/>
                <w:sz w:val="22"/>
              </w:rPr>
            </w:pPr>
          </w:p>
        </w:tc>
        <w:tc>
          <w:tcPr>
            <w:tcW w:w="1359" w:type="dxa"/>
          </w:tcPr>
          <w:p>
            <w:pPr>
              <w:pStyle w:val="17"/>
              <w:rPr>
                <w:rFonts w:ascii="Times New Roman"/>
                <w:sz w:val="22"/>
              </w:rPr>
            </w:pPr>
          </w:p>
        </w:tc>
        <w:tc>
          <w:tcPr>
            <w:tcW w:w="1091" w:type="dxa"/>
          </w:tcPr>
          <w:p>
            <w:pPr>
              <w:pStyle w:val="17"/>
              <w:rPr>
                <w:rFonts w:ascii="Times New Roman"/>
                <w:sz w:val="22"/>
              </w:rPr>
            </w:pPr>
          </w:p>
        </w:tc>
        <w:tc>
          <w:tcPr>
            <w:tcW w:w="535" w:type="dxa"/>
          </w:tcPr>
          <w:p>
            <w:pPr>
              <w:pStyle w:val="17"/>
              <w:rPr>
                <w:rFonts w:ascii="Times New Roman"/>
                <w:sz w:val="22"/>
              </w:rPr>
            </w:pPr>
          </w:p>
        </w:tc>
        <w:tc>
          <w:tcPr>
            <w:tcW w:w="571" w:type="dxa"/>
          </w:tcPr>
          <w:p>
            <w:pPr>
              <w:pStyle w:val="17"/>
              <w:rPr>
                <w:rFonts w:ascii="Times New Roman"/>
                <w:sz w:val="22"/>
              </w:rPr>
            </w:pPr>
          </w:p>
        </w:tc>
        <w:tc>
          <w:tcPr>
            <w:tcW w:w="535"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59" w:type="dxa"/>
          </w:tcPr>
          <w:p>
            <w:pPr>
              <w:pStyle w:val="17"/>
              <w:rPr>
                <w:rFonts w:ascii="Times New Roman"/>
                <w:sz w:val="22"/>
              </w:rPr>
            </w:pPr>
          </w:p>
        </w:tc>
        <w:tc>
          <w:tcPr>
            <w:tcW w:w="575"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05" w:type="dxa"/>
          </w:tcPr>
          <w:p>
            <w:pPr>
              <w:pStyle w:val="17"/>
              <w:rPr>
                <w:rFonts w:ascii="Times New Roman"/>
                <w:sz w:val="22"/>
              </w:rPr>
            </w:pPr>
          </w:p>
        </w:tc>
        <w:tc>
          <w:tcPr>
            <w:tcW w:w="1182" w:type="dxa"/>
          </w:tcPr>
          <w:p>
            <w:pPr>
              <w:pStyle w:val="17"/>
              <w:rPr>
                <w:rFonts w:ascii="Times New Roman"/>
                <w:sz w:val="22"/>
              </w:rPr>
            </w:pPr>
          </w:p>
        </w:tc>
        <w:tc>
          <w:tcPr>
            <w:tcW w:w="1359" w:type="dxa"/>
          </w:tcPr>
          <w:p>
            <w:pPr>
              <w:pStyle w:val="17"/>
              <w:rPr>
                <w:rFonts w:ascii="Times New Roman"/>
                <w:sz w:val="22"/>
              </w:rPr>
            </w:pPr>
          </w:p>
        </w:tc>
        <w:tc>
          <w:tcPr>
            <w:tcW w:w="1091" w:type="dxa"/>
          </w:tcPr>
          <w:p>
            <w:pPr>
              <w:pStyle w:val="17"/>
              <w:rPr>
                <w:rFonts w:ascii="Times New Roman"/>
                <w:sz w:val="22"/>
              </w:rPr>
            </w:pPr>
          </w:p>
        </w:tc>
        <w:tc>
          <w:tcPr>
            <w:tcW w:w="535" w:type="dxa"/>
          </w:tcPr>
          <w:p>
            <w:pPr>
              <w:pStyle w:val="17"/>
              <w:rPr>
                <w:rFonts w:ascii="Times New Roman"/>
                <w:sz w:val="22"/>
              </w:rPr>
            </w:pPr>
          </w:p>
        </w:tc>
        <w:tc>
          <w:tcPr>
            <w:tcW w:w="571" w:type="dxa"/>
          </w:tcPr>
          <w:p>
            <w:pPr>
              <w:pStyle w:val="17"/>
              <w:rPr>
                <w:rFonts w:ascii="Times New Roman"/>
                <w:sz w:val="22"/>
              </w:rPr>
            </w:pPr>
          </w:p>
        </w:tc>
        <w:tc>
          <w:tcPr>
            <w:tcW w:w="535"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59" w:type="dxa"/>
          </w:tcPr>
          <w:p>
            <w:pPr>
              <w:pStyle w:val="17"/>
              <w:rPr>
                <w:rFonts w:ascii="Times New Roman"/>
                <w:sz w:val="22"/>
              </w:rPr>
            </w:pPr>
          </w:p>
        </w:tc>
        <w:tc>
          <w:tcPr>
            <w:tcW w:w="575"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05" w:type="dxa"/>
          </w:tcPr>
          <w:p>
            <w:pPr>
              <w:pStyle w:val="17"/>
              <w:rPr>
                <w:rFonts w:ascii="Times New Roman"/>
                <w:sz w:val="22"/>
              </w:rPr>
            </w:pPr>
          </w:p>
        </w:tc>
        <w:tc>
          <w:tcPr>
            <w:tcW w:w="1182" w:type="dxa"/>
          </w:tcPr>
          <w:p>
            <w:pPr>
              <w:pStyle w:val="17"/>
              <w:rPr>
                <w:rFonts w:ascii="Times New Roman"/>
                <w:sz w:val="22"/>
              </w:rPr>
            </w:pPr>
          </w:p>
        </w:tc>
        <w:tc>
          <w:tcPr>
            <w:tcW w:w="1359" w:type="dxa"/>
          </w:tcPr>
          <w:p>
            <w:pPr>
              <w:pStyle w:val="17"/>
              <w:rPr>
                <w:rFonts w:ascii="Times New Roman"/>
                <w:sz w:val="22"/>
              </w:rPr>
            </w:pPr>
          </w:p>
        </w:tc>
        <w:tc>
          <w:tcPr>
            <w:tcW w:w="1091" w:type="dxa"/>
          </w:tcPr>
          <w:p>
            <w:pPr>
              <w:pStyle w:val="17"/>
              <w:rPr>
                <w:rFonts w:ascii="Times New Roman"/>
                <w:sz w:val="22"/>
              </w:rPr>
            </w:pPr>
          </w:p>
        </w:tc>
        <w:tc>
          <w:tcPr>
            <w:tcW w:w="535" w:type="dxa"/>
          </w:tcPr>
          <w:p>
            <w:pPr>
              <w:pStyle w:val="17"/>
              <w:rPr>
                <w:rFonts w:ascii="Times New Roman"/>
                <w:sz w:val="22"/>
              </w:rPr>
            </w:pPr>
          </w:p>
        </w:tc>
        <w:tc>
          <w:tcPr>
            <w:tcW w:w="571" w:type="dxa"/>
          </w:tcPr>
          <w:p>
            <w:pPr>
              <w:pStyle w:val="17"/>
              <w:rPr>
                <w:rFonts w:ascii="Times New Roman"/>
                <w:sz w:val="22"/>
              </w:rPr>
            </w:pPr>
          </w:p>
        </w:tc>
        <w:tc>
          <w:tcPr>
            <w:tcW w:w="535"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59" w:type="dxa"/>
          </w:tcPr>
          <w:p>
            <w:pPr>
              <w:pStyle w:val="17"/>
              <w:rPr>
                <w:rFonts w:ascii="Times New Roman"/>
                <w:sz w:val="22"/>
              </w:rPr>
            </w:pPr>
          </w:p>
        </w:tc>
        <w:tc>
          <w:tcPr>
            <w:tcW w:w="575"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505" w:type="dxa"/>
          </w:tcPr>
          <w:p>
            <w:pPr>
              <w:pStyle w:val="17"/>
              <w:rPr>
                <w:rFonts w:ascii="Times New Roman"/>
                <w:sz w:val="22"/>
              </w:rPr>
            </w:pPr>
          </w:p>
        </w:tc>
        <w:tc>
          <w:tcPr>
            <w:tcW w:w="1182" w:type="dxa"/>
          </w:tcPr>
          <w:p>
            <w:pPr>
              <w:pStyle w:val="17"/>
              <w:rPr>
                <w:rFonts w:ascii="Times New Roman"/>
                <w:sz w:val="22"/>
              </w:rPr>
            </w:pPr>
          </w:p>
        </w:tc>
        <w:tc>
          <w:tcPr>
            <w:tcW w:w="1359" w:type="dxa"/>
          </w:tcPr>
          <w:p>
            <w:pPr>
              <w:pStyle w:val="17"/>
              <w:rPr>
                <w:rFonts w:ascii="Times New Roman"/>
                <w:sz w:val="22"/>
              </w:rPr>
            </w:pPr>
          </w:p>
        </w:tc>
        <w:tc>
          <w:tcPr>
            <w:tcW w:w="1091" w:type="dxa"/>
          </w:tcPr>
          <w:p>
            <w:pPr>
              <w:pStyle w:val="17"/>
              <w:rPr>
                <w:rFonts w:ascii="Times New Roman"/>
                <w:sz w:val="22"/>
              </w:rPr>
            </w:pPr>
          </w:p>
        </w:tc>
        <w:tc>
          <w:tcPr>
            <w:tcW w:w="535" w:type="dxa"/>
          </w:tcPr>
          <w:p>
            <w:pPr>
              <w:pStyle w:val="17"/>
              <w:rPr>
                <w:rFonts w:ascii="Times New Roman"/>
                <w:sz w:val="22"/>
              </w:rPr>
            </w:pPr>
          </w:p>
        </w:tc>
        <w:tc>
          <w:tcPr>
            <w:tcW w:w="571" w:type="dxa"/>
          </w:tcPr>
          <w:p>
            <w:pPr>
              <w:pStyle w:val="17"/>
              <w:rPr>
                <w:rFonts w:ascii="Times New Roman"/>
                <w:sz w:val="22"/>
              </w:rPr>
            </w:pPr>
          </w:p>
        </w:tc>
        <w:tc>
          <w:tcPr>
            <w:tcW w:w="535"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59" w:type="dxa"/>
          </w:tcPr>
          <w:p>
            <w:pPr>
              <w:pStyle w:val="17"/>
              <w:rPr>
                <w:rFonts w:ascii="Times New Roman"/>
                <w:sz w:val="22"/>
              </w:rPr>
            </w:pPr>
          </w:p>
        </w:tc>
        <w:tc>
          <w:tcPr>
            <w:tcW w:w="575"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05" w:type="dxa"/>
          </w:tcPr>
          <w:p>
            <w:pPr>
              <w:pStyle w:val="17"/>
              <w:rPr>
                <w:rFonts w:ascii="Times New Roman"/>
                <w:sz w:val="22"/>
              </w:rPr>
            </w:pPr>
          </w:p>
        </w:tc>
        <w:tc>
          <w:tcPr>
            <w:tcW w:w="1182" w:type="dxa"/>
          </w:tcPr>
          <w:p>
            <w:pPr>
              <w:pStyle w:val="17"/>
              <w:rPr>
                <w:rFonts w:ascii="Times New Roman"/>
                <w:sz w:val="22"/>
              </w:rPr>
            </w:pPr>
          </w:p>
        </w:tc>
        <w:tc>
          <w:tcPr>
            <w:tcW w:w="1359" w:type="dxa"/>
          </w:tcPr>
          <w:p>
            <w:pPr>
              <w:pStyle w:val="17"/>
              <w:rPr>
                <w:rFonts w:ascii="Times New Roman"/>
                <w:sz w:val="22"/>
              </w:rPr>
            </w:pPr>
          </w:p>
        </w:tc>
        <w:tc>
          <w:tcPr>
            <w:tcW w:w="1091" w:type="dxa"/>
          </w:tcPr>
          <w:p>
            <w:pPr>
              <w:pStyle w:val="17"/>
              <w:rPr>
                <w:rFonts w:ascii="Times New Roman"/>
                <w:sz w:val="22"/>
              </w:rPr>
            </w:pPr>
          </w:p>
        </w:tc>
        <w:tc>
          <w:tcPr>
            <w:tcW w:w="535" w:type="dxa"/>
          </w:tcPr>
          <w:p>
            <w:pPr>
              <w:pStyle w:val="17"/>
              <w:rPr>
                <w:rFonts w:ascii="Times New Roman"/>
                <w:sz w:val="22"/>
              </w:rPr>
            </w:pPr>
          </w:p>
        </w:tc>
        <w:tc>
          <w:tcPr>
            <w:tcW w:w="571" w:type="dxa"/>
          </w:tcPr>
          <w:p>
            <w:pPr>
              <w:pStyle w:val="17"/>
              <w:rPr>
                <w:rFonts w:ascii="Times New Roman"/>
                <w:sz w:val="22"/>
              </w:rPr>
            </w:pPr>
          </w:p>
        </w:tc>
        <w:tc>
          <w:tcPr>
            <w:tcW w:w="535"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59" w:type="dxa"/>
          </w:tcPr>
          <w:p>
            <w:pPr>
              <w:pStyle w:val="17"/>
              <w:rPr>
                <w:rFonts w:ascii="Times New Roman"/>
                <w:sz w:val="22"/>
              </w:rPr>
            </w:pPr>
          </w:p>
        </w:tc>
        <w:tc>
          <w:tcPr>
            <w:tcW w:w="575"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05" w:type="dxa"/>
          </w:tcPr>
          <w:p>
            <w:pPr>
              <w:pStyle w:val="17"/>
              <w:rPr>
                <w:rFonts w:ascii="Times New Roman"/>
                <w:sz w:val="22"/>
              </w:rPr>
            </w:pPr>
          </w:p>
        </w:tc>
        <w:tc>
          <w:tcPr>
            <w:tcW w:w="1182" w:type="dxa"/>
          </w:tcPr>
          <w:p>
            <w:pPr>
              <w:pStyle w:val="17"/>
              <w:rPr>
                <w:rFonts w:ascii="Times New Roman"/>
                <w:sz w:val="22"/>
              </w:rPr>
            </w:pPr>
          </w:p>
        </w:tc>
        <w:tc>
          <w:tcPr>
            <w:tcW w:w="1359" w:type="dxa"/>
          </w:tcPr>
          <w:p>
            <w:pPr>
              <w:pStyle w:val="17"/>
              <w:rPr>
                <w:rFonts w:ascii="Times New Roman"/>
                <w:sz w:val="22"/>
              </w:rPr>
            </w:pPr>
          </w:p>
        </w:tc>
        <w:tc>
          <w:tcPr>
            <w:tcW w:w="1091" w:type="dxa"/>
          </w:tcPr>
          <w:p>
            <w:pPr>
              <w:pStyle w:val="17"/>
              <w:rPr>
                <w:rFonts w:ascii="Times New Roman"/>
                <w:sz w:val="22"/>
              </w:rPr>
            </w:pPr>
          </w:p>
        </w:tc>
        <w:tc>
          <w:tcPr>
            <w:tcW w:w="535" w:type="dxa"/>
          </w:tcPr>
          <w:p>
            <w:pPr>
              <w:pStyle w:val="17"/>
              <w:rPr>
                <w:rFonts w:ascii="Times New Roman"/>
                <w:sz w:val="22"/>
              </w:rPr>
            </w:pPr>
          </w:p>
        </w:tc>
        <w:tc>
          <w:tcPr>
            <w:tcW w:w="571" w:type="dxa"/>
          </w:tcPr>
          <w:p>
            <w:pPr>
              <w:pStyle w:val="17"/>
              <w:rPr>
                <w:rFonts w:ascii="Times New Roman"/>
                <w:sz w:val="22"/>
              </w:rPr>
            </w:pPr>
          </w:p>
        </w:tc>
        <w:tc>
          <w:tcPr>
            <w:tcW w:w="535"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59" w:type="dxa"/>
          </w:tcPr>
          <w:p>
            <w:pPr>
              <w:pStyle w:val="17"/>
              <w:rPr>
                <w:rFonts w:ascii="Times New Roman"/>
                <w:sz w:val="22"/>
              </w:rPr>
            </w:pPr>
          </w:p>
        </w:tc>
        <w:tc>
          <w:tcPr>
            <w:tcW w:w="575"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05" w:type="dxa"/>
          </w:tcPr>
          <w:p>
            <w:pPr>
              <w:pStyle w:val="17"/>
              <w:rPr>
                <w:rFonts w:ascii="Times New Roman"/>
                <w:sz w:val="22"/>
              </w:rPr>
            </w:pPr>
          </w:p>
        </w:tc>
        <w:tc>
          <w:tcPr>
            <w:tcW w:w="1182" w:type="dxa"/>
          </w:tcPr>
          <w:p>
            <w:pPr>
              <w:pStyle w:val="17"/>
              <w:rPr>
                <w:rFonts w:ascii="Times New Roman"/>
                <w:sz w:val="22"/>
              </w:rPr>
            </w:pPr>
          </w:p>
        </w:tc>
        <w:tc>
          <w:tcPr>
            <w:tcW w:w="1359" w:type="dxa"/>
          </w:tcPr>
          <w:p>
            <w:pPr>
              <w:pStyle w:val="17"/>
              <w:rPr>
                <w:rFonts w:ascii="Times New Roman"/>
                <w:sz w:val="22"/>
              </w:rPr>
            </w:pPr>
          </w:p>
        </w:tc>
        <w:tc>
          <w:tcPr>
            <w:tcW w:w="1091" w:type="dxa"/>
          </w:tcPr>
          <w:p>
            <w:pPr>
              <w:pStyle w:val="17"/>
              <w:rPr>
                <w:rFonts w:ascii="Times New Roman"/>
                <w:sz w:val="22"/>
              </w:rPr>
            </w:pPr>
          </w:p>
        </w:tc>
        <w:tc>
          <w:tcPr>
            <w:tcW w:w="535" w:type="dxa"/>
          </w:tcPr>
          <w:p>
            <w:pPr>
              <w:pStyle w:val="17"/>
              <w:rPr>
                <w:rFonts w:ascii="Times New Roman"/>
                <w:sz w:val="22"/>
              </w:rPr>
            </w:pPr>
          </w:p>
        </w:tc>
        <w:tc>
          <w:tcPr>
            <w:tcW w:w="571" w:type="dxa"/>
          </w:tcPr>
          <w:p>
            <w:pPr>
              <w:pStyle w:val="17"/>
              <w:rPr>
                <w:rFonts w:ascii="Times New Roman"/>
                <w:sz w:val="22"/>
              </w:rPr>
            </w:pPr>
          </w:p>
        </w:tc>
        <w:tc>
          <w:tcPr>
            <w:tcW w:w="535"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59" w:type="dxa"/>
          </w:tcPr>
          <w:p>
            <w:pPr>
              <w:pStyle w:val="17"/>
              <w:rPr>
                <w:rFonts w:ascii="Times New Roman"/>
                <w:sz w:val="22"/>
              </w:rPr>
            </w:pPr>
          </w:p>
        </w:tc>
        <w:tc>
          <w:tcPr>
            <w:tcW w:w="575"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243" w:type="dxa"/>
            <w:gridSpan w:val="6"/>
          </w:tcPr>
          <w:p>
            <w:pPr>
              <w:pStyle w:val="17"/>
              <w:spacing w:before="1"/>
              <w:ind w:left="108"/>
              <w:rPr>
                <w:sz w:val="24"/>
              </w:rPr>
            </w:pPr>
            <w:r>
              <w:rPr>
                <w:sz w:val="24"/>
              </w:rPr>
              <w:t>合计</w:t>
            </w:r>
          </w:p>
        </w:tc>
        <w:tc>
          <w:tcPr>
            <w:tcW w:w="535"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67" w:type="dxa"/>
          </w:tcPr>
          <w:p>
            <w:pPr>
              <w:pStyle w:val="17"/>
              <w:rPr>
                <w:rFonts w:ascii="Times New Roman"/>
                <w:sz w:val="22"/>
              </w:rPr>
            </w:pPr>
          </w:p>
        </w:tc>
        <w:tc>
          <w:tcPr>
            <w:tcW w:w="559" w:type="dxa"/>
          </w:tcPr>
          <w:p>
            <w:pPr>
              <w:pStyle w:val="17"/>
              <w:rPr>
                <w:rFonts w:ascii="Times New Roman"/>
                <w:sz w:val="22"/>
              </w:rPr>
            </w:pPr>
          </w:p>
        </w:tc>
        <w:tc>
          <w:tcPr>
            <w:tcW w:w="575" w:type="dxa"/>
          </w:tcPr>
          <w:p>
            <w:pPr>
              <w:pStyle w:val="17"/>
              <w:rPr>
                <w:rFonts w:ascii="Times New Roman"/>
                <w:sz w:val="22"/>
              </w:rPr>
            </w:pPr>
          </w:p>
        </w:tc>
        <w:tc>
          <w:tcPr>
            <w:tcW w:w="1016" w:type="dxa"/>
          </w:tcPr>
          <w:p>
            <w:pPr>
              <w:pStyle w:val="17"/>
              <w:rPr>
                <w:rFonts w:ascii="Times New Roman"/>
                <w:sz w:val="22"/>
              </w:rPr>
            </w:pPr>
          </w:p>
        </w:tc>
      </w:tr>
    </w:tbl>
    <w:p>
      <w:pPr>
        <w:spacing w:after="0"/>
        <w:rPr>
          <w:rFonts w:ascii="Times New Roman"/>
          <w:sz w:val="22"/>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14" o:spid="_x0000_s1214" o:spt="20" style="position:absolute;left:0pt;margin-left:62.4pt;margin-top:12.25pt;height:0pt;width:400.4pt;mso-position-horizontal-relative:page;z-index:25184870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388"/>
        <w:outlineLvl w:val="2"/>
      </w:pPr>
      <w:r>
        <w:t>（十一）专业工程暂估价及结算价表</w:t>
      </w:r>
    </w:p>
    <w:p>
      <w:pPr>
        <w:pStyle w:val="8"/>
        <w:tabs>
          <w:tab w:val="left" w:pos="7587"/>
          <w:tab w:val="left" w:pos="8187"/>
          <w:tab w:val="left" w:pos="8907"/>
        </w:tabs>
        <w:spacing w:before="158"/>
        <w:ind w:left="388"/>
      </w:pPr>
      <w:r>
        <w:t>工程名称</w:t>
      </w:r>
      <w:r>
        <w:tab/>
      </w:r>
      <w:r>
        <w:t>第</w:t>
      </w:r>
      <w:r>
        <w:tab/>
      </w:r>
      <w:r>
        <w:t>页共</w:t>
      </w:r>
      <w:r>
        <w:tab/>
      </w:r>
      <w:r>
        <w:t>页</w:t>
      </w:r>
    </w:p>
    <w:p>
      <w:pPr>
        <w:pStyle w:val="8"/>
        <w:spacing w:before="5"/>
        <w:rPr>
          <w:sz w:val="12"/>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4"/>
        <w:gridCol w:w="1375"/>
        <w:gridCol w:w="1375"/>
        <w:gridCol w:w="1376"/>
        <w:gridCol w:w="1376"/>
        <w:gridCol w:w="1376"/>
        <w:gridCol w:w="13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1374" w:type="dxa"/>
          </w:tcPr>
          <w:p>
            <w:pPr>
              <w:pStyle w:val="17"/>
              <w:spacing w:before="3"/>
              <w:rPr>
                <w:sz w:val="18"/>
              </w:rPr>
            </w:pPr>
          </w:p>
          <w:p>
            <w:pPr>
              <w:pStyle w:val="17"/>
              <w:ind w:left="447"/>
              <w:rPr>
                <w:sz w:val="24"/>
              </w:rPr>
            </w:pPr>
            <w:r>
              <w:rPr>
                <w:sz w:val="24"/>
              </w:rPr>
              <w:t>序号</w:t>
            </w:r>
          </w:p>
        </w:tc>
        <w:tc>
          <w:tcPr>
            <w:tcW w:w="1375" w:type="dxa"/>
          </w:tcPr>
          <w:p>
            <w:pPr>
              <w:pStyle w:val="17"/>
              <w:spacing w:before="3"/>
              <w:rPr>
                <w:sz w:val="18"/>
              </w:rPr>
            </w:pPr>
          </w:p>
          <w:p>
            <w:pPr>
              <w:pStyle w:val="17"/>
              <w:ind w:left="205"/>
              <w:rPr>
                <w:sz w:val="24"/>
              </w:rPr>
            </w:pPr>
            <w:r>
              <w:rPr>
                <w:sz w:val="24"/>
              </w:rPr>
              <w:t>工程名称</w:t>
            </w:r>
          </w:p>
        </w:tc>
        <w:tc>
          <w:tcPr>
            <w:tcW w:w="1375" w:type="dxa"/>
          </w:tcPr>
          <w:p>
            <w:pPr>
              <w:pStyle w:val="17"/>
              <w:spacing w:before="3"/>
              <w:rPr>
                <w:sz w:val="18"/>
              </w:rPr>
            </w:pPr>
          </w:p>
          <w:p>
            <w:pPr>
              <w:pStyle w:val="17"/>
              <w:ind w:left="206"/>
              <w:rPr>
                <w:sz w:val="24"/>
              </w:rPr>
            </w:pPr>
            <w:r>
              <w:rPr>
                <w:sz w:val="24"/>
              </w:rPr>
              <w:t>工程内容</w:t>
            </w:r>
          </w:p>
        </w:tc>
        <w:tc>
          <w:tcPr>
            <w:tcW w:w="1376" w:type="dxa"/>
          </w:tcPr>
          <w:p>
            <w:pPr>
              <w:pStyle w:val="17"/>
              <w:spacing w:before="1"/>
              <w:ind w:left="208"/>
              <w:rPr>
                <w:sz w:val="24"/>
              </w:rPr>
            </w:pPr>
            <w:r>
              <w:rPr>
                <w:sz w:val="24"/>
              </w:rPr>
              <w:t>暂估金额</w:t>
            </w:r>
          </w:p>
          <w:p>
            <w:pPr>
              <w:pStyle w:val="17"/>
              <w:spacing w:before="158"/>
              <w:ind w:left="328"/>
              <w:rPr>
                <w:sz w:val="24"/>
              </w:rPr>
            </w:pPr>
            <w:r>
              <w:rPr>
                <w:sz w:val="24"/>
              </w:rPr>
              <w:t>（元）</w:t>
            </w:r>
          </w:p>
        </w:tc>
        <w:tc>
          <w:tcPr>
            <w:tcW w:w="1376" w:type="dxa"/>
          </w:tcPr>
          <w:p>
            <w:pPr>
              <w:pStyle w:val="17"/>
              <w:spacing w:before="1"/>
              <w:ind w:left="207"/>
              <w:rPr>
                <w:sz w:val="24"/>
              </w:rPr>
            </w:pPr>
            <w:r>
              <w:rPr>
                <w:sz w:val="24"/>
              </w:rPr>
              <w:t>结算金额</w:t>
            </w:r>
          </w:p>
          <w:p>
            <w:pPr>
              <w:pStyle w:val="17"/>
              <w:spacing w:before="158"/>
              <w:ind w:left="327"/>
              <w:rPr>
                <w:sz w:val="24"/>
              </w:rPr>
            </w:pPr>
            <w:r>
              <w:rPr>
                <w:sz w:val="24"/>
              </w:rPr>
              <w:t>（元）</w:t>
            </w:r>
          </w:p>
        </w:tc>
        <w:tc>
          <w:tcPr>
            <w:tcW w:w="1376" w:type="dxa"/>
          </w:tcPr>
          <w:p>
            <w:pPr>
              <w:pStyle w:val="17"/>
              <w:spacing w:before="1"/>
              <w:ind w:left="267"/>
              <w:rPr>
                <w:sz w:val="24"/>
              </w:rPr>
            </w:pPr>
            <w:r>
              <w:rPr>
                <w:sz w:val="24"/>
              </w:rPr>
              <w:t>差额 ±</w:t>
            </w:r>
          </w:p>
          <w:p>
            <w:pPr>
              <w:pStyle w:val="17"/>
              <w:spacing w:before="158"/>
              <w:ind w:left="327"/>
              <w:rPr>
                <w:sz w:val="24"/>
              </w:rPr>
            </w:pPr>
            <w:r>
              <w:rPr>
                <w:sz w:val="24"/>
              </w:rPr>
              <w:t>（元）</w:t>
            </w:r>
          </w:p>
        </w:tc>
        <w:tc>
          <w:tcPr>
            <w:tcW w:w="1376" w:type="dxa"/>
          </w:tcPr>
          <w:p>
            <w:pPr>
              <w:pStyle w:val="17"/>
              <w:spacing w:before="3"/>
              <w:rPr>
                <w:sz w:val="18"/>
              </w:rPr>
            </w:pPr>
          </w:p>
          <w:p>
            <w:pPr>
              <w:pStyle w:val="17"/>
              <w:ind w:left="448"/>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5" w:hRule="atLeast"/>
        </w:trPr>
        <w:tc>
          <w:tcPr>
            <w:tcW w:w="1374" w:type="dxa"/>
          </w:tcPr>
          <w:p>
            <w:pPr>
              <w:pStyle w:val="17"/>
              <w:rPr>
                <w:rFonts w:ascii="Times New Roman"/>
                <w:sz w:val="22"/>
              </w:rPr>
            </w:pPr>
          </w:p>
        </w:tc>
        <w:tc>
          <w:tcPr>
            <w:tcW w:w="1375" w:type="dxa"/>
          </w:tcPr>
          <w:p>
            <w:pPr>
              <w:pStyle w:val="17"/>
              <w:rPr>
                <w:rFonts w:ascii="Times New Roman"/>
                <w:sz w:val="22"/>
              </w:rPr>
            </w:pPr>
          </w:p>
        </w:tc>
        <w:tc>
          <w:tcPr>
            <w:tcW w:w="1375"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7" w:hRule="atLeast"/>
        </w:trPr>
        <w:tc>
          <w:tcPr>
            <w:tcW w:w="1374" w:type="dxa"/>
          </w:tcPr>
          <w:p>
            <w:pPr>
              <w:pStyle w:val="17"/>
              <w:rPr>
                <w:rFonts w:ascii="Times New Roman"/>
                <w:sz w:val="22"/>
              </w:rPr>
            </w:pPr>
          </w:p>
        </w:tc>
        <w:tc>
          <w:tcPr>
            <w:tcW w:w="1375" w:type="dxa"/>
          </w:tcPr>
          <w:p>
            <w:pPr>
              <w:pStyle w:val="17"/>
              <w:rPr>
                <w:rFonts w:ascii="Times New Roman"/>
                <w:sz w:val="22"/>
              </w:rPr>
            </w:pPr>
          </w:p>
        </w:tc>
        <w:tc>
          <w:tcPr>
            <w:tcW w:w="1375"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7" w:hRule="atLeast"/>
        </w:trPr>
        <w:tc>
          <w:tcPr>
            <w:tcW w:w="1374" w:type="dxa"/>
          </w:tcPr>
          <w:p>
            <w:pPr>
              <w:pStyle w:val="17"/>
              <w:rPr>
                <w:rFonts w:ascii="Times New Roman"/>
                <w:sz w:val="22"/>
              </w:rPr>
            </w:pPr>
          </w:p>
        </w:tc>
        <w:tc>
          <w:tcPr>
            <w:tcW w:w="1375" w:type="dxa"/>
          </w:tcPr>
          <w:p>
            <w:pPr>
              <w:pStyle w:val="17"/>
              <w:rPr>
                <w:rFonts w:ascii="Times New Roman"/>
                <w:sz w:val="22"/>
              </w:rPr>
            </w:pPr>
          </w:p>
        </w:tc>
        <w:tc>
          <w:tcPr>
            <w:tcW w:w="1375"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7" w:hRule="atLeast"/>
        </w:trPr>
        <w:tc>
          <w:tcPr>
            <w:tcW w:w="1374" w:type="dxa"/>
          </w:tcPr>
          <w:p>
            <w:pPr>
              <w:pStyle w:val="17"/>
              <w:rPr>
                <w:rFonts w:ascii="Times New Roman"/>
                <w:sz w:val="22"/>
              </w:rPr>
            </w:pPr>
          </w:p>
        </w:tc>
        <w:tc>
          <w:tcPr>
            <w:tcW w:w="1375" w:type="dxa"/>
          </w:tcPr>
          <w:p>
            <w:pPr>
              <w:pStyle w:val="17"/>
              <w:rPr>
                <w:rFonts w:ascii="Times New Roman"/>
                <w:sz w:val="22"/>
              </w:rPr>
            </w:pPr>
          </w:p>
        </w:tc>
        <w:tc>
          <w:tcPr>
            <w:tcW w:w="1375"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7" w:hRule="atLeast"/>
        </w:trPr>
        <w:tc>
          <w:tcPr>
            <w:tcW w:w="1374" w:type="dxa"/>
          </w:tcPr>
          <w:p>
            <w:pPr>
              <w:pStyle w:val="17"/>
              <w:rPr>
                <w:rFonts w:ascii="Times New Roman"/>
                <w:sz w:val="22"/>
              </w:rPr>
            </w:pPr>
          </w:p>
        </w:tc>
        <w:tc>
          <w:tcPr>
            <w:tcW w:w="1375" w:type="dxa"/>
          </w:tcPr>
          <w:p>
            <w:pPr>
              <w:pStyle w:val="17"/>
              <w:rPr>
                <w:rFonts w:ascii="Times New Roman"/>
                <w:sz w:val="22"/>
              </w:rPr>
            </w:pPr>
          </w:p>
        </w:tc>
        <w:tc>
          <w:tcPr>
            <w:tcW w:w="1375"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6" w:hRule="atLeast"/>
        </w:trPr>
        <w:tc>
          <w:tcPr>
            <w:tcW w:w="1374" w:type="dxa"/>
          </w:tcPr>
          <w:p>
            <w:pPr>
              <w:pStyle w:val="17"/>
              <w:rPr>
                <w:rFonts w:ascii="Times New Roman"/>
                <w:sz w:val="22"/>
              </w:rPr>
            </w:pPr>
          </w:p>
        </w:tc>
        <w:tc>
          <w:tcPr>
            <w:tcW w:w="1375" w:type="dxa"/>
          </w:tcPr>
          <w:p>
            <w:pPr>
              <w:pStyle w:val="17"/>
              <w:rPr>
                <w:rFonts w:ascii="Times New Roman"/>
                <w:sz w:val="22"/>
              </w:rPr>
            </w:pPr>
          </w:p>
        </w:tc>
        <w:tc>
          <w:tcPr>
            <w:tcW w:w="1375"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374" w:type="dxa"/>
          </w:tcPr>
          <w:p>
            <w:pPr>
              <w:pStyle w:val="17"/>
              <w:rPr>
                <w:rFonts w:ascii="Times New Roman"/>
                <w:sz w:val="22"/>
              </w:rPr>
            </w:pPr>
          </w:p>
        </w:tc>
        <w:tc>
          <w:tcPr>
            <w:tcW w:w="1375" w:type="dxa"/>
          </w:tcPr>
          <w:p>
            <w:pPr>
              <w:pStyle w:val="17"/>
              <w:rPr>
                <w:rFonts w:ascii="Times New Roman"/>
                <w:sz w:val="22"/>
              </w:rPr>
            </w:pPr>
          </w:p>
        </w:tc>
        <w:tc>
          <w:tcPr>
            <w:tcW w:w="1375"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7" w:hRule="atLeast"/>
        </w:trPr>
        <w:tc>
          <w:tcPr>
            <w:tcW w:w="1374" w:type="dxa"/>
          </w:tcPr>
          <w:p>
            <w:pPr>
              <w:pStyle w:val="17"/>
              <w:rPr>
                <w:rFonts w:ascii="Times New Roman"/>
                <w:sz w:val="22"/>
              </w:rPr>
            </w:pPr>
          </w:p>
        </w:tc>
        <w:tc>
          <w:tcPr>
            <w:tcW w:w="1375" w:type="dxa"/>
          </w:tcPr>
          <w:p>
            <w:pPr>
              <w:pStyle w:val="17"/>
              <w:rPr>
                <w:rFonts w:ascii="Times New Roman"/>
                <w:sz w:val="22"/>
              </w:rPr>
            </w:pPr>
          </w:p>
        </w:tc>
        <w:tc>
          <w:tcPr>
            <w:tcW w:w="1375"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6" w:hRule="atLeast"/>
        </w:trPr>
        <w:tc>
          <w:tcPr>
            <w:tcW w:w="1374" w:type="dxa"/>
          </w:tcPr>
          <w:p>
            <w:pPr>
              <w:pStyle w:val="17"/>
              <w:rPr>
                <w:rFonts w:ascii="Times New Roman"/>
                <w:sz w:val="22"/>
              </w:rPr>
            </w:pPr>
          </w:p>
        </w:tc>
        <w:tc>
          <w:tcPr>
            <w:tcW w:w="1375" w:type="dxa"/>
          </w:tcPr>
          <w:p>
            <w:pPr>
              <w:pStyle w:val="17"/>
              <w:rPr>
                <w:rFonts w:ascii="Times New Roman"/>
                <w:sz w:val="22"/>
              </w:rPr>
            </w:pPr>
          </w:p>
        </w:tc>
        <w:tc>
          <w:tcPr>
            <w:tcW w:w="1375"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6" w:hRule="atLeast"/>
        </w:trPr>
        <w:tc>
          <w:tcPr>
            <w:tcW w:w="1374" w:type="dxa"/>
          </w:tcPr>
          <w:p>
            <w:pPr>
              <w:pStyle w:val="17"/>
              <w:rPr>
                <w:rFonts w:ascii="Times New Roman"/>
                <w:sz w:val="22"/>
              </w:rPr>
            </w:pPr>
          </w:p>
        </w:tc>
        <w:tc>
          <w:tcPr>
            <w:tcW w:w="1375" w:type="dxa"/>
          </w:tcPr>
          <w:p>
            <w:pPr>
              <w:pStyle w:val="17"/>
              <w:rPr>
                <w:rFonts w:ascii="Times New Roman"/>
                <w:sz w:val="22"/>
              </w:rPr>
            </w:pPr>
          </w:p>
        </w:tc>
        <w:tc>
          <w:tcPr>
            <w:tcW w:w="1375"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374" w:type="dxa"/>
          </w:tcPr>
          <w:p>
            <w:pPr>
              <w:pStyle w:val="17"/>
              <w:rPr>
                <w:rFonts w:ascii="Times New Roman"/>
                <w:sz w:val="22"/>
              </w:rPr>
            </w:pPr>
          </w:p>
        </w:tc>
        <w:tc>
          <w:tcPr>
            <w:tcW w:w="1375" w:type="dxa"/>
          </w:tcPr>
          <w:p>
            <w:pPr>
              <w:pStyle w:val="17"/>
              <w:rPr>
                <w:rFonts w:ascii="Times New Roman"/>
                <w:sz w:val="22"/>
              </w:rPr>
            </w:pPr>
          </w:p>
        </w:tc>
        <w:tc>
          <w:tcPr>
            <w:tcW w:w="1375"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374" w:type="dxa"/>
          </w:tcPr>
          <w:p>
            <w:pPr>
              <w:pStyle w:val="17"/>
              <w:rPr>
                <w:rFonts w:ascii="Times New Roman"/>
                <w:sz w:val="22"/>
              </w:rPr>
            </w:pPr>
          </w:p>
        </w:tc>
        <w:tc>
          <w:tcPr>
            <w:tcW w:w="1375" w:type="dxa"/>
          </w:tcPr>
          <w:p>
            <w:pPr>
              <w:pStyle w:val="17"/>
              <w:rPr>
                <w:rFonts w:ascii="Times New Roman"/>
                <w:sz w:val="22"/>
              </w:rPr>
            </w:pPr>
          </w:p>
        </w:tc>
        <w:tc>
          <w:tcPr>
            <w:tcW w:w="1375"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7" w:hRule="atLeast"/>
        </w:trPr>
        <w:tc>
          <w:tcPr>
            <w:tcW w:w="1374" w:type="dxa"/>
          </w:tcPr>
          <w:p>
            <w:pPr>
              <w:pStyle w:val="17"/>
              <w:rPr>
                <w:rFonts w:ascii="Times New Roman"/>
                <w:sz w:val="22"/>
              </w:rPr>
            </w:pPr>
          </w:p>
        </w:tc>
        <w:tc>
          <w:tcPr>
            <w:tcW w:w="1375" w:type="dxa"/>
          </w:tcPr>
          <w:p>
            <w:pPr>
              <w:pStyle w:val="17"/>
              <w:rPr>
                <w:rFonts w:ascii="Times New Roman"/>
                <w:sz w:val="22"/>
              </w:rPr>
            </w:pPr>
          </w:p>
        </w:tc>
        <w:tc>
          <w:tcPr>
            <w:tcW w:w="1375"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374" w:type="dxa"/>
          </w:tcPr>
          <w:p>
            <w:pPr>
              <w:pStyle w:val="17"/>
              <w:rPr>
                <w:rFonts w:ascii="Times New Roman"/>
                <w:sz w:val="22"/>
              </w:rPr>
            </w:pPr>
          </w:p>
        </w:tc>
        <w:tc>
          <w:tcPr>
            <w:tcW w:w="1375" w:type="dxa"/>
          </w:tcPr>
          <w:p>
            <w:pPr>
              <w:pStyle w:val="17"/>
              <w:rPr>
                <w:rFonts w:ascii="Times New Roman"/>
                <w:sz w:val="22"/>
              </w:rPr>
            </w:pPr>
          </w:p>
        </w:tc>
        <w:tc>
          <w:tcPr>
            <w:tcW w:w="1375"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374" w:type="dxa"/>
          </w:tcPr>
          <w:p>
            <w:pPr>
              <w:pStyle w:val="17"/>
              <w:rPr>
                <w:rFonts w:ascii="Times New Roman"/>
                <w:sz w:val="22"/>
              </w:rPr>
            </w:pPr>
          </w:p>
        </w:tc>
        <w:tc>
          <w:tcPr>
            <w:tcW w:w="1375" w:type="dxa"/>
          </w:tcPr>
          <w:p>
            <w:pPr>
              <w:pStyle w:val="17"/>
              <w:rPr>
                <w:rFonts w:ascii="Times New Roman"/>
                <w:sz w:val="22"/>
              </w:rPr>
            </w:pPr>
          </w:p>
        </w:tc>
        <w:tc>
          <w:tcPr>
            <w:tcW w:w="1375"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7" w:hRule="atLeast"/>
        </w:trPr>
        <w:tc>
          <w:tcPr>
            <w:tcW w:w="1374" w:type="dxa"/>
          </w:tcPr>
          <w:p>
            <w:pPr>
              <w:pStyle w:val="17"/>
              <w:rPr>
                <w:rFonts w:ascii="Times New Roman"/>
                <w:sz w:val="22"/>
              </w:rPr>
            </w:pPr>
          </w:p>
        </w:tc>
        <w:tc>
          <w:tcPr>
            <w:tcW w:w="1375" w:type="dxa"/>
          </w:tcPr>
          <w:p>
            <w:pPr>
              <w:pStyle w:val="17"/>
              <w:rPr>
                <w:rFonts w:ascii="Times New Roman"/>
                <w:sz w:val="22"/>
              </w:rPr>
            </w:pPr>
          </w:p>
        </w:tc>
        <w:tc>
          <w:tcPr>
            <w:tcW w:w="1375"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5" w:hRule="atLeast"/>
        </w:trPr>
        <w:tc>
          <w:tcPr>
            <w:tcW w:w="1374" w:type="dxa"/>
          </w:tcPr>
          <w:p>
            <w:pPr>
              <w:pStyle w:val="17"/>
              <w:rPr>
                <w:rFonts w:ascii="Times New Roman"/>
                <w:sz w:val="22"/>
              </w:rPr>
            </w:pPr>
          </w:p>
        </w:tc>
        <w:tc>
          <w:tcPr>
            <w:tcW w:w="1375" w:type="dxa"/>
          </w:tcPr>
          <w:p>
            <w:pPr>
              <w:pStyle w:val="17"/>
              <w:rPr>
                <w:rFonts w:ascii="Times New Roman"/>
                <w:sz w:val="22"/>
              </w:rPr>
            </w:pPr>
          </w:p>
        </w:tc>
        <w:tc>
          <w:tcPr>
            <w:tcW w:w="1375"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374" w:type="dxa"/>
          </w:tcPr>
          <w:p>
            <w:pPr>
              <w:pStyle w:val="17"/>
              <w:rPr>
                <w:rFonts w:ascii="Times New Roman"/>
                <w:sz w:val="22"/>
              </w:rPr>
            </w:pPr>
          </w:p>
        </w:tc>
        <w:tc>
          <w:tcPr>
            <w:tcW w:w="1375" w:type="dxa"/>
          </w:tcPr>
          <w:p>
            <w:pPr>
              <w:pStyle w:val="17"/>
              <w:rPr>
                <w:rFonts w:ascii="Times New Roman"/>
                <w:sz w:val="22"/>
              </w:rPr>
            </w:pPr>
          </w:p>
        </w:tc>
        <w:tc>
          <w:tcPr>
            <w:tcW w:w="1375"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124" w:type="dxa"/>
            <w:gridSpan w:val="3"/>
          </w:tcPr>
          <w:p>
            <w:pPr>
              <w:pStyle w:val="17"/>
              <w:spacing w:before="2"/>
              <w:ind w:left="1802" w:right="1792"/>
              <w:jc w:val="center"/>
              <w:rPr>
                <w:sz w:val="24"/>
              </w:rPr>
            </w:pPr>
            <w:r>
              <w:rPr>
                <w:sz w:val="24"/>
              </w:rPr>
              <w:t>合计</w:t>
            </w: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c>
          <w:tcPr>
            <w:tcW w:w="1376" w:type="dxa"/>
          </w:tcPr>
          <w:p>
            <w:pPr>
              <w:pStyle w:val="17"/>
              <w:rPr>
                <w:rFonts w:ascii="Times New Roman"/>
                <w:sz w:val="22"/>
              </w:rPr>
            </w:pPr>
          </w:p>
        </w:tc>
      </w:tr>
    </w:tbl>
    <w:p>
      <w:pPr>
        <w:pStyle w:val="8"/>
        <w:spacing w:before="3" w:line="362" w:lineRule="auto"/>
        <w:ind w:left="388" w:right="798"/>
      </w:pPr>
      <w:r>
        <w:t>注：此表“暂估金额”由招标人填写，磋商响应人应将“暂估金额”计入响应总价中。结算时按合同约定结算金额填写</w:t>
      </w:r>
    </w:p>
    <w:p>
      <w:pPr>
        <w:spacing w:after="0" w:line="362" w:lineRule="auto"/>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15" o:spid="_x0000_s1215" o:spt="20" style="position:absolute;left:0pt;margin-left:62.4pt;margin-top:12.25pt;height:0pt;width:400.4pt;mso-position-horizontal-relative:page;z-index:25184972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388"/>
        <w:outlineLvl w:val="2"/>
      </w:pPr>
      <w:r>
        <w:t>（十二）计日工表</w:t>
      </w:r>
    </w:p>
    <w:p>
      <w:pPr>
        <w:pStyle w:val="8"/>
        <w:tabs>
          <w:tab w:val="left" w:pos="7947"/>
          <w:tab w:val="left" w:pos="8547"/>
          <w:tab w:val="left" w:pos="9387"/>
        </w:tabs>
        <w:spacing w:before="158"/>
        <w:ind w:left="388"/>
      </w:pPr>
      <w:r>
        <w:t>工程名称：</w:t>
      </w:r>
      <w:r>
        <w:tab/>
      </w:r>
      <w:r>
        <w:t>第</w:t>
      </w:r>
      <w:r>
        <w:tab/>
      </w:r>
      <w:r>
        <w:t>页共</w:t>
      </w:r>
      <w:r>
        <w:tab/>
      </w:r>
      <w:r>
        <w:t>页</w:t>
      </w:r>
    </w:p>
    <w:p>
      <w:pPr>
        <w:pStyle w:val="8"/>
        <w:spacing w:before="5"/>
        <w:rPr>
          <w:sz w:val="12"/>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3"/>
        <w:gridCol w:w="1605"/>
        <w:gridCol w:w="1605"/>
        <w:gridCol w:w="1605"/>
        <w:gridCol w:w="1605"/>
        <w:gridCol w:w="830"/>
        <w:gridCol w:w="7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3" w:type="dxa"/>
            <w:vMerge w:val="restart"/>
          </w:tcPr>
          <w:p>
            <w:pPr>
              <w:pStyle w:val="17"/>
              <w:spacing w:before="8"/>
              <w:rPr>
                <w:sz w:val="18"/>
              </w:rPr>
            </w:pPr>
          </w:p>
          <w:p>
            <w:pPr>
              <w:pStyle w:val="17"/>
              <w:ind w:left="539" w:right="533"/>
              <w:jc w:val="center"/>
              <w:rPr>
                <w:sz w:val="24"/>
              </w:rPr>
            </w:pPr>
            <w:r>
              <w:rPr>
                <w:sz w:val="24"/>
              </w:rPr>
              <w:t>编号</w:t>
            </w:r>
          </w:p>
        </w:tc>
        <w:tc>
          <w:tcPr>
            <w:tcW w:w="1605" w:type="dxa"/>
            <w:vMerge w:val="restart"/>
          </w:tcPr>
          <w:p>
            <w:pPr>
              <w:pStyle w:val="17"/>
              <w:spacing w:before="8"/>
              <w:rPr>
                <w:sz w:val="18"/>
              </w:rPr>
            </w:pPr>
          </w:p>
          <w:p>
            <w:pPr>
              <w:pStyle w:val="17"/>
              <w:ind w:left="322"/>
              <w:rPr>
                <w:sz w:val="24"/>
              </w:rPr>
            </w:pPr>
            <w:r>
              <w:rPr>
                <w:sz w:val="24"/>
              </w:rPr>
              <w:t>项目名称</w:t>
            </w:r>
          </w:p>
        </w:tc>
        <w:tc>
          <w:tcPr>
            <w:tcW w:w="1605" w:type="dxa"/>
            <w:vMerge w:val="restart"/>
          </w:tcPr>
          <w:p>
            <w:pPr>
              <w:pStyle w:val="17"/>
              <w:spacing w:before="8"/>
              <w:rPr>
                <w:sz w:val="18"/>
              </w:rPr>
            </w:pPr>
          </w:p>
          <w:p>
            <w:pPr>
              <w:pStyle w:val="17"/>
              <w:ind w:left="538" w:right="532"/>
              <w:jc w:val="center"/>
              <w:rPr>
                <w:sz w:val="24"/>
              </w:rPr>
            </w:pPr>
            <w:r>
              <w:rPr>
                <w:sz w:val="24"/>
              </w:rPr>
              <w:t>单位</w:t>
            </w:r>
          </w:p>
        </w:tc>
        <w:tc>
          <w:tcPr>
            <w:tcW w:w="1605" w:type="dxa"/>
            <w:vMerge w:val="restart"/>
          </w:tcPr>
          <w:p>
            <w:pPr>
              <w:pStyle w:val="17"/>
              <w:spacing w:before="8"/>
              <w:rPr>
                <w:sz w:val="18"/>
              </w:rPr>
            </w:pPr>
          </w:p>
          <w:p>
            <w:pPr>
              <w:pStyle w:val="17"/>
              <w:ind w:left="321"/>
              <w:rPr>
                <w:sz w:val="24"/>
              </w:rPr>
            </w:pPr>
            <w:r>
              <w:rPr>
                <w:sz w:val="24"/>
              </w:rPr>
              <w:t>暂定数量</w:t>
            </w:r>
          </w:p>
        </w:tc>
        <w:tc>
          <w:tcPr>
            <w:tcW w:w="1605" w:type="dxa"/>
            <w:vMerge w:val="restart"/>
          </w:tcPr>
          <w:p>
            <w:pPr>
              <w:pStyle w:val="17"/>
              <w:spacing w:before="8"/>
              <w:rPr>
                <w:sz w:val="18"/>
              </w:rPr>
            </w:pPr>
          </w:p>
          <w:p>
            <w:pPr>
              <w:pStyle w:val="17"/>
              <w:ind w:left="321"/>
              <w:rPr>
                <w:sz w:val="24"/>
              </w:rPr>
            </w:pPr>
            <w:r>
              <w:rPr>
                <w:sz w:val="24"/>
              </w:rPr>
              <w:t>综合单价</w:t>
            </w:r>
          </w:p>
        </w:tc>
        <w:tc>
          <w:tcPr>
            <w:tcW w:w="1605" w:type="dxa"/>
            <w:gridSpan w:val="2"/>
          </w:tcPr>
          <w:p>
            <w:pPr>
              <w:pStyle w:val="17"/>
              <w:spacing w:before="1"/>
              <w:ind w:left="540" w:right="530"/>
              <w:jc w:val="center"/>
              <w:rPr>
                <w:sz w:val="24"/>
              </w:rPr>
            </w:pPr>
            <w:r>
              <w:rPr>
                <w:sz w:val="24"/>
              </w:rPr>
              <w:t>合价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3" w:type="dxa"/>
            <w:vMerge w:val="continue"/>
            <w:tcBorders>
              <w:top w:val="nil"/>
            </w:tcBorders>
          </w:tcPr>
          <w:p>
            <w:pPr>
              <w:rPr>
                <w:sz w:val="2"/>
                <w:szCs w:val="2"/>
              </w:rPr>
            </w:pPr>
          </w:p>
        </w:tc>
        <w:tc>
          <w:tcPr>
            <w:tcW w:w="1605" w:type="dxa"/>
            <w:vMerge w:val="continue"/>
            <w:tcBorders>
              <w:top w:val="nil"/>
            </w:tcBorders>
          </w:tcPr>
          <w:p>
            <w:pPr>
              <w:rPr>
                <w:sz w:val="2"/>
                <w:szCs w:val="2"/>
              </w:rPr>
            </w:pPr>
          </w:p>
        </w:tc>
        <w:tc>
          <w:tcPr>
            <w:tcW w:w="1605" w:type="dxa"/>
            <w:vMerge w:val="continue"/>
            <w:tcBorders>
              <w:top w:val="nil"/>
            </w:tcBorders>
          </w:tcPr>
          <w:p>
            <w:pPr>
              <w:rPr>
                <w:sz w:val="2"/>
                <w:szCs w:val="2"/>
              </w:rPr>
            </w:pPr>
          </w:p>
        </w:tc>
        <w:tc>
          <w:tcPr>
            <w:tcW w:w="1605" w:type="dxa"/>
            <w:vMerge w:val="continue"/>
            <w:tcBorders>
              <w:top w:val="nil"/>
            </w:tcBorders>
          </w:tcPr>
          <w:p>
            <w:pPr>
              <w:rPr>
                <w:sz w:val="2"/>
                <w:szCs w:val="2"/>
              </w:rPr>
            </w:pPr>
          </w:p>
        </w:tc>
        <w:tc>
          <w:tcPr>
            <w:tcW w:w="1605" w:type="dxa"/>
            <w:vMerge w:val="continue"/>
            <w:tcBorders>
              <w:top w:val="nil"/>
            </w:tcBorders>
          </w:tcPr>
          <w:p>
            <w:pPr>
              <w:rPr>
                <w:sz w:val="2"/>
                <w:szCs w:val="2"/>
              </w:rPr>
            </w:pPr>
          </w:p>
        </w:tc>
        <w:tc>
          <w:tcPr>
            <w:tcW w:w="830" w:type="dxa"/>
          </w:tcPr>
          <w:p>
            <w:pPr>
              <w:pStyle w:val="17"/>
              <w:spacing w:before="2"/>
              <w:ind w:left="173"/>
              <w:rPr>
                <w:sz w:val="24"/>
              </w:rPr>
            </w:pPr>
            <w:r>
              <w:rPr>
                <w:sz w:val="24"/>
              </w:rPr>
              <w:t>暂定</w:t>
            </w:r>
          </w:p>
        </w:tc>
        <w:tc>
          <w:tcPr>
            <w:tcW w:w="775" w:type="dxa"/>
          </w:tcPr>
          <w:p>
            <w:pPr>
              <w:pStyle w:val="17"/>
              <w:spacing w:before="2"/>
              <w:ind w:left="147"/>
              <w:rPr>
                <w:sz w:val="24"/>
              </w:rPr>
            </w:pPr>
            <w:r>
              <w:rPr>
                <w:sz w:val="24"/>
              </w:rPr>
              <w:t>实际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5" w:hRule="atLeast"/>
        </w:trPr>
        <w:tc>
          <w:tcPr>
            <w:tcW w:w="1603" w:type="dxa"/>
          </w:tcPr>
          <w:p>
            <w:pPr>
              <w:pStyle w:val="17"/>
              <w:ind w:left="108"/>
              <w:rPr>
                <w:sz w:val="24"/>
              </w:rPr>
            </w:pPr>
            <w:r>
              <w:rPr>
                <w:sz w:val="24"/>
              </w:rPr>
              <w:t>一</w:t>
            </w:r>
          </w:p>
        </w:tc>
        <w:tc>
          <w:tcPr>
            <w:tcW w:w="1605" w:type="dxa"/>
          </w:tcPr>
          <w:p>
            <w:pPr>
              <w:pStyle w:val="17"/>
              <w:ind w:left="106"/>
              <w:rPr>
                <w:sz w:val="24"/>
              </w:rPr>
            </w:pPr>
            <w:r>
              <w:rPr>
                <w:sz w:val="24"/>
              </w:rPr>
              <w:t>人工</w:t>
            </w: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603" w:type="dxa"/>
          </w:tcPr>
          <w:p>
            <w:pPr>
              <w:pStyle w:val="17"/>
              <w:spacing w:before="1"/>
              <w:ind w:left="108"/>
              <w:rPr>
                <w:sz w:val="24"/>
              </w:rPr>
            </w:pPr>
            <w:r>
              <w:rPr>
                <w:sz w:val="24"/>
              </w:rPr>
              <w:t>1</w:t>
            </w: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3"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3"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023" w:type="dxa"/>
            <w:gridSpan w:val="5"/>
          </w:tcPr>
          <w:p>
            <w:pPr>
              <w:pStyle w:val="17"/>
              <w:spacing w:before="1"/>
              <w:ind w:left="108"/>
              <w:rPr>
                <w:sz w:val="24"/>
              </w:rPr>
            </w:pPr>
            <w:r>
              <w:rPr>
                <w:sz w:val="24"/>
              </w:rPr>
              <w:t>人工小计</w:t>
            </w:r>
          </w:p>
        </w:tc>
        <w:tc>
          <w:tcPr>
            <w:tcW w:w="1605"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1" w:hRule="atLeast"/>
        </w:trPr>
        <w:tc>
          <w:tcPr>
            <w:tcW w:w="1603" w:type="dxa"/>
          </w:tcPr>
          <w:p>
            <w:pPr>
              <w:pStyle w:val="17"/>
              <w:spacing w:before="2"/>
              <w:ind w:left="108"/>
              <w:rPr>
                <w:sz w:val="24"/>
              </w:rPr>
            </w:pPr>
            <w:r>
              <w:rPr>
                <w:sz w:val="24"/>
              </w:rPr>
              <w:t>二</w:t>
            </w:r>
          </w:p>
        </w:tc>
        <w:tc>
          <w:tcPr>
            <w:tcW w:w="1605" w:type="dxa"/>
          </w:tcPr>
          <w:p>
            <w:pPr>
              <w:pStyle w:val="17"/>
              <w:spacing w:before="2"/>
              <w:ind w:left="106"/>
              <w:rPr>
                <w:sz w:val="24"/>
              </w:rPr>
            </w:pPr>
            <w:r>
              <w:rPr>
                <w:sz w:val="24"/>
              </w:rPr>
              <w:t>材料</w:t>
            </w: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3" w:type="dxa"/>
          </w:tcPr>
          <w:p>
            <w:pPr>
              <w:pStyle w:val="17"/>
              <w:spacing w:before="2"/>
              <w:ind w:left="108"/>
              <w:rPr>
                <w:sz w:val="24"/>
              </w:rPr>
            </w:pPr>
            <w:r>
              <w:rPr>
                <w:sz w:val="24"/>
              </w:rPr>
              <w:t>1</w:t>
            </w: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603"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3"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3"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023" w:type="dxa"/>
            <w:gridSpan w:val="5"/>
          </w:tcPr>
          <w:p>
            <w:pPr>
              <w:pStyle w:val="17"/>
              <w:spacing w:before="2"/>
              <w:ind w:left="528"/>
              <w:rPr>
                <w:sz w:val="24"/>
              </w:rPr>
            </w:pPr>
            <w:r>
              <w:rPr>
                <w:sz w:val="24"/>
              </w:rPr>
              <w:t>材料小计</w:t>
            </w:r>
          </w:p>
        </w:tc>
        <w:tc>
          <w:tcPr>
            <w:tcW w:w="1605"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603" w:type="dxa"/>
          </w:tcPr>
          <w:p>
            <w:pPr>
              <w:pStyle w:val="17"/>
              <w:spacing w:before="1"/>
              <w:ind w:left="108"/>
              <w:rPr>
                <w:sz w:val="24"/>
              </w:rPr>
            </w:pPr>
            <w:r>
              <w:rPr>
                <w:sz w:val="24"/>
              </w:rPr>
              <w:t>三</w:t>
            </w:r>
          </w:p>
        </w:tc>
        <w:tc>
          <w:tcPr>
            <w:tcW w:w="1605" w:type="dxa"/>
          </w:tcPr>
          <w:p>
            <w:pPr>
              <w:pStyle w:val="17"/>
              <w:spacing w:before="1"/>
              <w:ind w:left="106"/>
              <w:rPr>
                <w:sz w:val="24"/>
              </w:rPr>
            </w:pPr>
            <w:r>
              <w:rPr>
                <w:sz w:val="24"/>
              </w:rPr>
              <w:t>机械</w:t>
            </w: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603" w:type="dxa"/>
          </w:tcPr>
          <w:p>
            <w:pPr>
              <w:pStyle w:val="17"/>
              <w:spacing w:before="1"/>
              <w:ind w:left="108"/>
              <w:rPr>
                <w:sz w:val="24"/>
              </w:rPr>
            </w:pPr>
            <w:r>
              <w:rPr>
                <w:sz w:val="24"/>
              </w:rPr>
              <w:t>1</w:t>
            </w: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3"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3"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tcPr>
          <w:p>
            <w:pPr>
              <w:pStyle w:val="17"/>
              <w:rPr>
                <w:rFonts w:ascii="Times New Roman"/>
                <w:sz w:val="22"/>
              </w:rPr>
            </w:pPr>
          </w:p>
        </w:tc>
        <w:tc>
          <w:tcPr>
            <w:tcW w:w="1605"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23" w:type="dxa"/>
            <w:gridSpan w:val="5"/>
          </w:tcPr>
          <w:p>
            <w:pPr>
              <w:pStyle w:val="17"/>
              <w:spacing w:before="3"/>
              <w:ind w:left="108"/>
              <w:rPr>
                <w:sz w:val="24"/>
              </w:rPr>
            </w:pPr>
            <w:r>
              <w:rPr>
                <w:sz w:val="24"/>
              </w:rPr>
              <w:t>机械小计</w:t>
            </w:r>
          </w:p>
        </w:tc>
        <w:tc>
          <w:tcPr>
            <w:tcW w:w="1605"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3" w:type="dxa"/>
          </w:tcPr>
          <w:p>
            <w:pPr>
              <w:pStyle w:val="17"/>
              <w:spacing w:before="1"/>
              <w:ind w:left="108"/>
              <w:rPr>
                <w:sz w:val="24"/>
              </w:rPr>
            </w:pPr>
            <w:r>
              <w:rPr>
                <w:sz w:val="24"/>
              </w:rPr>
              <w:t>四</w:t>
            </w:r>
          </w:p>
        </w:tc>
        <w:tc>
          <w:tcPr>
            <w:tcW w:w="6420" w:type="dxa"/>
            <w:gridSpan w:val="4"/>
          </w:tcPr>
          <w:p>
            <w:pPr>
              <w:pStyle w:val="17"/>
              <w:spacing w:before="1"/>
              <w:ind w:left="106"/>
              <w:rPr>
                <w:sz w:val="24"/>
              </w:rPr>
            </w:pPr>
            <w:r>
              <w:rPr>
                <w:sz w:val="24"/>
              </w:rPr>
              <w:t>企业管理费和利润</w:t>
            </w:r>
          </w:p>
        </w:tc>
        <w:tc>
          <w:tcPr>
            <w:tcW w:w="1605" w:type="dxa"/>
            <w:gridSpan w:val="2"/>
          </w:tcPr>
          <w:p>
            <w:pPr>
              <w:pStyle w:val="17"/>
              <w:rPr>
                <w:rFonts w:ascii="Times New Roman"/>
                <w:sz w:val="22"/>
              </w:rPr>
            </w:pPr>
          </w:p>
        </w:tc>
      </w:tr>
    </w:tbl>
    <w:p>
      <w:pPr>
        <w:pStyle w:val="8"/>
        <w:spacing w:before="2" w:line="242" w:lineRule="auto"/>
        <w:ind w:left="388" w:right="744"/>
      </w:pPr>
      <w:r>
        <w:rPr>
          <w:spacing w:val="-4"/>
        </w:rPr>
        <w:t>注：</w:t>
      </w:r>
      <w:r>
        <w:rPr>
          <w:spacing w:val="-8"/>
        </w:rPr>
        <w:t>1</w:t>
      </w:r>
      <w:r>
        <w:rPr>
          <w:spacing w:val="-9"/>
        </w:rPr>
        <w:t>、此表项目名称、数量由招标人填写，编制招标控制价时，单价由招标人按相关计价</w:t>
      </w:r>
      <w:r>
        <w:t>规定确定。</w:t>
      </w:r>
    </w:p>
    <w:p>
      <w:pPr>
        <w:pStyle w:val="8"/>
        <w:spacing w:line="242" w:lineRule="auto"/>
        <w:ind w:left="388" w:right="744"/>
      </w:pPr>
      <w:r>
        <w:rPr>
          <w:rFonts w:ascii="Arial" w:eastAsia="Arial"/>
        </w:rPr>
        <w:t>2</w:t>
      </w:r>
      <w:r>
        <w:rPr>
          <w:spacing w:val="-9"/>
        </w:rPr>
        <w:t>、谈判时，工程项目、数量按招标人提供数据计算，单价由磋商响应人自主报价，计入响</w:t>
      </w:r>
      <w:r>
        <w:t>应总价中。</w:t>
      </w:r>
    </w:p>
    <w:p>
      <w:pPr>
        <w:spacing w:after="0" w:line="242" w:lineRule="auto"/>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16" o:spid="_x0000_s1216" o:spt="20" style="position:absolute;left:0pt;margin-left:62.4pt;margin-top:12.25pt;height:0pt;width:400.4pt;mso-position-horizontal-relative:page;z-index:25185075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388"/>
        <w:outlineLvl w:val="2"/>
      </w:pPr>
      <w:r>
        <w:t>(十三）总承包服务费计价表</w:t>
      </w:r>
    </w:p>
    <w:p>
      <w:pPr>
        <w:pStyle w:val="8"/>
        <w:tabs>
          <w:tab w:val="left" w:pos="6987"/>
          <w:tab w:val="left" w:pos="7707"/>
          <w:tab w:val="left" w:pos="8667"/>
        </w:tabs>
        <w:spacing w:before="158"/>
        <w:ind w:left="388"/>
      </w:pPr>
      <w:r>
        <w:t>工程名称</w:t>
      </w:r>
      <w:r>
        <w:tab/>
      </w:r>
      <w:r>
        <w:t>第</w:t>
      </w:r>
      <w:r>
        <w:tab/>
      </w:r>
      <w:r>
        <w:t>页 共</w:t>
      </w:r>
      <w:r>
        <w:tab/>
      </w:r>
      <w:r>
        <w:t>页</w:t>
      </w:r>
    </w:p>
    <w:p>
      <w:pPr>
        <w:pStyle w:val="8"/>
        <w:spacing w:before="5"/>
        <w:rPr>
          <w:sz w:val="12"/>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3"/>
        <w:gridCol w:w="1605"/>
        <w:gridCol w:w="2002"/>
        <w:gridCol w:w="1312"/>
        <w:gridCol w:w="1553"/>
        <w:gridCol w:w="15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3" w:type="dxa"/>
          </w:tcPr>
          <w:p>
            <w:pPr>
              <w:pStyle w:val="17"/>
              <w:spacing w:before="1"/>
              <w:ind w:left="108"/>
              <w:rPr>
                <w:sz w:val="24"/>
              </w:rPr>
            </w:pPr>
            <w:r>
              <w:rPr>
                <w:sz w:val="24"/>
              </w:rPr>
              <w:t>序号</w:t>
            </w:r>
          </w:p>
        </w:tc>
        <w:tc>
          <w:tcPr>
            <w:tcW w:w="1605" w:type="dxa"/>
          </w:tcPr>
          <w:p>
            <w:pPr>
              <w:pStyle w:val="17"/>
              <w:spacing w:before="1"/>
              <w:ind w:left="106"/>
              <w:rPr>
                <w:sz w:val="24"/>
              </w:rPr>
            </w:pPr>
            <w:r>
              <w:rPr>
                <w:sz w:val="24"/>
              </w:rPr>
              <w:t>项目名称</w:t>
            </w:r>
          </w:p>
        </w:tc>
        <w:tc>
          <w:tcPr>
            <w:tcW w:w="2002" w:type="dxa"/>
          </w:tcPr>
          <w:p>
            <w:pPr>
              <w:pStyle w:val="17"/>
              <w:spacing w:before="1"/>
              <w:ind w:left="107"/>
              <w:rPr>
                <w:sz w:val="24"/>
              </w:rPr>
            </w:pPr>
            <w:r>
              <w:rPr>
                <w:sz w:val="24"/>
              </w:rPr>
              <w:t>项目价值（元）</w:t>
            </w:r>
          </w:p>
        </w:tc>
        <w:tc>
          <w:tcPr>
            <w:tcW w:w="1312" w:type="dxa"/>
          </w:tcPr>
          <w:p>
            <w:pPr>
              <w:pStyle w:val="17"/>
              <w:spacing w:before="1"/>
              <w:ind w:left="106"/>
              <w:rPr>
                <w:sz w:val="24"/>
              </w:rPr>
            </w:pPr>
            <w:r>
              <w:rPr>
                <w:sz w:val="24"/>
              </w:rPr>
              <w:t>服务内容</w:t>
            </w:r>
          </w:p>
        </w:tc>
        <w:tc>
          <w:tcPr>
            <w:tcW w:w="1553" w:type="dxa"/>
          </w:tcPr>
          <w:p>
            <w:pPr>
              <w:pStyle w:val="17"/>
              <w:spacing w:before="1"/>
              <w:ind w:left="107"/>
              <w:rPr>
                <w:sz w:val="24"/>
              </w:rPr>
            </w:pPr>
            <w:r>
              <w:rPr>
                <w:sz w:val="24"/>
              </w:rPr>
              <w:t>费率（%）</w:t>
            </w:r>
          </w:p>
        </w:tc>
        <w:tc>
          <w:tcPr>
            <w:tcW w:w="1553" w:type="dxa"/>
          </w:tcPr>
          <w:p>
            <w:pPr>
              <w:pStyle w:val="17"/>
              <w:spacing w:before="1"/>
              <w:ind w:left="107"/>
              <w:rPr>
                <w:sz w:val="24"/>
              </w:rPr>
            </w:pPr>
            <w:r>
              <w:rPr>
                <w:sz w:val="24"/>
              </w:rPr>
              <w:t>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3" w:type="dxa"/>
          </w:tcPr>
          <w:p>
            <w:pPr>
              <w:pStyle w:val="17"/>
              <w:rPr>
                <w:rFonts w:ascii="Times New Roman"/>
                <w:sz w:val="20"/>
              </w:rPr>
            </w:pPr>
          </w:p>
        </w:tc>
        <w:tc>
          <w:tcPr>
            <w:tcW w:w="1605" w:type="dxa"/>
          </w:tcPr>
          <w:p>
            <w:pPr>
              <w:pStyle w:val="17"/>
              <w:rPr>
                <w:rFonts w:ascii="Times New Roman"/>
                <w:sz w:val="20"/>
              </w:rPr>
            </w:pPr>
          </w:p>
        </w:tc>
        <w:tc>
          <w:tcPr>
            <w:tcW w:w="2002" w:type="dxa"/>
          </w:tcPr>
          <w:p>
            <w:pPr>
              <w:pStyle w:val="17"/>
              <w:rPr>
                <w:rFonts w:ascii="Times New Roman"/>
                <w:sz w:val="20"/>
              </w:rPr>
            </w:pPr>
          </w:p>
        </w:tc>
        <w:tc>
          <w:tcPr>
            <w:tcW w:w="1312" w:type="dxa"/>
          </w:tcPr>
          <w:p>
            <w:pPr>
              <w:pStyle w:val="17"/>
              <w:rPr>
                <w:rFonts w:ascii="Times New Roman"/>
                <w:sz w:val="20"/>
              </w:rPr>
            </w:pPr>
          </w:p>
        </w:tc>
        <w:tc>
          <w:tcPr>
            <w:tcW w:w="1553" w:type="dxa"/>
          </w:tcPr>
          <w:p>
            <w:pPr>
              <w:pStyle w:val="17"/>
              <w:rPr>
                <w:rFonts w:ascii="Times New Roman"/>
                <w:sz w:val="20"/>
              </w:rPr>
            </w:pPr>
          </w:p>
        </w:tc>
        <w:tc>
          <w:tcPr>
            <w:tcW w:w="15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603" w:type="dxa"/>
          </w:tcPr>
          <w:p>
            <w:pPr>
              <w:pStyle w:val="17"/>
              <w:rPr>
                <w:rFonts w:ascii="Times New Roman"/>
                <w:sz w:val="20"/>
              </w:rPr>
            </w:pPr>
          </w:p>
        </w:tc>
        <w:tc>
          <w:tcPr>
            <w:tcW w:w="1605" w:type="dxa"/>
          </w:tcPr>
          <w:p>
            <w:pPr>
              <w:pStyle w:val="17"/>
              <w:rPr>
                <w:rFonts w:ascii="Times New Roman"/>
                <w:sz w:val="20"/>
              </w:rPr>
            </w:pPr>
          </w:p>
        </w:tc>
        <w:tc>
          <w:tcPr>
            <w:tcW w:w="2002" w:type="dxa"/>
          </w:tcPr>
          <w:p>
            <w:pPr>
              <w:pStyle w:val="17"/>
              <w:rPr>
                <w:rFonts w:ascii="Times New Roman"/>
                <w:sz w:val="20"/>
              </w:rPr>
            </w:pPr>
          </w:p>
        </w:tc>
        <w:tc>
          <w:tcPr>
            <w:tcW w:w="1312" w:type="dxa"/>
          </w:tcPr>
          <w:p>
            <w:pPr>
              <w:pStyle w:val="17"/>
              <w:rPr>
                <w:rFonts w:ascii="Times New Roman"/>
                <w:sz w:val="20"/>
              </w:rPr>
            </w:pPr>
          </w:p>
        </w:tc>
        <w:tc>
          <w:tcPr>
            <w:tcW w:w="1553" w:type="dxa"/>
          </w:tcPr>
          <w:p>
            <w:pPr>
              <w:pStyle w:val="17"/>
              <w:rPr>
                <w:rFonts w:ascii="Times New Roman"/>
                <w:sz w:val="20"/>
              </w:rPr>
            </w:pPr>
          </w:p>
        </w:tc>
        <w:tc>
          <w:tcPr>
            <w:tcW w:w="15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3" w:type="dxa"/>
          </w:tcPr>
          <w:p>
            <w:pPr>
              <w:pStyle w:val="17"/>
              <w:rPr>
                <w:rFonts w:ascii="Times New Roman"/>
                <w:sz w:val="20"/>
              </w:rPr>
            </w:pPr>
          </w:p>
        </w:tc>
        <w:tc>
          <w:tcPr>
            <w:tcW w:w="1605" w:type="dxa"/>
          </w:tcPr>
          <w:p>
            <w:pPr>
              <w:pStyle w:val="17"/>
              <w:rPr>
                <w:rFonts w:ascii="Times New Roman"/>
                <w:sz w:val="20"/>
              </w:rPr>
            </w:pPr>
          </w:p>
        </w:tc>
        <w:tc>
          <w:tcPr>
            <w:tcW w:w="2002" w:type="dxa"/>
          </w:tcPr>
          <w:p>
            <w:pPr>
              <w:pStyle w:val="17"/>
              <w:rPr>
                <w:rFonts w:ascii="Times New Roman"/>
                <w:sz w:val="20"/>
              </w:rPr>
            </w:pPr>
          </w:p>
        </w:tc>
        <w:tc>
          <w:tcPr>
            <w:tcW w:w="1312" w:type="dxa"/>
          </w:tcPr>
          <w:p>
            <w:pPr>
              <w:pStyle w:val="17"/>
              <w:rPr>
                <w:rFonts w:ascii="Times New Roman"/>
                <w:sz w:val="20"/>
              </w:rPr>
            </w:pPr>
          </w:p>
        </w:tc>
        <w:tc>
          <w:tcPr>
            <w:tcW w:w="1553" w:type="dxa"/>
          </w:tcPr>
          <w:p>
            <w:pPr>
              <w:pStyle w:val="17"/>
              <w:rPr>
                <w:rFonts w:ascii="Times New Roman"/>
                <w:sz w:val="20"/>
              </w:rPr>
            </w:pPr>
          </w:p>
        </w:tc>
        <w:tc>
          <w:tcPr>
            <w:tcW w:w="15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3" w:type="dxa"/>
          </w:tcPr>
          <w:p>
            <w:pPr>
              <w:pStyle w:val="17"/>
              <w:rPr>
                <w:rFonts w:ascii="Times New Roman"/>
                <w:sz w:val="20"/>
              </w:rPr>
            </w:pPr>
          </w:p>
        </w:tc>
        <w:tc>
          <w:tcPr>
            <w:tcW w:w="1605" w:type="dxa"/>
          </w:tcPr>
          <w:p>
            <w:pPr>
              <w:pStyle w:val="17"/>
              <w:rPr>
                <w:rFonts w:ascii="Times New Roman"/>
                <w:sz w:val="20"/>
              </w:rPr>
            </w:pPr>
          </w:p>
        </w:tc>
        <w:tc>
          <w:tcPr>
            <w:tcW w:w="2002" w:type="dxa"/>
          </w:tcPr>
          <w:p>
            <w:pPr>
              <w:pStyle w:val="17"/>
              <w:rPr>
                <w:rFonts w:ascii="Times New Roman"/>
                <w:sz w:val="20"/>
              </w:rPr>
            </w:pPr>
          </w:p>
        </w:tc>
        <w:tc>
          <w:tcPr>
            <w:tcW w:w="1312" w:type="dxa"/>
          </w:tcPr>
          <w:p>
            <w:pPr>
              <w:pStyle w:val="17"/>
              <w:rPr>
                <w:rFonts w:ascii="Times New Roman"/>
                <w:sz w:val="20"/>
              </w:rPr>
            </w:pPr>
          </w:p>
        </w:tc>
        <w:tc>
          <w:tcPr>
            <w:tcW w:w="1553" w:type="dxa"/>
          </w:tcPr>
          <w:p>
            <w:pPr>
              <w:pStyle w:val="17"/>
              <w:rPr>
                <w:rFonts w:ascii="Times New Roman"/>
                <w:sz w:val="20"/>
              </w:rPr>
            </w:pPr>
          </w:p>
        </w:tc>
        <w:tc>
          <w:tcPr>
            <w:tcW w:w="15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3" w:type="dxa"/>
          </w:tcPr>
          <w:p>
            <w:pPr>
              <w:pStyle w:val="17"/>
              <w:rPr>
                <w:rFonts w:ascii="Times New Roman"/>
                <w:sz w:val="20"/>
              </w:rPr>
            </w:pPr>
          </w:p>
        </w:tc>
        <w:tc>
          <w:tcPr>
            <w:tcW w:w="1605" w:type="dxa"/>
          </w:tcPr>
          <w:p>
            <w:pPr>
              <w:pStyle w:val="17"/>
              <w:rPr>
                <w:rFonts w:ascii="Times New Roman"/>
                <w:sz w:val="20"/>
              </w:rPr>
            </w:pPr>
          </w:p>
        </w:tc>
        <w:tc>
          <w:tcPr>
            <w:tcW w:w="2002" w:type="dxa"/>
          </w:tcPr>
          <w:p>
            <w:pPr>
              <w:pStyle w:val="17"/>
              <w:rPr>
                <w:rFonts w:ascii="Times New Roman"/>
                <w:sz w:val="20"/>
              </w:rPr>
            </w:pPr>
          </w:p>
        </w:tc>
        <w:tc>
          <w:tcPr>
            <w:tcW w:w="1312" w:type="dxa"/>
          </w:tcPr>
          <w:p>
            <w:pPr>
              <w:pStyle w:val="17"/>
              <w:rPr>
                <w:rFonts w:ascii="Times New Roman"/>
                <w:sz w:val="20"/>
              </w:rPr>
            </w:pPr>
          </w:p>
        </w:tc>
        <w:tc>
          <w:tcPr>
            <w:tcW w:w="1553" w:type="dxa"/>
          </w:tcPr>
          <w:p>
            <w:pPr>
              <w:pStyle w:val="17"/>
              <w:rPr>
                <w:rFonts w:ascii="Times New Roman"/>
                <w:sz w:val="20"/>
              </w:rPr>
            </w:pPr>
          </w:p>
        </w:tc>
        <w:tc>
          <w:tcPr>
            <w:tcW w:w="15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3" w:type="dxa"/>
          </w:tcPr>
          <w:p>
            <w:pPr>
              <w:pStyle w:val="17"/>
              <w:rPr>
                <w:rFonts w:ascii="Times New Roman"/>
                <w:sz w:val="20"/>
              </w:rPr>
            </w:pPr>
          </w:p>
        </w:tc>
        <w:tc>
          <w:tcPr>
            <w:tcW w:w="1605" w:type="dxa"/>
          </w:tcPr>
          <w:p>
            <w:pPr>
              <w:pStyle w:val="17"/>
              <w:rPr>
                <w:rFonts w:ascii="Times New Roman"/>
                <w:sz w:val="20"/>
              </w:rPr>
            </w:pPr>
          </w:p>
        </w:tc>
        <w:tc>
          <w:tcPr>
            <w:tcW w:w="2002" w:type="dxa"/>
          </w:tcPr>
          <w:p>
            <w:pPr>
              <w:pStyle w:val="17"/>
              <w:rPr>
                <w:rFonts w:ascii="Times New Roman"/>
                <w:sz w:val="20"/>
              </w:rPr>
            </w:pPr>
          </w:p>
        </w:tc>
        <w:tc>
          <w:tcPr>
            <w:tcW w:w="1312" w:type="dxa"/>
          </w:tcPr>
          <w:p>
            <w:pPr>
              <w:pStyle w:val="17"/>
              <w:rPr>
                <w:rFonts w:ascii="Times New Roman"/>
                <w:sz w:val="20"/>
              </w:rPr>
            </w:pPr>
          </w:p>
        </w:tc>
        <w:tc>
          <w:tcPr>
            <w:tcW w:w="1553" w:type="dxa"/>
          </w:tcPr>
          <w:p>
            <w:pPr>
              <w:pStyle w:val="17"/>
              <w:rPr>
                <w:rFonts w:ascii="Times New Roman"/>
                <w:sz w:val="20"/>
              </w:rPr>
            </w:pPr>
          </w:p>
        </w:tc>
        <w:tc>
          <w:tcPr>
            <w:tcW w:w="15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603" w:type="dxa"/>
          </w:tcPr>
          <w:p>
            <w:pPr>
              <w:pStyle w:val="17"/>
              <w:rPr>
                <w:rFonts w:ascii="Times New Roman"/>
                <w:sz w:val="20"/>
              </w:rPr>
            </w:pPr>
          </w:p>
        </w:tc>
        <w:tc>
          <w:tcPr>
            <w:tcW w:w="1605" w:type="dxa"/>
          </w:tcPr>
          <w:p>
            <w:pPr>
              <w:pStyle w:val="17"/>
              <w:rPr>
                <w:rFonts w:ascii="Times New Roman"/>
                <w:sz w:val="20"/>
              </w:rPr>
            </w:pPr>
          </w:p>
        </w:tc>
        <w:tc>
          <w:tcPr>
            <w:tcW w:w="2002" w:type="dxa"/>
          </w:tcPr>
          <w:p>
            <w:pPr>
              <w:pStyle w:val="17"/>
              <w:rPr>
                <w:rFonts w:ascii="Times New Roman"/>
                <w:sz w:val="20"/>
              </w:rPr>
            </w:pPr>
          </w:p>
        </w:tc>
        <w:tc>
          <w:tcPr>
            <w:tcW w:w="1312" w:type="dxa"/>
          </w:tcPr>
          <w:p>
            <w:pPr>
              <w:pStyle w:val="17"/>
              <w:rPr>
                <w:rFonts w:ascii="Times New Roman"/>
                <w:sz w:val="20"/>
              </w:rPr>
            </w:pPr>
          </w:p>
        </w:tc>
        <w:tc>
          <w:tcPr>
            <w:tcW w:w="1553" w:type="dxa"/>
          </w:tcPr>
          <w:p>
            <w:pPr>
              <w:pStyle w:val="17"/>
              <w:rPr>
                <w:rFonts w:ascii="Times New Roman"/>
                <w:sz w:val="20"/>
              </w:rPr>
            </w:pPr>
          </w:p>
        </w:tc>
        <w:tc>
          <w:tcPr>
            <w:tcW w:w="15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3" w:type="dxa"/>
          </w:tcPr>
          <w:p>
            <w:pPr>
              <w:pStyle w:val="17"/>
              <w:rPr>
                <w:rFonts w:ascii="Times New Roman"/>
                <w:sz w:val="20"/>
              </w:rPr>
            </w:pPr>
          </w:p>
        </w:tc>
        <w:tc>
          <w:tcPr>
            <w:tcW w:w="1605" w:type="dxa"/>
          </w:tcPr>
          <w:p>
            <w:pPr>
              <w:pStyle w:val="17"/>
              <w:rPr>
                <w:rFonts w:ascii="Times New Roman"/>
                <w:sz w:val="20"/>
              </w:rPr>
            </w:pPr>
          </w:p>
        </w:tc>
        <w:tc>
          <w:tcPr>
            <w:tcW w:w="2002" w:type="dxa"/>
          </w:tcPr>
          <w:p>
            <w:pPr>
              <w:pStyle w:val="17"/>
              <w:rPr>
                <w:rFonts w:ascii="Times New Roman"/>
                <w:sz w:val="20"/>
              </w:rPr>
            </w:pPr>
          </w:p>
        </w:tc>
        <w:tc>
          <w:tcPr>
            <w:tcW w:w="1312" w:type="dxa"/>
          </w:tcPr>
          <w:p>
            <w:pPr>
              <w:pStyle w:val="17"/>
              <w:rPr>
                <w:rFonts w:ascii="Times New Roman"/>
                <w:sz w:val="20"/>
              </w:rPr>
            </w:pPr>
          </w:p>
        </w:tc>
        <w:tc>
          <w:tcPr>
            <w:tcW w:w="1553" w:type="dxa"/>
          </w:tcPr>
          <w:p>
            <w:pPr>
              <w:pStyle w:val="17"/>
              <w:rPr>
                <w:rFonts w:ascii="Times New Roman"/>
                <w:sz w:val="20"/>
              </w:rPr>
            </w:pPr>
          </w:p>
        </w:tc>
        <w:tc>
          <w:tcPr>
            <w:tcW w:w="15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3" w:type="dxa"/>
          </w:tcPr>
          <w:p>
            <w:pPr>
              <w:pStyle w:val="17"/>
              <w:rPr>
                <w:rFonts w:ascii="Times New Roman"/>
                <w:sz w:val="20"/>
              </w:rPr>
            </w:pPr>
          </w:p>
        </w:tc>
        <w:tc>
          <w:tcPr>
            <w:tcW w:w="1605" w:type="dxa"/>
          </w:tcPr>
          <w:p>
            <w:pPr>
              <w:pStyle w:val="17"/>
              <w:rPr>
                <w:rFonts w:ascii="Times New Roman"/>
                <w:sz w:val="20"/>
              </w:rPr>
            </w:pPr>
          </w:p>
        </w:tc>
        <w:tc>
          <w:tcPr>
            <w:tcW w:w="2002" w:type="dxa"/>
          </w:tcPr>
          <w:p>
            <w:pPr>
              <w:pStyle w:val="17"/>
              <w:rPr>
                <w:rFonts w:ascii="Times New Roman"/>
                <w:sz w:val="20"/>
              </w:rPr>
            </w:pPr>
          </w:p>
        </w:tc>
        <w:tc>
          <w:tcPr>
            <w:tcW w:w="1312" w:type="dxa"/>
          </w:tcPr>
          <w:p>
            <w:pPr>
              <w:pStyle w:val="17"/>
              <w:rPr>
                <w:rFonts w:ascii="Times New Roman"/>
                <w:sz w:val="20"/>
              </w:rPr>
            </w:pPr>
          </w:p>
        </w:tc>
        <w:tc>
          <w:tcPr>
            <w:tcW w:w="1553" w:type="dxa"/>
          </w:tcPr>
          <w:p>
            <w:pPr>
              <w:pStyle w:val="17"/>
              <w:rPr>
                <w:rFonts w:ascii="Times New Roman"/>
                <w:sz w:val="20"/>
              </w:rPr>
            </w:pPr>
          </w:p>
        </w:tc>
        <w:tc>
          <w:tcPr>
            <w:tcW w:w="15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603" w:type="dxa"/>
          </w:tcPr>
          <w:p>
            <w:pPr>
              <w:pStyle w:val="17"/>
              <w:rPr>
                <w:rFonts w:ascii="Times New Roman"/>
                <w:sz w:val="20"/>
              </w:rPr>
            </w:pPr>
          </w:p>
        </w:tc>
        <w:tc>
          <w:tcPr>
            <w:tcW w:w="1605" w:type="dxa"/>
          </w:tcPr>
          <w:p>
            <w:pPr>
              <w:pStyle w:val="17"/>
              <w:rPr>
                <w:rFonts w:ascii="Times New Roman"/>
                <w:sz w:val="20"/>
              </w:rPr>
            </w:pPr>
          </w:p>
        </w:tc>
        <w:tc>
          <w:tcPr>
            <w:tcW w:w="2002" w:type="dxa"/>
          </w:tcPr>
          <w:p>
            <w:pPr>
              <w:pStyle w:val="17"/>
              <w:rPr>
                <w:rFonts w:ascii="Times New Roman"/>
                <w:sz w:val="20"/>
              </w:rPr>
            </w:pPr>
          </w:p>
        </w:tc>
        <w:tc>
          <w:tcPr>
            <w:tcW w:w="1312" w:type="dxa"/>
          </w:tcPr>
          <w:p>
            <w:pPr>
              <w:pStyle w:val="17"/>
              <w:rPr>
                <w:rFonts w:ascii="Times New Roman"/>
                <w:sz w:val="20"/>
              </w:rPr>
            </w:pPr>
          </w:p>
        </w:tc>
        <w:tc>
          <w:tcPr>
            <w:tcW w:w="1553" w:type="dxa"/>
          </w:tcPr>
          <w:p>
            <w:pPr>
              <w:pStyle w:val="17"/>
              <w:rPr>
                <w:rFonts w:ascii="Times New Roman"/>
                <w:sz w:val="20"/>
              </w:rPr>
            </w:pPr>
          </w:p>
        </w:tc>
        <w:tc>
          <w:tcPr>
            <w:tcW w:w="15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603" w:type="dxa"/>
          </w:tcPr>
          <w:p>
            <w:pPr>
              <w:pStyle w:val="17"/>
              <w:rPr>
                <w:rFonts w:ascii="Times New Roman"/>
                <w:sz w:val="20"/>
              </w:rPr>
            </w:pPr>
          </w:p>
        </w:tc>
        <w:tc>
          <w:tcPr>
            <w:tcW w:w="1605" w:type="dxa"/>
          </w:tcPr>
          <w:p>
            <w:pPr>
              <w:pStyle w:val="17"/>
              <w:rPr>
                <w:rFonts w:ascii="Times New Roman"/>
                <w:sz w:val="20"/>
              </w:rPr>
            </w:pPr>
          </w:p>
        </w:tc>
        <w:tc>
          <w:tcPr>
            <w:tcW w:w="2002" w:type="dxa"/>
          </w:tcPr>
          <w:p>
            <w:pPr>
              <w:pStyle w:val="17"/>
              <w:rPr>
                <w:rFonts w:ascii="Times New Roman"/>
                <w:sz w:val="20"/>
              </w:rPr>
            </w:pPr>
          </w:p>
        </w:tc>
        <w:tc>
          <w:tcPr>
            <w:tcW w:w="1312" w:type="dxa"/>
          </w:tcPr>
          <w:p>
            <w:pPr>
              <w:pStyle w:val="17"/>
              <w:rPr>
                <w:rFonts w:ascii="Times New Roman"/>
                <w:sz w:val="20"/>
              </w:rPr>
            </w:pPr>
          </w:p>
        </w:tc>
        <w:tc>
          <w:tcPr>
            <w:tcW w:w="1553" w:type="dxa"/>
          </w:tcPr>
          <w:p>
            <w:pPr>
              <w:pStyle w:val="17"/>
              <w:rPr>
                <w:rFonts w:ascii="Times New Roman"/>
                <w:sz w:val="20"/>
              </w:rPr>
            </w:pPr>
          </w:p>
        </w:tc>
        <w:tc>
          <w:tcPr>
            <w:tcW w:w="15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3" w:type="dxa"/>
          </w:tcPr>
          <w:p>
            <w:pPr>
              <w:pStyle w:val="17"/>
              <w:rPr>
                <w:rFonts w:ascii="Times New Roman"/>
                <w:sz w:val="20"/>
              </w:rPr>
            </w:pPr>
          </w:p>
        </w:tc>
        <w:tc>
          <w:tcPr>
            <w:tcW w:w="1605" w:type="dxa"/>
          </w:tcPr>
          <w:p>
            <w:pPr>
              <w:pStyle w:val="17"/>
              <w:rPr>
                <w:rFonts w:ascii="Times New Roman"/>
                <w:sz w:val="20"/>
              </w:rPr>
            </w:pPr>
          </w:p>
        </w:tc>
        <w:tc>
          <w:tcPr>
            <w:tcW w:w="2002" w:type="dxa"/>
          </w:tcPr>
          <w:p>
            <w:pPr>
              <w:pStyle w:val="17"/>
              <w:rPr>
                <w:rFonts w:ascii="Times New Roman"/>
                <w:sz w:val="20"/>
              </w:rPr>
            </w:pPr>
          </w:p>
        </w:tc>
        <w:tc>
          <w:tcPr>
            <w:tcW w:w="1312" w:type="dxa"/>
          </w:tcPr>
          <w:p>
            <w:pPr>
              <w:pStyle w:val="17"/>
              <w:rPr>
                <w:rFonts w:ascii="Times New Roman"/>
                <w:sz w:val="20"/>
              </w:rPr>
            </w:pPr>
          </w:p>
        </w:tc>
        <w:tc>
          <w:tcPr>
            <w:tcW w:w="1553" w:type="dxa"/>
          </w:tcPr>
          <w:p>
            <w:pPr>
              <w:pStyle w:val="17"/>
              <w:rPr>
                <w:rFonts w:ascii="Times New Roman"/>
                <w:sz w:val="20"/>
              </w:rPr>
            </w:pPr>
          </w:p>
        </w:tc>
        <w:tc>
          <w:tcPr>
            <w:tcW w:w="15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603" w:type="dxa"/>
          </w:tcPr>
          <w:p>
            <w:pPr>
              <w:pStyle w:val="17"/>
              <w:rPr>
                <w:rFonts w:ascii="Times New Roman"/>
                <w:sz w:val="20"/>
              </w:rPr>
            </w:pPr>
          </w:p>
        </w:tc>
        <w:tc>
          <w:tcPr>
            <w:tcW w:w="1605" w:type="dxa"/>
          </w:tcPr>
          <w:p>
            <w:pPr>
              <w:pStyle w:val="17"/>
              <w:rPr>
                <w:rFonts w:ascii="Times New Roman"/>
                <w:sz w:val="20"/>
              </w:rPr>
            </w:pPr>
          </w:p>
        </w:tc>
        <w:tc>
          <w:tcPr>
            <w:tcW w:w="2002" w:type="dxa"/>
          </w:tcPr>
          <w:p>
            <w:pPr>
              <w:pStyle w:val="17"/>
              <w:rPr>
                <w:rFonts w:ascii="Times New Roman"/>
                <w:sz w:val="20"/>
              </w:rPr>
            </w:pPr>
          </w:p>
        </w:tc>
        <w:tc>
          <w:tcPr>
            <w:tcW w:w="1312" w:type="dxa"/>
          </w:tcPr>
          <w:p>
            <w:pPr>
              <w:pStyle w:val="17"/>
              <w:rPr>
                <w:rFonts w:ascii="Times New Roman"/>
                <w:sz w:val="20"/>
              </w:rPr>
            </w:pPr>
          </w:p>
        </w:tc>
        <w:tc>
          <w:tcPr>
            <w:tcW w:w="1553" w:type="dxa"/>
          </w:tcPr>
          <w:p>
            <w:pPr>
              <w:pStyle w:val="17"/>
              <w:rPr>
                <w:rFonts w:ascii="Times New Roman"/>
                <w:sz w:val="20"/>
              </w:rPr>
            </w:pPr>
          </w:p>
        </w:tc>
        <w:tc>
          <w:tcPr>
            <w:tcW w:w="15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3" w:type="dxa"/>
          </w:tcPr>
          <w:p>
            <w:pPr>
              <w:pStyle w:val="17"/>
              <w:rPr>
                <w:rFonts w:ascii="Times New Roman"/>
                <w:sz w:val="20"/>
              </w:rPr>
            </w:pPr>
          </w:p>
        </w:tc>
        <w:tc>
          <w:tcPr>
            <w:tcW w:w="1605" w:type="dxa"/>
          </w:tcPr>
          <w:p>
            <w:pPr>
              <w:pStyle w:val="17"/>
              <w:rPr>
                <w:rFonts w:ascii="Times New Roman"/>
                <w:sz w:val="20"/>
              </w:rPr>
            </w:pPr>
          </w:p>
        </w:tc>
        <w:tc>
          <w:tcPr>
            <w:tcW w:w="2002" w:type="dxa"/>
          </w:tcPr>
          <w:p>
            <w:pPr>
              <w:pStyle w:val="17"/>
              <w:rPr>
                <w:rFonts w:ascii="Times New Roman"/>
                <w:sz w:val="20"/>
              </w:rPr>
            </w:pPr>
          </w:p>
        </w:tc>
        <w:tc>
          <w:tcPr>
            <w:tcW w:w="1312" w:type="dxa"/>
          </w:tcPr>
          <w:p>
            <w:pPr>
              <w:pStyle w:val="17"/>
              <w:rPr>
                <w:rFonts w:ascii="Times New Roman"/>
                <w:sz w:val="20"/>
              </w:rPr>
            </w:pPr>
          </w:p>
        </w:tc>
        <w:tc>
          <w:tcPr>
            <w:tcW w:w="1553" w:type="dxa"/>
          </w:tcPr>
          <w:p>
            <w:pPr>
              <w:pStyle w:val="17"/>
              <w:rPr>
                <w:rFonts w:ascii="Times New Roman"/>
                <w:sz w:val="20"/>
              </w:rPr>
            </w:pPr>
          </w:p>
        </w:tc>
        <w:tc>
          <w:tcPr>
            <w:tcW w:w="15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3" w:type="dxa"/>
          </w:tcPr>
          <w:p>
            <w:pPr>
              <w:pStyle w:val="17"/>
              <w:rPr>
                <w:rFonts w:ascii="Times New Roman"/>
                <w:sz w:val="20"/>
              </w:rPr>
            </w:pPr>
          </w:p>
        </w:tc>
        <w:tc>
          <w:tcPr>
            <w:tcW w:w="1605" w:type="dxa"/>
          </w:tcPr>
          <w:p>
            <w:pPr>
              <w:pStyle w:val="17"/>
              <w:rPr>
                <w:rFonts w:ascii="Times New Roman"/>
                <w:sz w:val="20"/>
              </w:rPr>
            </w:pPr>
          </w:p>
        </w:tc>
        <w:tc>
          <w:tcPr>
            <w:tcW w:w="2002" w:type="dxa"/>
          </w:tcPr>
          <w:p>
            <w:pPr>
              <w:pStyle w:val="17"/>
              <w:rPr>
                <w:rFonts w:ascii="Times New Roman"/>
                <w:sz w:val="20"/>
              </w:rPr>
            </w:pPr>
          </w:p>
        </w:tc>
        <w:tc>
          <w:tcPr>
            <w:tcW w:w="1312" w:type="dxa"/>
          </w:tcPr>
          <w:p>
            <w:pPr>
              <w:pStyle w:val="17"/>
              <w:rPr>
                <w:rFonts w:ascii="Times New Roman"/>
                <w:sz w:val="20"/>
              </w:rPr>
            </w:pPr>
          </w:p>
        </w:tc>
        <w:tc>
          <w:tcPr>
            <w:tcW w:w="1553" w:type="dxa"/>
          </w:tcPr>
          <w:p>
            <w:pPr>
              <w:pStyle w:val="17"/>
              <w:rPr>
                <w:rFonts w:ascii="Times New Roman"/>
                <w:sz w:val="20"/>
              </w:rPr>
            </w:pPr>
          </w:p>
        </w:tc>
        <w:tc>
          <w:tcPr>
            <w:tcW w:w="15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603" w:type="dxa"/>
          </w:tcPr>
          <w:p>
            <w:pPr>
              <w:pStyle w:val="17"/>
              <w:rPr>
                <w:rFonts w:ascii="Times New Roman"/>
                <w:sz w:val="20"/>
              </w:rPr>
            </w:pPr>
          </w:p>
        </w:tc>
        <w:tc>
          <w:tcPr>
            <w:tcW w:w="1605" w:type="dxa"/>
          </w:tcPr>
          <w:p>
            <w:pPr>
              <w:pStyle w:val="17"/>
              <w:rPr>
                <w:rFonts w:ascii="Times New Roman"/>
                <w:sz w:val="20"/>
              </w:rPr>
            </w:pPr>
          </w:p>
        </w:tc>
        <w:tc>
          <w:tcPr>
            <w:tcW w:w="2002" w:type="dxa"/>
          </w:tcPr>
          <w:p>
            <w:pPr>
              <w:pStyle w:val="17"/>
              <w:rPr>
                <w:rFonts w:ascii="Times New Roman"/>
                <w:sz w:val="20"/>
              </w:rPr>
            </w:pPr>
          </w:p>
        </w:tc>
        <w:tc>
          <w:tcPr>
            <w:tcW w:w="1312" w:type="dxa"/>
          </w:tcPr>
          <w:p>
            <w:pPr>
              <w:pStyle w:val="17"/>
              <w:rPr>
                <w:rFonts w:ascii="Times New Roman"/>
                <w:sz w:val="20"/>
              </w:rPr>
            </w:pPr>
          </w:p>
        </w:tc>
        <w:tc>
          <w:tcPr>
            <w:tcW w:w="1553" w:type="dxa"/>
          </w:tcPr>
          <w:p>
            <w:pPr>
              <w:pStyle w:val="17"/>
              <w:rPr>
                <w:rFonts w:ascii="Times New Roman"/>
                <w:sz w:val="20"/>
              </w:rPr>
            </w:pPr>
          </w:p>
        </w:tc>
        <w:tc>
          <w:tcPr>
            <w:tcW w:w="15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603" w:type="dxa"/>
          </w:tcPr>
          <w:p>
            <w:pPr>
              <w:pStyle w:val="17"/>
              <w:rPr>
                <w:rFonts w:ascii="Times New Roman"/>
                <w:sz w:val="20"/>
              </w:rPr>
            </w:pPr>
          </w:p>
        </w:tc>
        <w:tc>
          <w:tcPr>
            <w:tcW w:w="1605" w:type="dxa"/>
          </w:tcPr>
          <w:p>
            <w:pPr>
              <w:pStyle w:val="17"/>
              <w:rPr>
                <w:rFonts w:ascii="Times New Roman"/>
                <w:sz w:val="20"/>
              </w:rPr>
            </w:pPr>
          </w:p>
        </w:tc>
        <w:tc>
          <w:tcPr>
            <w:tcW w:w="2002" w:type="dxa"/>
          </w:tcPr>
          <w:p>
            <w:pPr>
              <w:pStyle w:val="17"/>
              <w:rPr>
                <w:rFonts w:ascii="Times New Roman"/>
                <w:sz w:val="20"/>
              </w:rPr>
            </w:pPr>
          </w:p>
        </w:tc>
        <w:tc>
          <w:tcPr>
            <w:tcW w:w="1312" w:type="dxa"/>
          </w:tcPr>
          <w:p>
            <w:pPr>
              <w:pStyle w:val="17"/>
              <w:rPr>
                <w:rFonts w:ascii="Times New Roman"/>
                <w:sz w:val="20"/>
              </w:rPr>
            </w:pPr>
          </w:p>
        </w:tc>
        <w:tc>
          <w:tcPr>
            <w:tcW w:w="1553" w:type="dxa"/>
          </w:tcPr>
          <w:p>
            <w:pPr>
              <w:pStyle w:val="17"/>
              <w:rPr>
                <w:rFonts w:ascii="Times New Roman"/>
                <w:sz w:val="20"/>
              </w:rPr>
            </w:pPr>
          </w:p>
        </w:tc>
        <w:tc>
          <w:tcPr>
            <w:tcW w:w="15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603" w:type="dxa"/>
          </w:tcPr>
          <w:p>
            <w:pPr>
              <w:pStyle w:val="17"/>
              <w:rPr>
                <w:rFonts w:ascii="Times New Roman"/>
                <w:sz w:val="20"/>
              </w:rPr>
            </w:pPr>
          </w:p>
        </w:tc>
        <w:tc>
          <w:tcPr>
            <w:tcW w:w="1605" w:type="dxa"/>
          </w:tcPr>
          <w:p>
            <w:pPr>
              <w:pStyle w:val="17"/>
              <w:rPr>
                <w:rFonts w:ascii="Times New Roman"/>
                <w:sz w:val="20"/>
              </w:rPr>
            </w:pPr>
          </w:p>
        </w:tc>
        <w:tc>
          <w:tcPr>
            <w:tcW w:w="2002" w:type="dxa"/>
          </w:tcPr>
          <w:p>
            <w:pPr>
              <w:pStyle w:val="17"/>
              <w:rPr>
                <w:rFonts w:ascii="Times New Roman"/>
                <w:sz w:val="20"/>
              </w:rPr>
            </w:pPr>
          </w:p>
        </w:tc>
        <w:tc>
          <w:tcPr>
            <w:tcW w:w="1312" w:type="dxa"/>
          </w:tcPr>
          <w:p>
            <w:pPr>
              <w:pStyle w:val="17"/>
              <w:rPr>
                <w:rFonts w:ascii="Times New Roman"/>
                <w:sz w:val="20"/>
              </w:rPr>
            </w:pPr>
          </w:p>
        </w:tc>
        <w:tc>
          <w:tcPr>
            <w:tcW w:w="1553" w:type="dxa"/>
          </w:tcPr>
          <w:p>
            <w:pPr>
              <w:pStyle w:val="17"/>
              <w:rPr>
                <w:rFonts w:ascii="Times New Roman"/>
                <w:sz w:val="20"/>
              </w:rPr>
            </w:pPr>
          </w:p>
        </w:tc>
        <w:tc>
          <w:tcPr>
            <w:tcW w:w="15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75" w:type="dxa"/>
            <w:gridSpan w:val="5"/>
          </w:tcPr>
          <w:p>
            <w:pPr>
              <w:pStyle w:val="17"/>
              <w:spacing w:before="1"/>
              <w:ind w:left="108"/>
              <w:rPr>
                <w:sz w:val="24"/>
              </w:rPr>
            </w:pPr>
            <w:r>
              <w:rPr>
                <w:sz w:val="24"/>
              </w:rPr>
              <w:t>合计</w:t>
            </w:r>
          </w:p>
        </w:tc>
        <w:tc>
          <w:tcPr>
            <w:tcW w:w="1553" w:type="dxa"/>
          </w:tcPr>
          <w:p>
            <w:pPr>
              <w:pStyle w:val="17"/>
              <w:rPr>
                <w:rFonts w:ascii="Times New Roman"/>
                <w:sz w:val="20"/>
              </w:rPr>
            </w:pPr>
          </w:p>
        </w:tc>
      </w:tr>
    </w:tbl>
    <w:p>
      <w:pPr>
        <w:spacing w:after="0"/>
        <w:rPr>
          <w:rFonts w:ascii="Times New Roman"/>
          <w:sz w:val="20"/>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17" o:spid="_x0000_s1217" o:spt="20" style="position:absolute;left:0pt;margin-left:62.4pt;margin-top:12.25pt;height:0pt;width:400.4pt;mso-position-horizontal-relative:page;z-index:25185177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388"/>
        <w:outlineLvl w:val="2"/>
      </w:pPr>
      <w:r>
        <w:t>（十四）规费、税金项目清单与计价表</w:t>
      </w:r>
    </w:p>
    <w:p>
      <w:pPr>
        <w:pStyle w:val="8"/>
        <w:tabs>
          <w:tab w:val="left" w:pos="7467"/>
          <w:tab w:val="left" w:pos="8067"/>
          <w:tab w:val="left" w:pos="8907"/>
        </w:tabs>
        <w:spacing w:before="158"/>
        <w:ind w:left="388"/>
      </w:pPr>
      <w:r>
        <w:t>工程名称</w:t>
      </w:r>
      <w:r>
        <w:tab/>
      </w:r>
      <w:r>
        <w:t>第</w:t>
      </w:r>
      <w:r>
        <w:tab/>
      </w:r>
      <w:r>
        <w:t>页共</w:t>
      </w:r>
      <w:r>
        <w:tab/>
      </w:r>
      <w:r>
        <w:t>页</w:t>
      </w:r>
    </w:p>
    <w:p>
      <w:pPr>
        <w:pStyle w:val="8"/>
        <w:spacing w:before="5"/>
        <w:rPr>
          <w:sz w:val="12"/>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2392"/>
        <w:gridCol w:w="3136"/>
        <w:gridCol w:w="1276"/>
        <w:gridCol w:w="992"/>
        <w:gridCol w:w="10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816" w:type="dxa"/>
          </w:tcPr>
          <w:p>
            <w:pPr>
              <w:pStyle w:val="17"/>
              <w:spacing w:before="1"/>
              <w:ind w:left="108"/>
              <w:rPr>
                <w:sz w:val="24"/>
              </w:rPr>
            </w:pPr>
            <w:r>
              <w:rPr>
                <w:sz w:val="24"/>
              </w:rPr>
              <w:t>序号</w:t>
            </w:r>
          </w:p>
        </w:tc>
        <w:tc>
          <w:tcPr>
            <w:tcW w:w="2392" w:type="dxa"/>
          </w:tcPr>
          <w:p>
            <w:pPr>
              <w:pStyle w:val="17"/>
              <w:spacing w:before="1"/>
              <w:ind w:left="108"/>
              <w:rPr>
                <w:sz w:val="24"/>
              </w:rPr>
            </w:pPr>
            <w:r>
              <w:rPr>
                <w:sz w:val="24"/>
              </w:rPr>
              <w:t>项目名称</w:t>
            </w:r>
          </w:p>
        </w:tc>
        <w:tc>
          <w:tcPr>
            <w:tcW w:w="3136" w:type="dxa"/>
          </w:tcPr>
          <w:p>
            <w:pPr>
              <w:pStyle w:val="17"/>
              <w:spacing w:before="1"/>
              <w:ind w:left="107"/>
              <w:rPr>
                <w:sz w:val="24"/>
              </w:rPr>
            </w:pPr>
            <w:r>
              <w:rPr>
                <w:sz w:val="24"/>
              </w:rPr>
              <w:t>计算基础</w:t>
            </w:r>
          </w:p>
        </w:tc>
        <w:tc>
          <w:tcPr>
            <w:tcW w:w="1276" w:type="dxa"/>
          </w:tcPr>
          <w:p>
            <w:pPr>
              <w:pStyle w:val="17"/>
              <w:spacing w:before="1"/>
              <w:ind w:left="107"/>
              <w:rPr>
                <w:sz w:val="24"/>
              </w:rPr>
            </w:pPr>
            <w:r>
              <w:rPr>
                <w:sz w:val="24"/>
              </w:rPr>
              <w:t>计算基数</w:t>
            </w:r>
          </w:p>
        </w:tc>
        <w:tc>
          <w:tcPr>
            <w:tcW w:w="992" w:type="dxa"/>
          </w:tcPr>
          <w:p>
            <w:pPr>
              <w:pStyle w:val="17"/>
              <w:spacing w:before="1"/>
              <w:ind w:left="108"/>
              <w:rPr>
                <w:sz w:val="24"/>
              </w:rPr>
            </w:pPr>
            <w:r>
              <w:rPr>
                <w:sz w:val="24"/>
              </w:rPr>
              <w:t>费率</w:t>
            </w:r>
          </w:p>
          <w:p>
            <w:pPr>
              <w:pStyle w:val="17"/>
              <w:spacing w:before="158"/>
              <w:ind w:left="108"/>
              <w:rPr>
                <w:sz w:val="24"/>
              </w:rPr>
            </w:pPr>
            <w:r>
              <w:rPr>
                <w:sz w:val="24"/>
              </w:rPr>
              <w:t>（%）</w:t>
            </w:r>
          </w:p>
        </w:tc>
        <w:tc>
          <w:tcPr>
            <w:tcW w:w="1016" w:type="dxa"/>
          </w:tcPr>
          <w:p>
            <w:pPr>
              <w:pStyle w:val="17"/>
              <w:spacing w:before="1"/>
              <w:ind w:left="107"/>
              <w:rPr>
                <w:sz w:val="24"/>
              </w:rPr>
            </w:pPr>
            <w:r>
              <w:rPr>
                <w:sz w:val="24"/>
              </w:rPr>
              <w:t>金额</w:t>
            </w:r>
          </w:p>
          <w:p>
            <w:pPr>
              <w:pStyle w:val="17"/>
              <w:spacing w:before="158"/>
              <w:ind w:left="107"/>
              <w:rPr>
                <w:sz w:val="24"/>
              </w:rPr>
            </w:pPr>
            <w:r>
              <w:rPr>
                <w:sz w:val="24"/>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16" w:type="dxa"/>
          </w:tcPr>
          <w:p>
            <w:pPr>
              <w:pStyle w:val="17"/>
              <w:ind w:left="108"/>
              <w:rPr>
                <w:sz w:val="24"/>
              </w:rPr>
            </w:pPr>
            <w:r>
              <w:rPr>
                <w:sz w:val="24"/>
              </w:rPr>
              <w:t>1</w:t>
            </w:r>
          </w:p>
        </w:tc>
        <w:tc>
          <w:tcPr>
            <w:tcW w:w="2392" w:type="dxa"/>
          </w:tcPr>
          <w:p>
            <w:pPr>
              <w:pStyle w:val="17"/>
              <w:ind w:left="108"/>
              <w:rPr>
                <w:sz w:val="24"/>
              </w:rPr>
            </w:pPr>
            <w:r>
              <w:rPr>
                <w:sz w:val="24"/>
              </w:rPr>
              <w:t>规费</w:t>
            </w:r>
          </w:p>
        </w:tc>
        <w:tc>
          <w:tcPr>
            <w:tcW w:w="3136" w:type="dxa"/>
          </w:tcPr>
          <w:p>
            <w:pPr>
              <w:pStyle w:val="17"/>
              <w:ind w:left="107"/>
              <w:rPr>
                <w:sz w:val="24"/>
              </w:rPr>
            </w:pPr>
            <w:r>
              <w:rPr>
                <w:sz w:val="24"/>
              </w:rPr>
              <w:t>定额人工费</w:t>
            </w:r>
          </w:p>
        </w:tc>
        <w:tc>
          <w:tcPr>
            <w:tcW w:w="1276" w:type="dxa"/>
          </w:tcPr>
          <w:p>
            <w:pPr>
              <w:pStyle w:val="17"/>
              <w:rPr>
                <w:rFonts w:ascii="Times New Roman"/>
                <w:sz w:val="22"/>
              </w:rPr>
            </w:pPr>
          </w:p>
        </w:tc>
        <w:tc>
          <w:tcPr>
            <w:tcW w:w="992"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16" w:type="dxa"/>
          </w:tcPr>
          <w:p>
            <w:pPr>
              <w:pStyle w:val="17"/>
              <w:spacing w:before="2"/>
              <w:ind w:left="108"/>
              <w:rPr>
                <w:sz w:val="24"/>
              </w:rPr>
            </w:pPr>
            <w:r>
              <w:rPr>
                <w:sz w:val="24"/>
              </w:rPr>
              <w:t>1.1</w:t>
            </w:r>
          </w:p>
        </w:tc>
        <w:tc>
          <w:tcPr>
            <w:tcW w:w="2392" w:type="dxa"/>
          </w:tcPr>
          <w:p>
            <w:pPr>
              <w:pStyle w:val="17"/>
              <w:spacing w:before="2"/>
              <w:ind w:left="108"/>
              <w:rPr>
                <w:sz w:val="24"/>
              </w:rPr>
            </w:pPr>
            <w:r>
              <w:rPr>
                <w:sz w:val="24"/>
              </w:rPr>
              <w:t>社会保险费</w:t>
            </w:r>
          </w:p>
        </w:tc>
        <w:tc>
          <w:tcPr>
            <w:tcW w:w="3136" w:type="dxa"/>
          </w:tcPr>
          <w:p>
            <w:pPr>
              <w:pStyle w:val="17"/>
              <w:spacing w:before="2"/>
              <w:ind w:left="107"/>
              <w:rPr>
                <w:sz w:val="24"/>
              </w:rPr>
            </w:pPr>
            <w:r>
              <w:rPr>
                <w:sz w:val="24"/>
              </w:rPr>
              <w:t>定额人工费</w:t>
            </w:r>
          </w:p>
        </w:tc>
        <w:tc>
          <w:tcPr>
            <w:tcW w:w="1276" w:type="dxa"/>
          </w:tcPr>
          <w:p>
            <w:pPr>
              <w:pStyle w:val="17"/>
              <w:rPr>
                <w:rFonts w:ascii="Times New Roman"/>
                <w:sz w:val="22"/>
              </w:rPr>
            </w:pPr>
          </w:p>
        </w:tc>
        <w:tc>
          <w:tcPr>
            <w:tcW w:w="992"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16" w:type="dxa"/>
          </w:tcPr>
          <w:p>
            <w:pPr>
              <w:pStyle w:val="17"/>
              <w:spacing w:before="3"/>
              <w:ind w:left="108"/>
              <w:rPr>
                <w:sz w:val="24"/>
              </w:rPr>
            </w:pPr>
            <w:r>
              <w:rPr>
                <w:sz w:val="24"/>
              </w:rPr>
              <w:t>1.2</w:t>
            </w:r>
          </w:p>
        </w:tc>
        <w:tc>
          <w:tcPr>
            <w:tcW w:w="2392" w:type="dxa"/>
          </w:tcPr>
          <w:p>
            <w:pPr>
              <w:pStyle w:val="17"/>
              <w:spacing w:before="3"/>
              <w:ind w:left="108"/>
              <w:rPr>
                <w:sz w:val="24"/>
              </w:rPr>
            </w:pPr>
            <w:r>
              <w:rPr>
                <w:sz w:val="24"/>
              </w:rPr>
              <w:t>养老保险费</w:t>
            </w:r>
          </w:p>
        </w:tc>
        <w:tc>
          <w:tcPr>
            <w:tcW w:w="3136" w:type="dxa"/>
          </w:tcPr>
          <w:p>
            <w:pPr>
              <w:pStyle w:val="17"/>
              <w:spacing w:before="3"/>
              <w:ind w:left="107"/>
              <w:rPr>
                <w:sz w:val="24"/>
              </w:rPr>
            </w:pPr>
            <w:r>
              <w:rPr>
                <w:sz w:val="24"/>
              </w:rPr>
              <w:t>定额人工费</w:t>
            </w:r>
          </w:p>
        </w:tc>
        <w:tc>
          <w:tcPr>
            <w:tcW w:w="1276" w:type="dxa"/>
          </w:tcPr>
          <w:p>
            <w:pPr>
              <w:pStyle w:val="17"/>
              <w:rPr>
                <w:rFonts w:ascii="Times New Roman"/>
                <w:sz w:val="22"/>
              </w:rPr>
            </w:pPr>
          </w:p>
        </w:tc>
        <w:tc>
          <w:tcPr>
            <w:tcW w:w="992"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16" w:type="dxa"/>
          </w:tcPr>
          <w:p>
            <w:pPr>
              <w:pStyle w:val="17"/>
              <w:spacing w:before="1"/>
              <w:ind w:left="108"/>
              <w:rPr>
                <w:sz w:val="24"/>
              </w:rPr>
            </w:pPr>
            <w:r>
              <w:rPr>
                <w:sz w:val="24"/>
              </w:rPr>
              <w:t>1.3</w:t>
            </w:r>
          </w:p>
        </w:tc>
        <w:tc>
          <w:tcPr>
            <w:tcW w:w="2392" w:type="dxa"/>
          </w:tcPr>
          <w:p>
            <w:pPr>
              <w:pStyle w:val="17"/>
              <w:spacing w:before="1"/>
              <w:ind w:left="108"/>
              <w:rPr>
                <w:sz w:val="24"/>
              </w:rPr>
            </w:pPr>
            <w:r>
              <w:rPr>
                <w:sz w:val="24"/>
              </w:rPr>
              <w:t>失业保险费</w:t>
            </w:r>
          </w:p>
        </w:tc>
        <w:tc>
          <w:tcPr>
            <w:tcW w:w="3136" w:type="dxa"/>
          </w:tcPr>
          <w:p>
            <w:pPr>
              <w:pStyle w:val="17"/>
              <w:spacing w:before="1"/>
              <w:ind w:left="107"/>
              <w:rPr>
                <w:sz w:val="24"/>
              </w:rPr>
            </w:pPr>
            <w:r>
              <w:rPr>
                <w:sz w:val="24"/>
              </w:rPr>
              <w:t>定额人工费</w:t>
            </w:r>
          </w:p>
        </w:tc>
        <w:tc>
          <w:tcPr>
            <w:tcW w:w="1276" w:type="dxa"/>
          </w:tcPr>
          <w:p>
            <w:pPr>
              <w:pStyle w:val="17"/>
              <w:rPr>
                <w:rFonts w:ascii="Times New Roman"/>
                <w:sz w:val="22"/>
              </w:rPr>
            </w:pPr>
          </w:p>
        </w:tc>
        <w:tc>
          <w:tcPr>
            <w:tcW w:w="992"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16" w:type="dxa"/>
          </w:tcPr>
          <w:p>
            <w:pPr>
              <w:pStyle w:val="17"/>
              <w:rPr>
                <w:rFonts w:ascii="Times New Roman"/>
                <w:sz w:val="22"/>
              </w:rPr>
            </w:pPr>
          </w:p>
        </w:tc>
        <w:tc>
          <w:tcPr>
            <w:tcW w:w="2392" w:type="dxa"/>
          </w:tcPr>
          <w:p>
            <w:pPr>
              <w:pStyle w:val="17"/>
              <w:spacing w:before="1"/>
              <w:ind w:left="108"/>
              <w:rPr>
                <w:sz w:val="24"/>
              </w:rPr>
            </w:pPr>
            <w:r>
              <w:rPr>
                <w:sz w:val="24"/>
              </w:rPr>
              <w:t>医疗保险费</w:t>
            </w:r>
          </w:p>
        </w:tc>
        <w:tc>
          <w:tcPr>
            <w:tcW w:w="3136" w:type="dxa"/>
          </w:tcPr>
          <w:p>
            <w:pPr>
              <w:pStyle w:val="17"/>
              <w:spacing w:before="1"/>
              <w:ind w:left="107"/>
              <w:rPr>
                <w:sz w:val="24"/>
              </w:rPr>
            </w:pPr>
            <w:r>
              <w:rPr>
                <w:sz w:val="24"/>
              </w:rPr>
              <w:t>定额人工费</w:t>
            </w:r>
          </w:p>
        </w:tc>
        <w:tc>
          <w:tcPr>
            <w:tcW w:w="1276" w:type="dxa"/>
          </w:tcPr>
          <w:p>
            <w:pPr>
              <w:pStyle w:val="17"/>
              <w:rPr>
                <w:rFonts w:ascii="Times New Roman"/>
                <w:sz w:val="22"/>
              </w:rPr>
            </w:pPr>
          </w:p>
        </w:tc>
        <w:tc>
          <w:tcPr>
            <w:tcW w:w="992"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16" w:type="dxa"/>
          </w:tcPr>
          <w:p>
            <w:pPr>
              <w:pStyle w:val="17"/>
              <w:rPr>
                <w:rFonts w:ascii="Times New Roman"/>
                <w:sz w:val="22"/>
              </w:rPr>
            </w:pPr>
          </w:p>
        </w:tc>
        <w:tc>
          <w:tcPr>
            <w:tcW w:w="2392" w:type="dxa"/>
          </w:tcPr>
          <w:p>
            <w:pPr>
              <w:pStyle w:val="17"/>
              <w:spacing w:before="2"/>
              <w:ind w:left="108"/>
              <w:rPr>
                <w:sz w:val="24"/>
              </w:rPr>
            </w:pPr>
            <w:r>
              <w:rPr>
                <w:sz w:val="24"/>
              </w:rPr>
              <w:t>工商保险费</w:t>
            </w:r>
          </w:p>
        </w:tc>
        <w:tc>
          <w:tcPr>
            <w:tcW w:w="3136" w:type="dxa"/>
          </w:tcPr>
          <w:p>
            <w:pPr>
              <w:pStyle w:val="17"/>
              <w:spacing w:before="2"/>
              <w:ind w:left="107"/>
              <w:rPr>
                <w:sz w:val="24"/>
              </w:rPr>
            </w:pPr>
            <w:r>
              <w:rPr>
                <w:sz w:val="24"/>
              </w:rPr>
              <w:t>定额人工费</w:t>
            </w:r>
          </w:p>
        </w:tc>
        <w:tc>
          <w:tcPr>
            <w:tcW w:w="1276" w:type="dxa"/>
          </w:tcPr>
          <w:p>
            <w:pPr>
              <w:pStyle w:val="17"/>
              <w:rPr>
                <w:rFonts w:ascii="Times New Roman"/>
                <w:sz w:val="22"/>
              </w:rPr>
            </w:pPr>
          </w:p>
        </w:tc>
        <w:tc>
          <w:tcPr>
            <w:tcW w:w="992"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16" w:type="dxa"/>
          </w:tcPr>
          <w:p>
            <w:pPr>
              <w:pStyle w:val="17"/>
              <w:rPr>
                <w:rFonts w:ascii="Times New Roman"/>
                <w:sz w:val="22"/>
              </w:rPr>
            </w:pPr>
          </w:p>
        </w:tc>
        <w:tc>
          <w:tcPr>
            <w:tcW w:w="2392" w:type="dxa"/>
          </w:tcPr>
          <w:p>
            <w:pPr>
              <w:pStyle w:val="17"/>
              <w:ind w:left="108"/>
              <w:rPr>
                <w:sz w:val="24"/>
              </w:rPr>
            </w:pPr>
            <w:r>
              <w:rPr>
                <w:sz w:val="24"/>
              </w:rPr>
              <w:t>生育保险费</w:t>
            </w:r>
          </w:p>
        </w:tc>
        <w:tc>
          <w:tcPr>
            <w:tcW w:w="3136" w:type="dxa"/>
          </w:tcPr>
          <w:p>
            <w:pPr>
              <w:pStyle w:val="17"/>
              <w:ind w:left="107"/>
              <w:rPr>
                <w:sz w:val="24"/>
              </w:rPr>
            </w:pPr>
            <w:r>
              <w:rPr>
                <w:sz w:val="24"/>
              </w:rPr>
              <w:t>定额人工费</w:t>
            </w:r>
          </w:p>
        </w:tc>
        <w:tc>
          <w:tcPr>
            <w:tcW w:w="1276" w:type="dxa"/>
          </w:tcPr>
          <w:p>
            <w:pPr>
              <w:pStyle w:val="17"/>
              <w:rPr>
                <w:rFonts w:ascii="Times New Roman"/>
                <w:sz w:val="22"/>
              </w:rPr>
            </w:pPr>
          </w:p>
        </w:tc>
        <w:tc>
          <w:tcPr>
            <w:tcW w:w="992"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16" w:type="dxa"/>
          </w:tcPr>
          <w:p>
            <w:pPr>
              <w:pStyle w:val="17"/>
              <w:rPr>
                <w:rFonts w:ascii="Times New Roman"/>
                <w:sz w:val="22"/>
              </w:rPr>
            </w:pPr>
          </w:p>
        </w:tc>
        <w:tc>
          <w:tcPr>
            <w:tcW w:w="2392" w:type="dxa"/>
          </w:tcPr>
          <w:p>
            <w:pPr>
              <w:pStyle w:val="17"/>
              <w:spacing w:before="1"/>
              <w:ind w:left="108"/>
              <w:rPr>
                <w:sz w:val="24"/>
              </w:rPr>
            </w:pPr>
            <w:r>
              <w:rPr>
                <w:sz w:val="24"/>
              </w:rPr>
              <w:t>住房公积金</w:t>
            </w:r>
          </w:p>
        </w:tc>
        <w:tc>
          <w:tcPr>
            <w:tcW w:w="3136" w:type="dxa"/>
          </w:tcPr>
          <w:p>
            <w:pPr>
              <w:pStyle w:val="17"/>
              <w:spacing w:before="1"/>
              <w:ind w:left="107"/>
              <w:rPr>
                <w:sz w:val="24"/>
              </w:rPr>
            </w:pPr>
            <w:r>
              <w:rPr>
                <w:sz w:val="24"/>
              </w:rPr>
              <w:t>定额人工费</w:t>
            </w:r>
          </w:p>
        </w:tc>
        <w:tc>
          <w:tcPr>
            <w:tcW w:w="1276" w:type="dxa"/>
          </w:tcPr>
          <w:p>
            <w:pPr>
              <w:pStyle w:val="17"/>
              <w:rPr>
                <w:rFonts w:ascii="Times New Roman"/>
                <w:sz w:val="22"/>
              </w:rPr>
            </w:pPr>
          </w:p>
        </w:tc>
        <w:tc>
          <w:tcPr>
            <w:tcW w:w="992"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atLeast"/>
        </w:trPr>
        <w:tc>
          <w:tcPr>
            <w:tcW w:w="816" w:type="dxa"/>
          </w:tcPr>
          <w:p>
            <w:pPr>
              <w:pStyle w:val="17"/>
              <w:rPr>
                <w:rFonts w:ascii="Times New Roman"/>
                <w:sz w:val="22"/>
              </w:rPr>
            </w:pPr>
          </w:p>
        </w:tc>
        <w:tc>
          <w:tcPr>
            <w:tcW w:w="2392" w:type="dxa"/>
          </w:tcPr>
          <w:p>
            <w:pPr>
              <w:pStyle w:val="17"/>
              <w:spacing w:before="1"/>
              <w:ind w:left="108"/>
              <w:rPr>
                <w:sz w:val="24"/>
              </w:rPr>
            </w:pPr>
            <w:r>
              <w:rPr>
                <w:sz w:val="24"/>
              </w:rPr>
              <w:t>工程排污费</w:t>
            </w:r>
          </w:p>
        </w:tc>
        <w:tc>
          <w:tcPr>
            <w:tcW w:w="3136" w:type="dxa"/>
          </w:tcPr>
          <w:p>
            <w:pPr>
              <w:pStyle w:val="17"/>
              <w:spacing w:before="1"/>
              <w:ind w:left="107"/>
              <w:rPr>
                <w:sz w:val="24"/>
              </w:rPr>
            </w:pPr>
            <w:r>
              <w:rPr>
                <w:sz w:val="24"/>
              </w:rPr>
              <w:t>按工程所在地环境保护部门</w:t>
            </w:r>
          </w:p>
          <w:p>
            <w:pPr>
              <w:pStyle w:val="17"/>
              <w:spacing w:before="158"/>
              <w:ind w:left="107"/>
              <w:rPr>
                <w:sz w:val="24"/>
              </w:rPr>
            </w:pPr>
            <w:r>
              <w:rPr>
                <w:sz w:val="24"/>
              </w:rPr>
              <w:t>收取标准，按实计入</w:t>
            </w:r>
          </w:p>
        </w:tc>
        <w:tc>
          <w:tcPr>
            <w:tcW w:w="1276" w:type="dxa"/>
          </w:tcPr>
          <w:p>
            <w:pPr>
              <w:pStyle w:val="17"/>
              <w:rPr>
                <w:rFonts w:ascii="Times New Roman"/>
                <w:sz w:val="22"/>
              </w:rPr>
            </w:pPr>
          </w:p>
        </w:tc>
        <w:tc>
          <w:tcPr>
            <w:tcW w:w="992"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16" w:type="dxa"/>
          </w:tcPr>
          <w:p>
            <w:pPr>
              <w:pStyle w:val="17"/>
              <w:rPr>
                <w:rFonts w:ascii="Times New Roman"/>
                <w:sz w:val="22"/>
              </w:rPr>
            </w:pPr>
          </w:p>
        </w:tc>
        <w:tc>
          <w:tcPr>
            <w:tcW w:w="2392" w:type="dxa"/>
          </w:tcPr>
          <w:p>
            <w:pPr>
              <w:pStyle w:val="17"/>
              <w:rPr>
                <w:rFonts w:ascii="Times New Roman"/>
                <w:sz w:val="22"/>
              </w:rPr>
            </w:pPr>
          </w:p>
        </w:tc>
        <w:tc>
          <w:tcPr>
            <w:tcW w:w="3136" w:type="dxa"/>
          </w:tcPr>
          <w:p>
            <w:pPr>
              <w:pStyle w:val="17"/>
              <w:rPr>
                <w:rFonts w:ascii="Times New Roman"/>
                <w:sz w:val="22"/>
              </w:rPr>
            </w:pPr>
          </w:p>
        </w:tc>
        <w:tc>
          <w:tcPr>
            <w:tcW w:w="1276" w:type="dxa"/>
          </w:tcPr>
          <w:p>
            <w:pPr>
              <w:pStyle w:val="17"/>
              <w:rPr>
                <w:rFonts w:ascii="Times New Roman"/>
                <w:sz w:val="22"/>
              </w:rPr>
            </w:pPr>
          </w:p>
        </w:tc>
        <w:tc>
          <w:tcPr>
            <w:tcW w:w="992"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1" w:hRule="atLeast"/>
        </w:trPr>
        <w:tc>
          <w:tcPr>
            <w:tcW w:w="816" w:type="dxa"/>
          </w:tcPr>
          <w:p>
            <w:pPr>
              <w:pStyle w:val="17"/>
              <w:rPr>
                <w:rFonts w:ascii="Times New Roman"/>
                <w:sz w:val="22"/>
              </w:rPr>
            </w:pPr>
          </w:p>
        </w:tc>
        <w:tc>
          <w:tcPr>
            <w:tcW w:w="2392" w:type="dxa"/>
          </w:tcPr>
          <w:p>
            <w:pPr>
              <w:pStyle w:val="17"/>
              <w:spacing w:before="2"/>
              <w:ind w:left="108"/>
              <w:rPr>
                <w:sz w:val="24"/>
              </w:rPr>
            </w:pPr>
            <w:r>
              <w:rPr>
                <w:sz w:val="24"/>
              </w:rPr>
              <w:t>税金</w:t>
            </w:r>
          </w:p>
        </w:tc>
        <w:tc>
          <w:tcPr>
            <w:tcW w:w="3136" w:type="dxa"/>
          </w:tcPr>
          <w:p>
            <w:pPr>
              <w:pStyle w:val="17"/>
              <w:spacing w:before="2" w:line="362" w:lineRule="auto"/>
              <w:ind w:left="107" w:right="256"/>
              <w:rPr>
                <w:sz w:val="24"/>
              </w:rPr>
            </w:pPr>
            <w:r>
              <w:rPr>
                <w:sz w:val="24"/>
              </w:rPr>
              <w:t>分部分项工程费+措施项目费+其他项目费+规费+按规</w:t>
            </w:r>
          </w:p>
          <w:p>
            <w:pPr>
              <w:pStyle w:val="17"/>
              <w:spacing w:before="5"/>
              <w:ind w:left="107"/>
              <w:rPr>
                <w:sz w:val="24"/>
              </w:rPr>
            </w:pPr>
            <w:r>
              <w:rPr>
                <w:sz w:val="24"/>
              </w:rPr>
              <w:t>定不计入税的工程设备金额</w:t>
            </w:r>
          </w:p>
        </w:tc>
        <w:tc>
          <w:tcPr>
            <w:tcW w:w="1276" w:type="dxa"/>
          </w:tcPr>
          <w:p>
            <w:pPr>
              <w:pStyle w:val="17"/>
              <w:rPr>
                <w:rFonts w:ascii="Times New Roman"/>
                <w:sz w:val="22"/>
              </w:rPr>
            </w:pPr>
          </w:p>
        </w:tc>
        <w:tc>
          <w:tcPr>
            <w:tcW w:w="992" w:type="dxa"/>
          </w:tcPr>
          <w:p>
            <w:pPr>
              <w:pStyle w:val="17"/>
              <w:rPr>
                <w:rFonts w:ascii="Times New Roman"/>
                <w:sz w:val="22"/>
              </w:rPr>
            </w:pPr>
          </w:p>
        </w:tc>
        <w:tc>
          <w:tcPr>
            <w:tcW w:w="1016"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612" w:type="dxa"/>
            <w:gridSpan w:val="5"/>
          </w:tcPr>
          <w:p>
            <w:pPr>
              <w:pStyle w:val="17"/>
              <w:ind w:left="108"/>
              <w:rPr>
                <w:sz w:val="24"/>
              </w:rPr>
            </w:pPr>
            <w:r>
              <w:rPr>
                <w:sz w:val="24"/>
              </w:rPr>
              <w:t>合计</w:t>
            </w:r>
          </w:p>
        </w:tc>
        <w:tc>
          <w:tcPr>
            <w:tcW w:w="1016" w:type="dxa"/>
          </w:tcPr>
          <w:p>
            <w:pPr>
              <w:pStyle w:val="17"/>
              <w:rPr>
                <w:rFonts w:ascii="Times New Roman"/>
                <w:sz w:val="22"/>
              </w:rPr>
            </w:pPr>
          </w:p>
        </w:tc>
      </w:tr>
    </w:tbl>
    <w:p>
      <w:pPr>
        <w:pStyle w:val="8"/>
        <w:tabs>
          <w:tab w:val="left" w:pos="7107"/>
        </w:tabs>
        <w:spacing w:before="1"/>
        <w:ind w:left="388"/>
      </w:pPr>
      <w:r>
        <w:t>编制人（造价员）：</w:t>
      </w:r>
      <w:r>
        <w:tab/>
      </w:r>
      <w:r>
        <w:t>复核人（工程师）：</w:t>
      </w:r>
    </w:p>
    <w:p>
      <w:pPr>
        <w:pStyle w:val="8"/>
        <w:spacing w:before="160" w:line="364" w:lineRule="auto"/>
        <w:ind w:left="388" w:right="626"/>
      </w:pPr>
      <w:r>
        <w:rPr>
          <w:spacing w:val="-2"/>
        </w:rPr>
        <w:t>注：</w:t>
      </w:r>
      <w:r>
        <w:rPr>
          <w:spacing w:val="-4"/>
        </w:rPr>
        <w:t>1</w:t>
      </w:r>
      <w:r>
        <w:rPr>
          <w:spacing w:val="-8"/>
        </w:rPr>
        <w:t>、“计算基础”中安全文明施工费可为“定额基价”、“定额人工费”或“定额人工</w:t>
      </w:r>
      <w:r>
        <w:rPr>
          <w:spacing w:val="-9"/>
        </w:rPr>
        <w:t>费”+“定额机械费”，其他项目可为“定额人工费”或“定额人工费”+“定额机械费”。</w:t>
      </w:r>
      <w:r>
        <w:t>2</w:t>
      </w:r>
      <w:r>
        <w:rPr>
          <w:spacing w:val="-9"/>
        </w:rPr>
        <w:t>、按施工方案计算的措施费，若无“计算基础”和“费率”的数值，也可只填“金额”数值，但应该在备注栏说明施工方案出处或计算方式</w:t>
      </w:r>
    </w:p>
    <w:p>
      <w:pPr>
        <w:pStyle w:val="8"/>
        <w:spacing w:line="362" w:lineRule="auto"/>
        <w:ind w:left="388" w:right="744"/>
      </w:pPr>
      <w:r>
        <w:rPr>
          <w:spacing w:val="-12"/>
        </w:rPr>
        <w:t>注：根据建设部、财政部发布的《建筑安装工程费用组成》</w:t>
      </w:r>
      <w:r>
        <w:t>（建标</w:t>
      </w:r>
      <w:r>
        <w:rPr>
          <w:spacing w:val="-3"/>
        </w:rPr>
        <w:t>{2013}44）</w:t>
      </w:r>
      <w:r>
        <w:rPr>
          <w:spacing w:val="-11"/>
        </w:rPr>
        <w:t>的规定，“计</w:t>
      </w:r>
      <w:r>
        <w:t>算基础”可为“直接费用”、“人工费”或“人工费”+“机械费”。</w:t>
      </w:r>
    </w:p>
    <w:p>
      <w:pPr>
        <w:spacing w:after="0" w:line="362" w:lineRule="auto"/>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18" o:spid="_x0000_s1218" o:spt="20" style="position:absolute;left:0pt;margin-left:62.4pt;margin-top:12.25pt;height:0pt;width:400.4pt;mso-position-horizontal-relative:page;z-index:25185280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388"/>
        <w:outlineLvl w:val="2"/>
      </w:pPr>
      <w:r>
        <w:t>（十五）综合单价分析表</w:t>
      </w:r>
    </w:p>
    <w:p>
      <w:pPr>
        <w:pStyle w:val="8"/>
        <w:tabs>
          <w:tab w:val="left" w:pos="8187"/>
          <w:tab w:val="left" w:pos="8667"/>
          <w:tab w:val="left" w:pos="9387"/>
        </w:tabs>
        <w:spacing w:before="158"/>
        <w:ind w:left="388"/>
      </w:pPr>
      <w:r>
        <w:t>工程名称</w:t>
      </w:r>
      <w:r>
        <w:tab/>
      </w:r>
      <w:r>
        <w:t>第</w:t>
      </w:r>
      <w:r>
        <w:tab/>
      </w:r>
      <w:r>
        <w:t>页共</w:t>
      </w:r>
      <w:r>
        <w:tab/>
      </w:r>
      <w:r>
        <w:t>页</w:t>
      </w:r>
    </w:p>
    <w:p>
      <w:pPr>
        <w:pStyle w:val="8"/>
        <w:spacing w:before="5"/>
        <w:rPr>
          <w:sz w:val="12"/>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3"/>
        <w:gridCol w:w="478"/>
        <w:gridCol w:w="992"/>
        <w:gridCol w:w="992"/>
        <w:gridCol w:w="321"/>
        <w:gridCol w:w="650"/>
        <w:gridCol w:w="481"/>
        <w:gridCol w:w="273"/>
        <w:gridCol w:w="197"/>
        <w:gridCol w:w="223"/>
        <w:gridCol w:w="343"/>
        <w:gridCol w:w="316"/>
        <w:gridCol w:w="108"/>
        <w:gridCol w:w="318"/>
        <w:gridCol w:w="141"/>
        <w:gridCol w:w="142"/>
        <w:gridCol w:w="479"/>
        <w:gridCol w:w="548"/>
        <w:gridCol w:w="86"/>
        <w:gridCol w:w="320"/>
        <w:gridCol w:w="694"/>
        <w:gridCol w:w="474"/>
        <w:gridCol w:w="5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991" w:type="dxa"/>
            <w:gridSpan w:val="2"/>
          </w:tcPr>
          <w:p>
            <w:pPr>
              <w:pStyle w:val="17"/>
              <w:spacing w:before="1"/>
              <w:ind w:left="108"/>
              <w:rPr>
                <w:sz w:val="24"/>
              </w:rPr>
            </w:pPr>
            <w:r>
              <w:rPr>
                <w:sz w:val="24"/>
              </w:rPr>
              <w:t>项目编</w:t>
            </w:r>
          </w:p>
          <w:p>
            <w:pPr>
              <w:pStyle w:val="17"/>
              <w:spacing w:before="158"/>
              <w:ind w:left="108"/>
              <w:rPr>
                <w:sz w:val="24"/>
              </w:rPr>
            </w:pPr>
            <w:r>
              <w:rPr>
                <w:sz w:val="24"/>
              </w:rPr>
              <w:t>码</w:t>
            </w:r>
          </w:p>
        </w:tc>
        <w:tc>
          <w:tcPr>
            <w:tcW w:w="992" w:type="dxa"/>
          </w:tcPr>
          <w:p>
            <w:pPr>
              <w:pStyle w:val="17"/>
              <w:rPr>
                <w:rFonts w:ascii="Times New Roman"/>
                <w:sz w:val="22"/>
              </w:rPr>
            </w:pPr>
          </w:p>
        </w:tc>
        <w:tc>
          <w:tcPr>
            <w:tcW w:w="992" w:type="dxa"/>
          </w:tcPr>
          <w:p>
            <w:pPr>
              <w:pStyle w:val="17"/>
              <w:spacing w:before="1"/>
              <w:ind w:left="108"/>
              <w:rPr>
                <w:sz w:val="24"/>
              </w:rPr>
            </w:pPr>
            <w:r>
              <w:rPr>
                <w:sz w:val="24"/>
              </w:rPr>
              <w:t>项目名</w:t>
            </w:r>
          </w:p>
          <w:p>
            <w:pPr>
              <w:pStyle w:val="17"/>
              <w:spacing w:before="158"/>
              <w:ind w:left="108"/>
              <w:rPr>
                <w:sz w:val="24"/>
              </w:rPr>
            </w:pPr>
            <w:r>
              <w:rPr>
                <w:sz w:val="24"/>
              </w:rPr>
              <w:t>称</w:t>
            </w:r>
          </w:p>
        </w:tc>
        <w:tc>
          <w:tcPr>
            <w:tcW w:w="971" w:type="dxa"/>
            <w:gridSpan w:val="2"/>
          </w:tcPr>
          <w:p>
            <w:pPr>
              <w:pStyle w:val="17"/>
              <w:rPr>
                <w:rFonts w:ascii="Times New Roman"/>
                <w:sz w:val="22"/>
              </w:rPr>
            </w:pPr>
          </w:p>
        </w:tc>
        <w:tc>
          <w:tcPr>
            <w:tcW w:w="1174" w:type="dxa"/>
            <w:gridSpan w:val="4"/>
          </w:tcPr>
          <w:p>
            <w:pPr>
              <w:pStyle w:val="17"/>
              <w:spacing w:before="1"/>
              <w:ind w:left="108"/>
              <w:rPr>
                <w:sz w:val="24"/>
              </w:rPr>
            </w:pPr>
            <w:r>
              <w:rPr>
                <w:sz w:val="24"/>
              </w:rPr>
              <w:t>计量单</w:t>
            </w:r>
          </w:p>
          <w:p>
            <w:pPr>
              <w:pStyle w:val="17"/>
              <w:spacing w:before="158"/>
              <w:ind w:left="108"/>
              <w:rPr>
                <w:sz w:val="24"/>
              </w:rPr>
            </w:pPr>
            <w:r>
              <w:rPr>
                <w:sz w:val="24"/>
              </w:rPr>
              <w:t>位</w:t>
            </w:r>
          </w:p>
        </w:tc>
        <w:tc>
          <w:tcPr>
            <w:tcW w:w="1226" w:type="dxa"/>
            <w:gridSpan w:val="5"/>
          </w:tcPr>
          <w:p>
            <w:pPr>
              <w:pStyle w:val="17"/>
              <w:rPr>
                <w:rFonts w:ascii="Times New Roman"/>
                <w:sz w:val="22"/>
              </w:rPr>
            </w:pPr>
          </w:p>
        </w:tc>
        <w:tc>
          <w:tcPr>
            <w:tcW w:w="1575" w:type="dxa"/>
            <w:gridSpan w:val="5"/>
          </w:tcPr>
          <w:p>
            <w:pPr>
              <w:pStyle w:val="17"/>
              <w:spacing w:before="1"/>
              <w:ind w:left="105"/>
              <w:rPr>
                <w:sz w:val="24"/>
              </w:rPr>
            </w:pPr>
            <w:r>
              <w:rPr>
                <w:sz w:val="24"/>
              </w:rPr>
              <w:t>工程量</w:t>
            </w:r>
          </w:p>
        </w:tc>
        <w:tc>
          <w:tcPr>
            <w:tcW w:w="1713" w:type="dxa"/>
            <w:gridSpan w:val="3"/>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634" w:type="dxa"/>
            <w:gridSpan w:val="23"/>
          </w:tcPr>
          <w:p>
            <w:pPr>
              <w:pStyle w:val="17"/>
              <w:ind w:left="528"/>
              <w:rPr>
                <w:sz w:val="24"/>
              </w:rPr>
            </w:pPr>
            <w:r>
              <w:rPr>
                <w:sz w:val="24"/>
              </w:rPr>
              <w:t>清单综合单价组成和明细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91" w:type="dxa"/>
            <w:gridSpan w:val="2"/>
            <w:vMerge w:val="restart"/>
          </w:tcPr>
          <w:p>
            <w:pPr>
              <w:pStyle w:val="17"/>
              <w:spacing w:before="2" w:line="362" w:lineRule="auto"/>
              <w:ind w:left="108" w:right="150"/>
              <w:rPr>
                <w:sz w:val="24"/>
              </w:rPr>
            </w:pPr>
            <w:r>
              <w:rPr>
                <w:sz w:val="24"/>
              </w:rPr>
              <w:t>定额编号</w:t>
            </w:r>
          </w:p>
        </w:tc>
        <w:tc>
          <w:tcPr>
            <w:tcW w:w="992" w:type="dxa"/>
            <w:vMerge w:val="restart"/>
          </w:tcPr>
          <w:p>
            <w:pPr>
              <w:pStyle w:val="17"/>
              <w:spacing w:before="2" w:line="362" w:lineRule="auto"/>
              <w:ind w:left="106" w:right="153"/>
              <w:rPr>
                <w:sz w:val="24"/>
              </w:rPr>
            </w:pPr>
            <w:r>
              <w:rPr>
                <w:sz w:val="24"/>
              </w:rPr>
              <w:t>定额项目名称</w:t>
            </w:r>
          </w:p>
        </w:tc>
        <w:tc>
          <w:tcPr>
            <w:tcW w:w="992" w:type="dxa"/>
            <w:vMerge w:val="restart"/>
          </w:tcPr>
          <w:p>
            <w:pPr>
              <w:pStyle w:val="17"/>
              <w:spacing w:before="2" w:line="362" w:lineRule="auto"/>
              <w:ind w:left="108" w:right="151"/>
              <w:rPr>
                <w:sz w:val="24"/>
              </w:rPr>
            </w:pPr>
            <w:r>
              <w:rPr>
                <w:sz w:val="24"/>
              </w:rPr>
              <w:t>定额单位</w:t>
            </w:r>
          </w:p>
        </w:tc>
        <w:tc>
          <w:tcPr>
            <w:tcW w:w="971" w:type="dxa"/>
            <w:gridSpan w:val="2"/>
            <w:vMerge w:val="restart"/>
          </w:tcPr>
          <w:p>
            <w:pPr>
              <w:pStyle w:val="17"/>
              <w:spacing w:before="2"/>
              <w:ind w:left="107"/>
              <w:rPr>
                <w:sz w:val="24"/>
              </w:rPr>
            </w:pPr>
            <w:r>
              <w:rPr>
                <w:sz w:val="24"/>
              </w:rPr>
              <w:t>数量</w:t>
            </w:r>
          </w:p>
        </w:tc>
        <w:tc>
          <w:tcPr>
            <w:tcW w:w="1833" w:type="dxa"/>
            <w:gridSpan w:val="6"/>
          </w:tcPr>
          <w:p>
            <w:pPr>
              <w:pStyle w:val="17"/>
              <w:spacing w:before="2"/>
              <w:ind w:left="108"/>
              <w:rPr>
                <w:sz w:val="24"/>
              </w:rPr>
            </w:pPr>
            <w:r>
              <w:rPr>
                <w:sz w:val="24"/>
              </w:rPr>
              <w:t>单价</w:t>
            </w:r>
          </w:p>
        </w:tc>
        <w:tc>
          <w:tcPr>
            <w:tcW w:w="3855" w:type="dxa"/>
            <w:gridSpan w:val="11"/>
          </w:tcPr>
          <w:p>
            <w:pPr>
              <w:pStyle w:val="17"/>
              <w:spacing w:before="2"/>
              <w:ind w:left="106"/>
              <w:rPr>
                <w:sz w:val="24"/>
              </w:rPr>
            </w:pPr>
            <w:r>
              <w:rPr>
                <w:sz w:val="24"/>
              </w:rPr>
              <w:t>合价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1" w:hRule="atLeast"/>
        </w:trPr>
        <w:tc>
          <w:tcPr>
            <w:tcW w:w="991" w:type="dxa"/>
            <w:gridSpan w:val="2"/>
            <w:vMerge w:val="continue"/>
            <w:tcBorders>
              <w:top w:val="nil"/>
            </w:tcBorders>
          </w:tcPr>
          <w:p>
            <w:pPr>
              <w:rPr>
                <w:sz w:val="2"/>
                <w:szCs w:val="2"/>
              </w:rPr>
            </w:pPr>
          </w:p>
        </w:tc>
        <w:tc>
          <w:tcPr>
            <w:tcW w:w="992" w:type="dxa"/>
            <w:vMerge w:val="continue"/>
            <w:tcBorders>
              <w:top w:val="nil"/>
            </w:tcBorders>
          </w:tcPr>
          <w:p>
            <w:pPr>
              <w:rPr>
                <w:sz w:val="2"/>
                <w:szCs w:val="2"/>
              </w:rPr>
            </w:pPr>
          </w:p>
        </w:tc>
        <w:tc>
          <w:tcPr>
            <w:tcW w:w="992" w:type="dxa"/>
            <w:vMerge w:val="continue"/>
            <w:tcBorders>
              <w:top w:val="nil"/>
            </w:tcBorders>
          </w:tcPr>
          <w:p>
            <w:pPr>
              <w:rPr>
                <w:sz w:val="2"/>
                <w:szCs w:val="2"/>
              </w:rPr>
            </w:pPr>
          </w:p>
        </w:tc>
        <w:tc>
          <w:tcPr>
            <w:tcW w:w="971" w:type="dxa"/>
            <w:gridSpan w:val="2"/>
            <w:vMerge w:val="continue"/>
            <w:tcBorders>
              <w:top w:val="nil"/>
            </w:tcBorders>
          </w:tcPr>
          <w:p>
            <w:pPr>
              <w:rPr>
                <w:sz w:val="2"/>
                <w:szCs w:val="2"/>
              </w:rPr>
            </w:pPr>
          </w:p>
        </w:tc>
        <w:tc>
          <w:tcPr>
            <w:tcW w:w="481" w:type="dxa"/>
          </w:tcPr>
          <w:p>
            <w:pPr>
              <w:pStyle w:val="17"/>
              <w:spacing w:before="3" w:line="362" w:lineRule="auto"/>
              <w:ind w:left="120" w:right="108"/>
              <w:rPr>
                <w:sz w:val="24"/>
              </w:rPr>
            </w:pPr>
            <w:r>
              <w:rPr>
                <w:sz w:val="24"/>
              </w:rPr>
              <w:t>人工</w:t>
            </w:r>
          </w:p>
          <w:p>
            <w:pPr>
              <w:pStyle w:val="17"/>
              <w:spacing w:before="2"/>
              <w:ind w:left="120"/>
              <w:rPr>
                <w:sz w:val="24"/>
              </w:rPr>
            </w:pPr>
            <w:r>
              <w:rPr>
                <w:sz w:val="24"/>
              </w:rPr>
              <w:t>费</w:t>
            </w:r>
          </w:p>
        </w:tc>
        <w:tc>
          <w:tcPr>
            <w:tcW w:w="470" w:type="dxa"/>
            <w:gridSpan w:val="2"/>
          </w:tcPr>
          <w:p>
            <w:pPr>
              <w:pStyle w:val="17"/>
              <w:spacing w:before="3" w:line="362" w:lineRule="auto"/>
              <w:ind w:left="114" w:right="103"/>
              <w:rPr>
                <w:sz w:val="24"/>
              </w:rPr>
            </w:pPr>
            <w:r>
              <w:rPr>
                <w:sz w:val="24"/>
              </w:rPr>
              <w:t>材料</w:t>
            </w:r>
          </w:p>
          <w:p>
            <w:pPr>
              <w:pStyle w:val="17"/>
              <w:spacing w:before="2"/>
              <w:ind w:left="114"/>
              <w:rPr>
                <w:sz w:val="24"/>
              </w:rPr>
            </w:pPr>
            <w:r>
              <w:rPr>
                <w:sz w:val="24"/>
              </w:rPr>
              <w:t>费</w:t>
            </w:r>
          </w:p>
        </w:tc>
        <w:tc>
          <w:tcPr>
            <w:tcW w:w="566" w:type="dxa"/>
            <w:gridSpan w:val="2"/>
          </w:tcPr>
          <w:p>
            <w:pPr>
              <w:pStyle w:val="17"/>
              <w:spacing w:before="3" w:line="362" w:lineRule="auto"/>
              <w:ind w:left="146" w:right="167"/>
              <w:rPr>
                <w:sz w:val="24"/>
              </w:rPr>
            </w:pPr>
            <w:r>
              <w:rPr>
                <w:sz w:val="24"/>
              </w:rPr>
              <w:t>机械</w:t>
            </w:r>
          </w:p>
          <w:p>
            <w:pPr>
              <w:pStyle w:val="17"/>
              <w:spacing w:before="2"/>
              <w:ind w:left="146"/>
              <w:rPr>
                <w:sz w:val="24"/>
              </w:rPr>
            </w:pPr>
            <w:r>
              <w:rPr>
                <w:sz w:val="24"/>
              </w:rPr>
              <w:t>费</w:t>
            </w:r>
          </w:p>
        </w:tc>
        <w:tc>
          <w:tcPr>
            <w:tcW w:w="424" w:type="dxa"/>
            <w:gridSpan w:val="2"/>
          </w:tcPr>
          <w:p>
            <w:pPr>
              <w:pStyle w:val="17"/>
              <w:spacing w:before="3" w:line="362" w:lineRule="auto"/>
              <w:ind w:left="74" w:right="97"/>
              <w:rPr>
                <w:sz w:val="24"/>
              </w:rPr>
            </w:pPr>
            <w:r>
              <w:rPr>
                <w:sz w:val="24"/>
              </w:rPr>
              <w:t>管理</w:t>
            </w:r>
          </w:p>
          <w:p>
            <w:pPr>
              <w:pStyle w:val="17"/>
              <w:spacing w:before="2"/>
              <w:ind w:left="74"/>
              <w:rPr>
                <w:sz w:val="24"/>
              </w:rPr>
            </w:pPr>
            <w:r>
              <w:rPr>
                <w:sz w:val="24"/>
              </w:rPr>
              <w:t>费</w:t>
            </w:r>
          </w:p>
        </w:tc>
        <w:tc>
          <w:tcPr>
            <w:tcW w:w="318" w:type="dxa"/>
          </w:tcPr>
          <w:p>
            <w:pPr>
              <w:pStyle w:val="17"/>
              <w:spacing w:before="4"/>
              <w:rPr>
                <w:sz w:val="18"/>
              </w:rPr>
            </w:pPr>
          </w:p>
          <w:p>
            <w:pPr>
              <w:pStyle w:val="17"/>
              <w:spacing w:before="1" w:line="362" w:lineRule="auto"/>
              <w:ind w:left="106" w:right="-44"/>
              <w:rPr>
                <w:sz w:val="24"/>
              </w:rPr>
            </w:pPr>
            <w:r>
              <w:rPr>
                <w:sz w:val="24"/>
              </w:rPr>
              <w:t>利润</w:t>
            </w:r>
          </w:p>
        </w:tc>
        <w:tc>
          <w:tcPr>
            <w:tcW w:w="762" w:type="dxa"/>
            <w:gridSpan w:val="3"/>
          </w:tcPr>
          <w:p>
            <w:pPr>
              <w:pStyle w:val="17"/>
              <w:spacing w:before="4"/>
              <w:rPr>
                <w:sz w:val="18"/>
              </w:rPr>
            </w:pPr>
          </w:p>
          <w:p>
            <w:pPr>
              <w:pStyle w:val="17"/>
              <w:spacing w:before="1" w:line="362" w:lineRule="auto"/>
              <w:ind w:left="258" w:right="131" w:hanging="120"/>
              <w:rPr>
                <w:sz w:val="24"/>
              </w:rPr>
            </w:pPr>
            <w:r>
              <w:rPr>
                <w:sz w:val="24"/>
              </w:rPr>
              <w:t>人工费</w:t>
            </w:r>
          </w:p>
        </w:tc>
        <w:tc>
          <w:tcPr>
            <w:tcW w:w="634" w:type="dxa"/>
            <w:gridSpan w:val="2"/>
          </w:tcPr>
          <w:p>
            <w:pPr>
              <w:pStyle w:val="17"/>
              <w:spacing w:before="3" w:line="362" w:lineRule="auto"/>
              <w:ind w:left="185" w:right="196"/>
              <w:rPr>
                <w:sz w:val="24"/>
              </w:rPr>
            </w:pPr>
            <w:r>
              <w:rPr>
                <w:sz w:val="24"/>
              </w:rPr>
              <w:t>材料</w:t>
            </w:r>
          </w:p>
          <w:p>
            <w:pPr>
              <w:pStyle w:val="17"/>
              <w:spacing w:before="2"/>
              <w:ind w:left="185"/>
              <w:rPr>
                <w:sz w:val="24"/>
              </w:rPr>
            </w:pPr>
            <w:r>
              <w:rPr>
                <w:sz w:val="24"/>
              </w:rPr>
              <w:t>费</w:t>
            </w:r>
          </w:p>
        </w:tc>
        <w:tc>
          <w:tcPr>
            <w:tcW w:w="320" w:type="dxa"/>
          </w:tcPr>
          <w:p>
            <w:pPr>
              <w:pStyle w:val="17"/>
              <w:spacing w:before="3" w:line="362" w:lineRule="auto"/>
              <w:ind w:left="84" w:right="-29"/>
              <w:rPr>
                <w:sz w:val="24"/>
              </w:rPr>
            </w:pPr>
            <w:r>
              <w:rPr>
                <w:sz w:val="24"/>
              </w:rPr>
              <w:t>机械</w:t>
            </w:r>
          </w:p>
          <w:p>
            <w:pPr>
              <w:pStyle w:val="17"/>
              <w:spacing w:before="2"/>
              <w:ind w:left="84" w:right="-29"/>
              <w:rPr>
                <w:sz w:val="24"/>
              </w:rPr>
            </w:pPr>
            <w:r>
              <w:rPr>
                <w:sz w:val="24"/>
              </w:rPr>
              <w:t>费</w:t>
            </w:r>
          </w:p>
        </w:tc>
        <w:tc>
          <w:tcPr>
            <w:tcW w:w="1168" w:type="dxa"/>
            <w:gridSpan w:val="2"/>
          </w:tcPr>
          <w:p>
            <w:pPr>
              <w:pStyle w:val="17"/>
              <w:rPr>
                <w:sz w:val="24"/>
              </w:rPr>
            </w:pPr>
          </w:p>
          <w:p>
            <w:pPr>
              <w:pStyle w:val="17"/>
              <w:spacing w:before="161"/>
              <w:ind w:left="215"/>
              <w:rPr>
                <w:sz w:val="24"/>
              </w:rPr>
            </w:pPr>
            <w:r>
              <w:rPr>
                <w:sz w:val="24"/>
              </w:rPr>
              <w:t>管理费</w:t>
            </w:r>
          </w:p>
        </w:tc>
        <w:tc>
          <w:tcPr>
            <w:tcW w:w="545" w:type="dxa"/>
          </w:tcPr>
          <w:p>
            <w:pPr>
              <w:pStyle w:val="17"/>
              <w:spacing w:before="4"/>
              <w:rPr>
                <w:sz w:val="18"/>
              </w:rPr>
            </w:pPr>
          </w:p>
          <w:p>
            <w:pPr>
              <w:pStyle w:val="17"/>
              <w:spacing w:before="1" w:line="362" w:lineRule="auto"/>
              <w:ind w:left="149" w:right="143"/>
              <w:rPr>
                <w:sz w:val="24"/>
              </w:rPr>
            </w:pPr>
            <w:r>
              <w:rPr>
                <w:sz w:val="24"/>
              </w:rPr>
              <w:t>利润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991" w:type="dxa"/>
            <w:gridSpan w:val="2"/>
          </w:tcPr>
          <w:p>
            <w:pPr>
              <w:pStyle w:val="17"/>
              <w:rPr>
                <w:rFonts w:ascii="Times New Roman"/>
                <w:sz w:val="22"/>
              </w:rPr>
            </w:pPr>
          </w:p>
        </w:tc>
        <w:tc>
          <w:tcPr>
            <w:tcW w:w="992" w:type="dxa"/>
          </w:tcPr>
          <w:p>
            <w:pPr>
              <w:pStyle w:val="17"/>
              <w:rPr>
                <w:rFonts w:ascii="Times New Roman"/>
                <w:sz w:val="22"/>
              </w:rPr>
            </w:pPr>
          </w:p>
        </w:tc>
        <w:tc>
          <w:tcPr>
            <w:tcW w:w="992" w:type="dxa"/>
          </w:tcPr>
          <w:p>
            <w:pPr>
              <w:pStyle w:val="17"/>
              <w:rPr>
                <w:rFonts w:ascii="Times New Roman"/>
                <w:sz w:val="22"/>
              </w:rPr>
            </w:pPr>
          </w:p>
        </w:tc>
        <w:tc>
          <w:tcPr>
            <w:tcW w:w="971" w:type="dxa"/>
            <w:gridSpan w:val="2"/>
          </w:tcPr>
          <w:p>
            <w:pPr>
              <w:pStyle w:val="17"/>
              <w:rPr>
                <w:rFonts w:ascii="Times New Roman"/>
                <w:sz w:val="22"/>
              </w:rPr>
            </w:pPr>
          </w:p>
        </w:tc>
        <w:tc>
          <w:tcPr>
            <w:tcW w:w="1517" w:type="dxa"/>
            <w:gridSpan w:val="5"/>
          </w:tcPr>
          <w:p>
            <w:pPr>
              <w:pStyle w:val="17"/>
              <w:rPr>
                <w:rFonts w:ascii="Times New Roman"/>
                <w:sz w:val="22"/>
              </w:rPr>
            </w:pPr>
          </w:p>
        </w:tc>
        <w:tc>
          <w:tcPr>
            <w:tcW w:w="742" w:type="dxa"/>
            <w:gridSpan w:val="3"/>
          </w:tcPr>
          <w:p>
            <w:pPr>
              <w:pStyle w:val="17"/>
              <w:rPr>
                <w:rFonts w:ascii="Times New Roman"/>
                <w:sz w:val="22"/>
              </w:rPr>
            </w:pPr>
          </w:p>
        </w:tc>
        <w:tc>
          <w:tcPr>
            <w:tcW w:w="1396" w:type="dxa"/>
            <w:gridSpan w:val="5"/>
          </w:tcPr>
          <w:p>
            <w:pPr>
              <w:pStyle w:val="17"/>
              <w:rPr>
                <w:rFonts w:ascii="Times New Roman"/>
                <w:sz w:val="22"/>
              </w:rPr>
            </w:pPr>
          </w:p>
        </w:tc>
        <w:tc>
          <w:tcPr>
            <w:tcW w:w="2033" w:type="dxa"/>
            <w:gridSpan w:val="4"/>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991" w:type="dxa"/>
            <w:gridSpan w:val="2"/>
          </w:tcPr>
          <w:p>
            <w:pPr>
              <w:pStyle w:val="17"/>
              <w:rPr>
                <w:rFonts w:ascii="Times New Roman"/>
                <w:sz w:val="22"/>
              </w:rPr>
            </w:pPr>
          </w:p>
        </w:tc>
        <w:tc>
          <w:tcPr>
            <w:tcW w:w="992" w:type="dxa"/>
          </w:tcPr>
          <w:p>
            <w:pPr>
              <w:pStyle w:val="17"/>
              <w:rPr>
                <w:rFonts w:ascii="Times New Roman"/>
                <w:sz w:val="22"/>
              </w:rPr>
            </w:pPr>
          </w:p>
        </w:tc>
        <w:tc>
          <w:tcPr>
            <w:tcW w:w="992" w:type="dxa"/>
          </w:tcPr>
          <w:p>
            <w:pPr>
              <w:pStyle w:val="17"/>
              <w:rPr>
                <w:rFonts w:ascii="Times New Roman"/>
                <w:sz w:val="22"/>
              </w:rPr>
            </w:pPr>
          </w:p>
        </w:tc>
        <w:tc>
          <w:tcPr>
            <w:tcW w:w="971" w:type="dxa"/>
            <w:gridSpan w:val="2"/>
          </w:tcPr>
          <w:p>
            <w:pPr>
              <w:pStyle w:val="17"/>
              <w:rPr>
                <w:rFonts w:ascii="Times New Roman"/>
                <w:sz w:val="22"/>
              </w:rPr>
            </w:pPr>
          </w:p>
        </w:tc>
        <w:tc>
          <w:tcPr>
            <w:tcW w:w="1517" w:type="dxa"/>
            <w:gridSpan w:val="5"/>
          </w:tcPr>
          <w:p>
            <w:pPr>
              <w:pStyle w:val="17"/>
              <w:rPr>
                <w:rFonts w:ascii="Times New Roman"/>
                <w:sz w:val="22"/>
              </w:rPr>
            </w:pPr>
          </w:p>
        </w:tc>
        <w:tc>
          <w:tcPr>
            <w:tcW w:w="742" w:type="dxa"/>
            <w:gridSpan w:val="3"/>
          </w:tcPr>
          <w:p>
            <w:pPr>
              <w:pStyle w:val="17"/>
              <w:rPr>
                <w:rFonts w:ascii="Times New Roman"/>
                <w:sz w:val="22"/>
              </w:rPr>
            </w:pPr>
          </w:p>
        </w:tc>
        <w:tc>
          <w:tcPr>
            <w:tcW w:w="1396" w:type="dxa"/>
            <w:gridSpan w:val="5"/>
          </w:tcPr>
          <w:p>
            <w:pPr>
              <w:pStyle w:val="17"/>
              <w:rPr>
                <w:rFonts w:ascii="Times New Roman"/>
                <w:sz w:val="22"/>
              </w:rPr>
            </w:pPr>
          </w:p>
        </w:tc>
        <w:tc>
          <w:tcPr>
            <w:tcW w:w="2033" w:type="dxa"/>
            <w:gridSpan w:val="4"/>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991" w:type="dxa"/>
            <w:gridSpan w:val="2"/>
          </w:tcPr>
          <w:p>
            <w:pPr>
              <w:pStyle w:val="17"/>
              <w:rPr>
                <w:rFonts w:ascii="Times New Roman"/>
                <w:sz w:val="22"/>
              </w:rPr>
            </w:pPr>
          </w:p>
        </w:tc>
        <w:tc>
          <w:tcPr>
            <w:tcW w:w="992" w:type="dxa"/>
          </w:tcPr>
          <w:p>
            <w:pPr>
              <w:pStyle w:val="17"/>
              <w:rPr>
                <w:rFonts w:ascii="Times New Roman"/>
                <w:sz w:val="22"/>
              </w:rPr>
            </w:pPr>
          </w:p>
        </w:tc>
        <w:tc>
          <w:tcPr>
            <w:tcW w:w="992" w:type="dxa"/>
          </w:tcPr>
          <w:p>
            <w:pPr>
              <w:pStyle w:val="17"/>
              <w:rPr>
                <w:rFonts w:ascii="Times New Roman"/>
                <w:sz w:val="22"/>
              </w:rPr>
            </w:pPr>
          </w:p>
        </w:tc>
        <w:tc>
          <w:tcPr>
            <w:tcW w:w="971" w:type="dxa"/>
            <w:gridSpan w:val="2"/>
          </w:tcPr>
          <w:p>
            <w:pPr>
              <w:pStyle w:val="17"/>
              <w:rPr>
                <w:rFonts w:ascii="Times New Roman"/>
                <w:sz w:val="22"/>
              </w:rPr>
            </w:pPr>
          </w:p>
        </w:tc>
        <w:tc>
          <w:tcPr>
            <w:tcW w:w="1517" w:type="dxa"/>
            <w:gridSpan w:val="5"/>
          </w:tcPr>
          <w:p>
            <w:pPr>
              <w:pStyle w:val="17"/>
              <w:rPr>
                <w:rFonts w:ascii="Times New Roman"/>
                <w:sz w:val="22"/>
              </w:rPr>
            </w:pPr>
          </w:p>
        </w:tc>
        <w:tc>
          <w:tcPr>
            <w:tcW w:w="742" w:type="dxa"/>
            <w:gridSpan w:val="3"/>
          </w:tcPr>
          <w:p>
            <w:pPr>
              <w:pStyle w:val="17"/>
              <w:rPr>
                <w:rFonts w:ascii="Times New Roman"/>
                <w:sz w:val="22"/>
              </w:rPr>
            </w:pPr>
          </w:p>
        </w:tc>
        <w:tc>
          <w:tcPr>
            <w:tcW w:w="1396" w:type="dxa"/>
            <w:gridSpan w:val="5"/>
          </w:tcPr>
          <w:p>
            <w:pPr>
              <w:pStyle w:val="17"/>
              <w:rPr>
                <w:rFonts w:ascii="Times New Roman"/>
                <w:sz w:val="22"/>
              </w:rPr>
            </w:pPr>
          </w:p>
        </w:tc>
        <w:tc>
          <w:tcPr>
            <w:tcW w:w="2033" w:type="dxa"/>
            <w:gridSpan w:val="4"/>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983" w:type="dxa"/>
            <w:gridSpan w:val="3"/>
          </w:tcPr>
          <w:p>
            <w:pPr>
              <w:pStyle w:val="17"/>
              <w:spacing w:before="1"/>
              <w:ind w:left="108"/>
              <w:rPr>
                <w:sz w:val="24"/>
              </w:rPr>
            </w:pPr>
            <w:r>
              <w:rPr>
                <w:sz w:val="24"/>
              </w:rPr>
              <w:t>综合单价</w:t>
            </w:r>
          </w:p>
        </w:tc>
        <w:tc>
          <w:tcPr>
            <w:tcW w:w="4222" w:type="dxa"/>
            <w:gridSpan w:val="11"/>
          </w:tcPr>
          <w:p>
            <w:pPr>
              <w:pStyle w:val="17"/>
              <w:spacing w:before="1"/>
              <w:ind w:left="108"/>
              <w:rPr>
                <w:sz w:val="24"/>
              </w:rPr>
            </w:pPr>
            <w:r>
              <w:rPr>
                <w:sz w:val="24"/>
              </w:rPr>
              <w:t>小计</w:t>
            </w:r>
          </w:p>
        </w:tc>
        <w:tc>
          <w:tcPr>
            <w:tcW w:w="3429" w:type="dxa"/>
            <w:gridSpan w:val="9"/>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513" w:type="dxa"/>
            <w:vMerge w:val="restart"/>
          </w:tcPr>
          <w:p>
            <w:pPr>
              <w:pStyle w:val="17"/>
              <w:spacing w:before="2" w:line="364" w:lineRule="auto"/>
              <w:ind w:left="108" w:right="152"/>
              <w:jc w:val="both"/>
              <w:rPr>
                <w:sz w:val="24"/>
              </w:rPr>
            </w:pPr>
            <w:r>
              <w:rPr>
                <w:sz w:val="24"/>
              </w:rPr>
              <w:t>材料费明细</w:t>
            </w:r>
          </w:p>
        </w:tc>
        <w:tc>
          <w:tcPr>
            <w:tcW w:w="2783" w:type="dxa"/>
            <w:gridSpan w:val="4"/>
          </w:tcPr>
          <w:p>
            <w:pPr>
              <w:pStyle w:val="17"/>
              <w:spacing w:before="2"/>
              <w:ind w:left="106"/>
              <w:rPr>
                <w:sz w:val="24"/>
              </w:rPr>
            </w:pPr>
            <w:r>
              <w:rPr>
                <w:sz w:val="24"/>
              </w:rPr>
              <w:t>主要材料名称、规格、型</w:t>
            </w:r>
          </w:p>
          <w:p>
            <w:pPr>
              <w:pStyle w:val="17"/>
              <w:spacing w:before="158"/>
              <w:ind w:left="106"/>
              <w:rPr>
                <w:sz w:val="24"/>
              </w:rPr>
            </w:pPr>
            <w:r>
              <w:rPr>
                <w:sz w:val="24"/>
              </w:rPr>
              <w:t>号</w:t>
            </w:r>
          </w:p>
        </w:tc>
        <w:tc>
          <w:tcPr>
            <w:tcW w:w="1404" w:type="dxa"/>
            <w:gridSpan w:val="3"/>
          </w:tcPr>
          <w:p>
            <w:pPr>
              <w:pStyle w:val="17"/>
              <w:spacing w:before="2"/>
              <w:ind w:left="107"/>
              <w:rPr>
                <w:sz w:val="24"/>
              </w:rPr>
            </w:pPr>
            <w:r>
              <w:rPr>
                <w:sz w:val="24"/>
              </w:rPr>
              <w:t>单位</w:t>
            </w:r>
          </w:p>
        </w:tc>
        <w:tc>
          <w:tcPr>
            <w:tcW w:w="763" w:type="dxa"/>
            <w:gridSpan w:val="3"/>
          </w:tcPr>
          <w:p>
            <w:pPr>
              <w:pStyle w:val="17"/>
              <w:spacing w:before="2"/>
              <w:ind w:left="107"/>
              <w:rPr>
                <w:sz w:val="24"/>
              </w:rPr>
            </w:pPr>
            <w:r>
              <w:rPr>
                <w:sz w:val="24"/>
              </w:rPr>
              <w:t>数量</w:t>
            </w:r>
          </w:p>
        </w:tc>
        <w:tc>
          <w:tcPr>
            <w:tcW w:w="1025" w:type="dxa"/>
            <w:gridSpan w:val="5"/>
          </w:tcPr>
          <w:p>
            <w:pPr>
              <w:pStyle w:val="17"/>
              <w:spacing w:before="2"/>
              <w:ind w:left="139"/>
              <w:rPr>
                <w:sz w:val="24"/>
              </w:rPr>
            </w:pPr>
            <w:r>
              <w:rPr>
                <w:sz w:val="24"/>
              </w:rPr>
              <w:t>单价</w:t>
            </w:r>
          </w:p>
          <w:p>
            <w:pPr>
              <w:pStyle w:val="17"/>
              <w:spacing w:before="158"/>
              <w:ind w:left="139"/>
              <w:rPr>
                <w:sz w:val="24"/>
              </w:rPr>
            </w:pPr>
            <w:r>
              <w:rPr>
                <w:sz w:val="24"/>
              </w:rPr>
              <w:t>（元）</w:t>
            </w:r>
          </w:p>
        </w:tc>
        <w:tc>
          <w:tcPr>
            <w:tcW w:w="1027" w:type="dxa"/>
            <w:gridSpan w:val="2"/>
          </w:tcPr>
          <w:p>
            <w:pPr>
              <w:pStyle w:val="17"/>
              <w:spacing w:before="2"/>
              <w:ind w:left="105"/>
              <w:rPr>
                <w:sz w:val="24"/>
              </w:rPr>
            </w:pPr>
            <w:r>
              <w:rPr>
                <w:sz w:val="24"/>
              </w:rPr>
              <w:t>合价</w:t>
            </w:r>
          </w:p>
          <w:p>
            <w:pPr>
              <w:pStyle w:val="17"/>
              <w:spacing w:before="158"/>
              <w:ind w:left="105"/>
              <w:rPr>
                <w:sz w:val="24"/>
              </w:rPr>
            </w:pPr>
            <w:r>
              <w:rPr>
                <w:sz w:val="24"/>
              </w:rPr>
              <w:t>（元）</w:t>
            </w:r>
          </w:p>
        </w:tc>
        <w:tc>
          <w:tcPr>
            <w:tcW w:w="1100" w:type="dxa"/>
            <w:gridSpan w:val="3"/>
          </w:tcPr>
          <w:p>
            <w:pPr>
              <w:pStyle w:val="17"/>
              <w:spacing w:before="2"/>
              <w:ind w:left="72"/>
              <w:rPr>
                <w:sz w:val="24"/>
              </w:rPr>
            </w:pPr>
            <w:r>
              <w:rPr>
                <w:sz w:val="24"/>
              </w:rPr>
              <w:t>暂估单</w:t>
            </w:r>
          </w:p>
          <w:p>
            <w:pPr>
              <w:pStyle w:val="17"/>
              <w:spacing w:before="158"/>
              <w:ind w:left="72"/>
              <w:rPr>
                <w:sz w:val="24"/>
              </w:rPr>
            </w:pPr>
            <w:r>
              <w:rPr>
                <w:sz w:val="24"/>
              </w:rPr>
              <w:t>价（元）</w:t>
            </w:r>
          </w:p>
        </w:tc>
        <w:tc>
          <w:tcPr>
            <w:tcW w:w="1019" w:type="dxa"/>
            <w:gridSpan w:val="2"/>
          </w:tcPr>
          <w:p>
            <w:pPr>
              <w:pStyle w:val="17"/>
              <w:spacing w:before="2"/>
              <w:ind w:left="104"/>
              <w:rPr>
                <w:sz w:val="24"/>
              </w:rPr>
            </w:pPr>
            <w:r>
              <w:rPr>
                <w:sz w:val="24"/>
              </w:rPr>
              <w:t>暂估合</w:t>
            </w:r>
          </w:p>
          <w:p>
            <w:pPr>
              <w:pStyle w:val="17"/>
              <w:spacing w:before="158"/>
              <w:ind w:left="104" w:right="-29"/>
              <w:rPr>
                <w:sz w:val="24"/>
              </w:rPr>
            </w:pPr>
            <w:r>
              <w:rPr>
                <w:spacing w:val="-36"/>
                <w:sz w:val="24"/>
              </w:rPr>
              <w:t>价</w:t>
            </w:r>
            <w:r>
              <w:rPr>
                <w:sz w:val="24"/>
              </w:rPr>
              <w:t>（元</w:t>
            </w:r>
            <w:r>
              <w:rPr>
                <w:spacing w:val="-10"/>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13" w:type="dxa"/>
            <w:vMerge w:val="continue"/>
            <w:tcBorders>
              <w:top w:val="nil"/>
            </w:tcBorders>
          </w:tcPr>
          <w:p>
            <w:pPr>
              <w:rPr>
                <w:sz w:val="2"/>
                <w:szCs w:val="2"/>
              </w:rPr>
            </w:pPr>
          </w:p>
        </w:tc>
        <w:tc>
          <w:tcPr>
            <w:tcW w:w="1470" w:type="dxa"/>
            <w:gridSpan w:val="2"/>
          </w:tcPr>
          <w:p>
            <w:pPr>
              <w:pStyle w:val="17"/>
              <w:rPr>
                <w:rFonts w:ascii="Times New Roman"/>
                <w:sz w:val="22"/>
              </w:rPr>
            </w:pPr>
          </w:p>
        </w:tc>
        <w:tc>
          <w:tcPr>
            <w:tcW w:w="1313" w:type="dxa"/>
            <w:gridSpan w:val="2"/>
          </w:tcPr>
          <w:p>
            <w:pPr>
              <w:pStyle w:val="17"/>
              <w:rPr>
                <w:rFonts w:ascii="Times New Roman"/>
                <w:sz w:val="22"/>
              </w:rPr>
            </w:pPr>
          </w:p>
        </w:tc>
        <w:tc>
          <w:tcPr>
            <w:tcW w:w="1404" w:type="dxa"/>
            <w:gridSpan w:val="3"/>
          </w:tcPr>
          <w:p>
            <w:pPr>
              <w:pStyle w:val="17"/>
              <w:rPr>
                <w:rFonts w:ascii="Times New Roman"/>
                <w:sz w:val="22"/>
              </w:rPr>
            </w:pPr>
          </w:p>
        </w:tc>
        <w:tc>
          <w:tcPr>
            <w:tcW w:w="763" w:type="dxa"/>
            <w:gridSpan w:val="3"/>
          </w:tcPr>
          <w:p>
            <w:pPr>
              <w:pStyle w:val="17"/>
              <w:rPr>
                <w:rFonts w:ascii="Times New Roman"/>
                <w:sz w:val="22"/>
              </w:rPr>
            </w:pPr>
          </w:p>
        </w:tc>
        <w:tc>
          <w:tcPr>
            <w:tcW w:w="1025" w:type="dxa"/>
            <w:gridSpan w:val="5"/>
          </w:tcPr>
          <w:p>
            <w:pPr>
              <w:pStyle w:val="17"/>
              <w:rPr>
                <w:rFonts w:ascii="Times New Roman"/>
                <w:sz w:val="22"/>
              </w:rPr>
            </w:pPr>
          </w:p>
        </w:tc>
        <w:tc>
          <w:tcPr>
            <w:tcW w:w="1027" w:type="dxa"/>
            <w:gridSpan w:val="2"/>
          </w:tcPr>
          <w:p>
            <w:pPr>
              <w:pStyle w:val="17"/>
              <w:rPr>
                <w:rFonts w:ascii="Times New Roman"/>
                <w:sz w:val="22"/>
              </w:rPr>
            </w:pPr>
          </w:p>
        </w:tc>
        <w:tc>
          <w:tcPr>
            <w:tcW w:w="1100" w:type="dxa"/>
            <w:gridSpan w:val="3"/>
          </w:tcPr>
          <w:p>
            <w:pPr>
              <w:pStyle w:val="17"/>
              <w:rPr>
                <w:rFonts w:ascii="Times New Roman"/>
                <w:sz w:val="22"/>
              </w:rPr>
            </w:pPr>
          </w:p>
        </w:tc>
        <w:tc>
          <w:tcPr>
            <w:tcW w:w="1019"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13" w:type="dxa"/>
            <w:vMerge w:val="continue"/>
            <w:tcBorders>
              <w:top w:val="nil"/>
            </w:tcBorders>
          </w:tcPr>
          <w:p>
            <w:pPr>
              <w:rPr>
                <w:sz w:val="2"/>
                <w:szCs w:val="2"/>
              </w:rPr>
            </w:pPr>
          </w:p>
        </w:tc>
        <w:tc>
          <w:tcPr>
            <w:tcW w:w="1470" w:type="dxa"/>
            <w:gridSpan w:val="2"/>
          </w:tcPr>
          <w:p>
            <w:pPr>
              <w:pStyle w:val="17"/>
              <w:rPr>
                <w:rFonts w:ascii="Times New Roman"/>
                <w:sz w:val="22"/>
              </w:rPr>
            </w:pPr>
          </w:p>
        </w:tc>
        <w:tc>
          <w:tcPr>
            <w:tcW w:w="1313" w:type="dxa"/>
            <w:gridSpan w:val="2"/>
          </w:tcPr>
          <w:p>
            <w:pPr>
              <w:pStyle w:val="17"/>
              <w:rPr>
                <w:rFonts w:ascii="Times New Roman"/>
                <w:sz w:val="22"/>
              </w:rPr>
            </w:pPr>
          </w:p>
        </w:tc>
        <w:tc>
          <w:tcPr>
            <w:tcW w:w="1404" w:type="dxa"/>
            <w:gridSpan w:val="3"/>
          </w:tcPr>
          <w:p>
            <w:pPr>
              <w:pStyle w:val="17"/>
              <w:rPr>
                <w:rFonts w:ascii="Times New Roman"/>
                <w:sz w:val="22"/>
              </w:rPr>
            </w:pPr>
          </w:p>
        </w:tc>
        <w:tc>
          <w:tcPr>
            <w:tcW w:w="763" w:type="dxa"/>
            <w:gridSpan w:val="3"/>
          </w:tcPr>
          <w:p>
            <w:pPr>
              <w:pStyle w:val="17"/>
              <w:rPr>
                <w:rFonts w:ascii="Times New Roman"/>
                <w:sz w:val="22"/>
              </w:rPr>
            </w:pPr>
          </w:p>
        </w:tc>
        <w:tc>
          <w:tcPr>
            <w:tcW w:w="1025" w:type="dxa"/>
            <w:gridSpan w:val="5"/>
          </w:tcPr>
          <w:p>
            <w:pPr>
              <w:pStyle w:val="17"/>
              <w:rPr>
                <w:rFonts w:ascii="Times New Roman"/>
                <w:sz w:val="22"/>
              </w:rPr>
            </w:pPr>
          </w:p>
        </w:tc>
        <w:tc>
          <w:tcPr>
            <w:tcW w:w="1027" w:type="dxa"/>
            <w:gridSpan w:val="2"/>
          </w:tcPr>
          <w:p>
            <w:pPr>
              <w:pStyle w:val="17"/>
              <w:rPr>
                <w:rFonts w:ascii="Times New Roman"/>
                <w:sz w:val="22"/>
              </w:rPr>
            </w:pPr>
          </w:p>
        </w:tc>
        <w:tc>
          <w:tcPr>
            <w:tcW w:w="1100" w:type="dxa"/>
            <w:gridSpan w:val="3"/>
          </w:tcPr>
          <w:p>
            <w:pPr>
              <w:pStyle w:val="17"/>
              <w:rPr>
                <w:rFonts w:ascii="Times New Roman"/>
                <w:sz w:val="22"/>
              </w:rPr>
            </w:pPr>
          </w:p>
        </w:tc>
        <w:tc>
          <w:tcPr>
            <w:tcW w:w="1019"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13" w:type="dxa"/>
            <w:vMerge w:val="continue"/>
            <w:tcBorders>
              <w:top w:val="nil"/>
            </w:tcBorders>
          </w:tcPr>
          <w:p>
            <w:pPr>
              <w:rPr>
                <w:sz w:val="2"/>
                <w:szCs w:val="2"/>
              </w:rPr>
            </w:pPr>
          </w:p>
        </w:tc>
        <w:tc>
          <w:tcPr>
            <w:tcW w:w="1470" w:type="dxa"/>
            <w:gridSpan w:val="2"/>
          </w:tcPr>
          <w:p>
            <w:pPr>
              <w:pStyle w:val="17"/>
              <w:rPr>
                <w:rFonts w:ascii="Times New Roman"/>
                <w:sz w:val="22"/>
              </w:rPr>
            </w:pPr>
          </w:p>
        </w:tc>
        <w:tc>
          <w:tcPr>
            <w:tcW w:w="1313" w:type="dxa"/>
            <w:gridSpan w:val="2"/>
          </w:tcPr>
          <w:p>
            <w:pPr>
              <w:pStyle w:val="17"/>
              <w:rPr>
                <w:rFonts w:ascii="Times New Roman"/>
                <w:sz w:val="22"/>
              </w:rPr>
            </w:pPr>
          </w:p>
        </w:tc>
        <w:tc>
          <w:tcPr>
            <w:tcW w:w="1404" w:type="dxa"/>
            <w:gridSpan w:val="3"/>
          </w:tcPr>
          <w:p>
            <w:pPr>
              <w:pStyle w:val="17"/>
              <w:rPr>
                <w:rFonts w:ascii="Times New Roman"/>
                <w:sz w:val="22"/>
              </w:rPr>
            </w:pPr>
          </w:p>
        </w:tc>
        <w:tc>
          <w:tcPr>
            <w:tcW w:w="763" w:type="dxa"/>
            <w:gridSpan w:val="3"/>
          </w:tcPr>
          <w:p>
            <w:pPr>
              <w:pStyle w:val="17"/>
              <w:rPr>
                <w:rFonts w:ascii="Times New Roman"/>
                <w:sz w:val="22"/>
              </w:rPr>
            </w:pPr>
          </w:p>
        </w:tc>
        <w:tc>
          <w:tcPr>
            <w:tcW w:w="1025" w:type="dxa"/>
            <w:gridSpan w:val="5"/>
          </w:tcPr>
          <w:p>
            <w:pPr>
              <w:pStyle w:val="17"/>
              <w:rPr>
                <w:rFonts w:ascii="Times New Roman"/>
                <w:sz w:val="22"/>
              </w:rPr>
            </w:pPr>
          </w:p>
        </w:tc>
        <w:tc>
          <w:tcPr>
            <w:tcW w:w="1027" w:type="dxa"/>
            <w:gridSpan w:val="2"/>
          </w:tcPr>
          <w:p>
            <w:pPr>
              <w:pStyle w:val="17"/>
              <w:rPr>
                <w:rFonts w:ascii="Times New Roman"/>
                <w:sz w:val="22"/>
              </w:rPr>
            </w:pPr>
          </w:p>
        </w:tc>
        <w:tc>
          <w:tcPr>
            <w:tcW w:w="1100" w:type="dxa"/>
            <w:gridSpan w:val="3"/>
          </w:tcPr>
          <w:p>
            <w:pPr>
              <w:pStyle w:val="17"/>
              <w:rPr>
                <w:rFonts w:ascii="Times New Roman"/>
                <w:sz w:val="22"/>
              </w:rPr>
            </w:pPr>
          </w:p>
        </w:tc>
        <w:tc>
          <w:tcPr>
            <w:tcW w:w="1019"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13" w:type="dxa"/>
            <w:vMerge w:val="continue"/>
            <w:tcBorders>
              <w:top w:val="nil"/>
            </w:tcBorders>
          </w:tcPr>
          <w:p>
            <w:pPr>
              <w:rPr>
                <w:sz w:val="2"/>
                <w:szCs w:val="2"/>
              </w:rPr>
            </w:pPr>
          </w:p>
        </w:tc>
        <w:tc>
          <w:tcPr>
            <w:tcW w:w="1470" w:type="dxa"/>
            <w:gridSpan w:val="2"/>
          </w:tcPr>
          <w:p>
            <w:pPr>
              <w:pStyle w:val="17"/>
              <w:rPr>
                <w:rFonts w:ascii="Times New Roman"/>
                <w:sz w:val="22"/>
              </w:rPr>
            </w:pPr>
          </w:p>
        </w:tc>
        <w:tc>
          <w:tcPr>
            <w:tcW w:w="1313" w:type="dxa"/>
            <w:gridSpan w:val="2"/>
          </w:tcPr>
          <w:p>
            <w:pPr>
              <w:pStyle w:val="17"/>
              <w:rPr>
                <w:rFonts w:ascii="Times New Roman"/>
                <w:sz w:val="22"/>
              </w:rPr>
            </w:pPr>
          </w:p>
        </w:tc>
        <w:tc>
          <w:tcPr>
            <w:tcW w:w="1404" w:type="dxa"/>
            <w:gridSpan w:val="3"/>
          </w:tcPr>
          <w:p>
            <w:pPr>
              <w:pStyle w:val="17"/>
              <w:rPr>
                <w:rFonts w:ascii="Times New Roman"/>
                <w:sz w:val="22"/>
              </w:rPr>
            </w:pPr>
          </w:p>
        </w:tc>
        <w:tc>
          <w:tcPr>
            <w:tcW w:w="763" w:type="dxa"/>
            <w:gridSpan w:val="3"/>
          </w:tcPr>
          <w:p>
            <w:pPr>
              <w:pStyle w:val="17"/>
              <w:rPr>
                <w:rFonts w:ascii="Times New Roman"/>
                <w:sz w:val="22"/>
              </w:rPr>
            </w:pPr>
          </w:p>
        </w:tc>
        <w:tc>
          <w:tcPr>
            <w:tcW w:w="1025" w:type="dxa"/>
            <w:gridSpan w:val="5"/>
          </w:tcPr>
          <w:p>
            <w:pPr>
              <w:pStyle w:val="17"/>
              <w:rPr>
                <w:rFonts w:ascii="Times New Roman"/>
                <w:sz w:val="22"/>
              </w:rPr>
            </w:pPr>
          </w:p>
        </w:tc>
        <w:tc>
          <w:tcPr>
            <w:tcW w:w="1027" w:type="dxa"/>
            <w:gridSpan w:val="2"/>
          </w:tcPr>
          <w:p>
            <w:pPr>
              <w:pStyle w:val="17"/>
              <w:rPr>
                <w:rFonts w:ascii="Times New Roman"/>
                <w:sz w:val="22"/>
              </w:rPr>
            </w:pPr>
          </w:p>
        </w:tc>
        <w:tc>
          <w:tcPr>
            <w:tcW w:w="1100" w:type="dxa"/>
            <w:gridSpan w:val="3"/>
          </w:tcPr>
          <w:p>
            <w:pPr>
              <w:pStyle w:val="17"/>
              <w:rPr>
                <w:rFonts w:ascii="Times New Roman"/>
                <w:sz w:val="22"/>
              </w:rPr>
            </w:pPr>
          </w:p>
        </w:tc>
        <w:tc>
          <w:tcPr>
            <w:tcW w:w="1019"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13" w:type="dxa"/>
            <w:vMerge w:val="continue"/>
            <w:tcBorders>
              <w:top w:val="nil"/>
            </w:tcBorders>
          </w:tcPr>
          <w:p>
            <w:pPr>
              <w:rPr>
                <w:sz w:val="2"/>
                <w:szCs w:val="2"/>
              </w:rPr>
            </w:pPr>
          </w:p>
        </w:tc>
        <w:tc>
          <w:tcPr>
            <w:tcW w:w="4950" w:type="dxa"/>
            <w:gridSpan w:val="10"/>
          </w:tcPr>
          <w:p>
            <w:pPr>
              <w:pStyle w:val="17"/>
              <w:spacing w:before="2"/>
              <w:ind w:left="106"/>
              <w:rPr>
                <w:sz w:val="24"/>
              </w:rPr>
            </w:pPr>
            <w:r>
              <w:rPr>
                <w:sz w:val="24"/>
              </w:rPr>
              <w:t>其他材料费</w:t>
            </w:r>
          </w:p>
        </w:tc>
        <w:tc>
          <w:tcPr>
            <w:tcW w:w="1025" w:type="dxa"/>
            <w:gridSpan w:val="5"/>
          </w:tcPr>
          <w:p>
            <w:pPr>
              <w:pStyle w:val="17"/>
              <w:spacing w:before="2"/>
              <w:ind w:left="139"/>
              <w:rPr>
                <w:sz w:val="24"/>
              </w:rPr>
            </w:pPr>
            <w:r>
              <w:rPr>
                <w:sz w:val="24"/>
              </w:rPr>
              <w:t>/</w:t>
            </w:r>
          </w:p>
        </w:tc>
        <w:tc>
          <w:tcPr>
            <w:tcW w:w="1027" w:type="dxa"/>
            <w:gridSpan w:val="2"/>
          </w:tcPr>
          <w:p>
            <w:pPr>
              <w:pStyle w:val="17"/>
              <w:rPr>
                <w:rFonts w:ascii="Times New Roman"/>
                <w:sz w:val="22"/>
              </w:rPr>
            </w:pPr>
          </w:p>
        </w:tc>
        <w:tc>
          <w:tcPr>
            <w:tcW w:w="1100" w:type="dxa"/>
            <w:gridSpan w:val="3"/>
          </w:tcPr>
          <w:p>
            <w:pPr>
              <w:pStyle w:val="17"/>
              <w:spacing w:before="2"/>
              <w:ind w:left="105"/>
              <w:rPr>
                <w:sz w:val="24"/>
              </w:rPr>
            </w:pPr>
            <w:r>
              <w:rPr>
                <w:sz w:val="24"/>
              </w:rPr>
              <w:t>/</w:t>
            </w:r>
          </w:p>
        </w:tc>
        <w:tc>
          <w:tcPr>
            <w:tcW w:w="1019"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13" w:type="dxa"/>
            <w:vMerge w:val="continue"/>
            <w:tcBorders>
              <w:top w:val="nil"/>
            </w:tcBorders>
          </w:tcPr>
          <w:p>
            <w:pPr>
              <w:rPr>
                <w:sz w:val="2"/>
                <w:szCs w:val="2"/>
              </w:rPr>
            </w:pPr>
          </w:p>
        </w:tc>
        <w:tc>
          <w:tcPr>
            <w:tcW w:w="4950" w:type="dxa"/>
            <w:gridSpan w:val="10"/>
          </w:tcPr>
          <w:p>
            <w:pPr>
              <w:pStyle w:val="17"/>
              <w:ind w:left="106"/>
              <w:rPr>
                <w:sz w:val="24"/>
              </w:rPr>
            </w:pPr>
            <w:r>
              <w:rPr>
                <w:sz w:val="24"/>
              </w:rPr>
              <w:t>材料费小计</w:t>
            </w:r>
          </w:p>
        </w:tc>
        <w:tc>
          <w:tcPr>
            <w:tcW w:w="1025" w:type="dxa"/>
            <w:gridSpan w:val="5"/>
          </w:tcPr>
          <w:p>
            <w:pPr>
              <w:pStyle w:val="17"/>
              <w:ind w:left="139"/>
              <w:rPr>
                <w:sz w:val="24"/>
              </w:rPr>
            </w:pPr>
            <w:r>
              <w:rPr>
                <w:sz w:val="24"/>
              </w:rPr>
              <w:t>/</w:t>
            </w:r>
          </w:p>
        </w:tc>
        <w:tc>
          <w:tcPr>
            <w:tcW w:w="1027" w:type="dxa"/>
            <w:gridSpan w:val="2"/>
          </w:tcPr>
          <w:p>
            <w:pPr>
              <w:pStyle w:val="17"/>
              <w:rPr>
                <w:rFonts w:ascii="Times New Roman"/>
                <w:sz w:val="22"/>
              </w:rPr>
            </w:pPr>
          </w:p>
        </w:tc>
        <w:tc>
          <w:tcPr>
            <w:tcW w:w="1100" w:type="dxa"/>
            <w:gridSpan w:val="3"/>
          </w:tcPr>
          <w:p>
            <w:pPr>
              <w:pStyle w:val="17"/>
              <w:ind w:left="105"/>
              <w:rPr>
                <w:sz w:val="24"/>
              </w:rPr>
            </w:pPr>
            <w:r>
              <w:rPr>
                <w:sz w:val="24"/>
              </w:rPr>
              <w:t>/</w:t>
            </w:r>
          </w:p>
        </w:tc>
        <w:tc>
          <w:tcPr>
            <w:tcW w:w="1019" w:type="dxa"/>
            <w:gridSpan w:val="2"/>
          </w:tcPr>
          <w:p>
            <w:pPr>
              <w:pStyle w:val="17"/>
              <w:rPr>
                <w:rFonts w:ascii="Times New Roman"/>
                <w:sz w:val="22"/>
              </w:rPr>
            </w:pPr>
          </w:p>
        </w:tc>
      </w:tr>
    </w:tbl>
    <w:p>
      <w:pPr>
        <w:pStyle w:val="8"/>
        <w:spacing w:before="1" w:line="364" w:lineRule="auto"/>
        <w:ind w:left="388" w:right="678"/>
        <w:jc w:val="both"/>
      </w:pPr>
      <w:r>
        <w:t>注：1、如不使用省级或行业建设主管部门发布的计价依据，可不填写定额项目、标号等； 2、响应文件提供了暂估单价的材料，，按暂估的单价填入表内“暂估单价”栏及“暂估合价”栏</w:t>
      </w:r>
    </w:p>
    <w:p>
      <w:pPr>
        <w:spacing w:after="0" w:line="364" w:lineRule="auto"/>
        <w:jc w:val="both"/>
        <w:sectPr>
          <w:footerReference r:id="rId21" w:type="default"/>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pgNumType w:start="150"/>
          <w:cols w:space="720" w:num="1"/>
        </w:sectPr>
      </w:pPr>
    </w:p>
    <w:p>
      <w:pPr>
        <w:tabs>
          <w:tab w:val="left" w:pos="7676"/>
        </w:tabs>
        <w:spacing w:before="45"/>
        <w:ind w:left="388" w:right="0" w:firstLine="0"/>
        <w:jc w:val="left"/>
        <w:rPr>
          <w:sz w:val="18"/>
        </w:rPr>
      </w:pPr>
      <w:r>
        <w:pict>
          <v:line id="_x0000_s1219" o:spid="_x0000_s1219" o:spt="20" style="position:absolute;left:0pt;margin-left:62.4pt;margin-top:12.25pt;height:0pt;width:400.4pt;mso-position-horizontal-relative:page;z-index:25185382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388"/>
        <w:outlineLvl w:val="2"/>
      </w:pPr>
      <w:r>
        <w:t>（十六）主要材料价格表</w:t>
      </w:r>
    </w:p>
    <w:p>
      <w:pPr>
        <w:pStyle w:val="8"/>
        <w:tabs>
          <w:tab w:val="left" w:pos="7467"/>
          <w:tab w:val="left" w:pos="7947"/>
          <w:tab w:val="left" w:pos="8667"/>
        </w:tabs>
        <w:spacing w:before="158"/>
        <w:ind w:left="388"/>
      </w:pPr>
      <w:r>
        <w:t>工程名称：</w:t>
      </w:r>
      <w:r>
        <w:tab/>
      </w:r>
      <w:r>
        <w:t>第</w:t>
      </w:r>
      <w:r>
        <w:tab/>
      </w:r>
      <w:r>
        <w:t>页共</w:t>
      </w:r>
      <w:r>
        <w:tab/>
      </w:r>
      <w:r>
        <w:t>页</w:t>
      </w:r>
    </w:p>
    <w:p>
      <w:pPr>
        <w:pStyle w:val="8"/>
        <w:spacing w:before="5"/>
        <w:rPr>
          <w:sz w:val="12"/>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1315"/>
        <w:gridCol w:w="1356"/>
        <w:gridCol w:w="984"/>
        <w:gridCol w:w="853"/>
        <w:gridCol w:w="1127"/>
        <w:gridCol w:w="1440"/>
        <w:gridCol w:w="1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0" w:hRule="atLeast"/>
        </w:trPr>
        <w:tc>
          <w:tcPr>
            <w:tcW w:w="773" w:type="dxa"/>
          </w:tcPr>
          <w:p>
            <w:pPr>
              <w:pStyle w:val="17"/>
              <w:rPr>
                <w:sz w:val="24"/>
              </w:rPr>
            </w:pPr>
          </w:p>
          <w:p>
            <w:pPr>
              <w:pStyle w:val="17"/>
              <w:spacing w:before="159"/>
              <w:ind w:left="144"/>
              <w:rPr>
                <w:sz w:val="24"/>
              </w:rPr>
            </w:pPr>
            <w:r>
              <w:rPr>
                <w:sz w:val="24"/>
              </w:rPr>
              <w:t>序号</w:t>
            </w:r>
          </w:p>
        </w:tc>
        <w:tc>
          <w:tcPr>
            <w:tcW w:w="1315" w:type="dxa"/>
          </w:tcPr>
          <w:p>
            <w:pPr>
              <w:pStyle w:val="17"/>
              <w:rPr>
                <w:sz w:val="24"/>
              </w:rPr>
            </w:pPr>
          </w:p>
          <w:p>
            <w:pPr>
              <w:pStyle w:val="17"/>
              <w:spacing w:before="159"/>
              <w:ind w:left="175"/>
              <w:rPr>
                <w:sz w:val="24"/>
              </w:rPr>
            </w:pPr>
            <w:r>
              <w:rPr>
                <w:sz w:val="24"/>
              </w:rPr>
              <w:t>材料编号</w:t>
            </w:r>
          </w:p>
        </w:tc>
        <w:tc>
          <w:tcPr>
            <w:tcW w:w="1356" w:type="dxa"/>
          </w:tcPr>
          <w:p>
            <w:pPr>
              <w:pStyle w:val="17"/>
              <w:rPr>
                <w:sz w:val="24"/>
              </w:rPr>
            </w:pPr>
          </w:p>
          <w:p>
            <w:pPr>
              <w:pStyle w:val="17"/>
              <w:spacing w:before="159"/>
              <w:ind w:left="197"/>
              <w:rPr>
                <w:sz w:val="24"/>
              </w:rPr>
            </w:pPr>
            <w:r>
              <w:rPr>
                <w:sz w:val="24"/>
              </w:rPr>
              <w:t>材料名称</w:t>
            </w:r>
          </w:p>
        </w:tc>
        <w:tc>
          <w:tcPr>
            <w:tcW w:w="984" w:type="dxa"/>
          </w:tcPr>
          <w:p>
            <w:pPr>
              <w:pStyle w:val="17"/>
              <w:spacing w:before="1" w:line="362" w:lineRule="auto"/>
              <w:ind w:left="132" w:right="119"/>
              <w:rPr>
                <w:sz w:val="24"/>
              </w:rPr>
            </w:pPr>
            <w:r>
              <w:rPr>
                <w:spacing w:val="-6"/>
                <w:sz w:val="24"/>
              </w:rPr>
              <w:t>规格型号等特</w:t>
            </w:r>
          </w:p>
          <w:p>
            <w:pPr>
              <w:pStyle w:val="17"/>
              <w:spacing w:before="5"/>
              <w:ind w:left="132"/>
              <w:rPr>
                <w:sz w:val="24"/>
              </w:rPr>
            </w:pPr>
            <w:r>
              <w:rPr>
                <w:sz w:val="24"/>
              </w:rPr>
              <w:t>殊要求</w:t>
            </w:r>
          </w:p>
        </w:tc>
        <w:tc>
          <w:tcPr>
            <w:tcW w:w="853" w:type="dxa"/>
          </w:tcPr>
          <w:p>
            <w:pPr>
              <w:pStyle w:val="17"/>
              <w:rPr>
                <w:sz w:val="24"/>
              </w:rPr>
            </w:pPr>
          </w:p>
          <w:p>
            <w:pPr>
              <w:pStyle w:val="17"/>
              <w:spacing w:before="159"/>
              <w:ind w:left="185"/>
              <w:rPr>
                <w:sz w:val="24"/>
              </w:rPr>
            </w:pPr>
            <w:r>
              <w:rPr>
                <w:sz w:val="24"/>
              </w:rPr>
              <w:t>单位</w:t>
            </w:r>
          </w:p>
        </w:tc>
        <w:tc>
          <w:tcPr>
            <w:tcW w:w="1127" w:type="dxa"/>
          </w:tcPr>
          <w:p>
            <w:pPr>
              <w:pStyle w:val="17"/>
              <w:rPr>
                <w:sz w:val="24"/>
              </w:rPr>
            </w:pPr>
          </w:p>
          <w:p>
            <w:pPr>
              <w:pStyle w:val="17"/>
              <w:spacing w:before="159"/>
              <w:ind w:left="323"/>
              <w:rPr>
                <w:sz w:val="24"/>
              </w:rPr>
            </w:pPr>
            <w:r>
              <w:rPr>
                <w:sz w:val="24"/>
              </w:rPr>
              <w:t>数量</w:t>
            </w:r>
          </w:p>
        </w:tc>
        <w:tc>
          <w:tcPr>
            <w:tcW w:w="1440" w:type="dxa"/>
          </w:tcPr>
          <w:p>
            <w:pPr>
              <w:pStyle w:val="17"/>
              <w:rPr>
                <w:sz w:val="24"/>
              </w:rPr>
            </w:pPr>
          </w:p>
          <w:p>
            <w:pPr>
              <w:pStyle w:val="17"/>
              <w:spacing w:before="159"/>
              <w:ind w:left="120"/>
              <w:rPr>
                <w:sz w:val="24"/>
              </w:rPr>
            </w:pPr>
            <w:r>
              <w:rPr>
                <w:sz w:val="24"/>
              </w:rPr>
              <w:t>单价（元）</w:t>
            </w:r>
          </w:p>
        </w:tc>
        <w:tc>
          <w:tcPr>
            <w:tcW w:w="1740" w:type="dxa"/>
          </w:tcPr>
          <w:p>
            <w:pPr>
              <w:pStyle w:val="17"/>
              <w:rPr>
                <w:sz w:val="24"/>
              </w:rPr>
            </w:pPr>
          </w:p>
          <w:p>
            <w:pPr>
              <w:pStyle w:val="17"/>
              <w:spacing w:before="159"/>
              <w:ind w:left="269"/>
              <w:rPr>
                <w:sz w:val="24"/>
              </w:rPr>
            </w:pPr>
            <w:r>
              <w:rPr>
                <w:sz w:val="24"/>
              </w:rPr>
              <w:t>合价（元）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03" w:hRule="atLeast"/>
        </w:trPr>
        <w:tc>
          <w:tcPr>
            <w:tcW w:w="773" w:type="dxa"/>
          </w:tcPr>
          <w:p>
            <w:pPr>
              <w:pStyle w:val="17"/>
              <w:rPr>
                <w:rFonts w:ascii="Times New Roman"/>
                <w:sz w:val="22"/>
              </w:rPr>
            </w:pPr>
          </w:p>
        </w:tc>
        <w:tc>
          <w:tcPr>
            <w:tcW w:w="1315" w:type="dxa"/>
          </w:tcPr>
          <w:p>
            <w:pPr>
              <w:pStyle w:val="17"/>
              <w:rPr>
                <w:rFonts w:ascii="Times New Roman"/>
                <w:sz w:val="22"/>
              </w:rPr>
            </w:pPr>
          </w:p>
        </w:tc>
        <w:tc>
          <w:tcPr>
            <w:tcW w:w="1356" w:type="dxa"/>
          </w:tcPr>
          <w:p>
            <w:pPr>
              <w:pStyle w:val="17"/>
              <w:rPr>
                <w:rFonts w:ascii="Times New Roman"/>
                <w:sz w:val="22"/>
              </w:rPr>
            </w:pPr>
          </w:p>
        </w:tc>
        <w:tc>
          <w:tcPr>
            <w:tcW w:w="984" w:type="dxa"/>
          </w:tcPr>
          <w:p>
            <w:pPr>
              <w:pStyle w:val="17"/>
              <w:rPr>
                <w:rFonts w:ascii="Times New Roman"/>
                <w:sz w:val="22"/>
              </w:rPr>
            </w:pPr>
          </w:p>
        </w:tc>
        <w:tc>
          <w:tcPr>
            <w:tcW w:w="853" w:type="dxa"/>
          </w:tcPr>
          <w:p>
            <w:pPr>
              <w:pStyle w:val="17"/>
              <w:rPr>
                <w:rFonts w:ascii="Times New Roman"/>
                <w:sz w:val="22"/>
              </w:rPr>
            </w:pPr>
          </w:p>
        </w:tc>
        <w:tc>
          <w:tcPr>
            <w:tcW w:w="1127" w:type="dxa"/>
          </w:tcPr>
          <w:p>
            <w:pPr>
              <w:pStyle w:val="17"/>
              <w:rPr>
                <w:rFonts w:ascii="Times New Roman"/>
                <w:sz w:val="22"/>
              </w:rPr>
            </w:pPr>
          </w:p>
        </w:tc>
        <w:tc>
          <w:tcPr>
            <w:tcW w:w="1440" w:type="dxa"/>
          </w:tcPr>
          <w:p>
            <w:pPr>
              <w:pStyle w:val="17"/>
              <w:rPr>
                <w:rFonts w:ascii="Times New Roman"/>
                <w:sz w:val="22"/>
              </w:rPr>
            </w:pPr>
          </w:p>
        </w:tc>
        <w:tc>
          <w:tcPr>
            <w:tcW w:w="1740" w:type="dxa"/>
          </w:tcPr>
          <w:p>
            <w:pPr>
              <w:pStyle w:val="17"/>
              <w:rPr>
                <w:rFonts w:ascii="Times New Roman"/>
                <w:sz w:val="22"/>
              </w:rPr>
            </w:pPr>
          </w:p>
        </w:tc>
      </w:tr>
    </w:tbl>
    <w:p>
      <w:pPr>
        <w:pStyle w:val="8"/>
        <w:spacing w:before="1" w:line="364" w:lineRule="auto"/>
        <w:ind w:left="388" w:right="744"/>
      </w:pPr>
      <w:r>
        <w:t>注：本表中所列材料设备应仅限于承包人自行采购范围内的材料设备。本表格可以按照同样的格式扩展。</w:t>
      </w:r>
    </w:p>
    <w:p>
      <w:pPr>
        <w:spacing w:after="0" w:line="364" w:lineRule="auto"/>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20" o:spid="_x0000_s1220" o:spt="20" style="position:absolute;left:0pt;margin-left:62.4pt;margin-top:12.25pt;height:0pt;width:400.4pt;mso-position-horizontal-relative:page;z-index:251854848;mso-width-relative:page;mso-height-relative:page;" stroked="t" coordsize="21600,21600">
            <v:path arrowok="t"/>
            <v:fill focussize="0,0"/>
            <v:stroke weight="0.36pt" color="#000000"/>
            <v:imagedata o:title=""/>
            <o:lock v:ext="edit"/>
          </v:line>
        </w:pict>
      </w:r>
      <w:bookmarkStart w:id="157" w:name="九、施工组织设计"/>
      <w:bookmarkEnd w:id="157"/>
      <w:r>
        <w:rPr>
          <w:rFonts w:hint="eastAsia"/>
          <w:sz w:val="18"/>
          <w:lang w:eastAsia="zh-CN"/>
        </w:rPr>
        <w:t xml:space="preserve"> </w:t>
      </w:r>
    </w:p>
    <w:p>
      <w:pPr>
        <w:pStyle w:val="8"/>
        <w:spacing w:before="6"/>
        <w:rPr>
          <w:sz w:val="25"/>
        </w:rPr>
      </w:pPr>
    </w:p>
    <w:p>
      <w:pPr>
        <w:pStyle w:val="8"/>
        <w:spacing w:before="67"/>
        <w:ind w:left="388"/>
        <w:outlineLvl w:val="2"/>
      </w:pPr>
      <w:r>
        <w:t>（十七）磋商报价需要的其他资料</w:t>
      </w:r>
    </w:p>
    <w:p>
      <w:pPr>
        <w:spacing w:after="0"/>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21" o:spid="_x0000_s1221" o:spt="20" style="position:absolute;left:0pt;margin-left:62.4pt;margin-top:12.25pt;height:0pt;width:400.4pt;mso-position-horizontal-relative:page;z-index:25185587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7"/>
        <w:spacing w:before="67"/>
        <w:outlineLvl w:val="1"/>
      </w:pPr>
      <w:r>
        <w:t>九、施工组织设计</w:t>
      </w:r>
    </w:p>
    <w:p>
      <w:pPr>
        <w:pStyle w:val="16"/>
        <w:numPr>
          <w:ilvl w:val="2"/>
          <w:numId w:val="117"/>
        </w:numPr>
        <w:tabs>
          <w:tab w:val="left" w:pos="1174"/>
        </w:tabs>
        <w:spacing w:before="158" w:after="0" w:line="364" w:lineRule="auto"/>
        <w:ind w:left="388" w:right="744" w:firstLine="424"/>
        <w:jc w:val="left"/>
        <w:rPr>
          <w:sz w:val="24"/>
        </w:rPr>
      </w:pPr>
      <w:r>
        <w:rPr>
          <w:spacing w:val="-3"/>
          <w:sz w:val="24"/>
        </w:rPr>
        <w:t>磋商响应人应根据磋商文件，采用文字并结合图表形式，参考以下要点编制本工程</w:t>
      </w:r>
      <w:r>
        <w:rPr>
          <w:sz w:val="24"/>
        </w:rPr>
        <w:t>的施工组织设计：</w:t>
      </w:r>
    </w:p>
    <w:p>
      <w:pPr>
        <w:pStyle w:val="16"/>
        <w:numPr>
          <w:ilvl w:val="0"/>
          <w:numId w:val="118"/>
        </w:numPr>
        <w:tabs>
          <w:tab w:val="left" w:pos="1414"/>
        </w:tabs>
        <w:spacing w:before="0" w:after="0" w:line="306" w:lineRule="exact"/>
        <w:ind w:left="1413" w:right="0" w:hanging="602"/>
        <w:jc w:val="left"/>
        <w:rPr>
          <w:sz w:val="24"/>
        </w:rPr>
      </w:pPr>
      <w:r>
        <w:rPr>
          <w:sz w:val="24"/>
        </w:rPr>
        <w:t>施工方案及技术措施；</w:t>
      </w:r>
    </w:p>
    <w:p>
      <w:pPr>
        <w:pStyle w:val="16"/>
        <w:numPr>
          <w:ilvl w:val="0"/>
          <w:numId w:val="118"/>
        </w:numPr>
        <w:tabs>
          <w:tab w:val="left" w:pos="1414"/>
        </w:tabs>
        <w:spacing w:before="160" w:after="0" w:line="240" w:lineRule="auto"/>
        <w:ind w:left="1413" w:right="0" w:hanging="602"/>
        <w:jc w:val="left"/>
        <w:rPr>
          <w:sz w:val="24"/>
        </w:rPr>
      </w:pPr>
      <w:r>
        <w:rPr>
          <w:sz w:val="24"/>
        </w:rPr>
        <w:t>质量保证措施和创优计划；</w:t>
      </w:r>
    </w:p>
    <w:p>
      <w:pPr>
        <w:pStyle w:val="16"/>
        <w:numPr>
          <w:ilvl w:val="0"/>
          <w:numId w:val="118"/>
        </w:numPr>
        <w:tabs>
          <w:tab w:val="left" w:pos="1414"/>
        </w:tabs>
        <w:spacing w:before="158" w:after="0" w:line="364" w:lineRule="auto"/>
        <w:ind w:left="388" w:right="744" w:firstLine="424"/>
        <w:jc w:val="both"/>
        <w:rPr>
          <w:sz w:val="24"/>
        </w:rPr>
      </w:pPr>
      <w:r>
        <w:rPr>
          <w:spacing w:val="-1"/>
          <w:sz w:val="24"/>
        </w:rPr>
        <w:t>施工总进度计划及保证措施</w:t>
      </w:r>
      <w:r>
        <w:rPr>
          <w:sz w:val="24"/>
        </w:rPr>
        <w:t>（</w:t>
      </w:r>
      <w:r>
        <w:rPr>
          <w:spacing w:val="-2"/>
          <w:sz w:val="24"/>
        </w:rPr>
        <w:t>包括以横道图或标明关键线路的网络进度计划、保</w:t>
      </w:r>
      <w:r>
        <w:rPr>
          <w:sz w:val="24"/>
        </w:rPr>
        <w:t>障进度计划需要的主要施工机械设备、劳动力需求计划及保证措施、材料设备进场计划及其他保证措施等）；</w:t>
      </w:r>
    </w:p>
    <w:p>
      <w:pPr>
        <w:pStyle w:val="16"/>
        <w:numPr>
          <w:ilvl w:val="0"/>
          <w:numId w:val="118"/>
        </w:numPr>
        <w:tabs>
          <w:tab w:val="left" w:pos="1414"/>
        </w:tabs>
        <w:spacing w:before="0" w:after="0" w:line="307" w:lineRule="exact"/>
        <w:ind w:left="1413" w:right="0" w:hanging="602"/>
        <w:jc w:val="left"/>
        <w:rPr>
          <w:sz w:val="24"/>
        </w:rPr>
      </w:pPr>
      <w:r>
        <w:rPr>
          <w:sz w:val="24"/>
        </w:rPr>
        <w:t>施工安全措施计划；</w:t>
      </w:r>
    </w:p>
    <w:p>
      <w:pPr>
        <w:pStyle w:val="16"/>
        <w:numPr>
          <w:ilvl w:val="0"/>
          <w:numId w:val="118"/>
        </w:numPr>
        <w:tabs>
          <w:tab w:val="left" w:pos="1414"/>
        </w:tabs>
        <w:spacing w:before="159" w:after="0" w:line="240" w:lineRule="auto"/>
        <w:ind w:left="1413" w:right="0" w:hanging="602"/>
        <w:jc w:val="left"/>
        <w:rPr>
          <w:sz w:val="24"/>
        </w:rPr>
      </w:pPr>
      <w:r>
        <w:rPr>
          <w:sz w:val="24"/>
        </w:rPr>
        <w:t>文明施工措施计划；</w:t>
      </w:r>
    </w:p>
    <w:p>
      <w:pPr>
        <w:pStyle w:val="16"/>
        <w:numPr>
          <w:ilvl w:val="0"/>
          <w:numId w:val="118"/>
        </w:numPr>
        <w:tabs>
          <w:tab w:val="left" w:pos="1414"/>
        </w:tabs>
        <w:spacing w:before="160" w:after="0" w:line="240" w:lineRule="auto"/>
        <w:ind w:left="1413" w:right="0" w:hanging="602"/>
        <w:jc w:val="left"/>
        <w:rPr>
          <w:sz w:val="24"/>
        </w:rPr>
      </w:pPr>
      <w:r>
        <w:rPr>
          <w:sz w:val="24"/>
        </w:rPr>
        <w:t>施工场地治安保卫管理计划；</w:t>
      </w:r>
    </w:p>
    <w:p>
      <w:pPr>
        <w:pStyle w:val="16"/>
        <w:numPr>
          <w:ilvl w:val="0"/>
          <w:numId w:val="118"/>
        </w:numPr>
        <w:tabs>
          <w:tab w:val="left" w:pos="1414"/>
        </w:tabs>
        <w:spacing w:before="161" w:after="0" w:line="240" w:lineRule="auto"/>
        <w:ind w:left="1413" w:right="0" w:hanging="602"/>
        <w:jc w:val="left"/>
        <w:rPr>
          <w:sz w:val="24"/>
        </w:rPr>
      </w:pPr>
      <w:r>
        <w:rPr>
          <w:sz w:val="24"/>
        </w:rPr>
        <w:t>施工环保措施计划；</w:t>
      </w:r>
    </w:p>
    <w:p>
      <w:pPr>
        <w:pStyle w:val="16"/>
        <w:numPr>
          <w:ilvl w:val="0"/>
          <w:numId w:val="118"/>
        </w:numPr>
        <w:tabs>
          <w:tab w:val="left" w:pos="1414"/>
        </w:tabs>
        <w:spacing w:before="158" w:after="0" w:line="240" w:lineRule="auto"/>
        <w:ind w:left="1413" w:right="0" w:hanging="602"/>
        <w:jc w:val="left"/>
        <w:rPr>
          <w:sz w:val="24"/>
        </w:rPr>
      </w:pPr>
      <w:r>
        <w:rPr>
          <w:sz w:val="24"/>
        </w:rPr>
        <w:t>冬季和雨季施工方案；</w:t>
      </w:r>
    </w:p>
    <w:p>
      <w:pPr>
        <w:pStyle w:val="16"/>
        <w:numPr>
          <w:ilvl w:val="0"/>
          <w:numId w:val="118"/>
        </w:numPr>
        <w:tabs>
          <w:tab w:val="left" w:pos="1414"/>
        </w:tabs>
        <w:spacing w:before="160" w:after="0" w:line="364" w:lineRule="auto"/>
        <w:ind w:left="388" w:right="624" w:firstLine="424"/>
        <w:jc w:val="left"/>
        <w:rPr>
          <w:sz w:val="24"/>
        </w:rPr>
      </w:pPr>
      <w:r>
        <w:rPr>
          <w:spacing w:val="-1"/>
          <w:sz w:val="24"/>
        </w:rPr>
        <w:t>施工现场总平面布置</w:t>
      </w:r>
      <w:r>
        <w:rPr>
          <w:sz w:val="24"/>
        </w:rPr>
        <w:t>（</w:t>
      </w:r>
      <w:r>
        <w:rPr>
          <w:spacing w:val="-1"/>
          <w:sz w:val="24"/>
        </w:rPr>
        <w:t>磋商响应人应递交一份施工总平面图，绘出现场临时设施</w:t>
      </w:r>
      <w:r>
        <w:rPr>
          <w:spacing w:val="-8"/>
          <w:sz w:val="24"/>
        </w:rPr>
        <w:t>布置图表并附文字说明，说明临时设施、加工车间、现场办公、设备及仓储、供电、供水、</w:t>
      </w:r>
      <w:r>
        <w:rPr>
          <w:sz w:val="24"/>
        </w:rPr>
        <w:t>卫生、生活、道路、消防等设施的情况和布置）；</w:t>
      </w:r>
    </w:p>
    <w:p>
      <w:pPr>
        <w:pStyle w:val="16"/>
        <w:numPr>
          <w:ilvl w:val="0"/>
          <w:numId w:val="118"/>
        </w:numPr>
        <w:tabs>
          <w:tab w:val="left" w:pos="1534"/>
        </w:tabs>
        <w:spacing w:before="0" w:after="0" w:line="364" w:lineRule="auto"/>
        <w:ind w:left="388" w:right="624" w:firstLine="424"/>
        <w:jc w:val="left"/>
        <w:rPr>
          <w:sz w:val="24"/>
        </w:rPr>
      </w:pPr>
      <w:r>
        <w:rPr>
          <w:sz w:val="24"/>
        </w:rPr>
        <w:t>项目组织管理机构（</w:t>
      </w:r>
      <w:r>
        <w:rPr>
          <w:spacing w:val="-4"/>
          <w:sz w:val="24"/>
        </w:rPr>
        <w:t xml:space="preserve">若施工组织设计采用“暗标”方式评审，则在任何情况下， </w:t>
      </w:r>
      <w:r>
        <w:rPr>
          <w:sz w:val="24"/>
        </w:rPr>
        <w:t>“项目管理机构”不得涉及人员姓名、简历、公司名称等暴露磋商响应人身份的内容）；</w:t>
      </w:r>
    </w:p>
    <w:p>
      <w:pPr>
        <w:pStyle w:val="16"/>
        <w:numPr>
          <w:ilvl w:val="0"/>
          <w:numId w:val="118"/>
        </w:numPr>
        <w:tabs>
          <w:tab w:val="left" w:pos="1534"/>
        </w:tabs>
        <w:spacing w:before="0" w:after="0" w:line="364" w:lineRule="auto"/>
        <w:ind w:left="388" w:right="852" w:firstLine="424"/>
        <w:jc w:val="left"/>
        <w:rPr>
          <w:sz w:val="24"/>
        </w:rPr>
      </w:pPr>
      <w:r>
        <w:rPr>
          <w:sz w:val="24"/>
        </w:rPr>
        <w:t>承包人自行施工范围内拟分包的非主体和非关键性工作（</w:t>
      </w:r>
      <w:r>
        <w:rPr>
          <w:spacing w:val="-2"/>
          <w:sz w:val="24"/>
        </w:rPr>
        <w:t>按第二章“磋商响应</w:t>
      </w:r>
      <w:r>
        <w:rPr>
          <w:spacing w:val="-10"/>
          <w:sz w:val="24"/>
        </w:rPr>
        <w:t xml:space="preserve">人须知”第 </w:t>
      </w:r>
      <w:r>
        <w:rPr>
          <w:sz w:val="24"/>
        </w:rPr>
        <w:t>1.11</w:t>
      </w:r>
      <w:r>
        <w:rPr>
          <w:spacing w:val="-12"/>
          <w:sz w:val="24"/>
        </w:rPr>
        <w:t xml:space="preserve"> 款的规定</w:t>
      </w:r>
      <w:r>
        <w:rPr>
          <w:sz w:val="24"/>
        </w:rPr>
        <w:t>）、材料计划和劳动力计划；</w:t>
      </w:r>
    </w:p>
    <w:p>
      <w:pPr>
        <w:pStyle w:val="16"/>
        <w:numPr>
          <w:ilvl w:val="0"/>
          <w:numId w:val="118"/>
        </w:numPr>
        <w:tabs>
          <w:tab w:val="left" w:pos="1534"/>
        </w:tabs>
        <w:spacing w:before="0" w:after="0" w:line="306" w:lineRule="exact"/>
        <w:ind w:left="1533" w:right="0" w:hanging="722"/>
        <w:jc w:val="left"/>
        <w:outlineLvl w:val="2"/>
        <w:rPr>
          <w:sz w:val="24"/>
        </w:rPr>
      </w:pPr>
      <w:r>
        <w:rPr>
          <w:sz w:val="24"/>
        </w:rPr>
        <w:t>成品保护和工程保修工作的管理措施和承诺；</w:t>
      </w:r>
    </w:p>
    <w:p>
      <w:pPr>
        <w:pStyle w:val="16"/>
        <w:numPr>
          <w:ilvl w:val="0"/>
          <w:numId w:val="118"/>
        </w:numPr>
        <w:tabs>
          <w:tab w:val="left" w:pos="1534"/>
        </w:tabs>
        <w:spacing w:before="156" w:after="0" w:line="364" w:lineRule="auto"/>
        <w:ind w:left="388" w:right="852" w:firstLine="424"/>
        <w:jc w:val="left"/>
        <w:rPr>
          <w:sz w:val="24"/>
        </w:rPr>
      </w:pPr>
      <w:r>
        <w:rPr>
          <w:sz w:val="24"/>
        </w:rPr>
        <w:t>任何可能的紧急情况的处理措施、预案以及抵抗风险（</w:t>
      </w:r>
      <w:r>
        <w:rPr>
          <w:spacing w:val="-2"/>
          <w:sz w:val="24"/>
        </w:rPr>
        <w:t>包括工程施工过程中可</w:t>
      </w:r>
      <w:r>
        <w:rPr>
          <w:sz w:val="24"/>
        </w:rPr>
        <w:t>能遇到的各种风险）的措施；</w:t>
      </w:r>
    </w:p>
    <w:p>
      <w:pPr>
        <w:pStyle w:val="16"/>
        <w:numPr>
          <w:ilvl w:val="0"/>
          <w:numId w:val="118"/>
        </w:numPr>
        <w:tabs>
          <w:tab w:val="left" w:pos="1534"/>
        </w:tabs>
        <w:spacing w:before="0" w:after="0" w:line="306" w:lineRule="exact"/>
        <w:ind w:left="1533" w:right="0" w:hanging="722"/>
        <w:jc w:val="left"/>
        <w:rPr>
          <w:sz w:val="24"/>
        </w:rPr>
      </w:pPr>
      <w:r>
        <w:rPr>
          <w:sz w:val="24"/>
        </w:rPr>
        <w:t>对总包管理的认识以及对专业分包工程的配合、协调、管理、服务方案；</w:t>
      </w:r>
    </w:p>
    <w:p>
      <w:pPr>
        <w:pStyle w:val="16"/>
        <w:numPr>
          <w:ilvl w:val="0"/>
          <w:numId w:val="118"/>
        </w:numPr>
        <w:tabs>
          <w:tab w:val="left" w:pos="1534"/>
        </w:tabs>
        <w:spacing w:before="161" w:after="0" w:line="240" w:lineRule="auto"/>
        <w:ind w:left="1533" w:right="0" w:hanging="722"/>
        <w:jc w:val="left"/>
        <w:rPr>
          <w:sz w:val="24"/>
        </w:rPr>
      </w:pPr>
      <w:r>
        <w:rPr>
          <w:sz w:val="24"/>
        </w:rPr>
        <w:t>与发包人、监理及设计人的配合；</w:t>
      </w:r>
    </w:p>
    <w:p>
      <w:pPr>
        <w:pStyle w:val="16"/>
        <w:numPr>
          <w:ilvl w:val="0"/>
          <w:numId w:val="118"/>
        </w:numPr>
        <w:tabs>
          <w:tab w:val="left" w:pos="1534"/>
        </w:tabs>
        <w:spacing w:before="158" w:after="0" w:line="240" w:lineRule="auto"/>
        <w:ind w:left="1533" w:right="0" w:hanging="722"/>
        <w:jc w:val="left"/>
        <w:rPr>
          <w:sz w:val="24"/>
        </w:rPr>
      </w:pPr>
      <w:r>
        <w:rPr>
          <w:sz w:val="24"/>
        </w:rPr>
        <w:t>磋商文件规定的其他内容。</w:t>
      </w:r>
    </w:p>
    <w:p>
      <w:pPr>
        <w:pStyle w:val="16"/>
        <w:numPr>
          <w:ilvl w:val="2"/>
          <w:numId w:val="117"/>
        </w:numPr>
        <w:tabs>
          <w:tab w:val="left" w:pos="1174"/>
        </w:tabs>
        <w:spacing w:before="158" w:after="0" w:line="240" w:lineRule="auto"/>
        <w:ind w:left="1173" w:right="0" w:hanging="362"/>
        <w:jc w:val="left"/>
        <w:rPr>
          <w:sz w:val="24"/>
        </w:rPr>
      </w:pPr>
      <w:r>
        <w:rPr>
          <w:sz w:val="24"/>
        </w:rPr>
        <w:t>危险性较大的分部项工程安全专项施工方案</w:t>
      </w:r>
    </w:p>
    <w:p>
      <w:pPr>
        <w:spacing w:after="0" w:line="240"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22" o:spid="_x0000_s1222" o:spt="20" style="position:absolute;left:0pt;margin-left:62.4pt;margin-top:12.25pt;height:0pt;width:400.4pt;mso-position-horizontal-relative:page;z-index:251856896;mso-width-relative:page;mso-height-relative:page;" stroked="t" coordsize="21600,21600">
            <v:path arrowok="t"/>
            <v:fill focussize="0,0"/>
            <v:stroke weight="0.36pt" color="#000000"/>
            <v:imagedata o:title=""/>
            <o:lock v:ext="edit"/>
          </v:line>
        </w:pict>
      </w:r>
      <w:bookmarkStart w:id="158" w:name="附表一：拟投入本工程的主要施工设备表"/>
      <w:bookmarkEnd w:id="158"/>
      <w:r>
        <w:rPr>
          <w:rFonts w:hint="eastAsia"/>
          <w:sz w:val="18"/>
          <w:lang w:eastAsia="zh-CN"/>
        </w:rPr>
        <w:t xml:space="preserve"> </w:t>
      </w:r>
    </w:p>
    <w:p>
      <w:pPr>
        <w:pStyle w:val="8"/>
        <w:spacing w:before="6"/>
        <w:rPr>
          <w:sz w:val="25"/>
        </w:rPr>
      </w:pPr>
    </w:p>
    <w:p>
      <w:pPr>
        <w:pStyle w:val="8"/>
        <w:spacing w:before="67"/>
        <w:ind w:left="868"/>
      </w:pPr>
      <w:r>
        <w:t>附表一拟投入本工程的主要施工设备表</w:t>
      </w:r>
    </w:p>
    <w:p>
      <w:pPr>
        <w:pStyle w:val="8"/>
        <w:spacing w:before="158" w:line="364" w:lineRule="auto"/>
        <w:ind w:left="812" w:right="4932"/>
      </w:pPr>
      <w:r>
        <w:rPr>
          <w:spacing w:val="-1"/>
        </w:rPr>
        <w:t>附表二拟配备本工程的试验和检测仪器设备表</w:t>
      </w:r>
      <w:r>
        <w:t>附表三劳动力计划表</w:t>
      </w:r>
    </w:p>
    <w:p>
      <w:pPr>
        <w:pStyle w:val="8"/>
        <w:spacing w:line="364" w:lineRule="auto"/>
        <w:ind w:left="812" w:right="5172"/>
      </w:pPr>
      <w:r>
        <w:rPr>
          <w:spacing w:val="-1"/>
        </w:rPr>
        <w:t>附表四计划开、竣工日期和施工进度网络图</w:t>
      </w:r>
      <w:r>
        <w:t>附表五施工总平面图</w:t>
      </w:r>
    </w:p>
    <w:p>
      <w:pPr>
        <w:pStyle w:val="8"/>
        <w:spacing w:line="306" w:lineRule="exact"/>
        <w:ind w:left="812"/>
      </w:pPr>
      <w:r>
        <w:t>附表六临时用地表</w:t>
      </w:r>
    </w:p>
    <w:p>
      <w:pPr>
        <w:spacing w:after="0" w:line="306" w:lineRule="exact"/>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23" o:spid="_x0000_s1223" o:spt="20" style="position:absolute;left:0pt;margin-left:62.4pt;margin-top:12.25pt;height:0pt;width:400.4pt;mso-position-horizontal-relative:page;z-index:251857920;mso-width-relative:page;mso-height-relative:page;" stroked="t" coordsize="21600,21600">
            <v:path arrowok="t"/>
            <v:fill focussize="0,0"/>
            <v:stroke weight="0.36pt" color="#000000"/>
            <v:imagedata o:title=""/>
            <o:lock v:ext="edit"/>
          </v:line>
        </w:pict>
      </w:r>
      <w:bookmarkStart w:id="159" w:name="附表二：拟配备本工程的试验和检测仪器设备表"/>
      <w:bookmarkEnd w:id="159"/>
      <w:r>
        <w:rPr>
          <w:rFonts w:hint="eastAsia"/>
          <w:sz w:val="18"/>
          <w:lang w:eastAsia="zh-CN"/>
        </w:rPr>
        <w:t xml:space="preserve"> </w:t>
      </w:r>
    </w:p>
    <w:p>
      <w:pPr>
        <w:pStyle w:val="8"/>
        <w:rPr>
          <w:sz w:val="20"/>
        </w:rPr>
      </w:pPr>
    </w:p>
    <w:p>
      <w:pPr>
        <w:pStyle w:val="8"/>
        <w:spacing w:before="9"/>
        <w:rPr>
          <w:sz w:val="25"/>
        </w:rPr>
      </w:pPr>
    </w:p>
    <w:p>
      <w:pPr>
        <w:pStyle w:val="7"/>
        <w:spacing w:before="67"/>
      </w:pPr>
      <w:r>
        <w:t>附表一：拟投入本工程的主要施工设备表</w:t>
      </w:r>
    </w:p>
    <w:p>
      <w:pPr>
        <w:pStyle w:val="8"/>
        <w:rPr>
          <w:b/>
          <w:sz w:val="20"/>
        </w:rPr>
      </w:pPr>
    </w:p>
    <w:p>
      <w:pPr>
        <w:pStyle w:val="8"/>
        <w:spacing w:before="4"/>
        <w:rPr>
          <w:b/>
          <w:sz w:val="18"/>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9"/>
        <w:gridCol w:w="1205"/>
        <w:gridCol w:w="761"/>
        <w:gridCol w:w="1157"/>
        <w:gridCol w:w="803"/>
        <w:gridCol w:w="803"/>
        <w:gridCol w:w="1331"/>
        <w:gridCol w:w="988"/>
        <w:gridCol w:w="988"/>
        <w:gridCol w:w="8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atLeast"/>
        </w:trPr>
        <w:tc>
          <w:tcPr>
            <w:tcW w:w="729" w:type="dxa"/>
          </w:tcPr>
          <w:p>
            <w:pPr>
              <w:pStyle w:val="17"/>
              <w:spacing w:before="2"/>
              <w:rPr>
                <w:b/>
                <w:sz w:val="18"/>
              </w:rPr>
            </w:pPr>
          </w:p>
          <w:p>
            <w:pPr>
              <w:pStyle w:val="17"/>
              <w:ind w:left="108"/>
              <w:rPr>
                <w:sz w:val="24"/>
              </w:rPr>
            </w:pPr>
            <w:r>
              <w:rPr>
                <w:sz w:val="24"/>
              </w:rPr>
              <w:t>序号</w:t>
            </w:r>
          </w:p>
        </w:tc>
        <w:tc>
          <w:tcPr>
            <w:tcW w:w="1205" w:type="dxa"/>
          </w:tcPr>
          <w:p>
            <w:pPr>
              <w:pStyle w:val="17"/>
              <w:spacing w:before="2"/>
              <w:rPr>
                <w:b/>
                <w:sz w:val="18"/>
              </w:rPr>
            </w:pPr>
          </w:p>
          <w:p>
            <w:pPr>
              <w:pStyle w:val="17"/>
              <w:ind w:left="106"/>
              <w:rPr>
                <w:sz w:val="24"/>
              </w:rPr>
            </w:pPr>
            <w:r>
              <w:rPr>
                <w:sz w:val="24"/>
              </w:rPr>
              <w:t>设备名称</w:t>
            </w:r>
          </w:p>
        </w:tc>
        <w:tc>
          <w:tcPr>
            <w:tcW w:w="761" w:type="dxa"/>
          </w:tcPr>
          <w:p>
            <w:pPr>
              <w:pStyle w:val="17"/>
              <w:ind w:left="106"/>
              <w:rPr>
                <w:sz w:val="24"/>
              </w:rPr>
            </w:pPr>
            <w:r>
              <w:rPr>
                <w:sz w:val="24"/>
              </w:rPr>
              <w:t>型号</w:t>
            </w:r>
          </w:p>
          <w:p>
            <w:pPr>
              <w:pStyle w:val="17"/>
              <w:spacing w:before="160"/>
              <w:ind w:left="106"/>
              <w:rPr>
                <w:sz w:val="24"/>
              </w:rPr>
            </w:pPr>
            <w:r>
              <w:rPr>
                <w:sz w:val="24"/>
              </w:rPr>
              <w:t>规格</w:t>
            </w:r>
          </w:p>
        </w:tc>
        <w:tc>
          <w:tcPr>
            <w:tcW w:w="1157" w:type="dxa"/>
          </w:tcPr>
          <w:p>
            <w:pPr>
              <w:pStyle w:val="17"/>
              <w:spacing w:before="2"/>
              <w:rPr>
                <w:b/>
                <w:sz w:val="18"/>
              </w:rPr>
            </w:pPr>
          </w:p>
          <w:p>
            <w:pPr>
              <w:pStyle w:val="17"/>
              <w:ind w:left="106"/>
              <w:rPr>
                <w:sz w:val="24"/>
              </w:rPr>
            </w:pPr>
            <w:r>
              <w:rPr>
                <w:sz w:val="24"/>
              </w:rPr>
              <w:t>数量</w:t>
            </w:r>
          </w:p>
        </w:tc>
        <w:tc>
          <w:tcPr>
            <w:tcW w:w="803" w:type="dxa"/>
          </w:tcPr>
          <w:p>
            <w:pPr>
              <w:pStyle w:val="17"/>
              <w:ind w:left="108"/>
              <w:rPr>
                <w:sz w:val="24"/>
              </w:rPr>
            </w:pPr>
            <w:r>
              <w:rPr>
                <w:sz w:val="24"/>
              </w:rPr>
              <w:t>国别</w:t>
            </w:r>
          </w:p>
          <w:p>
            <w:pPr>
              <w:pStyle w:val="17"/>
              <w:spacing w:before="160"/>
              <w:ind w:left="108"/>
              <w:rPr>
                <w:sz w:val="24"/>
              </w:rPr>
            </w:pPr>
            <w:r>
              <w:rPr>
                <w:sz w:val="24"/>
              </w:rPr>
              <w:t>产地</w:t>
            </w:r>
          </w:p>
        </w:tc>
        <w:tc>
          <w:tcPr>
            <w:tcW w:w="803" w:type="dxa"/>
          </w:tcPr>
          <w:p>
            <w:pPr>
              <w:pStyle w:val="17"/>
              <w:ind w:left="107"/>
              <w:rPr>
                <w:sz w:val="24"/>
              </w:rPr>
            </w:pPr>
            <w:r>
              <w:rPr>
                <w:sz w:val="24"/>
              </w:rPr>
              <w:t>制造</w:t>
            </w:r>
          </w:p>
          <w:p>
            <w:pPr>
              <w:pStyle w:val="17"/>
              <w:spacing w:before="160"/>
              <w:ind w:left="107"/>
              <w:rPr>
                <w:sz w:val="24"/>
              </w:rPr>
            </w:pPr>
            <w:r>
              <w:rPr>
                <w:sz w:val="24"/>
              </w:rPr>
              <w:t>年份</w:t>
            </w:r>
          </w:p>
        </w:tc>
        <w:tc>
          <w:tcPr>
            <w:tcW w:w="1331" w:type="dxa"/>
          </w:tcPr>
          <w:p>
            <w:pPr>
              <w:pStyle w:val="17"/>
              <w:ind w:left="108"/>
              <w:rPr>
                <w:sz w:val="24"/>
              </w:rPr>
            </w:pPr>
            <w:r>
              <w:rPr>
                <w:sz w:val="24"/>
              </w:rPr>
              <w:t>额定功率</w:t>
            </w:r>
          </w:p>
          <w:p>
            <w:pPr>
              <w:pStyle w:val="17"/>
              <w:spacing w:before="160"/>
              <w:ind w:left="108"/>
              <w:rPr>
                <w:sz w:val="24"/>
              </w:rPr>
            </w:pPr>
            <w:r>
              <w:rPr>
                <w:sz w:val="24"/>
              </w:rPr>
              <w:t>（KW）</w:t>
            </w:r>
          </w:p>
        </w:tc>
        <w:tc>
          <w:tcPr>
            <w:tcW w:w="988" w:type="dxa"/>
          </w:tcPr>
          <w:p>
            <w:pPr>
              <w:pStyle w:val="17"/>
              <w:ind w:left="106"/>
              <w:rPr>
                <w:sz w:val="24"/>
              </w:rPr>
            </w:pPr>
            <w:r>
              <w:rPr>
                <w:sz w:val="24"/>
              </w:rPr>
              <w:t>生产</w:t>
            </w:r>
          </w:p>
          <w:p>
            <w:pPr>
              <w:pStyle w:val="17"/>
              <w:spacing w:before="160"/>
              <w:ind w:left="106"/>
              <w:rPr>
                <w:sz w:val="24"/>
              </w:rPr>
            </w:pPr>
            <w:r>
              <w:rPr>
                <w:sz w:val="24"/>
              </w:rPr>
              <w:t>能力</w:t>
            </w:r>
          </w:p>
        </w:tc>
        <w:tc>
          <w:tcPr>
            <w:tcW w:w="988" w:type="dxa"/>
          </w:tcPr>
          <w:p>
            <w:pPr>
              <w:pStyle w:val="17"/>
              <w:ind w:left="107"/>
              <w:rPr>
                <w:sz w:val="24"/>
              </w:rPr>
            </w:pPr>
            <w:r>
              <w:rPr>
                <w:sz w:val="24"/>
              </w:rPr>
              <w:t>用于施</w:t>
            </w:r>
          </w:p>
          <w:p>
            <w:pPr>
              <w:pStyle w:val="17"/>
              <w:spacing w:before="160"/>
              <w:ind w:left="107"/>
              <w:rPr>
                <w:sz w:val="24"/>
              </w:rPr>
            </w:pPr>
            <w:r>
              <w:rPr>
                <w:sz w:val="24"/>
              </w:rPr>
              <w:t>工部位</w:t>
            </w:r>
          </w:p>
        </w:tc>
        <w:tc>
          <w:tcPr>
            <w:tcW w:w="863" w:type="dxa"/>
          </w:tcPr>
          <w:p>
            <w:pPr>
              <w:pStyle w:val="17"/>
              <w:spacing w:before="2"/>
              <w:rPr>
                <w:b/>
                <w:sz w:val="18"/>
              </w:rPr>
            </w:pPr>
          </w:p>
          <w:p>
            <w:pPr>
              <w:pStyle w:val="17"/>
              <w:ind w:left="108"/>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29"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988" w:type="dxa"/>
          </w:tcPr>
          <w:p>
            <w:pPr>
              <w:pStyle w:val="17"/>
              <w:rPr>
                <w:rFonts w:ascii="Times New Roman"/>
                <w:sz w:val="20"/>
              </w:rPr>
            </w:pPr>
          </w:p>
        </w:tc>
        <w:tc>
          <w:tcPr>
            <w:tcW w:w="988" w:type="dxa"/>
          </w:tcPr>
          <w:p>
            <w:pPr>
              <w:pStyle w:val="17"/>
              <w:rPr>
                <w:rFonts w:ascii="Times New Roman"/>
                <w:sz w:val="20"/>
              </w:rPr>
            </w:pPr>
          </w:p>
        </w:tc>
        <w:tc>
          <w:tcPr>
            <w:tcW w:w="86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29"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988" w:type="dxa"/>
          </w:tcPr>
          <w:p>
            <w:pPr>
              <w:pStyle w:val="17"/>
              <w:rPr>
                <w:rFonts w:ascii="Times New Roman"/>
                <w:sz w:val="20"/>
              </w:rPr>
            </w:pPr>
          </w:p>
        </w:tc>
        <w:tc>
          <w:tcPr>
            <w:tcW w:w="988" w:type="dxa"/>
          </w:tcPr>
          <w:p>
            <w:pPr>
              <w:pStyle w:val="17"/>
              <w:rPr>
                <w:rFonts w:ascii="Times New Roman"/>
                <w:sz w:val="20"/>
              </w:rPr>
            </w:pPr>
          </w:p>
        </w:tc>
        <w:tc>
          <w:tcPr>
            <w:tcW w:w="86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29"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988" w:type="dxa"/>
          </w:tcPr>
          <w:p>
            <w:pPr>
              <w:pStyle w:val="17"/>
              <w:rPr>
                <w:rFonts w:ascii="Times New Roman"/>
                <w:sz w:val="20"/>
              </w:rPr>
            </w:pPr>
          </w:p>
        </w:tc>
        <w:tc>
          <w:tcPr>
            <w:tcW w:w="988" w:type="dxa"/>
          </w:tcPr>
          <w:p>
            <w:pPr>
              <w:pStyle w:val="17"/>
              <w:rPr>
                <w:rFonts w:ascii="Times New Roman"/>
                <w:sz w:val="20"/>
              </w:rPr>
            </w:pPr>
          </w:p>
        </w:tc>
        <w:tc>
          <w:tcPr>
            <w:tcW w:w="86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29"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988" w:type="dxa"/>
          </w:tcPr>
          <w:p>
            <w:pPr>
              <w:pStyle w:val="17"/>
              <w:rPr>
                <w:rFonts w:ascii="Times New Roman"/>
                <w:sz w:val="20"/>
              </w:rPr>
            </w:pPr>
          </w:p>
        </w:tc>
        <w:tc>
          <w:tcPr>
            <w:tcW w:w="988" w:type="dxa"/>
          </w:tcPr>
          <w:p>
            <w:pPr>
              <w:pStyle w:val="17"/>
              <w:rPr>
                <w:rFonts w:ascii="Times New Roman"/>
                <w:sz w:val="20"/>
              </w:rPr>
            </w:pPr>
          </w:p>
        </w:tc>
        <w:tc>
          <w:tcPr>
            <w:tcW w:w="86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29"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988" w:type="dxa"/>
          </w:tcPr>
          <w:p>
            <w:pPr>
              <w:pStyle w:val="17"/>
              <w:rPr>
                <w:rFonts w:ascii="Times New Roman"/>
                <w:sz w:val="20"/>
              </w:rPr>
            </w:pPr>
          </w:p>
        </w:tc>
        <w:tc>
          <w:tcPr>
            <w:tcW w:w="988" w:type="dxa"/>
          </w:tcPr>
          <w:p>
            <w:pPr>
              <w:pStyle w:val="17"/>
              <w:rPr>
                <w:rFonts w:ascii="Times New Roman"/>
                <w:sz w:val="20"/>
              </w:rPr>
            </w:pPr>
          </w:p>
        </w:tc>
        <w:tc>
          <w:tcPr>
            <w:tcW w:w="86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29"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988" w:type="dxa"/>
          </w:tcPr>
          <w:p>
            <w:pPr>
              <w:pStyle w:val="17"/>
              <w:rPr>
                <w:rFonts w:ascii="Times New Roman"/>
                <w:sz w:val="20"/>
              </w:rPr>
            </w:pPr>
          </w:p>
        </w:tc>
        <w:tc>
          <w:tcPr>
            <w:tcW w:w="988" w:type="dxa"/>
          </w:tcPr>
          <w:p>
            <w:pPr>
              <w:pStyle w:val="17"/>
              <w:rPr>
                <w:rFonts w:ascii="Times New Roman"/>
                <w:sz w:val="20"/>
              </w:rPr>
            </w:pPr>
          </w:p>
        </w:tc>
        <w:tc>
          <w:tcPr>
            <w:tcW w:w="86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29"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988" w:type="dxa"/>
          </w:tcPr>
          <w:p>
            <w:pPr>
              <w:pStyle w:val="17"/>
              <w:rPr>
                <w:rFonts w:ascii="Times New Roman"/>
                <w:sz w:val="20"/>
              </w:rPr>
            </w:pPr>
          </w:p>
        </w:tc>
        <w:tc>
          <w:tcPr>
            <w:tcW w:w="988" w:type="dxa"/>
          </w:tcPr>
          <w:p>
            <w:pPr>
              <w:pStyle w:val="17"/>
              <w:rPr>
                <w:rFonts w:ascii="Times New Roman"/>
                <w:sz w:val="20"/>
              </w:rPr>
            </w:pPr>
          </w:p>
        </w:tc>
        <w:tc>
          <w:tcPr>
            <w:tcW w:w="86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29"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988" w:type="dxa"/>
          </w:tcPr>
          <w:p>
            <w:pPr>
              <w:pStyle w:val="17"/>
              <w:rPr>
                <w:rFonts w:ascii="Times New Roman"/>
                <w:sz w:val="20"/>
              </w:rPr>
            </w:pPr>
          </w:p>
        </w:tc>
        <w:tc>
          <w:tcPr>
            <w:tcW w:w="988" w:type="dxa"/>
          </w:tcPr>
          <w:p>
            <w:pPr>
              <w:pStyle w:val="17"/>
              <w:rPr>
                <w:rFonts w:ascii="Times New Roman"/>
                <w:sz w:val="20"/>
              </w:rPr>
            </w:pPr>
          </w:p>
        </w:tc>
        <w:tc>
          <w:tcPr>
            <w:tcW w:w="86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29"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988" w:type="dxa"/>
          </w:tcPr>
          <w:p>
            <w:pPr>
              <w:pStyle w:val="17"/>
              <w:rPr>
                <w:rFonts w:ascii="Times New Roman"/>
                <w:sz w:val="20"/>
              </w:rPr>
            </w:pPr>
          </w:p>
        </w:tc>
        <w:tc>
          <w:tcPr>
            <w:tcW w:w="988" w:type="dxa"/>
          </w:tcPr>
          <w:p>
            <w:pPr>
              <w:pStyle w:val="17"/>
              <w:rPr>
                <w:rFonts w:ascii="Times New Roman"/>
                <w:sz w:val="20"/>
              </w:rPr>
            </w:pPr>
          </w:p>
        </w:tc>
        <w:tc>
          <w:tcPr>
            <w:tcW w:w="86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29"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988" w:type="dxa"/>
          </w:tcPr>
          <w:p>
            <w:pPr>
              <w:pStyle w:val="17"/>
              <w:rPr>
                <w:rFonts w:ascii="Times New Roman"/>
                <w:sz w:val="20"/>
              </w:rPr>
            </w:pPr>
          </w:p>
        </w:tc>
        <w:tc>
          <w:tcPr>
            <w:tcW w:w="988" w:type="dxa"/>
          </w:tcPr>
          <w:p>
            <w:pPr>
              <w:pStyle w:val="17"/>
              <w:rPr>
                <w:rFonts w:ascii="Times New Roman"/>
                <w:sz w:val="20"/>
              </w:rPr>
            </w:pPr>
          </w:p>
        </w:tc>
        <w:tc>
          <w:tcPr>
            <w:tcW w:w="86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29"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988" w:type="dxa"/>
          </w:tcPr>
          <w:p>
            <w:pPr>
              <w:pStyle w:val="17"/>
              <w:rPr>
                <w:rFonts w:ascii="Times New Roman"/>
                <w:sz w:val="20"/>
              </w:rPr>
            </w:pPr>
          </w:p>
        </w:tc>
        <w:tc>
          <w:tcPr>
            <w:tcW w:w="988" w:type="dxa"/>
          </w:tcPr>
          <w:p>
            <w:pPr>
              <w:pStyle w:val="17"/>
              <w:rPr>
                <w:rFonts w:ascii="Times New Roman"/>
                <w:sz w:val="20"/>
              </w:rPr>
            </w:pPr>
          </w:p>
        </w:tc>
        <w:tc>
          <w:tcPr>
            <w:tcW w:w="86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29"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988" w:type="dxa"/>
          </w:tcPr>
          <w:p>
            <w:pPr>
              <w:pStyle w:val="17"/>
              <w:rPr>
                <w:rFonts w:ascii="Times New Roman"/>
                <w:sz w:val="20"/>
              </w:rPr>
            </w:pPr>
          </w:p>
        </w:tc>
        <w:tc>
          <w:tcPr>
            <w:tcW w:w="988" w:type="dxa"/>
          </w:tcPr>
          <w:p>
            <w:pPr>
              <w:pStyle w:val="17"/>
              <w:rPr>
                <w:rFonts w:ascii="Times New Roman"/>
                <w:sz w:val="20"/>
              </w:rPr>
            </w:pPr>
          </w:p>
        </w:tc>
        <w:tc>
          <w:tcPr>
            <w:tcW w:w="86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29"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988" w:type="dxa"/>
          </w:tcPr>
          <w:p>
            <w:pPr>
              <w:pStyle w:val="17"/>
              <w:rPr>
                <w:rFonts w:ascii="Times New Roman"/>
                <w:sz w:val="20"/>
              </w:rPr>
            </w:pPr>
          </w:p>
        </w:tc>
        <w:tc>
          <w:tcPr>
            <w:tcW w:w="988" w:type="dxa"/>
          </w:tcPr>
          <w:p>
            <w:pPr>
              <w:pStyle w:val="17"/>
              <w:rPr>
                <w:rFonts w:ascii="Times New Roman"/>
                <w:sz w:val="20"/>
              </w:rPr>
            </w:pPr>
          </w:p>
        </w:tc>
        <w:tc>
          <w:tcPr>
            <w:tcW w:w="86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29"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988" w:type="dxa"/>
          </w:tcPr>
          <w:p>
            <w:pPr>
              <w:pStyle w:val="17"/>
              <w:rPr>
                <w:rFonts w:ascii="Times New Roman"/>
                <w:sz w:val="20"/>
              </w:rPr>
            </w:pPr>
          </w:p>
        </w:tc>
        <w:tc>
          <w:tcPr>
            <w:tcW w:w="988" w:type="dxa"/>
          </w:tcPr>
          <w:p>
            <w:pPr>
              <w:pStyle w:val="17"/>
              <w:rPr>
                <w:rFonts w:ascii="Times New Roman"/>
                <w:sz w:val="20"/>
              </w:rPr>
            </w:pPr>
          </w:p>
        </w:tc>
        <w:tc>
          <w:tcPr>
            <w:tcW w:w="86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29"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988" w:type="dxa"/>
          </w:tcPr>
          <w:p>
            <w:pPr>
              <w:pStyle w:val="17"/>
              <w:rPr>
                <w:rFonts w:ascii="Times New Roman"/>
                <w:sz w:val="20"/>
              </w:rPr>
            </w:pPr>
          </w:p>
        </w:tc>
        <w:tc>
          <w:tcPr>
            <w:tcW w:w="988" w:type="dxa"/>
          </w:tcPr>
          <w:p>
            <w:pPr>
              <w:pStyle w:val="17"/>
              <w:rPr>
                <w:rFonts w:ascii="Times New Roman"/>
                <w:sz w:val="20"/>
              </w:rPr>
            </w:pPr>
          </w:p>
        </w:tc>
        <w:tc>
          <w:tcPr>
            <w:tcW w:w="86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29"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988" w:type="dxa"/>
          </w:tcPr>
          <w:p>
            <w:pPr>
              <w:pStyle w:val="17"/>
              <w:rPr>
                <w:rFonts w:ascii="Times New Roman"/>
                <w:sz w:val="20"/>
              </w:rPr>
            </w:pPr>
          </w:p>
        </w:tc>
        <w:tc>
          <w:tcPr>
            <w:tcW w:w="988" w:type="dxa"/>
          </w:tcPr>
          <w:p>
            <w:pPr>
              <w:pStyle w:val="17"/>
              <w:rPr>
                <w:rFonts w:ascii="Times New Roman"/>
                <w:sz w:val="20"/>
              </w:rPr>
            </w:pPr>
          </w:p>
        </w:tc>
        <w:tc>
          <w:tcPr>
            <w:tcW w:w="86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29"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988" w:type="dxa"/>
          </w:tcPr>
          <w:p>
            <w:pPr>
              <w:pStyle w:val="17"/>
              <w:rPr>
                <w:rFonts w:ascii="Times New Roman"/>
                <w:sz w:val="20"/>
              </w:rPr>
            </w:pPr>
          </w:p>
        </w:tc>
        <w:tc>
          <w:tcPr>
            <w:tcW w:w="988" w:type="dxa"/>
          </w:tcPr>
          <w:p>
            <w:pPr>
              <w:pStyle w:val="17"/>
              <w:rPr>
                <w:rFonts w:ascii="Times New Roman"/>
                <w:sz w:val="20"/>
              </w:rPr>
            </w:pPr>
          </w:p>
        </w:tc>
        <w:tc>
          <w:tcPr>
            <w:tcW w:w="86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29"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988" w:type="dxa"/>
          </w:tcPr>
          <w:p>
            <w:pPr>
              <w:pStyle w:val="17"/>
              <w:rPr>
                <w:rFonts w:ascii="Times New Roman"/>
                <w:sz w:val="20"/>
              </w:rPr>
            </w:pPr>
          </w:p>
        </w:tc>
        <w:tc>
          <w:tcPr>
            <w:tcW w:w="988" w:type="dxa"/>
          </w:tcPr>
          <w:p>
            <w:pPr>
              <w:pStyle w:val="17"/>
              <w:rPr>
                <w:rFonts w:ascii="Times New Roman"/>
                <w:sz w:val="20"/>
              </w:rPr>
            </w:pPr>
          </w:p>
        </w:tc>
        <w:tc>
          <w:tcPr>
            <w:tcW w:w="86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29"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988" w:type="dxa"/>
          </w:tcPr>
          <w:p>
            <w:pPr>
              <w:pStyle w:val="17"/>
              <w:rPr>
                <w:rFonts w:ascii="Times New Roman"/>
                <w:sz w:val="20"/>
              </w:rPr>
            </w:pPr>
          </w:p>
        </w:tc>
        <w:tc>
          <w:tcPr>
            <w:tcW w:w="988" w:type="dxa"/>
          </w:tcPr>
          <w:p>
            <w:pPr>
              <w:pStyle w:val="17"/>
              <w:rPr>
                <w:rFonts w:ascii="Times New Roman"/>
                <w:sz w:val="20"/>
              </w:rPr>
            </w:pPr>
          </w:p>
        </w:tc>
        <w:tc>
          <w:tcPr>
            <w:tcW w:w="86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29"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988" w:type="dxa"/>
          </w:tcPr>
          <w:p>
            <w:pPr>
              <w:pStyle w:val="17"/>
              <w:rPr>
                <w:rFonts w:ascii="Times New Roman"/>
                <w:sz w:val="20"/>
              </w:rPr>
            </w:pPr>
          </w:p>
        </w:tc>
        <w:tc>
          <w:tcPr>
            <w:tcW w:w="988" w:type="dxa"/>
          </w:tcPr>
          <w:p>
            <w:pPr>
              <w:pStyle w:val="17"/>
              <w:rPr>
                <w:rFonts w:ascii="Times New Roman"/>
                <w:sz w:val="20"/>
              </w:rPr>
            </w:pPr>
          </w:p>
        </w:tc>
        <w:tc>
          <w:tcPr>
            <w:tcW w:w="86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29"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988" w:type="dxa"/>
          </w:tcPr>
          <w:p>
            <w:pPr>
              <w:pStyle w:val="17"/>
              <w:rPr>
                <w:rFonts w:ascii="Times New Roman"/>
                <w:sz w:val="20"/>
              </w:rPr>
            </w:pPr>
          </w:p>
        </w:tc>
        <w:tc>
          <w:tcPr>
            <w:tcW w:w="988" w:type="dxa"/>
          </w:tcPr>
          <w:p>
            <w:pPr>
              <w:pStyle w:val="17"/>
              <w:rPr>
                <w:rFonts w:ascii="Times New Roman"/>
                <w:sz w:val="20"/>
              </w:rPr>
            </w:pPr>
          </w:p>
        </w:tc>
        <w:tc>
          <w:tcPr>
            <w:tcW w:w="86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29"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988" w:type="dxa"/>
          </w:tcPr>
          <w:p>
            <w:pPr>
              <w:pStyle w:val="17"/>
              <w:rPr>
                <w:rFonts w:ascii="Times New Roman"/>
                <w:sz w:val="20"/>
              </w:rPr>
            </w:pPr>
          </w:p>
        </w:tc>
        <w:tc>
          <w:tcPr>
            <w:tcW w:w="988" w:type="dxa"/>
          </w:tcPr>
          <w:p>
            <w:pPr>
              <w:pStyle w:val="17"/>
              <w:rPr>
                <w:rFonts w:ascii="Times New Roman"/>
                <w:sz w:val="20"/>
              </w:rPr>
            </w:pPr>
          </w:p>
        </w:tc>
        <w:tc>
          <w:tcPr>
            <w:tcW w:w="86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29"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988" w:type="dxa"/>
          </w:tcPr>
          <w:p>
            <w:pPr>
              <w:pStyle w:val="17"/>
              <w:rPr>
                <w:rFonts w:ascii="Times New Roman"/>
                <w:sz w:val="20"/>
              </w:rPr>
            </w:pPr>
          </w:p>
        </w:tc>
        <w:tc>
          <w:tcPr>
            <w:tcW w:w="988" w:type="dxa"/>
          </w:tcPr>
          <w:p>
            <w:pPr>
              <w:pStyle w:val="17"/>
              <w:rPr>
                <w:rFonts w:ascii="Times New Roman"/>
                <w:sz w:val="20"/>
              </w:rPr>
            </w:pPr>
          </w:p>
        </w:tc>
        <w:tc>
          <w:tcPr>
            <w:tcW w:w="863" w:type="dxa"/>
          </w:tcPr>
          <w:p>
            <w:pPr>
              <w:pStyle w:val="17"/>
              <w:rPr>
                <w:rFonts w:ascii="Times New Roman"/>
                <w:sz w:val="20"/>
              </w:rPr>
            </w:pPr>
          </w:p>
        </w:tc>
      </w:tr>
    </w:tbl>
    <w:p>
      <w:pPr>
        <w:spacing w:after="0"/>
        <w:rPr>
          <w:rFonts w:ascii="Times New Roman"/>
          <w:sz w:val="20"/>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24" o:spid="_x0000_s1224" o:spt="20" style="position:absolute;left:0pt;margin-left:62.4pt;margin-top:12.25pt;height:0pt;width:400.4pt;mso-position-horizontal-relative:page;z-index:251858944;mso-width-relative:page;mso-height-relative:page;" stroked="t" coordsize="21600,21600">
            <v:path arrowok="t"/>
            <v:fill focussize="0,0"/>
            <v:stroke weight="0.36pt" color="#000000"/>
            <v:imagedata o:title=""/>
            <o:lock v:ext="edit"/>
          </v:line>
        </w:pict>
      </w:r>
      <w:bookmarkStart w:id="160" w:name="附表三：劳动力计划表"/>
      <w:bookmarkEnd w:id="160"/>
      <w:r>
        <w:rPr>
          <w:rFonts w:hint="eastAsia"/>
          <w:sz w:val="18"/>
          <w:lang w:eastAsia="zh-CN"/>
        </w:rPr>
        <w:t xml:space="preserve"> </w:t>
      </w:r>
    </w:p>
    <w:p>
      <w:pPr>
        <w:pStyle w:val="8"/>
        <w:rPr>
          <w:sz w:val="20"/>
        </w:rPr>
      </w:pPr>
    </w:p>
    <w:p>
      <w:pPr>
        <w:pStyle w:val="8"/>
        <w:spacing w:before="9"/>
        <w:rPr>
          <w:sz w:val="25"/>
        </w:rPr>
      </w:pPr>
    </w:p>
    <w:p>
      <w:pPr>
        <w:pStyle w:val="7"/>
        <w:spacing w:before="67"/>
      </w:pPr>
      <w:r>
        <w:t>附表二：拟配备本工程的试验和检测仪器设备表</w:t>
      </w:r>
    </w:p>
    <w:p>
      <w:pPr>
        <w:pStyle w:val="8"/>
        <w:rPr>
          <w:b/>
          <w:sz w:val="20"/>
        </w:rPr>
      </w:pPr>
    </w:p>
    <w:p>
      <w:pPr>
        <w:pStyle w:val="8"/>
        <w:spacing w:before="4"/>
        <w:rPr>
          <w:b/>
          <w:sz w:val="18"/>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0"/>
        <w:gridCol w:w="1205"/>
        <w:gridCol w:w="761"/>
        <w:gridCol w:w="1157"/>
        <w:gridCol w:w="803"/>
        <w:gridCol w:w="803"/>
        <w:gridCol w:w="1331"/>
        <w:gridCol w:w="1877"/>
        <w:gridCol w:w="9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atLeast"/>
        </w:trPr>
        <w:tc>
          <w:tcPr>
            <w:tcW w:w="730" w:type="dxa"/>
          </w:tcPr>
          <w:p>
            <w:pPr>
              <w:pStyle w:val="17"/>
              <w:spacing w:before="2"/>
              <w:rPr>
                <w:b/>
                <w:sz w:val="18"/>
              </w:rPr>
            </w:pPr>
          </w:p>
          <w:p>
            <w:pPr>
              <w:pStyle w:val="17"/>
              <w:ind w:left="108"/>
              <w:rPr>
                <w:sz w:val="24"/>
              </w:rPr>
            </w:pPr>
            <w:r>
              <w:rPr>
                <w:sz w:val="24"/>
              </w:rPr>
              <w:t>序号</w:t>
            </w:r>
          </w:p>
        </w:tc>
        <w:tc>
          <w:tcPr>
            <w:tcW w:w="1205" w:type="dxa"/>
          </w:tcPr>
          <w:p>
            <w:pPr>
              <w:pStyle w:val="17"/>
              <w:ind w:left="108"/>
              <w:rPr>
                <w:sz w:val="24"/>
              </w:rPr>
            </w:pPr>
            <w:r>
              <w:rPr>
                <w:sz w:val="24"/>
              </w:rPr>
              <w:t>仪器设备</w:t>
            </w:r>
          </w:p>
          <w:p>
            <w:pPr>
              <w:pStyle w:val="17"/>
              <w:spacing w:before="160"/>
              <w:ind w:left="108"/>
              <w:rPr>
                <w:sz w:val="24"/>
              </w:rPr>
            </w:pPr>
            <w:r>
              <w:rPr>
                <w:sz w:val="24"/>
              </w:rPr>
              <w:t>名称</w:t>
            </w:r>
          </w:p>
        </w:tc>
        <w:tc>
          <w:tcPr>
            <w:tcW w:w="761" w:type="dxa"/>
          </w:tcPr>
          <w:p>
            <w:pPr>
              <w:pStyle w:val="17"/>
              <w:ind w:left="108"/>
              <w:rPr>
                <w:sz w:val="24"/>
              </w:rPr>
            </w:pPr>
            <w:r>
              <w:rPr>
                <w:sz w:val="24"/>
              </w:rPr>
              <w:t>型号</w:t>
            </w:r>
          </w:p>
          <w:p>
            <w:pPr>
              <w:pStyle w:val="17"/>
              <w:spacing w:before="160"/>
              <w:ind w:left="108"/>
              <w:rPr>
                <w:sz w:val="24"/>
              </w:rPr>
            </w:pPr>
            <w:r>
              <w:rPr>
                <w:sz w:val="24"/>
              </w:rPr>
              <w:t>规格</w:t>
            </w:r>
          </w:p>
        </w:tc>
        <w:tc>
          <w:tcPr>
            <w:tcW w:w="1157" w:type="dxa"/>
          </w:tcPr>
          <w:p>
            <w:pPr>
              <w:pStyle w:val="17"/>
              <w:spacing w:before="2"/>
              <w:rPr>
                <w:b/>
                <w:sz w:val="18"/>
              </w:rPr>
            </w:pPr>
          </w:p>
          <w:p>
            <w:pPr>
              <w:pStyle w:val="17"/>
              <w:ind w:left="107"/>
              <w:rPr>
                <w:sz w:val="24"/>
              </w:rPr>
            </w:pPr>
            <w:r>
              <w:rPr>
                <w:sz w:val="24"/>
              </w:rPr>
              <w:t>数量</w:t>
            </w:r>
          </w:p>
        </w:tc>
        <w:tc>
          <w:tcPr>
            <w:tcW w:w="803" w:type="dxa"/>
          </w:tcPr>
          <w:p>
            <w:pPr>
              <w:pStyle w:val="17"/>
              <w:ind w:left="107"/>
              <w:rPr>
                <w:sz w:val="24"/>
              </w:rPr>
            </w:pPr>
            <w:r>
              <w:rPr>
                <w:sz w:val="24"/>
              </w:rPr>
              <w:t>国别</w:t>
            </w:r>
          </w:p>
          <w:p>
            <w:pPr>
              <w:pStyle w:val="17"/>
              <w:spacing w:before="160"/>
              <w:ind w:left="107"/>
              <w:rPr>
                <w:sz w:val="24"/>
              </w:rPr>
            </w:pPr>
            <w:r>
              <w:rPr>
                <w:sz w:val="24"/>
              </w:rPr>
              <w:t>产地</w:t>
            </w:r>
          </w:p>
        </w:tc>
        <w:tc>
          <w:tcPr>
            <w:tcW w:w="803" w:type="dxa"/>
          </w:tcPr>
          <w:p>
            <w:pPr>
              <w:pStyle w:val="17"/>
              <w:ind w:left="108"/>
              <w:rPr>
                <w:sz w:val="24"/>
              </w:rPr>
            </w:pPr>
            <w:r>
              <w:rPr>
                <w:sz w:val="24"/>
              </w:rPr>
              <w:t>制造</w:t>
            </w:r>
          </w:p>
          <w:p>
            <w:pPr>
              <w:pStyle w:val="17"/>
              <w:spacing w:before="160"/>
              <w:ind w:left="108"/>
              <w:rPr>
                <w:sz w:val="24"/>
              </w:rPr>
            </w:pPr>
            <w:r>
              <w:rPr>
                <w:sz w:val="24"/>
              </w:rPr>
              <w:t>年份</w:t>
            </w:r>
          </w:p>
        </w:tc>
        <w:tc>
          <w:tcPr>
            <w:tcW w:w="1331" w:type="dxa"/>
          </w:tcPr>
          <w:p>
            <w:pPr>
              <w:pStyle w:val="17"/>
              <w:ind w:left="107"/>
              <w:rPr>
                <w:sz w:val="24"/>
              </w:rPr>
            </w:pPr>
            <w:r>
              <w:rPr>
                <w:sz w:val="24"/>
              </w:rPr>
              <w:t>已使用台</w:t>
            </w:r>
          </w:p>
          <w:p>
            <w:pPr>
              <w:pStyle w:val="17"/>
              <w:spacing w:before="160"/>
              <w:ind w:left="107"/>
              <w:rPr>
                <w:sz w:val="24"/>
              </w:rPr>
            </w:pPr>
            <w:r>
              <w:rPr>
                <w:sz w:val="24"/>
              </w:rPr>
              <w:t>时数</w:t>
            </w:r>
          </w:p>
        </w:tc>
        <w:tc>
          <w:tcPr>
            <w:tcW w:w="1877" w:type="dxa"/>
          </w:tcPr>
          <w:p>
            <w:pPr>
              <w:pStyle w:val="17"/>
              <w:spacing w:before="2"/>
              <w:rPr>
                <w:b/>
                <w:sz w:val="18"/>
              </w:rPr>
            </w:pPr>
          </w:p>
          <w:p>
            <w:pPr>
              <w:pStyle w:val="17"/>
              <w:ind w:left="108"/>
              <w:rPr>
                <w:sz w:val="24"/>
              </w:rPr>
            </w:pPr>
            <w:r>
              <w:rPr>
                <w:sz w:val="24"/>
              </w:rPr>
              <w:t>用途</w:t>
            </w:r>
          </w:p>
        </w:tc>
        <w:tc>
          <w:tcPr>
            <w:tcW w:w="961" w:type="dxa"/>
          </w:tcPr>
          <w:p>
            <w:pPr>
              <w:pStyle w:val="17"/>
              <w:spacing w:before="2"/>
              <w:rPr>
                <w:b/>
                <w:sz w:val="18"/>
              </w:rPr>
            </w:pPr>
          </w:p>
          <w:p>
            <w:pPr>
              <w:pStyle w:val="17"/>
              <w:ind w:left="108"/>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30"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1877" w:type="dxa"/>
          </w:tcPr>
          <w:p>
            <w:pPr>
              <w:pStyle w:val="17"/>
              <w:rPr>
                <w:rFonts w:ascii="Times New Roman"/>
                <w:sz w:val="20"/>
              </w:rPr>
            </w:pPr>
          </w:p>
        </w:tc>
        <w:tc>
          <w:tcPr>
            <w:tcW w:w="96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30"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1877" w:type="dxa"/>
          </w:tcPr>
          <w:p>
            <w:pPr>
              <w:pStyle w:val="17"/>
              <w:rPr>
                <w:rFonts w:ascii="Times New Roman"/>
                <w:sz w:val="20"/>
              </w:rPr>
            </w:pPr>
          </w:p>
        </w:tc>
        <w:tc>
          <w:tcPr>
            <w:tcW w:w="96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30"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1877" w:type="dxa"/>
          </w:tcPr>
          <w:p>
            <w:pPr>
              <w:pStyle w:val="17"/>
              <w:rPr>
                <w:rFonts w:ascii="Times New Roman"/>
                <w:sz w:val="20"/>
              </w:rPr>
            </w:pPr>
          </w:p>
        </w:tc>
        <w:tc>
          <w:tcPr>
            <w:tcW w:w="96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30"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1877" w:type="dxa"/>
          </w:tcPr>
          <w:p>
            <w:pPr>
              <w:pStyle w:val="17"/>
              <w:rPr>
                <w:rFonts w:ascii="Times New Roman"/>
                <w:sz w:val="20"/>
              </w:rPr>
            </w:pPr>
          </w:p>
        </w:tc>
        <w:tc>
          <w:tcPr>
            <w:tcW w:w="96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30"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1877" w:type="dxa"/>
          </w:tcPr>
          <w:p>
            <w:pPr>
              <w:pStyle w:val="17"/>
              <w:rPr>
                <w:rFonts w:ascii="Times New Roman"/>
                <w:sz w:val="20"/>
              </w:rPr>
            </w:pPr>
          </w:p>
        </w:tc>
        <w:tc>
          <w:tcPr>
            <w:tcW w:w="96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30"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1877" w:type="dxa"/>
          </w:tcPr>
          <w:p>
            <w:pPr>
              <w:pStyle w:val="17"/>
              <w:rPr>
                <w:rFonts w:ascii="Times New Roman"/>
                <w:sz w:val="20"/>
              </w:rPr>
            </w:pPr>
          </w:p>
        </w:tc>
        <w:tc>
          <w:tcPr>
            <w:tcW w:w="96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30"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1877" w:type="dxa"/>
          </w:tcPr>
          <w:p>
            <w:pPr>
              <w:pStyle w:val="17"/>
              <w:rPr>
                <w:rFonts w:ascii="Times New Roman"/>
                <w:sz w:val="20"/>
              </w:rPr>
            </w:pPr>
          </w:p>
        </w:tc>
        <w:tc>
          <w:tcPr>
            <w:tcW w:w="96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30"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1877" w:type="dxa"/>
          </w:tcPr>
          <w:p>
            <w:pPr>
              <w:pStyle w:val="17"/>
              <w:rPr>
                <w:rFonts w:ascii="Times New Roman"/>
                <w:sz w:val="20"/>
              </w:rPr>
            </w:pPr>
          </w:p>
        </w:tc>
        <w:tc>
          <w:tcPr>
            <w:tcW w:w="96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30"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1877" w:type="dxa"/>
          </w:tcPr>
          <w:p>
            <w:pPr>
              <w:pStyle w:val="17"/>
              <w:rPr>
                <w:rFonts w:ascii="Times New Roman"/>
                <w:sz w:val="20"/>
              </w:rPr>
            </w:pPr>
          </w:p>
        </w:tc>
        <w:tc>
          <w:tcPr>
            <w:tcW w:w="96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30"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1877" w:type="dxa"/>
          </w:tcPr>
          <w:p>
            <w:pPr>
              <w:pStyle w:val="17"/>
              <w:rPr>
                <w:rFonts w:ascii="Times New Roman"/>
                <w:sz w:val="20"/>
              </w:rPr>
            </w:pPr>
          </w:p>
        </w:tc>
        <w:tc>
          <w:tcPr>
            <w:tcW w:w="96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30"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1877" w:type="dxa"/>
          </w:tcPr>
          <w:p>
            <w:pPr>
              <w:pStyle w:val="17"/>
              <w:rPr>
                <w:rFonts w:ascii="Times New Roman"/>
                <w:sz w:val="20"/>
              </w:rPr>
            </w:pPr>
          </w:p>
        </w:tc>
        <w:tc>
          <w:tcPr>
            <w:tcW w:w="96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30"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1877" w:type="dxa"/>
          </w:tcPr>
          <w:p>
            <w:pPr>
              <w:pStyle w:val="17"/>
              <w:rPr>
                <w:rFonts w:ascii="Times New Roman"/>
                <w:sz w:val="20"/>
              </w:rPr>
            </w:pPr>
          </w:p>
        </w:tc>
        <w:tc>
          <w:tcPr>
            <w:tcW w:w="96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30"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1877" w:type="dxa"/>
          </w:tcPr>
          <w:p>
            <w:pPr>
              <w:pStyle w:val="17"/>
              <w:rPr>
                <w:rFonts w:ascii="Times New Roman"/>
                <w:sz w:val="20"/>
              </w:rPr>
            </w:pPr>
          </w:p>
        </w:tc>
        <w:tc>
          <w:tcPr>
            <w:tcW w:w="96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30"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1877" w:type="dxa"/>
          </w:tcPr>
          <w:p>
            <w:pPr>
              <w:pStyle w:val="17"/>
              <w:rPr>
                <w:rFonts w:ascii="Times New Roman"/>
                <w:sz w:val="20"/>
              </w:rPr>
            </w:pPr>
          </w:p>
        </w:tc>
        <w:tc>
          <w:tcPr>
            <w:tcW w:w="96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30"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1877" w:type="dxa"/>
          </w:tcPr>
          <w:p>
            <w:pPr>
              <w:pStyle w:val="17"/>
              <w:rPr>
                <w:rFonts w:ascii="Times New Roman"/>
                <w:sz w:val="20"/>
              </w:rPr>
            </w:pPr>
          </w:p>
        </w:tc>
        <w:tc>
          <w:tcPr>
            <w:tcW w:w="96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30"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1877" w:type="dxa"/>
          </w:tcPr>
          <w:p>
            <w:pPr>
              <w:pStyle w:val="17"/>
              <w:rPr>
                <w:rFonts w:ascii="Times New Roman"/>
                <w:sz w:val="20"/>
              </w:rPr>
            </w:pPr>
          </w:p>
        </w:tc>
        <w:tc>
          <w:tcPr>
            <w:tcW w:w="96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30"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1877" w:type="dxa"/>
          </w:tcPr>
          <w:p>
            <w:pPr>
              <w:pStyle w:val="17"/>
              <w:rPr>
                <w:rFonts w:ascii="Times New Roman"/>
                <w:sz w:val="20"/>
              </w:rPr>
            </w:pPr>
          </w:p>
        </w:tc>
        <w:tc>
          <w:tcPr>
            <w:tcW w:w="96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30"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1877" w:type="dxa"/>
          </w:tcPr>
          <w:p>
            <w:pPr>
              <w:pStyle w:val="17"/>
              <w:rPr>
                <w:rFonts w:ascii="Times New Roman"/>
                <w:sz w:val="20"/>
              </w:rPr>
            </w:pPr>
          </w:p>
        </w:tc>
        <w:tc>
          <w:tcPr>
            <w:tcW w:w="96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30"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1877" w:type="dxa"/>
          </w:tcPr>
          <w:p>
            <w:pPr>
              <w:pStyle w:val="17"/>
              <w:rPr>
                <w:rFonts w:ascii="Times New Roman"/>
                <w:sz w:val="20"/>
              </w:rPr>
            </w:pPr>
          </w:p>
        </w:tc>
        <w:tc>
          <w:tcPr>
            <w:tcW w:w="96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30"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1877" w:type="dxa"/>
          </w:tcPr>
          <w:p>
            <w:pPr>
              <w:pStyle w:val="17"/>
              <w:rPr>
                <w:rFonts w:ascii="Times New Roman"/>
                <w:sz w:val="20"/>
              </w:rPr>
            </w:pPr>
          </w:p>
        </w:tc>
        <w:tc>
          <w:tcPr>
            <w:tcW w:w="96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30"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1877" w:type="dxa"/>
          </w:tcPr>
          <w:p>
            <w:pPr>
              <w:pStyle w:val="17"/>
              <w:rPr>
                <w:rFonts w:ascii="Times New Roman"/>
                <w:sz w:val="20"/>
              </w:rPr>
            </w:pPr>
          </w:p>
        </w:tc>
        <w:tc>
          <w:tcPr>
            <w:tcW w:w="96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30"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1877" w:type="dxa"/>
          </w:tcPr>
          <w:p>
            <w:pPr>
              <w:pStyle w:val="17"/>
              <w:rPr>
                <w:rFonts w:ascii="Times New Roman"/>
                <w:sz w:val="20"/>
              </w:rPr>
            </w:pPr>
          </w:p>
        </w:tc>
        <w:tc>
          <w:tcPr>
            <w:tcW w:w="96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30" w:type="dxa"/>
          </w:tcPr>
          <w:p>
            <w:pPr>
              <w:pStyle w:val="17"/>
              <w:rPr>
                <w:rFonts w:ascii="Times New Roman"/>
                <w:sz w:val="20"/>
              </w:rPr>
            </w:pPr>
          </w:p>
        </w:tc>
        <w:tc>
          <w:tcPr>
            <w:tcW w:w="1205" w:type="dxa"/>
          </w:tcPr>
          <w:p>
            <w:pPr>
              <w:pStyle w:val="17"/>
              <w:rPr>
                <w:rFonts w:ascii="Times New Roman"/>
                <w:sz w:val="20"/>
              </w:rPr>
            </w:pPr>
          </w:p>
        </w:tc>
        <w:tc>
          <w:tcPr>
            <w:tcW w:w="761" w:type="dxa"/>
          </w:tcPr>
          <w:p>
            <w:pPr>
              <w:pStyle w:val="17"/>
              <w:rPr>
                <w:rFonts w:ascii="Times New Roman"/>
                <w:sz w:val="20"/>
              </w:rPr>
            </w:pPr>
          </w:p>
        </w:tc>
        <w:tc>
          <w:tcPr>
            <w:tcW w:w="1157"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331" w:type="dxa"/>
          </w:tcPr>
          <w:p>
            <w:pPr>
              <w:pStyle w:val="17"/>
              <w:rPr>
                <w:rFonts w:ascii="Times New Roman"/>
                <w:sz w:val="20"/>
              </w:rPr>
            </w:pPr>
          </w:p>
        </w:tc>
        <w:tc>
          <w:tcPr>
            <w:tcW w:w="1877" w:type="dxa"/>
          </w:tcPr>
          <w:p>
            <w:pPr>
              <w:pStyle w:val="17"/>
              <w:rPr>
                <w:rFonts w:ascii="Times New Roman"/>
                <w:sz w:val="20"/>
              </w:rPr>
            </w:pPr>
          </w:p>
        </w:tc>
        <w:tc>
          <w:tcPr>
            <w:tcW w:w="961" w:type="dxa"/>
          </w:tcPr>
          <w:p>
            <w:pPr>
              <w:pStyle w:val="17"/>
              <w:rPr>
                <w:rFonts w:ascii="Times New Roman"/>
                <w:sz w:val="20"/>
              </w:rPr>
            </w:pPr>
          </w:p>
        </w:tc>
      </w:tr>
    </w:tbl>
    <w:p>
      <w:pPr>
        <w:spacing w:after="0"/>
        <w:rPr>
          <w:rFonts w:ascii="Times New Roman"/>
          <w:sz w:val="20"/>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25" o:spid="_x0000_s1225" o:spt="20" style="position:absolute;left:0pt;margin-left:62.4pt;margin-top:12.25pt;height:0pt;width:400.4pt;mso-position-horizontal-relative:page;z-index:251859968;mso-width-relative:page;mso-height-relative:page;" stroked="t" coordsize="21600,21600">
            <v:path arrowok="t"/>
            <v:fill focussize="0,0"/>
            <v:stroke weight="0.36pt" color="#000000"/>
            <v:imagedata o:title=""/>
            <o:lock v:ext="edit"/>
          </v:line>
        </w:pict>
      </w:r>
      <w:bookmarkStart w:id="161" w:name="附表四：计划开、竣工日期和施工进度网络图"/>
      <w:bookmarkEnd w:id="161"/>
      <w:r>
        <w:rPr>
          <w:rFonts w:hint="eastAsia"/>
          <w:sz w:val="18"/>
          <w:lang w:eastAsia="zh-CN"/>
        </w:rPr>
        <w:t xml:space="preserve"> </w:t>
      </w:r>
    </w:p>
    <w:p>
      <w:pPr>
        <w:pStyle w:val="8"/>
        <w:rPr>
          <w:sz w:val="20"/>
        </w:rPr>
      </w:pPr>
    </w:p>
    <w:p>
      <w:pPr>
        <w:pStyle w:val="8"/>
        <w:spacing w:before="9"/>
        <w:rPr>
          <w:sz w:val="25"/>
        </w:rPr>
      </w:pPr>
    </w:p>
    <w:p>
      <w:pPr>
        <w:spacing w:before="67" w:line="624" w:lineRule="auto"/>
        <w:ind w:left="812" w:right="7747" w:hanging="425"/>
        <w:jc w:val="left"/>
        <w:rPr>
          <w:sz w:val="24"/>
        </w:rPr>
      </w:pPr>
      <w:r>
        <w:pict>
          <v:shape id="_x0000_s1226" o:spid="_x0000_s1226" o:spt="202" type="#_x0000_t202" style="position:absolute;left:0pt;margin-left:56.7pt;margin-top:66.55pt;height:580.55pt;width:482.15pt;mso-position-horizontal-relative:page;z-index:251860992;mso-width-relative:page;mso-height-relative:page;" filled="f" stroked="f" coordsize="21600,21600">
            <v:path/>
            <v:fill on="f" focussize="0,0"/>
            <v:stroke on="f" joinstyle="miter"/>
            <v:imagedata o:title=""/>
            <o:lock v:ext="edit"/>
            <v:textbox inset="0mm,0mm,0mm,0mm">
              <w:txbxContent>
                <w:tbl>
                  <w:tblPr>
                    <w:tblStyle w:val="13"/>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1605"/>
                    <w:gridCol w:w="1203"/>
                    <w:gridCol w:w="1204"/>
                    <w:gridCol w:w="1204"/>
                    <w:gridCol w:w="1204"/>
                    <w:gridCol w:w="1204"/>
                    <w:gridCol w:w="12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00" w:type="dxa"/>
                      </w:tcPr>
                      <w:p>
                        <w:pPr>
                          <w:pStyle w:val="17"/>
                          <w:spacing w:before="79"/>
                          <w:ind w:left="108"/>
                          <w:rPr>
                            <w:sz w:val="24"/>
                          </w:rPr>
                        </w:pPr>
                        <w:r>
                          <w:rPr>
                            <w:sz w:val="24"/>
                          </w:rPr>
                          <w:t>工种</w:t>
                        </w:r>
                      </w:p>
                    </w:tc>
                    <w:tc>
                      <w:tcPr>
                        <w:tcW w:w="8828" w:type="dxa"/>
                        <w:gridSpan w:val="7"/>
                      </w:tcPr>
                      <w:p>
                        <w:pPr>
                          <w:pStyle w:val="17"/>
                          <w:spacing w:before="79"/>
                          <w:ind w:left="532"/>
                          <w:rPr>
                            <w:sz w:val="24"/>
                          </w:rPr>
                        </w:pPr>
                        <w:r>
                          <w:rPr>
                            <w:sz w:val="24"/>
                          </w:rPr>
                          <w:t>按工程施工阶段投入劳动力情况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tcPr>
                      <w:p>
                        <w:pPr>
                          <w:pStyle w:val="17"/>
                          <w:rPr>
                            <w:rFonts w:ascii="Times New Roman"/>
                            <w:sz w:val="20"/>
                          </w:rPr>
                        </w:pPr>
                      </w:p>
                    </w:tc>
                    <w:tc>
                      <w:tcPr>
                        <w:tcW w:w="1605" w:type="dxa"/>
                      </w:tcPr>
                      <w:p>
                        <w:pPr>
                          <w:pStyle w:val="17"/>
                          <w:rPr>
                            <w:rFonts w:ascii="Times New Roman"/>
                            <w:sz w:val="20"/>
                          </w:rPr>
                        </w:pPr>
                      </w:p>
                    </w:tc>
                    <w:tc>
                      <w:tcPr>
                        <w:tcW w:w="1203"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tcPr>
                      <w:p>
                        <w:pPr>
                          <w:pStyle w:val="17"/>
                          <w:rPr>
                            <w:rFonts w:ascii="Times New Roman"/>
                            <w:sz w:val="20"/>
                          </w:rPr>
                        </w:pPr>
                      </w:p>
                    </w:tc>
                    <w:tc>
                      <w:tcPr>
                        <w:tcW w:w="1605" w:type="dxa"/>
                      </w:tcPr>
                      <w:p>
                        <w:pPr>
                          <w:pStyle w:val="17"/>
                          <w:rPr>
                            <w:rFonts w:ascii="Times New Roman"/>
                            <w:sz w:val="20"/>
                          </w:rPr>
                        </w:pPr>
                      </w:p>
                    </w:tc>
                    <w:tc>
                      <w:tcPr>
                        <w:tcW w:w="1203"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00" w:type="dxa"/>
                      </w:tcPr>
                      <w:p>
                        <w:pPr>
                          <w:pStyle w:val="17"/>
                          <w:rPr>
                            <w:rFonts w:ascii="Times New Roman"/>
                            <w:sz w:val="20"/>
                          </w:rPr>
                        </w:pPr>
                      </w:p>
                    </w:tc>
                    <w:tc>
                      <w:tcPr>
                        <w:tcW w:w="1605" w:type="dxa"/>
                      </w:tcPr>
                      <w:p>
                        <w:pPr>
                          <w:pStyle w:val="17"/>
                          <w:rPr>
                            <w:rFonts w:ascii="Times New Roman"/>
                            <w:sz w:val="20"/>
                          </w:rPr>
                        </w:pPr>
                      </w:p>
                    </w:tc>
                    <w:tc>
                      <w:tcPr>
                        <w:tcW w:w="1203"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tcPr>
                      <w:p>
                        <w:pPr>
                          <w:pStyle w:val="17"/>
                          <w:rPr>
                            <w:rFonts w:ascii="Times New Roman"/>
                            <w:sz w:val="20"/>
                          </w:rPr>
                        </w:pPr>
                      </w:p>
                    </w:tc>
                    <w:tc>
                      <w:tcPr>
                        <w:tcW w:w="1605" w:type="dxa"/>
                      </w:tcPr>
                      <w:p>
                        <w:pPr>
                          <w:pStyle w:val="17"/>
                          <w:rPr>
                            <w:rFonts w:ascii="Times New Roman"/>
                            <w:sz w:val="20"/>
                          </w:rPr>
                        </w:pPr>
                      </w:p>
                    </w:tc>
                    <w:tc>
                      <w:tcPr>
                        <w:tcW w:w="1203"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tcPr>
                      <w:p>
                        <w:pPr>
                          <w:pStyle w:val="17"/>
                          <w:rPr>
                            <w:rFonts w:ascii="Times New Roman"/>
                            <w:sz w:val="20"/>
                          </w:rPr>
                        </w:pPr>
                      </w:p>
                    </w:tc>
                    <w:tc>
                      <w:tcPr>
                        <w:tcW w:w="1605" w:type="dxa"/>
                      </w:tcPr>
                      <w:p>
                        <w:pPr>
                          <w:pStyle w:val="17"/>
                          <w:rPr>
                            <w:rFonts w:ascii="Times New Roman"/>
                            <w:sz w:val="20"/>
                          </w:rPr>
                        </w:pPr>
                      </w:p>
                    </w:tc>
                    <w:tc>
                      <w:tcPr>
                        <w:tcW w:w="1203"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00" w:type="dxa"/>
                      </w:tcPr>
                      <w:p>
                        <w:pPr>
                          <w:pStyle w:val="17"/>
                          <w:rPr>
                            <w:rFonts w:ascii="Times New Roman"/>
                            <w:sz w:val="20"/>
                          </w:rPr>
                        </w:pPr>
                      </w:p>
                    </w:tc>
                    <w:tc>
                      <w:tcPr>
                        <w:tcW w:w="1605" w:type="dxa"/>
                      </w:tcPr>
                      <w:p>
                        <w:pPr>
                          <w:pStyle w:val="17"/>
                          <w:rPr>
                            <w:rFonts w:ascii="Times New Roman"/>
                            <w:sz w:val="20"/>
                          </w:rPr>
                        </w:pPr>
                      </w:p>
                    </w:tc>
                    <w:tc>
                      <w:tcPr>
                        <w:tcW w:w="1203"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tcPr>
                      <w:p>
                        <w:pPr>
                          <w:pStyle w:val="17"/>
                          <w:rPr>
                            <w:rFonts w:ascii="Times New Roman"/>
                            <w:sz w:val="20"/>
                          </w:rPr>
                        </w:pPr>
                      </w:p>
                    </w:tc>
                    <w:tc>
                      <w:tcPr>
                        <w:tcW w:w="1605" w:type="dxa"/>
                      </w:tcPr>
                      <w:p>
                        <w:pPr>
                          <w:pStyle w:val="17"/>
                          <w:rPr>
                            <w:rFonts w:ascii="Times New Roman"/>
                            <w:sz w:val="20"/>
                          </w:rPr>
                        </w:pPr>
                      </w:p>
                    </w:tc>
                    <w:tc>
                      <w:tcPr>
                        <w:tcW w:w="1203"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00" w:type="dxa"/>
                      </w:tcPr>
                      <w:p>
                        <w:pPr>
                          <w:pStyle w:val="17"/>
                          <w:rPr>
                            <w:rFonts w:ascii="Times New Roman"/>
                            <w:sz w:val="20"/>
                          </w:rPr>
                        </w:pPr>
                      </w:p>
                    </w:tc>
                    <w:tc>
                      <w:tcPr>
                        <w:tcW w:w="1605" w:type="dxa"/>
                      </w:tcPr>
                      <w:p>
                        <w:pPr>
                          <w:pStyle w:val="17"/>
                          <w:rPr>
                            <w:rFonts w:ascii="Times New Roman"/>
                            <w:sz w:val="20"/>
                          </w:rPr>
                        </w:pPr>
                      </w:p>
                    </w:tc>
                    <w:tc>
                      <w:tcPr>
                        <w:tcW w:w="1203"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00" w:type="dxa"/>
                      </w:tcPr>
                      <w:p>
                        <w:pPr>
                          <w:pStyle w:val="17"/>
                          <w:rPr>
                            <w:rFonts w:ascii="Times New Roman"/>
                            <w:sz w:val="20"/>
                          </w:rPr>
                        </w:pPr>
                      </w:p>
                    </w:tc>
                    <w:tc>
                      <w:tcPr>
                        <w:tcW w:w="1605" w:type="dxa"/>
                      </w:tcPr>
                      <w:p>
                        <w:pPr>
                          <w:pStyle w:val="17"/>
                          <w:rPr>
                            <w:rFonts w:ascii="Times New Roman"/>
                            <w:sz w:val="20"/>
                          </w:rPr>
                        </w:pPr>
                      </w:p>
                    </w:tc>
                    <w:tc>
                      <w:tcPr>
                        <w:tcW w:w="1203"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tcPr>
                      <w:p>
                        <w:pPr>
                          <w:pStyle w:val="17"/>
                          <w:rPr>
                            <w:rFonts w:ascii="Times New Roman"/>
                            <w:sz w:val="20"/>
                          </w:rPr>
                        </w:pPr>
                      </w:p>
                    </w:tc>
                    <w:tc>
                      <w:tcPr>
                        <w:tcW w:w="1605" w:type="dxa"/>
                      </w:tcPr>
                      <w:p>
                        <w:pPr>
                          <w:pStyle w:val="17"/>
                          <w:rPr>
                            <w:rFonts w:ascii="Times New Roman"/>
                            <w:sz w:val="20"/>
                          </w:rPr>
                        </w:pPr>
                      </w:p>
                    </w:tc>
                    <w:tc>
                      <w:tcPr>
                        <w:tcW w:w="1203"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tcPr>
                      <w:p>
                        <w:pPr>
                          <w:pStyle w:val="17"/>
                          <w:rPr>
                            <w:rFonts w:ascii="Times New Roman"/>
                            <w:sz w:val="20"/>
                          </w:rPr>
                        </w:pPr>
                      </w:p>
                    </w:tc>
                    <w:tc>
                      <w:tcPr>
                        <w:tcW w:w="1605" w:type="dxa"/>
                      </w:tcPr>
                      <w:p>
                        <w:pPr>
                          <w:pStyle w:val="17"/>
                          <w:rPr>
                            <w:rFonts w:ascii="Times New Roman"/>
                            <w:sz w:val="20"/>
                          </w:rPr>
                        </w:pPr>
                      </w:p>
                    </w:tc>
                    <w:tc>
                      <w:tcPr>
                        <w:tcW w:w="1203"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00" w:type="dxa"/>
                      </w:tcPr>
                      <w:p>
                        <w:pPr>
                          <w:pStyle w:val="17"/>
                          <w:rPr>
                            <w:rFonts w:ascii="Times New Roman"/>
                            <w:sz w:val="20"/>
                          </w:rPr>
                        </w:pPr>
                      </w:p>
                    </w:tc>
                    <w:tc>
                      <w:tcPr>
                        <w:tcW w:w="1605" w:type="dxa"/>
                      </w:tcPr>
                      <w:p>
                        <w:pPr>
                          <w:pStyle w:val="17"/>
                          <w:rPr>
                            <w:rFonts w:ascii="Times New Roman"/>
                            <w:sz w:val="20"/>
                          </w:rPr>
                        </w:pPr>
                      </w:p>
                    </w:tc>
                    <w:tc>
                      <w:tcPr>
                        <w:tcW w:w="1203"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tcPr>
                      <w:p>
                        <w:pPr>
                          <w:pStyle w:val="17"/>
                          <w:rPr>
                            <w:rFonts w:ascii="Times New Roman"/>
                            <w:sz w:val="20"/>
                          </w:rPr>
                        </w:pPr>
                      </w:p>
                    </w:tc>
                    <w:tc>
                      <w:tcPr>
                        <w:tcW w:w="1605" w:type="dxa"/>
                      </w:tcPr>
                      <w:p>
                        <w:pPr>
                          <w:pStyle w:val="17"/>
                          <w:rPr>
                            <w:rFonts w:ascii="Times New Roman"/>
                            <w:sz w:val="20"/>
                          </w:rPr>
                        </w:pPr>
                      </w:p>
                    </w:tc>
                    <w:tc>
                      <w:tcPr>
                        <w:tcW w:w="1203"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00" w:type="dxa"/>
                      </w:tcPr>
                      <w:p>
                        <w:pPr>
                          <w:pStyle w:val="17"/>
                          <w:rPr>
                            <w:rFonts w:ascii="Times New Roman"/>
                            <w:sz w:val="20"/>
                          </w:rPr>
                        </w:pPr>
                      </w:p>
                    </w:tc>
                    <w:tc>
                      <w:tcPr>
                        <w:tcW w:w="1605" w:type="dxa"/>
                      </w:tcPr>
                      <w:p>
                        <w:pPr>
                          <w:pStyle w:val="17"/>
                          <w:rPr>
                            <w:rFonts w:ascii="Times New Roman"/>
                            <w:sz w:val="20"/>
                          </w:rPr>
                        </w:pPr>
                      </w:p>
                    </w:tc>
                    <w:tc>
                      <w:tcPr>
                        <w:tcW w:w="1203"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tcPr>
                      <w:p>
                        <w:pPr>
                          <w:pStyle w:val="17"/>
                          <w:rPr>
                            <w:rFonts w:ascii="Times New Roman"/>
                            <w:sz w:val="20"/>
                          </w:rPr>
                        </w:pPr>
                      </w:p>
                    </w:tc>
                    <w:tc>
                      <w:tcPr>
                        <w:tcW w:w="1605" w:type="dxa"/>
                      </w:tcPr>
                      <w:p>
                        <w:pPr>
                          <w:pStyle w:val="17"/>
                          <w:rPr>
                            <w:rFonts w:ascii="Times New Roman"/>
                            <w:sz w:val="20"/>
                          </w:rPr>
                        </w:pPr>
                      </w:p>
                    </w:tc>
                    <w:tc>
                      <w:tcPr>
                        <w:tcW w:w="1203"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00" w:type="dxa"/>
                      </w:tcPr>
                      <w:p>
                        <w:pPr>
                          <w:pStyle w:val="17"/>
                          <w:rPr>
                            <w:rFonts w:ascii="Times New Roman"/>
                            <w:sz w:val="20"/>
                          </w:rPr>
                        </w:pPr>
                      </w:p>
                    </w:tc>
                    <w:tc>
                      <w:tcPr>
                        <w:tcW w:w="1605" w:type="dxa"/>
                      </w:tcPr>
                      <w:p>
                        <w:pPr>
                          <w:pStyle w:val="17"/>
                          <w:rPr>
                            <w:rFonts w:ascii="Times New Roman"/>
                            <w:sz w:val="20"/>
                          </w:rPr>
                        </w:pPr>
                      </w:p>
                    </w:tc>
                    <w:tc>
                      <w:tcPr>
                        <w:tcW w:w="1203"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tcPr>
                      <w:p>
                        <w:pPr>
                          <w:pStyle w:val="17"/>
                          <w:rPr>
                            <w:rFonts w:ascii="Times New Roman"/>
                            <w:sz w:val="20"/>
                          </w:rPr>
                        </w:pPr>
                      </w:p>
                    </w:tc>
                    <w:tc>
                      <w:tcPr>
                        <w:tcW w:w="1605" w:type="dxa"/>
                      </w:tcPr>
                      <w:p>
                        <w:pPr>
                          <w:pStyle w:val="17"/>
                          <w:rPr>
                            <w:rFonts w:ascii="Times New Roman"/>
                            <w:sz w:val="20"/>
                          </w:rPr>
                        </w:pPr>
                      </w:p>
                    </w:tc>
                    <w:tc>
                      <w:tcPr>
                        <w:tcW w:w="1203"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tcPr>
                      <w:p>
                        <w:pPr>
                          <w:pStyle w:val="17"/>
                          <w:rPr>
                            <w:rFonts w:ascii="Times New Roman"/>
                            <w:sz w:val="20"/>
                          </w:rPr>
                        </w:pPr>
                      </w:p>
                    </w:tc>
                    <w:tc>
                      <w:tcPr>
                        <w:tcW w:w="1605" w:type="dxa"/>
                      </w:tcPr>
                      <w:p>
                        <w:pPr>
                          <w:pStyle w:val="17"/>
                          <w:rPr>
                            <w:rFonts w:ascii="Times New Roman"/>
                            <w:sz w:val="20"/>
                          </w:rPr>
                        </w:pPr>
                      </w:p>
                    </w:tc>
                    <w:tc>
                      <w:tcPr>
                        <w:tcW w:w="1203"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00" w:type="dxa"/>
                      </w:tcPr>
                      <w:p>
                        <w:pPr>
                          <w:pStyle w:val="17"/>
                          <w:rPr>
                            <w:rFonts w:ascii="Times New Roman"/>
                            <w:sz w:val="20"/>
                          </w:rPr>
                        </w:pPr>
                      </w:p>
                    </w:tc>
                    <w:tc>
                      <w:tcPr>
                        <w:tcW w:w="1605" w:type="dxa"/>
                      </w:tcPr>
                      <w:p>
                        <w:pPr>
                          <w:pStyle w:val="17"/>
                          <w:rPr>
                            <w:rFonts w:ascii="Times New Roman"/>
                            <w:sz w:val="20"/>
                          </w:rPr>
                        </w:pPr>
                      </w:p>
                    </w:tc>
                    <w:tc>
                      <w:tcPr>
                        <w:tcW w:w="1203"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tcPr>
                      <w:p>
                        <w:pPr>
                          <w:pStyle w:val="17"/>
                          <w:rPr>
                            <w:rFonts w:ascii="Times New Roman"/>
                            <w:sz w:val="20"/>
                          </w:rPr>
                        </w:pPr>
                      </w:p>
                    </w:tc>
                    <w:tc>
                      <w:tcPr>
                        <w:tcW w:w="1605" w:type="dxa"/>
                      </w:tcPr>
                      <w:p>
                        <w:pPr>
                          <w:pStyle w:val="17"/>
                          <w:rPr>
                            <w:rFonts w:ascii="Times New Roman"/>
                            <w:sz w:val="20"/>
                          </w:rPr>
                        </w:pPr>
                      </w:p>
                    </w:tc>
                    <w:tc>
                      <w:tcPr>
                        <w:tcW w:w="1203"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tcPr>
                      <w:p>
                        <w:pPr>
                          <w:pStyle w:val="17"/>
                          <w:rPr>
                            <w:rFonts w:ascii="Times New Roman"/>
                            <w:sz w:val="20"/>
                          </w:rPr>
                        </w:pPr>
                      </w:p>
                    </w:tc>
                    <w:tc>
                      <w:tcPr>
                        <w:tcW w:w="1605" w:type="dxa"/>
                      </w:tcPr>
                      <w:p>
                        <w:pPr>
                          <w:pStyle w:val="17"/>
                          <w:rPr>
                            <w:rFonts w:ascii="Times New Roman"/>
                            <w:sz w:val="20"/>
                          </w:rPr>
                        </w:pPr>
                      </w:p>
                    </w:tc>
                    <w:tc>
                      <w:tcPr>
                        <w:tcW w:w="1203"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tcPr>
                      <w:p>
                        <w:pPr>
                          <w:pStyle w:val="17"/>
                          <w:rPr>
                            <w:rFonts w:ascii="Times New Roman"/>
                            <w:sz w:val="20"/>
                          </w:rPr>
                        </w:pPr>
                      </w:p>
                    </w:tc>
                    <w:tc>
                      <w:tcPr>
                        <w:tcW w:w="1605" w:type="dxa"/>
                      </w:tcPr>
                      <w:p>
                        <w:pPr>
                          <w:pStyle w:val="17"/>
                          <w:rPr>
                            <w:rFonts w:ascii="Times New Roman"/>
                            <w:sz w:val="20"/>
                          </w:rPr>
                        </w:pPr>
                      </w:p>
                    </w:tc>
                    <w:tc>
                      <w:tcPr>
                        <w:tcW w:w="1203"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0" w:type="dxa"/>
                      </w:tcPr>
                      <w:p>
                        <w:pPr>
                          <w:pStyle w:val="17"/>
                          <w:rPr>
                            <w:rFonts w:ascii="Times New Roman"/>
                            <w:sz w:val="20"/>
                          </w:rPr>
                        </w:pPr>
                      </w:p>
                    </w:tc>
                    <w:tc>
                      <w:tcPr>
                        <w:tcW w:w="1605" w:type="dxa"/>
                      </w:tcPr>
                      <w:p>
                        <w:pPr>
                          <w:pStyle w:val="17"/>
                          <w:rPr>
                            <w:rFonts w:ascii="Times New Roman"/>
                            <w:sz w:val="20"/>
                          </w:rPr>
                        </w:pPr>
                      </w:p>
                    </w:tc>
                    <w:tc>
                      <w:tcPr>
                        <w:tcW w:w="1203"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c>
                      <w:tcPr>
                        <w:tcW w:w="1204" w:type="dxa"/>
                      </w:tcPr>
                      <w:p>
                        <w:pPr>
                          <w:pStyle w:val="17"/>
                          <w:rPr>
                            <w:rFonts w:ascii="Times New Roman"/>
                            <w:sz w:val="20"/>
                          </w:rPr>
                        </w:pPr>
                      </w:p>
                    </w:tc>
                  </w:tr>
                </w:tbl>
                <w:p>
                  <w:pPr>
                    <w:pStyle w:val="8"/>
                  </w:pPr>
                </w:p>
              </w:txbxContent>
            </v:textbox>
          </v:shape>
        </w:pict>
      </w:r>
      <w:r>
        <w:rPr>
          <w:b/>
          <w:sz w:val="24"/>
        </w:rPr>
        <w:t>附表三：劳动力计划表</w:t>
      </w:r>
      <w:r>
        <w:rPr>
          <w:sz w:val="24"/>
        </w:rPr>
        <w:t>单位：人</w:t>
      </w:r>
    </w:p>
    <w:p>
      <w:pPr>
        <w:spacing w:after="0" w:line="624"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27" o:spid="_x0000_s1227" o:spt="20" style="position:absolute;left:0pt;margin-left:62.4pt;margin-top:12.25pt;height:0pt;width:400.4pt;mso-position-horizontal-relative:page;z-index:251862016;mso-width-relative:page;mso-height-relative:page;" stroked="t" coordsize="21600,21600">
            <v:path arrowok="t"/>
            <v:fill focussize="0,0"/>
            <v:stroke weight="0.36pt" color="#000000"/>
            <v:imagedata o:title=""/>
            <o:lock v:ext="edit"/>
          </v:line>
        </w:pict>
      </w:r>
      <w:bookmarkStart w:id="162" w:name="附表五：施工总平面图"/>
      <w:bookmarkEnd w:id="162"/>
      <w:r>
        <w:rPr>
          <w:rFonts w:hint="eastAsia"/>
          <w:sz w:val="18"/>
          <w:lang w:eastAsia="zh-CN"/>
        </w:rPr>
        <w:t xml:space="preserve"> </w:t>
      </w:r>
    </w:p>
    <w:p>
      <w:pPr>
        <w:pStyle w:val="8"/>
        <w:rPr>
          <w:sz w:val="20"/>
        </w:rPr>
      </w:pPr>
    </w:p>
    <w:p>
      <w:pPr>
        <w:pStyle w:val="8"/>
        <w:spacing w:before="9"/>
        <w:rPr>
          <w:sz w:val="25"/>
        </w:rPr>
      </w:pPr>
    </w:p>
    <w:p>
      <w:pPr>
        <w:pStyle w:val="7"/>
        <w:spacing w:before="67"/>
      </w:pPr>
      <w:r>
        <w:t>附表四：计划开、竣工日期和施工进度网络图</w:t>
      </w:r>
    </w:p>
    <w:p>
      <w:pPr>
        <w:pStyle w:val="8"/>
        <w:rPr>
          <w:b/>
        </w:rPr>
      </w:pPr>
    </w:p>
    <w:p>
      <w:pPr>
        <w:pStyle w:val="16"/>
        <w:numPr>
          <w:ilvl w:val="0"/>
          <w:numId w:val="119"/>
        </w:numPr>
        <w:tabs>
          <w:tab w:val="left" w:pos="1174"/>
        </w:tabs>
        <w:spacing w:before="184" w:after="0" w:line="364" w:lineRule="auto"/>
        <w:ind w:left="388" w:right="744" w:firstLine="424"/>
        <w:jc w:val="left"/>
        <w:rPr>
          <w:sz w:val="24"/>
        </w:rPr>
      </w:pPr>
      <w:r>
        <w:rPr>
          <w:spacing w:val="-2"/>
          <w:sz w:val="24"/>
        </w:rPr>
        <w:t>磋商响应人应递交施工进度网络图或施工进度表，说明按磋商文件要求的计划工期</w:t>
      </w:r>
      <w:r>
        <w:rPr>
          <w:sz w:val="24"/>
        </w:rPr>
        <w:t>进行施工的各个关键日期。</w:t>
      </w:r>
    </w:p>
    <w:p>
      <w:pPr>
        <w:pStyle w:val="16"/>
        <w:numPr>
          <w:ilvl w:val="0"/>
          <w:numId w:val="119"/>
        </w:numPr>
        <w:tabs>
          <w:tab w:val="left" w:pos="1174"/>
        </w:tabs>
        <w:spacing w:before="0" w:after="0" w:line="306" w:lineRule="exact"/>
        <w:ind w:left="1173" w:right="0" w:hanging="362"/>
        <w:jc w:val="left"/>
        <w:rPr>
          <w:sz w:val="24"/>
        </w:rPr>
      </w:pPr>
      <w:r>
        <w:rPr>
          <w:sz w:val="24"/>
        </w:rPr>
        <w:t>施工进度表可采用网络图和（或）横道图表示。</w:t>
      </w:r>
    </w:p>
    <w:p>
      <w:pPr>
        <w:spacing w:after="0" w:line="306" w:lineRule="exact"/>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28" o:spid="_x0000_s1228" o:spt="20" style="position:absolute;left:0pt;margin-left:62.4pt;margin-top:12.25pt;height:0pt;width:400.4pt;mso-position-horizontal-relative:page;z-index:251863040;mso-width-relative:page;mso-height-relative:page;" stroked="t" coordsize="21600,21600">
            <v:path arrowok="t"/>
            <v:fill focussize="0,0"/>
            <v:stroke weight="0.36pt" color="#000000"/>
            <v:imagedata o:title=""/>
            <o:lock v:ext="edit"/>
          </v:line>
        </w:pict>
      </w:r>
      <w:bookmarkStart w:id="163" w:name="附表六：临时用地表"/>
      <w:bookmarkEnd w:id="163"/>
      <w:r>
        <w:rPr>
          <w:rFonts w:hint="eastAsia"/>
          <w:sz w:val="18"/>
          <w:lang w:eastAsia="zh-CN"/>
        </w:rPr>
        <w:t xml:space="preserve"> </w:t>
      </w:r>
    </w:p>
    <w:p>
      <w:pPr>
        <w:pStyle w:val="8"/>
        <w:rPr>
          <w:sz w:val="20"/>
        </w:rPr>
      </w:pPr>
    </w:p>
    <w:p>
      <w:pPr>
        <w:pStyle w:val="8"/>
        <w:spacing w:before="9"/>
        <w:rPr>
          <w:sz w:val="25"/>
        </w:rPr>
      </w:pPr>
    </w:p>
    <w:p>
      <w:pPr>
        <w:pStyle w:val="7"/>
        <w:spacing w:before="67"/>
        <w:outlineLvl w:val="1"/>
      </w:pPr>
      <w:r>
        <w:rPr>
          <w:w w:val="95"/>
        </w:rPr>
        <w:t>附表五：施工总平面图</w:t>
      </w:r>
    </w:p>
    <w:p>
      <w:pPr>
        <w:pStyle w:val="8"/>
        <w:rPr>
          <w:b/>
        </w:rPr>
      </w:pPr>
    </w:p>
    <w:p>
      <w:pPr>
        <w:pStyle w:val="8"/>
        <w:spacing w:before="184" w:line="364" w:lineRule="auto"/>
        <w:ind w:left="388" w:right="798" w:firstLine="424"/>
        <w:jc w:val="both"/>
      </w:pPr>
      <w:r>
        <w:t>磋商响应人应递交一份施工总平面图，绘出现场临时设施布置图表并附文字说明，说</w:t>
      </w:r>
      <w:r>
        <w:rPr>
          <w:spacing w:val="-1"/>
        </w:rPr>
        <w:t>明临时设施、加工车间、现场办公、设备及仓储、供电、供水、卫生、生活、道路、消防</w:t>
      </w:r>
      <w:r>
        <w:t>等设施的情况和布置。</w:t>
      </w:r>
    </w:p>
    <w:p>
      <w:pPr>
        <w:spacing w:after="0" w:line="364" w:lineRule="auto"/>
        <w:jc w:val="both"/>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29" o:spid="_x0000_s1229" o:spt="20" style="position:absolute;left:0pt;margin-left:62.4pt;margin-top:12.25pt;height:0pt;width:400.4pt;mso-position-horizontal-relative:page;z-index:251864064;mso-width-relative:page;mso-height-relative:page;" stroked="t" coordsize="21600,21600">
            <v:path arrowok="t"/>
            <v:fill focussize="0,0"/>
            <v:stroke weight="0.36pt" color="#000000"/>
            <v:imagedata o:title=""/>
            <o:lock v:ext="edit"/>
          </v:line>
        </w:pict>
      </w:r>
      <w:bookmarkStart w:id="164" w:name="十、项目管理机构"/>
      <w:bookmarkEnd w:id="164"/>
      <w:r>
        <w:rPr>
          <w:rFonts w:hint="eastAsia"/>
          <w:sz w:val="18"/>
          <w:lang w:eastAsia="zh-CN"/>
        </w:rPr>
        <w:t xml:space="preserve"> </w:t>
      </w:r>
    </w:p>
    <w:p>
      <w:pPr>
        <w:pStyle w:val="8"/>
        <w:rPr>
          <w:sz w:val="20"/>
        </w:rPr>
      </w:pPr>
    </w:p>
    <w:p>
      <w:pPr>
        <w:pStyle w:val="8"/>
        <w:spacing w:before="9"/>
        <w:rPr>
          <w:sz w:val="25"/>
        </w:rPr>
      </w:pPr>
    </w:p>
    <w:p>
      <w:pPr>
        <w:pStyle w:val="7"/>
        <w:spacing w:before="67"/>
      </w:pPr>
      <w:r>
        <w:t>附表六：临时用地表</w:t>
      </w:r>
    </w:p>
    <w:p>
      <w:pPr>
        <w:pStyle w:val="8"/>
        <w:rPr>
          <w:b/>
          <w:sz w:val="20"/>
        </w:rPr>
      </w:pPr>
    </w:p>
    <w:p>
      <w:pPr>
        <w:pStyle w:val="8"/>
        <w:spacing w:before="4"/>
        <w:rPr>
          <w:b/>
          <w:sz w:val="18"/>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69"/>
        <w:gridCol w:w="2353"/>
        <w:gridCol w:w="2353"/>
        <w:gridCol w:w="23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2569" w:type="dxa"/>
          </w:tcPr>
          <w:p>
            <w:pPr>
              <w:pStyle w:val="17"/>
              <w:ind w:left="1024" w:right="1014"/>
              <w:jc w:val="center"/>
              <w:rPr>
                <w:sz w:val="24"/>
              </w:rPr>
            </w:pPr>
            <w:r>
              <w:rPr>
                <w:sz w:val="24"/>
              </w:rPr>
              <w:t>用途</w:t>
            </w:r>
          </w:p>
        </w:tc>
        <w:tc>
          <w:tcPr>
            <w:tcW w:w="2353" w:type="dxa"/>
          </w:tcPr>
          <w:p>
            <w:pPr>
              <w:pStyle w:val="17"/>
              <w:ind w:left="335"/>
              <w:rPr>
                <w:sz w:val="24"/>
              </w:rPr>
            </w:pPr>
            <w:r>
              <w:rPr>
                <w:sz w:val="24"/>
              </w:rPr>
              <w:t>面积（平方米）</w:t>
            </w:r>
          </w:p>
        </w:tc>
        <w:tc>
          <w:tcPr>
            <w:tcW w:w="2353" w:type="dxa"/>
          </w:tcPr>
          <w:p>
            <w:pPr>
              <w:pStyle w:val="17"/>
              <w:ind w:left="914" w:right="908"/>
              <w:jc w:val="center"/>
              <w:rPr>
                <w:sz w:val="24"/>
              </w:rPr>
            </w:pPr>
            <w:r>
              <w:rPr>
                <w:sz w:val="24"/>
              </w:rPr>
              <w:t>位置</w:t>
            </w:r>
          </w:p>
        </w:tc>
        <w:tc>
          <w:tcPr>
            <w:tcW w:w="2353" w:type="dxa"/>
          </w:tcPr>
          <w:p>
            <w:pPr>
              <w:pStyle w:val="17"/>
              <w:ind w:left="696"/>
              <w:rPr>
                <w:sz w:val="24"/>
              </w:rPr>
            </w:pPr>
            <w:r>
              <w:rPr>
                <w:sz w:val="24"/>
              </w:rPr>
              <w:t>需用时间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r>
        <w:tblPrEx>
          <w:tblCellMar>
            <w:top w:w="0" w:type="dxa"/>
            <w:left w:w="0" w:type="dxa"/>
            <w:bottom w:w="0" w:type="dxa"/>
            <w:right w:w="0" w:type="dxa"/>
          </w:tblCellMar>
        </w:tblPrEx>
        <w:trPr>
          <w:trHeight w:val="466"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r>
        <w:tblPrEx>
          <w:tblCellMar>
            <w:top w:w="0" w:type="dxa"/>
            <w:left w:w="0" w:type="dxa"/>
            <w:bottom w:w="0" w:type="dxa"/>
            <w:right w:w="0" w:type="dxa"/>
          </w:tblCellMar>
        </w:tblPrEx>
        <w:trPr>
          <w:trHeight w:val="466"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r>
        <w:tblPrEx>
          <w:tblCellMar>
            <w:top w:w="0" w:type="dxa"/>
            <w:left w:w="0" w:type="dxa"/>
            <w:bottom w:w="0" w:type="dxa"/>
            <w:right w:w="0" w:type="dxa"/>
          </w:tblCellMar>
        </w:tblPrEx>
        <w:trPr>
          <w:trHeight w:val="467"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569"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c>
          <w:tcPr>
            <w:tcW w:w="2353" w:type="dxa"/>
          </w:tcPr>
          <w:p>
            <w:pPr>
              <w:pStyle w:val="17"/>
              <w:rPr>
                <w:rFonts w:ascii="Times New Roman"/>
                <w:sz w:val="20"/>
              </w:rPr>
            </w:pPr>
          </w:p>
        </w:tc>
      </w:tr>
    </w:tbl>
    <w:p>
      <w:pPr>
        <w:spacing w:after="0"/>
        <w:rPr>
          <w:rFonts w:ascii="Times New Roman"/>
          <w:sz w:val="20"/>
        </w:rPr>
        <w:sectPr>
          <w:footerReference r:id="rId22" w:type="default"/>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pgNumType w:start="160"/>
          <w:cols w:space="720" w:num="1"/>
        </w:sectPr>
      </w:pPr>
    </w:p>
    <w:p>
      <w:pPr>
        <w:tabs>
          <w:tab w:val="left" w:pos="7676"/>
        </w:tabs>
        <w:spacing w:before="45"/>
        <w:ind w:left="388" w:right="0" w:firstLine="0"/>
        <w:jc w:val="left"/>
        <w:rPr>
          <w:sz w:val="18"/>
        </w:rPr>
      </w:pPr>
      <w:r>
        <w:pict>
          <v:line id="_x0000_s1230" o:spid="_x0000_s1230" o:spt="20" style="position:absolute;left:0pt;margin-left:62.4pt;margin-top:12.25pt;height:0pt;width:400.4pt;mso-position-horizontal-relative:page;z-index:25186508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7"/>
        <w:spacing w:before="67"/>
        <w:outlineLvl w:val="1"/>
      </w:pPr>
      <w:r>
        <w:t>十、项目管理机构</w:t>
      </w:r>
    </w:p>
    <w:p>
      <w:pPr>
        <w:pStyle w:val="8"/>
        <w:spacing w:before="158"/>
        <w:ind w:left="426" w:right="362"/>
        <w:jc w:val="center"/>
      </w:pPr>
      <w:r>
        <w:t>（一）项目管理机构组成表</w:t>
      </w:r>
    </w:p>
    <w:p>
      <w:pPr>
        <w:pStyle w:val="8"/>
        <w:spacing w:before="5"/>
        <w:rPr>
          <w:sz w:val="12"/>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3"/>
        <w:gridCol w:w="803"/>
        <w:gridCol w:w="803"/>
        <w:gridCol w:w="1284"/>
        <w:gridCol w:w="872"/>
        <w:gridCol w:w="892"/>
        <w:gridCol w:w="1172"/>
        <w:gridCol w:w="2198"/>
        <w:gridCol w:w="8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3" w:type="dxa"/>
            <w:vMerge w:val="restart"/>
          </w:tcPr>
          <w:p>
            <w:pPr>
              <w:pStyle w:val="17"/>
              <w:spacing w:before="8"/>
              <w:rPr>
                <w:sz w:val="18"/>
              </w:rPr>
            </w:pPr>
          </w:p>
          <w:p>
            <w:pPr>
              <w:pStyle w:val="17"/>
              <w:ind w:left="108"/>
              <w:rPr>
                <w:sz w:val="24"/>
              </w:rPr>
            </w:pPr>
            <w:r>
              <w:rPr>
                <w:sz w:val="24"/>
              </w:rPr>
              <w:t>职务</w:t>
            </w:r>
          </w:p>
        </w:tc>
        <w:tc>
          <w:tcPr>
            <w:tcW w:w="803" w:type="dxa"/>
            <w:vMerge w:val="restart"/>
          </w:tcPr>
          <w:p>
            <w:pPr>
              <w:pStyle w:val="17"/>
              <w:spacing w:before="8"/>
              <w:rPr>
                <w:sz w:val="18"/>
              </w:rPr>
            </w:pPr>
          </w:p>
          <w:p>
            <w:pPr>
              <w:pStyle w:val="17"/>
              <w:ind w:left="107"/>
              <w:rPr>
                <w:sz w:val="24"/>
              </w:rPr>
            </w:pPr>
            <w:r>
              <w:rPr>
                <w:sz w:val="24"/>
              </w:rPr>
              <w:t>姓名</w:t>
            </w:r>
          </w:p>
        </w:tc>
        <w:tc>
          <w:tcPr>
            <w:tcW w:w="803" w:type="dxa"/>
            <w:vMerge w:val="restart"/>
          </w:tcPr>
          <w:p>
            <w:pPr>
              <w:pStyle w:val="17"/>
              <w:spacing w:before="8"/>
              <w:rPr>
                <w:sz w:val="18"/>
              </w:rPr>
            </w:pPr>
          </w:p>
          <w:p>
            <w:pPr>
              <w:pStyle w:val="17"/>
              <w:ind w:left="108"/>
              <w:rPr>
                <w:sz w:val="24"/>
              </w:rPr>
            </w:pPr>
            <w:r>
              <w:rPr>
                <w:sz w:val="24"/>
              </w:rPr>
              <w:t>职称</w:t>
            </w:r>
          </w:p>
        </w:tc>
        <w:tc>
          <w:tcPr>
            <w:tcW w:w="6418" w:type="dxa"/>
            <w:gridSpan w:val="5"/>
          </w:tcPr>
          <w:p>
            <w:pPr>
              <w:pStyle w:val="17"/>
              <w:spacing w:before="1"/>
              <w:ind w:left="2321" w:right="1887"/>
              <w:jc w:val="center"/>
              <w:rPr>
                <w:sz w:val="24"/>
              </w:rPr>
            </w:pPr>
            <w:r>
              <w:rPr>
                <w:sz w:val="24"/>
              </w:rPr>
              <w:t>执业或职业资格证明</w:t>
            </w:r>
          </w:p>
        </w:tc>
        <w:tc>
          <w:tcPr>
            <w:tcW w:w="801" w:type="dxa"/>
            <w:vMerge w:val="restart"/>
          </w:tcPr>
          <w:p>
            <w:pPr>
              <w:pStyle w:val="17"/>
              <w:spacing w:before="8"/>
              <w:rPr>
                <w:sz w:val="18"/>
              </w:rPr>
            </w:pPr>
          </w:p>
          <w:p>
            <w:pPr>
              <w:pStyle w:val="17"/>
              <w:ind w:left="106"/>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3" w:type="dxa"/>
            <w:vMerge w:val="continue"/>
            <w:tcBorders>
              <w:top w:val="nil"/>
            </w:tcBorders>
          </w:tcPr>
          <w:p>
            <w:pPr>
              <w:rPr>
                <w:sz w:val="2"/>
                <w:szCs w:val="2"/>
              </w:rPr>
            </w:pPr>
          </w:p>
        </w:tc>
        <w:tc>
          <w:tcPr>
            <w:tcW w:w="803" w:type="dxa"/>
            <w:vMerge w:val="continue"/>
            <w:tcBorders>
              <w:top w:val="nil"/>
            </w:tcBorders>
          </w:tcPr>
          <w:p>
            <w:pPr>
              <w:rPr>
                <w:sz w:val="2"/>
                <w:szCs w:val="2"/>
              </w:rPr>
            </w:pPr>
          </w:p>
        </w:tc>
        <w:tc>
          <w:tcPr>
            <w:tcW w:w="803" w:type="dxa"/>
            <w:vMerge w:val="continue"/>
            <w:tcBorders>
              <w:top w:val="nil"/>
            </w:tcBorders>
          </w:tcPr>
          <w:p>
            <w:pPr>
              <w:rPr>
                <w:sz w:val="2"/>
                <w:szCs w:val="2"/>
              </w:rPr>
            </w:pPr>
          </w:p>
        </w:tc>
        <w:tc>
          <w:tcPr>
            <w:tcW w:w="1284" w:type="dxa"/>
          </w:tcPr>
          <w:p>
            <w:pPr>
              <w:pStyle w:val="17"/>
              <w:spacing w:before="2"/>
              <w:ind w:left="162"/>
              <w:rPr>
                <w:sz w:val="24"/>
              </w:rPr>
            </w:pPr>
            <w:r>
              <w:rPr>
                <w:sz w:val="24"/>
              </w:rPr>
              <w:t>证书名称</w:t>
            </w:r>
          </w:p>
        </w:tc>
        <w:tc>
          <w:tcPr>
            <w:tcW w:w="872" w:type="dxa"/>
          </w:tcPr>
          <w:p>
            <w:pPr>
              <w:pStyle w:val="17"/>
              <w:spacing w:before="2"/>
              <w:ind w:left="195"/>
              <w:rPr>
                <w:sz w:val="24"/>
              </w:rPr>
            </w:pPr>
            <w:r>
              <w:rPr>
                <w:sz w:val="24"/>
              </w:rPr>
              <w:t>级别</w:t>
            </w:r>
          </w:p>
        </w:tc>
        <w:tc>
          <w:tcPr>
            <w:tcW w:w="892" w:type="dxa"/>
          </w:tcPr>
          <w:p>
            <w:pPr>
              <w:pStyle w:val="17"/>
              <w:spacing w:before="2"/>
              <w:ind w:left="204"/>
              <w:rPr>
                <w:sz w:val="24"/>
              </w:rPr>
            </w:pPr>
            <w:r>
              <w:rPr>
                <w:sz w:val="24"/>
              </w:rPr>
              <w:t>证号</w:t>
            </w:r>
          </w:p>
        </w:tc>
        <w:tc>
          <w:tcPr>
            <w:tcW w:w="1172" w:type="dxa"/>
          </w:tcPr>
          <w:p>
            <w:pPr>
              <w:pStyle w:val="17"/>
              <w:spacing w:before="2"/>
              <w:ind w:left="344"/>
              <w:rPr>
                <w:sz w:val="24"/>
              </w:rPr>
            </w:pPr>
            <w:r>
              <w:rPr>
                <w:sz w:val="24"/>
              </w:rPr>
              <w:t>专业</w:t>
            </w:r>
          </w:p>
        </w:tc>
        <w:tc>
          <w:tcPr>
            <w:tcW w:w="2198" w:type="dxa"/>
          </w:tcPr>
          <w:p>
            <w:pPr>
              <w:pStyle w:val="17"/>
              <w:spacing w:before="2"/>
              <w:ind w:left="839" w:right="828"/>
              <w:jc w:val="center"/>
              <w:rPr>
                <w:sz w:val="24"/>
              </w:rPr>
            </w:pPr>
            <w:r>
              <w:rPr>
                <w:sz w:val="24"/>
              </w:rPr>
              <w:t>其他</w:t>
            </w:r>
          </w:p>
        </w:tc>
        <w:tc>
          <w:tcPr>
            <w:tcW w:w="80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03"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284" w:type="dxa"/>
          </w:tcPr>
          <w:p>
            <w:pPr>
              <w:pStyle w:val="17"/>
              <w:rPr>
                <w:rFonts w:ascii="Times New Roman"/>
                <w:sz w:val="20"/>
              </w:rPr>
            </w:pPr>
          </w:p>
        </w:tc>
        <w:tc>
          <w:tcPr>
            <w:tcW w:w="872" w:type="dxa"/>
          </w:tcPr>
          <w:p>
            <w:pPr>
              <w:pStyle w:val="17"/>
              <w:rPr>
                <w:rFonts w:ascii="Times New Roman"/>
                <w:sz w:val="20"/>
              </w:rPr>
            </w:pPr>
          </w:p>
        </w:tc>
        <w:tc>
          <w:tcPr>
            <w:tcW w:w="892" w:type="dxa"/>
          </w:tcPr>
          <w:p>
            <w:pPr>
              <w:pStyle w:val="17"/>
              <w:rPr>
                <w:rFonts w:ascii="Times New Roman"/>
                <w:sz w:val="20"/>
              </w:rPr>
            </w:pPr>
          </w:p>
        </w:tc>
        <w:tc>
          <w:tcPr>
            <w:tcW w:w="1172" w:type="dxa"/>
          </w:tcPr>
          <w:p>
            <w:pPr>
              <w:pStyle w:val="17"/>
              <w:rPr>
                <w:rFonts w:ascii="Times New Roman"/>
                <w:sz w:val="20"/>
              </w:rPr>
            </w:pPr>
          </w:p>
        </w:tc>
        <w:tc>
          <w:tcPr>
            <w:tcW w:w="2198" w:type="dxa"/>
          </w:tcPr>
          <w:p>
            <w:pPr>
              <w:pStyle w:val="17"/>
              <w:rPr>
                <w:rFonts w:ascii="Times New Roman"/>
                <w:sz w:val="20"/>
              </w:rPr>
            </w:pPr>
          </w:p>
        </w:tc>
        <w:tc>
          <w:tcPr>
            <w:tcW w:w="80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3"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284" w:type="dxa"/>
          </w:tcPr>
          <w:p>
            <w:pPr>
              <w:pStyle w:val="17"/>
              <w:rPr>
                <w:rFonts w:ascii="Times New Roman"/>
                <w:sz w:val="20"/>
              </w:rPr>
            </w:pPr>
          </w:p>
        </w:tc>
        <w:tc>
          <w:tcPr>
            <w:tcW w:w="872" w:type="dxa"/>
          </w:tcPr>
          <w:p>
            <w:pPr>
              <w:pStyle w:val="17"/>
              <w:rPr>
                <w:rFonts w:ascii="Times New Roman"/>
                <w:sz w:val="20"/>
              </w:rPr>
            </w:pPr>
          </w:p>
        </w:tc>
        <w:tc>
          <w:tcPr>
            <w:tcW w:w="892" w:type="dxa"/>
          </w:tcPr>
          <w:p>
            <w:pPr>
              <w:pStyle w:val="17"/>
              <w:rPr>
                <w:rFonts w:ascii="Times New Roman"/>
                <w:sz w:val="20"/>
              </w:rPr>
            </w:pPr>
          </w:p>
        </w:tc>
        <w:tc>
          <w:tcPr>
            <w:tcW w:w="1172" w:type="dxa"/>
          </w:tcPr>
          <w:p>
            <w:pPr>
              <w:pStyle w:val="17"/>
              <w:rPr>
                <w:rFonts w:ascii="Times New Roman"/>
                <w:sz w:val="20"/>
              </w:rPr>
            </w:pPr>
          </w:p>
        </w:tc>
        <w:tc>
          <w:tcPr>
            <w:tcW w:w="2198" w:type="dxa"/>
          </w:tcPr>
          <w:p>
            <w:pPr>
              <w:pStyle w:val="17"/>
              <w:rPr>
                <w:rFonts w:ascii="Times New Roman"/>
                <w:sz w:val="20"/>
              </w:rPr>
            </w:pPr>
          </w:p>
        </w:tc>
        <w:tc>
          <w:tcPr>
            <w:tcW w:w="80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3"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284" w:type="dxa"/>
          </w:tcPr>
          <w:p>
            <w:pPr>
              <w:pStyle w:val="17"/>
              <w:rPr>
                <w:rFonts w:ascii="Times New Roman"/>
                <w:sz w:val="20"/>
              </w:rPr>
            </w:pPr>
          </w:p>
        </w:tc>
        <w:tc>
          <w:tcPr>
            <w:tcW w:w="872" w:type="dxa"/>
          </w:tcPr>
          <w:p>
            <w:pPr>
              <w:pStyle w:val="17"/>
              <w:rPr>
                <w:rFonts w:ascii="Times New Roman"/>
                <w:sz w:val="20"/>
              </w:rPr>
            </w:pPr>
          </w:p>
        </w:tc>
        <w:tc>
          <w:tcPr>
            <w:tcW w:w="892" w:type="dxa"/>
          </w:tcPr>
          <w:p>
            <w:pPr>
              <w:pStyle w:val="17"/>
              <w:rPr>
                <w:rFonts w:ascii="Times New Roman"/>
                <w:sz w:val="20"/>
              </w:rPr>
            </w:pPr>
          </w:p>
        </w:tc>
        <w:tc>
          <w:tcPr>
            <w:tcW w:w="1172" w:type="dxa"/>
          </w:tcPr>
          <w:p>
            <w:pPr>
              <w:pStyle w:val="17"/>
              <w:rPr>
                <w:rFonts w:ascii="Times New Roman"/>
                <w:sz w:val="20"/>
              </w:rPr>
            </w:pPr>
          </w:p>
        </w:tc>
        <w:tc>
          <w:tcPr>
            <w:tcW w:w="2198" w:type="dxa"/>
          </w:tcPr>
          <w:p>
            <w:pPr>
              <w:pStyle w:val="17"/>
              <w:rPr>
                <w:rFonts w:ascii="Times New Roman"/>
                <w:sz w:val="20"/>
              </w:rPr>
            </w:pPr>
          </w:p>
        </w:tc>
        <w:tc>
          <w:tcPr>
            <w:tcW w:w="80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3"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284" w:type="dxa"/>
          </w:tcPr>
          <w:p>
            <w:pPr>
              <w:pStyle w:val="17"/>
              <w:rPr>
                <w:rFonts w:ascii="Times New Roman"/>
                <w:sz w:val="20"/>
              </w:rPr>
            </w:pPr>
          </w:p>
        </w:tc>
        <w:tc>
          <w:tcPr>
            <w:tcW w:w="872" w:type="dxa"/>
          </w:tcPr>
          <w:p>
            <w:pPr>
              <w:pStyle w:val="17"/>
              <w:rPr>
                <w:rFonts w:ascii="Times New Roman"/>
                <w:sz w:val="20"/>
              </w:rPr>
            </w:pPr>
          </w:p>
        </w:tc>
        <w:tc>
          <w:tcPr>
            <w:tcW w:w="892" w:type="dxa"/>
          </w:tcPr>
          <w:p>
            <w:pPr>
              <w:pStyle w:val="17"/>
              <w:rPr>
                <w:rFonts w:ascii="Times New Roman"/>
                <w:sz w:val="20"/>
              </w:rPr>
            </w:pPr>
          </w:p>
        </w:tc>
        <w:tc>
          <w:tcPr>
            <w:tcW w:w="1172" w:type="dxa"/>
          </w:tcPr>
          <w:p>
            <w:pPr>
              <w:pStyle w:val="17"/>
              <w:rPr>
                <w:rFonts w:ascii="Times New Roman"/>
                <w:sz w:val="20"/>
              </w:rPr>
            </w:pPr>
          </w:p>
        </w:tc>
        <w:tc>
          <w:tcPr>
            <w:tcW w:w="2198" w:type="dxa"/>
          </w:tcPr>
          <w:p>
            <w:pPr>
              <w:pStyle w:val="17"/>
              <w:rPr>
                <w:rFonts w:ascii="Times New Roman"/>
                <w:sz w:val="20"/>
              </w:rPr>
            </w:pPr>
          </w:p>
        </w:tc>
        <w:tc>
          <w:tcPr>
            <w:tcW w:w="80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3"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284" w:type="dxa"/>
          </w:tcPr>
          <w:p>
            <w:pPr>
              <w:pStyle w:val="17"/>
              <w:rPr>
                <w:rFonts w:ascii="Times New Roman"/>
                <w:sz w:val="20"/>
              </w:rPr>
            </w:pPr>
          </w:p>
        </w:tc>
        <w:tc>
          <w:tcPr>
            <w:tcW w:w="872" w:type="dxa"/>
          </w:tcPr>
          <w:p>
            <w:pPr>
              <w:pStyle w:val="17"/>
              <w:rPr>
                <w:rFonts w:ascii="Times New Roman"/>
                <w:sz w:val="20"/>
              </w:rPr>
            </w:pPr>
          </w:p>
        </w:tc>
        <w:tc>
          <w:tcPr>
            <w:tcW w:w="892" w:type="dxa"/>
          </w:tcPr>
          <w:p>
            <w:pPr>
              <w:pStyle w:val="17"/>
              <w:rPr>
                <w:rFonts w:ascii="Times New Roman"/>
                <w:sz w:val="20"/>
              </w:rPr>
            </w:pPr>
          </w:p>
        </w:tc>
        <w:tc>
          <w:tcPr>
            <w:tcW w:w="1172" w:type="dxa"/>
          </w:tcPr>
          <w:p>
            <w:pPr>
              <w:pStyle w:val="17"/>
              <w:rPr>
                <w:rFonts w:ascii="Times New Roman"/>
                <w:sz w:val="20"/>
              </w:rPr>
            </w:pPr>
          </w:p>
        </w:tc>
        <w:tc>
          <w:tcPr>
            <w:tcW w:w="2198" w:type="dxa"/>
          </w:tcPr>
          <w:p>
            <w:pPr>
              <w:pStyle w:val="17"/>
              <w:rPr>
                <w:rFonts w:ascii="Times New Roman"/>
                <w:sz w:val="20"/>
              </w:rPr>
            </w:pPr>
          </w:p>
        </w:tc>
        <w:tc>
          <w:tcPr>
            <w:tcW w:w="80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03"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284" w:type="dxa"/>
          </w:tcPr>
          <w:p>
            <w:pPr>
              <w:pStyle w:val="17"/>
              <w:rPr>
                <w:rFonts w:ascii="Times New Roman"/>
                <w:sz w:val="20"/>
              </w:rPr>
            </w:pPr>
          </w:p>
        </w:tc>
        <w:tc>
          <w:tcPr>
            <w:tcW w:w="872" w:type="dxa"/>
          </w:tcPr>
          <w:p>
            <w:pPr>
              <w:pStyle w:val="17"/>
              <w:rPr>
                <w:rFonts w:ascii="Times New Roman"/>
                <w:sz w:val="20"/>
              </w:rPr>
            </w:pPr>
          </w:p>
        </w:tc>
        <w:tc>
          <w:tcPr>
            <w:tcW w:w="892" w:type="dxa"/>
          </w:tcPr>
          <w:p>
            <w:pPr>
              <w:pStyle w:val="17"/>
              <w:rPr>
                <w:rFonts w:ascii="Times New Roman"/>
                <w:sz w:val="20"/>
              </w:rPr>
            </w:pPr>
          </w:p>
        </w:tc>
        <w:tc>
          <w:tcPr>
            <w:tcW w:w="1172" w:type="dxa"/>
          </w:tcPr>
          <w:p>
            <w:pPr>
              <w:pStyle w:val="17"/>
              <w:rPr>
                <w:rFonts w:ascii="Times New Roman"/>
                <w:sz w:val="20"/>
              </w:rPr>
            </w:pPr>
          </w:p>
        </w:tc>
        <w:tc>
          <w:tcPr>
            <w:tcW w:w="2198" w:type="dxa"/>
          </w:tcPr>
          <w:p>
            <w:pPr>
              <w:pStyle w:val="17"/>
              <w:rPr>
                <w:rFonts w:ascii="Times New Roman"/>
                <w:sz w:val="20"/>
              </w:rPr>
            </w:pPr>
          </w:p>
        </w:tc>
        <w:tc>
          <w:tcPr>
            <w:tcW w:w="80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3"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284" w:type="dxa"/>
          </w:tcPr>
          <w:p>
            <w:pPr>
              <w:pStyle w:val="17"/>
              <w:rPr>
                <w:rFonts w:ascii="Times New Roman"/>
                <w:sz w:val="20"/>
              </w:rPr>
            </w:pPr>
          </w:p>
        </w:tc>
        <w:tc>
          <w:tcPr>
            <w:tcW w:w="872" w:type="dxa"/>
          </w:tcPr>
          <w:p>
            <w:pPr>
              <w:pStyle w:val="17"/>
              <w:rPr>
                <w:rFonts w:ascii="Times New Roman"/>
                <w:sz w:val="20"/>
              </w:rPr>
            </w:pPr>
          </w:p>
        </w:tc>
        <w:tc>
          <w:tcPr>
            <w:tcW w:w="892" w:type="dxa"/>
          </w:tcPr>
          <w:p>
            <w:pPr>
              <w:pStyle w:val="17"/>
              <w:rPr>
                <w:rFonts w:ascii="Times New Roman"/>
                <w:sz w:val="20"/>
              </w:rPr>
            </w:pPr>
          </w:p>
        </w:tc>
        <w:tc>
          <w:tcPr>
            <w:tcW w:w="1172" w:type="dxa"/>
          </w:tcPr>
          <w:p>
            <w:pPr>
              <w:pStyle w:val="17"/>
              <w:rPr>
                <w:rFonts w:ascii="Times New Roman"/>
                <w:sz w:val="20"/>
              </w:rPr>
            </w:pPr>
          </w:p>
        </w:tc>
        <w:tc>
          <w:tcPr>
            <w:tcW w:w="2198" w:type="dxa"/>
          </w:tcPr>
          <w:p>
            <w:pPr>
              <w:pStyle w:val="17"/>
              <w:rPr>
                <w:rFonts w:ascii="Times New Roman"/>
                <w:sz w:val="20"/>
              </w:rPr>
            </w:pPr>
          </w:p>
        </w:tc>
        <w:tc>
          <w:tcPr>
            <w:tcW w:w="80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3"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284" w:type="dxa"/>
          </w:tcPr>
          <w:p>
            <w:pPr>
              <w:pStyle w:val="17"/>
              <w:rPr>
                <w:rFonts w:ascii="Times New Roman"/>
                <w:sz w:val="20"/>
              </w:rPr>
            </w:pPr>
          </w:p>
        </w:tc>
        <w:tc>
          <w:tcPr>
            <w:tcW w:w="872" w:type="dxa"/>
          </w:tcPr>
          <w:p>
            <w:pPr>
              <w:pStyle w:val="17"/>
              <w:rPr>
                <w:rFonts w:ascii="Times New Roman"/>
                <w:sz w:val="20"/>
              </w:rPr>
            </w:pPr>
          </w:p>
        </w:tc>
        <w:tc>
          <w:tcPr>
            <w:tcW w:w="892" w:type="dxa"/>
          </w:tcPr>
          <w:p>
            <w:pPr>
              <w:pStyle w:val="17"/>
              <w:rPr>
                <w:rFonts w:ascii="Times New Roman"/>
                <w:sz w:val="20"/>
              </w:rPr>
            </w:pPr>
          </w:p>
        </w:tc>
        <w:tc>
          <w:tcPr>
            <w:tcW w:w="1172" w:type="dxa"/>
          </w:tcPr>
          <w:p>
            <w:pPr>
              <w:pStyle w:val="17"/>
              <w:rPr>
                <w:rFonts w:ascii="Times New Roman"/>
                <w:sz w:val="20"/>
              </w:rPr>
            </w:pPr>
          </w:p>
        </w:tc>
        <w:tc>
          <w:tcPr>
            <w:tcW w:w="2198" w:type="dxa"/>
          </w:tcPr>
          <w:p>
            <w:pPr>
              <w:pStyle w:val="17"/>
              <w:rPr>
                <w:rFonts w:ascii="Times New Roman"/>
                <w:sz w:val="20"/>
              </w:rPr>
            </w:pPr>
          </w:p>
        </w:tc>
        <w:tc>
          <w:tcPr>
            <w:tcW w:w="80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03"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284" w:type="dxa"/>
          </w:tcPr>
          <w:p>
            <w:pPr>
              <w:pStyle w:val="17"/>
              <w:rPr>
                <w:rFonts w:ascii="Times New Roman"/>
                <w:sz w:val="20"/>
              </w:rPr>
            </w:pPr>
          </w:p>
        </w:tc>
        <w:tc>
          <w:tcPr>
            <w:tcW w:w="872" w:type="dxa"/>
          </w:tcPr>
          <w:p>
            <w:pPr>
              <w:pStyle w:val="17"/>
              <w:rPr>
                <w:rFonts w:ascii="Times New Roman"/>
                <w:sz w:val="20"/>
              </w:rPr>
            </w:pPr>
          </w:p>
        </w:tc>
        <w:tc>
          <w:tcPr>
            <w:tcW w:w="892" w:type="dxa"/>
          </w:tcPr>
          <w:p>
            <w:pPr>
              <w:pStyle w:val="17"/>
              <w:rPr>
                <w:rFonts w:ascii="Times New Roman"/>
                <w:sz w:val="20"/>
              </w:rPr>
            </w:pPr>
          </w:p>
        </w:tc>
        <w:tc>
          <w:tcPr>
            <w:tcW w:w="1172" w:type="dxa"/>
          </w:tcPr>
          <w:p>
            <w:pPr>
              <w:pStyle w:val="17"/>
              <w:rPr>
                <w:rFonts w:ascii="Times New Roman"/>
                <w:sz w:val="20"/>
              </w:rPr>
            </w:pPr>
          </w:p>
        </w:tc>
        <w:tc>
          <w:tcPr>
            <w:tcW w:w="2198" w:type="dxa"/>
          </w:tcPr>
          <w:p>
            <w:pPr>
              <w:pStyle w:val="17"/>
              <w:rPr>
                <w:rFonts w:ascii="Times New Roman"/>
                <w:sz w:val="20"/>
              </w:rPr>
            </w:pPr>
          </w:p>
        </w:tc>
        <w:tc>
          <w:tcPr>
            <w:tcW w:w="80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03"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284" w:type="dxa"/>
          </w:tcPr>
          <w:p>
            <w:pPr>
              <w:pStyle w:val="17"/>
              <w:rPr>
                <w:rFonts w:ascii="Times New Roman"/>
                <w:sz w:val="20"/>
              </w:rPr>
            </w:pPr>
          </w:p>
        </w:tc>
        <w:tc>
          <w:tcPr>
            <w:tcW w:w="872" w:type="dxa"/>
          </w:tcPr>
          <w:p>
            <w:pPr>
              <w:pStyle w:val="17"/>
              <w:rPr>
                <w:rFonts w:ascii="Times New Roman"/>
                <w:sz w:val="20"/>
              </w:rPr>
            </w:pPr>
          </w:p>
        </w:tc>
        <w:tc>
          <w:tcPr>
            <w:tcW w:w="892" w:type="dxa"/>
          </w:tcPr>
          <w:p>
            <w:pPr>
              <w:pStyle w:val="17"/>
              <w:rPr>
                <w:rFonts w:ascii="Times New Roman"/>
                <w:sz w:val="20"/>
              </w:rPr>
            </w:pPr>
          </w:p>
        </w:tc>
        <w:tc>
          <w:tcPr>
            <w:tcW w:w="1172" w:type="dxa"/>
          </w:tcPr>
          <w:p>
            <w:pPr>
              <w:pStyle w:val="17"/>
              <w:rPr>
                <w:rFonts w:ascii="Times New Roman"/>
                <w:sz w:val="20"/>
              </w:rPr>
            </w:pPr>
          </w:p>
        </w:tc>
        <w:tc>
          <w:tcPr>
            <w:tcW w:w="2198" w:type="dxa"/>
          </w:tcPr>
          <w:p>
            <w:pPr>
              <w:pStyle w:val="17"/>
              <w:rPr>
                <w:rFonts w:ascii="Times New Roman"/>
                <w:sz w:val="20"/>
              </w:rPr>
            </w:pPr>
          </w:p>
        </w:tc>
        <w:tc>
          <w:tcPr>
            <w:tcW w:w="80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3"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284" w:type="dxa"/>
          </w:tcPr>
          <w:p>
            <w:pPr>
              <w:pStyle w:val="17"/>
              <w:rPr>
                <w:rFonts w:ascii="Times New Roman"/>
                <w:sz w:val="20"/>
              </w:rPr>
            </w:pPr>
          </w:p>
        </w:tc>
        <w:tc>
          <w:tcPr>
            <w:tcW w:w="872" w:type="dxa"/>
          </w:tcPr>
          <w:p>
            <w:pPr>
              <w:pStyle w:val="17"/>
              <w:rPr>
                <w:rFonts w:ascii="Times New Roman"/>
                <w:sz w:val="20"/>
              </w:rPr>
            </w:pPr>
          </w:p>
        </w:tc>
        <w:tc>
          <w:tcPr>
            <w:tcW w:w="892" w:type="dxa"/>
          </w:tcPr>
          <w:p>
            <w:pPr>
              <w:pStyle w:val="17"/>
              <w:rPr>
                <w:rFonts w:ascii="Times New Roman"/>
                <w:sz w:val="20"/>
              </w:rPr>
            </w:pPr>
          </w:p>
        </w:tc>
        <w:tc>
          <w:tcPr>
            <w:tcW w:w="1172" w:type="dxa"/>
          </w:tcPr>
          <w:p>
            <w:pPr>
              <w:pStyle w:val="17"/>
              <w:rPr>
                <w:rFonts w:ascii="Times New Roman"/>
                <w:sz w:val="20"/>
              </w:rPr>
            </w:pPr>
          </w:p>
        </w:tc>
        <w:tc>
          <w:tcPr>
            <w:tcW w:w="2198" w:type="dxa"/>
          </w:tcPr>
          <w:p>
            <w:pPr>
              <w:pStyle w:val="17"/>
              <w:rPr>
                <w:rFonts w:ascii="Times New Roman"/>
                <w:sz w:val="20"/>
              </w:rPr>
            </w:pPr>
          </w:p>
        </w:tc>
        <w:tc>
          <w:tcPr>
            <w:tcW w:w="80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03"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284" w:type="dxa"/>
          </w:tcPr>
          <w:p>
            <w:pPr>
              <w:pStyle w:val="17"/>
              <w:rPr>
                <w:rFonts w:ascii="Times New Roman"/>
                <w:sz w:val="20"/>
              </w:rPr>
            </w:pPr>
          </w:p>
        </w:tc>
        <w:tc>
          <w:tcPr>
            <w:tcW w:w="872" w:type="dxa"/>
          </w:tcPr>
          <w:p>
            <w:pPr>
              <w:pStyle w:val="17"/>
              <w:rPr>
                <w:rFonts w:ascii="Times New Roman"/>
                <w:sz w:val="20"/>
              </w:rPr>
            </w:pPr>
          </w:p>
        </w:tc>
        <w:tc>
          <w:tcPr>
            <w:tcW w:w="892" w:type="dxa"/>
          </w:tcPr>
          <w:p>
            <w:pPr>
              <w:pStyle w:val="17"/>
              <w:rPr>
                <w:rFonts w:ascii="Times New Roman"/>
                <w:sz w:val="20"/>
              </w:rPr>
            </w:pPr>
          </w:p>
        </w:tc>
        <w:tc>
          <w:tcPr>
            <w:tcW w:w="1172" w:type="dxa"/>
          </w:tcPr>
          <w:p>
            <w:pPr>
              <w:pStyle w:val="17"/>
              <w:rPr>
                <w:rFonts w:ascii="Times New Roman"/>
                <w:sz w:val="20"/>
              </w:rPr>
            </w:pPr>
          </w:p>
        </w:tc>
        <w:tc>
          <w:tcPr>
            <w:tcW w:w="2198" w:type="dxa"/>
          </w:tcPr>
          <w:p>
            <w:pPr>
              <w:pStyle w:val="17"/>
              <w:rPr>
                <w:rFonts w:ascii="Times New Roman"/>
                <w:sz w:val="20"/>
              </w:rPr>
            </w:pPr>
          </w:p>
        </w:tc>
        <w:tc>
          <w:tcPr>
            <w:tcW w:w="80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3"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284" w:type="dxa"/>
          </w:tcPr>
          <w:p>
            <w:pPr>
              <w:pStyle w:val="17"/>
              <w:rPr>
                <w:rFonts w:ascii="Times New Roman"/>
                <w:sz w:val="20"/>
              </w:rPr>
            </w:pPr>
          </w:p>
        </w:tc>
        <w:tc>
          <w:tcPr>
            <w:tcW w:w="872" w:type="dxa"/>
          </w:tcPr>
          <w:p>
            <w:pPr>
              <w:pStyle w:val="17"/>
              <w:rPr>
                <w:rFonts w:ascii="Times New Roman"/>
                <w:sz w:val="20"/>
              </w:rPr>
            </w:pPr>
          </w:p>
        </w:tc>
        <w:tc>
          <w:tcPr>
            <w:tcW w:w="892" w:type="dxa"/>
          </w:tcPr>
          <w:p>
            <w:pPr>
              <w:pStyle w:val="17"/>
              <w:rPr>
                <w:rFonts w:ascii="Times New Roman"/>
                <w:sz w:val="20"/>
              </w:rPr>
            </w:pPr>
          </w:p>
        </w:tc>
        <w:tc>
          <w:tcPr>
            <w:tcW w:w="1172" w:type="dxa"/>
          </w:tcPr>
          <w:p>
            <w:pPr>
              <w:pStyle w:val="17"/>
              <w:rPr>
                <w:rFonts w:ascii="Times New Roman"/>
                <w:sz w:val="20"/>
              </w:rPr>
            </w:pPr>
          </w:p>
        </w:tc>
        <w:tc>
          <w:tcPr>
            <w:tcW w:w="2198" w:type="dxa"/>
          </w:tcPr>
          <w:p>
            <w:pPr>
              <w:pStyle w:val="17"/>
              <w:rPr>
                <w:rFonts w:ascii="Times New Roman"/>
                <w:sz w:val="20"/>
              </w:rPr>
            </w:pPr>
          </w:p>
        </w:tc>
        <w:tc>
          <w:tcPr>
            <w:tcW w:w="80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3"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284" w:type="dxa"/>
          </w:tcPr>
          <w:p>
            <w:pPr>
              <w:pStyle w:val="17"/>
              <w:rPr>
                <w:rFonts w:ascii="Times New Roman"/>
                <w:sz w:val="20"/>
              </w:rPr>
            </w:pPr>
          </w:p>
        </w:tc>
        <w:tc>
          <w:tcPr>
            <w:tcW w:w="872" w:type="dxa"/>
          </w:tcPr>
          <w:p>
            <w:pPr>
              <w:pStyle w:val="17"/>
              <w:rPr>
                <w:rFonts w:ascii="Times New Roman"/>
                <w:sz w:val="20"/>
              </w:rPr>
            </w:pPr>
          </w:p>
        </w:tc>
        <w:tc>
          <w:tcPr>
            <w:tcW w:w="892" w:type="dxa"/>
          </w:tcPr>
          <w:p>
            <w:pPr>
              <w:pStyle w:val="17"/>
              <w:rPr>
                <w:rFonts w:ascii="Times New Roman"/>
                <w:sz w:val="20"/>
              </w:rPr>
            </w:pPr>
          </w:p>
        </w:tc>
        <w:tc>
          <w:tcPr>
            <w:tcW w:w="1172" w:type="dxa"/>
          </w:tcPr>
          <w:p>
            <w:pPr>
              <w:pStyle w:val="17"/>
              <w:rPr>
                <w:rFonts w:ascii="Times New Roman"/>
                <w:sz w:val="20"/>
              </w:rPr>
            </w:pPr>
          </w:p>
        </w:tc>
        <w:tc>
          <w:tcPr>
            <w:tcW w:w="2198" w:type="dxa"/>
          </w:tcPr>
          <w:p>
            <w:pPr>
              <w:pStyle w:val="17"/>
              <w:rPr>
                <w:rFonts w:ascii="Times New Roman"/>
                <w:sz w:val="20"/>
              </w:rPr>
            </w:pPr>
          </w:p>
        </w:tc>
        <w:tc>
          <w:tcPr>
            <w:tcW w:w="80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803"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284" w:type="dxa"/>
          </w:tcPr>
          <w:p>
            <w:pPr>
              <w:pStyle w:val="17"/>
              <w:rPr>
                <w:rFonts w:ascii="Times New Roman"/>
                <w:sz w:val="20"/>
              </w:rPr>
            </w:pPr>
          </w:p>
        </w:tc>
        <w:tc>
          <w:tcPr>
            <w:tcW w:w="872" w:type="dxa"/>
          </w:tcPr>
          <w:p>
            <w:pPr>
              <w:pStyle w:val="17"/>
              <w:rPr>
                <w:rFonts w:ascii="Times New Roman"/>
                <w:sz w:val="20"/>
              </w:rPr>
            </w:pPr>
          </w:p>
        </w:tc>
        <w:tc>
          <w:tcPr>
            <w:tcW w:w="892" w:type="dxa"/>
          </w:tcPr>
          <w:p>
            <w:pPr>
              <w:pStyle w:val="17"/>
              <w:rPr>
                <w:rFonts w:ascii="Times New Roman"/>
                <w:sz w:val="20"/>
              </w:rPr>
            </w:pPr>
          </w:p>
        </w:tc>
        <w:tc>
          <w:tcPr>
            <w:tcW w:w="1172" w:type="dxa"/>
          </w:tcPr>
          <w:p>
            <w:pPr>
              <w:pStyle w:val="17"/>
              <w:rPr>
                <w:rFonts w:ascii="Times New Roman"/>
                <w:sz w:val="20"/>
              </w:rPr>
            </w:pPr>
          </w:p>
        </w:tc>
        <w:tc>
          <w:tcPr>
            <w:tcW w:w="2198" w:type="dxa"/>
          </w:tcPr>
          <w:p>
            <w:pPr>
              <w:pStyle w:val="17"/>
              <w:rPr>
                <w:rFonts w:ascii="Times New Roman"/>
                <w:sz w:val="20"/>
              </w:rPr>
            </w:pPr>
          </w:p>
        </w:tc>
        <w:tc>
          <w:tcPr>
            <w:tcW w:w="80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3"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284" w:type="dxa"/>
          </w:tcPr>
          <w:p>
            <w:pPr>
              <w:pStyle w:val="17"/>
              <w:rPr>
                <w:rFonts w:ascii="Times New Roman"/>
                <w:sz w:val="20"/>
              </w:rPr>
            </w:pPr>
          </w:p>
        </w:tc>
        <w:tc>
          <w:tcPr>
            <w:tcW w:w="872" w:type="dxa"/>
          </w:tcPr>
          <w:p>
            <w:pPr>
              <w:pStyle w:val="17"/>
              <w:rPr>
                <w:rFonts w:ascii="Times New Roman"/>
                <w:sz w:val="20"/>
              </w:rPr>
            </w:pPr>
          </w:p>
        </w:tc>
        <w:tc>
          <w:tcPr>
            <w:tcW w:w="892" w:type="dxa"/>
          </w:tcPr>
          <w:p>
            <w:pPr>
              <w:pStyle w:val="17"/>
              <w:rPr>
                <w:rFonts w:ascii="Times New Roman"/>
                <w:sz w:val="20"/>
              </w:rPr>
            </w:pPr>
          </w:p>
        </w:tc>
        <w:tc>
          <w:tcPr>
            <w:tcW w:w="1172" w:type="dxa"/>
          </w:tcPr>
          <w:p>
            <w:pPr>
              <w:pStyle w:val="17"/>
              <w:rPr>
                <w:rFonts w:ascii="Times New Roman"/>
                <w:sz w:val="20"/>
              </w:rPr>
            </w:pPr>
          </w:p>
        </w:tc>
        <w:tc>
          <w:tcPr>
            <w:tcW w:w="2198" w:type="dxa"/>
          </w:tcPr>
          <w:p>
            <w:pPr>
              <w:pStyle w:val="17"/>
              <w:rPr>
                <w:rFonts w:ascii="Times New Roman"/>
                <w:sz w:val="20"/>
              </w:rPr>
            </w:pPr>
          </w:p>
        </w:tc>
        <w:tc>
          <w:tcPr>
            <w:tcW w:w="80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03"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284" w:type="dxa"/>
          </w:tcPr>
          <w:p>
            <w:pPr>
              <w:pStyle w:val="17"/>
              <w:rPr>
                <w:rFonts w:ascii="Times New Roman"/>
                <w:sz w:val="20"/>
              </w:rPr>
            </w:pPr>
          </w:p>
        </w:tc>
        <w:tc>
          <w:tcPr>
            <w:tcW w:w="872" w:type="dxa"/>
          </w:tcPr>
          <w:p>
            <w:pPr>
              <w:pStyle w:val="17"/>
              <w:rPr>
                <w:rFonts w:ascii="Times New Roman"/>
                <w:sz w:val="20"/>
              </w:rPr>
            </w:pPr>
          </w:p>
        </w:tc>
        <w:tc>
          <w:tcPr>
            <w:tcW w:w="892" w:type="dxa"/>
          </w:tcPr>
          <w:p>
            <w:pPr>
              <w:pStyle w:val="17"/>
              <w:rPr>
                <w:rFonts w:ascii="Times New Roman"/>
                <w:sz w:val="20"/>
              </w:rPr>
            </w:pPr>
          </w:p>
        </w:tc>
        <w:tc>
          <w:tcPr>
            <w:tcW w:w="1172" w:type="dxa"/>
          </w:tcPr>
          <w:p>
            <w:pPr>
              <w:pStyle w:val="17"/>
              <w:rPr>
                <w:rFonts w:ascii="Times New Roman"/>
                <w:sz w:val="20"/>
              </w:rPr>
            </w:pPr>
          </w:p>
        </w:tc>
        <w:tc>
          <w:tcPr>
            <w:tcW w:w="2198" w:type="dxa"/>
          </w:tcPr>
          <w:p>
            <w:pPr>
              <w:pStyle w:val="17"/>
              <w:rPr>
                <w:rFonts w:ascii="Times New Roman"/>
                <w:sz w:val="20"/>
              </w:rPr>
            </w:pPr>
          </w:p>
        </w:tc>
        <w:tc>
          <w:tcPr>
            <w:tcW w:w="80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3"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284" w:type="dxa"/>
          </w:tcPr>
          <w:p>
            <w:pPr>
              <w:pStyle w:val="17"/>
              <w:rPr>
                <w:rFonts w:ascii="Times New Roman"/>
                <w:sz w:val="20"/>
              </w:rPr>
            </w:pPr>
          </w:p>
        </w:tc>
        <w:tc>
          <w:tcPr>
            <w:tcW w:w="872" w:type="dxa"/>
          </w:tcPr>
          <w:p>
            <w:pPr>
              <w:pStyle w:val="17"/>
              <w:rPr>
                <w:rFonts w:ascii="Times New Roman"/>
                <w:sz w:val="20"/>
              </w:rPr>
            </w:pPr>
          </w:p>
        </w:tc>
        <w:tc>
          <w:tcPr>
            <w:tcW w:w="892" w:type="dxa"/>
          </w:tcPr>
          <w:p>
            <w:pPr>
              <w:pStyle w:val="17"/>
              <w:rPr>
                <w:rFonts w:ascii="Times New Roman"/>
                <w:sz w:val="20"/>
              </w:rPr>
            </w:pPr>
          </w:p>
        </w:tc>
        <w:tc>
          <w:tcPr>
            <w:tcW w:w="1172" w:type="dxa"/>
          </w:tcPr>
          <w:p>
            <w:pPr>
              <w:pStyle w:val="17"/>
              <w:rPr>
                <w:rFonts w:ascii="Times New Roman"/>
                <w:sz w:val="20"/>
              </w:rPr>
            </w:pPr>
          </w:p>
        </w:tc>
        <w:tc>
          <w:tcPr>
            <w:tcW w:w="2198" w:type="dxa"/>
          </w:tcPr>
          <w:p>
            <w:pPr>
              <w:pStyle w:val="17"/>
              <w:rPr>
                <w:rFonts w:ascii="Times New Roman"/>
                <w:sz w:val="20"/>
              </w:rPr>
            </w:pPr>
          </w:p>
        </w:tc>
        <w:tc>
          <w:tcPr>
            <w:tcW w:w="80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3"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284" w:type="dxa"/>
          </w:tcPr>
          <w:p>
            <w:pPr>
              <w:pStyle w:val="17"/>
              <w:rPr>
                <w:rFonts w:ascii="Times New Roman"/>
                <w:sz w:val="20"/>
              </w:rPr>
            </w:pPr>
          </w:p>
        </w:tc>
        <w:tc>
          <w:tcPr>
            <w:tcW w:w="872" w:type="dxa"/>
          </w:tcPr>
          <w:p>
            <w:pPr>
              <w:pStyle w:val="17"/>
              <w:rPr>
                <w:rFonts w:ascii="Times New Roman"/>
                <w:sz w:val="20"/>
              </w:rPr>
            </w:pPr>
          </w:p>
        </w:tc>
        <w:tc>
          <w:tcPr>
            <w:tcW w:w="892" w:type="dxa"/>
          </w:tcPr>
          <w:p>
            <w:pPr>
              <w:pStyle w:val="17"/>
              <w:rPr>
                <w:rFonts w:ascii="Times New Roman"/>
                <w:sz w:val="20"/>
              </w:rPr>
            </w:pPr>
          </w:p>
        </w:tc>
        <w:tc>
          <w:tcPr>
            <w:tcW w:w="1172" w:type="dxa"/>
          </w:tcPr>
          <w:p>
            <w:pPr>
              <w:pStyle w:val="17"/>
              <w:rPr>
                <w:rFonts w:ascii="Times New Roman"/>
                <w:sz w:val="20"/>
              </w:rPr>
            </w:pPr>
          </w:p>
        </w:tc>
        <w:tc>
          <w:tcPr>
            <w:tcW w:w="2198" w:type="dxa"/>
          </w:tcPr>
          <w:p>
            <w:pPr>
              <w:pStyle w:val="17"/>
              <w:rPr>
                <w:rFonts w:ascii="Times New Roman"/>
                <w:sz w:val="20"/>
              </w:rPr>
            </w:pPr>
          </w:p>
        </w:tc>
        <w:tc>
          <w:tcPr>
            <w:tcW w:w="80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3"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284" w:type="dxa"/>
          </w:tcPr>
          <w:p>
            <w:pPr>
              <w:pStyle w:val="17"/>
              <w:rPr>
                <w:rFonts w:ascii="Times New Roman"/>
                <w:sz w:val="20"/>
              </w:rPr>
            </w:pPr>
          </w:p>
        </w:tc>
        <w:tc>
          <w:tcPr>
            <w:tcW w:w="872" w:type="dxa"/>
          </w:tcPr>
          <w:p>
            <w:pPr>
              <w:pStyle w:val="17"/>
              <w:rPr>
                <w:rFonts w:ascii="Times New Roman"/>
                <w:sz w:val="20"/>
              </w:rPr>
            </w:pPr>
          </w:p>
        </w:tc>
        <w:tc>
          <w:tcPr>
            <w:tcW w:w="892" w:type="dxa"/>
          </w:tcPr>
          <w:p>
            <w:pPr>
              <w:pStyle w:val="17"/>
              <w:rPr>
                <w:rFonts w:ascii="Times New Roman"/>
                <w:sz w:val="20"/>
              </w:rPr>
            </w:pPr>
          </w:p>
        </w:tc>
        <w:tc>
          <w:tcPr>
            <w:tcW w:w="1172" w:type="dxa"/>
          </w:tcPr>
          <w:p>
            <w:pPr>
              <w:pStyle w:val="17"/>
              <w:rPr>
                <w:rFonts w:ascii="Times New Roman"/>
                <w:sz w:val="20"/>
              </w:rPr>
            </w:pPr>
          </w:p>
        </w:tc>
        <w:tc>
          <w:tcPr>
            <w:tcW w:w="2198" w:type="dxa"/>
          </w:tcPr>
          <w:p>
            <w:pPr>
              <w:pStyle w:val="17"/>
              <w:rPr>
                <w:rFonts w:ascii="Times New Roman"/>
                <w:sz w:val="20"/>
              </w:rPr>
            </w:pPr>
          </w:p>
        </w:tc>
        <w:tc>
          <w:tcPr>
            <w:tcW w:w="801"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3" w:type="dxa"/>
          </w:tcPr>
          <w:p>
            <w:pPr>
              <w:pStyle w:val="17"/>
              <w:rPr>
                <w:rFonts w:ascii="Times New Roman"/>
                <w:sz w:val="20"/>
              </w:rPr>
            </w:pPr>
          </w:p>
        </w:tc>
        <w:tc>
          <w:tcPr>
            <w:tcW w:w="803" w:type="dxa"/>
          </w:tcPr>
          <w:p>
            <w:pPr>
              <w:pStyle w:val="17"/>
              <w:rPr>
                <w:rFonts w:ascii="Times New Roman"/>
                <w:sz w:val="20"/>
              </w:rPr>
            </w:pPr>
          </w:p>
        </w:tc>
        <w:tc>
          <w:tcPr>
            <w:tcW w:w="803" w:type="dxa"/>
          </w:tcPr>
          <w:p>
            <w:pPr>
              <w:pStyle w:val="17"/>
              <w:rPr>
                <w:rFonts w:ascii="Times New Roman"/>
                <w:sz w:val="20"/>
              </w:rPr>
            </w:pPr>
          </w:p>
        </w:tc>
        <w:tc>
          <w:tcPr>
            <w:tcW w:w="1284" w:type="dxa"/>
          </w:tcPr>
          <w:p>
            <w:pPr>
              <w:pStyle w:val="17"/>
              <w:rPr>
                <w:rFonts w:ascii="Times New Roman"/>
                <w:sz w:val="20"/>
              </w:rPr>
            </w:pPr>
          </w:p>
        </w:tc>
        <w:tc>
          <w:tcPr>
            <w:tcW w:w="872" w:type="dxa"/>
          </w:tcPr>
          <w:p>
            <w:pPr>
              <w:pStyle w:val="17"/>
              <w:rPr>
                <w:rFonts w:ascii="Times New Roman"/>
                <w:sz w:val="20"/>
              </w:rPr>
            </w:pPr>
          </w:p>
        </w:tc>
        <w:tc>
          <w:tcPr>
            <w:tcW w:w="892" w:type="dxa"/>
          </w:tcPr>
          <w:p>
            <w:pPr>
              <w:pStyle w:val="17"/>
              <w:rPr>
                <w:rFonts w:ascii="Times New Roman"/>
                <w:sz w:val="20"/>
              </w:rPr>
            </w:pPr>
          </w:p>
        </w:tc>
        <w:tc>
          <w:tcPr>
            <w:tcW w:w="1172" w:type="dxa"/>
          </w:tcPr>
          <w:p>
            <w:pPr>
              <w:pStyle w:val="17"/>
              <w:rPr>
                <w:rFonts w:ascii="Times New Roman"/>
                <w:sz w:val="20"/>
              </w:rPr>
            </w:pPr>
          </w:p>
        </w:tc>
        <w:tc>
          <w:tcPr>
            <w:tcW w:w="2198" w:type="dxa"/>
          </w:tcPr>
          <w:p>
            <w:pPr>
              <w:pStyle w:val="17"/>
              <w:rPr>
                <w:rFonts w:ascii="Times New Roman"/>
                <w:sz w:val="20"/>
              </w:rPr>
            </w:pPr>
          </w:p>
        </w:tc>
        <w:tc>
          <w:tcPr>
            <w:tcW w:w="801" w:type="dxa"/>
          </w:tcPr>
          <w:p>
            <w:pPr>
              <w:pStyle w:val="17"/>
              <w:rPr>
                <w:rFonts w:ascii="Times New Roman"/>
                <w:sz w:val="20"/>
              </w:rPr>
            </w:pPr>
          </w:p>
        </w:tc>
      </w:tr>
    </w:tbl>
    <w:p>
      <w:pPr>
        <w:spacing w:after="0"/>
        <w:rPr>
          <w:rFonts w:ascii="Times New Roman"/>
          <w:sz w:val="20"/>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31" o:spid="_x0000_s1231" o:spt="20" style="position:absolute;left:0pt;margin-left:62.4pt;margin-top:12.25pt;height:0pt;width:400.4pt;mso-position-horizontal-relative:page;z-index:25186611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2" w:lineRule="auto"/>
        <w:ind w:left="812" w:right="7332"/>
        <w:jc w:val="both"/>
      </w:pPr>
      <w:r>
        <w:t>（二）主要人员简历表附 1：项目经理简历表</w:t>
      </w:r>
    </w:p>
    <w:p>
      <w:pPr>
        <w:pStyle w:val="8"/>
        <w:spacing w:before="5" w:line="364" w:lineRule="auto"/>
        <w:ind w:left="388" w:right="744" w:firstLine="424"/>
        <w:jc w:val="both"/>
      </w:pPr>
      <w:r>
        <w:t>项目经理应附建造师执业证、注册证、具备有效的安全生产考核合格证书、职称证、学历证、身份证、社保证明等及未同时担任其他在施建设工程项目项目经理的承诺书，管理过的项目业绩以中标(成交)通知书或双方签订的合同协议书或竣工验收备案表为准。</w:t>
      </w: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1"/>
        <w:gridCol w:w="1184"/>
        <w:gridCol w:w="1299"/>
        <w:gridCol w:w="1461"/>
        <w:gridCol w:w="2110"/>
        <w:gridCol w:w="24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251" w:type="dxa"/>
          </w:tcPr>
          <w:p>
            <w:pPr>
              <w:pStyle w:val="17"/>
              <w:spacing w:line="307" w:lineRule="exact"/>
              <w:ind w:right="225"/>
              <w:jc w:val="right"/>
              <w:rPr>
                <w:sz w:val="24"/>
              </w:rPr>
            </w:pPr>
            <w:r>
              <w:rPr>
                <w:sz w:val="24"/>
              </w:rPr>
              <w:t>姓名</w:t>
            </w:r>
          </w:p>
        </w:tc>
        <w:tc>
          <w:tcPr>
            <w:tcW w:w="1184" w:type="dxa"/>
          </w:tcPr>
          <w:p>
            <w:pPr>
              <w:pStyle w:val="17"/>
              <w:rPr>
                <w:rFonts w:ascii="Times New Roman"/>
                <w:sz w:val="22"/>
              </w:rPr>
            </w:pPr>
          </w:p>
        </w:tc>
        <w:tc>
          <w:tcPr>
            <w:tcW w:w="1299" w:type="dxa"/>
          </w:tcPr>
          <w:p>
            <w:pPr>
              <w:pStyle w:val="17"/>
              <w:spacing w:line="307" w:lineRule="exact"/>
              <w:ind w:right="274"/>
              <w:jc w:val="right"/>
              <w:rPr>
                <w:sz w:val="24"/>
              </w:rPr>
            </w:pPr>
            <w:r>
              <w:rPr>
                <w:sz w:val="24"/>
              </w:rPr>
              <w:t>年龄</w:t>
            </w:r>
          </w:p>
        </w:tc>
        <w:tc>
          <w:tcPr>
            <w:tcW w:w="1461" w:type="dxa"/>
          </w:tcPr>
          <w:p>
            <w:pPr>
              <w:pStyle w:val="17"/>
              <w:rPr>
                <w:rFonts w:ascii="Times New Roman"/>
                <w:sz w:val="22"/>
              </w:rPr>
            </w:pPr>
          </w:p>
        </w:tc>
        <w:tc>
          <w:tcPr>
            <w:tcW w:w="2110" w:type="dxa"/>
          </w:tcPr>
          <w:p>
            <w:pPr>
              <w:pStyle w:val="17"/>
              <w:spacing w:line="307" w:lineRule="exact"/>
              <w:ind w:left="532"/>
              <w:rPr>
                <w:sz w:val="24"/>
              </w:rPr>
            </w:pPr>
            <w:r>
              <w:rPr>
                <w:sz w:val="24"/>
              </w:rPr>
              <w:t>学历</w:t>
            </w:r>
          </w:p>
        </w:tc>
        <w:tc>
          <w:tcPr>
            <w:tcW w:w="243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251" w:type="dxa"/>
          </w:tcPr>
          <w:p>
            <w:pPr>
              <w:pStyle w:val="17"/>
              <w:spacing w:line="305" w:lineRule="exact"/>
              <w:ind w:right="225"/>
              <w:jc w:val="right"/>
              <w:rPr>
                <w:sz w:val="24"/>
              </w:rPr>
            </w:pPr>
            <w:r>
              <w:rPr>
                <w:sz w:val="24"/>
              </w:rPr>
              <w:t>职称</w:t>
            </w:r>
          </w:p>
        </w:tc>
        <w:tc>
          <w:tcPr>
            <w:tcW w:w="1184" w:type="dxa"/>
          </w:tcPr>
          <w:p>
            <w:pPr>
              <w:pStyle w:val="17"/>
              <w:rPr>
                <w:rFonts w:ascii="Times New Roman"/>
                <w:sz w:val="22"/>
              </w:rPr>
            </w:pPr>
          </w:p>
        </w:tc>
        <w:tc>
          <w:tcPr>
            <w:tcW w:w="1299" w:type="dxa"/>
          </w:tcPr>
          <w:p>
            <w:pPr>
              <w:pStyle w:val="17"/>
              <w:spacing w:line="305" w:lineRule="exact"/>
              <w:ind w:right="274"/>
              <w:jc w:val="right"/>
              <w:rPr>
                <w:sz w:val="24"/>
              </w:rPr>
            </w:pPr>
            <w:r>
              <w:rPr>
                <w:sz w:val="24"/>
              </w:rPr>
              <w:t>职务</w:t>
            </w:r>
          </w:p>
        </w:tc>
        <w:tc>
          <w:tcPr>
            <w:tcW w:w="1461" w:type="dxa"/>
          </w:tcPr>
          <w:p>
            <w:pPr>
              <w:pStyle w:val="17"/>
              <w:rPr>
                <w:rFonts w:ascii="Times New Roman"/>
                <w:sz w:val="22"/>
              </w:rPr>
            </w:pPr>
          </w:p>
        </w:tc>
        <w:tc>
          <w:tcPr>
            <w:tcW w:w="2110" w:type="dxa"/>
          </w:tcPr>
          <w:p>
            <w:pPr>
              <w:pStyle w:val="17"/>
              <w:spacing w:line="305" w:lineRule="exact"/>
              <w:ind w:left="107"/>
              <w:rPr>
                <w:sz w:val="24"/>
              </w:rPr>
            </w:pPr>
            <w:r>
              <w:rPr>
                <w:sz w:val="24"/>
              </w:rPr>
              <w:t>拟在本工程任职</w:t>
            </w:r>
          </w:p>
        </w:tc>
        <w:tc>
          <w:tcPr>
            <w:tcW w:w="243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251" w:type="dxa"/>
          </w:tcPr>
          <w:p>
            <w:pPr>
              <w:pStyle w:val="17"/>
              <w:spacing w:line="306" w:lineRule="exact"/>
              <w:ind w:right="170"/>
              <w:jc w:val="right"/>
              <w:rPr>
                <w:sz w:val="24"/>
              </w:rPr>
            </w:pPr>
            <w:r>
              <w:rPr>
                <w:sz w:val="24"/>
              </w:rPr>
              <w:t>毕业学校</w:t>
            </w:r>
          </w:p>
        </w:tc>
        <w:tc>
          <w:tcPr>
            <w:tcW w:w="8489" w:type="dxa"/>
            <w:gridSpan w:val="5"/>
          </w:tcPr>
          <w:p>
            <w:pPr>
              <w:pStyle w:val="17"/>
              <w:tabs>
                <w:tab w:val="left" w:pos="2474"/>
                <w:tab w:val="left" w:pos="3914"/>
              </w:tabs>
              <w:spacing w:line="306" w:lineRule="exact"/>
              <w:ind w:left="434"/>
              <w:jc w:val="center"/>
              <w:rPr>
                <w:sz w:val="24"/>
              </w:rPr>
            </w:pPr>
            <w:r>
              <w:rPr>
                <w:sz w:val="24"/>
              </w:rPr>
              <w:t>年毕业于</w:t>
            </w:r>
            <w:r>
              <w:rPr>
                <w:sz w:val="24"/>
              </w:rPr>
              <w:tab/>
            </w:r>
            <w:r>
              <w:rPr>
                <w:sz w:val="24"/>
              </w:rPr>
              <w:t>学校</w:t>
            </w:r>
            <w:r>
              <w:rPr>
                <w:sz w:val="24"/>
              </w:rPr>
              <w:tab/>
            </w:r>
            <w:r>
              <w:rPr>
                <w:sz w:val="24"/>
              </w:rPr>
              <w:t>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740" w:type="dxa"/>
            <w:gridSpan w:val="6"/>
          </w:tcPr>
          <w:p>
            <w:pPr>
              <w:pStyle w:val="17"/>
              <w:spacing w:line="306" w:lineRule="exact"/>
              <w:ind w:left="4341" w:right="3908"/>
              <w:jc w:val="center"/>
              <w:rPr>
                <w:sz w:val="24"/>
              </w:rPr>
            </w:pPr>
            <w:r>
              <w:rPr>
                <w:sz w:val="24"/>
              </w:rPr>
              <w:t>主要工作经历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251" w:type="dxa"/>
          </w:tcPr>
          <w:p>
            <w:pPr>
              <w:pStyle w:val="17"/>
              <w:spacing w:line="304" w:lineRule="exact"/>
              <w:ind w:left="384"/>
              <w:rPr>
                <w:sz w:val="24"/>
              </w:rPr>
            </w:pPr>
            <w:r>
              <w:rPr>
                <w:sz w:val="24"/>
              </w:rPr>
              <w:t>时间</w:t>
            </w:r>
          </w:p>
        </w:tc>
        <w:tc>
          <w:tcPr>
            <w:tcW w:w="3944" w:type="dxa"/>
            <w:gridSpan w:val="3"/>
          </w:tcPr>
          <w:p>
            <w:pPr>
              <w:pStyle w:val="17"/>
              <w:spacing w:line="304" w:lineRule="exact"/>
              <w:ind w:left="770"/>
              <w:rPr>
                <w:sz w:val="24"/>
              </w:rPr>
            </w:pPr>
            <w:r>
              <w:rPr>
                <w:sz w:val="24"/>
              </w:rPr>
              <w:t>参加过的类似项目名称</w:t>
            </w:r>
          </w:p>
        </w:tc>
        <w:tc>
          <w:tcPr>
            <w:tcW w:w="2110" w:type="dxa"/>
          </w:tcPr>
          <w:p>
            <w:pPr>
              <w:pStyle w:val="17"/>
              <w:spacing w:line="304" w:lineRule="exact"/>
              <w:ind w:left="575"/>
              <w:rPr>
                <w:sz w:val="24"/>
              </w:rPr>
            </w:pPr>
            <w:r>
              <w:rPr>
                <w:sz w:val="24"/>
              </w:rPr>
              <w:t>担任职务</w:t>
            </w:r>
          </w:p>
        </w:tc>
        <w:tc>
          <w:tcPr>
            <w:tcW w:w="2435" w:type="dxa"/>
          </w:tcPr>
          <w:p>
            <w:pPr>
              <w:pStyle w:val="17"/>
              <w:spacing w:line="304" w:lineRule="exact"/>
              <w:ind w:left="255"/>
              <w:rPr>
                <w:sz w:val="24"/>
              </w:rPr>
            </w:pPr>
            <w:r>
              <w:rPr>
                <w:sz w:val="24"/>
              </w:rPr>
              <w:t>发包人及联系电话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51" w:type="dxa"/>
          </w:tcPr>
          <w:p>
            <w:pPr>
              <w:pStyle w:val="17"/>
              <w:rPr>
                <w:rFonts w:ascii="Times New Roman"/>
                <w:sz w:val="22"/>
              </w:rPr>
            </w:pPr>
          </w:p>
        </w:tc>
        <w:tc>
          <w:tcPr>
            <w:tcW w:w="3944" w:type="dxa"/>
            <w:gridSpan w:val="3"/>
          </w:tcPr>
          <w:p>
            <w:pPr>
              <w:pStyle w:val="17"/>
              <w:rPr>
                <w:rFonts w:ascii="Times New Roman"/>
                <w:sz w:val="22"/>
              </w:rPr>
            </w:pPr>
          </w:p>
        </w:tc>
        <w:tc>
          <w:tcPr>
            <w:tcW w:w="2110" w:type="dxa"/>
          </w:tcPr>
          <w:p>
            <w:pPr>
              <w:pStyle w:val="17"/>
              <w:rPr>
                <w:rFonts w:ascii="Times New Roman"/>
                <w:sz w:val="22"/>
              </w:rPr>
            </w:pPr>
          </w:p>
        </w:tc>
        <w:tc>
          <w:tcPr>
            <w:tcW w:w="243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51" w:type="dxa"/>
          </w:tcPr>
          <w:p>
            <w:pPr>
              <w:pStyle w:val="17"/>
              <w:rPr>
                <w:rFonts w:ascii="Times New Roman"/>
                <w:sz w:val="22"/>
              </w:rPr>
            </w:pPr>
          </w:p>
        </w:tc>
        <w:tc>
          <w:tcPr>
            <w:tcW w:w="3944" w:type="dxa"/>
            <w:gridSpan w:val="3"/>
          </w:tcPr>
          <w:p>
            <w:pPr>
              <w:pStyle w:val="17"/>
              <w:rPr>
                <w:rFonts w:ascii="Times New Roman"/>
                <w:sz w:val="22"/>
              </w:rPr>
            </w:pPr>
          </w:p>
        </w:tc>
        <w:tc>
          <w:tcPr>
            <w:tcW w:w="2110" w:type="dxa"/>
          </w:tcPr>
          <w:p>
            <w:pPr>
              <w:pStyle w:val="17"/>
              <w:rPr>
                <w:rFonts w:ascii="Times New Roman"/>
                <w:sz w:val="22"/>
              </w:rPr>
            </w:pPr>
          </w:p>
        </w:tc>
        <w:tc>
          <w:tcPr>
            <w:tcW w:w="243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51" w:type="dxa"/>
          </w:tcPr>
          <w:p>
            <w:pPr>
              <w:pStyle w:val="17"/>
              <w:rPr>
                <w:rFonts w:ascii="Times New Roman"/>
                <w:sz w:val="22"/>
              </w:rPr>
            </w:pPr>
          </w:p>
        </w:tc>
        <w:tc>
          <w:tcPr>
            <w:tcW w:w="3944" w:type="dxa"/>
            <w:gridSpan w:val="3"/>
          </w:tcPr>
          <w:p>
            <w:pPr>
              <w:pStyle w:val="17"/>
              <w:rPr>
                <w:rFonts w:ascii="Times New Roman"/>
                <w:sz w:val="22"/>
              </w:rPr>
            </w:pPr>
          </w:p>
        </w:tc>
        <w:tc>
          <w:tcPr>
            <w:tcW w:w="2110" w:type="dxa"/>
          </w:tcPr>
          <w:p>
            <w:pPr>
              <w:pStyle w:val="17"/>
              <w:rPr>
                <w:rFonts w:ascii="Times New Roman"/>
                <w:sz w:val="22"/>
              </w:rPr>
            </w:pPr>
          </w:p>
        </w:tc>
        <w:tc>
          <w:tcPr>
            <w:tcW w:w="243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51" w:type="dxa"/>
          </w:tcPr>
          <w:p>
            <w:pPr>
              <w:pStyle w:val="17"/>
              <w:rPr>
                <w:rFonts w:ascii="Times New Roman"/>
                <w:sz w:val="22"/>
              </w:rPr>
            </w:pPr>
          </w:p>
        </w:tc>
        <w:tc>
          <w:tcPr>
            <w:tcW w:w="3944" w:type="dxa"/>
            <w:gridSpan w:val="3"/>
          </w:tcPr>
          <w:p>
            <w:pPr>
              <w:pStyle w:val="17"/>
              <w:rPr>
                <w:rFonts w:ascii="Times New Roman"/>
                <w:sz w:val="22"/>
              </w:rPr>
            </w:pPr>
          </w:p>
        </w:tc>
        <w:tc>
          <w:tcPr>
            <w:tcW w:w="2110" w:type="dxa"/>
          </w:tcPr>
          <w:p>
            <w:pPr>
              <w:pStyle w:val="17"/>
              <w:rPr>
                <w:rFonts w:ascii="Times New Roman"/>
                <w:sz w:val="22"/>
              </w:rPr>
            </w:pPr>
          </w:p>
        </w:tc>
        <w:tc>
          <w:tcPr>
            <w:tcW w:w="243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51" w:type="dxa"/>
          </w:tcPr>
          <w:p>
            <w:pPr>
              <w:pStyle w:val="17"/>
              <w:rPr>
                <w:rFonts w:ascii="Times New Roman"/>
                <w:sz w:val="22"/>
              </w:rPr>
            </w:pPr>
          </w:p>
        </w:tc>
        <w:tc>
          <w:tcPr>
            <w:tcW w:w="3944" w:type="dxa"/>
            <w:gridSpan w:val="3"/>
          </w:tcPr>
          <w:p>
            <w:pPr>
              <w:pStyle w:val="17"/>
              <w:rPr>
                <w:rFonts w:ascii="Times New Roman"/>
                <w:sz w:val="22"/>
              </w:rPr>
            </w:pPr>
          </w:p>
        </w:tc>
        <w:tc>
          <w:tcPr>
            <w:tcW w:w="2110" w:type="dxa"/>
          </w:tcPr>
          <w:p>
            <w:pPr>
              <w:pStyle w:val="17"/>
              <w:rPr>
                <w:rFonts w:ascii="Times New Roman"/>
                <w:sz w:val="22"/>
              </w:rPr>
            </w:pPr>
          </w:p>
        </w:tc>
        <w:tc>
          <w:tcPr>
            <w:tcW w:w="243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251" w:type="dxa"/>
          </w:tcPr>
          <w:p>
            <w:pPr>
              <w:pStyle w:val="17"/>
              <w:rPr>
                <w:rFonts w:ascii="Times New Roman"/>
                <w:sz w:val="22"/>
              </w:rPr>
            </w:pPr>
          </w:p>
        </w:tc>
        <w:tc>
          <w:tcPr>
            <w:tcW w:w="3944" w:type="dxa"/>
            <w:gridSpan w:val="3"/>
          </w:tcPr>
          <w:p>
            <w:pPr>
              <w:pStyle w:val="17"/>
              <w:rPr>
                <w:rFonts w:ascii="Times New Roman"/>
                <w:sz w:val="22"/>
              </w:rPr>
            </w:pPr>
          </w:p>
        </w:tc>
        <w:tc>
          <w:tcPr>
            <w:tcW w:w="2110" w:type="dxa"/>
          </w:tcPr>
          <w:p>
            <w:pPr>
              <w:pStyle w:val="17"/>
              <w:rPr>
                <w:rFonts w:ascii="Times New Roman"/>
                <w:sz w:val="22"/>
              </w:rPr>
            </w:pPr>
          </w:p>
        </w:tc>
        <w:tc>
          <w:tcPr>
            <w:tcW w:w="2435"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251" w:type="dxa"/>
          </w:tcPr>
          <w:p>
            <w:pPr>
              <w:pStyle w:val="17"/>
              <w:rPr>
                <w:rFonts w:ascii="Times New Roman"/>
                <w:sz w:val="22"/>
              </w:rPr>
            </w:pPr>
          </w:p>
        </w:tc>
        <w:tc>
          <w:tcPr>
            <w:tcW w:w="3944" w:type="dxa"/>
            <w:gridSpan w:val="3"/>
          </w:tcPr>
          <w:p>
            <w:pPr>
              <w:pStyle w:val="17"/>
              <w:rPr>
                <w:rFonts w:ascii="Times New Roman"/>
                <w:sz w:val="22"/>
              </w:rPr>
            </w:pPr>
          </w:p>
        </w:tc>
        <w:tc>
          <w:tcPr>
            <w:tcW w:w="2110" w:type="dxa"/>
          </w:tcPr>
          <w:p>
            <w:pPr>
              <w:pStyle w:val="17"/>
              <w:rPr>
                <w:rFonts w:ascii="Times New Roman"/>
                <w:sz w:val="22"/>
              </w:rPr>
            </w:pPr>
          </w:p>
        </w:tc>
        <w:tc>
          <w:tcPr>
            <w:tcW w:w="2435" w:type="dxa"/>
          </w:tcPr>
          <w:p>
            <w:pPr>
              <w:pStyle w:val="17"/>
              <w:rPr>
                <w:rFonts w:ascii="Times New Roman"/>
                <w:sz w:val="22"/>
              </w:rPr>
            </w:pPr>
          </w:p>
        </w:tc>
      </w:tr>
    </w:tbl>
    <w:p>
      <w:pPr>
        <w:spacing w:after="0"/>
        <w:rPr>
          <w:rFonts w:ascii="Times New Roman"/>
          <w:sz w:val="22"/>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32" o:spid="_x0000_s1232" o:spt="20" style="position:absolute;left:0pt;margin-left:62.4pt;margin-top:12.25pt;height:0pt;width:400.4pt;mso-position-horizontal-relative:page;z-index:25186713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812"/>
      </w:pPr>
      <w:r>
        <w:t>附 2：主要项目管理人员简历表</w:t>
      </w:r>
    </w:p>
    <w:p>
      <w:pPr>
        <w:pStyle w:val="8"/>
        <w:spacing w:before="158" w:line="364" w:lineRule="auto"/>
        <w:ind w:left="388" w:right="744" w:firstLine="424"/>
      </w:pPr>
      <w:r>
        <w:t>主要项目管理人员技术负责人、质量员、专职安全生产管理人员、施工员，应附身份证、职称证、学历证、社保证明等材料。</w:t>
      </w: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8"/>
        <w:gridCol w:w="1192"/>
        <w:gridCol w:w="1308"/>
        <w:gridCol w:w="1471"/>
        <w:gridCol w:w="2124"/>
        <w:gridCol w:w="24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258" w:type="dxa"/>
          </w:tcPr>
          <w:p>
            <w:pPr>
              <w:pStyle w:val="17"/>
              <w:spacing w:before="45"/>
              <w:ind w:left="108"/>
              <w:rPr>
                <w:sz w:val="24"/>
              </w:rPr>
            </w:pPr>
            <w:r>
              <w:rPr>
                <w:sz w:val="24"/>
              </w:rPr>
              <w:t>姓名</w:t>
            </w:r>
          </w:p>
        </w:tc>
        <w:tc>
          <w:tcPr>
            <w:tcW w:w="1192" w:type="dxa"/>
          </w:tcPr>
          <w:p>
            <w:pPr>
              <w:pStyle w:val="17"/>
              <w:rPr>
                <w:rFonts w:ascii="Times New Roman"/>
                <w:sz w:val="22"/>
              </w:rPr>
            </w:pPr>
          </w:p>
        </w:tc>
        <w:tc>
          <w:tcPr>
            <w:tcW w:w="1308" w:type="dxa"/>
          </w:tcPr>
          <w:p>
            <w:pPr>
              <w:pStyle w:val="17"/>
              <w:spacing w:before="45"/>
              <w:ind w:left="393" w:right="384"/>
              <w:jc w:val="center"/>
              <w:rPr>
                <w:sz w:val="24"/>
              </w:rPr>
            </w:pPr>
            <w:r>
              <w:rPr>
                <w:sz w:val="24"/>
              </w:rPr>
              <w:t>年龄</w:t>
            </w:r>
          </w:p>
        </w:tc>
        <w:tc>
          <w:tcPr>
            <w:tcW w:w="1471" w:type="dxa"/>
          </w:tcPr>
          <w:p>
            <w:pPr>
              <w:pStyle w:val="17"/>
              <w:rPr>
                <w:rFonts w:ascii="Times New Roman"/>
                <w:sz w:val="22"/>
              </w:rPr>
            </w:pPr>
          </w:p>
        </w:tc>
        <w:tc>
          <w:tcPr>
            <w:tcW w:w="2124" w:type="dxa"/>
          </w:tcPr>
          <w:p>
            <w:pPr>
              <w:pStyle w:val="17"/>
              <w:spacing w:before="45"/>
              <w:ind w:left="202" w:right="192"/>
              <w:jc w:val="center"/>
              <w:rPr>
                <w:sz w:val="24"/>
              </w:rPr>
            </w:pPr>
            <w:r>
              <w:rPr>
                <w:sz w:val="24"/>
              </w:rPr>
              <w:t>学历</w:t>
            </w:r>
          </w:p>
        </w:tc>
        <w:tc>
          <w:tcPr>
            <w:tcW w:w="2451"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58" w:type="dxa"/>
          </w:tcPr>
          <w:p>
            <w:pPr>
              <w:pStyle w:val="17"/>
              <w:spacing w:before="46"/>
              <w:ind w:left="108"/>
              <w:rPr>
                <w:sz w:val="24"/>
              </w:rPr>
            </w:pPr>
            <w:r>
              <w:rPr>
                <w:sz w:val="24"/>
              </w:rPr>
              <w:t>职称</w:t>
            </w:r>
          </w:p>
        </w:tc>
        <w:tc>
          <w:tcPr>
            <w:tcW w:w="1192" w:type="dxa"/>
          </w:tcPr>
          <w:p>
            <w:pPr>
              <w:pStyle w:val="17"/>
              <w:rPr>
                <w:rFonts w:ascii="Times New Roman"/>
                <w:sz w:val="22"/>
              </w:rPr>
            </w:pPr>
          </w:p>
        </w:tc>
        <w:tc>
          <w:tcPr>
            <w:tcW w:w="1308" w:type="dxa"/>
          </w:tcPr>
          <w:p>
            <w:pPr>
              <w:pStyle w:val="17"/>
              <w:spacing w:before="46"/>
              <w:ind w:left="393" w:right="384"/>
              <w:jc w:val="center"/>
              <w:rPr>
                <w:sz w:val="24"/>
              </w:rPr>
            </w:pPr>
            <w:r>
              <w:rPr>
                <w:sz w:val="24"/>
              </w:rPr>
              <w:t>职务</w:t>
            </w:r>
          </w:p>
        </w:tc>
        <w:tc>
          <w:tcPr>
            <w:tcW w:w="1471" w:type="dxa"/>
          </w:tcPr>
          <w:p>
            <w:pPr>
              <w:pStyle w:val="17"/>
              <w:rPr>
                <w:rFonts w:ascii="Times New Roman"/>
                <w:sz w:val="22"/>
              </w:rPr>
            </w:pPr>
          </w:p>
        </w:tc>
        <w:tc>
          <w:tcPr>
            <w:tcW w:w="2124" w:type="dxa"/>
          </w:tcPr>
          <w:p>
            <w:pPr>
              <w:pStyle w:val="17"/>
              <w:spacing w:before="46"/>
              <w:ind w:left="202" w:right="192"/>
              <w:jc w:val="center"/>
              <w:rPr>
                <w:sz w:val="24"/>
              </w:rPr>
            </w:pPr>
            <w:r>
              <w:rPr>
                <w:sz w:val="24"/>
              </w:rPr>
              <w:t>拟在本工程任职</w:t>
            </w:r>
          </w:p>
        </w:tc>
        <w:tc>
          <w:tcPr>
            <w:tcW w:w="2451"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258" w:type="dxa"/>
          </w:tcPr>
          <w:p>
            <w:pPr>
              <w:pStyle w:val="17"/>
              <w:spacing w:before="47"/>
              <w:ind w:left="108"/>
              <w:rPr>
                <w:sz w:val="24"/>
              </w:rPr>
            </w:pPr>
            <w:r>
              <w:rPr>
                <w:sz w:val="24"/>
              </w:rPr>
              <w:t>毕业学校</w:t>
            </w:r>
          </w:p>
        </w:tc>
        <w:tc>
          <w:tcPr>
            <w:tcW w:w="8546" w:type="dxa"/>
            <w:gridSpan w:val="5"/>
          </w:tcPr>
          <w:p>
            <w:pPr>
              <w:pStyle w:val="17"/>
              <w:tabs>
                <w:tab w:val="left" w:pos="728"/>
                <w:tab w:val="left" w:pos="3248"/>
              </w:tabs>
              <w:spacing w:before="47"/>
              <w:ind w:left="8"/>
              <w:jc w:val="center"/>
              <w:rPr>
                <w:sz w:val="24"/>
              </w:rPr>
            </w:pPr>
            <w:r>
              <w:rPr>
                <w:sz w:val="24"/>
              </w:rPr>
              <w:t>年</w:t>
            </w:r>
            <w:r>
              <w:rPr>
                <w:sz w:val="24"/>
              </w:rPr>
              <w:tab/>
            </w:r>
            <w:r>
              <w:rPr>
                <w:sz w:val="24"/>
              </w:rPr>
              <w:t>毕业于学校</w:t>
            </w:r>
            <w:r>
              <w:rPr>
                <w:sz w:val="24"/>
              </w:rPr>
              <w:tab/>
            </w:r>
            <w:r>
              <w:rPr>
                <w:sz w:val="24"/>
              </w:rPr>
              <w:t>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9804" w:type="dxa"/>
            <w:gridSpan w:val="6"/>
          </w:tcPr>
          <w:p>
            <w:pPr>
              <w:pStyle w:val="17"/>
              <w:spacing w:before="45"/>
              <w:ind w:left="4161" w:right="4152"/>
              <w:jc w:val="center"/>
              <w:rPr>
                <w:sz w:val="24"/>
              </w:rPr>
            </w:pPr>
            <w:r>
              <w:rPr>
                <w:sz w:val="24"/>
              </w:rPr>
              <w:t>主要工作经历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258" w:type="dxa"/>
          </w:tcPr>
          <w:p>
            <w:pPr>
              <w:pStyle w:val="17"/>
              <w:spacing w:before="46"/>
              <w:ind w:left="108"/>
              <w:rPr>
                <w:sz w:val="24"/>
              </w:rPr>
            </w:pPr>
            <w:r>
              <w:rPr>
                <w:sz w:val="24"/>
              </w:rPr>
              <w:t>时间</w:t>
            </w:r>
          </w:p>
        </w:tc>
        <w:tc>
          <w:tcPr>
            <w:tcW w:w="3971" w:type="dxa"/>
            <w:gridSpan w:val="3"/>
          </w:tcPr>
          <w:p>
            <w:pPr>
              <w:pStyle w:val="17"/>
              <w:spacing w:before="46"/>
              <w:ind w:left="785"/>
              <w:rPr>
                <w:sz w:val="24"/>
              </w:rPr>
            </w:pPr>
            <w:r>
              <w:rPr>
                <w:sz w:val="24"/>
              </w:rPr>
              <w:t>参加过的类似项目名称</w:t>
            </w:r>
          </w:p>
        </w:tc>
        <w:tc>
          <w:tcPr>
            <w:tcW w:w="2124" w:type="dxa"/>
          </w:tcPr>
          <w:p>
            <w:pPr>
              <w:pStyle w:val="17"/>
              <w:spacing w:before="46"/>
              <w:ind w:left="202" w:right="192"/>
              <w:jc w:val="center"/>
              <w:rPr>
                <w:sz w:val="24"/>
              </w:rPr>
            </w:pPr>
            <w:r>
              <w:rPr>
                <w:sz w:val="24"/>
              </w:rPr>
              <w:t>担任职务</w:t>
            </w:r>
          </w:p>
        </w:tc>
        <w:tc>
          <w:tcPr>
            <w:tcW w:w="2451" w:type="dxa"/>
          </w:tcPr>
          <w:p>
            <w:pPr>
              <w:pStyle w:val="17"/>
              <w:spacing w:before="46"/>
              <w:ind w:left="106"/>
              <w:rPr>
                <w:sz w:val="24"/>
              </w:rPr>
            </w:pPr>
            <w:r>
              <w:rPr>
                <w:sz w:val="24"/>
              </w:rPr>
              <w:t>发包人及联系电话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1258" w:type="dxa"/>
          </w:tcPr>
          <w:p>
            <w:pPr>
              <w:pStyle w:val="17"/>
              <w:rPr>
                <w:rFonts w:ascii="Times New Roman"/>
                <w:sz w:val="22"/>
              </w:rPr>
            </w:pPr>
          </w:p>
        </w:tc>
        <w:tc>
          <w:tcPr>
            <w:tcW w:w="3971" w:type="dxa"/>
            <w:gridSpan w:val="3"/>
          </w:tcPr>
          <w:p>
            <w:pPr>
              <w:pStyle w:val="17"/>
              <w:rPr>
                <w:rFonts w:ascii="Times New Roman"/>
                <w:sz w:val="22"/>
              </w:rPr>
            </w:pPr>
          </w:p>
        </w:tc>
        <w:tc>
          <w:tcPr>
            <w:tcW w:w="2124" w:type="dxa"/>
          </w:tcPr>
          <w:p>
            <w:pPr>
              <w:pStyle w:val="17"/>
              <w:rPr>
                <w:rFonts w:ascii="Times New Roman"/>
                <w:sz w:val="22"/>
              </w:rPr>
            </w:pPr>
          </w:p>
        </w:tc>
        <w:tc>
          <w:tcPr>
            <w:tcW w:w="2451"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5" w:hRule="atLeast"/>
        </w:trPr>
        <w:tc>
          <w:tcPr>
            <w:tcW w:w="1258" w:type="dxa"/>
          </w:tcPr>
          <w:p>
            <w:pPr>
              <w:pStyle w:val="17"/>
              <w:rPr>
                <w:rFonts w:ascii="Times New Roman"/>
                <w:sz w:val="22"/>
              </w:rPr>
            </w:pPr>
          </w:p>
        </w:tc>
        <w:tc>
          <w:tcPr>
            <w:tcW w:w="3971" w:type="dxa"/>
            <w:gridSpan w:val="3"/>
          </w:tcPr>
          <w:p>
            <w:pPr>
              <w:pStyle w:val="17"/>
              <w:rPr>
                <w:rFonts w:ascii="Times New Roman"/>
                <w:sz w:val="22"/>
              </w:rPr>
            </w:pPr>
          </w:p>
        </w:tc>
        <w:tc>
          <w:tcPr>
            <w:tcW w:w="2124" w:type="dxa"/>
          </w:tcPr>
          <w:p>
            <w:pPr>
              <w:pStyle w:val="17"/>
              <w:rPr>
                <w:rFonts w:ascii="Times New Roman"/>
                <w:sz w:val="22"/>
              </w:rPr>
            </w:pPr>
          </w:p>
        </w:tc>
        <w:tc>
          <w:tcPr>
            <w:tcW w:w="2451"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1258" w:type="dxa"/>
          </w:tcPr>
          <w:p>
            <w:pPr>
              <w:pStyle w:val="17"/>
              <w:rPr>
                <w:rFonts w:ascii="Times New Roman"/>
                <w:sz w:val="22"/>
              </w:rPr>
            </w:pPr>
          </w:p>
        </w:tc>
        <w:tc>
          <w:tcPr>
            <w:tcW w:w="3971" w:type="dxa"/>
            <w:gridSpan w:val="3"/>
          </w:tcPr>
          <w:p>
            <w:pPr>
              <w:pStyle w:val="17"/>
              <w:rPr>
                <w:rFonts w:ascii="Times New Roman"/>
                <w:sz w:val="22"/>
              </w:rPr>
            </w:pPr>
          </w:p>
        </w:tc>
        <w:tc>
          <w:tcPr>
            <w:tcW w:w="2124" w:type="dxa"/>
          </w:tcPr>
          <w:p>
            <w:pPr>
              <w:pStyle w:val="17"/>
              <w:rPr>
                <w:rFonts w:ascii="Times New Roman"/>
                <w:sz w:val="22"/>
              </w:rPr>
            </w:pPr>
          </w:p>
        </w:tc>
        <w:tc>
          <w:tcPr>
            <w:tcW w:w="2451"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5" w:hRule="atLeast"/>
        </w:trPr>
        <w:tc>
          <w:tcPr>
            <w:tcW w:w="1258" w:type="dxa"/>
          </w:tcPr>
          <w:p>
            <w:pPr>
              <w:pStyle w:val="17"/>
              <w:rPr>
                <w:rFonts w:ascii="Times New Roman"/>
                <w:sz w:val="22"/>
              </w:rPr>
            </w:pPr>
          </w:p>
        </w:tc>
        <w:tc>
          <w:tcPr>
            <w:tcW w:w="3971" w:type="dxa"/>
            <w:gridSpan w:val="3"/>
          </w:tcPr>
          <w:p>
            <w:pPr>
              <w:pStyle w:val="17"/>
              <w:rPr>
                <w:rFonts w:ascii="Times New Roman"/>
                <w:sz w:val="22"/>
              </w:rPr>
            </w:pPr>
          </w:p>
        </w:tc>
        <w:tc>
          <w:tcPr>
            <w:tcW w:w="2124" w:type="dxa"/>
          </w:tcPr>
          <w:p>
            <w:pPr>
              <w:pStyle w:val="17"/>
              <w:rPr>
                <w:rFonts w:ascii="Times New Roman"/>
                <w:sz w:val="22"/>
              </w:rPr>
            </w:pPr>
          </w:p>
        </w:tc>
        <w:tc>
          <w:tcPr>
            <w:tcW w:w="2451"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1258" w:type="dxa"/>
          </w:tcPr>
          <w:p>
            <w:pPr>
              <w:pStyle w:val="17"/>
              <w:rPr>
                <w:rFonts w:ascii="Times New Roman"/>
                <w:sz w:val="22"/>
              </w:rPr>
            </w:pPr>
          </w:p>
        </w:tc>
        <w:tc>
          <w:tcPr>
            <w:tcW w:w="3971" w:type="dxa"/>
            <w:gridSpan w:val="3"/>
          </w:tcPr>
          <w:p>
            <w:pPr>
              <w:pStyle w:val="17"/>
              <w:rPr>
                <w:rFonts w:ascii="Times New Roman"/>
                <w:sz w:val="22"/>
              </w:rPr>
            </w:pPr>
          </w:p>
        </w:tc>
        <w:tc>
          <w:tcPr>
            <w:tcW w:w="2124" w:type="dxa"/>
          </w:tcPr>
          <w:p>
            <w:pPr>
              <w:pStyle w:val="17"/>
              <w:rPr>
                <w:rFonts w:ascii="Times New Roman"/>
                <w:sz w:val="22"/>
              </w:rPr>
            </w:pPr>
          </w:p>
        </w:tc>
        <w:tc>
          <w:tcPr>
            <w:tcW w:w="2451"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1258" w:type="dxa"/>
          </w:tcPr>
          <w:p>
            <w:pPr>
              <w:pStyle w:val="17"/>
              <w:rPr>
                <w:rFonts w:ascii="Times New Roman"/>
                <w:sz w:val="22"/>
              </w:rPr>
            </w:pPr>
          </w:p>
        </w:tc>
        <w:tc>
          <w:tcPr>
            <w:tcW w:w="3971" w:type="dxa"/>
            <w:gridSpan w:val="3"/>
          </w:tcPr>
          <w:p>
            <w:pPr>
              <w:pStyle w:val="17"/>
              <w:rPr>
                <w:rFonts w:ascii="Times New Roman"/>
                <w:sz w:val="22"/>
              </w:rPr>
            </w:pPr>
          </w:p>
        </w:tc>
        <w:tc>
          <w:tcPr>
            <w:tcW w:w="2124" w:type="dxa"/>
          </w:tcPr>
          <w:p>
            <w:pPr>
              <w:pStyle w:val="17"/>
              <w:rPr>
                <w:rFonts w:ascii="Times New Roman"/>
                <w:sz w:val="22"/>
              </w:rPr>
            </w:pPr>
          </w:p>
        </w:tc>
        <w:tc>
          <w:tcPr>
            <w:tcW w:w="2451"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5" w:hRule="atLeast"/>
        </w:trPr>
        <w:tc>
          <w:tcPr>
            <w:tcW w:w="1258" w:type="dxa"/>
          </w:tcPr>
          <w:p>
            <w:pPr>
              <w:pStyle w:val="17"/>
              <w:rPr>
                <w:rFonts w:ascii="Times New Roman"/>
                <w:sz w:val="22"/>
              </w:rPr>
            </w:pPr>
          </w:p>
        </w:tc>
        <w:tc>
          <w:tcPr>
            <w:tcW w:w="3971" w:type="dxa"/>
            <w:gridSpan w:val="3"/>
          </w:tcPr>
          <w:p>
            <w:pPr>
              <w:pStyle w:val="17"/>
              <w:rPr>
                <w:rFonts w:ascii="Times New Roman"/>
                <w:sz w:val="22"/>
              </w:rPr>
            </w:pPr>
          </w:p>
        </w:tc>
        <w:tc>
          <w:tcPr>
            <w:tcW w:w="2124" w:type="dxa"/>
          </w:tcPr>
          <w:p>
            <w:pPr>
              <w:pStyle w:val="17"/>
              <w:rPr>
                <w:rFonts w:ascii="Times New Roman"/>
                <w:sz w:val="22"/>
              </w:rPr>
            </w:pPr>
          </w:p>
        </w:tc>
        <w:tc>
          <w:tcPr>
            <w:tcW w:w="2451"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5" w:hRule="atLeast"/>
        </w:trPr>
        <w:tc>
          <w:tcPr>
            <w:tcW w:w="1258" w:type="dxa"/>
          </w:tcPr>
          <w:p>
            <w:pPr>
              <w:pStyle w:val="17"/>
              <w:rPr>
                <w:rFonts w:ascii="Times New Roman"/>
                <w:sz w:val="22"/>
              </w:rPr>
            </w:pPr>
          </w:p>
        </w:tc>
        <w:tc>
          <w:tcPr>
            <w:tcW w:w="3971" w:type="dxa"/>
            <w:gridSpan w:val="3"/>
          </w:tcPr>
          <w:p>
            <w:pPr>
              <w:pStyle w:val="17"/>
              <w:rPr>
                <w:rFonts w:ascii="Times New Roman"/>
                <w:sz w:val="22"/>
              </w:rPr>
            </w:pPr>
          </w:p>
        </w:tc>
        <w:tc>
          <w:tcPr>
            <w:tcW w:w="2124" w:type="dxa"/>
          </w:tcPr>
          <w:p>
            <w:pPr>
              <w:pStyle w:val="17"/>
              <w:rPr>
                <w:rFonts w:ascii="Times New Roman"/>
                <w:sz w:val="22"/>
              </w:rPr>
            </w:pPr>
          </w:p>
        </w:tc>
        <w:tc>
          <w:tcPr>
            <w:tcW w:w="2451" w:type="dxa"/>
          </w:tcPr>
          <w:p>
            <w:pPr>
              <w:pStyle w:val="17"/>
              <w:rPr>
                <w:rFonts w:ascii="Times New Roman"/>
                <w:sz w:val="22"/>
              </w:rPr>
            </w:pPr>
          </w:p>
        </w:tc>
      </w:tr>
    </w:tbl>
    <w:p>
      <w:pPr>
        <w:spacing w:after="0"/>
        <w:rPr>
          <w:rFonts w:ascii="Times New Roman"/>
          <w:sz w:val="22"/>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33" o:spid="_x0000_s1233" o:spt="20" style="position:absolute;left:0pt;margin-left:62.4pt;margin-top:12.25pt;height:0pt;width:400.4pt;mso-position-horizontal-relative:page;z-index:25186816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388"/>
      </w:pPr>
      <w:r>
        <w:t>附 3：项目经理承诺书</w:t>
      </w:r>
    </w:p>
    <w:p>
      <w:pPr>
        <w:pStyle w:val="8"/>
        <w:spacing w:before="158"/>
        <w:ind w:left="426" w:right="362"/>
        <w:jc w:val="center"/>
        <w:outlineLvl w:val="2"/>
      </w:pPr>
      <w:r>
        <w:t>项目经理承诺书</w:t>
      </w:r>
    </w:p>
    <w:p>
      <w:pPr>
        <w:pStyle w:val="8"/>
        <w:spacing w:before="160"/>
        <w:ind w:left="812"/>
      </w:pPr>
      <w:r>
        <w:t>————————（招标人名称）：</w:t>
      </w:r>
    </w:p>
    <w:p>
      <w:pPr>
        <w:pStyle w:val="8"/>
        <w:spacing w:before="158" w:line="364" w:lineRule="auto"/>
        <w:ind w:left="388" w:right="852" w:firstLine="424"/>
      </w:pPr>
      <w:r>
        <w:t>我方在此声明，我方拟派往</w:t>
      </w:r>
      <w:r>
        <w:rPr>
          <w:u w:val="single"/>
        </w:rPr>
        <w:t>（项目名称）</w:t>
      </w:r>
      <w:r>
        <w:t>（以下简称“本工程”）的项目经理</w:t>
      </w:r>
      <w:r>
        <w:rPr>
          <w:u w:val="single"/>
        </w:rPr>
        <w:t>（</w:t>
      </w:r>
      <w:r>
        <w:rPr>
          <w:spacing w:val="-9"/>
          <w:u w:val="single"/>
        </w:rPr>
        <w:t>项目</w:t>
      </w:r>
      <w:r>
        <w:rPr>
          <w:spacing w:val="-220"/>
          <w:u w:val="single"/>
        </w:rPr>
        <w:t>经</w:t>
      </w:r>
      <w:r>
        <w:rPr>
          <w:u w:val="single"/>
        </w:rPr>
        <w:t>理姓名）</w:t>
      </w:r>
      <w:r>
        <w:t>现阶段没有担任任何在建工程项目的项目经理。</w:t>
      </w:r>
    </w:p>
    <w:p>
      <w:pPr>
        <w:pStyle w:val="8"/>
        <w:spacing w:line="364" w:lineRule="auto"/>
        <w:ind w:left="388" w:right="852" w:firstLine="424"/>
      </w:pPr>
      <w:r>
        <w:t>我方保证上述信息的真实和准确，并愿意承担因我方就此弄虚作假所引起的一切法律后果。</w:t>
      </w:r>
    </w:p>
    <w:p>
      <w:pPr>
        <w:pStyle w:val="8"/>
      </w:pPr>
    </w:p>
    <w:p>
      <w:pPr>
        <w:pStyle w:val="8"/>
      </w:pPr>
    </w:p>
    <w:p>
      <w:pPr>
        <w:pStyle w:val="8"/>
        <w:spacing w:before="9"/>
      </w:pPr>
    </w:p>
    <w:p>
      <w:pPr>
        <w:pStyle w:val="8"/>
        <w:ind w:left="812"/>
      </w:pPr>
      <w:r>
        <w:t>特此承诺</w:t>
      </w: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spacing w:before="194"/>
        <w:ind w:left="5012"/>
      </w:pPr>
      <w:r>
        <w:t>磋商响应人：（盖单位公章）</w:t>
      </w:r>
    </w:p>
    <w:p>
      <w:pPr>
        <w:pStyle w:val="8"/>
        <w:spacing w:before="160" w:line="362" w:lineRule="auto"/>
        <w:ind w:left="4892" w:right="1812"/>
      </w:pPr>
      <w:r>
        <w:t>法定代表人或委托代理人：（签字） 项目经理：（签字）</w:t>
      </w:r>
    </w:p>
    <w:p>
      <w:pPr>
        <w:pStyle w:val="8"/>
        <w:tabs>
          <w:tab w:val="left" w:pos="6332"/>
          <w:tab w:val="left" w:pos="7172"/>
        </w:tabs>
        <w:spacing w:before="5"/>
        <w:ind w:left="5612"/>
      </w:pPr>
      <w:r>
        <w:t>年</w:t>
      </w:r>
      <w:r>
        <w:tab/>
      </w:r>
      <w:r>
        <w:t>月</w:t>
      </w:r>
      <w:r>
        <w:tab/>
      </w:r>
      <w:r>
        <w:t>日</w:t>
      </w:r>
    </w:p>
    <w:p>
      <w:pPr>
        <w:spacing w:after="0"/>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34" o:spid="_x0000_s1234" o:spt="20" style="position:absolute;left:0pt;margin-left:62.4pt;margin-top:12.25pt;height:0pt;width:400.4pt;mso-position-horizontal-relative:page;z-index:251869184;mso-width-relative:page;mso-height-relative:page;" stroked="t" coordsize="21600,21600">
            <v:path arrowok="t"/>
            <v:fill focussize="0,0"/>
            <v:stroke weight="0.36pt" color="#000000"/>
            <v:imagedata o:title=""/>
            <o:lock v:ext="edit"/>
          </v:line>
        </w:pict>
      </w:r>
      <w:bookmarkStart w:id="165" w:name="十二、资料审查"/>
      <w:bookmarkEnd w:id="165"/>
      <w:r>
        <w:rPr>
          <w:rFonts w:hint="eastAsia"/>
          <w:sz w:val="18"/>
          <w:lang w:eastAsia="zh-CN"/>
        </w:rPr>
        <w:t xml:space="preserve"> </w:t>
      </w:r>
    </w:p>
    <w:p>
      <w:pPr>
        <w:pStyle w:val="8"/>
        <w:spacing w:before="6"/>
        <w:rPr>
          <w:sz w:val="25"/>
        </w:rPr>
      </w:pPr>
    </w:p>
    <w:p>
      <w:pPr>
        <w:pStyle w:val="7"/>
        <w:spacing w:before="67"/>
        <w:outlineLvl w:val="1"/>
      </w:pPr>
      <w:bookmarkStart w:id="166" w:name="十一、拟分包计划表（本项目不适用）"/>
      <w:bookmarkEnd w:id="166"/>
      <w:r>
        <w:t>十一、拟分包计划表（本项目不适用）</w:t>
      </w:r>
    </w:p>
    <w:p>
      <w:pPr>
        <w:pStyle w:val="8"/>
        <w:rPr>
          <w:b/>
          <w:sz w:val="20"/>
        </w:rPr>
      </w:pPr>
    </w:p>
    <w:p>
      <w:pPr>
        <w:pStyle w:val="8"/>
        <w:spacing w:before="3"/>
        <w:rPr>
          <w:b/>
          <w:sz w:val="18"/>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4"/>
        <w:gridCol w:w="2085"/>
        <w:gridCol w:w="851"/>
        <w:gridCol w:w="1074"/>
        <w:gridCol w:w="1271"/>
        <w:gridCol w:w="1234"/>
        <w:gridCol w:w="1356"/>
        <w:gridCol w:w="11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44" w:type="dxa"/>
            <w:vMerge w:val="restart"/>
          </w:tcPr>
          <w:p>
            <w:pPr>
              <w:pStyle w:val="17"/>
              <w:spacing w:before="6"/>
              <w:ind w:left="108"/>
              <w:rPr>
                <w:sz w:val="24"/>
              </w:rPr>
            </w:pPr>
            <w:r>
              <w:rPr>
                <w:sz w:val="24"/>
              </w:rPr>
              <w:t>序</w:t>
            </w:r>
          </w:p>
          <w:p>
            <w:pPr>
              <w:pStyle w:val="17"/>
              <w:spacing w:before="158"/>
              <w:ind w:left="108"/>
              <w:rPr>
                <w:sz w:val="24"/>
              </w:rPr>
            </w:pPr>
            <w:r>
              <w:rPr>
                <w:sz w:val="24"/>
              </w:rPr>
              <w:t>号</w:t>
            </w:r>
          </w:p>
        </w:tc>
        <w:tc>
          <w:tcPr>
            <w:tcW w:w="2085" w:type="dxa"/>
            <w:vMerge w:val="restart"/>
          </w:tcPr>
          <w:p>
            <w:pPr>
              <w:pStyle w:val="17"/>
              <w:spacing w:before="6"/>
              <w:ind w:left="107"/>
              <w:rPr>
                <w:sz w:val="24"/>
              </w:rPr>
            </w:pPr>
            <w:r>
              <w:rPr>
                <w:sz w:val="24"/>
              </w:rPr>
              <w:t>拟分包项目名称、</w:t>
            </w:r>
          </w:p>
          <w:p>
            <w:pPr>
              <w:pStyle w:val="17"/>
              <w:spacing w:before="158"/>
              <w:ind w:left="107"/>
              <w:rPr>
                <w:sz w:val="24"/>
              </w:rPr>
            </w:pPr>
            <w:r>
              <w:rPr>
                <w:sz w:val="24"/>
              </w:rPr>
              <w:t>范围及理由</w:t>
            </w:r>
          </w:p>
        </w:tc>
        <w:tc>
          <w:tcPr>
            <w:tcW w:w="5786" w:type="dxa"/>
            <w:gridSpan w:val="5"/>
          </w:tcPr>
          <w:p>
            <w:pPr>
              <w:pStyle w:val="17"/>
              <w:spacing w:before="1"/>
              <w:ind w:left="533"/>
              <w:rPr>
                <w:sz w:val="24"/>
              </w:rPr>
            </w:pPr>
            <w:r>
              <w:rPr>
                <w:sz w:val="24"/>
              </w:rPr>
              <w:t>拟选分包人</w:t>
            </w:r>
          </w:p>
        </w:tc>
        <w:tc>
          <w:tcPr>
            <w:tcW w:w="1113" w:type="dxa"/>
            <w:vMerge w:val="restart"/>
          </w:tcPr>
          <w:p>
            <w:pPr>
              <w:pStyle w:val="17"/>
              <w:spacing w:before="7"/>
              <w:rPr>
                <w:b/>
                <w:sz w:val="18"/>
              </w:rPr>
            </w:pPr>
          </w:p>
          <w:p>
            <w:pPr>
              <w:pStyle w:val="17"/>
              <w:spacing w:before="1"/>
              <w:ind w:left="106"/>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644" w:type="dxa"/>
            <w:vMerge w:val="continue"/>
            <w:tcBorders>
              <w:top w:val="nil"/>
            </w:tcBorders>
          </w:tcPr>
          <w:p>
            <w:pPr>
              <w:rPr>
                <w:sz w:val="2"/>
                <w:szCs w:val="2"/>
              </w:rPr>
            </w:pPr>
          </w:p>
        </w:tc>
        <w:tc>
          <w:tcPr>
            <w:tcW w:w="2085" w:type="dxa"/>
            <w:vMerge w:val="continue"/>
            <w:tcBorders>
              <w:top w:val="nil"/>
            </w:tcBorders>
          </w:tcPr>
          <w:p>
            <w:pPr>
              <w:rPr>
                <w:sz w:val="2"/>
                <w:szCs w:val="2"/>
              </w:rPr>
            </w:pPr>
          </w:p>
        </w:tc>
        <w:tc>
          <w:tcPr>
            <w:tcW w:w="1925" w:type="dxa"/>
            <w:gridSpan w:val="2"/>
          </w:tcPr>
          <w:p>
            <w:pPr>
              <w:pStyle w:val="17"/>
              <w:spacing w:before="2"/>
              <w:ind w:left="108"/>
              <w:rPr>
                <w:sz w:val="24"/>
              </w:rPr>
            </w:pPr>
            <w:r>
              <w:rPr>
                <w:sz w:val="24"/>
              </w:rPr>
              <w:t>拟选分包人名称</w:t>
            </w:r>
          </w:p>
        </w:tc>
        <w:tc>
          <w:tcPr>
            <w:tcW w:w="1271" w:type="dxa"/>
          </w:tcPr>
          <w:p>
            <w:pPr>
              <w:pStyle w:val="17"/>
              <w:spacing w:before="2"/>
              <w:ind w:left="108"/>
              <w:rPr>
                <w:sz w:val="24"/>
              </w:rPr>
            </w:pPr>
            <w:r>
              <w:rPr>
                <w:sz w:val="24"/>
              </w:rPr>
              <w:t>注册地点</w:t>
            </w:r>
          </w:p>
        </w:tc>
        <w:tc>
          <w:tcPr>
            <w:tcW w:w="1234" w:type="dxa"/>
          </w:tcPr>
          <w:p>
            <w:pPr>
              <w:pStyle w:val="17"/>
              <w:spacing w:before="2"/>
              <w:ind w:left="106"/>
              <w:rPr>
                <w:sz w:val="24"/>
              </w:rPr>
            </w:pPr>
            <w:r>
              <w:rPr>
                <w:sz w:val="24"/>
              </w:rPr>
              <w:t>企业资质</w:t>
            </w:r>
          </w:p>
        </w:tc>
        <w:tc>
          <w:tcPr>
            <w:tcW w:w="1356" w:type="dxa"/>
          </w:tcPr>
          <w:p>
            <w:pPr>
              <w:pStyle w:val="17"/>
              <w:spacing w:before="2"/>
              <w:ind w:left="106"/>
              <w:rPr>
                <w:sz w:val="24"/>
              </w:rPr>
            </w:pPr>
            <w:r>
              <w:rPr>
                <w:sz w:val="24"/>
              </w:rPr>
              <w:t>有关业绩</w:t>
            </w:r>
          </w:p>
        </w:tc>
        <w:tc>
          <w:tcPr>
            <w:tcW w:w="111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644" w:type="dxa"/>
            <w:vMerge w:val="restart"/>
          </w:tcPr>
          <w:p>
            <w:pPr>
              <w:pStyle w:val="17"/>
              <w:rPr>
                <w:rFonts w:ascii="Times New Roman"/>
                <w:sz w:val="22"/>
              </w:rPr>
            </w:pPr>
          </w:p>
        </w:tc>
        <w:tc>
          <w:tcPr>
            <w:tcW w:w="2085" w:type="dxa"/>
            <w:vMerge w:val="restart"/>
          </w:tcPr>
          <w:p>
            <w:pPr>
              <w:pStyle w:val="17"/>
              <w:rPr>
                <w:rFonts w:ascii="Times New Roman"/>
                <w:sz w:val="22"/>
              </w:rPr>
            </w:pPr>
          </w:p>
        </w:tc>
        <w:tc>
          <w:tcPr>
            <w:tcW w:w="851" w:type="dxa"/>
          </w:tcPr>
          <w:p>
            <w:pPr>
              <w:pStyle w:val="17"/>
              <w:spacing w:before="3"/>
              <w:ind w:left="9"/>
              <w:jc w:val="center"/>
              <w:rPr>
                <w:sz w:val="24"/>
              </w:rPr>
            </w:pPr>
            <w:r>
              <w:rPr>
                <w:sz w:val="24"/>
              </w:rPr>
              <w:t>1</w:t>
            </w:r>
          </w:p>
        </w:tc>
        <w:tc>
          <w:tcPr>
            <w:tcW w:w="1074" w:type="dxa"/>
          </w:tcPr>
          <w:p>
            <w:pPr>
              <w:pStyle w:val="17"/>
              <w:rPr>
                <w:rFonts w:ascii="Times New Roman"/>
                <w:sz w:val="22"/>
              </w:rPr>
            </w:pPr>
          </w:p>
        </w:tc>
        <w:tc>
          <w:tcPr>
            <w:tcW w:w="1271" w:type="dxa"/>
          </w:tcPr>
          <w:p>
            <w:pPr>
              <w:pStyle w:val="17"/>
              <w:rPr>
                <w:rFonts w:ascii="Times New Roman"/>
                <w:sz w:val="22"/>
              </w:rPr>
            </w:pPr>
          </w:p>
        </w:tc>
        <w:tc>
          <w:tcPr>
            <w:tcW w:w="1234" w:type="dxa"/>
          </w:tcPr>
          <w:p>
            <w:pPr>
              <w:pStyle w:val="17"/>
              <w:rPr>
                <w:rFonts w:ascii="Times New Roman"/>
                <w:sz w:val="22"/>
              </w:rPr>
            </w:pPr>
          </w:p>
        </w:tc>
        <w:tc>
          <w:tcPr>
            <w:tcW w:w="1356" w:type="dxa"/>
          </w:tcPr>
          <w:p>
            <w:pPr>
              <w:pStyle w:val="17"/>
              <w:rPr>
                <w:rFonts w:ascii="Times New Roman"/>
                <w:sz w:val="22"/>
              </w:rPr>
            </w:pPr>
          </w:p>
        </w:tc>
        <w:tc>
          <w:tcPr>
            <w:tcW w:w="111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644" w:type="dxa"/>
            <w:vMerge w:val="continue"/>
            <w:tcBorders>
              <w:top w:val="nil"/>
            </w:tcBorders>
          </w:tcPr>
          <w:p>
            <w:pPr>
              <w:rPr>
                <w:sz w:val="2"/>
                <w:szCs w:val="2"/>
              </w:rPr>
            </w:pPr>
          </w:p>
        </w:tc>
        <w:tc>
          <w:tcPr>
            <w:tcW w:w="2085" w:type="dxa"/>
            <w:vMerge w:val="continue"/>
            <w:tcBorders>
              <w:top w:val="nil"/>
            </w:tcBorders>
          </w:tcPr>
          <w:p>
            <w:pPr>
              <w:rPr>
                <w:sz w:val="2"/>
                <w:szCs w:val="2"/>
              </w:rPr>
            </w:pPr>
          </w:p>
        </w:tc>
        <w:tc>
          <w:tcPr>
            <w:tcW w:w="851" w:type="dxa"/>
          </w:tcPr>
          <w:p>
            <w:pPr>
              <w:pStyle w:val="17"/>
              <w:spacing w:before="1"/>
              <w:ind w:left="9"/>
              <w:jc w:val="center"/>
              <w:rPr>
                <w:sz w:val="24"/>
              </w:rPr>
            </w:pPr>
            <w:r>
              <w:rPr>
                <w:sz w:val="24"/>
              </w:rPr>
              <w:t>2</w:t>
            </w:r>
          </w:p>
        </w:tc>
        <w:tc>
          <w:tcPr>
            <w:tcW w:w="1074" w:type="dxa"/>
          </w:tcPr>
          <w:p>
            <w:pPr>
              <w:pStyle w:val="17"/>
              <w:rPr>
                <w:rFonts w:ascii="Times New Roman"/>
                <w:sz w:val="22"/>
              </w:rPr>
            </w:pPr>
          </w:p>
        </w:tc>
        <w:tc>
          <w:tcPr>
            <w:tcW w:w="1271" w:type="dxa"/>
          </w:tcPr>
          <w:p>
            <w:pPr>
              <w:pStyle w:val="17"/>
              <w:rPr>
                <w:rFonts w:ascii="Times New Roman"/>
                <w:sz w:val="22"/>
              </w:rPr>
            </w:pPr>
          </w:p>
        </w:tc>
        <w:tc>
          <w:tcPr>
            <w:tcW w:w="1234" w:type="dxa"/>
          </w:tcPr>
          <w:p>
            <w:pPr>
              <w:pStyle w:val="17"/>
              <w:rPr>
                <w:rFonts w:ascii="Times New Roman"/>
                <w:sz w:val="22"/>
              </w:rPr>
            </w:pPr>
          </w:p>
        </w:tc>
        <w:tc>
          <w:tcPr>
            <w:tcW w:w="1356" w:type="dxa"/>
          </w:tcPr>
          <w:p>
            <w:pPr>
              <w:pStyle w:val="17"/>
              <w:rPr>
                <w:rFonts w:ascii="Times New Roman"/>
                <w:sz w:val="22"/>
              </w:rPr>
            </w:pPr>
          </w:p>
        </w:tc>
        <w:tc>
          <w:tcPr>
            <w:tcW w:w="111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644" w:type="dxa"/>
            <w:vMerge w:val="continue"/>
            <w:tcBorders>
              <w:top w:val="nil"/>
            </w:tcBorders>
          </w:tcPr>
          <w:p>
            <w:pPr>
              <w:rPr>
                <w:sz w:val="2"/>
                <w:szCs w:val="2"/>
              </w:rPr>
            </w:pPr>
          </w:p>
        </w:tc>
        <w:tc>
          <w:tcPr>
            <w:tcW w:w="2085" w:type="dxa"/>
            <w:vMerge w:val="continue"/>
            <w:tcBorders>
              <w:top w:val="nil"/>
            </w:tcBorders>
          </w:tcPr>
          <w:p>
            <w:pPr>
              <w:rPr>
                <w:sz w:val="2"/>
                <w:szCs w:val="2"/>
              </w:rPr>
            </w:pPr>
          </w:p>
        </w:tc>
        <w:tc>
          <w:tcPr>
            <w:tcW w:w="851" w:type="dxa"/>
          </w:tcPr>
          <w:p>
            <w:pPr>
              <w:pStyle w:val="17"/>
              <w:spacing w:before="2"/>
              <w:ind w:left="9"/>
              <w:jc w:val="center"/>
              <w:rPr>
                <w:sz w:val="24"/>
              </w:rPr>
            </w:pPr>
            <w:r>
              <w:rPr>
                <w:sz w:val="24"/>
              </w:rPr>
              <w:t>3</w:t>
            </w:r>
          </w:p>
        </w:tc>
        <w:tc>
          <w:tcPr>
            <w:tcW w:w="1074" w:type="dxa"/>
          </w:tcPr>
          <w:p>
            <w:pPr>
              <w:pStyle w:val="17"/>
              <w:rPr>
                <w:rFonts w:ascii="Times New Roman"/>
                <w:sz w:val="22"/>
              </w:rPr>
            </w:pPr>
          </w:p>
        </w:tc>
        <w:tc>
          <w:tcPr>
            <w:tcW w:w="1271" w:type="dxa"/>
          </w:tcPr>
          <w:p>
            <w:pPr>
              <w:pStyle w:val="17"/>
              <w:rPr>
                <w:rFonts w:ascii="Times New Roman"/>
                <w:sz w:val="22"/>
              </w:rPr>
            </w:pPr>
          </w:p>
        </w:tc>
        <w:tc>
          <w:tcPr>
            <w:tcW w:w="1234" w:type="dxa"/>
          </w:tcPr>
          <w:p>
            <w:pPr>
              <w:pStyle w:val="17"/>
              <w:rPr>
                <w:rFonts w:ascii="Times New Roman"/>
                <w:sz w:val="22"/>
              </w:rPr>
            </w:pPr>
          </w:p>
        </w:tc>
        <w:tc>
          <w:tcPr>
            <w:tcW w:w="1356" w:type="dxa"/>
          </w:tcPr>
          <w:p>
            <w:pPr>
              <w:pStyle w:val="17"/>
              <w:rPr>
                <w:rFonts w:ascii="Times New Roman"/>
                <w:sz w:val="22"/>
              </w:rPr>
            </w:pPr>
          </w:p>
        </w:tc>
        <w:tc>
          <w:tcPr>
            <w:tcW w:w="111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644" w:type="dxa"/>
            <w:vMerge w:val="restart"/>
          </w:tcPr>
          <w:p>
            <w:pPr>
              <w:pStyle w:val="17"/>
              <w:rPr>
                <w:rFonts w:ascii="Times New Roman"/>
                <w:sz w:val="22"/>
              </w:rPr>
            </w:pPr>
          </w:p>
        </w:tc>
        <w:tc>
          <w:tcPr>
            <w:tcW w:w="2085" w:type="dxa"/>
            <w:vMerge w:val="restart"/>
          </w:tcPr>
          <w:p>
            <w:pPr>
              <w:pStyle w:val="17"/>
              <w:rPr>
                <w:rFonts w:ascii="Times New Roman"/>
                <w:sz w:val="22"/>
              </w:rPr>
            </w:pPr>
          </w:p>
        </w:tc>
        <w:tc>
          <w:tcPr>
            <w:tcW w:w="851" w:type="dxa"/>
          </w:tcPr>
          <w:p>
            <w:pPr>
              <w:pStyle w:val="17"/>
              <w:ind w:left="9"/>
              <w:jc w:val="center"/>
              <w:rPr>
                <w:sz w:val="24"/>
              </w:rPr>
            </w:pPr>
            <w:r>
              <w:rPr>
                <w:sz w:val="24"/>
              </w:rPr>
              <w:t>1</w:t>
            </w:r>
          </w:p>
        </w:tc>
        <w:tc>
          <w:tcPr>
            <w:tcW w:w="1074" w:type="dxa"/>
          </w:tcPr>
          <w:p>
            <w:pPr>
              <w:pStyle w:val="17"/>
              <w:rPr>
                <w:rFonts w:ascii="Times New Roman"/>
                <w:sz w:val="22"/>
              </w:rPr>
            </w:pPr>
          </w:p>
        </w:tc>
        <w:tc>
          <w:tcPr>
            <w:tcW w:w="1271" w:type="dxa"/>
          </w:tcPr>
          <w:p>
            <w:pPr>
              <w:pStyle w:val="17"/>
              <w:rPr>
                <w:rFonts w:ascii="Times New Roman"/>
                <w:sz w:val="22"/>
              </w:rPr>
            </w:pPr>
          </w:p>
        </w:tc>
        <w:tc>
          <w:tcPr>
            <w:tcW w:w="1234" w:type="dxa"/>
          </w:tcPr>
          <w:p>
            <w:pPr>
              <w:pStyle w:val="17"/>
              <w:rPr>
                <w:rFonts w:ascii="Times New Roman"/>
                <w:sz w:val="22"/>
              </w:rPr>
            </w:pPr>
          </w:p>
        </w:tc>
        <w:tc>
          <w:tcPr>
            <w:tcW w:w="1356" w:type="dxa"/>
          </w:tcPr>
          <w:p>
            <w:pPr>
              <w:pStyle w:val="17"/>
              <w:rPr>
                <w:rFonts w:ascii="Times New Roman"/>
                <w:sz w:val="22"/>
              </w:rPr>
            </w:pPr>
          </w:p>
        </w:tc>
        <w:tc>
          <w:tcPr>
            <w:tcW w:w="111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644" w:type="dxa"/>
            <w:vMerge w:val="continue"/>
            <w:tcBorders>
              <w:top w:val="nil"/>
            </w:tcBorders>
          </w:tcPr>
          <w:p>
            <w:pPr>
              <w:rPr>
                <w:sz w:val="2"/>
                <w:szCs w:val="2"/>
              </w:rPr>
            </w:pPr>
          </w:p>
        </w:tc>
        <w:tc>
          <w:tcPr>
            <w:tcW w:w="2085" w:type="dxa"/>
            <w:vMerge w:val="continue"/>
            <w:tcBorders>
              <w:top w:val="nil"/>
            </w:tcBorders>
          </w:tcPr>
          <w:p>
            <w:pPr>
              <w:rPr>
                <w:sz w:val="2"/>
                <w:szCs w:val="2"/>
              </w:rPr>
            </w:pPr>
          </w:p>
        </w:tc>
        <w:tc>
          <w:tcPr>
            <w:tcW w:w="851" w:type="dxa"/>
          </w:tcPr>
          <w:p>
            <w:pPr>
              <w:pStyle w:val="17"/>
              <w:ind w:left="9"/>
              <w:jc w:val="center"/>
              <w:rPr>
                <w:sz w:val="24"/>
              </w:rPr>
            </w:pPr>
            <w:r>
              <w:rPr>
                <w:sz w:val="24"/>
              </w:rPr>
              <w:t>2</w:t>
            </w:r>
          </w:p>
        </w:tc>
        <w:tc>
          <w:tcPr>
            <w:tcW w:w="1074" w:type="dxa"/>
          </w:tcPr>
          <w:p>
            <w:pPr>
              <w:pStyle w:val="17"/>
              <w:rPr>
                <w:rFonts w:ascii="Times New Roman"/>
                <w:sz w:val="22"/>
              </w:rPr>
            </w:pPr>
          </w:p>
        </w:tc>
        <w:tc>
          <w:tcPr>
            <w:tcW w:w="1271" w:type="dxa"/>
          </w:tcPr>
          <w:p>
            <w:pPr>
              <w:pStyle w:val="17"/>
              <w:rPr>
                <w:rFonts w:ascii="Times New Roman"/>
                <w:sz w:val="22"/>
              </w:rPr>
            </w:pPr>
          </w:p>
        </w:tc>
        <w:tc>
          <w:tcPr>
            <w:tcW w:w="1234" w:type="dxa"/>
          </w:tcPr>
          <w:p>
            <w:pPr>
              <w:pStyle w:val="17"/>
              <w:rPr>
                <w:rFonts w:ascii="Times New Roman"/>
                <w:sz w:val="22"/>
              </w:rPr>
            </w:pPr>
          </w:p>
        </w:tc>
        <w:tc>
          <w:tcPr>
            <w:tcW w:w="1356" w:type="dxa"/>
          </w:tcPr>
          <w:p>
            <w:pPr>
              <w:pStyle w:val="17"/>
              <w:rPr>
                <w:rFonts w:ascii="Times New Roman"/>
                <w:sz w:val="22"/>
              </w:rPr>
            </w:pPr>
          </w:p>
        </w:tc>
        <w:tc>
          <w:tcPr>
            <w:tcW w:w="111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644" w:type="dxa"/>
            <w:vMerge w:val="continue"/>
            <w:tcBorders>
              <w:top w:val="nil"/>
            </w:tcBorders>
          </w:tcPr>
          <w:p>
            <w:pPr>
              <w:rPr>
                <w:sz w:val="2"/>
                <w:szCs w:val="2"/>
              </w:rPr>
            </w:pPr>
          </w:p>
        </w:tc>
        <w:tc>
          <w:tcPr>
            <w:tcW w:w="2085" w:type="dxa"/>
            <w:vMerge w:val="continue"/>
            <w:tcBorders>
              <w:top w:val="nil"/>
            </w:tcBorders>
          </w:tcPr>
          <w:p>
            <w:pPr>
              <w:rPr>
                <w:sz w:val="2"/>
                <w:szCs w:val="2"/>
              </w:rPr>
            </w:pPr>
          </w:p>
        </w:tc>
        <w:tc>
          <w:tcPr>
            <w:tcW w:w="851" w:type="dxa"/>
          </w:tcPr>
          <w:p>
            <w:pPr>
              <w:pStyle w:val="17"/>
              <w:spacing w:before="1"/>
              <w:ind w:left="9"/>
              <w:jc w:val="center"/>
              <w:rPr>
                <w:sz w:val="24"/>
              </w:rPr>
            </w:pPr>
            <w:r>
              <w:rPr>
                <w:sz w:val="24"/>
              </w:rPr>
              <w:t>3</w:t>
            </w:r>
          </w:p>
        </w:tc>
        <w:tc>
          <w:tcPr>
            <w:tcW w:w="1074" w:type="dxa"/>
          </w:tcPr>
          <w:p>
            <w:pPr>
              <w:pStyle w:val="17"/>
              <w:rPr>
                <w:rFonts w:ascii="Times New Roman"/>
                <w:sz w:val="22"/>
              </w:rPr>
            </w:pPr>
          </w:p>
        </w:tc>
        <w:tc>
          <w:tcPr>
            <w:tcW w:w="1271" w:type="dxa"/>
          </w:tcPr>
          <w:p>
            <w:pPr>
              <w:pStyle w:val="17"/>
              <w:rPr>
                <w:rFonts w:ascii="Times New Roman"/>
                <w:sz w:val="22"/>
              </w:rPr>
            </w:pPr>
          </w:p>
        </w:tc>
        <w:tc>
          <w:tcPr>
            <w:tcW w:w="1234" w:type="dxa"/>
          </w:tcPr>
          <w:p>
            <w:pPr>
              <w:pStyle w:val="17"/>
              <w:rPr>
                <w:rFonts w:ascii="Times New Roman"/>
                <w:sz w:val="22"/>
              </w:rPr>
            </w:pPr>
          </w:p>
        </w:tc>
        <w:tc>
          <w:tcPr>
            <w:tcW w:w="1356" w:type="dxa"/>
          </w:tcPr>
          <w:p>
            <w:pPr>
              <w:pStyle w:val="17"/>
              <w:rPr>
                <w:rFonts w:ascii="Times New Roman"/>
                <w:sz w:val="22"/>
              </w:rPr>
            </w:pPr>
          </w:p>
        </w:tc>
        <w:tc>
          <w:tcPr>
            <w:tcW w:w="111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644" w:type="dxa"/>
            <w:vMerge w:val="restart"/>
          </w:tcPr>
          <w:p>
            <w:pPr>
              <w:pStyle w:val="17"/>
              <w:rPr>
                <w:rFonts w:ascii="Times New Roman"/>
                <w:sz w:val="22"/>
              </w:rPr>
            </w:pPr>
          </w:p>
        </w:tc>
        <w:tc>
          <w:tcPr>
            <w:tcW w:w="2085" w:type="dxa"/>
            <w:vMerge w:val="restart"/>
          </w:tcPr>
          <w:p>
            <w:pPr>
              <w:pStyle w:val="17"/>
              <w:rPr>
                <w:rFonts w:ascii="Times New Roman"/>
                <w:sz w:val="22"/>
              </w:rPr>
            </w:pPr>
          </w:p>
        </w:tc>
        <w:tc>
          <w:tcPr>
            <w:tcW w:w="851" w:type="dxa"/>
          </w:tcPr>
          <w:p>
            <w:pPr>
              <w:pStyle w:val="17"/>
              <w:spacing w:before="2"/>
              <w:ind w:left="9"/>
              <w:jc w:val="center"/>
              <w:rPr>
                <w:sz w:val="24"/>
              </w:rPr>
            </w:pPr>
            <w:r>
              <w:rPr>
                <w:sz w:val="24"/>
              </w:rPr>
              <w:t>1</w:t>
            </w:r>
          </w:p>
        </w:tc>
        <w:tc>
          <w:tcPr>
            <w:tcW w:w="1074" w:type="dxa"/>
          </w:tcPr>
          <w:p>
            <w:pPr>
              <w:pStyle w:val="17"/>
              <w:rPr>
                <w:rFonts w:ascii="Times New Roman"/>
                <w:sz w:val="22"/>
              </w:rPr>
            </w:pPr>
          </w:p>
        </w:tc>
        <w:tc>
          <w:tcPr>
            <w:tcW w:w="1271" w:type="dxa"/>
          </w:tcPr>
          <w:p>
            <w:pPr>
              <w:pStyle w:val="17"/>
              <w:rPr>
                <w:rFonts w:ascii="Times New Roman"/>
                <w:sz w:val="22"/>
              </w:rPr>
            </w:pPr>
          </w:p>
        </w:tc>
        <w:tc>
          <w:tcPr>
            <w:tcW w:w="1234" w:type="dxa"/>
          </w:tcPr>
          <w:p>
            <w:pPr>
              <w:pStyle w:val="17"/>
              <w:rPr>
                <w:rFonts w:ascii="Times New Roman"/>
                <w:sz w:val="22"/>
              </w:rPr>
            </w:pPr>
          </w:p>
        </w:tc>
        <w:tc>
          <w:tcPr>
            <w:tcW w:w="1356" w:type="dxa"/>
          </w:tcPr>
          <w:p>
            <w:pPr>
              <w:pStyle w:val="17"/>
              <w:rPr>
                <w:rFonts w:ascii="Times New Roman"/>
                <w:sz w:val="22"/>
              </w:rPr>
            </w:pPr>
          </w:p>
        </w:tc>
        <w:tc>
          <w:tcPr>
            <w:tcW w:w="111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644" w:type="dxa"/>
            <w:vMerge w:val="continue"/>
            <w:tcBorders>
              <w:top w:val="nil"/>
            </w:tcBorders>
          </w:tcPr>
          <w:p>
            <w:pPr>
              <w:rPr>
                <w:sz w:val="2"/>
                <w:szCs w:val="2"/>
              </w:rPr>
            </w:pPr>
          </w:p>
        </w:tc>
        <w:tc>
          <w:tcPr>
            <w:tcW w:w="2085" w:type="dxa"/>
            <w:vMerge w:val="continue"/>
            <w:tcBorders>
              <w:top w:val="nil"/>
            </w:tcBorders>
          </w:tcPr>
          <w:p>
            <w:pPr>
              <w:rPr>
                <w:sz w:val="2"/>
                <w:szCs w:val="2"/>
              </w:rPr>
            </w:pPr>
          </w:p>
        </w:tc>
        <w:tc>
          <w:tcPr>
            <w:tcW w:w="851" w:type="dxa"/>
          </w:tcPr>
          <w:p>
            <w:pPr>
              <w:pStyle w:val="17"/>
              <w:spacing w:before="1"/>
              <w:ind w:left="9"/>
              <w:jc w:val="center"/>
              <w:rPr>
                <w:sz w:val="24"/>
              </w:rPr>
            </w:pPr>
            <w:r>
              <w:rPr>
                <w:sz w:val="24"/>
              </w:rPr>
              <w:t>2</w:t>
            </w:r>
          </w:p>
        </w:tc>
        <w:tc>
          <w:tcPr>
            <w:tcW w:w="1074" w:type="dxa"/>
          </w:tcPr>
          <w:p>
            <w:pPr>
              <w:pStyle w:val="17"/>
              <w:rPr>
                <w:rFonts w:ascii="Times New Roman"/>
                <w:sz w:val="22"/>
              </w:rPr>
            </w:pPr>
          </w:p>
        </w:tc>
        <w:tc>
          <w:tcPr>
            <w:tcW w:w="1271" w:type="dxa"/>
          </w:tcPr>
          <w:p>
            <w:pPr>
              <w:pStyle w:val="17"/>
              <w:rPr>
                <w:rFonts w:ascii="Times New Roman"/>
                <w:sz w:val="22"/>
              </w:rPr>
            </w:pPr>
          </w:p>
        </w:tc>
        <w:tc>
          <w:tcPr>
            <w:tcW w:w="1234" w:type="dxa"/>
          </w:tcPr>
          <w:p>
            <w:pPr>
              <w:pStyle w:val="17"/>
              <w:rPr>
                <w:rFonts w:ascii="Times New Roman"/>
                <w:sz w:val="22"/>
              </w:rPr>
            </w:pPr>
          </w:p>
        </w:tc>
        <w:tc>
          <w:tcPr>
            <w:tcW w:w="1356" w:type="dxa"/>
          </w:tcPr>
          <w:p>
            <w:pPr>
              <w:pStyle w:val="17"/>
              <w:rPr>
                <w:rFonts w:ascii="Times New Roman"/>
                <w:sz w:val="22"/>
              </w:rPr>
            </w:pPr>
          </w:p>
        </w:tc>
        <w:tc>
          <w:tcPr>
            <w:tcW w:w="111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644" w:type="dxa"/>
            <w:vMerge w:val="continue"/>
            <w:tcBorders>
              <w:top w:val="nil"/>
            </w:tcBorders>
          </w:tcPr>
          <w:p>
            <w:pPr>
              <w:rPr>
                <w:sz w:val="2"/>
                <w:szCs w:val="2"/>
              </w:rPr>
            </w:pPr>
          </w:p>
        </w:tc>
        <w:tc>
          <w:tcPr>
            <w:tcW w:w="2085" w:type="dxa"/>
            <w:vMerge w:val="continue"/>
            <w:tcBorders>
              <w:top w:val="nil"/>
            </w:tcBorders>
          </w:tcPr>
          <w:p>
            <w:pPr>
              <w:rPr>
                <w:sz w:val="2"/>
                <w:szCs w:val="2"/>
              </w:rPr>
            </w:pPr>
          </w:p>
        </w:tc>
        <w:tc>
          <w:tcPr>
            <w:tcW w:w="851" w:type="dxa"/>
          </w:tcPr>
          <w:p>
            <w:pPr>
              <w:pStyle w:val="17"/>
              <w:spacing w:before="1"/>
              <w:ind w:left="9"/>
              <w:jc w:val="center"/>
              <w:rPr>
                <w:sz w:val="24"/>
              </w:rPr>
            </w:pPr>
            <w:r>
              <w:rPr>
                <w:sz w:val="24"/>
              </w:rPr>
              <w:t>3</w:t>
            </w:r>
          </w:p>
        </w:tc>
        <w:tc>
          <w:tcPr>
            <w:tcW w:w="1074" w:type="dxa"/>
          </w:tcPr>
          <w:p>
            <w:pPr>
              <w:pStyle w:val="17"/>
              <w:rPr>
                <w:rFonts w:ascii="Times New Roman"/>
                <w:sz w:val="22"/>
              </w:rPr>
            </w:pPr>
          </w:p>
        </w:tc>
        <w:tc>
          <w:tcPr>
            <w:tcW w:w="1271" w:type="dxa"/>
          </w:tcPr>
          <w:p>
            <w:pPr>
              <w:pStyle w:val="17"/>
              <w:rPr>
                <w:rFonts w:ascii="Times New Roman"/>
                <w:sz w:val="22"/>
              </w:rPr>
            </w:pPr>
          </w:p>
        </w:tc>
        <w:tc>
          <w:tcPr>
            <w:tcW w:w="1234" w:type="dxa"/>
          </w:tcPr>
          <w:p>
            <w:pPr>
              <w:pStyle w:val="17"/>
              <w:rPr>
                <w:rFonts w:ascii="Times New Roman"/>
                <w:sz w:val="22"/>
              </w:rPr>
            </w:pPr>
          </w:p>
        </w:tc>
        <w:tc>
          <w:tcPr>
            <w:tcW w:w="1356" w:type="dxa"/>
          </w:tcPr>
          <w:p>
            <w:pPr>
              <w:pStyle w:val="17"/>
              <w:rPr>
                <w:rFonts w:ascii="Times New Roman"/>
                <w:sz w:val="22"/>
              </w:rPr>
            </w:pPr>
          </w:p>
        </w:tc>
        <w:tc>
          <w:tcPr>
            <w:tcW w:w="111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644" w:type="dxa"/>
            <w:vMerge w:val="restart"/>
          </w:tcPr>
          <w:p>
            <w:pPr>
              <w:pStyle w:val="17"/>
              <w:rPr>
                <w:rFonts w:ascii="Times New Roman"/>
                <w:sz w:val="22"/>
              </w:rPr>
            </w:pPr>
          </w:p>
        </w:tc>
        <w:tc>
          <w:tcPr>
            <w:tcW w:w="2085" w:type="dxa"/>
            <w:vMerge w:val="restart"/>
          </w:tcPr>
          <w:p>
            <w:pPr>
              <w:pStyle w:val="17"/>
              <w:rPr>
                <w:rFonts w:ascii="Times New Roman"/>
                <w:sz w:val="22"/>
              </w:rPr>
            </w:pPr>
          </w:p>
        </w:tc>
        <w:tc>
          <w:tcPr>
            <w:tcW w:w="851" w:type="dxa"/>
          </w:tcPr>
          <w:p>
            <w:pPr>
              <w:pStyle w:val="17"/>
              <w:spacing w:before="2"/>
              <w:ind w:left="9"/>
              <w:jc w:val="center"/>
              <w:rPr>
                <w:sz w:val="24"/>
              </w:rPr>
            </w:pPr>
            <w:r>
              <w:rPr>
                <w:sz w:val="24"/>
              </w:rPr>
              <w:t>1</w:t>
            </w:r>
          </w:p>
        </w:tc>
        <w:tc>
          <w:tcPr>
            <w:tcW w:w="1074" w:type="dxa"/>
          </w:tcPr>
          <w:p>
            <w:pPr>
              <w:pStyle w:val="17"/>
              <w:rPr>
                <w:rFonts w:ascii="Times New Roman"/>
                <w:sz w:val="22"/>
              </w:rPr>
            </w:pPr>
          </w:p>
        </w:tc>
        <w:tc>
          <w:tcPr>
            <w:tcW w:w="1271" w:type="dxa"/>
          </w:tcPr>
          <w:p>
            <w:pPr>
              <w:pStyle w:val="17"/>
              <w:rPr>
                <w:rFonts w:ascii="Times New Roman"/>
                <w:sz w:val="22"/>
              </w:rPr>
            </w:pPr>
          </w:p>
        </w:tc>
        <w:tc>
          <w:tcPr>
            <w:tcW w:w="1234" w:type="dxa"/>
          </w:tcPr>
          <w:p>
            <w:pPr>
              <w:pStyle w:val="17"/>
              <w:rPr>
                <w:rFonts w:ascii="Times New Roman"/>
                <w:sz w:val="22"/>
              </w:rPr>
            </w:pPr>
          </w:p>
        </w:tc>
        <w:tc>
          <w:tcPr>
            <w:tcW w:w="1356" w:type="dxa"/>
          </w:tcPr>
          <w:p>
            <w:pPr>
              <w:pStyle w:val="17"/>
              <w:rPr>
                <w:rFonts w:ascii="Times New Roman"/>
                <w:sz w:val="22"/>
              </w:rPr>
            </w:pPr>
          </w:p>
        </w:tc>
        <w:tc>
          <w:tcPr>
            <w:tcW w:w="111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644" w:type="dxa"/>
            <w:vMerge w:val="continue"/>
            <w:tcBorders>
              <w:top w:val="nil"/>
            </w:tcBorders>
          </w:tcPr>
          <w:p>
            <w:pPr>
              <w:rPr>
                <w:sz w:val="2"/>
                <w:szCs w:val="2"/>
              </w:rPr>
            </w:pPr>
          </w:p>
        </w:tc>
        <w:tc>
          <w:tcPr>
            <w:tcW w:w="2085" w:type="dxa"/>
            <w:vMerge w:val="continue"/>
            <w:tcBorders>
              <w:top w:val="nil"/>
            </w:tcBorders>
          </w:tcPr>
          <w:p>
            <w:pPr>
              <w:rPr>
                <w:sz w:val="2"/>
                <w:szCs w:val="2"/>
              </w:rPr>
            </w:pPr>
          </w:p>
        </w:tc>
        <w:tc>
          <w:tcPr>
            <w:tcW w:w="851" w:type="dxa"/>
          </w:tcPr>
          <w:p>
            <w:pPr>
              <w:pStyle w:val="17"/>
              <w:spacing w:before="3"/>
              <w:ind w:left="9"/>
              <w:jc w:val="center"/>
              <w:rPr>
                <w:sz w:val="24"/>
              </w:rPr>
            </w:pPr>
            <w:r>
              <w:rPr>
                <w:sz w:val="24"/>
              </w:rPr>
              <w:t>2</w:t>
            </w:r>
          </w:p>
        </w:tc>
        <w:tc>
          <w:tcPr>
            <w:tcW w:w="1074" w:type="dxa"/>
          </w:tcPr>
          <w:p>
            <w:pPr>
              <w:pStyle w:val="17"/>
              <w:rPr>
                <w:rFonts w:ascii="Times New Roman"/>
                <w:sz w:val="22"/>
              </w:rPr>
            </w:pPr>
          </w:p>
        </w:tc>
        <w:tc>
          <w:tcPr>
            <w:tcW w:w="1271" w:type="dxa"/>
          </w:tcPr>
          <w:p>
            <w:pPr>
              <w:pStyle w:val="17"/>
              <w:rPr>
                <w:rFonts w:ascii="Times New Roman"/>
                <w:sz w:val="22"/>
              </w:rPr>
            </w:pPr>
          </w:p>
        </w:tc>
        <w:tc>
          <w:tcPr>
            <w:tcW w:w="1234" w:type="dxa"/>
          </w:tcPr>
          <w:p>
            <w:pPr>
              <w:pStyle w:val="17"/>
              <w:rPr>
                <w:rFonts w:ascii="Times New Roman"/>
                <w:sz w:val="22"/>
              </w:rPr>
            </w:pPr>
          </w:p>
        </w:tc>
        <w:tc>
          <w:tcPr>
            <w:tcW w:w="1356" w:type="dxa"/>
          </w:tcPr>
          <w:p>
            <w:pPr>
              <w:pStyle w:val="17"/>
              <w:rPr>
                <w:rFonts w:ascii="Times New Roman"/>
                <w:sz w:val="22"/>
              </w:rPr>
            </w:pPr>
          </w:p>
        </w:tc>
        <w:tc>
          <w:tcPr>
            <w:tcW w:w="111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644" w:type="dxa"/>
            <w:vMerge w:val="continue"/>
            <w:tcBorders>
              <w:top w:val="nil"/>
            </w:tcBorders>
          </w:tcPr>
          <w:p>
            <w:pPr>
              <w:rPr>
                <w:sz w:val="2"/>
                <w:szCs w:val="2"/>
              </w:rPr>
            </w:pPr>
          </w:p>
        </w:tc>
        <w:tc>
          <w:tcPr>
            <w:tcW w:w="2085" w:type="dxa"/>
            <w:vMerge w:val="continue"/>
            <w:tcBorders>
              <w:top w:val="nil"/>
            </w:tcBorders>
          </w:tcPr>
          <w:p>
            <w:pPr>
              <w:rPr>
                <w:sz w:val="2"/>
                <w:szCs w:val="2"/>
              </w:rPr>
            </w:pPr>
          </w:p>
        </w:tc>
        <w:tc>
          <w:tcPr>
            <w:tcW w:w="851" w:type="dxa"/>
          </w:tcPr>
          <w:p>
            <w:pPr>
              <w:pStyle w:val="17"/>
              <w:spacing w:before="1"/>
              <w:ind w:left="9"/>
              <w:jc w:val="center"/>
              <w:rPr>
                <w:sz w:val="24"/>
              </w:rPr>
            </w:pPr>
            <w:r>
              <w:rPr>
                <w:sz w:val="24"/>
              </w:rPr>
              <w:t>3</w:t>
            </w:r>
          </w:p>
        </w:tc>
        <w:tc>
          <w:tcPr>
            <w:tcW w:w="1074" w:type="dxa"/>
          </w:tcPr>
          <w:p>
            <w:pPr>
              <w:pStyle w:val="17"/>
              <w:rPr>
                <w:rFonts w:ascii="Times New Roman"/>
                <w:sz w:val="22"/>
              </w:rPr>
            </w:pPr>
          </w:p>
        </w:tc>
        <w:tc>
          <w:tcPr>
            <w:tcW w:w="1271" w:type="dxa"/>
          </w:tcPr>
          <w:p>
            <w:pPr>
              <w:pStyle w:val="17"/>
              <w:rPr>
                <w:rFonts w:ascii="Times New Roman"/>
                <w:sz w:val="22"/>
              </w:rPr>
            </w:pPr>
          </w:p>
        </w:tc>
        <w:tc>
          <w:tcPr>
            <w:tcW w:w="1234" w:type="dxa"/>
          </w:tcPr>
          <w:p>
            <w:pPr>
              <w:pStyle w:val="17"/>
              <w:rPr>
                <w:rFonts w:ascii="Times New Roman"/>
                <w:sz w:val="22"/>
              </w:rPr>
            </w:pPr>
          </w:p>
        </w:tc>
        <w:tc>
          <w:tcPr>
            <w:tcW w:w="1356" w:type="dxa"/>
          </w:tcPr>
          <w:p>
            <w:pPr>
              <w:pStyle w:val="17"/>
              <w:rPr>
                <w:rFonts w:ascii="Times New Roman"/>
                <w:sz w:val="22"/>
              </w:rPr>
            </w:pPr>
          </w:p>
        </w:tc>
        <w:tc>
          <w:tcPr>
            <w:tcW w:w="1113" w:type="dxa"/>
          </w:tcPr>
          <w:p>
            <w:pPr>
              <w:pStyle w:val="17"/>
              <w:rPr>
                <w:rFonts w:ascii="Times New Roman"/>
                <w:sz w:val="22"/>
              </w:rPr>
            </w:pPr>
          </w:p>
        </w:tc>
      </w:tr>
    </w:tbl>
    <w:p>
      <w:pPr>
        <w:pStyle w:val="8"/>
        <w:rPr>
          <w:b/>
          <w:sz w:val="20"/>
        </w:rPr>
      </w:pPr>
    </w:p>
    <w:p>
      <w:pPr>
        <w:pStyle w:val="8"/>
        <w:spacing w:before="211"/>
        <w:ind w:left="812"/>
      </w:pPr>
      <w:r>
        <w:t>备注：本表所列分包仅限于承包人自行施工范围内的非主体、非关键工程。</w:t>
      </w:r>
    </w:p>
    <w:p>
      <w:pPr>
        <w:pStyle w:val="8"/>
        <w:tabs>
          <w:tab w:val="left" w:pos="6812"/>
          <w:tab w:val="left" w:pos="7412"/>
          <w:tab w:val="left" w:pos="8012"/>
        </w:tabs>
        <w:spacing w:before="161"/>
        <w:ind w:left="5372"/>
      </w:pPr>
      <w:r>
        <w:t>日期：</w:t>
      </w:r>
      <w:r>
        <w:tab/>
      </w:r>
      <w:r>
        <w:t>年</w:t>
      </w:r>
      <w:r>
        <w:tab/>
      </w:r>
      <w:r>
        <w:t>月</w:t>
      </w:r>
      <w:r>
        <w:tab/>
      </w:r>
      <w:r>
        <w:t>日</w:t>
      </w:r>
    </w:p>
    <w:p>
      <w:pPr>
        <w:spacing w:after="0"/>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35" o:spid="_x0000_s1235" o:spt="20" style="position:absolute;left:0pt;margin-left:62.4pt;margin-top:12.25pt;height:0pt;width:400.4pt;mso-position-horizontal-relative:page;z-index:25187020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rPr>
          <w:sz w:val="20"/>
        </w:rPr>
      </w:pPr>
    </w:p>
    <w:p>
      <w:pPr>
        <w:pStyle w:val="8"/>
        <w:spacing w:before="9"/>
        <w:rPr>
          <w:sz w:val="25"/>
        </w:rPr>
      </w:pPr>
    </w:p>
    <w:p>
      <w:pPr>
        <w:pStyle w:val="7"/>
        <w:spacing w:before="67"/>
        <w:outlineLvl w:val="1"/>
      </w:pPr>
      <w:r>
        <w:t>十二、资料审查</w:t>
      </w:r>
    </w:p>
    <w:p>
      <w:pPr>
        <w:pStyle w:val="8"/>
        <w:rPr>
          <w:b/>
        </w:rPr>
      </w:pPr>
    </w:p>
    <w:p>
      <w:pPr>
        <w:pStyle w:val="8"/>
        <w:spacing w:before="184"/>
        <w:ind w:left="812"/>
        <w:outlineLvl w:val="2"/>
      </w:pPr>
      <w:r>
        <w:t>（一）磋商响应人基本情况表</w:t>
      </w:r>
    </w:p>
    <w:p>
      <w:pPr>
        <w:pStyle w:val="8"/>
        <w:spacing w:before="4"/>
        <w:rPr>
          <w:sz w:val="12"/>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0"/>
        <w:gridCol w:w="1015"/>
        <w:gridCol w:w="1157"/>
        <w:gridCol w:w="1125"/>
        <w:gridCol w:w="320"/>
        <w:gridCol w:w="220"/>
        <w:gridCol w:w="1411"/>
        <w:gridCol w:w="295"/>
        <w:gridCol w:w="803"/>
        <w:gridCol w:w="16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1680" w:type="dxa"/>
          </w:tcPr>
          <w:p>
            <w:pPr>
              <w:pStyle w:val="17"/>
              <w:spacing w:before="2"/>
              <w:ind w:left="108"/>
              <w:rPr>
                <w:sz w:val="24"/>
              </w:rPr>
            </w:pPr>
            <w:r>
              <w:rPr>
                <w:sz w:val="24"/>
              </w:rPr>
              <w:t>磋商响应人名</w:t>
            </w:r>
          </w:p>
          <w:p>
            <w:pPr>
              <w:pStyle w:val="17"/>
              <w:spacing w:before="158"/>
              <w:ind w:left="108"/>
              <w:rPr>
                <w:sz w:val="24"/>
              </w:rPr>
            </w:pPr>
            <w:r>
              <w:rPr>
                <w:sz w:val="24"/>
              </w:rPr>
              <w:t>称</w:t>
            </w:r>
          </w:p>
        </w:tc>
        <w:tc>
          <w:tcPr>
            <w:tcW w:w="7948" w:type="dxa"/>
            <w:gridSpan w:val="9"/>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680" w:type="dxa"/>
          </w:tcPr>
          <w:p>
            <w:pPr>
              <w:pStyle w:val="17"/>
              <w:spacing w:before="51"/>
              <w:ind w:left="108"/>
              <w:rPr>
                <w:sz w:val="24"/>
              </w:rPr>
            </w:pPr>
            <w:r>
              <w:rPr>
                <w:sz w:val="24"/>
              </w:rPr>
              <w:t>注册地址</w:t>
            </w:r>
          </w:p>
        </w:tc>
        <w:tc>
          <w:tcPr>
            <w:tcW w:w="3837" w:type="dxa"/>
            <w:gridSpan w:val="5"/>
          </w:tcPr>
          <w:p>
            <w:pPr>
              <w:pStyle w:val="17"/>
              <w:rPr>
                <w:rFonts w:ascii="Times New Roman"/>
                <w:sz w:val="22"/>
              </w:rPr>
            </w:pPr>
          </w:p>
        </w:tc>
        <w:tc>
          <w:tcPr>
            <w:tcW w:w="1411" w:type="dxa"/>
          </w:tcPr>
          <w:p>
            <w:pPr>
              <w:pStyle w:val="17"/>
              <w:spacing w:before="51"/>
              <w:ind w:left="106"/>
              <w:rPr>
                <w:sz w:val="24"/>
              </w:rPr>
            </w:pPr>
            <w:r>
              <w:rPr>
                <w:sz w:val="24"/>
              </w:rPr>
              <w:t>邮政编码</w:t>
            </w:r>
          </w:p>
        </w:tc>
        <w:tc>
          <w:tcPr>
            <w:tcW w:w="2700" w:type="dxa"/>
            <w:gridSpan w:val="3"/>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80" w:type="dxa"/>
            <w:vMerge w:val="restart"/>
          </w:tcPr>
          <w:p>
            <w:pPr>
              <w:pStyle w:val="17"/>
              <w:spacing w:before="8"/>
              <w:rPr>
                <w:sz w:val="26"/>
              </w:rPr>
            </w:pPr>
          </w:p>
          <w:p>
            <w:pPr>
              <w:pStyle w:val="17"/>
              <w:ind w:left="533"/>
              <w:rPr>
                <w:sz w:val="24"/>
              </w:rPr>
            </w:pPr>
            <w:r>
              <w:rPr>
                <w:sz w:val="24"/>
              </w:rPr>
              <w:t>联系方式</w:t>
            </w:r>
          </w:p>
        </w:tc>
        <w:tc>
          <w:tcPr>
            <w:tcW w:w="1015" w:type="dxa"/>
          </w:tcPr>
          <w:p>
            <w:pPr>
              <w:pStyle w:val="17"/>
              <w:spacing w:before="53"/>
              <w:ind w:left="108"/>
              <w:rPr>
                <w:sz w:val="24"/>
              </w:rPr>
            </w:pPr>
            <w:r>
              <w:rPr>
                <w:sz w:val="24"/>
              </w:rPr>
              <w:t>联系人</w:t>
            </w:r>
          </w:p>
        </w:tc>
        <w:tc>
          <w:tcPr>
            <w:tcW w:w="2822" w:type="dxa"/>
            <w:gridSpan w:val="4"/>
          </w:tcPr>
          <w:p>
            <w:pPr>
              <w:pStyle w:val="17"/>
              <w:rPr>
                <w:rFonts w:ascii="Times New Roman"/>
                <w:sz w:val="22"/>
              </w:rPr>
            </w:pPr>
          </w:p>
        </w:tc>
        <w:tc>
          <w:tcPr>
            <w:tcW w:w="1411" w:type="dxa"/>
          </w:tcPr>
          <w:p>
            <w:pPr>
              <w:pStyle w:val="17"/>
              <w:spacing w:before="53"/>
              <w:ind w:left="531"/>
              <w:rPr>
                <w:sz w:val="24"/>
              </w:rPr>
            </w:pPr>
            <w:r>
              <w:rPr>
                <w:sz w:val="24"/>
              </w:rPr>
              <w:t>电话</w:t>
            </w:r>
          </w:p>
        </w:tc>
        <w:tc>
          <w:tcPr>
            <w:tcW w:w="2700" w:type="dxa"/>
            <w:gridSpan w:val="3"/>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680" w:type="dxa"/>
            <w:vMerge w:val="continue"/>
            <w:tcBorders>
              <w:top w:val="nil"/>
            </w:tcBorders>
          </w:tcPr>
          <w:p>
            <w:pPr>
              <w:rPr>
                <w:sz w:val="2"/>
                <w:szCs w:val="2"/>
              </w:rPr>
            </w:pPr>
          </w:p>
        </w:tc>
        <w:tc>
          <w:tcPr>
            <w:tcW w:w="1015" w:type="dxa"/>
          </w:tcPr>
          <w:p>
            <w:pPr>
              <w:pStyle w:val="17"/>
              <w:spacing w:before="52"/>
              <w:ind w:left="108"/>
              <w:rPr>
                <w:sz w:val="24"/>
              </w:rPr>
            </w:pPr>
            <w:r>
              <w:rPr>
                <w:sz w:val="24"/>
              </w:rPr>
              <w:t>传真</w:t>
            </w:r>
          </w:p>
        </w:tc>
        <w:tc>
          <w:tcPr>
            <w:tcW w:w="2822" w:type="dxa"/>
            <w:gridSpan w:val="4"/>
          </w:tcPr>
          <w:p>
            <w:pPr>
              <w:pStyle w:val="17"/>
              <w:rPr>
                <w:rFonts w:ascii="Times New Roman"/>
                <w:sz w:val="22"/>
              </w:rPr>
            </w:pPr>
          </w:p>
        </w:tc>
        <w:tc>
          <w:tcPr>
            <w:tcW w:w="1411" w:type="dxa"/>
          </w:tcPr>
          <w:p>
            <w:pPr>
              <w:pStyle w:val="17"/>
              <w:spacing w:before="52"/>
              <w:ind w:left="531"/>
              <w:rPr>
                <w:sz w:val="24"/>
              </w:rPr>
            </w:pPr>
            <w:r>
              <w:rPr>
                <w:sz w:val="24"/>
              </w:rPr>
              <w:t>网址</w:t>
            </w:r>
          </w:p>
        </w:tc>
        <w:tc>
          <w:tcPr>
            <w:tcW w:w="2700" w:type="dxa"/>
            <w:gridSpan w:val="3"/>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680" w:type="dxa"/>
          </w:tcPr>
          <w:p>
            <w:pPr>
              <w:pStyle w:val="17"/>
              <w:spacing w:before="51"/>
              <w:ind w:left="108"/>
              <w:rPr>
                <w:sz w:val="24"/>
              </w:rPr>
            </w:pPr>
            <w:r>
              <w:rPr>
                <w:sz w:val="24"/>
              </w:rPr>
              <w:t>组织结构</w:t>
            </w:r>
          </w:p>
        </w:tc>
        <w:tc>
          <w:tcPr>
            <w:tcW w:w="7948" w:type="dxa"/>
            <w:gridSpan w:val="9"/>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80" w:type="dxa"/>
          </w:tcPr>
          <w:p>
            <w:pPr>
              <w:pStyle w:val="17"/>
              <w:spacing w:before="52"/>
              <w:ind w:left="108"/>
              <w:rPr>
                <w:sz w:val="24"/>
              </w:rPr>
            </w:pPr>
            <w:r>
              <w:rPr>
                <w:sz w:val="24"/>
              </w:rPr>
              <w:t>法定代表人</w:t>
            </w:r>
          </w:p>
        </w:tc>
        <w:tc>
          <w:tcPr>
            <w:tcW w:w="1015" w:type="dxa"/>
          </w:tcPr>
          <w:p>
            <w:pPr>
              <w:pStyle w:val="17"/>
              <w:spacing w:before="52"/>
              <w:ind w:left="108"/>
              <w:rPr>
                <w:sz w:val="24"/>
              </w:rPr>
            </w:pPr>
            <w:r>
              <w:rPr>
                <w:sz w:val="24"/>
              </w:rPr>
              <w:t>姓名</w:t>
            </w:r>
          </w:p>
        </w:tc>
        <w:tc>
          <w:tcPr>
            <w:tcW w:w="1157" w:type="dxa"/>
          </w:tcPr>
          <w:p>
            <w:pPr>
              <w:pStyle w:val="17"/>
              <w:rPr>
                <w:rFonts w:ascii="Times New Roman"/>
                <w:sz w:val="22"/>
              </w:rPr>
            </w:pPr>
          </w:p>
        </w:tc>
        <w:tc>
          <w:tcPr>
            <w:tcW w:w="1445" w:type="dxa"/>
            <w:gridSpan w:val="2"/>
          </w:tcPr>
          <w:p>
            <w:pPr>
              <w:pStyle w:val="17"/>
              <w:spacing w:before="52"/>
              <w:ind w:left="108"/>
              <w:rPr>
                <w:sz w:val="24"/>
              </w:rPr>
            </w:pPr>
            <w:r>
              <w:rPr>
                <w:sz w:val="24"/>
              </w:rPr>
              <w:t>技术职称</w:t>
            </w:r>
          </w:p>
        </w:tc>
        <w:tc>
          <w:tcPr>
            <w:tcW w:w="1926" w:type="dxa"/>
            <w:gridSpan w:val="3"/>
          </w:tcPr>
          <w:p>
            <w:pPr>
              <w:pStyle w:val="17"/>
              <w:rPr>
                <w:rFonts w:ascii="Times New Roman"/>
                <w:sz w:val="22"/>
              </w:rPr>
            </w:pPr>
          </w:p>
        </w:tc>
        <w:tc>
          <w:tcPr>
            <w:tcW w:w="803" w:type="dxa"/>
          </w:tcPr>
          <w:p>
            <w:pPr>
              <w:pStyle w:val="17"/>
              <w:spacing w:before="52"/>
              <w:ind w:left="107"/>
              <w:rPr>
                <w:sz w:val="24"/>
              </w:rPr>
            </w:pPr>
            <w:r>
              <w:rPr>
                <w:sz w:val="24"/>
              </w:rPr>
              <w:t>电话</w:t>
            </w:r>
          </w:p>
        </w:tc>
        <w:tc>
          <w:tcPr>
            <w:tcW w:w="1602"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680" w:type="dxa"/>
          </w:tcPr>
          <w:p>
            <w:pPr>
              <w:pStyle w:val="17"/>
              <w:spacing w:before="51"/>
              <w:ind w:left="108"/>
              <w:rPr>
                <w:sz w:val="24"/>
              </w:rPr>
            </w:pPr>
            <w:r>
              <w:rPr>
                <w:sz w:val="24"/>
              </w:rPr>
              <w:t>技术负责人</w:t>
            </w:r>
          </w:p>
        </w:tc>
        <w:tc>
          <w:tcPr>
            <w:tcW w:w="1015" w:type="dxa"/>
          </w:tcPr>
          <w:p>
            <w:pPr>
              <w:pStyle w:val="17"/>
              <w:spacing w:before="51"/>
              <w:ind w:left="108"/>
              <w:rPr>
                <w:sz w:val="24"/>
              </w:rPr>
            </w:pPr>
            <w:r>
              <w:rPr>
                <w:sz w:val="24"/>
              </w:rPr>
              <w:t>姓名</w:t>
            </w:r>
          </w:p>
        </w:tc>
        <w:tc>
          <w:tcPr>
            <w:tcW w:w="1157" w:type="dxa"/>
          </w:tcPr>
          <w:p>
            <w:pPr>
              <w:pStyle w:val="17"/>
              <w:rPr>
                <w:rFonts w:ascii="Times New Roman"/>
                <w:sz w:val="22"/>
              </w:rPr>
            </w:pPr>
          </w:p>
        </w:tc>
        <w:tc>
          <w:tcPr>
            <w:tcW w:w="1445" w:type="dxa"/>
            <w:gridSpan w:val="2"/>
          </w:tcPr>
          <w:p>
            <w:pPr>
              <w:pStyle w:val="17"/>
              <w:spacing w:before="51"/>
              <w:ind w:left="108"/>
              <w:rPr>
                <w:sz w:val="24"/>
              </w:rPr>
            </w:pPr>
            <w:r>
              <w:rPr>
                <w:sz w:val="24"/>
              </w:rPr>
              <w:t>技术职称</w:t>
            </w:r>
          </w:p>
        </w:tc>
        <w:tc>
          <w:tcPr>
            <w:tcW w:w="1926" w:type="dxa"/>
            <w:gridSpan w:val="3"/>
          </w:tcPr>
          <w:p>
            <w:pPr>
              <w:pStyle w:val="17"/>
              <w:rPr>
                <w:rFonts w:ascii="Times New Roman"/>
                <w:sz w:val="22"/>
              </w:rPr>
            </w:pPr>
          </w:p>
        </w:tc>
        <w:tc>
          <w:tcPr>
            <w:tcW w:w="803" w:type="dxa"/>
          </w:tcPr>
          <w:p>
            <w:pPr>
              <w:pStyle w:val="17"/>
              <w:spacing w:before="51"/>
              <w:ind w:left="107"/>
              <w:rPr>
                <w:sz w:val="24"/>
              </w:rPr>
            </w:pPr>
            <w:r>
              <w:rPr>
                <w:sz w:val="24"/>
              </w:rPr>
              <w:t>电话</w:t>
            </w:r>
          </w:p>
        </w:tc>
        <w:tc>
          <w:tcPr>
            <w:tcW w:w="1602"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680" w:type="dxa"/>
          </w:tcPr>
          <w:p>
            <w:pPr>
              <w:pStyle w:val="17"/>
              <w:spacing w:before="53"/>
              <w:ind w:left="108"/>
              <w:rPr>
                <w:sz w:val="24"/>
              </w:rPr>
            </w:pPr>
            <w:r>
              <w:rPr>
                <w:sz w:val="24"/>
              </w:rPr>
              <w:t>成立时间</w:t>
            </w:r>
          </w:p>
        </w:tc>
        <w:tc>
          <w:tcPr>
            <w:tcW w:w="2172" w:type="dxa"/>
            <w:gridSpan w:val="2"/>
          </w:tcPr>
          <w:p>
            <w:pPr>
              <w:pStyle w:val="17"/>
              <w:rPr>
                <w:rFonts w:ascii="Times New Roman"/>
                <w:sz w:val="22"/>
              </w:rPr>
            </w:pPr>
          </w:p>
        </w:tc>
        <w:tc>
          <w:tcPr>
            <w:tcW w:w="5776" w:type="dxa"/>
            <w:gridSpan w:val="7"/>
          </w:tcPr>
          <w:p>
            <w:pPr>
              <w:pStyle w:val="17"/>
              <w:spacing w:before="53"/>
              <w:ind w:left="533"/>
              <w:rPr>
                <w:sz w:val="24"/>
              </w:rPr>
            </w:pPr>
            <w:r>
              <w:rPr>
                <w:sz w:val="24"/>
              </w:rPr>
              <w:t>员工总人数：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80" w:type="dxa"/>
          </w:tcPr>
          <w:p>
            <w:pPr>
              <w:pStyle w:val="17"/>
              <w:spacing w:before="52"/>
              <w:ind w:left="108"/>
              <w:rPr>
                <w:sz w:val="24"/>
              </w:rPr>
            </w:pPr>
            <w:r>
              <w:rPr>
                <w:sz w:val="24"/>
              </w:rPr>
              <w:t>企业资质等级</w:t>
            </w:r>
          </w:p>
        </w:tc>
        <w:tc>
          <w:tcPr>
            <w:tcW w:w="1015" w:type="dxa"/>
          </w:tcPr>
          <w:p>
            <w:pPr>
              <w:pStyle w:val="17"/>
              <w:rPr>
                <w:rFonts w:ascii="Times New Roman"/>
                <w:sz w:val="22"/>
              </w:rPr>
            </w:pPr>
          </w:p>
        </w:tc>
        <w:tc>
          <w:tcPr>
            <w:tcW w:w="1157" w:type="dxa"/>
          </w:tcPr>
          <w:p>
            <w:pPr>
              <w:pStyle w:val="17"/>
              <w:rPr>
                <w:rFonts w:ascii="Times New Roman"/>
                <w:sz w:val="22"/>
              </w:rPr>
            </w:pPr>
          </w:p>
        </w:tc>
        <w:tc>
          <w:tcPr>
            <w:tcW w:w="1125" w:type="dxa"/>
            <w:vMerge w:val="restart"/>
          </w:tcPr>
          <w:p>
            <w:pPr>
              <w:pStyle w:val="17"/>
              <w:rPr>
                <w:sz w:val="24"/>
              </w:rPr>
            </w:pPr>
          </w:p>
          <w:p>
            <w:pPr>
              <w:pStyle w:val="17"/>
              <w:rPr>
                <w:sz w:val="24"/>
              </w:rPr>
            </w:pPr>
          </w:p>
          <w:p>
            <w:pPr>
              <w:pStyle w:val="17"/>
              <w:rPr>
                <w:sz w:val="24"/>
              </w:rPr>
            </w:pPr>
          </w:p>
          <w:p>
            <w:pPr>
              <w:pStyle w:val="17"/>
              <w:spacing w:before="2"/>
              <w:rPr>
                <w:sz w:val="22"/>
              </w:rPr>
            </w:pPr>
          </w:p>
          <w:p>
            <w:pPr>
              <w:pStyle w:val="17"/>
              <w:ind w:left="533"/>
              <w:rPr>
                <w:sz w:val="24"/>
              </w:rPr>
            </w:pPr>
            <w:r>
              <w:rPr>
                <w:sz w:val="24"/>
              </w:rPr>
              <w:t>其中</w:t>
            </w:r>
          </w:p>
        </w:tc>
        <w:tc>
          <w:tcPr>
            <w:tcW w:w="2246" w:type="dxa"/>
            <w:gridSpan w:val="4"/>
          </w:tcPr>
          <w:p>
            <w:pPr>
              <w:pStyle w:val="17"/>
              <w:spacing w:before="52"/>
              <w:ind w:left="106"/>
              <w:rPr>
                <w:sz w:val="24"/>
              </w:rPr>
            </w:pPr>
            <w:r>
              <w:rPr>
                <w:sz w:val="24"/>
              </w:rPr>
              <w:t>项目经理</w:t>
            </w:r>
          </w:p>
        </w:tc>
        <w:tc>
          <w:tcPr>
            <w:tcW w:w="2405"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680" w:type="dxa"/>
          </w:tcPr>
          <w:p>
            <w:pPr>
              <w:pStyle w:val="17"/>
              <w:spacing w:before="51"/>
              <w:ind w:left="108"/>
              <w:rPr>
                <w:sz w:val="24"/>
              </w:rPr>
            </w:pPr>
            <w:r>
              <w:rPr>
                <w:sz w:val="24"/>
              </w:rPr>
              <w:t>营业执照号</w:t>
            </w:r>
          </w:p>
        </w:tc>
        <w:tc>
          <w:tcPr>
            <w:tcW w:w="1015" w:type="dxa"/>
          </w:tcPr>
          <w:p>
            <w:pPr>
              <w:pStyle w:val="17"/>
              <w:rPr>
                <w:rFonts w:ascii="Times New Roman"/>
                <w:sz w:val="22"/>
              </w:rPr>
            </w:pPr>
          </w:p>
        </w:tc>
        <w:tc>
          <w:tcPr>
            <w:tcW w:w="1157" w:type="dxa"/>
          </w:tcPr>
          <w:p>
            <w:pPr>
              <w:pStyle w:val="17"/>
              <w:rPr>
                <w:rFonts w:ascii="Times New Roman"/>
                <w:sz w:val="22"/>
              </w:rPr>
            </w:pPr>
          </w:p>
        </w:tc>
        <w:tc>
          <w:tcPr>
            <w:tcW w:w="1125" w:type="dxa"/>
            <w:vMerge w:val="continue"/>
            <w:tcBorders>
              <w:top w:val="nil"/>
            </w:tcBorders>
          </w:tcPr>
          <w:p>
            <w:pPr>
              <w:rPr>
                <w:sz w:val="2"/>
                <w:szCs w:val="2"/>
              </w:rPr>
            </w:pPr>
          </w:p>
        </w:tc>
        <w:tc>
          <w:tcPr>
            <w:tcW w:w="2246" w:type="dxa"/>
            <w:gridSpan w:val="4"/>
          </w:tcPr>
          <w:p>
            <w:pPr>
              <w:pStyle w:val="17"/>
              <w:spacing w:before="51"/>
              <w:ind w:left="106"/>
              <w:rPr>
                <w:sz w:val="24"/>
              </w:rPr>
            </w:pPr>
            <w:r>
              <w:rPr>
                <w:sz w:val="24"/>
              </w:rPr>
              <w:t>高级职称人员</w:t>
            </w:r>
          </w:p>
        </w:tc>
        <w:tc>
          <w:tcPr>
            <w:tcW w:w="2405"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80" w:type="dxa"/>
          </w:tcPr>
          <w:p>
            <w:pPr>
              <w:pStyle w:val="17"/>
              <w:spacing w:before="52"/>
              <w:ind w:left="108"/>
              <w:rPr>
                <w:sz w:val="24"/>
              </w:rPr>
            </w:pPr>
            <w:r>
              <w:rPr>
                <w:sz w:val="24"/>
              </w:rPr>
              <w:t>注册资金</w:t>
            </w:r>
          </w:p>
        </w:tc>
        <w:tc>
          <w:tcPr>
            <w:tcW w:w="1015" w:type="dxa"/>
          </w:tcPr>
          <w:p>
            <w:pPr>
              <w:pStyle w:val="17"/>
              <w:rPr>
                <w:rFonts w:ascii="Times New Roman"/>
                <w:sz w:val="22"/>
              </w:rPr>
            </w:pPr>
          </w:p>
        </w:tc>
        <w:tc>
          <w:tcPr>
            <w:tcW w:w="1157" w:type="dxa"/>
          </w:tcPr>
          <w:p>
            <w:pPr>
              <w:pStyle w:val="17"/>
              <w:rPr>
                <w:rFonts w:ascii="Times New Roman"/>
                <w:sz w:val="22"/>
              </w:rPr>
            </w:pPr>
          </w:p>
        </w:tc>
        <w:tc>
          <w:tcPr>
            <w:tcW w:w="1125" w:type="dxa"/>
            <w:vMerge w:val="continue"/>
            <w:tcBorders>
              <w:top w:val="nil"/>
            </w:tcBorders>
          </w:tcPr>
          <w:p>
            <w:pPr>
              <w:rPr>
                <w:sz w:val="2"/>
                <w:szCs w:val="2"/>
              </w:rPr>
            </w:pPr>
          </w:p>
        </w:tc>
        <w:tc>
          <w:tcPr>
            <w:tcW w:w="2246" w:type="dxa"/>
            <w:gridSpan w:val="4"/>
          </w:tcPr>
          <w:p>
            <w:pPr>
              <w:pStyle w:val="17"/>
              <w:spacing w:before="52"/>
              <w:ind w:left="106"/>
              <w:rPr>
                <w:sz w:val="24"/>
              </w:rPr>
            </w:pPr>
            <w:r>
              <w:rPr>
                <w:sz w:val="24"/>
              </w:rPr>
              <w:t>中级职称人员</w:t>
            </w:r>
          </w:p>
        </w:tc>
        <w:tc>
          <w:tcPr>
            <w:tcW w:w="2405"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680" w:type="dxa"/>
          </w:tcPr>
          <w:p>
            <w:pPr>
              <w:pStyle w:val="17"/>
              <w:spacing w:before="51"/>
              <w:ind w:left="108"/>
              <w:rPr>
                <w:sz w:val="24"/>
              </w:rPr>
            </w:pPr>
            <w:r>
              <w:rPr>
                <w:sz w:val="24"/>
              </w:rPr>
              <w:t>开户银行</w:t>
            </w:r>
          </w:p>
        </w:tc>
        <w:tc>
          <w:tcPr>
            <w:tcW w:w="1015" w:type="dxa"/>
          </w:tcPr>
          <w:p>
            <w:pPr>
              <w:pStyle w:val="17"/>
              <w:rPr>
                <w:rFonts w:ascii="Times New Roman"/>
                <w:sz w:val="22"/>
              </w:rPr>
            </w:pPr>
          </w:p>
        </w:tc>
        <w:tc>
          <w:tcPr>
            <w:tcW w:w="1157" w:type="dxa"/>
          </w:tcPr>
          <w:p>
            <w:pPr>
              <w:pStyle w:val="17"/>
              <w:rPr>
                <w:rFonts w:ascii="Times New Roman"/>
                <w:sz w:val="22"/>
              </w:rPr>
            </w:pPr>
          </w:p>
        </w:tc>
        <w:tc>
          <w:tcPr>
            <w:tcW w:w="1125" w:type="dxa"/>
            <w:vMerge w:val="continue"/>
            <w:tcBorders>
              <w:top w:val="nil"/>
            </w:tcBorders>
          </w:tcPr>
          <w:p>
            <w:pPr>
              <w:rPr>
                <w:sz w:val="2"/>
                <w:szCs w:val="2"/>
              </w:rPr>
            </w:pPr>
          </w:p>
        </w:tc>
        <w:tc>
          <w:tcPr>
            <w:tcW w:w="2246" w:type="dxa"/>
            <w:gridSpan w:val="4"/>
          </w:tcPr>
          <w:p>
            <w:pPr>
              <w:pStyle w:val="17"/>
              <w:spacing w:before="51"/>
              <w:ind w:left="106"/>
              <w:rPr>
                <w:sz w:val="24"/>
              </w:rPr>
            </w:pPr>
            <w:r>
              <w:rPr>
                <w:sz w:val="24"/>
              </w:rPr>
              <w:t>初级职称人员</w:t>
            </w:r>
          </w:p>
        </w:tc>
        <w:tc>
          <w:tcPr>
            <w:tcW w:w="2405"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80" w:type="dxa"/>
          </w:tcPr>
          <w:p>
            <w:pPr>
              <w:pStyle w:val="17"/>
              <w:spacing w:before="52"/>
              <w:ind w:left="108"/>
              <w:rPr>
                <w:sz w:val="24"/>
              </w:rPr>
            </w:pPr>
            <w:r>
              <w:rPr>
                <w:sz w:val="24"/>
              </w:rPr>
              <w:t>账号</w:t>
            </w:r>
          </w:p>
        </w:tc>
        <w:tc>
          <w:tcPr>
            <w:tcW w:w="1015" w:type="dxa"/>
          </w:tcPr>
          <w:p>
            <w:pPr>
              <w:pStyle w:val="17"/>
              <w:rPr>
                <w:rFonts w:ascii="Times New Roman"/>
                <w:sz w:val="22"/>
              </w:rPr>
            </w:pPr>
          </w:p>
        </w:tc>
        <w:tc>
          <w:tcPr>
            <w:tcW w:w="1157" w:type="dxa"/>
          </w:tcPr>
          <w:p>
            <w:pPr>
              <w:pStyle w:val="17"/>
              <w:rPr>
                <w:rFonts w:ascii="Times New Roman"/>
                <w:sz w:val="22"/>
              </w:rPr>
            </w:pPr>
          </w:p>
        </w:tc>
        <w:tc>
          <w:tcPr>
            <w:tcW w:w="1125" w:type="dxa"/>
            <w:vMerge w:val="continue"/>
            <w:tcBorders>
              <w:top w:val="nil"/>
            </w:tcBorders>
          </w:tcPr>
          <w:p>
            <w:pPr>
              <w:rPr>
                <w:sz w:val="2"/>
                <w:szCs w:val="2"/>
              </w:rPr>
            </w:pPr>
          </w:p>
        </w:tc>
        <w:tc>
          <w:tcPr>
            <w:tcW w:w="2246" w:type="dxa"/>
            <w:gridSpan w:val="4"/>
          </w:tcPr>
          <w:p>
            <w:pPr>
              <w:pStyle w:val="17"/>
              <w:spacing w:before="52"/>
              <w:ind w:left="106"/>
              <w:rPr>
                <w:sz w:val="24"/>
              </w:rPr>
            </w:pPr>
            <w:r>
              <w:rPr>
                <w:sz w:val="24"/>
              </w:rPr>
              <w:t>技工</w:t>
            </w:r>
          </w:p>
        </w:tc>
        <w:tc>
          <w:tcPr>
            <w:tcW w:w="2405" w:type="dxa"/>
            <w:gridSpan w:val="2"/>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2" w:hRule="atLeast"/>
        </w:trPr>
        <w:tc>
          <w:tcPr>
            <w:tcW w:w="1680" w:type="dxa"/>
          </w:tcPr>
          <w:p>
            <w:pPr>
              <w:pStyle w:val="17"/>
              <w:rPr>
                <w:sz w:val="24"/>
              </w:rPr>
            </w:pPr>
          </w:p>
          <w:p>
            <w:pPr>
              <w:pStyle w:val="17"/>
              <w:spacing w:before="8"/>
              <w:rPr>
                <w:sz w:val="35"/>
              </w:rPr>
            </w:pPr>
          </w:p>
          <w:p>
            <w:pPr>
              <w:pStyle w:val="17"/>
              <w:ind w:left="108"/>
              <w:rPr>
                <w:sz w:val="24"/>
              </w:rPr>
            </w:pPr>
            <w:r>
              <w:rPr>
                <w:sz w:val="24"/>
              </w:rPr>
              <w:t>经营范围</w:t>
            </w:r>
          </w:p>
        </w:tc>
        <w:tc>
          <w:tcPr>
            <w:tcW w:w="7948" w:type="dxa"/>
            <w:gridSpan w:val="9"/>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680" w:type="dxa"/>
          </w:tcPr>
          <w:p>
            <w:pPr>
              <w:pStyle w:val="17"/>
              <w:spacing w:before="51"/>
              <w:ind w:left="533"/>
              <w:rPr>
                <w:sz w:val="24"/>
              </w:rPr>
            </w:pPr>
            <w:r>
              <w:rPr>
                <w:sz w:val="24"/>
              </w:rPr>
              <w:t>备注</w:t>
            </w:r>
          </w:p>
        </w:tc>
        <w:tc>
          <w:tcPr>
            <w:tcW w:w="7948" w:type="dxa"/>
            <w:gridSpan w:val="9"/>
          </w:tcPr>
          <w:p>
            <w:pPr>
              <w:pStyle w:val="17"/>
              <w:rPr>
                <w:rFonts w:ascii="Times New Roman"/>
                <w:sz w:val="22"/>
              </w:rPr>
            </w:pPr>
          </w:p>
        </w:tc>
      </w:tr>
    </w:tbl>
    <w:p>
      <w:pPr>
        <w:pStyle w:val="8"/>
        <w:spacing w:before="2" w:line="362" w:lineRule="auto"/>
        <w:ind w:left="388" w:right="852" w:firstLine="424"/>
      </w:pPr>
      <w:r>
        <w:t>备注：本表后应附企业法人营业执照及其企业资质证书副本、安全生产许可证等材料的复印件。</w:t>
      </w:r>
    </w:p>
    <w:p>
      <w:pPr>
        <w:spacing w:after="0" w:line="362" w:lineRule="auto"/>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36" o:spid="_x0000_s1236" o:spt="20" style="position:absolute;left:0pt;margin-left:62.4pt;margin-top:12.25pt;height:0pt;width:400.4pt;mso-position-horizontal-relative:page;z-index:25187123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812"/>
      </w:pPr>
      <w:r>
        <w:t>（二）近年财务状况报告</w:t>
      </w:r>
    </w:p>
    <w:p>
      <w:pPr>
        <w:spacing w:after="0"/>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37" o:spid="_x0000_s1237" o:spt="20" style="position:absolute;left:0pt;margin-left:62.4pt;margin-top:12.25pt;height:0pt;width:400.4pt;mso-position-horizontal-relative:page;z-index:25187225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812"/>
      </w:pPr>
      <w:r>
        <w:t>（三）近年完成的类似项目情况表</w:t>
      </w:r>
    </w:p>
    <w:p>
      <w:pPr>
        <w:pStyle w:val="8"/>
        <w:spacing w:before="3" w:after="1"/>
        <w:rPr>
          <w:sz w:val="12"/>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29"/>
        <w:gridCol w:w="68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729" w:type="dxa"/>
          </w:tcPr>
          <w:p>
            <w:pPr>
              <w:pStyle w:val="17"/>
              <w:spacing w:before="79"/>
              <w:ind w:left="883"/>
              <w:rPr>
                <w:sz w:val="24"/>
              </w:rPr>
            </w:pPr>
            <w:r>
              <w:rPr>
                <w:sz w:val="24"/>
              </w:rPr>
              <w:t>项目名称</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729" w:type="dxa"/>
          </w:tcPr>
          <w:p>
            <w:pPr>
              <w:pStyle w:val="17"/>
              <w:spacing w:before="79"/>
              <w:ind w:left="763"/>
              <w:rPr>
                <w:sz w:val="24"/>
              </w:rPr>
            </w:pPr>
            <w:r>
              <w:rPr>
                <w:sz w:val="24"/>
              </w:rPr>
              <w:t>项目所在地</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729" w:type="dxa"/>
          </w:tcPr>
          <w:p>
            <w:pPr>
              <w:pStyle w:val="17"/>
              <w:spacing w:before="79"/>
              <w:ind w:left="763"/>
              <w:rPr>
                <w:sz w:val="24"/>
              </w:rPr>
            </w:pPr>
            <w:r>
              <w:rPr>
                <w:sz w:val="24"/>
              </w:rPr>
              <w:t>发包人名称</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729" w:type="dxa"/>
          </w:tcPr>
          <w:p>
            <w:pPr>
              <w:pStyle w:val="17"/>
              <w:spacing w:before="78"/>
              <w:ind w:left="763"/>
              <w:rPr>
                <w:sz w:val="24"/>
              </w:rPr>
            </w:pPr>
            <w:r>
              <w:rPr>
                <w:sz w:val="24"/>
              </w:rPr>
              <w:t>发包人地址</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729" w:type="dxa"/>
          </w:tcPr>
          <w:p>
            <w:pPr>
              <w:pStyle w:val="17"/>
              <w:spacing w:before="78"/>
              <w:ind w:right="273"/>
              <w:jc w:val="right"/>
              <w:rPr>
                <w:sz w:val="24"/>
              </w:rPr>
            </w:pPr>
            <w:r>
              <w:rPr>
                <w:sz w:val="24"/>
              </w:rPr>
              <w:t>发包人联系人及电话</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729" w:type="dxa"/>
          </w:tcPr>
          <w:p>
            <w:pPr>
              <w:pStyle w:val="17"/>
              <w:spacing w:before="80"/>
              <w:ind w:left="883"/>
              <w:rPr>
                <w:sz w:val="24"/>
              </w:rPr>
            </w:pPr>
            <w:r>
              <w:rPr>
                <w:sz w:val="24"/>
              </w:rPr>
              <w:t>合同价格</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729" w:type="dxa"/>
          </w:tcPr>
          <w:p>
            <w:pPr>
              <w:pStyle w:val="17"/>
              <w:spacing w:before="79"/>
              <w:ind w:left="883"/>
              <w:rPr>
                <w:sz w:val="24"/>
              </w:rPr>
            </w:pPr>
            <w:r>
              <w:rPr>
                <w:sz w:val="24"/>
              </w:rPr>
              <w:t>开工日期</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729" w:type="dxa"/>
          </w:tcPr>
          <w:p>
            <w:pPr>
              <w:pStyle w:val="17"/>
              <w:spacing w:before="79"/>
              <w:ind w:left="883"/>
              <w:rPr>
                <w:sz w:val="24"/>
              </w:rPr>
            </w:pPr>
            <w:r>
              <w:rPr>
                <w:sz w:val="24"/>
              </w:rPr>
              <w:t>竣工日期</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729" w:type="dxa"/>
          </w:tcPr>
          <w:p>
            <w:pPr>
              <w:pStyle w:val="17"/>
              <w:spacing w:before="79"/>
              <w:ind w:left="763"/>
              <w:rPr>
                <w:sz w:val="24"/>
              </w:rPr>
            </w:pPr>
            <w:r>
              <w:rPr>
                <w:sz w:val="24"/>
              </w:rPr>
              <w:t>承担的工作</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729" w:type="dxa"/>
          </w:tcPr>
          <w:p>
            <w:pPr>
              <w:pStyle w:val="17"/>
              <w:spacing w:before="78"/>
              <w:ind w:left="883"/>
              <w:rPr>
                <w:sz w:val="24"/>
              </w:rPr>
            </w:pPr>
            <w:r>
              <w:rPr>
                <w:sz w:val="24"/>
              </w:rPr>
              <w:t>工程质量</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729" w:type="dxa"/>
          </w:tcPr>
          <w:p>
            <w:pPr>
              <w:pStyle w:val="17"/>
              <w:spacing w:before="78"/>
              <w:ind w:left="883"/>
              <w:rPr>
                <w:sz w:val="24"/>
              </w:rPr>
            </w:pPr>
            <w:r>
              <w:rPr>
                <w:sz w:val="24"/>
              </w:rPr>
              <w:t>项目经理</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729" w:type="dxa"/>
          </w:tcPr>
          <w:p>
            <w:pPr>
              <w:pStyle w:val="17"/>
              <w:spacing w:before="80"/>
              <w:ind w:left="763"/>
              <w:rPr>
                <w:sz w:val="24"/>
              </w:rPr>
            </w:pPr>
            <w:r>
              <w:rPr>
                <w:sz w:val="24"/>
              </w:rPr>
              <w:t>技术负责人</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729" w:type="dxa"/>
          </w:tcPr>
          <w:p>
            <w:pPr>
              <w:pStyle w:val="17"/>
              <w:spacing w:before="79"/>
              <w:ind w:right="273"/>
              <w:jc w:val="right"/>
              <w:rPr>
                <w:sz w:val="24"/>
              </w:rPr>
            </w:pPr>
            <w:r>
              <w:rPr>
                <w:sz w:val="24"/>
              </w:rPr>
              <w:t>总监理工程师及电话</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8" w:hRule="atLeast"/>
        </w:trPr>
        <w:tc>
          <w:tcPr>
            <w:tcW w:w="2729" w:type="dxa"/>
          </w:tcPr>
          <w:p>
            <w:pPr>
              <w:pStyle w:val="17"/>
              <w:rPr>
                <w:sz w:val="24"/>
              </w:rPr>
            </w:pPr>
          </w:p>
          <w:p>
            <w:pPr>
              <w:pStyle w:val="17"/>
              <w:spacing w:before="5"/>
              <w:rPr>
                <w:sz w:val="28"/>
              </w:rPr>
            </w:pPr>
          </w:p>
          <w:p>
            <w:pPr>
              <w:pStyle w:val="17"/>
              <w:ind w:left="1097"/>
              <w:rPr>
                <w:sz w:val="24"/>
              </w:rPr>
            </w:pPr>
            <w:r>
              <w:rPr>
                <w:sz w:val="24"/>
              </w:rPr>
              <w:t>项目描述</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729" w:type="dxa"/>
          </w:tcPr>
          <w:p>
            <w:pPr>
              <w:pStyle w:val="17"/>
              <w:spacing w:before="78"/>
              <w:ind w:left="1337"/>
              <w:rPr>
                <w:sz w:val="24"/>
              </w:rPr>
            </w:pPr>
            <w:r>
              <w:rPr>
                <w:sz w:val="24"/>
              </w:rPr>
              <w:t>备注</w:t>
            </w:r>
          </w:p>
        </w:tc>
        <w:tc>
          <w:tcPr>
            <w:tcW w:w="6899" w:type="dxa"/>
          </w:tcPr>
          <w:p>
            <w:pPr>
              <w:pStyle w:val="17"/>
              <w:rPr>
                <w:rFonts w:ascii="Times New Roman"/>
                <w:sz w:val="22"/>
              </w:rPr>
            </w:pPr>
          </w:p>
        </w:tc>
      </w:tr>
    </w:tbl>
    <w:p>
      <w:pPr>
        <w:pStyle w:val="8"/>
        <w:spacing w:before="1"/>
        <w:ind w:left="812"/>
      </w:pPr>
      <w:r>
        <w:t>备注：</w:t>
      </w:r>
    </w:p>
    <w:p>
      <w:pPr>
        <w:pStyle w:val="8"/>
        <w:spacing w:before="160" w:line="362" w:lineRule="auto"/>
        <w:ind w:left="388" w:right="852" w:firstLine="424"/>
      </w:pPr>
      <w:r>
        <w:t>本表后附中标(成交)通知书或双方签订的合同协议书或竣工验收备案表，具体年份要求见磋商响应人须知前附表。每张表格只填写一个项目，并标明序号。</w:t>
      </w:r>
    </w:p>
    <w:p>
      <w:pPr>
        <w:spacing w:after="0" w:line="362" w:lineRule="auto"/>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38" o:spid="_x0000_s1238" o:spt="20" style="position:absolute;left:0pt;margin-left:62.4pt;margin-top:12.25pt;height:0pt;width:400.4pt;mso-position-horizontal-relative:page;z-index:25187328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812"/>
        <w:outlineLvl w:val="2"/>
      </w:pPr>
      <w:r>
        <w:t>（四）正在施工的和新承接的项目情况表</w:t>
      </w:r>
    </w:p>
    <w:p>
      <w:pPr>
        <w:pStyle w:val="8"/>
        <w:spacing w:before="3" w:after="1"/>
        <w:rPr>
          <w:sz w:val="12"/>
        </w:rPr>
      </w:pPr>
    </w:p>
    <w:tbl>
      <w:tblPr>
        <w:tblStyle w:val="13"/>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29"/>
        <w:gridCol w:w="68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729" w:type="dxa"/>
          </w:tcPr>
          <w:p>
            <w:pPr>
              <w:pStyle w:val="17"/>
              <w:spacing w:before="79"/>
              <w:ind w:left="1097"/>
              <w:rPr>
                <w:sz w:val="24"/>
              </w:rPr>
            </w:pPr>
            <w:r>
              <w:rPr>
                <w:sz w:val="24"/>
              </w:rPr>
              <w:t>项目名称</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729" w:type="dxa"/>
          </w:tcPr>
          <w:p>
            <w:pPr>
              <w:pStyle w:val="17"/>
              <w:spacing w:before="79"/>
              <w:ind w:left="977"/>
              <w:rPr>
                <w:sz w:val="24"/>
              </w:rPr>
            </w:pPr>
            <w:r>
              <w:rPr>
                <w:sz w:val="24"/>
              </w:rPr>
              <w:t>项目所在地</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729" w:type="dxa"/>
          </w:tcPr>
          <w:p>
            <w:pPr>
              <w:pStyle w:val="17"/>
              <w:spacing w:before="79"/>
              <w:ind w:left="977"/>
              <w:rPr>
                <w:sz w:val="24"/>
              </w:rPr>
            </w:pPr>
            <w:r>
              <w:rPr>
                <w:sz w:val="24"/>
              </w:rPr>
              <w:t>发包人名称</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729" w:type="dxa"/>
          </w:tcPr>
          <w:p>
            <w:pPr>
              <w:pStyle w:val="17"/>
              <w:spacing w:before="78"/>
              <w:ind w:left="977"/>
              <w:rPr>
                <w:sz w:val="24"/>
              </w:rPr>
            </w:pPr>
            <w:r>
              <w:rPr>
                <w:sz w:val="24"/>
              </w:rPr>
              <w:t>发包人地址</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729" w:type="dxa"/>
          </w:tcPr>
          <w:p>
            <w:pPr>
              <w:pStyle w:val="17"/>
              <w:spacing w:before="78"/>
              <w:ind w:left="977"/>
              <w:rPr>
                <w:sz w:val="24"/>
              </w:rPr>
            </w:pPr>
            <w:r>
              <w:rPr>
                <w:sz w:val="24"/>
              </w:rPr>
              <w:t>发包人电话</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729" w:type="dxa"/>
          </w:tcPr>
          <w:p>
            <w:pPr>
              <w:pStyle w:val="17"/>
              <w:spacing w:before="80"/>
              <w:ind w:left="977"/>
              <w:rPr>
                <w:sz w:val="24"/>
              </w:rPr>
            </w:pPr>
            <w:r>
              <w:rPr>
                <w:sz w:val="24"/>
              </w:rPr>
              <w:t>签约合同价</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729" w:type="dxa"/>
          </w:tcPr>
          <w:p>
            <w:pPr>
              <w:pStyle w:val="17"/>
              <w:spacing w:before="79"/>
              <w:ind w:left="1097"/>
              <w:rPr>
                <w:sz w:val="24"/>
              </w:rPr>
            </w:pPr>
            <w:r>
              <w:rPr>
                <w:sz w:val="24"/>
              </w:rPr>
              <w:t>开工日期</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729" w:type="dxa"/>
          </w:tcPr>
          <w:p>
            <w:pPr>
              <w:pStyle w:val="17"/>
              <w:spacing w:before="79"/>
              <w:ind w:left="857"/>
              <w:rPr>
                <w:sz w:val="24"/>
              </w:rPr>
            </w:pPr>
            <w:r>
              <w:rPr>
                <w:sz w:val="24"/>
              </w:rPr>
              <w:t>计划竣工日期</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729" w:type="dxa"/>
          </w:tcPr>
          <w:p>
            <w:pPr>
              <w:pStyle w:val="17"/>
              <w:spacing w:before="79"/>
              <w:ind w:left="977"/>
              <w:rPr>
                <w:sz w:val="24"/>
              </w:rPr>
            </w:pPr>
            <w:r>
              <w:rPr>
                <w:sz w:val="24"/>
              </w:rPr>
              <w:t>承担的工作</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729" w:type="dxa"/>
          </w:tcPr>
          <w:p>
            <w:pPr>
              <w:pStyle w:val="17"/>
              <w:spacing w:before="78"/>
              <w:ind w:left="1097"/>
              <w:rPr>
                <w:sz w:val="24"/>
              </w:rPr>
            </w:pPr>
            <w:r>
              <w:rPr>
                <w:sz w:val="24"/>
              </w:rPr>
              <w:t>工程质量</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729" w:type="dxa"/>
          </w:tcPr>
          <w:p>
            <w:pPr>
              <w:pStyle w:val="17"/>
              <w:spacing w:before="78"/>
              <w:ind w:left="1097"/>
              <w:rPr>
                <w:sz w:val="24"/>
              </w:rPr>
            </w:pPr>
            <w:r>
              <w:rPr>
                <w:sz w:val="24"/>
              </w:rPr>
              <w:t>项目经理</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729" w:type="dxa"/>
          </w:tcPr>
          <w:p>
            <w:pPr>
              <w:pStyle w:val="17"/>
              <w:spacing w:before="80"/>
              <w:ind w:left="977"/>
              <w:rPr>
                <w:sz w:val="24"/>
              </w:rPr>
            </w:pPr>
            <w:r>
              <w:rPr>
                <w:sz w:val="24"/>
              </w:rPr>
              <w:t>技术负责人</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729" w:type="dxa"/>
          </w:tcPr>
          <w:p>
            <w:pPr>
              <w:pStyle w:val="17"/>
              <w:spacing w:before="79"/>
              <w:ind w:left="283"/>
              <w:rPr>
                <w:sz w:val="24"/>
              </w:rPr>
            </w:pPr>
            <w:r>
              <w:rPr>
                <w:sz w:val="24"/>
              </w:rPr>
              <w:t>总监理工程师及电话</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2729" w:type="dxa"/>
          </w:tcPr>
          <w:p>
            <w:pPr>
              <w:pStyle w:val="17"/>
              <w:spacing w:before="216"/>
              <w:ind w:left="1097"/>
              <w:rPr>
                <w:sz w:val="24"/>
              </w:rPr>
            </w:pPr>
            <w:r>
              <w:rPr>
                <w:sz w:val="24"/>
              </w:rPr>
              <w:t>项目描述</w:t>
            </w:r>
          </w:p>
        </w:tc>
        <w:tc>
          <w:tcPr>
            <w:tcW w:w="6899"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729" w:type="dxa"/>
          </w:tcPr>
          <w:p>
            <w:pPr>
              <w:pStyle w:val="17"/>
              <w:spacing w:before="79"/>
              <w:ind w:left="1337"/>
              <w:rPr>
                <w:sz w:val="24"/>
              </w:rPr>
            </w:pPr>
            <w:r>
              <w:rPr>
                <w:sz w:val="24"/>
              </w:rPr>
              <w:t>备注</w:t>
            </w:r>
          </w:p>
        </w:tc>
        <w:tc>
          <w:tcPr>
            <w:tcW w:w="6899" w:type="dxa"/>
          </w:tcPr>
          <w:p>
            <w:pPr>
              <w:pStyle w:val="17"/>
              <w:rPr>
                <w:rFonts w:ascii="Times New Roman"/>
                <w:sz w:val="22"/>
              </w:rPr>
            </w:pPr>
          </w:p>
        </w:tc>
      </w:tr>
    </w:tbl>
    <w:p>
      <w:pPr>
        <w:pStyle w:val="8"/>
        <w:spacing w:before="2" w:line="362" w:lineRule="auto"/>
        <w:ind w:left="388" w:right="852" w:firstLine="424"/>
      </w:pPr>
      <w:r>
        <w:t>备注：本表后附成交通知书和（或）合同协议书复印件。每张表格只填写一个项目， 并标明序号。</w:t>
      </w:r>
    </w:p>
    <w:p>
      <w:pPr>
        <w:spacing w:after="0" w:line="362" w:lineRule="auto"/>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39" o:spid="_x0000_s1239" o:spt="20" style="position:absolute;left:0pt;margin-left:62.4pt;margin-top:12.25pt;height:0pt;width:400.4pt;mso-position-horizontal-relative:page;z-index:25187430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ind w:left="812"/>
        <w:outlineLvl w:val="2"/>
      </w:pPr>
      <w:r>
        <w:t>（五）近年发生的诉讼和仲裁情况</w:t>
      </w:r>
    </w:p>
    <w:p>
      <w:pPr>
        <w:pStyle w:val="8"/>
        <w:spacing w:before="158" w:line="364" w:lineRule="auto"/>
        <w:ind w:left="388" w:right="852" w:firstLine="424"/>
      </w:pPr>
      <w:r>
        <w:t>说明：近年发生的诉讼和仲裁情况仅限于磋商响应人败诉的，且与履行施工承包合同有关的案件，不包括调解结案以及未裁决的仲裁或未终审判决的诉讼。</w:t>
      </w:r>
    </w:p>
    <w:p>
      <w:pPr>
        <w:spacing w:after="0" w:line="364" w:lineRule="auto"/>
        <w:sectPr>
          <w:footerReference r:id="rId23" w:type="default"/>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pgNumType w:start="170"/>
          <w:cols w:space="720" w:num="1"/>
        </w:sectPr>
      </w:pPr>
    </w:p>
    <w:p>
      <w:pPr>
        <w:tabs>
          <w:tab w:val="left" w:pos="7676"/>
        </w:tabs>
        <w:spacing w:before="45"/>
        <w:ind w:left="388" w:right="0" w:firstLine="0"/>
        <w:jc w:val="left"/>
        <w:rPr>
          <w:sz w:val="18"/>
        </w:rPr>
      </w:pPr>
      <w:r>
        <w:pict>
          <v:line id="_x0000_s1240" o:spid="_x0000_s1240" o:spt="20" style="position:absolute;left:0pt;margin-left:62.4pt;margin-top:12.25pt;height:0pt;width:400.4pt;mso-position-horizontal-relative:page;z-index:251875328;mso-width-relative:page;mso-height-relative:page;" stroked="t" coordsize="21600,21600">
            <v:path arrowok="t"/>
            <v:fill focussize="0,0"/>
            <v:stroke weight="0.36pt" color="#000000"/>
            <v:imagedata o:title=""/>
            <o:lock v:ext="edit"/>
          </v:line>
        </w:pict>
      </w:r>
      <w:bookmarkStart w:id="167" w:name="十三、磋商最终报价表"/>
      <w:bookmarkEnd w:id="167"/>
      <w:r>
        <w:rPr>
          <w:rFonts w:hint="eastAsia"/>
          <w:sz w:val="18"/>
          <w:lang w:eastAsia="zh-CN"/>
        </w:rPr>
        <w:t xml:space="preserve"> </w:t>
      </w:r>
    </w:p>
    <w:p>
      <w:pPr>
        <w:pStyle w:val="8"/>
        <w:spacing w:before="6"/>
        <w:rPr>
          <w:sz w:val="25"/>
        </w:rPr>
      </w:pPr>
    </w:p>
    <w:p>
      <w:pPr>
        <w:pStyle w:val="8"/>
        <w:spacing w:before="67" w:line="362" w:lineRule="auto"/>
        <w:ind w:left="812" w:right="2532"/>
      </w:pPr>
      <w:r>
        <w:t>（六）企业其他信誉情况表（年份要求同诉讼及仲裁情况年份要求） 1、近年企业不良行为记录情况</w:t>
      </w:r>
    </w:p>
    <w:p>
      <w:pPr>
        <w:pStyle w:val="8"/>
      </w:pPr>
    </w:p>
    <w:p>
      <w:pPr>
        <w:pStyle w:val="8"/>
      </w:pPr>
    </w:p>
    <w:p>
      <w:pPr>
        <w:pStyle w:val="8"/>
      </w:pPr>
    </w:p>
    <w:p>
      <w:pPr>
        <w:pStyle w:val="8"/>
      </w:pPr>
    </w:p>
    <w:p>
      <w:pPr>
        <w:pStyle w:val="8"/>
        <w:spacing w:before="174"/>
        <w:ind w:left="812"/>
      </w:pPr>
      <w:r>
        <w:t>2、在施工程以及近年已竣工工程合同履行情况</w:t>
      </w:r>
    </w:p>
    <w:p>
      <w:pPr>
        <w:pStyle w:val="8"/>
      </w:pPr>
    </w:p>
    <w:p>
      <w:pPr>
        <w:pStyle w:val="8"/>
      </w:pPr>
    </w:p>
    <w:p>
      <w:pPr>
        <w:pStyle w:val="8"/>
      </w:pPr>
    </w:p>
    <w:p>
      <w:pPr>
        <w:pStyle w:val="8"/>
      </w:pPr>
    </w:p>
    <w:p>
      <w:pPr>
        <w:pStyle w:val="8"/>
        <w:spacing w:before="9"/>
        <w:rPr>
          <w:sz w:val="25"/>
        </w:rPr>
      </w:pPr>
    </w:p>
    <w:p>
      <w:pPr>
        <w:pStyle w:val="8"/>
        <w:ind w:left="812"/>
      </w:pPr>
      <w:r>
        <w:t>3、其他</w:t>
      </w:r>
    </w:p>
    <w:p>
      <w:pPr>
        <w:pStyle w:val="8"/>
      </w:pPr>
    </w:p>
    <w:p>
      <w:pPr>
        <w:pStyle w:val="8"/>
      </w:pPr>
    </w:p>
    <w:p>
      <w:pPr>
        <w:pStyle w:val="8"/>
      </w:pPr>
    </w:p>
    <w:p>
      <w:pPr>
        <w:pStyle w:val="8"/>
        <w:spacing w:before="172" w:line="364" w:lineRule="auto"/>
        <w:ind w:left="388" w:right="744" w:firstLine="424"/>
        <w:jc w:val="both"/>
      </w:pPr>
      <w:r>
        <w:rPr>
          <w:spacing w:val="-2"/>
        </w:rPr>
        <w:t>备注：</w:t>
      </w:r>
      <w:r>
        <w:rPr>
          <w:spacing w:val="-4"/>
        </w:rPr>
        <w:t>1</w:t>
      </w:r>
      <w:r>
        <w:rPr>
          <w:spacing w:val="-3"/>
        </w:rPr>
        <w:t>、企业不良行为记录情况主要是近年磋商响应人在工程建设过程中因违反有关</w:t>
      </w:r>
      <w:r>
        <w:t>工程建设的法律、法规、规章或强制性标准和执业行为规范，经县级以上建设行政主管部门或其委托的执法监督机构查实和行政处罚，形成的不良行为记录。应当结合第二章“磋</w:t>
      </w:r>
      <w:r>
        <w:rPr>
          <w:spacing w:val="-5"/>
        </w:rPr>
        <w:t xml:space="preserve">商响应人须知”前附表第 </w:t>
      </w:r>
      <w:r>
        <w:t>10.1.2</w:t>
      </w:r>
      <w:r>
        <w:rPr>
          <w:spacing w:val="-8"/>
        </w:rPr>
        <w:t xml:space="preserve"> 项定义的范围填写。</w:t>
      </w:r>
    </w:p>
    <w:p>
      <w:pPr>
        <w:pStyle w:val="8"/>
        <w:spacing w:line="364" w:lineRule="auto"/>
        <w:ind w:left="388" w:right="744" w:firstLine="424"/>
        <w:jc w:val="both"/>
      </w:pPr>
      <w:r>
        <w:t>2</w:t>
      </w:r>
      <w:r>
        <w:rPr>
          <w:spacing w:val="-4"/>
        </w:rPr>
        <w:t>、合同履行情况主要是磋商响应人近年所承接工程和已竣工工程是否按合同约定的工</w:t>
      </w:r>
      <w:r>
        <w:t>期、质量、安全等履行合同义务，对未竣工工程合同履行情况还应重点说明非不可抗力解除合同（如果有)的原因等具体情况，等等。</w:t>
      </w:r>
    </w:p>
    <w:p>
      <w:pPr>
        <w:pStyle w:val="8"/>
        <w:spacing w:line="307" w:lineRule="exact"/>
        <w:ind w:left="812"/>
        <w:outlineLvl w:val="2"/>
      </w:pPr>
      <w:r>
        <w:t>（七）主要项目管理人员简历表</w:t>
      </w:r>
    </w:p>
    <w:p>
      <w:pPr>
        <w:pStyle w:val="8"/>
        <w:spacing w:before="156" w:line="364" w:lineRule="auto"/>
        <w:ind w:left="388" w:right="852" w:firstLine="424"/>
      </w:pPr>
      <w:r>
        <w:t>说明：“主要人员简历表”同本章附件七之（二）。未进行资格预审但本章“项目管理机构”已有本表内容的，无需重复提交。</w:t>
      </w:r>
    </w:p>
    <w:p>
      <w:pPr>
        <w:spacing w:after="0" w:line="364" w:lineRule="auto"/>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41" o:spid="_x0000_s1241" o:spt="20" style="position:absolute;left:0pt;margin-left:62.4pt;margin-top:12.25pt;height:0pt;width:400.4pt;mso-position-horizontal-relative:page;z-index:251876352;mso-width-relative:page;mso-height-relative:page;" stroked="t" coordsize="21600,21600">
            <v:path arrowok="t"/>
            <v:fill focussize="0,0"/>
            <v:stroke weight="0.36pt" color="#000000"/>
            <v:imagedata o:title=""/>
            <o:lock v:ext="edit"/>
          </v:line>
        </w:pict>
      </w:r>
      <w:bookmarkStart w:id="168" w:name="十四、其他材料"/>
      <w:bookmarkEnd w:id="168"/>
      <w:r>
        <w:rPr>
          <w:rFonts w:hint="eastAsia"/>
          <w:sz w:val="18"/>
          <w:lang w:eastAsia="zh-CN"/>
        </w:rPr>
        <w:t xml:space="preserve"> </w:t>
      </w:r>
    </w:p>
    <w:p>
      <w:pPr>
        <w:pStyle w:val="8"/>
        <w:spacing w:before="6"/>
        <w:rPr>
          <w:sz w:val="25"/>
        </w:rPr>
      </w:pPr>
    </w:p>
    <w:p>
      <w:pPr>
        <w:spacing w:after="0"/>
        <w:rPr>
          <w:sz w:val="25"/>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pStyle w:val="7"/>
        <w:spacing w:before="67"/>
        <w:outlineLvl w:val="1"/>
      </w:pPr>
      <w:r>
        <w:t>十三、磋商最终报价表</w:t>
      </w:r>
    </w:p>
    <w:p>
      <w:pPr>
        <w:pStyle w:val="8"/>
        <w:spacing w:before="9"/>
        <w:rPr>
          <w:b/>
          <w:sz w:val="41"/>
        </w:rPr>
      </w:pPr>
      <w:r>
        <w:br w:type="column"/>
      </w:r>
    </w:p>
    <w:p>
      <w:pPr>
        <w:spacing w:before="0"/>
        <w:ind w:left="388" w:right="0" w:firstLine="0"/>
        <w:jc w:val="left"/>
        <w:rPr>
          <w:b/>
          <w:sz w:val="30"/>
        </w:rPr>
      </w:pPr>
      <w:r>
        <w:rPr>
          <w:b/>
          <w:sz w:val="30"/>
        </w:rPr>
        <w:t>磋商最终报价表</w:t>
      </w:r>
    </w:p>
    <w:p>
      <w:pPr>
        <w:spacing w:after="0"/>
        <w:jc w:val="left"/>
        <w:rPr>
          <w:sz w:val="30"/>
        </w:rPr>
        <w:sectPr>
          <w:type w:val="continuous"/>
          <w:pgSz w:w="11910" w:h="16840"/>
          <w:pgMar w:top="780" w:right="500" w:bottom="280" w:left="860" w:header="720" w:footer="720" w:gutter="0"/>
          <w:pgBorders w:offsetFrom="page">
            <w:top w:val="single" w:color="A6A6A6" w:sz="18" w:space="24"/>
            <w:left w:val="single" w:color="A6A6A6" w:sz="18" w:space="24"/>
            <w:bottom w:val="single" w:color="A6A6A6" w:sz="18" w:space="24"/>
            <w:right w:val="single" w:color="A6A6A6" w:sz="18" w:space="24"/>
          </w:pgBorders>
          <w:cols w:equalWidth="0" w:num="2">
            <w:col w:w="2838" w:space="812"/>
            <w:col w:w="6900"/>
          </w:cols>
        </w:sectPr>
      </w:pPr>
    </w:p>
    <w:p>
      <w:pPr>
        <w:pStyle w:val="8"/>
        <w:spacing w:before="2"/>
        <w:rPr>
          <w:b/>
          <w:sz w:val="10"/>
        </w:rPr>
      </w:pPr>
    </w:p>
    <w:p>
      <w:pPr>
        <w:tabs>
          <w:tab w:val="left" w:pos="7494"/>
          <w:tab w:val="left" w:pos="8579"/>
        </w:tabs>
        <w:spacing w:before="67"/>
        <w:ind w:left="388" w:right="0" w:firstLine="0"/>
        <w:jc w:val="left"/>
        <w:outlineLvl w:val="2"/>
        <w:rPr>
          <w:b/>
          <w:sz w:val="24"/>
        </w:rPr>
      </w:pPr>
      <w:r>
        <w:rPr>
          <w:b/>
          <w:sz w:val="24"/>
        </w:rPr>
        <w:t>项目名称：</w:t>
      </w:r>
      <w:r>
        <w:rPr>
          <w:b/>
          <w:sz w:val="24"/>
        </w:rPr>
        <w:tab/>
      </w:r>
      <w:r>
        <w:rPr>
          <w:b/>
          <w:sz w:val="24"/>
        </w:rPr>
        <w:t>单位：</w:t>
      </w:r>
      <w:r>
        <w:rPr>
          <w:b/>
          <w:sz w:val="24"/>
        </w:rPr>
        <w:tab/>
      </w:r>
      <w:r>
        <w:rPr>
          <w:b/>
          <w:sz w:val="24"/>
        </w:rPr>
        <w:t>万元</w:t>
      </w:r>
    </w:p>
    <w:p>
      <w:pPr>
        <w:pStyle w:val="8"/>
        <w:spacing w:before="5"/>
        <w:rPr>
          <w:b/>
          <w:sz w:val="12"/>
        </w:rPr>
      </w:pPr>
    </w:p>
    <w:tbl>
      <w:tblPr>
        <w:tblStyle w:val="1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79"/>
        <w:gridCol w:w="1985"/>
        <w:gridCol w:w="1642"/>
        <w:gridCol w:w="1760"/>
        <w:gridCol w:w="10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33" w:hRule="atLeast"/>
        </w:trPr>
        <w:tc>
          <w:tcPr>
            <w:tcW w:w="2979" w:type="dxa"/>
          </w:tcPr>
          <w:p>
            <w:pPr>
              <w:pStyle w:val="17"/>
              <w:spacing w:before="3"/>
              <w:rPr>
                <w:b/>
                <w:sz w:val="18"/>
              </w:rPr>
            </w:pPr>
          </w:p>
          <w:p>
            <w:pPr>
              <w:pStyle w:val="17"/>
              <w:ind w:left="1008"/>
              <w:rPr>
                <w:sz w:val="24"/>
              </w:rPr>
            </w:pPr>
            <w:r>
              <w:rPr>
                <w:sz w:val="24"/>
              </w:rPr>
              <w:t>项目名称</w:t>
            </w:r>
          </w:p>
        </w:tc>
        <w:tc>
          <w:tcPr>
            <w:tcW w:w="1985" w:type="dxa"/>
          </w:tcPr>
          <w:p>
            <w:pPr>
              <w:pStyle w:val="17"/>
              <w:spacing w:before="1"/>
              <w:ind w:left="510"/>
              <w:rPr>
                <w:sz w:val="24"/>
              </w:rPr>
            </w:pPr>
            <w:r>
              <w:rPr>
                <w:sz w:val="24"/>
              </w:rPr>
              <w:t>最初报价</w:t>
            </w:r>
          </w:p>
          <w:p>
            <w:pPr>
              <w:pStyle w:val="17"/>
              <w:spacing w:before="158"/>
              <w:ind w:left="510"/>
              <w:rPr>
                <w:sz w:val="24"/>
              </w:rPr>
            </w:pPr>
            <w:r>
              <w:rPr>
                <w:sz w:val="24"/>
              </w:rPr>
              <w:t>（万元）</w:t>
            </w:r>
          </w:p>
        </w:tc>
        <w:tc>
          <w:tcPr>
            <w:tcW w:w="1642" w:type="dxa"/>
          </w:tcPr>
          <w:p>
            <w:pPr>
              <w:pStyle w:val="17"/>
              <w:spacing w:before="1"/>
              <w:ind w:left="340"/>
              <w:rPr>
                <w:sz w:val="24"/>
              </w:rPr>
            </w:pPr>
            <w:r>
              <w:rPr>
                <w:sz w:val="24"/>
              </w:rPr>
              <w:t>最终报价</w:t>
            </w:r>
          </w:p>
          <w:p>
            <w:pPr>
              <w:pStyle w:val="17"/>
              <w:spacing w:before="158"/>
              <w:ind w:left="340"/>
              <w:rPr>
                <w:sz w:val="24"/>
              </w:rPr>
            </w:pPr>
            <w:r>
              <w:rPr>
                <w:sz w:val="24"/>
              </w:rPr>
              <w:t>（万元）</w:t>
            </w:r>
          </w:p>
        </w:tc>
        <w:tc>
          <w:tcPr>
            <w:tcW w:w="1760" w:type="dxa"/>
          </w:tcPr>
          <w:p>
            <w:pPr>
              <w:pStyle w:val="17"/>
              <w:spacing w:before="3"/>
              <w:rPr>
                <w:b/>
                <w:sz w:val="18"/>
              </w:rPr>
            </w:pPr>
          </w:p>
          <w:p>
            <w:pPr>
              <w:pStyle w:val="17"/>
              <w:ind w:left="619" w:right="610"/>
              <w:jc w:val="center"/>
              <w:rPr>
                <w:sz w:val="24"/>
              </w:rPr>
            </w:pPr>
            <w:r>
              <w:rPr>
                <w:sz w:val="24"/>
              </w:rPr>
              <w:t>工期</w:t>
            </w:r>
          </w:p>
        </w:tc>
        <w:tc>
          <w:tcPr>
            <w:tcW w:w="1050" w:type="dxa"/>
          </w:tcPr>
          <w:p>
            <w:pPr>
              <w:pStyle w:val="17"/>
              <w:spacing w:before="3"/>
              <w:rPr>
                <w:b/>
                <w:sz w:val="18"/>
              </w:rPr>
            </w:pPr>
          </w:p>
          <w:p>
            <w:pPr>
              <w:pStyle w:val="17"/>
              <w:ind w:left="283"/>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2979" w:type="dxa"/>
          </w:tcPr>
          <w:p>
            <w:pPr>
              <w:pStyle w:val="17"/>
              <w:rPr>
                <w:rFonts w:ascii="Times New Roman"/>
                <w:sz w:val="22"/>
              </w:rPr>
            </w:pPr>
          </w:p>
        </w:tc>
        <w:tc>
          <w:tcPr>
            <w:tcW w:w="1985" w:type="dxa"/>
          </w:tcPr>
          <w:p>
            <w:pPr>
              <w:pStyle w:val="17"/>
              <w:rPr>
                <w:rFonts w:ascii="Times New Roman"/>
                <w:sz w:val="22"/>
              </w:rPr>
            </w:pPr>
          </w:p>
        </w:tc>
        <w:tc>
          <w:tcPr>
            <w:tcW w:w="1642" w:type="dxa"/>
          </w:tcPr>
          <w:p>
            <w:pPr>
              <w:pStyle w:val="17"/>
              <w:rPr>
                <w:rFonts w:ascii="Times New Roman"/>
                <w:sz w:val="22"/>
              </w:rPr>
            </w:pPr>
          </w:p>
        </w:tc>
        <w:tc>
          <w:tcPr>
            <w:tcW w:w="1760" w:type="dxa"/>
          </w:tcPr>
          <w:p>
            <w:pPr>
              <w:pStyle w:val="17"/>
              <w:rPr>
                <w:rFonts w:ascii="Times New Roman"/>
                <w:sz w:val="22"/>
              </w:rPr>
            </w:pPr>
          </w:p>
        </w:tc>
        <w:tc>
          <w:tcPr>
            <w:tcW w:w="1050"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2979" w:type="dxa"/>
          </w:tcPr>
          <w:p>
            <w:pPr>
              <w:pStyle w:val="17"/>
              <w:spacing w:before="193"/>
              <w:ind w:left="1008"/>
              <w:rPr>
                <w:sz w:val="24"/>
              </w:rPr>
            </w:pPr>
            <w:r>
              <w:rPr>
                <w:sz w:val="24"/>
              </w:rPr>
              <w:t>调整因素</w:t>
            </w:r>
          </w:p>
        </w:tc>
        <w:tc>
          <w:tcPr>
            <w:tcW w:w="6437" w:type="dxa"/>
            <w:gridSpan w:val="4"/>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1" w:hRule="atLeast"/>
        </w:trPr>
        <w:tc>
          <w:tcPr>
            <w:tcW w:w="9416" w:type="dxa"/>
            <w:gridSpan w:val="5"/>
          </w:tcPr>
          <w:p>
            <w:pPr>
              <w:pStyle w:val="17"/>
              <w:spacing w:before="2"/>
              <w:ind w:left="108"/>
              <w:rPr>
                <w:sz w:val="24"/>
              </w:rPr>
            </w:pPr>
            <w:r>
              <w:rPr>
                <w:sz w:val="24"/>
              </w:rPr>
              <w:t>最终确定的优惠条件及其他承诺：</w:t>
            </w:r>
          </w:p>
        </w:tc>
      </w:tr>
    </w:tbl>
    <w:p>
      <w:pPr>
        <w:pStyle w:val="8"/>
        <w:rPr>
          <w:b/>
        </w:rPr>
      </w:pPr>
    </w:p>
    <w:p>
      <w:pPr>
        <w:pStyle w:val="8"/>
        <w:spacing w:before="161" w:line="362" w:lineRule="auto"/>
        <w:ind w:left="388" w:right="744"/>
        <w:rPr>
          <w:spacing w:val="-8"/>
        </w:rPr>
      </w:pPr>
      <w:r>
        <w:rPr>
          <w:spacing w:val="-3"/>
        </w:rPr>
        <w:t>注：</w:t>
      </w:r>
      <w:r>
        <w:rPr>
          <w:rFonts w:hint="eastAsia"/>
          <w:spacing w:val="-3"/>
          <w:lang w:val="en-US" w:eastAsia="zh-CN"/>
        </w:rPr>
        <w:t>1、</w:t>
      </w:r>
      <w:r>
        <w:rPr>
          <w:spacing w:val="-8"/>
        </w:rPr>
        <w:t>此表不需装订在响应文件中，磋商响应人事先须盖章、签字。</w:t>
      </w:r>
    </w:p>
    <w:p>
      <w:pPr>
        <w:pStyle w:val="8"/>
        <w:spacing w:before="161" w:line="362" w:lineRule="auto"/>
        <w:ind w:right="744" w:firstLine="956" w:firstLineChars="427"/>
        <w:rPr>
          <w:spacing w:val="-8"/>
        </w:rPr>
      </w:pPr>
      <w:r>
        <w:rPr>
          <w:rFonts w:hint="eastAsia"/>
          <w:spacing w:val="-8"/>
          <w:lang w:val="en-US" w:eastAsia="zh-CN"/>
        </w:rPr>
        <w:t>2、</w:t>
      </w:r>
      <w:r>
        <w:rPr>
          <w:rFonts w:hint="eastAsia"/>
          <w:spacing w:val="-8"/>
        </w:rPr>
        <w:t>在磋商期间，由磋商小组确定合格的磋商响应人现场填写。</w:t>
      </w:r>
    </w:p>
    <w:p>
      <w:pPr>
        <w:pStyle w:val="8"/>
      </w:pPr>
    </w:p>
    <w:p>
      <w:pPr>
        <w:pStyle w:val="8"/>
      </w:pPr>
    </w:p>
    <w:p>
      <w:pPr>
        <w:pStyle w:val="8"/>
      </w:pPr>
    </w:p>
    <w:p>
      <w:pPr>
        <w:pStyle w:val="8"/>
        <w:tabs>
          <w:tab w:val="left" w:pos="4640"/>
          <w:tab w:val="left" w:pos="5240"/>
          <w:tab w:val="left" w:pos="8840"/>
        </w:tabs>
        <w:spacing w:before="172" w:line="364" w:lineRule="auto"/>
        <w:ind w:left="4040" w:right="744" w:firstLine="1080"/>
        <w:jc w:val="right"/>
      </w:pPr>
      <w:r>
        <w:t>磋商响应人：</w:t>
      </w:r>
      <w:r>
        <w:tab/>
      </w:r>
      <w:r>
        <w:t>（公章</w:t>
      </w:r>
      <w:r>
        <w:rPr>
          <w:spacing w:val="-17"/>
        </w:rPr>
        <w:t>）</w:t>
      </w:r>
      <w:r>
        <w:t>法定代表人或委托代理人：</w:t>
      </w:r>
      <w:r>
        <w:tab/>
      </w:r>
      <w:r>
        <w:t>（签字</w:t>
      </w:r>
      <w:r>
        <w:rPr>
          <w:spacing w:val="-17"/>
        </w:rPr>
        <w:t>）</w:t>
      </w:r>
      <w:r>
        <w:t>年</w:t>
      </w:r>
      <w:r>
        <w:tab/>
      </w:r>
      <w:r>
        <w:t>月</w:t>
      </w:r>
      <w:r>
        <w:tab/>
      </w:r>
      <w:r>
        <w:t>日</w:t>
      </w:r>
    </w:p>
    <w:p>
      <w:pPr>
        <w:spacing w:after="0" w:line="364" w:lineRule="auto"/>
        <w:jc w:val="right"/>
        <w:sectPr>
          <w:type w:val="continuous"/>
          <w:pgSz w:w="11910" w:h="16840"/>
          <w:pgMar w:top="780" w:right="500" w:bottom="280" w:left="860" w:header="720" w:footer="720"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42" o:spid="_x0000_s1242" o:spt="20" style="position:absolute;left:0pt;margin-left:62.4pt;margin-top:12.25pt;height:0pt;width:400.4pt;mso-position-horizontal-relative:page;z-index:251877376;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spacing w:after="0"/>
        <w:rPr>
          <w:sz w:val="25"/>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pStyle w:val="7"/>
        <w:spacing w:before="67"/>
        <w:outlineLvl w:val="1"/>
      </w:pPr>
      <w:r>
        <w:t>十四、其他材料</w:t>
      </w:r>
    </w:p>
    <w:p>
      <w:pPr>
        <w:pStyle w:val="8"/>
        <w:spacing w:before="9"/>
        <w:rPr>
          <w:b/>
          <w:sz w:val="41"/>
        </w:rPr>
      </w:pPr>
      <w:r>
        <w:br w:type="column"/>
      </w:r>
    </w:p>
    <w:p>
      <w:pPr>
        <w:spacing w:before="0"/>
        <w:ind w:left="388" w:right="0" w:firstLine="0"/>
        <w:jc w:val="left"/>
        <w:outlineLvl w:val="2"/>
        <w:rPr>
          <w:b/>
          <w:sz w:val="30"/>
        </w:rPr>
      </w:pPr>
      <w:r>
        <w:rPr>
          <w:b/>
          <w:sz w:val="30"/>
        </w:rPr>
        <w:t>磋商保证金证明</w:t>
      </w:r>
    </w:p>
    <w:p>
      <w:pPr>
        <w:spacing w:after="0"/>
        <w:jc w:val="left"/>
        <w:rPr>
          <w:sz w:val="30"/>
        </w:rPr>
        <w:sectPr>
          <w:type w:val="continuous"/>
          <w:pgSz w:w="11910" w:h="16840"/>
          <w:pgMar w:top="780" w:right="500" w:bottom="280" w:left="860" w:header="720" w:footer="720" w:gutter="0"/>
          <w:pgBorders w:offsetFrom="page">
            <w:top w:val="single" w:color="A6A6A6" w:sz="18" w:space="24"/>
            <w:left w:val="single" w:color="A6A6A6" w:sz="18" w:space="24"/>
            <w:bottom w:val="single" w:color="A6A6A6" w:sz="18" w:space="24"/>
            <w:right w:val="single" w:color="A6A6A6" w:sz="18" w:space="24"/>
          </w:pgBorders>
          <w:cols w:equalWidth="0" w:num="2">
            <w:col w:w="2113" w:space="1537"/>
            <w:col w:w="6900"/>
          </w:cols>
        </w:sectPr>
      </w:pPr>
    </w:p>
    <w:p>
      <w:pPr>
        <w:pStyle w:val="8"/>
        <w:rPr>
          <w:b/>
          <w:sz w:val="20"/>
        </w:rPr>
      </w:pPr>
    </w:p>
    <w:p>
      <w:pPr>
        <w:pStyle w:val="8"/>
        <w:rPr>
          <w:b/>
          <w:sz w:val="20"/>
        </w:rPr>
      </w:pPr>
    </w:p>
    <w:p>
      <w:pPr>
        <w:spacing w:before="232"/>
        <w:ind w:left="388" w:right="0" w:firstLine="0"/>
        <w:jc w:val="left"/>
        <w:rPr>
          <w:b/>
          <w:sz w:val="28"/>
        </w:rPr>
      </w:pPr>
      <w:r>
        <w:rPr>
          <w:b/>
          <w:sz w:val="28"/>
        </w:rPr>
        <w:t>致：青海汇森招标有限公司</w:t>
      </w:r>
    </w:p>
    <w:p>
      <w:pPr>
        <w:pStyle w:val="8"/>
        <w:rPr>
          <w:b/>
          <w:sz w:val="28"/>
        </w:rPr>
      </w:pPr>
    </w:p>
    <w:p>
      <w:pPr>
        <w:pStyle w:val="8"/>
        <w:spacing w:before="10"/>
        <w:rPr>
          <w:b/>
          <w:sz w:val="22"/>
        </w:rPr>
      </w:pPr>
    </w:p>
    <w:p>
      <w:pPr>
        <w:pStyle w:val="8"/>
        <w:tabs>
          <w:tab w:val="left" w:pos="2547"/>
          <w:tab w:val="left" w:pos="4107"/>
          <w:tab w:val="left" w:pos="4827"/>
          <w:tab w:val="left" w:pos="5547"/>
          <w:tab w:val="left" w:pos="5883"/>
          <w:tab w:val="left" w:pos="9320"/>
        </w:tabs>
        <w:spacing w:before="1" w:line="362" w:lineRule="auto"/>
        <w:ind w:left="388" w:right="744" w:firstLine="360"/>
      </w:pPr>
      <w:r>
        <w:t>我方</w:t>
      </w:r>
      <w:r>
        <w:rPr>
          <w:spacing w:val="-96"/>
        </w:rPr>
        <w:t>为</w:t>
      </w:r>
      <w:r>
        <w:t>（项目名称</w:t>
      </w:r>
      <w:r>
        <w:rPr>
          <w:spacing w:val="-96"/>
        </w:rPr>
        <w:t>）</w:t>
      </w:r>
      <w:r>
        <w:t>项</w:t>
      </w:r>
      <w:r>
        <w:rPr>
          <w:spacing w:val="-96"/>
        </w:rPr>
        <w:t>目</w:t>
      </w:r>
      <w:r>
        <w:t>（采购编号为：</w:t>
      </w:r>
      <w:r>
        <w:tab/>
      </w:r>
      <w:r>
        <w:tab/>
      </w:r>
      <w:r>
        <w:tab/>
      </w:r>
      <w:r>
        <w:rPr>
          <w:spacing w:val="-96"/>
        </w:rPr>
        <w:t>）</w:t>
      </w:r>
      <w:r>
        <w:t>递交保证金人民币</w:t>
      </w:r>
      <w:r>
        <w:rPr>
          <w:u w:val="single"/>
        </w:rPr>
        <w:t xml:space="preserve"> </w:t>
      </w:r>
      <w:r>
        <w:rPr>
          <w:u w:val="single"/>
        </w:rPr>
        <w:tab/>
      </w:r>
      <w:r>
        <w:rPr>
          <w:u w:val="single"/>
        </w:rPr>
        <w:t>（</w:t>
      </w:r>
      <w:r>
        <w:rPr>
          <w:spacing w:val="-17"/>
        </w:rPr>
        <w:t>大</w:t>
      </w:r>
      <w:r>
        <w:t>写：人民币</w:t>
      </w:r>
      <w:r>
        <w:rPr>
          <w:u w:val="single"/>
        </w:rPr>
        <w:t xml:space="preserve"> </w:t>
      </w:r>
      <w:r>
        <w:rPr>
          <w:u w:val="single"/>
        </w:rPr>
        <w:tab/>
      </w:r>
      <w:r>
        <w:t>元）已于</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日以基本户转账方式汇入指定账户。</w:t>
      </w:r>
    </w:p>
    <w:p>
      <w:pPr>
        <w:pStyle w:val="8"/>
        <w:spacing w:before="5"/>
        <w:ind w:left="748"/>
      </w:pPr>
      <w:r>
        <w:t>附件：保证金交款证明及基本账户信息复印件）</w:t>
      </w:r>
    </w:p>
    <w:p>
      <w:pPr>
        <w:pStyle w:val="8"/>
        <w:spacing w:before="160" w:line="364" w:lineRule="auto"/>
        <w:ind w:left="388" w:right="624" w:firstLine="360"/>
      </w:pPr>
      <w:r>
        <w:rPr>
          <w:spacing w:val="-4"/>
        </w:rPr>
        <w:t>退还保证金时请按以下内容汇入至我方账户</w:t>
      </w:r>
      <w:r>
        <w:rPr>
          <w:spacing w:val="-3"/>
        </w:rPr>
        <w:t>（</w:t>
      </w:r>
      <w:r>
        <w:t>同递交保证金账户</w:t>
      </w:r>
      <w:r>
        <w:rPr>
          <w:spacing w:val="-63"/>
        </w:rPr>
        <w:t>）</w:t>
      </w:r>
      <w:r>
        <w:rPr>
          <w:spacing w:val="-9"/>
        </w:rPr>
        <w:t>。若因提供内容不全、</w:t>
      </w:r>
      <w:r>
        <w:t>错误等原因导致该项目保证金未能及时退还或退还过程中发生错误，我方将承担全部责任和损失。</w:t>
      </w:r>
    </w:p>
    <w:p>
      <w:pPr>
        <w:pStyle w:val="8"/>
        <w:spacing w:line="364" w:lineRule="auto"/>
        <w:ind w:left="748" w:right="8598"/>
        <w:jc w:val="both"/>
      </w:pPr>
      <w:r>
        <w:rPr>
          <w:spacing w:val="-4"/>
        </w:rPr>
        <w:t>户 名 ： 开户银行： 开户帐号：</w:t>
      </w:r>
    </w:p>
    <w:p>
      <w:pPr>
        <w:pStyle w:val="8"/>
      </w:pPr>
    </w:p>
    <w:p>
      <w:pPr>
        <w:pStyle w:val="8"/>
      </w:pPr>
    </w:p>
    <w:p>
      <w:pPr>
        <w:pStyle w:val="8"/>
      </w:pPr>
    </w:p>
    <w:p>
      <w:pPr>
        <w:pStyle w:val="8"/>
      </w:pPr>
    </w:p>
    <w:p>
      <w:pPr>
        <w:pStyle w:val="8"/>
      </w:pPr>
    </w:p>
    <w:p>
      <w:pPr>
        <w:pStyle w:val="8"/>
      </w:pPr>
    </w:p>
    <w:p>
      <w:pPr>
        <w:pStyle w:val="8"/>
      </w:pPr>
    </w:p>
    <w:p>
      <w:pPr>
        <w:pStyle w:val="8"/>
      </w:pPr>
    </w:p>
    <w:p>
      <w:pPr>
        <w:pStyle w:val="8"/>
        <w:spacing w:before="4"/>
        <w:rPr>
          <w:sz w:val="26"/>
        </w:rPr>
      </w:pPr>
    </w:p>
    <w:p>
      <w:pPr>
        <w:pStyle w:val="8"/>
        <w:tabs>
          <w:tab w:val="left" w:pos="8840"/>
        </w:tabs>
        <w:spacing w:line="362" w:lineRule="auto"/>
        <w:ind w:left="4040" w:right="744" w:firstLine="1080"/>
      </w:pPr>
      <w:r>
        <w:t>磋商响应人：</w:t>
      </w:r>
      <w:r>
        <w:tab/>
      </w:r>
      <w:r>
        <w:t>（公章</w:t>
      </w:r>
      <w:r>
        <w:rPr>
          <w:spacing w:val="-17"/>
        </w:rPr>
        <w:t xml:space="preserve">） </w:t>
      </w:r>
      <w:r>
        <w:t>法定代表人或委托代理人：</w:t>
      </w:r>
      <w:r>
        <w:tab/>
      </w:r>
      <w:r>
        <w:t>（签字</w:t>
      </w:r>
      <w:r>
        <w:rPr>
          <w:spacing w:val="-17"/>
        </w:rPr>
        <w:t>）</w:t>
      </w:r>
    </w:p>
    <w:p>
      <w:pPr>
        <w:pStyle w:val="8"/>
      </w:pPr>
    </w:p>
    <w:p>
      <w:pPr>
        <w:pStyle w:val="8"/>
      </w:pPr>
    </w:p>
    <w:p>
      <w:pPr>
        <w:pStyle w:val="8"/>
      </w:pPr>
    </w:p>
    <w:p>
      <w:pPr>
        <w:pStyle w:val="8"/>
      </w:pPr>
    </w:p>
    <w:p>
      <w:pPr>
        <w:pStyle w:val="8"/>
      </w:pPr>
    </w:p>
    <w:p>
      <w:pPr>
        <w:pStyle w:val="8"/>
      </w:pPr>
    </w:p>
    <w:p>
      <w:pPr>
        <w:pStyle w:val="8"/>
      </w:pPr>
    </w:p>
    <w:p>
      <w:r>
        <w:br w:type="page"/>
      </w:r>
    </w:p>
    <w:p>
      <w:pPr>
        <w:outlineLvl w:val="1"/>
      </w:pPr>
      <w:r>
        <w:rPr>
          <w:rFonts w:ascii="宋体" w:hAnsi="宋体" w:eastAsia="宋体" w:cs="宋体"/>
          <w:b/>
          <w:bCs/>
          <w:sz w:val="24"/>
          <w:szCs w:val="24"/>
          <w:lang w:val="zh-CN" w:eastAsia="zh-CN" w:bidi="zh-CN"/>
        </w:rPr>
        <w:t>十</w:t>
      </w:r>
      <w:r>
        <w:rPr>
          <w:rFonts w:hint="eastAsia" w:ascii="宋体" w:hAnsi="宋体" w:eastAsia="宋体" w:cs="宋体"/>
          <w:b/>
          <w:bCs/>
          <w:sz w:val="24"/>
          <w:szCs w:val="24"/>
          <w:lang w:val="en-US" w:eastAsia="zh-CN" w:bidi="zh-CN"/>
        </w:rPr>
        <w:t>五</w:t>
      </w:r>
      <w:r>
        <w:rPr>
          <w:rFonts w:ascii="宋体" w:hAnsi="宋体" w:eastAsia="宋体" w:cs="宋体"/>
          <w:b/>
          <w:bCs/>
          <w:sz w:val="24"/>
          <w:szCs w:val="24"/>
          <w:lang w:val="zh-CN" w:eastAsia="zh-CN" w:bidi="zh-CN"/>
        </w:rPr>
        <w:t>、</w:t>
      </w:r>
      <w:r>
        <w:rPr>
          <w:rFonts w:hint="eastAsia" w:ascii="宋体" w:hAnsi="宋体" w:eastAsia="宋体" w:cs="宋体"/>
          <w:b/>
          <w:bCs/>
          <w:sz w:val="24"/>
          <w:szCs w:val="24"/>
          <w:lang w:val="en-US" w:eastAsia="zh-CN" w:bidi="zh-CN"/>
        </w:rPr>
        <w:t>供应商的开票信息</w:t>
      </w:r>
      <w:r>
        <w:br w:type="page"/>
      </w:r>
    </w:p>
    <w:p>
      <w:pPr>
        <w:pStyle w:val="8"/>
      </w:pPr>
    </w:p>
    <w:p>
      <w:pPr>
        <w:pStyle w:val="8"/>
        <w:rPr>
          <w:sz w:val="27"/>
        </w:rPr>
      </w:pPr>
    </w:p>
    <w:p>
      <w:pPr>
        <w:spacing w:before="0"/>
        <w:ind w:left="0" w:right="361" w:firstLine="0"/>
        <w:jc w:val="center"/>
        <w:rPr>
          <w:b/>
          <w:sz w:val="36"/>
        </w:rPr>
      </w:pPr>
      <w:bookmarkStart w:id="169" w:name="第六章工程量清单"/>
      <w:bookmarkEnd w:id="169"/>
    </w:p>
    <w:p>
      <w:pPr>
        <w:tabs>
          <w:tab w:val="left" w:pos="7676"/>
        </w:tabs>
        <w:spacing w:before="45"/>
        <w:ind w:left="388" w:right="0" w:firstLine="0"/>
        <w:jc w:val="center"/>
        <w:rPr>
          <w:b/>
          <w:sz w:val="36"/>
        </w:rPr>
      </w:pPr>
    </w:p>
    <w:p>
      <w:pPr>
        <w:tabs>
          <w:tab w:val="left" w:pos="7676"/>
        </w:tabs>
        <w:spacing w:before="45"/>
        <w:ind w:left="388" w:right="0" w:firstLine="0"/>
        <w:jc w:val="center"/>
        <w:outlineLvl w:val="0"/>
        <w:rPr>
          <w:sz w:val="18"/>
        </w:rPr>
      </w:pPr>
      <w:bookmarkStart w:id="170" w:name="_Toc28137"/>
      <w:r>
        <w:rPr>
          <w:b/>
          <w:sz w:val="36"/>
        </w:rPr>
        <w:t>第六章工程量清单</w:t>
      </w:r>
      <w:bookmarkEnd w:id="170"/>
    </w:p>
    <w:p>
      <w:pPr>
        <w:pStyle w:val="8"/>
        <w:spacing w:before="6"/>
        <w:rPr>
          <w:sz w:val="25"/>
        </w:rPr>
      </w:pPr>
    </w:p>
    <w:p>
      <w:pPr>
        <w:pStyle w:val="7"/>
        <w:spacing w:before="67"/>
        <w:outlineLvl w:val="1"/>
      </w:pPr>
      <w:bookmarkStart w:id="171" w:name="1、工程量清单说明"/>
      <w:bookmarkEnd w:id="171"/>
      <w:r>
        <w:t>1、工程量清单说明</w:t>
      </w:r>
    </w:p>
    <w:p>
      <w:pPr>
        <w:pStyle w:val="8"/>
        <w:rPr>
          <w:b/>
        </w:rPr>
      </w:pPr>
    </w:p>
    <w:p>
      <w:pPr>
        <w:pStyle w:val="16"/>
        <w:numPr>
          <w:ilvl w:val="1"/>
          <w:numId w:val="120"/>
        </w:numPr>
        <w:tabs>
          <w:tab w:val="left" w:pos="1233"/>
        </w:tabs>
        <w:spacing w:before="182" w:after="0" w:line="364" w:lineRule="auto"/>
        <w:ind w:left="388" w:right="744" w:firstLine="424"/>
        <w:jc w:val="both"/>
        <w:rPr>
          <w:sz w:val="24"/>
        </w:rPr>
      </w:pPr>
      <w:r>
        <w:rPr>
          <w:spacing w:val="-9"/>
          <w:sz w:val="24"/>
        </w:rPr>
        <w:t>本工程量清单是依据中华人民共和国国家标准《建设工程工程量清单计价规范》(以下简称“计价规范”)以及招标文件中包括的图纸等编制。计价规范中规定的工程量计算规</w:t>
      </w:r>
      <w:r>
        <w:rPr>
          <w:spacing w:val="-3"/>
          <w:sz w:val="24"/>
        </w:rPr>
        <w:t xml:space="preserve">则中没有的子目，应在本章第 </w:t>
      </w:r>
      <w:r>
        <w:rPr>
          <w:sz w:val="24"/>
        </w:rPr>
        <w:t>1.4</w:t>
      </w:r>
      <w:r>
        <w:rPr>
          <w:spacing w:val="-7"/>
          <w:sz w:val="24"/>
        </w:rPr>
        <w:t xml:space="preserve"> 款约定；计价规范中规定的工程量计算规则中没有且本</w:t>
      </w:r>
      <w:r>
        <w:rPr>
          <w:spacing w:val="-20"/>
          <w:sz w:val="24"/>
        </w:rPr>
        <w:t xml:space="preserve">章第 </w:t>
      </w:r>
      <w:r>
        <w:rPr>
          <w:sz w:val="24"/>
        </w:rPr>
        <w:t>1.4</w:t>
      </w:r>
      <w:r>
        <w:rPr>
          <w:spacing w:val="-7"/>
          <w:sz w:val="24"/>
        </w:rPr>
        <w:t xml:space="preserve"> 款也未约定的，双方协商确定；协商不成的，可向省级或行业工程造价管理机构申请裁定或按照有合同约束力的图纸所标示尺寸的理论净量计算。计量采用中华人民共和国法定的基本计量单位。</w:t>
      </w:r>
    </w:p>
    <w:p>
      <w:pPr>
        <w:pStyle w:val="16"/>
        <w:numPr>
          <w:ilvl w:val="1"/>
          <w:numId w:val="120"/>
        </w:numPr>
        <w:tabs>
          <w:tab w:val="left" w:pos="1233"/>
        </w:tabs>
        <w:spacing w:before="0" w:after="0" w:line="362" w:lineRule="auto"/>
        <w:ind w:left="388" w:right="672" w:firstLine="424"/>
        <w:jc w:val="both"/>
        <w:rPr>
          <w:sz w:val="24"/>
        </w:rPr>
      </w:pPr>
      <w:r>
        <w:rPr>
          <w:spacing w:val="-1"/>
          <w:sz w:val="24"/>
        </w:rPr>
        <w:t>本工程量清单应与招标文件中的磋商响应人须知、通用合同条款、专用合同条款、</w:t>
      </w:r>
      <w:r>
        <w:rPr>
          <w:sz w:val="24"/>
        </w:rPr>
        <w:t>技术标准和要求及图纸等章节内容一起阅读和理解。</w:t>
      </w:r>
    </w:p>
    <w:p>
      <w:pPr>
        <w:pStyle w:val="16"/>
        <w:numPr>
          <w:ilvl w:val="1"/>
          <w:numId w:val="120"/>
        </w:numPr>
        <w:tabs>
          <w:tab w:val="left" w:pos="1233"/>
        </w:tabs>
        <w:spacing w:before="3" w:after="0" w:line="362" w:lineRule="auto"/>
        <w:ind w:left="388" w:right="744" w:firstLine="424"/>
        <w:jc w:val="both"/>
        <w:rPr>
          <w:sz w:val="24"/>
        </w:rPr>
      </w:pPr>
      <w:r>
        <w:rPr>
          <w:spacing w:val="-4"/>
          <w:sz w:val="24"/>
        </w:rPr>
        <w:t>本工程量清单仅是投标报价的共同基础，竣工结算的工程量按合同约定确定。合同</w:t>
      </w:r>
      <w:r>
        <w:rPr>
          <w:sz w:val="24"/>
        </w:rPr>
        <w:t>价格的确定以及价款支付应遵循合同条款(包括通用合同条款和专用合同条款)、技术标准和要求以及本章的有关约定。</w:t>
      </w:r>
    </w:p>
    <w:p>
      <w:pPr>
        <w:pStyle w:val="16"/>
        <w:numPr>
          <w:ilvl w:val="1"/>
          <w:numId w:val="120"/>
        </w:numPr>
        <w:tabs>
          <w:tab w:val="left" w:pos="1233"/>
        </w:tabs>
        <w:spacing w:before="7" w:after="0" w:line="240" w:lineRule="auto"/>
        <w:ind w:left="1232" w:right="0" w:hanging="421"/>
        <w:jc w:val="both"/>
        <w:rPr>
          <w:sz w:val="24"/>
        </w:rPr>
      </w:pPr>
      <w:r>
        <w:rPr>
          <w:sz w:val="24"/>
        </w:rPr>
        <w:t>补充子目的子目特征、计量单位、工程量计算规则及工作内容说明如下：</w:t>
      </w:r>
    </w:p>
    <w:p>
      <w:pPr>
        <w:pStyle w:val="16"/>
        <w:numPr>
          <w:ilvl w:val="1"/>
          <w:numId w:val="120"/>
        </w:numPr>
        <w:tabs>
          <w:tab w:val="left" w:pos="1209"/>
        </w:tabs>
        <w:spacing w:before="160" w:after="0" w:line="362" w:lineRule="auto"/>
        <w:ind w:left="388" w:right="744" w:firstLine="424"/>
        <w:jc w:val="both"/>
        <w:rPr>
          <w:sz w:val="24"/>
        </w:rPr>
      </w:pPr>
      <w:r>
        <w:rPr>
          <w:spacing w:val="12"/>
          <w:sz w:val="24"/>
        </w:rPr>
        <w:t>本条第</w:t>
      </w:r>
      <w:r>
        <w:rPr>
          <w:sz w:val="24"/>
        </w:rPr>
        <w:t>1.1</w:t>
      </w:r>
      <w:r>
        <w:rPr>
          <w:spacing w:val="-11"/>
          <w:sz w:val="24"/>
        </w:rPr>
        <w:t xml:space="preserve"> 款中约定的计量和计价规则适用于合同履约过程中工程量计量与价款支</w:t>
      </w:r>
      <w:r>
        <w:rPr>
          <w:sz w:val="24"/>
        </w:rPr>
        <w:t>付、工程变更、索赔和工程结算。</w:t>
      </w:r>
    </w:p>
    <w:p>
      <w:pPr>
        <w:pStyle w:val="16"/>
        <w:numPr>
          <w:ilvl w:val="1"/>
          <w:numId w:val="120"/>
        </w:numPr>
        <w:tabs>
          <w:tab w:val="left" w:pos="1216"/>
        </w:tabs>
        <w:spacing w:before="5" w:after="0" w:line="362" w:lineRule="auto"/>
        <w:ind w:left="388" w:right="744" w:firstLine="424"/>
        <w:jc w:val="both"/>
        <w:rPr>
          <w:sz w:val="24"/>
        </w:rPr>
      </w:pPr>
      <w:r>
        <w:rPr>
          <w:spacing w:val="-11"/>
          <w:sz w:val="24"/>
        </w:rPr>
        <w:t xml:space="preserve">本条与下述第 </w:t>
      </w:r>
      <w:r>
        <w:rPr>
          <w:sz w:val="24"/>
        </w:rPr>
        <w:t>2</w:t>
      </w:r>
      <w:r>
        <w:rPr>
          <w:spacing w:val="-31"/>
          <w:sz w:val="24"/>
        </w:rPr>
        <w:t xml:space="preserve"> 条和第 </w:t>
      </w:r>
      <w:r>
        <w:rPr>
          <w:sz w:val="24"/>
        </w:rPr>
        <w:t>3</w:t>
      </w:r>
      <w:r>
        <w:rPr>
          <w:spacing w:val="-10"/>
          <w:sz w:val="24"/>
        </w:rPr>
        <w:t xml:space="preserve"> 条的说明内容是构成合同文件的已标价工程量清单的组成</w:t>
      </w:r>
      <w:r>
        <w:rPr>
          <w:sz w:val="24"/>
        </w:rPr>
        <w:t>部分。</w:t>
      </w:r>
    </w:p>
    <w:p>
      <w:pPr>
        <w:pStyle w:val="8"/>
        <w:spacing w:before="8"/>
        <w:rPr>
          <w:sz w:val="20"/>
        </w:rPr>
      </w:pPr>
    </w:p>
    <w:p>
      <w:pPr>
        <w:pStyle w:val="7"/>
        <w:outlineLvl w:val="1"/>
      </w:pPr>
      <w:bookmarkStart w:id="172" w:name="2、投标报价说明"/>
      <w:bookmarkEnd w:id="172"/>
      <w:r>
        <w:t>2、投标报价说明</w:t>
      </w:r>
    </w:p>
    <w:p>
      <w:pPr>
        <w:pStyle w:val="8"/>
        <w:rPr>
          <w:b/>
        </w:rPr>
      </w:pPr>
    </w:p>
    <w:p>
      <w:pPr>
        <w:pStyle w:val="16"/>
        <w:numPr>
          <w:ilvl w:val="1"/>
          <w:numId w:val="121"/>
        </w:numPr>
        <w:tabs>
          <w:tab w:val="left" w:pos="1233"/>
        </w:tabs>
        <w:spacing w:before="184" w:after="0" w:line="362" w:lineRule="auto"/>
        <w:ind w:left="812" w:right="1632" w:firstLine="0"/>
        <w:jc w:val="left"/>
        <w:rPr>
          <w:sz w:val="24"/>
        </w:rPr>
      </w:pPr>
      <w:r>
        <w:rPr>
          <w:spacing w:val="-1"/>
          <w:sz w:val="24"/>
        </w:rPr>
        <w:t>投标报价应根据招标文件中的有关计价要求，并按照下列依据自主报价。</w:t>
      </w:r>
      <w:r>
        <w:rPr>
          <w:sz w:val="24"/>
        </w:rPr>
        <w:t>(1)本招标文件；</w:t>
      </w:r>
    </w:p>
    <w:p>
      <w:pPr>
        <w:pStyle w:val="16"/>
        <w:numPr>
          <w:ilvl w:val="0"/>
          <w:numId w:val="122"/>
        </w:numPr>
        <w:tabs>
          <w:tab w:val="left" w:pos="1174"/>
        </w:tabs>
        <w:spacing w:before="5" w:after="0" w:line="240" w:lineRule="auto"/>
        <w:ind w:left="1173" w:right="0" w:hanging="362"/>
        <w:jc w:val="left"/>
        <w:rPr>
          <w:sz w:val="24"/>
        </w:rPr>
      </w:pPr>
      <w:r>
        <w:rPr>
          <w:sz w:val="24"/>
        </w:rPr>
        <w:t>《建设工程工程量清单计价规范》；</w:t>
      </w:r>
    </w:p>
    <w:p>
      <w:pPr>
        <w:pStyle w:val="16"/>
        <w:numPr>
          <w:ilvl w:val="0"/>
          <w:numId w:val="122"/>
        </w:numPr>
        <w:tabs>
          <w:tab w:val="left" w:pos="1174"/>
        </w:tabs>
        <w:spacing w:before="161" w:after="0" w:line="240" w:lineRule="auto"/>
        <w:ind w:left="1173" w:right="0" w:hanging="362"/>
        <w:jc w:val="left"/>
        <w:rPr>
          <w:sz w:val="24"/>
        </w:rPr>
      </w:pPr>
      <w:r>
        <w:rPr>
          <w:sz w:val="24"/>
        </w:rPr>
        <w:t>国家或省级、行业建设主管部门颁发的计价办法；</w:t>
      </w:r>
    </w:p>
    <w:p>
      <w:pPr>
        <w:pStyle w:val="16"/>
        <w:numPr>
          <w:ilvl w:val="0"/>
          <w:numId w:val="122"/>
        </w:numPr>
        <w:tabs>
          <w:tab w:val="left" w:pos="1174"/>
        </w:tabs>
        <w:spacing w:before="158" w:after="0" w:line="362" w:lineRule="auto"/>
        <w:ind w:left="812" w:right="2892" w:firstLine="0"/>
        <w:jc w:val="left"/>
        <w:rPr>
          <w:sz w:val="24"/>
        </w:rPr>
      </w:pPr>
      <w:r>
        <w:rPr>
          <w:spacing w:val="-1"/>
          <w:sz w:val="24"/>
        </w:rPr>
        <w:t xml:space="preserve">企业定额，国家或省级、行业建设主管部门颁发的计价定额； </w:t>
      </w:r>
      <w:r>
        <w:rPr>
          <w:sz w:val="24"/>
        </w:rPr>
        <w:t>(5)招标文件(包括工程量清单)的澄清、补充和修改文件；</w:t>
      </w:r>
    </w:p>
    <w:p>
      <w:pPr>
        <w:pStyle w:val="16"/>
        <w:numPr>
          <w:ilvl w:val="0"/>
          <w:numId w:val="123"/>
        </w:numPr>
        <w:tabs>
          <w:tab w:val="left" w:pos="1174"/>
        </w:tabs>
        <w:spacing w:before="5" w:after="0" w:line="240" w:lineRule="auto"/>
        <w:ind w:left="1173" w:right="0" w:hanging="362"/>
        <w:jc w:val="left"/>
        <w:outlineLvl w:val="2"/>
        <w:rPr>
          <w:sz w:val="24"/>
        </w:rPr>
      </w:pPr>
      <w:r>
        <w:rPr>
          <w:sz w:val="24"/>
        </w:rPr>
        <w:t>建设工程设计文件及相关资料；</w:t>
      </w:r>
    </w:p>
    <w:p>
      <w:pPr>
        <w:pStyle w:val="16"/>
        <w:numPr>
          <w:ilvl w:val="0"/>
          <w:numId w:val="123"/>
        </w:numPr>
        <w:tabs>
          <w:tab w:val="left" w:pos="1174"/>
        </w:tabs>
        <w:spacing w:before="158" w:after="0" w:line="364" w:lineRule="auto"/>
        <w:ind w:left="812" w:right="2412" w:firstLine="0"/>
        <w:jc w:val="left"/>
        <w:rPr>
          <w:sz w:val="24"/>
        </w:rPr>
      </w:pPr>
      <w:r>
        <w:rPr>
          <w:spacing w:val="-1"/>
          <w:sz w:val="24"/>
        </w:rPr>
        <w:t xml:space="preserve">施工现场情况、工程特点及拟定的投标施工组织设计或施工方案； </w:t>
      </w:r>
      <w:r>
        <w:rPr>
          <w:sz w:val="24"/>
        </w:rPr>
        <w:t>(8)与建设项目相关的标准、规定等技术资料；</w:t>
      </w:r>
    </w:p>
    <w:p>
      <w:pPr>
        <w:tabs>
          <w:tab w:val="left" w:pos="7676"/>
        </w:tabs>
        <w:spacing w:before="45"/>
        <w:ind w:left="388" w:right="0" w:firstLine="0"/>
        <w:jc w:val="left"/>
        <w:rPr>
          <w:sz w:val="25"/>
        </w:rPr>
      </w:pPr>
      <w:r>
        <w:rPr>
          <w:sz w:val="24"/>
        </w:rPr>
        <w:t>市场价格信息或工程造价管理机构发布的工程造价信息；</w:t>
      </w:r>
    </w:p>
    <w:p>
      <w:pPr>
        <w:pStyle w:val="16"/>
        <w:numPr>
          <w:ilvl w:val="0"/>
          <w:numId w:val="124"/>
        </w:numPr>
        <w:tabs>
          <w:tab w:val="left" w:pos="1294"/>
        </w:tabs>
        <w:spacing w:before="67" w:after="0" w:line="240" w:lineRule="auto"/>
        <w:ind w:left="1293" w:right="0" w:hanging="482"/>
        <w:jc w:val="left"/>
        <w:outlineLvl w:val="2"/>
        <w:rPr>
          <w:sz w:val="24"/>
        </w:rPr>
      </w:pPr>
      <w:r>
        <w:rPr>
          <w:sz w:val="24"/>
        </w:rPr>
        <w:t>其他的相关资料。</w:t>
      </w:r>
    </w:p>
    <w:p>
      <w:pPr>
        <w:pStyle w:val="16"/>
        <w:numPr>
          <w:ilvl w:val="1"/>
          <w:numId w:val="121"/>
        </w:numPr>
        <w:tabs>
          <w:tab w:val="left" w:pos="1233"/>
        </w:tabs>
        <w:spacing w:before="158" w:after="0" w:line="240" w:lineRule="auto"/>
        <w:ind w:left="1232" w:right="0" w:hanging="421"/>
        <w:jc w:val="both"/>
        <w:rPr>
          <w:sz w:val="24"/>
        </w:rPr>
      </w:pPr>
      <w:r>
        <w:rPr>
          <w:sz w:val="24"/>
        </w:rPr>
        <w:t>工程量清单中的每一子目须填入单价或价格，且只允许有一个报价。</w:t>
      </w:r>
    </w:p>
    <w:p>
      <w:pPr>
        <w:pStyle w:val="16"/>
        <w:numPr>
          <w:ilvl w:val="1"/>
          <w:numId w:val="121"/>
        </w:numPr>
        <w:tabs>
          <w:tab w:val="left" w:pos="1233"/>
        </w:tabs>
        <w:spacing w:before="160" w:after="0" w:line="364" w:lineRule="auto"/>
        <w:ind w:left="388" w:right="744" w:firstLine="424"/>
        <w:jc w:val="both"/>
        <w:rPr>
          <w:sz w:val="24"/>
        </w:rPr>
      </w:pPr>
      <w:r>
        <w:rPr>
          <w:spacing w:val="-5"/>
          <w:sz w:val="24"/>
        </w:rPr>
        <w:t>工程量清单中标价的单价或金额，应包括所需人工费、材料费、施工机械使用费和</w:t>
      </w:r>
      <w:r>
        <w:rPr>
          <w:sz w:val="24"/>
        </w:rPr>
        <w:t>管理费及利润，以及一定范围内的风险费用。所谓“一定范围内的风险”是指合同约定的风险。</w:t>
      </w:r>
    </w:p>
    <w:p>
      <w:pPr>
        <w:pStyle w:val="16"/>
        <w:numPr>
          <w:ilvl w:val="1"/>
          <w:numId w:val="121"/>
        </w:numPr>
        <w:tabs>
          <w:tab w:val="left" w:pos="1233"/>
        </w:tabs>
        <w:spacing w:before="0" w:after="0" w:line="364" w:lineRule="auto"/>
        <w:ind w:left="388" w:right="744" w:firstLine="424"/>
        <w:jc w:val="both"/>
        <w:rPr>
          <w:sz w:val="24"/>
        </w:rPr>
      </w:pPr>
      <w:r>
        <w:rPr>
          <w:spacing w:val="-4"/>
          <w:sz w:val="24"/>
        </w:rPr>
        <w:t>已标价工程量清单中磋商响应人没有填入单价或价格的子目，其费用视为已分摊在</w:t>
      </w:r>
      <w:r>
        <w:rPr>
          <w:sz w:val="24"/>
        </w:rPr>
        <w:t>工程量清单中其他已标价的相关子目的单价或价格之中。</w:t>
      </w:r>
    </w:p>
    <w:p>
      <w:pPr>
        <w:pStyle w:val="16"/>
        <w:numPr>
          <w:ilvl w:val="1"/>
          <w:numId w:val="121"/>
        </w:numPr>
        <w:tabs>
          <w:tab w:val="left" w:pos="1174"/>
        </w:tabs>
        <w:spacing w:before="0" w:after="0" w:line="362" w:lineRule="auto"/>
        <w:ind w:left="388" w:right="732" w:firstLine="424"/>
        <w:jc w:val="both"/>
        <w:rPr>
          <w:sz w:val="24"/>
        </w:rPr>
      </w:pPr>
      <w:r>
        <w:rPr>
          <w:spacing w:val="-1"/>
          <w:sz w:val="24"/>
        </w:rPr>
        <w:t>“投标报价汇总表”中的投标总价由分部分项工程费、措施项目费、其他项目费、</w:t>
      </w:r>
      <w:r>
        <w:rPr>
          <w:sz w:val="24"/>
        </w:rPr>
        <w:t>规费和税金组成，并且“投标报价汇总表”中的投标总价应当与构成已标价工程量清单的分部分项工程费、措施项目费、其他项目费、规费、税金的合计金额一致。</w:t>
      </w:r>
    </w:p>
    <w:p>
      <w:pPr>
        <w:pStyle w:val="16"/>
        <w:numPr>
          <w:ilvl w:val="1"/>
          <w:numId w:val="121"/>
        </w:numPr>
        <w:tabs>
          <w:tab w:val="left" w:pos="1233"/>
        </w:tabs>
        <w:spacing w:before="5" w:after="0" w:line="240" w:lineRule="auto"/>
        <w:ind w:left="1232" w:right="0" w:hanging="421"/>
        <w:jc w:val="both"/>
        <w:rPr>
          <w:sz w:val="24"/>
        </w:rPr>
      </w:pPr>
      <w:r>
        <w:rPr>
          <w:sz w:val="24"/>
        </w:rPr>
        <w:t>分部分项工程项目按下列要求报价：</w:t>
      </w:r>
    </w:p>
    <w:p>
      <w:pPr>
        <w:pStyle w:val="16"/>
        <w:numPr>
          <w:ilvl w:val="2"/>
          <w:numId w:val="121"/>
        </w:numPr>
        <w:tabs>
          <w:tab w:val="left" w:pos="1473"/>
        </w:tabs>
        <w:spacing w:before="160" w:after="0" w:line="240" w:lineRule="auto"/>
        <w:ind w:left="1472" w:right="0" w:hanging="661"/>
        <w:jc w:val="both"/>
        <w:rPr>
          <w:sz w:val="24"/>
        </w:rPr>
      </w:pPr>
      <w:r>
        <w:rPr>
          <w:sz w:val="24"/>
        </w:rPr>
        <w:t>分部分项工程量清单计价应依据计价规范中关于综合单价的组成内容确定报价。</w:t>
      </w:r>
    </w:p>
    <w:p>
      <w:pPr>
        <w:pStyle w:val="16"/>
        <w:numPr>
          <w:ilvl w:val="2"/>
          <w:numId w:val="121"/>
        </w:numPr>
        <w:tabs>
          <w:tab w:val="left" w:pos="1473"/>
        </w:tabs>
        <w:spacing w:before="158" w:after="0" w:line="364" w:lineRule="auto"/>
        <w:ind w:left="388" w:right="744" w:firstLine="424"/>
        <w:jc w:val="both"/>
        <w:rPr>
          <w:sz w:val="24"/>
        </w:rPr>
      </w:pPr>
      <w:r>
        <w:rPr>
          <w:spacing w:val="-6"/>
          <w:sz w:val="24"/>
        </w:rPr>
        <w:t>如果分部分项工程量清单中涉及“材料和工程设备暂估单价表”中列出的材料和</w:t>
      </w:r>
      <w:r>
        <w:rPr>
          <w:spacing w:val="-4"/>
          <w:sz w:val="24"/>
        </w:rPr>
        <w:t xml:space="preserve">工程设备，则按照本节第 </w:t>
      </w:r>
      <w:r>
        <w:rPr>
          <w:sz w:val="24"/>
        </w:rPr>
        <w:t>3.3.2</w:t>
      </w:r>
      <w:r>
        <w:rPr>
          <w:spacing w:val="-7"/>
          <w:sz w:val="24"/>
        </w:rPr>
        <w:t xml:space="preserve"> 项的报价原则，将该类材料和工程设备的暂估单价本身以及除对应的规费及税金以外的费用计入分部分项工程量清单相应子目的综合单价。</w:t>
      </w:r>
    </w:p>
    <w:p>
      <w:pPr>
        <w:pStyle w:val="16"/>
        <w:numPr>
          <w:ilvl w:val="2"/>
          <w:numId w:val="121"/>
        </w:numPr>
        <w:tabs>
          <w:tab w:val="left" w:pos="1473"/>
        </w:tabs>
        <w:spacing w:before="0" w:after="0" w:line="364" w:lineRule="auto"/>
        <w:ind w:left="388" w:right="744" w:firstLine="424"/>
        <w:jc w:val="both"/>
        <w:rPr>
          <w:sz w:val="24"/>
        </w:rPr>
      </w:pPr>
      <w:r>
        <w:rPr>
          <w:sz w:val="24"/>
        </w:rPr>
        <w:t>如果分部分项工程量清单中涉及“发包人提供的材料和工程设备一览表”(见第</w:t>
      </w:r>
      <w:r>
        <w:rPr>
          <w:spacing w:val="-4"/>
          <w:sz w:val="24"/>
        </w:rPr>
        <w:t>三章合同条款及格式第三节附件三)中列出的材料和工程设备，则该类材料和工程设备供应</w:t>
      </w:r>
      <w:r>
        <w:rPr>
          <w:sz w:val="24"/>
        </w:rPr>
        <w:t>至现场指定位置的采购供应价本身不计入投标报价，但应将该类材料和工程设备的安装、安装所需要的辅助材料、安装损耗以及其他必要的辅助工作及其对应的管理费及利润计入分部分项工程量清单相应子目的综合单价，并其他项目清单报价中计取与合同约定服务内容相对应的总承包服务费。</w:t>
      </w:r>
    </w:p>
    <w:p>
      <w:pPr>
        <w:pStyle w:val="16"/>
        <w:numPr>
          <w:ilvl w:val="2"/>
          <w:numId w:val="121"/>
        </w:numPr>
        <w:tabs>
          <w:tab w:val="left" w:pos="1414"/>
        </w:tabs>
        <w:spacing w:before="0" w:after="0" w:line="364" w:lineRule="auto"/>
        <w:ind w:left="388" w:right="624" w:firstLine="424"/>
        <w:jc w:val="left"/>
        <w:rPr>
          <w:sz w:val="24"/>
        </w:rPr>
      </w:pPr>
      <w:r>
        <w:rPr>
          <w:spacing w:val="-5"/>
          <w:sz w:val="24"/>
        </w:rPr>
        <w:t>“分部分项工程量清单与计价表”所列各子目的综合单价组成中，各子目的人工</w:t>
      </w:r>
      <w:r>
        <w:rPr>
          <w:spacing w:val="-4"/>
          <w:sz w:val="24"/>
        </w:rPr>
        <w:t>、材料和机械台班消耗量由磋商响应人按照其自身情况做充分的、竞争性考虑。材料消耗量包括损耗量。</w:t>
      </w:r>
    </w:p>
    <w:p>
      <w:pPr>
        <w:tabs>
          <w:tab w:val="left" w:pos="7676"/>
        </w:tabs>
        <w:spacing w:before="45"/>
        <w:ind w:left="388" w:right="0" w:firstLine="0"/>
        <w:jc w:val="left"/>
        <w:rPr>
          <w:sz w:val="18"/>
        </w:rPr>
      </w:pPr>
      <w:r>
        <w:rPr>
          <w:spacing w:val="-1"/>
          <w:sz w:val="24"/>
        </w:rPr>
        <w:t xml:space="preserve">磋商响应人在投标文件中提交并构成合同文件的“主要材料和工程设备选用表” </w:t>
      </w:r>
      <w:r>
        <w:rPr>
          <w:sz w:val="24"/>
        </w:rPr>
        <w:t>中所列的材料和工程设备的价格是指此类材料和工程设备到达施工现场指定堆放地点的落地价格，即包括采购、包装、运输、装卸、堆放等到达施工现场指定落地或堆放地点之前的全部费用，但不包括落地之后发生的仓储、保管、库损以及从堆放地点运至安装地点的二次搬运费用。“主要材料和工程设备选用表”中所列材料和工程设备的价格应与构成综</w:t>
      </w:r>
    </w:p>
    <w:p>
      <w:pPr>
        <w:pStyle w:val="8"/>
        <w:spacing w:before="6"/>
        <w:rPr>
          <w:sz w:val="25"/>
        </w:rPr>
      </w:pPr>
    </w:p>
    <w:p>
      <w:pPr>
        <w:pStyle w:val="8"/>
        <w:spacing w:before="67" w:line="362" w:lineRule="auto"/>
        <w:ind w:left="388" w:right="744"/>
      </w:pPr>
      <w:r>
        <w:t>合单价相应材料或工程设备的价格一致。落地之后发生的仓储、保管、库损以及从堆放地点运至安装地点的二次搬运等其他费用均应在投标报价中考虑。</w:t>
      </w:r>
    </w:p>
    <w:p>
      <w:pPr>
        <w:pStyle w:val="16"/>
        <w:numPr>
          <w:ilvl w:val="1"/>
          <w:numId w:val="121"/>
        </w:numPr>
        <w:tabs>
          <w:tab w:val="left" w:pos="1233"/>
        </w:tabs>
        <w:spacing w:before="5" w:after="0" w:line="240" w:lineRule="auto"/>
        <w:ind w:left="1232" w:right="0" w:hanging="421"/>
        <w:jc w:val="left"/>
        <w:rPr>
          <w:sz w:val="24"/>
        </w:rPr>
      </w:pPr>
      <w:r>
        <w:rPr>
          <w:sz w:val="24"/>
        </w:rPr>
        <w:t>措施项目按下列要求报价：</w:t>
      </w:r>
    </w:p>
    <w:p>
      <w:pPr>
        <w:pStyle w:val="16"/>
        <w:numPr>
          <w:ilvl w:val="2"/>
          <w:numId w:val="121"/>
        </w:numPr>
        <w:tabs>
          <w:tab w:val="left" w:pos="1473"/>
        </w:tabs>
        <w:spacing w:before="158" w:after="0" w:line="364" w:lineRule="auto"/>
        <w:ind w:left="388" w:right="624" w:firstLine="424"/>
        <w:jc w:val="left"/>
        <w:rPr>
          <w:sz w:val="24"/>
        </w:rPr>
      </w:pPr>
      <w:r>
        <w:rPr>
          <w:spacing w:val="-3"/>
          <w:sz w:val="24"/>
        </w:rPr>
        <w:t>措施项目清单计价应根据磋商响应人的施工组织设计进行报价。可以计量工程量</w:t>
      </w:r>
      <w:r>
        <w:rPr>
          <w:spacing w:val="-19"/>
          <w:sz w:val="24"/>
        </w:rPr>
        <w:t xml:space="preserve">的措施项目，应按分部分项工程量清单的方式采用综合单价计价；其余的措施项目可以“项” </w:t>
      </w:r>
      <w:r>
        <w:rPr>
          <w:sz w:val="24"/>
        </w:rPr>
        <w:t>为单位的方式计价。磋商响应人所填报价格应包括除规费、税金外的全部费用。</w:t>
      </w:r>
    </w:p>
    <w:p>
      <w:pPr>
        <w:pStyle w:val="16"/>
        <w:numPr>
          <w:ilvl w:val="2"/>
          <w:numId w:val="121"/>
        </w:numPr>
        <w:tabs>
          <w:tab w:val="left" w:pos="1473"/>
        </w:tabs>
        <w:spacing w:before="0" w:after="0" w:line="364" w:lineRule="auto"/>
        <w:ind w:left="388" w:right="744" w:firstLine="424"/>
        <w:jc w:val="left"/>
        <w:rPr>
          <w:sz w:val="24"/>
        </w:rPr>
      </w:pPr>
      <w:r>
        <w:rPr>
          <w:spacing w:val="-5"/>
          <w:sz w:val="24"/>
        </w:rPr>
        <w:t>措施项目清单中的安全文明施工费应按国家、省级或行业建设主管部门的规定计</w:t>
      </w:r>
      <w:r>
        <w:rPr>
          <w:sz w:val="24"/>
        </w:rPr>
        <w:t>价，不得作为竞争性费用。</w:t>
      </w:r>
    </w:p>
    <w:p>
      <w:pPr>
        <w:pStyle w:val="16"/>
        <w:numPr>
          <w:ilvl w:val="2"/>
          <w:numId w:val="121"/>
        </w:numPr>
        <w:tabs>
          <w:tab w:val="left" w:pos="1473"/>
        </w:tabs>
        <w:spacing w:before="0" w:after="0" w:line="364" w:lineRule="auto"/>
        <w:ind w:left="388" w:right="624" w:firstLine="424"/>
        <w:jc w:val="left"/>
        <w:rPr>
          <w:sz w:val="24"/>
        </w:rPr>
      </w:pPr>
      <w:r>
        <w:rPr>
          <w:spacing w:val="-3"/>
          <w:sz w:val="24"/>
        </w:rPr>
        <w:t>招标人提供的措施项目清单中所列项目仅指一般的通用项目，磋商响应人在报价</w:t>
      </w:r>
      <w:r>
        <w:rPr>
          <w:spacing w:val="-9"/>
          <w:sz w:val="24"/>
        </w:rPr>
        <w:t xml:space="preserve">时应充分、全面地阅读和理解招标文件的相关内容和约定，包括第七章“技术标准和要求” </w:t>
      </w:r>
      <w:r>
        <w:rPr>
          <w:sz w:val="24"/>
        </w:rPr>
        <w:t>的相关约定，详实了解工程场地及其周围环境，充分考虑招标工程特点及拟定的施工方案和施工组织设计，对招标人给出的措施项目清单的内容进行细化或增减。</w:t>
      </w:r>
    </w:p>
    <w:p>
      <w:pPr>
        <w:pStyle w:val="16"/>
        <w:numPr>
          <w:ilvl w:val="2"/>
          <w:numId w:val="121"/>
        </w:numPr>
        <w:tabs>
          <w:tab w:val="left" w:pos="1414"/>
        </w:tabs>
        <w:spacing w:before="0" w:after="0" w:line="364" w:lineRule="auto"/>
        <w:ind w:left="388" w:right="744" w:firstLine="424"/>
        <w:jc w:val="both"/>
        <w:rPr>
          <w:sz w:val="24"/>
        </w:rPr>
      </w:pPr>
      <w:r>
        <w:rPr>
          <w:spacing w:val="-3"/>
          <w:sz w:val="24"/>
        </w:rPr>
        <w:t>“措施项目清单与计价表”中所填写的报价金额，应全面涵盖招标文件约定的磋</w:t>
      </w:r>
      <w:r>
        <w:rPr>
          <w:sz w:val="24"/>
        </w:rPr>
        <w:t>商响应人中标后施工、竣工、交付本工程并维修其任何缺陷所需要履行的责任和义务的全部费用。</w:t>
      </w:r>
    </w:p>
    <w:p>
      <w:pPr>
        <w:pStyle w:val="16"/>
        <w:numPr>
          <w:ilvl w:val="2"/>
          <w:numId w:val="121"/>
        </w:numPr>
        <w:tabs>
          <w:tab w:val="left" w:pos="1473"/>
        </w:tabs>
        <w:spacing w:before="0" w:after="0" w:line="362" w:lineRule="auto"/>
        <w:ind w:left="388" w:right="744" w:firstLine="424"/>
        <w:jc w:val="both"/>
        <w:rPr>
          <w:sz w:val="24"/>
        </w:rPr>
      </w:pPr>
      <w:r>
        <w:rPr>
          <w:spacing w:val="-9"/>
          <w:sz w:val="24"/>
        </w:rPr>
        <w:t>对于“措施项目清单与计价表”中所填写的报价金额，应按照“措施项目清单报</w:t>
      </w:r>
      <w:r>
        <w:rPr>
          <w:sz w:val="24"/>
        </w:rPr>
        <w:t>价分析表”对措施项目报价的组成进行详细的列项和分析。</w:t>
      </w:r>
    </w:p>
    <w:p>
      <w:pPr>
        <w:pStyle w:val="16"/>
        <w:numPr>
          <w:ilvl w:val="1"/>
          <w:numId w:val="121"/>
        </w:numPr>
        <w:tabs>
          <w:tab w:val="left" w:pos="1233"/>
        </w:tabs>
        <w:spacing w:before="0" w:after="0" w:line="240" w:lineRule="auto"/>
        <w:ind w:left="1232" w:right="0" w:hanging="421"/>
        <w:jc w:val="both"/>
        <w:rPr>
          <w:sz w:val="24"/>
        </w:rPr>
      </w:pPr>
      <w:r>
        <w:rPr>
          <w:sz w:val="24"/>
        </w:rPr>
        <w:t>其他项目清单费应按下列规定报价：</w:t>
      </w:r>
    </w:p>
    <w:p>
      <w:pPr>
        <w:pStyle w:val="16"/>
        <w:numPr>
          <w:ilvl w:val="2"/>
          <w:numId w:val="121"/>
        </w:numPr>
        <w:tabs>
          <w:tab w:val="left" w:pos="1473"/>
        </w:tabs>
        <w:spacing w:before="158" w:after="0" w:line="364" w:lineRule="auto"/>
        <w:ind w:left="388" w:right="744" w:firstLine="424"/>
        <w:jc w:val="both"/>
        <w:rPr>
          <w:sz w:val="24"/>
        </w:rPr>
      </w:pPr>
      <w:r>
        <w:rPr>
          <w:spacing w:val="-9"/>
          <w:sz w:val="24"/>
        </w:rPr>
        <w:t>暂列金额按“暂列金额明细表”中列出的金额报价，此处的暂列金额是招标人在</w:t>
      </w:r>
      <w:r>
        <w:rPr>
          <w:spacing w:val="-4"/>
          <w:sz w:val="24"/>
        </w:rPr>
        <w:t xml:space="preserve">招标文件中统一给定的，并不包括本章第 </w:t>
      </w:r>
      <w:r>
        <w:rPr>
          <w:sz w:val="24"/>
        </w:rPr>
        <w:t>2.8.3</w:t>
      </w:r>
      <w:r>
        <w:rPr>
          <w:spacing w:val="-8"/>
          <w:sz w:val="24"/>
        </w:rPr>
        <w:t xml:space="preserve"> 项的计日工金额。</w:t>
      </w:r>
    </w:p>
    <w:p>
      <w:pPr>
        <w:pStyle w:val="16"/>
        <w:numPr>
          <w:ilvl w:val="2"/>
          <w:numId w:val="121"/>
        </w:numPr>
        <w:tabs>
          <w:tab w:val="left" w:pos="1473"/>
        </w:tabs>
        <w:spacing w:before="0" w:after="0" w:line="364" w:lineRule="auto"/>
        <w:ind w:left="388" w:right="744" w:firstLine="424"/>
        <w:jc w:val="both"/>
        <w:rPr>
          <w:sz w:val="24"/>
        </w:rPr>
      </w:pPr>
      <w:r>
        <w:rPr>
          <w:spacing w:val="-4"/>
          <w:sz w:val="24"/>
        </w:rPr>
        <w:t>暂估价分为材料和工程设备暂估单价和专业工程暂估价两类。其中的材料和工程</w:t>
      </w:r>
      <w:r>
        <w:rPr>
          <w:spacing w:val="-5"/>
          <w:sz w:val="24"/>
        </w:rPr>
        <w:t xml:space="preserve">设备暂估单价按本节第 </w:t>
      </w:r>
      <w:r>
        <w:rPr>
          <w:sz w:val="24"/>
        </w:rPr>
        <w:t>3.3.2</w:t>
      </w:r>
      <w:r>
        <w:rPr>
          <w:spacing w:val="-7"/>
          <w:sz w:val="24"/>
        </w:rPr>
        <w:t xml:space="preserve"> 项的报价原则进入分部分项工程量清单之综合单价，不在其他项目清单中汇总；专业工程暂估价直接按“专业工程暂估价表”中列出的金额和本节第</w:t>
      </w:r>
    </w:p>
    <w:p>
      <w:pPr>
        <w:pStyle w:val="8"/>
        <w:spacing w:line="307" w:lineRule="exact"/>
        <w:ind w:left="388"/>
        <w:jc w:val="both"/>
      </w:pPr>
      <w:r>
        <w:t>3.3.3 项的报价原则计入其他项目清单报价。</w:t>
      </w:r>
    </w:p>
    <w:p>
      <w:pPr>
        <w:pStyle w:val="16"/>
        <w:numPr>
          <w:ilvl w:val="2"/>
          <w:numId w:val="125"/>
        </w:numPr>
        <w:tabs>
          <w:tab w:val="left" w:pos="1473"/>
        </w:tabs>
        <w:spacing w:before="159" w:after="0" w:line="362" w:lineRule="auto"/>
        <w:ind w:left="388" w:right="744" w:firstLine="424"/>
        <w:jc w:val="both"/>
        <w:rPr>
          <w:sz w:val="24"/>
        </w:rPr>
      </w:pPr>
      <w:r>
        <w:rPr>
          <w:spacing w:val="-9"/>
          <w:sz w:val="24"/>
        </w:rPr>
        <w:t>计日工按“计日工表”中列出的子目和估算数量，自主确定综合单价并计算计日</w:t>
      </w:r>
      <w:r>
        <w:rPr>
          <w:sz w:val="24"/>
        </w:rPr>
        <w:t>工金额。计日工综合单价均不包括规费和税金，其中：</w:t>
      </w:r>
    </w:p>
    <w:p>
      <w:pPr>
        <w:pStyle w:val="16"/>
        <w:numPr>
          <w:ilvl w:val="0"/>
          <w:numId w:val="126"/>
        </w:numPr>
        <w:tabs>
          <w:tab w:val="left" w:pos="1174"/>
        </w:tabs>
        <w:spacing w:before="3" w:after="0" w:line="364" w:lineRule="auto"/>
        <w:ind w:left="388" w:right="744" w:firstLine="424"/>
        <w:jc w:val="both"/>
        <w:rPr>
          <w:sz w:val="24"/>
        </w:rPr>
      </w:pPr>
      <w:r>
        <w:rPr>
          <w:spacing w:val="-4"/>
          <w:sz w:val="24"/>
        </w:rPr>
        <w:t>劳务单价应当包括工人工资、交通费用、各种补贴、劳动安全保护、社保费用、手</w:t>
      </w:r>
      <w:r>
        <w:rPr>
          <w:sz w:val="24"/>
        </w:rPr>
        <w:t>提手动和电动工器具、施工场地内已经搭设的脚手架、水电和低值易耗品费用、现场管理费用、企业管理费和利润；</w:t>
      </w:r>
    </w:p>
    <w:p>
      <w:pPr>
        <w:spacing w:after="0" w:line="364" w:lineRule="auto"/>
        <w:jc w:val="both"/>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46" o:spid="_x0000_s1246" o:spt="20" style="position:absolute;left:0pt;margin-left:62.4pt;margin-top:12.25pt;height:0pt;width:400.4pt;mso-position-horizontal-relative:page;z-index:251878400;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0"/>
          <w:numId w:val="126"/>
        </w:numPr>
        <w:tabs>
          <w:tab w:val="left" w:pos="1174"/>
        </w:tabs>
        <w:spacing w:before="67" w:after="0" w:line="362" w:lineRule="auto"/>
        <w:ind w:left="388" w:right="732" w:firstLine="424"/>
        <w:jc w:val="left"/>
        <w:rPr>
          <w:sz w:val="24"/>
        </w:rPr>
      </w:pPr>
      <w:r>
        <w:rPr>
          <w:spacing w:val="-1"/>
          <w:sz w:val="24"/>
        </w:rPr>
        <w:t>材料价格包括材料运到现场的价格以及现场搬运、仓储、二次搬运、损耗、保险、</w:t>
      </w:r>
      <w:r>
        <w:rPr>
          <w:sz w:val="24"/>
        </w:rPr>
        <w:t>企业管理费和利润；</w:t>
      </w:r>
    </w:p>
    <w:p>
      <w:pPr>
        <w:pStyle w:val="16"/>
        <w:numPr>
          <w:ilvl w:val="0"/>
          <w:numId w:val="126"/>
        </w:numPr>
        <w:tabs>
          <w:tab w:val="left" w:pos="1174"/>
        </w:tabs>
        <w:spacing w:before="5" w:after="0" w:line="364" w:lineRule="auto"/>
        <w:ind w:left="388" w:right="624" w:firstLine="424"/>
        <w:jc w:val="left"/>
        <w:rPr>
          <w:sz w:val="24"/>
        </w:rPr>
      </w:pPr>
      <w:r>
        <w:rPr>
          <w:spacing w:val="-3"/>
          <w:sz w:val="24"/>
        </w:rPr>
        <w:t>施工机械限于在施工场地(现场)的机械设备，其价格包括租赁或折旧、维修、维护</w:t>
      </w:r>
      <w:r>
        <w:rPr>
          <w:spacing w:val="-8"/>
          <w:sz w:val="24"/>
        </w:rPr>
        <w:t>和燃油等消耗品以及操作人员费用，包括承包人企业管理费和利润，但不包括规费和税金。</w:t>
      </w:r>
      <w:r>
        <w:rPr>
          <w:sz w:val="24"/>
        </w:rPr>
        <w:t>辅助人员按劳务价格另计。</w:t>
      </w:r>
    </w:p>
    <w:p>
      <w:pPr>
        <w:pStyle w:val="16"/>
        <w:numPr>
          <w:ilvl w:val="2"/>
          <w:numId w:val="125"/>
        </w:numPr>
        <w:tabs>
          <w:tab w:val="left" w:pos="1473"/>
        </w:tabs>
        <w:spacing w:before="0" w:after="0" w:line="364" w:lineRule="auto"/>
        <w:ind w:left="388" w:right="744" w:firstLine="424"/>
        <w:jc w:val="both"/>
        <w:rPr>
          <w:sz w:val="24"/>
        </w:rPr>
      </w:pPr>
      <w:r>
        <w:rPr>
          <w:spacing w:val="-5"/>
          <w:sz w:val="24"/>
        </w:rPr>
        <w:t>总承包服务费根据招标文件中列出的内容和要求，按“总承包服务费计价表”所</w:t>
      </w:r>
      <w:r>
        <w:rPr>
          <w:sz w:val="24"/>
        </w:rPr>
        <w:t>列格式自主报价。</w:t>
      </w:r>
    </w:p>
    <w:p>
      <w:pPr>
        <w:pStyle w:val="16"/>
        <w:numPr>
          <w:ilvl w:val="1"/>
          <w:numId w:val="121"/>
        </w:numPr>
        <w:tabs>
          <w:tab w:val="left" w:pos="1233"/>
        </w:tabs>
        <w:spacing w:before="0" w:after="0" w:line="362" w:lineRule="auto"/>
        <w:ind w:left="388" w:right="744" w:firstLine="424"/>
        <w:jc w:val="both"/>
        <w:rPr>
          <w:sz w:val="24"/>
        </w:rPr>
      </w:pPr>
      <w:r>
        <w:rPr>
          <w:spacing w:val="-8"/>
          <w:sz w:val="24"/>
        </w:rPr>
        <w:t>规费和税金应按“规费、税金项目清单与计价表”所列项目并根据国家、省级或行</w:t>
      </w:r>
      <w:r>
        <w:rPr>
          <w:sz w:val="24"/>
        </w:rPr>
        <w:t>业建设主管部门的有关规定列项和计算，不得作为竞争性费用。</w:t>
      </w:r>
    </w:p>
    <w:p>
      <w:pPr>
        <w:pStyle w:val="16"/>
        <w:numPr>
          <w:ilvl w:val="1"/>
          <w:numId w:val="121"/>
        </w:numPr>
        <w:tabs>
          <w:tab w:val="left" w:pos="1353"/>
        </w:tabs>
        <w:spacing w:before="0" w:after="0" w:line="364" w:lineRule="auto"/>
        <w:ind w:left="388" w:right="744" w:firstLine="424"/>
        <w:jc w:val="both"/>
        <w:rPr>
          <w:sz w:val="24"/>
        </w:rPr>
      </w:pPr>
      <w:r>
        <w:rPr>
          <w:sz w:val="24"/>
        </w:rPr>
        <w:t>除招标文件有强制性规定以及不可竞争部分以外，投标报价由磋商响应人自主确定，但不得低于其成本。</w:t>
      </w:r>
    </w:p>
    <w:p>
      <w:pPr>
        <w:pStyle w:val="16"/>
        <w:numPr>
          <w:ilvl w:val="1"/>
          <w:numId w:val="121"/>
        </w:numPr>
        <w:tabs>
          <w:tab w:val="left" w:pos="1353"/>
        </w:tabs>
        <w:spacing w:before="2" w:after="0" w:line="364" w:lineRule="auto"/>
        <w:ind w:left="388" w:right="672" w:firstLine="424"/>
        <w:jc w:val="both"/>
        <w:rPr>
          <w:sz w:val="24"/>
        </w:rPr>
      </w:pPr>
      <w:r>
        <w:rPr>
          <w:spacing w:val="-1"/>
          <w:sz w:val="24"/>
        </w:rPr>
        <w:t>工程量清单计价所涉及的生产资源(包括各类人工、材料、工程设备、施工设备、</w:t>
      </w:r>
      <w:r>
        <w:rPr>
          <w:spacing w:val="-8"/>
          <w:sz w:val="24"/>
        </w:rPr>
        <w:t>临时设施、临时用水、临时用电等)的投标价格，应根据自身的信息渠道和采购渠道，分析其市场价格水平并判断其整个施工周期内的变化趋势，体现磋商响应人自身的管理水平、技术水平和综合实力。</w:t>
      </w:r>
    </w:p>
    <w:p>
      <w:pPr>
        <w:pStyle w:val="16"/>
        <w:numPr>
          <w:ilvl w:val="1"/>
          <w:numId w:val="121"/>
        </w:numPr>
        <w:tabs>
          <w:tab w:val="left" w:pos="1353"/>
        </w:tabs>
        <w:spacing w:before="0" w:after="0" w:line="362" w:lineRule="auto"/>
        <w:ind w:left="388" w:right="744" w:firstLine="424"/>
        <w:jc w:val="both"/>
        <w:rPr>
          <w:sz w:val="24"/>
        </w:rPr>
      </w:pPr>
      <w:r>
        <w:rPr>
          <w:sz w:val="24"/>
        </w:rPr>
        <w:t>管理费应由磋商响应人在保证不低于其成本的基础上做竞争性考虑；利润由磋商响应人根据自身情况和综合实力做竞争性考虑。</w:t>
      </w:r>
    </w:p>
    <w:p>
      <w:pPr>
        <w:pStyle w:val="16"/>
        <w:numPr>
          <w:ilvl w:val="1"/>
          <w:numId w:val="121"/>
        </w:numPr>
        <w:tabs>
          <w:tab w:val="left" w:pos="1353"/>
        </w:tabs>
        <w:spacing w:before="2" w:after="0" w:line="240" w:lineRule="auto"/>
        <w:ind w:left="1352" w:right="0" w:hanging="541"/>
        <w:jc w:val="both"/>
        <w:rPr>
          <w:sz w:val="24"/>
        </w:rPr>
      </w:pPr>
      <w:r>
        <w:rPr>
          <w:sz w:val="24"/>
        </w:rPr>
        <w:t>投标报价中应考虑招标文件中要求磋商响应人承担的风险范围以及相关的费用。</w:t>
      </w:r>
    </w:p>
    <w:p>
      <w:pPr>
        <w:pStyle w:val="16"/>
        <w:numPr>
          <w:ilvl w:val="1"/>
          <w:numId w:val="121"/>
        </w:numPr>
        <w:tabs>
          <w:tab w:val="left" w:pos="1353"/>
        </w:tabs>
        <w:spacing w:before="158" w:after="0" w:line="364" w:lineRule="auto"/>
        <w:ind w:left="388" w:right="744" w:firstLine="424"/>
        <w:jc w:val="both"/>
        <w:rPr>
          <w:sz w:val="24"/>
        </w:rPr>
      </w:pPr>
      <w:r>
        <w:rPr>
          <w:sz w:val="24"/>
        </w:rPr>
        <w:t>投标总价为磋商响应人在投标文件中提出的各项支付金额的总和，为实施、完成招标工程并修补缺陷以及履行招标文件中约定的风险范围内的所有责任和义务所发生的全部费用。</w:t>
      </w:r>
    </w:p>
    <w:p>
      <w:pPr>
        <w:pStyle w:val="16"/>
        <w:numPr>
          <w:ilvl w:val="1"/>
          <w:numId w:val="121"/>
        </w:numPr>
        <w:tabs>
          <w:tab w:val="left" w:pos="1353"/>
        </w:tabs>
        <w:spacing w:before="0" w:after="0" w:line="566" w:lineRule="auto"/>
        <w:ind w:left="388" w:right="6312" w:firstLine="424"/>
        <w:jc w:val="both"/>
        <w:rPr>
          <w:b/>
          <w:sz w:val="24"/>
        </w:rPr>
      </w:pPr>
      <w:r>
        <w:rPr>
          <w:spacing w:val="-2"/>
          <w:sz w:val="24"/>
        </w:rPr>
        <w:t>有关投标报价的其他说明：</w:t>
      </w:r>
      <w:bookmarkStart w:id="173" w:name="3、其他说明"/>
      <w:bookmarkEnd w:id="173"/>
      <w:r>
        <w:rPr>
          <w:spacing w:val="-2"/>
          <w:sz w:val="24"/>
        </w:rPr>
        <w:t xml:space="preserve"> </w:t>
      </w:r>
      <w:r>
        <w:rPr>
          <w:b/>
          <w:sz w:val="24"/>
        </w:rPr>
        <w:t>3、其他说明</w:t>
      </w:r>
    </w:p>
    <w:p>
      <w:pPr>
        <w:pStyle w:val="16"/>
        <w:numPr>
          <w:ilvl w:val="1"/>
          <w:numId w:val="127"/>
        </w:numPr>
        <w:tabs>
          <w:tab w:val="left" w:pos="1233"/>
        </w:tabs>
        <w:spacing w:before="72" w:after="0" w:line="240" w:lineRule="auto"/>
        <w:ind w:left="1232" w:right="0" w:hanging="421"/>
        <w:jc w:val="both"/>
        <w:rPr>
          <w:sz w:val="24"/>
        </w:rPr>
      </w:pPr>
      <w:r>
        <w:rPr>
          <w:sz w:val="24"/>
        </w:rPr>
        <w:t>词语和定义</w:t>
      </w:r>
    </w:p>
    <w:p>
      <w:pPr>
        <w:pStyle w:val="16"/>
        <w:numPr>
          <w:ilvl w:val="2"/>
          <w:numId w:val="127"/>
        </w:numPr>
        <w:tabs>
          <w:tab w:val="left" w:pos="1473"/>
        </w:tabs>
        <w:spacing w:before="161" w:after="0" w:line="240" w:lineRule="auto"/>
        <w:ind w:left="1472" w:right="0" w:hanging="661"/>
        <w:jc w:val="left"/>
        <w:rPr>
          <w:sz w:val="24"/>
        </w:rPr>
      </w:pPr>
      <w:r>
        <w:rPr>
          <w:sz w:val="24"/>
        </w:rPr>
        <w:t>工程量清单</w:t>
      </w:r>
    </w:p>
    <w:p>
      <w:pPr>
        <w:pStyle w:val="8"/>
        <w:spacing w:before="160" w:line="362" w:lineRule="auto"/>
        <w:ind w:left="388" w:right="744" w:firstLine="424"/>
      </w:pPr>
      <w:r>
        <w:t>是表现本工程分部分项工程项目、措施项目、其他项目、规费项目和税金的名称和相应数量等的明细清单。</w:t>
      </w:r>
    </w:p>
    <w:p>
      <w:pPr>
        <w:pStyle w:val="16"/>
        <w:numPr>
          <w:ilvl w:val="2"/>
          <w:numId w:val="127"/>
        </w:numPr>
        <w:tabs>
          <w:tab w:val="left" w:pos="1473"/>
        </w:tabs>
        <w:spacing w:before="3" w:after="0" w:line="240" w:lineRule="auto"/>
        <w:ind w:left="1472" w:right="0" w:hanging="661"/>
        <w:jc w:val="left"/>
        <w:rPr>
          <w:sz w:val="24"/>
        </w:rPr>
      </w:pPr>
      <w:bookmarkStart w:id="174" w:name="3.1.2总价子目"/>
      <w:bookmarkEnd w:id="174"/>
      <w:bookmarkStart w:id="175" w:name="3.1.2总价子目"/>
      <w:bookmarkEnd w:id="175"/>
      <w:r>
        <w:rPr>
          <w:sz w:val="24"/>
        </w:rPr>
        <w:t>总价子目</w:t>
      </w:r>
    </w:p>
    <w:p>
      <w:pPr>
        <w:spacing w:after="0" w:line="240"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47" o:spid="_x0000_s1247" o:spt="20" style="position:absolute;left:0pt;margin-left:62.4pt;margin-top:12.25pt;height:0pt;width:400.4pt;mso-position-horizontal-relative:page;z-index:251879424;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8"/>
        <w:spacing w:before="67" w:line="364" w:lineRule="auto"/>
        <w:ind w:left="388" w:right="744" w:firstLine="424"/>
        <w:jc w:val="both"/>
      </w:pPr>
      <w:r>
        <w:rPr>
          <w:spacing w:val="-2"/>
        </w:rPr>
        <w:t xml:space="preserve">工程量清单中以总价计价，以“项”为计量单位，工程量为整数 </w:t>
      </w:r>
      <w:r>
        <w:t>1</w:t>
      </w:r>
      <w:r>
        <w:rPr>
          <w:spacing w:val="-5"/>
        </w:rPr>
        <w:t xml:space="preserve"> 的子目，除专用合同条款另有约定外，总价固定包干。采用总价合同形式时，合同订立后，已标价工程量清</w:t>
      </w:r>
      <w:r>
        <w:rPr>
          <w:spacing w:val="-3"/>
        </w:rPr>
        <w:t xml:space="preserve">单中的工程量均没有合同约束力，所有子目均是总价子目，视同按项计量(合同条款第 </w:t>
      </w:r>
      <w:r>
        <w:t>15 条约定的变更除外)。</w:t>
      </w:r>
    </w:p>
    <w:p>
      <w:pPr>
        <w:pStyle w:val="16"/>
        <w:numPr>
          <w:ilvl w:val="2"/>
          <w:numId w:val="127"/>
        </w:numPr>
        <w:tabs>
          <w:tab w:val="left" w:pos="1473"/>
        </w:tabs>
        <w:spacing w:before="0" w:after="0" w:line="305" w:lineRule="exact"/>
        <w:ind w:left="1472" w:right="0" w:hanging="661"/>
        <w:jc w:val="both"/>
        <w:rPr>
          <w:sz w:val="24"/>
        </w:rPr>
      </w:pPr>
      <w:bookmarkStart w:id="176" w:name="3.1.3单价子目"/>
      <w:bookmarkEnd w:id="176"/>
      <w:bookmarkStart w:id="177" w:name="3.1.3单价子目"/>
      <w:bookmarkEnd w:id="177"/>
      <w:r>
        <w:rPr>
          <w:sz w:val="24"/>
        </w:rPr>
        <w:t>单价子目</w:t>
      </w:r>
    </w:p>
    <w:p>
      <w:pPr>
        <w:pStyle w:val="8"/>
        <w:spacing w:before="158" w:line="364" w:lineRule="auto"/>
        <w:ind w:left="388" w:right="744" w:firstLine="424"/>
      </w:pPr>
      <w:r>
        <w:t>工程量清单中以单价计价，根据有合同约束力的图纸和工程量计算规则进行计量，以实际完成数量乘以相应单价进行结算的子目。</w:t>
      </w:r>
    </w:p>
    <w:p>
      <w:pPr>
        <w:pStyle w:val="16"/>
        <w:numPr>
          <w:ilvl w:val="2"/>
          <w:numId w:val="127"/>
        </w:numPr>
        <w:tabs>
          <w:tab w:val="left" w:pos="1473"/>
        </w:tabs>
        <w:spacing w:before="1" w:after="0" w:line="240" w:lineRule="auto"/>
        <w:ind w:left="1472" w:right="0" w:hanging="661"/>
        <w:jc w:val="left"/>
        <w:rPr>
          <w:sz w:val="24"/>
        </w:rPr>
      </w:pPr>
      <w:bookmarkStart w:id="178" w:name="3.1.4子目编码"/>
      <w:bookmarkEnd w:id="178"/>
      <w:bookmarkStart w:id="179" w:name="3.1.4子目编码"/>
      <w:bookmarkEnd w:id="179"/>
      <w:r>
        <w:rPr>
          <w:sz w:val="24"/>
        </w:rPr>
        <w:t>子目编码</w:t>
      </w:r>
    </w:p>
    <w:p>
      <w:pPr>
        <w:pStyle w:val="8"/>
        <w:spacing w:before="158" w:line="362" w:lineRule="auto"/>
        <w:ind w:left="388" w:right="744" w:firstLine="424"/>
      </w:pPr>
      <w:r>
        <w:t>分部分项工程项目清单中所列的子目名称的数字标识和代码，子目编码与项目编码同义。</w:t>
      </w:r>
    </w:p>
    <w:p>
      <w:pPr>
        <w:pStyle w:val="16"/>
        <w:numPr>
          <w:ilvl w:val="2"/>
          <w:numId w:val="127"/>
        </w:numPr>
        <w:tabs>
          <w:tab w:val="left" w:pos="1473"/>
        </w:tabs>
        <w:spacing w:before="5" w:after="0" w:line="240" w:lineRule="auto"/>
        <w:ind w:left="1472" w:right="0" w:hanging="661"/>
        <w:jc w:val="left"/>
        <w:rPr>
          <w:sz w:val="24"/>
        </w:rPr>
      </w:pPr>
      <w:bookmarkStart w:id="180" w:name="3.1.5子目特征"/>
      <w:bookmarkEnd w:id="180"/>
      <w:bookmarkStart w:id="181" w:name="3.1.5子目特征"/>
      <w:bookmarkEnd w:id="181"/>
      <w:r>
        <w:rPr>
          <w:sz w:val="24"/>
        </w:rPr>
        <w:t>子目特征</w:t>
      </w:r>
    </w:p>
    <w:p>
      <w:pPr>
        <w:pStyle w:val="8"/>
        <w:spacing w:before="161" w:line="362" w:lineRule="auto"/>
        <w:ind w:left="388" w:right="581" w:firstLine="424"/>
      </w:pPr>
      <w:r>
        <w:t>构成分部分项工程项目清单子目、措施项目的实质内容、决定其自身价值的本质特征， 子目特征与项目特征同义。</w:t>
      </w:r>
    </w:p>
    <w:p>
      <w:pPr>
        <w:pStyle w:val="16"/>
        <w:numPr>
          <w:ilvl w:val="2"/>
          <w:numId w:val="127"/>
        </w:numPr>
        <w:tabs>
          <w:tab w:val="left" w:pos="1473"/>
        </w:tabs>
        <w:spacing w:before="5" w:after="0" w:line="240" w:lineRule="auto"/>
        <w:ind w:left="1472" w:right="0" w:hanging="661"/>
        <w:jc w:val="left"/>
        <w:rPr>
          <w:sz w:val="24"/>
        </w:rPr>
      </w:pPr>
      <w:bookmarkStart w:id="182" w:name="3.1.6规费"/>
      <w:bookmarkEnd w:id="182"/>
      <w:bookmarkStart w:id="183" w:name="3.1.6规费"/>
      <w:bookmarkEnd w:id="183"/>
      <w:r>
        <w:rPr>
          <w:sz w:val="24"/>
        </w:rPr>
        <w:t>规费</w:t>
      </w:r>
    </w:p>
    <w:p>
      <w:pPr>
        <w:pStyle w:val="8"/>
        <w:spacing w:before="158" w:line="364" w:lineRule="auto"/>
        <w:ind w:left="388" w:right="744" w:firstLine="424"/>
      </w:pPr>
      <w:r>
        <w:t>承包人根据省级政府或省级有关权力部门规定必须缴纳的，应计入建筑安装工程造价的费用。</w:t>
      </w:r>
    </w:p>
    <w:p>
      <w:pPr>
        <w:pStyle w:val="16"/>
        <w:numPr>
          <w:ilvl w:val="2"/>
          <w:numId w:val="127"/>
        </w:numPr>
        <w:tabs>
          <w:tab w:val="left" w:pos="1473"/>
        </w:tabs>
        <w:spacing w:before="0" w:after="0" w:line="306" w:lineRule="exact"/>
        <w:ind w:left="1472" w:right="0" w:hanging="661"/>
        <w:jc w:val="left"/>
        <w:rPr>
          <w:sz w:val="24"/>
        </w:rPr>
      </w:pPr>
      <w:bookmarkStart w:id="184" w:name="3.1.7税金"/>
      <w:bookmarkEnd w:id="184"/>
      <w:bookmarkStart w:id="185" w:name="3.1.7税金"/>
      <w:bookmarkEnd w:id="185"/>
      <w:r>
        <w:rPr>
          <w:sz w:val="24"/>
        </w:rPr>
        <w:t>税金</w:t>
      </w:r>
    </w:p>
    <w:p>
      <w:pPr>
        <w:pStyle w:val="8"/>
        <w:spacing w:before="160" w:line="362" w:lineRule="auto"/>
        <w:ind w:left="388" w:right="744" w:firstLine="424"/>
      </w:pPr>
      <w:r>
        <w:t>国家税法规定的应计入建筑安装工程造价内的营业税、城市维护建设税及教育费附加等。</w:t>
      </w:r>
    </w:p>
    <w:p>
      <w:pPr>
        <w:pStyle w:val="16"/>
        <w:numPr>
          <w:ilvl w:val="2"/>
          <w:numId w:val="127"/>
        </w:numPr>
        <w:tabs>
          <w:tab w:val="left" w:pos="1473"/>
        </w:tabs>
        <w:spacing w:before="5" w:after="0" w:line="240" w:lineRule="auto"/>
        <w:ind w:left="1472" w:right="0" w:hanging="661"/>
        <w:jc w:val="left"/>
        <w:rPr>
          <w:sz w:val="24"/>
        </w:rPr>
      </w:pPr>
      <w:bookmarkStart w:id="186" w:name="3.1.8总承包服务费"/>
      <w:bookmarkEnd w:id="186"/>
      <w:bookmarkStart w:id="187" w:name="3.1.8总承包服务费"/>
      <w:bookmarkEnd w:id="187"/>
      <w:r>
        <w:rPr>
          <w:sz w:val="24"/>
        </w:rPr>
        <w:t>总承包服务费</w:t>
      </w:r>
    </w:p>
    <w:p>
      <w:pPr>
        <w:pStyle w:val="8"/>
        <w:spacing w:before="158" w:line="364" w:lineRule="auto"/>
        <w:ind w:left="388" w:right="744" w:firstLine="424"/>
      </w:pPr>
      <w:r>
        <w:t>总承包人为配合协调发包人发包的专业工程以及发包人采购的材料和工程设备等进行管理、服务以及施工现场管理、竣工资料汇总整理等所需的费用。</w:t>
      </w:r>
    </w:p>
    <w:p>
      <w:pPr>
        <w:pStyle w:val="16"/>
        <w:numPr>
          <w:ilvl w:val="2"/>
          <w:numId w:val="127"/>
        </w:numPr>
        <w:tabs>
          <w:tab w:val="left" w:pos="1473"/>
        </w:tabs>
        <w:spacing w:before="1" w:after="0" w:line="240" w:lineRule="auto"/>
        <w:ind w:left="1472" w:right="0" w:hanging="661"/>
        <w:jc w:val="left"/>
        <w:rPr>
          <w:sz w:val="24"/>
        </w:rPr>
      </w:pPr>
      <w:bookmarkStart w:id="188" w:name="3.1.9同义词语"/>
      <w:bookmarkEnd w:id="188"/>
      <w:bookmarkStart w:id="189" w:name="3.1.9同义词语"/>
      <w:bookmarkEnd w:id="189"/>
      <w:r>
        <w:rPr>
          <w:sz w:val="24"/>
        </w:rPr>
        <w:t>同义词语</w:t>
      </w:r>
    </w:p>
    <w:p>
      <w:pPr>
        <w:pStyle w:val="8"/>
        <w:spacing w:before="159" w:line="364" w:lineRule="auto"/>
        <w:ind w:left="388" w:right="744" w:firstLine="424"/>
      </w:pPr>
      <w:r>
        <w:t>本章中使用的词语“招标人”和“磋商响应人”分别与合同条款中定义的“发包人” 和“承包人”同义；就工程量清单而言，“子目”与“项目”同义。</w:t>
      </w:r>
    </w:p>
    <w:p>
      <w:pPr>
        <w:pStyle w:val="16"/>
        <w:numPr>
          <w:ilvl w:val="1"/>
          <w:numId w:val="127"/>
        </w:numPr>
        <w:tabs>
          <w:tab w:val="left" w:pos="1233"/>
        </w:tabs>
        <w:spacing w:before="0" w:after="0" w:line="306" w:lineRule="exact"/>
        <w:ind w:left="1232" w:right="0" w:hanging="421"/>
        <w:jc w:val="left"/>
        <w:rPr>
          <w:sz w:val="24"/>
        </w:rPr>
      </w:pPr>
      <w:bookmarkStart w:id="190" w:name="3.2工程量差异调整"/>
      <w:bookmarkEnd w:id="190"/>
      <w:bookmarkStart w:id="191" w:name="3.2工程量差异调整"/>
      <w:bookmarkEnd w:id="191"/>
      <w:r>
        <w:rPr>
          <w:sz w:val="24"/>
        </w:rPr>
        <w:t>工程量差异调整</w:t>
      </w:r>
    </w:p>
    <w:p>
      <w:pPr>
        <w:pStyle w:val="16"/>
        <w:numPr>
          <w:ilvl w:val="2"/>
          <w:numId w:val="127"/>
        </w:numPr>
        <w:tabs>
          <w:tab w:val="left" w:pos="1473"/>
        </w:tabs>
        <w:spacing w:before="158" w:after="0" w:line="364" w:lineRule="auto"/>
        <w:ind w:left="388" w:right="624" w:firstLine="424"/>
        <w:jc w:val="left"/>
        <w:rPr>
          <w:sz w:val="24"/>
        </w:rPr>
      </w:pPr>
      <w:r>
        <w:rPr>
          <w:spacing w:val="-5"/>
          <w:sz w:val="24"/>
        </w:rPr>
        <w:t>工程量清单中的工作内容分类、子目列项、特征描述以及“分部分项工程量清单</w:t>
      </w:r>
      <w:r>
        <w:rPr>
          <w:spacing w:val="-11"/>
          <w:sz w:val="24"/>
        </w:rPr>
        <w:t>与计价表”中附带的工程量都不应理解为是对承包(招标)范围以及合同工作内容的唯一的、</w:t>
      </w:r>
      <w:r>
        <w:rPr>
          <w:sz w:val="24"/>
        </w:rPr>
        <w:t>最终的或全部的定义。</w:t>
      </w:r>
    </w:p>
    <w:p>
      <w:pPr>
        <w:spacing w:after="0" w:line="364" w:lineRule="auto"/>
        <w:jc w:val="left"/>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48" o:spid="_x0000_s1248" o:spt="20" style="position:absolute;left:0pt;margin-left:62.4pt;margin-top:12.25pt;height:0pt;width:400.4pt;mso-position-horizontal-relative:page;z-index:251880448;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2"/>
          <w:numId w:val="127"/>
        </w:numPr>
        <w:tabs>
          <w:tab w:val="left" w:pos="1473"/>
        </w:tabs>
        <w:spacing w:before="67" w:after="0" w:line="364" w:lineRule="auto"/>
        <w:ind w:left="388" w:right="744" w:firstLine="424"/>
        <w:jc w:val="both"/>
        <w:rPr>
          <w:sz w:val="24"/>
        </w:rPr>
      </w:pPr>
      <w:r>
        <w:rPr>
          <w:spacing w:val="-4"/>
          <w:sz w:val="24"/>
        </w:rPr>
        <w:t>磋商响应人应对招标人提供的工程量清单进行认真细致的复核。这种复核包括对</w:t>
      </w:r>
      <w:r>
        <w:rPr>
          <w:sz w:val="24"/>
        </w:rPr>
        <w:t>招标人提供的工程量清单中的子目编码、子目名称、子目特征描述、计量单位、工程量的准确性以及可能存在的任何书写、打印错误进行检查和复核，特别是对“分部分项工程量清单与计价表”中每个工作子目的工程量进行重新计算和校核。如果磋商响应人经过检查和复核以后认为招标人提供的工程量清单存在差异，则磋商响应人应将此类差异的详细情况连同按磋商响应人须知规定提交的要求招标人澄清的其他问题一起提交给招标人，招标人将根据实际情况决定是否颁发工程量清单的补充和(或)修改文件。</w:t>
      </w:r>
    </w:p>
    <w:p>
      <w:pPr>
        <w:pStyle w:val="16"/>
        <w:numPr>
          <w:ilvl w:val="2"/>
          <w:numId w:val="127"/>
        </w:numPr>
        <w:tabs>
          <w:tab w:val="left" w:pos="1449"/>
        </w:tabs>
        <w:spacing w:before="0" w:after="0" w:line="364" w:lineRule="auto"/>
        <w:ind w:left="388" w:right="744" w:firstLine="424"/>
        <w:jc w:val="both"/>
        <w:rPr>
          <w:sz w:val="24"/>
        </w:rPr>
      </w:pPr>
      <w:r>
        <w:rPr>
          <w:spacing w:val="2"/>
          <w:sz w:val="24"/>
        </w:rPr>
        <w:t>如果招标人在检查磋商响应人根据上文第</w:t>
      </w:r>
      <w:r>
        <w:rPr>
          <w:sz w:val="24"/>
        </w:rPr>
        <w:t>3.2.2</w:t>
      </w:r>
      <w:r>
        <w:rPr>
          <w:spacing w:val="-11"/>
          <w:sz w:val="24"/>
        </w:rPr>
        <w:t xml:space="preserve"> 项提交的工程量差异问题后认为</w:t>
      </w:r>
      <w:r>
        <w:rPr>
          <w:spacing w:val="-2"/>
          <w:sz w:val="24"/>
        </w:rPr>
        <w:t xml:space="preserve">没有必要对工程量清单进行补充和(或)修改，或者招标人根据上文第 </w:t>
      </w:r>
      <w:r>
        <w:rPr>
          <w:sz w:val="24"/>
        </w:rPr>
        <w:t>3.2.2</w:t>
      </w:r>
      <w:r>
        <w:rPr>
          <w:spacing w:val="-7"/>
          <w:sz w:val="24"/>
        </w:rPr>
        <w:t xml:space="preserve"> 项对工程量清单进行了补充和(或)修改，但磋商响应人认为工程量清单中的工程量依然存在差异，则此</w:t>
      </w:r>
      <w:r>
        <w:rPr>
          <w:spacing w:val="-12"/>
          <w:sz w:val="24"/>
        </w:rPr>
        <w:t>类差异不再提交招标人答疑和修正，而是直接按招标人提供的工程量清单(包括招标人可能</w:t>
      </w:r>
      <w:r>
        <w:rPr>
          <w:spacing w:val="-5"/>
          <w:sz w:val="24"/>
        </w:rPr>
        <w:t>的补充和(或)修改)进行投标报价。磋商响应人在按照工程量清单进行报价时，除按照本节</w:t>
      </w:r>
    </w:p>
    <w:p>
      <w:pPr>
        <w:pStyle w:val="8"/>
        <w:spacing w:line="364" w:lineRule="auto"/>
        <w:ind w:left="388" w:right="744"/>
        <w:jc w:val="both"/>
      </w:pPr>
      <w:r>
        <w:t>2.7.3</w:t>
      </w:r>
      <w:r>
        <w:rPr>
          <w:spacing w:val="-9"/>
        </w:rPr>
        <w:t xml:space="preserve"> 项要求对招标人提供的措施项目清单的内容进行细化或增减外，不得改变(包括对工</w:t>
      </w:r>
      <w:r>
        <w:rPr>
          <w:spacing w:val="-6"/>
        </w:rPr>
        <w:t xml:space="preserve">程量清单子目的子目名称、子目特征描述、计量单位以及工程量的任何修改、增加或减少) </w:t>
      </w:r>
      <w:r>
        <w:t>招标人提供的分部分项工程量清单和其他项目清单。即使按照图纸和招标范围的约定并不存在的子目，只要在招标人提供的分部分项工程量清单中已经列明，磋商响应人都需要对其报价，并纳入投标总价的计算。</w:t>
      </w:r>
    </w:p>
    <w:p>
      <w:pPr>
        <w:pStyle w:val="16"/>
        <w:numPr>
          <w:ilvl w:val="1"/>
          <w:numId w:val="127"/>
        </w:numPr>
        <w:tabs>
          <w:tab w:val="left" w:pos="1233"/>
        </w:tabs>
        <w:spacing w:before="0" w:after="0" w:line="306" w:lineRule="exact"/>
        <w:ind w:left="1232" w:right="0" w:hanging="421"/>
        <w:jc w:val="both"/>
        <w:rPr>
          <w:sz w:val="24"/>
        </w:rPr>
      </w:pPr>
      <w:bookmarkStart w:id="192" w:name="3.3暂列金额和暂估价"/>
      <w:bookmarkEnd w:id="192"/>
      <w:bookmarkStart w:id="193" w:name="3.3暂列金额和暂估价"/>
      <w:bookmarkEnd w:id="193"/>
      <w:r>
        <w:rPr>
          <w:sz w:val="24"/>
        </w:rPr>
        <w:t>暂列金额和暂估价</w:t>
      </w:r>
    </w:p>
    <w:p>
      <w:pPr>
        <w:pStyle w:val="16"/>
        <w:numPr>
          <w:ilvl w:val="2"/>
          <w:numId w:val="127"/>
        </w:numPr>
        <w:tabs>
          <w:tab w:val="left" w:pos="1414"/>
        </w:tabs>
        <w:spacing w:before="151" w:after="0" w:line="364" w:lineRule="auto"/>
        <w:ind w:left="388" w:right="624" w:firstLine="424"/>
        <w:jc w:val="both"/>
        <w:rPr>
          <w:sz w:val="24"/>
        </w:rPr>
      </w:pPr>
      <w:r>
        <w:rPr>
          <w:spacing w:val="-1"/>
          <w:sz w:val="24"/>
        </w:rPr>
        <w:t>“暂列金额明细表”中所列暂列金额(不包括计日工金额)中已经包含与其对应的管理费、利润和规费，但不含税金。磋商响应人应按本招标文件规定将此类暂列金额直接</w:t>
      </w:r>
      <w:r>
        <w:rPr>
          <w:spacing w:val="-6"/>
          <w:sz w:val="24"/>
        </w:rPr>
        <w:t>纳入其他项目清单的投标价格并计取相应的税金，不需要考虑除税金以外的其他任何费用。</w:t>
      </w:r>
    </w:p>
    <w:p>
      <w:pPr>
        <w:pStyle w:val="16"/>
        <w:numPr>
          <w:ilvl w:val="2"/>
          <w:numId w:val="127"/>
        </w:numPr>
        <w:tabs>
          <w:tab w:val="left" w:pos="1414"/>
        </w:tabs>
        <w:spacing w:before="0" w:after="0" w:line="364" w:lineRule="auto"/>
        <w:ind w:left="388" w:right="744" w:firstLine="424"/>
        <w:jc w:val="both"/>
        <w:rPr>
          <w:sz w:val="24"/>
        </w:rPr>
      </w:pPr>
      <w:r>
        <w:rPr>
          <w:spacing w:val="-3"/>
          <w:sz w:val="24"/>
        </w:rPr>
        <w:t>“材料和工程设备暂估价表”中所列的材料和工程设备暂估价是此类材料、工程</w:t>
      </w:r>
      <w:r>
        <w:rPr>
          <w:sz w:val="24"/>
        </w:rPr>
        <w:t>设备本身运至施工现场内的工地地面价，不包括其本身所对应的管理费、利润、规费、税金以及这些材料和工程设备的安装、安装所需要的辅助材料、安装损耗、驻厂监造以及发生在现场内的验收、存储、保管、开箱、二次倒运、从存放地点运至安装地点以及其他任何必要的辅助工作(以下简称“暂估价材料和工程设备的安装及辅助工作”)所发生的费用及其对应的管理费、利润、规费和税金。除应按本招标文件规定将此类暂估价本身纳入分部分项工程量清单相应子目的综合单价以外，磋商响应人还应将上述材料和工程设备的安装及辅助工作所发生的费用以及与此类费用有关的管理费和利润包含在分部分项工程量清单相应子目的综合单价中，并计取相应的规费和税金。</w:t>
      </w:r>
    </w:p>
    <w:p>
      <w:pPr>
        <w:spacing w:after="0" w:line="364" w:lineRule="auto"/>
        <w:jc w:val="both"/>
        <w:rPr>
          <w:sz w:val="24"/>
        </w:rPr>
        <w:sectPr>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pPr>
    </w:p>
    <w:p>
      <w:pPr>
        <w:tabs>
          <w:tab w:val="left" w:pos="7676"/>
        </w:tabs>
        <w:spacing w:before="45"/>
        <w:ind w:left="388" w:right="0" w:firstLine="0"/>
        <w:jc w:val="left"/>
        <w:rPr>
          <w:sz w:val="18"/>
        </w:rPr>
      </w:pPr>
      <w:r>
        <w:pict>
          <v:line id="_x0000_s1249" o:spid="_x0000_s1249" o:spt="20" style="position:absolute;left:0pt;margin-left:62.4pt;margin-top:12.25pt;height:0pt;width:400.4pt;mso-position-horizontal-relative:page;z-index:251881472;mso-width-relative:page;mso-height-relative:page;" stroked="t" coordsize="21600,21600">
            <v:path arrowok="t"/>
            <v:fill focussize="0,0"/>
            <v:stroke weight="0.36pt" color="#000000"/>
            <v:imagedata o:title=""/>
            <o:lock v:ext="edit"/>
          </v:line>
        </w:pict>
      </w:r>
      <w:r>
        <w:rPr>
          <w:rFonts w:hint="eastAsia"/>
          <w:sz w:val="18"/>
          <w:lang w:eastAsia="zh-CN"/>
        </w:rPr>
        <w:t xml:space="preserve"> </w:t>
      </w:r>
    </w:p>
    <w:p>
      <w:pPr>
        <w:pStyle w:val="8"/>
        <w:spacing w:before="6"/>
        <w:rPr>
          <w:sz w:val="25"/>
        </w:rPr>
      </w:pPr>
    </w:p>
    <w:p>
      <w:pPr>
        <w:pStyle w:val="16"/>
        <w:numPr>
          <w:ilvl w:val="2"/>
          <w:numId w:val="127"/>
        </w:numPr>
        <w:tabs>
          <w:tab w:val="left" w:pos="1473"/>
        </w:tabs>
        <w:spacing w:before="67" w:after="0" w:line="364" w:lineRule="auto"/>
        <w:ind w:left="388" w:right="744" w:firstLine="424"/>
        <w:jc w:val="both"/>
        <w:rPr>
          <w:sz w:val="24"/>
        </w:rPr>
      </w:pPr>
      <w:r>
        <w:rPr>
          <w:spacing w:val="-4"/>
          <w:sz w:val="24"/>
        </w:rPr>
        <w:t>专业工程暂估价表中所列的专业工程暂估价已经包含与其对应的管理费、利润和</w:t>
      </w:r>
      <w:r>
        <w:rPr>
          <w:sz w:val="24"/>
        </w:rPr>
        <w:t>规费，但不含税金。磋商响应人应按本招标文件规定将此类暂估价直接纳入其他项目清单的投标价格并计取相应的税金。除按本招标文件规定将此类暂估价纳入其他项目清单的投标价格并计取相应的税金以外，磋商响应人还需要根据招标文件规定的内容考虑相应的总承包服务费以及与总承包服务费有关的规费和税金。</w:t>
      </w:r>
    </w:p>
    <w:p>
      <w:pPr>
        <w:pStyle w:val="16"/>
        <w:numPr>
          <w:ilvl w:val="1"/>
          <w:numId w:val="127"/>
        </w:numPr>
        <w:tabs>
          <w:tab w:val="left" w:pos="1233"/>
        </w:tabs>
        <w:spacing w:before="0" w:after="0" w:line="303" w:lineRule="exact"/>
        <w:ind w:left="1232" w:right="0" w:hanging="421"/>
        <w:jc w:val="both"/>
        <w:rPr>
          <w:sz w:val="24"/>
        </w:rPr>
      </w:pPr>
      <w:r>
        <w:rPr>
          <w:sz w:val="24"/>
        </w:rPr>
        <w:t>其他补充说明</w:t>
      </w:r>
    </w:p>
    <w:p>
      <w:pPr>
        <w:rPr>
          <w:sz w:val="21"/>
        </w:rPr>
      </w:pPr>
      <w:r>
        <w:rPr>
          <w:sz w:val="21"/>
        </w:rPr>
        <w:br w:type="page"/>
      </w:r>
    </w:p>
    <w:p>
      <w:pPr>
        <w:pStyle w:val="8"/>
        <w:spacing w:before="1"/>
        <w:rPr>
          <w:rFonts w:hint="eastAsia" w:eastAsia="宋体"/>
          <w:sz w:val="21"/>
          <w:lang w:eastAsia="zh-CN"/>
        </w:rPr>
      </w:pPr>
    </w:p>
    <w:p>
      <w:pPr>
        <w:pStyle w:val="8"/>
        <w:spacing w:before="1"/>
        <w:rPr>
          <w:rFonts w:hint="eastAsia" w:eastAsia="宋体"/>
          <w:sz w:val="21"/>
          <w:lang w:eastAsia="zh-CN"/>
        </w:rPr>
      </w:pPr>
      <w:bookmarkStart w:id="194" w:name="_GoBack"/>
      <w:bookmarkEnd w:id="194"/>
    </w:p>
    <w:p>
      <w:pPr>
        <w:pStyle w:val="8"/>
        <w:spacing w:before="1"/>
        <w:rPr>
          <w:rFonts w:hint="eastAsia" w:eastAsia="宋体"/>
          <w:sz w:val="21"/>
          <w:lang w:eastAsia="zh-CN"/>
        </w:rPr>
      </w:pPr>
    </w:p>
    <w:p>
      <w:pPr>
        <w:pStyle w:val="8"/>
        <w:spacing w:before="1"/>
        <w:rPr>
          <w:rFonts w:hint="eastAsia" w:eastAsia="宋体"/>
          <w:sz w:val="21"/>
          <w:lang w:eastAsia="zh-CN"/>
        </w:rPr>
      </w:pPr>
    </w:p>
    <w:p>
      <w:pPr>
        <w:rPr>
          <w:rFonts w:hint="eastAsia" w:eastAsia="宋体"/>
          <w:sz w:val="21"/>
          <w:lang w:eastAsia="zh-CN"/>
        </w:rPr>
      </w:pPr>
      <w:r>
        <w:rPr>
          <w:rFonts w:hint="eastAsia" w:eastAsia="宋体"/>
          <w:sz w:val="21"/>
          <w:lang w:eastAsia="zh-CN"/>
        </w:rPr>
        <w:drawing>
          <wp:inline distT="0" distB="0" distL="114300" distR="114300">
            <wp:extent cx="6686550" cy="7635875"/>
            <wp:effectExtent l="0" t="0" r="0" b="3175"/>
            <wp:docPr id="6" name="图片 6" descr="SKMBT_C5542207041657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KMBT_C55422070416570_02"/>
                    <pic:cNvPicPr>
                      <a:picLocks noChangeAspect="1"/>
                    </pic:cNvPicPr>
                  </pic:nvPicPr>
                  <pic:blipFill>
                    <a:blip r:embed="rId26"/>
                    <a:stretch>
                      <a:fillRect/>
                    </a:stretch>
                  </pic:blipFill>
                  <pic:spPr>
                    <a:xfrm>
                      <a:off x="0" y="0"/>
                      <a:ext cx="6686550" cy="7635875"/>
                    </a:xfrm>
                    <a:prstGeom prst="rect">
                      <a:avLst/>
                    </a:prstGeom>
                  </pic:spPr>
                </pic:pic>
              </a:graphicData>
            </a:graphic>
          </wp:inline>
        </w:drawing>
      </w:r>
      <w:r>
        <w:rPr>
          <w:rFonts w:hint="eastAsia" w:eastAsia="宋体"/>
          <w:sz w:val="21"/>
          <w:lang w:eastAsia="zh-CN"/>
        </w:rPr>
        <w:drawing>
          <wp:inline distT="0" distB="0" distL="114300" distR="114300">
            <wp:extent cx="6316345" cy="9501505"/>
            <wp:effectExtent l="0" t="0" r="8255" b="4445"/>
            <wp:docPr id="5" name="图片 5" descr="SKMBT_C5542207041657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KMBT_C55422070416570_03"/>
                    <pic:cNvPicPr>
                      <a:picLocks noChangeAspect="1"/>
                    </pic:cNvPicPr>
                  </pic:nvPicPr>
                  <pic:blipFill>
                    <a:blip r:embed="rId27"/>
                    <a:stretch>
                      <a:fillRect/>
                    </a:stretch>
                  </pic:blipFill>
                  <pic:spPr>
                    <a:xfrm>
                      <a:off x="0" y="0"/>
                      <a:ext cx="6316345" cy="9501505"/>
                    </a:xfrm>
                    <a:prstGeom prst="rect">
                      <a:avLst/>
                    </a:prstGeom>
                  </pic:spPr>
                </pic:pic>
              </a:graphicData>
            </a:graphic>
          </wp:inline>
        </w:drawing>
      </w:r>
      <w:r>
        <w:rPr>
          <w:rFonts w:hint="eastAsia" w:eastAsia="宋体"/>
          <w:sz w:val="21"/>
          <w:lang w:eastAsia="zh-CN"/>
        </w:rPr>
        <w:drawing>
          <wp:inline distT="0" distB="0" distL="114300" distR="114300">
            <wp:extent cx="6553200" cy="9493885"/>
            <wp:effectExtent l="0" t="0" r="0" b="12065"/>
            <wp:docPr id="4" name="图片 4" descr="SKMBT_C5542207041657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KMBT_C55422070416570_04"/>
                    <pic:cNvPicPr>
                      <a:picLocks noChangeAspect="1"/>
                    </pic:cNvPicPr>
                  </pic:nvPicPr>
                  <pic:blipFill>
                    <a:blip r:embed="rId28"/>
                    <a:stretch>
                      <a:fillRect/>
                    </a:stretch>
                  </pic:blipFill>
                  <pic:spPr>
                    <a:xfrm>
                      <a:off x="0" y="0"/>
                      <a:ext cx="6553200" cy="9493885"/>
                    </a:xfrm>
                    <a:prstGeom prst="rect">
                      <a:avLst/>
                    </a:prstGeom>
                  </pic:spPr>
                </pic:pic>
              </a:graphicData>
            </a:graphic>
          </wp:inline>
        </w:drawing>
      </w:r>
      <w:r>
        <w:rPr>
          <w:rFonts w:hint="eastAsia" w:eastAsia="宋体"/>
          <w:sz w:val="21"/>
          <w:lang w:eastAsia="zh-CN"/>
        </w:rPr>
        <w:drawing>
          <wp:inline distT="0" distB="0" distL="114300" distR="114300">
            <wp:extent cx="6586220" cy="9495790"/>
            <wp:effectExtent l="0" t="0" r="5080" b="10160"/>
            <wp:docPr id="3" name="图片 3" descr="SKMBT_C5542207041657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KMBT_C55422070416570_05"/>
                    <pic:cNvPicPr>
                      <a:picLocks noChangeAspect="1"/>
                    </pic:cNvPicPr>
                  </pic:nvPicPr>
                  <pic:blipFill>
                    <a:blip r:embed="rId29"/>
                    <a:stretch>
                      <a:fillRect/>
                    </a:stretch>
                  </pic:blipFill>
                  <pic:spPr>
                    <a:xfrm>
                      <a:off x="0" y="0"/>
                      <a:ext cx="6586220" cy="9495790"/>
                    </a:xfrm>
                    <a:prstGeom prst="rect">
                      <a:avLst/>
                    </a:prstGeom>
                  </pic:spPr>
                </pic:pic>
              </a:graphicData>
            </a:graphic>
          </wp:inline>
        </w:drawing>
      </w:r>
      <w:r>
        <w:rPr>
          <w:rFonts w:hint="eastAsia" w:eastAsia="宋体"/>
          <w:sz w:val="21"/>
          <w:lang w:eastAsia="zh-CN"/>
        </w:rPr>
        <w:drawing>
          <wp:inline distT="0" distB="0" distL="114300" distR="114300">
            <wp:extent cx="6699250" cy="7799705"/>
            <wp:effectExtent l="0" t="0" r="6350" b="10795"/>
            <wp:docPr id="2" name="图片 2" descr="SKMBT_C5542207041657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KMBT_C55422070416570_06"/>
                    <pic:cNvPicPr>
                      <a:picLocks noChangeAspect="1"/>
                    </pic:cNvPicPr>
                  </pic:nvPicPr>
                  <pic:blipFill>
                    <a:blip r:embed="rId30"/>
                    <a:stretch>
                      <a:fillRect/>
                    </a:stretch>
                  </pic:blipFill>
                  <pic:spPr>
                    <a:xfrm>
                      <a:off x="0" y="0"/>
                      <a:ext cx="6699250" cy="7799705"/>
                    </a:xfrm>
                    <a:prstGeom prst="rect">
                      <a:avLst/>
                    </a:prstGeom>
                  </pic:spPr>
                </pic:pic>
              </a:graphicData>
            </a:graphic>
          </wp:inline>
        </w:drawing>
      </w:r>
      <w:r>
        <w:rPr>
          <w:rFonts w:hint="eastAsia" w:eastAsia="宋体"/>
          <w:sz w:val="21"/>
          <w:lang w:eastAsia="zh-CN"/>
        </w:rPr>
        <w:drawing>
          <wp:inline distT="0" distB="0" distL="114300" distR="114300">
            <wp:extent cx="6690995" cy="8572500"/>
            <wp:effectExtent l="0" t="0" r="14605" b="0"/>
            <wp:docPr id="1" name="图片 1" descr="SKMBT_C55422070416570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KMBT_C55422070416570_07"/>
                    <pic:cNvPicPr>
                      <a:picLocks noChangeAspect="1"/>
                    </pic:cNvPicPr>
                  </pic:nvPicPr>
                  <pic:blipFill>
                    <a:blip r:embed="rId31"/>
                    <a:stretch>
                      <a:fillRect/>
                    </a:stretch>
                  </pic:blipFill>
                  <pic:spPr>
                    <a:xfrm>
                      <a:off x="0" y="0"/>
                      <a:ext cx="6690995" cy="8572500"/>
                    </a:xfrm>
                    <a:prstGeom prst="rect">
                      <a:avLst/>
                    </a:prstGeom>
                  </pic:spPr>
                </pic:pic>
              </a:graphicData>
            </a:graphic>
          </wp:inline>
        </w:drawing>
      </w:r>
    </w:p>
    <w:p>
      <w:pPr>
        <w:pStyle w:val="8"/>
        <w:spacing w:before="1"/>
        <w:rPr>
          <w:rFonts w:hint="eastAsia" w:eastAsia="宋体"/>
          <w:sz w:val="21"/>
          <w:lang w:eastAsia="zh-CN"/>
        </w:rPr>
      </w:pPr>
    </w:p>
    <w:sectPr>
      <w:footerReference r:id="rId24" w:type="default"/>
      <w:pgSz w:w="11910" w:h="16840"/>
      <w:pgMar w:top="580" w:right="500" w:bottom="1260" w:left="860" w:header="0" w:footer="1078" w:gutter="0"/>
      <w:pgBorders w:offsetFrom="page">
        <w:top w:val="single" w:color="A6A6A6" w:sz="18" w:space="24"/>
        <w:left w:val="single" w:color="A6A6A6" w:sz="18" w:space="24"/>
        <w:bottom w:val="single" w:color="A6A6A6" w:sz="18" w:space="24"/>
        <w:right w:val="single" w:color="A6A6A6" w:sz="18" w:space="24"/>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MT Extra">
    <w:panose1 w:val="05050102010205020202"/>
    <w:charset w:val="02"/>
    <w:family w:val="roman"/>
    <w:pitch w:val="default"/>
    <w:sig w:usb0="8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13"/>
      </w:rPr>
    </w:pPr>
    <w:r>
      <w:pict>
        <v:shape id="_x0000_s2049" o:spid="_x0000_s2049" o:spt="202" type="#_x0000_t202" style="position:absolute;left:0pt;margin-left:257.6pt;margin-top:772.05pt;height:18.9pt;width:80.15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before="73" w:line="305" w:lineRule="exact"/>
                  <w:ind w:left="20" w:right="0" w:firstLine="0"/>
                  <w:jc w:val="left"/>
                  <w:rPr>
                    <w:rFonts w:hint="eastAsia" w:ascii="微软雅黑" w:eastAsia="微软雅黑"/>
                    <w:sz w:val="18"/>
                  </w:rPr>
                </w:pPr>
                <w:r>
                  <w:rPr>
                    <w:rFonts w:hint="eastAsia" w:ascii="微软雅黑" w:eastAsia="微软雅黑"/>
                    <w:sz w:val="18"/>
                  </w:rPr>
                  <w:t xml:space="preserve">第 </w:t>
                </w:r>
                <w:r>
                  <w:fldChar w:fldCharType="begin"/>
                </w:r>
                <w:r>
                  <w:rPr>
                    <w:rFonts w:ascii="Tahoma" w:eastAsia="Tahoma"/>
                    <w:sz w:val="18"/>
                  </w:rPr>
                  <w:instrText xml:space="preserve"> PAGE </w:instrText>
                </w:r>
                <w:r>
                  <w:fldChar w:fldCharType="separate"/>
                </w:r>
                <w:r>
                  <w:t>2</w:t>
                </w:r>
                <w:r>
                  <w:fldChar w:fldCharType="end"/>
                </w:r>
                <w:r>
                  <w:rPr>
                    <w:rFonts w:ascii="Tahoma" w:eastAsia="Tahoma"/>
                    <w:sz w:val="18"/>
                  </w:rPr>
                  <w:t xml:space="preserve"> </w:t>
                </w:r>
                <w:r>
                  <w:rPr>
                    <w:rFonts w:hint="eastAsia" w:ascii="微软雅黑" w:eastAsia="微软雅黑"/>
                    <w:sz w:val="18"/>
                  </w:rPr>
                  <w:t xml:space="preserve">页 共 </w:t>
                </w:r>
                <w:r>
                  <w:rPr>
                    <w:rFonts w:ascii="Tahoma" w:eastAsia="Tahoma"/>
                    <w:sz w:val="18"/>
                  </w:rPr>
                  <w:t xml:space="preserve">224 </w:t>
                </w:r>
                <w:r>
                  <w:rPr>
                    <w:rFonts w:hint="eastAsia" w:ascii="微软雅黑" w:eastAsia="微软雅黑"/>
                    <w:sz w:val="18"/>
                  </w:rPr>
                  <w:t>页</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pict>
        <v:shape id="_x0000_s2058" o:spid="_x0000_s2058" o:spt="202" type="#_x0000_t202" style="position:absolute;left:0pt;margin-left:255.15pt;margin-top:777.05pt;height:13.9pt;width:84.95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pPr>
                  <w:spacing w:before="0" w:line="278" w:lineRule="exact"/>
                  <w:ind w:left="20" w:right="0" w:firstLine="0"/>
                  <w:jc w:val="left"/>
                  <w:rPr>
                    <w:rFonts w:hint="eastAsia" w:ascii="微软雅黑" w:eastAsia="微软雅黑"/>
                    <w:sz w:val="18"/>
                  </w:rPr>
                </w:pPr>
                <w:r>
                  <w:rPr>
                    <w:rFonts w:hint="eastAsia" w:ascii="微软雅黑" w:eastAsia="微软雅黑"/>
                    <w:sz w:val="18"/>
                  </w:rPr>
                  <w:t xml:space="preserve">第 </w:t>
                </w:r>
                <w:r>
                  <w:fldChar w:fldCharType="begin"/>
                </w:r>
                <w:r>
                  <w:rPr>
                    <w:rFonts w:ascii="Tahoma" w:eastAsia="Tahoma"/>
                    <w:sz w:val="18"/>
                  </w:rPr>
                  <w:instrText xml:space="preserve"> PAGE </w:instrText>
                </w:r>
                <w:r>
                  <w:fldChar w:fldCharType="separate"/>
                </w:r>
                <w:r>
                  <w:t>90</w:t>
                </w:r>
                <w:r>
                  <w:fldChar w:fldCharType="end"/>
                </w:r>
                <w:r>
                  <w:rPr>
                    <w:rFonts w:ascii="Tahoma" w:eastAsia="Tahoma"/>
                    <w:sz w:val="18"/>
                  </w:rPr>
                  <w:t xml:space="preserve"> </w:t>
                </w:r>
                <w:r>
                  <w:rPr>
                    <w:rFonts w:hint="eastAsia" w:ascii="微软雅黑" w:eastAsia="微软雅黑"/>
                    <w:sz w:val="18"/>
                  </w:rPr>
                  <w:t xml:space="preserve">页 共 </w:t>
                </w:r>
                <w:r>
                  <w:rPr>
                    <w:rFonts w:ascii="Tahoma" w:eastAsia="Tahoma"/>
                    <w:sz w:val="18"/>
                  </w:rPr>
                  <w:t xml:space="preserve">224 </w:t>
                </w:r>
                <w:r>
                  <w:rPr>
                    <w:rFonts w:hint="eastAsia" w:ascii="微软雅黑" w:eastAsia="微软雅黑"/>
                    <w:sz w:val="18"/>
                  </w:rPr>
                  <w:t>页</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pict>
        <v:shape id="_x0000_s2059" o:spid="_x0000_s2059" o:spt="202" type="#_x0000_t202" style="position:absolute;left:0pt;margin-left:252.65pt;margin-top:777.05pt;height:13.9pt;width:90pt;mso-position-horizontal-relative:page;mso-position-vertical-relative:page;z-index:-251645952;mso-width-relative:page;mso-height-relative:page;" filled="f" stroked="f" coordsize="21600,21600">
          <v:path/>
          <v:fill on="f" focussize="0,0"/>
          <v:stroke on="f" joinstyle="miter"/>
          <v:imagedata o:title=""/>
          <o:lock v:ext="edit"/>
          <v:textbox inset="0mm,0mm,0mm,0mm">
            <w:txbxContent>
              <w:p>
                <w:pPr>
                  <w:spacing w:before="0" w:line="278" w:lineRule="exact"/>
                  <w:ind w:left="20" w:right="0" w:firstLine="0"/>
                  <w:jc w:val="left"/>
                  <w:rPr>
                    <w:rFonts w:hint="eastAsia" w:ascii="微软雅黑" w:eastAsia="微软雅黑"/>
                    <w:sz w:val="18"/>
                  </w:rPr>
                </w:pPr>
                <w:r>
                  <w:rPr>
                    <w:rFonts w:hint="eastAsia" w:ascii="微软雅黑" w:eastAsia="微软雅黑"/>
                    <w:sz w:val="18"/>
                  </w:rPr>
                  <w:t xml:space="preserve">第 </w:t>
                </w:r>
                <w:r>
                  <w:fldChar w:fldCharType="begin"/>
                </w:r>
                <w:r>
                  <w:rPr>
                    <w:rFonts w:ascii="Tahoma" w:eastAsia="Tahoma"/>
                    <w:sz w:val="18"/>
                  </w:rPr>
                  <w:instrText xml:space="preserve"> PAGE </w:instrText>
                </w:r>
                <w:r>
                  <w:fldChar w:fldCharType="separate"/>
                </w:r>
                <w:r>
                  <w:t>100</w:t>
                </w:r>
                <w:r>
                  <w:fldChar w:fldCharType="end"/>
                </w:r>
                <w:r>
                  <w:rPr>
                    <w:rFonts w:ascii="Tahoma" w:eastAsia="Tahoma"/>
                    <w:sz w:val="18"/>
                  </w:rPr>
                  <w:t xml:space="preserve"> </w:t>
                </w:r>
                <w:r>
                  <w:rPr>
                    <w:rFonts w:hint="eastAsia" w:ascii="微软雅黑" w:eastAsia="微软雅黑"/>
                    <w:sz w:val="18"/>
                  </w:rPr>
                  <w:t xml:space="preserve">页 共 </w:t>
                </w:r>
                <w:r>
                  <w:rPr>
                    <w:rFonts w:ascii="Tahoma" w:eastAsia="Tahoma"/>
                    <w:sz w:val="18"/>
                  </w:rPr>
                  <w:t xml:space="preserve">224 </w:t>
                </w:r>
                <w:r>
                  <w:rPr>
                    <w:rFonts w:hint="eastAsia" w:ascii="微软雅黑" w:eastAsia="微软雅黑"/>
                    <w:sz w:val="18"/>
                  </w:rPr>
                  <w:t>页</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pict>
        <v:shape id="_x0000_s2060" o:spid="_x0000_s2060" o:spt="202" type="#_x0000_t202" style="position:absolute;left:0pt;margin-left:252.65pt;margin-top:777.05pt;height:13.9pt;width:90pt;mso-position-horizontal-relative:page;mso-position-vertical-relative:page;z-index:-251644928;mso-width-relative:page;mso-height-relative:page;" filled="f" stroked="f" coordsize="21600,21600">
          <v:path/>
          <v:fill on="f" focussize="0,0"/>
          <v:stroke on="f" joinstyle="miter"/>
          <v:imagedata o:title=""/>
          <o:lock v:ext="edit"/>
          <v:textbox inset="0mm,0mm,0mm,0mm">
            <w:txbxContent>
              <w:p>
                <w:pPr>
                  <w:spacing w:before="0" w:line="278" w:lineRule="exact"/>
                  <w:ind w:left="20" w:right="0" w:firstLine="0"/>
                  <w:jc w:val="left"/>
                  <w:rPr>
                    <w:rFonts w:hint="eastAsia" w:ascii="微软雅黑" w:eastAsia="微软雅黑"/>
                    <w:sz w:val="18"/>
                  </w:rPr>
                </w:pPr>
                <w:r>
                  <w:rPr>
                    <w:rFonts w:hint="eastAsia" w:ascii="微软雅黑" w:eastAsia="微软雅黑"/>
                    <w:sz w:val="18"/>
                  </w:rPr>
                  <w:t xml:space="preserve">第 </w:t>
                </w:r>
                <w:r>
                  <w:fldChar w:fldCharType="begin"/>
                </w:r>
                <w:r>
                  <w:rPr>
                    <w:rFonts w:ascii="Tahoma" w:eastAsia="Tahoma"/>
                    <w:sz w:val="18"/>
                  </w:rPr>
                  <w:instrText xml:space="preserve"> PAGE </w:instrText>
                </w:r>
                <w:r>
                  <w:fldChar w:fldCharType="separate"/>
                </w:r>
                <w:r>
                  <w:t>110</w:t>
                </w:r>
                <w:r>
                  <w:fldChar w:fldCharType="end"/>
                </w:r>
                <w:r>
                  <w:rPr>
                    <w:rFonts w:ascii="Tahoma" w:eastAsia="Tahoma"/>
                    <w:sz w:val="18"/>
                  </w:rPr>
                  <w:t xml:space="preserve"> </w:t>
                </w:r>
                <w:r>
                  <w:rPr>
                    <w:rFonts w:hint="eastAsia" w:ascii="微软雅黑" w:eastAsia="微软雅黑"/>
                    <w:sz w:val="18"/>
                  </w:rPr>
                  <w:t xml:space="preserve">页 共 </w:t>
                </w:r>
                <w:r>
                  <w:rPr>
                    <w:rFonts w:ascii="Tahoma" w:eastAsia="Tahoma"/>
                    <w:sz w:val="18"/>
                  </w:rPr>
                  <w:t xml:space="preserve">224 </w:t>
                </w:r>
                <w:r>
                  <w:rPr>
                    <w:rFonts w:hint="eastAsia" w:ascii="微软雅黑" w:eastAsia="微软雅黑"/>
                    <w:sz w:val="18"/>
                  </w:rPr>
                  <w:t>页</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pict>
        <v:shape id="_x0000_s2061" o:spid="_x0000_s2061" o:spt="202" type="#_x0000_t202" style="position:absolute;left:0pt;margin-left:252.65pt;margin-top:777.05pt;height:13.9pt;width:90pt;mso-position-horizontal-relative:page;mso-position-vertical-relative:page;z-index:-251643904;mso-width-relative:page;mso-height-relative:page;" filled="f" stroked="f" coordsize="21600,21600">
          <v:path/>
          <v:fill on="f" focussize="0,0"/>
          <v:stroke on="f" joinstyle="miter"/>
          <v:imagedata o:title=""/>
          <o:lock v:ext="edit"/>
          <v:textbox inset="0mm,0mm,0mm,0mm">
            <w:txbxContent>
              <w:p>
                <w:pPr>
                  <w:spacing w:before="0" w:line="278" w:lineRule="exact"/>
                  <w:ind w:left="20" w:right="0" w:firstLine="0"/>
                  <w:jc w:val="left"/>
                  <w:rPr>
                    <w:rFonts w:hint="eastAsia" w:ascii="微软雅黑" w:eastAsia="微软雅黑"/>
                    <w:sz w:val="18"/>
                  </w:rPr>
                </w:pPr>
                <w:r>
                  <w:rPr>
                    <w:rFonts w:hint="eastAsia" w:ascii="微软雅黑" w:eastAsia="微软雅黑"/>
                    <w:sz w:val="18"/>
                  </w:rPr>
                  <w:t xml:space="preserve">第 </w:t>
                </w:r>
                <w:r>
                  <w:fldChar w:fldCharType="begin"/>
                </w:r>
                <w:r>
                  <w:rPr>
                    <w:rFonts w:ascii="Tahoma" w:eastAsia="Tahoma"/>
                    <w:sz w:val="18"/>
                  </w:rPr>
                  <w:instrText xml:space="preserve"> PAGE </w:instrText>
                </w:r>
                <w:r>
                  <w:fldChar w:fldCharType="separate"/>
                </w:r>
                <w:r>
                  <w:t>120</w:t>
                </w:r>
                <w:r>
                  <w:fldChar w:fldCharType="end"/>
                </w:r>
                <w:r>
                  <w:rPr>
                    <w:rFonts w:ascii="Tahoma" w:eastAsia="Tahoma"/>
                    <w:sz w:val="18"/>
                  </w:rPr>
                  <w:t xml:space="preserve"> </w:t>
                </w:r>
                <w:r>
                  <w:rPr>
                    <w:rFonts w:hint="eastAsia" w:ascii="微软雅黑" w:eastAsia="微软雅黑"/>
                    <w:sz w:val="18"/>
                  </w:rPr>
                  <w:t xml:space="preserve">页 共 </w:t>
                </w:r>
                <w:r>
                  <w:rPr>
                    <w:rFonts w:ascii="Tahoma" w:eastAsia="Tahoma"/>
                    <w:sz w:val="18"/>
                  </w:rPr>
                  <w:t xml:space="preserve">224 </w:t>
                </w:r>
                <w:r>
                  <w:rPr>
                    <w:rFonts w:hint="eastAsia" w:ascii="微软雅黑" w:eastAsia="微软雅黑"/>
                    <w:sz w:val="18"/>
                  </w:rPr>
                  <w:t>页</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pict>
        <v:shape id="_x0000_s2071" o:spid="_x0000_s2071" o:spt="202" type="#_x0000_t202" style="position:absolute;left:0pt;margin-left:252.65pt;margin-top:777.05pt;height:13.9pt;width:90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0" w:line="278" w:lineRule="exact"/>
                  <w:ind w:left="20" w:right="0" w:firstLine="0"/>
                  <w:jc w:val="left"/>
                  <w:rPr>
                    <w:rFonts w:hint="eastAsia" w:ascii="微软雅黑" w:eastAsia="微软雅黑"/>
                    <w:sz w:val="18"/>
                  </w:rPr>
                </w:pPr>
                <w:r>
                  <w:rPr>
                    <w:rFonts w:hint="eastAsia" w:ascii="微软雅黑" w:eastAsia="微软雅黑"/>
                    <w:sz w:val="18"/>
                  </w:rPr>
                  <w:t xml:space="preserve">第 </w:t>
                </w:r>
                <w:r>
                  <w:fldChar w:fldCharType="begin"/>
                </w:r>
                <w:r>
                  <w:rPr>
                    <w:rFonts w:ascii="Tahoma" w:eastAsia="Tahoma"/>
                    <w:sz w:val="18"/>
                  </w:rPr>
                  <w:instrText xml:space="preserve"> PAGE </w:instrText>
                </w:r>
                <w:r>
                  <w:fldChar w:fldCharType="separate"/>
                </w:r>
                <w:r>
                  <w:t>130</w:t>
                </w:r>
                <w:r>
                  <w:fldChar w:fldCharType="end"/>
                </w:r>
                <w:r>
                  <w:rPr>
                    <w:rFonts w:ascii="Tahoma" w:eastAsia="Tahoma"/>
                    <w:sz w:val="18"/>
                  </w:rPr>
                  <w:t xml:space="preserve"> </w:t>
                </w:r>
                <w:r>
                  <w:rPr>
                    <w:rFonts w:hint="eastAsia" w:ascii="微软雅黑" w:eastAsia="微软雅黑"/>
                    <w:sz w:val="18"/>
                  </w:rPr>
                  <w:t xml:space="preserve">页 共 </w:t>
                </w:r>
                <w:r>
                  <w:rPr>
                    <w:rFonts w:ascii="Tahoma" w:eastAsia="Tahoma"/>
                    <w:sz w:val="18"/>
                  </w:rPr>
                  <w:t xml:space="preserve">224 </w:t>
                </w:r>
                <w:r>
                  <w:rPr>
                    <w:rFonts w:hint="eastAsia" w:ascii="微软雅黑" w:eastAsia="微软雅黑"/>
                    <w:sz w:val="18"/>
                  </w:rPr>
                  <w:t>页</w:t>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pict>
        <v:shape id="_x0000_s2062" o:spid="_x0000_s2062" o:spt="202" type="#_x0000_t202" style="position:absolute;left:0pt;margin-left:252.65pt;margin-top:777.05pt;height:13.9pt;width:90pt;mso-position-horizontal-relative:page;mso-position-vertical-relative:page;z-index:-251642880;mso-width-relative:page;mso-height-relative:page;" filled="f" stroked="f" coordsize="21600,21600">
          <v:path/>
          <v:fill on="f" focussize="0,0"/>
          <v:stroke on="f" joinstyle="miter"/>
          <v:imagedata o:title=""/>
          <o:lock v:ext="edit"/>
          <v:textbox inset="0mm,0mm,0mm,0mm">
            <w:txbxContent>
              <w:p>
                <w:pPr>
                  <w:spacing w:before="0" w:line="278" w:lineRule="exact"/>
                  <w:ind w:left="20" w:right="0" w:firstLine="0"/>
                  <w:jc w:val="left"/>
                  <w:rPr>
                    <w:rFonts w:hint="eastAsia" w:ascii="微软雅黑" w:eastAsia="微软雅黑"/>
                    <w:sz w:val="18"/>
                  </w:rPr>
                </w:pPr>
                <w:r>
                  <w:rPr>
                    <w:rFonts w:hint="eastAsia" w:ascii="微软雅黑" w:eastAsia="微软雅黑"/>
                    <w:sz w:val="18"/>
                  </w:rPr>
                  <w:t xml:space="preserve">第 </w:t>
                </w:r>
                <w:r>
                  <w:fldChar w:fldCharType="begin"/>
                </w:r>
                <w:r>
                  <w:rPr>
                    <w:rFonts w:ascii="Tahoma" w:eastAsia="Tahoma"/>
                    <w:sz w:val="18"/>
                  </w:rPr>
                  <w:instrText xml:space="preserve"> PAGE </w:instrText>
                </w:r>
                <w:r>
                  <w:fldChar w:fldCharType="separate"/>
                </w:r>
                <w:r>
                  <w:t>130</w:t>
                </w:r>
                <w:r>
                  <w:fldChar w:fldCharType="end"/>
                </w:r>
                <w:r>
                  <w:rPr>
                    <w:rFonts w:ascii="Tahoma" w:eastAsia="Tahoma"/>
                    <w:sz w:val="18"/>
                  </w:rPr>
                  <w:t xml:space="preserve"> </w:t>
                </w:r>
                <w:r>
                  <w:rPr>
                    <w:rFonts w:hint="eastAsia" w:ascii="微软雅黑" w:eastAsia="微软雅黑"/>
                    <w:sz w:val="18"/>
                  </w:rPr>
                  <w:t xml:space="preserve">页 共 </w:t>
                </w:r>
                <w:r>
                  <w:rPr>
                    <w:rFonts w:ascii="Tahoma" w:eastAsia="Tahoma"/>
                    <w:sz w:val="18"/>
                  </w:rPr>
                  <w:t xml:space="preserve">224 </w:t>
                </w:r>
                <w:r>
                  <w:rPr>
                    <w:rFonts w:hint="eastAsia" w:ascii="微软雅黑" w:eastAsia="微软雅黑"/>
                    <w:sz w:val="18"/>
                  </w:rPr>
                  <w:t>页</w:t>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pict>
        <v:shape id="_x0000_s2063" o:spid="_x0000_s2063" o:spt="202" type="#_x0000_t202" style="position:absolute;left:0pt;margin-left:252.65pt;margin-top:777.05pt;height:13.9pt;width:90pt;mso-position-horizontal-relative:page;mso-position-vertical-relative:page;z-index:-251641856;mso-width-relative:page;mso-height-relative:page;" filled="f" stroked="f" coordsize="21600,21600">
          <v:path/>
          <v:fill on="f" focussize="0,0"/>
          <v:stroke on="f" joinstyle="miter"/>
          <v:imagedata o:title=""/>
          <o:lock v:ext="edit"/>
          <v:textbox inset="0mm,0mm,0mm,0mm">
            <w:txbxContent>
              <w:p>
                <w:pPr>
                  <w:spacing w:before="0" w:line="278" w:lineRule="exact"/>
                  <w:ind w:left="20" w:right="0" w:firstLine="0"/>
                  <w:jc w:val="left"/>
                  <w:rPr>
                    <w:rFonts w:hint="eastAsia" w:ascii="微软雅黑" w:eastAsia="微软雅黑"/>
                    <w:sz w:val="18"/>
                  </w:rPr>
                </w:pPr>
                <w:r>
                  <w:rPr>
                    <w:rFonts w:hint="eastAsia" w:ascii="微软雅黑" w:eastAsia="微软雅黑"/>
                    <w:sz w:val="18"/>
                  </w:rPr>
                  <w:t xml:space="preserve">第 </w:t>
                </w:r>
                <w:r>
                  <w:fldChar w:fldCharType="begin"/>
                </w:r>
                <w:r>
                  <w:rPr>
                    <w:rFonts w:ascii="Tahoma" w:eastAsia="Tahoma"/>
                    <w:sz w:val="18"/>
                  </w:rPr>
                  <w:instrText xml:space="preserve"> PAGE </w:instrText>
                </w:r>
                <w:r>
                  <w:fldChar w:fldCharType="separate"/>
                </w:r>
                <w:r>
                  <w:t>140</w:t>
                </w:r>
                <w:r>
                  <w:fldChar w:fldCharType="end"/>
                </w:r>
                <w:r>
                  <w:rPr>
                    <w:rFonts w:ascii="Tahoma" w:eastAsia="Tahoma"/>
                    <w:sz w:val="18"/>
                  </w:rPr>
                  <w:t xml:space="preserve"> </w:t>
                </w:r>
                <w:r>
                  <w:rPr>
                    <w:rFonts w:hint="eastAsia" w:ascii="微软雅黑" w:eastAsia="微软雅黑"/>
                    <w:sz w:val="18"/>
                  </w:rPr>
                  <w:t xml:space="preserve">页 共 </w:t>
                </w:r>
                <w:r>
                  <w:rPr>
                    <w:rFonts w:ascii="Tahoma" w:eastAsia="Tahoma"/>
                    <w:sz w:val="18"/>
                  </w:rPr>
                  <w:t xml:space="preserve">224 </w:t>
                </w:r>
                <w:r>
                  <w:rPr>
                    <w:rFonts w:hint="eastAsia" w:ascii="微软雅黑" w:eastAsia="微软雅黑"/>
                    <w:sz w:val="18"/>
                  </w:rPr>
                  <w:t>页</w:t>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pict>
        <v:shape id="_x0000_s2064" o:spid="_x0000_s2064" o:spt="202" type="#_x0000_t202" style="position:absolute;left:0pt;margin-left:252.65pt;margin-top:777.05pt;height:13.9pt;width:90pt;mso-position-horizontal-relative:page;mso-position-vertical-relative:page;z-index:-251640832;mso-width-relative:page;mso-height-relative:page;" filled="f" stroked="f" coordsize="21600,21600">
          <v:path/>
          <v:fill on="f" focussize="0,0"/>
          <v:stroke on="f" joinstyle="miter"/>
          <v:imagedata o:title=""/>
          <o:lock v:ext="edit"/>
          <v:textbox inset="0mm,0mm,0mm,0mm">
            <w:txbxContent>
              <w:p>
                <w:pPr>
                  <w:spacing w:before="0" w:line="278" w:lineRule="exact"/>
                  <w:ind w:left="20" w:right="0" w:firstLine="0"/>
                  <w:jc w:val="left"/>
                  <w:rPr>
                    <w:rFonts w:hint="eastAsia" w:ascii="微软雅黑" w:eastAsia="微软雅黑"/>
                    <w:sz w:val="18"/>
                  </w:rPr>
                </w:pPr>
                <w:r>
                  <w:rPr>
                    <w:rFonts w:hint="eastAsia" w:ascii="微软雅黑" w:eastAsia="微软雅黑"/>
                    <w:sz w:val="18"/>
                  </w:rPr>
                  <w:t xml:space="preserve">第 </w:t>
                </w:r>
                <w:r>
                  <w:fldChar w:fldCharType="begin"/>
                </w:r>
                <w:r>
                  <w:rPr>
                    <w:rFonts w:ascii="Tahoma" w:eastAsia="Tahoma"/>
                    <w:sz w:val="18"/>
                  </w:rPr>
                  <w:instrText xml:space="preserve"> PAGE </w:instrText>
                </w:r>
                <w:r>
                  <w:fldChar w:fldCharType="separate"/>
                </w:r>
                <w:r>
                  <w:t>150</w:t>
                </w:r>
                <w:r>
                  <w:fldChar w:fldCharType="end"/>
                </w:r>
                <w:r>
                  <w:rPr>
                    <w:rFonts w:ascii="Tahoma" w:eastAsia="Tahoma"/>
                    <w:sz w:val="18"/>
                  </w:rPr>
                  <w:t xml:space="preserve"> </w:t>
                </w:r>
                <w:r>
                  <w:rPr>
                    <w:rFonts w:hint="eastAsia" w:ascii="微软雅黑" w:eastAsia="微软雅黑"/>
                    <w:sz w:val="18"/>
                  </w:rPr>
                  <w:t xml:space="preserve">页 共 </w:t>
                </w:r>
                <w:r>
                  <w:rPr>
                    <w:rFonts w:ascii="Tahoma" w:eastAsia="Tahoma"/>
                    <w:sz w:val="18"/>
                  </w:rPr>
                  <w:t xml:space="preserve">224 </w:t>
                </w:r>
                <w:r>
                  <w:rPr>
                    <w:rFonts w:hint="eastAsia" w:ascii="微软雅黑" w:eastAsia="微软雅黑"/>
                    <w:sz w:val="18"/>
                  </w:rPr>
                  <w:t>页</w:t>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pict>
        <v:shape id="_x0000_s2065" o:spid="_x0000_s2065" o:spt="202" type="#_x0000_t202" style="position:absolute;left:0pt;margin-left:252.65pt;margin-top:777.05pt;height:13.9pt;width:90pt;mso-position-horizontal-relative:page;mso-position-vertical-relative:page;z-index:-251639808;mso-width-relative:page;mso-height-relative:page;" filled="f" stroked="f" coordsize="21600,21600">
          <v:path/>
          <v:fill on="f" focussize="0,0"/>
          <v:stroke on="f" joinstyle="miter"/>
          <v:imagedata o:title=""/>
          <o:lock v:ext="edit"/>
          <v:textbox inset="0mm,0mm,0mm,0mm">
            <w:txbxContent>
              <w:p>
                <w:pPr>
                  <w:spacing w:before="0" w:line="278" w:lineRule="exact"/>
                  <w:ind w:left="20" w:right="0" w:firstLine="0"/>
                  <w:jc w:val="left"/>
                  <w:rPr>
                    <w:rFonts w:hint="eastAsia" w:ascii="微软雅黑" w:eastAsia="微软雅黑"/>
                    <w:sz w:val="18"/>
                  </w:rPr>
                </w:pPr>
                <w:r>
                  <w:rPr>
                    <w:rFonts w:hint="eastAsia" w:ascii="微软雅黑" w:eastAsia="微软雅黑"/>
                    <w:sz w:val="18"/>
                  </w:rPr>
                  <w:t xml:space="preserve">第 </w:t>
                </w:r>
                <w:r>
                  <w:fldChar w:fldCharType="begin"/>
                </w:r>
                <w:r>
                  <w:rPr>
                    <w:rFonts w:ascii="Tahoma" w:eastAsia="Tahoma"/>
                    <w:sz w:val="18"/>
                  </w:rPr>
                  <w:instrText xml:space="preserve"> PAGE </w:instrText>
                </w:r>
                <w:r>
                  <w:fldChar w:fldCharType="separate"/>
                </w:r>
                <w:r>
                  <w:t>160</w:t>
                </w:r>
                <w:r>
                  <w:fldChar w:fldCharType="end"/>
                </w:r>
                <w:r>
                  <w:rPr>
                    <w:rFonts w:ascii="Tahoma" w:eastAsia="Tahoma"/>
                    <w:sz w:val="18"/>
                  </w:rPr>
                  <w:t xml:space="preserve"> </w:t>
                </w:r>
                <w:r>
                  <w:rPr>
                    <w:rFonts w:hint="eastAsia" w:ascii="微软雅黑" w:eastAsia="微软雅黑"/>
                    <w:sz w:val="18"/>
                  </w:rPr>
                  <w:t xml:space="preserve">页 共 </w:t>
                </w:r>
                <w:r>
                  <w:rPr>
                    <w:rFonts w:ascii="Tahoma" w:eastAsia="Tahoma"/>
                    <w:sz w:val="18"/>
                  </w:rPr>
                  <w:t xml:space="preserve">224 </w:t>
                </w:r>
                <w:r>
                  <w:rPr>
                    <w:rFonts w:hint="eastAsia" w:ascii="微软雅黑" w:eastAsia="微软雅黑"/>
                    <w:sz w:val="18"/>
                  </w:rPr>
                  <w:t>页</w:t>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pict>
        <v:shape id="_x0000_s2066" o:spid="_x0000_s2066" o:spt="202" type="#_x0000_t202" style="position:absolute;left:0pt;margin-left:252.65pt;margin-top:777.05pt;height:13.9pt;width:90pt;mso-position-horizontal-relative:page;mso-position-vertical-relative:page;z-index:-251638784;mso-width-relative:page;mso-height-relative:page;" filled="f" stroked="f" coordsize="21600,21600">
          <v:path/>
          <v:fill on="f" focussize="0,0"/>
          <v:stroke on="f" joinstyle="miter"/>
          <v:imagedata o:title=""/>
          <o:lock v:ext="edit"/>
          <v:textbox inset="0mm,0mm,0mm,0mm">
            <w:txbxContent>
              <w:p>
                <w:pPr>
                  <w:spacing w:before="0" w:line="278" w:lineRule="exact"/>
                  <w:ind w:left="20" w:right="0" w:firstLine="0"/>
                  <w:jc w:val="left"/>
                  <w:rPr>
                    <w:rFonts w:hint="eastAsia" w:ascii="微软雅黑" w:eastAsia="微软雅黑"/>
                    <w:sz w:val="18"/>
                  </w:rPr>
                </w:pPr>
                <w:r>
                  <w:rPr>
                    <w:rFonts w:hint="eastAsia" w:ascii="微软雅黑" w:eastAsia="微软雅黑"/>
                    <w:sz w:val="18"/>
                  </w:rPr>
                  <w:t xml:space="preserve">第 </w:t>
                </w:r>
                <w:r>
                  <w:fldChar w:fldCharType="begin"/>
                </w:r>
                <w:r>
                  <w:rPr>
                    <w:rFonts w:ascii="Tahoma" w:eastAsia="Tahoma"/>
                    <w:sz w:val="18"/>
                  </w:rPr>
                  <w:instrText xml:space="preserve"> PAGE </w:instrText>
                </w:r>
                <w:r>
                  <w:fldChar w:fldCharType="separate"/>
                </w:r>
                <w:r>
                  <w:t>170</w:t>
                </w:r>
                <w:r>
                  <w:fldChar w:fldCharType="end"/>
                </w:r>
                <w:r>
                  <w:rPr>
                    <w:rFonts w:ascii="Tahoma" w:eastAsia="Tahoma"/>
                    <w:sz w:val="18"/>
                  </w:rPr>
                  <w:t xml:space="preserve"> </w:t>
                </w:r>
                <w:r>
                  <w:rPr>
                    <w:rFonts w:hint="eastAsia" w:ascii="微软雅黑" w:eastAsia="微软雅黑"/>
                    <w:sz w:val="18"/>
                  </w:rPr>
                  <w:t xml:space="preserve">页 共 </w:t>
                </w:r>
                <w:r>
                  <w:rPr>
                    <w:rFonts w:ascii="Tahoma" w:eastAsia="Tahoma"/>
                    <w:sz w:val="18"/>
                  </w:rPr>
                  <w:t xml:space="preserve">224 </w:t>
                </w:r>
                <w:r>
                  <w:rPr>
                    <w:rFonts w:hint="eastAsia" w:ascii="微软雅黑" w:eastAsia="微软雅黑"/>
                    <w:sz w:val="18"/>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pict>
        <v:shape id="_x0000_s2050" o:spid="_x0000_s2050" o:spt="202" type="#_x0000_t202" style="position:absolute;left:0pt;margin-left:255.15pt;margin-top:777.05pt;height:13.9pt;width:84.95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0" w:line="278" w:lineRule="exact"/>
                  <w:ind w:left="20" w:right="0" w:firstLine="0"/>
                  <w:jc w:val="left"/>
                  <w:rPr>
                    <w:rFonts w:hint="eastAsia" w:ascii="微软雅黑" w:eastAsia="微软雅黑"/>
                    <w:sz w:val="18"/>
                  </w:rPr>
                </w:pPr>
                <w:r>
                  <w:rPr>
                    <w:rFonts w:hint="eastAsia" w:ascii="微软雅黑" w:eastAsia="微软雅黑"/>
                    <w:sz w:val="18"/>
                  </w:rPr>
                  <w:t xml:space="preserve">第 </w:t>
                </w:r>
                <w:r>
                  <w:fldChar w:fldCharType="begin"/>
                </w:r>
                <w:r>
                  <w:rPr>
                    <w:rFonts w:ascii="Tahoma" w:eastAsia="Tahoma"/>
                    <w:sz w:val="18"/>
                  </w:rPr>
                  <w:instrText xml:space="preserve"> PAGE </w:instrText>
                </w:r>
                <w:r>
                  <w:fldChar w:fldCharType="separate"/>
                </w:r>
                <w:r>
                  <w:t>10</w:t>
                </w:r>
                <w:r>
                  <w:fldChar w:fldCharType="end"/>
                </w:r>
                <w:r>
                  <w:rPr>
                    <w:rFonts w:ascii="Tahoma" w:eastAsia="Tahoma"/>
                    <w:sz w:val="18"/>
                  </w:rPr>
                  <w:t xml:space="preserve"> </w:t>
                </w:r>
                <w:r>
                  <w:rPr>
                    <w:rFonts w:hint="eastAsia" w:ascii="微软雅黑" w:eastAsia="微软雅黑"/>
                    <w:sz w:val="18"/>
                  </w:rPr>
                  <w:t xml:space="preserve">页 共 </w:t>
                </w:r>
                <w:r>
                  <w:rPr>
                    <w:rFonts w:ascii="Tahoma" w:eastAsia="Tahoma"/>
                    <w:sz w:val="18"/>
                  </w:rPr>
                  <w:t xml:space="preserve">224 </w:t>
                </w:r>
                <w:r>
                  <w:rPr>
                    <w:rFonts w:hint="eastAsia" w:ascii="微软雅黑" w:eastAsia="微软雅黑"/>
                    <w:sz w:val="18"/>
                  </w:rPr>
                  <w:t>页</w:t>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pict>
        <v:shape id="_x0000_s2070" o:spid="_x0000_s2070" o:spt="202" type="#_x0000_t202" style="position:absolute;left:0pt;margin-left:252.65pt;margin-top:777.05pt;height:13.9pt;width:90pt;mso-position-horizontal-relative:page;mso-position-vertical-relative:page;z-index:-251637760;mso-width-relative:page;mso-height-relative:page;" filled="f" stroked="f" coordsize="21600,21600">
          <v:path/>
          <v:fill on="f" focussize="0,0"/>
          <v:stroke on="f" joinstyle="miter"/>
          <v:imagedata o:title=""/>
          <o:lock v:ext="edit"/>
          <v:textbox inset="0mm,0mm,0mm,0mm">
            <w:txbxContent>
              <w:p>
                <w:pPr>
                  <w:spacing w:before="0" w:line="278" w:lineRule="exact"/>
                  <w:ind w:left="20" w:right="0" w:firstLine="0"/>
                  <w:jc w:val="left"/>
                  <w:rPr>
                    <w:rFonts w:hint="eastAsia" w:ascii="微软雅黑" w:eastAsia="微软雅黑"/>
                    <w:sz w:val="18"/>
                  </w:rPr>
                </w:pPr>
                <w:r>
                  <w:rPr>
                    <w:rFonts w:hint="eastAsia" w:ascii="微软雅黑" w:eastAsia="微软雅黑"/>
                    <w:sz w:val="18"/>
                  </w:rPr>
                  <w:t xml:space="preserve">第 </w:t>
                </w:r>
                <w:r>
                  <w:fldChar w:fldCharType="begin"/>
                </w:r>
                <w:r>
                  <w:rPr>
                    <w:rFonts w:ascii="Tahoma" w:eastAsia="Tahoma"/>
                    <w:sz w:val="18"/>
                  </w:rPr>
                  <w:instrText xml:space="preserve"> PAGE </w:instrText>
                </w:r>
                <w:r>
                  <w:fldChar w:fldCharType="separate"/>
                </w:r>
                <w:r>
                  <w:t>210</w:t>
                </w:r>
                <w:r>
                  <w:fldChar w:fldCharType="end"/>
                </w:r>
                <w:r>
                  <w:rPr>
                    <w:rFonts w:ascii="Tahoma" w:eastAsia="Tahoma"/>
                    <w:sz w:val="18"/>
                  </w:rPr>
                  <w:t xml:space="preserve"> </w:t>
                </w:r>
                <w:r>
                  <w:rPr>
                    <w:rFonts w:hint="eastAsia" w:ascii="微软雅黑" w:eastAsia="微软雅黑"/>
                    <w:sz w:val="18"/>
                  </w:rPr>
                  <w:t xml:space="preserve">页 共 </w:t>
                </w:r>
                <w:r>
                  <w:rPr>
                    <w:rFonts w:ascii="Tahoma" w:eastAsia="Tahoma"/>
                    <w:sz w:val="18"/>
                  </w:rPr>
                  <w:t xml:space="preserve">224 </w:t>
                </w:r>
                <w:r>
                  <w:rPr>
                    <w:rFonts w:hint="eastAsia" w:ascii="微软雅黑" w:eastAsia="微软雅黑"/>
                    <w:sz w:val="18"/>
                  </w:rPr>
                  <w:t>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pict>
        <v:shape id="_x0000_s2051" o:spid="_x0000_s2051" o:spt="202" type="#_x0000_t202" style="position:absolute;left:0pt;margin-left:255.15pt;margin-top:777.05pt;height:13.9pt;width:84.95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0" w:line="278" w:lineRule="exact"/>
                  <w:ind w:left="20" w:right="0" w:firstLine="0"/>
                  <w:jc w:val="left"/>
                  <w:rPr>
                    <w:rFonts w:hint="eastAsia" w:ascii="微软雅黑" w:eastAsia="微软雅黑"/>
                    <w:sz w:val="18"/>
                  </w:rPr>
                </w:pPr>
                <w:r>
                  <w:rPr>
                    <w:rFonts w:hint="eastAsia" w:ascii="微软雅黑" w:eastAsia="微软雅黑"/>
                    <w:sz w:val="18"/>
                  </w:rPr>
                  <w:t xml:space="preserve">第 </w:t>
                </w:r>
                <w:r>
                  <w:fldChar w:fldCharType="begin"/>
                </w:r>
                <w:r>
                  <w:rPr>
                    <w:rFonts w:ascii="Tahoma" w:eastAsia="Tahoma"/>
                    <w:sz w:val="18"/>
                  </w:rPr>
                  <w:instrText xml:space="preserve"> PAGE </w:instrText>
                </w:r>
                <w:r>
                  <w:fldChar w:fldCharType="separate"/>
                </w:r>
                <w:r>
                  <w:t>20</w:t>
                </w:r>
                <w:r>
                  <w:fldChar w:fldCharType="end"/>
                </w:r>
                <w:r>
                  <w:rPr>
                    <w:rFonts w:ascii="Tahoma" w:eastAsia="Tahoma"/>
                    <w:sz w:val="18"/>
                  </w:rPr>
                  <w:t xml:space="preserve"> </w:t>
                </w:r>
                <w:r>
                  <w:rPr>
                    <w:rFonts w:hint="eastAsia" w:ascii="微软雅黑" w:eastAsia="微软雅黑"/>
                    <w:sz w:val="18"/>
                  </w:rPr>
                  <w:t xml:space="preserve">页 共 </w:t>
                </w:r>
                <w:r>
                  <w:rPr>
                    <w:rFonts w:ascii="Tahoma" w:eastAsia="Tahoma"/>
                    <w:sz w:val="18"/>
                  </w:rPr>
                  <w:t xml:space="preserve">224 </w:t>
                </w:r>
                <w:r>
                  <w:rPr>
                    <w:rFonts w:hint="eastAsia" w:ascii="微软雅黑" w:eastAsia="微软雅黑"/>
                    <w:sz w:val="18"/>
                  </w:rPr>
                  <w:t>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pict>
        <v:shape id="_x0000_s2052" o:spid="_x0000_s2052" o:spt="202" type="#_x0000_t202" style="position:absolute;left:0pt;margin-left:255.15pt;margin-top:777.05pt;height:13.9pt;width:84.9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0" w:line="278" w:lineRule="exact"/>
                  <w:ind w:left="20" w:right="0" w:firstLine="0"/>
                  <w:jc w:val="left"/>
                  <w:rPr>
                    <w:rFonts w:hint="eastAsia" w:ascii="微软雅黑" w:eastAsia="微软雅黑"/>
                    <w:sz w:val="18"/>
                  </w:rPr>
                </w:pPr>
                <w:r>
                  <w:rPr>
                    <w:rFonts w:hint="eastAsia" w:ascii="微软雅黑" w:eastAsia="微软雅黑"/>
                    <w:sz w:val="18"/>
                  </w:rPr>
                  <w:t xml:space="preserve">第 </w:t>
                </w:r>
                <w:r>
                  <w:fldChar w:fldCharType="begin"/>
                </w:r>
                <w:r>
                  <w:rPr>
                    <w:rFonts w:ascii="Tahoma" w:eastAsia="Tahoma"/>
                    <w:sz w:val="18"/>
                  </w:rPr>
                  <w:instrText xml:space="preserve"> PAGE </w:instrText>
                </w:r>
                <w:r>
                  <w:fldChar w:fldCharType="separate"/>
                </w:r>
                <w:r>
                  <w:t>30</w:t>
                </w:r>
                <w:r>
                  <w:fldChar w:fldCharType="end"/>
                </w:r>
                <w:r>
                  <w:rPr>
                    <w:rFonts w:ascii="Tahoma" w:eastAsia="Tahoma"/>
                    <w:sz w:val="18"/>
                  </w:rPr>
                  <w:t xml:space="preserve"> </w:t>
                </w:r>
                <w:r>
                  <w:rPr>
                    <w:rFonts w:hint="eastAsia" w:ascii="微软雅黑" w:eastAsia="微软雅黑"/>
                    <w:sz w:val="18"/>
                  </w:rPr>
                  <w:t xml:space="preserve">页 共 </w:t>
                </w:r>
                <w:r>
                  <w:rPr>
                    <w:rFonts w:ascii="Tahoma" w:eastAsia="Tahoma"/>
                    <w:sz w:val="18"/>
                  </w:rPr>
                  <w:t xml:space="preserve">224 </w:t>
                </w:r>
                <w:r>
                  <w:rPr>
                    <w:rFonts w:hint="eastAsia" w:ascii="微软雅黑" w:eastAsia="微软雅黑"/>
                    <w:sz w:val="18"/>
                  </w:rPr>
                  <w:t>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pict>
        <v:shape id="_x0000_s2053" o:spid="_x0000_s2053" o:spt="202" type="#_x0000_t202" style="position:absolute;left:0pt;margin-left:255.15pt;margin-top:777.05pt;height:13.9pt;width:84.9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0" w:line="278" w:lineRule="exact"/>
                  <w:ind w:left="20" w:right="0" w:firstLine="0"/>
                  <w:jc w:val="left"/>
                  <w:rPr>
                    <w:rFonts w:hint="eastAsia" w:ascii="微软雅黑" w:eastAsia="微软雅黑"/>
                    <w:sz w:val="18"/>
                  </w:rPr>
                </w:pPr>
                <w:r>
                  <w:rPr>
                    <w:rFonts w:hint="eastAsia" w:ascii="微软雅黑" w:eastAsia="微软雅黑"/>
                    <w:sz w:val="18"/>
                  </w:rPr>
                  <w:t xml:space="preserve">第 </w:t>
                </w:r>
                <w:r>
                  <w:fldChar w:fldCharType="begin"/>
                </w:r>
                <w:r>
                  <w:rPr>
                    <w:rFonts w:ascii="Tahoma" w:eastAsia="Tahoma"/>
                    <w:sz w:val="18"/>
                  </w:rPr>
                  <w:instrText xml:space="preserve"> PAGE </w:instrText>
                </w:r>
                <w:r>
                  <w:fldChar w:fldCharType="separate"/>
                </w:r>
                <w:r>
                  <w:t>40</w:t>
                </w:r>
                <w:r>
                  <w:fldChar w:fldCharType="end"/>
                </w:r>
                <w:r>
                  <w:rPr>
                    <w:rFonts w:ascii="Tahoma" w:eastAsia="Tahoma"/>
                    <w:sz w:val="18"/>
                  </w:rPr>
                  <w:t xml:space="preserve"> </w:t>
                </w:r>
                <w:r>
                  <w:rPr>
                    <w:rFonts w:hint="eastAsia" w:ascii="微软雅黑" w:eastAsia="微软雅黑"/>
                    <w:sz w:val="18"/>
                  </w:rPr>
                  <w:t xml:space="preserve">页 共 </w:t>
                </w:r>
                <w:r>
                  <w:rPr>
                    <w:rFonts w:ascii="Tahoma" w:eastAsia="Tahoma"/>
                    <w:sz w:val="18"/>
                  </w:rPr>
                  <w:t xml:space="preserve">224 </w:t>
                </w:r>
                <w:r>
                  <w:rPr>
                    <w:rFonts w:hint="eastAsia" w:ascii="微软雅黑" w:eastAsia="微软雅黑"/>
                    <w:sz w:val="18"/>
                  </w:rPr>
                  <w:t>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pict>
        <v:shape id="_x0000_s2054" o:spid="_x0000_s2054" o:spt="202" type="#_x0000_t202" style="position:absolute;left:0pt;margin-left:255.15pt;margin-top:777.05pt;height:13.9pt;width:84.95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pPr>
                  <w:spacing w:before="0" w:line="278" w:lineRule="exact"/>
                  <w:ind w:left="20" w:right="0" w:firstLine="0"/>
                  <w:jc w:val="left"/>
                  <w:rPr>
                    <w:rFonts w:hint="eastAsia" w:ascii="微软雅黑" w:eastAsia="微软雅黑"/>
                    <w:sz w:val="18"/>
                  </w:rPr>
                </w:pPr>
                <w:r>
                  <w:rPr>
                    <w:rFonts w:hint="eastAsia" w:ascii="微软雅黑" w:eastAsia="微软雅黑"/>
                    <w:sz w:val="18"/>
                  </w:rPr>
                  <w:t xml:space="preserve">第 </w:t>
                </w:r>
                <w:r>
                  <w:fldChar w:fldCharType="begin"/>
                </w:r>
                <w:r>
                  <w:rPr>
                    <w:rFonts w:ascii="Tahoma" w:eastAsia="Tahoma"/>
                    <w:sz w:val="18"/>
                  </w:rPr>
                  <w:instrText xml:space="preserve"> PAGE </w:instrText>
                </w:r>
                <w:r>
                  <w:fldChar w:fldCharType="separate"/>
                </w:r>
                <w:r>
                  <w:t>50</w:t>
                </w:r>
                <w:r>
                  <w:fldChar w:fldCharType="end"/>
                </w:r>
                <w:r>
                  <w:rPr>
                    <w:rFonts w:ascii="Tahoma" w:eastAsia="Tahoma"/>
                    <w:sz w:val="18"/>
                  </w:rPr>
                  <w:t xml:space="preserve"> </w:t>
                </w:r>
                <w:r>
                  <w:rPr>
                    <w:rFonts w:hint="eastAsia" w:ascii="微软雅黑" w:eastAsia="微软雅黑"/>
                    <w:sz w:val="18"/>
                  </w:rPr>
                  <w:t xml:space="preserve">页 共 </w:t>
                </w:r>
                <w:r>
                  <w:rPr>
                    <w:rFonts w:ascii="Tahoma" w:eastAsia="Tahoma"/>
                    <w:sz w:val="18"/>
                  </w:rPr>
                  <w:t xml:space="preserve">224 </w:t>
                </w:r>
                <w:r>
                  <w:rPr>
                    <w:rFonts w:hint="eastAsia" w:ascii="微软雅黑" w:eastAsia="微软雅黑"/>
                    <w:sz w:val="18"/>
                  </w:rPr>
                  <w:t>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pict>
        <v:shape id="_x0000_s2055" o:spid="_x0000_s2055" o:spt="202" type="#_x0000_t202" style="position:absolute;left:0pt;margin-left:255.15pt;margin-top:777.05pt;height:13.9pt;width:84.9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pPr>
                  <w:spacing w:before="0" w:line="278" w:lineRule="exact"/>
                  <w:ind w:left="20" w:right="0" w:firstLine="0"/>
                  <w:jc w:val="left"/>
                  <w:rPr>
                    <w:rFonts w:hint="eastAsia" w:ascii="微软雅黑" w:eastAsia="微软雅黑"/>
                    <w:sz w:val="18"/>
                  </w:rPr>
                </w:pPr>
                <w:r>
                  <w:rPr>
                    <w:rFonts w:hint="eastAsia" w:ascii="微软雅黑" w:eastAsia="微软雅黑"/>
                    <w:sz w:val="18"/>
                  </w:rPr>
                  <w:t xml:space="preserve">第 </w:t>
                </w:r>
                <w:r>
                  <w:fldChar w:fldCharType="begin"/>
                </w:r>
                <w:r>
                  <w:rPr>
                    <w:rFonts w:ascii="Tahoma" w:eastAsia="Tahoma"/>
                    <w:sz w:val="18"/>
                  </w:rPr>
                  <w:instrText xml:space="preserve"> PAGE </w:instrText>
                </w:r>
                <w:r>
                  <w:fldChar w:fldCharType="separate"/>
                </w:r>
                <w:r>
                  <w:t>60</w:t>
                </w:r>
                <w:r>
                  <w:fldChar w:fldCharType="end"/>
                </w:r>
                <w:r>
                  <w:rPr>
                    <w:rFonts w:ascii="Tahoma" w:eastAsia="Tahoma"/>
                    <w:sz w:val="18"/>
                  </w:rPr>
                  <w:t xml:space="preserve"> </w:t>
                </w:r>
                <w:r>
                  <w:rPr>
                    <w:rFonts w:hint="eastAsia" w:ascii="微软雅黑" w:eastAsia="微软雅黑"/>
                    <w:sz w:val="18"/>
                  </w:rPr>
                  <w:t xml:space="preserve">页 共 </w:t>
                </w:r>
                <w:r>
                  <w:rPr>
                    <w:rFonts w:ascii="Tahoma" w:eastAsia="Tahoma"/>
                    <w:sz w:val="18"/>
                  </w:rPr>
                  <w:t xml:space="preserve">224 </w:t>
                </w:r>
                <w:r>
                  <w:rPr>
                    <w:rFonts w:hint="eastAsia" w:ascii="微软雅黑" w:eastAsia="微软雅黑"/>
                    <w:sz w:val="18"/>
                  </w:rPr>
                  <w:t>页</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pict>
        <v:shape id="_x0000_s2056" o:spid="_x0000_s2056" o:spt="202" type="#_x0000_t202" style="position:absolute;left:0pt;margin-left:255.15pt;margin-top:777.05pt;height:13.9pt;width:84.95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pPr>
                  <w:spacing w:before="0" w:line="278" w:lineRule="exact"/>
                  <w:ind w:left="20" w:right="0" w:firstLine="0"/>
                  <w:jc w:val="left"/>
                  <w:rPr>
                    <w:rFonts w:hint="eastAsia" w:ascii="微软雅黑" w:eastAsia="微软雅黑"/>
                    <w:sz w:val="18"/>
                  </w:rPr>
                </w:pPr>
                <w:r>
                  <w:rPr>
                    <w:rFonts w:hint="eastAsia" w:ascii="微软雅黑" w:eastAsia="微软雅黑"/>
                    <w:sz w:val="18"/>
                  </w:rPr>
                  <w:t xml:space="preserve">第 </w:t>
                </w:r>
                <w:r>
                  <w:fldChar w:fldCharType="begin"/>
                </w:r>
                <w:r>
                  <w:rPr>
                    <w:rFonts w:ascii="Tahoma" w:eastAsia="Tahoma"/>
                    <w:sz w:val="18"/>
                  </w:rPr>
                  <w:instrText xml:space="preserve"> PAGE </w:instrText>
                </w:r>
                <w:r>
                  <w:fldChar w:fldCharType="separate"/>
                </w:r>
                <w:r>
                  <w:t>70</w:t>
                </w:r>
                <w:r>
                  <w:fldChar w:fldCharType="end"/>
                </w:r>
                <w:r>
                  <w:rPr>
                    <w:rFonts w:ascii="Tahoma" w:eastAsia="Tahoma"/>
                    <w:sz w:val="18"/>
                  </w:rPr>
                  <w:t xml:space="preserve"> </w:t>
                </w:r>
                <w:r>
                  <w:rPr>
                    <w:rFonts w:hint="eastAsia" w:ascii="微软雅黑" w:eastAsia="微软雅黑"/>
                    <w:sz w:val="18"/>
                  </w:rPr>
                  <w:t xml:space="preserve">页 共 </w:t>
                </w:r>
                <w:r>
                  <w:rPr>
                    <w:rFonts w:ascii="Tahoma" w:eastAsia="Tahoma"/>
                    <w:sz w:val="18"/>
                  </w:rPr>
                  <w:t xml:space="preserve">224 </w:t>
                </w:r>
                <w:r>
                  <w:rPr>
                    <w:rFonts w:hint="eastAsia" w:ascii="微软雅黑" w:eastAsia="微软雅黑"/>
                    <w:sz w:val="18"/>
                  </w:rPr>
                  <w:t>页</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pict>
        <v:shape id="_x0000_s2057" o:spid="_x0000_s2057" o:spt="202" type="#_x0000_t202" style="position:absolute;left:0pt;margin-left:255.15pt;margin-top:777.05pt;height:13.9pt;width:84.95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pPr>
                  <w:spacing w:before="0" w:line="278" w:lineRule="exact"/>
                  <w:ind w:left="20" w:right="0" w:firstLine="0"/>
                  <w:jc w:val="left"/>
                  <w:rPr>
                    <w:rFonts w:hint="eastAsia" w:ascii="微软雅黑" w:eastAsia="微软雅黑"/>
                    <w:sz w:val="18"/>
                  </w:rPr>
                </w:pPr>
                <w:r>
                  <w:rPr>
                    <w:rFonts w:hint="eastAsia" w:ascii="微软雅黑" w:eastAsia="微软雅黑"/>
                    <w:sz w:val="18"/>
                  </w:rPr>
                  <w:t xml:space="preserve">第 </w:t>
                </w:r>
                <w:r>
                  <w:fldChar w:fldCharType="begin"/>
                </w:r>
                <w:r>
                  <w:rPr>
                    <w:rFonts w:ascii="Tahoma" w:eastAsia="Tahoma"/>
                    <w:sz w:val="18"/>
                  </w:rPr>
                  <w:instrText xml:space="preserve"> PAGE </w:instrText>
                </w:r>
                <w:r>
                  <w:fldChar w:fldCharType="separate"/>
                </w:r>
                <w:r>
                  <w:t>80</w:t>
                </w:r>
                <w:r>
                  <w:fldChar w:fldCharType="end"/>
                </w:r>
                <w:r>
                  <w:rPr>
                    <w:rFonts w:ascii="Tahoma" w:eastAsia="Tahoma"/>
                    <w:sz w:val="18"/>
                  </w:rPr>
                  <w:t xml:space="preserve"> </w:t>
                </w:r>
                <w:r>
                  <w:rPr>
                    <w:rFonts w:hint="eastAsia" w:ascii="微软雅黑" w:eastAsia="微软雅黑"/>
                    <w:sz w:val="18"/>
                  </w:rPr>
                  <w:t xml:space="preserve">页 共 </w:t>
                </w:r>
                <w:r>
                  <w:rPr>
                    <w:rFonts w:ascii="Tahoma" w:eastAsia="Tahoma"/>
                    <w:sz w:val="18"/>
                  </w:rPr>
                  <w:t xml:space="preserve">224 </w:t>
                </w:r>
                <w:r>
                  <w:rPr>
                    <w:rFonts w:hint="eastAsia" w:ascii="微软雅黑" w:eastAsia="微软雅黑"/>
                    <w:sz w:val="18"/>
                  </w:rPr>
                  <w:t>页</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E4E29"/>
    <w:multiLevelType w:val="multilevel"/>
    <w:tmpl w:val="804E4E29"/>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1">
    <w:nsid w:val="813A4B87"/>
    <w:multiLevelType w:val="multilevel"/>
    <w:tmpl w:val="813A4B87"/>
    <w:lvl w:ilvl="0" w:tentative="0">
      <w:start w:val="7"/>
      <w:numFmt w:val="decimal"/>
      <w:lvlText w:val="%1."/>
      <w:lvlJc w:val="left"/>
      <w:pPr>
        <w:ind w:left="749" w:hanging="361"/>
        <w:jc w:val="left"/>
      </w:pPr>
      <w:rPr>
        <w:rFonts w:hint="default" w:ascii="宋体" w:hAnsi="宋体" w:eastAsia="宋体" w:cs="宋体"/>
        <w:b/>
        <w:bCs/>
        <w:w w:val="99"/>
        <w:sz w:val="22"/>
        <w:szCs w:val="22"/>
        <w:lang w:val="zh-CN" w:eastAsia="zh-CN" w:bidi="zh-CN"/>
      </w:rPr>
    </w:lvl>
    <w:lvl w:ilvl="1" w:tentative="0">
      <w:start w:val="1"/>
      <w:numFmt w:val="decimal"/>
      <w:lvlText w:val="%1.%2"/>
      <w:lvlJc w:val="left"/>
      <w:pPr>
        <w:ind w:left="808" w:hanging="420"/>
        <w:jc w:val="left"/>
      </w:pPr>
      <w:rPr>
        <w:rFonts w:hint="default" w:ascii="宋体" w:hAnsi="宋体" w:eastAsia="宋体" w:cs="宋体"/>
        <w:b/>
        <w:bCs/>
        <w:w w:val="99"/>
        <w:sz w:val="24"/>
        <w:szCs w:val="24"/>
        <w:lang w:val="zh-CN" w:eastAsia="zh-CN" w:bidi="zh-CN"/>
      </w:rPr>
    </w:lvl>
    <w:lvl w:ilvl="2" w:tentative="0">
      <w:start w:val="1"/>
      <w:numFmt w:val="decimal"/>
      <w:lvlText w:val="%1.%2.%3"/>
      <w:lvlJc w:val="left"/>
      <w:pPr>
        <w:ind w:left="388" w:hanging="66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2018" w:hanging="660"/>
      </w:pPr>
      <w:rPr>
        <w:rFonts w:hint="default"/>
        <w:lang w:val="zh-CN" w:eastAsia="zh-CN" w:bidi="zh-CN"/>
      </w:rPr>
    </w:lvl>
    <w:lvl w:ilvl="4" w:tentative="0">
      <w:start w:val="0"/>
      <w:numFmt w:val="bullet"/>
      <w:lvlText w:val="•"/>
      <w:lvlJc w:val="left"/>
      <w:pPr>
        <w:ind w:left="3236" w:hanging="660"/>
      </w:pPr>
      <w:rPr>
        <w:rFonts w:hint="default"/>
        <w:lang w:val="zh-CN" w:eastAsia="zh-CN" w:bidi="zh-CN"/>
      </w:rPr>
    </w:lvl>
    <w:lvl w:ilvl="5" w:tentative="0">
      <w:start w:val="0"/>
      <w:numFmt w:val="bullet"/>
      <w:lvlText w:val="•"/>
      <w:lvlJc w:val="left"/>
      <w:pPr>
        <w:ind w:left="4455" w:hanging="660"/>
      </w:pPr>
      <w:rPr>
        <w:rFonts w:hint="default"/>
        <w:lang w:val="zh-CN" w:eastAsia="zh-CN" w:bidi="zh-CN"/>
      </w:rPr>
    </w:lvl>
    <w:lvl w:ilvl="6" w:tentative="0">
      <w:start w:val="0"/>
      <w:numFmt w:val="bullet"/>
      <w:lvlText w:val="•"/>
      <w:lvlJc w:val="left"/>
      <w:pPr>
        <w:ind w:left="5673" w:hanging="660"/>
      </w:pPr>
      <w:rPr>
        <w:rFonts w:hint="default"/>
        <w:lang w:val="zh-CN" w:eastAsia="zh-CN" w:bidi="zh-CN"/>
      </w:rPr>
    </w:lvl>
    <w:lvl w:ilvl="7" w:tentative="0">
      <w:start w:val="0"/>
      <w:numFmt w:val="bullet"/>
      <w:lvlText w:val="•"/>
      <w:lvlJc w:val="left"/>
      <w:pPr>
        <w:ind w:left="6891" w:hanging="660"/>
      </w:pPr>
      <w:rPr>
        <w:rFonts w:hint="default"/>
        <w:lang w:val="zh-CN" w:eastAsia="zh-CN" w:bidi="zh-CN"/>
      </w:rPr>
    </w:lvl>
    <w:lvl w:ilvl="8" w:tentative="0">
      <w:start w:val="0"/>
      <w:numFmt w:val="bullet"/>
      <w:lvlText w:val="•"/>
      <w:lvlJc w:val="left"/>
      <w:pPr>
        <w:ind w:left="8110" w:hanging="660"/>
      </w:pPr>
      <w:rPr>
        <w:rFonts w:hint="default"/>
        <w:lang w:val="zh-CN" w:eastAsia="zh-CN" w:bidi="zh-CN"/>
      </w:rPr>
    </w:lvl>
  </w:abstractNum>
  <w:abstractNum w:abstractNumId="2">
    <w:nsid w:val="825EC3C5"/>
    <w:multiLevelType w:val="multilevel"/>
    <w:tmpl w:val="825EC3C5"/>
    <w:lvl w:ilvl="0" w:tentative="0">
      <w:start w:val="3"/>
      <w:numFmt w:val="decimal"/>
      <w:lvlText w:val="%1"/>
      <w:lvlJc w:val="left"/>
      <w:pPr>
        <w:ind w:left="1532" w:hanging="720"/>
        <w:jc w:val="left"/>
      </w:pPr>
      <w:rPr>
        <w:rFonts w:hint="default"/>
        <w:lang w:val="zh-CN" w:eastAsia="zh-CN" w:bidi="zh-CN"/>
      </w:rPr>
    </w:lvl>
    <w:lvl w:ilvl="1" w:tentative="0">
      <w:start w:val="3"/>
      <w:numFmt w:val="decimal"/>
      <w:lvlText w:val="%1.%2"/>
      <w:lvlJc w:val="left"/>
      <w:pPr>
        <w:ind w:left="1532" w:hanging="720"/>
        <w:jc w:val="left"/>
      </w:pPr>
      <w:rPr>
        <w:rFonts w:hint="default"/>
        <w:lang w:val="zh-CN" w:eastAsia="zh-CN" w:bidi="zh-CN"/>
      </w:rPr>
    </w:lvl>
    <w:lvl w:ilvl="2" w:tentative="0">
      <w:start w:val="3"/>
      <w:numFmt w:val="decimal"/>
      <w:lvlText w:val="%1.%2.%3"/>
      <w:lvlJc w:val="left"/>
      <w:pPr>
        <w:ind w:left="1532" w:hanging="720"/>
        <w:jc w:val="left"/>
      </w:pPr>
      <w:rPr>
        <w:rFonts w:hint="default" w:ascii="宋体" w:hAnsi="宋体" w:eastAsia="宋体" w:cs="宋体"/>
        <w:spacing w:val="-1"/>
        <w:w w:val="100"/>
        <w:sz w:val="24"/>
        <w:szCs w:val="24"/>
        <w:lang w:val="zh-CN" w:eastAsia="zh-CN" w:bidi="zh-CN"/>
      </w:rPr>
    </w:lvl>
    <w:lvl w:ilvl="3" w:tentative="0">
      <w:start w:val="0"/>
      <w:numFmt w:val="bullet"/>
      <w:lvlText w:val="•"/>
      <w:lvlJc w:val="left"/>
      <w:pPr>
        <w:ind w:left="4242" w:hanging="720"/>
      </w:pPr>
      <w:rPr>
        <w:rFonts w:hint="default"/>
        <w:lang w:val="zh-CN" w:eastAsia="zh-CN" w:bidi="zh-CN"/>
      </w:rPr>
    </w:lvl>
    <w:lvl w:ilvl="4" w:tentative="0">
      <w:start w:val="0"/>
      <w:numFmt w:val="bullet"/>
      <w:lvlText w:val="•"/>
      <w:lvlJc w:val="left"/>
      <w:pPr>
        <w:ind w:left="5142" w:hanging="720"/>
      </w:pPr>
      <w:rPr>
        <w:rFonts w:hint="default"/>
        <w:lang w:val="zh-CN" w:eastAsia="zh-CN" w:bidi="zh-CN"/>
      </w:rPr>
    </w:lvl>
    <w:lvl w:ilvl="5" w:tentative="0">
      <w:start w:val="0"/>
      <w:numFmt w:val="bullet"/>
      <w:lvlText w:val="•"/>
      <w:lvlJc w:val="left"/>
      <w:pPr>
        <w:ind w:left="6043" w:hanging="720"/>
      </w:pPr>
      <w:rPr>
        <w:rFonts w:hint="default"/>
        <w:lang w:val="zh-CN" w:eastAsia="zh-CN" w:bidi="zh-CN"/>
      </w:rPr>
    </w:lvl>
    <w:lvl w:ilvl="6" w:tentative="0">
      <w:start w:val="0"/>
      <w:numFmt w:val="bullet"/>
      <w:lvlText w:val="•"/>
      <w:lvlJc w:val="left"/>
      <w:pPr>
        <w:ind w:left="6944" w:hanging="720"/>
      </w:pPr>
      <w:rPr>
        <w:rFonts w:hint="default"/>
        <w:lang w:val="zh-CN" w:eastAsia="zh-CN" w:bidi="zh-CN"/>
      </w:rPr>
    </w:lvl>
    <w:lvl w:ilvl="7" w:tentative="0">
      <w:start w:val="0"/>
      <w:numFmt w:val="bullet"/>
      <w:lvlText w:val="•"/>
      <w:lvlJc w:val="left"/>
      <w:pPr>
        <w:ind w:left="7844" w:hanging="720"/>
      </w:pPr>
      <w:rPr>
        <w:rFonts w:hint="default"/>
        <w:lang w:val="zh-CN" w:eastAsia="zh-CN" w:bidi="zh-CN"/>
      </w:rPr>
    </w:lvl>
    <w:lvl w:ilvl="8" w:tentative="0">
      <w:start w:val="0"/>
      <w:numFmt w:val="bullet"/>
      <w:lvlText w:val="•"/>
      <w:lvlJc w:val="left"/>
      <w:pPr>
        <w:ind w:left="8745" w:hanging="720"/>
      </w:pPr>
      <w:rPr>
        <w:rFonts w:hint="default"/>
        <w:lang w:val="zh-CN" w:eastAsia="zh-CN" w:bidi="zh-CN"/>
      </w:rPr>
    </w:lvl>
  </w:abstractNum>
  <w:abstractNum w:abstractNumId="3">
    <w:nsid w:val="845B5372"/>
    <w:multiLevelType w:val="multilevel"/>
    <w:tmpl w:val="845B5372"/>
    <w:lvl w:ilvl="0" w:tentative="0">
      <w:start w:val="1"/>
      <w:numFmt w:val="decimal"/>
      <w:lvlText w:val="（%1）"/>
      <w:lvlJc w:val="left"/>
      <w:pPr>
        <w:ind w:left="388" w:hanging="601"/>
        <w:jc w:val="left"/>
      </w:pPr>
      <w:rPr>
        <w:rFonts w:hint="default" w:ascii="宋体" w:hAnsi="宋体" w:eastAsia="宋体" w:cs="宋体"/>
        <w:spacing w:val="-10"/>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4">
    <w:nsid w:val="883B3669"/>
    <w:multiLevelType w:val="multilevel"/>
    <w:tmpl w:val="883B3669"/>
    <w:lvl w:ilvl="0" w:tentative="0">
      <w:start w:val="3"/>
      <w:numFmt w:val="decimal"/>
      <w:lvlText w:val="%1"/>
      <w:lvlJc w:val="left"/>
      <w:pPr>
        <w:ind w:left="1292" w:hanging="480"/>
        <w:jc w:val="left"/>
      </w:pPr>
      <w:rPr>
        <w:rFonts w:hint="default"/>
        <w:lang w:val="zh-CN" w:eastAsia="zh-CN" w:bidi="zh-CN"/>
      </w:rPr>
    </w:lvl>
    <w:lvl w:ilvl="1" w:tentative="0">
      <w:start w:val="5"/>
      <w:numFmt w:val="decimal"/>
      <w:lvlText w:val="%1.%2"/>
      <w:lvlJc w:val="left"/>
      <w:pPr>
        <w:ind w:left="1292" w:hanging="48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532" w:hanging="72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541" w:hanging="720"/>
      </w:pPr>
      <w:rPr>
        <w:rFonts w:hint="default"/>
        <w:lang w:val="zh-CN" w:eastAsia="zh-CN" w:bidi="zh-CN"/>
      </w:rPr>
    </w:lvl>
    <w:lvl w:ilvl="4" w:tentative="0">
      <w:start w:val="0"/>
      <w:numFmt w:val="bullet"/>
      <w:lvlText w:val="•"/>
      <w:lvlJc w:val="left"/>
      <w:pPr>
        <w:ind w:left="4542" w:hanging="720"/>
      </w:pPr>
      <w:rPr>
        <w:rFonts w:hint="default"/>
        <w:lang w:val="zh-CN" w:eastAsia="zh-CN" w:bidi="zh-CN"/>
      </w:rPr>
    </w:lvl>
    <w:lvl w:ilvl="5" w:tentative="0">
      <w:start w:val="0"/>
      <w:numFmt w:val="bullet"/>
      <w:lvlText w:val="•"/>
      <w:lvlJc w:val="left"/>
      <w:pPr>
        <w:ind w:left="5543" w:hanging="720"/>
      </w:pPr>
      <w:rPr>
        <w:rFonts w:hint="default"/>
        <w:lang w:val="zh-CN" w:eastAsia="zh-CN" w:bidi="zh-CN"/>
      </w:rPr>
    </w:lvl>
    <w:lvl w:ilvl="6" w:tentative="0">
      <w:start w:val="0"/>
      <w:numFmt w:val="bullet"/>
      <w:lvlText w:val="•"/>
      <w:lvlJc w:val="left"/>
      <w:pPr>
        <w:ind w:left="6543" w:hanging="720"/>
      </w:pPr>
      <w:rPr>
        <w:rFonts w:hint="default"/>
        <w:lang w:val="zh-CN" w:eastAsia="zh-CN" w:bidi="zh-CN"/>
      </w:rPr>
    </w:lvl>
    <w:lvl w:ilvl="7" w:tentative="0">
      <w:start w:val="0"/>
      <w:numFmt w:val="bullet"/>
      <w:lvlText w:val="•"/>
      <w:lvlJc w:val="left"/>
      <w:pPr>
        <w:ind w:left="7544" w:hanging="720"/>
      </w:pPr>
      <w:rPr>
        <w:rFonts w:hint="default"/>
        <w:lang w:val="zh-CN" w:eastAsia="zh-CN" w:bidi="zh-CN"/>
      </w:rPr>
    </w:lvl>
    <w:lvl w:ilvl="8" w:tentative="0">
      <w:start w:val="0"/>
      <w:numFmt w:val="bullet"/>
      <w:lvlText w:val="•"/>
      <w:lvlJc w:val="left"/>
      <w:pPr>
        <w:ind w:left="8545" w:hanging="720"/>
      </w:pPr>
      <w:rPr>
        <w:rFonts w:hint="default"/>
        <w:lang w:val="zh-CN" w:eastAsia="zh-CN" w:bidi="zh-CN"/>
      </w:rPr>
    </w:lvl>
  </w:abstractNum>
  <w:abstractNum w:abstractNumId="5">
    <w:nsid w:val="8CAEB125"/>
    <w:multiLevelType w:val="multilevel"/>
    <w:tmpl w:val="8CAEB125"/>
    <w:lvl w:ilvl="0" w:tentative="0">
      <w:start w:val="1"/>
      <w:numFmt w:val="decimal"/>
      <w:lvlText w:val="%1."/>
      <w:lvlJc w:val="left"/>
      <w:pPr>
        <w:ind w:left="748" w:hanging="360"/>
        <w:jc w:val="left"/>
      </w:pPr>
      <w:rPr>
        <w:rFonts w:hint="default" w:ascii="宋体" w:hAnsi="宋体" w:eastAsia="宋体" w:cs="宋体"/>
        <w:w w:val="100"/>
        <w:sz w:val="24"/>
        <w:szCs w:val="24"/>
        <w:lang w:val="zh-CN" w:eastAsia="zh-CN" w:bidi="zh-CN"/>
      </w:rPr>
    </w:lvl>
    <w:lvl w:ilvl="1" w:tentative="0">
      <w:start w:val="1"/>
      <w:numFmt w:val="decimal"/>
      <w:lvlText w:val="%1.%2"/>
      <w:lvlJc w:val="left"/>
      <w:pPr>
        <w:ind w:left="808" w:hanging="42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588" w:hanging="720"/>
        <w:jc w:val="right"/>
      </w:pPr>
      <w:rPr>
        <w:rFonts w:hint="default" w:ascii="宋体" w:hAnsi="宋体" w:eastAsia="宋体" w:cs="宋体"/>
        <w:w w:val="100"/>
        <w:sz w:val="24"/>
        <w:szCs w:val="24"/>
        <w:lang w:val="zh-CN" w:eastAsia="zh-CN" w:bidi="zh-CN"/>
      </w:rPr>
    </w:lvl>
    <w:lvl w:ilvl="3" w:tentative="0">
      <w:start w:val="1"/>
      <w:numFmt w:val="decimal"/>
      <w:lvlText w:val="%1.%2.%3.%4"/>
      <w:lvlJc w:val="left"/>
      <w:pPr>
        <w:ind w:left="388" w:hanging="960"/>
        <w:jc w:val="left"/>
      </w:pPr>
      <w:rPr>
        <w:rFonts w:hint="default" w:ascii="宋体" w:hAnsi="宋体" w:eastAsia="宋体" w:cs="宋体"/>
        <w:spacing w:val="-19"/>
        <w:w w:val="100"/>
        <w:sz w:val="24"/>
        <w:szCs w:val="24"/>
        <w:lang w:val="zh-CN" w:eastAsia="zh-CN" w:bidi="zh-CN"/>
      </w:rPr>
    </w:lvl>
    <w:lvl w:ilvl="4" w:tentative="0">
      <w:start w:val="0"/>
      <w:numFmt w:val="bullet"/>
      <w:lvlText w:val="•"/>
      <w:lvlJc w:val="left"/>
      <w:pPr>
        <w:ind w:left="1100" w:hanging="960"/>
      </w:pPr>
      <w:rPr>
        <w:rFonts w:hint="default"/>
        <w:lang w:val="zh-CN" w:eastAsia="zh-CN" w:bidi="zh-CN"/>
      </w:rPr>
    </w:lvl>
    <w:lvl w:ilvl="5" w:tentative="0">
      <w:start w:val="0"/>
      <w:numFmt w:val="bullet"/>
      <w:lvlText w:val="•"/>
      <w:lvlJc w:val="left"/>
      <w:pPr>
        <w:ind w:left="1160" w:hanging="960"/>
      </w:pPr>
      <w:rPr>
        <w:rFonts w:hint="default"/>
        <w:lang w:val="zh-CN" w:eastAsia="zh-CN" w:bidi="zh-CN"/>
      </w:rPr>
    </w:lvl>
    <w:lvl w:ilvl="6" w:tentative="0">
      <w:start w:val="0"/>
      <w:numFmt w:val="bullet"/>
      <w:lvlText w:val="•"/>
      <w:lvlJc w:val="left"/>
      <w:pPr>
        <w:ind w:left="1220" w:hanging="960"/>
      </w:pPr>
      <w:rPr>
        <w:rFonts w:hint="default"/>
        <w:lang w:val="zh-CN" w:eastAsia="zh-CN" w:bidi="zh-CN"/>
      </w:rPr>
    </w:lvl>
    <w:lvl w:ilvl="7" w:tentative="0">
      <w:start w:val="0"/>
      <w:numFmt w:val="bullet"/>
      <w:lvlText w:val="•"/>
      <w:lvlJc w:val="left"/>
      <w:pPr>
        <w:ind w:left="1360" w:hanging="960"/>
      </w:pPr>
      <w:rPr>
        <w:rFonts w:hint="default"/>
        <w:lang w:val="zh-CN" w:eastAsia="zh-CN" w:bidi="zh-CN"/>
      </w:rPr>
    </w:lvl>
    <w:lvl w:ilvl="8" w:tentative="0">
      <w:start w:val="0"/>
      <w:numFmt w:val="bullet"/>
      <w:lvlText w:val="•"/>
      <w:lvlJc w:val="left"/>
      <w:pPr>
        <w:ind w:left="1420" w:hanging="960"/>
      </w:pPr>
      <w:rPr>
        <w:rFonts w:hint="default"/>
        <w:lang w:val="zh-CN" w:eastAsia="zh-CN" w:bidi="zh-CN"/>
      </w:rPr>
    </w:lvl>
  </w:abstractNum>
  <w:abstractNum w:abstractNumId="6">
    <w:nsid w:val="91995D4F"/>
    <w:multiLevelType w:val="multilevel"/>
    <w:tmpl w:val="91995D4F"/>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7">
    <w:nsid w:val="91B69C97"/>
    <w:multiLevelType w:val="multilevel"/>
    <w:tmpl w:val="91B69C97"/>
    <w:lvl w:ilvl="0" w:tentative="0">
      <w:start w:val="1"/>
      <w:numFmt w:val="decimal"/>
      <w:lvlText w:val="（%1）"/>
      <w:lvlJc w:val="left"/>
      <w:pPr>
        <w:ind w:left="388" w:hanging="601"/>
        <w:jc w:val="left"/>
      </w:pPr>
      <w:rPr>
        <w:rFonts w:hint="default" w:ascii="宋体" w:hAnsi="宋体" w:eastAsia="宋体" w:cs="宋体"/>
        <w:spacing w:val="-5"/>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8">
    <w:nsid w:val="9239341B"/>
    <w:multiLevelType w:val="multilevel"/>
    <w:tmpl w:val="9239341B"/>
    <w:lvl w:ilvl="0" w:tentative="0">
      <w:start w:val="1"/>
      <w:numFmt w:val="decimal"/>
      <w:lvlText w:val="%1)"/>
      <w:lvlJc w:val="left"/>
      <w:pPr>
        <w:ind w:left="106" w:hanging="24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694" w:hanging="241"/>
      </w:pPr>
      <w:rPr>
        <w:rFonts w:hint="default"/>
        <w:lang w:val="zh-CN" w:eastAsia="zh-CN" w:bidi="zh-CN"/>
      </w:rPr>
    </w:lvl>
    <w:lvl w:ilvl="2" w:tentative="0">
      <w:start w:val="0"/>
      <w:numFmt w:val="bullet"/>
      <w:lvlText w:val="•"/>
      <w:lvlJc w:val="left"/>
      <w:pPr>
        <w:ind w:left="1289" w:hanging="241"/>
      </w:pPr>
      <w:rPr>
        <w:rFonts w:hint="default"/>
        <w:lang w:val="zh-CN" w:eastAsia="zh-CN" w:bidi="zh-CN"/>
      </w:rPr>
    </w:lvl>
    <w:lvl w:ilvl="3" w:tentative="0">
      <w:start w:val="0"/>
      <w:numFmt w:val="bullet"/>
      <w:lvlText w:val="•"/>
      <w:lvlJc w:val="left"/>
      <w:pPr>
        <w:ind w:left="1884" w:hanging="241"/>
      </w:pPr>
      <w:rPr>
        <w:rFonts w:hint="default"/>
        <w:lang w:val="zh-CN" w:eastAsia="zh-CN" w:bidi="zh-CN"/>
      </w:rPr>
    </w:lvl>
    <w:lvl w:ilvl="4" w:tentative="0">
      <w:start w:val="0"/>
      <w:numFmt w:val="bullet"/>
      <w:lvlText w:val="•"/>
      <w:lvlJc w:val="left"/>
      <w:pPr>
        <w:ind w:left="2479" w:hanging="241"/>
      </w:pPr>
      <w:rPr>
        <w:rFonts w:hint="default"/>
        <w:lang w:val="zh-CN" w:eastAsia="zh-CN" w:bidi="zh-CN"/>
      </w:rPr>
    </w:lvl>
    <w:lvl w:ilvl="5" w:tentative="0">
      <w:start w:val="0"/>
      <w:numFmt w:val="bullet"/>
      <w:lvlText w:val="•"/>
      <w:lvlJc w:val="left"/>
      <w:pPr>
        <w:ind w:left="3074" w:hanging="241"/>
      </w:pPr>
      <w:rPr>
        <w:rFonts w:hint="default"/>
        <w:lang w:val="zh-CN" w:eastAsia="zh-CN" w:bidi="zh-CN"/>
      </w:rPr>
    </w:lvl>
    <w:lvl w:ilvl="6" w:tentative="0">
      <w:start w:val="0"/>
      <w:numFmt w:val="bullet"/>
      <w:lvlText w:val="•"/>
      <w:lvlJc w:val="left"/>
      <w:pPr>
        <w:ind w:left="3668" w:hanging="241"/>
      </w:pPr>
      <w:rPr>
        <w:rFonts w:hint="default"/>
        <w:lang w:val="zh-CN" w:eastAsia="zh-CN" w:bidi="zh-CN"/>
      </w:rPr>
    </w:lvl>
    <w:lvl w:ilvl="7" w:tentative="0">
      <w:start w:val="0"/>
      <w:numFmt w:val="bullet"/>
      <w:lvlText w:val="•"/>
      <w:lvlJc w:val="left"/>
      <w:pPr>
        <w:ind w:left="4263" w:hanging="241"/>
      </w:pPr>
      <w:rPr>
        <w:rFonts w:hint="default"/>
        <w:lang w:val="zh-CN" w:eastAsia="zh-CN" w:bidi="zh-CN"/>
      </w:rPr>
    </w:lvl>
    <w:lvl w:ilvl="8" w:tentative="0">
      <w:start w:val="0"/>
      <w:numFmt w:val="bullet"/>
      <w:lvlText w:val="•"/>
      <w:lvlJc w:val="left"/>
      <w:pPr>
        <w:ind w:left="4858" w:hanging="241"/>
      </w:pPr>
      <w:rPr>
        <w:rFonts w:hint="default"/>
        <w:lang w:val="zh-CN" w:eastAsia="zh-CN" w:bidi="zh-CN"/>
      </w:rPr>
    </w:lvl>
  </w:abstractNum>
  <w:abstractNum w:abstractNumId="9">
    <w:nsid w:val="9377BC45"/>
    <w:multiLevelType w:val="multilevel"/>
    <w:tmpl w:val="9377BC45"/>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10">
    <w:nsid w:val="98CD717A"/>
    <w:multiLevelType w:val="multilevel"/>
    <w:tmpl w:val="98CD717A"/>
    <w:lvl w:ilvl="0" w:tentative="0">
      <w:start w:val="13"/>
      <w:numFmt w:val="decimal"/>
      <w:lvlText w:val="%1"/>
      <w:lvlJc w:val="left"/>
      <w:pPr>
        <w:ind w:left="1412" w:hanging="600"/>
        <w:jc w:val="left"/>
      </w:pPr>
      <w:rPr>
        <w:rFonts w:hint="default"/>
        <w:lang w:val="zh-CN" w:eastAsia="zh-CN" w:bidi="zh-CN"/>
      </w:rPr>
    </w:lvl>
    <w:lvl w:ilvl="1" w:tentative="0">
      <w:start w:val="6"/>
      <w:numFmt w:val="decimal"/>
      <w:lvlText w:val="%1.%2"/>
      <w:lvlJc w:val="left"/>
      <w:pPr>
        <w:ind w:left="1412" w:hanging="60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652" w:hanging="84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634" w:hanging="840"/>
      </w:pPr>
      <w:rPr>
        <w:rFonts w:hint="default"/>
        <w:lang w:val="zh-CN" w:eastAsia="zh-CN" w:bidi="zh-CN"/>
      </w:rPr>
    </w:lvl>
    <w:lvl w:ilvl="4" w:tentative="0">
      <w:start w:val="0"/>
      <w:numFmt w:val="bullet"/>
      <w:lvlText w:val="•"/>
      <w:lvlJc w:val="left"/>
      <w:pPr>
        <w:ind w:left="4622" w:hanging="840"/>
      </w:pPr>
      <w:rPr>
        <w:rFonts w:hint="default"/>
        <w:lang w:val="zh-CN" w:eastAsia="zh-CN" w:bidi="zh-CN"/>
      </w:rPr>
    </w:lvl>
    <w:lvl w:ilvl="5" w:tentative="0">
      <w:start w:val="0"/>
      <w:numFmt w:val="bullet"/>
      <w:lvlText w:val="•"/>
      <w:lvlJc w:val="left"/>
      <w:pPr>
        <w:ind w:left="5609" w:hanging="840"/>
      </w:pPr>
      <w:rPr>
        <w:rFonts w:hint="default"/>
        <w:lang w:val="zh-CN" w:eastAsia="zh-CN" w:bidi="zh-CN"/>
      </w:rPr>
    </w:lvl>
    <w:lvl w:ilvl="6" w:tentative="0">
      <w:start w:val="0"/>
      <w:numFmt w:val="bullet"/>
      <w:lvlText w:val="•"/>
      <w:lvlJc w:val="left"/>
      <w:pPr>
        <w:ind w:left="6597" w:hanging="840"/>
      </w:pPr>
      <w:rPr>
        <w:rFonts w:hint="default"/>
        <w:lang w:val="zh-CN" w:eastAsia="zh-CN" w:bidi="zh-CN"/>
      </w:rPr>
    </w:lvl>
    <w:lvl w:ilvl="7" w:tentative="0">
      <w:start w:val="0"/>
      <w:numFmt w:val="bullet"/>
      <w:lvlText w:val="•"/>
      <w:lvlJc w:val="left"/>
      <w:pPr>
        <w:ind w:left="7584" w:hanging="840"/>
      </w:pPr>
      <w:rPr>
        <w:rFonts w:hint="default"/>
        <w:lang w:val="zh-CN" w:eastAsia="zh-CN" w:bidi="zh-CN"/>
      </w:rPr>
    </w:lvl>
    <w:lvl w:ilvl="8" w:tentative="0">
      <w:start w:val="0"/>
      <w:numFmt w:val="bullet"/>
      <w:lvlText w:val="•"/>
      <w:lvlJc w:val="left"/>
      <w:pPr>
        <w:ind w:left="8572" w:hanging="840"/>
      </w:pPr>
      <w:rPr>
        <w:rFonts w:hint="default"/>
        <w:lang w:val="zh-CN" w:eastAsia="zh-CN" w:bidi="zh-CN"/>
      </w:rPr>
    </w:lvl>
  </w:abstractNum>
  <w:abstractNum w:abstractNumId="11">
    <w:nsid w:val="9ACF65A0"/>
    <w:multiLevelType w:val="multilevel"/>
    <w:tmpl w:val="9ACF65A0"/>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12">
    <w:nsid w:val="9C11E984"/>
    <w:multiLevelType w:val="multilevel"/>
    <w:tmpl w:val="9C11E984"/>
    <w:lvl w:ilvl="0" w:tentative="0">
      <w:start w:val="1"/>
      <w:numFmt w:val="decimal"/>
      <w:lvlText w:val="%1"/>
      <w:lvlJc w:val="left"/>
      <w:pPr>
        <w:ind w:left="1588" w:hanging="720"/>
        <w:jc w:val="left"/>
      </w:pPr>
      <w:rPr>
        <w:rFonts w:hint="default"/>
        <w:lang w:val="zh-CN" w:eastAsia="zh-CN" w:bidi="zh-CN"/>
      </w:rPr>
    </w:lvl>
    <w:lvl w:ilvl="1" w:tentative="0">
      <w:start w:val="6"/>
      <w:numFmt w:val="decimal"/>
      <w:lvlText w:val="%1.%2"/>
      <w:lvlJc w:val="left"/>
      <w:pPr>
        <w:ind w:left="1588" w:hanging="720"/>
        <w:jc w:val="left"/>
      </w:pPr>
      <w:rPr>
        <w:rFonts w:hint="default"/>
        <w:lang w:val="zh-CN" w:eastAsia="zh-CN" w:bidi="zh-CN"/>
      </w:rPr>
    </w:lvl>
    <w:lvl w:ilvl="2" w:tentative="0">
      <w:start w:val="4"/>
      <w:numFmt w:val="decimal"/>
      <w:lvlText w:val="%1.%2.%3"/>
      <w:lvlJc w:val="left"/>
      <w:pPr>
        <w:ind w:left="1588" w:hanging="72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4270" w:hanging="720"/>
      </w:pPr>
      <w:rPr>
        <w:rFonts w:hint="default"/>
        <w:lang w:val="zh-CN" w:eastAsia="zh-CN" w:bidi="zh-CN"/>
      </w:rPr>
    </w:lvl>
    <w:lvl w:ilvl="4" w:tentative="0">
      <w:start w:val="0"/>
      <w:numFmt w:val="bullet"/>
      <w:lvlText w:val="•"/>
      <w:lvlJc w:val="left"/>
      <w:pPr>
        <w:ind w:left="5166" w:hanging="720"/>
      </w:pPr>
      <w:rPr>
        <w:rFonts w:hint="default"/>
        <w:lang w:val="zh-CN" w:eastAsia="zh-CN" w:bidi="zh-CN"/>
      </w:rPr>
    </w:lvl>
    <w:lvl w:ilvl="5" w:tentative="0">
      <w:start w:val="0"/>
      <w:numFmt w:val="bullet"/>
      <w:lvlText w:val="•"/>
      <w:lvlJc w:val="left"/>
      <w:pPr>
        <w:ind w:left="6063" w:hanging="720"/>
      </w:pPr>
      <w:rPr>
        <w:rFonts w:hint="default"/>
        <w:lang w:val="zh-CN" w:eastAsia="zh-CN" w:bidi="zh-CN"/>
      </w:rPr>
    </w:lvl>
    <w:lvl w:ilvl="6" w:tentative="0">
      <w:start w:val="0"/>
      <w:numFmt w:val="bullet"/>
      <w:lvlText w:val="•"/>
      <w:lvlJc w:val="left"/>
      <w:pPr>
        <w:ind w:left="6960" w:hanging="720"/>
      </w:pPr>
      <w:rPr>
        <w:rFonts w:hint="default"/>
        <w:lang w:val="zh-CN" w:eastAsia="zh-CN" w:bidi="zh-CN"/>
      </w:rPr>
    </w:lvl>
    <w:lvl w:ilvl="7" w:tentative="0">
      <w:start w:val="0"/>
      <w:numFmt w:val="bullet"/>
      <w:lvlText w:val="•"/>
      <w:lvlJc w:val="left"/>
      <w:pPr>
        <w:ind w:left="7856" w:hanging="720"/>
      </w:pPr>
      <w:rPr>
        <w:rFonts w:hint="default"/>
        <w:lang w:val="zh-CN" w:eastAsia="zh-CN" w:bidi="zh-CN"/>
      </w:rPr>
    </w:lvl>
    <w:lvl w:ilvl="8" w:tentative="0">
      <w:start w:val="0"/>
      <w:numFmt w:val="bullet"/>
      <w:lvlText w:val="•"/>
      <w:lvlJc w:val="left"/>
      <w:pPr>
        <w:ind w:left="8753" w:hanging="720"/>
      </w:pPr>
      <w:rPr>
        <w:rFonts w:hint="default"/>
        <w:lang w:val="zh-CN" w:eastAsia="zh-CN" w:bidi="zh-CN"/>
      </w:rPr>
    </w:lvl>
  </w:abstractNum>
  <w:abstractNum w:abstractNumId="13">
    <w:nsid w:val="9C7198AA"/>
    <w:multiLevelType w:val="multilevel"/>
    <w:tmpl w:val="9C7198AA"/>
    <w:lvl w:ilvl="0" w:tentative="0">
      <w:start w:val="1"/>
      <w:numFmt w:val="decimal"/>
      <w:lvlText w:val="（%1）"/>
      <w:lvlJc w:val="left"/>
      <w:pPr>
        <w:ind w:left="1413" w:hanging="60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14">
    <w:nsid w:val="9C8AC8EF"/>
    <w:multiLevelType w:val="multilevel"/>
    <w:tmpl w:val="9C8AC8EF"/>
    <w:lvl w:ilvl="0" w:tentative="0">
      <w:start w:val="3"/>
      <w:numFmt w:val="decimal"/>
      <w:lvlText w:val="%1"/>
      <w:lvlJc w:val="left"/>
      <w:pPr>
        <w:ind w:left="1472" w:hanging="660"/>
        <w:jc w:val="left"/>
      </w:pPr>
      <w:rPr>
        <w:rFonts w:hint="default"/>
        <w:lang w:val="zh-CN" w:eastAsia="zh-CN" w:bidi="zh-CN"/>
      </w:rPr>
    </w:lvl>
    <w:lvl w:ilvl="1" w:tentative="0">
      <w:start w:val="1"/>
      <w:numFmt w:val="decimal"/>
      <w:lvlText w:val="%1.%2"/>
      <w:lvlJc w:val="left"/>
      <w:pPr>
        <w:ind w:left="1472" w:hanging="660"/>
        <w:jc w:val="left"/>
      </w:pPr>
      <w:rPr>
        <w:rFonts w:hint="default"/>
        <w:lang w:val="zh-CN" w:eastAsia="zh-CN" w:bidi="zh-CN"/>
      </w:rPr>
    </w:lvl>
    <w:lvl w:ilvl="2" w:tentative="0">
      <w:start w:val="1"/>
      <w:numFmt w:val="decimal"/>
      <w:lvlText w:val="%1.%2.%3"/>
      <w:lvlJc w:val="left"/>
      <w:pPr>
        <w:ind w:left="1472" w:hanging="66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4200" w:hanging="660"/>
      </w:pPr>
      <w:rPr>
        <w:rFonts w:hint="default"/>
        <w:lang w:val="zh-CN" w:eastAsia="zh-CN" w:bidi="zh-CN"/>
      </w:rPr>
    </w:lvl>
    <w:lvl w:ilvl="4" w:tentative="0">
      <w:start w:val="0"/>
      <w:numFmt w:val="bullet"/>
      <w:lvlText w:val="•"/>
      <w:lvlJc w:val="left"/>
      <w:pPr>
        <w:ind w:left="5106" w:hanging="660"/>
      </w:pPr>
      <w:rPr>
        <w:rFonts w:hint="default"/>
        <w:lang w:val="zh-CN" w:eastAsia="zh-CN" w:bidi="zh-CN"/>
      </w:rPr>
    </w:lvl>
    <w:lvl w:ilvl="5" w:tentative="0">
      <w:start w:val="0"/>
      <w:numFmt w:val="bullet"/>
      <w:lvlText w:val="•"/>
      <w:lvlJc w:val="left"/>
      <w:pPr>
        <w:ind w:left="6013" w:hanging="660"/>
      </w:pPr>
      <w:rPr>
        <w:rFonts w:hint="default"/>
        <w:lang w:val="zh-CN" w:eastAsia="zh-CN" w:bidi="zh-CN"/>
      </w:rPr>
    </w:lvl>
    <w:lvl w:ilvl="6" w:tentative="0">
      <w:start w:val="0"/>
      <w:numFmt w:val="bullet"/>
      <w:lvlText w:val="•"/>
      <w:lvlJc w:val="left"/>
      <w:pPr>
        <w:ind w:left="6920" w:hanging="660"/>
      </w:pPr>
      <w:rPr>
        <w:rFonts w:hint="default"/>
        <w:lang w:val="zh-CN" w:eastAsia="zh-CN" w:bidi="zh-CN"/>
      </w:rPr>
    </w:lvl>
    <w:lvl w:ilvl="7" w:tentative="0">
      <w:start w:val="0"/>
      <w:numFmt w:val="bullet"/>
      <w:lvlText w:val="•"/>
      <w:lvlJc w:val="left"/>
      <w:pPr>
        <w:ind w:left="7826" w:hanging="660"/>
      </w:pPr>
      <w:rPr>
        <w:rFonts w:hint="default"/>
        <w:lang w:val="zh-CN" w:eastAsia="zh-CN" w:bidi="zh-CN"/>
      </w:rPr>
    </w:lvl>
    <w:lvl w:ilvl="8" w:tentative="0">
      <w:start w:val="0"/>
      <w:numFmt w:val="bullet"/>
      <w:lvlText w:val="•"/>
      <w:lvlJc w:val="left"/>
      <w:pPr>
        <w:ind w:left="8733" w:hanging="660"/>
      </w:pPr>
      <w:rPr>
        <w:rFonts w:hint="default"/>
        <w:lang w:val="zh-CN" w:eastAsia="zh-CN" w:bidi="zh-CN"/>
      </w:rPr>
    </w:lvl>
  </w:abstractNum>
  <w:abstractNum w:abstractNumId="15">
    <w:nsid w:val="9D5D7490"/>
    <w:multiLevelType w:val="multilevel"/>
    <w:tmpl w:val="9D5D7490"/>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16">
    <w:nsid w:val="9D7EB8E6"/>
    <w:multiLevelType w:val="multilevel"/>
    <w:tmpl w:val="9D7EB8E6"/>
    <w:lvl w:ilvl="0" w:tentative="0">
      <w:start w:val="1"/>
      <w:numFmt w:val="decimal"/>
      <w:lvlText w:val="%1"/>
      <w:lvlJc w:val="left"/>
      <w:pPr>
        <w:ind w:left="388" w:hanging="420"/>
        <w:jc w:val="left"/>
      </w:pPr>
      <w:rPr>
        <w:rFonts w:hint="default"/>
        <w:lang w:val="zh-CN" w:eastAsia="zh-CN" w:bidi="zh-CN"/>
      </w:rPr>
    </w:lvl>
    <w:lvl w:ilvl="1" w:tentative="0">
      <w:start w:val="1"/>
      <w:numFmt w:val="decimal"/>
      <w:lvlText w:val="%1.%2"/>
      <w:lvlJc w:val="left"/>
      <w:pPr>
        <w:ind w:left="388"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413" w:hanging="420"/>
      </w:pPr>
      <w:rPr>
        <w:rFonts w:hint="default"/>
        <w:lang w:val="zh-CN" w:eastAsia="zh-CN" w:bidi="zh-CN"/>
      </w:rPr>
    </w:lvl>
    <w:lvl w:ilvl="3" w:tentative="0">
      <w:start w:val="0"/>
      <w:numFmt w:val="bullet"/>
      <w:lvlText w:val="•"/>
      <w:lvlJc w:val="left"/>
      <w:pPr>
        <w:ind w:left="3430" w:hanging="420"/>
      </w:pPr>
      <w:rPr>
        <w:rFonts w:hint="default"/>
        <w:lang w:val="zh-CN" w:eastAsia="zh-CN" w:bidi="zh-CN"/>
      </w:rPr>
    </w:lvl>
    <w:lvl w:ilvl="4" w:tentative="0">
      <w:start w:val="0"/>
      <w:numFmt w:val="bullet"/>
      <w:lvlText w:val="•"/>
      <w:lvlJc w:val="left"/>
      <w:pPr>
        <w:ind w:left="4446" w:hanging="420"/>
      </w:pPr>
      <w:rPr>
        <w:rFonts w:hint="default"/>
        <w:lang w:val="zh-CN" w:eastAsia="zh-CN" w:bidi="zh-CN"/>
      </w:rPr>
    </w:lvl>
    <w:lvl w:ilvl="5" w:tentative="0">
      <w:start w:val="0"/>
      <w:numFmt w:val="bullet"/>
      <w:lvlText w:val="•"/>
      <w:lvlJc w:val="left"/>
      <w:pPr>
        <w:ind w:left="5463" w:hanging="420"/>
      </w:pPr>
      <w:rPr>
        <w:rFonts w:hint="default"/>
        <w:lang w:val="zh-CN" w:eastAsia="zh-CN" w:bidi="zh-CN"/>
      </w:rPr>
    </w:lvl>
    <w:lvl w:ilvl="6" w:tentative="0">
      <w:start w:val="0"/>
      <w:numFmt w:val="bullet"/>
      <w:lvlText w:val="•"/>
      <w:lvlJc w:val="left"/>
      <w:pPr>
        <w:ind w:left="6480" w:hanging="420"/>
      </w:pPr>
      <w:rPr>
        <w:rFonts w:hint="default"/>
        <w:lang w:val="zh-CN" w:eastAsia="zh-CN" w:bidi="zh-CN"/>
      </w:rPr>
    </w:lvl>
    <w:lvl w:ilvl="7" w:tentative="0">
      <w:start w:val="0"/>
      <w:numFmt w:val="bullet"/>
      <w:lvlText w:val="•"/>
      <w:lvlJc w:val="left"/>
      <w:pPr>
        <w:ind w:left="7496" w:hanging="420"/>
      </w:pPr>
      <w:rPr>
        <w:rFonts w:hint="default"/>
        <w:lang w:val="zh-CN" w:eastAsia="zh-CN" w:bidi="zh-CN"/>
      </w:rPr>
    </w:lvl>
    <w:lvl w:ilvl="8" w:tentative="0">
      <w:start w:val="0"/>
      <w:numFmt w:val="bullet"/>
      <w:lvlText w:val="•"/>
      <w:lvlJc w:val="left"/>
      <w:pPr>
        <w:ind w:left="8513" w:hanging="420"/>
      </w:pPr>
      <w:rPr>
        <w:rFonts w:hint="default"/>
        <w:lang w:val="zh-CN" w:eastAsia="zh-CN" w:bidi="zh-CN"/>
      </w:rPr>
    </w:lvl>
  </w:abstractNum>
  <w:abstractNum w:abstractNumId="17">
    <w:nsid w:val="9DFC6F65"/>
    <w:multiLevelType w:val="multilevel"/>
    <w:tmpl w:val="9DFC6F65"/>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18">
    <w:nsid w:val="9F81B9F9"/>
    <w:multiLevelType w:val="multilevel"/>
    <w:tmpl w:val="9F81B9F9"/>
    <w:lvl w:ilvl="0" w:tentative="0">
      <w:start w:val="8"/>
      <w:numFmt w:val="decimal"/>
      <w:lvlText w:val="%1"/>
      <w:lvlJc w:val="left"/>
      <w:pPr>
        <w:ind w:left="1232" w:hanging="420"/>
        <w:jc w:val="left"/>
      </w:pPr>
      <w:rPr>
        <w:rFonts w:hint="default"/>
        <w:lang w:val="zh-CN" w:eastAsia="zh-CN" w:bidi="zh-CN"/>
      </w:rPr>
    </w:lvl>
    <w:lvl w:ilvl="1" w:tentative="0">
      <w:start w:val="4"/>
      <w:numFmt w:val="decimal"/>
      <w:lvlText w:val="%1.%2"/>
      <w:lvlJc w:val="left"/>
      <w:pPr>
        <w:ind w:left="1232" w:hanging="42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472" w:hanging="66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494" w:hanging="660"/>
      </w:pPr>
      <w:rPr>
        <w:rFonts w:hint="default"/>
        <w:lang w:val="zh-CN" w:eastAsia="zh-CN" w:bidi="zh-CN"/>
      </w:rPr>
    </w:lvl>
    <w:lvl w:ilvl="4" w:tentative="0">
      <w:start w:val="0"/>
      <w:numFmt w:val="bullet"/>
      <w:lvlText w:val="•"/>
      <w:lvlJc w:val="left"/>
      <w:pPr>
        <w:ind w:left="4502" w:hanging="660"/>
      </w:pPr>
      <w:rPr>
        <w:rFonts w:hint="default"/>
        <w:lang w:val="zh-CN" w:eastAsia="zh-CN" w:bidi="zh-CN"/>
      </w:rPr>
    </w:lvl>
    <w:lvl w:ilvl="5" w:tentative="0">
      <w:start w:val="0"/>
      <w:numFmt w:val="bullet"/>
      <w:lvlText w:val="•"/>
      <w:lvlJc w:val="left"/>
      <w:pPr>
        <w:ind w:left="5509" w:hanging="660"/>
      </w:pPr>
      <w:rPr>
        <w:rFonts w:hint="default"/>
        <w:lang w:val="zh-CN" w:eastAsia="zh-CN" w:bidi="zh-CN"/>
      </w:rPr>
    </w:lvl>
    <w:lvl w:ilvl="6" w:tentative="0">
      <w:start w:val="0"/>
      <w:numFmt w:val="bullet"/>
      <w:lvlText w:val="•"/>
      <w:lvlJc w:val="left"/>
      <w:pPr>
        <w:ind w:left="6517" w:hanging="660"/>
      </w:pPr>
      <w:rPr>
        <w:rFonts w:hint="default"/>
        <w:lang w:val="zh-CN" w:eastAsia="zh-CN" w:bidi="zh-CN"/>
      </w:rPr>
    </w:lvl>
    <w:lvl w:ilvl="7" w:tentative="0">
      <w:start w:val="0"/>
      <w:numFmt w:val="bullet"/>
      <w:lvlText w:val="•"/>
      <w:lvlJc w:val="left"/>
      <w:pPr>
        <w:ind w:left="7524" w:hanging="660"/>
      </w:pPr>
      <w:rPr>
        <w:rFonts w:hint="default"/>
        <w:lang w:val="zh-CN" w:eastAsia="zh-CN" w:bidi="zh-CN"/>
      </w:rPr>
    </w:lvl>
    <w:lvl w:ilvl="8" w:tentative="0">
      <w:start w:val="0"/>
      <w:numFmt w:val="bullet"/>
      <w:lvlText w:val="•"/>
      <w:lvlJc w:val="left"/>
      <w:pPr>
        <w:ind w:left="8532" w:hanging="660"/>
      </w:pPr>
      <w:rPr>
        <w:rFonts w:hint="default"/>
        <w:lang w:val="zh-CN" w:eastAsia="zh-CN" w:bidi="zh-CN"/>
      </w:rPr>
    </w:lvl>
  </w:abstractNum>
  <w:abstractNum w:abstractNumId="19">
    <w:nsid w:val="A0C93552"/>
    <w:multiLevelType w:val="multilevel"/>
    <w:tmpl w:val="A0C93552"/>
    <w:lvl w:ilvl="0" w:tentative="0">
      <w:start w:val="1"/>
      <w:numFmt w:val="decimal"/>
      <w:lvlText w:val="（%1）"/>
      <w:lvlJc w:val="left"/>
      <w:pPr>
        <w:ind w:left="388" w:hanging="60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20">
    <w:nsid w:val="A0F05207"/>
    <w:multiLevelType w:val="multilevel"/>
    <w:tmpl w:val="A0F05207"/>
    <w:lvl w:ilvl="0" w:tentative="0">
      <w:start w:val="1"/>
      <w:numFmt w:val="decimal"/>
      <w:lvlText w:val="（%1）"/>
      <w:lvlJc w:val="left"/>
      <w:pPr>
        <w:ind w:left="388" w:hanging="601"/>
        <w:jc w:val="left"/>
      </w:pPr>
      <w:rPr>
        <w:rFonts w:hint="default" w:ascii="宋体" w:hAnsi="宋体" w:eastAsia="宋体" w:cs="宋体"/>
        <w:spacing w:val="-12"/>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21">
    <w:nsid w:val="A9AC3AA7"/>
    <w:multiLevelType w:val="multilevel"/>
    <w:tmpl w:val="A9AC3AA7"/>
    <w:lvl w:ilvl="0" w:tentative="0">
      <w:start w:val="5"/>
      <w:numFmt w:val="decimal"/>
      <w:lvlText w:val="（%1）"/>
      <w:lvlJc w:val="left"/>
      <w:pPr>
        <w:ind w:left="812"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792" w:hanging="601"/>
      </w:pPr>
      <w:rPr>
        <w:rFonts w:hint="default"/>
        <w:lang w:val="zh-CN" w:eastAsia="zh-CN" w:bidi="zh-CN"/>
      </w:rPr>
    </w:lvl>
    <w:lvl w:ilvl="2" w:tentative="0">
      <w:start w:val="0"/>
      <w:numFmt w:val="bullet"/>
      <w:lvlText w:val="•"/>
      <w:lvlJc w:val="left"/>
      <w:pPr>
        <w:ind w:left="2765" w:hanging="601"/>
      </w:pPr>
      <w:rPr>
        <w:rFonts w:hint="default"/>
        <w:lang w:val="zh-CN" w:eastAsia="zh-CN" w:bidi="zh-CN"/>
      </w:rPr>
    </w:lvl>
    <w:lvl w:ilvl="3" w:tentative="0">
      <w:start w:val="0"/>
      <w:numFmt w:val="bullet"/>
      <w:lvlText w:val="•"/>
      <w:lvlJc w:val="left"/>
      <w:pPr>
        <w:ind w:left="3738" w:hanging="601"/>
      </w:pPr>
      <w:rPr>
        <w:rFonts w:hint="default"/>
        <w:lang w:val="zh-CN" w:eastAsia="zh-CN" w:bidi="zh-CN"/>
      </w:rPr>
    </w:lvl>
    <w:lvl w:ilvl="4" w:tentative="0">
      <w:start w:val="0"/>
      <w:numFmt w:val="bullet"/>
      <w:lvlText w:val="•"/>
      <w:lvlJc w:val="left"/>
      <w:pPr>
        <w:ind w:left="4710" w:hanging="601"/>
      </w:pPr>
      <w:rPr>
        <w:rFonts w:hint="default"/>
        <w:lang w:val="zh-CN" w:eastAsia="zh-CN" w:bidi="zh-CN"/>
      </w:rPr>
    </w:lvl>
    <w:lvl w:ilvl="5" w:tentative="0">
      <w:start w:val="0"/>
      <w:numFmt w:val="bullet"/>
      <w:lvlText w:val="•"/>
      <w:lvlJc w:val="left"/>
      <w:pPr>
        <w:ind w:left="5683" w:hanging="601"/>
      </w:pPr>
      <w:rPr>
        <w:rFonts w:hint="default"/>
        <w:lang w:val="zh-CN" w:eastAsia="zh-CN" w:bidi="zh-CN"/>
      </w:rPr>
    </w:lvl>
    <w:lvl w:ilvl="6" w:tentative="0">
      <w:start w:val="0"/>
      <w:numFmt w:val="bullet"/>
      <w:lvlText w:val="•"/>
      <w:lvlJc w:val="left"/>
      <w:pPr>
        <w:ind w:left="6656" w:hanging="601"/>
      </w:pPr>
      <w:rPr>
        <w:rFonts w:hint="default"/>
        <w:lang w:val="zh-CN" w:eastAsia="zh-CN" w:bidi="zh-CN"/>
      </w:rPr>
    </w:lvl>
    <w:lvl w:ilvl="7" w:tentative="0">
      <w:start w:val="0"/>
      <w:numFmt w:val="bullet"/>
      <w:lvlText w:val="•"/>
      <w:lvlJc w:val="left"/>
      <w:pPr>
        <w:ind w:left="7628" w:hanging="601"/>
      </w:pPr>
      <w:rPr>
        <w:rFonts w:hint="default"/>
        <w:lang w:val="zh-CN" w:eastAsia="zh-CN" w:bidi="zh-CN"/>
      </w:rPr>
    </w:lvl>
    <w:lvl w:ilvl="8" w:tentative="0">
      <w:start w:val="0"/>
      <w:numFmt w:val="bullet"/>
      <w:lvlText w:val="•"/>
      <w:lvlJc w:val="left"/>
      <w:pPr>
        <w:ind w:left="8601" w:hanging="601"/>
      </w:pPr>
      <w:rPr>
        <w:rFonts w:hint="default"/>
        <w:lang w:val="zh-CN" w:eastAsia="zh-CN" w:bidi="zh-CN"/>
      </w:rPr>
    </w:lvl>
  </w:abstractNum>
  <w:abstractNum w:abstractNumId="22">
    <w:nsid w:val="AAF3F3FA"/>
    <w:multiLevelType w:val="multilevel"/>
    <w:tmpl w:val="AAF3F3FA"/>
    <w:lvl w:ilvl="0" w:tentative="0">
      <w:start w:val="1"/>
      <w:numFmt w:val="decimal"/>
      <w:lvlText w:val="（%1）"/>
      <w:lvlJc w:val="left"/>
      <w:pPr>
        <w:ind w:left="388" w:hanging="601"/>
        <w:jc w:val="left"/>
      </w:pPr>
      <w:rPr>
        <w:rFonts w:hint="default" w:ascii="宋体" w:hAnsi="宋体" w:eastAsia="宋体" w:cs="宋体"/>
        <w:spacing w:val="-5"/>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23">
    <w:nsid w:val="B0ED9BEA"/>
    <w:multiLevelType w:val="multilevel"/>
    <w:tmpl w:val="B0ED9BEA"/>
    <w:lvl w:ilvl="0" w:tentative="0">
      <w:start w:val="1"/>
      <w:numFmt w:val="decimal"/>
      <w:lvlText w:val="（%1）"/>
      <w:lvlJc w:val="left"/>
      <w:pPr>
        <w:ind w:left="1413" w:hanging="60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24">
    <w:nsid w:val="B0F1ACD9"/>
    <w:multiLevelType w:val="multilevel"/>
    <w:tmpl w:val="B0F1ACD9"/>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25">
    <w:nsid w:val="B23A94A9"/>
    <w:multiLevelType w:val="multilevel"/>
    <w:tmpl w:val="B23A94A9"/>
    <w:lvl w:ilvl="0" w:tentative="0">
      <w:start w:val="1"/>
      <w:numFmt w:val="decimal"/>
      <w:lvlText w:val="（%1）"/>
      <w:lvlJc w:val="left"/>
      <w:pPr>
        <w:ind w:left="388" w:hanging="601"/>
        <w:jc w:val="left"/>
      </w:pPr>
      <w:rPr>
        <w:rFonts w:hint="default" w:ascii="宋体" w:hAnsi="宋体" w:eastAsia="宋体" w:cs="宋体"/>
        <w:spacing w:val="-8"/>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26">
    <w:nsid w:val="B53F3350"/>
    <w:multiLevelType w:val="multilevel"/>
    <w:tmpl w:val="B53F3350"/>
    <w:lvl w:ilvl="0" w:tentative="0">
      <w:start w:val="8"/>
      <w:numFmt w:val="decimal"/>
      <w:lvlText w:val="%1"/>
      <w:lvlJc w:val="left"/>
      <w:pPr>
        <w:ind w:left="1048" w:hanging="420"/>
        <w:jc w:val="left"/>
      </w:pPr>
      <w:rPr>
        <w:rFonts w:hint="default"/>
        <w:lang w:val="zh-CN" w:eastAsia="zh-CN" w:bidi="zh-CN"/>
      </w:rPr>
    </w:lvl>
    <w:lvl w:ilvl="1" w:tentative="0">
      <w:start w:val="8"/>
      <w:numFmt w:val="decimal"/>
      <w:lvlText w:val="%1.%2"/>
      <w:lvlJc w:val="left"/>
      <w:pPr>
        <w:ind w:left="1048" w:hanging="42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532" w:hanging="72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541" w:hanging="720"/>
      </w:pPr>
      <w:rPr>
        <w:rFonts w:hint="default"/>
        <w:lang w:val="zh-CN" w:eastAsia="zh-CN" w:bidi="zh-CN"/>
      </w:rPr>
    </w:lvl>
    <w:lvl w:ilvl="4" w:tentative="0">
      <w:start w:val="0"/>
      <w:numFmt w:val="bullet"/>
      <w:lvlText w:val="•"/>
      <w:lvlJc w:val="left"/>
      <w:pPr>
        <w:ind w:left="4542" w:hanging="720"/>
      </w:pPr>
      <w:rPr>
        <w:rFonts w:hint="default"/>
        <w:lang w:val="zh-CN" w:eastAsia="zh-CN" w:bidi="zh-CN"/>
      </w:rPr>
    </w:lvl>
    <w:lvl w:ilvl="5" w:tentative="0">
      <w:start w:val="0"/>
      <w:numFmt w:val="bullet"/>
      <w:lvlText w:val="•"/>
      <w:lvlJc w:val="left"/>
      <w:pPr>
        <w:ind w:left="5543" w:hanging="720"/>
      </w:pPr>
      <w:rPr>
        <w:rFonts w:hint="default"/>
        <w:lang w:val="zh-CN" w:eastAsia="zh-CN" w:bidi="zh-CN"/>
      </w:rPr>
    </w:lvl>
    <w:lvl w:ilvl="6" w:tentative="0">
      <w:start w:val="0"/>
      <w:numFmt w:val="bullet"/>
      <w:lvlText w:val="•"/>
      <w:lvlJc w:val="left"/>
      <w:pPr>
        <w:ind w:left="6543" w:hanging="720"/>
      </w:pPr>
      <w:rPr>
        <w:rFonts w:hint="default"/>
        <w:lang w:val="zh-CN" w:eastAsia="zh-CN" w:bidi="zh-CN"/>
      </w:rPr>
    </w:lvl>
    <w:lvl w:ilvl="7" w:tentative="0">
      <w:start w:val="0"/>
      <w:numFmt w:val="bullet"/>
      <w:lvlText w:val="•"/>
      <w:lvlJc w:val="left"/>
      <w:pPr>
        <w:ind w:left="7544" w:hanging="720"/>
      </w:pPr>
      <w:rPr>
        <w:rFonts w:hint="default"/>
        <w:lang w:val="zh-CN" w:eastAsia="zh-CN" w:bidi="zh-CN"/>
      </w:rPr>
    </w:lvl>
    <w:lvl w:ilvl="8" w:tentative="0">
      <w:start w:val="0"/>
      <w:numFmt w:val="bullet"/>
      <w:lvlText w:val="•"/>
      <w:lvlJc w:val="left"/>
      <w:pPr>
        <w:ind w:left="8545" w:hanging="720"/>
      </w:pPr>
      <w:rPr>
        <w:rFonts w:hint="default"/>
        <w:lang w:val="zh-CN" w:eastAsia="zh-CN" w:bidi="zh-CN"/>
      </w:rPr>
    </w:lvl>
  </w:abstractNum>
  <w:abstractNum w:abstractNumId="27">
    <w:nsid w:val="B88D21A8"/>
    <w:multiLevelType w:val="multilevel"/>
    <w:tmpl w:val="B88D21A8"/>
    <w:lvl w:ilvl="0" w:tentative="0">
      <w:start w:val="1"/>
      <w:numFmt w:val="decimal"/>
      <w:lvlText w:val="（%1）"/>
      <w:lvlJc w:val="left"/>
      <w:pPr>
        <w:ind w:left="1413" w:hanging="60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28">
    <w:nsid w:val="B8CEF35B"/>
    <w:multiLevelType w:val="multilevel"/>
    <w:tmpl w:val="B8CEF35B"/>
    <w:lvl w:ilvl="0" w:tentative="0">
      <w:start w:val="1"/>
      <w:numFmt w:val="decimal"/>
      <w:lvlText w:val="%1."/>
      <w:lvlJc w:val="left"/>
      <w:pPr>
        <w:ind w:left="629"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12" w:hanging="241"/>
      </w:pPr>
      <w:rPr>
        <w:rFonts w:hint="default"/>
        <w:lang w:val="zh-CN" w:eastAsia="zh-CN" w:bidi="zh-CN"/>
      </w:rPr>
    </w:lvl>
    <w:lvl w:ilvl="2" w:tentative="0">
      <w:start w:val="0"/>
      <w:numFmt w:val="bullet"/>
      <w:lvlText w:val="•"/>
      <w:lvlJc w:val="left"/>
      <w:pPr>
        <w:ind w:left="2605" w:hanging="241"/>
      </w:pPr>
      <w:rPr>
        <w:rFonts w:hint="default"/>
        <w:lang w:val="zh-CN" w:eastAsia="zh-CN" w:bidi="zh-CN"/>
      </w:rPr>
    </w:lvl>
    <w:lvl w:ilvl="3" w:tentative="0">
      <w:start w:val="0"/>
      <w:numFmt w:val="bullet"/>
      <w:lvlText w:val="•"/>
      <w:lvlJc w:val="left"/>
      <w:pPr>
        <w:ind w:left="3598" w:hanging="241"/>
      </w:pPr>
      <w:rPr>
        <w:rFonts w:hint="default"/>
        <w:lang w:val="zh-CN" w:eastAsia="zh-CN" w:bidi="zh-CN"/>
      </w:rPr>
    </w:lvl>
    <w:lvl w:ilvl="4" w:tentative="0">
      <w:start w:val="0"/>
      <w:numFmt w:val="bullet"/>
      <w:lvlText w:val="•"/>
      <w:lvlJc w:val="left"/>
      <w:pPr>
        <w:ind w:left="4590" w:hanging="241"/>
      </w:pPr>
      <w:rPr>
        <w:rFonts w:hint="default"/>
        <w:lang w:val="zh-CN" w:eastAsia="zh-CN" w:bidi="zh-CN"/>
      </w:rPr>
    </w:lvl>
    <w:lvl w:ilvl="5" w:tentative="0">
      <w:start w:val="0"/>
      <w:numFmt w:val="bullet"/>
      <w:lvlText w:val="•"/>
      <w:lvlJc w:val="left"/>
      <w:pPr>
        <w:ind w:left="5583" w:hanging="241"/>
      </w:pPr>
      <w:rPr>
        <w:rFonts w:hint="default"/>
        <w:lang w:val="zh-CN" w:eastAsia="zh-CN" w:bidi="zh-CN"/>
      </w:rPr>
    </w:lvl>
    <w:lvl w:ilvl="6" w:tentative="0">
      <w:start w:val="0"/>
      <w:numFmt w:val="bullet"/>
      <w:lvlText w:val="•"/>
      <w:lvlJc w:val="left"/>
      <w:pPr>
        <w:ind w:left="6576" w:hanging="241"/>
      </w:pPr>
      <w:rPr>
        <w:rFonts w:hint="default"/>
        <w:lang w:val="zh-CN" w:eastAsia="zh-CN" w:bidi="zh-CN"/>
      </w:rPr>
    </w:lvl>
    <w:lvl w:ilvl="7" w:tentative="0">
      <w:start w:val="0"/>
      <w:numFmt w:val="bullet"/>
      <w:lvlText w:val="•"/>
      <w:lvlJc w:val="left"/>
      <w:pPr>
        <w:ind w:left="7568" w:hanging="241"/>
      </w:pPr>
      <w:rPr>
        <w:rFonts w:hint="default"/>
        <w:lang w:val="zh-CN" w:eastAsia="zh-CN" w:bidi="zh-CN"/>
      </w:rPr>
    </w:lvl>
    <w:lvl w:ilvl="8" w:tentative="0">
      <w:start w:val="0"/>
      <w:numFmt w:val="bullet"/>
      <w:lvlText w:val="•"/>
      <w:lvlJc w:val="left"/>
      <w:pPr>
        <w:ind w:left="8561" w:hanging="241"/>
      </w:pPr>
      <w:rPr>
        <w:rFonts w:hint="default"/>
        <w:lang w:val="zh-CN" w:eastAsia="zh-CN" w:bidi="zh-CN"/>
      </w:rPr>
    </w:lvl>
  </w:abstractNum>
  <w:abstractNum w:abstractNumId="29">
    <w:nsid w:val="BB64CFA9"/>
    <w:multiLevelType w:val="multilevel"/>
    <w:tmpl w:val="BB64CFA9"/>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30">
    <w:nsid w:val="BCECA0B4"/>
    <w:multiLevelType w:val="multilevel"/>
    <w:tmpl w:val="BCECA0B4"/>
    <w:lvl w:ilvl="0" w:tentative="0">
      <w:start w:val="1"/>
      <w:numFmt w:val="decimal"/>
      <w:lvlText w:val="%1."/>
      <w:lvlJc w:val="left"/>
      <w:pPr>
        <w:ind w:left="1228" w:hanging="360"/>
        <w:jc w:val="left"/>
      </w:pPr>
      <w:rPr>
        <w:rFonts w:hint="default" w:ascii="宋体" w:hAnsi="宋体" w:eastAsia="宋体" w:cs="宋体"/>
        <w:w w:val="100"/>
        <w:sz w:val="24"/>
        <w:szCs w:val="24"/>
        <w:lang w:val="zh-CN" w:eastAsia="zh-CN" w:bidi="zh-CN"/>
      </w:rPr>
    </w:lvl>
    <w:lvl w:ilvl="1" w:tentative="0">
      <w:start w:val="1"/>
      <w:numFmt w:val="decimal"/>
      <w:lvlText w:val="%1.%2"/>
      <w:lvlJc w:val="left"/>
      <w:pPr>
        <w:ind w:left="1348" w:hanging="48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528" w:hanging="66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1240" w:hanging="660"/>
      </w:pPr>
      <w:rPr>
        <w:rFonts w:hint="default"/>
        <w:lang w:val="zh-CN" w:eastAsia="zh-CN" w:bidi="zh-CN"/>
      </w:rPr>
    </w:lvl>
    <w:lvl w:ilvl="4" w:tentative="0">
      <w:start w:val="0"/>
      <w:numFmt w:val="bullet"/>
      <w:lvlText w:val="•"/>
      <w:lvlJc w:val="left"/>
      <w:pPr>
        <w:ind w:left="1300" w:hanging="660"/>
      </w:pPr>
      <w:rPr>
        <w:rFonts w:hint="default"/>
        <w:lang w:val="zh-CN" w:eastAsia="zh-CN" w:bidi="zh-CN"/>
      </w:rPr>
    </w:lvl>
    <w:lvl w:ilvl="5" w:tentative="0">
      <w:start w:val="0"/>
      <w:numFmt w:val="bullet"/>
      <w:lvlText w:val="•"/>
      <w:lvlJc w:val="left"/>
      <w:pPr>
        <w:ind w:left="1340" w:hanging="660"/>
      </w:pPr>
      <w:rPr>
        <w:rFonts w:hint="default"/>
        <w:lang w:val="zh-CN" w:eastAsia="zh-CN" w:bidi="zh-CN"/>
      </w:rPr>
    </w:lvl>
    <w:lvl w:ilvl="6" w:tentative="0">
      <w:start w:val="0"/>
      <w:numFmt w:val="bullet"/>
      <w:lvlText w:val="•"/>
      <w:lvlJc w:val="left"/>
      <w:pPr>
        <w:ind w:left="1360" w:hanging="660"/>
      </w:pPr>
      <w:rPr>
        <w:rFonts w:hint="default"/>
        <w:lang w:val="zh-CN" w:eastAsia="zh-CN" w:bidi="zh-CN"/>
      </w:rPr>
    </w:lvl>
    <w:lvl w:ilvl="7" w:tentative="0">
      <w:start w:val="0"/>
      <w:numFmt w:val="bullet"/>
      <w:lvlText w:val="•"/>
      <w:lvlJc w:val="left"/>
      <w:pPr>
        <w:ind w:left="1420" w:hanging="660"/>
      </w:pPr>
      <w:rPr>
        <w:rFonts w:hint="default"/>
        <w:lang w:val="zh-CN" w:eastAsia="zh-CN" w:bidi="zh-CN"/>
      </w:rPr>
    </w:lvl>
    <w:lvl w:ilvl="8" w:tentative="0">
      <w:start w:val="0"/>
      <w:numFmt w:val="bullet"/>
      <w:lvlText w:val="•"/>
      <w:lvlJc w:val="left"/>
      <w:pPr>
        <w:ind w:left="1520" w:hanging="660"/>
      </w:pPr>
      <w:rPr>
        <w:rFonts w:hint="default"/>
        <w:lang w:val="zh-CN" w:eastAsia="zh-CN" w:bidi="zh-CN"/>
      </w:rPr>
    </w:lvl>
  </w:abstractNum>
  <w:abstractNum w:abstractNumId="31">
    <w:nsid w:val="BDA1395C"/>
    <w:multiLevelType w:val="multilevel"/>
    <w:tmpl w:val="BDA1395C"/>
    <w:lvl w:ilvl="0" w:tentative="0">
      <w:start w:val="1"/>
      <w:numFmt w:val="decimal"/>
      <w:lvlText w:val="（%1）"/>
      <w:lvlJc w:val="left"/>
      <w:pPr>
        <w:ind w:left="388" w:hanging="601"/>
        <w:jc w:val="left"/>
      </w:pPr>
      <w:rPr>
        <w:rFonts w:hint="default" w:ascii="宋体" w:hAnsi="宋体" w:eastAsia="宋体" w:cs="宋体"/>
        <w:spacing w:val="-5"/>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32">
    <w:nsid w:val="BE8A4F4C"/>
    <w:multiLevelType w:val="multilevel"/>
    <w:tmpl w:val="BE8A4F4C"/>
    <w:lvl w:ilvl="0" w:tentative="0">
      <w:start w:val="1"/>
      <w:numFmt w:val="decimal"/>
      <w:lvlText w:val="（%1）"/>
      <w:lvlJc w:val="left"/>
      <w:pPr>
        <w:ind w:left="1413" w:hanging="60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33">
    <w:nsid w:val="BF50FE6B"/>
    <w:multiLevelType w:val="multilevel"/>
    <w:tmpl w:val="BF50FE6B"/>
    <w:lvl w:ilvl="0" w:tentative="0">
      <w:start w:val="8"/>
      <w:numFmt w:val="decimal"/>
      <w:lvlText w:val="%1"/>
      <w:lvlJc w:val="left"/>
      <w:pPr>
        <w:ind w:left="1292" w:hanging="480"/>
        <w:jc w:val="left"/>
      </w:pPr>
      <w:rPr>
        <w:rFonts w:hint="default"/>
        <w:lang w:val="zh-CN" w:eastAsia="zh-CN" w:bidi="zh-CN"/>
      </w:rPr>
    </w:lvl>
    <w:lvl w:ilvl="1" w:tentative="0">
      <w:start w:val="6"/>
      <w:numFmt w:val="decimal"/>
      <w:lvlText w:val="%1.%2"/>
      <w:lvlJc w:val="left"/>
      <w:pPr>
        <w:ind w:left="1292" w:hanging="48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648" w:hanging="836"/>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619" w:hanging="836"/>
      </w:pPr>
      <w:rPr>
        <w:rFonts w:hint="default"/>
        <w:lang w:val="zh-CN" w:eastAsia="zh-CN" w:bidi="zh-CN"/>
      </w:rPr>
    </w:lvl>
    <w:lvl w:ilvl="4" w:tentative="0">
      <w:start w:val="0"/>
      <w:numFmt w:val="bullet"/>
      <w:lvlText w:val="•"/>
      <w:lvlJc w:val="left"/>
      <w:pPr>
        <w:ind w:left="4609" w:hanging="836"/>
      </w:pPr>
      <w:rPr>
        <w:rFonts w:hint="default"/>
        <w:lang w:val="zh-CN" w:eastAsia="zh-CN" w:bidi="zh-CN"/>
      </w:rPr>
    </w:lvl>
    <w:lvl w:ilvl="5" w:tentative="0">
      <w:start w:val="0"/>
      <w:numFmt w:val="bullet"/>
      <w:lvlText w:val="•"/>
      <w:lvlJc w:val="left"/>
      <w:pPr>
        <w:ind w:left="5598" w:hanging="836"/>
      </w:pPr>
      <w:rPr>
        <w:rFonts w:hint="default"/>
        <w:lang w:val="zh-CN" w:eastAsia="zh-CN" w:bidi="zh-CN"/>
      </w:rPr>
    </w:lvl>
    <w:lvl w:ilvl="6" w:tentative="0">
      <w:start w:val="0"/>
      <w:numFmt w:val="bullet"/>
      <w:lvlText w:val="•"/>
      <w:lvlJc w:val="left"/>
      <w:pPr>
        <w:ind w:left="6588" w:hanging="836"/>
      </w:pPr>
      <w:rPr>
        <w:rFonts w:hint="default"/>
        <w:lang w:val="zh-CN" w:eastAsia="zh-CN" w:bidi="zh-CN"/>
      </w:rPr>
    </w:lvl>
    <w:lvl w:ilvl="7" w:tentative="0">
      <w:start w:val="0"/>
      <w:numFmt w:val="bullet"/>
      <w:lvlText w:val="•"/>
      <w:lvlJc w:val="left"/>
      <w:pPr>
        <w:ind w:left="7578" w:hanging="836"/>
      </w:pPr>
      <w:rPr>
        <w:rFonts w:hint="default"/>
        <w:lang w:val="zh-CN" w:eastAsia="zh-CN" w:bidi="zh-CN"/>
      </w:rPr>
    </w:lvl>
    <w:lvl w:ilvl="8" w:tentative="0">
      <w:start w:val="0"/>
      <w:numFmt w:val="bullet"/>
      <w:lvlText w:val="•"/>
      <w:lvlJc w:val="left"/>
      <w:pPr>
        <w:ind w:left="8567" w:hanging="836"/>
      </w:pPr>
      <w:rPr>
        <w:rFonts w:hint="default"/>
        <w:lang w:val="zh-CN" w:eastAsia="zh-CN" w:bidi="zh-CN"/>
      </w:rPr>
    </w:lvl>
  </w:abstractNum>
  <w:abstractNum w:abstractNumId="34">
    <w:nsid w:val="C0915F4F"/>
    <w:multiLevelType w:val="multilevel"/>
    <w:tmpl w:val="C0915F4F"/>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35">
    <w:nsid w:val="C4E0D24A"/>
    <w:multiLevelType w:val="multilevel"/>
    <w:tmpl w:val="C4E0D24A"/>
    <w:lvl w:ilvl="0" w:tentative="0">
      <w:start w:val="1"/>
      <w:numFmt w:val="decimal"/>
      <w:lvlText w:val="（%1）"/>
      <w:lvlJc w:val="left"/>
      <w:pPr>
        <w:ind w:left="388" w:hanging="601"/>
        <w:jc w:val="left"/>
      </w:pPr>
      <w:rPr>
        <w:rFonts w:hint="default" w:ascii="宋体" w:hAnsi="宋体" w:eastAsia="宋体" w:cs="宋体"/>
        <w:spacing w:val="-36"/>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36">
    <w:nsid w:val="C8879AEF"/>
    <w:multiLevelType w:val="multilevel"/>
    <w:tmpl w:val="C8879AEF"/>
    <w:lvl w:ilvl="0" w:tentative="0">
      <w:start w:val="1"/>
      <w:numFmt w:val="decimal"/>
      <w:lvlText w:val="%1."/>
      <w:lvlJc w:val="left"/>
      <w:pPr>
        <w:ind w:left="749" w:hanging="361"/>
        <w:jc w:val="left"/>
      </w:pPr>
      <w:rPr>
        <w:rFonts w:hint="default" w:ascii="宋体" w:hAnsi="宋体" w:eastAsia="宋体" w:cs="宋体"/>
        <w:b/>
        <w:bCs/>
        <w:w w:val="99"/>
        <w:sz w:val="22"/>
        <w:szCs w:val="22"/>
        <w:lang w:val="zh-CN" w:eastAsia="zh-CN" w:bidi="zh-CN"/>
      </w:rPr>
    </w:lvl>
    <w:lvl w:ilvl="1" w:tentative="0">
      <w:start w:val="1"/>
      <w:numFmt w:val="decimal"/>
      <w:lvlText w:val="%1.%2"/>
      <w:lvlJc w:val="left"/>
      <w:pPr>
        <w:ind w:left="808" w:hanging="420"/>
        <w:jc w:val="left"/>
      </w:pPr>
      <w:rPr>
        <w:rFonts w:hint="default" w:ascii="宋体" w:hAnsi="宋体" w:eastAsia="宋体" w:cs="宋体"/>
        <w:b/>
        <w:bCs/>
        <w:w w:val="99"/>
        <w:sz w:val="24"/>
        <w:szCs w:val="24"/>
        <w:lang w:val="zh-CN" w:eastAsia="zh-CN" w:bidi="zh-CN"/>
      </w:rPr>
    </w:lvl>
    <w:lvl w:ilvl="2" w:tentative="0">
      <w:start w:val="1"/>
      <w:numFmt w:val="decimal"/>
      <w:lvlText w:val="%1.%2.%3"/>
      <w:lvlJc w:val="left"/>
      <w:pPr>
        <w:ind w:left="388" w:hanging="663"/>
        <w:jc w:val="left"/>
      </w:pPr>
      <w:rPr>
        <w:rFonts w:hint="default" w:ascii="宋体" w:hAnsi="宋体" w:eastAsia="宋体" w:cs="宋体"/>
        <w:w w:val="100"/>
        <w:sz w:val="24"/>
        <w:szCs w:val="24"/>
        <w:lang w:val="zh-CN" w:eastAsia="zh-CN" w:bidi="zh-CN"/>
      </w:rPr>
    </w:lvl>
    <w:lvl w:ilvl="3" w:tentative="0">
      <w:start w:val="1"/>
      <w:numFmt w:val="decimal"/>
      <w:lvlText w:val="%4)"/>
      <w:lvlJc w:val="left"/>
      <w:pPr>
        <w:ind w:left="869" w:hanging="24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980" w:hanging="241"/>
      </w:pPr>
      <w:rPr>
        <w:rFonts w:hint="default"/>
        <w:lang w:val="zh-CN" w:eastAsia="zh-CN" w:bidi="zh-CN"/>
      </w:rPr>
    </w:lvl>
    <w:lvl w:ilvl="5" w:tentative="0">
      <w:start w:val="0"/>
      <w:numFmt w:val="bullet"/>
      <w:lvlText w:val="•"/>
      <w:lvlJc w:val="left"/>
      <w:pPr>
        <w:ind w:left="1480" w:hanging="241"/>
      </w:pPr>
      <w:rPr>
        <w:rFonts w:hint="default"/>
        <w:lang w:val="zh-CN" w:eastAsia="zh-CN" w:bidi="zh-CN"/>
      </w:rPr>
    </w:lvl>
    <w:lvl w:ilvl="6" w:tentative="0">
      <w:start w:val="0"/>
      <w:numFmt w:val="bullet"/>
      <w:lvlText w:val="•"/>
      <w:lvlJc w:val="left"/>
      <w:pPr>
        <w:ind w:left="3293" w:hanging="241"/>
      </w:pPr>
      <w:rPr>
        <w:rFonts w:hint="default"/>
        <w:lang w:val="zh-CN" w:eastAsia="zh-CN" w:bidi="zh-CN"/>
      </w:rPr>
    </w:lvl>
    <w:lvl w:ilvl="7" w:tentative="0">
      <w:start w:val="0"/>
      <w:numFmt w:val="bullet"/>
      <w:lvlText w:val="•"/>
      <w:lvlJc w:val="left"/>
      <w:pPr>
        <w:ind w:left="5106" w:hanging="241"/>
      </w:pPr>
      <w:rPr>
        <w:rFonts w:hint="default"/>
        <w:lang w:val="zh-CN" w:eastAsia="zh-CN" w:bidi="zh-CN"/>
      </w:rPr>
    </w:lvl>
    <w:lvl w:ilvl="8" w:tentative="0">
      <w:start w:val="0"/>
      <w:numFmt w:val="bullet"/>
      <w:lvlText w:val="•"/>
      <w:lvlJc w:val="left"/>
      <w:pPr>
        <w:ind w:left="6920" w:hanging="241"/>
      </w:pPr>
      <w:rPr>
        <w:rFonts w:hint="default"/>
        <w:lang w:val="zh-CN" w:eastAsia="zh-CN" w:bidi="zh-CN"/>
      </w:rPr>
    </w:lvl>
  </w:abstractNum>
  <w:abstractNum w:abstractNumId="37">
    <w:nsid w:val="C90D1B09"/>
    <w:multiLevelType w:val="multilevel"/>
    <w:tmpl w:val="C90D1B09"/>
    <w:lvl w:ilvl="0" w:tentative="0">
      <w:start w:val="8"/>
      <w:numFmt w:val="decimal"/>
      <w:lvlText w:val="%1"/>
      <w:lvlJc w:val="left"/>
      <w:pPr>
        <w:ind w:left="1292" w:hanging="480"/>
        <w:jc w:val="left"/>
      </w:pPr>
      <w:rPr>
        <w:rFonts w:hint="default"/>
        <w:lang w:val="zh-CN" w:eastAsia="zh-CN" w:bidi="zh-CN"/>
      </w:rPr>
    </w:lvl>
    <w:lvl w:ilvl="1" w:tentative="0">
      <w:start w:val="8"/>
      <w:numFmt w:val="decimal"/>
      <w:lvlText w:val="%1.%2"/>
      <w:lvlJc w:val="left"/>
      <w:pPr>
        <w:ind w:left="1292" w:hanging="48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812" w:hanging="720"/>
        <w:jc w:val="left"/>
      </w:pPr>
      <w:rPr>
        <w:rFonts w:hint="default" w:ascii="宋体" w:hAnsi="宋体" w:eastAsia="宋体" w:cs="宋体"/>
        <w:spacing w:val="-17"/>
        <w:w w:val="100"/>
        <w:sz w:val="24"/>
        <w:szCs w:val="24"/>
        <w:lang w:val="zh-CN" w:eastAsia="zh-CN" w:bidi="zh-CN"/>
      </w:rPr>
    </w:lvl>
    <w:lvl w:ilvl="3" w:tentative="0">
      <w:start w:val="0"/>
      <w:numFmt w:val="bullet"/>
      <w:lvlText w:val="•"/>
      <w:lvlJc w:val="left"/>
      <w:pPr>
        <w:ind w:left="3354" w:hanging="720"/>
      </w:pPr>
      <w:rPr>
        <w:rFonts w:hint="default"/>
        <w:lang w:val="zh-CN" w:eastAsia="zh-CN" w:bidi="zh-CN"/>
      </w:rPr>
    </w:lvl>
    <w:lvl w:ilvl="4" w:tentative="0">
      <w:start w:val="0"/>
      <w:numFmt w:val="bullet"/>
      <w:lvlText w:val="•"/>
      <w:lvlJc w:val="left"/>
      <w:pPr>
        <w:ind w:left="4382" w:hanging="720"/>
      </w:pPr>
      <w:rPr>
        <w:rFonts w:hint="default"/>
        <w:lang w:val="zh-CN" w:eastAsia="zh-CN" w:bidi="zh-CN"/>
      </w:rPr>
    </w:lvl>
    <w:lvl w:ilvl="5" w:tentative="0">
      <w:start w:val="0"/>
      <w:numFmt w:val="bullet"/>
      <w:lvlText w:val="•"/>
      <w:lvlJc w:val="left"/>
      <w:pPr>
        <w:ind w:left="5409" w:hanging="720"/>
      </w:pPr>
      <w:rPr>
        <w:rFonts w:hint="default"/>
        <w:lang w:val="zh-CN" w:eastAsia="zh-CN" w:bidi="zh-CN"/>
      </w:rPr>
    </w:lvl>
    <w:lvl w:ilvl="6" w:tentative="0">
      <w:start w:val="0"/>
      <w:numFmt w:val="bullet"/>
      <w:lvlText w:val="•"/>
      <w:lvlJc w:val="left"/>
      <w:pPr>
        <w:ind w:left="6437" w:hanging="720"/>
      </w:pPr>
      <w:rPr>
        <w:rFonts w:hint="default"/>
        <w:lang w:val="zh-CN" w:eastAsia="zh-CN" w:bidi="zh-CN"/>
      </w:rPr>
    </w:lvl>
    <w:lvl w:ilvl="7" w:tentative="0">
      <w:start w:val="0"/>
      <w:numFmt w:val="bullet"/>
      <w:lvlText w:val="•"/>
      <w:lvlJc w:val="left"/>
      <w:pPr>
        <w:ind w:left="7464" w:hanging="720"/>
      </w:pPr>
      <w:rPr>
        <w:rFonts w:hint="default"/>
        <w:lang w:val="zh-CN" w:eastAsia="zh-CN" w:bidi="zh-CN"/>
      </w:rPr>
    </w:lvl>
    <w:lvl w:ilvl="8" w:tentative="0">
      <w:start w:val="0"/>
      <w:numFmt w:val="bullet"/>
      <w:lvlText w:val="•"/>
      <w:lvlJc w:val="left"/>
      <w:pPr>
        <w:ind w:left="8492" w:hanging="720"/>
      </w:pPr>
      <w:rPr>
        <w:rFonts w:hint="default"/>
        <w:lang w:val="zh-CN" w:eastAsia="zh-CN" w:bidi="zh-CN"/>
      </w:rPr>
    </w:lvl>
  </w:abstractNum>
  <w:abstractNum w:abstractNumId="38">
    <w:nsid w:val="CD699D1D"/>
    <w:multiLevelType w:val="multilevel"/>
    <w:tmpl w:val="CD699D1D"/>
    <w:lvl w:ilvl="0" w:tentative="0">
      <w:start w:val="1"/>
      <w:numFmt w:val="decimal"/>
      <w:lvlText w:val="（%1）"/>
      <w:lvlJc w:val="left"/>
      <w:pPr>
        <w:ind w:left="388" w:hanging="601"/>
        <w:jc w:val="left"/>
      </w:pPr>
      <w:rPr>
        <w:rFonts w:hint="default" w:ascii="宋体" w:hAnsi="宋体" w:eastAsia="宋体" w:cs="宋体"/>
        <w:spacing w:val="-5"/>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39">
    <w:nsid w:val="D1EB1714"/>
    <w:multiLevelType w:val="multilevel"/>
    <w:tmpl w:val="D1EB1714"/>
    <w:lvl w:ilvl="0" w:tentative="0">
      <w:start w:val="1"/>
      <w:numFmt w:val="decimal"/>
      <w:lvlText w:val="（%1）"/>
      <w:lvlJc w:val="left"/>
      <w:pPr>
        <w:ind w:left="388" w:hanging="601"/>
        <w:jc w:val="left"/>
      </w:pPr>
      <w:rPr>
        <w:rFonts w:hint="default" w:ascii="宋体" w:hAnsi="宋体" w:eastAsia="宋体" w:cs="宋体"/>
        <w:spacing w:val="-5"/>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40">
    <w:nsid w:val="D7D140E4"/>
    <w:multiLevelType w:val="multilevel"/>
    <w:tmpl w:val="D7D140E4"/>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41">
    <w:nsid w:val="D7F9FE59"/>
    <w:multiLevelType w:val="multilevel"/>
    <w:tmpl w:val="D7F9FE59"/>
    <w:lvl w:ilvl="0" w:tentative="0">
      <w:start w:val="2"/>
      <w:numFmt w:val="decimal"/>
      <w:lvlText w:val="%1"/>
      <w:lvlJc w:val="left"/>
      <w:pPr>
        <w:ind w:left="388" w:hanging="720"/>
        <w:jc w:val="left"/>
      </w:pPr>
      <w:rPr>
        <w:rFonts w:hint="default"/>
        <w:lang w:val="zh-CN" w:eastAsia="zh-CN" w:bidi="zh-CN"/>
      </w:rPr>
    </w:lvl>
    <w:lvl w:ilvl="1" w:tentative="0">
      <w:start w:val="2"/>
      <w:numFmt w:val="decimal"/>
      <w:lvlText w:val="%1.%2"/>
      <w:lvlJc w:val="left"/>
      <w:pPr>
        <w:ind w:left="388" w:hanging="720"/>
        <w:jc w:val="left"/>
      </w:pPr>
      <w:rPr>
        <w:rFonts w:hint="default"/>
        <w:lang w:val="zh-CN" w:eastAsia="zh-CN" w:bidi="zh-CN"/>
      </w:rPr>
    </w:lvl>
    <w:lvl w:ilvl="2" w:tentative="0">
      <w:start w:val="1"/>
      <w:numFmt w:val="decimal"/>
      <w:lvlText w:val="%1.%2.%3"/>
      <w:lvlJc w:val="left"/>
      <w:pPr>
        <w:ind w:left="388" w:hanging="720"/>
        <w:jc w:val="left"/>
      </w:pPr>
      <w:rPr>
        <w:rFonts w:hint="default" w:ascii="宋体" w:hAnsi="宋体" w:eastAsia="宋体" w:cs="宋体"/>
        <w:spacing w:val="-60"/>
        <w:w w:val="100"/>
        <w:sz w:val="24"/>
        <w:szCs w:val="24"/>
        <w:lang w:val="zh-CN" w:eastAsia="zh-CN" w:bidi="zh-CN"/>
      </w:rPr>
    </w:lvl>
    <w:lvl w:ilvl="3" w:tentative="0">
      <w:start w:val="0"/>
      <w:numFmt w:val="bullet"/>
      <w:lvlText w:val="•"/>
      <w:lvlJc w:val="left"/>
      <w:pPr>
        <w:ind w:left="3430" w:hanging="720"/>
      </w:pPr>
      <w:rPr>
        <w:rFonts w:hint="default"/>
        <w:lang w:val="zh-CN" w:eastAsia="zh-CN" w:bidi="zh-CN"/>
      </w:rPr>
    </w:lvl>
    <w:lvl w:ilvl="4" w:tentative="0">
      <w:start w:val="0"/>
      <w:numFmt w:val="bullet"/>
      <w:lvlText w:val="•"/>
      <w:lvlJc w:val="left"/>
      <w:pPr>
        <w:ind w:left="4446" w:hanging="720"/>
      </w:pPr>
      <w:rPr>
        <w:rFonts w:hint="default"/>
        <w:lang w:val="zh-CN" w:eastAsia="zh-CN" w:bidi="zh-CN"/>
      </w:rPr>
    </w:lvl>
    <w:lvl w:ilvl="5" w:tentative="0">
      <w:start w:val="0"/>
      <w:numFmt w:val="bullet"/>
      <w:lvlText w:val="•"/>
      <w:lvlJc w:val="left"/>
      <w:pPr>
        <w:ind w:left="5463" w:hanging="720"/>
      </w:pPr>
      <w:rPr>
        <w:rFonts w:hint="default"/>
        <w:lang w:val="zh-CN" w:eastAsia="zh-CN" w:bidi="zh-CN"/>
      </w:rPr>
    </w:lvl>
    <w:lvl w:ilvl="6" w:tentative="0">
      <w:start w:val="0"/>
      <w:numFmt w:val="bullet"/>
      <w:lvlText w:val="•"/>
      <w:lvlJc w:val="left"/>
      <w:pPr>
        <w:ind w:left="6480" w:hanging="720"/>
      </w:pPr>
      <w:rPr>
        <w:rFonts w:hint="default"/>
        <w:lang w:val="zh-CN" w:eastAsia="zh-CN" w:bidi="zh-CN"/>
      </w:rPr>
    </w:lvl>
    <w:lvl w:ilvl="7" w:tentative="0">
      <w:start w:val="0"/>
      <w:numFmt w:val="bullet"/>
      <w:lvlText w:val="•"/>
      <w:lvlJc w:val="left"/>
      <w:pPr>
        <w:ind w:left="7496" w:hanging="720"/>
      </w:pPr>
      <w:rPr>
        <w:rFonts w:hint="default"/>
        <w:lang w:val="zh-CN" w:eastAsia="zh-CN" w:bidi="zh-CN"/>
      </w:rPr>
    </w:lvl>
    <w:lvl w:ilvl="8" w:tentative="0">
      <w:start w:val="0"/>
      <w:numFmt w:val="bullet"/>
      <w:lvlText w:val="•"/>
      <w:lvlJc w:val="left"/>
      <w:pPr>
        <w:ind w:left="8513" w:hanging="720"/>
      </w:pPr>
      <w:rPr>
        <w:rFonts w:hint="default"/>
        <w:lang w:val="zh-CN" w:eastAsia="zh-CN" w:bidi="zh-CN"/>
      </w:rPr>
    </w:lvl>
  </w:abstractNum>
  <w:abstractNum w:abstractNumId="42">
    <w:nsid w:val="DAD3A854"/>
    <w:multiLevelType w:val="multilevel"/>
    <w:tmpl w:val="DAD3A854"/>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43">
    <w:nsid w:val="DCBA6B53"/>
    <w:multiLevelType w:val="multilevel"/>
    <w:tmpl w:val="DCBA6B53"/>
    <w:lvl w:ilvl="0" w:tentative="0">
      <w:start w:val="2"/>
      <w:numFmt w:val="decimal"/>
      <w:lvlText w:val="%1"/>
      <w:lvlJc w:val="left"/>
      <w:pPr>
        <w:ind w:left="568" w:hanging="180"/>
        <w:jc w:val="left"/>
      </w:pPr>
      <w:rPr>
        <w:rFonts w:hint="default" w:ascii="宋体" w:hAnsi="宋体" w:eastAsia="宋体" w:cs="宋体"/>
        <w:b/>
        <w:bCs/>
        <w:w w:val="99"/>
        <w:sz w:val="24"/>
        <w:szCs w:val="24"/>
        <w:lang w:val="zh-CN" w:eastAsia="zh-CN" w:bidi="zh-CN"/>
      </w:rPr>
    </w:lvl>
    <w:lvl w:ilvl="1" w:tentative="0">
      <w:start w:val="1"/>
      <w:numFmt w:val="decimal"/>
      <w:lvlText w:val="%1.%2"/>
      <w:lvlJc w:val="left"/>
      <w:pPr>
        <w:ind w:left="812" w:hanging="420"/>
        <w:jc w:val="left"/>
      </w:pPr>
      <w:rPr>
        <w:rFonts w:hint="default" w:ascii="宋体" w:hAnsi="宋体" w:eastAsia="宋体" w:cs="宋体"/>
        <w:b/>
        <w:bCs/>
        <w:w w:val="99"/>
        <w:sz w:val="24"/>
        <w:szCs w:val="24"/>
        <w:lang w:val="zh-CN" w:eastAsia="zh-CN" w:bidi="zh-CN"/>
      </w:rPr>
    </w:lvl>
    <w:lvl w:ilvl="2" w:tentative="0">
      <w:start w:val="1"/>
      <w:numFmt w:val="decimal"/>
      <w:lvlText w:val="（%3）"/>
      <w:lvlJc w:val="left"/>
      <w:pPr>
        <w:ind w:left="1413" w:hanging="601"/>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1420" w:hanging="601"/>
      </w:pPr>
      <w:rPr>
        <w:rFonts w:hint="default"/>
        <w:lang w:val="zh-CN" w:eastAsia="zh-CN" w:bidi="zh-CN"/>
      </w:rPr>
    </w:lvl>
    <w:lvl w:ilvl="4" w:tentative="0">
      <w:start w:val="0"/>
      <w:numFmt w:val="bullet"/>
      <w:lvlText w:val="•"/>
      <w:lvlJc w:val="left"/>
      <w:pPr>
        <w:ind w:left="2723" w:hanging="601"/>
      </w:pPr>
      <w:rPr>
        <w:rFonts w:hint="default"/>
        <w:lang w:val="zh-CN" w:eastAsia="zh-CN" w:bidi="zh-CN"/>
      </w:rPr>
    </w:lvl>
    <w:lvl w:ilvl="5" w:tentative="0">
      <w:start w:val="0"/>
      <w:numFmt w:val="bullet"/>
      <w:lvlText w:val="•"/>
      <w:lvlJc w:val="left"/>
      <w:pPr>
        <w:ind w:left="4027" w:hanging="601"/>
      </w:pPr>
      <w:rPr>
        <w:rFonts w:hint="default"/>
        <w:lang w:val="zh-CN" w:eastAsia="zh-CN" w:bidi="zh-CN"/>
      </w:rPr>
    </w:lvl>
    <w:lvl w:ilvl="6" w:tentative="0">
      <w:start w:val="0"/>
      <w:numFmt w:val="bullet"/>
      <w:lvlText w:val="•"/>
      <w:lvlJc w:val="left"/>
      <w:pPr>
        <w:ind w:left="5331" w:hanging="601"/>
      </w:pPr>
      <w:rPr>
        <w:rFonts w:hint="default"/>
        <w:lang w:val="zh-CN" w:eastAsia="zh-CN" w:bidi="zh-CN"/>
      </w:rPr>
    </w:lvl>
    <w:lvl w:ilvl="7" w:tentative="0">
      <w:start w:val="0"/>
      <w:numFmt w:val="bullet"/>
      <w:lvlText w:val="•"/>
      <w:lvlJc w:val="left"/>
      <w:pPr>
        <w:ind w:left="6635" w:hanging="601"/>
      </w:pPr>
      <w:rPr>
        <w:rFonts w:hint="default"/>
        <w:lang w:val="zh-CN" w:eastAsia="zh-CN" w:bidi="zh-CN"/>
      </w:rPr>
    </w:lvl>
    <w:lvl w:ilvl="8" w:tentative="0">
      <w:start w:val="0"/>
      <w:numFmt w:val="bullet"/>
      <w:lvlText w:val="•"/>
      <w:lvlJc w:val="left"/>
      <w:pPr>
        <w:ind w:left="7939" w:hanging="601"/>
      </w:pPr>
      <w:rPr>
        <w:rFonts w:hint="default"/>
        <w:lang w:val="zh-CN" w:eastAsia="zh-CN" w:bidi="zh-CN"/>
      </w:rPr>
    </w:lvl>
  </w:abstractNum>
  <w:abstractNum w:abstractNumId="44">
    <w:nsid w:val="E0294EC7"/>
    <w:multiLevelType w:val="multilevel"/>
    <w:tmpl w:val="E0294EC7"/>
    <w:lvl w:ilvl="0" w:tentative="0">
      <w:start w:val="1"/>
      <w:numFmt w:val="decimal"/>
      <w:lvlText w:val="%1"/>
      <w:lvlJc w:val="left"/>
      <w:pPr>
        <w:ind w:left="1468" w:hanging="600"/>
        <w:jc w:val="left"/>
      </w:pPr>
      <w:rPr>
        <w:rFonts w:hint="default"/>
        <w:lang w:val="zh-CN" w:eastAsia="zh-CN" w:bidi="zh-CN"/>
      </w:rPr>
    </w:lvl>
    <w:lvl w:ilvl="1" w:tentative="0">
      <w:start w:val="10"/>
      <w:numFmt w:val="decimal"/>
      <w:lvlText w:val="%1.%2"/>
      <w:lvlJc w:val="left"/>
      <w:pPr>
        <w:ind w:left="1468" w:hanging="60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708" w:hanging="84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2805" w:hanging="840"/>
      </w:pPr>
      <w:rPr>
        <w:rFonts w:hint="default"/>
        <w:lang w:val="zh-CN" w:eastAsia="zh-CN" w:bidi="zh-CN"/>
      </w:rPr>
    </w:lvl>
    <w:lvl w:ilvl="4" w:tentative="0">
      <w:start w:val="0"/>
      <w:numFmt w:val="bullet"/>
      <w:lvlText w:val="•"/>
      <w:lvlJc w:val="left"/>
      <w:pPr>
        <w:ind w:left="3911" w:hanging="840"/>
      </w:pPr>
      <w:rPr>
        <w:rFonts w:hint="default"/>
        <w:lang w:val="zh-CN" w:eastAsia="zh-CN" w:bidi="zh-CN"/>
      </w:rPr>
    </w:lvl>
    <w:lvl w:ilvl="5" w:tentative="0">
      <w:start w:val="0"/>
      <w:numFmt w:val="bullet"/>
      <w:lvlText w:val="•"/>
      <w:lvlJc w:val="left"/>
      <w:pPr>
        <w:ind w:left="5017" w:hanging="840"/>
      </w:pPr>
      <w:rPr>
        <w:rFonts w:hint="default"/>
        <w:lang w:val="zh-CN" w:eastAsia="zh-CN" w:bidi="zh-CN"/>
      </w:rPr>
    </w:lvl>
    <w:lvl w:ilvl="6" w:tentative="0">
      <w:start w:val="0"/>
      <w:numFmt w:val="bullet"/>
      <w:lvlText w:val="•"/>
      <w:lvlJc w:val="left"/>
      <w:pPr>
        <w:ind w:left="6123" w:hanging="840"/>
      </w:pPr>
      <w:rPr>
        <w:rFonts w:hint="default"/>
        <w:lang w:val="zh-CN" w:eastAsia="zh-CN" w:bidi="zh-CN"/>
      </w:rPr>
    </w:lvl>
    <w:lvl w:ilvl="7" w:tentative="0">
      <w:start w:val="0"/>
      <w:numFmt w:val="bullet"/>
      <w:lvlText w:val="•"/>
      <w:lvlJc w:val="left"/>
      <w:pPr>
        <w:ind w:left="7229" w:hanging="840"/>
      </w:pPr>
      <w:rPr>
        <w:rFonts w:hint="default"/>
        <w:lang w:val="zh-CN" w:eastAsia="zh-CN" w:bidi="zh-CN"/>
      </w:rPr>
    </w:lvl>
    <w:lvl w:ilvl="8" w:tentative="0">
      <w:start w:val="0"/>
      <w:numFmt w:val="bullet"/>
      <w:lvlText w:val="•"/>
      <w:lvlJc w:val="left"/>
      <w:pPr>
        <w:ind w:left="8335" w:hanging="840"/>
      </w:pPr>
      <w:rPr>
        <w:rFonts w:hint="default"/>
        <w:lang w:val="zh-CN" w:eastAsia="zh-CN" w:bidi="zh-CN"/>
      </w:rPr>
    </w:lvl>
  </w:abstractNum>
  <w:abstractNum w:abstractNumId="45">
    <w:nsid w:val="E093A4B0"/>
    <w:multiLevelType w:val="multilevel"/>
    <w:tmpl w:val="E093A4B0"/>
    <w:lvl w:ilvl="0" w:tentative="0">
      <w:start w:val="1"/>
      <w:numFmt w:val="decimal"/>
      <w:lvlText w:val="（%1）"/>
      <w:lvlJc w:val="left"/>
      <w:pPr>
        <w:ind w:left="146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68" w:hanging="601"/>
      </w:pPr>
      <w:rPr>
        <w:rFonts w:hint="default"/>
        <w:lang w:val="zh-CN" w:eastAsia="zh-CN" w:bidi="zh-CN"/>
      </w:rPr>
    </w:lvl>
    <w:lvl w:ilvl="2" w:tentative="0">
      <w:start w:val="0"/>
      <w:numFmt w:val="bullet"/>
      <w:lvlText w:val="•"/>
      <w:lvlJc w:val="left"/>
      <w:pPr>
        <w:ind w:left="3277" w:hanging="601"/>
      </w:pPr>
      <w:rPr>
        <w:rFonts w:hint="default"/>
        <w:lang w:val="zh-CN" w:eastAsia="zh-CN" w:bidi="zh-CN"/>
      </w:rPr>
    </w:lvl>
    <w:lvl w:ilvl="3" w:tentative="0">
      <w:start w:val="0"/>
      <w:numFmt w:val="bullet"/>
      <w:lvlText w:val="•"/>
      <w:lvlJc w:val="left"/>
      <w:pPr>
        <w:ind w:left="4186" w:hanging="601"/>
      </w:pPr>
      <w:rPr>
        <w:rFonts w:hint="default"/>
        <w:lang w:val="zh-CN" w:eastAsia="zh-CN" w:bidi="zh-CN"/>
      </w:rPr>
    </w:lvl>
    <w:lvl w:ilvl="4" w:tentative="0">
      <w:start w:val="0"/>
      <w:numFmt w:val="bullet"/>
      <w:lvlText w:val="•"/>
      <w:lvlJc w:val="left"/>
      <w:pPr>
        <w:ind w:left="5094" w:hanging="601"/>
      </w:pPr>
      <w:rPr>
        <w:rFonts w:hint="default"/>
        <w:lang w:val="zh-CN" w:eastAsia="zh-CN" w:bidi="zh-CN"/>
      </w:rPr>
    </w:lvl>
    <w:lvl w:ilvl="5" w:tentative="0">
      <w:start w:val="0"/>
      <w:numFmt w:val="bullet"/>
      <w:lvlText w:val="•"/>
      <w:lvlJc w:val="left"/>
      <w:pPr>
        <w:ind w:left="6003" w:hanging="601"/>
      </w:pPr>
      <w:rPr>
        <w:rFonts w:hint="default"/>
        <w:lang w:val="zh-CN" w:eastAsia="zh-CN" w:bidi="zh-CN"/>
      </w:rPr>
    </w:lvl>
    <w:lvl w:ilvl="6" w:tentative="0">
      <w:start w:val="0"/>
      <w:numFmt w:val="bullet"/>
      <w:lvlText w:val="•"/>
      <w:lvlJc w:val="left"/>
      <w:pPr>
        <w:ind w:left="6912" w:hanging="601"/>
      </w:pPr>
      <w:rPr>
        <w:rFonts w:hint="default"/>
        <w:lang w:val="zh-CN" w:eastAsia="zh-CN" w:bidi="zh-CN"/>
      </w:rPr>
    </w:lvl>
    <w:lvl w:ilvl="7" w:tentative="0">
      <w:start w:val="0"/>
      <w:numFmt w:val="bullet"/>
      <w:lvlText w:val="•"/>
      <w:lvlJc w:val="left"/>
      <w:pPr>
        <w:ind w:left="7820" w:hanging="601"/>
      </w:pPr>
      <w:rPr>
        <w:rFonts w:hint="default"/>
        <w:lang w:val="zh-CN" w:eastAsia="zh-CN" w:bidi="zh-CN"/>
      </w:rPr>
    </w:lvl>
    <w:lvl w:ilvl="8" w:tentative="0">
      <w:start w:val="0"/>
      <w:numFmt w:val="bullet"/>
      <w:lvlText w:val="•"/>
      <w:lvlJc w:val="left"/>
      <w:pPr>
        <w:ind w:left="8729" w:hanging="601"/>
      </w:pPr>
      <w:rPr>
        <w:rFonts w:hint="default"/>
        <w:lang w:val="zh-CN" w:eastAsia="zh-CN" w:bidi="zh-CN"/>
      </w:rPr>
    </w:lvl>
  </w:abstractNum>
  <w:abstractNum w:abstractNumId="46">
    <w:nsid w:val="E43A772E"/>
    <w:multiLevelType w:val="multilevel"/>
    <w:tmpl w:val="E43A772E"/>
    <w:lvl w:ilvl="0" w:tentative="0">
      <w:start w:val="2"/>
      <w:numFmt w:val="decimal"/>
      <w:lvlText w:val="%1"/>
      <w:lvlJc w:val="left"/>
      <w:pPr>
        <w:ind w:left="388" w:hanging="660"/>
        <w:jc w:val="left"/>
      </w:pPr>
      <w:rPr>
        <w:rFonts w:hint="default"/>
        <w:lang w:val="zh-CN" w:eastAsia="zh-CN" w:bidi="zh-CN"/>
      </w:rPr>
    </w:lvl>
    <w:lvl w:ilvl="1" w:tentative="0">
      <w:start w:val="8"/>
      <w:numFmt w:val="decimal"/>
      <w:lvlText w:val="%1.%2"/>
      <w:lvlJc w:val="left"/>
      <w:pPr>
        <w:ind w:left="388" w:hanging="660"/>
        <w:jc w:val="left"/>
      </w:pPr>
      <w:rPr>
        <w:rFonts w:hint="default"/>
        <w:lang w:val="zh-CN" w:eastAsia="zh-CN" w:bidi="zh-CN"/>
      </w:rPr>
    </w:lvl>
    <w:lvl w:ilvl="2" w:tentative="0">
      <w:start w:val="3"/>
      <w:numFmt w:val="decimal"/>
      <w:lvlText w:val="%1.%2.%3"/>
      <w:lvlJc w:val="left"/>
      <w:pPr>
        <w:ind w:left="388" w:hanging="66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430" w:hanging="660"/>
      </w:pPr>
      <w:rPr>
        <w:rFonts w:hint="default"/>
        <w:lang w:val="zh-CN" w:eastAsia="zh-CN" w:bidi="zh-CN"/>
      </w:rPr>
    </w:lvl>
    <w:lvl w:ilvl="4" w:tentative="0">
      <w:start w:val="0"/>
      <w:numFmt w:val="bullet"/>
      <w:lvlText w:val="•"/>
      <w:lvlJc w:val="left"/>
      <w:pPr>
        <w:ind w:left="4446" w:hanging="660"/>
      </w:pPr>
      <w:rPr>
        <w:rFonts w:hint="default"/>
        <w:lang w:val="zh-CN" w:eastAsia="zh-CN" w:bidi="zh-CN"/>
      </w:rPr>
    </w:lvl>
    <w:lvl w:ilvl="5" w:tentative="0">
      <w:start w:val="0"/>
      <w:numFmt w:val="bullet"/>
      <w:lvlText w:val="•"/>
      <w:lvlJc w:val="left"/>
      <w:pPr>
        <w:ind w:left="5463" w:hanging="660"/>
      </w:pPr>
      <w:rPr>
        <w:rFonts w:hint="default"/>
        <w:lang w:val="zh-CN" w:eastAsia="zh-CN" w:bidi="zh-CN"/>
      </w:rPr>
    </w:lvl>
    <w:lvl w:ilvl="6" w:tentative="0">
      <w:start w:val="0"/>
      <w:numFmt w:val="bullet"/>
      <w:lvlText w:val="•"/>
      <w:lvlJc w:val="left"/>
      <w:pPr>
        <w:ind w:left="6480" w:hanging="660"/>
      </w:pPr>
      <w:rPr>
        <w:rFonts w:hint="default"/>
        <w:lang w:val="zh-CN" w:eastAsia="zh-CN" w:bidi="zh-CN"/>
      </w:rPr>
    </w:lvl>
    <w:lvl w:ilvl="7" w:tentative="0">
      <w:start w:val="0"/>
      <w:numFmt w:val="bullet"/>
      <w:lvlText w:val="•"/>
      <w:lvlJc w:val="left"/>
      <w:pPr>
        <w:ind w:left="7496" w:hanging="660"/>
      </w:pPr>
      <w:rPr>
        <w:rFonts w:hint="default"/>
        <w:lang w:val="zh-CN" w:eastAsia="zh-CN" w:bidi="zh-CN"/>
      </w:rPr>
    </w:lvl>
    <w:lvl w:ilvl="8" w:tentative="0">
      <w:start w:val="0"/>
      <w:numFmt w:val="bullet"/>
      <w:lvlText w:val="•"/>
      <w:lvlJc w:val="left"/>
      <w:pPr>
        <w:ind w:left="8513" w:hanging="660"/>
      </w:pPr>
      <w:rPr>
        <w:rFonts w:hint="default"/>
        <w:lang w:val="zh-CN" w:eastAsia="zh-CN" w:bidi="zh-CN"/>
      </w:rPr>
    </w:lvl>
  </w:abstractNum>
  <w:abstractNum w:abstractNumId="47">
    <w:nsid w:val="E504947C"/>
    <w:multiLevelType w:val="multilevel"/>
    <w:tmpl w:val="E504947C"/>
    <w:lvl w:ilvl="0" w:tentative="0">
      <w:start w:val="1"/>
      <w:numFmt w:val="decimal"/>
      <w:lvlText w:val="（%1）"/>
      <w:lvlJc w:val="left"/>
      <w:pPr>
        <w:ind w:left="388" w:hanging="601"/>
        <w:jc w:val="left"/>
      </w:pPr>
      <w:rPr>
        <w:rFonts w:hint="default" w:ascii="宋体" w:hAnsi="宋体" w:eastAsia="宋体" w:cs="宋体"/>
        <w:spacing w:val="-8"/>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48">
    <w:nsid w:val="E52D9448"/>
    <w:multiLevelType w:val="multilevel"/>
    <w:tmpl w:val="E52D9448"/>
    <w:lvl w:ilvl="0" w:tentative="0">
      <w:start w:val="1"/>
      <w:numFmt w:val="decimal"/>
      <w:lvlText w:val="%1."/>
      <w:lvlJc w:val="left"/>
      <w:pPr>
        <w:ind w:left="388" w:hanging="361"/>
        <w:jc w:val="left"/>
      </w:pPr>
      <w:rPr>
        <w:rFonts w:hint="default" w:ascii="宋体" w:hAnsi="宋体" w:eastAsia="宋体" w:cs="宋体"/>
        <w:spacing w:val="-8"/>
        <w:w w:val="100"/>
        <w:sz w:val="22"/>
        <w:szCs w:val="22"/>
        <w:lang w:val="zh-CN" w:eastAsia="zh-CN" w:bidi="zh-CN"/>
      </w:rPr>
    </w:lvl>
    <w:lvl w:ilvl="1" w:tentative="0">
      <w:start w:val="0"/>
      <w:numFmt w:val="bullet"/>
      <w:lvlText w:val="•"/>
      <w:lvlJc w:val="left"/>
      <w:pPr>
        <w:ind w:left="1396" w:hanging="361"/>
      </w:pPr>
      <w:rPr>
        <w:rFonts w:hint="default"/>
        <w:lang w:val="zh-CN" w:eastAsia="zh-CN" w:bidi="zh-CN"/>
      </w:rPr>
    </w:lvl>
    <w:lvl w:ilvl="2" w:tentative="0">
      <w:start w:val="0"/>
      <w:numFmt w:val="bullet"/>
      <w:lvlText w:val="•"/>
      <w:lvlJc w:val="left"/>
      <w:pPr>
        <w:ind w:left="2413" w:hanging="361"/>
      </w:pPr>
      <w:rPr>
        <w:rFonts w:hint="default"/>
        <w:lang w:val="zh-CN" w:eastAsia="zh-CN" w:bidi="zh-CN"/>
      </w:rPr>
    </w:lvl>
    <w:lvl w:ilvl="3" w:tentative="0">
      <w:start w:val="0"/>
      <w:numFmt w:val="bullet"/>
      <w:lvlText w:val="•"/>
      <w:lvlJc w:val="left"/>
      <w:pPr>
        <w:ind w:left="3430" w:hanging="361"/>
      </w:pPr>
      <w:rPr>
        <w:rFonts w:hint="default"/>
        <w:lang w:val="zh-CN" w:eastAsia="zh-CN" w:bidi="zh-CN"/>
      </w:rPr>
    </w:lvl>
    <w:lvl w:ilvl="4" w:tentative="0">
      <w:start w:val="0"/>
      <w:numFmt w:val="bullet"/>
      <w:lvlText w:val="•"/>
      <w:lvlJc w:val="left"/>
      <w:pPr>
        <w:ind w:left="4446" w:hanging="361"/>
      </w:pPr>
      <w:rPr>
        <w:rFonts w:hint="default"/>
        <w:lang w:val="zh-CN" w:eastAsia="zh-CN" w:bidi="zh-CN"/>
      </w:rPr>
    </w:lvl>
    <w:lvl w:ilvl="5" w:tentative="0">
      <w:start w:val="0"/>
      <w:numFmt w:val="bullet"/>
      <w:lvlText w:val="•"/>
      <w:lvlJc w:val="left"/>
      <w:pPr>
        <w:ind w:left="5463" w:hanging="361"/>
      </w:pPr>
      <w:rPr>
        <w:rFonts w:hint="default"/>
        <w:lang w:val="zh-CN" w:eastAsia="zh-CN" w:bidi="zh-CN"/>
      </w:rPr>
    </w:lvl>
    <w:lvl w:ilvl="6" w:tentative="0">
      <w:start w:val="0"/>
      <w:numFmt w:val="bullet"/>
      <w:lvlText w:val="•"/>
      <w:lvlJc w:val="left"/>
      <w:pPr>
        <w:ind w:left="6480" w:hanging="361"/>
      </w:pPr>
      <w:rPr>
        <w:rFonts w:hint="default"/>
        <w:lang w:val="zh-CN" w:eastAsia="zh-CN" w:bidi="zh-CN"/>
      </w:rPr>
    </w:lvl>
    <w:lvl w:ilvl="7" w:tentative="0">
      <w:start w:val="0"/>
      <w:numFmt w:val="bullet"/>
      <w:lvlText w:val="•"/>
      <w:lvlJc w:val="left"/>
      <w:pPr>
        <w:ind w:left="7496" w:hanging="361"/>
      </w:pPr>
      <w:rPr>
        <w:rFonts w:hint="default"/>
        <w:lang w:val="zh-CN" w:eastAsia="zh-CN" w:bidi="zh-CN"/>
      </w:rPr>
    </w:lvl>
    <w:lvl w:ilvl="8" w:tentative="0">
      <w:start w:val="0"/>
      <w:numFmt w:val="bullet"/>
      <w:lvlText w:val="•"/>
      <w:lvlJc w:val="left"/>
      <w:pPr>
        <w:ind w:left="8513" w:hanging="361"/>
      </w:pPr>
      <w:rPr>
        <w:rFonts w:hint="default"/>
        <w:lang w:val="zh-CN" w:eastAsia="zh-CN" w:bidi="zh-CN"/>
      </w:rPr>
    </w:lvl>
  </w:abstractNum>
  <w:abstractNum w:abstractNumId="49">
    <w:nsid w:val="E7B27C5B"/>
    <w:multiLevelType w:val="multilevel"/>
    <w:tmpl w:val="E7B27C5B"/>
    <w:lvl w:ilvl="0" w:tentative="0">
      <w:start w:val="1"/>
      <w:numFmt w:val="decimal"/>
      <w:lvlText w:val="（%1）"/>
      <w:lvlJc w:val="left"/>
      <w:pPr>
        <w:ind w:left="388" w:hanging="601"/>
        <w:jc w:val="left"/>
      </w:pPr>
      <w:rPr>
        <w:rFonts w:hint="default" w:ascii="宋体" w:hAnsi="宋体" w:eastAsia="宋体" w:cs="宋体"/>
        <w:spacing w:val="-36"/>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50">
    <w:nsid w:val="F0E89278"/>
    <w:multiLevelType w:val="multilevel"/>
    <w:tmpl w:val="F0E89278"/>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51">
    <w:nsid w:val="F3A33954"/>
    <w:multiLevelType w:val="multilevel"/>
    <w:tmpl w:val="F3A33954"/>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52">
    <w:nsid w:val="F4A942FE"/>
    <w:multiLevelType w:val="multilevel"/>
    <w:tmpl w:val="F4A942FE"/>
    <w:lvl w:ilvl="0" w:tentative="0">
      <w:start w:val="10"/>
      <w:numFmt w:val="decimal"/>
      <w:lvlText w:val="%1"/>
      <w:lvlJc w:val="left"/>
      <w:pPr>
        <w:ind w:left="1412" w:hanging="600"/>
        <w:jc w:val="left"/>
      </w:pPr>
      <w:rPr>
        <w:rFonts w:hint="default"/>
        <w:lang w:val="zh-CN" w:eastAsia="zh-CN" w:bidi="zh-CN"/>
      </w:rPr>
    </w:lvl>
    <w:lvl w:ilvl="1" w:tentative="0">
      <w:start w:val="4"/>
      <w:numFmt w:val="decimal"/>
      <w:lvlText w:val="%1.%2"/>
      <w:lvlJc w:val="left"/>
      <w:pPr>
        <w:ind w:left="1412" w:hanging="60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812" w:hanging="840"/>
        <w:jc w:val="left"/>
      </w:pPr>
      <w:rPr>
        <w:rFonts w:hint="default" w:ascii="宋体" w:hAnsi="宋体" w:eastAsia="宋体" w:cs="宋体"/>
        <w:spacing w:val="-17"/>
        <w:w w:val="100"/>
        <w:sz w:val="24"/>
        <w:szCs w:val="24"/>
        <w:lang w:val="zh-CN" w:eastAsia="zh-CN" w:bidi="zh-CN"/>
      </w:rPr>
    </w:lvl>
    <w:lvl w:ilvl="3" w:tentative="0">
      <w:start w:val="0"/>
      <w:numFmt w:val="bullet"/>
      <w:lvlText w:val="•"/>
      <w:lvlJc w:val="left"/>
      <w:pPr>
        <w:ind w:left="3448" w:hanging="840"/>
      </w:pPr>
      <w:rPr>
        <w:rFonts w:hint="default"/>
        <w:lang w:val="zh-CN" w:eastAsia="zh-CN" w:bidi="zh-CN"/>
      </w:rPr>
    </w:lvl>
    <w:lvl w:ilvl="4" w:tentative="0">
      <w:start w:val="0"/>
      <w:numFmt w:val="bullet"/>
      <w:lvlText w:val="•"/>
      <w:lvlJc w:val="left"/>
      <w:pPr>
        <w:ind w:left="4462" w:hanging="840"/>
      </w:pPr>
      <w:rPr>
        <w:rFonts w:hint="default"/>
        <w:lang w:val="zh-CN" w:eastAsia="zh-CN" w:bidi="zh-CN"/>
      </w:rPr>
    </w:lvl>
    <w:lvl w:ilvl="5" w:tentative="0">
      <w:start w:val="0"/>
      <w:numFmt w:val="bullet"/>
      <w:lvlText w:val="•"/>
      <w:lvlJc w:val="left"/>
      <w:pPr>
        <w:ind w:left="5476" w:hanging="840"/>
      </w:pPr>
      <w:rPr>
        <w:rFonts w:hint="default"/>
        <w:lang w:val="zh-CN" w:eastAsia="zh-CN" w:bidi="zh-CN"/>
      </w:rPr>
    </w:lvl>
    <w:lvl w:ilvl="6" w:tentative="0">
      <w:start w:val="0"/>
      <w:numFmt w:val="bullet"/>
      <w:lvlText w:val="•"/>
      <w:lvlJc w:val="left"/>
      <w:pPr>
        <w:ind w:left="6490" w:hanging="840"/>
      </w:pPr>
      <w:rPr>
        <w:rFonts w:hint="default"/>
        <w:lang w:val="zh-CN" w:eastAsia="zh-CN" w:bidi="zh-CN"/>
      </w:rPr>
    </w:lvl>
    <w:lvl w:ilvl="7" w:tentative="0">
      <w:start w:val="0"/>
      <w:numFmt w:val="bullet"/>
      <w:lvlText w:val="•"/>
      <w:lvlJc w:val="left"/>
      <w:pPr>
        <w:ind w:left="7504" w:hanging="840"/>
      </w:pPr>
      <w:rPr>
        <w:rFonts w:hint="default"/>
        <w:lang w:val="zh-CN" w:eastAsia="zh-CN" w:bidi="zh-CN"/>
      </w:rPr>
    </w:lvl>
    <w:lvl w:ilvl="8" w:tentative="0">
      <w:start w:val="0"/>
      <w:numFmt w:val="bullet"/>
      <w:lvlText w:val="•"/>
      <w:lvlJc w:val="left"/>
      <w:pPr>
        <w:ind w:left="8518" w:hanging="840"/>
      </w:pPr>
      <w:rPr>
        <w:rFonts w:hint="default"/>
        <w:lang w:val="zh-CN" w:eastAsia="zh-CN" w:bidi="zh-CN"/>
      </w:rPr>
    </w:lvl>
  </w:abstractNum>
  <w:abstractNum w:abstractNumId="53">
    <w:nsid w:val="F4B5D9F5"/>
    <w:multiLevelType w:val="multilevel"/>
    <w:tmpl w:val="F4B5D9F5"/>
    <w:lvl w:ilvl="0" w:tentative="0">
      <w:start w:val="1"/>
      <w:numFmt w:val="decimal"/>
      <w:lvlText w:val="（%1）"/>
      <w:lvlJc w:val="left"/>
      <w:pPr>
        <w:ind w:left="388" w:hanging="601"/>
        <w:jc w:val="left"/>
      </w:pPr>
      <w:rPr>
        <w:rFonts w:hint="default" w:ascii="宋体" w:hAnsi="宋体" w:eastAsia="宋体" w:cs="宋体"/>
        <w:spacing w:val="-8"/>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54">
    <w:nsid w:val="F585BF25"/>
    <w:multiLevelType w:val="multilevel"/>
    <w:tmpl w:val="F585BF25"/>
    <w:lvl w:ilvl="0" w:tentative="0">
      <w:start w:val="1"/>
      <w:numFmt w:val="decimal"/>
      <w:lvlText w:val="%1"/>
      <w:lvlJc w:val="left"/>
      <w:pPr>
        <w:ind w:left="1768" w:hanging="900"/>
        <w:jc w:val="left"/>
      </w:pPr>
      <w:rPr>
        <w:rFonts w:hint="default"/>
        <w:lang w:val="zh-CN" w:eastAsia="zh-CN" w:bidi="zh-CN"/>
      </w:rPr>
    </w:lvl>
    <w:lvl w:ilvl="1" w:tentative="0">
      <w:start w:val="1"/>
      <w:numFmt w:val="decimal"/>
      <w:lvlText w:val="%1.%2"/>
      <w:lvlJc w:val="left"/>
      <w:pPr>
        <w:ind w:left="1768" w:hanging="900"/>
        <w:jc w:val="left"/>
      </w:pPr>
      <w:rPr>
        <w:rFonts w:hint="default"/>
        <w:lang w:val="zh-CN" w:eastAsia="zh-CN" w:bidi="zh-CN"/>
      </w:rPr>
    </w:lvl>
    <w:lvl w:ilvl="2" w:tentative="0">
      <w:start w:val="2"/>
      <w:numFmt w:val="decimal"/>
      <w:lvlText w:val="%1.%2.%3"/>
      <w:lvlJc w:val="left"/>
      <w:pPr>
        <w:ind w:left="1768" w:hanging="900"/>
        <w:jc w:val="left"/>
      </w:pPr>
      <w:rPr>
        <w:rFonts w:hint="default"/>
        <w:lang w:val="zh-CN" w:eastAsia="zh-CN" w:bidi="zh-CN"/>
      </w:rPr>
    </w:lvl>
    <w:lvl w:ilvl="3" w:tentative="0">
      <w:start w:val="4"/>
      <w:numFmt w:val="decimal"/>
      <w:lvlText w:val="%1.%2.%3.%4"/>
      <w:lvlJc w:val="left"/>
      <w:pPr>
        <w:ind w:left="1768" w:hanging="900"/>
        <w:jc w:val="left"/>
      </w:pPr>
      <w:rPr>
        <w:rFonts w:hint="default" w:ascii="宋体" w:hAnsi="宋体" w:eastAsia="宋体" w:cs="宋体"/>
        <w:w w:val="100"/>
        <w:sz w:val="24"/>
        <w:szCs w:val="24"/>
        <w:lang w:val="zh-CN" w:eastAsia="zh-CN" w:bidi="zh-CN"/>
      </w:rPr>
    </w:lvl>
    <w:lvl w:ilvl="4" w:tentative="0">
      <w:start w:val="0"/>
      <w:numFmt w:val="bullet"/>
      <w:lvlText w:val="•"/>
      <w:lvlJc w:val="left"/>
      <w:pPr>
        <w:ind w:left="5274" w:hanging="900"/>
      </w:pPr>
      <w:rPr>
        <w:rFonts w:hint="default"/>
        <w:lang w:val="zh-CN" w:eastAsia="zh-CN" w:bidi="zh-CN"/>
      </w:rPr>
    </w:lvl>
    <w:lvl w:ilvl="5" w:tentative="0">
      <w:start w:val="0"/>
      <w:numFmt w:val="bullet"/>
      <w:lvlText w:val="•"/>
      <w:lvlJc w:val="left"/>
      <w:pPr>
        <w:ind w:left="6153" w:hanging="900"/>
      </w:pPr>
      <w:rPr>
        <w:rFonts w:hint="default"/>
        <w:lang w:val="zh-CN" w:eastAsia="zh-CN" w:bidi="zh-CN"/>
      </w:rPr>
    </w:lvl>
    <w:lvl w:ilvl="6" w:tentative="0">
      <w:start w:val="0"/>
      <w:numFmt w:val="bullet"/>
      <w:lvlText w:val="•"/>
      <w:lvlJc w:val="left"/>
      <w:pPr>
        <w:ind w:left="7032" w:hanging="900"/>
      </w:pPr>
      <w:rPr>
        <w:rFonts w:hint="default"/>
        <w:lang w:val="zh-CN" w:eastAsia="zh-CN" w:bidi="zh-CN"/>
      </w:rPr>
    </w:lvl>
    <w:lvl w:ilvl="7" w:tentative="0">
      <w:start w:val="0"/>
      <w:numFmt w:val="bullet"/>
      <w:lvlText w:val="•"/>
      <w:lvlJc w:val="left"/>
      <w:pPr>
        <w:ind w:left="7910" w:hanging="900"/>
      </w:pPr>
      <w:rPr>
        <w:rFonts w:hint="default"/>
        <w:lang w:val="zh-CN" w:eastAsia="zh-CN" w:bidi="zh-CN"/>
      </w:rPr>
    </w:lvl>
    <w:lvl w:ilvl="8" w:tentative="0">
      <w:start w:val="0"/>
      <w:numFmt w:val="bullet"/>
      <w:lvlText w:val="•"/>
      <w:lvlJc w:val="left"/>
      <w:pPr>
        <w:ind w:left="8789" w:hanging="900"/>
      </w:pPr>
      <w:rPr>
        <w:rFonts w:hint="default"/>
        <w:lang w:val="zh-CN" w:eastAsia="zh-CN" w:bidi="zh-CN"/>
      </w:rPr>
    </w:lvl>
  </w:abstractNum>
  <w:abstractNum w:abstractNumId="55">
    <w:nsid w:val="F689643B"/>
    <w:multiLevelType w:val="multilevel"/>
    <w:tmpl w:val="F689643B"/>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56">
    <w:nsid w:val="F7735DC9"/>
    <w:multiLevelType w:val="multilevel"/>
    <w:tmpl w:val="F7735DC9"/>
    <w:lvl w:ilvl="0" w:tentative="0">
      <w:start w:val="9"/>
      <w:numFmt w:val="decimal"/>
      <w:lvlText w:val="%1."/>
      <w:lvlJc w:val="left"/>
      <w:pPr>
        <w:ind w:left="1172" w:hanging="360"/>
        <w:jc w:val="right"/>
      </w:pPr>
      <w:rPr>
        <w:rFonts w:hint="default"/>
        <w:w w:val="100"/>
        <w:lang w:val="zh-CN" w:eastAsia="zh-CN" w:bidi="zh-CN"/>
      </w:rPr>
    </w:lvl>
    <w:lvl w:ilvl="1" w:tentative="0">
      <w:start w:val="0"/>
      <w:numFmt w:val="bullet"/>
      <w:lvlText w:val="•"/>
      <w:lvlJc w:val="left"/>
      <w:pPr>
        <w:ind w:left="2116" w:hanging="360"/>
      </w:pPr>
      <w:rPr>
        <w:rFonts w:hint="default"/>
        <w:lang w:val="zh-CN" w:eastAsia="zh-CN" w:bidi="zh-CN"/>
      </w:rPr>
    </w:lvl>
    <w:lvl w:ilvl="2" w:tentative="0">
      <w:start w:val="0"/>
      <w:numFmt w:val="bullet"/>
      <w:lvlText w:val="•"/>
      <w:lvlJc w:val="left"/>
      <w:pPr>
        <w:ind w:left="3053" w:hanging="360"/>
      </w:pPr>
      <w:rPr>
        <w:rFonts w:hint="default"/>
        <w:lang w:val="zh-CN" w:eastAsia="zh-CN" w:bidi="zh-CN"/>
      </w:rPr>
    </w:lvl>
    <w:lvl w:ilvl="3" w:tentative="0">
      <w:start w:val="0"/>
      <w:numFmt w:val="bullet"/>
      <w:lvlText w:val="•"/>
      <w:lvlJc w:val="left"/>
      <w:pPr>
        <w:ind w:left="3990" w:hanging="360"/>
      </w:pPr>
      <w:rPr>
        <w:rFonts w:hint="default"/>
        <w:lang w:val="zh-CN" w:eastAsia="zh-CN" w:bidi="zh-CN"/>
      </w:rPr>
    </w:lvl>
    <w:lvl w:ilvl="4" w:tentative="0">
      <w:start w:val="0"/>
      <w:numFmt w:val="bullet"/>
      <w:lvlText w:val="•"/>
      <w:lvlJc w:val="left"/>
      <w:pPr>
        <w:ind w:left="4926" w:hanging="360"/>
      </w:pPr>
      <w:rPr>
        <w:rFonts w:hint="default"/>
        <w:lang w:val="zh-CN" w:eastAsia="zh-CN" w:bidi="zh-CN"/>
      </w:rPr>
    </w:lvl>
    <w:lvl w:ilvl="5" w:tentative="0">
      <w:start w:val="0"/>
      <w:numFmt w:val="bullet"/>
      <w:lvlText w:val="•"/>
      <w:lvlJc w:val="left"/>
      <w:pPr>
        <w:ind w:left="5863" w:hanging="360"/>
      </w:pPr>
      <w:rPr>
        <w:rFonts w:hint="default"/>
        <w:lang w:val="zh-CN" w:eastAsia="zh-CN" w:bidi="zh-CN"/>
      </w:rPr>
    </w:lvl>
    <w:lvl w:ilvl="6" w:tentative="0">
      <w:start w:val="0"/>
      <w:numFmt w:val="bullet"/>
      <w:lvlText w:val="•"/>
      <w:lvlJc w:val="left"/>
      <w:pPr>
        <w:ind w:left="6800" w:hanging="360"/>
      </w:pPr>
      <w:rPr>
        <w:rFonts w:hint="default"/>
        <w:lang w:val="zh-CN" w:eastAsia="zh-CN" w:bidi="zh-CN"/>
      </w:rPr>
    </w:lvl>
    <w:lvl w:ilvl="7" w:tentative="0">
      <w:start w:val="0"/>
      <w:numFmt w:val="bullet"/>
      <w:lvlText w:val="•"/>
      <w:lvlJc w:val="left"/>
      <w:pPr>
        <w:ind w:left="7736" w:hanging="360"/>
      </w:pPr>
      <w:rPr>
        <w:rFonts w:hint="default"/>
        <w:lang w:val="zh-CN" w:eastAsia="zh-CN" w:bidi="zh-CN"/>
      </w:rPr>
    </w:lvl>
    <w:lvl w:ilvl="8" w:tentative="0">
      <w:start w:val="0"/>
      <w:numFmt w:val="bullet"/>
      <w:lvlText w:val="•"/>
      <w:lvlJc w:val="left"/>
      <w:pPr>
        <w:ind w:left="8673" w:hanging="360"/>
      </w:pPr>
      <w:rPr>
        <w:rFonts w:hint="default"/>
        <w:lang w:val="zh-CN" w:eastAsia="zh-CN" w:bidi="zh-CN"/>
      </w:rPr>
    </w:lvl>
  </w:abstractNum>
  <w:abstractNum w:abstractNumId="57">
    <w:nsid w:val="FEC2EA36"/>
    <w:multiLevelType w:val="multilevel"/>
    <w:tmpl w:val="FEC2EA36"/>
    <w:lvl w:ilvl="0" w:tentative="0">
      <w:start w:val="1"/>
      <w:numFmt w:val="decimal"/>
      <w:lvlText w:val="（%1）"/>
      <w:lvlJc w:val="left"/>
      <w:pPr>
        <w:ind w:left="388" w:hanging="601"/>
        <w:jc w:val="left"/>
      </w:pPr>
      <w:rPr>
        <w:rFonts w:hint="default" w:ascii="宋体" w:hAnsi="宋体" w:eastAsia="宋体" w:cs="宋体"/>
        <w:spacing w:val="-8"/>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58">
    <w:nsid w:val="01836A6D"/>
    <w:multiLevelType w:val="multilevel"/>
    <w:tmpl w:val="01836A6D"/>
    <w:lvl w:ilvl="0" w:tentative="0">
      <w:start w:val="6"/>
      <w:numFmt w:val="decimal"/>
      <w:lvlText w:val="%1"/>
      <w:lvlJc w:val="left"/>
      <w:pPr>
        <w:ind w:left="1532" w:hanging="720"/>
        <w:jc w:val="left"/>
      </w:pPr>
      <w:rPr>
        <w:rFonts w:hint="default"/>
        <w:lang w:val="zh-CN" w:eastAsia="zh-CN" w:bidi="zh-CN"/>
      </w:rPr>
    </w:lvl>
    <w:lvl w:ilvl="1" w:tentative="0">
      <w:start w:val="1"/>
      <w:numFmt w:val="decimal"/>
      <w:lvlText w:val="%1.%2"/>
      <w:lvlJc w:val="left"/>
      <w:pPr>
        <w:ind w:left="1532" w:hanging="720"/>
        <w:jc w:val="left"/>
      </w:pPr>
      <w:rPr>
        <w:rFonts w:hint="default"/>
        <w:lang w:val="zh-CN" w:eastAsia="zh-CN" w:bidi="zh-CN"/>
      </w:rPr>
    </w:lvl>
    <w:lvl w:ilvl="2" w:tentative="0">
      <w:start w:val="4"/>
      <w:numFmt w:val="decimal"/>
      <w:lvlText w:val="%1.%2.%3"/>
      <w:lvlJc w:val="left"/>
      <w:pPr>
        <w:ind w:left="1532" w:hanging="72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4242" w:hanging="720"/>
      </w:pPr>
      <w:rPr>
        <w:rFonts w:hint="default"/>
        <w:lang w:val="zh-CN" w:eastAsia="zh-CN" w:bidi="zh-CN"/>
      </w:rPr>
    </w:lvl>
    <w:lvl w:ilvl="4" w:tentative="0">
      <w:start w:val="0"/>
      <w:numFmt w:val="bullet"/>
      <w:lvlText w:val="•"/>
      <w:lvlJc w:val="left"/>
      <w:pPr>
        <w:ind w:left="5142" w:hanging="720"/>
      </w:pPr>
      <w:rPr>
        <w:rFonts w:hint="default"/>
        <w:lang w:val="zh-CN" w:eastAsia="zh-CN" w:bidi="zh-CN"/>
      </w:rPr>
    </w:lvl>
    <w:lvl w:ilvl="5" w:tentative="0">
      <w:start w:val="0"/>
      <w:numFmt w:val="bullet"/>
      <w:lvlText w:val="•"/>
      <w:lvlJc w:val="left"/>
      <w:pPr>
        <w:ind w:left="6043" w:hanging="720"/>
      </w:pPr>
      <w:rPr>
        <w:rFonts w:hint="default"/>
        <w:lang w:val="zh-CN" w:eastAsia="zh-CN" w:bidi="zh-CN"/>
      </w:rPr>
    </w:lvl>
    <w:lvl w:ilvl="6" w:tentative="0">
      <w:start w:val="0"/>
      <w:numFmt w:val="bullet"/>
      <w:lvlText w:val="•"/>
      <w:lvlJc w:val="left"/>
      <w:pPr>
        <w:ind w:left="6944" w:hanging="720"/>
      </w:pPr>
      <w:rPr>
        <w:rFonts w:hint="default"/>
        <w:lang w:val="zh-CN" w:eastAsia="zh-CN" w:bidi="zh-CN"/>
      </w:rPr>
    </w:lvl>
    <w:lvl w:ilvl="7" w:tentative="0">
      <w:start w:val="0"/>
      <w:numFmt w:val="bullet"/>
      <w:lvlText w:val="•"/>
      <w:lvlJc w:val="left"/>
      <w:pPr>
        <w:ind w:left="7844" w:hanging="720"/>
      </w:pPr>
      <w:rPr>
        <w:rFonts w:hint="default"/>
        <w:lang w:val="zh-CN" w:eastAsia="zh-CN" w:bidi="zh-CN"/>
      </w:rPr>
    </w:lvl>
    <w:lvl w:ilvl="8" w:tentative="0">
      <w:start w:val="0"/>
      <w:numFmt w:val="bullet"/>
      <w:lvlText w:val="•"/>
      <w:lvlJc w:val="left"/>
      <w:pPr>
        <w:ind w:left="8745" w:hanging="720"/>
      </w:pPr>
      <w:rPr>
        <w:rFonts w:hint="default"/>
        <w:lang w:val="zh-CN" w:eastAsia="zh-CN" w:bidi="zh-CN"/>
      </w:rPr>
    </w:lvl>
  </w:abstractNum>
  <w:abstractNum w:abstractNumId="59">
    <w:nsid w:val="0248C179"/>
    <w:multiLevelType w:val="multilevel"/>
    <w:tmpl w:val="0248C179"/>
    <w:lvl w:ilvl="0" w:tentative="0">
      <w:start w:val="2"/>
      <w:numFmt w:val="decimal"/>
      <w:lvlText w:val="%1）"/>
      <w:lvlJc w:val="left"/>
      <w:pPr>
        <w:ind w:left="5" w:hanging="36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775" w:hanging="361"/>
      </w:pPr>
      <w:rPr>
        <w:rFonts w:hint="default"/>
        <w:lang w:val="zh-CN" w:eastAsia="zh-CN" w:bidi="zh-CN"/>
      </w:rPr>
    </w:lvl>
    <w:lvl w:ilvl="2" w:tentative="0">
      <w:start w:val="0"/>
      <w:numFmt w:val="bullet"/>
      <w:lvlText w:val="•"/>
      <w:lvlJc w:val="left"/>
      <w:pPr>
        <w:ind w:left="1551" w:hanging="361"/>
      </w:pPr>
      <w:rPr>
        <w:rFonts w:hint="default"/>
        <w:lang w:val="zh-CN" w:eastAsia="zh-CN" w:bidi="zh-CN"/>
      </w:rPr>
    </w:lvl>
    <w:lvl w:ilvl="3" w:tentative="0">
      <w:start w:val="0"/>
      <w:numFmt w:val="bullet"/>
      <w:lvlText w:val="•"/>
      <w:lvlJc w:val="left"/>
      <w:pPr>
        <w:ind w:left="2327" w:hanging="361"/>
      </w:pPr>
      <w:rPr>
        <w:rFonts w:hint="default"/>
        <w:lang w:val="zh-CN" w:eastAsia="zh-CN" w:bidi="zh-CN"/>
      </w:rPr>
    </w:lvl>
    <w:lvl w:ilvl="4" w:tentative="0">
      <w:start w:val="0"/>
      <w:numFmt w:val="bullet"/>
      <w:lvlText w:val="•"/>
      <w:lvlJc w:val="left"/>
      <w:pPr>
        <w:ind w:left="3102" w:hanging="361"/>
      </w:pPr>
      <w:rPr>
        <w:rFonts w:hint="default"/>
        <w:lang w:val="zh-CN" w:eastAsia="zh-CN" w:bidi="zh-CN"/>
      </w:rPr>
    </w:lvl>
    <w:lvl w:ilvl="5" w:tentative="0">
      <w:start w:val="0"/>
      <w:numFmt w:val="bullet"/>
      <w:lvlText w:val="•"/>
      <w:lvlJc w:val="left"/>
      <w:pPr>
        <w:ind w:left="3878" w:hanging="361"/>
      </w:pPr>
      <w:rPr>
        <w:rFonts w:hint="default"/>
        <w:lang w:val="zh-CN" w:eastAsia="zh-CN" w:bidi="zh-CN"/>
      </w:rPr>
    </w:lvl>
    <w:lvl w:ilvl="6" w:tentative="0">
      <w:start w:val="0"/>
      <w:numFmt w:val="bullet"/>
      <w:lvlText w:val="•"/>
      <w:lvlJc w:val="left"/>
      <w:pPr>
        <w:ind w:left="4654" w:hanging="361"/>
      </w:pPr>
      <w:rPr>
        <w:rFonts w:hint="default"/>
        <w:lang w:val="zh-CN" w:eastAsia="zh-CN" w:bidi="zh-CN"/>
      </w:rPr>
    </w:lvl>
    <w:lvl w:ilvl="7" w:tentative="0">
      <w:start w:val="0"/>
      <w:numFmt w:val="bullet"/>
      <w:lvlText w:val="•"/>
      <w:lvlJc w:val="left"/>
      <w:pPr>
        <w:ind w:left="5429" w:hanging="361"/>
      </w:pPr>
      <w:rPr>
        <w:rFonts w:hint="default"/>
        <w:lang w:val="zh-CN" w:eastAsia="zh-CN" w:bidi="zh-CN"/>
      </w:rPr>
    </w:lvl>
    <w:lvl w:ilvl="8" w:tentative="0">
      <w:start w:val="0"/>
      <w:numFmt w:val="bullet"/>
      <w:lvlText w:val="•"/>
      <w:lvlJc w:val="left"/>
      <w:pPr>
        <w:ind w:left="6205" w:hanging="361"/>
      </w:pPr>
      <w:rPr>
        <w:rFonts w:hint="default"/>
        <w:lang w:val="zh-CN" w:eastAsia="zh-CN" w:bidi="zh-CN"/>
      </w:rPr>
    </w:lvl>
  </w:abstractNum>
  <w:abstractNum w:abstractNumId="60">
    <w:nsid w:val="03A63A41"/>
    <w:multiLevelType w:val="multilevel"/>
    <w:tmpl w:val="03A63A41"/>
    <w:lvl w:ilvl="0" w:tentative="0">
      <w:start w:val="1"/>
      <w:numFmt w:val="decimal"/>
      <w:lvlText w:val="（%1）"/>
      <w:lvlJc w:val="left"/>
      <w:pPr>
        <w:ind w:left="1413" w:hanging="60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61">
    <w:nsid w:val="03C240C0"/>
    <w:multiLevelType w:val="multilevel"/>
    <w:tmpl w:val="03C240C0"/>
    <w:lvl w:ilvl="0" w:tentative="0">
      <w:start w:val="14"/>
      <w:numFmt w:val="decimal"/>
      <w:lvlText w:val="%1"/>
      <w:lvlJc w:val="left"/>
      <w:pPr>
        <w:ind w:left="1412" w:hanging="600"/>
        <w:jc w:val="left"/>
      </w:pPr>
      <w:rPr>
        <w:rFonts w:hint="default"/>
        <w:lang w:val="zh-CN" w:eastAsia="zh-CN" w:bidi="zh-CN"/>
      </w:rPr>
    </w:lvl>
    <w:lvl w:ilvl="1" w:tentative="0">
      <w:start w:val="4"/>
      <w:numFmt w:val="decimal"/>
      <w:lvlText w:val="%1.%2"/>
      <w:lvlJc w:val="left"/>
      <w:pPr>
        <w:ind w:left="1412" w:hanging="60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652" w:hanging="84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634" w:hanging="840"/>
      </w:pPr>
      <w:rPr>
        <w:rFonts w:hint="default"/>
        <w:lang w:val="zh-CN" w:eastAsia="zh-CN" w:bidi="zh-CN"/>
      </w:rPr>
    </w:lvl>
    <w:lvl w:ilvl="4" w:tentative="0">
      <w:start w:val="0"/>
      <w:numFmt w:val="bullet"/>
      <w:lvlText w:val="•"/>
      <w:lvlJc w:val="left"/>
      <w:pPr>
        <w:ind w:left="4622" w:hanging="840"/>
      </w:pPr>
      <w:rPr>
        <w:rFonts w:hint="default"/>
        <w:lang w:val="zh-CN" w:eastAsia="zh-CN" w:bidi="zh-CN"/>
      </w:rPr>
    </w:lvl>
    <w:lvl w:ilvl="5" w:tentative="0">
      <w:start w:val="0"/>
      <w:numFmt w:val="bullet"/>
      <w:lvlText w:val="•"/>
      <w:lvlJc w:val="left"/>
      <w:pPr>
        <w:ind w:left="5609" w:hanging="840"/>
      </w:pPr>
      <w:rPr>
        <w:rFonts w:hint="default"/>
        <w:lang w:val="zh-CN" w:eastAsia="zh-CN" w:bidi="zh-CN"/>
      </w:rPr>
    </w:lvl>
    <w:lvl w:ilvl="6" w:tentative="0">
      <w:start w:val="0"/>
      <w:numFmt w:val="bullet"/>
      <w:lvlText w:val="•"/>
      <w:lvlJc w:val="left"/>
      <w:pPr>
        <w:ind w:left="6597" w:hanging="840"/>
      </w:pPr>
      <w:rPr>
        <w:rFonts w:hint="default"/>
        <w:lang w:val="zh-CN" w:eastAsia="zh-CN" w:bidi="zh-CN"/>
      </w:rPr>
    </w:lvl>
    <w:lvl w:ilvl="7" w:tentative="0">
      <w:start w:val="0"/>
      <w:numFmt w:val="bullet"/>
      <w:lvlText w:val="•"/>
      <w:lvlJc w:val="left"/>
      <w:pPr>
        <w:ind w:left="7584" w:hanging="840"/>
      </w:pPr>
      <w:rPr>
        <w:rFonts w:hint="default"/>
        <w:lang w:val="zh-CN" w:eastAsia="zh-CN" w:bidi="zh-CN"/>
      </w:rPr>
    </w:lvl>
    <w:lvl w:ilvl="8" w:tentative="0">
      <w:start w:val="0"/>
      <w:numFmt w:val="bullet"/>
      <w:lvlText w:val="•"/>
      <w:lvlJc w:val="left"/>
      <w:pPr>
        <w:ind w:left="8572" w:hanging="840"/>
      </w:pPr>
      <w:rPr>
        <w:rFonts w:hint="default"/>
        <w:lang w:val="zh-CN" w:eastAsia="zh-CN" w:bidi="zh-CN"/>
      </w:rPr>
    </w:lvl>
  </w:abstractNum>
  <w:abstractNum w:abstractNumId="62">
    <w:nsid w:val="0709FD3E"/>
    <w:multiLevelType w:val="multilevel"/>
    <w:tmpl w:val="0709FD3E"/>
    <w:lvl w:ilvl="0" w:tentative="0">
      <w:start w:val="1"/>
      <w:numFmt w:val="decimal"/>
      <w:lvlText w:val="（%1）"/>
      <w:lvlJc w:val="left"/>
      <w:pPr>
        <w:ind w:left="388" w:hanging="601"/>
        <w:jc w:val="left"/>
      </w:pPr>
      <w:rPr>
        <w:rFonts w:hint="default" w:ascii="宋体" w:hAnsi="宋体" w:eastAsia="宋体" w:cs="宋体"/>
        <w:spacing w:val="-5"/>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63">
    <w:nsid w:val="0C0E1E13"/>
    <w:multiLevelType w:val="multilevel"/>
    <w:tmpl w:val="0C0E1E13"/>
    <w:lvl w:ilvl="0" w:tentative="0">
      <w:start w:val="3"/>
      <w:numFmt w:val="decimal"/>
      <w:lvlText w:val="%1"/>
      <w:lvlJc w:val="left"/>
      <w:pPr>
        <w:ind w:left="1232" w:hanging="420"/>
        <w:jc w:val="left"/>
      </w:pPr>
      <w:rPr>
        <w:rFonts w:hint="default"/>
        <w:lang w:val="zh-CN" w:eastAsia="zh-CN" w:bidi="zh-CN"/>
      </w:rPr>
    </w:lvl>
    <w:lvl w:ilvl="1" w:tentative="0">
      <w:start w:val="1"/>
      <w:numFmt w:val="decimal"/>
      <w:lvlText w:val="%1.%2"/>
      <w:lvlJc w:val="left"/>
      <w:pPr>
        <w:ind w:left="1232" w:hanging="42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472" w:hanging="66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2613" w:hanging="660"/>
      </w:pPr>
      <w:rPr>
        <w:rFonts w:hint="default"/>
        <w:lang w:val="zh-CN" w:eastAsia="zh-CN" w:bidi="zh-CN"/>
      </w:rPr>
    </w:lvl>
    <w:lvl w:ilvl="4" w:tentative="0">
      <w:start w:val="0"/>
      <w:numFmt w:val="bullet"/>
      <w:lvlText w:val="•"/>
      <w:lvlJc w:val="left"/>
      <w:pPr>
        <w:ind w:left="3746" w:hanging="660"/>
      </w:pPr>
      <w:rPr>
        <w:rFonts w:hint="default"/>
        <w:lang w:val="zh-CN" w:eastAsia="zh-CN" w:bidi="zh-CN"/>
      </w:rPr>
    </w:lvl>
    <w:lvl w:ilvl="5" w:tentative="0">
      <w:start w:val="0"/>
      <w:numFmt w:val="bullet"/>
      <w:lvlText w:val="•"/>
      <w:lvlJc w:val="left"/>
      <w:pPr>
        <w:ind w:left="4880" w:hanging="660"/>
      </w:pPr>
      <w:rPr>
        <w:rFonts w:hint="default"/>
        <w:lang w:val="zh-CN" w:eastAsia="zh-CN" w:bidi="zh-CN"/>
      </w:rPr>
    </w:lvl>
    <w:lvl w:ilvl="6" w:tentative="0">
      <w:start w:val="0"/>
      <w:numFmt w:val="bullet"/>
      <w:lvlText w:val="•"/>
      <w:lvlJc w:val="left"/>
      <w:pPr>
        <w:ind w:left="6013" w:hanging="660"/>
      </w:pPr>
      <w:rPr>
        <w:rFonts w:hint="default"/>
        <w:lang w:val="zh-CN" w:eastAsia="zh-CN" w:bidi="zh-CN"/>
      </w:rPr>
    </w:lvl>
    <w:lvl w:ilvl="7" w:tentative="0">
      <w:start w:val="0"/>
      <w:numFmt w:val="bullet"/>
      <w:lvlText w:val="•"/>
      <w:lvlJc w:val="left"/>
      <w:pPr>
        <w:ind w:left="7146" w:hanging="660"/>
      </w:pPr>
      <w:rPr>
        <w:rFonts w:hint="default"/>
        <w:lang w:val="zh-CN" w:eastAsia="zh-CN" w:bidi="zh-CN"/>
      </w:rPr>
    </w:lvl>
    <w:lvl w:ilvl="8" w:tentative="0">
      <w:start w:val="0"/>
      <w:numFmt w:val="bullet"/>
      <w:lvlText w:val="•"/>
      <w:lvlJc w:val="left"/>
      <w:pPr>
        <w:ind w:left="8280" w:hanging="660"/>
      </w:pPr>
      <w:rPr>
        <w:rFonts w:hint="default"/>
        <w:lang w:val="zh-CN" w:eastAsia="zh-CN" w:bidi="zh-CN"/>
      </w:rPr>
    </w:lvl>
  </w:abstractNum>
  <w:abstractNum w:abstractNumId="64">
    <w:nsid w:val="0CEF100B"/>
    <w:multiLevelType w:val="multilevel"/>
    <w:tmpl w:val="0CEF100B"/>
    <w:lvl w:ilvl="0" w:tentative="0">
      <w:start w:val="1"/>
      <w:numFmt w:val="decimal"/>
      <w:lvlText w:val="（%1）"/>
      <w:lvlJc w:val="left"/>
      <w:pPr>
        <w:ind w:left="98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936" w:hanging="601"/>
      </w:pPr>
      <w:rPr>
        <w:rFonts w:hint="default"/>
        <w:lang w:val="zh-CN" w:eastAsia="zh-CN" w:bidi="zh-CN"/>
      </w:rPr>
    </w:lvl>
    <w:lvl w:ilvl="2" w:tentative="0">
      <w:start w:val="0"/>
      <w:numFmt w:val="bullet"/>
      <w:lvlText w:val="•"/>
      <w:lvlJc w:val="left"/>
      <w:pPr>
        <w:ind w:left="2893" w:hanging="601"/>
      </w:pPr>
      <w:rPr>
        <w:rFonts w:hint="default"/>
        <w:lang w:val="zh-CN" w:eastAsia="zh-CN" w:bidi="zh-CN"/>
      </w:rPr>
    </w:lvl>
    <w:lvl w:ilvl="3" w:tentative="0">
      <w:start w:val="0"/>
      <w:numFmt w:val="bullet"/>
      <w:lvlText w:val="•"/>
      <w:lvlJc w:val="left"/>
      <w:pPr>
        <w:ind w:left="3850" w:hanging="601"/>
      </w:pPr>
      <w:rPr>
        <w:rFonts w:hint="default"/>
        <w:lang w:val="zh-CN" w:eastAsia="zh-CN" w:bidi="zh-CN"/>
      </w:rPr>
    </w:lvl>
    <w:lvl w:ilvl="4" w:tentative="0">
      <w:start w:val="0"/>
      <w:numFmt w:val="bullet"/>
      <w:lvlText w:val="•"/>
      <w:lvlJc w:val="left"/>
      <w:pPr>
        <w:ind w:left="4806" w:hanging="601"/>
      </w:pPr>
      <w:rPr>
        <w:rFonts w:hint="default"/>
        <w:lang w:val="zh-CN" w:eastAsia="zh-CN" w:bidi="zh-CN"/>
      </w:rPr>
    </w:lvl>
    <w:lvl w:ilvl="5" w:tentative="0">
      <w:start w:val="0"/>
      <w:numFmt w:val="bullet"/>
      <w:lvlText w:val="•"/>
      <w:lvlJc w:val="left"/>
      <w:pPr>
        <w:ind w:left="5763" w:hanging="601"/>
      </w:pPr>
      <w:rPr>
        <w:rFonts w:hint="default"/>
        <w:lang w:val="zh-CN" w:eastAsia="zh-CN" w:bidi="zh-CN"/>
      </w:rPr>
    </w:lvl>
    <w:lvl w:ilvl="6" w:tentative="0">
      <w:start w:val="0"/>
      <w:numFmt w:val="bullet"/>
      <w:lvlText w:val="•"/>
      <w:lvlJc w:val="left"/>
      <w:pPr>
        <w:ind w:left="6720" w:hanging="601"/>
      </w:pPr>
      <w:rPr>
        <w:rFonts w:hint="default"/>
        <w:lang w:val="zh-CN" w:eastAsia="zh-CN" w:bidi="zh-CN"/>
      </w:rPr>
    </w:lvl>
    <w:lvl w:ilvl="7" w:tentative="0">
      <w:start w:val="0"/>
      <w:numFmt w:val="bullet"/>
      <w:lvlText w:val="•"/>
      <w:lvlJc w:val="left"/>
      <w:pPr>
        <w:ind w:left="7676" w:hanging="601"/>
      </w:pPr>
      <w:rPr>
        <w:rFonts w:hint="default"/>
        <w:lang w:val="zh-CN" w:eastAsia="zh-CN" w:bidi="zh-CN"/>
      </w:rPr>
    </w:lvl>
    <w:lvl w:ilvl="8" w:tentative="0">
      <w:start w:val="0"/>
      <w:numFmt w:val="bullet"/>
      <w:lvlText w:val="•"/>
      <w:lvlJc w:val="left"/>
      <w:pPr>
        <w:ind w:left="8633" w:hanging="601"/>
      </w:pPr>
      <w:rPr>
        <w:rFonts w:hint="default"/>
        <w:lang w:val="zh-CN" w:eastAsia="zh-CN" w:bidi="zh-CN"/>
      </w:rPr>
    </w:lvl>
  </w:abstractNum>
  <w:abstractNum w:abstractNumId="65">
    <w:nsid w:val="0DC629B0"/>
    <w:multiLevelType w:val="multilevel"/>
    <w:tmpl w:val="0DC629B0"/>
    <w:lvl w:ilvl="0" w:tentative="0">
      <w:start w:val="6"/>
      <w:numFmt w:val="decimal"/>
      <w:lvlText w:val="(%1)"/>
      <w:lvlJc w:val="left"/>
      <w:pPr>
        <w:ind w:left="1173" w:hanging="36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16" w:hanging="361"/>
      </w:pPr>
      <w:rPr>
        <w:rFonts w:hint="default"/>
        <w:lang w:val="zh-CN" w:eastAsia="zh-CN" w:bidi="zh-CN"/>
      </w:rPr>
    </w:lvl>
    <w:lvl w:ilvl="2" w:tentative="0">
      <w:start w:val="0"/>
      <w:numFmt w:val="bullet"/>
      <w:lvlText w:val="•"/>
      <w:lvlJc w:val="left"/>
      <w:pPr>
        <w:ind w:left="3053" w:hanging="361"/>
      </w:pPr>
      <w:rPr>
        <w:rFonts w:hint="default"/>
        <w:lang w:val="zh-CN" w:eastAsia="zh-CN" w:bidi="zh-CN"/>
      </w:rPr>
    </w:lvl>
    <w:lvl w:ilvl="3" w:tentative="0">
      <w:start w:val="0"/>
      <w:numFmt w:val="bullet"/>
      <w:lvlText w:val="•"/>
      <w:lvlJc w:val="left"/>
      <w:pPr>
        <w:ind w:left="3990" w:hanging="361"/>
      </w:pPr>
      <w:rPr>
        <w:rFonts w:hint="default"/>
        <w:lang w:val="zh-CN" w:eastAsia="zh-CN" w:bidi="zh-CN"/>
      </w:rPr>
    </w:lvl>
    <w:lvl w:ilvl="4" w:tentative="0">
      <w:start w:val="0"/>
      <w:numFmt w:val="bullet"/>
      <w:lvlText w:val="•"/>
      <w:lvlJc w:val="left"/>
      <w:pPr>
        <w:ind w:left="4926" w:hanging="361"/>
      </w:pPr>
      <w:rPr>
        <w:rFonts w:hint="default"/>
        <w:lang w:val="zh-CN" w:eastAsia="zh-CN" w:bidi="zh-CN"/>
      </w:rPr>
    </w:lvl>
    <w:lvl w:ilvl="5" w:tentative="0">
      <w:start w:val="0"/>
      <w:numFmt w:val="bullet"/>
      <w:lvlText w:val="•"/>
      <w:lvlJc w:val="left"/>
      <w:pPr>
        <w:ind w:left="5863" w:hanging="361"/>
      </w:pPr>
      <w:rPr>
        <w:rFonts w:hint="default"/>
        <w:lang w:val="zh-CN" w:eastAsia="zh-CN" w:bidi="zh-CN"/>
      </w:rPr>
    </w:lvl>
    <w:lvl w:ilvl="6" w:tentative="0">
      <w:start w:val="0"/>
      <w:numFmt w:val="bullet"/>
      <w:lvlText w:val="•"/>
      <w:lvlJc w:val="left"/>
      <w:pPr>
        <w:ind w:left="6800" w:hanging="361"/>
      </w:pPr>
      <w:rPr>
        <w:rFonts w:hint="default"/>
        <w:lang w:val="zh-CN" w:eastAsia="zh-CN" w:bidi="zh-CN"/>
      </w:rPr>
    </w:lvl>
    <w:lvl w:ilvl="7" w:tentative="0">
      <w:start w:val="0"/>
      <w:numFmt w:val="bullet"/>
      <w:lvlText w:val="•"/>
      <w:lvlJc w:val="left"/>
      <w:pPr>
        <w:ind w:left="7736" w:hanging="361"/>
      </w:pPr>
      <w:rPr>
        <w:rFonts w:hint="default"/>
        <w:lang w:val="zh-CN" w:eastAsia="zh-CN" w:bidi="zh-CN"/>
      </w:rPr>
    </w:lvl>
    <w:lvl w:ilvl="8" w:tentative="0">
      <w:start w:val="0"/>
      <w:numFmt w:val="bullet"/>
      <w:lvlText w:val="•"/>
      <w:lvlJc w:val="left"/>
      <w:pPr>
        <w:ind w:left="8673" w:hanging="361"/>
      </w:pPr>
      <w:rPr>
        <w:rFonts w:hint="default"/>
        <w:lang w:val="zh-CN" w:eastAsia="zh-CN" w:bidi="zh-CN"/>
      </w:rPr>
    </w:lvl>
  </w:abstractNum>
  <w:abstractNum w:abstractNumId="66">
    <w:nsid w:val="0E640482"/>
    <w:multiLevelType w:val="multilevel"/>
    <w:tmpl w:val="0E640482"/>
    <w:lvl w:ilvl="0" w:tentative="0">
      <w:start w:val="3"/>
      <w:numFmt w:val="decimal"/>
      <w:lvlText w:val="%1"/>
      <w:lvlJc w:val="left"/>
      <w:pPr>
        <w:ind w:left="388" w:hanging="660"/>
        <w:jc w:val="left"/>
      </w:pPr>
      <w:rPr>
        <w:rFonts w:hint="default"/>
        <w:lang w:val="zh-CN" w:eastAsia="zh-CN" w:bidi="zh-CN"/>
      </w:rPr>
    </w:lvl>
    <w:lvl w:ilvl="1" w:tentative="0">
      <w:start w:val="3"/>
      <w:numFmt w:val="decimal"/>
      <w:lvlText w:val="%1.%2"/>
      <w:lvlJc w:val="left"/>
      <w:pPr>
        <w:ind w:left="388" w:hanging="660"/>
        <w:jc w:val="left"/>
      </w:pPr>
      <w:rPr>
        <w:rFonts w:hint="default"/>
        <w:lang w:val="zh-CN" w:eastAsia="zh-CN" w:bidi="zh-CN"/>
      </w:rPr>
    </w:lvl>
    <w:lvl w:ilvl="2" w:tentative="0">
      <w:start w:val="1"/>
      <w:numFmt w:val="decimal"/>
      <w:lvlText w:val="%1.%2.%3"/>
      <w:lvlJc w:val="left"/>
      <w:pPr>
        <w:ind w:left="388" w:hanging="66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430" w:hanging="660"/>
      </w:pPr>
      <w:rPr>
        <w:rFonts w:hint="default"/>
        <w:lang w:val="zh-CN" w:eastAsia="zh-CN" w:bidi="zh-CN"/>
      </w:rPr>
    </w:lvl>
    <w:lvl w:ilvl="4" w:tentative="0">
      <w:start w:val="0"/>
      <w:numFmt w:val="bullet"/>
      <w:lvlText w:val="•"/>
      <w:lvlJc w:val="left"/>
      <w:pPr>
        <w:ind w:left="4446" w:hanging="660"/>
      </w:pPr>
      <w:rPr>
        <w:rFonts w:hint="default"/>
        <w:lang w:val="zh-CN" w:eastAsia="zh-CN" w:bidi="zh-CN"/>
      </w:rPr>
    </w:lvl>
    <w:lvl w:ilvl="5" w:tentative="0">
      <w:start w:val="0"/>
      <w:numFmt w:val="bullet"/>
      <w:lvlText w:val="•"/>
      <w:lvlJc w:val="left"/>
      <w:pPr>
        <w:ind w:left="5463" w:hanging="660"/>
      </w:pPr>
      <w:rPr>
        <w:rFonts w:hint="default"/>
        <w:lang w:val="zh-CN" w:eastAsia="zh-CN" w:bidi="zh-CN"/>
      </w:rPr>
    </w:lvl>
    <w:lvl w:ilvl="6" w:tentative="0">
      <w:start w:val="0"/>
      <w:numFmt w:val="bullet"/>
      <w:lvlText w:val="•"/>
      <w:lvlJc w:val="left"/>
      <w:pPr>
        <w:ind w:left="6480" w:hanging="660"/>
      </w:pPr>
      <w:rPr>
        <w:rFonts w:hint="default"/>
        <w:lang w:val="zh-CN" w:eastAsia="zh-CN" w:bidi="zh-CN"/>
      </w:rPr>
    </w:lvl>
    <w:lvl w:ilvl="7" w:tentative="0">
      <w:start w:val="0"/>
      <w:numFmt w:val="bullet"/>
      <w:lvlText w:val="•"/>
      <w:lvlJc w:val="left"/>
      <w:pPr>
        <w:ind w:left="7496" w:hanging="660"/>
      </w:pPr>
      <w:rPr>
        <w:rFonts w:hint="default"/>
        <w:lang w:val="zh-CN" w:eastAsia="zh-CN" w:bidi="zh-CN"/>
      </w:rPr>
    </w:lvl>
    <w:lvl w:ilvl="8" w:tentative="0">
      <w:start w:val="0"/>
      <w:numFmt w:val="bullet"/>
      <w:lvlText w:val="•"/>
      <w:lvlJc w:val="left"/>
      <w:pPr>
        <w:ind w:left="8513" w:hanging="660"/>
      </w:pPr>
      <w:rPr>
        <w:rFonts w:hint="default"/>
        <w:lang w:val="zh-CN" w:eastAsia="zh-CN" w:bidi="zh-CN"/>
      </w:rPr>
    </w:lvl>
  </w:abstractNum>
  <w:abstractNum w:abstractNumId="67">
    <w:nsid w:val="0F9F9CCA"/>
    <w:multiLevelType w:val="multilevel"/>
    <w:tmpl w:val="0F9F9CCA"/>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68">
    <w:nsid w:val="10D591E5"/>
    <w:multiLevelType w:val="multilevel"/>
    <w:tmpl w:val="10D591E5"/>
    <w:lvl w:ilvl="0" w:tentative="0">
      <w:start w:val="1"/>
      <w:numFmt w:val="decimal"/>
      <w:lvlText w:val="%1"/>
      <w:lvlJc w:val="left"/>
      <w:pPr>
        <w:ind w:left="1288" w:hanging="420"/>
        <w:jc w:val="left"/>
      </w:pPr>
      <w:rPr>
        <w:rFonts w:hint="default"/>
        <w:lang w:val="zh-CN" w:eastAsia="zh-CN" w:bidi="zh-CN"/>
      </w:rPr>
    </w:lvl>
    <w:lvl w:ilvl="1" w:tentative="0">
      <w:start w:val="3"/>
      <w:numFmt w:val="decimal"/>
      <w:lvlText w:val="%1.%2"/>
      <w:lvlJc w:val="left"/>
      <w:pPr>
        <w:ind w:left="1288" w:hanging="42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528" w:hanging="66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1580" w:hanging="660"/>
      </w:pPr>
      <w:rPr>
        <w:rFonts w:hint="default"/>
        <w:lang w:val="zh-CN" w:eastAsia="zh-CN" w:bidi="zh-CN"/>
      </w:rPr>
    </w:lvl>
    <w:lvl w:ilvl="4" w:tentative="0">
      <w:start w:val="0"/>
      <w:numFmt w:val="bullet"/>
      <w:lvlText w:val="•"/>
      <w:lvlJc w:val="left"/>
      <w:pPr>
        <w:ind w:left="2861" w:hanging="660"/>
      </w:pPr>
      <w:rPr>
        <w:rFonts w:hint="default"/>
        <w:lang w:val="zh-CN" w:eastAsia="zh-CN" w:bidi="zh-CN"/>
      </w:rPr>
    </w:lvl>
    <w:lvl w:ilvl="5" w:tentative="0">
      <w:start w:val="0"/>
      <w:numFmt w:val="bullet"/>
      <w:lvlText w:val="•"/>
      <w:lvlJc w:val="left"/>
      <w:pPr>
        <w:ind w:left="4142" w:hanging="660"/>
      </w:pPr>
      <w:rPr>
        <w:rFonts w:hint="default"/>
        <w:lang w:val="zh-CN" w:eastAsia="zh-CN" w:bidi="zh-CN"/>
      </w:rPr>
    </w:lvl>
    <w:lvl w:ilvl="6" w:tentative="0">
      <w:start w:val="0"/>
      <w:numFmt w:val="bullet"/>
      <w:lvlText w:val="•"/>
      <w:lvlJc w:val="left"/>
      <w:pPr>
        <w:ind w:left="5423" w:hanging="660"/>
      </w:pPr>
      <w:rPr>
        <w:rFonts w:hint="default"/>
        <w:lang w:val="zh-CN" w:eastAsia="zh-CN" w:bidi="zh-CN"/>
      </w:rPr>
    </w:lvl>
    <w:lvl w:ilvl="7" w:tentative="0">
      <w:start w:val="0"/>
      <w:numFmt w:val="bullet"/>
      <w:lvlText w:val="•"/>
      <w:lvlJc w:val="left"/>
      <w:pPr>
        <w:ind w:left="6704" w:hanging="660"/>
      </w:pPr>
      <w:rPr>
        <w:rFonts w:hint="default"/>
        <w:lang w:val="zh-CN" w:eastAsia="zh-CN" w:bidi="zh-CN"/>
      </w:rPr>
    </w:lvl>
    <w:lvl w:ilvl="8" w:tentative="0">
      <w:start w:val="0"/>
      <w:numFmt w:val="bullet"/>
      <w:lvlText w:val="•"/>
      <w:lvlJc w:val="left"/>
      <w:pPr>
        <w:ind w:left="7985" w:hanging="660"/>
      </w:pPr>
      <w:rPr>
        <w:rFonts w:hint="default"/>
        <w:lang w:val="zh-CN" w:eastAsia="zh-CN" w:bidi="zh-CN"/>
      </w:rPr>
    </w:lvl>
  </w:abstractNum>
  <w:abstractNum w:abstractNumId="69">
    <w:nsid w:val="10F0DB0B"/>
    <w:multiLevelType w:val="multilevel"/>
    <w:tmpl w:val="10F0DB0B"/>
    <w:lvl w:ilvl="0" w:tentative="0">
      <w:start w:val="2"/>
      <w:numFmt w:val="decimal"/>
      <w:lvlText w:val="%1."/>
      <w:lvlJc w:val="left"/>
      <w:pPr>
        <w:ind w:left="1173" w:hanging="36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16" w:hanging="361"/>
      </w:pPr>
      <w:rPr>
        <w:rFonts w:hint="default"/>
        <w:lang w:val="zh-CN" w:eastAsia="zh-CN" w:bidi="zh-CN"/>
      </w:rPr>
    </w:lvl>
    <w:lvl w:ilvl="2" w:tentative="0">
      <w:start w:val="0"/>
      <w:numFmt w:val="bullet"/>
      <w:lvlText w:val="•"/>
      <w:lvlJc w:val="left"/>
      <w:pPr>
        <w:ind w:left="3053" w:hanging="361"/>
      </w:pPr>
      <w:rPr>
        <w:rFonts w:hint="default"/>
        <w:lang w:val="zh-CN" w:eastAsia="zh-CN" w:bidi="zh-CN"/>
      </w:rPr>
    </w:lvl>
    <w:lvl w:ilvl="3" w:tentative="0">
      <w:start w:val="0"/>
      <w:numFmt w:val="bullet"/>
      <w:lvlText w:val="•"/>
      <w:lvlJc w:val="left"/>
      <w:pPr>
        <w:ind w:left="3990" w:hanging="361"/>
      </w:pPr>
      <w:rPr>
        <w:rFonts w:hint="default"/>
        <w:lang w:val="zh-CN" w:eastAsia="zh-CN" w:bidi="zh-CN"/>
      </w:rPr>
    </w:lvl>
    <w:lvl w:ilvl="4" w:tentative="0">
      <w:start w:val="0"/>
      <w:numFmt w:val="bullet"/>
      <w:lvlText w:val="•"/>
      <w:lvlJc w:val="left"/>
      <w:pPr>
        <w:ind w:left="4926" w:hanging="361"/>
      </w:pPr>
      <w:rPr>
        <w:rFonts w:hint="default"/>
        <w:lang w:val="zh-CN" w:eastAsia="zh-CN" w:bidi="zh-CN"/>
      </w:rPr>
    </w:lvl>
    <w:lvl w:ilvl="5" w:tentative="0">
      <w:start w:val="0"/>
      <w:numFmt w:val="bullet"/>
      <w:lvlText w:val="•"/>
      <w:lvlJc w:val="left"/>
      <w:pPr>
        <w:ind w:left="5863" w:hanging="361"/>
      </w:pPr>
      <w:rPr>
        <w:rFonts w:hint="default"/>
        <w:lang w:val="zh-CN" w:eastAsia="zh-CN" w:bidi="zh-CN"/>
      </w:rPr>
    </w:lvl>
    <w:lvl w:ilvl="6" w:tentative="0">
      <w:start w:val="0"/>
      <w:numFmt w:val="bullet"/>
      <w:lvlText w:val="•"/>
      <w:lvlJc w:val="left"/>
      <w:pPr>
        <w:ind w:left="6800" w:hanging="361"/>
      </w:pPr>
      <w:rPr>
        <w:rFonts w:hint="default"/>
        <w:lang w:val="zh-CN" w:eastAsia="zh-CN" w:bidi="zh-CN"/>
      </w:rPr>
    </w:lvl>
    <w:lvl w:ilvl="7" w:tentative="0">
      <w:start w:val="0"/>
      <w:numFmt w:val="bullet"/>
      <w:lvlText w:val="•"/>
      <w:lvlJc w:val="left"/>
      <w:pPr>
        <w:ind w:left="7736" w:hanging="361"/>
      </w:pPr>
      <w:rPr>
        <w:rFonts w:hint="default"/>
        <w:lang w:val="zh-CN" w:eastAsia="zh-CN" w:bidi="zh-CN"/>
      </w:rPr>
    </w:lvl>
    <w:lvl w:ilvl="8" w:tentative="0">
      <w:start w:val="0"/>
      <w:numFmt w:val="bullet"/>
      <w:lvlText w:val="•"/>
      <w:lvlJc w:val="left"/>
      <w:pPr>
        <w:ind w:left="8673" w:hanging="361"/>
      </w:pPr>
      <w:rPr>
        <w:rFonts w:hint="default"/>
        <w:lang w:val="zh-CN" w:eastAsia="zh-CN" w:bidi="zh-CN"/>
      </w:rPr>
    </w:lvl>
  </w:abstractNum>
  <w:abstractNum w:abstractNumId="70">
    <w:nsid w:val="12EADF99"/>
    <w:multiLevelType w:val="multilevel"/>
    <w:tmpl w:val="12EADF99"/>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71">
    <w:nsid w:val="1450273B"/>
    <w:multiLevelType w:val="multilevel"/>
    <w:tmpl w:val="1450273B"/>
    <w:lvl w:ilvl="0" w:tentative="0">
      <w:start w:val="1"/>
      <w:numFmt w:val="decimal"/>
      <w:lvlText w:val="（%1）"/>
      <w:lvlJc w:val="left"/>
      <w:pPr>
        <w:ind w:left="388" w:hanging="60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72">
    <w:nsid w:val="18F74015"/>
    <w:multiLevelType w:val="multilevel"/>
    <w:tmpl w:val="18F74015"/>
    <w:lvl w:ilvl="0" w:tentative="0">
      <w:start w:val="1"/>
      <w:numFmt w:val="decimal"/>
      <w:lvlText w:val="（%1）"/>
      <w:lvlJc w:val="left"/>
      <w:pPr>
        <w:ind w:left="388" w:hanging="601"/>
        <w:jc w:val="left"/>
      </w:pPr>
      <w:rPr>
        <w:rFonts w:hint="default" w:ascii="宋体" w:hAnsi="宋体" w:eastAsia="宋体" w:cs="宋体"/>
        <w:spacing w:val="-5"/>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73">
    <w:nsid w:val="1ACDE60F"/>
    <w:multiLevelType w:val="multilevel"/>
    <w:tmpl w:val="1ACDE60F"/>
    <w:lvl w:ilvl="0" w:tentative="0">
      <w:start w:val="1"/>
      <w:numFmt w:val="decimal"/>
      <w:lvlText w:val="（%1）"/>
      <w:lvlJc w:val="left"/>
      <w:pPr>
        <w:ind w:left="989" w:hanging="601"/>
        <w:jc w:val="left"/>
      </w:pPr>
      <w:rPr>
        <w:rFonts w:hint="default" w:ascii="宋体" w:hAnsi="宋体" w:eastAsia="宋体" w:cs="宋体"/>
        <w:w w:val="100"/>
        <w:sz w:val="22"/>
        <w:szCs w:val="22"/>
        <w:lang w:val="zh-CN" w:eastAsia="zh-CN" w:bidi="zh-CN"/>
      </w:rPr>
    </w:lvl>
    <w:lvl w:ilvl="1" w:tentative="0">
      <w:start w:val="1"/>
      <w:numFmt w:val="decimal"/>
      <w:lvlText w:val="%2."/>
      <w:lvlJc w:val="left"/>
      <w:pPr>
        <w:ind w:left="388" w:hanging="241"/>
        <w:jc w:val="left"/>
      </w:pPr>
      <w:rPr>
        <w:rFonts w:hint="default" w:ascii="宋体" w:hAnsi="宋体" w:eastAsia="宋体" w:cs="宋体"/>
        <w:spacing w:val="-19"/>
        <w:w w:val="100"/>
        <w:sz w:val="22"/>
        <w:szCs w:val="22"/>
        <w:lang w:val="zh-CN" w:eastAsia="zh-CN" w:bidi="zh-CN"/>
      </w:rPr>
    </w:lvl>
    <w:lvl w:ilvl="2" w:tentative="0">
      <w:start w:val="0"/>
      <w:numFmt w:val="bullet"/>
      <w:lvlText w:val="•"/>
      <w:lvlJc w:val="left"/>
      <w:pPr>
        <w:ind w:left="2043" w:hanging="241"/>
      </w:pPr>
      <w:rPr>
        <w:rFonts w:hint="default"/>
        <w:lang w:val="zh-CN" w:eastAsia="zh-CN" w:bidi="zh-CN"/>
      </w:rPr>
    </w:lvl>
    <w:lvl w:ilvl="3" w:tentative="0">
      <w:start w:val="0"/>
      <w:numFmt w:val="bullet"/>
      <w:lvlText w:val="•"/>
      <w:lvlJc w:val="left"/>
      <w:pPr>
        <w:ind w:left="3106" w:hanging="241"/>
      </w:pPr>
      <w:rPr>
        <w:rFonts w:hint="default"/>
        <w:lang w:val="zh-CN" w:eastAsia="zh-CN" w:bidi="zh-CN"/>
      </w:rPr>
    </w:lvl>
    <w:lvl w:ilvl="4" w:tentative="0">
      <w:start w:val="0"/>
      <w:numFmt w:val="bullet"/>
      <w:lvlText w:val="•"/>
      <w:lvlJc w:val="left"/>
      <w:pPr>
        <w:ind w:left="4169" w:hanging="241"/>
      </w:pPr>
      <w:rPr>
        <w:rFonts w:hint="default"/>
        <w:lang w:val="zh-CN" w:eastAsia="zh-CN" w:bidi="zh-CN"/>
      </w:rPr>
    </w:lvl>
    <w:lvl w:ilvl="5" w:tentative="0">
      <w:start w:val="0"/>
      <w:numFmt w:val="bullet"/>
      <w:lvlText w:val="•"/>
      <w:lvlJc w:val="left"/>
      <w:pPr>
        <w:ind w:left="5232" w:hanging="241"/>
      </w:pPr>
      <w:rPr>
        <w:rFonts w:hint="default"/>
        <w:lang w:val="zh-CN" w:eastAsia="zh-CN" w:bidi="zh-CN"/>
      </w:rPr>
    </w:lvl>
    <w:lvl w:ilvl="6" w:tentative="0">
      <w:start w:val="0"/>
      <w:numFmt w:val="bullet"/>
      <w:lvlText w:val="•"/>
      <w:lvlJc w:val="left"/>
      <w:pPr>
        <w:ind w:left="6295" w:hanging="241"/>
      </w:pPr>
      <w:rPr>
        <w:rFonts w:hint="default"/>
        <w:lang w:val="zh-CN" w:eastAsia="zh-CN" w:bidi="zh-CN"/>
      </w:rPr>
    </w:lvl>
    <w:lvl w:ilvl="7" w:tentative="0">
      <w:start w:val="0"/>
      <w:numFmt w:val="bullet"/>
      <w:lvlText w:val="•"/>
      <w:lvlJc w:val="left"/>
      <w:pPr>
        <w:ind w:left="7358" w:hanging="241"/>
      </w:pPr>
      <w:rPr>
        <w:rFonts w:hint="default"/>
        <w:lang w:val="zh-CN" w:eastAsia="zh-CN" w:bidi="zh-CN"/>
      </w:rPr>
    </w:lvl>
    <w:lvl w:ilvl="8" w:tentative="0">
      <w:start w:val="0"/>
      <w:numFmt w:val="bullet"/>
      <w:lvlText w:val="•"/>
      <w:lvlJc w:val="left"/>
      <w:pPr>
        <w:ind w:left="8421" w:hanging="241"/>
      </w:pPr>
      <w:rPr>
        <w:rFonts w:hint="default"/>
        <w:lang w:val="zh-CN" w:eastAsia="zh-CN" w:bidi="zh-CN"/>
      </w:rPr>
    </w:lvl>
  </w:abstractNum>
  <w:abstractNum w:abstractNumId="74">
    <w:nsid w:val="1AD50295"/>
    <w:multiLevelType w:val="multilevel"/>
    <w:tmpl w:val="1AD50295"/>
    <w:lvl w:ilvl="0" w:tentative="0">
      <w:start w:val="1"/>
      <w:numFmt w:val="decimal"/>
      <w:lvlText w:val="%1"/>
      <w:lvlJc w:val="left"/>
      <w:pPr>
        <w:ind w:left="1708" w:hanging="840"/>
        <w:jc w:val="left"/>
      </w:pPr>
      <w:rPr>
        <w:rFonts w:hint="default"/>
        <w:lang w:val="zh-CN" w:eastAsia="zh-CN" w:bidi="zh-CN"/>
      </w:rPr>
    </w:lvl>
    <w:lvl w:ilvl="1" w:tentative="0">
      <w:start w:val="10"/>
      <w:numFmt w:val="decimal"/>
      <w:lvlText w:val="%1.%2"/>
      <w:lvlJc w:val="left"/>
      <w:pPr>
        <w:ind w:left="1708" w:hanging="840"/>
        <w:jc w:val="left"/>
      </w:pPr>
      <w:rPr>
        <w:rFonts w:hint="default"/>
        <w:lang w:val="zh-CN" w:eastAsia="zh-CN" w:bidi="zh-CN"/>
      </w:rPr>
    </w:lvl>
    <w:lvl w:ilvl="2" w:tentative="0">
      <w:start w:val="3"/>
      <w:numFmt w:val="decimal"/>
      <w:lvlText w:val="%1.%2.%3"/>
      <w:lvlJc w:val="left"/>
      <w:pPr>
        <w:ind w:left="1708" w:hanging="84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4354" w:hanging="840"/>
      </w:pPr>
      <w:rPr>
        <w:rFonts w:hint="default"/>
        <w:lang w:val="zh-CN" w:eastAsia="zh-CN" w:bidi="zh-CN"/>
      </w:rPr>
    </w:lvl>
    <w:lvl w:ilvl="4" w:tentative="0">
      <w:start w:val="0"/>
      <w:numFmt w:val="bullet"/>
      <w:lvlText w:val="•"/>
      <w:lvlJc w:val="left"/>
      <w:pPr>
        <w:ind w:left="5238" w:hanging="840"/>
      </w:pPr>
      <w:rPr>
        <w:rFonts w:hint="default"/>
        <w:lang w:val="zh-CN" w:eastAsia="zh-CN" w:bidi="zh-CN"/>
      </w:rPr>
    </w:lvl>
    <w:lvl w:ilvl="5" w:tentative="0">
      <w:start w:val="0"/>
      <w:numFmt w:val="bullet"/>
      <w:lvlText w:val="•"/>
      <w:lvlJc w:val="left"/>
      <w:pPr>
        <w:ind w:left="6123" w:hanging="840"/>
      </w:pPr>
      <w:rPr>
        <w:rFonts w:hint="default"/>
        <w:lang w:val="zh-CN" w:eastAsia="zh-CN" w:bidi="zh-CN"/>
      </w:rPr>
    </w:lvl>
    <w:lvl w:ilvl="6" w:tentative="0">
      <w:start w:val="0"/>
      <w:numFmt w:val="bullet"/>
      <w:lvlText w:val="•"/>
      <w:lvlJc w:val="left"/>
      <w:pPr>
        <w:ind w:left="7008" w:hanging="840"/>
      </w:pPr>
      <w:rPr>
        <w:rFonts w:hint="default"/>
        <w:lang w:val="zh-CN" w:eastAsia="zh-CN" w:bidi="zh-CN"/>
      </w:rPr>
    </w:lvl>
    <w:lvl w:ilvl="7" w:tentative="0">
      <w:start w:val="0"/>
      <w:numFmt w:val="bullet"/>
      <w:lvlText w:val="•"/>
      <w:lvlJc w:val="left"/>
      <w:pPr>
        <w:ind w:left="7892" w:hanging="840"/>
      </w:pPr>
      <w:rPr>
        <w:rFonts w:hint="default"/>
        <w:lang w:val="zh-CN" w:eastAsia="zh-CN" w:bidi="zh-CN"/>
      </w:rPr>
    </w:lvl>
    <w:lvl w:ilvl="8" w:tentative="0">
      <w:start w:val="0"/>
      <w:numFmt w:val="bullet"/>
      <w:lvlText w:val="•"/>
      <w:lvlJc w:val="left"/>
      <w:pPr>
        <w:ind w:left="8777" w:hanging="840"/>
      </w:pPr>
      <w:rPr>
        <w:rFonts w:hint="default"/>
        <w:lang w:val="zh-CN" w:eastAsia="zh-CN" w:bidi="zh-CN"/>
      </w:rPr>
    </w:lvl>
  </w:abstractNum>
  <w:abstractNum w:abstractNumId="75">
    <w:nsid w:val="1BCBBCF0"/>
    <w:multiLevelType w:val="multilevel"/>
    <w:tmpl w:val="1BCBBCF0"/>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76">
    <w:nsid w:val="1C257C7B"/>
    <w:multiLevelType w:val="multilevel"/>
    <w:tmpl w:val="1C257C7B"/>
    <w:lvl w:ilvl="0" w:tentative="0">
      <w:start w:val="1"/>
      <w:numFmt w:val="decimal"/>
      <w:lvlText w:val="（%1）"/>
      <w:lvlJc w:val="left"/>
      <w:pPr>
        <w:ind w:left="388" w:hanging="60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77">
    <w:nsid w:val="2007DCFD"/>
    <w:multiLevelType w:val="multilevel"/>
    <w:tmpl w:val="2007DCFD"/>
    <w:lvl w:ilvl="0" w:tentative="0">
      <w:start w:val="1"/>
      <w:numFmt w:val="decimal"/>
      <w:lvlText w:val="(%1)"/>
      <w:lvlJc w:val="left"/>
      <w:pPr>
        <w:ind w:left="388" w:hanging="361"/>
        <w:jc w:val="left"/>
      </w:pPr>
      <w:rPr>
        <w:rFonts w:hint="default" w:ascii="宋体" w:hAnsi="宋体" w:eastAsia="宋体" w:cs="宋体"/>
        <w:spacing w:val="-16"/>
        <w:w w:val="100"/>
        <w:sz w:val="22"/>
        <w:szCs w:val="22"/>
        <w:lang w:val="zh-CN" w:eastAsia="zh-CN" w:bidi="zh-CN"/>
      </w:rPr>
    </w:lvl>
    <w:lvl w:ilvl="1" w:tentative="0">
      <w:start w:val="0"/>
      <w:numFmt w:val="bullet"/>
      <w:lvlText w:val="•"/>
      <w:lvlJc w:val="left"/>
      <w:pPr>
        <w:ind w:left="1396" w:hanging="361"/>
      </w:pPr>
      <w:rPr>
        <w:rFonts w:hint="default"/>
        <w:lang w:val="zh-CN" w:eastAsia="zh-CN" w:bidi="zh-CN"/>
      </w:rPr>
    </w:lvl>
    <w:lvl w:ilvl="2" w:tentative="0">
      <w:start w:val="0"/>
      <w:numFmt w:val="bullet"/>
      <w:lvlText w:val="•"/>
      <w:lvlJc w:val="left"/>
      <w:pPr>
        <w:ind w:left="2413" w:hanging="361"/>
      </w:pPr>
      <w:rPr>
        <w:rFonts w:hint="default"/>
        <w:lang w:val="zh-CN" w:eastAsia="zh-CN" w:bidi="zh-CN"/>
      </w:rPr>
    </w:lvl>
    <w:lvl w:ilvl="3" w:tentative="0">
      <w:start w:val="0"/>
      <w:numFmt w:val="bullet"/>
      <w:lvlText w:val="•"/>
      <w:lvlJc w:val="left"/>
      <w:pPr>
        <w:ind w:left="3430" w:hanging="361"/>
      </w:pPr>
      <w:rPr>
        <w:rFonts w:hint="default"/>
        <w:lang w:val="zh-CN" w:eastAsia="zh-CN" w:bidi="zh-CN"/>
      </w:rPr>
    </w:lvl>
    <w:lvl w:ilvl="4" w:tentative="0">
      <w:start w:val="0"/>
      <w:numFmt w:val="bullet"/>
      <w:lvlText w:val="•"/>
      <w:lvlJc w:val="left"/>
      <w:pPr>
        <w:ind w:left="4446" w:hanging="361"/>
      </w:pPr>
      <w:rPr>
        <w:rFonts w:hint="default"/>
        <w:lang w:val="zh-CN" w:eastAsia="zh-CN" w:bidi="zh-CN"/>
      </w:rPr>
    </w:lvl>
    <w:lvl w:ilvl="5" w:tentative="0">
      <w:start w:val="0"/>
      <w:numFmt w:val="bullet"/>
      <w:lvlText w:val="•"/>
      <w:lvlJc w:val="left"/>
      <w:pPr>
        <w:ind w:left="5463" w:hanging="361"/>
      </w:pPr>
      <w:rPr>
        <w:rFonts w:hint="default"/>
        <w:lang w:val="zh-CN" w:eastAsia="zh-CN" w:bidi="zh-CN"/>
      </w:rPr>
    </w:lvl>
    <w:lvl w:ilvl="6" w:tentative="0">
      <w:start w:val="0"/>
      <w:numFmt w:val="bullet"/>
      <w:lvlText w:val="•"/>
      <w:lvlJc w:val="left"/>
      <w:pPr>
        <w:ind w:left="6480" w:hanging="361"/>
      </w:pPr>
      <w:rPr>
        <w:rFonts w:hint="default"/>
        <w:lang w:val="zh-CN" w:eastAsia="zh-CN" w:bidi="zh-CN"/>
      </w:rPr>
    </w:lvl>
    <w:lvl w:ilvl="7" w:tentative="0">
      <w:start w:val="0"/>
      <w:numFmt w:val="bullet"/>
      <w:lvlText w:val="•"/>
      <w:lvlJc w:val="left"/>
      <w:pPr>
        <w:ind w:left="7496" w:hanging="361"/>
      </w:pPr>
      <w:rPr>
        <w:rFonts w:hint="default"/>
        <w:lang w:val="zh-CN" w:eastAsia="zh-CN" w:bidi="zh-CN"/>
      </w:rPr>
    </w:lvl>
    <w:lvl w:ilvl="8" w:tentative="0">
      <w:start w:val="0"/>
      <w:numFmt w:val="bullet"/>
      <w:lvlText w:val="•"/>
      <w:lvlJc w:val="left"/>
      <w:pPr>
        <w:ind w:left="8513" w:hanging="361"/>
      </w:pPr>
      <w:rPr>
        <w:rFonts w:hint="default"/>
        <w:lang w:val="zh-CN" w:eastAsia="zh-CN" w:bidi="zh-CN"/>
      </w:rPr>
    </w:lvl>
  </w:abstractNum>
  <w:abstractNum w:abstractNumId="78">
    <w:nsid w:val="21B3B1B1"/>
    <w:multiLevelType w:val="multilevel"/>
    <w:tmpl w:val="21B3B1B1"/>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79">
    <w:nsid w:val="227C9188"/>
    <w:multiLevelType w:val="multilevel"/>
    <w:tmpl w:val="227C9188"/>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80">
    <w:nsid w:val="23E97754"/>
    <w:multiLevelType w:val="multilevel"/>
    <w:tmpl w:val="23E97754"/>
    <w:lvl w:ilvl="0" w:tentative="0">
      <w:start w:val="1"/>
      <w:numFmt w:val="decimal"/>
      <w:lvlText w:val="（%1）"/>
      <w:lvlJc w:val="left"/>
      <w:pPr>
        <w:ind w:left="388" w:hanging="601"/>
        <w:jc w:val="left"/>
      </w:pPr>
      <w:rPr>
        <w:rFonts w:hint="default" w:ascii="宋体" w:hAnsi="宋体" w:eastAsia="宋体" w:cs="宋体"/>
        <w:spacing w:val="-3"/>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81">
    <w:nsid w:val="243FCF68"/>
    <w:multiLevelType w:val="multilevel"/>
    <w:tmpl w:val="243FCF68"/>
    <w:lvl w:ilvl="0" w:tentative="0">
      <w:start w:val="1"/>
      <w:numFmt w:val="decimal"/>
      <w:lvlText w:val="（%1）"/>
      <w:lvlJc w:val="left"/>
      <w:pPr>
        <w:ind w:left="1413" w:hanging="60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82">
    <w:nsid w:val="2470EC97"/>
    <w:multiLevelType w:val="multilevel"/>
    <w:tmpl w:val="2470EC97"/>
    <w:lvl w:ilvl="0" w:tentative="0">
      <w:start w:val="1"/>
      <w:numFmt w:val="decimal"/>
      <w:lvlText w:val="（%1）"/>
      <w:lvlJc w:val="left"/>
      <w:pPr>
        <w:ind w:left="146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68" w:hanging="601"/>
      </w:pPr>
      <w:rPr>
        <w:rFonts w:hint="default"/>
        <w:lang w:val="zh-CN" w:eastAsia="zh-CN" w:bidi="zh-CN"/>
      </w:rPr>
    </w:lvl>
    <w:lvl w:ilvl="2" w:tentative="0">
      <w:start w:val="0"/>
      <w:numFmt w:val="bullet"/>
      <w:lvlText w:val="•"/>
      <w:lvlJc w:val="left"/>
      <w:pPr>
        <w:ind w:left="3277" w:hanging="601"/>
      </w:pPr>
      <w:rPr>
        <w:rFonts w:hint="default"/>
        <w:lang w:val="zh-CN" w:eastAsia="zh-CN" w:bidi="zh-CN"/>
      </w:rPr>
    </w:lvl>
    <w:lvl w:ilvl="3" w:tentative="0">
      <w:start w:val="0"/>
      <w:numFmt w:val="bullet"/>
      <w:lvlText w:val="•"/>
      <w:lvlJc w:val="left"/>
      <w:pPr>
        <w:ind w:left="4186" w:hanging="601"/>
      </w:pPr>
      <w:rPr>
        <w:rFonts w:hint="default"/>
        <w:lang w:val="zh-CN" w:eastAsia="zh-CN" w:bidi="zh-CN"/>
      </w:rPr>
    </w:lvl>
    <w:lvl w:ilvl="4" w:tentative="0">
      <w:start w:val="0"/>
      <w:numFmt w:val="bullet"/>
      <w:lvlText w:val="•"/>
      <w:lvlJc w:val="left"/>
      <w:pPr>
        <w:ind w:left="5094" w:hanging="601"/>
      </w:pPr>
      <w:rPr>
        <w:rFonts w:hint="default"/>
        <w:lang w:val="zh-CN" w:eastAsia="zh-CN" w:bidi="zh-CN"/>
      </w:rPr>
    </w:lvl>
    <w:lvl w:ilvl="5" w:tentative="0">
      <w:start w:val="0"/>
      <w:numFmt w:val="bullet"/>
      <w:lvlText w:val="•"/>
      <w:lvlJc w:val="left"/>
      <w:pPr>
        <w:ind w:left="6003" w:hanging="601"/>
      </w:pPr>
      <w:rPr>
        <w:rFonts w:hint="default"/>
        <w:lang w:val="zh-CN" w:eastAsia="zh-CN" w:bidi="zh-CN"/>
      </w:rPr>
    </w:lvl>
    <w:lvl w:ilvl="6" w:tentative="0">
      <w:start w:val="0"/>
      <w:numFmt w:val="bullet"/>
      <w:lvlText w:val="•"/>
      <w:lvlJc w:val="left"/>
      <w:pPr>
        <w:ind w:left="6912" w:hanging="601"/>
      </w:pPr>
      <w:rPr>
        <w:rFonts w:hint="default"/>
        <w:lang w:val="zh-CN" w:eastAsia="zh-CN" w:bidi="zh-CN"/>
      </w:rPr>
    </w:lvl>
    <w:lvl w:ilvl="7" w:tentative="0">
      <w:start w:val="0"/>
      <w:numFmt w:val="bullet"/>
      <w:lvlText w:val="•"/>
      <w:lvlJc w:val="left"/>
      <w:pPr>
        <w:ind w:left="7820" w:hanging="601"/>
      </w:pPr>
      <w:rPr>
        <w:rFonts w:hint="default"/>
        <w:lang w:val="zh-CN" w:eastAsia="zh-CN" w:bidi="zh-CN"/>
      </w:rPr>
    </w:lvl>
    <w:lvl w:ilvl="8" w:tentative="0">
      <w:start w:val="0"/>
      <w:numFmt w:val="bullet"/>
      <w:lvlText w:val="•"/>
      <w:lvlJc w:val="left"/>
      <w:pPr>
        <w:ind w:left="8729" w:hanging="601"/>
      </w:pPr>
      <w:rPr>
        <w:rFonts w:hint="default"/>
        <w:lang w:val="zh-CN" w:eastAsia="zh-CN" w:bidi="zh-CN"/>
      </w:rPr>
    </w:lvl>
  </w:abstractNum>
  <w:abstractNum w:abstractNumId="83">
    <w:nsid w:val="251342A6"/>
    <w:multiLevelType w:val="multilevel"/>
    <w:tmpl w:val="251342A6"/>
    <w:lvl w:ilvl="0" w:tentative="0">
      <w:start w:val="20"/>
      <w:numFmt w:val="decimal"/>
      <w:lvlText w:val="%1"/>
      <w:lvlJc w:val="left"/>
      <w:pPr>
        <w:ind w:left="1412" w:hanging="600"/>
        <w:jc w:val="left"/>
      </w:pPr>
      <w:rPr>
        <w:rFonts w:hint="default"/>
        <w:lang w:val="zh-CN" w:eastAsia="zh-CN" w:bidi="zh-CN"/>
      </w:rPr>
    </w:lvl>
    <w:lvl w:ilvl="1" w:tentative="0">
      <w:start w:val="3"/>
      <w:numFmt w:val="decimal"/>
      <w:lvlText w:val="%1.%2"/>
      <w:lvlJc w:val="left"/>
      <w:pPr>
        <w:ind w:left="1412" w:hanging="60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652" w:hanging="84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634" w:hanging="840"/>
      </w:pPr>
      <w:rPr>
        <w:rFonts w:hint="default"/>
        <w:lang w:val="zh-CN" w:eastAsia="zh-CN" w:bidi="zh-CN"/>
      </w:rPr>
    </w:lvl>
    <w:lvl w:ilvl="4" w:tentative="0">
      <w:start w:val="0"/>
      <w:numFmt w:val="bullet"/>
      <w:lvlText w:val="•"/>
      <w:lvlJc w:val="left"/>
      <w:pPr>
        <w:ind w:left="4622" w:hanging="840"/>
      </w:pPr>
      <w:rPr>
        <w:rFonts w:hint="default"/>
        <w:lang w:val="zh-CN" w:eastAsia="zh-CN" w:bidi="zh-CN"/>
      </w:rPr>
    </w:lvl>
    <w:lvl w:ilvl="5" w:tentative="0">
      <w:start w:val="0"/>
      <w:numFmt w:val="bullet"/>
      <w:lvlText w:val="•"/>
      <w:lvlJc w:val="left"/>
      <w:pPr>
        <w:ind w:left="5609" w:hanging="840"/>
      </w:pPr>
      <w:rPr>
        <w:rFonts w:hint="default"/>
        <w:lang w:val="zh-CN" w:eastAsia="zh-CN" w:bidi="zh-CN"/>
      </w:rPr>
    </w:lvl>
    <w:lvl w:ilvl="6" w:tentative="0">
      <w:start w:val="0"/>
      <w:numFmt w:val="bullet"/>
      <w:lvlText w:val="•"/>
      <w:lvlJc w:val="left"/>
      <w:pPr>
        <w:ind w:left="6597" w:hanging="840"/>
      </w:pPr>
      <w:rPr>
        <w:rFonts w:hint="default"/>
        <w:lang w:val="zh-CN" w:eastAsia="zh-CN" w:bidi="zh-CN"/>
      </w:rPr>
    </w:lvl>
    <w:lvl w:ilvl="7" w:tentative="0">
      <w:start w:val="0"/>
      <w:numFmt w:val="bullet"/>
      <w:lvlText w:val="•"/>
      <w:lvlJc w:val="left"/>
      <w:pPr>
        <w:ind w:left="7584" w:hanging="840"/>
      </w:pPr>
      <w:rPr>
        <w:rFonts w:hint="default"/>
        <w:lang w:val="zh-CN" w:eastAsia="zh-CN" w:bidi="zh-CN"/>
      </w:rPr>
    </w:lvl>
    <w:lvl w:ilvl="8" w:tentative="0">
      <w:start w:val="0"/>
      <w:numFmt w:val="bullet"/>
      <w:lvlText w:val="•"/>
      <w:lvlJc w:val="left"/>
      <w:pPr>
        <w:ind w:left="8572" w:hanging="840"/>
      </w:pPr>
      <w:rPr>
        <w:rFonts w:hint="default"/>
        <w:lang w:val="zh-CN" w:eastAsia="zh-CN" w:bidi="zh-CN"/>
      </w:rPr>
    </w:lvl>
  </w:abstractNum>
  <w:abstractNum w:abstractNumId="84">
    <w:nsid w:val="2518CCD4"/>
    <w:multiLevelType w:val="singleLevel"/>
    <w:tmpl w:val="2518CCD4"/>
    <w:lvl w:ilvl="0" w:tentative="0">
      <w:start w:val="1"/>
      <w:numFmt w:val="decimal"/>
      <w:suff w:val="nothing"/>
      <w:lvlText w:val="%1、"/>
      <w:lvlJc w:val="left"/>
    </w:lvl>
  </w:abstractNum>
  <w:abstractNum w:abstractNumId="85">
    <w:nsid w:val="2A8F537B"/>
    <w:multiLevelType w:val="multilevel"/>
    <w:tmpl w:val="2A8F537B"/>
    <w:lvl w:ilvl="0" w:tentative="0">
      <w:start w:val="1"/>
      <w:numFmt w:val="decimal"/>
      <w:lvlText w:val="%1）"/>
      <w:lvlJc w:val="left"/>
      <w:pPr>
        <w:ind w:left="106" w:hanging="361"/>
        <w:jc w:val="left"/>
      </w:pPr>
      <w:rPr>
        <w:rFonts w:hint="default" w:ascii="宋体" w:hAnsi="宋体" w:eastAsia="宋体" w:cs="宋体"/>
        <w:spacing w:val="-80"/>
        <w:w w:val="100"/>
        <w:sz w:val="22"/>
        <w:szCs w:val="22"/>
        <w:lang w:val="zh-CN" w:eastAsia="zh-CN" w:bidi="zh-CN"/>
      </w:rPr>
    </w:lvl>
    <w:lvl w:ilvl="1" w:tentative="0">
      <w:start w:val="0"/>
      <w:numFmt w:val="bullet"/>
      <w:lvlText w:val="•"/>
      <w:lvlJc w:val="left"/>
      <w:pPr>
        <w:ind w:left="694" w:hanging="361"/>
      </w:pPr>
      <w:rPr>
        <w:rFonts w:hint="default"/>
        <w:lang w:val="zh-CN" w:eastAsia="zh-CN" w:bidi="zh-CN"/>
      </w:rPr>
    </w:lvl>
    <w:lvl w:ilvl="2" w:tentative="0">
      <w:start w:val="0"/>
      <w:numFmt w:val="bullet"/>
      <w:lvlText w:val="•"/>
      <w:lvlJc w:val="left"/>
      <w:pPr>
        <w:ind w:left="1289" w:hanging="361"/>
      </w:pPr>
      <w:rPr>
        <w:rFonts w:hint="default"/>
        <w:lang w:val="zh-CN" w:eastAsia="zh-CN" w:bidi="zh-CN"/>
      </w:rPr>
    </w:lvl>
    <w:lvl w:ilvl="3" w:tentative="0">
      <w:start w:val="0"/>
      <w:numFmt w:val="bullet"/>
      <w:lvlText w:val="•"/>
      <w:lvlJc w:val="left"/>
      <w:pPr>
        <w:ind w:left="1884" w:hanging="361"/>
      </w:pPr>
      <w:rPr>
        <w:rFonts w:hint="default"/>
        <w:lang w:val="zh-CN" w:eastAsia="zh-CN" w:bidi="zh-CN"/>
      </w:rPr>
    </w:lvl>
    <w:lvl w:ilvl="4" w:tentative="0">
      <w:start w:val="0"/>
      <w:numFmt w:val="bullet"/>
      <w:lvlText w:val="•"/>
      <w:lvlJc w:val="left"/>
      <w:pPr>
        <w:ind w:left="2479" w:hanging="361"/>
      </w:pPr>
      <w:rPr>
        <w:rFonts w:hint="default"/>
        <w:lang w:val="zh-CN" w:eastAsia="zh-CN" w:bidi="zh-CN"/>
      </w:rPr>
    </w:lvl>
    <w:lvl w:ilvl="5" w:tentative="0">
      <w:start w:val="0"/>
      <w:numFmt w:val="bullet"/>
      <w:lvlText w:val="•"/>
      <w:lvlJc w:val="left"/>
      <w:pPr>
        <w:ind w:left="3074" w:hanging="361"/>
      </w:pPr>
      <w:rPr>
        <w:rFonts w:hint="default"/>
        <w:lang w:val="zh-CN" w:eastAsia="zh-CN" w:bidi="zh-CN"/>
      </w:rPr>
    </w:lvl>
    <w:lvl w:ilvl="6" w:tentative="0">
      <w:start w:val="0"/>
      <w:numFmt w:val="bullet"/>
      <w:lvlText w:val="•"/>
      <w:lvlJc w:val="left"/>
      <w:pPr>
        <w:ind w:left="3668" w:hanging="361"/>
      </w:pPr>
      <w:rPr>
        <w:rFonts w:hint="default"/>
        <w:lang w:val="zh-CN" w:eastAsia="zh-CN" w:bidi="zh-CN"/>
      </w:rPr>
    </w:lvl>
    <w:lvl w:ilvl="7" w:tentative="0">
      <w:start w:val="0"/>
      <w:numFmt w:val="bullet"/>
      <w:lvlText w:val="•"/>
      <w:lvlJc w:val="left"/>
      <w:pPr>
        <w:ind w:left="4263" w:hanging="361"/>
      </w:pPr>
      <w:rPr>
        <w:rFonts w:hint="default"/>
        <w:lang w:val="zh-CN" w:eastAsia="zh-CN" w:bidi="zh-CN"/>
      </w:rPr>
    </w:lvl>
    <w:lvl w:ilvl="8" w:tentative="0">
      <w:start w:val="0"/>
      <w:numFmt w:val="bullet"/>
      <w:lvlText w:val="•"/>
      <w:lvlJc w:val="left"/>
      <w:pPr>
        <w:ind w:left="4858" w:hanging="361"/>
      </w:pPr>
      <w:rPr>
        <w:rFonts w:hint="default"/>
        <w:lang w:val="zh-CN" w:eastAsia="zh-CN" w:bidi="zh-CN"/>
      </w:rPr>
    </w:lvl>
  </w:abstractNum>
  <w:abstractNum w:abstractNumId="86">
    <w:nsid w:val="2B3F3F89"/>
    <w:multiLevelType w:val="multilevel"/>
    <w:tmpl w:val="2B3F3F89"/>
    <w:lvl w:ilvl="0" w:tentative="0">
      <w:start w:val="15"/>
      <w:numFmt w:val="decimal"/>
      <w:lvlText w:val="%1"/>
      <w:lvlJc w:val="left"/>
      <w:pPr>
        <w:ind w:left="1352" w:hanging="540"/>
        <w:jc w:val="left"/>
      </w:pPr>
      <w:rPr>
        <w:rFonts w:hint="default"/>
        <w:lang w:val="zh-CN" w:eastAsia="zh-CN" w:bidi="zh-CN"/>
      </w:rPr>
    </w:lvl>
    <w:lvl w:ilvl="1" w:tentative="0">
      <w:start w:val="2"/>
      <w:numFmt w:val="decimal"/>
      <w:lvlText w:val="%1.%2"/>
      <w:lvlJc w:val="left"/>
      <w:pPr>
        <w:ind w:left="1352" w:hanging="54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812" w:hanging="840"/>
        <w:jc w:val="left"/>
      </w:pPr>
      <w:rPr>
        <w:rFonts w:hint="default" w:ascii="宋体" w:hAnsi="宋体" w:eastAsia="宋体" w:cs="宋体"/>
        <w:spacing w:val="-17"/>
        <w:w w:val="100"/>
        <w:sz w:val="24"/>
        <w:szCs w:val="24"/>
        <w:lang w:val="zh-CN" w:eastAsia="zh-CN" w:bidi="zh-CN"/>
      </w:rPr>
    </w:lvl>
    <w:lvl w:ilvl="3" w:tentative="0">
      <w:start w:val="0"/>
      <w:numFmt w:val="bullet"/>
      <w:lvlText w:val="•"/>
      <w:lvlJc w:val="left"/>
      <w:pPr>
        <w:ind w:left="3401" w:hanging="840"/>
      </w:pPr>
      <w:rPr>
        <w:rFonts w:hint="default"/>
        <w:lang w:val="zh-CN" w:eastAsia="zh-CN" w:bidi="zh-CN"/>
      </w:rPr>
    </w:lvl>
    <w:lvl w:ilvl="4" w:tentative="0">
      <w:start w:val="0"/>
      <w:numFmt w:val="bullet"/>
      <w:lvlText w:val="•"/>
      <w:lvlJc w:val="left"/>
      <w:pPr>
        <w:ind w:left="4422" w:hanging="840"/>
      </w:pPr>
      <w:rPr>
        <w:rFonts w:hint="default"/>
        <w:lang w:val="zh-CN" w:eastAsia="zh-CN" w:bidi="zh-CN"/>
      </w:rPr>
    </w:lvl>
    <w:lvl w:ilvl="5" w:tentative="0">
      <w:start w:val="0"/>
      <w:numFmt w:val="bullet"/>
      <w:lvlText w:val="•"/>
      <w:lvlJc w:val="left"/>
      <w:pPr>
        <w:ind w:left="5443" w:hanging="840"/>
      </w:pPr>
      <w:rPr>
        <w:rFonts w:hint="default"/>
        <w:lang w:val="zh-CN" w:eastAsia="zh-CN" w:bidi="zh-CN"/>
      </w:rPr>
    </w:lvl>
    <w:lvl w:ilvl="6" w:tentative="0">
      <w:start w:val="0"/>
      <w:numFmt w:val="bullet"/>
      <w:lvlText w:val="•"/>
      <w:lvlJc w:val="left"/>
      <w:pPr>
        <w:ind w:left="6463" w:hanging="840"/>
      </w:pPr>
      <w:rPr>
        <w:rFonts w:hint="default"/>
        <w:lang w:val="zh-CN" w:eastAsia="zh-CN" w:bidi="zh-CN"/>
      </w:rPr>
    </w:lvl>
    <w:lvl w:ilvl="7" w:tentative="0">
      <w:start w:val="0"/>
      <w:numFmt w:val="bullet"/>
      <w:lvlText w:val="•"/>
      <w:lvlJc w:val="left"/>
      <w:pPr>
        <w:ind w:left="7484" w:hanging="840"/>
      </w:pPr>
      <w:rPr>
        <w:rFonts w:hint="default"/>
        <w:lang w:val="zh-CN" w:eastAsia="zh-CN" w:bidi="zh-CN"/>
      </w:rPr>
    </w:lvl>
    <w:lvl w:ilvl="8" w:tentative="0">
      <w:start w:val="0"/>
      <w:numFmt w:val="bullet"/>
      <w:lvlText w:val="•"/>
      <w:lvlJc w:val="left"/>
      <w:pPr>
        <w:ind w:left="8505" w:hanging="840"/>
      </w:pPr>
      <w:rPr>
        <w:rFonts w:hint="default"/>
        <w:lang w:val="zh-CN" w:eastAsia="zh-CN" w:bidi="zh-CN"/>
      </w:rPr>
    </w:lvl>
  </w:abstractNum>
  <w:abstractNum w:abstractNumId="87">
    <w:nsid w:val="2F2D79CE"/>
    <w:multiLevelType w:val="multilevel"/>
    <w:tmpl w:val="2F2D79CE"/>
    <w:lvl w:ilvl="0" w:tentative="0">
      <w:start w:val="1"/>
      <w:numFmt w:val="decimal"/>
      <w:lvlText w:val="（%1）"/>
      <w:lvlJc w:val="left"/>
      <w:pPr>
        <w:ind w:left="388" w:hanging="601"/>
        <w:jc w:val="left"/>
      </w:pPr>
      <w:rPr>
        <w:rFonts w:hint="default" w:ascii="宋体" w:hAnsi="宋体" w:eastAsia="宋体" w:cs="宋体"/>
        <w:spacing w:val="-5"/>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88">
    <w:nsid w:val="30A0AC00"/>
    <w:multiLevelType w:val="multilevel"/>
    <w:tmpl w:val="30A0AC00"/>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89">
    <w:nsid w:val="30FC5B15"/>
    <w:multiLevelType w:val="multilevel"/>
    <w:tmpl w:val="30FC5B15"/>
    <w:lvl w:ilvl="0" w:tentative="0">
      <w:start w:val="9"/>
      <w:numFmt w:val="decimal"/>
      <w:lvlText w:val="%1"/>
      <w:lvlJc w:val="left"/>
      <w:pPr>
        <w:ind w:left="1532" w:hanging="720"/>
        <w:jc w:val="left"/>
      </w:pPr>
      <w:rPr>
        <w:rFonts w:hint="default"/>
        <w:lang w:val="zh-CN" w:eastAsia="zh-CN" w:bidi="zh-CN"/>
      </w:rPr>
    </w:lvl>
    <w:lvl w:ilvl="1" w:tentative="0">
      <w:start w:val="2"/>
      <w:numFmt w:val="decimal"/>
      <w:lvlText w:val="%1.%2"/>
      <w:lvlJc w:val="left"/>
      <w:pPr>
        <w:ind w:left="1532" w:hanging="720"/>
        <w:jc w:val="left"/>
      </w:pPr>
      <w:rPr>
        <w:rFonts w:hint="default"/>
        <w:lang w:val="zh-CN" w:eastAsia="zh-CN" w:bidi="zh-CN"/>
      </w:rPr>
    </w:lvl>
    <w:lvl w:ilvl="2" w:tentative="0">
      <w:start w:val="2"/>
      <w:numFmt w:val="decimal"/>
      <w:lvlText w:val="%1.%2.%3"/>
      <w:lvlJc w:val="left"/>
      <w:pPr>
        <w:ind w:left="1532" w:hanging="72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4242" w:hanging="720"/>
      </w:pPr>
      <w:rPr>
        <w:rFonts w:hint="default"/>
        <w:lang w:val="zh-CN" w:eastAsia="zh-CN" w:bidi="zh-CN"/>
      </w:rPr>
    </w:lvl>
    <w:lvl w:ilvl="4" w:tentative="0">
      <w:start w:val="0"/>
      <w:numFmt w:val="bullet"/>
      <w:lvlText w:val="•"/>
      <w:lvlJc w:val="left"/>
      <w:pPr>
        <w:ind w:left="5142" w:hanging="720"/>
      </w:pPr>
      <w:rPr>
        <w:rFonts w:hint="default"/>
        <w:lang w:val="zh-CN" w:eastAsia="zh-CN" w:bidi="zh-CN"/>
      </w:rPr>
    </w:lvl>
    <w:lvl w:ilvl="5" w:tentative="0">
      <w:start w:val="0"/>
      <w:numFmt w:val="bullet"/>
      <w:lvlText w:val="•"/>
      <w:lvlJc w:val="left"/>
      <w:pPr>
        <w:ind w:left="6043" w:hanging="720"/>
      </w:pPr>
      <w:rPr>
        <w:rFonts w:hint="default"/>
        <w:lang w:val="zh-CN" w:eastAsia="zh-CN" w:bidi="zh-CN"/>
      </w:rPr>
    </w:lvl>
    <w:lvl w:ilvl="6" w:tentative="0">
      <w:start w:val="0"/>
      <w:numFmt w:val="bullet"/>
      <w:lvlText w:val="•"/>
      <w:lvlJc w:val="left"/>
      <w:pPr>
        <w:ind w:left="6944" w:hanging="720"/>
      </w:pPr>
      <w:rPr>
        <w:rFonts w:hint="default"/>
        <w:lang w:val="zh-CN" w:eastAsia="zh-CN" w:bidi="zh-CN"/>
      </w:rPr>
    </w:lvl>
    <w:lvl w:ilvl="7" w:tentative="0">
      <w:start w:val="0"/>
      <w:numFmt w:val="bullet"/>
      <w:lvlText w:val="•"/>
      <w:lvlJc w:val="left"/>
      <w:pPr>
        <w:ind w:left="7844" w:hanging="720"/>
      </w:pPr>
      <w:rPr>
        <w:rFonts w:hint="default"/>
        <w:lang w:val="zh-CN" w:eastAsia="zh-CN" w:bidi="zh-CN"/>
      </w:rPr>
    </w:lvl>
    <w:lvl w:ilvl="8" w:tentative="0">
      <w:start w:val="0"/>
      <w:numFmt w:val="bullet"/>
      <w:lvlText w:val="•"/>
      <w:lvlJc w:val="left"/>
      <w:pPr>
        <w:ind w:left="8745" w:hanging="720"/>
      </w:pPr>
      <w:rPr>
        <w:rFonts w:hint="default"/>
        <w:lang w:val="zh-CN" w:eastAsia="zh-CN" w:bidi="zh-CN"/>
      </w:rPr>
    </w:lvl>
  </w:abstractNum>
  <w:abstractNum w:abstractNumId="90">
    <w:nsid w:val="322D85CA"/>
    <w:multiLevelType w:val="multilevel"/>
    <w:tmpl w:val="322D85CA"/>
    <w:lvl w:ilvl="0" w:tentative="0">
      <w:start w:val="1"/>
      <w:numFmt w:val="decimal"/>
      <w:lvlText w:val="（%1）"/>
      <w:lvlJc w:val="left"/>
      <w:pPr>
        <w:ind w:left="388"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91">
    <w:nsid w:val="32A7AF2D"/>
    <w:multiLevelType w:val="multilevel"/>
    <w:tmpl w:val="32A7AF2D"/>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92">
    <w:nsid w:val="35E83B33"/>
    <w:multiLevelType w:val="multilevel"/>
    <w:tmpl w:val="35E83B33"/>
    <w:lvl w:ilvl="0" w:tentative="0">
      <w:start w:val="1"/>
      <w:numFmt w:val="decimal"/>
      <w:lvlText w:val="（%1）"/>
      <w:lvlJc w:val="left"/>
      <w:pPr>
        <w:ind w:left="1413" w:hanging="60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93">
    <w:nsid w:val="3A7FBA26"/>
    <w:multiLevelType w:val="multilevel"/>
    <w:tmpl w:val="3A7FBA26"/>
    <w:lvl w:ilvl="0" w:tentative="0">
      <w:start w:val="2"/>
      <w:numFmt w:val="decimal"/>
      <w:lvlText w:val="%1"/>
      <w:lvlJc w:val="left"/>
      <w:pPr>
        <w:ind w:left="812" w:hanging="420"/>
        <w:jc w:val="left"/>
      </w:pPr>
      <w:rPr>
        <w:rFonts w:hint="default"/>
        <w:lang w:val="zh-CN" w:eastAsia="zh-CN" w:bidi="zh-CN"/>
      </w:rPr>
    </w:lvl>
    <w:lvl w:ilvl="1" w:tentative="0">
      <w:start w:val="1"/>
      <w:numFmt w:val="decimal"/>
      <w:lvlText w:val="%1.%2"/>
      <w:lvlJc w:val="left"/>
      <w:pPr>
        <w:ind w:left="812" w:hanging="42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472" w:hanging="66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2613" w:hanging="660"/>
      </w:pPr>
      <w:rPr>
        <w:rFonts w:hint="default"/>
        <w:lang w:val="zh-CN" w:eastAsia="zh-CN" w:bidi="zh-CN"/>
      </w:rPr>
    </w:lvl>
    <w:lvl w:ilvl="4" w:tentative="0">
      <w:start w:val="0"/>
      <w:numFmt w:val="bullet"/>
      <w:lvlText w:val="•"/>
      <w:lvlJc w:val="left"/>
      <w:pPr>
        <w:ind w:left="3746" w:hanging="660"/>
      </w:pPr>
      <w:rPr>
        <w:rFonts w:hint="default"/>
        <w:lang w:val="zh-CN" w:eastAsia="zh-CN" w:bidi="zh-CN"/>
      </w:rPr>
    </w:lvl>
    <w:lvl w:ilvl="5" w:tentative="0">
      <w:start w:val="0"/>
      <w:numFmt w:val="bullet"/>
      <w:lvlText w:val="•"/>
      <w:lvlJc w:val="left"/>
      <w:pPr>
        <w:ind w:left="4880" w:hanging="660"/>
      </w:pPr>
      <w:rPr>
        <w:rFonts w:hint="default"/>
        <w:lang w:val="zh-CN" w:eastAsia="zh-CN" w:bidi="zh-CN"/>
      </w:rPr>
    </w:lvl>
    <w:lvl w:ilvl="6" w:tentative="0">
      <w:start w:val="0"/>
      <w:numFmt w:val="bullet"/>
      <w:lvlText w:val="•"/>
      <w:lvlJc w:val="left"/>
      <w:pPr>
        <w:ind w:left="6013" w:hanging="660"/>
      </w:pPr>
      <w:rPr>
        <w:rFonts w:hint="default"/>
        <w:lang w:val="zh-CN" w:eastAsia="zh-CN" w:bidi="zh-CN"/>
      </w:rPr>
    </w:lvl>
    <w:lvl w:ilvl="7" w:tentative="0">
      <w:start w:val="0"/>
      <w:numFmt w:val="bullet"/>
      <w:lvlText w:val="•"/>
      <w:lvlJc w:val="left"/>
      <w:pPr>
        <w:ind w:left="7146" w:hanging="660"/>
      </w:pPr>
      <w:rPr>
        <w:rFonts w:hint="default"/>
        <w:lang w:val="zh-CN" w:eastAsia="zh-CN" w:bidi="zh-CN"/>
      </w:rPr>
    </w:lvl>
    <w:lvl w:ilvl="8" w:tentative="0">
      <w:start w:val="0"/>
      <w:numFmt w:val="bullet"/>
      <w:lvlText w:val="•"/>
      <w:lvlJc w:val="left"/>
      <w:pPr>
        <w:ind w:left="8280" w:hanging="660"/>
      </w:pPr>
      <w:rPr>
        <w:rFonts w:hint="default"/>
        <w:lang w:val="zh-CN" w:eastAsia="zh-CN" w:bidi="zh-CN"/>
      </w:rPr>
    </w:lvl>
  </w:abstractNum>
  <w:abstractNum w:abstractNumId="94">
    <w:nsid w:val="3B8127DF"/>
    <w:multiLevelType w:val="multilevel"/>
    <w:tmpl w:val="3B8127DF"/>
    <w:lvl w:ilvl="0" w:tentative="0">
      <w:start w:val="1"/>
      <w:numFmt w:val="decimal"/>
      <w:lvlText w:val="（%1）"/>
      <w:lvlJc w:val="left"/>
      <w:pPr>
        <w:ind w:left="388" w:hanging="601"/>
        <w:jc w:val="left"/>
      </w:pPr>
      <w:rPr>
        <w:rFonts w:hint="default" w:ascii="宋体" w:hAnsi="宋体" w:eastAsia="宋体" w:cs="宋体"/>
        <w:spacing w:val="-12"/>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95">
    <w:nsid w:val="3FE315B6"/>
    <w:multiLevelType w:val="multilevel"/>
    <w:tmpl w:val="3FE315B6"/>
    <w:lvl w:ilvl="0" w:tentative="0">
      <w:start w:val="2"/>
      <w:numFmt w:val="decimal"/>
      <w:lvlText w:val="(%1)"/>
      <w:lvlJc w:val="left"/>
      <w:pPr>
        <w:ind w:left="1173" w:hanging="36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16" w:hanging="361"/>
      </w:pPr>
      <w:rPr>
        <w:rFonts w:hint="default"/>
        <w:lang w:val="zh-CN" w:eastAsia="zh-CN" w:bidi="zh-CN"/>
      </w:rPr>
    </w:lvl>
    <w:lvl w:ilvl="2" w:tentative="0">
      <w:start w:val="0"/>
      <w:numFmt w:val="bullet"/>
      <w:lvlText w:val="•"/>
      <w:lvlJc w:val="left"/>
      <w:pPr>
        <w:ind w:left="3053" w:hanging="361"/>
      </w:pPr>
      <w:rPr>
        <w:rFonts w:hint="default"/>
        <w:lang w:val="zh-CN" w:eastAsia="zh-CN" w:bidi="zh-CN"/>
      </w:rPr>
    </w:lvl>
    <w:lvl w:ilvl="3" w:tentative="0">
      <w:start w:val="0"/>
      <w:numFmt w:val="bullet"/>
      <w:lvlText w:val="•"/>
      <w:lvlJc w:val="left"/>
      <w:pPr>
        <w:ind w:left="3990" w:hanging="361"/>
      </w:pPr>
      <w:rPr>
        <w:rFonts w:hint="default"/>
        <w:lang w:val="zh-CN" w:eastAsia="zh-CN" w:bidi="zh-CN"/>
      </w:rPr>
    </w:lvl>
    <w:lvl w:ilvl="4" w:tentative="0">
      <w:start w:val="0"/>
      <w:numFmt w:val="bullet"/>
      <w:lvlText w:val="•"/>
      <w:lvlJc w:val="left"/>
      <w:pPr>
        <w:ind w:left="4926" w:hanging="361"/>
      </w:pPr>
      <w:rPr>
        <w:rFonts w:hint="default"/>
        <w:lang w:val="zh-CN" w:eastAsia="zh-CN" w:bidi="zh-CN"/>
      </w:rPr>
    </w:lvl>
    <w:lvl w:ilvl="5" w:tentative="0">
      <w:start w:val="0"/>
      <w:numFmt w:val="bullet"/>
      <w:lvlText w:val="•"/>
      <w:lvlJc w:val="left"/>
      <w:pPr>
        <w:ind w:left="5863" w:hanging="361"/>
      </w:pPr>
      <w:rPr>
        <w:rFonts w:hint="default"/>
        <w:lang w:val="zh-CN" w:eastAsia="zh-CN" w:bidi="zh-CN"/>
      </w:rPr>
    </w:lvl>
    <w:lvl w:ilvl="6" w:tentative="0">
      <w:start w:val="0"/>
      <w:numFmt w:val="bullet"/>
      <w:lvlText w:val="•"/>
      <w:lvlJc w:val="left"/>
      <w:pPr>
        <w:ind w:left="6800" w:hanging="361"/>
      </w:pPr>
      <w:rPr>
        <w:rFonts w:hint="default"/>
        <w:lang w:val="zh-CN" w:eastAsia="zh-CN" w:bidi="zh-CN"/>
      </w:rPr>
    </w:lvl>
    <w:lvl w:ilvl="7" w:tentative="0">
      <w:start w:val="0"/>
      <w:numFmt w:val="bullet"/>
      <w:lvlText w:val="•"/>
      <w:lvlJc w:val="left"/>
      <w:pPr>
        <w:ind w:left="7736" w:hanging="361"/>
      </w:pPr>
      <w:rPr>
        <w:rFonts w:hint="default"/>
        <w:lang w:val="zh-CN" w:eastAsia="zh-CN" w:bidi="zh-CN"/>
      </w:rPr>
    </w:lvl>
    <w:lvl w:ilvl="8" w:tentative="0">
      <w:start w:val="0"/>
      <w:numFmt w:val="bullet"/>
      <w:lvlText w:val="•"/>
      <w:lvlJc w:val="left"/>
      <w:pPr>
        <w:ind w:left="8673" w:hanging="361"/>
      </w:pPr>
      <w:rPr>
        <w:rFonts w:hint="default"/>
        <w:lang w:val="zh-CN" w:eastAsia="zh-CN" w:bidi="zh-CN"/>
      </w:rPr>
    </w:lvl>
  </w:abstractNum>
  <w:abstractNum w:abstractNumId="96">
    <w:nsid w:val="40B249F9"/>
    <w:multiLevelType w:val="multilevel"/>
    <w:tmpl w:val="40B249F9"/>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97">
    <w:nsid w:val="40F245EA"/>
    <w:multiLevelType w:val="multilevel"/>
    <w:tmpl w:val="40F245EA"/>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98">
    <w:nsid w:val="46A08BB8"/>
    <w:multiLevelType w:val="multilevel"/>
    <w:tmpl w:val="46A08BB8"/>
    <w:lvl w:ilvl="0" w:tentative="0">
      <w:start w:val="3"/>
      <w:numFmt w:val="decimal"/>
      <w:lvlText w:val="%1"/>
      <w:lvlJc w:val="left"/>
      <w:pPr>
        <w:ind w:left="388" w:hanging="660"/>
        <w:jc w:val="left"/>
      </w:pPr>
      <w:rPr>
        <w:rFonts w:hint="default"/>
        <w:lang w:val="zh-CN" w:eastAsia="zh-CN" w:bidi="zh-CN"/>
      </w:rPr>
    </w:lvl>
    <w:lvl w:ilvl="1" w:tentative="0">
      <w:start w:val="4"/>
      <w:numFmt w:val="decimal"/>
      <w:lvlText w:val="%1.%2"/>
      <w:lvlJc w:val="left"/>
      <w:pPr>
        <w:ind w:left="388" w:hanging="660"/>
        <w:jc w:val="left"/>
      </w:pPr>
      <w:rPr>
        <w:rFonts w:hint="default"/>
        <w:lang w:val="zh-CN" w:eastAsia="zh-CN" w:bidi="zh-CN"/>
      </w:rPr>
    </w:lvl>
    <w:lvl w:ilvl="2" w:tentative="0">
      <w:start w:val="1"/>
      <w:numFmt w:val="decimal"/>
      <w:lvlText w:val="%1.%2.%3"/>
      <w:lvlJc w:val="left"/>
      <w:pPr>
        <w:ind w:left="388" w:hanging="66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430" w:hanging="660"/>
      </w:pPr>
      <w:rPr>
        <w:rFonts w:hint="default"/>
        <w:lang w:val="zh-CN" w:eastAsia="zh-CN" w:bidi="zh-CN"/>
      </w:rPr>
    </w:lvl>
    <w:lvl w:ilvl="4" w:tentative="0">
      <w:start w:val="0"/>
      <w:numFmt w:val="bullet"/>
      <w:lvlText w:val="•"/>
      <w:lvlJc w:val="left"/>
      <w:pPr>
        <w:ind w:left="4446" w:hanging="660"/>
      </w:pPr>
      <w:rPr>
        <w:rFonts w:hint="default"/>
        <w:lang w:val="zh-CN" w:eastAsia="zh-CN" w:bidi="zh-CN"/>
      </w:rPr>
    </w:lvl>
    <w:lvl w:ilvl="5" w:tentative="0">
      <w:start w:val="0"/>
      <w:numFmt w:val="bullet"/>
      <w:lvlText w:val="•"/>
      <w:lvlJc w:val="left"/>
      <w:pPr>
        <w:ind w:left="5463" w:hanging="660"/>
      </w:pPr>
      <w:rPr>
        <w:rFonts w:hint="default"/>
        <w:lang w:val="zh-CN" w:eastAsia="zh-CN" w:bidi="zh-CN"/>
      </w:rPr>
    </w:lvl>
    <w:lvl w:ilvl="6" w:tentative="0">
      <w:start w:val="0"/>
      <w:numFmt w:val="bullet"/>
      <w:lvlText w:val="•"/>
      <w:lvlJc w:val="left"/>
      <w:pPr>
        <w:ind w:left="6480" w:hanging="660"/>
      </w:pPr>
      <w:rPr>
        <w:rFonts w:hint="default"/>
        <w:lang w:val="zh-CN" w:eastAsia="zh-CN" w:bidi="zh-CN"/>
      </w:rPr>
    </w:lvl>
    <w:lvl w:ilvl="7" w:tentative="0">
      <w:start w:val="0"/>
      <w:numFmt w:val="bullet"/>
      <w:lvlText w:val="•"/>
      <w:lvlJc w:val="left"/>
      <w:pPr>
        <w:ind w:left="7496" w:hanging="660"/>
      </w:pPr>
      <w:rPr>
        <w:rFonts w:hint="default"/>
        <w:lang w:val="zh-CN" w:eastAsia="zh-CN" w:bidi="zh-CN"/>
      </w:rPr>
    </w:lvl>
    <w:lvl w:ilvl="8" w:tentative="0">
      <w:start w:val="0"/>
      <w:numFmt w:val="bullet"/>
      <w:lvlText w:val="•"/>
      <w:lvlJc w:val="left"/>
      <w:pPr>
        <w:ind w:left="8513" w:hanging="660"/>
      </w:pPr>
      <w:rPr>
        <w:rFonts w:hint="default"/>
        <w:lang w:val="zh-CN" w:eastAsia="zh-CN" w:bidi="zh-CN"/>
      </w:rPr>
    </w:lvl>
  </w:abstractNum>
  <w:abstractNum w:abstractNumId="99">
    <w:nsid w:val="4A51D704"/>
    <w:multiLevelType w:val="multilevel"/>
    <w:tmpl w:val="4A51D704"/>
    <w:lvl w:ilvl="0" w:tentative="0">
      <w:start w:val="2"/>
      <w:numFmt w:val="decimal"/>
      <w:lvlText w:val="%1"/>
      <w:lvlJc w:val="left"/>
      <w:pPr>
        <w:ind w:left="1292" w:hanging="480"/>
        <w:jc w:val="left"/>
      </w:pPr>
      <w:rPr>
        <w:rFonts w:hint="default"/>
        <w:lang w:val="zh-CN" w:eastAsia="zh-CN" w:bidi="zh-CN"/>
      </w:rPr>
    </w:lvl>
    <w:lvl w:ilvl="1" w:tentative="0">
      <w:start w:val="4"/>
      <w:numFmt w:val="decimal"/>
      <w:lvlText w:val="%1.%2"/>
      <w:lvlJc w:val="left"/>
      <w:pPr>
        <w:ind w:left="1292" w:hanging="48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532" w:hanging="72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541" w:hanging="720"/>
      </w:pPr>
      <w:rPr>
        <w:rFonts w:hint="default"/>
        <w:lang w:val="zh-CN" w:eastAsia="zh-CN" w:bidi="zh-CN"/>
      </w:rPr>
    </w:lvl>
    <w:lvl w:ilvl="4" w:tentative="0">
      <w:start w:val="0"/>
      <w:numFmt w:val="bullet"/>
      <w:lvlText w:val="•"/>
      <w:lvlJc w:val="left"/>
      <w:pPr>
        <w:ind w:left="4542" w:hanging="720"/>
      </w:pPr>
      <w:rPr>
        <w:rFonts w:hint="default"/>
        <w:lang w:val="zh-CN" w:eastAsia="zh-CN" w:bidi="zh-CN"/>
      </w:rPr>
    </w:lvl>
    <w:lvl w:ilvl="5" w:tentative="0">
      <w:start w:val="0"/>
      <w:numFmt w:val="bullet"/>
      <w:lvlText w:val="•"/>
      <w:lvlJc w:val="left"/>
      <w:pPr>
        <w:ind w:left="5543" w:hanging="720"/>
      </w:pPr>
      <w:rPr>
        <w:rFonts w:hint="default"/>
        <w:lang w:val="zh-CN" w:eastAsia="zh-CN" w:bidi="zh-CN"/>
      </w:rPr>
    </w:lvl>
    <w:lvl w:ilvl="6" w:tentative="0">
      <w:start w:val="0"/>
      <w:numFmt w:val="bullet"/>
      <w:lvlText w:val="•"/>
      <w:lvlJc w:val="left"/>
      <w:pPr>
        <w:ind w:left="6543" w:hanging="720"/>
      </w:pPr>
      <w:rPr>
        <w:rFonts w:hint="default"/>
        <w:lang w:val="zh-CN" w:eastAsia="zh-CN" w:bidi="zh-CN"/>
      </w:rPr>
    </w:lvl>
    <w:lvl w:ilvl="7" w:tentative="0">
      <w:start w:val="0"/>
      <w:numFmt w:val="bullet"/>
      <w:lvlText w:val="•"/>
      <w:lvlJc w:val="left"/>
      <w:pPr>
        <w:ind w:left="7544" w:hanging="720"/>
      </w:pPr>
      <w:rPr>
        <w:rFonts w:hint="default"/>
        <w:lang w:val="zh-CN" w:eastAsia="zh-CN" w:bidi="zh-CN"/>
      </w:rPr>
    </w:lvl>
    <w:lvl w:ilvl="8" w:tentative="0">
      <w:start w:val="0"/>
      <w:numFmt w:val="bullet"/>
      <w:lvlText w:val="•"/>
      <w:lvlJc w:val="left"/>
      <w:pPr>
        <w:ind w:left="8545" w:hanging="720"/>
      </w:pPr>
      <w:rPr>
        <w:rFonts w:hint="default"/>
        <w:lang w:val="zh-CN" w:eastAsia="zh-CN" w:bidi="zh-CN"/>
      </w:rPr>
    </w:lvl>
  </w:abstractNum>
  <w:abstractNum w:abstractNumId="100">
    <w:nsid w:val="4C1BAE26"/>
    <w:multiLevelType w:val="multilevel"/>
    <w:tmpl w:val="4C1BAE26"/>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101">
    <w:nsid w:val="4C3D7A74"/>
    <w:multiLevelType w:val="multilevel"/>
    <w:tmpl w:val="4C3D7A74"/>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102">
    <w:nsid w:val="4CD1E351"/>
    <w:multiLevelType w:val="multilevel"/>
    <w:tmpl w:val="4CD1E351"/>
    <w:lvl w:ilvl="0" w:tentative="0">
      <w:start w:val="1"/>
      <w:numFmt w:val="decimal"/>
      <w:lvlText w:val="%1"/>
      <w:lvlJc w:val="left"/>
      <w:pPr>
        <w:ind w:left="1828" w:hanging="960"/>
        <w:jc w:val="left"/>
      </w:pPr>
      <w:rPr>
        <w:rFonts w:hint="default"/>
        <w:lang w:val="zh-CN" w:eastAsia="zh-CN" w:bidi="zh-CN"/>
      </w:rPr>
    </w:lvl>
    <w:lvl w:ilvl="1" w:tentative="0">
      <w:start w:val="1"/>
      <w:numFmt w:val="decimal"/>
      <w:lvlText w:val="%1.%2"/>
      <w:lvlJc w:val="left"/>
      <w:pPr>
        <w:ind w:left="1828" w:hanging="960"/>
        <w:jc w:val="left"/>
      </w:pPr>
      <w:rPr>
        <w:rFonts w:hint="default"/>
        <w:lang w:val="zh-CN" w:eastAsia="zh-CN" w:bidi="zh-CN"/>
      </w:rPr>
    </w:lvl>
    <w:lvl w:ilvl="2" w:tentative="0">
      <w:start w:val="3"/>
      <w:numFmt w:val="decimal"/>
      <w:lvlText w:val="%1.%2.%3"/>
      <w:lvlJc w:val="left"/>
      <w:pPr>
        <w:ind w:left="1828" w:hanging="960"/>
        <w:jc w:val="left"/>
      </w:pPr>
      <w:rPr>
        <w:rFonts w:hint="default"/>
        <w:lang w:val="zh-CN" w:eastAsia="zh-CN" w:bidi="zh-CN"/>
      </w:rPr>
    </w:lvl>
    <w:lvl w:ilvl="3" w:tentative="0">
      <w:start w:val="9"/>
      <w:numFmt w:val="decimal"/>
      <w:lvlText w:val="%1.%2.%3.%4"/>
      <w:lvlJc w:val="left"/>
      <w:pPr>
        <w:ind w:left="1828" w:hanging="960"/>
        <w:jc w:val="left"/>
      </w:pPr>
      <w:rPr>
        <w:rFonts w:hint="default" w:ascii="宋体" w:hAnsi="宋体" w:eastAsia="宋体" w:cs="宋体"/>
        <w:w w:val="100"/>
        <w:sz w:val="24"/>
        <w:szCs w:val="24"/>
        <w:lang w:val="zh-CN" w:eastAsia="zh-CN" w:bidi="zh-CN"/>
      </w:rPr>
    </w:lvl>
    <w:lvl w:ilvl="4" w:tentative="0">
      <w:start w:val="0"/>
      <w:numFmt w:val="bullet"/>
      <w:lvlText w:val="•"/>
      <w:lvlJc w:val="left"/>
      <w:pPr>
        <w:ind w:left="5310" w:hanging="960"/>
      </w:pPr>
      <w:rPr>
        <w:rFonts w:hint="default"/>
        <w:lang w:val="zh-CN" w:eastAsia="zh-CN" w:bidi="zh-CN"/>
      </w:rPr>
    </w:lvl>
    <w:lvl w:ilvl="5" w:tentative="0">
      <w:start w:val="0"/>
      <w:numFmt w:val="bullet"/>
      <w:lvlText w:val="•"/>
      <w:lvlJc w:val="left"/>
      <w:pPr>
        <w:ind w:left="6183" w:hanging="960"/>
      </w:pPr>
      <w:rPr>
        <w:rFonts w:hint="default"/>
        <w:lang w:val="zh-CN" w:eastAsia="zh-CN" w:bidi="zh-CN"/>
      </w:rPr>
    </w:lvl>
    <w:lvl w:ilvl="6" w:tentative="0">
      <w:start w:val="0"/>
      <w:numFmt w:val="bullet"/>
      <w:lvlText w:val="•"/>
      <w:lvlJc w:val="left"/>
      <w:pPr>
        <w:ind w:left="7056" w:hanging="960"/>
      </w:pPr>
      <w:rPr>
        <w:rFonts w:hint="default"/>
        <w:lang w:val="zh-CN" w:eastAsia="zh-CN" w:bidi="zh-CN"/>
      </w:rPr>
    </w:lvl>
    <w:lvl w:ilvl="7" w:tentative="0">
      <w:start w:val="0"/>
      <w:numFmt w:val="bullet"/>
      <w:lvlText w:val="•"/>
      <w:lvlJc w:val="left"/>
      <w:pPr>
        <w:ind w:left="7928" w:hanging="960"/>
      </w:pPr>
      <w:rPr>
        <w:rFonts w:hint="default"/>
        <w:lang w:val="zh-CN" w:eastAsia="zh-CN" w:bidi="zh-CN"/>
      </w:rPr>
    </w:lvl>
    <w:lvl w:ilvl="8" w:tentative="0">
      <w:start w:val="0"/>
      <w:numFmt w:val="bullet"/>
      <w:lvlText w:val="•"/>
      <w:lvlJc w:val="left"/>
      <w:pPr>
        <w:ind w:left="8801" w:hanging="960"/>
      </w:pPr>
      <w:rPr>
        <w:rFonts w:hint="default"/>
        <w:lang w:val="zh-CN" w:eastAsia="zh-CN" w:bidi="zh-CN"/>
      </w:rPr>
    </w:lvl>
  </w:abstractNum>
  <w:abstractNum w:abstractNumId="103">
    <w:nsid w:val="4D4DC07F"/>
    <w:multiLevelType w:val="multilevel"/>
    <w:tmpl w:val="4D4DC07F"/>
    <w:lvl w:ilvl="0" w:tentative="0">
      <w:start w:val="1"/>
      <w:numFmt w:val="decimal"/>
      <w:lvlText w:val="%1）"/>
      <w:lvlJc w:val="left"/>
      <w:pPr>
        <w:ind w:left="388" w:hanging="361"/>
        <w:jc w:val="left"/>
      </w:pPr>
      <w:rPr>
        <w:rFonts w:hint="default" w:ascii="宋体" w:hAnsi="宋体" w:eastAsia="宋体" w:cs="宋体"/>
        <w:spacing w:val="-39"/>
        <w:w w:val="100"/>
        <w:sz w:val="22"/>
        <w:szCs w:val="22"/>
        <w:lang w:val="zh-CN" w:eastAsia="zh-CN" w:bidi="zh-CN"/>
      </w:rPr>
    </w:lvl>
    <w:lvl w:ilvl="1" w:tentative="0">
      <w:start w:val="0"/>
      <w:numFmt w:val="bullet"/>
      <w:lvlText w:val="•"/>
      <w:lvlJc w:val="left"/>
      <w:pPr>
        <w:ind w:left="1396" w:hanging="361"/>
      </w:pPr>
      <w:rPr>
        <w:rFonts w:hint="default"/>
        <w:lang w:val="zh-CN" w:eastAsia="zh-CN" w:bidi="zh-CN"/>
      </w:rPr>
    </w:lvl>
    <w:lvl w:ilvl="2" w:tentative="0">
      <w:start w:val="0"/>
      <w:numFmt w:val="bullet"/>
      <w:lvlText w:val="•"/>
      <w:lvlJc w:val="left"/>
      <w:pPr>
        <w:ind w:left="2413" w:hanging="361"/>
      </w:pPr>
      <w:rPr>
        <w:rFonts w:hint="default"/>
        <w:lang w:val="zh-CN" w:eastAsia="zh-CN" w:bidi="zh-CN"/>
      </w:rPr>
    </w:lvl>
    <w:lvl w:ilvl="3" w:tentative="0">
      <w:start w:val="0"/>
      <w:numFmt w:val="bullet"/>
      <w:lvlText w:val="•"/>
      <w:lvlJc w:val="left"/>
      <w:pPr>
        <w:ind w:left="3430" w:hanging="361"/>
      </w:pPr>
      <w:rPr>
        <w:rFonts w:hint="default"/>
        <w:lang w:val="zh-CN" w:eastAsia="zh-CN" w:bidi="zh-CN"/>
      </w:rPr>
    </w:lvl>
    <w:lvl w:ilvl="4" w:tentative="0">
      <w:start w:val="0"/>
      <w:numFmt w:val="bullet"/>
      <w:lvlText w:val="•"/>
      <w:lvlJc w:val="left"/>
      <w:pPr>
        <w:ind w:left="4446" w:hanging="361"/>
      </w:pPr>
      <w:rPr>
        <w:rFonts w:hint="default"/>
        <w:lang w:val="zh-CN" w:eastAsia="zh-CN" w:bidi="zh-CN"/>
      </w:rPr>
    </w:lvl>
    <w:lvl w:ilvl="5" w:tentative="0">
      <w:start w:val="0"/>
      <w:numFmt w:val="bullet"/>
      <w:lvlText w:val="•"/>
      <w:lvlJc w:val="left"/>
      <w:pPr>
        <w:ind w:left="5463" w:hanging="361"/>
      </w:pPr>
      <w:rPr>
        <w:rFonts w:hint="default"/>
        <w:lang w:val="zh-CN" w:eastAsia="zh-CN" w:bidi="zh-CN"/>
      </w:rPr>
    </w:lvl>
    <w:lvl w:ilvl="6" w:tentative="0">
      <w:start w:val="0"/>
      <w:numFmt w:val="bullet"/>
      <w:lvlText w:val="•"/>
      <w:lvlJc w:val="left"/>
      <w:pPr>
        <w:ind w:left="6480" w:hanging="361"/>
      </w:pPr>
      <w:rPr>
        <w:rFonts w:hint="default"/>
        <w:lang w:val="zh-CN" w:eastAsia="zh-CN" w:bidi="zh-CN"/>
      </w:rPr>
    </w:lvl>
    <w:lvl w:ilvl="7" w:tentative="0">
      <w:start w:val="0"/>
      <w:numFmt w:val="bullet"/>
      <w:lvlText w:val="•"/>
      <w:lvlJc w:val="left"/>
      <w:pPr>
        <w:ind w:left="7496" w:hanging="361"/>
      </w:pPr>
      <w:rPr>
        <w:rFonts w:hint="default"/>
        <w:lang w:val="zh-CN" w:eastAsia="zh-CN" w:bidi="zh-CN"/>
      </w:rPr>
    </w:lvl>
    <w:lvl w:ilvl="8" w:tentative="0">
      <w:start w:val="0"/>
      <w:numFmt w:val="bullet"/>
      <w:lvlText w:val="•"/>
      <w:lvlJc w:val="left"/>
      <w:pPr>
        <w:ind w:left="8513" w:hanging="361"/>
      </w:pPr>
      <w:rPr>
        <w:rFonts w:hint="default"/>
        <w:lang w:val="zh-CN" w:eastAsia="zh-CN" w:bidi="zh-CN"/>
      </w:rPr>
    </w:lvl>
  </w:abstractNum>
  <w:abstractNum w:abstractNumId="104">
    <w:nsid w:val="4D63189B"/>
    <w:multiLevelType w:val="multilevel"/>
    <w:tmpl w:val="4D63189B"/>
    <w:lvl w:ilvl="0" w:tentative="0">
      <w:start w:val="1"/>
      <w:numFmt w:val="decimal"/>
      <w:lvlText w:val="%1."/>
      <w:lvlJc w:val="left"/>
      <w:pPr>
        <w:ind w:left="388" w:hanging="36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1396" w:hanging="361"/>
      </w:pPr>
      <w:rPr>
        <w:rFonts w:hint="default"/>
        <w:lang w:val="zh-CN" w:eastAsia="zh-CN" w:bidi="zh-CN"/>
      </w:rPr>
    </w:lvl>
    <w:lvl w:ilvl="2" w:tentative="0">
      <w:start w:val="0"/>
      <w:numFmt w:val="bullet"/>
      <w:lvlText w:val="•"/>
      <w:lvlJc w:val="left"/>
      <w:pPr>
        <w:ind w:left="2413" w:hanging="361"/>
      </w:pPr>
      <w:rPr>
        <w:rFonts w:hint="default"/>
        <w:lang w:val="zh-CN" w:eastAsia="zh-CN" w:bidi="zh-CN"/>
      </w:rPr>
    </w:lvl>
    <w:lvl w:ilvl="3" w:tentative="0">
      <w:start w:val="0"/>
      <w:numFmt w:val="bullet"/>
      <w:lvlText w:val="•"/>
      <w:lvlJc w:val="left"/>
      <w:pPr>
        <w:ind w:left="3430" w:hanging="361"/>
      </w:pPr>
      <w:rPr>
        <w:rFonts w:hint="default"/>
        <w:lang w:val="zh-CN" w:eastAsia="zh-CN" w:bidi="zh-CN"/>
      </w:rPr>
    </w:lvl>
    <w:lvl w:ilvl="4" w:tentative="0">
      <w:start w:val="0"/>
      <w:numFmt w:val="bullet"/>
      <w:lvlText w:val="•"/>
      <w:lvlJc w:val="left"/>
      <w:pPr>
        <w:ind w:left="4446" w:hanging="361"/>
      </w:pPr>
      <w:rPr>
        <w:rFonts w:hint="default"/>
        <w:lang w:val="zh-CN" w:eastAsia="zh-CN" w:bidi="zh-CN"/>
      </w:rPr>
    </w:lvl>
    <w:lvl w:ilvl="5" w:tentative="0">
      <w:start w:val="0"/>
      <w:numFmt w:val="bullet"/>
      <w:lvlText w:val="•"/>
      <w:lvlJc w:val="left"/>
      <w:pPr>
        <w:ind w:left="5463" w:hanging="361"/>
      </w:pPr>
      <w:rPr>
        <w:rFonts w:hint="default"/>
        <w:lang w:val="zh-CN" w:eastAsia="zh-CN" w:bidi="zh-CN"/>
      </w:rPr>
    </w:lvl>
    <w:lvl w:ilvl="6" w:tentative="0">
      <w:start w:val="0"/>
      <w:numFmt w:val="bullet"/>
      <w:lvlText w:val="•"/>
      <w:lvlJc w:val="left"/>
      <w:pPr>
        <w:ind w:left="6480" w:hanging="361"/>
      </w:pPr>
      <w:rPr>
        <w:rFonts w:hint="default"/>
        <w:lang w:val="zh-CN" w:eastAsia="zh-CN" w:bidi="zh-CN"/>
      </w:rPr>
    </w:lvl>
    <w:lvl w:ilvl="7" w:tentative="0">
      <w:start w:val="0"/>
      <w:numFmt w:val="bullet"/>
      <w:lvlText w:val="•"/>
      <w:lvlJc w:val="left"/>
      <w:pPr>
        <w:ind w:left="7496" w:hanging="361"/>
      </w:pPr>
      <w:rPr>
        <w:rFonts w:hint="default"/>
        <w:lang w:val="zh-CN" w:eastAsia="zh-CN" w:bidi="zh-CN"/>
      </w:rPr>
    </w:lvl>
    <w:lvl w:ilvl="8" w:tentative="0">
      <w:start w:val="0"/>
      <w:numFmt w:val="bullet"/>
      <w:lvlText w:val="•"/>
      <w:lvlJc w:val="left"/>
      <w:pPr>
        <w:ind w:left="8513" w:hanging="361"/>
      </w:pPr>
      <w:rPr>
        <w:rFonts w:hint="default"/>
        <w:lang w:val="zh-CN" w:eastAsia="zh-CN" w:bidi="zh-CN"/>
      </w:rPr>
    </w:lvl>
  </w:abstractNum>
  <w:abstractNum w:abstractNumId="105">
    <w:nsid w:val="4D94DA66"/>
    <w:multiLevelType w:val="multilevel"/>
    <w:tmpl w:val="4D94DA66"/>
    <w:lvl w:ilvl="0" w:tentative="0">
      <w:start w:val="2"/>
      <w:numFmt w:val="decimal"/>
      <w:lvlText w:val="（%1）"/>
      <w:lvlJc w:val="left"/>
      <w:pPr>
        <w:ind w:left="146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68" w:hanging="601"/>
      </w:pPr>
      <w:rPr>
        <w:rFonts w:hint="default"/>
        <w:lang w:val="zh-CN" w:eastAsia="zh-CN" w:bidi="zh-CN"/>
      </w:rPr>
    </w:lvl>
    <w:lvl w:ilvl="2" w:tentative="0">
      <w:start w:val="0"/>
      <w:numFmt w:val="bullet"/>
      <w:lvlText w:val="•"/>
      <w:lvlJc w:val="left"/>
      <w:pPr>
        <w:ind w:left="3277" w:hanging="601"/>
      </w:pPr>
      <w:rPr>
        <w:rFonts w:hint="default"/>
        <w:lang w:val="zh-CN" w:eastAsia="zh-CN" w:bidi="zh-CN"/>
      </w:rPr>
    </w:lvl>
    <w:lvl w:ilvl="3" w:tentative="0">
      <w:start w:val="0"/>
      <w:numFmt w:val="bullet"/>
      <w:lvlText w:val="•"/>
      <w:lvlJc w:val="left"/>
      <w:pPr>
        <w:ind w:left="4186" w:hanging="601"/>
      </w:pPr>
      <w:rPr>
        <w:rFonts w:hint="default"/>
        <w:lang w:val="zh-CN" w:eastAsia="zh-CN" w:bidi="zh-CN"/>
      </w:rPr>
    </w:lvl>
    <w:lvl w:ilvl="4" w:tentative="0">
      <w:start w:val="0"/>
      <w:numFmt w:val="bullet"/>
      <w:lvlText w:val="•"/>
      <w:lvlJc w:val="left"/>
      <w:pPr>
        <w:ind w:left="5094" w:hanging="601"/>
      </w:pPr>
      <w:rPr>
        <w:rFonts w:hint="default"/>
        <w:lang w:val="zh-CN" w:eastAsia="zh-CN" w:bidi="zh-CN"/>
      </w:rPr>
    </w:lvl>
    <w:lvl w:ilvl="5" w:tentative="0">
      <w:start w:val="0"/>
      <w:numFmt w:val="bullet"/>
      <w:lvlText w:val="•"/>
      <w:lvlJc w:val="left"/>
      <w:pPr>
        <w:ind w:left="6003" w:hanging="601"/>
      </w:pPr>
      <w:rPr>
        <w:rFonts w:hint="default"/>
        <w:lang w:val="zh-CN" w:eastAsia="zh-CN" w:bidi="zh-CN"/>
      </w:rPr>
    </w:lvl>
    <w:lvl w:ilvl="6" w:tentative="0">
      <w:start w:val="0"/>
      <w:numFmt w:val="bullet"/>
      <w:lvlText w:val="•"/>
      <w:lvlJc w:val="left"/>
      <w:pPr>
        <w:ind w:left="6912" w:hanging="601"/>
      </w:pPr>
      <w:rPr>
        <w:rFonts w:hint="default"/>
        <w:lang w:val="zh-CN" w:eastAsia="zh-CN" w:bidi="zh-CN"/>
      </w:rPr>
    </w:lvl>
    <w:lvl w:ilvl="7" w:tentative="0">
      <w:start w:val="0"/>
      <w:numFmt w:val="bullet"/>
      <w:lvlText w:val="•"/>
      <w:lvlJc w:val="left"/>
      <w:pPr>
        <w:ind w:left="7820" w:hanging="601"/>
      </w:pPr>
      <w:rPr>
        <w:rFonts w:hint="default"/>
        <w:lang w:val="zh-CN" w:eastAsia="zh-CN" w:bidi="zh-CN"/>
      </w:rPr>
    </w:lvl>
    <w:lvl w:ilvl="8" w:tentative="0">
      <w:start w:val="0"/>
      <w:numFmt w:val="bullet"/>
      <w:lvlText w:val="•"/>
      <w:lvlJc w:val="left"/>
      <w:pPr>
        <w:ind w:left="8729" w:hanging="601"/>
      </w:pPr>
      <w:rPr>
        <w:rFonts w:hint="default"/>
        <w:lang w:val="zh-CN" w:eastAsia="zh-CN" w:bidi="zh-CN"/>
      </w:rPr>
    </w:lvl>
  </w:abstractNum>
  <w:abstractNum w:abstractNumId="106">
    <w:nsid w:val="4FB438A5"/>
    <w:multiLevelType w:val="multilevel"/>
    <w:tmpl w:val="4FB438A5"/>
    <w:lvl w:ilvl="0" w:tentative="0">
      <w:start w:val="8"/>
      <w:numFmt w:val="decimal"/>
      <w:lvlText w:val="%1"/>
      <w:lvlJc w:val="left"/>
      <w:pPr>
        <w:ind w:left="751" w:hanging="364"/>
        <w:jc w:val="left"/>
      </w:pPr>
      <w:rPr>
        <w:rFonts w:hint="default"/>
        <w:lang w:val="zh-CN" w:eastAsia="zh-CN" w:bidi="zh-CN"/>
      </w:rPr>
    </w:lvl>
    <w:lvl w:ilvl="1" w:tentative="0">
      <w:start w:val="1"/>
      <w:numFmt w:val="decimal"/>
      <w:lvlText w:val="%1-%2"/>
      <w:lvlJc w:val="left"/>
      <w:pPr>
        <w:ind w:left="751" w:hanging="364"/>
        <w:jc w:val="left"/>
      </w:pPr>
      <w:rPr>
        <w:rFonts w:hint="default" w:ascii="宋体" w:hAnsi="宋体" w:eastAsia="宋体" w:cs="宋体"/>
        <w:b/>
        <w:bCs/>
        <w:spacing w:val="-3"/>
        <w:w w:val="99"/>
        <w:sz w:val="22"/>
        <w:szCs w:val="22"/>
        <w:lang w:val="zh-CN" w:eastAsia="zh-CN" w:bidi="zh-CN"/>
      </w:rPr>
    </w:lvl>
    <w:lvl w:ilvl="2" w:tentative="0">
      <w:start w:val="1"/>
      <w:numFmt w:val="decimal"/>
      <w:lvlText w:val="%3."/>
      <w:lvlJc w:val="left"/>
      <w:pPr>
        <w:ind w:left="388" w:hanging="361"/>
        <w:jc w:val="left"/>
      </w:pPr>
      <w:rPr>
        <w:rFonts w:hint="default" w:ascii="宋体" w:hAnsi="宋体" w:eastAsia="宋体" w:cs="宋体"/>
        <w:spacing w:val="-5"/>
        <w:w w:val="100"/>
        <w:sz w:val="22"/>
        <w:szCs w:val="22"/>
        <w:lang w:val="zh-CN" w:eastAsia="zh-CN" w:bidi="zh-CN"/>
      </w:rPr>
    </w:lvl>
    <w:lvl w:ilvl="3" w:tentative="0">
      <w:start w:val="0"/>
      <w:numFmt w:val="bullet"/>
      <w:lvlText w:val="•"/>
      <w:lvlJc w:val="left"/>
      <w:pPr>
        <w:ind w:left="2934" w:hanging="361"/>
      </w:pPr>
      <w:rPr>
        <w:rFonts w:hint="default"/>
        <w:lang w:val="zh-CN" w:eastAsia="zh-CN" w:bidi="zh-CN"/>
      </w:rPr>
    </w:lvl>
    <w:lvl w:ilvl="4" w:tentative="0">
      <w:start w:val="0"/>
      <w:numFmt w:val="bullet"/>
      <w:lvlText w:val="•"/>
      <w:lvlJc w:val="left"/>
      <w:pPr>
        <w:ind w:left="4022" w:hanging="361"/>
      </w:pPr>
      <w:rPr>
        <w:rFonts w:hint="default"/>
        <w:lang w:val="zh-CN" w:eastAsia="zh-CN" w:bidi="zh-CN"/>
      </w:rPr>
    </w:lvl>
    <w:lvl w:ilvl="5" w:tentative="0">
      <w:start w:val="0"/>
      <w:numFmt w:val="bullet"/>
      <w:lvlText w:val="•"/>
      <w:lvlJc w:val="left"/>
      <w:pPr>
        <w:ind w:left="5109" w:hanging="361"/>
      </w:pPr>
      <w:rPr>
        <w:rFonts w:hint="default"/>
        <w:lang w:val="zh-CN" w:eastAsia="zh-CN" w:bidi="zh-CN"/>
      </w:rPr>
    </w:lvl>
    <w:lvl w:ilvl="6" w:tentative="0">
      <w:start w:val="0"/>
      <w:numFmt w:val="bullet"/>
      <w:lvlText w:val="•"/>
      <w:lvlJc w:val="left"/>
      <w:pPr>
        <w:ind w:left="6197" w:hanging="361"/>
      </w:pPr>
      <w:rPr>
        <w:rFonts w:hint="default"/>
        <w:lang w:val="zh-CN" w:eastAsia="zh-CN" w:bidi="zh-CN"/>
      </w:rPr>
    </w:lvl>
    <w:lvl w:ilvl="7" w:tentative="0">
      <w:start w:val="0"/>
      <w:numFmt w:val="bullet"/>
      <w:lvlText w:val="•"/>
      <w:lvlJc w:val="left"/>
      <w:pPr>
        <w:ind w:left="7284" w:hanging="361"/>
      </w:pPr>
      <w:rPr>
        <w:rFonts w:hint="default"/>
        <w:lang w:val="zh-CN" w:eastAsia="zh-CN" w:bidi="zh-CN"/>
      </w:rPr>
    </w:lvl>
    <w:lvl w:ilvl="8" w:tentative="0">
      <w:start w:val="0"/>
      <w:numFmt w:val="bullet"/>
      <w:lvlText w:val="•"/>
      <w:lvlJc w:val="left"/>
      <w:pPr>
        <w:ind w:left="8372" w:hanging="361"/>
      </w:pPr>
      <w:rPr>
        <w:rFonts w:hint="default"/>
        <w:lang w:val="zh-CN" w:eastAsia="zh-CN" w:bidi="zh-CN"/>
      </w:rPr>
    </w:lvl>
  </w:abstractNum>
  <w:abstractNum w:abstractNumId="107">
    <w:nsid w:val="51C4BC33"/>
    <w:multiLevelType w:val="multilevel"/>
    <w:tmpl w:val="51C4BC33"/>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108">
    <w:nsid w:val="54701CA1"/>
    <w:multiLevelType w:val="multilevel"/>
    <w:tmpl w:val="54701CA1"/>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109">
    <w:nsid w:val="58765686"/>
    <w:multiLevelType w:val="multilevel"/>
    <w:tmpl w:val="58765686"/>
    <w:lvl w:ilvl="0" w:tentative="0">
      <w:start w:val="6"/>
      <w:numFmt w:val="decimal"/>
      <w:lvlText w:val="%1"/>
      <w:lvlJc w:val="left"/>
      <w:pPr>
        <w:ind w:left="808" w:hanging="420"/>
        <w:jc w:val="left"/>
      </w:pPr>
      <w:rPr>
        <w:rFonts w:hint="default"/>
        <w:lang w:val="zh-CN" w:eastAsia="zh-CN" w:bidi="zh-CN"/>
      </w:rPr>
    </w:lvl>
    <w:lvl w:ilvl="1" w:tentative="0">
      <w:start w:val="1"/>
      <w:numFmt w:val="decimal"/>
      <w:lvlText w:val="%1.%2"/>
      <w:lvlJc w:val="left"/>
      <w:pPr>
        <w:ind w:left="808" w:hanging="420"/>
        <w:jc w:val="left"/>
      </w:pPr>
      <w:rPr>
        <w:rFonts w:hint="default" w:ascii="宋体" w:hAnsi="宋体" w:eastAsia="宋体" w:cs="宋体"/>
        <w:b/>
        <w:bCs/>
        <w:w w:val="99"/>
        <w:sz w:val="24"/>
        <w:szCs w:val="24"/>
        <w:lang w:val="zh-CN" w:eastAsia="zh-CN" w:bidi="zh-CN"/>
      </w:rPr>
    </w:lvl>
    <w:lvl w:ilvl="2" w:tentative="0">
      <w:start w:val="1"/>
      <w:numFmt w:val="decimal"/>
      <w:lvlText w:val="%1.%2.%3"/>
      <w:lvlJc w:val="left"/>
      <w:pPr>
        <w:ind w:left="388" w:hanging="66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2966" w:hanging="660"/>
      </w:pPr>
      <w:rPr>
        <w:rFonts w:hint="default"/>
        <w:lang w:val="zh-CN" w:eastAsia="zh-CN" w:bidi="zh-CN"/>
      </w:rPr>
    </w:lvl>
    <w:lvl w:ilvl="4" w:tentative="0">
      <w:start w:val="0"/>
      <w:numFmt w:val="bullet"/>
      <w:lvlText w:val="•"/>
      <w:lvlJc w:val="left"/>
      <w:pPr>
        <w:ind w:left="4049" w:hanging="660"/>
      </w:pPr>
      <w:rPr>
        <w:rFonts w:hint="default"/>
        <w:lang w:val="zh-CN" w:eastAsia="zh-CN" w:bidi="zh-CN"/>
      </w:rPr>
    </w:lvl>
    <w:lvl w:ilvl="5" w:tentative="0">
      <w:start w:val="0"/>
      <w:numFmt w:val="bullet"/>
      <w:lvlText w:val="•"/>
      <w:lvlJc w:val="left"/>
      <w:pPr>
        <w:ind w:left="5132" w:hanging="660"/>
      </w:pPr>
      <w:rPr>
        <w:rFonts w:hint="default"/>
        <w:lang w:val="zh-CN" w:eastAsia="zh-CN" w:bidi="zh-CN"/>
      </w:rPr>
    </w:lvl>
    <w:lvl w:ilvl="6" w:tentative="0">
      <w:start w:val="0"/>
      <w:numFmt w:val="bullet"/>
      <w:lvlText w:val="•"/>
      <w:lvlJc w:val="left"/>
      <w:pPr>
        <w:ind w:left="6215" w:hanging="660"/>
      </w:pPr>
      <w:rPr>
        <w:rFonts w:hint="default"/>
        <w:lang w:val="zh-CN" w:eastAsia="zh-CN" w:bidi="zh-CN"/>
      </w:rPr>
    </w:lvl>
    <w:lvl w:ilvl="7" w:tentative="0">
      <w:start w:val="0"/>
      <w:numFmt w:val="bullet"/>
      <w:lvlText w:val="•"/>
      <w:lvlJc w:val="left"/>
      <w:pPr>
        <w:ind w:left="7298" w:hanging="660"/>
      </w:pPr>
      <w:rPr>
        <w:rFonts w:hint="default"/>
        <w:lang w:val="zh-CN" w:eastAsia="zh-CN" w:bidi="zh-CN"/>
      </w:rPr>
    </w:lvl>
    <w:lvl w:ilvl="8" w:tentative="0">
      <w:start w:val="0"/>
      <w:numFmt w:val="bullet"/>
      <w:lvlText w:val="•"/>
      <w:lvlJc w:val="left"/>
      <w:pPr>
        <w:ind w:left="8381" w:hanging="660"/>
      </w:pPr>
      <w:rPr>
        <w:rFonts w:hint="default"/>
        <w:lang w:val="zh-CN" w:eastAsia="zh-CN" w:bidi="zh-CN"/>
      </w:rPr>
    </w:lvl>
  </w:abstractNum>
  <w:abstractNum w:abstractNumId="110">
    <w:nsid w:val="59EEFD2A"/>
    <w:multiLevelType w:val="multilevel"/>
    <w:tmpl w:val="59EEFD2A"/>
    <w:lvl w:ilvl="0" w:tentative="0">
      <w:start w:val="1"/>
      <w:numFmt w:val="decimal"/>
      <w:lvlText w:val="（%1）"/>
      <w:lvlJc w:val="left"/>
      <w:pPr>
        <w:ind w:left="388" w:hanging="601"/>
        <w:jc w:val="left"/>
      </w:pPr>
      <w:rPr>
        <w:rFonts w:hint="default" w:ascii="宋体" w:hAnsi="宋体" w:eastAsia="宋体" w:cs="宋体"/>
        <w:spacing w:val="-5"/>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111">
    <w:nsid w:val="5A241D34"/>
    <w:multiLevelType w:val="multilevel"/>
    <w:tmpl w:val="5A241D34"/>
    <w:lvl w:ilvl="0" w:tentative="0">
      <w:start w:val="3"/>
      <w:numFmt w:val="decimal"/>
      <w:lvlText w:val="（%1）"/>
      <w:lvlJc w:val="left"/>
      <w:pPr>
        <w:ind w:left="106"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694" w:hanging="601"/>
      </w:pPr>
      <w:rPr>
        <w:rFonts w:hint="default"/>
        <w:lang w:val="zh-CN" w:eastAsia="zh-CN" w:bidi="zh-CN"/>
      </w:rPr>
    </w:lvl>
    <w:lvl w:ilvl="2" w:tentative="0">
      <w:start w:val="0"/>
      <w:numFmt w:val="bullet"/>
      <w:lvlText w:val="•"/>
      <w:lvlJc w:val="left"/>
      <w:pPr>
        <w:ind w:left="1289" w:hanging="601"/>
      </w:pPr>
      <w:rPr>
        <w:rFonts w:hint="default"/>
        <w:lang w:val="zh-CN" w:eastAsia="zh-CN" w:bidi="zh-CN"/>
      </w:rPr>
    </w:lvl>
    <w:lvl w:ilvl="3" w:tentative="0">
      <w:start w:val="0"/>
      <w:numFmt w:val="bullet"/>
      <w:lvlText w:val="•"/>
      <w:lvlJc w:val="left"/>
      <w:pPr>
        <w:ind w:left="1884" w:hanging="601"/>
      </w:pPr>
      <w:rPr>
        <w:rFonts w:hint="default"/>
        <w:lang w:val="zh-CN" w:eastAsia="zh-CN" w:bidi="zh-CN"/>
      </w:rPr>
    </w:lvl>
    <w:lvl w:ilvl="4" w:tentative="0">
      <w:start w:val="0"/>
      <w:numFmt w:val="bullet"/>
      <w:lvlText w:val="•"/>
      <w:lvlJc w:val="left"/>
      <w:pPr>
        <w:ind w:left="2479" w:hanging="601"/>
      </w:pPr>
      <w:rPr>
        <w:rFonts w:hint="default"/>
        <w:lang w:val="zh-CN" w:eastAsia="zh-CN" w:bidi="zh-CN"/>
      </w:rPr>
    </w:lvl>
    <w:lvl w:ilvl="5" w:tentative="0">
      <w:start w:val="0"/>
      <w:numFmt w:val="bullet"/>
      <w:lvlText w:val="•"/>
      <w:lvlJc w:val="left"/>
      <w:pPr>
        <w:ind w:left="3074" w:hanging="601"/>
      </w:pPr>
      <w:rPr>
        <w:rFonts w:hint="default"/>
        <w:lang w:val="zh-CN" w:eastAsia="zh-CN" w:bidi="zh-CN"/>
      </w:rPr>
    </w:lvl>
    <w:lvl w:ilvl="6" w:tentative="0">
      <w:start w:val="0"/>
      <w:numFmt w:val="bullet"/>
      <w:lvlText w:val="•"/>
      <w:lvlJc w:val="left"/>
      <w:pPr>
        <w:ind w:left="3668" w:hanging="601"/>
      </w:pPr>
      <w:rPr>
        <w:rFonts w:hint="default"/>
        <w:lang w:val="zh-CN" w:eastAsia="zh-CN" w:bidi="zh-CN"/>
      </w:rPr>
    </w:lvl>
    <w:lvl w:ilvl="7" w:tentative="0">
      <w:start w:val="0"/>
      <w:numFmt w:val="bullet"/>
      <w:lvlText w:val="•"/>
      <w:lvlJc w:val="left"/>
      <w:pPr>
        <w:ind w:left="4263" w:hanging="601"/>
      </w:pPr>
      <w:rPr>
        <w:rFonts w:hint="default"/>
        <w:lang w:val="zh-CN" w:eastAsia="zh-CN" w:bidi="zh-CN"/>
      </w:rPr>
    </w:lvl>
    <w:lvl w:ilvl="8" w:tentative="0">
      <w:start w:val="0"/>
      <w:numFmt w:val="bullet"/>
      <w:lvlText w:val="•"/>
      <w:lvlJc w:val="left"/>
      <w:pPr>
        <w:ind w:left="4858" w:hanging="601"/>
      </w:pPr>
      <w:rPr>
        <w:rFonts w:hint="default"/>
        <w:lang w:val="zh-CN" w:eastAsia="zh-CN" w:bidi="zh-CN"/>
      </w:rPr>
    </w:lvl>
  </w:abstractNum>
  <w:abstractNum w:abstractNumId="112">
    <w:nsid w:val="5E29AB5A"/>
    <w:multiLevelType w:val="multilevel"/>
    <w:tmpl w:val="5E29AB5A"/>
    <w:lvl w:ilvl="0" w:tentative="0">
      <w:start w:val="1"/>
      <w:numFmt w:val="decimal"/>
      <w:lvlText w:val="%1."/>
      <w:lvlJc w:val="left"/>
      <w:pPr>
        <w:ind w:left="629"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12" w:hanging="241"/>
      </w:pPr>
      <w:rPr>
        <w:rFonts w:hint="default"/>
        <w:lang w:val="zh-CN" w:eastAsia="zh-CN" w:bidi="zh-CN"/>
      </w:rPr>
    </w:lvl>
    <w:lvl w:ilvl="2" w:tentative="0">
      <w:start w:val="0"/>
      <w:numFmt w:val="bullet"/>
      <w:lvlText w:val="•"/>
      <w:lvlJc w:val="left"/>
      <w:pPr>
        <w:ind w:left="2605" w:hanging="241"/>
      </w:pPr>
      <w:rPr>
        <w:rFonts w:hint="default"/>
        <w:lang w:val="zh-CN" w:eastAsia="zh-CN" w:bidi="zh-CN"/>
      </w:rPr>
    </w:lvl>
    <w:lvl w:ilvl="3" w:tentative="0">
      <w:start w:val="0"/>
      <w:numFmt w:val="bullet"/>
      <w:lvlText w:val="•"/>
      <w:lvlJc w:val="left"/>
      <w:pPr>
        <w:ind w:left="3598" w:hanging="241"/>
      </w:pPr>
      <w:rPr>
        <w:rFonts w:hint="default"/>
        <w:lang w:val="zh-CN" w:eastAsia="zh-CN" w:bidi="zh-CN"/>
      </w:rPr>
    </w:lvl>
    <w:lvl w:ilvl="4" w:tentative="0">
      <w:start w:val="0"/>
      <w:numFmt w:val="bullet"/>
      <w:lvlText w:val="•"/>
      <w:lvlJc w:val="left"/>
      <w:pPr>
        <w:ind w:left="4590" w:hanging="241"/>
      </w:pPr>
      <w:rPr>
        <w:rFonts w:hint="default"/>
        <w:lang w:val="zh-CN" w:eastAsia="zh-CN" w:bidi="zh-CN"/>
      </w:rPr>
    </w:lvl>
    <w:lvl w:ilvl="5" w:tentative="0">
      <w:start w:val="0"/>
      <w:numFmt w:val="bullet"/>
      <w:lvlText w:val="•"/>
      <w:lvlJc w:val="left"/>
      <w:pPr>
        <w:ind w:left="5583" w:hanging="241"/>
      </w:pPr>
      <w:rPr>
        <w:rFonts w:hint="default"/>
        <w:lang w:val="zh-CN" w:eastAsia="zh-CN" w:bidi="zh-CN"/>
      </w:rPr>
    </w:lvl>
    <w:lvl w:ilvl="6" w:tentative="0">
      <w:start w:val="0"/>
      <w:numFmt w:val="bullet"/>
      <w:lvlText w:val="•"/>
      <w:lvlJc w:val="left"/>
      <w:pPr>
        <w:ind w:left="6576" w:hanging="241"/>
      </w:pPr>
      <w:rPr>
        <w:rFonts w:hint="default"/>
        <w:lang w:val="zh-CN" w:eastAsia="zh-CN" w:bidi="zh-CN"/>
      </w:rPr>
    </w:lvl>
    <w:lvl w:ilvl="7" w:tentative="0">
      <w:start w:val="0"/>
      <w:numFmt w:val="bullet"/>
      <w:lvlText w:val="•"/>
      <w:lvlJc w:val="left"/>
      <w:pPr>
        <w:ind w:left="7568" w:hanging="241"/>
      </w:pPr>
      <w:rPr>
        <w:rFonts w:hint="default"/>
        <w:lang w:val="zh-CN" w:eastAsia="zh-CN" w:bidi="zh-CN"/>
      </w:rPr>
    </w:lvl>
    <w:lvl w:ilvl="8" w:tentative="0">
      <w:start w:val="0"/>
      <w:numFmt w:val="bullet"/>
      <w:lvlText w:val="•"/>
      <w:lvlJc w:val="left"/>
      <w:pPr>
        <w:ind w:left="8561" w:hanging="241"/>
      </w:pPr>
      <w:rPr>
        <w:rFonts w:hint="default"/>
        <w:lang w:val="zh-CN" w:eastAsia="zh-CN" w:bidi="zh-CN"/>
      </w:rPr>
    </w:lvl>
  </w:abstractNum>
  <w:abstractNum w:abstractNumId="113">
    <w:nsid w:val="5FCE4367"/>
    <w:multiLevelType w:val="multilevel"/>
    <w:tmpl w:val="5FCE4367"/>
    <w:lvl w:ilvl="0" w:tentative="0">
      <w:start w:val="10"/>
      <w:numFmt w:val="decimal"/>
      <w:lvlText w:val="%1"/>
      <w:lvlJc w:val="left"/>
      <w:pPr>
        <w:ind w:left="1412" w:hanging="600"/>
        <w:jc w:val="left"/>
      </w:pPr>
      <w:rPr>
        <w:rFonts w:hint="default"/>
        <w:lang w:val="zh-CN" w:eastAsia="zh-CN" w:bidi="zh-CN"/>
      </w:rPr>
    </w:lvl>
    <w:lvl w:ilvl="1" w:tentative="0">
      <w:start w:val="7"/>
      <w:numFmt w:val="decimal"/>
      <w:lvlText w:val="%1.%2"/>
      <w:lvlJc w:val="left"/>
      <w:pPr>
        <w:ind w:left="1412" w:hanging="60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652" w:hanging="84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634" w:hanging="840"/>
      </w:pPr>
      <w:rPr>
        <w:rFonts w:hint="default"/>
        <w:lang w:val="zh-CN" w:eastAsia="zh-CN" w:bidi="zh-CN"/>
      </w:rPr>
    </w:lvl>
    <w:lvl w:ilvl="4" w:tentative="0">
      <w:start w:val="0"/>
      <w:numFmt w:val="bullet"/>
      <w:lvlText w:val="•"/>
      <w:lvlJc w:val="left"/>
      <w:pPr>
        <w:ind w:left="4622" w:hanging="840"/>
      </w:pPr>
      <w:rPr>
        <w:rFonts w:hint="default"/>
        <w:lang w:val="zh-CN" w:eastAsia="zh-CN" w:bidi="zh-CN"/>
      </w:rPr>
    </w:lvl>
    <w:lvl w:ilvl="5" w:tentative="0">
      <w:start w:val="0"/>
      <w:numFmt w:val="bullet"/>
      <w:lvlText w:val="•"/>
      <w:lvlJc w:val="left"/>
      <w:pPr>
        <w:ind w:left="5609" w:hanging="840"/>
      </w:pPr>
      <w:rPr>
        <w:rFonts w:hint="default"/>
        <w:lang w:val="zh-CN" w:eastAsia="zh-CN" w:bidi="zh-CN"/>
      </w:rPr>
    </w:lvl>
    <w:lvl w:ilvl="6" w:tentative="0">
      <w:start w:val="0"/>
      <w:numFmt w:val="bullet"/>
      <w:lvlText w:val="•"/>
      <w:lvlJc w:val="left"/>
      <w:pPr>
        <w:ind w:left="6597" w:hanging="840"/>
      </w:pPr>
      <w:rPr>
        <w:rFonts w:hint="default"/>
        <w:lang w:val="zh-CN" w:eastAsia="zh-CN" w:bidi="zh-CN"/>
      </w:rPr>
    </w:lvl>
    <w:lvl w:ilvl="7" w:tentative="0">
      <w:start w:val="0"/>
      <w:numFmt w:val="bullet"/>
      <w:lvlText w:val="•"/>
      <w:lvlJc w:val="left"/>
      <w:pPr>
        <w:ind w:left="7584" w:hanging="840"/>
      </w:pPr>
      <w:rPr>
        <w:rFonts w:hint="default"/>
        <w:lang w:val="zh-CN" w:eastAsia="zh-CN" w:bidi="zh-CN"/>
      </w:rPr>
    </w:lvl>
    <w:lvl w:ilvl="8" w:tentative="0">
      <w:start w:val="0"/>
      <w:numFmt w:val="bullet"/>
      <w:lvlText w:val="•"/>
      <w:lvlJc w:val="left"/>
      <w:pPr>
        <w:ind w:left="8572" w:hanging="840"/>
      </w:pPr>
      <w:rPr>
        <w:rFonts w:hint="default"/>
        <w:lang w:val="zh-CN" w:eastAsia="zh-CN" w:bidi="zh-CN"/>
      </w:rPr>
    </w:lvl>
  </w:abstractNum>
  <w:abstractNum w:abstractNumId="114">
    <w:nsid w:val="5FFFB1A7"/>
    <w:multiLevelType w:val="multilevel"/>
    <w:tmpl w:val="5FFFB1A7"/>
    <w:lvl w:ilvl="0" w:tentative="0">
      <w:start w:val="1"/>
      <w:numFmt w:val="decimal"/>
      <w:lvlText w:val="（%1）"/>
      <w:lvlJc w:val="left"/>
      <w:pPr>
        <w:ind w:left="98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936" w:hanging="601"/>
      </w:pPr>
      <w:rPr>
        <w:rFonts w:hint="default"/>
        <w:lang w:val="zh-CN" w:eastAsia="zh-CN" w:bidi="zh-CN"/>
      </w:rPr>
    </w:lvl>
    <w:lvl w:ilvl="2" w:tentative="0">
      <w:start w:val="0"/>
      <w:numFmt w:val="bullet"/>
      <w:lvlText w:val="•"/>
      <w:lvlJc w:val="left"/>
      <w:pPr>
        <w:ind w:left="2893" w:hanging="601"/>
      </w:pPr>
      <w:rPr>
        <w:rFonts w:hint="default"/>
        <w:lang w:val="zh-CN" w:eastAsia="zh-CN" w:bidi="zh-CN"/>
      </w:rPr>
    </w:lvl>
    <w:lvl w:ilvl="3" w:tentative="0">
      <w:start w:val="0"/>
      <w:numFmt w:val="bullet"/>
      <w:lvlText w:val="•"/>
      <w:lvlJc w:val="left"/>
      <w:pPr>
        <w:ind w:left="3850" w:hanging="601"/>
      </w:pPr>
      <w:rPr>
        <w:rFonts w:hint="default"/>
        <w:lang w:val="zh-CN" w:eastAsia="zh-CN" w:bidi="zh-CN"/>
      </w:rPr>
    </w:lvl>
    <w:lvl w:ilvl="4" w:tentative="0">
      <w:start w:val="0"/>
      <w:numFmt w:val="bullet"/>
      <w:lvlText w:val="•"/>
      <w:lvlJc w:val="left"/>
      <w:pPr>
        <w:ind w:left="4806" w:hanging="601"/>
      </w:pPr>
      <w:rPr>
        <w:rFonts w:hint="default"/>
        <w:lang w:val="zh-CN" w:eastAsia="zh-CN" w:bidi="zh-CN"/>
      </w:rPr>
    </w:lvl>
    <w:lvl w:ilvl="5" w:tentative="0">
      <w:start w:val="0"/>
      <w:numFmt w:val="bullet"/>
      <w:lvlText w:val="•"/>
      <w:lvlJc w:val="left"/>
      <w:pPr>
        <w:ind w:left="5763" w:hanging="601"/>
      </w:pPr>
      <w:rPr>
        <w:rFonts w:hint="default"/>
        <w:lang w:val="zh-CN" w:eastAsia="zh-CN" w:bidi="zh-CN"/>
      </w:rPr>
    </w:lvl>
    <w:lvl w:ilvl="6" w:tentative="0">
      <w:start w:val="0"/>
      <w:numFmt w:val="bullet"/>
      <w:lvlText w:val="•"/>
      <w:lvlJc w:val="left"/>
      <w:pPr>
        <w:ind w:left="6720" w:hanging="601"/>
      </w:pPr>
      <w:rPr>
        <w:rFonts w:hint="default"/>
        <w:lang w:val="zh-CN" w:eastAsia="zh-CN" w:bidi="zh-CN"/>
      </w:rPr>
    </w:lvl>
    <w:lvl w:ilvl="7" w:tentative="0">
      <w:start w:val="0"/>
      <w:numFmt w:val="bullet"/>
      <w:lvlText w:val="•"/>
      <w:lvlJc w:val="left"/>
      <w:pPr>
        <w:ind w:left="7676" w:hanging="601"/>
      </w:pPr>
      <w:rPr>
        <w:rFonts w:hint="default"/>
        <w:lang w:val="zh-CN" w:eastAsia="zh-CN" w:bidi="zh-CN"/>
      </w:rPr>
    </w:lvl>
    <w:lvl w:ilvl="8" w:tentative="0">
      <w:start w:val="0"/>
      <w:numFmt w:val="bullet"/>
      <w:lvlText w:val="•"/>
      <w:lvlJc w:val="left"/>
      <w:pPr>
        <w:ind w:left="8633" w:hanging="601"/>
      </w:pPr>
      <w:rPr>
        <w:rFonts w:hint="default"/>
        <w:lang w:val="zh-CN" w:eastAsia="zh-CN" w:bidi="zh-CN"/>
      </w:rPr>
    </w:lvl>
  </w:abstractNum>
  <w:abstractNum w:abstractNumId="115">
    <w:nsid w:val="60382F6E"/>
    <w:multiLevelType w:val="multilevel"/>
    <w:tmpl w:val="60382F6E"/>
    <w:lvl w:ilvl="0" w:tentative="0">
      <w:start w:val="3"/>
      <w:numFmt w:val="decimal"/>
      <w:lvlText w:val="%1"/>
      <w:lvlJc w:val="left"/>
      <w:pPr>
        <w:ind w:left="1472" w:hanging="660"/>
        <w:jc w:val="left"/>
      </w:pPr>
      <w:rPr>
        <w:rFonts w:hint="default"/>
        <w:lang w:val="zh-CN" w:eastAsia="zh-CN" w:bidi="zh-CN"/>
      </w:rPr>
    </w:lvl>
    <w:lvl w:ilvl="1" w:tentative="0">
      <w:start w:val="2"/>
      <w:numFmt w:val="decimal"/>
      <w:lvlText w:val="%1.%2"/>
      <w:lvlJc w:val="left"/>
      <w:pPr>
        <w:ind w:left="1472" w:hanging="660"/>
        <w:jc w:val="left"/>
      </w:pPr>
      <w:rPr>
        <w:rFonts w:hint="default"/>
        <w:lang w:val="zh-CN" w:eastAsia="zh-CN" w:bidi="zh-CN"/>
      </w:rPr>
    </w:lvl>
    <w:lvl w:ilvl="2" w:tentative="0">
      <w:start w:val="1"/>
      <w:numFmt w:val="decimal"/>
      <w:lvlText w:val="%1.%2.%3"/>
      <w:lvlJc w:val="left"/>
      <w:pPr>
        <w:ind w:left="1472" w:hanging="66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4200" w:hanging="660"/>
      </w:pPr>
      <w:rPr>
        <w:rFonts w:hint="default"/>
        <w:lang w:val="zh-CN" w:eastAsia="zh-CN" w:bidi="zh-CN"/>
      </w:rPr>
    </w:lvl>
    <w:lvl w:ilvl="4" w:tentative="0">
      <w:start w:val="0"/>
      <w:numFmt w:val="bullet"/>
      <w:lvlText w:val="•"/>
      <w:lvlJc w:val="left"/>
      <w:pPr>
        <w:ind w:left="5106" w:hanging="660"/>
      </w:pPr>
      <w:rPr>
        <w:rFonts w:hint="default"/>
        <w:lang w:val="zh-CN" w:eastAsia="zh-CN" w:bidi="zh-CN"/>
      </w:rPr>
    </w:lvl>
    <w:lvl w:ilvl="5" w:tentative="0">
      <w:start w:val="0"/>
      <w:numFmt w:val="bullet"/>
      <w:lvlText w:val="•"/>
      <w:lvlJc w:val="left"/>
      <w:pPr>
        <w:ind w:left="6013" w:hanging="660"/>
      </w:pPr>
      <w:rPr>
        <w:rFonts w:hint="default"/>
        <w:lang w:val="zh-CN" w:eastAsia="zh-CN" w:bidi="zh-CN"/>
      </w:rPr>
    </w:lvl>
    <w:lvl w:ilvl="6" w:tentative="0">
      <w:start w:val="0"/>
      <w:numFmt w:val="bullet"/>
      <w:lvlText w:val="•"/>
      <w:lvlJc w:val="left"/>
      <w:pPr>
        <w:ind w:left="6920" w:hanging="660"/>
      </w:pPr>
      <w:rPr>
        <w:rFonts w:hint="default"/>
        <w:lang w:val="zh-CN" w:eastAsia="zh-CN" w:bidi="zh-CN"/>
      </w:rPr>
    </w:lvl>
    <w:lvl w:ilvl="7" w:tentative="0">
      <w:start w:val="0"/>
      <w:numFmt w:val="bullet"/>
      <w:lvlText w:val="•"/>
      <w:lvlJc w:val="left"/>
      <w:pPr>
        <w:ind w:left="7826" w:hanging="660"/>
      </w:pPr>
      <w:rPr>
        <w:rFonts w:hint="default"/>
        <w:lang w:val="zh-CN" w:eastAsia="zh-CN" w:bidi="zh-CN"/>
      </w:rPr>
    </w:lvl>
    <w:lvl w:ilvl="8" w:tentative="0">
      <w:start w:val="0"/>
      <w:numFmt w:val="bullet"/>
      <w:lvlText w:val="•"/>
      <w:lvlJc w:val="left"/>
      <w:pPr>
        <w:ind w:left="8733" w:hanging="660"/>
      </w:pPr>
      <w:rPr>
        <w:rFonts w:hint="default"/>
        <w:lang w:val="zh-CN" w:eastAsia="zh-CN" w:bidi="zh-CN"/>
      </w:rPr>
    </w:lvl>
  </w:abstractNum>
  <w:abstractNum w:abstractNumId="116">
    <w:nsid w:val="610EFE5C"/>
    <w:multiLevelType w:val="multilevel"/>
    <w:tmpl w:val="610EFE5C"/>
    <w:lvl w:ilvl="0" w:tentative="0">
      <w:start w:val="3"/>
      <w:numFmt w:val="decimal"/>
      <w:lvlText w:val="%1"/>
      <w:lvlJc w:val="left"/>
      <w:pPr>
        <w:ind w:left="1532" w:hanging="720"/>
        <w:jc w:val="left"/>
      </w:pPr>
      <w:rPr>
        <w:rFonts w:hint="default"/>
        <w:lang w:val="zh-CN" w:eastAsia="zh-CN" w:bidi="zh-CN"/>
      </w:rPr>
    </w:lvl>
    <w:lvl w:ilvl="1" w:tentative="0">
      <w:start w:val="2"/>
      <w:numFmt w:val="decimal"/>
      <w:lvlText w:val="%1.%2"/>
      <w:lvlJc w:val="left"/>
      <w:pPr>
        <w:ind w:left="1532" w:hanging="720"/>
        <w:jc w:val="left"/>
      </w:pPr>
      <w:rPr>
        <w:rFonts w:hint="default"/>
        <w:lang w:val="zh-CN" w:eastAsia="zh-CN" w:bidi="zh-CN"/>
      </w:rPr>
    </w:lvl>
    <w:lvl w:ilvl="2" w:tentative="0">
      <w:start w:val="3"/>
      <w:numFmt w:val="decimal"/>
      <w:lvlText w:val="%1.%2.%3"/>
      <w:lvlJc w:val="left"/>
      <w:pPr>
        <w:ind w:left="1532" w:hanging="720"/>
        <w:jc w:val="right"/>
      </w:pPr>
      <w:rPr>
        <w:rFonts w:hint="default" w:ascii="宋体" w:hAnsi="宋体" w:eastAsia="宋体" w:cs="宋体"/>
        <w:spacing w:val="-1"/>
        <w:w w:val="100"/>
        <w:sz w:val="24"/>
        <w:szCs w:val="24"/>
        <w:lang w:val="zh-CN" w:eastAsia="zh-CN" w:bidi="zh-CN"/>
      </w:rPr>
    </w:lvl>
    <w:lvl w:ilvl="3" w:tentative="0">
      <w:start w:val="0"/>
      <w:numFmt w:val="bullet"/>
      <w:lvlText w:val="•"/>
      <w:lvlJc w:val="left"/>
      <w:pPr>
        <w:ind w:left="4242" w:hanging="720"/>
      </w:pPr>
      <w:rPr>
        <w:rFonts w:hint="default"/>
        <w:lang w:val="zh-CN" w:eastAsia="zh-CN" w:bidi="zh-CN"/>
      </w:rPr>
    </w:lvl>
    <w:lvl w:ilvl="4" w:tentative="0">
      <w:start w:val="0"/>
      <w:numFmt w:val="bullet"/>
      <w:lvlText w:val="•"/>
      <w:lvlJc w:val="left"/>
      <w:pPr>
        <w:ind w:left="5142" w:hanging="720"/>
      </w:pPr>
      <w:rPr>
        <w:rFonts w:hint="default"/>
        <w:lang w:val="zh-CN" w:eastAsia="zh-CN" w:bidi="zh-CN"/>
      </w:rPr>
    </w:lvl>
    <w:lvl w:ilvl="5" w:tentative="0">
      <w:start w:val="0"/>
      <w:numFmt w:val="bullet"/>
      <w:lvlText w:val="•"/>
      <w:lvlJc w:val="left"/>
      <w:pPr>
        <w:ind w:left="6043" w:hanging="720"/>
      </w:pPr>
      <w:rPr>
        <w:rFonts w:hint="default"/>
        <w:lang w:val="zh-CN" w:eastAsia="zh-CN" w:bidi="zh-CN"/>
      </w:rPr>
    </w:lvl>
    <w:lvl w:ilvl="6" w:tentative="0">
      <w:start w:val="0"/>
      <w:numFmt w:val="bullet"/>
      <w:lvlText w:val="•"/>
      <w:lvlJc w:val="left"/>
      <w:pPr>
        <w:ind w:left="6944" w:hanging="720"/>
      </w:pPr>
      <w:rPr>
        <w:rFonts w:hint="default"/>
        <w:lang w:val="zh-CN" w:eastAsia="zh-CN" w:bidi="zh-CN"/>
      </w:rPr>
    </w:lvl>
    <w:lvl w:ilvl="7" w:tentative="0">
      <w:start w:val="0"/>
      <w:numFmt w:val="bullet"/>
      <w:lvlText w:val="•"/>
      <w:lvlJc w:val="left"/>
      <w:pPr>
        <w:ind w:left="7844" w:hanging="720"/>
      </w:pPr>
      <w:rPr>
        <w:rFonts w:hint="default"/>
        <w:lang w:val="zh-CN" w:eastAsia="zh-CN" w:bidi="zh-CN"/>
      </w:rPr>
    </w:lvl>
    <w:lvl w:ilvl="8" w:tentative="0">
      <w:start w:val="0"/>
      <w:numFmt w:val="bullet"/>
      <w:lvlText w:val="•"/>
      <w:lvlJc w:val="left"/>
      <w:pPr>
        <w:ind w:left="8745" w:hanging="720"/>
      </w:pPr>
      <w:rPr>
        <w:rFonts w:hint="default"/>
        <w:lang w:val="zh-CN" w:eastAsia="zh-CN" w:bidi="zh-CN"/>
      </w:rPr>
    </w:lvl>
  </w:abstractNum>
  <w:abstractNum w:abstractNumId="117">
    <w:nsid w:val="65CD0074"/>
    <w:multiLevelType w:val="multilevel"/>
    <w:tmpl w:val="65CD0074"/>
    <w:lvl w:ilvl="0" w:tentative="0">
      <w:start w:val="1"/>
      <w:numFmt w:val="decimal"/>
      <w:lvlText w:val="（%1）"/>
      <w:lvlJc w:val="left"/>
      <w:pPr>
        <w:ind w:left="388"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118">
    <w:nsid w:val="68B298F7"/>
    <w:multiLevelType w:val="multilevel"/>
    <w:tmpl w:val="68B298F7"/>
    <w:lvl w:ilvl="0" w:tentative="0">
      <w:start w:val="1"/>
      <w:numFmt w:val="decimal"/>
      <w:lvlText w:val="（%1）"/>
      <w:lvlJc w:val="left"/>
      <w:pPr>
        <w:ind w:left="388" w:hanging="60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119">
    <w:nsid w:val="6D423078"/>
    <w:multiLevelType w:val="multilevel"/>
    <w:tmpl w:val="6D423078"/>
    <w:lvl w:ilvl="0" w:tentative="0">
      <w:start w:val="9"/>
      <w:numFmt w:val="decimal"/>
      <w:lvlText w:val="(%1)"/>
      <w:lvlJc w:val="left"/>
      <w:pPr>
        <w:ind w:left="1173" w:hanging="36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16" w:hanging="361"/>
      </w:pPr>
      <w:rPr>
        <w:rFonts w:hint="default"/>
        <w:lang w:val="zh-CN" w:eastAsia="zh-CN" w:bidi="zh-CN"/>
      </w:rPr>
    </w:lvl>
    <w:lvl w:ilvl="2" w:tentative="0">
      <w:start w:val="0"/>
      <w:numFmt w:val="bullet"/>
      <w:lvlText w:val="•"/>
      <w:lvlJc w:val="left"/>
      <w:pPr>
        <w:ind w:left="3053" w:hanging="361"/>
      </w:pPr>
      <w:rPr>
        <w:rFonts w:hint="default"/>
        <w:lang w:val="zh-CN" w:eastAsia="zh-CN" w:bidi="zh-CN"/>
      </w:rPr>
    </w:lvl>
    <w:lvl w:ilvl="3" w:tentative="0">
      <w:start w:val="0"/>
      <w:numFmt w:val="bullet"/>
      <w:lvlText w:val="•"/>
      <w:lvlJc w:val="left"/>
      <w:pPr>
        <w:ind w:left="3990" w:hanging="361"/>
      </w:pPr>
      <w:rPr>
        <w:rFonts w:hint="default"/>
        <w:lang w:val="zh-CN" w:eastAsia="zh-CN" w:bidi="zh-CN"/>
      </w:rPr>
    </w:lvl>
    <w:lvl w:ilvl="4" w:tentative="0">
      <w:start w:val="0"/>
      <w:numFmt w:val="bullet"/>
      <w:lvlText w:val="•"/>
      <w:lvlJc w:val="left"/>
      <w:pPr>
        <w:ind w:left="4926" w:hanging="361"/>
      </w:pPr>
      <w:rPr>
        <w:rFonts w:hint="default"/>
        <w:lang w:val="zh-CN" w:eastAsia="zh-CN" w:bidi="zh-CN"/>
      </w:rPr>
    </w:lvl>
    <w:lvl w:ilvl="5" w:tentative="0">
      <w:start w:val="0"/>
      <w:numFmt w:val="bullet"/>
      <w:lvlText w:val="•"/>
      <w:lvlJc w:val="left"/>
      <w:pPr>
        <w:ind w:left="5863" w:hanging="361"/>
      </w:pPr>
      <w:rPr>
        <w:rFonts w:hint="default"/>
        <w:lang w:val="zh-CN" w:eastAsia="zh-CN" w:bidi="zh-CN"/>
      </w:rPr>
    </w:lvl>
    <w:lvl w:ilvl="6" w:tentative="0">
      <w:start w:val="0"/>
      <w:numFmt w:val="bullet"/>
      <w:lvlText w:val="•"/>
      <w:lvlJc w:val="left"/>
      <w:pPr>
        <w:ind w:left="6800" w:hanging="361"/>
      </w:pPr>
      <w:rPr>
        <w:rFonts w:hint="default"/>
        <w:lang w:val="zh-CN" w:eastAsia="zh-CN" w:bidi="zh-CN"/>
      </w:rPr>
    </w:lvl>
    <w:lvl w:ilvl="7" w:tentative="0">
      <w:start w:val="0"/>
      <w:numFmt w:val="bullet"/>
      <w:lvlText w:val="•"/>
      <w:lvlJc w:val="left"/>
      <w:pPr>
        <w:ind w:left="7736" w:hanging="361"/>
      </w:pPr>
      <w:rPr>
        <w:rFonts w:hint="default"/>
        <w:lang w:val="zh-CN" w:eastAsia="zh-CN" w:bidi="zh-CN"/>
      </w:rPr>
    </w:lvl>
    <w:lvl w:ilvl="8" w:tentative="0">
      <w:start w:val="0"/>
      <w:numFmt w:val="bullet"/>
      <w:lvlText w:val="•"/>
      <w:lvlJc w:val="left"/>
      <w:pPr>
        <w:ind w:left="8673" w:hanging="361"/>
      </w:pPr>
      <w:rPr>
        <w:rFonts w:hint="default"/>
        <w:lang w:val="zh-CN" w:eastAsia="zh-CN" w:bidi="zh-CN"/>
      </w:rPr>
    </w:lvl>
  </w:abstractNum>
  <w:abstractNum w:abstractNumId="120">
    <w:nsid w:val="700FDCEF"/>
    <w:multiLevelType w:val="multilevel"/>
    <w:tmpl w:val="700FDCEF"/>
    <w:lvl w:ilvl="0" w:tentative="0">
      <w:start w:val="1"/>
      <w:numFmt w:val="decimal"/>
      <w:lvlText w:val="（%1）"/>
      <w:lvlJc w:val="left"/>
      <w:pPr>
        <w:ind w:left="388" w:hanging="601"/>
        <w:jc w:val="right"/>
      </w:pPr>
      <w:rPr>
        <w:rFonts w:hint="default" w:ascii="宋体" w:hAnsi="宋体" w:eastAsia="宋体" w:cs="宋体"/>
        <w:spacing w:val="-5"/>
        <w:w w:val="100"/>
        <w:sz w:val="22"/>
        <w:szCs w:val="22"/>
        <w:lang w:val="zh-CN" w:eastAsia="zh-CN" w:bidi="zh-CN"/>
      </w:rPr>
    </w:lvl>
    <w:lvl w:ilvl="1" w:tentative="0">
      <w:start w:val="0"/>
      <w:numFmt w:val="bullet"/>
      <w:lvlText w:val="•"/>
      <w:lvlJc w:val="left"/>
      <w:pPr>
        <w:ind w:left="1396" w:hanging="601"/>
      </w:pPr>
      <w:rPr>
        <w:rFonts w:hint="default"/>
        <w:lang w:val="zh-CN" w:eastAsia="zh-CN" w:bidi="zh-CN"/>
      </w:rPr>
    </w:lvl>
    <w:lvl w:ilvl="2" w:tentative="0">
      <w:start w:val="0"/>
      <w:numFmt w:val="bullet"/>
      <w:lvlText w:val="•"/>
      <w:lvlJc w:val="left"/>
      <w:pPr>
        <w:ind w:left="2413" w:hanging="601"/>
      </w:pPr>
      <w:rPr>
        <w:rFonts w:hint="default"/>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121">
    <w:nsid w:val="74C28B35"/>
    <w:multiLevelType w:val="multilevel"/>
    <w:tmpl w:val="74C28B35"/>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122">
    <w:nsid w:val="77633216"/>
    <w:multiLevelType w:val="multilevel"/>
    <w:tmpl w:val="77633216"/>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123">
    <w:nsid w:val="77ECEA79"/>
    <w:multiLevelType w:val="multilevel"/>
    <w:tmpl w:val="77ECEA79"/>
    <w:lvl w:ilvl="0" w:tentative="0">
      <w:start w:val="3"/>
      <w:numFmt w:val="decimal"/>
      <w:lvlText w:val="%1"/>
      <w:lvlJc w:val="left"/>
      <w:pPr>
        <w:ind w:left="388" w:hanging="660"/>
        <w:jc w:val="left"/>
      </w:pPr>
      <w:rPr>
        <w:rFonts w:hint="default"/>
        <w:lang w:val="zh-CN" w:eastAsia="zh-CN" w:bidi="zh-CN"/>
      </w:rPr>
    </w:lvl>
    <w:lvl w:ilvl="1" w:tentative="0">
      <w:start w:val="7"/>
      <w:numFmt w:val="decimal"/>
      <w:lvlText w:val="%1.%2"/>
      <w:lvlJc w:val="left"/>
      <w:pPr>
        <w:ind w:left="388" w:hanging="660"/>
        <w:jc w:val="left"/>
      </w:pPr>
      <w:rPr>
        <w:rFonts w:hint="default"/>
        <w:lang w:val="zh-CN" w:eastAsia="zh-CN" w:bidi="zh-CN"/>
      </w:rPr>
    </w:lvl>
    <w:lvl w:ilvl="2" w:tentative="0">
      <w:start w:val="1"/>
      <w:numFmt w:val="decimal"/>
      <w:lvlText w:val="%1.%2.%3"/>
      <w:lvlJc w:val="left"/>
      <w:pPr>
        <w:ind w:left="388" w:hanging="66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430" w:hanging="660"/>
      </w:pPr>
      <w:rPr>
        <w:rFonts w:hint="default"/>
        <w:lang w:val="zh-CN" w:eastAsia="zh-CN" w:bidi="zh-CN"/>
      </w:rPr>
    </w:lvl>
    <w:lvl w:ilvl="4" w:tentative="0">
      <w:start w:val="0"/>
      <w:numFmt w:val="bullet"/>
      <w:lvlText w:val="•"/>
      <w:lvlJc w:val="left"/>
      <w:pPr>
        <w:ind w:left="4446" w:hanging="660"/>
      </w:pPr>
      <w:rPr>
        <w:rFonts w:hint="default"/>
        <w:lang w:val="zh-CN" w:eastAsia="zh-CN" w:bidi="zh-CN"/>
      </w:rPr>
    </w:lvl>
    <w:lvl w:ilvl="5" w:tentative="0">
      <w:start w:val="0"/>
      <w:numFmt w:val="bullet"/>
      <w:lvlText w:val="•"/>
      <w:lvlJc w:val="left"/>
      <w:pPr>
        <w:ind w:left="5463" w:hanging="660"/>
      </w:pPr>
      <w:rPr>
        <w:rFonts w:hint="default"/>
        <w:lang w:val="zh-CN" w:eastAsia="zh-CN" w:bidi="zh-CN"/>
      </w:rPr>
    </w:lvl>
    <w:lvl w:ilvl="6" w:tentative="0">
      <w:start w:val="0"/>
      <w:numFmt w:val="bullet"/>
      <w:lvlText w:val="•"/>
      <w:lvlJc w:val="left"/>
      <w:pPr>
        <w:ind w:left="6480" w:hanging="660"/>
      </w:pPr>
      <w:rPr>
        <w:rFonts w:hint="default"/>
        <w:lang w:val="zh-CN" w:eastAsia="zh-CN" w:bidi="zh-CN"/>
      </w:rPr>
    </w:lvl>
    <w:lvl w:ilvl="7" w:tentative="0">
      <w:start w:val="0"/>
      <w:numFmt w:val="bullet"/>
      <w:lvlText w:val="•"/>
      <w:lvlJc w:val="left"/>
      <w:pPr>
        <w:ind w:left="7496" w:hanging="660"/>
      </w:pPr>
      <w:rPr>
        <w:rFonts w:hint="default"/>
        <w:lang w:val="zh-CN" w:eastAsia="zh-CN" w:bidi="zh-CN"/>
      </w:rPr>
    </w:lvl>
    <w:lvl w:ilvl="8" w:tentative="0">
      <w:start w:val="0"/>
      <w:numFmt w:val="bullet"/>
      <w:lvlText w:val="•"/>
      <w:lvlJc w:val="left"/>
      <w:pPr>
        <w:ind w:left="8513" w:hanging="660"/>
      </w:pPr>
      <w:rPr>
        <w:rFonts w:hint="default"/>
        <w:lang w:val="zh-CN" w:eastAsia="zh-CN" w:bidi="zh-CN"/>
      </w:rPr>
    </w:lvl>
  </w:abstractNum>
  <w:abstractNum w:abstractNumId="124">
    <w:nsid w:val="79AA4FA4"/>
    <w:multiLevelType w:val="multilevel"/>
    <w:tmpl w:val="79AA4FA4"/>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abstractNum w:abstractNumId="125">
    <w:nsid w:val="7C246926"/>
    <w:multiLevelType w:val="multilevel"/>
    <w:tmpl w:val="7C246926"/>
    <w:lvl w:ilvl="0" w:tentative="0">
      <w:start w:val="3"/>
      <w:numFmt w:val="decimal"/>
      <w:lvlText w:val="%1"/>
      <w:lvlJc w:val="left"/>
      <w:pPr>
        <w:ind w:left="388" w:hanging="601"/>
        <w:jc w:val="left"/>
      </w:pPr>
      <w:rPr>
        <w:rFonts w:hint="default"/>
        <w:lang w:val="zh-CN" w:eastAsia="zh-CN" w:bidi="zh-CN"/>
      </w:rPr>
    </w:lvl>
    <w:lvl w:ilvl="1" w:tentative="0">
      <w:start w:val="5"/>
      <w:numFmt w:val="decimal"/>
      <w:lvlText w:val="%1.%2"/>
      <w:lvlJc w:val="left"/>
      <w:pPr>
        <w:ind w:left="388" w:hanging="601"/>
        <w:jc w:val="left"/>
      </w:pPr>
      <w:rPr>
        <w:rFonts w:hint="default"/>
        <w:lang w:val="zh-CN" w:eastAsia="zh-CN" w:bidi="zh-CN"/>
      </w:rPr>
    </w:lvl>
    <w:lvl w:ilvl="2" w:tentative="0">
      <w:start w:val="1"/>
      <w:numFmt w:val="decimal"/>
      <w:lvlText w:val="%1.%2.%3"/>
      <w:lvlJc w:val="left"/>
      <w:pPr>
        <w:ind w:left="388" w:hanging="601"/>
        <w:jc w:val="left"/>
      </w:pPr>
      <w:rPr>
        <w:rFonts w:hint="default" w:ascii="宋体" w:hAnsi="宋体" w:eastAsia="宋体" w:cs="宋体"/>
        <w:spacing w:val="-8"/>
        <w:w w:val="100"/>
        <w:sz w:val="22"/>
        <w:szCs w:val="22"/>
        <w:lang w:val="zh-CN" w:eastAsia="zh-CN" w:bidi="zh-CN"/>
      </w:rPr>
    </w:lvl>
    <w:lvl w:ilvl="3" w:tentative="0">
      <w:start w:val="0"/>
      <w:numFmt w:val="bullet"/>
      <w:lvlText w:val="•"/>
      <w:lvlJc w:val="left"/>
      <w:pPr>
        <w:ind w:left="3430" w:hanging="601"/>
      </w:pPr>
      <w:rPr>
        <w:rFonts w:hint="default"/>
        <w:lang w:val="zh-CN" w:eastAsia="zh-CN" w:bidi="zh-CN"/>
      </w:rPr>
    </w:lvl>
    <w:lvl w:ilvl="4" w:tentative="0">
      <w:start w:val="0"/>
      <w:numFmt w:val="bullet"/>
      <w:lvlText w:val="•"/>
      <w:lvlJc w:val="left"/>
      <w:pPr>
        <w:ind w:left="4446" w:hanging="601"/>
      </w:pPr>
      <w:rPr>
        <w:rFonts w:hint="default"/>
        <w:lang w:val="zh-CN" w:eastAsia="zh-CN" w:bidi="zh-CN"/>
      </w:rPr>
    </w:lvl>
    <w:lvl w:ilvl="5" w:tentative="0">
      <w:start w:val="0"/>
      <w:numFmt w:val="bullet"/>
      <w:lvlText w:val="•"/>
      <w:lvlJc w:val="left"/>
      <w:pPr>
        <w:ind w:left="5463" w:hanging="601"/>
      </w:pPr>
      <w:rPr>
        <w:rFonts w:hint="default"/>
        <w:lang w:val="zh-CN" w:eastAsia="zh-CN" w:bidi="zh-CN"/>
      </w:rPr>
    </w:lvl>
    <w:lvl w:ilvl="6" w:tentative="0">
      <w:start w:val="0"/>
      <w:numFmt w:val="bullet"/>
      <w:lvlText w:val="•"/>
      <w:lvlJc w:val="left"/>
      <w:pPr>
        <w:ind w:left="6480" w:hanging="601"/>
      </w:pPr>
      <w:rPr>
        <w:rFonts w:hint="default"/>
        <w:lang w:val="zh-CN" w:eastAsia="zh-CN" w:bidi="zh-CN"/>
      </w:rPr>
    </w:lvl>
    <w:lvl w:ilvl="7" w:tentative="0">
      <w:start w:val="0"/>
      <w:numFmt w:val="bullet"/>
      <w:lvlText w:val="•"/>
      <w:lvlJc w:val="left"/>
      <w:pPr>
        <w:ind w:left="7496" w:hanging="601"/>
      </w:pPr>
      <w:rPr>
        <w:rFonts w:hint="default"/>
        <w:lang w:val="zh-CN" w:eastAsia="zh-CN" w:bidi="zh-CN"/>
      </w:rPr>
    </w:lvl>
    <w:lvl w:ilvl="8" w:tentative="0">
      <w:start w:val="0"/>
      <w:numFmt w:val="bullet"/>
      <w:lvlText w:val="•"/>
      <w:lvlJc w:val="left"/>
      <w:pPr>
        <w:ind w:left="8513" w:hanging="601"/>
      </w:pPr>
      <w:rPr>
        <w:rFonts w:hint="default"/>
        <w:lang w:val="zh-CN" w:eastAsia="zh-CN" w:bidi="zh-CN"/>
      </w:rPr>
    </w:lvl>
  </w:abstractNum>
  <w:abstractNum w:abstractNumId="126">
    <w:nsid w:val="7DEC2089"/>
    <w:multiLevelType w:val="multilevel"/>
    <w:tmpl w:val="7DEC2089"/>
    <w:lvl w:ilvl="0" w:tentative="0">
      <w:start w:val="1"/>
      <w:numFmt w:val="decimal"/>
      <w:lvlText w:val="（%1）"/>
      <w:lvlJc w:val="left"/>
      <w:pPr>
        <w:ind w:left="141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32" w:hanging="601"/>
      </w:pPr>
      <w:rPr>
        <w:rFonts w:hint="default"/>
        <w:lang w:val="zh-CN" w:eastAsia="zh-CN" w:bidi="zh-CN"/>
      </w:rPr>
    </w:lvl>
    <w:lvl w:ilvl="2" w:tentative="0">
      <w:start w:val="0"/>
      <w:numFmt w:val="bullet"/>
      <w:lvlText w:val="•"/>
      <w:lvlJc w:val="left"/>
      <w:pPr>
        <w:ind w:left="3245" w:hanging="601"/>
      </w:pPr>
      <w:rPr>
        <w:rFonts w:hint="default"/>
        <w:lang w:val="zh-CN" w:eastAsia="zh-CN" w:bidi="zh-CN"/>
      </w:rPr>
    </w:lvl>
    <w:lvl w:ilvl="3" w:tentative="0">
      <w:start w:val="0"/>
      <w:numFmt w:val="bullet"/>
      <w:lvlText w:val="•"/>
      <w:lvlJc w:val="left"/>
      <w:pPr>
        <w:ind w:left="4158" w:hanging="601"/>
      </w:pPr>
      <w:rPr>
        <w:rFonts w:hint="default"/>
        <w:lang w:val="zh-CN" w:eastAsia="zh-CN" w:bidi="zh-CN"/>
      </w:rPr>
    </w:lvl>
    <w:lvl w:ilvl="4" w:tentative="0">
      <w:start w:val="0"/>
      <w:numFmt w:val="bullet"/>
      <w:lvlText w:val="•"/>
      <w:lvlJc w:val="left"/>
      <w:pPr>
        <w:ind w:left="5070" w:hanging="601"/>
      </w:pPr>
      <w:rPr>
        <w:rFonts w:hint="default"/>
        <w:lang w:val="zh-CN" w:eastAsia="zh-CN" w:bidi="zh-CN"/>
      </w:rPr>
    </w:lvl>
    <w:lvl w:ilvl="5" w:tentative="0">
      <w:start w:val="0"/>
      <w:numFmt w:val="bullet"/>
      <w:lvlText w:val="•"/>
      <w:lvlJc w:val="left"/>
      <w:pPr>
        <w:ind w:left="5983" w:hanging="601"/>
      </w:pPr>
      <w:rPr>
        <w:rFonts w:hint="default"/>
        <w:lang w:val="zh-CN" w:eastAsia="zh-CN" w:bidi="zh-CN"/>
      </w:rPr>
    </w:lvl>
    <w:lvl w:ilvl="6" w:tentative="0">
      <w:start w:val="0"/>
      <w:numFmt w:val="bullet"/>
      <w:lvlText w:val="•"/>
      <w:lvlJc w:val="left"/>
      <w:pPr>
        <w:ind w:left="6896" w:hanging="601"/>
      </w:pPr>
      <w:rPr>
        <w:rFonts w:hint="default"/>
        <w:lang w:val="zh-CN" w:eastAsia="zh-CN" w:bidi="zh-CN"/>
      </w:rPr>
    </w:lvl>
    <w:lvl w:ilvl="7" w:tentative="0">
      <w:start w:val="0"/>
      <w:numFmt w:val="bullet"/>
      <w:lvlText w:val="•"/>
      <w:lvlJc w:val="left"/>
      <w:pPr>
        <w:ind w:left="7808" w:hanging="601"/>
      </w:pPr>
      <w:rPr>
        <w:rFonts w:hint="default"/>
        <w:lang w:val="zh-CN" w:eastAsia="zh-CN" w:bidi="zh-CN"/>
      </w:rPr>
    </w:lvl>
    <w:lvl w:ilvl="8" w:tentative="0">
      <w:start w:val="0"/>
      <w:numFmt w:val="bullet"/>
      <w:lvlText w:val="•"/>
      <w:lvlJc w:val="left"/>
      <w:pPr>
        <w:ind w:left="8721" w:hanging="601"/>
      </w:pPr>
      <w:rPr>
        <w:rFonts w:hint="default"/>
        <w:lang w:val="zh-CN" w:eastAsia="zh-CN" w:bidi="zh-CN"/>
      </w:rPr>
    </w:lvl>
  </w:abstractNum>
  <w:num w:numId="1">
    <w:abstractNumId w:val="59"/>
  </w:num>
  <w:num w:numId="2">
    <w:abstractNumId w:val="84"/>
  </w:num>
  <w:num w:numId="3">
    <w:abstractNumId w:val="8"/>
  </w:num>
  <w:num w:numId="4">
    <w:abstractNumId w:val="85"/>
  </w:num>
  <w:num w:numId="5">
    <w:abstractNumId w:val="111"/>
  </w:num>
  <w:num w:numId="6">
    <w:abstractNumId w:val="36"/>
  </w:num>
  <w:num w:numId="7">
    <w:abstractNumId w:val="103"/>
  </w:num>
  <w:num w:numId="8">
    <w:abstractNumId w:val="53"/>
  </w:num>
  <w:num w:numId="9">
    <w:abstractNumId w:val="82"/>
  </w:num>
  <w:num w:numId="10">
    <w:abstractNumId w:val="43"/>
  </w:num>
  <w:num w:numId="11">
    <w:abstractNumId w:val="41"/>
  </w:num>
  <w:num w:numId="12">
    <w:abstractNumId w:val="14"/>
  </w:num>
  <w:num w:numId="13">
    <w:abstractNumId w:val="100"/>
  </w:num>
  <w:num w:numId="14">
    <w:abstractNumId w:val="115"/>
  </w:num>
  <w:num w:numId="15">
    <w:abstractNumId w:val="66"/>
  </w:num>
  <w:num w:numId="16">
    <w:abstractNumId w:val="98"/>
  </w:num>
  <w:num w:numId="17">
    <w:abstractNumId w:val="24"/>
  </w:num>
  <w:num w:numId="18">
    <w:abstractNumId w:val="125"/>
  </w:num>
  <w:num w:numId="19">
    <w:abstractNumId w:val="123"/>
  </w:num>
  <w:num w:numId="20">
    <w:abstractNumId w:val="109"/>
  </w:num>
  <w:num w:numId="21">
    <w:abstractNumId w:val="126"/>
  </w:num>
  <w:num w:numId="22">
    <w:abstractNumId w:val="1"/>
  </w:num>
  <w:num w:numId="23">
    <w:abstractNumId w:val="81"/>
  </w:num>
  <w:num w:numId="24">
    <w:abstractNumId w:val="105"/>
  </w:num>
  <w:num w:numId="25">
    <w:abstractNumId w:val="56"/>
  </w:num>
  <w:num w:numId="26">
    <w:abstractNumId w:val="45"/>
  </w:num>
  <w:num w:numId="27">
    <w:abstractNumId w:val="89"/>
  </w:num>
  <w:num w:numId="28">
    <w:abstractNumId w:val="124"/>
  </w:num>
  <w:num w:numId="29">
    <w:abstractNumId w:val="29"/>
  </w:num>
  <w:num w:numId="30">
    <w:abstractNumId w:val="6"/>
  </w:num>
  <w:num w:numId="31">
    <w:abstractNumId w:val="28"/>
  </w:num>
  <w:num w:numId="32">
    <w:abstractNumId w:val="112"/>
  </w:num>
  <w:num w:numId="33">
    <w:abstractNumId w:val="3"/>
  </w:num>
  <w:num w:numId="34">
    <w:abstractNumId w:val="73"/>
  </w:num>
  <w:num w:numId="35">
    <w:abstractNumId w:val="5"/>
  </w:num>
  <w:num w:numId="36">
    <w:abstractNumId w:val="114"/>
  </w:num>
  <w:num w:numId="37">
    <w:abstractNumId w:val="121"/>
  </w:num>
  <w:num w:numId="38">
    <w:abstractNumId w:val="101"/>
  </w:num>
  <w:num w:numId="39">
    <w:abstractNumId w:val="90"/>
  </w:num>
  <w:num w:numId="40">
    <w:abstractNumId w:val="117"/>
  </w:num>
  <w:num w:numId="41">
    <w:abstractNumId w:val="62"/>
  </w:num>
  <w:num w:numId="42">
    <w:abstractNumId w:val="64"/>
  </w:num>
  <w:num w:numId="43">
    <w:abstractNumId w:val="40"/>
  </w:num>
  <w:num w:numId="44">
    <w:abstractNumId w:val="91"/>
  </w:num>
  <w:num w:numId="45">
    <w:abstractNumId w:val="76"/>
  </w:num>
  <w:num w:numId="46">
    <w:abstractNumId w:val="50"/>
  </w:num>
  <w:num w:numId="47">
    <w:abstractNumId w:val="80"/>
  </w:num>
  <w:num w:numId="48">
    <w:abstractNumId w:val="26"/>
  </w:num>
  <w:num w:numId="49">
    <w:abstractNumId w:val="96"/>
  </w:num>
  <w:num w:numId="50">
    <w:abstractNumId w:val="67"/>
  </w:num>
  <w:num w:numId="51">
    <w:abstractNumId w:val="92"/>
  </w:num>
  <w:num w:numId="52">
    <w:abstractNumId w:val="60"/>
  </w:num>
  <w:num w:numId="53">
    <w:abstractNumId w:val="34"/>
  </w:num>
  <w:num w:numId="54">
    <w:abstractNumId w:val="70"/>
  </w:num>
  <w:num w:numId="55">
    <w:abstractNumId w:val="25"/>
  </w:num>
  <w:num w:numId="56">
    <w:abstractNumId w:val="94"/>
  </w:num>
  <w:num w:numId="57">
    <w:abstractNumId w:val="20"/>
  </w:num>
  <w:num w:numId="58">
    <w:abstractNumId w:val="55"/>
  </w:num>
  <w:num w:numId="59">
    <w:abstractNumId w:val="88"/>
  </w:num>
  <w:num w:numId="60">
    <w:abstractNumId w:val="57"/>
  </w:num>
  <w:num w:numId="61">
    <w:abstractNumId w:val="72"/>
  </w:num>
  <w:num w:numId="62">
    <w:abstractNumId w:val="120"/>
  </w:num>
  <w:num w:numId="63">
    <w:abstractNumId w:val="47"/>
  </w:num>
  <w:num w:numId="64">
    <w:abstractNumId w:val="35"/>
  </w:num>
  <w:num w:numId="65">
    <w:abstractNumId w:val="19"/>
  </w:num>
  <w:num w:numId="66">
    <w:abstractNumId w:val="122"/>
  </w:num>
  <w:num w:numId="67">
    <w:abstractNumId w:val="42"/>
  </w:num>
  <w:num w:numId="68">
    <w:abstractNumId w:val="27"/>
  </w:num>
  <w:num w:numId="69">
    <w:abstractNumId w:val="87"/>
  </w:num>
  <w:num w:numId="70">
    <w:abstractNumId w:val="49"/>
  </w:num>
  <w:num w:numId="71">
    <w:abstractNumId w:val="11"/>
  </w:num>
  <w:num w:numId="72">
    <w:abstractNumId w:val="110"/>
  </w:num>
  <w:num w:numId="73">
    <w:abstractNumId w:val="31"/>
  </w:num>
  <w:num w:numId="74">
    <w:abstractNumId w:val="23"/>
  </w:num>
  <w:num w:numId="75">
    <w:abstractNumId w:val="9"/>
  </w:num>
  <w:num w:numId="76">
    <w:abstractNumId w:val="15"/>
  </w:num>
  <w:num w:numId="77">
    <w:abstractNumId w:val="22"/>
  </w:num>
  <w:num w:numId="78">
    <w:abstractNumId w:val="7"/>
  </w:num>
  <w:num w:numId="79">
    <w:abstractNumId w:val="75"/>
  </w:num>
  <w:num w:numId="80">
    <w:abstractNumId w:val="32"/>
  </w:num>
  <w:num w:numId="81">
    <w:abstractNumId w:val="71"/>
  </w:num>
  <w:num w:numId="82">
    <w:abstractNumId w:val="39"/>
  </w:num>
  <w:num w:numId="83">
    <w:abstractNumId w:val="118"/>
  </w:num>
  <w:num w:numId="84">
    <w:abstractNumId w:val="0"/>
  </w:num>
  <w:num w:numId="85">
    <w:abstractNumId w:val="30"/>
  </w:num>
  <w:num w:numId="86">
    <w:abstractNumId w:val="54"/>
  </w:num>
  <w:num w:numId="87">
    <w:abstractNumId w:val="102"/>
  </w:num>
  <w:num w:numId="88">
    <w:abstractNumId w:val="68"/>
  </w:num>
  <w:num w:numId="89">
    <w:abstractNumId w:val="12"/>
  </w:num>
  <w:num w:numId="90">
    <w:abstractNumId w:val="44"/>
  </w:num>
  <w:num w:numId="91">
    <w:abstractNumId w:val="74"/>
  </w:num>
  <w:num w:numId="92">
    <w:abstractNumId w:val="99"/>
  </w:num>
  <w:num w:numId="93">
    <w:abstractNumId w:val="21"/>
  </w:num>
  <w:num w:numId="94">
    <w:abstractNumId w:val="116"/>
  </w:num>
  <w:num w:numId="95">
    <w:abstractNumId w:val="2"/>
  </w:num>
  <w:num w:numId="96">
    <w:abstractNumId w:val="4"/>
  </w:num>
  <w:num w:numId="97">
    <w:abstractNumId w:val="58"/>
  </w:num>
  <w:num w:numId="98">
    <w:abstractNumId w:val="18"/>
  </w:num>
  <w:num w:numId="99">
    <w:abstractNumId w:val="33"/>
  </w:num>
  <w:num w:numId="100">
    <w:abstractNumId w:val="37"/>
  </w:num>
  <w:num w:numId="101">
    <w:abstractNumId w:val="52"/>
  </w:num>
  <w:num w:numId="102">
    <w:abstractNumId w:val="113"/>
  </w:num>
  <w:num w:numId="103">
    <w:abstractNumId w:val="51"/>
  </w:num>
  <w:num w:numId="104">
    <w:abstractNumId w:val="108"/>
  </w:num>
  <w:num w:numId="105">
    <w:abstractNumId w:val="78"/>
  </w:num>
  <w:num w:numId="106">
    <w:abstractNumId w:val="10"/>
  </w:num>
  <w:num w:numId="107">
    <w:abstractNumId w:val="61"/>
  </w:num>
  <w:num w:numId="108">
    <w:abstractNumId w:val="17"/>
  </w:num>
  <w:num w:numId="109">
    <w:abstractNumId w:val="86"/>
  </w:num>
  <w:num w:numId="110">
    <w:abstractNumId w:val="107"/>
  </w:num>
  <w:num w:numId="111">
    <w:abstractNumId w:val="38"/>
  </w:num>
  <w:num w:numId="112">
    <w:abstractNumId w:val="13"/>
  </w:num>
  <w:num w:numId="113">
    <w:abstractNumId w:val="83"/>
  </w:num>
  <w:num w:numId="114">
    <w:abstractNumId w:val="97"/>
  </w:num>
  <w:num w:numId="115">
    <w:abstractNumId w:val="69"/>
  </w:num>
  <w:num w:numId="116">
    <w:abstractNumId w:val="104"/>
  </w:num>
  <w:num w:numId="117">
    <w:abstractNumId w:val="106"/>
  </w:num>
  <w:num w:numId="118">
    <w:abstractNumId w:val="79"/>
  </w:num>
  <w:num w:numId="119">
    <w:abstractNumId w:val="48"/>
  </w:num>
  <w:num w:numId="120">
    <w:abstractNumId w:val="16"/>
  </w:num>
  <w:num w:numId="121">
    <w:abstractNumId w:val="93"/>
  </w:num>
  <w:num w:numId="122">
    <w:abstractNumId w:val="95"/>
  </w:num>
  <w:num w:numId="123">
    <w:abstractNumId w:val="65"/>
  </w:num>
  <w:num w:numId="124">
    <w:abstractNumId w:val="119"/>
  </w:num>
  <w:num w:numId="125">
    <w:abstractNumId w:val="46"/>
  </w:num>
  <w:num w:numId="126">
    <w:abstractNumId w:val="77"/>
  </w:num>
  <w:num w:numId="127">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N2M1M2NmZmIyYTM2NTBmYjQ1YTc3YjUxZmU5YjM1YTcifQ=="/>
  </w:docVars>
  <w:rsids>
    <w:rsidRoot w:val="00000000"/>
    <w:rsid w:val="01FF4EDD"/>
    <w:rsid w:val="028E1D27"/>
    <w:rsid w:val="13167A74"/>
    <w:rsid w:val="21545BDE"/>
    <w:rsid w:val="23327805"/>
    <w:rsid w:val="2A4C10E8"/>
    <w:rsid w:val="359E0CF3"/>
    <w:rsid w:val="38D2451E"/>
    <w:rsid w:val="3AE132BC"/>
    <w:rsid w:val="3D7D1241"/>
    <w:rsid w:val="3E262606"/>
    <w:rsid w:val="4183116E"/>
    <w:rsid w:val="42874511"/>
    <w:rsid w:val="47FD625B"/>
    <w:rsid w:val="499E6084"/>
    <w:rsid w:val="4BB37D22"/>
    <w:rsid w:val="4EBB1492"/>
    <w:rsid w:val="50955CAA"/>
    <w:rsid w:val="51AB50F9"/>
    <w:rsid w:val="520B0F7C"/>
    <w:rsid w:val="536C683B"/>
    <w:rsid w:val="54C067AF"/>
    <w:rsid w:val="54CE3D37"/>
    <w:rsid w:val="5BC64949"/>
    <w:rsid w:val="5DCC42CD"/>
    <w:rsid w:val="5E5D28C5"/>
    <w:rsid w:val="66D51342"/>
    <w:rsid w:val="6AA356F9"/>
    <w:rsid w:val="6CE66CCE"/>
    <w:rsid w:val="70C350FD"/>
    <w:rsid w:val="71203349"/>
    <w:rsid w:val="73536E84"/>
    <w:rsid w:val="73CA18F0"/>
    <w:rsid w:val="74B11819"/>
    <w:rsid w:val="76676562"/>
    <w:rsid w:val="7BE84416"/>
    <w:rsid w:val="7F6C13A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183"/>
      <w:ind w:right="358"/>
      <w:jc w:val="center"/>
      <w:outlineLvl w:val="1"/>
    </w:pPr>
    <w:rPr>
      <w:rFonts w:ascii="宋体" w:hAnsi="宋体" w:eastAsia="宋体" w:cs="宋体"/>
      <w:b/>
      <w:bCs/>
      <w:sz w:val="52"/>
      <w:szCs w:val="52"/>
      <w:lang w:val="zh-CN" w:eastAsia="zh-CN" w:bidi="zh-CN"/>
    </w:rPr>
  </w:style>
  <w:style w:type="paragraph" w:styleId="3">
    <w:name w:val="heading 2"/>
    <w:basedOn w:val="1"/>
    <w:next w:val="1"/>
    <w:qFormat/>
    <w:uiPriority w:val="1"/>
    <w:pPr>
      <w:ind w:right="361"/>
      <w:jc w:val="center"/>
      <w:outlineLvl w:val="2"/>
    </w:pPr>
    <w:rPr>
      <w:rFonts w:ascii="宋体" w:hAnsi="宋体" w:eastAsia="宋体" w:cs="宋体"/>
      <w:b/>
      <w:bCs/>
      <w:sz w:val="36"/>
      <w:szCs w:val="36"/>
      <w:lang w:val="zh-CN" w:eastAsia="zh-CN" w:bidi="zh-CN"/>
    </w:rPr>
  </w:style>
  <w:style w:type="paragraph" w:styleId="4">
    <w:name w:val="heading 3"/>
    <w:basedOn w:val="1"/>
    <w:next w:val="1"/>
    <w:qFormat/>
    <w:uiPriority w:val="1"/>
    <w:pPr>
      <w:spacing w:before="50"/>
      <w:ind w:right="358"/>
      <w:jc w:val="center"/>
      <w:outlineLvl w:val="3"/>
    </w:pPr>
    <w:rPr>
      <w:rFonts w:ascii="宋体" w:hAnsi="宋体" w:eastAsia="宋体" w:cs="宋体"/>
      <w:sz w:val="36"/>
      <w:szCs w:val="36"/>
      <w:lang w:val="zh-CN" w:eastAsia="zh-CN" w:bidi="zh-CN"/>
    </w:rPr>
  </w:style>
  <w:style w:type="paragraph" w:styleId="5">
    <w:name w:val="heading 4"/>
    <w:basedOn w:val="1"/>
    <w:next w:val="1"/>
    <w:qFormat/>
    <w:uiPriority w:val="1"/>
    <w:pPr>
      <w:spacing w:before="55"/>
      <w:ind w:left="1834"/>
      <w:outlineLvl w:val="4"/>
    </w:pPr>
    <w:rPr>
      <w:rFonts w:ascii="宋体" w:hAnsi="宋体" w:eastAsia="宋体" w:cs="宋体"/>
      <w:sz w:val="32"/>
      <w:szCs w:val="32"/>
      <w:lang w:val="zh-CN" w:eastAsia="zh-CN" w:bidi="zh-CN"/>
    </w:rPr>
  </w:style>
  <w:style w:type="paragraph" w:styleId="6">
    <w:name w:val="heading 5"/>
    <w:basedOn w:val="1"/>
    <w:next w:val="1"/>
    <w:qFormat/>
    <w:uiPriority w:val="1"/>
    <w:pPr>
      <w:outlineLvl w:val="5"/>
    </w:pPr>
    <w:rPr>
      <w:rFonts w:ascii="宋体" w:hAnsi="宋体" w:eastAsia="宋体" w:cs="宋体"/>
      <w:sz w:val="30"/>
      <w:szCs w:val="30"/>
      <w:lang w:val="zh-CN" w:eastAsia="zh-CN" w:bidi="zh-CN"/>
    </w:rPr>
  </w:style>
  <w:style w:type="paragraph" w:styleId="7">
    <w:name w:val="heading 6"/>
    <w:basedOn w:val="1"/>
    <w:next w:val="1"/>
    <w:qFormat/>
    <w:uiPriority w:val="1"/>
    <w:pPr>
      <w:ind w:left="388"/>
      <w:outlineLvl w:val="6"/>
    </w:pPr>
    <w:rPr>
      <w:rFonts w:ascii="宋体" w:hAnsi="宋体" w:eastAsia="宋体" w:cs="宋体"/>
      <w:b/>
      <w:bCs/>
      <w:sz w:val="24"/>
      <w:szCs w:val="24"/>
      <w:lang w:val="zh-CN" w:eastAsia="zh-CN" w:bidi="zh-CN"/>
    </w:rPr>
  </w:style>
  <w:style w:type="character" w:default="1" w:styleId="14">
    <w:name w:val="Default Paragraph Font"/>
    <w:semiHidden/>
    <w:unhideWhenUsed/>
    <w:qFormat/>
    <w:uiPriority w:val="1"/>
  </w:style>
  <w:style w:type="table" w:default="1" w:styleId="13">
    <w:name w:val="Normal Table"/>
    <w:semiHidden/>
    <w:qFormat/>
    <w:uiPriority w:val="0"/>
    <w:tblPr>
      <w:tblCellMar>
        <w:top w:w="0" w:type="dxa"/>
        <w:left w:w="108" w:type="dxa"/>
        <w:bottom w:w="0" w:type="dxa"/>
        <w:right w:w="108" w:type="dxa"/>
      </w:tblCellMar>
    </w:tblPr>
  </w:style>
  <w:style w:type="paragraph" w:styleId="8">
    <w:name w:val="Body Text"/>
    <w:basedOn w:val="1"/>
    <w:qFormat/>
    <w:uiPriority w:val="1"/>
    <w:rPr>
      <w:rFonts w:ascii="宋体" w:hAnsi="宋体" w:eastAsia="宋体" w:cs="宋体"/>
      <w:sz w:val="24"/>
      <w:szCs w:val="24"/>
      <w:lang w:val="zh-CN" w:eastAsia="zh-CN" w:bidi="zh-CN"/>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1"/>
    <w:pPr>
      <w:spacing w:before="158"/>
      <w:ind w:left="330"/>
    </w:pPr>
    <w:rPr>
      <w:rFonts w:ascii="宋体" w:hAnsi="宋体" w:eastAsia="宋体" w:cs="宋体"/>
      <w:sz w:val="24"/>
      <w:szCs w:val="24"/>
      <w:lang w:val="zh-CN" w:eastAsia="zh-CN" w:bidi="zh-CN"/>
    </w:rPr>
  </w:style>
  <w:style w:type="paragraph" w:styleId="12">
    <w:name w:val="toc 2"/>
    <w:basedOn w:val="1"/>
    <w:next w:val="1"/>
    <w:qFormat/>
    <w:uiPriority w:val="1"/>
    <w:pPr>
      <w:spacing w:before="55"/>
      <w:ind w:left="330"/>
    </w:pPr>
    <w:rPr>
      <w:rFonts w:ascii="宋体" w:hAnsi="宋体" w:eastAsia="宋体" w:cs="宋体"/>
      <w:sz w:val="18"/>
      <w:szCs w:val="18"/>
      <w:lang w:val="zh-CN" w:eastAsia="zh-CN" w:bidi="zh-CN"/>
    </w:rPr>
  </w:style>
  <w:style w:type="table" w:customStyle="1" w:styleId="15">
    <w:name w:val="Table Normal"/>
    <w:semiHidden/>
    <w:unhideWhenUsed/>
    <w:qFormat/>
    <w:uiPriority w:val="2"/>
    <w:tblPr>
      <w:tblCellMar>
        <w:top w:w="0" w:type="dxa"/>
        <w:left w:w="0" w:type="dxa"/>
        <w:bottom w:w="0" w:type="dxa"/>
        <w:right w:w="0" w:type="dxa"/>
      </w:tblCellMar>
    </w:tblPr>
  </w:style>
  <w:style w:type="paragraph" w:styleId="16">
    <w:name w:val="List Paragraph"/>
    <w:basedOn w:val="1"/>
    <w:qFormat/>
    <w:uiPriority w:val="1"/>
    <w:pPr>
      <w:ind w:left="388" w:firstLine="424"/>
    </w:pPr>
    <w:rPr>
      <w:rFonts w:ascii="宋体" w:hAnsi="宋体" w:eastAsia="宋体" w:cs="宋体"/>
      <w:lang w:val="zh-CN" w:eastAsia="zh-CN" w:bidi="zh-CN"/>
    </w:rPr>
  </w:style>
  <w:style w:type="paragraph" w:customStyle="1" w:styleId="17">
    <w:name w:val="Table Paragraph"/>
    <w:basedOn w:val="1"/>
    <w:qFormat/>
    <w:uiPriority w:val="1"/>
    <w:rPr>
      <w:rFonts w:ascii="宋体" w:hAnsi="宋体" w:eastAsia="宋体" w:cs="宋体"/>
      <w:lang w:val="zh-CN" w:eastAsia="zh-CN" w:bidi="zh-CN"/>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3"/>
    <w:qFormat/>
    <w:uiPriority w:val="0"/>
    <w:pPr>
      <w:ind w:leftChars="400"/>
    </w:pPr>
    <w:rPr>
      <w:rFonts w:ascii="Times New Roman" w:hAnsi="Times New Roman" w:eastAsia="宋体" w:cs="Times New Roman"/>
      <w:sz w:val="20"/>
      <w:szCs w:val="20"/>
    </w:rPr>
  </w:style>
  <w:style w:type="paragraph" w:customStyle="1" w:styleId="20">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6.jpeg"/><Relationship Id="rId30" Type="http://schemas.openxmlformats.org/officeDocument/2006/relationships/image" Target="media/image5.jpeg"/><Relationship Id="rId3" Type="http://schemas.openxmlformats.org/officeDocument/2006/relationships/footnotes" Target="footnotes.xml"/><Relationship Id="rId29" Type="http://schemas.openxmlformats.org/officeDocument/2006/relationships/image" Target="media/image4.jpe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71"/>
    <customShpInfo spid="_x0000_s2062"/>
    <customShpInfo spid="_x0000_s2063"/>
    <customShpInfo spid="_x0000_s2064"/>
    <customShpInfo spid="_x0000_s2065"/>
    <customShpInfo spid="_x0000_s2066"/>
    <customShpInfo spid="_x0000_s207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1"/>
    <customShpInfo spid="_x0000_s1043"/>
    <customShpInfo spid="_x0000_s1044"/>
    <customShpInfo spid="_x0000_s1045"/>
    <customShpInfo spid="_x0000_s1046"/>
    <customShpInfo spid="_x0000_s1047"/>
    <customShpInfo spid="_x0000_s1049"/>
    <customShpInfo spid="_x0000_s1050"/>
    <customShpInfo spid="_x0000_s1051"/>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5"/>
    <customShpInfo spid="_x0000_s1114"/>
    <customShpInfo spid="_x0000_s1117"/>
    <customShpInfo spid="_x0000_s1116"/>
    <customShpInfo spid="_x0000_s1119"/>
    <customShpInfo spid="_x0000_s1118"/>
    <customShpInfo spid="_x0000_s1121"/>
    <customShpInfo spid="_x0000_s1120"/>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5"/>
    <customShpInfo spid="_x0000_s1196"/>
    <customShpInfo spid="_x0000_s1197"/>
    <customShpInfo spid="_x0000_s1198"/>
    <customShpInfo spid="_x0000_s1199"/>
    <customShpInfo spid="_x0000_s1200"/>
    <customShpInfo spid="_x0000_s1202"/>
    <customShpInfo spid="_x0000_s1203"/>
    <customShpInfo spid="_x0000_s1204"/>
    <customShpInfo spid="_x0000_s1205"/>
    <customShpInfo spid="_x0000_s1201"/>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6"/>
    <customShpInfo spid="_x0000_s1247"/>
    <customShpInfo spid="_x0000_s1248"/>
    <customShpInfo spid="_x0000_s12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187</Pages>
  <Words>80502</Words>
  <Characters>81938</Characters>
  <TotalTime>17</TotalTime>
  <ScaleCrop>false</ScaleCrop>
  <LinksUpToDate>false</LinksUpToDate>
  <CharactersWithSpaces>84033</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2022-06-21T02:27:00Z</dcterms:created>
  <dc:creator>Administrator</dc:creator>
  <cp:lastModifiedBy>A、生来彷徨</cp:lastModifiedBy>
  <dcterms:modified xsi:type="dcterms:W3CDTF">2022-07-05T04:28:12Z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2022-06-18T00:00:00Z</vt:filetime>
  </property>
  <property fmtid="{D5CDD505-2E9C-101B-9397-08002B2CF9AE}" pid="3" name="Creator">
    <vt:lpwstr>WPS 文字</vt:lpwstr>
  </property>
  <property fmtid="{D5CDD505-2E9C-101B-9397-08002B2CF9AE}" pid="4" name="LastSaved">
    <vt:filetime>2022-06-21T00:00:00Z</vt:filetime>
  </property>
  <property fmtid="{D5CDD505-2E9C-101B-9397-08002B2CF9AE}" pid="5" name="KSOProductBuildVer">
    <vt:lpwstr>2052-11.1.0.11830</vt:lpwstr>
  </property>
  <property fmtid="{D5CDD505-2E9C-101B-9397-08002B2CF9AE}" pid="6" name="ICV">
    <vt:lpwstr>F2C62E4F603E4E439D52C1C1154D3F30</vt:lpwstr>
  </property>
</Properties>
</file>