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2D337">
      <w:pPr>
        <w:pStyle w:val="8"/>
        <w:spacing w:line="281" w:lineRule="auto"/>
        <w:rPr>
          <w:rFonts w:hint="eastAsia" w:ascii="宋体" w:hAnsi="宋体" w:eastAsia="宋体" w:cs="宋体"/>
          <w:color w:val="auto"/>
        </w:rPr>
      </w:pPr>
    </w:p>
    <w:p w14:paraId="0A3AE1A1">
      <w:pPr>
        <w:pStyle w:val="8"/>
        <w:spacing w:line="282" w:lineRule="auto"/>
        <w:rPr>
          <w:rFonts w:hint="eastAsia" w:ascii="宋体" w:hAnsi="宋体" w:eastAsia="宋体" w:cs="宋体"/>
          <w:color w:val="auto"/>
        </w:rPr>
      </w:pPr>
    </w:p>
    <w:p w14:paraId="65D9803E">
      <w:pPr>
        <w:pStyle w:val="8"/>
        <w:spacing w:line="282" w:lineRule="auto"/>
        <w:rPr>
          <w:rFonts w:hint="eastAsia" w:ascii="宋体" w:hAnsi="宋体" w:eastAsia="宋体" w:cs="宋体"/>
          <w:color w:val="auto"/>
        </w:rPr>
      </w:pPr>
    </w:p>
    <w:p w14:paraId="5F632400">
      <w:pPr>
        <w:pStyle w:val="8"/>
        <w:spacing w:line="282" w:lineRule="auto"/>
        <w:rPr>
          <w:rFonts w:hint="eastAsia" w:ascii="宋体" w:hAnsi="宋体" w:eastAsia="宋体" w:cs="宋体"/>
          <w:color w:val="auto"/>
        </w:rPr>
      </w:pPr>
    </w:p>
    <w:p w14:paraId="6BBB2645">
      <w:pPr>
        <w:pStyle w:val="8"/>
        <w:spacing w:line="260" w:lineRule="auto"/>
        <w:jc w:val="center"/>
        <w:rPr>
          <w:rFonts w:hint="eastAsia" w:ascii="宋体" w:hAnsi="宋体" w:eastAsia="宋体" w:cs="宋体"/>
          <w:b/>
          <w:bCs/>
          <w:color w:val="auto"/>
          <w:spacing w:val="-25"/>
          <w:sz w:val="56"/>
          <w:szCs w:val="56"/>
          <w:lang w:eastAsia="zh-CN"/>
        </w:rPr>
      </w:pPr>
      <w:r>
        <w:rPr>
          <w:rFonts w:hint="eastAsia" w:ascii="宋体" w:hAnsi="宋体" w:eastAsia="宋体" w:cs="宋体"/>
          <w:b/>
          <w:bCs/>
          <w:color w:val="auto"/>
          <w:spacing w:val="-25"/>
          <w:sz w:val="56"/>
          <w:szCs w:val="56"/>
          <w:lang w:eastAsia="zh-CN"/>
        </w:rPr>
        <w:t>长春汽车职业技术大学人工智能大模型技术产教融合实训平台设备采购项目</w:t>
      </w:r>
    </w:p>
    <w:p w14:paraId="17971A44">
      <w:pPr>
        <w:pStyle w:val="8"/>
        <w:spacing w:line="261" w:lineRule="auto"/>
        <w:rPr>
          <w:rFonts w:hint="eastAsia" w:ascii="宋体" w:hAnsi="宋体" w:eastAsia="宋体" w:cs="宋体"/>
          <w:color w:val="auto"/>
          <w:lang w:eastAsia="zh-CN"/>
        </w:rPr>
      </w:pPr>
    </w:p>
    <w:p w14:paraId="1232B56D">
      <w:pPr>
        <w:pStyle w:val="8"/>
        <w:spacing w:line="261" w:lineRule="auto"/>
        <w:rPr>
          <w:rFonts w:hint="eastAsia" w:ascii="宋体" w:hAnsi="宋体" w:eastAsia="宋体" w:cs="宋体"/>
          <w:color w:val="auto"/>
          <w:lang w:eastAsia="zh-CN"/>
        </w:rPr>
      </w:pPr>
    </w:p>
    <w:p w14:paraId="0781C7A9">
      <w:pPr>
        <w:rPr>
          <w:rFonts w:hint="eastAsia" w:ascii="宋体" w:hAnsi="宋体" w:cs="宋体"/>
          <w:color w:val="auto"/>
          <w:lang w:eastAsia="zh-CN"/>
        </w:rPr>
      </w:pPr>
    </w:p>
    <w:p w14:paraId="2323E7CD">
      <w:pPr>
        <w:pStyle w:val="29"/>
        <w:numPr>
          <w:ilvl w:val="0"/>
          <w:numId w:val="0"/>
        </w:numPr>
        <w:ind w:left="540"/>
        <w:rPr>
          <w:color w:val="auto"/>
          <w:lang w:eastAsia="zh-CN"/>
        </w:rPr>
      </w:pPr>
    </w:p>
    <w:p w14:paraId="45C63C72">
      <w:pPr>
        <w:rPr>
          <w:color w:val="auto"/>
          <w:lang w:eastAsia="zh-CN"/>
        </w:rPr>
      </w:pPr>
    </w:p>
    <w:p w14:paraId="48343D54">
      <w:pPr>
        <w:pStyle w:val="8"/>
        <w:spacing w:line="261" w:lineRule="auto"/>
        <w:rPr>
          <w:rFonts w:hint="eastAsia" w:ascii="宋体" w:hAnsi="宋体" w:eastAsia="宋体" w:cs="宋体"/>
          <w:color w:val="auto"/>
          <w:lang w:eastAsia="zh-CN"/>
        </w:rPr>
      </w:pPr>
    </w:p>
    <w:p w14:paraId="31FF0176">
      <w:pPr>
        <w:spacing w:before="305" w:line="200" w:lineRule="auto"/>
        <w:ind w:left="1698"/>
        <w:outlineLvl w:val="0"/>
        <w:rPr>
          <w:rFonts w:hint="eastAsia" w:ascii="宋体" w:hAnsi="宋体" w:cs="宋体"/>
          <w:color w:val="auto"/>
          <w:sz w:val="96"/>
          <w:szCs w:val="96"/>
          <w:lang w:eastAsia="zh-CN"/>
        </w:rPr>
      </w:pPr>
      <w:bookmarkStart w:id="0" w:name="_Toc18778"/>
      <w:r>
        <w:rPr>
          <w:rFonts w:hint="eastAsia" w:ascii="宋体" w:hAnsi="宋体" w:cs="宋体"/>
          <w:b/>
          <w:bCs/>
          <w:color w:val="auto"/>
          <w:spacing w:val="-25"/>
          <w:sz w:val="96"/>
          <w:szCs w:val="96"/>
          <w:lang w:eastAsia="zh-CN"/>
        </w:rPr>
        <w:t>招 标 文 件</w:t>
      </w:r>
      <w:bookmarkEnd w:id="0"/>
    </w:p>
    <w:p w14:paraId="404DC980">
      <w:pPr>
        <w:pStyle w:val="8"/>
        <w:spacing w:line="264" w:lineRule="auto"/>
        <w:rPr>
          <w:rFonts w:hint="eastAsia" w:ascii="宋体" w:hAnsi="宋体" w:eastAsia="宋体" w:cs="宋体"/>
          <w:color w:val="auto"/>
          <w:lang w:eastAsia="zh-CN"/>
        </w:rPr>
      </w:pPr>
    </w:p>
    <w:p w14:paraId="34BFCC6F">
      <w:pPr>
        <w:pStyle w:val="8"/>
        <w:spacing w:line="264" w:lineRule="auto"/>
        <w:rPr>
          <w:rFonts w:hint="eastAsia" w:ascii="宋体" w:hAnsi="宋体" w:eastAsia="宋体" w:cs="宋体"/>
          <w:color w:val="auto"/>
          <w:lang w:eastAsia="zh-CN"/>
        </w:rPr>
      </w:pPr>
    </w:p>
    <w:p w14:paraId="72D87659">
      <w:pPr>
        <w:spacing w:before="101" w:line="225" w:lineRule="auto"/>
        <w:jc w:val="center"/>
        <w:rPr>
          <w:rFonts w:hint="eastAsia" w:ascii="宋体" w:hAnsi="宋体" w:cs="宋体"/>
          <w:color w:val="auto"/>
          <w:sz w:val="31"/>
          <w:szCs w:val="31"/>
          <w:lang w:eastAsia="zh-CN"/>
        </w:rPr>
      </w:pPr>
      <w:r>
        <w:rPr>
          <w:rFonts w:hint="eastAsia" w:ascii="宋体" w:hAnsi="宋体" w:cs="宋体"/>
          <w:b/>
          <w:bCs/>
          <w:color w:val="auto"/>
          <w:spacing w:val="4"/>
          <w:sz w:val="31"/>
          <w:szCs w:val="31"/>
          <w:lang w:eastAsia="zh-CN"/>
        </w:rPr>
        <w:t>项目编号：JM-2025-04-00353</w:t>
      </w:r>
    </w:p>
    <w:p w14:paraId="04908364">
      <w:pPr>
        <w:pStyle w:val="8"/>
        <w:spacing w:line="247" w:lineRule="auto"/>
        <w:rPr>
          <w:rFonts w:hint="eastAsia" w:ascii="宋体" w:hAnsi="宋体" w:eastAsia="宋体" w:cs="宋体"/>
          <w:color w:val="auto"/>
          <w:lang w:eastAsia="zh-CN"/>
        </w:rPr>
      </w:pPr>
    </w:p>
    <w:p w14:paraId="596E9168">
      <w:pPr>
        <w:pStyle w:val="8"/>
        <w:spacing w:line="247" w:lineRule="auto"/>
        <w:rPr>
          <w:rFonts w:hint="eastAsia" w:ascii="宋体" w:hAnsi="宋体" w:eastAsia="宋体" w:cs="宋体"/>
          <w:color w:val="auto"/>
          <w:lang w:eastAsia="zh-CN"/>
        </w:rPr>
      </w:pPr>
    </w:p>
    <w:p w14:paraId="6977C495">
      <w:pPr>
        <w:pStyle w:val="8"/>
        <w:spacing w:line="247" w:lineRule="auto"/>
        <w:rPr>
          <w:rFonts w:hint="eastAsia" w:ascii="宋体" w:hAnsi="宋体" w:eastAsia="宋体" w:cs="宋体"/>
          <w:color w:val="auto"/>
          <w:lang w:eastAsia="zh-CN"/>
        </w:rPr>
      </w:pPr>
    </w:p>
    <w:p w14:paraId="289D0018">
      <w:pPr>
        <w:pStyle w:val="8"/>
        <w:spacing w:line="247" w:lineRule="auto"/>
        <w:rPr>
          <w:rFonts w:hint="eastAsia" w:ascii="宋体" w:hAnsi="宋体" w:eastAsia="宋体" w:cs="宋体"/>
          <w:color w:val="auto"/>
          <w:lang w:eastAsia="zh-CN"/>
        </w:rPr>
      </w:pPr>
    </w:p>
    <w:p w14:paraId="6E98ABC6">
      <w:pPr>
        <w:pStyle w:val="8"/>
        <w:spacing w:line="247" w:lineRule="auto"/>
        <w:rPr>
          <w:rFonts w:hint="eastAsia" w:ascii="宋体" w:hAnsi="宋体" w:eastAsia="宋体" w:cs="宋体"/>
          <w:color w:val="auto"/>
          <w:lang w:eastAsia="zh-CN"/>
        </w:rPr>
      </w:pPr>
    </w:p>
    <w:p w14:paraId="35208145">
      <w:pPr>
        <w:pStyle w:val="8"/>
        <w:spacing w:line="248" w:lineRule="auto"/>
        <w:rPr>
          <w:rFonts w:hint="eastAsia" w:ascii="宋体" w:hAnsi="宋体" w:eastAsia="宋体" w:cs="宋体"/>
          <w:color w:val="auto"/>
          <w:lang w:eastAsia="zh-CN"/>
        </w:rPr>
      </w:pPr>
    </w:p>
    <w:p w14:paraId="3297BE72">
      <w:pPr>
        <w:rPr>
          <w:rFonts w:hint="eastAsia" w:ascii="宋体" w:hAnsi="宋体" w:cs="宋体"/>
          <w:color w:val="auto"/>
          <w:lang w:eastAsia="zh-CN"/>
        </w:rPr>
      </w:pPr>
    </w:p>
    <w:p w14:paraId="20B93184">
      <w:pPr>
        <w:pStyle w:val="8"/>
        <w:spacing w:line="248" w:lineRule="auto"/>
        <w:rPr>
          <w:rFonts w:hint="eastAsia" w:ascii="宋体" w:hAnsi="宋体" w:eastAsia="宋体" w:cs="宋体"/>
          <w:color w:val="auto"/>
          <w:lang w:eastAsia="zh-CN"/>
        </w:rPr>
      </w:pPr>
    </w:p>
    <w:p w14:paraId="612F994B">
      <w:pPr>
        <w:pStyle w:val="8"/>
        <w:spacing w:line="248" w:lineRule="auto"/>
        <w:rPr>
          <w:rFonts w:hint="eastAsia" w:ascii="宋体" w:hAnsi="宋体" w:eastAsia="宋体" w:cs="宋体"/>
          <w:color w:val="auto"/>
          <w:lang w:eastAsia="zh-CN"/>
        </w:rPr>
      </w:pPr>
    </w:p>
    <w:p w14:paraId="048947BB">
      <w:pPr>
        <w:spacing w:before="91" w:line="219" w:lineRule="auto"/>
        <w:ind w:left="146"/>
        <w:jc w:val="center"/>
        <w:rPr>
          <w:rFonts w:hint="eastAsia" w:ascii="宋体" w:hAnsi="宋体" w:cs="宋体"/>
          <w:b/>
          <w:bCs/>
          <w:color w:val="auto"/>
          <w:spacing w:val="-2"/>
          <w:sz w:val="28"/>
          <w:szCs w:val="28"/>
          <w:lang w:eastAsia="zh-CN"/>
        </w:rPr>
      </w:pPr>
      <w:r>
        <w:rPr>
          <w:rFonts w:hint="eastAsia" w:ascii="宋体" w:hAnsi="宋体" w:cs="宋体"/>
          <w:b/>
          <w:bCs/>
          <w:color w:val="auto"/>
          <w:spacing w:val="-2"/>
          <w:sz w:val="28"/>
          <w:szCs w:val="28"/>
          <w:lang w:eastAsia="zh-CN"/>
        </w:rPr>
        <w:t>采购人：长春汽车职业技术大学</w:t>
      </w:r>
    </w:p>
    <w:p w14:paraId="5D90FCB2">
      <w:pPr>
        <w:pStyle w:val="8"/>
        <w:rPr>
          <w:lang w:eastAsia="zh-CN"/>
        </w:rPr>
      </w:pPr>
    </w:p>
    <w:p w14:paraId="5285A746">
      <w:pPr>
        <w:spacing w:before="291" w:line="219" w:lineRule="auto"/>
        <w:ind w:left="146"/>
        <w:jc w:val="center"/>
        <w:rPr>
          <w:rFonts w:hint="eastAsia" w:ascii="宋体" w:hAnsi="宋体" w:cs="宋体"/>
          <w:b/>
          <w:bCs/>
          <w:color w:val="auto"/>
          <w:spacing w:val="-4"/>
          <w:sz w:val="28"/>
          <w:szCs w:val="28"/>
          <w:lang w:eastAsia="zh-CN"/>
        </w:rPr>
      </w:pPr>
      <w:r>
        <w:rPr>
          <w:rFonts w:hint="eastAsia" w:ascii="宋体" w:hAnsi="宋体" w:cs="宋体"/>
          <w:b/>
          <w:bCs/>
          <w:color w:val="auto"/>
          <w:spacing w:val="-4"/>
          <w:sz w:val="28"/>
          <w:szCs w:val="28"/>
          <w:lang w:eastAsia="zh-CN"/>
        </w:rPr>
        <w:t>采购代理机构：中科高盛咨询集团有限公司</w:t>
      </w:r>
    </w:p>
    <w:p w14:paraId="3DA87676">
      <w:pPr>
        <w:pStyle w:val="8"/>
        <w:rPr>
          <w:lang w:eastAsia="zh-CN"/>
        </w:rPr>
      </w:pPr>
    </w:p>
    <w:p w14:paraId="44111AE6">
      <w:pPr>
        <w:spacing w:before="291" w:line="219" w:lineRule="auto"/>
        <w:ind w:left="146"/>
        <w:jc w:val="center"/>
        <w:rPr>
          <w:rFonts w:hint="eastAsia" w:ascii="宋体" w:hAnsi="宋体" w:cs="宋体"/>
          <w:b/>
          <w:bCs/>
          <w:color w:val="auto"/>
          <w:spacing w:val="-4"/>
          <w:sz w:val="28"/>
          <w:szCs w:val="28"/>
          <w:lang w:eastAsia="zh-CN"/>
        </w:rPr>
      </w:pPr>
      <w:r>
        <w:rPr>
          <w:rFonts w:hint="eastAsia" w:ascii="宋体" w:hAnsi="宋体" w:cs="宋体"/>
          <w:b/>
          <w:bCs/>
          <w:color w:val="auto"/>
          <w:spacing w:val="-4"/>
          <w:sz w:val="28"/>
          <w:szCs w:val="28"/>
          <w:lang w:eastAsia="zh-CN"/>
        </w:rPr>
        <w:t>日期：2025年6月</w:t>
      </w:r>
    </w:p>
    <w:p w14:paraId="2C518BCB">
      <w:pPr>
        <w:spacing w:line="228" w:lineRule="auto"/>
        <w:rPr>
          <w:rFonts w:hint="eastAsia" w:ascii="宋体" w:hAnsi="宋体" w:cs="宋体"/>
          <w:color w:val="auto"/>
          <w:sz w:val="31"/>
          <w:szCs w:val="31"/>
          <w:lang w:eastAsia="zh-CN"/>
        </w:rPr>
        <w:sectPr>
          <w:headerReference r:id="rId3" w:type="default"/>
          <w:pgSz w:w="11906" w:h="16839"/>
          <w:pgMar w:top="1431" w:right="1785" w:bottom="567" w:left="1785" w:header="0" w:footer="0" w:gutter="0"/>
          <w:pgBorders>
            <w:top w:val="none" w:sz="0" w:space="0"/>
            <w:left w:val="none" w:sz="0" w:space="0"/>
            <w:bottom w:val="none" w:sz="0" w:space="0"/>
            <w:right w:val="none" w:sz="0" w:space="0"/>
          </w:pgBorders>
          <w:cols w:space="720" w:num="1"/>
        </w:sectPr>
      </w:pPr>
    </w:p>
    <w:p w14:paraId="6D2688EF">
      <w:pPr>
        <w:pStyle w:val="8"/>
        <w:spacing w:line="282" w:lineRule="auto"/>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目 录</w:t>
      </w:r>
    </w:p>
    <w:p w14:paraId="79655753">
      <w:pPr>
        <w:pStyle w:val="17"/>
        <w:tabs>
          <w:tab w:val="right" w:leader="dot" w:pos="9049"/>
        </w:tabs>
        <w:rPr>
          <w:rFonts w:hint="eastAsia" w:ascii="宋体" w:hAnsi="宋体" w:cs="宋体"/>
          <w:b/>
          <w:bCs/>
          <w:color w:val="auto"/>
          <w:sz w:val="36"/>
          <w:szCs w:val="36"/>
        </w:rPr>
      </w:pPr>
      <w:r>
        <w:rPr>
          <w:rFonts w:hint="eastAsia" w:ascii="宋体" w:hAnsi="宋体" w:cs="宋体"/>
          <w:b/>
          <w:bCs/>
          <w:color w:val="auto"/>
          <w:sz w:val="36"/>
          <w:szCs w:val="36"/>
          <w:lang w:eastAsia="zh-CN"/>
        </w:rPr>
        <w:fldChar w:fldCharType="begin"/>
      </w:r>
      <w:r>
        <w:rPr>
          <w:rFonts w:hint="eastAsia" w:ascii="宋体" w:hAnsi="宋体" w:cs="宋体"/>
          <w:b/>
          <w:bCs/>
          <w:color w:val="auto"/>
          <w:sz w:val="36"/>
          <w:szCs w:val="36"/>
          <w:lang w:eastAsia="zh-CN"/>
        </w:rPr>
        <w:instrText xml:space="preserve">TOC \o "1-3" \h \u </w:instrText>
      </w:r>
      <w:r>
        <w:rPr>
          <w:rFonts w:hint="eastAsia" w:ascii="宋体" w:hAnsi="宋体" w:cs="宋体"/>
          <w:b/>
          <w:bCs/>
          <w:color w:val="auto"/>
          <w:sz w:val="36"/>
          <w:szCs w:val="36"/>
          <w:lang w:eastAsia="zh-CN"/>
        </w:rPr>
        <w:fldChar w:fldCharType="separate"/>
      </w:r>
    </w:p>
    <w:p w14:paraId="2A84A8DD">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"_Toc19250" </w:instrText>
      </w:r>
      <w:r>
        <w:fldChar w:fldCharType="separate"/>
      </w:r>
      <w:r>
        <w:rPr>
          <w:rFonts w:hint="eastAsia" w:ascii="宋体" w:hAnsi="宋体" w:cs="宋体"/>
          <w:b/>
          <w:bCs/>
          <w:color w:val="auto"/>
          <w:sz w:val="24"/>
          <w:szCs w:val="24"/>
          <w:lang w:eastAsia="zh-CN"/>
        </w:rPr>
        <w:t>第一部分招标公告</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_Toc19250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2</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457728E9">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"_Toc21475" </w:instrText>
      </w:r>
      <w:r>
        <w:fldChar w:fldCharType="separate"/>
      </w:r>
      <w:r>
        <w:rPr>
          <w:rFonts w:hint="eastAsia" w:ascii="宋体" w:hAnsi="宋体" w:cs="宋体"/>
          <w:b/>
          <w:bCs/>
          <w:color w:val="auto"/>
          <w:sz w:val="24"/>
          <w:szCs w:val="24"/>
          <w:lang w:eastAsia="zh-CN"/>
        </w:rPr>
        <w:t>第二部分投标人须知</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_Toc21475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5</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2E82E7BC">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"_Toc27372" </w:instrText>
      </w:r>
      <w:r>
        <w:fldChar w:fldCharType="separate"/>
      </w:r>
      <w:r>
        <w:rPr>
          <w:rFonts w:hint="eastAsia" w:ascii="宋体" w:hAnsi="宋体" w:cs="宋体"/>
          <w:b/>
          <w:bCs/>
          <w:color w:val="auto"/>
          <w:sz w:val="24"/>
          <w:szCs w:val="24"/>
          <w:lang w:eastAsia="zh-CN"/>
        </w:rPr>
        <w:t>第三部分评标办法</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_Toc27372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21</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77AAF4DC">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"_Toc14307" </w:instrText>
      </w:r>
      <w:r>
        <w:fldChar w:fldCharType="separate"/>
      </w:r>
      <w:r>
        <w:rPr>
          <w:rFonts w:hint="eastAsia" w:ascii="宋体" w:hAnsi="宋体" w:cs="宋体"/>
          <w:b/>
          <w:bCs/>
          <w:color w:val="auto"/>
          <w:sz w:val="24"/>
          <w:szCs w:val="24"/>
        </w:rPr>
        <w:t>第四部分采购需求</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_Toc14307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29</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65E79BA2">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"_Toc11620" </w:instrText>
      </w:r>
      <w:r>
        <w:fldChar w:fldCharType="separate"/>
      </w:r>
      <w:r>
        <w:rPr>
          <w:rFonts w:hint="eastAsia" w:ascii="宋体" w:hAnsi="宋体" w:cs="宋体"/>
          <w:b/>
          <w:bCs/>
          <w:color w:val="auto"/>
          <w:sz w:val="24"/>
          <w:szCs w:val="24"/>
        </w:rPr>
        <w:t>第五部分合同条款</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_Toc11620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87</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33909FB9">
      <w:pPr>
        <w:pStyle w:val="17"/>
        <w:tabs>
          <w:tab w:val="right" w:leader="dot" w:pos="9049"/>
        </w:tabs>
        <w:spacing w:line="480" w:lineRule="auto"/>
        <w:rPr>
          <w:rFonts w:hint="eastAsia" w:ascii="宋体" w:hAnsi="宋体" w:cs="宋体"/>
          <w:b/>
          <w:bCs/>
          <w:color w:val="auto"/>
          <w:sz w:val="36"/>
          <w:szCs w:val="36"/>
        </w:rPr>
      </w:pPr>
      <w:r>
        <w:fldChar w:fldCharType="begin"/>
      </w:r>
      <w:r>
        <w:instrText xml:space="preserve"> HYPERLINK \l "_Toc26307" </w:instrText>
      </w:r>
      <w:r>
        <w:fldChar w:fldCharType="separate"/>
      </w:r>
      <w:r>
        <w:rPr>
          <w:rFonts w:hint="eastAsia" w:ascii="宋体" w:hAnsi="宋体" w:cs="宋体"/>
          <w:b/>
          <w:bCs/>
          <w:color w:val="auto"/>
          <w:sz w:val="24"/>
          <w:szCs w:val="24"/>
          <w:lang w:eastAsia="zh-CN"/>
        </w:rPr>
        <w:t>第六部分投标文件格式</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_Toc26307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104</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5F623ABB">
      <w:pPr>
        <w:pStyle w:val="18"/>
        <w:tabs>
          <w:tab w:val="right" w:leader="dot" w:pos="9049"/>
        </w:tabs>
        <w:rPr>
          <w:rFonts w:hint="eastAsia" w:ascii="宋体" w:hAnsi="宋体" w:cs="宋体"/>
          <w:b/>
          <w:bCs/>
          <w:color w:val="auto"/>
          <w:sz w:val="36"/>
          <w:szCs w:val="36"/>
        </w:rPr>
      </w:pPr>
    </w:p>
    <w:p w14:paraId="3920404F">
      <w:pPr>
        <w:pStyle w:val="8"/>
        <w:spacing w:line="282" w:lineRule="auto"/>
        <w:rPr>
          <w:rFonts w:hint="eastAsia" w:ascii="宋体" w:hAnsi="宋体" w:eastAsia="宋体" w:cs="宋体"/>
          <w:color w:val="auto"/>
          <w:lang w:eastAsia="zh-CN"/>
        </w:rPr>
      </w:pPr>
      <w:r>
        <w:rPr>
          <w:rFonts w:hint="eastAsia" w:ascii="宋体" w:hAnsi="宋体" w:eastAsia="宋体" w:cs="宋体"/>
          <w:b/>
          <w:bCs/>
          <w:color w:val="auto"/>
          <w:sz w:val="36"/>
          <w:szCs w:val="36"/>
          <w:lang w:eastAsia="zh-CN"/>
        </w:rPr>
        <w:fldChar w:fldCharType="end"/>
      </w:r>
    </w:p>
    <w:p w14:paraId="789FB2F9">
      <w:pPr>
        <w:pStyle w:val="8"/>
        <w:spacing w:line="282" w:lineRule="auto"/>
        <w:rPr>
          <w:rFonts w:hint="eastAsia" w:ascii="宋体" w:hAnsi="宋体" w:eastAsia="宋体" w:cs="宋体"/>
          <w:color w:val="auto"/>
          <w:lang w:eastAsia="zh-CN"/>
        </w:rPr>
      </w:pPr>
    </w:p>
    <w:p w14:paraId="5E68BFBA">
      <w:pPr>
        <w:pStyle w:val="8"/>
        <w:spacing w:line="282" w:lineRule="auto"/>
        <w:rPr>
          <w:rFonts w:hint="eastAsia" w:ascii="宋体" w:hAnsi="宋体" w:eastAsia="宋体" w:cs="宋体"/>
          <w:color w:val="auto"/>
          <w:lang w:eastAsia="zh-CN"/>
        </w:rPr>
      </w:pPr>
    </w:p>
    <w:p w14:paraId="165F13A5">
      <w:pPr>
        <w:pStyle w:val="8"/>
        <w:spacing w:line="283" w:lineRule="auto"/>
        <w:rPr>
          <w:rFonts w:hint="eastAsia" w:ascii="宋体" w:hAnsi="宋体" w:eastAsia="宋体" w:cs="宋体"/>
          <w:color w:val="auto"/>
          <w:lang w:eastAsia="zh-CN"/>
        </w:rPr>
      </w:pPr>
    </w:p>
    <w:p w14:paraId="1A7244F8">
      <w:pPr>
        <w:spacing w:before="102" w:line="225" w:lineRule="auto"/>
        <w:rPr>
          <w:rFonts w:hint="eastAsia" w:ascii="宋体" w:hAnsi="宋体" w:cs="宋体"/>
          <w:color w:val="auto"/>
          <w:sz w:val="31"/>
          <w:szCs w:val="31"/>
          <w:lang w:eastAsia="zh-CN"/>
        </w:rPr>
      </w:pPr>
    </w:p>
    <w:p w14:paraId="296AA620">
      <w:pPr>
        <w:spacing w:line="225" w:lineRule="auto"/>
        <w:rPr>
          <w:rFonts w:hint="eastAsia" w:ascii="宋体" w:hAnsi="宋体" w:cs="宋体"/>
          <w:color w:val="auto"/>
          <w:sz w:val="31"/>
          <w:szCs w:val="31"/>
          <w:lang w:eastAsia="zh-CN"/>
        </w:rPr>
      </w:pPr>
    </w:p>
    <w:p w14:paraId="6605EBBE">
      <w:pPr>
        <w:rPr>
          <w:rFonts w:hint="eastAsia" w:ascii="宋体" w:hAnsi="宋体" w:cs="宋体"/>
          <w:color w:val="auto"/>
          <w:lang w:eastAsia="zh-CN"/>
        </w:rPr>
      </w:pPr>
    </w:p>
    <w:p w14:paraId="3401C7ED">
      <w:pPr>
        <w:rPr>
          <w:rFonts w:hint="eastAsia" w:ascii="宋体" w:hAnsi="宋体" w:cs="宋体"/>
          <w:color w:val="auto"/>
          <w:lang w:eastAsia="zh-CN"/>
        </w:rPr>
      </w:pPr>
    </w:p>
    <w:p w14:paraId="382446D3">
      <w:pPr>
        <w:rPr>
          <w:rFonts w:hint="eastAsia" w:ascii="宋体" w:hAnsi="宋体" w:cs="宋体"/>
          <w:color w:val="auto"/>
          <w:lang w:eastAsia="zh-CN"/>
        </w:rPr>
      </w:pPr>
    </w:p>
    <w:p w14:paraId="7B817824">
      <w:pPr>
        <w:rPr>
          <w:rFonts w:hint="eastAsia" w:ascii="宋体" w:hAnsi="宋体" w:cs="宋体"/>
          <w:color w:val="auto"/>
          <w:lang w:eastAsia="zh-CN"/>
        </w:rPr>
      </w:pPr>
    </w:p>
    <w:p w14:paraId="2EAFB6F7">
      <w:pPr>
        <w:rPr>
          <w:rFonts w:hint="eastAsia" w:ascii="宋体" w:hAnsi="宋体" w:cs="宋体"/>
          <w:color w:val="auto"/>
          <w:lang w:eastAsia="zh-CN"/>
        </w:rPr>
      </w:pPr>
    </w:p>
    <w:p w14:paraId="75E84891">
      <w:pPr>
        <w:rPr>
          <w:rFonts w:hint="eastAsia" w:ascii="宋体" w:hAnsi="宋体" w:cs="宋体"/>
          <w:color w:val="auto"/>
          <w:lang w:eastAsia="zh-CN"/>
        </w:rPr>
      </w:pPr>
    </w:p>
    <w:p w14:paraId="52F5DFB5">
      <w:pPr>
        <w:rPr>
          <w:rFonts w:hint="eastAsia" w:ascii="宋体" w:hAnsi="宋体" w:cs="宋体"/>
          <w:color w:val="auto"/>
          <w:lang w:eastAsia="zh-CN"/>
        </w:rPr>
      </w:pPr>
    </w:p>
    <w:p w14:paraId="748C4E2D">
      <w:pPr>
        <w:rPr>
          <w:rFonts w:hint="eastAsia" w:ascii="宋体" w:hAnsi="宋体" w:cs="宋体"/>
          <w:color w:val="auto"/>
          <w:lang w:eastAsia="zh-CN"/>
        </w:rPr>
      </w:pPr>
    </w:p>
    <w:p w14:paraId="79B705F3">
      <w:pPr>
        <w:rPr>
          <w:rFonts w:hint="eastAsia" w:ascii="宋体" w:hAnsi="宋体" w:cs="宋体"/>
          <w:color w:val="auto"/>
          <w:lang w:eastAsia="zh-CN"/>
        </w:rPr>
      </w:pPr>
    </w:p>
    <w:p w14:paraId="59FE866E">
      <w:pPr>
        <w:rPr>
          <w:rFonts w:hint="eastAsia" w:ascii="宋体" w:hAnsi="宋体" w:cs="宋体"/>
          <w:color w:val="auto"/>
          <w:lang w:eastAsia="zh-CN"/>
        </w:rPr>
      </w:pPr>
    </w:p>
    <w:p w14:paraId="7536B10B">
      <w:pPr>
        <w:rPr>
          <w:rFonts w:hint="eastAsia" w:ascii="宋体" w:hAnsi="宋体" w:cs="宋体"/>
          <w:color w:val="auto"/>
          <w:lang w:eastAsia="zh-CN"/>
        </w:rPr>
      </w:pPr>
    </w:p>
    <w:p w14:paraId="7D9367F4">
      <w:pPr>
        <w:rPr>
          <w:rFonts w:hint="eastAsia" w:ascii="宋体" w:hAnsi="宋体" w:cs="宋体"/>
          <w:color w:val="auto"/>
          <w:lang w:eastAsia="zh-CN"/>
        </w:rPr>
      </w:pPr>
    </w:p>
    <w:p w14:paraId="6DE8F219">
      <w:pPr>
        <w:rPr>
          <w:rFonts w:hint="eastAsia" w:ascii="宋体" w:hAnsi="宋体" w:cs="宋体"/>
          <w:color w:val="auto"/>
          <w:lang w:eastAsia="zh-CN"/>
        </w:rPr>
      </w:pPr>
    </w:p>
    <w:p w14:paraId="42193F89">
      <w:pPr>
        <w:rPr>
          <w:rFonts w:hint="eastAsia" w:ascii="宋体" w:hAnsi="宋体" w:cs="宋体"/>
          <w:color w:val="auto"/>
          <w:lang w:eastAsia="zh-CN"/>
        </w:rPr>
      </w:pPr>
    </w:p>
    <w:p w14:paraId="317720AD">
      <w:pPr>
        <w:rPr>
          <w:rFonts w:hint="eastAsia" w:ascii="宋体" w:hAnsi="宋体" w:cs="宋体"/>
          <w:color w:val="auto"/>
          <w:lang w:eastAsia="zh-CN"/>
        </w:rPr>
      </w:pPr>
    </w:p>
    <w:p w14:paraId="026FB398">
      <w:pPr>
        <w:rPr>
          <w:rFonts w:hint="eastAsia" w:ascii="宋体" w:hAnsi="宋体" w:cs="宋体"/>
          <w:color w:val="auto"/>
          <w:lang w:eastAsia="zh-CN"/>
        </w:rPr>
      </w:pPr>
    </w:p>
    <w:p w14:paraId="32770940">
      <w:pPr>
        <w:rPr>
          <w:rFonts w:hint="eastAsia" w:ascii="宋体" w:hAnsi="宋体" w:cs="宋体"/>
          <w:color w:val="auto"/>
          <w:lang w:eastAsia="zh-CN"/>
        </w:rPr>
      </w:pPr>
    </w:p>
    <w:p w14:paraId="4A1EC341">
      <w:pPr>
        <w:rPr>
          <w:rFonts w:hint="eastAsia" w:ascii="宋体" w:hAnsi="宋体" w:cs="宋体"/>
          <w:color w:val="auto"/>
          <w:lang w:eastAsia="zh-CN"/>
        </w:rPr>
      </w:pPr>
    </w:p>
    <w:p w14:paraId="2F050671">
      <w:pPr>
        <w:rPr>
          <w:rFonts w:hint="eastAsia" w:ascii="宋体" w:hAnsi="宋体" w:cs="宋体"/>
          <w:color w:val="auto"/>
          <w:lang w:eastAsia="zh-CN"/>
        </w:rPr>
      </w:pPr>
    </w:p>
    <w:p w14:paraId="0F19A9A6">
      <w:pPr>
        <w:rPr>
          <w:rFonts w:hint="eastAsia" w:ascii="宋体" w:hAnsi="宋体" w:cs="宋体"/>
          <w:color w:val="auto"/>
          <w:lang w:eastAsia="zh-CN"/>
        </w:rPr>
      </w:pPr>
    </w:p>
    <w:p w14:paraId="094F9E87">
      <w:pPr>
        <w:rPr>
          <w:rFonts w:hint="eastAsia" w:ascii="宋体" w:hAnsi="宋体" w:cs="宋体"/>
          <w:color w:val="auto"/>
          <w:lang w:eastAsia="zh-CN"/>
        </w:rPr>
      </w:pPr>
    </w:p>
    <w:p w14:paraId="7CA60602">
      <w:pPr>
        <w:rPr>
          <w:rFonts w:hint="eastAsia" w:ascii="宋体" w:hAnsi="宋体" w:cs="宋体"/>
          <w:color w:val="auto"/>
          <w:lang w:eastAsia="zh-CN"/>
        </w:rPr>
      </w:pPr>
    </w:p>
    <w:p w14:paraId="6C6D832B">
      <w:pPr>
        <w:rPr>
          <w:rFonts w:hint="eastAsia" w:ascii="宋体" w:hAnsi="宋体" w:cs="宋体"/>
          <w:color w:val="auto"/>
          <w:lang w:eastAsia="zh-CN"/>
        </w:rPr>
      </w:pPr>
    </w:p>
    <w:p w14:paraId="17BC38E9">
      <w:pPr>
        <w:pStyle w:val="2"/>
        <w:rPr>
          <w:rFonts w:hint="eastAsia" w:ascii="宋体" w:hAnsi="宋体" w:cs="宋体"/>
          <w:color w:val="auto"/>
          <w:lang w:eastAsia="zh-CN"/>
        </w:rPr>
      </w:pPr>
      <w:bookmarkStart w:id="1" w:name="_Toc19250"/>
      <w:r>
        <w:rPr>
          <w:rFonts w:hint="eastAsia" w:ascii="宋体" w:hAnsi="宋体" w:cs="宋体"/>
          <w:color w:val="auto"/>
          <w:lang w:eastAsia="zh-CN"/>
        </w:rPr>
        <w:t>第一部分招标公告</w:t>
      </w:r>
      <w:bookmarkEnd w:id="1"/>
    </w:p>
    <w:p w14:paraId="5C5FF991">
      <w:pPr>
        <w:spacing w:before="64" w:line="228" w:lineRule="auto"/>
        <w:ind w:left="3970"/>
        <w:rPr>
          <w:rFonts w:hint="eastAsia" w:ascii="宋体" w:hAnsi="宋体" w:cs="宋体"/>
          <w:color w:val="auto"/>
          <w:lang w:eastAsia="zh-CN"/>
        </w:rPr>
      </w:pPr>
      <w:r>
        <w:rPr>
          <w:rFonts w:hint="eastAsia" w:ascii="宋体" w:hAnsi="宋体" w:cs="宋体"/>
          <w:b/>
          <w:bCs/>
          <w:color w:val="auto"/>
          <w:spacing w:val="3"/>
          <w:sz w:val="20"/>
          <w:szCs w:val="20"/>
          <w:lang w:eastAsia="zh-CN"/>
        </w:rPr>
        <w:t>（资格后审）</w:t>
      </w:r>
    </w:p>
    <w:p w14:paraId="354A9E36">
      <w:pPr>
        <w:spacing w:before="65" w:line="360" w:lineRule="auto"/>
        <w:ind w:left="424"/>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项目概况</w:t>
      </w:r>
    </w:p>
    <w:p w14:paraId="23C23FDB">
      <w:pPr>
        <w:spacing w:before="57" w:line="360" w:lineRule="auto"/>
        <w:ind w:firstLine="42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长春汽车职业技术大学人工智能大模型技术产教融合实训平台设备采购项目</w:t>
      </w:r>
      <w:r>
        <w:rPr>
          <w:rFonts w:hint="eastAsia" w:ascii="宋体" w:hAnsi="宋体" w:cs="宋体"/>
          <w:color w:val="auto"/>
          <w:spacing w:val="9"/>
          <w:sz w:val="20"/>
          <w:szCs w:val="20"/>
          <w:lang w:eastAsia="zh-CN"/>
        </w:rPr>
        <w:t>的潜在投标人应在“政采云”平台（http：//www.zcygov.cn）获取招标文件，</w:t>
      </w:r>
      <w:r>
        <w:rPr>
          <w:rFonts w:hint="eastAsia" w:ascii="宋体" w:hAnsi="宋体" w:cs="宋体"/>
          <w:color w:val="auto"/>
          <w:spacing w:val="8"/>
          <w:sz w:val="20"/>
          <w:szCs w:val="20"/>
          <w:lang w:eastAsia="zh-CN"/>
        </w:rPr>
        <w:t>并于</w:t>
      </w:r>
      <w:r>
        <w:rPr>
          <w:rFonts w:hint="eastAsia" w:ascii="宋体" w:hAnsi="宋体" w:cs="宋体"/>
          <w:color w:val="auto"/>
          <w:spacing w:val="8"/>
          <w:sz w:val="20"/>
          <w:szCs w:val="20"/>
          <w:highlight w:val="none"/>
          <w:lang w:eastAsia="zh-CN"/>
        </w:rPr>
        <w:t>2025年</w:t>
      </w:r>
      <w:r>
        <w:rPr>
          <w:rFonts w:hint="eastAsia" w:ascii="宋体" w:hAnsi="宋体" w:cs="宋体"/>
          <w:color w:val="auto"/>
          <w:spacing w:val="8"/>
          <w:sz w:val="20"/>
          <w:szCs w:val="20"/>
          <w:highlight w:val="none"/>
          <w:lang w:val="en-US" w:eastAsia="zh-CN"/>
        </w:rPr>
        <w:t>6</w:t>
      </w:r>
      <w:r>
        <w:rPr>
          <w:rFonts w:hint="eastAsia" w:ascii="宋体" w:hAnsi="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15</w:t>
      </w:r>
      <w:r>
        <w:rPr>
          <w:rFonts w:hint="eastAsia" w:ascii="宋体" w:hAnsi="宋体" w:cs="宋体"/>
          <w:color w:val="auto"/>
          <w:spacing w:val="8"/>
          <w:sz w:val="20"/>
          <w:szCs w:val="20"/>
          <w:highlight w:val="none"/>
          <w:lang w:eastAsia="zh-CN"/>
        </w:rPr>
        <w:t>日</w:t>
      </w:r>
      <w:r>
        <w:rPr>
          <w:rFonts w:hint="eastAsia" w:ascii="宋体" w:hAnsi="宋体" w:cs="宋体"/>
          <w:color w:val="auto"/>
          <w:spacing w:val="8"/>
          <w:sz w:val="20"/>
          <w:szCs w:val="20"/>
          <w:highlight w:val="none"/>
          <w:lang w:val="en-US" w:eastAsia="zh-CN"/>
        </w:rPr>
        <w:t>10</w:t>
      </w:r>
      <w:r>
        <w:rPr>
          <w:rFonts w:hint="eastAsia" w:ascii="宋体" w:hAnsi="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cs="宋体"/>
          <w:color w:val="auto"/>
          <w:spacing w:val="8"/>
          <w:sz w:val="20"/>
          <w:szCs w:val="20"/>
          <w:highlight w:val="none"/>
          <w:lang w:eastAsia="zh-CN"/>
        </w:rPr>
        <w:t>分</w:t>
      </w:r>
      <w:r>
        <w:rPr>
          <w:rFonts w:hint="eastAsia" w:ascii="宋体" w:hAnsi="宋体" w:cs="宋体"/>
          <w:color w:val="auto"/>
          <w:spacing w:val="8"/>
          <w:sz w:val="20"/>
          <w:szCs w:val="20"/>
          <w:lang w:eastAsia="zh-CN"/>
        </w:rPr>
        <w:t>（北京时间）前提交投标文件。</w:t>
      </w:r>
    </w:p>
    <w:p w14:paraId="0D4F8122">
      <w:pPr>
        <w:spacing w:before="139" w:line="360" w:lineRule="auto"/>
        <w:ind w:left="4"/>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一、项目基本情况</w:t>
      </w:r>
    </w:p>
    <w:p w14:paraId="111A9BB9">
      <w:pPr>
        <w:spacing w:before="133" w:line="360" w:lineRule="auto"/>
        <w:ind w:firstLine="214" w:firstLineChars="100"/>
        <w:rPr>
          <w:rFonts w:hint="eastAsia" w:ascii="宋体" w:hAnsi="宋体" w:cs="宋体"/>
          <w:color w:val="auto"/>
          <w:spacing w:val="7"/>
          <w:sz w:val="20"/>
          <w:szCs w:val="20"/>
          <w:lang w:eastAsia="zh-CN"/>
        </w:rPr>
      </w:pPr>
      <w:r>
        <w:rPr>
          <w:rFonts w:hint="eastAsia" w:ascii="宋体" w:hAnsi="宋体" w:cs="宋体"/>
          <w:color w:val="auto"/>
          <w:spacing w:val="7"/>
          <w:sz w:val="20"/>
          <w:szCs w:val="20"/>
          <w:lang w:eastAsia="zh-CN"/>
        </w:rPr>
        <w:t>1.1项目编号：JM-2025-04-00353</w:t>
      </w:r>
    </w:p>
    <w:p w14:paraId="650D24B9">
      <w:pPr>
        <w:spacing w:before="135" w:line="360" w:lineRule="auto"/>
        <w:ind w:firstLine="218" w:firstLineChars="10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1.2项目名称：</w:t>
      </w:r>
      <w:r>
        <w:rPr>
          <w:rFonts w:hint="eastAsia" w:ascii="宋体" w:hAnsi="宋体" w:cs="宋体"/>
          <w:color w:val="auto"/>
          <w:spacing w:val="8"/>
          <w:sz w:val="20"/>
          <w:szCs w:val="20"/>
          <w:lang w:eastAsia="zh-CN"/>
        </w:rPr>
        <w:t>长春汽车职业技术大学人工智能大模型技术产教融合实训平台设备采购项目</w:t>
      </w:r>
      <w:r>
        <w:rPr>
          <w:rFonts w:hint="eastAsia" w:ascii="宋体" w:hAnsi="宋体" w:cs="宋体"/>
          <w:color w:val="auto"/>
          <w:spacing w:val="9"/>
          <w:sz w:val="20"/>
          <w:szCs w:val="20"/>
          <w:lang w:eastAsia="zh-CN"/>
        </w:rPr>
        <w:t>；</w:t>
      </w:r>
    </w:p>
    <w:p w14:paraId="2C2784E9">
      <w:pPr>
        <w:spacing w:before="133" w:line="360" w:lineRule="auto"/>
        <w:ind w:firstLine="212" w:firstLineChars="100"/>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1.3预算金额：2529000.00元；</w:t>
      </w:r>
    </w:p>
    <w:p w14:paraId="59438A3D">
      <w:pPr>
        <w:spacing w:before="133" w:line="360" w:lineRule="auto"/>
        <w:ind w:firstLine="210" w:firstLineChars="100"/>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1.4最高限价：</w:t>
      </w:r>
      <w:r>
        <w:rPr>
          <w:rFonts w:hint="eastAsia" w:ascii="宋体" w:hAnsi="宋体" w:cs="宋体"/>
          <w:color w:val="auto"/>
          <w:spacing w:val="6"/>
          <w:sz w:val="20"/>
          <w:szCs w:val="20"/>
          <w:lang w:eastAsia="zh-CN"/>
        </w:rPr>
        <w:t>2529000.00元</w:t>
      </w:r>
      <w:r>
        <w:rPr>
          <w:rFonts w:hint="eastAsia" w:ascii="宋体" w:hAnsi="宋体" w:cs="宋体"/>
          <w:color w:val="auto"/>
          <w:spacing w:val="5"/>
          <w:sz w:val="20"/>
          <w:szCs w:val="20"/>
          <w:lang w:eastAsia="zh-CN"/>
        </w:rPr>
        <w:t>；</w:t>
      </w:r>
    </w:p>
    <w:p w14:paraId="3CDE54DF">
      <w:pPr>
        <w:spacing w:before="136" w:line="360" w:lineRule="auto"/>
        <w:ind w:firstLine="218" w:firstLineChars="10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1.5采购需求：本项目为我校以旧换新设备升级改造项目，拟采购包含完善人工智能专业、物联网专业实训实战教学场景的硬件设备，满足信息技术学院实训教学与实践。同时服务校园E卡通业务升级，有效提升学校智慧校园水平，可以满足通过基础智能物联设备和人工智能设备相结合，为全校师生提供智慧物联网服务和通用便捷应用教学及信息技术服务能力，也可以全面提升在人工智能和物联网领域的人才培养和综合应用能力，以现实与生产化的场景为相关产业的发展提供技术支持和人才储备，为信息技术学院相关专业资源建设提供业务支撑。详见招标文件；</w:t>
      </w:r>
    </w:p>
    <w:p w14:paraId="31DF6EC4">
      <w:pPr>
        <w:spacing w:before="133" w:line="360" w:lineRule="auto"/>
        <w:ind w:firstLine="216" w:firstLineChars="10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1.6合同履行期限：采购合同签订之日起90天内；</w:t>
      </w:r>
    </w:p>
    <w:p w14:paraId="3DB5DA00">
      <w:pPr>
        <w:spacing w:before="134"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1.7本项目不接受联合体。</w:t>
      </w:r>
    </w:p>
    <w:p w14:paraId="4537DFE7">
      <w:pPr>
        <w:spacing w:before="133" w:line="360" w:lineRule="auto"/>
        <w:ind w:left="3"/>
        <w:rPr>
          <w:rFonts w:hint="eastAsia" w:ascii="宋体" w:hAnsi="宋体" w:cs="宋体"/>
          <w:color w:val="auto"/>
          <w:sz w:val="20"/>
          <w:szCs w:val="20"/>
          <w:lang w:eastAsia="zh-CN"/>
        </w:rPr>
      </w:pPr>
      <w:r>
        <w:rPr>
          <w:rFonts w:hint="eastAsia" w:ascii="宋体" w:hAnsi="宋体" w:cs="宋体"/>
          <w:b/>
          <w:bCs/>
          <w:color w:val="auto"/>
          <w:spacing w:val="2"/>
          <w:sz w:val="20"/>
          <w:szCs w:val="20"/>
          <w:lang w:eastAsia="zh-CN"/>
        </w:rPr>
        <w:t>二、申请人的资格要求：</w:t>
      </w:r>
    </w:p>
    <w:p w14:paraId="52319F88">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1.满足《中华人民共和国政府采购法》第二十二条规定。</w:t>
      </w:r>
    </w:p>
    <w:p w14:paraId="26EDB77B">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2．落实政府采购政策需满足的资格要求：本项目非专门面向中小企业采购。</w:t>
      </w:r>
    </w:p>
    <w:p w14:paraId="6668300D">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3．本项目的特定资格要求：</w:t>
      </w:r>
    </w:p>
    <w:p w14:paraId="73529312">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3.1 在中华人民共和国境内注册，能够独立承担民事责任的企业法人或其他组织。</w:t>
      </w:r>
    </w:p>
    <w:p w14:paraId="54F2EEBA">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3.2 本项目供应商须具备有效的营业执照，并在人员、资金、设备等方面具有相应的承揽能力。</w:t>
      </w:r>
    </w:p>
    <w:p w14:paraId="5478676B">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3.3 供应商参加采购活动应当提交反映其财务状况、依法缴纳税收和社会保障资金情况的资格条件承诺函。</w:t>
      </w:r>
    </w:p>
    <w:p w14:paraId="71893237">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3.4 拒绝列入政府取消投标资格记录期间的企业或个人投标，参加政府采购活动前3年内在经营活动中没有重大违法记录。</w:t>
      </w:r>
    </w:p>
    <w:p w14:paraId="712A3CFC">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52441032">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3.6 单位负责人为同一人或者存在直接控股、管理关系的不同供应商，不得参加同一合同项下的政府采购活动。</w:t>
      </w:r>
    </w:p>
    <w:p w14:paraId="027EC8BF">
      <w:pPr>
        <w:spacing w:before="132" w:line="360" w:lineRule="auto"/>
        <w:ind w:left="1"/>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三、获取招标文件</w:t>
      </w:r>
    </w:p>
    <w:p w14:paraId="4A335B73">
      <w:pPr>
        <w:spacing w:before="133" w:line="360" w:lineRule="auto"/>
        <w:rPr>
          <w:rFonts w:hint="eastAsia" w:ascii="宋体" w:hAnsi="宋体" w:cs="宋体"/>
          <w:color w:val="auto"/>
          <w:sz w:val="20"/>
          <w:szCs w:val="20"/>
          <w:lang w:eastAsia="zh-CN"/>
        </w:rPr>
      </w:pPr>
      <w:r>
        <w:rPr>
          <w:rFonts w:hint="eastAsia" w:ascii="宋体" w:hAnsi="宋体" w:cs="宋体"/>
          <w:color w:val="auto"/>
          <w:spacing w:val="9"/>
          <w:position w:val="13"/>
          <w:sz w:val="20"/>
          <w:szCs w:val="20"/>
          <w:lang w:eastAsia="zh-CN"/>
        </w:rPr>
        <w:t>3.1时间：</w:t>
      </w:r>
      <w:r>
        <w:rPr>
          <w:rFonts w:hint="eastAsia" w:ascii="宋体" w:hAnsi="宋体" w:cs="宋体"/>
          <w:color w:val="auto"/>
          <w:spacing w:val="9"/>
          <w:position w:val="13"/>
          <w:sz w:val="20"/>
          <w:szCs w:val="20"/>
          <w:highlight w:val="none"/>
          <w:lang w:eastAsia="zh-CN"/>
        </w:rPr>
        <w:t>2025年</w:t>
      </w:r>
      <w:r>
        <w:rPr>
          <w:rFonts w:hint="eastAsia" w:ascii="宋体" w:hAnsi="宋体" w:cs="宋体"/>
          <w:color w:val="auto"/>
          <w:spacing w:val="9"/>
          <w:position w:val="13"/>
          <w:sz w:val="20"/>
          <w:szCs w:val="20"/>
          <w:highlight w:val="none"/>
          <w:lang w:val="en-US" w:eastAsia="zh-CN"/>
        </w:rPr>
        <w:t>6</w:t>
      </w:r>
      <w:r>
        <w:rPr>
          <w:rFonts w:hint="eastAsia" w:ascii="宋体" w:hAnsi="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23</w:t>
      </w:r>
      <w:r>
        <w:rPr>
          <w:rFonts w:hint="eastAsia" w:ascii="宋体" w:hAnsi="宋体" w:cs="宋体"/>
          <w:color w:val="auto"/>
          <w:spacing w:val="9"/>
          <w:position w:val="13"/>
          <w:sz w:val="20"/>
          <w:szCs w:val="20"/>
          <w:highlight w:val="none"/>
          <w:lang w:eastAsia="zh-CN"/>
        </w:rPr>
        <w:t>日至2025年</w:t>
      </w:r>
      <w:r>
        <w:rPr>
          <w:rFonts w:hint="eastAsia" w:ascii="宋体" w:hAnsi="宋体" w:cs="宋体"/>
          <w:color w:val="auto"/>
          <w:spacing w:val="9"/>
          <w:position w:val="13"/>
          <w:sz w:val="20"/>
          <w:szCs w:val="20"/>
          <w:highlight w:val="none"/>
          <w:lang w:val="en-US" w:eastAsia="zh-CN"/>
        </w:rPr>
        <w:t>6月27</w:t>
      </w:r>
      <w:r>
        <w:rPr>
          <w:rFonts w:hint="eastAsia" w:ascii="宋体" w:hAnsi="宋体" w:cs="宋体"/>
          <w:color w:val="auto"/>
          <w:spacing w:val="9"/>
          <w:position w:val="13"/>
          <w:sz w:val="20"/>
          <w:szCs w:val="20"/>
          <w:highlight w:val="none"/>
          <w:lang w:eastAsia="zh-CN"/>
        </w:rPr>
        <w:t>日</w:t>
      </w:r>
      <w:r>
        <w:rPr>
          <w:rFonts w:hint="eastAsia" w:ascii="宋体" w:hAnsi="宋体" w:cs="宋体"/>
          <w:color w:val="auto"/>
          <w:spacing w:val="9"/>
          <w:position w:val="13"/>
          <w:sz w:val="20"/>
          <w:szCs w:val="20"/>
          <w:lang w:eastAsia="zh-CN"/>
        </w:rPr>
        <w:t>，每天09时00分至16时00分（北京时间，法定节假日除外）；</w:t>
      </w:r>
    </w:p>
    <w:p w14:paraId="4FF70234">
      <w:pPr>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3.2地点：政府采购云平台（网址：http:// www.zcygov.cn）</w:t>
      </w:r>
    </w:p>
    <w:p w14:paraId="3D741258">
      <w:pPr>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3.3方式：网上免费获取（潜在投标人自行登录政府采购云平台（网址：http:// www.zcygov.cn）网上注册并下载招标文件，其他途径获取的招标文件开标时一律按无效投标处理。</w:t>
      </w:r>
    </w:p>
    <w:p w14:paraId="7BDA5FB1">
      <w:pPr>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3.4售价：0元</w:t>
      </w:r>
    </w:p>
    <w:p w14:paraId="199567CE">
      <w:pPr>
        <w:spacing w:before="136" w:line="360" w:lineRule="auto"/>
        <w:ind w:left="21"/>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四、提交投标文件截止时间、开标时间和地点</w:t>
      </w:r>
    </w:p>
    <w:p w14:paraId="02B95BB7">
      <w:pPr>
        <w:spacing w:before="133" w:line="360" w:lineRule="auto"/>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4.1提交投标文件截止时间、开标时间：</w:t>
      </w:r>
      <w:r>
        <w:rPr>
          <w:rFonts w:hint="eastAsia" w:ascii="宋体" w:hAnsi="宋体" w:cs="宋体"/>
          <w:color w:val="auto"/>
          <w:spacing w:val="8"/>
          <w:sz w:val="20"/>
          <w:szCs w:val="20"/>
          <w:highlight w:val="none"/>
          <w:lang w:eastAsia="zh-CN"/>
        </w:rPr>
        <w:t>2025年</w:t>
      </w:r>
      <w:r>
        <w:rPr>
          <w:rFonts w:hint="eastAsia" w:ascii="宋体" w:hAnsi="宋体" w:cs="宋体"/>
          <w:color w:val="auto"/>
          <w:spacing w:val="8"/>
          <w:sz w:val="20"/>
          <w:szCs w:val="20"/>
          <w:highlight w:val="none"/>
          <w:lang w:val="en-US" w:eastAsia="zh-CN"/>
        </w:rPr>
        <w:t>6</w:t>
      </w:r>
      <w:r>
        <w:rPr>
          <w:rFonts w:hint="eastAsia" w:ascii="宋体" w:hAnsi="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15</w:t>
      </w:r>
      <w:r>
        <w:rPr>
          <w:rFonts w:hint="eastAsia" w:ascii="宋体" w:hAnsi="宋体" w:cs="宋体"/>
          <w:color w:val="auto"/>
          <w:spacing w:val="8"/>
          <w:sz w:val="20"/>
          <w:szCs w:val="20"/>
          <w:highlight w:val="none"/>
          <w:lang w:eastAsia="zh-CN"/>
        </w:rPr>
        <w:t>日</w:t>
      </w:r>
      <w:r>
        <w:rPr>
          <w:rFonts w:hint="eastAsia" w:ascii="宋体" w:hAnsi="宋体" w:cs="宋体"/>
          <w:color w:val="auto"/>
          <w:spacing w:val="8"/>
          <w:sz w:val="20"/>
          <w:szCs w:val="20"/>
          <w:highlight w:val="none"/>
          <w:lang w:val="en-US" w:eastAsia="zh-CN"/>
        </w:rPr>
        <w:t>10</w:t>
      </w:r>
      <w:r>
        <w:rPr>
          <w:rFonts w:hint="eastAsia" w:ascii="宋体" w:hAnsi="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cs="宋体"/>
          <w:color w:val="auto"/>
          <w:spacing w:val="8"/>
          <w:sz w:val="20"/>
          <w:szCs w:val="20"/>
          <w:highlight w:val="none"/>
          <w:lang w:eastAsia="zh-CN"/>
        </w:rPr>
        <w:t>分</w:t>
      </w:r>
      <w:r>
        <w:rPr>
          <w:rFonts w:hint="eastAsia" w:ascii="宋体" w:hAnsi="宋体" w:cs="宋体"/>
          <w:color w:val="auto"/>
          <w:spacing w:val="7"/>
          <w:sz w:val="20"/>
          <w:szCs w:val="20"/>
          <w:lang w:eastAsia="zh-CN"/>
        </w:rPr>
        <w:t>（北</w:t>
      </w:r>
      <w:r>
        <w:rPr>
          <w:rFonts w:hint="eastAsia" w:ascii="宋体" w:hAnsi="宋体" w:cs="宋体"/>
          <w:color w:val="auto"/>
          <w:spacing w:val="6"/>
          <w:sz w:val="20"/>
          <w:szCs w:val="20"/>
          <w:lang w:eastAsia="zh-CN"/>
        </w:rPr>
        <w:t>京时间</w:t>
      </w:r>
      <w:r>
        <w:rPr>
          <w:rFonts w:hint="eastAsia" w:ascii="宋体" w:hAnsi="宋体" w:cs="宋体"/>
          <w:color w:val="auto"/>
          <w:sz w:val="20"/>
          <w:szCs w:val="20"/>
          <w:lang w:eastAsia="zh-CN"/>
        </w:rPr>
        <w:t>）；</w:t>
      </w:r>
    </w:p>
    <w:p w14:paraId="1BAEA253">
      <w:pPr>
        <w:spacing w:before="132" w:line="360"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4.2地点：长春市二道区洋浦大街6999号凯利中心AB栋</w:t>
      </w:r>
      <w:r>
        <w:rPr>
          <w:rFonts w:hint="eastAsia" w:ascii="宋体" w:hAnsi="宋体" w:cs="宋体"/>
          <w:color w:val="auto"/>
          <w:spacing w:val="8"/>
          <w:sz w:val="20"/>
          <w:szCs w:val="20"/>
          <w:highlight w:val="none"/>
          <w:lang w:eastAsia="zh-CN"/>
        </w:rPr>
        <w:t>开标</w:t>
      </w:r>
      <w:r>
        <w:rPr>
          <w:rFonts w:hint="eastAsia" w:ascii="宋体" w:hAnsi="宋体" w:cs="宋体"/>
          <w:color w:val="auto"/>
          <w:spacing w:val="8"/>
          <w:sz w:val="20"/>
          <w:szCs w:val="20"/>
          <w:highlight w:val="none"/>
          <w:lang w:val="en-US" w:eastAsia="zh-CN"/>
        </w:rPr>
        <w:t>二</w:t>
      </w:r>
      <w:r>
        <w:rPr>
          <w:rFonts w:hint="eastAsia" w:ascii="宋体" w:hAnsi="宋体" w:cs="宋体"/>
          <w:color w:val="auto"/>
          <w:spacing w:val="8"/>
          <w:sz w:val="20"/>
          <w:szCs w:val="20"/>
          <w:highlight w:val="none"/>
          <w:lang w:eastAsia="zh-CN"/>
        </w:rPr>
        <w:t>室</w:t>
      </w:r>
      <w:r>
        <w:rPr>
          <w:rFonts w:hint="eastAsia" w:ascii="宋体" w:hAnsi="宋体" w:cs="宋体"/>
          <w:color w:val="auto"/>
          <w:spacing w:val="8"/>
          <w:sz w:val="20"/>
          <w:szCs w:val="20"/>
          <w:lang w:eastAsia="zh-CN"/>
        </w:rPr>
        <w:t>。</w:t>
      </w:r>
    </w:p>
    <w:p w14:paraId="305EE559">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（1）逾期送达的或者未送达指定地点的投标文件，采购人不予受理。</w:t>
      </w:r>
    </w:p>
    <w:p w14:paraId="64BD5CCB">
      <w:pPr>
        <w:spacing w:before="135" w:line="360" w:lineRule="auto"/>
        <w:ind w:right="4" w:firstLine="212"/>
        <w:rPr>
          <w:rFonts w:hint="eastAsia" w:ascii="宋体" w:hAnsi="宋体" w:cs="宋体"/>
          <w:color w:val="auto"/>
          <w:spacing w:val="9"/>
          <w:sz w:val="20"/>
          <w:szCs w:val="20"/>
        </w:rPr>
      </w:pPr>
      <w:r>
        <w:rPr>
          <w:rFonts w:hint="eastAsia" w:ascii="宋体" w:hAnsi="宋体" w:cs="宋体"/>
          <w:color w:val="auto"/>
          <w:spacing w:val="9"/>
          <w:sz w:val="20"/>
          <w:szCs w:val="20"/>
        </w:rPr>
        <w:t>（2）本项目执行电子化招投标，</w:t>
      </w:r>
      <w:r>
        <w:rPr>
          <w:rFonts w:hint="eastAsia" w:ascii="宋体" w:hAnsi="宋体" w:cs="宋体"/>
          <w:color w:val="auto"/>
          <w:spacing w:val="9"/>
          <w:sz w:val="20"/>
          <w:szCs w:val="20"/>
          <w:lang w:eastAsia="zh-CN"/>
        </w:rPr>
        <w:t>投标人</w:t>
      </w:r>
      <w:r>
        <w:rPr>
          <w:rFonts w:hint="eastAsia" w:ascii="宋体" w:hAnsi="宋体" w:cs="宋体"/>
          <w:color w:val="auto"/>
          <w:spacing w:val="9"/>
          <w:sz w:val="20"/>
          <w:szCs w:val="20"/>
        </w:rPr>
        <w:t>需在开标现场递交纸质版投标文件及电子版（U盘）并自行通过政府采购云平台（网址：http:// www.zcygov.cn）提交电子版投标文件。</w:t>
      </w:r>
    </w:p>
    <w:p w14:paraId="364FFC83">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（3）投标操作流程：投标人在政府采购云平台网注册入库成为正式投标人后，在平台上按《政府采购项目电子交易管理操作指南-投标人》进行投标操作。</w:t>
      </w:r>
    </w:p>
    <w:p w14:paraId="799190A4">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（4）数字证书办理及投标技术咨询：投标人须办理数字证书方可参加投标。</w:t>
      </w:r>
    </w:p>
    <w:p w14:paraId="67743982">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（5）办理联系方式：95763（数字证书办理时限为1-3个工作日，投标人须自行考虑办理时间，因投标人自身原因在开标前无法完成办理，后果自负）。</w:t>
      </w:r>
    </w:p>
    <w:p w14:paraId="36A4000B">
      <w:pPr>
        <w:spacing w:before="133" w:line="360" w:lineRule="auto"/>
        <w:ind w:left="5"/>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五、公告期限</w:t>
      </w:r>
    </w:p>
    <w:p w14:paraId="0528AB39">
      <w:pPr>
        <w:spacing w:before="135" w:line="360" w:lineRule="auto"/>
        <w:ind w:left="45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自本公告发布之日起5个工作日。</w:t>
      </w:r>
    </w:p>
    <w:p w14:paraId="2C07B3D7">
      <w:pPr>
        <w:spacing w:before="42" w:line="360" w:lineRule="auto"/>
        <w:ind w:left="2"/>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六、其他补充事宜</w:t>
      </w:r>
    </w:p>
    <w:p w14:paraId="121273A8">
      <w:pPr>
        <w:spacing w:before="132" w:line="360" w:lineRule="auto"/>
        <w:ind w:firstLine="436" w:firstLineChars="200"/>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本次招标公告同时在“政采云”平台（http：//www.zcygov.cn）发布，并推送至《中国政府采购网》、《长春市公共资源交易网》。</w:t>
      </w:r>
    </w:p>
    <w:p w14:paraId="60754E05">
      <w:pPr>
        <w:spacing w:before="134" w:line="360" w:lineRule="auto"/>
        <w:rPr>
          <w:rFonts w:hint="eastAsia" w:ascii="宋体" w:hAnsi="宋体" w:cs="宋体"/>
          <w:color w:val="auto"/>
          <w:sz w:val="20"/>
          <w:szCs w:val="20"/>
          <w:lang w:eastAsia="zh-CN"/>
        </w:rPr>
      </w:pPr>
      <w:r>
        <w:rPr>
          <w:rFonts w:hint="eastAsia" w:ascii="宋体" w:hAnsi="宋体" w:cs="宋体"/>
          <w:b/>
          <w:bCs/>
          <w:color w:val="auto"/>
          <w:spacing w:val="8"/>
          <w:sz w:val="20"/>
          <w:szCs w:val="20"/>
          <w:lang w:eastAsia="zh-CN"/>
        </w:rPr>
        <w:t>七、对本次招标提出询问，请按以下方式联系</w:t>
      </w:r>
    </w:p>
    <w:p w14:paraId="02E754AD">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1.采购人信息</w:t>
      </w:r>
    </w:p>
    <w:p w14:paraId="7A78D8CC">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名    称：长春汽车职业技术大学</w:t>
      </w:r>
    </w:p>
    <w:p w14:paraId="0EFF6D2B">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地    址：长春汽车经济技术开发区新红旗大街1777号</w:t>
      </w:r>
    </w:p>
    <w:p w14:paraId="2BA67354">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联系方式：段小宇 0431-85751806</w:t>
      </w:r>
    </w:p>
    <w:p w14:paraId="420ED6A4">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2.采购代理机构信息</w:t>
      </w:r>
    </w:p>
    <w:p w14:paraId="79980EA9">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名称：中科高盛咨询集团有限公司</w:t>
      </w:r>
    </w:p>
    <w:p w14:paraId="4E461D3D">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地址：长春市净月开发区环球贸易中心一期2号楼25楼</w:t>
      </w:r>
    </w:p>
    <w:p w14:paraId="73895A1B">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联系方式：高志勇</w:t>
      </w:r>
    </w:p>
    <w:p w14:paraId="0FB19067">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联系电话：17743101432</w:t>
      </w:r>
    </w:p>
    <w:p w14:paraId="067A92FA">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3.项目联系方式</w:t>
      </w:r>
    </w:p>
    <w:p w14:paraId="0E609111">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项目联系人：高志勇</w:t>
      </w:r>
    </w:p>
    <w:p w14:paraId="67E5A783">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电话：17743101432</w:t>
      </w:r>
    </w:p>
    <w:p w14:paraId="1BAF7866">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4.监督机构及投诉受理部门：长春市财政局政府采购管理工作办公室</w:t>
      </w:r>
    </w:p>
    <w:p w14:paraId="1926E4FA">
      <w:pPr>
        <w:pStyle w:val="29"/>
        <w:numPr>
          <w:ilvl w:val="0"/>
          <w:numId w:val="0"/>
        </w:numPr>
        <w:spacing w:before="133"/>
        <w:ind w:left="420"/>
        <w:rPr>
          <w:rFonts w:hint="eastAsia" w:ascii="宋体" w:hAnsi="宋体" w:eastAsia="宋体" w:cs="宋体"/>
          <w:color w:val="auto"/>
          <w:spacing w:val="9"/>
          <w:sz w:val="20"/>
          <w:szCs w:val="20"/>
          <w:lang w:eastAsia="zh-CN"/>
        </w:rPr>
        <w:sectPr>
          <w:footerReference r:id="rId4" w:type="default"/>
          <w:pgSz w:w="11906" w:h="16839"/>
          <w:pgMar w:top="1387" w:right="1785" w:bottom="1389" w:left="1368" w:header="0" w:footer="737"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pacing w:val="9"/>
          <w:sz w:val="20"/>
          <w:szCs w:val="20"/>
          <w:lang w:eastAsia="zh-CN"/>
        </w:rPr>
        <w:t>电话： 0431-89865657</w:t>
      </w:r>
    </w:p>
    <w:p w14:paraId="4134E4E2">
      <w:pPr>
        <w:pStyle w:val="2"/>
        <w:rPr>
          <w:rFonts w:hint="eastAsia" w:ascii="宋体" w:hAnsi="宋体" w:cs="宋体"/>
          <w:color w:val="auto"/>
          <w:lang w:eastAsia="zh-CN"/>
        </w:rPr>
      </w:pPr>
      <w:bookmarkStart w:id="2" w:name="_Toc21475"/>
      <w:r>
        <w:rPr>
          <w:rFonts w:hint="eastAsia" w:ascii="宋体" w:hAnsi="宋体" w:cs="宋体"/>
          <w:color w:val="auto"/>
          <w:lang w:eastAsia="zh-CN"/>
        </w:rPr>
        <w:t>第二部分投标人须知</w:t>
      </w:r>
      <w:bookmarkEnd w:id="2"/>
    </w:p>
    <w:p w14:paraId="193F3B34">
      <w:pPr>
        <w:spacing w:before="101"/>
        <w:rPr>
          <w:rFonts w:hint="eastAsia" w:ascii="宋体" w:hAnsi="宋体" w:cs="宋体"/>
          <w:b/>
          <w:bCs/>
          <w:color w:val="auto"/>
          <w:spacing w:val="5"/>
          <w:sz w:val="31"/>
          <w:szCs w:val="31"/>
        </w:rPr>
      </w:pPr>
      <w:r>
        <w:rPr>
          <w:rFonts w:hint="eastAsia" w:ascii="宋体" w:hAnsi="宋体" w:cs="宋体"/>
          <w:color w:val="auto"/>
        </w:rPr>
        <mc:AlternateContent>
          <mc:Choice Requires="wps">
            <w:drawing>
              <wp:anchor distT="0" distB="0" distL="0" distR="0" simplePos="0" relativeHeight="251662336"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39F56EBC">
                            <w:pPr>
                              <w:spacing w:before="20" w:line="119" w:lineRule="exact"/>
                              <w:ind w:left="20"/>
                              <w:rPr>
                                <w:rFonts w:hint="eastAsia"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62336;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39F56EBC">
                      <w:pPr>
                        <w:spacing w:before="20" w:line="119" w:lineRule="exact"/>
                        <w:ind w:left="20"/>
                        <w:rPr>
                          <w:rFonts w:hint="eastAsia"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cs="宋体"/>
          <w:b/>
          <w:bCs/>
          <w:color w:val="auto"/>
          <w:spacing w:val="5"/>
          <w:sz w:val="31"/>
          <w:szCs w:val="31"/>
        </w:rPr>
        <w:t>一</w:t>
      </w:r>
      <w:r>
        <w:rPr>
          <w:rFonts w:hint="eastAsia" w:ascii="宋体" w:hAnsi="宋体" w:cs="宋体"/>
          <w:b/>
          <w:bCs/>
          <w:color w:val="auto"/>
          <w:spacing w:val="5"/>
          <w:sz w:val="31"/>
          <w:szCs w:val="31"/>
          <w:lang w:eastAsia="zh-CN"/>
        </w:rPr>
        <w:t>投标人</w:t>
      </w:r>
      <w:r>
        <w:rPr>
          <w:rFonts w:hint="eastAsia" w:ascii="宋体" w:hAnsi="宋体" w:cs="宋体"/>
          <w:b/>
          <w:bCs/>
          <w:color w:val="auto"/>
          <w:spacing w:val="5"/>
          <w:sz w:val="31"/>
          <w:szCs w:val="31"/>
        </w:rPr>
        <w:t>须知前附表</w:t>
      </w:r>
    </w:p>
    <w:tbl>
      <w:tblPr>
        <w:tblStyle w:val="24"/>
        <w:tblW w:w="9969"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79"/>
        <w:gridCol w:w="7625"/>
      </w:tblGrid>
      <w:tr w14:paraId="3779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3EF4220">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项号</w:t>
            </w:r>
          </w:p>
        </w:tc>
        <w:tc>
          <w:tcPr>
            <w:tcW w:w="1679" w:type="dxa"/>
            <w:vAlign w:val="center"/>
          </w:tcPr>
          <w:p w14:paraId="492A0BF7">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内容</w:t>
            </w:r>
          </w:p>
        </w:tc>
        <w:tc>
          <w:tcPr>
            <w:tcW w:w="7625" w:type="dxa"/>
          </w:tcPr>
          <w:p w14:paraId="255E16FB">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说明与要求</w:t>
            </w:r>
          </w:p>
        </w:tc>
      </w:tr>
      <w:tr w14:paraId="6B9E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779AFEF">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w:t>
            </w:r>
          </w:p>
        </w:tc>
        <w:tc>
          <w:tcPr>
            <w:tcW w:w="1679" w:type="dxa"/>
            <w:vAlign w:val="center"/>
          </w:tcPr>
          <w:p w14:paraId="534796E9">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采购人</w:t>
            </w:r>
          </w:p>
        </w:tc>
        <w:tc>
          <w:tcPr>
            <w:tcW w:w="7625" w:type="dxa"/>
            <w:vAlign w:val="center"/>
          </w:tcPr>
          <w:p w14:paraId="3F4DAF71">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名称：长春汽车职业技术大学</w:t>
            </w:r>
          </w:p>
          <w:p w14:paraId="129D624A">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地址：长春汽车经济技术开发区新红旗大街1777号</w:t>
            </w:r>
          </w:p>
          <w:p w14:paraId="268531D2">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联系方式：段小宇 0431-85751806</w:t>
            </w:r>
          </w:p>
        </w:tc>
      </w:tr>
      <w:tr w14:paraId="07F5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51F4660">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w:t>
            </w:r>
          </w:p>
        </w:tc>
        <w:tc>
          <w:tcPr>
            <w:tcW w:w="1679" w:type="dxa"/>
            <w:vAlign w:val="center"/>
          </w:tcPr>
          <w:p w14:paraId="7EE4F952">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采购代理机构</w:t>
            </w:r>
          </w:p>
        </w:tc>
        <w:tc>
          <w:tcPr>
            <w:tcW w:w="7625" w:type="dxa"/>
            <w:vAlign w:val="center"/>
          </w:tcPr>
          <w:p w14:paraId="1AF118DF">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名称：中科高盛咨询集团有限公司</w:t>
            </w:r>
          </w:p>
          <w:p w14:paraId="2D641366">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地址：长春市净月开发区环球贸易中心一期2号楼25楼</w:t>
            </w:r>
          </w:p>
          <w:p w14:paraId="0AE23406">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联系方式：高志勇</w:t>
            </w:r>
          </w:p>
          <w:p w14:paraId="45E02678">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联系电话：17743101432</w:t>
            </w:r>
          </w:p>
        </w:tc>
      </w:tr>
      <w:tr w14:paraId="2F04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65" w:type="dxa"/>
            <w:vAlign w:val="center"/>
          </w:tcPr>
          <w:p w14:paraId="3773D526">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w:t>
            </w:r>
          </w:p>
        </w:tc>
        <w:tc>
          <w:tcPr>
            <w:tcW w:w="1679" w:type="dxa"/>
            <w:vAlign w:val="center"/>
          </w:tcPr>
          <w:p w14:paraId="09F0C9B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项目名称</w:t>
            </w:r>
          </w:p>
        </w:tc>
        <w:tc>
          <w:tcPr>
            <w:tcW w:w="7625" w:type="dxa"/>
            <w:vAlign w:val="center"/>
          </w:tcPr>
          <w:p w14:paraId="27B831C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8"/>
                <w:sz w:val="20"/>
                <w:szCs w:val="20"/>
                <w:lang w:eastAsia="zh-CN"/>
              </w:rPr>
              <w:t>长春汽车职业技术大学人工智能大模型技术产教融合实训平台设备采购项目</w:t>
            </w:r>
          </w:p>
        </w:tc>
      </w:tr>
      <w:tr w14:paraId="0CD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29BC26D8">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w:t>
            </w:r>
          </w:p>
        </w:tc>
        <w:tc>
          <w:tcPr>
            <w:tcW w:w="1679" w:type="dxa"/>
            <w:vAlign w:val="center"/>
          </w:tcPr>
          <w:p w14:paraId="05D6728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项目编号</w:t>
            </w:r>
          </w:p>
        </w:tc>
        <w:tc>
          <w:tcPr>
            <w:tcW w:w="7625" w:type="dxa"/>
            <w:vAlign w:val="center"/>
          </w:tcPr>
          <w:p w14:paraId="6E0D2E1A">
            <w:pPr>
              <w:widowControl/>
              <w:spacing w:line="340" w:lineRule="exact"/>
              <w:jc w:val="both"/>
              <w:rPr>
                <w:rFonts w:hint="eastAsia" w:ascii="宋体" w:hAnsi="宋体" w:cs="宋体"/>
                <w:color w:val="auto"/>
                <w:spacing w:val="5"/>
                <w:sz w:val="20"/>
                <w:szCs w:val="20"/>
                <w:lang w:eastAsia="zh-CN"/>
              </w:rPr>
            </w:pPr>
            <w:r>
              <w:rPr>
                <w:rFonts w:ascii="宋体" w:hAnsi="宋体" w:cs="宋体"/>
                <w:color w:val="auto"/>
                <w:spacing w:val="5"/>
                <w:sz w:val="20"/>
                <w:szCs w:val="20"/>
                <w:lang w:eastAsia="zh-CN"/>
              </w:rPr>
              <w:t>JM-2025-04-00353</w:t>
            </w:r>
          </w:p>
        </w:tc>
      </w:tr>
      <w:tr w14:paraId="4110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0EB731AB">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5</w:t>
            </w:r>
          </w:p>
        </w:tc>
        <w:tc>
          <w:tcPr>
            <w:tcW w:w="1679" w:type="dxa"/>
            <w:vAlign w:val="center"/>
          </w:tcPr>
          <w:p w14:paraId="2468EB21">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采购预算</w:t>
            </w:r>
          </w:p>
        </w:tc>
        <w:tc>
          <w:tcPr>
            <w:tcW w:w="7625" w:type="dxa"/>
            <w:vAlign w:val="center"/>
          </w:tcPr>
          <w:p w14:paraId="2F97F8B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2529000.00元</w:t>
            </w:r>
          </w:p>
        </w:tc>
      </w:tr>
      <w:tr w14:paraId="40F2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420C05A9">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6</w:t>
            </w:r>
          </w:p>
        </w:tc>
        <w:tc>
          <w:tcPr>
            <w:tcW w:w="1679" w:type="dxa"/>
            <w:vAlign w:val="center"/>
          </w:tcPr>
          <w:p w14:paraId="78F73AC6">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项目地点</w:t>
            </w:r>
          </w:p>
        </w:tc>
        <w:tc>
          <w:tcPr>
            <w:tcW w:w="7625" w:type="dxa"/>
            <w:vAlign w:val="center"/>
          </w:tcPr>
          <w:p w14:paraId="39622F3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长春汽车职业技术大学校内指定位置。</w:t>
            </w:r>
          </w:p>
        </w:tc>
      </w:tr>
      <w:tr w14:paraId="5C6B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exact"/>
        </w:trPr>
        <w:tc>
          <w:tcPr>
            <w:tcW w:w="665" w:type="dxa"/>
            <w:vAlign w:val="center"/>
          </w:tcPr>
          <w:p w14:paraId="6EEBEC8B">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7</w:t>
            </w:r>
          </w:p>
        </w:tc>
        <w:tc>
          <w:tcPr>
            <w:tcW w:w="1679" w:type="dxa"/>
            <w:vAlign w:val="center"/>
          </w:tcPr>
          <w:p w14:paraId="325D74AE">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采购内容</w:t>
            </w:r>
          </w:p>
        </w:tc>
        <w:tc>
          <w:tcPr>
            <w:tcW w:w="7625" w:type="dxa"/>
            <w:vAlign w:val="center"/>
          </w:tcPr>
          <w:p w14:paraId="47BA649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为我校以旧换新设备升级改造项目，拟采购包含完善相关专业的实训实战教学场景的硬件设备，满足学校实训教学与实践。同时服务校园E卡通业务升级，有效提升学校智慧校园水平，可以满足通过基础智能物联设备和人工智能设备相结合，为全校师生提供智慧物联网服务和通用便捷应用教学及信息技术服务能力，也可以全面提升在人工智能和物联网领域的人才培养和综合应用能力，以现实与生产化的场景为相关产业的发展提供技术支持和人才储备，为学校相关专业资源建设提供业务支撑。详见招标文件。</w:t>
            </w:r>
          </w:p>
        </w:tc>
      </w:tr>
      <w:tr w14:paraId="28D4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25B44425">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8</w:t>
            </w:r>
          </w:p>
        </w:tc>
        <w:tc>
          <w:tcPr>
            <w:tcW w:w="1679" w:type="dxa"/>
            <w:vAlign w:val="center"/>
          </w:tcPr>
          <w:p w14:paraId="29C920BF">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合同履行期限</w:t>
            </w:r>
          </w:p>
        </w:tc>
        <w:tc>
          <w:tcPr>
            <w:tcW w:w="7625" w:type="dxa"/>
            <w:vAlign w:val="center"/>
          </w:tcPr>
          <w:p w14:paraId="5B9E2B4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采购合同签订之日起90天内。</w:t>
            </w:r>
          </w:p>
        </w:tc>
      </w:tr>
      <w:tr w14:paraId="5BDF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2C50EA8F">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9</w:t>
            </w:r>
          </w:p>
        </w:tc>
        <w:tc>
          <w:tcPr>
            <w:tcW w:w="1679" w:type="dxa"/>
            <w:vAlign w:val="center"/>
          </w:tcPr>
          <w:p w14:paraId="5C8E78C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资金来源</w:t>
            </w:r>
          </w:p>
        </w:tc>
        <w:tc>
          <w:tcPr>
            <w:tcW w:w="7625" w:type="dxa"/>
            <w:vAlign w:val="center"/>
          </w:tcPr>
          <w:p w14:paraId="2C7EFE0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财政资金</w:t>
            </w:r>
          </w:p>
        </w:tc>
      </w:tr>
      <w:tr w14:paraId="10CC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BB83625">
            <w:pPr>
              <w:widowControl/>
              <w:spacing w:before="101" w:line="108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10</w:t>
            </w:r>
          </w:p>
        </w:tc>
        <w:tc>
          <w:tcPr>
            <w:tcW w:w="1679" w:type="dxa"/>
            <w:vAlign w:val="center"/>
          </w:tcPr>
          <w:p w14:paraId="4F933199">
            <w:pPr>
              <w:widowControl/>
              <w:spacing w:before="101" w:line="340" w:lineRule="exact"/>
              <w:jc w:val="center"/>
              <w:rPr>
                <w:rFonts w:hint="eastAsia" w:ascii="宋体" w:hAnsi="宋体" w:cs="宋体"/>
                <w:color w:val="auto"/>
                <w:spacing w:val="5"/>
                <w:sz w:val="20"/>
                <w:szCs w:val="20"/>
                <w:lang w:eastAsia="zh-CN"/>
              </w:rPr>
            </w:pPr>
          </w:p>
          <w:p w14:paraId="46B8C8C8">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投标人资格要求</w:t>
            </w:r>
          </w:p>
        </w:tc>
        <w:tc>
          <w:tcPr>
            <w:tcW w:w="7625" w:type="dxa"/>
            <w:vAlign w:val="center"/>
          </w:tcPr>
          <w:p w14:paraId="296E307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1.满足《中华人民共和国政府采购法》第二十二条规定。</w:t>
            </w:r>
          </w:p>
          <w:p w14:paraId="3AD2465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2．落实政府采购政策需满足的资格要求：本项目非专门面向中小企业采购。</w:t>
            </w:r>
          </w:p>
          <w:p w14:paraId="6E24177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3．本项目的特定资格要求：</w:t>
            </w:r>
          </w:p>
          <w:p w14:paraId="4038D1B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3.1 在中华人民共和国境内注册，能够独立承担民事责任的企业法人或其他组织。</w:t>
            </w:r>
          </w:p>
          <w:p w14:paraId="005C581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3.2 本项目供应商须具备有效的营业执照，并在人员、资金、设备等方面具有相应的承揽能力。</w:t>
            </w:r>
          </w:p>
          <w:p w14:paraId="45A61FE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3.3 供应商参加采购活动应当提交反映其财务状况、依法缴纳税收和社会保障资金情况的资格条件承诺函。</w:t>
            </w:r>
          </w:p>
          <w:p w14:paraId="05E6D43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3.4 拒绝列入政府取消投标资格记录期间的企业或个人投标，参加政府采购活动前3年内在经营活动中没有重大违法记录。</w:t>
            </w:r>
          </w:p>
          <w:p w14:paraId="2101AFF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3570075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3.6 单位负责人为同一人或者存在直接控股、管理关系的不同供应商，不得参加同一合同项下的政府采购活动。</w:t>
            </w:r>
          </w:p>
        </w:tc>
      </w:tr>
      <w:tr w14:paraId="673F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30CAF2F">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11</w:t>
            </w:r>
          </w:p>
        </w:tc>
        <w:tc>
          <w:tcPr>
            <w:tcW w:w="1679" w:type="dxa"/>
            <w:vAlign w:val="center"/>
          </w:tcPr>
          <w:p w14:paraId="7AD72B77">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是否接受联合体投标</w:t>
            </w:r>
          </w:p>
        </w:tc>
        <w:tc>
          <w:tcPr>
            <w:tcW w:w="7625" w:type="dxa"/>
            <w:vAlign w:val="center"/>
          </w:tcPr>
          <w:p w14:paraId="43BC61B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否</w:t>
            </w:r>
          </w:p>
        </w:tc>
      </w:tr>
      <w:tr w14:paraId="52B9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34D7DA8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12</w:t>
            </w:r>
          </w:p>
        </w:tc>
        <w:tc>
          <w:tcPr>
            <w:tcW w:w="1679" w:type="dxa"/>
            <w:vAlign w:val="center"/>
          </w:tcPr>
          <w:p w14:paraId="407BB6C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踏勘现场</w:t>
            </w:r>
          </w:p>
        </w:tc>
        <w:tc>
          <w:tcPr>
            <w:tcW w:w="7625" w:type="dxa"/>
            <w:vAlign w:val="center"/>
          </w:tcPr>
          <w:p w14:paraId="549F0A2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不组织</w:t>
            </w:r>
          </w:p>
        </w:tc>
      </w:tr>
      <w:tr w14:paraId="2994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8741F76">
            <w:pPr>
              <w:widowControl/>
              <w:spacing w:before="101" w:line="6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13</w:t>
            </w:r>
          </w:p>
        </w:tc>
        <w:tc>
          <w:tcPr>
            <w:tcW w:w="1679" w:type="dxa"/>
            <w:vAlign w:val="center"/>
          </w:tcPr>
          <w:p w14:paraId="00921A70">
            <w:pPr>
              <w:widowControl/>
              <w:spacing w:before="101" w:line="4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答疑会时间及地点</w:t>
            </w:r>
          </w:p>
        </w:tc>
        <w:tc>
          <w:tcPr>
            <w:tcW w:w="7625" w:type="dxa"/>
            <w:vAlign w:val="center"/>
          </w:tcPr>
          <w:p w14:paraId="0DFED66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☑不召开</w:t>
            </w:r>
          </w:p>
        </w:tc>
      </w:tr>
      <w:tr w14:paraId="1E66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042B7E6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14</w:t>
            </w:r>
          </w:p>
        </w:tc>
        <w:tc>
          <w:tcPr>
            <w:tcW w:w="1679" w:type="dxa"/>
            <w:vAlign w:val="center"/>
          </w:tcPr>
          <w:p w14:paraId="51F5B901">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分包、转包</w:t>
            </w:r>
          </w:p>
        </w:tc>
        <w:tc>
          <w:tcPr>
            <w:tcW w:w="7625" w:type="dxa"/>
            <w:vAlign w:val="center"/>
          </w:tcPr>
          <w:p w14:paraId="01ED8D5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不允许</w:t>
            </w:r>
          </w:p>
        </w:tc>
      </w:tr>
      <w:tr w14:paraId="077D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65" w:type="dxa"/>
            <w:vAlign w:val="center"/>
          </w:tcPr>
          <w:p w14:paraId="16822D9A">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15</w:t>
            </w:r>
          </w:p>
        </w:tc>
        <w:tc>
          <w:tcPr>
            <w:tcW w:w="1679" w:type="dxa"/>
            <w:vAlign w:val="center"/>
          </w:tcPr>
          <w:p w14:paraId="2B45A679">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构成投标文件</w:t>
            </w:r>
          </w:p>
          <w:p w14:paraId="4F785F23">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的其他材料</w:t>
            </w:r>
          </w:p>
        </w:tc>
        <w:tc>
          <w:tcPr>
            <w:tcW w:w="7625" w:type="dxa"/>
            <w:vAlign w:val="center"/>
          </w:tcPr>
          <w:p w14:paraId="0AD2A2B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详见招标文件及评标办法中提及的其他证明材料。</w:t>
            </w:r>
          </w:p>
        </w:tc>
      </w:tr>
      <w:tr w14:paraId="4DC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778093CF">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16</w:t>
            </w:r>
          </w:p>
          <w:p w14:paraId="403B9502">
            <w:pPr>
              <w:widowControl/>
              <w:spacing w:before="101" w:line="0" w:lineRule="atLeast"/>
              <w:jc w:val="center"/>
              <w:rPr>
                <w:rFonts w:hint="eastAsia" w:ascii="宋体" w:hAnsi="宋体" w:cs="宋体"/>
                <w:color w:val="auto"/>
                <w:spacing w:val="5"/>
                <w:sz w:val="20"/>
                <w:szCs w:val="20"/>
                <w:lang w:eastAsia="zh-CN"/>
              </w:rPr>
            </w:pPr>
          </w:p>
        </w:tc>
        <w:tc>
          <w:tcPr>
            <w:tcW w:w="1679" w:type="dxa"/>
            <w:vAlign w:val="center"/>
          </w:tcPr>
          <w:p w14:paraId="5B62648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签字或盖章要求</w:t>
            </w:r>
          </w:p>
        </w:tc>
        <w:tc>
          <w:tcPr>
            <w:tcW w:w="7625" w:type="dxa"/>
            <w:vAlign w:val="center"/>
          </w:tcPr>
          <w:p w14:paraId="057C391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（1）所有要求签字的地方都应用不褪色的墨水或签字笔由本人亲笔手写签字（包括姓和名），不得用盖章（如签名章、签字章等）代替，也不得由他人代签。</w:t>
            </w:r>
          </w:p>
          <w:p w14:paraId="7EB7825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（2）所有要求盖章的地方都应按照招标文件的规定加盖与投标人名称全称相一致的标准公章，不得使用彩喷或者彩印的印章、可使用 专用章（如合同专用章、投标专用章等）代替。</w:t>
            </w:r>
          </w:p>
          <w:p w14:paraId="3A2A8E4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7A83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03713EAE">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17</w:t>
            </w:r>
          </w:p>
          <w:p w14:paraId="0BA5E98D">
            <w:pPr>
              <w:widowControl/>
              <w:spacing w:before="101" w:line="0" w:lineRule="atLeast"/>
              <w:jc w:val="center"/>
              <w:rPr>
                <w:rFonts w:hint="eastAsia" w:ascii="宋体" w:hAnsi="宋体" w:cs="宋体"/>
                <w:color w:val="auto"/>
                <w:spacing w:val="5"/>
                <w:sz w:val="20"/>
                <w:szCs w:val="20"/>
                <w:lang w:eastAsia="zh-CN"/>
              </w:rPr>
            </w:pPr>
          </w:p>
          <w:p w14:paraId="44023581">
            <w:pPr>
              <w:widowControl/>
              <w:spacing w:before="101" w:line="0" w:lineRule="atLeast"/>
              <w:jc w:val="center"/>
              <w:rPr>
                <w:rFonts w:hint="eastAsia" w:ascii="宋体" w:hAnsi="宋体" w:cs="宋体"/>
                <w:color w:val="auto"/>
                <w:spacing w:val="5"/>
                <w:sz w:val="20"/>
                <w:szCs w:val="20"/>
                <w:lang w:eastAsia="zh-CN"/>
              </w:rPr>
            </w:pPr>
          </w:p>
          <w:p w14:paraId="0A8D20D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17</w:t>
            </w:r>
          </w:p>
        </w:tc>
        <w:tc>
          <w:tcPr>
            <w:tcW w:w="1679" w:type="dxa"/>
            <w:vAlign w:val="center"/>
          </w:tcPr>
          <w:p w14:paraId="380F22C9">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投标有效期</w:t>
            </w:r>
          </w:p>
        </w:tc>
        <w:tc>
          <w:tcPr>
            <w:tcW w:w="7625" w:type="dxa"/>
            <w:vAlign w:val="center"/>
          </w:tcPr>
          <w:p w14:paraId="1E0B681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90日历天（从投标截止之日算起）</w:t>
            </w:r>
          </w:p>
        </w:tc>
      </w:tr>
      <w:tr w14:paraId="7625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65" w:type="dxa"/>
            <w:shd w:val="clear" w:color="auto" w:fill="auto"/>
            <w:vAlign w:val="center"/>
          </w:tcPr>
          <w:p w14:paraId="3D786765">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18</w:t>
            </w:r>
          </w:p>
        </w:tc>
        <w:tc>
          <w:tcPr>
            <w:tcW w:w="1679" w:type="dxa"/>
            <w:vAlign w:val="center"/>
          </w:tcPr>
          <w:p w14:paraId="11117C85">
            <w:pPr>
              <w:widowControl/>
              <w:spacing w:before="101" w:line="36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投标保证金</w:t>
            </w:r>
          </w:p>
        </w:tc>
        <w:tc>
          <w:tcPr>
            <w:tcW w:w="7625" w:type="dxa"/>
            <w:vAlign w:val="center"/>
          </w:tcPr>
          <w:p w14:paraId="7A5D362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本项目不收取投标保证金。</w:t>
            </w:r>
          </w:p>
        </w:tc>
      </w:tr>
      <w:tr w14:paraId="49EC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485A1704">
            <w:pPr>
              <w:widowControl/>
              <w:spacing w:before="101" w:line="36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19</w:t>
            </w:r>
          </w:p>
        </w:tc>
        <w:tc>
          <w:tcPr>
            <w:tcW w:w="1679" w:type="dxa"/>
            <w:vAlign w:val="center"/>
          </w:tcPr>
          <w:p w14:paraId="4A5690B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投标文件份数</w:t>
            </w:r>
          </w:p>
        </w:tc>
        <w:tc>
          <w:tcPr>
            <w:tcW w:w="7625" w:type="dxa"/>
            <w:vAlign w:val="center"/>
          </w:tcPr>
          <w:p w14:paraId="74F7FBD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本项目为全流程电子化招投标项目，投标单位通过政府采购云平台（网址：http:// www.zcygov.cn）递交电子版响应文件。无须到现场递交响应文件。</w:t>
            </w:r>
          </w:p>
          <w:p w14:paraId="21A90D9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备注：</w:t>
            </w:r>
          </w:p>
          <w:p w14:paraId="67D9ABF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1.投标单位开标时，需携带制作响应文件时用来加密的有效数字证书（CA认证）登录“政采云”平台电子开标大厅现场按规定时间对加密的响应文件进行远程解密。</w:t>
            </w:r>
          </w:p>
          <w:p w14:paraId="01D3E19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响应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响应文件截止时间前通过网络上传至“政采云”平台，投标单位在“政采云”平台提交电子版响应文件时，请填写参加开标活动经办人联系方式。</w:t>
            </w:r>
          </w:p>
        </w:tc>
      </w:tr>
      <w:tr w14:paraId="3160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68D2C49B">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20</w:t>
            </w:r>
          </w:p>
        </w:tc>
        <w:tc>
          <w:tcPr>
            <w:tcW w:w="1679" w:type="dxa"/>
            <w:vAlign w:val="center"/>
          </w:tcPr>
          <w:p w14:paraId="11C52390">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投标文件提交截止时间</w:t>
            </w:r>
          </w:p>
        </w:tc>
        <w:tc>
          <w:tcPr>
            <w:tcW w:w="7625" w:type="dxa"/>
            <w:vAlign w:val="center"/>
          </w:tcPr>
          <w:p w14:paraId="6F5AFD96">
            <w:pPr>
              <w:widowControl/>
              <w:spacing w:line="0" w:lineRule="atLeast"/>
              <w:jc w:val="both"/>
              <w:rPr>
                <w:rFonts w:hint="eastAsia" w:ascii="宋体" w:hAnsi="宋体" w:cs="宋体"/>
                <w:color w:val="auto"/>
                <w:spacing w:val="5"/>
                <w:sz w:val="20"/>
                <w:szCs w:val="20"/>
                <w:highlight w:val="none"/>
                <w:lang w:eastAsia="zh-CN"/>
              </w:rPr>
            </w:pPr>
            <w:r>
              <w:rPr>
                <w:rFonts w:hint="eastAsia" w:ascii="宋体" w:hAnsi="宋体" w:cs="宋体"/>
                <w:color w:val="auto"/>
                <w:spacing w:val="5"/>
                <w:sz w:val="20"/>
                <w:szCs w:val="20"/>
                <w:highlight w:val="none"/>
                <w:lang w:eastAsia="zh-CN"/>
              </w:rPr>
              <w:t>时间：</w:t>
            </w:r>
            <w:r>
              <w:rPr>
                <w:rFonts w:hint="eastAsia" w:ascii="宋体" w:hAnsi="宋体" w:cs="宋体"/>
                <w:color w:val="auto"/>
                <w:spacing w:val="8"/>
                <w:sz w:val="20"/>
                <w:szCs w:val="20"/>
                <w:highlight w:val="none"/>
                <w:lang w:eastAsia="zh-CN"/>
              </w:rPr>
              <w:t>2025年</w:t>
            </w:r>
            <w:r>
              <w:rPr>
                <w:rFonts w:hint="eastAsia" w:ascii="宋体" w:hAnsi="宋体" w:cs="宋体"/>
                <w:color w:val="auto"/>
                <w:spacing w:val="8"/>
                <w:sz w:val="20"/>
                <w:szCs w:val="20"/>
                <w:highlight w:val="none"/>
                <w:lang w:val="en-US" w:eastAsia="zh-CN"/>
              </w:rPr>
              <w:t>6</w:t>
            </w:r>
            <w:r>
              <w:rPr>
                <w:rFonts w:hint="eastAsia" w:ascii="宋体" w:hAnsi="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15</w:t>
            </w:r>
            <w:r>
              <w:rPr>
                <w:rFonts w:hint="eastAsia" w:ascii="宋体" w:hAnsi="宋体" w:cs="宋体"/>
                <w:color w:val="auto"/>
                <w:spacing w:val="8"/>
                <w:sz w:val="20"/>
                <w:szCs w:val="20"/>
                <w:highlight w:val="none"/>
                <w:lang w:eastAsia="zh-CN"/>
              </w:rPr>
              <w:t>日</w:t>
            </w:r>
            <w:r>
              <w:rPr>
                <w:rFonts w:hint="eastAsia" w:ascii="宋体" w:hAnsi="宋体" w:cs="宋体"/>
                <w:color w:val="auto"/>
                <w:spacing w:val="8"/>
                <w:sz w:val="20"/>
                <w:szCs w:val="20"/>
                <w:highlight w:val="none"/>
                <w:lang w:val="en-US" w:eastAsia="zh-CN"/>
              </w:rPr>
              <w:t>10</w:t>
            </w:r>
            <w:r>
              <w:rPr>
                <w:rFonts w:hint="eastAsia" w:ascii="宋体" w:hAnsi="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cs="宋体"/>
                <w:color w:val="auto"/>
                <w:spacing w:val="8"/>
                <w:sz w:val="20"/>
                <w:szCs w:val="20"/>
                <w:highlight w:val="none"/>
                <w:lang w:eastAsia="zh-CN"/>
              </w:rPr>
              <w:t>分</w:t>
            </w:r>
          </w:p>
        </w:tc>
      </w:tr>
      <w:tr w14:paraId="7360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0E5B73A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21</w:t>
            </w:r>
          </w:p>
        </w:tc>
        <w:tc>
          <w:tcPr>
            <w:tcW w:w="1679" w:type="dxa"/>
            <w:vAlign w:val="center"/>
          </w:tcPr>
          <w:p w14:paraId="77E1D3F9">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开标时间</w:t>
            </w:r>
          </w:p>
        </w:tc>
        <w:tc>
          <w:tcPr>
            <w:tcW w:w="7625" w:type="dxa"/>
            <w:vAlign w:val="center"/>
          </w:tcPr>
          <w:p w14:paraId="36F10825">
            <w:pPr>
              <w:widowControl/>
              <w:spacing w:line="0" w:lineRule="atLeast"/>
              <w:jc w:val="both"/>
              <w:rPr>
                <w:rFonts w:hint="eastAsia" w:ascii="宋体" w:hAnsi="宋体" w:cs="宋体"/>
                <w:color w:val="auto"/>
                <w:spacing w:val="5"/>
                <w:sz w:val="20"/>
                <w:szCs w:val="20"/>
                <w:highlight w:val="none"/>
                <w:lang w:eastAsia="zh-CN"/>
              </w:rPr>
            </w:pPr>
            <w:r>
              <w:rPr>
                <w:rFonts w:hint="eastAsia" w:ascii="宋体" w:hAnsi="宋体" w:cs="宋体"/>
                <w:color w:val="auto"/>
                <w:spacing w:val="5"/>
                <w:sz w:val="20"/>
                <w:szCs w:val="20"/>
                <w:highlight w:val="none"/>
                <w:lang w:eastAsia="zh-CN"/>
              </w:rPr>
              <w:t>时间：</w:t>
            </w:r>
            <w:r>
              <w:rPr>
                <w:rFonts w:hint="eastAsia" w:ascii="宋体" w:hAnsi="宋体" w:cs="宋体"/>
                <w:color w:val="auto"/>
                <w:spacing w:val="8"/>
                <w:sz w:val="20"/>
                <w:szCs w:val="20"/>
                <w:highlight w:val="none"/>
                <w:lang w:eastAsia="zh-CN"/>
              </w:rPr>
              <w:t>2025年</w:t>
            </w:r>
            <w:r>
              <w:rPr>
                <w:rFonts w:hint="eastAsia" w:ascii="宋体" w:hAnsi="宋体" w:cs="宋体"/>
                <w:color w:val="auto"/>
                <w:spacing w:val="8"/>
                <w:sz w:val="20"/>
                <w:szCs w:val="20"/>
                <w:highlight w:val="none"/>
                <w:lang w:val="en-US" w:eastAsia="zh-CN"/>
              </w:rPr>
              <w:t>6</w:t>
            </w:r>
            <w:r>
              <w:rPr>
                <w:rFonts w:hint="eastAsia" w:ascii="宋体" w:hAnsi="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15</w:t>
            </w:r>
            <w:r>
              <w:rPr>
                <w:rFonts w:hint="eastAsia" w:ascii="宋体" w:hAnsi="宋体" w:cs="宋体"/>
                <w:color w:val="auto"/>
                <w:spacing w:val="8"/>
                <w:sz w:val="20"/>
                <w:szCs w:val="20"/>
                <w:highlight w:val="none"/>
                <w:lang w:eastAsia="zh-CN"/>
              </w:rPr>
              <w:t>日</w:t>
            </w:r>
            <w:r>
              <w:rPr>
                <w:rFonts w:hint="eastAsia" w:ascii="宋体" w:hAnsi="宋体" w:cs="宋体"/>
                <w:color w:val="auto"/>
                <w:spacing w:val="8"/>
                <w:sz w:val="20"/>
                <w:szCs w:val="20"/>
                <w:highlight w:val="none"/>
                <w:lang w:val="en-US" w:eastAsia="zh-CN"/>
              </w:rPr>
              <w:t>10</w:t>
            </w:r>
            <w:r>
              <w:rPr>
                <w:rFonts w:hint="eastAsia" w:ascii="宋体" w:hAnsi="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cs="宋体"/>
                <w:color w:val="auto"/>
                <w:spacing w:val="8"/>
                <w:sz w:val="20"/>
                <w:szCs w:val="20"/>
                <w:highlight w:val="none"/>
                <w:lang w:eastAsia="zh-CN"/>
              </w:rPr>
              <w:t>分</w:t>
            </w:r>
          </w:p>
        </w:tc>
      </w:tr>
      <w:tr w14:paraId="0382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4149094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22</w:t>
            </w:r>
          </w:p>
        </w:tc>
        <w:tc>
          <w:tcPr>
            <w:tcW w:w="1679" w:type="dxa"/>
            <w:vAlign w:val="center"/>
          </w:tcPr>
          <w:p w14:paraId="712E4AD5">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评标方法及标准</w:t>
            </w:r>
          </w:p>
        </w:tc>
        <w:tc>
          <w:tcPr>
            <w:tcW w:w="7625" w:type="dxa"/>
            <w:vAlign w:val="center"/>
          </w:tcPr>
          <w:p w14:paraId="451F674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综合评分法</w:t>
            </w:r>
          </w:p>
        </w:tc>
      </w:tr>
      <w:tr w14:paraId="289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2B5CFCB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23</w:t>
            </w:r>
          </w:p>
        </w:tc>
        <w:tc>
          <w:tcPr>
            <w:tcW w:w="1679" w:type="dxa"/>
            <w:vAlign w:val="center"/>
          </w:tcPr>
          <w:p w14:paraId="180E85D4">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资格审查方式</w:t>
            </w:r>
          </w:p>
        </w:tc>
        <w:tc>
          <w:tcPr>
            <w:tcW w:w="7625" w:type="dxa"/>
            <w:vAlign w:val="center"/>
          </w:tcPr>
          <w:p w14:paraId="5D421D2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资格后审</w:t>
            </w:r>
          </w:p>
        </w:tc>
      </w:tr>
      <w:tr w14:paraId="41CE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74207816">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24</w:t>
            </w:r>
          </w:p>
        </w:tc>
        <w:tc>
          <w:tcPr>
            <w:tcW w:w="1679" w:type="dxa"/>
            <w:vAlign w:val="center"/>
          </w:tcPr>
          <w:p w14:paraId="591241D7">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评标委员会的组建</w:t>
            </w:r>
          </w:p>
        </w:tc>
        <w:tc>
          <w:tcPr>
            <w:tcW w:w="7625" w:type="dxa"/>
            <w:vAlign w:val="center"/>
          </w:tcPr>
          <w:p w14:paraId="450C4A5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评标委员会构成：5人，</w:t>
            </w:r>
          </w:p>
          <w:p w14:paraId="0B4060F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评标委员会专家确定方式：从政府采购评审专家库中随机抽取产生。</w:t>
            </w:r>
          </w:p>
        </w:tc>
      </w:tr>
      <w:tr w14:paraId="194A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1FDEFEF9">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25</w:t>
            </w:r>
          </w:p>
        </w:tc>
        <w:tc>
          <w:tcPr>
            <w:tcW w:w="1679" w:type="dxa"/>
            <w:vAlign w:val="center"/>
          </w:tcPr>
          <w:p w14:paraId="6ACE5FB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是否授权评标委员会确定中标人</w:t>
            </w:r>
          </w:p>
        </w:tc>
        <w:tc>
          <w:tcPr>
            <w:tcW w:w="7625" w:type="dxa"/>
            <w:vAlign w:val="center"/>
          </w:tcPr>
          <w:p w14:paraId="286D064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否，由评标委员会按投标人综合得分由高到低的顺序推荐3名中标候选人。</w:t>
            </w:r>
          </w:p>
        </w:tc>
      </w:tr>
      <w:tr w14:paraId="337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63660D3F">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26</w:t>
            </w:r>
          </w:p>
        </w:tc>
        <w:tc>
          <w:tcPr>
            <w:tcW w:w="1679" w:type="dxa"/>
            <w:vAlign w:val="center"/>
          </w:tcPr>
          <w:p w14:paraId="103EBE5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质量标准</w:t>
            </w:r>
          </w:p>
        </w:tc>
        <w:tc>
          <w:tcPr>
            <w:tcW w:w="7625" w:type="dxa"/>
            <w:vAlign w:val="center"/>
          </w:tcPr>
          <w:p w14:paraId="1F7FCF6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符合国家及行业相关合格标准。</w:t>
            </w:r>
          </w:p>
        </w:tc>
      </w:tr>
      <w:tr w14:paraId="7549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exact"/>
        </w:trPr>
        <w:tc>
          <w:tcPr>
            <w:tcW w:w="665" w:type="dxa"/>
            <w:shd w:val="clear" w:color="auto" w:fill="auto"/>
            <w:vAlign w:val="center"/>
          </w:tcPr>
          <w:p w14:paraId="5B2D0327">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27</w:t>
            </w:r>
          </w:p>
        </w:tc>
        <w:tc>
          <w:tcPr>
            <w:tcW w:w="1679" w:type="dxa"/>
            <w:shd w:val="clear" w:color="auto" w:fill="auto"/>
            <w:vAlign w:val="center"/>
          </w:tcPr>
          <w:p w14:paraId="5330AB38">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包装和运输要求</w:t>
            </w:r>
          </w:p>
        </w:tc>
        <w:tc>
          <w:tcPr>
            <w:tcW w:w="7625" w:type="dxa"/>
            <w:shd w:val="clear" w:color="auto" w:fill="auto"/>
            <w:vAlign w:val="center"/>
          </w:tcPr>
          <w:p w14:paraId="58AF2BC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1.符合《商品包装政府采购需求标准（试行）》和《快递包装政府采购需求标准（试行）》</w:t>
            </w:r>
          </w:p>
          <w:p w14:paraId="1DC67F8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中标人未能在3个工作日内更换符合包装及防护要求的设备，将视同中标人无法履行本合同约定，采购人有权解除合同、要求中标人于3天内退还采购人已支付的本项目相应设备的款项并要求中标人承担由此给采购人造成的一切损失。</w:t>
            </w:r>
          </w:p>
        </w:tc>
      </w:tr>
      <w:tr w14:paraId="305A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5" w:type="dxa"/>
            <w:shd w:val="clear" w:color="auto" w:fill="auto"/>
            <w:vAlign w:val="center"/>
          </w:tcPr>
          <w:p w14:paraId="40DAC881">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28</w:t>
            </w:r>
          </w:p>
        </w:tc>
        <w:tc>
          <w:tcPr>
            <w:tcW w:w="1679" w:type="dxa"/>
            <w:shd w:val="clear" w:color="auto" w:fill="auto"/>
            <w:vAlign w:val="center"/>
          </w:tcPr>
          <w:p w14:paraId="6727C9C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保险要求</w:t>
            </w:r>
          </w:p>
        </w:tc>
        <w:tc>
          <w:tcPr>
            <w:tcW w:w="7625" w:type="dxa"/>
            <w:shd w:val="clear" w:color="auto" w:fill="auto"/>
            <w:vAlign w:val="center"/>
          </w:tcPr>
          <w:p w14:paraId="7469CFF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无</w:t>
            </w:r>
          </w:p>
        </w:tc>
      </w:tr>
      <w:tr w14:paraId="298F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trPr>
        <w:tc>
          <w:tcPr>
            <w:tcW w:w="665" w:type="dxa"/>
            <w:vMerge w:val="restart"/>
            <w:shd w:val="clear" w:color="auto" w:fill="auto"/>
            <w:vAlign w:val="center"/>
          </w:tcPr>
          <w:p w14:paraId="29697752">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29</w:t>
            </w:r>
          </w:p>
          <w:p w14:paraId="7357D49F">
            <w:pPr>
              <w:widowControl/>
              <w:spacing w:before="101"/>
              <w:jc w:val="center"/>
              <w:rPr>
                <w:rFonts w:hint="eastAsia" w:ascii="宋体" w:hAnsi="宋体" w:cs="宋体"/>
                <w:color w:val="auto"/>
                <w:spacing w:val="5"/>
                <w:sz w:val="20"/>
                <w:szCs w:val="20"/>
                <w:lang w:eastAsia="zh-CN"/>
              </w:rPr>
            </w:pPr>
          </w:p>
        </w:tc>
        <w:tc>
          <w:tcPr>
            <w:tcW w:w="1679" w:type="dxa"/>
            <w:vMerge w:val="restart"/>
            <w:vAlign w:val="center"/>
          </w:tcPr>
          <w:p w14:paraId="262430C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付款条件（进度和方式）</w:t>
            </w:r>
          </w:p>
        </w:tc>
        <w:tc>
          <w:tcPr>
            <w:tcW w:w="7625" w:type="dxa"/>
            <w:vAlign w:val="center"/>
          </w:tcPr>
          <w:p w14:paraId="151940B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中小企业（需执行《保障中小企业款项支付条例》【国务院第728令】的相关规定）：签订合同后10日内预付合同金额的35%，验收合格后60天内支付合同金额的65%。</w:t>
            </w:r>
          </w:p>
        </w:tc>
      </w:tr>
      <w:tr w14:paraId="70D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665" w:type="dxa"/>
            <w:vMerge w:val="continue"/>
            <w:shd w:val="clear" w:color="auto" w:fill="auto"/>
            <w:vAlign w:val="center"/>
          </w:tcPr>
          <w:p w14:paraId="30F3E599">
            <w:pPr>
              <w:widowControl/>
              <w:spacing w:before="101"/>
              <w:jc w:val="center"/>
              <w:rPr>
                <w:rFonts w:hint="eastAsia" w:ascii="宋体" w:hAnsi="宋体" w:cs="宋体"/>
                <w:color w:val="auto"/>
                <w:spacing w:val="5"/>
                <w:sz w:val="20"/>
                <w:szCs w:val="20"/>
                <w:lang w:eastAsia="zh-CN"/>
              </w:rPr>
            </w:pPr>
          </w:p>
        </w:tc>
        <w:tc>
          <w:tcPr>
            <w:tcW w:w="1679" w:type="dxa"/>
            <w:vMerge w:val="continue"/>
            <w:vAlign w:val="center"/>
          </w:tcPr>
          <w:p w14:paraId="139D1EAA">
            <w:pPr>
              <w:pStyle w:val="48"/>
              <w:wordWrap w:val="0"/>
              <w:spacing w:before="0" w:beforeAutospacing="0" w:after="2" w:afterAutospacing="0" w:line="480" w:lineRule="auto"/>
              <w:jc w:val="center"/>
              <w:rPr>
                <w:rFonts w:hint="eastAsia" w:eastAsia="宋体" w:cs="宋体"/>
                <w:spacing w:val="5"/>
                <w:sz w:val="20"/>
                <w:szCs w:val="20"/>
              </w:rPr>
            </w:pPr>
          </w:p>
        </w:tc>
        <w:tc>
          <w:tcPr>
            <w:tcW w:w="7625" w:type="dxa"/>
            <w:vAlign w:val="center"/>
          </w:tcPr>
          <w:p w14:paraId="5B22A73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非中小企业：签订合同后10日内预付合同金额的30%，验收合格后支付合同金额65%，剩余5%合同金额自项目验收合格之日起1年后经采购人确认所有产品无质量问题一次付清。</w:t>
            </w:r>
          </w:p>
        </w:tc>
      </w:tr>
      <w:tr w14:paraId="5114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12E7B9B">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30</w:t>
            </w:r>
          </w:p>
        </w:tc>
        <w:tc>
          <w:tcPr>
            <w:tcW w:w="1679" w:type="dxa"/>
            <w:vAlign w:val="center"/>
          </w:tcPr>
          <w:p w14:paraId="50A7DF8E">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售后服务</w:t>
            </w:r>
          </w:p>
        </w:tc>
        <w:tc>
          <w:tcPr>
            <w:tcW w:w="7625" w:type="dxa"/>
            <w:vAlign w:val="center"/>
          </w:tcPr>
          <w:p w14:paraId="12C0423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提供五年驻场服务（包含五年质保期内一卡通设备的更换与维修费用）等；含工程师集成部署、设备硬件安装等。</w:t>
            </w:r>
          </w:p>
        </w:tc>
      </w:tr>
      <w:tr w14:paraId="6FD6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206534D8">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31</w:t>
            </w:r>
          </w:p>
        </w:tc>
        <w:tc>
          <w:tcPr>
            <w:tcW w:w="1679" w:type="dxa"/>
            <w:vAlign w:val="center"/>
          </w:tcPr>
          <w:p w14:paraId="7C9EBB08">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val="zh-CN" w:eastAsia="zh-CN"/>
              </w:rPr>
              <w:t>合同类型及定价方式</w:t>
            </w:r>
          </w:p>
        </w:tc>
        <w:tc>
          <w:tcPr>
            <w:tcW w:w="7625" w:type="dxa"/>
            <w:vAlign w:val="center"/>
          </w:tcPr>
          <w:p w14:paraId="1EA4C2E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本项目为固定总价合同。</w:t>
            </w:r>
          </w:p>
          <w:p w14:paraId="62E3B22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说明：供应商的报价应当包含为完成本项目全部工作所需的一切费用，包括成本、利润、税金等。</w:t>
            </w:r>
          </w:p>
        </w:tc>
      </w:tr>
      <w:tr w14:paraId="021D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7ACB1B10">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32</w:t>
            </w:r>
          </w:p>
        </w:tc>
        <w:tc>
          <w:tcPr>
            <w:tcW w:w="1679" w:type="dxa"/>
            <w:shd w:val="clear" w:color="auto" w:fill="auto"/>
            <w:vAlign w:val="center"/>
          </w:tcPr>
          <w:p w14:paraId="56D424B0">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履约保证金数额</w:t>
            </w:r>
          </w:p>
        </w:tc>
        <w:tc>
          <w:tcPr>
            <w:tcW w:w="7625" w:type="dxa"/>
            <w:shd w:val="clear" w:color="auto" w:fill="auto"/>
            <w:vAlign w:val="center"/>
          </w:tcPr>
          <w:p w14:paraId="2069136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非中小企业中标的：中标金额的 5 %（0-5%）。</w:t>
            </w:r>
          </w:p>
          <w:p w14:paraId="7033ECC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中小企业中标的：中标金额的 2 %（0-2%）。</w:t>
            </w:r>
          </w:p>
          <w:p w14:paraId="57355BD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中标人交纳履约保证金须在转账凭证备注栏里填写（采购项目+采购项目编号）</w:t>
            </w:r>
          </w:p>
          <w:p w14:paraId="44AE40E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履约保证金账户：</w:t>
            </w:r>
          </w:p>
          <w:p w14:paraId="544A33A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 xml:space="preserve">开户名：长春汽车工业高等专科学校 </w:t>
            </w:r>
          </w:p>
          <w:p w14:paraId="37DC535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 xml:space="preserve">账 号：4200222409000034129 </w:t>
            </w:r>
          </w:p>
          <w:p w14:paraId="5E3F9D1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开户行：工行驻一汽支行</w:t>
            </w:r>
          </w:p>
        </w:tc>
      </w:tr>
      <w:tr w14:paraId="0CF0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151C7C2D">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33</w:t>
            </w:r>
          </w:p>
        </w:tc>
        <w:tc>
          <w:tcPr>
            <w:tcW w:w="1679" w:type="dxa"/>
            <w:shd w:val="clear" w:color="auto" w:fill="auto"/>
            <w:vAlign w:val="center"/>
          </w:tcPr>
          <w:p w14:paraId="428540A4">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知识产权的归属和处理方式</w:t>
            </w:r>
          </w:p>
        </w:tc>
        <w:tc>
          <w:tcPr>
            <w:tcW w:w="7625" w:type="dxa"/>
            <w:shd w:val="clear" w:color="auto" w:fill="auto"/>
            <w:vAlign w:val="center"/>
          </w:tcPr>
          <w:p w14:paraId="43A21F2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1.中标供应商需保证本项目所提供的货物没有侵犯任何第三方的知识产权、技术秘密等合法权利, 采购人、中标供应商双方在本项目之前各自所获得的知识产权及相应权益均归各自所有，不因共同执行本项目而改变。</w:t>
            </w:r>
          </w:p>
          <w:p w14:paraId="1C2B140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在本项目执行过程中，供应商与采购人双方共同完成的科技成果由采购人、中标供应商形成的知识产权、技术秘密、荣誉等归双方共同享有。知识产权纠纷可以调解，也可以根据当事人达成的书面仲裁协议或者知识产权协议的仲裁条款，向仲裁机构申请仲裁。</w:t>
            </w:r>
          </w:p>
        </w:tc>
      </w:tr>
      <w:tr w14:paraId="52E0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22DB3BC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34</w:t>
            </w:r>
          </w:p>
        </w:tc>
        <w:tc>
          <w:tcPr>
            <w:tcW w:w="1679" w:type="dxa"/>
            <w:shd w:val="clear" w:color="auto" w:fill="auto"/>
            <w:vAlign w:val="center"/>
          </w:tcPr>
          <w:p w14:paraId="5550A91E">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履约验收要求</w:t>
            </w:r>
          </w:p>
        </w:tc>
        <w:tc>
          <w:tcPr>
            <w:tcW w:w="7625" w:type="dxa"/>
            <w:shd w:val="clear" w:color="auto" w:fill="auto"/>
            <w:vAlign w:val="center"/>
          </w:tcPr>
          <w:p w14:paraId="40A64A0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 xml:space="preserve"> 1.产品验收：投标人提供的产品必须逐条检验技术参数，产品经过安装调试，性能符合使用要求，如经鉴定不符合要求，采购人将拒收投标人的所有货物，一切费用投标人负担。为确保产品的质量和售后服务，中标人在验收前必须提供全部产品及完整的技术资料；产品符合招标文件技术规格书的要求，产品已安装和调试到位并能正常使用。 AP1、 AP2、 AP3及POE交换机提供测试服务，不影响现有网络系统业务的正常运行，部署前需提供产品给甲方测试，测试期为5个工作日，测试结果与投标书中的应答一致时，且能够满足用户的实际需求，方为测试通过；测试结果与投标书中的应答不一致时，测试未通过，视作虚假应标。</w:t>
            </w:r>
          </w:p>
          <w:p w14:paraId="1580213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2.货物按照采购人同意的时间和方式运抵现场并完成安装调试后，采购人一般应在30日内完成验收，并在验收单上签字。如果“合同专用条款”对验收时间和方式另有约定的，按照专用条款执行。</w:t>
            </w:r>
          </w:p>
          <w:p w14:paraId="014D2A7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3.如果任何被检验或测试的货物不能满足规格的要求,采购人可以拒绝接受该货物,供应商应无条件更换被拒绝的货物,如果采购人同意，供应商也可以免费进行必要的修改以满足规格的要求。</w:t>
            </w:r>
          </w:p>
          <w:p w14:paraId="3720DE0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采购人在验收材料上签字是对外观、数量和试运行符合要求的确认，不作为采购人认可供应商所供货物设备质量合格的依据，如供应商所供货物在在质保期或合理使用期限内出现质量问题，供应商应无条件修复或更换。</w:t>
            </w:r>
          </w:p>
          <w:p w14:paraId="5A3C8DB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5.中标供应商需提供（包括：作为本项目评分细则评分依据的，中标供应商投标文件中需要提供的，由具有检测资质的第三方检测机构出具的所有检测报告、软件功能截图、相关认证证书、业绩等证明文件）的原件，在合同履约前供采购人备查。</w:t>
            </w:r>
          </w:p>
        </w:tc>
      </w:tr>
      <w:tr w14:paraId="074B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476028FD">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35</w:t>
            </w:r>
          </w:p>
        </w:tc>
        <w:tc>
          <w:tcPr>
            <w:tcW w:w="1679" w:type="dxa"/>
            <w:shd w:val="clear" w:color="auto" w:fill="auto"/>
            <w:vAlign w:val="center"/>
          </w:tcPr>
          <w:p w14:paraId="29586B14">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违约责任与解决争议的方法</w:t>
            </w:r>
          </w:p>
        </w:tc>
        <w:tc>
          <w:tcPr>
            <w:tcW w:w="7625" w:type="dxa"/>
            <w:shd w:val="clear" w:color="auto" w:fill="auto"/>
            <w:vAlign w:val="center"/>
          </w:tcPr>
          <w:p w14:paraId="5A6E6736">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经验收，由于供应商责任，合同货物的主要技术参数不能够满足合同附件规定的保证值（或技术参数）时，供应商应按专用条款的规定向采购人支付违约金，专用条款中如未对质量等问题的违约责任进行约定的，供应商提供货物存在质量问题的，可视为供应商未能在约定期限内交付合格货物，双方按照约定承担违约责任。</w:t>
            </w:r>
          </w:p>
          <w:p w14:paraId="2DEEF7D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采购人对合同货物进行抽检，发现合同货物不符合合同要求，供应商未能在采购人限定的时间内通过整改使其符合合同要求，或者采购人扩大范围抽检的结果表明合同货物仍不符合要求的，采购人有权要求更换此货物或解除合同，由此引起的一切后果由供应商承担。</w:t>
            </w:r>
          </w:p>
          <w:p w14:paraId="7EEFB58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如果在出厂试验时合同货物未满足合同规定的保证值，且供应商在发现不合格之日起2个月内（含本数）未能通过整改使合同货物满足保证值，采购人有权要求更换此货物或解除合同，由此引起的一切后果由供应商承担。</w:t>
            </w:r>
          </w:p>
          <w:p w14:paraId="0562FC6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4.合同实施或与合同有关的一切争端应通过双方友好解决。如自协商开始之日起15日内得不到解决，双方应将争端提交同级政府采购监督管理部门调解。调解不成的，可申请采购人所在地法院诉讼解决。</w:t>
            </w:r>
          </w:p>
        </w:tc>
      </w:tr>
      <w:tr w14:paraId="5AD1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10484511">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36</w:t>
            </w:r>
          </w:p>
        </w:tc>
        <w:tc>
          <w:tcPr>
            <w:tcW w:w="1679" w:type="dxa"/>
            <w:vAlign w:val="center"/>
          </w:tcPr>
          <w:p w14:paraId="23F8C346">
            <w:pPr>
              <w:widowControl/>
              <w:spacing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签订合同</w:t>
            </w:r>
          </w:p>
        </w:tc>
        <w:tc>
          <w:tcPr>
            <w:tcW w:w="7625" w:type="dxa"/>
            <w:vAlign w:val="center"/>
          </w:tcPr>
          <w:p w14:paraId="14D2BD3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中标人应在中标结果确定后  30  天内签订采购合同。</w:t>
            </w:r>
          </w:p>
        </w:tc>
      </w:tr>
      <w:tr w14:paraId="4593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5" w:type="dxa"/>
            <w:shd w:val="clear" w:color="auto" w:fill="auto"/>
            <w:vAlign w:val="center"/>
          </w:tcPr>
          <w:p w14:paraId="3CB7BDCD">
            <w:pPr>
              <w:widowControl/>
              <w:spacing w:before="101" w:line="2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37</w:t>
            </w:r>
          </w:p>
        </w:tc>
        <w:tc>
          <w:tcPr>
            <w:tcW w:w="1679" w:type="dxa"/>
            <w:vAlign w:val="center"/>
          </w:tcPr>
          <w:p w14:paraId="2F18F43E">
            <w:pPr>
              <w:widowControl/>
              <w:spacing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合同存档</w:t>
            </w:r>
          </w:p>
        </w:tc>
        <w:tc>
          <w:tcPr>
            <w:tcW w:w="7625" w:type="dxa"/>
            <w:vAlign w:val="center"/>
          </w:tcPr>
          <w:p w14:paraId="5F475DD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中标单位与采购人签订合同后 5 个工作日内将采购合同复印件送至采购代理机构存档。</w:t>
            </w:r>
          </w:p>
        </w:tc>
      </w:tr>
      <w:tr w14:paraId="3CF2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shd w:val="clear" w:color="auto" w:fill="auto"/>
            <w:vAlign w:val="center"/>
          </w:tcPr>
          <w:p w14:paraId="756590B9">
            <w:pPr>
              <w:widowControl/>
              <w:spacing w:before="101" w:line="5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38</w:t>
            </w:r>
          </w:p>
        </w:tc>
        <w:tc>
          <w:tcPr>
            <w:tcW w:w="1679" w:type="dxa"/>
            <w:vAlign w:val="center"/>
          </w:tcPr>
          <w:p w14:paraId="429A7E93">
            <w:pPr>
              <w:widowControl/>
              <w:spacing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招标代理服务费</w:t>
            </w:r>
          </w:p>
        </w:tc>
        <w:tc>
          <w:tcPr>
            <w:tcW w:w="7625" w:type="dxa"/>
            <w:vAlign w:val="center"/>
          </w:tcPr>
          <w:p w14:paraId="1DCC165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本项目招标代理服务费参照国家计委计价格[2002]1980号文件及国家发展改革委发改价格[2015]299号文件收取，由中标人支付。</w:t>
            </w:r>
          </w:p>
        </w:tc>
      </w:tr>
      <w:tr w14:paraId="2F48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restart"/>
            <w:shd w:val="clear" w:color="auto" w:fill="auto"/>
            <w:vAlign w:val="center"/>
          </w:tcPr>
          <w:p w14:paraId="0C5F2F7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39</w:t>
            </w:r>
          </w:p>
        </w:tc>
        <w:tc>
          <w:tcPr>
            <w:tcW w:w="1679" w:type="dxa"/>
            <w:vMerge w:val="restart"/>
            <w:vAlign w:val="center"/>
          </w:tcPr>
          <w:p w14:paraId="2D364375">
            <w:pPr>
              <w:widowControl/>
              <w:spacing w:before="101" w:line="0" w:lineRule="atLeast"/>
              <w:jc w:val="center"/>
              <w:rPr>
                <w:rFonts w:hint="eastAsia" w:ascii="宋体" w:hAnsi="宋体" w:cs="宋体"/>
                <w:color w:val="auto"/>
                <w:spacing w:val="5"/>
                <w:sz w:val="20"/>
                <w:szCs w:val="20"/>
                <w:lang w:eastAsia="zh-CN"/>
              </w:rPr>
            </w:pPr>
          </w:p>
          <w:p w14:paraId="18398FEE">
            <w:pPr>
              <w:widowControl/>
              <w:spacing w:before="101" w:line="0" w:lineRule="atLeast"/>
              <w:jc w:val="center"/>
              <w:rPr>
                <w:rFonts w:hint="eastAsia" w:ascii="宋体" w:hAnsi="宋体" w:cs="宋体"/>
                <w:color w:val="auto"/>
                <w:spacing w:val="5"/>
                <w:sz w:val="20"/>
                <w:szCs w:val="20"/>
                <w:lang w:eastAsia="zh-CN"/>
              </w:rPr>
            </w:pPr>
          </w:p>
          <w:p w14:paraId="0553D757">
            <w:pPr>
              <w:widowControl/>
              <w:spacing w:before="101" w:line="0" w:lineRule="atLeast"/>
              <w:jc w:val="center"/>
              <w:rPr>
                <w:rFonts w:hint="eastAsia" w:ascii="宋体" w:hAnsi="宋体" w:cs="宋体"/>
                <w:color w:val="auto"/>
                <w:spacing w:val="5"/>
                <w:sz w:val="20"/>
                <w:szCs w:val="20"/>
                <w:lang w:eastAsia="zh-CN"/>
              </w:rPr>
            </w:pPr>
          </w:p>
          <w:p w14:paraId="339F2B3E">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其他要求</w:t>
            </w:r>
          </w:p>
        </w:tc>
        <w:tc>
          <w:tcPr>
            <w:tcW w:w="7625" w:type="dxa"/>
            <w:vAlign w:val="center"/>
          </w:tcPr>
          <w:p w14:paraId="0BF7F30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投标人必须保证投标时所报资料真实有效，采购人保留对资料的核查权力，一旦发现资料有虚假现象将没收投标人投标保证金，并移交有关部门处理。</w:t>
            </w:r>
          </w:p>
        </w:tc>
      </w:tr>
      <w:tr w14:paraId="2B66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65" w:type="dxa"/>
            <w:vMerge w:val="continue"/>
            <w:vAlign w:val="center"/>
          </w:tcPr>
          <w:p w14:paraId="33C2FAE5">
            <w:pPr>
              <w:widowControl/>
              <w:spacing w:before="101"/>
              <w:jc w:val="center"/>
              <w:rPr>
                <w:rFonts w:hint="eastAsia" w:ascii="宋体" w:hAnsi="宋体" w:cs="宋体"/>
                <w:color w:val="auto"/>
                <w:spacing w:val="5"/>
                <w:sz w:val="20"/>
                <w:szCs w:val="20"/>
                <w:lang w:eastAsia="zh-CN"/>
              </w:rPr>
            </w:pPr>
          </w:p>
        </w:tc>
        <w:tc>
          <w:tcPr>
            <w:tcW w:w="1679" w:type="dxa"/>
            <w:vMerge w:val="continue"/>
            <w:vAlign w:val="center"/>
          </w:tcPr>
          <w:p w14:paraId="51DBC478">
            <w:pPr>
              <w:widowControl/>
              <w:spacing w:before="101" w:line="0" w:lineRule="atLeast"/>
              <w:jc w:val="center"/>
              <w:rPr>
                <w:rFonts w:hint="eastAsia" w:ascii="宋体" w:hAnsi="宋体" w:cs="宋体"/>
                <w:color w:val="auto"/>
                <w:spacing w:val="5"/>
                <w:sz w:val="20"/>
                <w:szCs w:val="20"/>
                <w:lang w:eastAsia="zh-CN"/>
              </w:rPr>
            </w:pPr>
          </w:p>
        </w:tc>
        <w:tc>
          <w:tcPr>
            <w:tcW w:w="7625" w:type="dxa"/>
            <w:vAlign w:val="center"/>
          </w:tcPr>
          <w:p w14:paraId="26F5598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满足以下条件的可享受价格分扣除待遇：</w:t>
            </w:r>
          </w:p>
          <w:p w14:paraId="271B494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（1）根据财库【2022】19号文件规定，对小型和微型企业的产品给予10%的价格扣除，并按照扣除后的价格参加评审。</w:t>
            </w:r>
          </w:p>
          <w:p w14:paraId="14C3C0C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（2）监狱企业视同小型、微型企业，监狱企业投标的提供由省级以上监狱管理局、戒毒管理局(含新疆生产建设兵团)出具的属于监狱企业的证明文件，不再提供《中小企业声明函》；</w:t>
            </w:r>
          </w:p>
          <w:p w14:paraId="058D7B0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6BC3958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（4）价格扣除的依据：提供《中小企业声明函》或《残疾人福利性单位声明函》或《残疾人福利性单位声明函》。</w:t>
            </w:r>
          </w:p>
          <w:p w14:paraId="4DB6492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本次采购项目采购标的对应的中小企业划分标准所属行业为工业（划分标准见 附件：中小企业划型标准）。</w:t>
            </w:r>
          </w:p>
        </w:tc>
      </w:tr>
      <w:tr w14:paraId="5F4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65" w:type="dxa"/>
            <w:vMerge w:val="continue"/>
            <w:vAlign w:val="center"/>
          </w:tcPr>
          <w:p w14:paraId="285A6D7E">
            <w:pPr>
              <w:widowControl/>
              <w:spacing w:before="101"/>
              <w:jc w:val="center"/>
              <w:rPr>
                <w:rFonts w:hint="eastAsia" w:ascii="宋体" w:hAnsi="宋体" w:cs="宋体"/>
                <w:color w:val="auto"/>
                <w:spacing w:val="5"/>
                <w:sz w:val="20"/>
                <w:szCs w:val="20"/>
                <w:lang w:eastAsia="zh-CN"/>
              </w:rPr>
            </w:pPr>
          </w:p>
        </w:tc>
        <w:tc>
          <w:tcPr>
            <w:tcW w:w="1679" w:type="dxa"/>
            <w:vMerge w:val="continue"/>
            <w:vAlign w:val="center"/>
          </w:tcPr>
          <w:p w14:paraId="694E7983">
            <w:pPr>
              <w:widowControl/>
              <w:spacing w:before="101" w:line="0" w:lineRule="atLeast"/>
              <w:jc w:val="center"/>
              <w:rPr>
                <w:rFonts w:hint="eastAsia" w:ascii="宋体" w:hAnsi="宋体" w:cs="宋体"/>
                <w:color w:val="auto"/>
                <w:spacing w:val="5"/>
                <w:sz w:val="20"/>
                <w:szCs w:val="20"/>
                <w:lang w:eastAsia="zh-CN"/>
              </w:rPr>
            </w:pPr>
          </w:p>
        </w:tc>
        <w:tc>
          <w:tcPr>
            <w:tcW w:w="7625" w:type="dxa"/>
            <w:vAlign w:val="center"/>
          </w:tcPr>
          <w:p w14:paraId="73C1EBD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9A6C6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非单一产品采购项目，采购人应当根据采购项目技术构成、产品价格比重等合理确定核心产品，并在招标文件中载明。多家投标人提供的核心产品品牌相同的，按前两款规定处理。</w:t>
            </w:r>
          </w:p>
          <w:p w14:paraId="4CDB421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b/>
                <w:bCs/>
                <w:color w:val="auto"/>
                <w:spacing w:val="5"/>
                <w:sz w:val="20"/>
                <w:szCs w:val="20"/>
                <w:lang w:eastAsia="zh-CN"/>
              </w:rPr>
              <w:t>核心产品：一卡通管理系统。</w:t>
            </w:r>
          </w:p>
        </w:tc>
      </w:tr>
      <w:tr w14:paraId="0B32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vAlign w:val="center"/>
          </w:tcPr>
          <w:p w14:paraId="3FE6DCE6">
            <w:pPr>
              <w:widowControl/>
              <w:spacing w:line="340" w:lineRule="exact"/>
              <w:jc w:val="both"/>
              <w:rPr>
                <w:rFonts w:hint="eastAsia" w:ascii="宋体" w:hAnsi="宋体" w:cs="宋体"/>
                <w:color w:val="auto"/>
                <w:spacing w:val="5"/>
                <w:sz w:val="20"/>
                <w:szCs w:val="20"/>
                <w:lang w:eastAsia="zh-CN"/>
              </w:rPr>
            </w:pPr>
          </w:p>
        </w:tc>
        <w:tc>
          <w:tcPr>
            <w:tcW w:w="1679" w:type="dxa"/>
            <w:vMerge w:val="continue"/>
            <w:vAlign w:val="center"/>
          </w:tcPr>
          <w:p w14:paraId="50BAF435">
            <w:pPr>
              <w:widowControl/>
              <w:spacing w:line="340" w:lineRule="exact"/>
              <w:jc w:val="both"/>
              <w:rPr>
                <w:rFonts w:hint="eastAsia" w:ascii="宋体" w:hAnsi="宋体" w:cs="宋体"/>
                <w:color w:val="auto"/>
                <w:spacing w:val="5"/>
                <w:sz w:val="20"/>
                <w:szCs w:val="20"/>
                <w:lang w:eastAsia="zh-CN"/>
              </w:rPr>
            </w:pPr>
          </w:p>
        </w:tc>
        <w:tc>
          <w:tcPr>
            <w:tcW w:w="7625" w:type="dxa"/>
            <w:vAlign w:val="center"/>
          </w:tcPr>
          <w:p w14:paraId="54BAAA9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只接受以书面形式向采购人、采购代理机构提出质疑，不接受以其他形式或提出的质疑。</w:t>
            </w:r>
          </w:p>
          <w:p w14:paraId="53207E5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3080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969" w:type="dxa"/>
            <w:gridSpan w:val="3"/>
            <w:vAlign w:val="center"/>
          </w:tcPr>
          <w:p w14:paraId="00A4D0A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注意事项：本项目招标公告与招标文件中内容有不符之处，以本招标文件中内容为准。</w:t>
            </w:r>
          </w:p>
        </w:tc>
      </w:tr>
    </w:tbl>
    <w:p w14:paraId="7F27D407">
      <w:pPr>
        <w:rPr>
          <w:rFonts w:hint="eastAsia" w:ascii="宋体" w:hAnsi="宋体" w:cs="宋体"/>
          <w:color w:val="auto"/>
          <w:lang w:eastAsia="zh-CN"/>
        </w:rPr>
        <w:sectPr>
          <w:pgSz w:w="11906" w:h="16839"/>
          <w:pgMar w:top="1304" w:right="1409" w:bottom="0" w:left="1409" w:header="0" w:footer="737" w:gutter="0"/>
          <w:pgBorders>
            <w:top w:val="none" w:sz="0" w:space="0"/>
            <w:left w:val="none" w:sz="0" w:space="0"/>
            <w:bottom w:val="none" w:sz="0" w:space="0"/>
            <w:right w:val="none" w:sz="0" w:space="0"/>
          </w:pgBorders>
          <w:pgNumType w:fmt="decimal"/>
          <w:cols w:space="720" w:num="1"/>
        </w:sectPr>
      </w:pPr>
    </w:p>
    <w:p w14:paraId="52EF61F7">
      <w:pPr>
        <w:spacing w:before="101" w:line="226" w:lineRule="auto"/>
        <w:ind w:left="10"/>
        <w:jc w:val="center"/>
        <w:outlineLvl w:val="1"/>
        <w:rPr>
          <w:rFonts w:hint="eastAsia" w:ascii="宋体" w:hAnsi="宋体" w:cs="宋体"/>
          <w:color w:val="auto"/>
          <w:sz w:val="31"/>
          <w:szCs w:val="31"/>
          <w:lang w:eastAsia="zh-CN"/>
        </w:rPr>
      </w:pPr>
      <w:bookmarkStart w:id="3" w:name="_Toc3670"/>
      <w:r>
        <w:rPr>
          <w:rFonts w:hint="eastAsia" w:ascii="宋体" w:hAnsi="宋体" w:cs="宋体"/>
          <w:b/>
          <w:bCs/>
          <w:color w:val="auto"/>
          <w:spacing w:val="5"/>
          <w:sz w:val="31"/>
          <w:szCs w:val="31"/>
          <w:lang w:eastAsia="zh-CN"/>
        </w:rPr>
        <w:t>二、投标人须知</w:t>
      </w:r>
      <w:bookmarkEnd w:id="3"/>
    </w:p>
    <w:p w14:paraId="1D9CF685">
      <w:pPr>
        <w:pStyle w:val="8"/>
        <w:spacing w:line="410" w:lineRule="auto"/>
        <w:rPr>
          <w:rFonts w:hint="eastAsia" w:ascii="宋体" w:hAnsi="宋体" w:eastAsia="宋体" w:cs="宋体"/>
          <w:color w:val="auto"/>
          <w:lang w:eastAsia="zh-CN"/>
        </w:rPr>
      </w:pPr>
    </w:p>
    <w:p w14:paraId="484CE851">
      <w:pPr>
        <w:spacing w:before="65" w:line="432" w:lineRule="auto"/>
        <w:ind w:left="6" w:firstLine="415"/>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本项目招标依据为《中华人民共和国政府采购法》、《中华人民共和国政府采购法实施条</w:t>
      </w:r>
      <w:r>
        <w:rPr>
          <w:rFonts w:hint="eastAsia" w:ascii="宋体" w:hAnsi="宋体" w:cs="宋体"/>
          <w:color w:val="auto"/>
          <w:spacing w:val="8"/>
          <w:sz w:val="20"/>
          <w:szCs w:val="20"/>
          <w:lang w:eastAsia="zh-CN"/>
        </w:rPr>
        <w:t>例》、《政府采购货物和服务招标投标管理办法》国家发展计划委员会等七部委《评标委员会和评标方法暂</w:t>
      </w:r>
    </w:p>
    <w:p w14:paraId="590D0449">
      <w:pPr>
        <w:spacing w:line="227" w:lineRule="auto"/>
        <w:ind w:left="4"/>
        <w:rPr>
          <w:rFonts w:hint="eastAsia" w:ascii="宋体" w:hAnsi="宋体" w:cs="宋体"/>
          <w:color w:val="auto"/>
          <w:lang w:eastAsia="zh-CN"/>
        </w:rPr>
      </w:pPr>
      <w:r>
        <w:rPr>
          <w:rFonts w:hint="eastAsia" w:ascii="宋体" w:hAnsi="宋体" w:cs="宋体"/>
          <w:color w:val="auto"/>
          <w:spacing w:val="8"/>
          <w:sz w:val="20"/>
          <w:szCs w:val="20"/>
          <w:lang w:eastAsia="zh-CN"/>
        </w:rPr>
        <w:t>行规定》等有关法律、法规及规定。</w:t>
      </w:r>
    </w:p>
    <w:p w14:paraId="3E3C5C99">
      <w:pPr>
        <w:spacing w:before="65" w:line="228" w:lineRule="auto"/>
        <w:ind w:left="4271"/>
        <w:outlineLvl w:val="2"/>
        <w:rPr>
          <w:rFonts w:hint="eastAsia" w:ascii="宋体" w:hAnsi="宋体" w:cs="宋体"/>
          <w:color w:val="auto"/>
          <w:sz w:val="20"/>
          <w:szCs w:val="20"/>
          <w:lang w:eastAsia="zh-CN"/>
        </w:rPr>
      </w:pPr>
      <w:bookmarkStart w:id="4" w:name="_Toc21924"/>
      <w:r>
        <w:rPr>
          <w:rFonts w:hint="eastAsia" w:ascii="宋体" w:hAnsi="宋体" w:cs="宋体"/>
          <w:b/>
          <w:bCs/>
          <w:color w:val="auto"/>
          <w:spacing w:val="2"/>
          <w:sz w:val="20"/>
          <w:szCs w:val="20"/>
          <w:lang w:eastAsia="zh-CN"/>
        </w:rPr>
        <w:t>A说明</w:t>
      </w:r>
      <w:bookmarkEnd w:id="4"/>
    </w:p>
    <w:p w14:paraId="564D36AC">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1.适用范围</w:t>
      </w:r>
    </w:p>
    <w:p w14:paraId="3D3ECBE7">
      <w:pPr>
        <w:spacing w:before="220"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15"/>
          <w:position w:val="20"/>
          <w:sz w:val="20"/>
          <w:szCs w:val="20"/>
          <w:lang w:eastAsia="zh-CN"/>
        </w:rPr>
        <w:t>本文件是受采购人委托，对采购人委托采购项目的规范性招标文件，适用于本项目招标公告</w:t>
      </w:r>
    </w:p>
    <w:p w14:paraId="69BFC47D">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所述的标的采购及服务，是投标人编制投标文件的依据。</w:t>
      </w:r>
    </w:p>
    <w:p w14:paraId="3547345C">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2.法律适用</w:t>
      </w:r>
    </w:p>
    <w:p w14:paraId="292F8B1A">
      <w:pPr>
        <w:spacing w:before="221" w:line="227" w:lineRule="auto"/>
        <w:ind w:left="57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本招标文件及由本次招标产生的合同适用中华人民共和国法律。</w:t>
      </w:r>
    </w:p>
    <w:p w14:paraId="6E02FD29">
      <w:pPr>
        <w:spacing w:before="223" w:line="228" w:lineRule="auto"/>
        <w:ind w:left="5"/>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3.定义</w:t>
      </w:r>
    </w:p>
    <w:p w14:paraId="4F609CC2">
      <w:pPr>
        <w:spacing w:before="220" w:line="227" w:lineRule="auto"/>
        <w:ind w:left="34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“招标机构”系指组织本次招标的代理机构；</w:t>
      </w:r>
    </w:p>
    <w:p w14:paraId="503BFA06">
      <w:pPr>
        <w:spacing w:before="222" w:line="468" w:lineRule="exact"/>
        <w:ind w:left="34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“投标人”系指向招标机构提交投标文件的投标商；</w:t>
      </w:r>
    </w:p>
    <w:p w14:paraId="7E69B8CF">
      <w:pPr>
        <w:spacing w:before="1" w:line="226" w:lineRule="auto"/>
        <w:ind w:left="34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“买方”系指采购单位，合同一方当事人；</w:t>
      </w:r>
    </w:p>
    <w:p w14:paraId="2C140377">
      <w:pPr>
        <w:spacing w:before="223" w:line="468" w:lineRule="exact"/>
        <w:ind w:left="34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“服务”系指招标文件规定须完成的服务和其他的类似义务；</w:t>
      </w:r>
    </w:p>
    <w:p w14:paraId="0F6293C7">
      <w:pPr>
        <w:spacing w:line="228" w:lineRule="auto"/>
        <w:ind w:left="343"/>
        <w:rPr>
          <w:rFonts w:hint="eastAsia" w:ascii="宋体" w:hAnsi="宋体" w:cs="宋体"/>
          <w:color w:val="auto"/>
          <w:sz w:val="20"/>
          <w:szCs w:val="20"/>
          <w:lang w:eastAsia="zh-CN"/>
        </w:rPr>
      </w:pPr>
      <w:r>
        <w:rPr>
          <w:rFonts w:hint="eastAsia" w:ascii="宋体" w:hAnsi="宋体" w:cs="宋体"/>
          <w:color w:val="auto"/>
          <w:spacing w:val="1"/>
          <w:sz w:val="20"/>
          <w:szCs w:val="20"/>
          <w:lang w:eastAsia="zh-CN"/>
        </w:rPr>
        <w:t>“日”、“天”系指日历日；</w:t>
      </w:r>
    </w:p>
    <w:p w14:paraId="519F5315">
      <w:pPr>
        <w:spacing w:before="221" w:line="432" w:lineRule="auto"/>
        <w:ind w:right="22" w:firstLine="336"/>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“合同”是买方与中标人共同以招标文件、投标文件为依据，经过协商签订的具备法律效力的文件。招标文件、投标文件及其共同确定的补充文件</w:t>
      </w:r>
      <w:r>
        <w:rPr>
          <w:rFonts w:hint="eastAsia" w:ascii="宋体" w:hAnsi="宋体" w:cs="宋体"/>
          <w:color w:val="auto"/>
          <w:spacing w:val="8"/>
          <w:sz w:val="20"/>
          <w:szCs w:val="20"/>
          <w:lang w:eastAsia="zh-CN"/>
        </w:rPr>
        <w:t>是合同的有效组成部分，与合同具备同等的法律效</w:t>
      </w:r>
    </w:p>
    <w:p w14:paraId="43122345">
      <w:pPr>
        <w:spacing w:line="227" w:lineRule="auto"/>
        <w:ind w:left="4"/>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力。</w:t>
      </w:r>
    </w:p>
    <w:p w14:paraId="310A0553">
      <w:pPr>
        <w:spacing w:before="222" w:line="227" w:lineRule="auto"/>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4.合格的投标人</w:t>
      </w:r>
    </w:p>
    <w:p w14:paraId="4DB4ABE6">
      <w:pPr>
        <w:spacing w:before="222" w:line="468" w:lineRule="exact"/>
        <w:ind w:right="23"/>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4.1合格投标人必须符合投标人须知前附表第10项下各项要求，并在投标时提供以下文件，若有</w:t>
      </w:r>
    </w:p>
    <w:p w14:paraId="772E841C">
      <w:pPr>
        <w:spacing w:line="227"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遗漏或不符合要求均为资格审查不合格；</w:t>
      </w:r>
    </w:p>
    <w:p w14:paraId="04D1F40F">
      <w:pPr>
        <w:spacing w:before="222" w:line="432" w:lineRule="auto"/>
        <w:ind w:right="22" w:firstLine="419"/>
        <w:rPr>
          <w:rFonts w:hint="eastAsia" w:ascii="宋体" w:hAnsi="宋体" w:cs="宋体"/>
          <w:color w:val="auto"/>
          <w:sz w:val="20"/>
          <w:szCs w:val="20"/>
          <w:lang w:eastAsia="zh-CN"/>
        </w:rPr>
      </w:pPr>
      <w:r>
        <w:rPr>
          <w:rFonts w:hint="eastAsia" w:ascii="宋体" w:hAnsi="宋体" w:cs="宋体"/>
          <w:color w:val="auto"/>
          <w:spacing w:val="11"/>
          <w:sz w:val="20"/>
          <w:szCs w:val="20"/>
          <w:lang w:eastAsia="zh-CN"/>
        </w:rPr>
        <w:t>4.2投标人应仔细阅读招标文件的所有内容，按招</w:t>
      </w:r>
      <w:r>
        <w:rPr>
          <w:rFonts w:hint="eastAsia" w:ascii="宋体" w:hAnsi="宋体" w:cs="宋体"/>
          <w:color w:val="auto"/>
          <w:spacing w:val="10"/>
          <w:sz w:val="20"/>
          <w:szCs w:val="20"/>
          <w:lang w:eastAsia="zh-CN"/>
        </w:rPr>
        <w:t>标文件的要求提供投标文件，并保证所提供的</w:t>
      </w:r>
      <w:r>
        <w:rPr>
          <w:rFonts w:hint="eastAsia" w:ascii="宋体" w:hAnsi="宋体" w:cs="宋体"/>
          <w:color w:val="auto"/>
          <w:spacing w:val="9"/>
          <w:sz w:val="20"/>
          <w:szCs w:val="20"/>
          <w:lang w:eastAsia="zh-CN"/>
        </w:rPr>
        <w:t>全部资料的真实性，使其投标对招标文件做出实</w:t>
      </w:r>
      <w:r>
        <w:rPr>
          <w:rFonts w:hint="eastAsia" w:ascii="宋体" w:hAnsi="宋体" w:cs="宋体"/>
          <w:color w:val="auto"/>
          <w:spacing w:val="8"/>
          <w:sz w:val="20"/>
          <w:szCs w:val="20"/>
          <w:lang w:eastAsia="zh-CN"/>
        </w:rPr>
        <w:t>质性响应，否则，其投标将被拒绝。招标机构保留进</w:t>
      </w:r>
      <w:r>
        <w:rPr>
          <w:rFonts w:hint="eastAsia" w:ascii="宋体" w:hAnsi="宋体" w:cs="宋体"/>
          <w:color w:val="auto"/>
          <w:spacing w:val="9"/>
          <w:sz w:val="20"/>
          <w:szCs w:val="20"/>
          <w:lang w:eastAsia="zh-CN"/>
        </w:rPr>
        <w:t>一步要求投标人补充提供有关材料的权利，拒绝</w:t>
      </w:r>
      <w:r>
        <w:rPr>
          <w:rFonts w:hint="eastAsia" w:ascii="宋体" w:hAnsi="宋体" w:cs="宋体"/>
          <w:color w:val="auto"/>
          <w:spacing w:val="8"/>
          <w:sz w:val="20"/>
          <w:szCs w:val="20"/>
          <w:lang w:eastAsia="zh-CN"/>
        </w:rPr>
        <w:t>补充材料或提供材料不真实，将被视为自动放弃投标</w:t>
      </w:r>
    </w:p>
    <w:p w14:paraId="33D608E8">
      <w:pPr>
        <w:spacing w:line="227" w:lineRule="auto"/>
        <w:ind w:left="9"/>
        <w:rPr>
          <w:rFonts w:hint="eastAsia" w:ascii="宋体" w:hAnsi="宋体" w:cs="宋体"/>
          <w:color w:val="auto"/>
          <w:sz w:val="20"/>
          <w:szCs w:val="20"/>
          <w:lang w:eastAsia="zh-CN"/>
        </w:rPr>
      </w:pPr>
      <w:r>
        <w:rPr>
          <w:rFonts w:hint="eastAsia" w:ascii="宋体" w:hAnsi="宋体" w:cs="宋体"/>
          <w:color w:val="auto"/>
          <w:sz w:val="20"/>
          <w:szCs w:val="20"/>
          <w:lang w:eastAsia="zh-CN"/>
        </w:rPr>
        <w:t>资格。</w:t>
      </w:r>
    </w:p>
    <w:p w14:paraId="4E84E618">
      <w:pPr>
        <w:spacing w:before="222" w:line="228" w:lineRule="auto"/>
        <w:ind w:left="5"/>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5．投标费用</w:t>
      </w:r>
    </w:p>
    <w:p w14:paraId="3183A7A0">
      <w:pPr>
        <w:spacing w:line="228" w:lineRule="auto"/>
        <w:rPr>
          <w:rFonts w:hint="eastAsia" w:ascii="宋体" w:hAnsi="宋体" w:cs="宋体"/>
          <w:color w:val="auto"/>
          <w:sz w:val="20"/>
          <w:szCs w:val="20"/>
          <w:lang w:eastAsia="zh-CN"/>
        </w:rPr>
        <w:sectPr>
          <w:pgSz w:w="11906" w:h="16839"/>
          <w:pgMar w:top="1431" w:right="1339" w:bottom="0" w:left="1368" w:header="0" w:footer="737" w:gutter="0"/>
          <w:pgBorders>
            <w:top w:val="none" w:sz="0" w:space="0"/>
            <w:left w:val="none" w:sz="0" w:space="0"/>
            <w:bottom w:val="none" w:sz="0" w:space="0"/>
            <w:right w:val="none" w:sz="0" w:space="0"/>
          </w:pgBorders>
          <w:pgNumType w:fmt="decimal"/>
          <w:cols w:space="720" w:num="1"/>
        </w:sectPr>
      </w:pPr>
    </w:p>
    <w:p w14:paraId="124E5A9D">
      <w:pPr>
        <w:spacing w:before="41"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投标人应承担其在投标准备、编制、递交投标文件和签订合同协议书的整个过程中发生的一切费</w:t>
      </w:r>
    </w:p>
    <w:p w14:paraId="5E54F587">
      <w:pPr>
        <w:spacing w:line="228" w:lineRule="auto"/>
        <w:ind w:left="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用而不论其投标结果如何。</w:t>
      </w:r>
    </w:p>
    <w:p w14:paraId="574A89DE">
      <w:pPr>
        <w:spacing w:before="220" w:line="228" w:lineRule="auto"/>
        <w:ind w:left="3850"/>
        <w:outlineLvl w:val="2"/>
        <w:rPr>
          <w:rFonts w:hint="eastAsia" w:ascii="宋体" w:hAnsi="宋体" w:cs="宋体"/>
          <w:color w:val="auto"/>
          <w:sz w:val="20"/>
          <w:szCs w:val="20"/>
          <w:lang w:eastAsia="zh-CN"/>
        </w:rPr>
      </w:pPr>
      <w:bookmarkStart w:id="5" w:name="_Toc1910"/>
      <w:r>
        <w:rPr>
          <w:rFonts w:hint="eastAsia" w:ascii="宋体" w:hAnsi="宋体" w:cs="宋体"/>
          <w:b/>
          <w:bCs/>
          <w:color w:val="auto"/>
          <w:spacing w:val="6"/>
          <w:sz w:val="20"/>
          <w:szCs w:val="20"/>
          <w:lang w:eastAsia="zh-CN"/>
        </w:rPr>
        <w:t>B.招标文件说明</w:t>
      </w:r>
      <w:bookmarkEnd w:id="5"/>
    </w:p>
    <w:p w14:paraId="6F688228">
      <w:pPr>
        <w:spacing w:before="221"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6.招标文件</w:t>
      </w:r>
    </w:p>
    <w:p w14:paraId="27801F61">
      <w:pPr>
        <w:spacing w:before="221" w:line="227" w:lineRule="auto"/>
        <w:ind w:right="6"/>
        <w:jc w:val="right"/>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招标文件用以阐明所需货物及服务、招标投标</w:t>
      </w:r>
      <w:r>
        <w:rPr>
          <w:rFonts w:hint="eastAsia" w:ascii="宋体" w:hAnsi="宋体" w:cs="宋体"/>
          <w:color w:val="auto"/>
          <w:spacing w:val="9"/>
          <w:sz w:val="20"/>
          <w:szCs w:val="20"/>
          <w:lang w:eastAsia="zh-CN"/>
        </w:rPr>
        <w:t>程序和投标文件格式。招标文件由以下部分组成：</w:t>
      </w:r>
    </w:p>
    <w:p w14:paraId="3949D4AD">
      <w:pPr>
        <w:spacing w:line="222" w:lineRule="exact"/>
        <w:rPr>
          <w:rFonts w:hint="eastAsia" w:ascii="宋体" w:hAnsi="宋体" w:cs="宋体"/>
          <w:color w:val="auto"/>
          <w:lang w:eastAsia="zh-CN"/>
        </w:rPr>
      </w:pPr>
    </w:p>
    <w:tbl>
      <w:tblPr>
        <w:tblStyle w:val="30"/>
        <w:tblW w:w="2404" w:type="dxa"/>
        <w:tblInd w:w="7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92"/>
        <w:gridCol w:w="1412"/>
      </w:tblGrid>
      <w:tr w14:paraId="4D7B0A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09BDAEBD">
            <w:pPr>
              <w:pStyle w:val="31"/>
              <w:spacing w:line="227" w:lineRule="auto"/>
              <w:rPr>
                <w:rFonts w:hint="eastAsia"/>
                <w:color w:val="auto"/>
              </w:rPr>
            </w:pPr>
            <w:r>
              <w:rPr>
                <w:rFonts w:hint="eastAsia"/>
                <w:color w:val="auto"/>
                <w:spacing w:val="7"/>
              </w:rPr>
              <w:t>第一部分</w:t>
            </w:r>
          </w:p>
        </w:tc>
        <w:tc>
          <w:tcPr>
            <w:tcW w:w="1412" w:type="dxa"/>
          </w:tcPr>
          <w:p w14:paraId="14575E23">
            <w:pPr>
              <w:pStyle w:val="31"/>
              <w:spacing w:line="226" w:lineRule="auto"/>
              <w:ind w:left="163"/>
              <w:rPr>
                <w:rFonts w:hint="eastAsia"/>
                <w:color w:val="auto"/>
              </w:rPr>
            </w:pPr>
            <w:r>
              <w:rPr>
                <w:rFonts w:hint="eastAsia"/>
                <w:color w:val="auto"/>
                <w:spacing w:val="7"/>
              </w:rPr>
              <w:t>招标公告</w:t>
            </w:r>
          </w:p>
        </w:tc>
      </w:tr>
      <w:tr w14:paraId="046EFC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759743B7">
            <w:pPr>
              <w:pStyle w:val="31"/>
              <w:spacing w:before="129" w:line="228" w:lineRule="auto"/>
              <w:rPr>
                <w:rFonts w:hint="eastAsia"/>
                <w:color w:val="auto"/>
              </w:rPr>
            </w:pPr>
            <w:r>
              <w:rPr>
                <w:rFonts w:hint="eastAsia"/>
                <w:color w:val="auto"/>
                <w:spacing w:val="7"/>
              </w:rPr>
              <w:t>第二部分</w:t>
            </w:r>
          </w:p>
        </w:tc>
        <w:tc>
          <w:tcPr>
            <w:tcW w:w="1412" w:type="dxa"/>
          </w:tcPr>
          <w:p w14:paraId="34ACB241">
            <w:pPr>
              <w:pStyle w:val="31"/>
              <w:spacing w:before="129" w:line="227" w:lineRule="auto"/>
              <w:ind w:left="162"/>
              <w:rPr>
                <w:rFonts w:hint="eastAsia"/>
                <w:color w:val="auto"/>
              </w:rPr>
            </w:pPr>
            <w:r>
              <w:rPr>
                <w:rFonts w:hint="eastAsia"/>
                <w:color w:val="auto"/>
                <w:spacing w:val="8"/>
                <w:lang w:eastAsia="zh-CN"/>
              </w:rPr>
              <w:t>投标人</w:t>
            </w:r>
            <w:r>
              <w:rPr>
                <w:rFonts w:hint="eastAsia"/>
                <w:color w:val="auto"/>
                <w:spacing w:val="8"/>
              </w:rPr>
              <w:t>须知</w:t>
            </w:r>
          </w:p>
        </w:tc>
      </w:tr>
      <w:tr w14:paraId="23BB6F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3F5CBA34">
            <w:pPr>
              <w:pStyle w:val="31"/>
              <w:spacing w:before="129" w:line="228" w:lineRule="auto"/>
              <w:rPr>
                <w:rFonts w:hint="eastAsia"/>
                <w:color w:val="auto"/>
              </w:rPr>
            </w:pPr>
            <w:r>
              <w:rPr>
                <w:rFonts w:hint="eastAsia"/>
                <w:color w:val="auto"/>
                <w:spacing w:val="7"/>
              </w:rPr>
              <w:t>第三部分</w:t>
            </w:r>
          </w:p>
        </w:tc>
        <w:tc>
          <w:tcPr>
            <w:tcW w:w="1412" w:type="dxa"/>
          </w:tcPr>
          <w:p w14:paraId="2353A0C7">
            <w:pPr>
              <w:pStyle w:val="31"/>
              <w:spacing w:before="129" w:line="228" w:lineRule="auto"/>
              <w:ind w:left="161"/>
              <w:rPr>
                <w:rFonts w:hint="eastAsia"/>
                <w:color w:val="auto"/>
              </w:rPr>
            </w:pPr>
            <w:r>
              <w:rPr>
                <w:rFonts w:hint="eastAsia"/>
                <w:color w:val="auto"/>
                <w:spacing w:val="7"/>
              </w:rPr>
              <w:t>评标办法</w:t>
            </w:r>
          </w:p>
        </w:tc>
      </w:tr>
      <w:tr w14:paraId="2C553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29A8AE4C">
            <w:pPr>
              <w:pStyle w:val="31"/>
              <w:spacing w:before="129" w:line="228" w:lineRule="auto"/>
              <w:rPr>
                <w:rFonts w:hint="eastAsia"/>
                <w:color w:val="auto"/>
              </w:rPr>
            </w:pPr>
            <w:r>
              <w:rPr>
                <w:rFonts w:hint="eastAsia"/>
                <w:color w:val="auto"/>
                <w:spacing w:val="7"/>
              </w:rPr>
              <w:t>第四部分</w:t>
            </w:r>
          </w:p>
        </w:tc>
        <w:tc>
          <w:tcPr>
            <w:tcW w:w="1412" w:type="dxa"/>
          </w:tcPr>
          <w:p w14:paraId="3B0EACE5">
            <w:pPr>
              <w:pStyle w:val="31"/>
              <w:spacing w:before="129" w:line="227" w:lineRule="auto"/>
              <w:ind w:left="161"/>
              <w:rPr>
                <w:rFonts w:hint="eastAsia"/>
                <w:color w:val="auto"/>
              </w:rPr>
            </w:pPr>
            <w:r>
              <w:rPr>
                <w:rFonts w:hint="eastAsia"/>
                <w:color w:val="auto"/>
                <w:spacing w:val="7"/>
              </w:rPr>
              <w:t>采购需求</w:t>
            </w:r>
          </w:p>
        </w:tc>
      </w:tr>
      <w:tr w14:paraId="4FAF65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6A462129">
            <w:pPr>
              <w:pStyle w:val="31"/>
              <w:spacing w:before="129" w:line="228" w:lineRule="auto"/>
              <w:rPr>
                <w:rFonts w:hint="eastAsia"/>
                <w:color w:val="auto"/>
              </w:rPr>
            </w:pPr>
            <w:r>
              <w:rPr>
                <w:rFonts w:hint="eastAsia"/>
                <w:color w:val="auto"/>
                <w:spacing w:val="7"/>
              </w:rPr>
              <w:t>第五部分</w:t>
            </w:r>
          </w:p>
        </w:tc>
        <w:tc>
          <w:tcPr>
            <w:tcW w:w="1412" w:type="dxa"/>
          </w:tcPr>
          <w:p w14:paraId="08F25348">
            <w:pPr>
              <w:pStyle w:val="31"/>
              <w:spacing w:before="129" w:line="228" w:lineRule="auto"/>
              <w:ind w:left="163"/>
              <w:rPr>
                <w:rFonts w:hint="eastAsia"/>
                <w:color w:val="auto"/>
              </w:rPr>
            </w:pPr>
            <w:r>
              <w:rPr>
                <w:rFonts w:hint="eastAsia"/>
                <w:color w:val="auto"/>
                <w:spacing w:val="7"/>
              </w:rPr>
              <w:t>合同条款</w:t>
            </w:r>
          </w:p>
        </w:tc>
      </w:tr>
      <w:tr w14:paraId="3FE79B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0CB4D5A6">
            <w:pPr>
              <w:pStyle w:val="31"/>
              <w:spacing w:before="129" w:line="183" w:lineRule="auto"/>
              <w:rPr>
                <w:rFonts w:hint="eastAsia"/>
                <w:color w:val="auto"/>
              </w:rPr>
            </w:pPr>
            <w:r>
              <w:rPr>
                <w:rFonts w:hint="eastAsia"/>
                <w:color w:val="auto"/>
                <w:spacing w:val="7"/>
              </w:rPr>
              <w:t>第六部分</w:t>
            </w:r>
          </w:p>
        </w:tc>
        <w:tc>
          <w:tcPr>
            <w:tcW w:w="1412" w:type="dxa"/>
          </w:tcPr>
          <w:p w14:paraId="02585E27">
            <w:pPr>
              <w:pStyle w:val="31"/>
              <w:spacing w:before="129" w:line="183" w:lineRule="auto"/>
              <w:jc w:val="right"/>
              <w:rPr>
                <w:rFonts w:hint="eastAsia"/>
                <w:color w:val="auto"/>
              </w:rPr>
            </w:pPr>
            <w:r>
              <w:rPr>
                <w:rFonts w:hint="eastAsia"/>
                <w:color w:val="auto"/>
                <w:spacing w:val="7"/>
              </w:rPr>
              <w:t>投标文件格式</w:t>
            </w:r>
          </w:p>
        </w:tc>
      </w:tr>
    </w:tbl>
    <w:p w14:paraId="4F9C65B0">
      <w:pPr>
        <w:spacing w:before="258" w:line="228" w:lineRule="auto"/>
        <w:ind w:left="5"/>
        <w:outlineLvl w:val="3"/>
        <w:rPr>
          <w:rFonts w:hint="eastAsia" w:ascii="宋体" w:hAnsi="宋体" w:cs="宋体"/>
          <w:color w:val="auto"/>
          <w:sz w:val="20"/>
          <w:szCs w:val="20"/>
        </w:rPr>
      </w:pPr>
      <w:r>
        <w:rPr>
          <w:rFonts w:hint="eastAsia" w:ascii="宋体" w:hAnsi="宋体" w:cs="宋体"/>
          <w:color w:val="auto"/>
          <w:spacing w:val="7"/>
          <w:sz w:val="20"/>
          <w:szCs w:val="20"/>
        </w:rPr>
        <w:t>7.招标文件的澄清</w:t>
      </w:r>
    </w:p>
    <w:p w14:paraId="6989E94D">
      <w:pPr>
        <w:spacing w:before="222" w:line="432" w:lineRule="auto"/>
        <w:ind w:right="52" w:firstLine="569"/>
        <w:jc w:val="both"/>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投标人对本次招标文件的内容有疑问时，可要求澄清，但应</w:t>
      </w:r>
      <w:r>
        <w:rPr>
          <w:rFonts w:hint="eastAsia" w:ascii="宋体" w:hAnsi="宋体" w:cs="宋体"/>
          <w:color w:val="auto"/>
          <w:spacing w:val="9"/>
          <w:sz w:val="20"/>
          <w:szCs w:val="20"/>
          <w:lang w:eastAsia="zh-CN"/>
        </w:rPr>
        <w:t>在距投标截止日15日前，按投标人须知注明的联系地址以书面形式（包括信函、传真</w:t>
      </w:r>
      <w:r>
        <w:rPr>
          <w:rFonts w:hint="eastAsia" w:ascii="宋体" w:hAnsi="宋体" w:cs="宋体"/>
          <w:color w:val="auto"/>
          <w:spacing w:val="8"/>
          <w:sz w:val="20"/>
          <w:szCs w:val="20"/>
          <w:lang w:eastAsia="zh-CN"/>
        </w:rPr>
        <w:t>，下同）通知到招标机构。招标机构将视情况确定</w:t>
      </w:r>
      <w:r>
        <w:rPr>
          <w:rFonts w:hint="eastAsia" w:ascii="宋体" w:hAnsi="宋体" w:cs="宋体"/>
          <w:color w:val="auto"/>
          <w:spacing w:val="9"/>
          <w:sz w:val="20"/>
          <w:szCs w:val="20"/>
          <w:lang w:eastAsia="zh-CN"/>
        </w:rPr>
        <w:t>采用其认为适当的方式予以澄清或以书面形式予以</w:t>
      </w:r>
      <w:r>
        <w:rPr>
          <w:rFonts w:hint="eastAsia" w:ascii="宋体" w:hAnsi="宋体" w:cs="宋体"/>
          <w:color w:val="auto"/>
          <w:spacing w:val="8"/>
          <w:sz w:val="20"/>
          <w:szCs w:val="20"/>
          <w:lang w:eastAsia="zh-CN"/>
        </w:rPr>
        <w:t>答复，并在其认为必要时，将不标明查询来源的书</w:t>
      </w:r>
    </w:p>
    <w:p w14:paraId="42B25650">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面答复发给所有购买招标文件的每一投标人。</w:t>
      </w:r>
    </w:p>
    <w:p w14:paraId="007BCD67">
      <w:pPr>
        <w:spacing w:before="221" w:line="228" w:lineRule="auto"/>
        <w:ind w:left="1"/>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8.招标文件的修改</w:t>
      </w:r>
    </w:p>
    <w:p w14:paraId="01CE94EE">
      <w:pPr>
        <w:spacing w:before="222" w:line="432" w:lineRule="auto"/>
        <w:ind w:right="52" w:firstLine="421"/>
        <w:rPr>
          <w:rFonts w:hint="eastAsia" w:ascii="宋体" w:hAnsi="宋体" w:cs="宋体"/>
          <w:color w:val="auto"/>
          <w:sz w:val="20"/>
          <w:szCs w:val="20"/>
          <w:lang w:eastAsia="zh-CN"/>
        </w:rPr>
      </w:pPr>
      <w:r>
        <w:rPr>
          <w:rFonts w:hint="eastAsia" w:ascii="宋体" w:hAnsi="宋体" w:cs="宋体"/>
          <w:color w:val="auto"/>
          <w:spacing w:val="11"/>
          <w:sz w:val="20"/>
          <w:szCs w:val="20"/>
          <w:lang w:eastAsia="zh-CN"/>
        </w:rPr>
        <w:t>8.1在投标截止时间前，招标机构可根据需要和</w:t>
      </w:r>
      <w:r>
        <w:rPr>
          <w:rFonts w:hint="eastAsia" w:ascii="宋体" w:hAnsi="宋体" w:cs="宋体"/>
          <w:color w:val="auto"/>
          <w:spacing w:val="10"/>
          <w:sz w:val="20"/>
          <w:szCs w:val="20"/>
          <w:lang w:eastAsia="zh-CN"/>
        </w:rPr>
        <w:t>（或）依据投标人要求澄清的问题而修改招标文</w:t>
      </w:r>
      <w:r>
        <w:rPr>
          <w:rFonts w:hint="eastAsia" w:ascii="宋体" w:hAnsi="宋体" w:cs="宋体"/>
          <w:color w:val="auto"/>
          <w:spacing w:val="9"/>
          <w:sz w:val="20"/>
          <w:szCs w:val="20"/>
          <w:lang w:eastAsia="zh-CN"/>
        </w:rPr>
        <w:t>件，并以书面形式通知所有购买招标文件的投标人</w:t>
      </w:r>
      <w:r>
        <w:rPr>
          <w:rFonts w:hint="eastAsia" w:ascii="宋体" w:hAnsi="宋体" w:cs="宋体"/>
          <w:color w:val="auto"/>
          <w:spacing w:val="8"/>
          <w:sz w:val="20"/>
          <w:szCs w:val="20"/>
          <w:lang w:eastAsia="zh-CN"/>
        </w:rPr>
        <w:t>，投标人在收到该通知后应立即以传真的形式予以</w:t>
      </w:r>
    </w:p>
    <w:p w14:paraId="0397C8A4">
      <w:pPr>
        <w:spacing w:line="228" w:lineRule="auto"/>
        <w:rPr>
          <w:rFonts w:hint="eastAsia" w:ascii="宋体" w:hAnsi="宋体" w:cs="宋体"/>
          <w:color w:val="auto"/>
          <w:sz w:val="20"/>
          <w:szCs w:val="20"/>
          <w:lang w:eastAsia="zh-CN"/>
        </w:rPr>
      </w:pPr>
      <w:r>
        <w:rPr>
          <w:rFonts w:hint="eastAsia" w:ascii="宋体" w:hAnsi="宋体" w:cs="宋体"/>
          <w:color w:val="auto"/>
          <w:spacing w:val="3"/>
          <w:sz w:val="20"/>
          <w:szCs w:val="20"/>
          <w:lang w:eastAsia="zh-CN"/>
        </w:rPr>
        <w:t>确认；</w:t>
      </w:r>
    </w:p>
    <w:p w14:paraId="33985041">
      <w:pPr>
        <w:spacing w:before="221" w:line="227" w:lineRule="auto"/>
        <w:ind w:left="42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8.2 招标文件的修改书将构成招标文件的一部分，对投标人具有同</w:t>
      </w:r>
      <w:r>
        <w:rPr>
          <w:rFonts w:hint="eastAsia" w:ascii="宋体" w:hAnsi="宋体" w:cs="宋体"/>
          <w:color w:val="auto"/>
          <w:spacing w:val="8"/>
          <w:sz w:val="20"/>
          <w:szCs w:val="20"/>
          <w:lang w:eastAsia="zh-CN"/>
        </w:rPr>
        <w:t>样的约束力。</w:t>
      </w:r>
    </w:p>
    <w:p w14:paraId="18C41DA6">
      <w:pPr>
        <w:spacing w:before="222"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11"/>
          <w:position w:val="20"/>
          <w:sz w:val="20"/>
          <w:szCs w:val="20"/>
          <w:lang w:eastAsia="zh-CN"/>
        </w:rPr>
        <w:t>8.3为使投标人有足够的时间按招标文件的修改</w:t>
      </w:r>
      <w:r>
        <w:rPr>
          <w:rFonts w:hint="eastAsia" w:ascii="宋体" w:hAnsi="宋体" w:cs="宋体"/>
          <w:color w:val="auto"/>
          <w:spacing w:val="10"/>
          <w:position w:val="20"/>
          <w:sz w:val="20"/>
          <w:szCs w:val="20"/>
          <w:lang w:eastAsia="zh-CN"/>
        </w:rPr>
        <w:t>要求考虑修正投标文件，招标机构可酌情推迟投</w:t>
      </w:r>
    </w:p>
    <w:p w14:paraId="0AE6DB69">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标的截止时间和开标时间，并以书面形式通知已购买招标文件的每一投标人。</w:t>
      </w:r>
    </w:p>
    <w:p w14:paraId="6E76B9F7">
      <w:pPr>
        <w:spacing w:before="222" w:line="228" w:lineRule="auto"/>
        <w:ind w:left="3774"/>
        <w:outlineLvl w:val="2"/>
        <w:rPr>
          <w:rFonts w:hint="eastAsia" w:ascii="宋体" w:hAnsi="宋体" w:cs="宋体"/>
          <w:color w:val="auto"/>
          <w:sz w:val="20"/>
          <w:szCs w:val="20"/>
          <w:lang w:eastAsia="zh-CN"/>
        </w:rPr>
      </w:pPr>
      <w:bookmarkStart w:id="6" w:name="_Toc22463"/>
      <w:r>
        <w:rPr>
          <w:rFonts w:hint="eastAsia" w:ascii="宋体" w:hAnsi="宋体" w:cs="宋体"/>
          <w:b/>
          <w:bCs/>
          <w:color w:val="auto"/>
          <w:spacing w:val="5"/>
          <w:sz w:val="20"/>
          <w:szCs w:val="20"/>
          <w:lang w:eastAsia="zh-CN"/>
        </w:rPr>
        <w:t>C投标文件的编写</w:t>
      </w:r>
      <w:bookmarkEnd w:id="6"/>
    </w:p>
    <w:p w14:paraId="74FD1C00">
      <w:pPr>
        <w:spacing w:before="221" w:line="228" w:lineRule="auto"/>
        <w:ind w:left="1"/>
        <w:outlineLvl w:val="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9.投标语言及计量单位</w:t>
      </w:r>
    </w:p>
    <w:p w14:paraId="79EBB66D">
      <w:pPr>
        <w:spacing w:before="221" w:line="227" w:lineRule="auto"/>
        <w:jc w:val="right"/>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9.1投标文件及投标人和招标机构就投标交换的文件和来往信件，以中文书写（专有名词除外</w:t>
      </w:r>
      <w:r>
        <w:rPr>
          <w:rFonts w:hint="eastAsia" w:ascii="宋体" w:hAnsi="宋体" w:cs="宋体"/>
          <w:color w:val="auto"/>
          <w:spacing w:val="-16"/>
          <w:sz w:val="20"/>
          <w:szCs w:val="20"/>
          <w:lang w:eastAsia="zh-CN"/>
        </w:rPr>
        <w:t>）；</w:t>
      </w:r>
    </w:p>
    <w:p w14:paraId="3BA329B7">
      <w:pPr>
        <w:spacing w:before="222"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9.2除在招标文件的“技术要求”中另有规定外， 计量单位应使用中华人民共和国法定计量单位</w:t>
      </w:r>
    </w:p>
    <w:p w14:paraId="68EAA545">
      <w:pPr>
        <w:spacing w:line="228" w:lineRule="auto"/>
        <w:ind w:left="1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（国际单位制和国家选定的其他计量单位）。</w:t>
      </w:r>
    </w:p>
    <w:p w14:paraId="21D033D2">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10．投标文件的组成</w:t>
      </w:r>
    </w:p>
    <w:p w14:paraId="259D8DD2">
      <w:pPr>
        <w:spacing w:before="221" w:line="228" w:lineRule="auto"/>
        <w:ind w:left="57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详见第六部分：投标文件格式。</w:t>
      </w:r>
    </w:p>
    <w:p w14:paraId="17978330">
      <w:pPr>
        <w:spacing w:line="228" w:lineRule="auto"/>
        <w:rPr>
          <w:rFonts w:hint="eastAsia" w:ascii="宋体" w:hAnsi="宋体" w:cs="宋体"/>
          <w:color w:val="auto"/>
          <w:sz w:val="20"/>
          <w:szCs w:val="20"/>
          <w:lang w:eastAsia="zh-CN"/>
        </w:rPr>
        <w:sectPr>
          <w:pgSz w:w="11906" w:h="16839"/>
          <w:pgMar w:top="1392" w:right="1310" w:bottom="0" w:left="1368" w:header="0" w:footer="737" w:gutter="0"/>
          <w:pgBorders>
            <w:top w:val="none" w:sz="0" w:space="0"/>
            <w:left w:val="none" w:sz="0" w:space="0"/>
            <w:bottom w:val="none" w:sz="0" w:space="0"/>
            <w:right w:val="none" w:sz="0" w:space="0"/>
          </w:pgBorders>
          <w:pgNumType w:fmt="decimal"/>
          <w:cols w:space="720" w:num="1"/>
        </w:sectPr>
      </w:pPr>
    </w:p>
    <w:p w14:paraId="66F222A6">
      <w:pPr>
        <w:spacing w:before="41" w:line="228" w:lineRule="auto"/>
        <w:ind w:left="14"/>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11.投标文件内容填写说明</w:t>
      </w:r>
    </w:p>
    <w:p w14:paraId="61B41482">
      <w:pPr>
        <w:spacing w:before="221"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13"/>
          <w:position w:val="20"/>
          <w:sz w:val="20"/>
          <w:szCs w:val="20"/>
          <w:lang w:eastAsia="zh-CN"/>
        </w:rPr>
        <w:t>11.1投标人应严格按招标文件要求的内容逐</w:t>
      </w:r>
      <w:r>
        <w:rPr>
          <w:rFonts w:hint="eastAsia" w:ascii="宋体" w:hAnsi="宋体" w:cs="宋体"/>
          <w:color w:val="auto"/>
          <w:spacing w:val="12"/>
          <w:position w:val="20"/>
          <w:sz w:val="20"/>
          <w:szCs w:val="20"/>
          <w:lang w:eastAsia="zh-CN"/>
        </w:rPr>
        <w:t>项填写编制投标文件，有规定格式的按规定格式填</w:t>
      </w:r>
    </w:p>
    <w:p w14:paraId="01B80A38">
      <w:pPr>
        <w:spacing w:line="226" w:lineRule="auto"/>
        <w:ind w:left="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写，无规定格式的由投标人自拟，并胶装成册。</w:t>
      </w:r>
    </w:p>
    <w:p w14:paraId="0F376EA0">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11.2开标一览表为在开标仪式上唱标的内容，要求按格式填写、统一规范，不得自行增减内容。</w:t>
      </w:r>
    </w:p>
    <w:p w14:paraId="278288B4">
      <w:pPr>
        <w:spacing w:line="227"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投标文件不得漏项或虚报，否则将可能导致其投标被拒绝。</w:t>
      </w:r>
    </w:p>
    <w:p w14:paraId="1480C685">
      <w:pPr>
        <w:spacing w:before="222" w:line="468" w:lineRule="exact"/>
        <w:ind w:right="23"/>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11.3 投标人应保证其所提供文件的真实性，并应对招标文件的实质性要求作出完全响应</w:t>
      </w:r>
      <w:r>
        <w:rPr>
          <w:rFonts w:hint="eastAsia" w:ascii="宋体" w:hAnsi="宋体" w:cs="宋体"/>
          <w:color w:val="auto"/>
          <w:spacing w:val="9"/>
          <w:position w:val="20"/>
          <w:sz w:val="20"/>
          <w:szCs w:val="20"/>
          <w:lang w:eastAsia="zh-CN"/>
        </w:rPr>
        <w:t>，否则</w:t>
      </w:r>
    </w:p>
    <w:p w14:paraId="5031B5D6">
      <w:pPr>
        <w:spacing w:line="227" w:lineRule="auto"/>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其投标可能被拒绝。</w:t>
      </w:r>
    </w:p>
    <w:p w14:paraId="324E985C">
      <w:pPr>
        <w:spacing w:before="222"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11.4投标人视需要自行编制技术文件的补充附件。规格幅面应</w:t>
      </w:r>
      <w:r>
        <w:rPr>
          <w:rFonts w:hint="eastAsia" w:ascii="宋体" w:hAnsi="宋体" w:cs="宋体"/>
          <w:color w:val="auto"/>
          <w:spacing w:val="7"/>
          <w:position w:val="20"/>
          <w:sz w:val="20"/>
          <w:szCs w:val="20"/>
          <w:lang w:eastAsia="zh-CN"/>
        </w:rPr>
        <w:t>与正文一致，附于正文之后，与正</w:t>
      </w:r>
    </w:p>
    <w:p w14:paraId="4CAB20A7">
      <w:pPr>
        <w:spacing w:line="227" w:lineRule="auto"/>
        <w:ind w:left="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文页码统一编目编码装订。</w:t>
      </w:r>
    </w:p>
    <w:p w14:paraId="036AC474">
      <w:pPr>
        <w:spacing w:before="222" w:line="226" w:lineRule="auto"/>
        <w:ind w:left="14"/>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12.投标报价</w:t>
      </w:r>
    </w:p>
    <w:p w14:paraId="347ABFB0">
      <w:pPr>
        <w:spacing w:before="223" w:line="226" w:lineRule="auto"/>
        <w:ind w:left="434"/>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12.1 所有投标均以人民币报价；</w:t>
      </w:r>
    </w:p>
    <w:p w14:paraId="5097399E">
      <w:pPr>
        <w:spacing w:before="223" w:line="468" w:lineRule="exact"/>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12.2投标人应在填写分项报价表时注明各项单价、总价。如果单价与总价有出入，以单价为准。</w:t>
      </w:r>
    </w:p>
    <w:p w14:paraId="26AD74FC">
      <w:pPr>
        <w:spacing w:line="226" w:lineRule="auto"/>
        <w:ind w:left="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招标机构不接受有任何选择的报价；报价须有法人代表或授权代表签署。</w:t>
      </w:r>
    </w:p>
    <w:p w14:paraId="2E0F2495">
      <w:pPr>
        <w:spacing w:before="223" w:line="226"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12.3投标人应按上述12.1-12.3条款要求填写投标</w:t>
      </w:r>
      <w:r>
        <w:rPr>
          <w:rFonts w:hint="eastAsia" w:ascii="宋体" w:hAnsi="宋体" w:cs="宋体"/>
          <w:color w:val="auto"/>
          <w:spacing w:val="7"/>
          <w:sz w:val="20"/>
          <w:szCs w:val="20"/>
          <w:lang w:eastAsia="zh-CN"/>
        </w:rPr>
        <w:t>报价，以供评标委员会比较评价。</w:t>
      </w:r>
    </w:p>
    <w:p w14:paraId="293716D5">
      <w:pPr>
        <w:spacing w:before="223" w:line="468" w:lineRule="exact"/>
        <w:ind w:left="43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12.4投标人因承包本项目需支付的一切费用，并包含在所报的单价或总额价内。</w:t>
      </w:r>
    </w:p>
    <w:p w14:paraId="1E19546E">
      <w:pPr>
        <w:spacing w:before="1" w:line="228" w:lineRule="auto"/>
        <w:ind w:left="14"/>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13.投标保证金（如有）</w:t>
      </w:r>
    </w:p>
    <w:p w14:paraId="09B62A64">
      <w:pPr>
        <w:spacing w:before="220" w:line="240" w:lineRule="exact"/>
        <w:ind w:right="22" w:firstLine="432" w:firstLineChars="200"/>
        <w:jc w:val="both"/>
        <w:rPr>
          <w:rFonts w:hint="eastAsia" w:ascii="宋体" w:hAnsi="宋体" w:cs="宋体"/>
          <w:color w:val="auto"/>
          <w:spacing w:val="7"/>
          <w:position w:val="20"/>
          <w:sz w:val="20"/>
          <w:szCs w:val="20"/>
          <w:lang w:eastAsia="zh-CN"/>
        </w:rPr>
      </w:pPr>
      <w:r>
        <w:rPr>
          <w:rFonts w:hint="eastAsia" w:ascii="宋体" w:hAnsi="宋体" w:cs="宋体"/>
          <w:color w:val="auto"/>
          <w:spacing w:val="8"/>
          <w:position w:val="20"/>
          <w:sz w:val="20"/>
          <w:szCs w:val="20"/>
          <w:lang w:eastAsia="zh-CN"/>
        </w:rPr>
        <w:t>13.1投标保证金的形式：</w:t>
      </w:r>
      <w:r>
        <w:rPr>
          <w:rFonts w:hint="eastAsia" w:ascii="宋体" w:hAnsi="宋体" w:cs="宋体"/>
          <w:color w:val="auto"/>
          <w:spacing w:val="7"/>
          <w:position w:val="20"/>
          <w:sz w:val="20"/>
          <w:szCs w:val="20"/>
          <w:lang w:eastAsia="zh-CN"/>
        </w:rPr>
        <w:t>见投标人须知前附表第19项；</w:t>
      </w:r>
    </w:p>
    <w:p w14:paraId="5E6947AB">
      <w:pPr>
        <w:spacing w:before="223" w:line="240" w:lineRule="exact"/>
        <w:ind w:left="434"/>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13.2投标保证金的金额：见投标人须知前附表第19项；</w:t>
      </w:r>
    </w:p>
    <w:p w14:paraId="1A59263B">
      <w:pPr>
        <w:spacing w:line="226"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13.3递交方式：见投标人须知前附表第19项；</w:t>
      </w:r>
    </w:p>
    <w:p w14:paraId="167B8D6A">
      <w:pPr>
        <w:spacing w:before="223" w:line="468" w:lineRule="exact"/>
        <w:ind w:left="434"/>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13.4投标保证金用于保护本次招标免受因投标人不履行投标</w:t>
      </w:r>
      <w:r>
        <w:rPr>
          <w:rFonts w:hint="eastAsia" w:ascii="宋体" w:hAnsi="宋体" w:cs="宋体"/>
          <w:color w:val="auto"/>
          <w:spacing w:val="8"/>
          <w:position w:val="20"/>
          <w:sz w:val="20"/>
          <w:szCs w:val="20"/>
          <w:lang w:eastAsia="zh-CN"/>
        </w:rPr>
        <w:t>承诺及合同等行为而引起的风险；</w:t>
      </w:r>
    </w:p>
    <w:p w14:paraId="13BA8476">
      <w:pPr>
        <w:spacing w:line="227"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13.5未按13.1和13.2条款要求提交投标保证金的投标将被视为投标无效；</w:t>
      </w:r>
    </w:p>
    <w:p w14:paraId="5CDDB1ED">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13.6未中标投标人的投标保证金将按25</w:t>
      </w:r>
      <w:r>
        <w:rPr>
          <w:rFonts w:hint="eastAsia" w:ascii="宋体" w:hAnsi="宋体" w:cs="宋体"/>
          <w:color w:val="auto"/>
          <w:spacing w:val="7"/>
          <w:sz w:val="20"/>
          <w:szCs w:val="20"/>
          <w:lang w:eastAsia="zh-CN"/>
        </w:rPr>
        <w:t>.2条规定予以无息退还；</w:t>
      </w:r>
    </w:p>
    <w:p w14:paraId="135FFF27">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13.7中标人的投标保证金，在中标人交纳中标服务费后予以无息退还；</w:t>
      </w:r>
    </w:p>
    <w:p w14:paraId="0B62589C">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13.8 发生下列情况之一，投标保证金将被没收：</w:t>
      </w:r>
    </w:p>
    <w:p w14:paraId="248FB555">
      <w:pPr>
        <w:spacing w:before="222" w:line="227" w:lineRule="auto"/>
        <w:ind w:left="42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（1）投标人在提交响应文件截止时间后撤回响应文件的;</w:t>
      </w:r>
    </w:p>
    <w:p w14:paraId="5A960844">
      <w:pPr>
        <w:spacing w:before="222" w:line="227" w:lineRule="auto"/>
        <w:ind w:left="42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（2）投标人在响应文件中提供虚假材料的;</w:t>
      </w:r>
    </w:p>
    <w:p w14:paraId="3D345C16">
      <w:pPr>
        <w:spacing w:before="222" w:line="468" w:lineRule="exact"/>
        <w:ind w:left="429"/>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（3）除因不可抗力或谈判文件、询价通知书认可的情形以外，中标人不与采购人签订合同</w:t>
      </w:r>
    </w:p>
    <w:p w14:paraId="48864EF7">
      <w:pPr>
        <w:spacing w:before="1" w:line="229" w:lineRule="auto"/>
        <w:ind w:left="16"/>
        <w:rPr>
          <w:rFonts w:hint="eastAsia" w:ascii="宋体" w:hAnsi="宋体" w:cs="宋体"/>
          <w:color w:val="auto"/>
          <w:sz w:val="20"/>
          <w:szCs w:val="20"/>
          <w:lang w:eastAsia="zh-CN"/>
        </w:rPr>
      </w:pPr>
      <w:r>
        <w:rPr>
          <w:rFonts w:hint="eastAsia" w:ascii="宋体" w:hAnsi="宋体" w:cs="宋体"/>
          <w:color w:val="auto"/>
          <w:spacing w:val="13"/>
          <w:sz w:val="20"/>
          <w:szCs w:val="20"/>
          <w:lang w:eastAsia="zh-CN"/>
        </w:rPr>
        <w:t>的;</w:t>
      </w:r>
    </w:p>
    <w:p w14:paraId="71084832">
      <w:pPr>
        <w:spacing w:before="219"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（4）投标人与采购人、其他投标人或者采购代理机构恶意</w:t>
      </w:r>
      <w:r>
        <w:rPr>
          <w:rFonts w:hint="eastAsia" w:ascii="宋体" w:hAnsi="宋体" w:cs="宋体"/>
          <w:color w:val="auto"/>
          <w:spacing w:val="8"/>
          <w:sz w:val="20"/>
          <w:szCs w:val="20"/>
          <w:lang w:eastAsia="zh-CN"/>
        </w:rPr>
        <w:t>串通的;</w:t>
      </w:r>
    </w:p>
    <w:p w14:paraId="086577D7">
      <w:pPr>
        <w:spacing w:line="227" w:lineRule="auto"/>
        <w:rPr>
          <w:rFonts w:hint="eastAsia" w:ascii="宋体" w:hAnsi="宋体" w:cs="宋体"/>
          <w:color w:val="auto"/>
          <w:sz w:val="20"/>
          <w:szCs w:val="20"/>
          <w:lang w:eastAsia="zh-CN"/>
        </w:rPr>
        <w:sectPr>
          <w:pgSz w:w="11906" w:h="16839"/>
          <w:pgMar w:top="1392" w:right="1339" w:bottom="0" w:left="1369" w:header="0" w:footer="737" w:gutter="0"/>
          <w:pgBorders>
            <w:top w:val="none" w:sz="0" w:space="0"/>
            <w:left w:val="none" w:sz="0" w:space="0"/>
            <w:bottom w:val="none" w:sz="0" w:space="0"/>
            <w:right w:val="none" w:sz="0" w:space="0"/>
          </w:pgBorders>
          <w:pgNumType w:fmt="decimal"/>
          <w:cols w:space="720" w:num="1"/>
        </w:sectPr>
      </w:pPr>
    </w:p>
    <w:p w14:paraId="4B7134D2">
      <w:pPr>
        <w:spacing w:before="41" w:line="227" w:lineRule="auto"/>
        <w:ind w:left="427"/>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（5）采购文件规定的其他情形。</w:t>
      </w:r>
    </w:p>
    <w:p w14:paraId="296E6D8A">
      <w:pPr>
        <w:spacing w:before="222"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14.投标有效期</w:t>
      </w:r>
    </w:p>
    <w:p w14:paraId="43A4A470">
      <w:pPr>
        <w:spacing w:before="220" w:line="228"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14.1从开标之日起，投标有效期为90天。不能满足投标有效期的投标，将被拒绝；</w:t>
      </w:r>
    </w:p>
    <w:p w14:paraId="15756249">
      <w:pPr>
        <w:spacing w:before="221" w:line="432" w:lineRule="auto"/>
        <w:ind w:left="24" w:right="70" w:firstLine="408"/>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14.2特殊情况下，招标机构可于投标有效期满之前要求投标人</w:t>
      </w:r>
      <w:r>
        <w:rPr>
          <w:rFonts w:hint="eastAsia" w:ascii="宋体" w:hAnsi="宋体" w:cs="宋体"/>
          <w:color w:val="auto"/>
          <w:spacing w:val="7"/>
          <w:sz w:val="20"/>
          <w:szCs w:val="20"/>
          <w:lang w:eastAsia="zh-CN"/>
        </w:rPr>
        <w:t>延长投标有效期，这种要求和答复</w:t>
      </w:r>
      <w:r>
        <w:rPr>
          <w:rFonts w:hint="eastAsia" w:ascii="宋体" w:hAnsi="宋体" w:cs="宋体"/>
          <w:color w:val="auto"/>
          <w:spacing w:val="8"/>
          <w:sz w:val="20"/>
          <w:szCs w:val="20"/>
          <w:lang w:eastAsia="zh-CN"/>
        </w:rPr>
        <w:t>都应以书面、传真的形式进行。投标人可以拒绝接受延期要求。同意延长有效期的投标人</w:t>
      </w:r>
      <w:r>
        <w:rPr>
          <w:rFonts w:hint="eastAsia" w:ascii="宋体" w:hAnsi="宋体" w:cs="宋体"/>
          <w:color w:val="auto"/>
          <w:spacing w:val="7"/>
          <w:sz w:val="20"/>
          <w:szCs w:val="20"/>
          <w:lang w:eastAsia="zh-CN"/>
        </w:rPr>
        <w:t>不能修改投</w:t>
      </w:r>
      <w:r>
        <w:rPr>
          <w:rFonts w:hint="eastAsia" w:ascii="宋体" w:hAnsi="宋体" w:cs="宋体"/>
          <w:color w:val="auto"/>
          <w:spacing w:val="4"/>
          <w:sz w:val="20"/>
          <w:szCs w:val="20"/>
          <w:lang w:eastAsia="zh-CN"/>
        </w:rPr>
        <w:t>标文件。</w:t>
      </w:r>
    </w:p>
    <w:p w14:paraId="41E49FF7">
      <w:pPr>
        <w:spacing w:before="221"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15.投标文件的签署及规定</w:t>
      </w:r>
    </w:p>
    <w:p w14:paraId="24B80370">
      <w:pPr>
        <w:spacing w:before="221"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15.1 组成投标文件的各项资料均应遵守本须知第10条中所规定的内</w:t>
      </w:r>
      <w:r>
        <w:rPr>
          <w:rFonts w:hint="eastAsia" w:ascii="宋体" w:hAnsi="宋体" w:cs="宋体"/>
          <w:color w:val="auto"/>
          <w:spacing w:val="7"/>
          <w:sz w:val="20"/>
          <w:szCs w:val="20"/>
          <w:lang w:eastAsia="zh-CN"/>
        </w:rPr>
        <w:t>容。</w:t>
      </w:r>
    </w:p>
    <w:p w14:paraId="227F3D4C">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15.2 投标人应填写单位全称，同时加盖印章。</w:t>
      </w:r>
    </w:p>
    <w:p w14:paraId="72F31E61">
      <w:pPr>
        <w:spacing w:before="222" w:line="228"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15.3 投标文件必须由法人代表或法人授权代表签署。</w:t>
      </w:r>
    </w:p>
    <w:p w14:paraId="06BF9925">
      <w:pPr>
        <w:spacing w:before="221"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15.4 投标文件正本一份和副本四份，如果正本与副本不符，</w:t>
      </w:r>
      <w:r>
        <w:rPr>
          <w:rFonts w:hint="eastAsia" w:ascii="宋体" w:hAnsi="宋体" w:cs="宋体"/>
          <w:color w:val="auto"/>
          <w:spacing w:val="6"/>
          <w:sz w:val="20"/>
          <w:szCs w:val="20"/>
          <w:lang w:eastAsia="zh-CN"/>
        </w:rPr>
        <w:t>以正本为准，电子版二份（U盘形</w:t>
      </w:r>
    </w:p>
    <w:p w14:paraId="7C300291">
      <w:pPr>
        <w:spacing w:before="223" w:line="229" w:lineRule="auto"/>
        <w:ind w:left="1"/>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式）。</w:t>
      </w:r>
    </w:p>
    <w:p w14:paraId="109C6879">
      <w:pPr>
        <w:spacing w:before="219"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15.5 投标文件的正本必须用不退色的墨水填写或打印，注明“正本”字样。</w:t>
      </w:r>
    </w:p>
    <w:p w14:paraId="44DB24F4">
      <w:pPr>
        <w:spacing w:before="223"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15.6 投标文件不得涂改和增删，如有修改错漏处，必须由同一签署人签字或盖章。</w:t>
      </w:r>
    </w:p>
    <w:p w14:paraId="4169D12D">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15.7 投标文件因字迹潦草或表达不清所引起的后果由投标人负责。</w:t>
      </w:r>
    </w:p>
    <w:p w14:paraId="5BA26711">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15.8招标机构概不接受以电话、传真形式的投标。</w:t>
      </w:r>
    </w:p>
    <w:p w14:paraId="4D24807D">
      <w:pPr>
        <w:spacing w:before="222" w:line="228" w:lineRule="auto"/>
        <w:ind w:left="3768"/>
        <w:outlineLvl w:val="2"/>
        <w:rPr>
          <w:rFonts w:hint="eastAsia" w:ascii="宋体" w:hAnsi="宋体" w:cs="宋体"/>
          <w:color w:val="auto"/>
          <w:sz w:val="20"/>
          <w:szCs w:val="20"/>
          <w:lang w:eastAsia="zh-CN"/>
        </w:rPr>
      </w:pPr>
      <w:bookmarkStart w:id="7" w:name="_Toc32467"/>
      <w:r>
        <w:rPr>
          <w:rFonts w:hint="eastAsia" w:ascii="宋体" w:hAnsi="宋体" w:cs="宋体"/>
          <w:b/>
          <w:bCs/>
          <w:color w:val="auto"/>
          <w:spacing w:val="5"/>
          <w:sz w:val="20"/>
          <w:szCs w:val="20"/>
          <w:lang w:eastAsia="zh-CN"/>
        </w:rPr>
        <w:t>D投标文件的递交</w:t>
      </w:r>
      <w:bookmarkEnd w:id="7"/>
    </w:p>
    <w:p w14:paraId="3233389C">
      <w:pPr>
        <w:spacing w:before="221"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16.投标文件的密封和标记</w:t>
      </w:r>
    </w:p>
    <w:p w14:paraId="3F3056F6">
      <w:pPr>
        <w:spacing w:before="221" w:line="468" w:lineRule="exact"/>
        <w:ind w:left="432"/>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16.1投标人应将投标文件正本和副本分别用信封密封，并标明</w:t>
      </w:r>
      <w:r>
        <w:rPr>
          <w:rFonts w:hint="eastAsia" w:ascii="宋体" w:hAnsi="宋体" w:cs="宋体"/>
          <w:color w:val="auto"/>
          <w:spacing w:val="7"/>
          <w:position w:val="20"/>
          <w:sz w:val="20"/>
          <w:szCs w:val="20"/>
          <w:lang w:eastAsia="zh-CN"/>
        </w:rPr>
        <w:t>招标编号、投标项目名称、投标人</w:t>
      </w:r>
    </w:p>
    <w:p w14:paraId="5AC20967">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名称及正本或副本等。封口骑缝处应加盖投标人印章；投标文件电子版应单独密封。</w:t>
      </w:r>
    </w:p>
    <w:p w14:paraId="45F143B6">
      <w:pPr>
        <w:spacing w:before="222"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16.2电子版投标文件（U盘形式，电子版包括word版本和PDF版本，PDF版本须具有和纸质版本一样的签字和盖章。）。提交电子文件中要求的内容应包括纸质投标文件的全部内容。</w:t>
      </w:r>
    </w:p>
    <w:p w14:paraId="0D0EA424">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16.3每一密封信封上注明“于   年   月日时之前不准启封”的字样；</w:t>
      </w:r>
    </w:p>
    <w:p w14:paraId="22EDE463">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16.4如投标文件由专人送交，投标人应将投标文件按16.1-16.3中的规定进行密封和标记后，按</w:t>
      </w:r>
    </w:p>
    <w:p w14:paraId="22D036F7">
      <w:pPr>
        <w:spacing w:line="468" w:lineRule="exact"/>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投标邀请注明的投标地址送至招标机构；</w:t>
      </w:r>
    </w:p>
    <w:p w14:paraId="3ABAC9A6">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16.5不接受投标文件通过邮寄方式递交。</w:t>
      </w:r>
    </w:p>
    <w:p w14:paraId="3A1AC678">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16.6招标机构对投标文件的误投或未投标前提前拆封概不负责。</w:t>
      </w:r>
    </w:p>
    <w:p w14:paraId="3F5898F6">
      <w:pPr>
        <w:spacing w:before="4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17.递交投标文件的截止时间</w:t>
      </w:r>
    </w:p>
    <w:p w14:paraId="0FBB8F5E">
      <w:pPr>
        <w:spacing w:before="221" w:line="468" w:lineRule="exact"/>
        <w:ind w:right="6"/>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17.1所有投标文件不论是通过专人或邮寄递交，都必须按照招</w:t>
      </w:r>
      <w:r>
        <w:rPr>
          <w:rFonts w:hint="eastAsia" w:ascii="宋体" w:hAnsi="宋体" w:cs="宋体"/>
          <w:color w:val="auto"/>
          <w:spacing w:val="7"/>
          <w:position w:val="20"/>
          <w:sz w:val="20"/>
          <w:szCs w:val="20"/>
          <w:lang w:eastAsia="zh-CN"/>
        </w:rPr>
        <w:t>标机构在投标邀请中规定的投标截</w:t>
      </w:r>
    </w:p>
    <w:p w14:paraId="685DF85E">
      <w:pPr>
        <w:spacing w:line="228" w:lineRule="auto"/>
        <w:ind w:left="1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止时间之前送至投标地点。</w:t>
      </w:r>
    </w:p>
    <w:p w14:paraId="0A54BAD7">
      <w:pPr>
        <w:spacing w:before="220" w:line="227" w:lineRule="auto"/>
        <w:ind w:left="436"/>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17.2 招标机构推迟投标截止时间时，应以书面(或传真)的</w:t>
      </w:r>
      <w:r>
        <w:rPr>
          <w:rFonts w:hint="eastAsia" w:ascii="宋体" w:hAnsi="宋体" w:cs="宋体"/>
          <w:color w:val="auto"/>
          <w:spacing w:val="8"/>
          <w:sz w:val="20"/>
          <w:szCs w:val="20"/>
          <w:lang w:eastAsia="zh-CN"/>
        </w:rPr>
        <w:t>形式，通知所有投标人。在这种情况</w:t>
      </w:r>
    </w:p>
    <w:p w14:paraId="7C9224B8">
      <w:pPr>
        <w:spacing w:before="222" w:line="227" w:lineRule="auto"/>
        <w:ind w:left="7"/>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下，招标机构和投标人的权利和义务将受到新的截止期的约束。</w:t>
      </w:r>
    </w:p>
    <w:p w14:paraId="187A1AD3">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17.3 招标机构对投标文件在邮寄过程中的遗失或损坏不负责任。</w:t>
      </w:r>
    </w:p>
    <w:p w14:paraId="73253A37">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17.4 在投标截止时间以后送达的投标文件，招标机构拒绝接收。</w:t>
      </w:r>
    </w:p>
    <w:p w14:paraId="7BFFB3A2">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18.投标文件修改和撤消</w:t>
      </w:r>
    </w:p>
    <w:p w14:paraId="39BBE4AA">
      <w:pPr>
        <w:spacing w:before="222" w:line="468" w:lineRule="exact"/>
        <w:ind w:right="5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18.1 投标以后，如果投标人提出书面修改和撤标要求，在投标截止时间前送达</w:t>
      </w:r>
      <w:r>
        <w:rPr>
          <w:rFonts w:hint="eastAsia" w:ascii="宋体" w:hAnsi="宋体" w:cs="宋体"/>
          <w:color w:val="auto"/>
          <w:spacing w:val="8"/>
          <w:position w:val="20"/>
          <w:sz w:val="20"/>
          <w:szCs w:val="20"/>
          <w:lang w:eastAsia="zh-CN"/>
        </w:rPr>
        <w:t>招标机构者，招</w:t>
      </w:r>
    </w:p>
    <w:p w14:paraId="53B62771">
      <w:pPr>
        <w:spacing w:before="1" w:line="226" w:lineRule="auto"/>
        <w:ind w:left="7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标机构可以予以接受。但不退还投标文件。</w:t>
      </w:r>
    </w:p>
    <w:p w14:paraId="6EF4148E">
      <w:pPr>
        <w:spacing w:before="222" w:line="468" w:lineRule="exact"/>
        <w:ind w:right="5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18.2 投标人修改投标文件的书面材料，须密封送达招标机构，同时应在封套上</w:t>
      </w:r>
      <w:r>
        <w:rPr>
          <w:rFonts w:hint="eastAsia" w:ascii="宋体" w:hAnsi="宋体" w:cs="宋体"/>
          <w:color w:val="auto"/>
          <w:spacing w:val="8"/>
          <w:position w:val="20"/>
          <w:sz w:val="20"/>
          <w:szCs w:val="20"/>
          <w:lang w:eastAsia="zh-CN"/>
        </w:rPr>
        <w:t>标明“修改投标</w:t>
      </w:r>
    </w:p>
    <w:p w14:paraId="6223B9EC">
      <w:pPr>
        <w:spacing w:line="227" w:lineRule="auto"/>
        <w:ind w:left="2"/>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文件(并注明招标编号)”和“开标时启封”字样。</w:t>
      </w:r>
    </w:p>
    <w:p w14:paraId="31B00B17">
      <w:pPr>
        <w:spacing w:before="222" w:line="432" w:lineRule="auto"/>
        <w:ind w:left="3" w:right="6" w:firstLine="43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18.3 撤消投标应以书面(或传真)的形式通知招标机构。如</w:t>
      </w:r>
      <w:r>
        <w:rPr>
          <w:rFonts w:hint="eastAsia" w:ascii="宋体" w:hAnsi="宋体" w:cs="宋体"/>
          <w:color w:val="auto"/>
          <w:spacing w:val="8"/>
          <w:sz w:val="20"/>
          <w:szCs w:val="20"/>
          <w:lang w:eastAsia="zh-CN"/>
        </w:rPr>
        <w:t>采取传真形式撤回投标，随后必须补充有法人代表或授权代表签署的要求撤消投标的正式文件。撤消投标的时间以送达招标机构或邮电到</w:t>
      </w:r>
    </w:p>
    <w:p w14:paraId="581F780B">
      <w:pPr>
        <w:spacing w:line="229" w:lineRule="auto"/>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达日戳为准。</w:t>
      </w:r>
    </w:p>
    <w:p w14:paraId="482D6B3B">
      <w:pPr>
        <w:spacing w:before="220" w:line="468" w:lineRule="exact"/>
        <w:ind w:left="436"/>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18.4投标截止时间以后不得修改投标文件；</w:t>
      </w:r>
    </w:p>
    <w:p w14:paraId="22F73DB5">
      <w:pPr>
        <w:spacing w:before="1" w:line="226" w:lineRule="auto"/>
        <w:ind w:left="436"/>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18.5开标后投标人不得撤回投标。</w:t>
      </w:r>
    </w:p>
    <w:p w14:paraId="70E01915">
      <w:pPr>
        <w:spacing w:before="222" w:line="228" w:lineRule="auto"/>
        <w:ind w:left="3984"/>
        <w:outlineLvl w:val="2"/>
        <w:rPr>
          <w:rFonts w:hint="eastAsia" w:ascii="宋体" w:hAnsi="宋体" w:cs="宋体"/>
          <w:color w:val="auto"/>
          <w:sz w:val="20"/>
          <w:szCs w:val="20"/>
          <w:lang w:eastAsia="zh-CN"/>
        </w:rPr>
      </w:pPr>
      <w:bookmarkStart w:id="8" w:name="_Toc9790"/>
      <w:r>
        <w:rPr>
          <w:rFonts w:hint="eastAsia" w:ascii="宋体" w:hAnsi="宋体" w:cs="宋体"/>
          <w:b/>
          <w:bCs/>
          <w:color w:val="auto"/>
          <w:spacing w:val="4"/>
          <w:sz w:val="20"/>
          <w:szCs w:val="20"/>
          <w:lang w:eastAsia="zh-CN"/>
        </w:rPr>
        <w:t>E开标及评标</w:t>
      </w:r>
      <w:bookmarkEnd w:id="8"/>
    </w:p>
    <w:p w14:paraId="45C6DFF0">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z w:val="20"/>
          <w:szCs w:val="20"/>
          <w:lang w:eastAsia="zh-CN"/>
        </w:rPr>
        <w:t>19.开标</w:t>
      </w:r>
    </w:p>
    <w:p w14:paraId="35101650">
      <w:pPr>
        <w:spacing w:before="221" w:line="468" w:lineRule="exact"/>
        <w:ind w:right="6"/>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19.1招标代理机构将在招标文件规定的时间和地点公开开标。</w:t>
      </w:r>
      <w:r>
        <w:rPr>
          <w:rFonts w:hint="eastAsia" w:ascii="宋体" w:hAnsi="宋体" w:cs="宋体"/>
          <w:color w:val="auto"/>
          <w:spacing w:val="7"/>
          <w:position w:val="20"/>
          <w:sz w:val="20"/>
          <w:szCs w:val="20"/>
          <w:lang w:eastAsia="zh-CN"/>
        </w:rPr>
        <w:t>投标人法定代表人或其授权代理人</w:t>
      </w:r>
    </w:p>
    <w:p w14:paraId="22AF4CBC">
      <w:pPr>
        <w:spacing w:before="1" w:line="227"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应参加并签名报到以证明其出席，并携带有效身份证件以备审查。</w:t>
      </w:r>
    </w:p>
    <w:p w14:paraId="0C1AC7F7">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19.2采购代理机构按招标文件规定的时间、地点主持公开开标。开标仪式由采</w:t>
      </w:r>
      <w:r>
        <w:rPr>
          <w:rFonts w:hint="eastAsia" w:ascii="宋体" w:hAnsi="宋体" w:cs="宋体"/>
          <w:color w:val="auto"/>
          <w:spacing w:val="7"/>
          <w:position w:val="20"/>
          <w:sz w:val="20"/>
          <w:szCs w:val="20"/>
          <w:lang w:eastAsia="zh-CN"/>
        </w:rPr>
        <w:t>购代理机构主持，</w:t>
      </w:r>
    </w:p>
    <w:p w14:paraId="5969BEE3">
      <w:pPr>
        <w:spacing w:before="1"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采购人代表及有关工作人员参加。</w:t>
      </w:r>
    </w:p>
    <w:p w14:paraId="662B5790">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19.3开标时由投标人查验投标文件密封情况，确认无误后拆封唱标。</w:t>
      </w:r>
    </w:p>
    <w:p w14:paraId="1463287C">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19.4采购代理机构在开标仪式上，将公开唱出所有投标人的“开标一览表”内容及投标声明，以</w:t>
      </w:r>
    </w:p>
    <w:p w14:paraId="3BC724E2">
      <w:pPr>
        <w:spacing w:before="1"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及采购机构认为合适的其它内容并记录。</w:t>
      </w:r>
    </w:p>
    <w:p w14:paraId="6CC58557">
      <w:pPr>
        <w:spacing w:before="223" w:line="228" w:lineRule="auto"/>
        <w:ind w:left="436"/>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19.5 开标时有下列情形之一的为无效投标：</w:t>
      </w:r>
    </w:p>
    <w:p w14:paraId="6173C2F3">
      <w:pPr>
        <w:spacing w:before="220" w:line="228"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（1）投标文件在规定的投标截止时间以后送达的；</w:t>
      </w:r>
    </w:p>
    <w:p w14:paraId="60428E53">
      <w:pPr>
        <w:spacing w:before="221" w:line="468" w:lineRule="exact"/>
        <w:ind w:left="43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（2）未按招标文件规定提交投标保证金的；</w:t>
      </w:r>
    </w:p>
    <w:p w14:paraId="1C0DF561">
      <w:pPr>
        <w:spacing w:before="1"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（3）投标文件未按招标文件规定密封的；</w:t>
      </w:r>
    </w:p>
    <w:p w14:paraId="3CE4EC56">
      <w:pPr>
        <w:spacing w:line="227" w:lineRule="auto"/>
        <w:rPr>
          <w:rFonts w:hint="eastAsia" w:ascii="宋体" w:hAnsi="宋体" w:cs="宋体"/>
          <w:color w:val="auto"/>
          <w:sz w:val="20"/>
          <w:szCs w:val="20"/>
          <w:lang w:eastAsia="zh-CN"/>
        </w:rPr>
        <w:sectPr>
          <w:pgSz w:w="11906" w:h="16839"/>
          <w:pgMar w:top="1392" w:right="1356" w:bottom="0" w:left="1368" w:header="0" w:footer="737" w:gutter="0"/>
          <w:pgBorders>
            <w:top w:val="none" w:sz="0" w:space="0"/>
            <w:left w:val="none" w:sz="0" w:space="0"/>
            <w:bottom w:val="none" w:sz="0" w:space="0"/>
            <w:right w:val="none" w:sz="0" w:space="0"/>
          </w:pgBorders>
          <w:pgNumType w:fmt="decimal"/>
          <w:cols w:space="720" w:num="1"/>
        </w:sectPr>
      </w:pPr>
    </w:p>
    <w:p w14:paraId="126F371C">
      <w:pPr>
        <w:spacing w:before="41" w:line="468" w:lineRule="exact"/>
        <w:ind w:left="430"/>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（4）未提交单独密封的开标一览表或者开标一览表未按规定加盖公章和有效签署的；</w:t>
      </w:r>
    </w:p>
    <w:p w14:paraId="71A9104A">
      <w:pPr>
        <w:spacing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（5）招标文件规定开标时属于无效投标的其他情形。</w:t>
      </w:r>
    </w:p>
    <w:p w14:paraId="3194D021">
      <w:pPr>
        <w:spacing w:before="221" w:line="468" w:lineRule="exact"/>
        <w:ind w:left="435"/>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19.6 开标时有下列情形之一的，招标代理机构有权宣布本项目招标失败：</w:t>
      </w:r>
    </w:p>
    <w:p w14:paraId="3A8846C1">
      <w:pPr>
        <w:spacing w:line="226"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（1）交货时间符合招标文件要求的投标人不足三家的；</w:t>
      </w:r>
    </w:p>
    <w:p w14:paraId="40B2673B">
      <w:pPr>
        <w:spacing w:before="223" w:line="226" w:lineRule="auto"/>
        <w:ind w:left="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（2）所有投标人的报价均超过采购项目预算，采购单位不能</w:t>
      </w:r>
      <w:r>
        <w:rPr>
          <w:rFonts w:hint="eastAsia" w:ascii="宋体" w:hAnsi="宋体" w:cs="宋体"/>
          <w:color w:val="auto"/>
          <w:spacing w:val="8"/>
          <w:sz w:val="20"/>
          <w:szCs w:val="20"/>
          <w:lang w:eastAsia="zh-CN"/>
        </w:rPr>
        <w:t>支付的。</w:t>
      </w:r>
    </w:p>
    <w:p w14:paraId="296EAE4C">
      <w:pPr>
        <w:spacing w:before="222"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20.对投标文件的初审</w:t>
      </w:r>
    </w:p>
    <w:p w14:paraId="423159D8">
      <w:pPr>
        <w:spacing w:before="222" w:line="227" w:lineRule="auto"/>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20.1 采购人根据招标项目特点组建评标委员会，由采购人从专家库中抽</w:t>
      </w:r>
      <w:r>
        <w:rPr>
          <w:rFonts w:hint="eastAsia" w:ascii="宋体" w:hAnsi="宋体" w:cs="宋体"/>
          <w:color w:val="auto"/>
          <w:spacing w:val="8"/>
          <w:sz w:val="20"/>
          <w:szCs w:val="20"/>
          <w:lang w:eastAsia="zh-CN"/>
        </w:rPr>
        <w:t>取的专家组成。</w:t>
      </w:r>
    </w:p>
    <w:p w14:paraId="6CCD9C10">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5"/>
          <w:position w:val="20"/>
          <w:sz w:val="20"/>
          <w:szCs w:val="20"/>
          <w:lang w:eastAsia="zh-CN"/>
        </w:rPr>
        <w:t>评标委员会对投标文件进行初审，初审内容为投标文件是否符合招标文件的要求、内容是否完整、</w:t>
      </w:r>
    </w:p>
    <w:p w14:paraId="228CE5C8">
      <w:pPr>
        <w:spacing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价格构成有无计算错误、文件签署是否齐全及验证保证金以及投标文件是否具有实质响应性。</w:t>
      </w:r>
    </w:p>
    <w:p w14:paraId="1FA89CCE">
      <w:pPr>
        <w:spacing w:before="223" w:line="226" w:lineRule="auto"/>
        <w:ind w:left="42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20.2 初审中，对价格的计算错误按下述原则修正：</w:t>
      </w:r>
    </w:p>
    <w:p w14:paraId="06A81CE5">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（1）投标文件中开标一览表内容与投标文件中相应内容不一致的，以《开标一览表》的报价为准；</w:t>
      </w:r>
    </w:p>
    <w:p w14:paraId="238AD906">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（2）开标一览表内如果小写金额与大写金额不一致时，以大写金额为准；</w:t>
      </w:r>
    </w:p>
    <w:p w14:paraId="0901D6C4">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（3）如果总价金额与单价金额不一致，以单价金额为准。</w:t>
      </w:r>
    </w:p>
    <w:p w14:paraId="107E6F6E">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（4）除非单价有明显的小数点错位，此时应以该行标出的总额为准，并修改单价。</w:t>
      </w:r>
    </w:p>
    <w:p w14:paraId="5A5697EA">
      <w:pPr>
        <w:spacing w:before="255" w:line="468" w:lineRule="exact"/>
        <w:ind w:left="42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按上述原则调整后的价格为评标价，经投标人法定代表人或授权代理人签字确认后对投标人具有</w:t>
      </w:r>
    </w:p>
    <w:p w14:paraId="5AA389D8">
      <w:pPr>
        <w:spacing w:before="1" w:line="226" w:lineRule="auto"/>
        <w:ind w:left="7"/>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约束力。如果投标人不按照上述原则修正其投标报价及分项报价，则其投标将被拒绝。</w:t>
      </w:r>
    </w:p>
    <w:p w14:paraId="1EE7BCD7">
      <w:pPr>
        <w:spacing w:before="222" w:line="228" w:lineRule="auto"/>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20.3 与招标文件有重大偏离的投标文件将被视为具有非实质响应性的投标</w:t>
      </w:r>
      <w:r>
        <w:rPr>
          <w:rFonts w:hint="eastAsia" w:ascii="宋体" w:hAnsi="宋体" w:cs="宋体"/>
          <w:color w:val="auto"/>
          <w:spacing w:val="8"/>
          <w:sz w:val="20"/>
          <w:szCs w:val="20"/>
          <w:lang w:eastAsia="zh-CN"/>
        </w:rPr>
        <w:t>文件而被拒绝。</w:t>
      </w:r>
    </w:p>
    <w:p w14:paraId="1E8AD26E">
      <w:pPr>
        <w:spacing w:before="222" w:line="468" w:lineRule="exact"/>
        <w:ind w:left="422"/>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20.4 投标有下列情况之一者，</w:t>
      </w:r>
      <w:r>
        <w:rPr>
          <w:rFonts w:hint="eastAsia" w:ascii="宋体" w:hAnsi="宋体" w:cs="宋体"/>
          <w:b/>
          <w:bCs/>
          <w:color w:val="auto"/>
          <w:spacing w:val="8"/>
          <w:position w:val="20"/>
          <w:sz w:val="20"/>
          <w:szCs w:val="20"/>
          <w:lang w:eastAsia="zh-CN"/>
        </w:rPr>
        <w:t>将被视为非实质性响应的投标而</w:t>
      </w:r>
      <w:r>
        <w:rPr>
          <w:rFonts w:hint="eastAsia" w:ascii="宋体" w:hAnsi="宋体" w:cs="宋体"/>
          <w:b/>
          <w:bCs/>
          <w:color w:val="auto"/>
          <w:spacing w:val="7"/>
          <w:position w:val="20"/>
          <w:sz w:val="20"/>
          <w:szCs w:val="20"/>
          <w:lang w:eastAsia="zh-CN"/>
        </w:rPr>
        <w:t>被拒绝：</w:t>
      </w:r>
    </w:p>
    <w:p w14:paraId="724E4CD1">
      <w:pPr>
        <w:spacing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（1）资格条件及证明文件不符合招标文件要求的；</w:t>
      </w:r>
    </w:p>
    <w:p w14:paraId="6F841311">
      <w:pPr>
        <w:spacing w:before="220"/>
        <w:ind w:left="422"/>
        <w:rPr>
          <w:rFonts w:hint="eastAsia" w:ascii="宋体" w:hAnsi="宋体" w:cs="宋体"/>
          <w:color w:val="auto"/>
          <w:lang w:eastAsia="zh-CN"/>
        </w:rPr>
      </w:pPr>
      <w:r>
        <w:rPr>
          <w:rFonts w:hint="eastAsia" w:ascii="宋体" w:hAnsi="宋体" w:cs="宋体"/>
          <w:color w:val="auto"/>
          <w:spacing w:val="8"/>
          <w:sz w:val="20"/>
          <w:szCs w:val="20"/>
          <w:lang w:eastAsia="zh-CN"/>
        </w:rPr>
        <w:t>（2）</w:t>
      </w:r>
      <w:r>
        <w:rPr>
          <w:rFonts w:hint="eastAsia" w:ascii="宋体" w:hAnsi="宋体" w:cs="宋体"/>
          <w:color w:val="auto"/>
          <w:spacing w:val="9"/>
          <w:sz w:val="20"/>
          <w:szCs w:val="20"/>
          <w:lang w:eastAsia="zh-CN"/>
        </w:rPr>
        <w:t>投标文件无公章或无法定代表人签字，或签字人无法定代表人有效授权书的，或未按要</w:t>
      </w:r>
    </w:p>
    <w:p w14:paraId="1501B407">
      <w:pPr>
        <w:spacing w:before="2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求签字、盖公章的；</w:t>
      </w:r>
    </w:p>
    <w:p w14:paraId="2C7D47A9">
      <w:pPr>
        <w:spacing w:before="221" w:line="228"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（3）不能满足投标有效期的；</w:t>
      </w:r>
    </w:p>
    <w:p w14:paraId="702EE207">
      <w:pPr>
        <w:spacing w:before="222" w:line="468" w:lineRule="exact"/>
        <w:ind w:left="43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（4）投标明显不符合技术规格、技术标准的要求；</w:t>
      </w:r>
    </w:p>
    <w:p w14:paraId="475A0A86">
      <w:pPr>
        <w:spacing w:before="1" w:line="226"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（5）投标文件附有买方不能接受的条件；</w:t>
      </w:r>
    </w:p>
    <w:p w14:paraId="25794480">
      <w:pPr>
        <w:spacing w:before="222" w:line="226"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（6）投标报价超过采购预算的；</w:t>
      </w:r>
    </w:p>
    <w:p w14:paraId="276FF987">
      <w:pPr>
        <w:spacing w:before="223" w:line="228"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（7）未响应招标文件规定的其它实质性</w:t>
      </w:r>
      <w:r>
        <w:rPr>
          <w:rFonts w:hint="eastAsia" w:ascii="宋体" w:hAnsi="宋体" w:cs="宋体"/>
          <w:color w:val="auto"/>
          <w:spacing w:val="7"/>
          <w:sz w:val="20"/>
          <w:szCs w:val="20"/>
          <w:lang w:eastAsia="zh-CN"/>
        </w:rPr>
        <w:t>条款。</w:t>
      </w:r>
    </w:p>
    <w:p w14:paraId="61AECC56">
      <w:pPr>
        <w:spacing w:before="222"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21.投标的澄清</w:t>
      </w:r>
    </w:p>
    <w:p w14:paraId="18C1ABBA">
      <w:pPr>
        <w:spacing w:before="220"/>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21.1 招标机构有权就投标文件中含混之处向投标人提出询问或澄清要求，或要求其补充某些材</w:t>
      </w:r>
    </w:p>
    <w:p w14:paraId="3F3970F2">
      <w:pPr>
        <w:spacing w:before="2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料。投标人必须按照招标机构通知的时间、地点派技术和商务人员进行答疑和澄清。</w:t>
      </w:r>
    </w:p>
    <w:p w14:paraId="1500B029">
      <w:pPr>
        <w:spacing w:before="220" w:line="360" w:lineRule="auto"/>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21.2投标人的澄清、说明或者补正应当采用书面形式，由投标人法定代表人或其委托代理人签</w:t>
      </w:r>
    </w:p>
    <w:p w14:paraId="6066B573">
      <w:pPr>
        <w:pStyle w:val="8"/>
        <w:spacing w:line="360" w:lineRule="auto"/>
        <w:rPr>
          <w:rFonts w:hint="eastAsia" w:ascii="宋体" w:hAnsi="宋体" w:eastAsia="宋体" w:cs="宋体"/>
          <w:color w:val="auto"/>
          <w:lang w:eastAsia="zh-CN"/>
        </w:rPr>
      </w:pPr>
      <w:r>
        <w:rPr>
          <w:rFonts w:hint="eastAsia" w:ascii="宋体" w:hAnsi="宋体" w:eastAsia="宋体" w:cs="宋体"/>
          <w:color w:val="auto"/>
          <w:spacing w:val="9"/>
          <w:sz w:val="20"/>
          <w:szCs w:val="20"/>
          <w:lang w:eastAsia="zh-CN"/>
        </w:rPr>
        <w:t>字（须提交签字人身份证件并与投标文件签字一致），并不得超出投标文件的范围或者改变投标文</w:t>
      </w:r>
    </w:p>
    <w:p w14:paraId="70B42264">
      <w:pPr>
        <w:spacing w:before="220" w:line="360" w:lineRule="auto"/>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件的实质性内容。投标人拒不进行澄清、说明、补正的，或者不能在规定时间内作出书面澄清、说明、补正的，评标委员会将拒绝其投标。</w:t>
      </w:r>
    </w:p>
    <w:p w14:paraId="4B7979B0">
      <w:pPr>
        <w:spacing w:before="254"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22.评标</w:t>
      </w:r>
    </w:p>
    <w:p w14:paraId="25137500">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22.1 原则：对所有投标人的投标评估，都采用相同的程序和标准。</w:t>
      </w:r>
    </w:p>
    <w:p w14:paraId="36E66DAC">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22.2 标准：评标严格按照招标文件的要求和条件进行。 22.3本项目采用综合评分法：</w:t>
      </w:r>
    </w:p>
    <w:p w14:paraId="62C029B7">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评标委员会将按第三章规定的评审因素和标准，按评审后投标人综合得分由高到低的顺序推荐</w:t>
      </w:r>
    </w:p>
    <w:p w14:paraId="5A13DFA0">
      <w:pPr>
        <w:spacing w:before="2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中标候选人排序。</w:t>
      </w:r>
    </w:p>
    <w:p w14:paraId="028FCC5D">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23.评标过程保密</w:t>
      </w:r>
    </w:p>
    <w:p w14:paraId="37C8EE00">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23.1有关投标文件的审查、澄清、评估和比较以及有关授予合同意向的一切情况均不得透露给任一投标人或与上述评标工作无关的人员；</w:t>
      </w:r>
    </w:p>
    <w:p w14:paraId="687B7C41">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23.2在评标期间，投标人企图影响招标方的任何活动，将导致投标被拒绝，并承担相应的法律责任。</w:t>
      </w:r>
    </w:p>
    <w:p w14:paraId="366143AA">
      <w:pPr>
        <w:spacing w:before="222" w:line="228" w:lineRule="auto"/>
        <w:ind w:left="4063"/>
        <w:rPr>
          <w:rFonts w:hint="eastAsia" w:ascii="宋体" w:hAnsi="宋体" w:cs="宋体"/>
          <w:color w:val="auto"/>
          <w:sz w:val="20"/>
          <w:szCs w:val="20"/>
          <w:lang w:eastAsia="zh-CN"/>
        </w:rPr>
      </w:pPr>
      <w:r>
        <w:rPr>
          <w:rFonts w:hint="eastAsia" w:ascii="宋体" w:hAnsi="宋体" w:cs="宋体"/>
          <w:b/>
          <w:bCs/>
          <w:color w:val="auto"/>
          <w:spacing w:val="4"/>
          <w:sz w:val="20"/>
          <w:szCs w:val="20"/>
          <w:lang w:eastAsia="zh-CN"/>
        </w:rPr>
        <w:t>F确定中标</w:t>
      </w:r>
    </w:p>
    <w:p w14:paraId="08B613D2">
      <w:pPr>
        <w:spacing w:before="220"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24.最终审查</w:t>
      </w:r>
    </w:p>
    <w:p w14:paraId="7E888EBB">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24.1评标委员会按照招标文件确定的评标标准和方法，对投标文件进行评审，并提出书面评</w:t>
      </w:r>
      <w:r>
        <w:rPr>
          <w:rFonts w:hint="eastAsia" w:ascii="宋体" w:hAnsi="宋体" w:cs="宋体"/>
          <w:color w:val="auto"/>
          <w:spacing w:val="7"/>
          <w:position w:val="20"/>
          <w:sz w:val="20"/>
          <w:szCs w:val="20"/>
          <w:lang w:eastAsia="zh-CN"/>
        </w:rPr>
        <w:t>标报</w:t>
      </w:r>
    </w:p>
    <w:p w14:paraId="2A00276E">
      <w:pPr>
        <w:spacing w:line="226" w:lineRule="auto"/>
        <w:ind w:left="6"/>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告，确定中标人。最终审查的对象是招标项目的合格的投标人。</w:t>
      </w:r>
    </w:p>
    <w:p w14:paraId="2338E4E5">
      <w:pPr>
        <w:spacing w:before="223"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24.2最终审查的内容是对合格的投标人的财务状况、资格、信誉以及采购人认为有必要了解</w:t>
      </w:r>
      <w:r>
        <w:rPr>
          <w:rFonts w:hint="eastAsia" w:ascii="宋体" w:hAnsi="宋体" w:cs="宋体"/>
          <w:color w:val="auto"/>
          <w:spacing w:val="7"/>
          <w:position w:val="20"/>
          <w:sz w:val="20"/>
          <w:szCs w:val="20"/>
          <w:lang w:eastAsia="zh-CN"/>
        </w:rPr>
        <w:t>的其</w:t>
      </w:r>
    </w:p>
    <w:p w14:paraId="26061FF0">
      <w:pPr>
        <w:spacing w:before="1" w:line="227"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他问题作进一步的审查。</w:t>
      </w:r>
    </w:p>
    <w:p w14:paraId="4EDF44E2">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24.3 接受最终审查的合格的投标人，必须如实回答和受理采购人的询问或考查，并提供所需的</w:t>
      </w:r>
    </w:p>
    <w:p w14:paraId="4B02EBFB">
      <w:pPr>
        <w:spacing w:line="228"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有关资料。</w:t>
      </w:r>
    </w:p>
    <w:p w14:paraId="0B4B42C8">
      <w:pPr>
        <w:spacing w:before="221" w:line="226" w:lineRule="auto"/>
        <w:ind w:left="423"/>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24.4评标委员会从合格的投标人中评出中标人，并写</w:t>
      </w:r>
      <w:r>
        <w:rPr>
          <w:rFonts w:hint="eastAsia" w:ascii="宋体" w:hAnsi="宋体" w:cs="宋体"/>
          <w:color w:val="auto"/>
          <w:spacing w:val="8"/>
          <w:sz w:val="20"/>
          <w:szCs w:val="20"/>
          <w:lang w:eastAsia="zh-CN"/>
        </w:rPr>
        <w:t>出完整的评标报告。</w:t>
      </w:r>
    </w:p>
    <w:p w14:paraId="43AC6D0D">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25.中标通知</w:t>
      </w:r>
    </w:p>
    <w:p w14:paraId="30B20851">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25.1在投标有效期内，招标代理机构以书面形式通知所选定的中标人。通知也可以以传真的</w:t>
      </w:r>
      <w:r>
        <w:rPr>
          <w:rFonts w:hint="eastAsia" w:ascii="宋体" w:hAnsi="宋体" w:cs="宋体"/>
          <w:color w:val="auto"/>
          <w:spacing w:val="7"/>
          <w:position w:val="20"/>
          <w:sz w:val="20"/>
          <w:szCs w:val="20"/>
          <w:lang w:eastAsia="zh-CN"/>
        </w:rPr>
        <w:t>形式</w:t>
      </w:r>
    </w:p>
    <w:p w14:paraId="0F536A0D">
      <w:pPr>
        <w:spacing w:before="1" w:line="226" w:lineRule="auto"/>
        <w:ind w:left="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发出，但需要以书面形式最终确认。</w:t>
      </w:r>
    </w:p>
    <w:p w14:paraId="3AD0AB6E">
      <w:pPr>
        <w:spacing w:before="222" w:line="468" w:lineRule="exact"/>
        <w:ind w:right="1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25.2招标代理机构将自中标通知书发出之日起5个工作日内退还未中标</w:t>
      </w:r>
      <w:r>
        <w:rPr>
          <w:rFonts w:hint="eastAsia" w:ascii="宋体" w:hAnsi="宋体" w:cs="宋体"/>
          <w:color w:val="auto"/>
          <w:spacing w:val="8"/>
          <w:position w:val="20"/>
          <w:sz w:val="20"/>
          <w:szCs w:val="20"/>
          <w:lang w:eastAsia="zh-CN"/>
        </w:rPr>
        <w:t>投标人的投标保证金，自</w:t>
      </w:r>
    </w:p>
    <w:p w14:paraId="357F41A0">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政府采购合同签订之日起5个工作日内退还中标投标人的投标保证金。</w:t>
      </w:r>
    </w:p>
    <w:p w14:paraId="43AEA450">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26.签订合同</w:t>
      </w:r>
    </w:p>
    <w:p w14:paraId="7DA3962D">
      <w:pPr>
        <w:spacing w:before="220"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26.1中标通知书发出后，采购单位改变中标结果的，或者中标人放弃中标项目的，应当依法</w:t>
      </w:r>
      <w:r>
        <w:rPr>
          <w:rFonts w:hint="eastAsia" w:ascii="宋体" w:hAnsi="宋体" w:cs="宋体"/>
          <w:color w:val="auto"/>
          <w:spacing w:val="7"/>
          <w:position w:val="20"/>
          <w:sz w:val="20"/>
          <w:szCs w:val="20"/>
          <w:lang w:eastAsia="zh-CN"/>
        </w:rPr>
        <w:t>承担</w:t>
      </w:r>
    </w:p>
    <w:p w14:paraId="0B8E0987">
      <w:pPr>
        <w:spacing w:before="1" w:line="227"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法律责任。</w:t>
      </w:r>
    </w:p>
    <w:p w14:paraId="2DAC5DBF">
      <w:pPr>
        <w:spacing w:line="227" w:lineRule="auto"/>
        <w:rPr>
          <w:rFonts w:hint="eastAsia" w:ascii="宋体" w:hAnsi="宋体" w:cs="宋体"/>
          <w:color w:val="auto"/>
          <w:sz w:val="20"/>
          <w:szCs w:val="20"/>
          <w:lang w:eastAsia="zh-CN"/>
        </w:rPr>
        <w:sectPr>
          <w:pgSz w:w="11906" w:h="16839"/>
          <w:pgMar w:top="1295" w:right="1362" w:bottom="0" w:left="1367" w:header="0" w:footer="737" w:gutter="0"/>
          <w:pgBorders>
            <w:top w:val="none" w:sz="0" w:space="0"/>
            <w:left w:val="none" w:sz="0" w:space="0"/>
            <w:bottom w:val="none" w:sz="0" w:space="0"/>
            <w:right w:val="none" w:sz="0" w:space="0"/>
          </w:pgBorders>
          <w:pgNumType w:fmt="decimal"/>
          <w:cols w:space="720" w:num="1"/>
        </w:sectPr>
      </w:pPr>
    </w:p>
    <w:p w14:paraId="4998FB15">
      <w:pPr>
        <w:spacing w:before="41" w:line="432" w:lineRule="auto"/>
        <w:ind w:left="1" w:right="70" w:firstLine="421"/>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26.2中标人应按中标通知书规定的时间与采购单位签订合同。如果中标人不在规定的时间内</w:t>
      </w:r>
      <w:r>
        <w:rPr>
          <w:rFonts w:hint="eastAsia" w:ascii="宋体" w:hAnsi="宋体" w:cs="宋体"/>
          <w:color w:val="auto"/>
          <w:spacing w:val="7"/>
          <w:sz w:val="20"/>
          <w:szCs w:val="20"/>
          <w:lang w:eastAsia="zh-CN"/>
        </w:rPr>
        <w:t>签署</w:t>
      </w:r>
      <w:r>
        <w:rPr>
          <w:rFonts w:hint="eastAsia" w:ascii="宋体" w:hAnsi="宋体" w:cs="宋体"/>
          <w:color w:val="auto"/>
          <w:spacing w:val="9"/>
          <w:sz w:val="20"/>
          <w:szCs w:val="20"/>
          <w:lang w:eastAsia="zh-CN"/>
        </w:rPr>
        <w:t>合同，视为自动放弃中标资格，其提交的投标</w:t>
      </w:r>
      <w:r>
        <w:rPr>
          <w:rFonts w:hint="eastAsia" w:ascii="宋体" w:hAnsi="宋体" w:cs="宋体"/>
          <w:color w:val="auto"/>
          <w:spacing w:val="8"/>
          <w:sz w:val="20"/>
          <w:szCs w:val="20"/>
          <w:lang w:eastAsia="zh-CN"/>
        </w:rPr>
        <w:t>保证金不予退还，列入不良行为记录名单，在一至三年</w:t>
      </w:r>
      <w:r>
        <w:rPr>
          <w:rFonts w:hint="eastAsia" w:ascii="宋体" w:hAnsi="宋体" w:cs="宋体"/>
          <w:color w:val="auto"/>
          <w:spacing w:val="9"/>
          <w:sz w:val="20"/>
          <w:szCs w:val="20"/>
          <w:lang w:eastAsia="zh-CN"/>
        </w:rPr>
        <w:t>内禁止参加政府采购活动并予以公告。投标人</w:t>
      </w:r>
      <w:r>
        <w:rPr>
          <w:rFonts w:hint="eastAsia" w:ascii="宋体" w:hAnsi="宋体" w:cs="宋体"/>
          <w:color w:val="auto"/>
          <w:spacing w:val="8"/>
          <w:sz w:val="20"/>
          <w:szCs w:val="20"/>
          <w:lang w:eastAsia="zh-CN"/>
        </w:rPr>
        <w:t>在被评标委员会评定为预中标人（中标人）之后、中标</w:t>
      </w:r>
    </w:p>
    <w:p w14:paraId="7A59A2A5">
      <w:pPr>
        <w:spacing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通知书发出之前放弃中标的，按本条规定处理。</w:t>
      </w:r>
    </w:p>
    <w:p w14:paraId="04747F55">
      <w:pPr>
        <w:spacing w:before="222" w:line="226" w:lineRule="auto"/>
        <w:ind w:left="423"/>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26.3中标结果将在发布招标公告的同步网络媒介上公告，不再以书面方式通知未</w:t>
      </w:r>
      <w:r>
        <w:rPr>
          <w:rFonts w:hint="eastAsia" w:ascii="宋体" w:hAnsi="宋体" w:cs="宋体"/>
          <w:color w:val="auto"/>
          <w:spacing w:val="8"/>
          <w:sz w:val="20"/>
          <w:szCs w:val="20"/>
          <w:lang w:eastAsia="zh-CN"/>
        </w:rPr>
        <w:t>中标人。</w:t>
      </w:r>
    </w:p>
    <w:p w14:paraId="3EAAE200">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27.履约保证金</w:t>
      </w:r>
    </w:p>
    <w:p w14:paraId="53CD0314">
      <w:pPr>
        <w:spacing w:before="221" w:line="432" w:lineRule="auto"/>
        <w:ind w:left="2" w:right="70" w:firstLine="404"/>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履约保证金为中标金额的2%。中标人接到中标通知书与采购人签订协议前,向</w:t>
      </w:r>
      <w:r>
        <w:rPr>
          <w:rFonts w:hint="eastAsia" w:ascii="宋体" w:hAnsi="宋体" w:cs="宋体"/>
          <w:color w:val="auto"/>
          <w:spacing w:val="8"/>
          <w:sz w:val="20"/>
          <w:szCs w:val="20"/>
          <w:lang w:eastAsia="zh-CN"/>
        </w:rPr>
        <w:t>采购人缴纳履约保证金</w:t>
      </w:r>
      <w:r>
        <w:rPr>
          <w:rFonts w:hint="eastAsia" w:ascii="宋体" w:hAnsi="宋体" w:cs="宋体"/>
          <w:color w:val="auto"/>
          <w:spacing w:val="9"/>
          <w:sz w:val="20"/>
          <w:szCs w:val="20"/>
          <w:lang w:eastAsia="zh-CN"/>
        </w:rPr>
        <w:t>。协议履行完毕后依据采购方验收完成情</w:t>
      </w:r>
      <w:r>
        <w:rPr>
          <w:rFonts w:hint="eastAsia" w:ascii="宋体" w:hAnsi="宋体" w:cs="宋体"/>
          <w:color w:val="auto"/>
          <w:spacing w:val="8"/>
          <w:sz w:val="20"/>
          <w:szCs w:val="20"/>
          <w:lang w:eastAsia="zh-CN"/>
        </w:rPr>
        <w:t>况返还给中标人。若出现任何违约情况，履约保证金</w:t>
      </w:r>
    </w:p>
    <w:p w14:paraId="37EC63FC">
      <w:pPr>
        <w:spacing w:line="227"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全部扣收，并终止协议，造成损失的需另行支付赔偿。</w:t>
      </w:r>
    </w:p>
    <w:p w14:paraId="58945C2A">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28.保密和披露</w:t>
      </w:r>
    </w:p>
    <w:p w14:paraId="3A13DC67">
      <w:pPr>
        <w:spacing w:before="221" w:line="468" w:lineRule="exact"/>
        <w:ind w:left="423"/>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28.1招标代理机构有权将投标人提供的所有资料向其他政府部门或有关的非政府机构负责评审</w:t>
      </w:r>
    </w:p>
    <w:p w14:paraId="497A295C">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标书的人员或与评标有关的人员披露。</w:t>
      </w:r>
    </w:p>
    <w:p w14:paraId="1DAEBB67">
      <w:pPr>
        <w:spacing w:before="222" w:line="432" w:lineRule="auto"/>
        <w:ind w:firstLine="42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28.2在下列情形下：当发布中标公告和其它公告时，当</w:t>
      </w:r>
      <w:r>
        <w:rPr>
          <w:rFonts w:hint="eastAsia" w:ascii="宋体" w:hAnsi="宋体" w:cs="宋体"/>
          <w:color w:val="auto"/>
          <w:spacing w:val="7"/>
          <w:sz w:val="20"/>
          <w:szCs w:val="20"/>
          <w:lang w:eastAsia="zh-CN"/>
        </w:rPr>
        <w:t xml:space="preserve">国家机关调查、审查、审计时，以及在其 </w:t>
      </w:r>
      <w:r>
        <w:rPr>
          <w:rFonts w:hint="eastAsia" w:ascii="宋体" w:hAnsi="宋体" w:cs="宋体"/>
          <w:color w:val="auto"/>
          <w:spacing w:val="8"/>
          <w:sz w:val="20"/>
          <w:szCs w:val="20"/>
          <w:lang w:eastAsia="zh-CN"/>
        </w:rPr>
        <w:t>他符合法律规定的情形下，招标代理机构无须事先征求投标人/中</w:t>
      </w:r>
      <w:r>
        <w:rPr>
          <w:rFonts w:hint="eastAsia" w:ascii="宋体" w:hAnsi="宋体" w:cs="宋体"/>
          <w:color w:val="auto"/>
          <w:spacing w:val="7"/>
          <w:sz w:val="20"/>
          <w:szCs w:val="20"/>
          <w:lang w:eastAsia="zh-CN"/>
        </w:rPr>
        <w:t>标人同意而可以披露关于采购过程、</w:t>
      </w:r>
      <w:r>
        <w:rPr>
          <w:rFonts w:hint="eastAsia" w:ascii="宋体" w:hAnsi="宋体" w:cs="宋体"/>
          <w:color w:val="auto"/>
          <w:spacing w:val="10"/>
          <w:sz w:val="20"/>
          <w:szCs w:val="20"/>
          <w:lang w:eastAsia="zh-CN"/>
        </w:rPr>
        <w:t>投标文件、合同文本、合同签署情况的资料、投标人/中标人的名</w:t>
      </w:r>
      <w:r>
        <w:rPr>
          <w:rFonts w:hint="eastAsia" w:ascii="宋体" w:hAnsi="宋体" w:cs="宋体"/>
          <w:color w:val="auto"/>
          <w:spacing w:val="9"/>
          <w:sz w:val="20"/>
          <w:szCs w:val="20"/>
          <w:lang w:eastAsia="zh-CN"/>
        </w:rPr>
        <w:t>称及地址、采购内容的有关信息以</w:t>
      </w:r>
    </w:p>
    <w:p w14:paraId="373712BD">
      <w:pPr>
        <w:spacing w:before="1" w:line="226" w:lineRule="auto"/>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及补充条款等，并且对任何已经公布过的内容</w:t>
      </w:r>
      <w:r>
        <w:rPr>
          <w:rFonts w:hint="eastAsia" w:ascii="宋体" w:hAnsi="宋体" w:cs="宋体"/>
          <w:color w:val="auto"/>
          <w:spacing w:val="9"/>
          <w:sz w:val="20"/>
          <w:szCs w:val="20"/>
          <w:lang w:eastAsia="zh-CN"/>
        </w:rPr>
        <w:t>或与之内容相同的资料无须再承担保密责任。</w:t>
      </w:r>
    </w:p>
    <w:p w14:paraId="11D4B6D7">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29、质疑和投诉</w:t>
      </w:r>
    </w:p>
    <w:p w14:paraId="65D43532">
      <w:pPr>
        <w:spacing w:before="221" w:line="432" w:lineRule="auto"/>
        <w:ind w:right="70" w:firstLine="422"/>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29.1投标人认为招标文件、招标过程和中标结果使自己的合法权益受到损害的，应当在知道</w:t>
      </w:r>
      <w:r>
        <w:rPr>
          <w:rFonts w:hint="eastAsia" w:ascii="宋体" w:hAnsi="宋体" w:cs="宋体"/>
          <w:color w:val="auto"/>
          <w:spacing w:val="7"/>
          <w:sz w:val="20"/>
          <w:szCs w:val="20"/>
          <w:lang w:eastAsia="zh-CN"/>
        </w:rPr>
        <w:t>或者</w:t>
      </w:r>
      <w:r>
        <w:rPr>
          <w:rFonts w:hint="eastAsia" w:ascii="宋体" w:hAnsi="宋体" w:cs="宋体"/>
          <w:color w:val="auto"/>
          <w:spacing w:val="9"/>
          <w:sz w:val="20"/>
          <w:szCs w:val="20"/>
          <w:lang w:eastAsia="zh-CN"/>
        </w:rPr>
        <w:t>应知其权益受到损害之日起七个工作日内，向招</w:t>
      </w:r>
      <w:r>
        <w:rPr>
          <w:rFonts w:hint="eastAsia" w:ascii="宋体" w:hAnsi="宋体" w:cs="宋体"/>
          <w:color w:val="auto"/>
          <w:spacing w:val="8"/>
          <w:sz w:val="20"/>
          <w:szCs w:val="20"/>
          <w:lang w:eastAsia="zh-CN"/>
        </w:rPr>
        <w:t>标方提出质疑。投标人对招标代理机构的质疑答复不</w:t>
      </w:r>
      <w:r>
        <w:rPr>
          <w:rFonts w:hint="eastAsia" w:ascii="宋体" w:hAnsi="宋体" w:cs="宋体"/>
          <w:color w:val="auto"/>
          <w:spacing w:val="9"/>
          <w:sz w:val="20"/>
          <w:szCs w:val="20"/>
          <w:lang w:eastAsia="zh-CN"/>
        </w:rPr>
        <w:t>满意或者招标代理机构未在规定时间内作出答复</w:t>
      </w:r>
      <w:r>
        <w:rPr>
          <w:rFonts w:hint="eastAsia" w:ascii="宋体" w:hAnsi="宋体" w:cs="宋体"/>
          <w:color w:val="auto"/>
          <w:spacing w:val="8"/>
          <w:sz w:val="20"/>
          <w:szCs w:val="20"/>
          <w:lang w:eastAsia="zh-CN"/>
        </w:rPr>
        <w:t>的，可以在答复期满后十五个工作日内向同级采购监</w:t>
      </w:r>
    </w:p>
    <w:p w14:paraId="0BFA4AD7">
      <w:pPr>
        <w:spacing w:before="1" w:line="227" w:lineRule="auto"/>
        <w:ind w:left="5"/>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管部门投诉。</w:t>
      </w:r>
    </w:p>
    <w:p w14:paraId="0A0BC567">
      <w:pPr>
        <w:spacing w:before="221" w:line="227" w:lineRule="auto"/>
        <w:ind w:left="42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29.2质疑书、投诉书均应明确阐述招标文件、招标过程和中标结果中使自己合法权益受到损</w:t>
      </w:r>
      <w:r>
        <w:rPr>
          <w:rFonts w:hint="eastAsia" w:ascii="宋体" w:hAnsi="宋体" w:cs="宋体"/>
          <w:color w:val="auto"/>
          <w:spacing w:val="7"/>
          <w:sz w:val="20"/>
          <w:szCs w:val="20"/>
          <w:lang w:eastAsia="zh-CN"/>
        </w:rPr>
        <w:t>害的</w:t>
      </w:r>
    </w:p>
    <w:p w14:paraId="5C4AD7E3">
      <w:pPr>
        <w:spacing w:before="222" w:line="227" w:lineRule="auto"/>
        <w:ind w:left="5"/>
        <w:outlineLvl w:val="0"/>
        <w:rPr>
          <w:rFonts w:hint="eastAsia" w:ascii="宋体" w:hAnsi="宋体" w:cs="宋体"/>
          <w:color w:val="auto"/>
          <w:sz w:val="20"/>
          <w:szCs w:val="20"/>
          <w:lang w:eastAsia="zh-CN"/>
        </w:rPr>
        <w:sectPr>
          <w:pgSz w:w="11906" w:h="16839"/>
          <w:pgMar w:top="1392" w:right="1291" w:bottom="0" w:left="1368" w:header="0" w:footer="737" w:gutter="0"/>
          <w:pgBorders>
            <w:top w:val="none" w:sz="0" w:space="0"/>
            <w:left w:val="none" w:sz="0" w:space="0"/>
            <w:bottom w:val="none" w:sz="0" w:space="0"/>
            <w:right w:val="none" w:sz="0" w:space="0"/>
          </w:pgBorders>
          <w:pgNumType w:fmt="decimal"/>
          <w:cols w:space="720" w:num="1"/>
        </w:sectPr>
      </w:pPr>
      <w:bookmarkStart w:id="9" w:name="bookmark3"/>
      <w:bookmarkEnd w:id="9"/>
      <w:bookmarkStart w:id="10" w:name="_Toc27837"/>
      <w:r>
        <w:rPr>
          <w:rFonts w:hint="eastAsia" w:ascii="宋体" w:hAnsi="宋体" w:cs="宋体"/>
          <w:color w:val="auto"/>
          <w:spacing w:val="10"/>
          <w:sz w:val="20"/>
          <w:szCs w:val="20"/>
          <w:lang w:eastAsia="zh-CN"/>
        </w:rPr>
        <w:t>实质性内容，提供相关事实、依据和证据及其来源或</w:t>
      </w:r>
      <w:r>
        <w:rPr>
          <w:rFonts w:hint="eastAsia" w:ascii="宋体" w:hAnsi="宋体" w:cs="宋体"/>
          <w:color w:val="auto"/>
          <w:spacing w:val="9"/>
          <w:sz w:val="20"/>
          <w:szCs w:val="20"/>
          <w:lang w:eastAsia="zh-CN"/>
        </w:rPr>
        <w:t>线索，便于有关单位调查、答复和处理</w:t>
      </w:r>
      <w:bookmarkEnd w:id="10"/>
      <w:r>
        <w:rPr>
          <w:rFonts w:hint="eastAsia" w:ascii="宋体" w:hAnsi="宋体" w:cs="宋体"/>
          <w:color w:val="auto"/>
          <w:sz w:val="20"/>
          <w:szCs w:val="20"/>
          <w:lang w:eastAsia="zh-CN"/>
        </w:rPr>
        <w:t>。</w:t>
      </w:r>
    </w:p>
    <w:p w14:paraId="3C83D206">
      <w:pPr>
        <w:pStyle w:val="2"/>
        <w:rPr>
          <w:rFonts w:hint="eastAsia" w:ascii="宋体" w:hAnsi="宋体" w:cs="宋体"/>
          <w:color w:val="auto"/>
          <w:lang w:eastAsia="zh-CN"/>
        </w:rPr>
      </w:pPr>
      <w:bookmarkStart w:id="11" w:name="_Toc27372"/>
      <w:r>
        <w:rPr>
          <w:rFonts w:hint="eastAsia" w:ascii="宋体" w:hAnsi="宋体" w:cs="宋体"/>
          <w:color w:val="auto"/>
          <w:lang w:eastAsia="zh-CN"/>
        </w:rPr>
        <w:t>第三部分评标办法</w:t>
      </w:r>
      <w:bookmarkEnd w:id="11"/>
    </w:p>
    <w:p w14:paraId="0280E0A2">
      <w:pPr>
        <w:spacing w:before="140" w:line="468" w:lineRule="exact"/>
        <w:ind w:left="3343"/>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（本项目采用综合评分法）</w:t>
      </w:r>
    </w:p>
    <w:p w14:paraId="0260C6DD">
      <w:pPr>
        <w:spacing w:line="227" w:lineRule="auto"/>
        <w:ind w:left="417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评标办法</w:t>
      </w:r>
    </w:p>
    <w:p w14:paraId="16D999F7">
      <w:pPr>
        <w:spacing w:before="221" w:line="468" w:lineRule="exact"/>
        <w:ind w:left="42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按照国家相关部门的规定，遵循公开、公平、公正和诚实信用的原则，结合本招标项目的实际情</w:t>
      </w:r>
    </w:p>
    <w:p w14:paraId="0CA9DFD2">
      <w:pPr>
        <w:spacing w:before="1" w:line="226" w:lineRule="auto"/>
        <w:ind w:left="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况，制定本招标项目评标办法。</w:t>
      </w:r>
    </w:p>
    <w:p w14:paraId="1AED27C6">
      <w:pPr>
        <w:pStyle w:val="8"/>
        <w:spacing w:line="311" w:lineRule="auto"/>
        <w:rPr>
          <w:rFonts w:hint="eastAsia" w:ascii="宋体" w:hAnsi="宋体" w:eastAsia="宋体" w:cs="宋体"/>
          <w:color w:val="auto"/>
          <w:lang w:eastAsia="zh-CN"/>
        </w:rPr>
      </w:pPr>
    </w:p>
    <w:p w14:paraId="648213D6">
      <w:pPr>
        <w:spacing w:before="65" w:line="228" w:lineRule="auto"/>
        <w:ind w:left="3806"/>
        <w:outlineLvl w:val="1"/>
        <w:rPr>
          <w:rFonts w:hint="eastAsia" w:ascii="宋体" w:hAnsi="宋体" w:cs="宋体"/>
          <w:color w:val="auto"/>
          <w:sz w:val="20"/>
          <w:szCs w:val="20"/>
          <w:lang w:eastAsia="zh-CN"/>
        </w:rPr>
      </w:pPr>
      <w:bookmarkStart w:id="12" w:name="_Toc9098"/>
      <w:r>
        <w:rPr>
          <w:rFonts w:hint="eastAsia" w:ascii="宋体" w:hAnsi="宋体" w:cs="宋体"/>
          <w:b/>
          <w:bCs/>
          <w:color w:val="auto"/>
          <w:spacing w:val="-3"/>
          <w:sz w:val="20"/>
          <w:szCs w:val="20"/>
          <w:lang w:eastAsia="zh-CN"/>
        </w:rPr>
        <w:t>一、评标程序</w:t>
      </w:r>
      <w:bookmarkEnd w:id="12"/>
    </w:p>
    <w:p w14:paraId="19FAC3BA">
      <w:pPr>
        <w:pStyle w:val="8"/>
        <w:spacing w:line="309" w:lineRule="auto"/>
        <w:rPr>
          <w:rFonts w:hint="eastAsia" w:ascii="宋体" w:hAnsi="宋体" w:eastAsia="宋体" w:cs="宋体"/>
          <w:color w:val="auto"/>
          <w:lang w:eastAsia="zh-CN"/>
        </w:rPr>
      </w:pPr>
    </w:p>
    <w:p w14:paraId="66C0F6F1">
      <w:pPr>
        <w:spacing w:before="66" w:line="227" w:lineRule="auto"/>
        <w:ind w:left="431"/>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（一）组成评标委员会</w:t>
      </w:r>
    </w:p>
    <w:p w14:paraId="0836A66B">
      <w:pPr>
        <w:pStyle w:val="8"/>
        <w:spacing w:line="311" w:lineRule="auto"/>
        <w:rPr>
          <w:rFonts w:hint="eastAsia" w:ascii="宋体" w:hAnsi="宋体" w:eastAsia="宋体" w:cs="宋体"/>
          <w:color w:val="auto"/>
          <w:lang w:eastAsia="zh-CN"/>
        </w:rPr>
      </w:pPr>
    </w:p>
    <w:p w14:paraId="63AD23C3">
      <w:pPr>
        <w:spacing w:before="65" w:line="432" w:lineRule="auto"/>
        <w:ind w:left="5" w:right="70" w:firstLine="418"/>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按照国家有关部委及省、市的相关规定，由相</w:t>
      </w:r>
      <w:r>
        <w:rPr>
          <w:rFonts w:hint="eastAsia" w:ascii="宋体" w:hAnsi="宋体" w:cs="宋体"/>
          <w:color w:val="auto"/>
          <w:spacing w:val="10"/>
          <w:sz w:val="20"/>
          <w:szCs w:val="20"/>
          <w:lang w:eastAsia="zh-CN"/>
        </w:rPr>
        <w:t>关专业经济、技术等方面的专家共5人组成评标委员会。</w:t>
      </w:r>
      <w:r>
        <w:rPr>
          <w:rFonts w:hint="eastAsia" w:ascii="宋体" w:hAnsi="宋体" w:cs="宋体"/>
          <w:color w:val="auto"/>
          <w:spacing w:val="9"/>
          <w:sz w:val="20"/>
          <w:szCs w:val="20"/>
          <w:lang w:eastAsia="zh-CN"/>
        </w:rPr>
        <w:t>为保证评标工作的顺利进行，推荐一名评委</w:t>
      </w:r>
      <w:r>
        <w:rPr>
          <w:rFonts w:hint="eastAsia" w:ascii="宋体" w:hAnsi="宋体" w:cs="宋体"/>
          <w:color w:val="auto"/>
          <w:spacing w:val="8"/>
          <w:sz w:val="20"/>
          <w:szCs w:val="20"/>
          <w:lang w:eastAsia="zh-CN"/>
        </w:rPr>
        <w:t>担任评委会主任，负责评标全面工作。</w:t>
      </w:r>
    </w:p>
    <w:p w14:paraId="619B0C16">
      <w:pPr>
        <w:pStyle w:val="8"/>
        <w:spacing w:line="311" w:lineRule="auto"/>
        <w:rPr>
          <w:rFonts w:hint="eastAsia" w:ascii="宋体" w:hAnsi="宋体" w:eastAsia="宋体" w:cs="宋体"/>
          <w:color w:val="auto"/>
          <w:lang w:eastAsia="zh-CN"/>
        </w:rPr>
      </w:pPr>
    </w:p>
    <w:p w14:paraId="515FF90D">
      <w:pPr>
        <w:spacing w:before="66" w:line="228"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（二）评标工作</w:t>
      </w:r>
    </w:p>
    <w:p w14:paraId="0F1DF6FD">
      <w:pPr>
        <w:pStyle w:val="8"/>
        <w:spacing w:line="309" w:lineRule="auto"/>
        <w:rPr>
          <w:rFonts w:hint="eastAsia" w:ascii="宋体" w:hAnsi="宋体" w:eastAsia="宋体" w:cs="宋体"/>
          <w:color w:val="auto"/>
          <w:lang w:eastAsia="zh-CN"/>
        </w:rPr>
      </w:pPr>
    </w:p>
    <w:p w14:paraId="6077A5AD">
      <w:pPr>
        <w:spacing w:before="66" w:line="468" w:lineRule="exact"/>
        <w:ind w:left="42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评标本着客观公正、公平竞争、择优推荐、规范合法的原则进行。评标工作分为资格审查、初步</w:t>
      </w:r>
    </w:p>
    <w:p w14:paraId="7CD6F9C2">
      <w:pPr>
        <w:spacing w:line="227"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评审和详细评审三个步骤。</w:t>
      </w:r>
    </w:p>
    <w:p w14:paraId="4E3BE7D6">
      <w:pPr>
        <w:spacing w:before="222" w:line="468" w:lineRule="exact"/>
        <w:ind w:left="437"/>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1.资格审查。采购人或代理机构对各投标人的资格进行审查。资格审查合格的投标人</w:t>
      </w:r>
      <w:r>
        <w:rPr>
          <w:rFonts w:hint="eastAsia" w:ascii="宋体" w:hAnsi="宋体" w:cs="宋体"/>
          <w:color w:val="auto"/>
          <w:spacing w:val="7"/>
          <w:position w:val="20"/>
          <w:sz w:val="20"/>
          <w:szCs w:val="20"/>
          <w:lang w:eastAsia="zh-CN"/>
        </w:rPr>
        <w:t>方可进入符</w:t>
      </w:r>
    </w:p>
    <w:p w14:paraId="46651559">
      <w:pPr>
        <w:spacing w:line="228"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合性审查。</w:t>
      </w:r>
    </w:p>
    <w:p w14:paraId="7A80EB0A">
      <w:pPr>
        <w:spacing w:before="221" w:line="468" w:lineRule="exact"/>
        <w:ind w:left="42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2.符合性审查。评委会对投标人的投标文件进行符合性鉴定。符合性审查合格的投标人方可进入</w:t>
      </w:r>
    </w:p>
    <w:p w14:paraId="27119ECB">
      <w:pPr>
        <w:spacing w:line="228" w:lineRule="auto"/>
        <w:ind w:left="4"/>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详细评审。</w:t>
      </w:r>
    </w:p>
    <w:p w14:paraId="618E341D">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5"/>
          <w:position w:val="20"/>
          <w:sz w:val="20"/>
          <w:szCs w:val="20"/>
          <w:lang w:eastAsia="zh-CN"/>
        </w:rPr>
        <w:t>3.详细评审。详细评审采用综合评分法。评委依据评标办法分别对各投标人的投标文件进行评审、</w:t>
      </w:r>
    </w:p>
    <w:p w14:paraId="00A54E73">
      <w:pPr>
        <w:spacing w:line="228" w:lineRule="auto"/>
        <w:ind w:left="3"/>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赋分。</w:t>
      </w:r>
    </w:p>
    <w:p w14:paraId="37C0815D">
      <w:pPr>
        <w:pStyle w:val="8"/>
        <w:spacing w:line="310" w:lineRule="auto"/>
        <w:rPr>
          <w:rFonts w:hint="eastAsia" w:ascii="宋体" w:hAnsi="宋体" w:eastAsia="宋体" w:cs="宋体"/>
          <w:color w:val="auto"/>
          <w:lang w:eastAsia="zh-CN"/>
        </w:rPr>
      </w:pPr>
    </w:p>
    <w:p w14:paraId="6B16BAE5">
      <w:pPr>
        <w:spacing w:before="65" w:line="228"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（三）询标（必要时）</w:t>
      </w:r>
    </w:p>
    <w:p w14:paraId="06D8FC54">
      <w:pPr>
        <w:spacing w:before="66" w:line="227" w:lineRule="auto"/>
        <w:ind w:left="42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评标委员会对投标文件需要澄清的问题，采用集体询标方式进行。</w:t>
      </w:r>
    </w:p>
    <w:p w14:paraId="4C60E30B">
      <w:pPr>
        <w:pStyle w:val="8"/>
        <w:spacing w:line="311" w:lineRule="auto"/>
        <w:rPr>
          <w:rFonts w:hint="eastAsia" w:ascii="宋体" w:hAnsi="宋体" w:eastAsia="宋体" w:cs="宋体"/>
          <w:color w:val="auto"/>
          <w:lang w:eastAsia="zh-CN"/>
        </w:rPr>
      </w:pPr>
    </w:p>
    <w:p w14:paraId="2688AF5B">
      <w:pPr>
        <w:spacing w:before="65" w:line="228" w:lineRule="auto"/>
        <w:ind w:left="431"/>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（四）确定中标人</w:t>
      </w:r>
    </w:p>
    <w:p w14:paraId="4C5A3046">
      <w:pPr>
        <w:pStyle w:val="8"/>
        <w:spacing w:line="278" w:lineRule="auto"/>
        <w:rPr>
          <w:rFonts w:hint="eastAsia" w:ascii="宋体" w:hAnsi="宋体" w:eastAsia="宋体" w:cs="宋体"/>
          <w:color w:val="auto"/>
          <w:lang w:eastAsia="zh-CN"/>
        </w:rPr>
      </w:pPr>
    </w:p>
    <w:p w14:paraId="3880A4A2">
      <w:pPr>
        <w:spacing w:before="66" w:line="227" w:lineRule="auto"/>
        <w:ind w:left="57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按最终综合得分由高到低的顺序推荐中标候选</w:t>
      </w:r>
      <w:r>
        <w:rPr>
          <w:rFonts w:hint="eastAsia" w:ascii="宋体" w:hAnsi="宋体" w:cs="宋体"/>
          <w:color w:val="auto"/>
          <w:spacing w:val="8"/>
          <w:sz w:val="20"/>
          <w:szCs w:val="20"/>
          <w:lang w:eastAsia="zh-CN"/>
        </w:rPr>
        <w:t>人3家。</w:t>
      </w:r>
    </w:p>
    <w:p w14:paraId="664D15CF">
      <w:pPr>
        <w:pStyle w:val="8"/>
        <w:spacing w:line="278" w:lineRule="auto"/>
        <w:rPr>
          <w:rFonts w:hint="eastAsia" w:ascii="宋体" w:hAnsi="宋体" w:eastAsia="宋体" w:cs="宋体"/>
          <w:color w:val="auto"/>
          <w:lang w:eastAsia="zh-CN"/>
        </w:rPr>
      </w:pPr>
    </w:p>
    <w:p w14:paraId="23595124">
      <w:pPr>
        <w:spacing w:before="65" w:line="226"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（五）评标报告</w:t>
      </w:r>
    </w:p>
    <w:p w14:paraId="69348D75">
      <w:pPr>
        <w:pStyle w:val="8"/>
        <w:spacing w:line="312" w:lineRule="auto"/>
        <w:rPr>
          <w:rFonts w:hint="eastAsia" w:ascii="宋体" w:hAnsi="宋体" w:eastAsia="宋体" w:cs="宋体"/>
          <w:color w:val="auto"/>
          <w:lang w:eastAsia="zh-CN"/>
        </w:rPr>
      </w:pPr>
    </w:p>
    <w:p w14:paraId="6028124A">
      <w:pPr>
        <w:spacing w:before="65" w:line="468" w:lineRule="exact"/>
        <w:ind w:left="42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评标工作结束时，评委会将本项目综合评审结果向采购人提交书面“</w:t>
      </w:r>
      <w:r>
        <w:rPr>
          <w:rFonts w:hint="eastAsia" w:ascii="宋体" w:hAnsi="宋体" w:cs="宋体"/>
          <w:color w:val="auto"/>
          <w:spacing w:val="7"/>
          <w:position w:val="20"/>
          <w:sz w:val="20"/>
          <w:szCs w:val="20"/>
          <w:lang w:eastAsia="zh-CN"/>
        </w:rPr>
        <w:t>评标报告”，各评委对评标</w:t>
      </w:r>
    </w:p>
    <w:p w14:paraId="63E3D44C">
      <w:pPr>
        <w:spacing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报告内容讨论通过后，在“评标报告”上签字，对评标结果予以确认。</w:t>
      </w:r>
    </w:p>
    <w:p w14:paraId="5ACE6796">
      <w:pPr>
        <w:spacing w:line="226" w:lineRule="auto"/>
        <w:rPr>
          <w:rFonts w:hint="eastAsia" w:ascii="宋体" w:hAnsi="宋体" w:cs="宋体"/>
          <w:color w:val="auto"/>
          <w:sz w:val="20"/>
          <w:szCs w:val="20"/>
          <w:lang w:eastAsia="zh-CN"/>
        </w:rPr>
        <w:sectPr>
          <w:pgSz w:w="11906" w:h="16839"/>
          <w:pgMar w:top="1309" w:right="1291" w:bottom="0" w:left="1367" w:header="0" w:footer="737" w:gutter="0"/>
          <w:pgBorders>
            <w:top w:val="none" w:sz="0" w:space="0"/>
            <w:left w:val="none" w:sz="0" w:space="0"/>
            <w:bottom w:val="none" w:sz="0" w:space="0"/>
            <w:right w:val="none" w:sz="0" w:space="0"/>
          </w:pgBorders>
          <w:pgNumType w:fmt="decimal"/>
          <w:cols w:space="720" w:num="1"/>
        </w:sectPr>
      </w:pPr>
    </w:p>
    <w:p w14:paraId="3C35A32B">
      <w:pPr>
        <w:spacing w:before="65" w:line="228" w:lineRule="auto"/>
        <w:ind w:left="3804"/>
        <w:outlineLvl w:val="1"/>
        <w:rPr>
          <w:rFonts w:hint="eastAsia" w:ascii="宋体" w:hAnsi="宋体" w:cs="宋体"/>
          <w:color w:val="auto"/>
          <w:sz w:val="20"/>
          <w:szCs w:val="20"/>
          <w:lang w:eastAsia="zh-CN"/>
        </w:rPr>
      </w:pPr>
      <w:bookmarkStart w:id="13" w:name="_Toc10144"/>
      <w:bookmarkStart w:id="14" w:name="_Toc343857078"/>
      <w:bookmarkStart w:id="15" w:name="_Toc10344"/>
      <w:bookmarkStart w:id="16" w:name="_Toc350418066"/>
      <w:bookmarkStart w:id="17" w:name="_Toc297209475"/>
      <w:bookmarkStart w:id="18" w:name="_Toc298829779"/>
      <w:bookmarkStart w:id="19" w:name="_Toc298920130"/>
      <w:bookmarkStart w:id="20" w:name="_Toc298190442"/>
      <w:bookmarkStart w:id="21" w:name="_Toc299108445"/>
      <w:bookmarkStart w:id="22" w:name="_Toc384307748"/>
      <w:bookmarkStart w:id="23" w:name="_Toc298830021"/>
      <w:r>
        <w:rPr>
          <w:rFonts w:hint="eastAsia" w:ascii="宋体" w:hAnsi="宋体" w:cs="宋体"/>
          <w:b/>
          <w:bCs/>
          <w:color w:val="auto"/>
          <w:spacing w:val="-4"/>
          <w:sz w:val="20"/>
          <w:szCs w:val="20"/>
          <w:lang w:eastAsia="zh-CN"/>
        </w:rPr>
        <w:t>二、评标办法</w:t>
      </w:r>
      <w:bookmarkEnd w:id="13"/>
    </w:p>
    <w:p w14:paraId="01690264">
      <w:pPr>
        <w:spacing w:before="284" w:line="219" w:lineRule="auto"/>
        <w:ind w:left="11"/>
        <w:rPr>
          <w:rFonts w:hint="eastAsia" w:ascii="宋体" w:hAnsi="宋体" w:cs="宋体"/>
          <w:color w:val="auto"/>
          <w:sz w:val="24"/>
          <w:szCs w:val="24"/>
          <w:lang w:eastAsia="zh-CN"/>
        </w:rPr>
      </w:pPr>
      <w:r>
        <w:rPr>
          <w:rFonts w:hint="eastAsia" w:ascii="宋体" w:hAnsi="宋体" w:cs="宋体"/>
          <w:b/>
          <w:bCs/>
          <w:color w:val="auto"/>
          <w:spacing w:val="-5"/>
          <w:sz w:val="24"/>
          <w:szCs w:val="24"/>
          <w:lang w:eastAsia="zh-CN"/>
        </w:rPr>
        <w:t>（一）资格审查</w:t>
      </w:r>
    </w:p>
    <w:p w14:paraId="78734410">
      <w:pPr>
        <w:spacing w:before="105" w:line="219" w:lineRule="auto"/>
        <w:ind w:left="4001"/>
        <w:rPr>
          <w:rFonts w:hint="eastAsia" w:ascii="宋体" w:hAnsi="宋体" w:cs="宋体"/>
          <w:color w:val="auto"/>
          <w:sz w:val="24"/>
          <w:szCs w:val="24"/>
        </w:rPr>
      </w:pPr>
      <w:r>
        <w:rPr>
          <w:rFonts w:hint="eastAsia" w:ascii="宋体" w:hAnsi="宋体" w:cs="宋体"/>
          <w:b/>
          <w:bCs/>
          <w:color w:val="auto"/>
          <w:spacing w:val="-6"/>
          <w:sz w:val="24"/>
          <w:szCs w:val="24"/>
        </w:rPr>
        <w:t>资格审查表</w:t>
      </w:r>
    </w:p>
    <w:tbl>
      <w:tblPr>
        <w:tblStyle w:val="23"/>
        <w:tblW w:w="51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57"/>
        <w:gridCol w:w="5604"/>
        <w:gridCol w:w="2379"/>
      </w:tblGrid>
      <w:tr w14:paraId="06242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436" w:type="dxa"/>
            <w:noWrap w:val="0"/>
            <w:vAlign w:val="center"/>
          </w:tcPr>
          <w:p w14:paraId="12C7A901">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序号</w:t>
            </w:r>
          </w:p>
        </w:tc>
        <w:tc>
          <w:tcPr>
            <w:tcW w:w="1257" w:type="dxa"/>
            <w:noWrap w:val="0"/>
            <w:vAlign w:val="center"/>
          </w:tcPr>
          <w:p w14:paraId="08B51563">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项目内容</w:t>
            </w:r>
          </w:p>
        </w:tc>
        <w:tc>
          <w:tcPr>
            <w:tcW w:w="5604" w:type="dxa"/>
            <w:noWrap w:val="0"/>
            <w:vAlign w:val="center"/>
          </w:tcPr>
          <w:p w14:paraId="739F1EDB">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合格条件及标准</w:t>
            </w:r>
          </w:p>
        </w:tc>
        <w:tc>
          <w:tcPr>
            <w:tcW w:w="2379" w:type="dxa"/>
            <w:noWrap w:val="0"/>
            <w:vAlign w:val="center"/>
          </w:tcPr>
          <w:p w14:paraId="0D4457BE">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申请人具备的条件或说明</w:t>
            </w:r>
          </w:p>
        </w:tc>
      </w:tr>
      <w:tr w14:paraId="72669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6" w:type="dxa"/>
            <w:noWrap w:val="0"/>
            <w:vAlign w:val="center"/>
          </w:tcPr>
          <w:p w14:paraId="58C0CC5B">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1</w:t>
            </w:r>
          </w:p>
        </w:tc>
        <w:tc>
          <w:tcPr>
            <w:tcW w:w="1257" w:type="dxa"/>
            <w:noWrap w:val="0"/>
            <w:vAlign w:val="center"/>
          </w:tcPr>
          <w:p w14:paraId="36EB3449">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营业执照</w:t>
            </w:r>
          </w:p>
        </w:tc>
        <w:tc>
          <w:tcPr>
            <w:tcW w:w="5604" w:type="dxa"/>
            <w:noWrap w:val="0"/>
            <w:vAlign w:val="center"/>
          </w:tcPr>
          <w:p w14:paraId="346ABB92">
            <w:pPr>
              <w:adjustRightInd w:val="0"/>
              <w:snapToGrid w:val="0"/>
              <w:spacing w:after="0" w:line="320" w:lineRule="exac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具备有效的营业执照副本。</w:t>
            </w:r>
          </w:p>
        </w:tc>
        <w:tc>
          <w:tcPr>
            <w:tcW w:w="2379" w:type="dxa"/>
            <w:noWrap w:val="0"/>
            <w:vAlign w:val="center"/>
          </w:tcPr>
          <w:p w14:paraId="67BD0E4E">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61B3E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60685C38">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2</w:t>
            </w:r>
          </w:p>
        </w:tc>
        <w:tc>
          <w:tcPr>
            <w:tcW w:w="1257" w:type="dxa"/>
            <w:noWrap w:val="0"/>
            <w:vAlign w:val="center"/>
          </w:tcPr>
          <w:p w14:paraId="25259A20">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zh-CN" w:eastAsia="zh-CN"/>
              </w:rPr>
              <w:t>资格条件承诺函</w:t>
            </w:r>
          </w:p>
        </w:tc>
        <w:tc>
          <w:tcPr>
            <w:tcW w:w="5604" w:type="dxa"/>
            <w:noWrap w:val="0"/>
            <w:vAlign w:val="center"/>
          </w:tcPr>
          <w:p w14:paraId="67423B34">
            <w:pPr>
              <w:adjustRightInd w:val="0"/>
              <w:snapToGrid w:val="0"/>
              <w:spacing w:after="0" w:line="320" w:lineRule="exact"/>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zh-CN" w:eastAsia="zh-CN"/>
              </w:rPr>
              <w:t>根据《长财采购[2022]2066号文件关于加强政府采购信用体系建设简化供应商资格条件有关事项的通知提供资格条件承诺函，文件中附</w:t>
            </w:r>
            <w:r>
              <w:rPr>
                <w:rFonts w:hint="eastAsia" w:asciiTheme="minorEastAsia" w:hAnsiTheme="minorEastAsia" w:eastAsiaTheme="minorEastAsia" w:cstheme="minorEastAsia"/>
                <w:sz w:val="20"/>
                <w:szCs w:val="20"/>
                <w:highlight w:val="none"/>
                <w:lang w:val="zh-CN"/>
              </w:rPr>
              <w:t>复印件加盖投标单位公章；</w:t>
            </w:r>
          </w:p>
        </w:tc>
        <w:tc>
          <w:tcPr>
            <w:tcW w:w="2379" w:type="dxa"/>
            <w:noWrap w:val="0"/>
            <w:vAlign w:val="center"/>
          </w:tcPr>
          <w:p w14:paraId="311B68A0">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3EFFF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36" w:type="dxa"/>
            <w:noWrap w:val="0"/>
            <w:vAlign w:val="center"/>
          </w:tcPr>
          <w:p w14:paraId="0EDDDE5F">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257" w:type="dxa"/>
            <w:noWrap w:val="0"/>
            <w:vAlign w:val="center"/>
          </w:tcPr>
          <w:p w14:paraId="4CA948F8">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rPr>
              <w:t>法人授权委托书</w:t>
            </w:r>
          </w:p>
        </w:tc>
        <w:tc>
          <w:tcPr>
            <w:tcW w:w="5604" w:type="dxa"/>
            <w:noWrap w:val="0"/>
            <w:vAlign w:val="center"/>
          </w:tcPr>
          <w:p w14:paraId="221B2DB5">
            <w:pPr>
              <w:adjustRightInd w:val="0"/>
              <w:snapToGrid w:val="0"/>
              <w:spacing w:after="0"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rPr>
              <w:t>有法定代表人及委托代理人签字</w:t>
            </w:r>
            <w:r>
              <w:rPr>
                <w:rFonts w:hint="eastAsia" w:asciiTheme="minorEastAsia" w:hAnsiTheme="minorEastAsia" w:eastAsiaTheme="minorEastAsia" w:cstheme="minorEastAsia"/>
                <w:sz w:val="20"/>
                <w:szCs w:val="20"/>
                <w:highlight w:val="none"/>
                <w:lang w:val="en-US" w:eastAsia="zh-CN"/>
              </w:rPr>
              <w:t>并</w:t>
            </w:r>
            <w:r>
              <w:rPr>
                <w:rFonts w:hint="eastAsia" w:asciiTheme="minorEastAsia" w:hAnsiTheme="minorEastAsia" w:eastAsiaTheme="minorEastAsia" w:cstheme="minorEastAsia"/>
                <w:sz w:val="20"/>
                <w:szCs w:val="20"/>
                <w:highlight w:val="none"/>
              </w:rPr>
              <w:t>加盖公章(法人参加投标无需提供)</w:t>
            </w:r>
          </w:p>
        </w:tc>
        <w:tc>
          <w:tcPr>
            <w:tcW w:w="2379" w:type="dxa"/>
            <w:noWrap w:val="0"/>
            <w:vAlign w:val="center"/>
          </w:tcPr>
          <w:p w14:paraId="3DA4161B">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0C558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5B95E9DE">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4</w:t>
            </w:r>
          </w:p>
        </w:tc>
        <w:tc>
          <w:tcPr>
            <w:tcW w:w="1257" w:type="dxa"/>
            <w:noWrap w:val="0"/>
            <w:vAlign w:val="center"/>
          </w:tcPr>
          <w:p w14:paraId="6AF9D894">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rPr>
              <w:t>信用记录</w:t>
            </w:r>
          </w:p>
        </w:tc>
        <w:tc>
          <w:tcPr>
            <w:tcW w:w="5604" w:type="dxa"/>
            <w:noWrap w:val="0"/>
            <w:vAlign w:val="center"/>
          </w:tcPr>
          <w:p w14:paraId="35A32046">
            <w:pPr>
              <w:wordWrap w:val="0"/>
              <w:adjustRightInd w:val="0"/>
              <w:snapToGrid w:val="0"/>
              <w:spacing w:after="0" w:line="320" w:lineRule="exact"/>
              <w:ind w:left="105" w:leftChars="50" w:right="105" w:rightChars="50"/>
              <w:contextualSpacing/>
              <w:jc w:val="both"/>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（1）拒绝列入政府取消投标资格记录期间的企业或个人投标。</w:t>
            </w:r>
          </w:p>
          <w:p w14:paraId="23F83A1C">
            <w:pPr>
              <w:wordWrap w:val="0"/>
              <w:adjustRightInd w:val="0"/>
              <w:snapToGrid w:val="0"/>
              <w:spacing w:after="0" w:line="320" w:lineRule="exact"/>
              <w:ind w:left="105" w:leftChars="50" w:right="105" w:rightChars="50"/>
              <w:contextualSpacing/>
              <w:jc w:val="both"/>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7F8176FE">
            <w:pPr>
              <w:adjustRightInd w:val="0"/>
              <w:snapToGrid w:val="0"/>
              <w:spacing w:after="0"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eastAsia="zh-CN"/>
              </w:rPr>
              <w:t>提供承诺书，格式自拟。</w:t>
            </w:r>
          </w:p>
        </w:tc>
        <w:tc>
          <w:tcPr>
            <w:tcW w:w="2379" w:type="dxa"/>
            <w:noWrap w:val="0"/>
            <w:vAlign w:val="center"/>
          </w:tcPr>
          <w:p w14:paraId="7B1C7D4E">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响应文件内附加盖公章的承诺书。</w:t>
            </w:r>
          </w:p>
        </w:tc>
      </w:tr>
      <w:tr w14:paraId="0B6F6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1813C4BD">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5</w:t>
            </w:r>
          </w:p>
        </w:tc>
        <w:tc>
          <w:tcPr>
            <w:tcW w:w="1257" w:type="dxa"/>
            <w:noWrap w:val="0"/>
            <w:vAlign w:val="center"/>
          </w:tcPr>
          <w:p w14:paraId="57700893">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eastAsia="zh-CN"/>
              </w:rPr>
              <w:t>其他要求</w:t>
            </w:r>
          </w:p>
        </w:tc>
        <w:tc>
          <w:tcPr>
            <w:tcW w:w="5604" w:type="dxa"/>
            <w:noWrap w:val="0"/>
            <w:vAlign w:val="center"/>
          </w:tcPr>
          <w:p w14:paraId="042D9FB1">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1.单位负责人为同一人或者存在直接控股、管理关系的不同供应商，不得参加同一合同项下的政府采购活动。</w:t>
            </w:r>
          </w:p>
          <w:p w14:paraId="217C3B45">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2.供应商须具有履行合同所必需的设备和专业技术能力。</w:t>
            </w:r>
          </w:p>
          <w:p w14:paraId="7F8332B6">
            <w:pPr>
              <w:spacing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lang w:val="zh-CN" w:eastAsia="zh-CN"/>
              </w:rPr>
              <w:t>提供承诺书，格式自拟。</w:t>
            </w:r>
          </w:p>
        </w:tc>
        <w:tc>
          <w:tcPr>
            <w:tcW w:w="2379" w:type="dxa"/>
            <w:noWrap w:val="0"/>
            <w:vAlign w:val="center"/>
          </w:tcPr>
          <w:p w14:paraId="5D9DA671">
            <w:pPr>
              <w:spacing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lang w:val="zh-CN" w:eastAsia="zh-CN"/>
              </w:rPr>
              <w:t>响应文件内提供加盖公章的承诺书。</w:t>
            </w:r>
          </w:p>
        </w:tc>
      </w:tr>
      <w:tr w14:paraId="20C3E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36" w:type="dxa"/>
            <w:vMerge w:val="restart"/>
            <w:noWrap w:val="0"/>
            <w:vAlign w:val="center"/>
          </w:tcPr>
          <w:p w14:paraId="128B6C23">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6</w:t>
            </w:r>
          </w:p>
          <w:p w14:paraId="0C6CB35E">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restart"/>
            <w:noWrap w:val="0"/>
            <w:vAlign w:val="center"/>
          </w:tcPr>
          <w:p w14:paraId="2D4EB98C">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基本资质</w:t>
            </w:r>
          </w:p>
        </w:tc>
        <w:tc>
          <w:tcPr>
            <w:tcW w:w="5604" w:type="dxa"/>
            <w:noWrap w:val="0"/>
            <w:vAlign w:val="center"/>
          </w:tcPr>
          <w:p w14:paraId="11CA51D4">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具有独立承担民事责任的能力，提供供应商信用承诺书。以上证明材料须符合要求、有效、完整。否则，响应无效。</w:t>
            </w:r>
          </w:p>
        </w:tc>
        <w:tc>
          <w:tcPr>
            <w:tcW w:w="2379" w:type="dxa"/>
            <w:noWrap w:val="0"/>
            <w:vAlign w:val="center"/>
          </w:tcPr>
          <w:p w14:paraId="6228AD33">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具有独立承担民事责任的能力，提供供应商信用承诺书。以上证明材料须符合要求、有效、完整。否则，响应无效。</w:t>
            </w:r>
          </w:p>
        </w:tc>
      </w:tr>
      <w:tr w14:paraId="1D2AB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31EB272C">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2B0027DA">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79CA515D">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具有良好的商业信誉和健全的财务会计制度，提供供应商信用承诺书。以上证明材料须符合要求、有效、完整。否则，响应无效。</w:t>
            </w:r>
          </w:p>
        </w:tc>
        <w:tc>
          <w:tcPr>
            <w:tcW w:w="2379" w:type="dxa"/>
            <w:noWrap w:val="0"/>
            <w:vAlign w:val="center"/>
          </w:tcPr>
          <w:p w14:paraId="44AEEF3F">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具有良好的商业信誉和健全的财务会计制度，提供供应商信用承诺书。以上证明材料须符合要求、有效、完整。否则，响应无效。</w:t>
            </w:r>
          </w:p>
        </w:tc>
      </w:tr>
      <w:tr w14:paraId="78CEE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vMerge w:val="continue"/>
            <w:noWrap w:val="0"/>
            <w:vAlign w:val="center"/>
          </w:tcPr>
          <w:p w14:paraId="2B486C85">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0C2D5D3E">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26598444">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具有履行合同所必需的设备和专业技术能力，提供供应商信用承诺书。以上证明材料须符合要求、有效、完整。否则，响应无效。</w:t>
            </w:r>
          </w:p>
        </w:tc>
        <w:tc>
          <w:tcPr>
            <w:tcW w:w="2379" w:type="dxa"/>
            <w:noWrap w:val="0"/>
            <w:vAlign w:val="center"/>
          </w:tcPr>
          <w:p w14:paraId="2B6256DE">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具有履行合同所必需的设备和专业技术能力，提供供应商信用承诺书。以上证明材料须符合要求、有效、完整。否则，响应无效。</w:t>
            </w:r>
          </w:p>
        </w:tc>
      </w:tr>
      <w:tr w14:paraId="186CA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06565F29">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190EF667">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2A35616C">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有依法缴纳税收和社会保障资金的良好记录，提供供应商信用承诺书。以上证明材料须符合要求、有效、完整。否则，响应无效。</w:t>
            </w:r>
          </w:p>
        </w:tc>
        <w:tc>
          <w:tcPr>
            <w:tcW w:w="2379" w:type="dxa"/>
            <w:noWrap w:val="0"/>
            <w:vAlign w:val="center"/>
          </w:tcPr>
          <w:p w14:paraId="1FD97041">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有依法缴纳税收和社会保障资金的良好记录，提供供应商信用承诺书。以上证明材料须符合要求、有效、完整。否则，响应无效。</w:t>
            </w:r>
          </w:p>
        </w:tc>
      </w:tr>
      <w:tr w14:paraId="79EBB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7C2C916F">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5CEFA7F7">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59B6990B">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参加政府采购活动前三年内，在经营活动中没有重大违法记录，提供供应商信用承诺书。以上证明材料须符合要求、有效、完整。否则，响应无效。</w:t>
            </w:r>
          </w:p>
        </w:tc>
        <w:tc>
          <w:tcPr>
            <w:tcW w:w="2379" w:type="dxa"/>
            <w:noWrap w:val="0"/>
            <w:vAlign w:val="center"/>
          </w:tcPr>
          <w:p w14:paraId="4A444B71">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参加政府采购活动前三年内，在经营活动中没有重大违法记录，提供供应商信用承诺书。以上证明材料须符合要求、有效、完整。否则，响应无效。</w:t>
            </w:r>
          </w:p>
        </w:tc>
      </w:tr>
      <w:tr w14:paraId="4B0E2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93" w:type="dxa"/>
            <w:gridSpan w:val="2"/>
            <w:noWrap w:val="0"/>
            <w:vAlign w:val="center"/>
          </w:tcPr>
          <w:p w14:paraId="6B646FD9">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备注</w:t>
            </w:r>
          </w:p>
        </w:tc>
        <w:tc>
          <w:tcPr>
            <w:tcW w:w="7983" w:type="dxa"/>
            <w:gridSpan w:val="2"/>
            <w:noWrap w:val="0"/>
            <w:vAlign w:val="center"/>
          </w:tcPr>
          <w:p w14:paraId="6EAE2F02">
            <w:pPr>
              <w:adjustRightInd w:val="0"/>
              <w:snapToGrid w:val="0"/>
              <w:spacing w:after="0" w:line="320" w:lineRule="exact"/>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上述内容有一项不合格，即为资格性检查不合格。不进入下一阶段评审。</w:t>
            </w:r>
          </w:p>
        </w:tc>
      </w:tr>
    </w:tbl>
    <w:p w14:paraId="471594AA">
      <w:pPr>
        <w:spacing w:before="65" w:line="228" w:lineRule="auto"/>
        <w:ind w:left="419"/>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注</w:t>
      </w:r>
      <w:r>
        <w:rPr>
          <w:rFonts w:hint="eastAsia" w:ascii="宋体" w:hAnsi="宋体" w:cs="宋体"/>
          <w:color w:val="auto"/>
          <w:spacing w:val="-2"/>
          <w:sz w:val="20"/>
          <w:szCs w:val="20"/>
          <w:lang w:eastAsia="zh-CN"/>
        </w:rPr>
        <w:t>：（</w:t>
      </w:r>
      <w:r>
        <w:rPr>
          <w:rFonts w:hint="eastAsia" w:ascii="宋体" w:hAnsi="宋体" w:cs="宋体"/>
          <w:color w:val="auto"/>
          <w:spacing w:val="10"/>
          <w:sz w:val="20"/>
          <w:szCs w:val="20"/>
          <w:lang w:eastAsia="zh-CN"/>
        </w:rPr>
        <w:t>1）上述内容中有一项不合格，则资格审查不合格，不进入符合性审查、详细评审；</w:t>
      </w:r>
    </w:p>
    <w:p w14:paraId="649C31ED">
      <w:pPr>
        <w:spacing w:before="53"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w:t>
      </w:r>
      <w:r>
        <w:rPr>
          <w:rFonts w:hint="eastAsia" w:ascii="宋体" w:hAnsi="宋体" w:cs="宋体"/>
          <w:color w:val="auto"/>
          <w:spacing w:val="8"/>
          <w:sz w:val="20"/>
          <w:szCs w:val="20"/>
          <w:lang w:eastAsia="zh-CN"/>
        </w:rPr>
        <w:t>资格审查结束后，合格的投标人进入符合性审查。</w:t>
      </w:r>
    </w:p>
    <w:p w14:paraId="01CAC1BB">
      <w:pPr>
        <w:spacing w:line="227" w:lineRule="auto"/>
        <w:rPr>
          <w:rFonts w:hint="eastAsia" w:ascii="宋体" w:hAnsi="宋体" w:cs="宋体"/>
          <w:color w:val="auto"/>
          <w:sz w:val="20"/>
          <w:szCs w:val="20"/>
          <w:lang w:eastAsia="zh-CN"/>
        </w:rPr>
      </w:pPr>
    </w:p>
    <w:p w14:paraId="7616BCD6">
      <w:pPr>
        <w:pStyle w:val="29"/>
        <w:numPr>
          <w:ilvl w:val="0"/>
          <w:numId w:val="0"/>
        </w:numPr>
        <w:ind w:left="540"/>
        <w:rPr>
          <w:color w:val="auto"/>
          <w:lang w:eastAsia="zh-CN"/>
        </w:rPr>
        <w:sectPr>
          <w:pgSz w:w="11906" w:h="16839"/>
          <w:pgMar w:top="1431" w:right="1410" w:bottom="0" w:left="1369" w:header="0" w:footer="0" w:gutter="0"/>
          <w:pgBorders>
            <w:top w:val="none" w:sz="0" w:space="0"/>
            <w:left w:val="none" w:sz="0" w:space="0"/>
            <w:bottom w:val="none" w:sz="0" w:space="0"/>
            <w:right w:val="none" w:sz="0" w:space="0"/>
          </w:pgBorders>
          <w:pgNumType w:fmt="decimal"/>
          <w:cols w:space="720" w:num="1"/>
        </w:sectPr>
      </w:pPr>
    </w:p>
    <w:p w14:paraId="12FB7430">
      <w:pPr>
        <w:spacing w:before="48" w:line="219" w:lineRule="auto"/>
        <w:ind w:left="23"/>
        <w:rPr>
          <w:rFonts w:hint="eastAsia" w:ascii="宋体" w:hAnsi="宋体" w:cs="宋体"/>
          <w:color w:val="auto"/>
          <w:sz w:val="24"/>
          <w:szCs w:val="24"/>
          <w:lang w:eastAsia="zh-CN"/>
        </w:rPr>
      </w:pPr>
      <w:r>
        <w:rPr>
          <w:rFonts w:hint="eastAsia" w:ascii="宋体" w:hAnsi="宋体" w:cs="宋体"/>
          <w:b/>
          <w:bCs/>
          <w:color w:val="auto"/>
          <w:spacing w:val="-5"/>
          <w:sz w:val="24"/>
          <w:szCs w:val="24"/>
          <w:lang w:eastAsia="zh-CN"/>
        </w:rPr>
        <w:t>（二）符合性审查表</w:t>
      </w:r>
    </w:p>
    <w:bookmarkEnd w:id="14"/>
    <w:bookmarkEnd w:id="15"/>
    <w:bookmarkEnd w:id="16"/>
    <w:bookmarkEnd w:id="17"/>
    <w:bookmarkEnd w:id="18"/>
    <w:bookmarkEnd w:id="19"/>
    <w:bookmarkEnd w:id="20"/>
    <w:bookmarkEnd w:id="21"/>
    <w:bookmarkEnd w:id="22"/>
    <w:bookmarkEnd w:id="23"/>
    <w:p w14:paraId="5F167F28">
      <w:pPr>
        <w:spacing w:line="360" w:lineRule="exact"/>
        <w:rPr>
          <w:rFonts w:hint="eastAsia" w:ascii="宋体" w:hAnsi="宋体" w:cs="宋体"/>
          <w:color w:val="auto"/>
          <w:sz w:val="24"/>
          <w:szCs w:val="24"/>
        </w:rPr>
      </w:pPr>
    </w:p>
    <w:tbl>
      <w:tblPr>
        <w:tblStyle w:val="23"/>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67FD8C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6113BA9B">
            <w:pPr>
              <w:kinsoku/>
              <w:snapToGrid/>
              <w:spacing w:line="0" w:lineRule="atLeast"/>
              <w:jc w:val="center"/>
              <w:textAlignment w:val="auto"/>
              <w:rPr>
                <w:rFonts w:hint="eastAsia" w:ascii="宋体" w:hAnsi="宋体" w:cs="宋体"/>
                <w:b/>
                <w:color w:val="auto"/>
                <w:sz w:val="20"/>
                <w:szCs w:val="20"/>
              </w:rPr>
            </w:pPr>
            <w:r>
              <w:rPr>
                <w:rFonts w:hint="eastAsia" w:ascii="宋体" w:hAnsi="宋体" w:cs="宋体"/>
                <w:b/>
                <w:color w:val="auto"/>
                <w:sz w:val="20"/>
                <w:szCs w:val="20"/>
              </w:rPr>
              <w:t>评 审 因 素</w:t>
            </w:r>
          </w:p>
        </w:tc>
        <w:tc>
          <w:tcPr>
            <w:tcW w:w="6680" w:type="dxa"/>
            <w:vAlign w:val="center"/>
          </w:tcPr>
          <w:p w14:paraId="5757D3EA">
            <w:pPr>
              <w:kinsoku/>
              <w:snapToGrid/>
              <w:spacing w:line="0" w:lineRule="atLeast"/>
              <w:jc w:val="center"/>
              <w:textAlignment w:val="auto"/>
              <w:rPr>
                <w:rFonts w:hint="eastAsia" w:ascii="宋体" w:hAnsi="宋体" w:cs="宋体"/>
                <w:b/>
                <w:color w:val="auto"/>
                <w:sz w:val="20"/>
                <w:szCs w:val="20"/>
              </w:rPr>
            </w:pPr>
            <w:r>
              <w:rPr>
                <w:rFonts w:hint="eastAsia" w:ascii="宋体" w:hAnsi="宋体" w:cs="宋体"/>
                <w:b/>
                <w:color w:val="auto"/>
                <w:sz w:val="20"/>
                <w:szCs w:val="20"/>
              </w:rPr>
              <w:t>评 审 标 准</w:t>
            </w:r>
          </w:p>
        </w:tc>
      </w:tr>
      <w:tr w14:paraId="3F141E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26475ACB">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投标人名称</w:t>
            </w:r>
          </w:p>
        </w:tc>
        <w:tc>
          <w:tcPr>
            <w:tcW w:w="6680" w:type="dxa"/>
            <w:vAlign w:val="center"/>
          </w:tcPr>
          <w:p w14:paraId="2C7C89FB">
            <w:pPr>
              <w:kinsoku/>
              <w:snapToGrid/>
              <w:spacing w:line="0" w:lineRule="atLeast"/>
              <w:textAlignment w:val="auto"/>
              <w:rPr>
                <w:rFonts w:hint="eastAsia" w:ascii="宋体" w:hAnsi="宋体" w:cs="宋体"/>
                <w:b/>
                <w:bCs/>
                <w:color w:val="auto"/>
                <w:sz w:val="20"/>
                <w:szCs w:val="20"/>
                <w:lang w:val="zh-CN"/>
              </w:rPr>
            </w:pPr>
            <w:r>
              <w:rPr>
                <w:rFonts w:hint="eastAsia" w:ascii="宋体" w:hAnsi="宋体" w:cs="宋体"/>
                <w:color w:val="auto"/>
                <w:sz w:val="20"/>
                <w:szCs w:val="20"/>
              </w:rPr>
              <w:t>与营业执照一致。</w:t>
            </w:r>
          </w:p>
        </w:tc>
      </w:tr>
      <w:tr w14:paraId="1C4F5D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2EFE8DC">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w:t>
            </w:r>
            <w:r>
              <w:rPr>
                <w:rFonts w:hint="eastAsia" w:ascii="宋体" w:hAnsi="宋体" w:cs="宋体"/>
                <w:color w:val="auto"/>
                <w:sz w:val="20"/>
                <w:szCs w:val="20"/>
                <w:lang w:eastAsia="zh-CN"/>
              </w:rPr>
              <w:t>文件函</w:t>
            </w:r>
            <w:r>
              <w:rPr>
                <w:rFonts w:hint="eastAsia" w:ascii="宋体" w:hAnsi="宋体" w:cs="宋体"/>
                <w:color w:val="auto"/>
                <w:sz w:val="20"/>
                <w:szCs w:val="20"/>
              </w:rPr>
              <w:t>签字盖章</w:t>
            </w:r>
          </w:p>
        </w:tc>
        <w:tc>
          <w:tcPr>
            <w:tcW w:w="6680" w:type="dxa"/>
            <w:vAlign w:val="center"/>
          </w:tcPr>
          <w:p w14:paraId="2B4CADD2">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有投标单位公章并经法定代表人签字。</w:t>
            </w:r>
          </w:p>
        </w:tc>
      </w:tr>
      <w:tr w14:paraId="73F77B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7A113BAC">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投标文件格式</w:t>
            </w:r>
          </w:p>
        </w:tc>
        <w:tc>
          <w:tcPr>
            <w:tcW w:w="6680" w:type="dxa"/>
            <w:vAlign w:val="center"/>
          </w:tcPr>
          <w:p w14:paraId="4F919169">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符合第六章“投标文件格式”的要求，按招标文件的要求盖章、签署。</w:t>
            </w:r>
          </w:p>
        </w:tc>
      </w:tr>
      <w:tr w14:paraId="12BF3A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5EE03BF7">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报价唯一</w:t>
            </w:r>
          </w:p>
        </w:tc>
        <w:tc>
          <w:tcPr>
            <w:tcW w:w="6680" w:type="dxa"/>
            <w:vAlign w:val="center"/>
          </w:tcPr>
          <w:p w14:paraId="5539C3FB">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只能有一个有效报价。</w:t>
            </w:r>
          </w:p>
        </w:tc>
      </w:tr>
      <w:tr w14:paraId="0C6F48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05AC04AC">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投标内容</w:t>
            </w:r>
          </w:p>
        </w:tc>
        <w:tc>
          <w:tcPr>
            <w:tcW w:w="6680" w:type="dxa"/>
            <w:vAlign w:val="center"/>
          </w:tcPr>
          <w:p w14:paraId="2F0C06B5">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供应商须如实根据所投产品信息，对招标文件要求的“商务条款偏离表”和“技术规格偏离表”进行逐条说明响应和偏离情况。</w:t>
            </w:r>
          </w:p>
        </w:tc>
      </w:tr>
      <w:tr w14:paraId="512378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960" w:type="dxa"/>
            <w:vAlign w:val="center"/>
          </w:tcPr>
          <w:p w14:paraId="4CD2F5E9">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供货期</w:t>
            </w:r>
          </w:p>
        </w:tc>
        <w:tc>
          <w:tcPr>
            <w:tcW w:w="6680" w:type="dxa"/>
            <w:vAlign w:val="center"/>
          </w:tcPr>
          <w:p w14:paraId="452664A5">
            <w:pPr>
              <w:kinsoku/>
              <w:snapToGrid/>
              <w:spacing w:line="0" w:lineRule="atLeast"/>
              <w:jc w:val="both"/>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采购合同签订之日起90天内。</w:t>
            </w:r>
          </w:p>
        </w:tc>
      </w:tr>
      <w:tr w14:paraId="7540B4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31C8BF8D">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质量标准</w:t>
            </w:r>
          </w:p>
        </w:tc>
        <w:tc>
          <w:tcPr>
            <w:tcW w:w="6680" w:type="dxa"/>
            <w:vAlign w:val="center"/>
          </w:tcPr>
          <w:p w14:paraId="5FDE45C9">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符合国家及行业相关合格标准。</w:t>
            </w:r>
          </w:p>
        </w:tc>
      </w:tr>
      <w:tr w14:paraId="38C69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42E772D9">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投标有效期</w:t>
            </w:r>
          </w:p>
        </w:tc>
        <w:tc>
          <w:tcPr>
            <w:tcW w:w="6680" w:type="dxa"/>
            <w:vAlign w:val="center"/>
          </w:tcPr>
          <w:p w14:paraId="33F04977">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90日历天（从投标截止之日算起）。</w:t>
            </w:r>
          </w:p>
        </w:tc>
      </w:tr>
      <w:tr w14:paraId="5AE4E7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5878C4E1">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投标报价</w:t>
            </w:r>
          </w:p>
        </w:tc>
        <w:tc>
          <w:tcPr>
            <w:tcW w:w="6680" w:type="dxa"/>
            <w:vAlign w:val="center"/>
          </w:tcPr>
          <w:p w14:paraId="2085F993">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不超过采购预算（最高限价）</w:t>
            </w:r>
            <w:r>
              <w:rPr>
                <w:rFonts w:hint="eastAsia" w:ascii="宋体" w:hAnsi="宋体" w:cs="宋体"/>
                <w:color w:val="auto"/>
                <w:spacing w:val="6"/>
                <w:sz w:val="20"/>
                <w:szCs w:val="20"/>
                <w:lang w:eastAsia="zh-CN"/>
              </w:rPr>
              <w:t>2529000.00元</w:t>
            </w:r>
            <w:r>
              <w:rPr>
                <w:rFonts w:hint="eastAsia" w:ascii="宋体" w:hAnsi="宋体" w:cs="宋体"/>
                <w:color w:val="auto"/>
                <w:sz w:val="20"/>
                <w:szCs w:val="20"/>
                <w:lang w:eastAsia="zh-CN"/>
              </w:rPr>
              <w:t>，超过采购预算（最高限价）的投标报价，其投标将被否决。</w:t>
            </w:r>
          </w:p>
        </w:tc>
      </w:tr>
    </w:tbl>
    <w:p w14:paraId="5A29870C">
      <w:pPr>
        <w:spacing w:before="65" w:line="228" w:lineRule="auto"/>
        <w:ind w:left="419"/>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注</w:t>
      </w:r>
      <w:r>
        <w:rPr>
          <w:rFonts w:hint="eastAsia" w:ascii="宋体" w:hAnsi="宋体" w:cs="宋体"/>
          <w:color w:val="auto"/>
          <w:spacing w:val="-2"/>
          <w:sz w:val="20"/>
          <w:szCs w:val="20"/>
          <w:lang w:eastAsia="zh-CN"/>
        </w:rPr>
        <w:t>：（</w:t>
      </w:r>
      <w:r>
        <w:rPr>
          <w:rFonts w:hint="eastAsia" w:ascii="宋体" w:hAnsi="宋体" w:cs="宋体"/>
          <w:color w:val="auto"/>
          <w:spacing w:val="10"/>
          <w:sz w:val="20"/>
          <w:szCs w:val="20"/>
          <w:lang w:eastAsia="zh-CN"/>
        </w:rPr>
        <w:t>1）上述内容中有一项不合格，则符合性审查不合格，不进入详细评审；</w:t>
      </w:r>
    </w:p>
    <w:p w14:paraId="46FAAB40">
      <w:pPr>
        <w:spacing w:before="53"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w:t>
      </w:r>
      <w:r>
        <w:rPr>
          <w:rFonts w:hint="eastAsia" w:ascii="宋体" w:hAnsi="宋体" w:cs="宋体"/>
          <w:color w:val="auto"/>
          <w:spacing w:val="10"/>
          <w:sz w:val="20"/>
          <w:szCs w:val="20"/>
          <w:lang w:eastAsia="zh-CN"/>
        </w:rPr>
        <w:t>符合性审查</w:t>
      </w:r>
      <w:r>
        <w:rPr>
          <w:rFonts w:hint="eastAsia" w:ascii="宋体" w:hAnsi="宋体" w:cs="宋体"/>
          <w:color w:val="auto"/>
          <w:spacing w:val="8"/>
          <w:sz w:val="20"/>
          <w:szCs w:val="20"/>
          <w:lang w:eastAsia="zh-CN"/>
        </w:rPr>
        <w:t>结束后，合格的投标人进入</w:t>
      </w:r>
      <w:r>
        <w:rPr>
          <w:rFonts w:hint="eastAsia" w:ascii="宋体" w:hAnsi="宋体" w:cs="宋体"/>
          <w:color w:val="auto"/>
          <w:spacing w:val="10"/>
          <w:sz w:val="20"/>
          <w:szCs w:val="20"/>
          <w:lang w:eastAsia="zh-CN"/>
        </w:rPr>
        <w:t>详细评审</w:t>
      </w:r>
      <w:r>
        <w:rPr>
          <w:rFonts w:hint="eastAsia" w:ascii="宋体" w:hAnsi="宋体" w:cs="宋体"/>
          <w:color w:val="auto"/>
          <w:spacing w:val="8"/>
          <w:sz w:val="20"/>
          <w:szCs w:val="20"/>
          <w:lang w:eastAsia="zh-CN"/>
        </w:rPr>
        <w:t>。</w:t>
      </w:r>
    </w:p>
    <w:p w14:paraId="64AF4E69">
      <w:pPr>
        <w:kinsoku/>
        <w:snapToGrid/>
        <w:spacing w:line="0" w:lineRule="atLeast"/>
        <w:textAlignment w:val="auto"/>
        <w:outlineLvl w:val="2"/>
        <w:rPr>
          <w:rFonts w:hint="eastAsia" w:ascii="宋体" w:hAnsi="宋体" w:cs="宋体"/>
          <w:color w:val="auto"/>
        </w:rPr>
      </w:pPr>
      <w:r>
        <w:rPr>
          <w:rFonts w:hint="eastAsia" w:ascii="宋体" w:hAnsi="宋体" w:cs="宋体"/>
          <w:color w:val="auto"/>
          <w:lang w:eastAsia="zh-CN"/>
        </w:rPr>
        <w:br w:type="page"/>
      </w:r>
      <w:bookmarkStart w:id="24" w:name="_Toc298830022"/>
      <w:bookmarkStart w:id="25" w:name="_Toc298920131"/>
      <w:bookmarkStart w:id="26" w:name="_Toc343857079"/>
      <w:bookmarkStart w:id="27" w:name="_Toc299108446"/>
      <w:bookmarkStart w:id="28" w:name="_Toc298190443"/>
      <w:bookmarkStart w:id="29" w:name="_Toc384307749"/>
      <w:bookmarkStart w:id="30" w:name="_Toc298829780"/>
      <w:bookmarkStart w:id="31" w:name="_Toc297209476"/>
      <w:bookmarkStart w:id="32" w:name="_Toc350418067"/>
      <w:r>
        <w:rPr>
          <w:rFonts w:hint="eastAsia" w:ascii="宋体" w:hAnsi="宋体" w:cs="宋体"/>
          <w:b/>
          <w:color w:val="auto"/>
          <w:sz w:val="24"/>
          <w:szCs w:val="24"/>
        </w:rPr>
        <w:t>附表2 详细评审表</w:t>
      </w:r>
      <w:bookmarkEnd w:id="24"/>
      <w:bookmarkEnd w:id="25"/>
      <w:bookmarkEnd w:id="26"/>
      <w:bookmarkEnd w:id="27"/>
      <w:bookmarkEnd w:id="28"/>
      <w:bookmarkEnd w:id="29"/>
      <w:bookmarkEnd w:id="30"/>
      <w:bookmarkEnd w:id="31"/>
      <w:bookmarkEnd w:id="32"/>
    </w:p>
    <w:tbl>
      <w:tblPr>
        <w:tblStyle w:val="23"/>
        <w:tblW w:w="9319" w:type="dxa"/>
        <w:tblInd w:w="91" w:type="dxa"/>
        <w:tblLayout w:type="fixed"/>
        <w:tblCellMar>
          <w:top w:w="0" w:type="dxa"/>
          <w:left w:w="108" w:type="dxa"/>
          <w:bottom w:w="0" w:type="dxa"/>
          <w:right w:w="108" w:type="dxa"/>
        </w:tblCellMar>
      </w:tblPr>
      <w:tblGrid>
        <w:gridCol w:w="638"/>
        <w:gridCol w:w="1095"/>
        <w:gridCol w:w="6060"/>
        <w:gridCol w:w="617"/>
        <w:gridCol w:w="909"/>
      </w:tblGrid>
      <w:tr w14:paraId="4CB058F1">
        <w:tblPrEx>
          <w:tblCellMar>
            <w:top w:w="0" w:type="dxa"/>
            <w:left w:w="108" w:type="dxa"/>
            <w:bottom w:w="0" w:type="dxa"/>
            <w:right w:w="108" w:type="dxa"/>
          </w:tblCellMar>
        </w:tblPrEx>
        <w:tc>
          <w:tcPr>
            <w:tcW w:w="6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2EA41">
            <w:pPr>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eastAsia="zh-CN" w:bidi="ar"/>
              </w:rPr>
              <w:t>序</w:t>
            </w:r>
            <w:r>
              <w:rPr>
                <w:rStyle w:val="53"/>
                <w:rFonts w:asciiTheme="minorEastAsia" w:hAnsiTheme="minorEastAsia" w:eastAsiaTheme="minorEastAsia" w:cstheme="minorEastAsia"/>
                <w:b/>
                <w:bCs/>
                <w:sz w:val="20"/>
                <w:szCs w:val="20"/>
                <w:lang w:eastAsia="zh-CN" w:bidi="ar"/>
              </w:rPr>
              <w:t>号</w:t>
            </w:r>
          </w:p>
        </w:tc>
        <w:tc>
          <w:tcPr>
            <w:tcW w:w="1095" w:type="dxa"/>
            <w:tcBorders>
              <w:top w:val="single" w:color="000000" w:sz="8" w:space="0"/>
              <w:left w:val="nil"/>
              <w:bottom w:val="single" w:color="000000" w:sz="8" w:space="0"/>
              <w:right w:val="single" w:color="000000" w:sz="8" w:space="0"/>
            </w:tcBorders>
            <w:shd w:val="clear" w:color="auto" w:fill="auto"/>
            <w:vAlign w:val="center"/>
          </w:tcPr>
          <w:p w14:paraId="6C8EC203">
            <w:pPr>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eastAsia="zh-CN" w:bidi="ar"/>
              </w:rPr>
              <w:t>评审因素</w:t>
            </w:r>
          </w:p>
        </w:tc>
        <w:tc>
          <w:tcPr>
            <w:tcW w:w="6060" w:type="dxa"/>
            <w:tcBorders>
              <w:top w:val="single" w:color="000000" w:sz="8" w:space="0"/>
              <w:left w:val="nil"/>
              <w:bottom w:val="single" w:color="000000" w:sz="8" w:space="0"/>
              <w:right w:val="single" w:color="000000" w:sz="8" w:space="0"/>
            </w:tcBorders>
            <w:shd w:val="clear" w:color="auto" w:fill="auto"/>
            <w:vAlign w:val="center"/>
          </w:tcPr>
          <w:p w14:paraId="42D1C550">
            <w:pPr>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eastAsia="zh-CN" w:bidi="ar"/>
              </w:rPr>
              <w:t>评分标</w:t>
            </w:r>
            <w:r>
              <w:rPr>
                <w:rStyle w:val="53"/>
                <w:rFonts w:asciiTheme="minorEastAsia" w:hAnsiTheme="minorEastAsia" w:eastAsiaTheme="minorEastAsia" w:cstheme="minorEastAsia"/>
                <w:b/>
                <w:bCs/>
                <w:sz w:val="20"/>
                <w:szCs w:val="20"/>
                <w:lang w:eastAsia="zh-CN" w:bidi="ar"/>
              </w:rPr>
              <w:t>准</w:t>
            </w:r>
          </w:p>
        </w:tc>
        <w:tc>
          <w:tcPr>
            <w:tcW w:w="617" w:type="dxa"/>
            <w:tcBorders>
              <w:top w:val="single" w:color="000000" w:sz="8" w:space="0"/>
              <w:left w:val="nil"/>
              <w:bottom w:val="single" w:color="000000" w:sz="8" w:space="0"/>
              <w:right w:val="single" w:color="000000" w:sz="8" w:space="0"/>
            </w:tcBorders>
            <w:shd w:val="clear" w:color="auto" w:fill="auto"/>
            <w:vAlign w:val="center"/>
          </w:tcPr>
          <w:p w14:paraId="1A3EE08B">
            <w:pPr>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eastAsia="zh-CN" w:bidi="ar"/>
              </w:rPr>
              <w:t>分</w:t>
            </w:r>
            <w:r>
              <w:rPr>
                <w:rStyle w:val="53"/>
                <w:rFonts w:asciiTheme="minorEastAsia" w:hAnsiTheme="minorEastAsia" w:eastAsiaTheme="minorEastAsia" w:cstheme="minorEastAsia"/>
                <w:b/>
                <w:bCs/>
                <w:sz w:val="20"/>
                <w:szCs w:val="20"/>
                <w:lang w:eastAsia="zh-CN" w:bidi="ar"/>
              </w:rPr>
              <w:t>值</w:t>
            </w:r>
          </w:p>
        </w:tc>
        <w:tc>
          <w:tcPr>
            <w:tcW w:w="909" w:type="dxa"/>
            <w:tcBorders>
              <w:top w:val="single" w:color="000000" w:sz="8" w:space="0"/>
              <w:left w:val="nil"/>
              <w:bottom w:val="single" w:color="000000" w:sz="8" w:space="0"/>
              <w:right w:val="single" w:color="000000" w:sz="8" w:space="0"/>
            </w:tcBorders>
            <w:shd w:val="clear" w:color="auto" w:fill="auto"/>
            <w:vAlign w:val="center"/>
          </w:tcPr>
          <w:p w14:paraId="4EDC1A12">
            <w:pPr>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eastAsia="zh-CN" w:bidi="ar"/>
              </w:rPr>
              <w:t>主/客观项</w:t>
            </w:r>
          </w:p>
        </w:tc>
      </w:tr>
      <w:tr w14:paraId="52083768">
        <w:tblPrEx>
          <w:tblCellMar>
            <w:top w:w="0" w:type="dxa"/>
            <w:left w:w="108" w:type="dxa"/>
            <w:bottom w:w="0" w:type="dxa"/>
            <w:right w:w="108" w:type="dxa"/>
          </w:tblCellMar>
        </w:tblPrEx>
        <w:tc>
          <w:tcPr>
            <w:tcW w:w="9319" w:type="dxa"/>
            <w:gridSpan w:val="5"/>
            <w:tcBorders>
              <w:top w:val="nil"/>
              <w:left w:val="single" w:color="000000" w:sz="8" w:space="0"/>
              <w:bottom w:val="single" w:color="000000" w:sz="8" w:space="0"/>
              <w:right w:val="single" w:color="000000" w:sz="8" w:space="0"/>
            </w:tcBorders>
            <w:shd w:val="clear" w:color="auto" w:fill="auto"/>
            <w:vAlign w:val="center"/>
          </w:tcPr>
          <w:p w14:paraId="078FA090">
            <w:pPr>
              <w:textAlignment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bidi="ar"/>
              </w:rPr>
              <w:t>（一）</w:t>
            </w:r>
            <w:r>
              <w:rPr>
                <w:rStyle w:val="53"/>
                <w:rFonts w:asciiTheme="minorEastAsia" w:hAnsiTheme="minorEastAsia" w:eastAsiaTheme="minorEastAsia" w:cstheme="minorEastAsia"/>
                <w:b/>
                <w:bCs/>
                <w:sz w:val="20"/>
                <w:szCs w:val="20"/>
                <w:lang w:eastAsia="zh-CN" w:bidi="ar"/>
              </w:rPr>
              <w:t>价格评分（30.00分）</w:t>
            </w:r>
          </w:p>
        </w:tc>
      </w:tr>
      <w:tr w14:paraId="227D829C">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31E0E03C">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1</w:t>
            </w:r>
          </w:p>
        </w:tc>
        <w:tc>
          <w:tcPr>
            <w:tcW w:w="1095" w:type="dxa"/>
            <w:tcBorders>
              <w:top w:val="single" w:color="000000" w:sz="8" w:space="0"/>
              <w:left w:val="nil"/>
              <w:bottom w:val="single" w:color="000000" w:sz="8" w:space="0"/>
              <w:right w:val="single" w:color="000000" w:sz="8" w:space="0"/>
            </w:tcBorders>
            <w:shd w:val="clear" w:color="auto" w:fill="auto"/>
            <w:vAlign w:val="center"/>
          </w:tcPr>
          <w:p w14:paraId="6BE01AAD">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价格评分</w:t>
            </w:r>
          </w:p>
        </w:tc>
        <w:tc>
          <w:tcPr>
            <w:tcW w:w="6060" w:type="dxa"/>
            <w:tcBorders>
              <w:top w:val="single" w:color="000000" w:sz="8" w:space="0"/>
              <w:left w:val="nil"/>
              <w:bottom w:val="single" w:color="000000" w:sz="8" w:space="0"/>
              <w:right w:val="single" w:color="000000" w:sz="8" w:space="0"/>
            </w:tcBorders>
            <w:shd w:val="clear" w:color="auto" w:fill="auto"/>
            <w:vAlign w:val="center"/>
          </w:tcPr>
          <w:p w14:paraId="0E09E2C4">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综合评分法中的价格分统一采用低价优先法计算，即满足竞争性磋商招标文件要求且投标价格最低的投标报价为评标基准价，其价格分为满分30分</w:t>
            </w:r>
            <w:r>
              <w:rPr>
                <w:rStyle w:val="53"/>
                <w:rFonts w:asciiTheme="minorEastAsia" w:hAnsiTheme="minorEastAsia" w:eastAsiaTheme="minorEastAsia" w:cstheme="minorEastAsia"/>
                <w:sz w:val="20"/>
                <w:szCs w:val="20"/>
                <w:lang w:eastAsia="zh-CN" w:bidi="ar"/>
              </w:rPr>
              <w:t>。</w:t>
            </w:r>
          </w:p>
          <w:p w14:paraId="26557DFC">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投标报价得分=( 评标基准价／最终报价) ×价格权值30%×100。</w:t>
            </w:r>
          </w:p>
          <w:p w14:paraId="2860F66C">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注：1.报价得分保留两位小数，从第三位开始四舍五入。</w:t>
            </w:r>
          </w:p>
          <w:p w14:paraId="40E87B13">
            <w:pP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2.本项目非专门面向中小企业，对于小型或微型企业（含监狱企业或残疾人福利性单位）参与本项目的，给予10%的价格扣除。（所属行业为工业）</w:t>
            </w:r>
          </w:p>
        </w:tc>
        <w:tc>
          <w:tcPr>
            <w:tcW w:w="617" w:type="dxa"/>
            <w:tcBorders>
              <w:top w:val="single" w:color="000000" w:sz="8" w:space="0"/>
              <w:left w:val="nil"/>
              <w:bottom w:val="single" w:color="000000" w:sz="8" w:space="0"/>
              <w:right w:val="single" w:color="000000" w:sz="8" w:space="0"/>
            </w:tcBorders>
            <w:shd w:val="clear" w:color="auto" w:fill="auto"/>
            <w:vAlign w:val="center"/>
          </w:tcPr>
          <w:p w14:paraId="622E165A">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30</w:t>
            </w:r>
          </w:p>
        </w:tc>
        <w:tc>
          <w:tcPr>
            <w:tcW w:w="909" w:type="dxa"/>
            <w:tcBorders>
              <w:top w:val="single" w:color="000000" w:sz="8" w:space="0"/>
              <w:left w:val="nil"/>
              <w:bottom w:val="single" w:color="000000" w:sz="8" w:space="0"/>
              <w:right w:val="single" w:color="000000" w:sz="8" w:space="0"/>
            </w:tcBorders>
            <w:shd w:val="clear" w:color="auto" w:fill="auto"/>
            <w:vAlign w:val="center"/>
          </w:tcPr>
          <w:p w14:paraId="66B08BD5">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客观项</w:t>
            </w:r>
          </w:p>
        </w:tc>
      </w:tr>
      <w:tr w14:paraId="2E5B78A3">
        <w:tblPrEx>
          <w:tblCellMar>
            <w:top w:w="0" w:type="dxa"/>
            <w:left w:w="108" w:type="dxa"/>
            <w:bottom w:w="0" w:type="dxa"/>
            <w:right w:w="108" w:type="dxa"/>
          </w:tblCellMar>
        </w:tblPrEx>
        <w:tc>
          <w:tcPr>
            <w:tcW w:w="9319" w:type="dxa"/>
            <w:gridSpan w:val="5"/>
            <w:tcBorders>
              <w:top w:val="nil"/>
              <w:left w:val="single" w:color="000000" w:sz="8" w:space="0"/>
              <w:bottom w:val="single" w:color="000000" w:sz="8" w:space="0"/>
              <w:right w:val="single" w:color="000000" w:sz="8" w:space="0"/>
            </w:tcBorders>
            <w:shd w:val="clear" w:color="auto" w:fill="auto"/>
            <w:vAlign w:val="center"/>
          </w:tcPr>
          <w:p w14:paraId="6AF6A756">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z w:val="20"/>
                <w:szCs w:val="20"/>
                <w:lang w:eastAsia="zh-CN" w:bidi="ar"/>
              </w:rPr>
              <w:t>（二）</w:t>
            </w:r>
            <w:r>
              <w:rPr>
                <w:rStyle w:val="53"/>
                <w:rFonts w:asciiTheme="minorEastAsia" w:hAnsiTheme="minorEastAsia" w:eastAsiaTheme="minorEastAsia" w:cstheme="minorEastAsia"/>
                <w:b/>
                <w:bCs/>
                <w:sz w:val="20"/>
                <w:szCs w:val="20"/>
                <w:lang w:eastAsia="zh-CN" w:bidi="ar"/>
              </w:rPr>
              <w:t>技术评分（ 51.00 分）</w:t>
            </w:r>
          </w:p>
        </w:tc>
      </w:tr>
      <w:tr w14:paraId="3B5E4F3C">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52748497">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1</w:t>
            </w:r>
          </w:p>
        </w:tc>
        <w:tc>
          <w:tcPr>
            <w:tcW w:w="1095" w:type="dxa"/>
            <w:tcBorders>
              <w:top w:val="single" w:color="000000" w:sz="8" w:space="0"/>
              <w:left w:val="nil"/>
              <w:bottom w:val="single" w:color="000000" w:sz="8" w:space="0"/>
              <w:right w:val="single" w:color="000000" w:sz="8" w:space="0"/>
            </w:tcBorders>
            <w:shd w:val="clear" w:color="auto" w:fill="auto"/>
            <w:vAlign w:val="center"/>
          </w:tcPr>
          <w:p w14:paraId="2DE8D20D">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第8项翼闸单机芯第1-9条</w:t>
            </w:r>
          </w:p>
        </w:tc>
        <w:tc>
          <w:tcPr>
            <w:tcW w:w="6060" w:type="dxa"/>
            <w:tcBorders>
              <w:top w:val="single" w:color="000000" w:sz="8" w:space="0"/>
              <w:left w:val="nil"/>
              <w:bottom w:val="single" w:color="auto" w:sz="4" w:space="0"/>
              <w:right w:val="single" w:color="000000" w:sz="8" w:space="0"/>
            </w:tcBorders>
            <w:shd w:val="clear" w:color="auto" w:fill="auto"/>
            <w:vAlign w:val="center"/>
          </w:tcPr>
          <w:p w14:paraId="18D592F6">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1.脱机功能检验：样机与管理软件连接断开后，应能脱机正常工作；</w:t>
            </w:r>
          </w:p>
          <w:p w14:paraId="1E1580BC">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2.参数设定功能检验：可通过管理软件对样机进行授权、取消授权、设定时间、报警布防/撤防操作；</w:t>
            </w:r>
          </w:p>
          <w:p w14:paraId="131F449F">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3. 信息存储功能检验：样机可在本地存储通行记录；</w:t>
            </w:r>
          </w:p>
          <w:p w14:paraId="64A708C1">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4. 信息上传功能检验：样机可将通行、报警等信息上传至管理软件；</w:t>
            </w:r>
          </w:p>
          <w:p w14:paraId="09800839">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5.强行通行报警功能检验：未收到允许通行信号，样机检测到人员进入通道，应给出报警；</w:t>
            </w:r>
          </w:p>
          <w:p w14:paraId="38A943ED">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6. 通行状态监控功能检验：可通过管理软件对样机的通行状态进行监控；</w:t>
            </w:r>
          </w:p>
          <w:p w14:paraId="76110B98">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7.LED指示灯指示通行方向功能检验：样机可通过LED指示灯指示通行方向；</w:t>
            </w:r>
          </w:p>
          <w:p w14:paraId="6C1244BC">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8. 防夹功能检验：样机的拦挡部分在运动过程中，通道拦挡部分运行区域有人或物时，拦挡部分应停止运动并自动运行到允许通行状态，并给出报警；</w:t>
            </w:r>
          </w:p>
          <w:p w14:paraId="6A9D916E">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9. 远程开启/关闭功能检验：可通过管理软件远程控制样机开启/关闭通行通道。</w:t>
            </w:r>
          </w:p>
          <w:p w14:paraId="5253B9A9">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注：以上功能只满足任意小于等于6条不得分，在满足6条基础上，每增加满足1条加3分，最高9分。</w:t>
            </w:r>
          </w:p>
          <w:p w14:paraId="6E8E5455">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以投标文件中加盖供应商或品牌厂商公章的证明材料扫描件为评分依据（提供带有CNAS标识的第三方权威机构出具的检验检测报告作为评分依据）。</w:t>
            </w:r>
          </w:p>
        </w:tc>
        <w:tc>
          <w:tcPr>
            <w:tcW w:w="617" w:type="dxa"/>
            <w:tcBorders>
              <w:top w:val="single" w:color="000000" w:sz="8" w:space="0"/>
              <w:left w:val="nil"/>
              <w:bottom w:val="single" w:color="000000" w:sz="8" w:space="0"/>
              <w:right w:val="single" w:color="auto" w:sz="4" w:space="0"/>
            </w:tcBorders>
            <w:shd w:val="clear" w:color="auto" w:fill="auto"/>
            <w:vAlign w:val="center"/>
          </w:tcPr>
          <w:p w14:paraId="6DE32D4B">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9分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BB60E00">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16EB55CF">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55D36D0D">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2</w:t>
            </w:r>
          </w:p>
        </w:tc>
        <w:tc>
          <w:tcPr>
            <w:tcW w:w="1095" w:type="dxa"/>
            <w:tcBorders>
              <w:top w:val="nil"/>
              <w:left w:val="nil"/>
              <w:bottom w:val="single" w:color="000000" w:sz="8" w:space="0"/>
              <w:right w:val="single" w:color="auto" w:sz="4" w:space="0"/>
            </w:tcBorders>
            <w:shd w:val="clear" w:color="auto" w:fill="auto"/>
            <w:vAlign w:val="center"/>
          </w:tcPr>
          <w:p w14:paraId="34486313">
            <w:pPr>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第10项人脸识别消费终端第1-6条</w:t>
            </w:r>
          </w:p>
        </w:tc>
        <w:tc>
          <w:tcPr>
            <w:tcW w:w="6060" w:type="dxa"/>
            <w:tcBorders>
              <w:top w:val="single" w:color="auto" w:sz="4" w:space="0"/>
              <w:left w:val="single" w:color="auto" w:sz="4" w:space="0"/>
              <w:bottom w:val="single" w:color="auto" w:sz="4" w:space="0"/>
              <w:right w:val="single" w:color="auto" w:sz="4" w:space="0"/>
            </w:tcBorders>
            <w:shd w:val="clear" w:color="auto" w:fill="auto"/>
            <w:vAlign w:val="center"/>
          </w:tcPr>
          <w:p w14:paraId="31BDBB3B">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1.容量：应支持高线存储≥50000个用户；应支持离线存储≥50000张人脸照片；应支持离线存储≥50000张识别卡信息。</w:t>
            </w:r>
          </w:p>
          <w:p w14:paraId="2A0521B3">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2.支付方式：应可支持刷卡、刷脸、公众号二维码、微信支付二维码、支付宝支付二维码支付；超消费限额时，应具有输入支付密码支付功能。</w:t>
            </w:r>
          </w:p>
          <w:p w14:paraId="1A72A6FB">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消费限制：应具有消费次功能，可以根据人员身份，按餐、日、月、食堂、档口或消费机进行限次；应具有消费限额功能，可以根据人员身份，按餐、日、月、食堂或档口进行消费限额；应具有超消费限额输入支付密码功能；应具有就餐限制功能，可按身份、餐段、部门设置可以消费的人员；</w:t>
            </w:r>
          </w:p>
          <w:p w14:paraId="38549C24">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折扣议价：应具有设置固定金额模式功能，可支持根据人员身份设置不同的价格模式，包括标准消费方式（固定金额消费）、议价（第一笔消费按固定金额扣费，第二笔消费及之后按议价金额消费）、免费、每日第一笔消费按固定金额扣费，第二笔消费开始免费等；应具有身份折扣功能，可根据人员身份设置每餐不同的消费折扣；应具有设置份饭（固定金额）模式功能，可设置一周每日不同价格，节假日可单独设置金额；</w:t>
            </w:r>
          </w:p>
          <w:p w14:paraId="5350E42A">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5.补助现金双账：应具有配置补助和现金分账号功能；应具有设置自动发放补助和补助清零功能，可按人员身份设置定期发放补助和清除补助计划；应可按人员身份设置补助占扣款比例；应可按人员身份设置首次消费扣除固定补助金额；应具有每餐首次消费自动发放补助功能，可设置发放补助的最低消费金额，首次消费超过该金额自动发放补助；应具有补助清零功能；</w:t>
            </w:r>
          </w:p>
          <w:p w14:paraId="24B53526">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6.营养分析：应具有营养分析功能，可支持点餐模式，根据每餐购买的菜品，自动计算营养摄入情况；移动端应可查看每天就餐情况、三大营养素的摄入情况和身体BMI指数等信息；</w:t>
            </w:r>
          </w:p>
          <w:p w14:paraId="5396C2B7">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以上功能每满足1项得2分，不满足不得分，满分12分。</w:t>
            </w:r>
          </w:p>
          <w:p w14:paraId="2B37A735">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以投标文件中加盖供应商或品牌厂商公章的证明材料扫描件为评分依据（提供带有CNAS标识的第三方权威机构出具的检验检测报告作为评分依据）。</w:t>
            </w:r>
          </w:p>
        </w:tc>
        <w:tc>
          <w:tcPr>
            <w:tcW w:w="617" w:type="dxa"/>
            <w:tcBorders>
              <w:top w:val="nil"/>
              <w:left w:val="single" w:color="auto" w:sz="4" w:space="0"/>
              <w:bottom w:val="single" w:color="000000" w:sz="8" w:space="0"/>
              <w:right w:val="single" w:color="auto" w:sz="4" w:space="0"/>
            </w:tcBorders>
            <w:shd w:val="clear" w:color="auto" w:fill="auto"/>
            <w:vAlign w:val="center"/>
          </w:tcPr>
          <w:p w14:paraId="2548B98A">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12分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A6A4559">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02B41813">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6E58025F">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3</w:t>
            </w:r>
          </w:p>
        </w:tc>
        <w:tc>
          <w:tcPr>
            <w:tcW w:w="1095" w:type="dxa"/>
            <w:tcBorders>
              <w:top w:val="nil"/>
              <w:left w:val="nil"/>
              <w:bottom w:val="single" w:color="000000" w:sz="8" w:space="0"/>
              <w:right w:val="single" w:color="auto" w:sz="4" w:space="0"/>
            </w:tcBorders>
            <w:shd w:val="clear" w:color="auto" w:fill="auto"/>
            <w:vAlign w:val="center"/>
          </w:tcPr>
          <w:p w14:paraId="380E8D03">
            <w:pPr>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第19项人脸识别一体机第1-9条</w:t>
            </w:r>
          </w:p>
        </w:tc>
        <w:tc>
          <w:tcPr>
            <w:tcW w:w="6060" w:type="dxa"/>
            <w:tcBorders>
              <w:top w:val="single" w:color="auto" w:sz="4" w:space="0"/>
              <w:left w:val="single" w:color="auto" w:sz="4" w:space="0"/>
              <w:bottom w:val="single" w:color="000000" w:sz="8" w:space="0"/>
              <w:right w:val="single" w:color="auto" w:sz="4" w:space="0"/>
            </w:tcBorders>
            <w:shd w:val="clear" w:color="auto" w:fill="auto"/>
            <w:vAlign w:val="center"/>
          </w:tcPr>
          <w:p w14:paraId="50C3B181">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1.识读功能检验：样机可进行人脸识别、IC卡识读二维码识别，识读成功后联动输出控制指令；</w:t>
            </w:r>
          </w:p>
          <w:p w14:paraId="29889CC3">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2.存储容量检验：样机可保存注册信息＞50000条；可保存出入事件日志信息＞100000条；</w:t>
            </w:r>
          </w:p>
          <w:p w14:paraId="051B6166">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3.人脸信息注册功能检验：可通过样机现场采集人脸图像信息进行注册；可通过管理平台导入人脸图片进行注册，注册信息包括：人脸图片、编号、姓名、性别、联系方式。图片格式支持JPEG、BMP、PNG；支持批量导入，并可根据图片名称自动匹配到相应人员注册名下：可通过管理平台对注册信息进行查询、增加、修改、删除；</w:t>
            </w:r>
          </w:p>
          <w:p w14:paraId="58D79B56">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4.人脸识别功能检验：当有人员经过样机镜头时可自动进入人脸识别界面，获取人脸信息并进行比对，样机可显示比对结果声光提示，可显示人脸比对相似度；</w:t>
            </w:r>
          </w:p>
          <w:p w14:paraId="26535B0E">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5.人员注册信息管理功能检验：可通过管理平台对人员注册信息进行查询、增加、修改、删除；</w:t>
            </w:r>
          </w:p>
          <w:p w14:paraId="6D321E0E">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6.人脸识别响应时间检验：人脸识别平均响应时间：≤1s；IC卡识别平均响应时间：≤1s；</w:t>
            </w:r>
          </w:p>
          <w:p w14:paraId="4CAFA468">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7.自检功能检验：样机具有自检功能，可显示在线、离线等状态指示；</w:t>
            </w:r>
          </w:p>
          <w:p w14:paraId="2D17D131">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8.实时上传功能检验：样机将进行人脸识别的信息实时上传至管理平台，上传内容包括：识别时间、人员信息、人脸图像等；</w:t>
            </w:r>
          </w:p>
          <w:p w14:paraId="54793344">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9.系统软件功能检验：（1）样机支持中、英、日、韩等多种语言；（2）可设置视频/图片屏保；（3）支持安卓7.1系统，具有触摸屏；（4）本机具有应用系统设置功能，可设置为门禁管理、餐饮管理、人脸采集、宿舍签到、会议签到、车载终端等应用系统模式；（5）支持位置导航图显示功能；（6）具有最高用户权限，管理员用户具有用户管理权限；（7）可通过web端实时显示样机抓拍的人脸图像信息。</w:t>
            </w:r>
          </w:p>
          <w:p w14:paraId="3EFF7C89">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注：以上功能只满足任意小于等于5条不得分，在满足5条基础上，每增加满足1条加2分，最高8分。</w:t>
            </w:r>
          </w:p>
          <w:p w14:paraId="5BFE1424">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以投标文件中加盖供应商或品牌厂商公章的证明材料扫描件为评分依据（提供带有CNAS标识的第三方权威机构出具的检验检测报告作为评分依据）。</w:t>
            </w:r>
          </w:p>
        </w:tc>
        <w:tc>
          <w:tcPr>
            <w:tcW w:w="617" w:type="dxa"/>
            <w:tcBorders>
              <w:top w:val="nil"/>
              <w:left w:val="single" w:color="auto" w:sz="4" w:space="0"/>
              <w:bottom w:val="single" w:color="000000" w:sz="8" w:space="0"/>
              <w:right w:val="single" w:color="000000" w:sz="8" w:space="0"/>
            </w:tcBorders>
            <w:shd w:val="clear" w:color="auto" w:fill="auto"/>
            <w:vAlign w:val="center"/>
          </w:tcPr>
          <w:p w14:paraId="0B138CF5">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8分</w:t>
            </w:r>
          </w:p>
        </w:tc>
        <w:tc>
          <w:tcPr>
            <w:tcW w:w="909" w:type="dxa"/>
            <w:tcBorders>
              <w:top w:val="single" w:color="auto" w:sz="4" w:space="0"/>
              <w:left w:val="nil"/>
              <w:bottom w:val="single" w:color="000000" w:sz="8" w:space="0"/>
              <w:right w:val="single" w:color="000000" w:sz="8" w:space="0"/>
            </w:tcBorders>
            <w:shd w:val="clear" w:color="auto" w:fill="auto"/>
            <w:vAlign w:val="center"/>
          </w:tcPr>
          <w:p w14:paraId="46551EA6">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528B0AE7">
        <w:tblPrEx>
          <w:tblCellMar>
            <w:top w:w="0" w:type="dxa"/>
            <w:left w:w="108" w:type="dxa"/>
            <w:bottom w:w="0" w:type="dxa"/>
            <w:right w:w="108" w:type="dxa"/>
          </w:tblCellMar>
        </w:tblPrEx>
        <w:trPr>
          <w:trHeight w:val="7081" w:hRule="atLeast"/>
        </w:trPr>
        <w:tc>
          <w:tcPr>
            <w:tcW w:w="638" w:type="dxa"/>
            <w:tcBorders>
              <w:top w:val="nil"/>
              <w:left w:val="single" w:color="000000" w:sz="8" w:space="0"/>
              <w:bottom w:val="single" w:color="000000" w:sz="8" w:space="0"/>
              <w:right w:val="single" w:color="000000" w:sz="8" w:space="0"/>
            </w:tcBorders>
            <w:shd w:val="clear" w:color="auto" w:fill="auto"/>
            <w:vAlign w:val="center"/>
          </w:tcPr>
          <w:p w14:paraId="5A8DE616">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4</w:t>
            </w:r>
          </w:p>
        </w:tc>
        <w:tc>
          <w:tcPr>
            <w:tcW w:w="1095" w:type="dxa"/>
            <w:tcBorders>
              <w:top w:val="nil"/>
              <w:left w:val="nil"/>
              <w:bottom w:val="single" w:color="000000" w:sz="8" w:space="0"/>
              <w:right w:val="single" w:color="000000" w:sz="8" w:space="0"/>
            </w:tcBorders>
            <w:shd w:val="clear" w:color="auto" w:fill="auto"/>
            <w:vAlign w:val="center"/>
          </w:tcPr>
          <w:p w14:paraId="010088EE">
            <w:pPr>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第4项</w:t>
            </w:r>
            <w:r>
              <w:rPr>
                <w:rFonts w:hint="eastAsia" w:asciiTheme="minorEastAsia" w:hAnsiTheme="minorEastAsia" w:eastAsiaTheme="minorEastAsia" w:cstheme="minorEastAsia"/>
                <w:sz w:val="20"/>
                <w:szCs w:val="20"/>
                <w:lang w:val="zh-CN" w:eastAsia="zh-CN" w:bidi="ar"/>
              </w:rPr>
              <w:t>智慧校园大数据综合服务平台</w:t>
            </w:r>
            <w:r>
              <w:rPr>
                <w:rFonts w:hint="eastAsia" w:asciiTheme="minorEastAsia" w:hAnsiTheme="minorEastAsia" w:eastAsiaTheme="minorEastAsia" w:cstheme="minorEastAsia"/>
                <w:sz w:val="20"/>
                <w:szCs w:val="20"/>
                <w:lang w:eastAsia="zh-CN" w:bidi="ar"/>
              </w:rPr>
              <w:t>第1条人员信息第1-13条</w:t>
            </w:r>
          </w:p>
        </w:tc>
        <w:tc>
          <w:tcPr>
            <w:tcW w:w="6060" w:type="dxa"/>
            <w:tcBorders>
              <w:top w:val="nil"/>
              <w:left w:val="nil"/>
              <w:bottom w:val="single" w:color="000000" w:sz="8" w:space="0"/>
              <w:right w:val="single" w:color="000000" w:sz="8" w:space="0"/>
            </w:tcBorders>
            <w:shd w:val="clear" w:color="auto" w:fill="auto"/>
            <w:vAlign w:val="center"/>
          </w:tcPr>
          <w:p w14:paraId="0B10E4C5">
            <w:pPr>
              <w:textAlignment w:val="center"/>
              <w:rPr>
                <w:rFonts w:hint="eastAsia" w:asciiTheme="minorEastAsia" w:hAnsiTheme="minorEastAsia" w:eastAsiaTheme="minorEastAsia" w:cstheme="minorEastAsia"/>
                <w:sz w:val="20"/>
                <w:szCs w:val="20"/>
                <w:highlight w:val="none"/>
                <w:lang w:eastAsia="zh-CN"/>
              </w:rPr>
            </w:pPr>
            <w:r>
              <w:rPr>
                <w:rFonts w:hint="eastAsia" w:ascii="宋体" w:hAnsi="宋体" w:eastAsia="Calibri" w:cs="宋体"/>
                <w:bCs/>
                <w:color w:val="auto"/>
                <w:sz w:val="20"/>
                <w:szCs w:val="20"/>
                <w:highlight w:val="none"/>
                <w:lang w:val="zh-CN" w:eastAsia="zh-CN"/>
              </w:rPr>
              <w:t>（</w:t>
            </w:r>
            <w:r>
              <w:rPr>
                <w:rFonts w:hint="eastAsia" w:ascii="宋体" w:hAnsi="宋体" w:cs="宋体"/>
                <w:bCs/>
                <w:color w:val="auto"/>
                <w:sz w:val="20"/>
                <w:szCs w:val="20"/>
                <w:highlight w:val="none"/>
                <w:lang w:eastAsia="zh-CN"/>
              </w:rPr>
              <w:t>1</w:t>
            </w:r>
            <w:r>
              <w:rPr>
                <w:rFonts w:hint="eastAsia" w:asciiTheme="minorEastAsia" w:hAnsiTheme="minorEastAsia" w:eastAsiaTheme="minorEastAsia" w:cstheme="minorEastAsia"/>
                <w:sz w:val="20"/>
                <w:szCs w:val="20"/>
                <w:highlight w:val="none"/>
                <w:lang w:val="zh-CN" w:eastAsia="zh-CN"/>
              </w:rPr>
              <w:t>）学校设置：设置学校</w:t>
            </w:r>
            <w:r>
              <w:rPr>
                <w:rFonts w:hint="eastAsia" w:asciiTheme="minorEastAsia" w:hAnsiTheme="minorEastAsia" w:eastAsiaTheme="minorEastAsia" w:cstheme="minorEastAsia"/>
                <w:sz w:val="20"/>
                <w:szCs w:val="20"/>
                <w:highlight w:val="none"/>
                <w:lang w:eastAsia="zh-CN"/>
              </w:rPr>
              <w:t>Logo</w:t>
            </w:r>
            <w:r>
              <w:rPr>
                <w:rFonts w:hint="eastAsia" w:asciiTheme="minorEastAsia" w:hAnsiTheme="minorEastAsia" w:eastAsiaTheme="minorEastAsia" w:cstheme="minorEastAsia"/>
                <w:sz w:val="20"/>
                <w:szCs w:val="20"/>
                <w:highlight w:val="none"/>
                <w:lang w:val="zh-CN" w:eastAsia="zh-CN"/>
              </w:rPr>
              <w:t>、学校类别、办学模式、校长信息、建校日期、学校简介、历史沿革等。</w:t>
            </w:r>
          </w:p>
          <w:p w14:paraId="5C1FE036">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lang w:val="zh-CN" w:eastAsia="zh-CN"/>
              </w:rPr>
              <w:t>）教师组织管理：自定义多级教师部门，支持通过</w:t>
            </w:r>
            <w:r>
              <w:rPr>
                <w:rFonts w:hint="eastAsia" w:asciiTheme="minorEastAsia" w:hAnsiTheme="minorEastAsia" w:eastAsiaTheme="minorEastAsia" w:cstheme="minorEastAsia"/>
                <w:sz w:val="20"/>
                <w:szCs w:val="20"/>
                <w:highlight w:val="none"/>
                <w:lang w:eastAsia="zh-CN"/>
              </w:rPr>
              <w:t>Excel</w:t>
            </w:r>
            <w:r>
              <w:rPr>
                <w:rFonts w:hint="eastAsia" w:asciiTheme="minorEastAsia" w:hAnsiTheme="minorEastAsia" w:eastAsiaTheme="minorEastAsia" w:cstheme="minorEastAsia"/>
                <w:sz w:val="20"/>
                <w:szCs w:val="20"/>
                <w:highlight w:val="none"/>
                <w:lang w:val="zh-CN" w:eastAsia="zh-CN"/>
              </w:rPr>
              <w:t>表格批量导入部门信息。</w:t>
            </w:r>
          </w:p>
          <w:p w14:paraId="4C6C5A68">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lang w:val="zh-CN" w:eastAsia="zh-CN"/>
              </w:rPr>
              <w:t>）班级管理：自定义学生的校区、年级和班级信息，支持批量创建班级（输入班级个数自动生成班级）和通过</w:t>
            </w:r>
            <w:r>
              <w:rPr>
                <w:rFonts w:hint="eastAsia" w:asciiTheme="minorEastAsia" w:hAnsiTheme="minorEastAsia" w:eastAsiaTheme="minorEastAsia" w:cstheme="minorEastAsia"/>
                <w:sz w:val="20"/>
                <w:szCs w:val="20"/>
                <w:highlight w:val="none"/>
                <w:lang w:eastAsia="zh-CN"/>
              </w:rPr>
              <w:t>Excel</w:t>
            </w:r>
            <w:r>
              <w:rPr>
                <w:rFonts w:hint="eastAsia" w:asciiTheme="minorEastAsia" w:hAnsiTheme="minorEastAsia" w:eastAsiaTheme="minorEastAsia" w:cstheme="minorEastAsia"/>
                <w:sz w:val="20"/>
                <w:szCs w:val="20"/>
                <w:highlight w:val="none"/>
                <w:lang w:val="zh-CN" w:eastAsia="zh-CN"/>
              </w:rPr>
              <w:t>表格批量导入班级组织信息。</w:t>
            </w:r>
          </w:p>
          <w:p w14:paraId="4F765ECF">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4</w:t>
            </w:r>
            <w:r>
              <w:rPr>
                <w:rFonts w:hint="eastAsia" w:asciiTheme="minorEastAsia" w:hAnsiTheme="minorEastAsia" w:eastAsiaTheme="minorEastAsia" w:cstheme="minorEastAsia"/>
                <w:sz w:val="20"/>
                <w:szCs w:val="20"/>
                <w:highlight w:val="none"/>
                <w:lang w:val="zh-CN" w:eastAsia="zh-CN"/>
              </w:rPr>
              <w:t>）角色权限管理：自定义用户角色信息，并按角色对控制菜单进行授权，实现权限划分和多级管理。</w:t>
            </w:r>
          </w:p>
          <w:p w14:paraId="118456E0">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5</w:t>
            </w:r>
            <w:r>
              <w:rPr>
                <w:rFonts w:hint="eastAsia" w:asciiTheme="minorEastAsia" w:hAnsiTheme="minorEastAsia" w:eastAsiaTheme="minorEastAsia" w:cstheme="minorEastAsia"/>
                <w:sz w:val="20"/>
                <w:szCs w:val="20"/>
                <w:highlight w:val="none"/>
                <w:lang w:val="zh-CN" w:eastAsia="zh-CN"/>
              </w:rPr>
              <w:t>）身份管理：自定义用户身份信息，实现校园大门、食堂就餐、人员考勤的差异化通行、就餐和考勤。</w:t>
            </w:r>
          </w:p>
          <w:p w14:paraId="784D01E0">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6</w:t>
            </w:r>
            <w:r>
              <w:rPr>
                <w:rFonts w:hint="eastAsia" w:asciiTheme="minorEastAsia" w:hAnsiTheme="minorEastAsia" w:eastAsiaTheme="minorEastAsia" w:cstheme="minorEastAsia"/>
                <w:sz w:val="20"/>
                <w:szCs w:val="20"/>
                <w:highlight w:val="none"/>
                <w:lang w:val="zh-CN" w:eastAsia="zh-CN"/>
              </w:rPr>
              <w:t>）一键升班：支持一键升班功能。</w:t>
            </w:r>
          </w:p>
          <w:p w14:paraId="78776082">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7</w:t>
            </w:r>
            <w:r>
              <w:rPr>
                <w:rFonts w:hint="eastAsia" w:asciiTheme="minorEastAsia" w:hAnsiTheme="minorEastAsia" w:eastAsiaTheme="minorEastAsia" w:cstheme="minorEastAsia"/>
                <w:sz w:val="20"/>
                <w:szCs w:val="20"/>
                <w:highlight w:val="none"/>
                <w:lang w:val="zh-CN" w:eastAsia="zh-CN"/>
              </w:rPr>
              <w:t>）老师管理：管理教职工基本信息，包括教师工号、姓名、性别、职位、联系方式、在岗状态、直属主管等。</w:t>
            </w:r>
          </w:p>
          <w:p w14:paraId="4C4B83BC">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8</w:t>
            </w:r>
            <w:r>
              <w:rPr>
                <w:rFonts w:hint="eastAsia" w:asciiTheme="minorEastAsia" w:hAnsiTheme="minorEastAsia" w:eastAsiaTheme="minorEastAsia" w:cstheme="minorEastAsia"/>
                <w:sz w:val="20"/>
                <w:szCs w:val="20"/>
                <w:highlight w:val="none"/>
                <w:lang w:val="zh-CN" w:eastAsia="zh-CN"/>
              </w:rPr>
              <w:t>）离职老师：支持教师离职、复职及一键转换成学生功能。</w:t>
            </w:r>
          </w:p>
          <w:p w14:paraId="6FD50AB4">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9</w:t>
            </w:r>
            <w:r>
              <w:rPr>
                <w:rFonts w:hint="eastAsia" w:asciiTheme="minorEastAsia" w:hAnsiTheme="minorEastAsia" w:eastAsiaTheme="minorEastAsia" w:cstheme="minorEastAsia"/>
                <w:sz w:val="20"/>
                <w:szCs w:val="20"/>
                <w:highlight w:val="none"/>
                <w:lang w:val="zh-CN" w:eastAsia="zh-CN"/>
              </w:rPr>
              <w:t>）教师信息批量导入和批量修改：支持教师信息、照片等批量导入和批量修改。</w:t>
            </w:r>
          </w:p>
          <w:p w14:paraId="0830ECF6">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10</w:t>
            </w:r>
            <w:r>
              <w:rPr>
                <w:rFonts w:hint="eastAsia" w:asciiTheme="minorEastAsia" w:hAnsiTheme="minorEastAsia" w:eastAsiaTheme="minorEastAsia" w:cstheme="minorEastAsia"/>
                <w:sz w:val="20"/>
                <w:szCs w:val="20"/>
                <w:highlight w:val="none"/>
                <w:lang w:val="zh-CN" w:eastAsia="zh-CN"/>
              </w:rPr>
              <w:t>）学生管理：管理学生基本信息，包括学生编号、姓名、性别、年级、班级辅导员等。</w:t>
            </w:r>
          </w:p>
          <w:p w14:paraId="2CEB2E9C">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11</w:t>
            </w:r>
            <w:r>
              <w:rPr>
                <w:rFonts w:hint="eastAsia" w:asciiTheme="minorEastAsia" w:hAnsiTheme="minorEastAsia" w:eastAsiaTheme="minorEastAsia" w:cstheme="minorEastAsia"/>
                <w:sz w:val="20"/>
                <w:szCs w:val="20"/>
                <w:highlight w:val="none"/>
                <w:lang w:val="zh-CN" w:eastAsia="zh-CN"/>
              </w:rPr>
              <w:t>）学生信息批量导入和批量修改：支持学生信息、照片等批量导入和批量修改。</w:t>
            </w:r>
          </w:p>
          <w:p w14:paraId="646715DE">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12</w:t>
            </w:r>
            <w:r>
              <w:rPr>
                <w:rFonts w:hint="eastAsia" w:asciiTheme="minorEastAsia" w:hAnsiTheme="minorEastAsia" w:eastAsiaTheme="minorEastAsia" w:cstheme="minorEastAsia"/>
                <w:sz w:val="20"/>
                <w:szCs w:val="20"/>
                <w:highlight w:val="none"/>
                <w:lang w:val="zh-CN" w:eastAsia="zh-CN"/>
              </w:rPr>
              <w:t>）家长管理：支持家长通过移动端自行注册，并在系统中查询和维护相关信息。</w:t>
            </w:r>
          </w:p>
          <w:p w14:paraId="4327234A">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13</w:t>
            </w:r>
            <w:r>
              <w:rPr>
                <w:rFonts w:hint="eastAsia" w:asciiTheme="minorEastAsia" w:hAnsiTheme="minorEastAsia" w:eastAsiaTheme="minorEastAsia" w:cstheme="minorEastAsia"/>
                <w:sz w:val="20"/>
                <w:szCs w:val="20"/>
                <w:highlight w:val="none"/>
                <w:lang w:val="zh-CN" w:eastAsia="zh-CN"/>
              </w:rPr>
              <w:t>）</w:t>
            </w:r>
            <w:r>
              <w:rPr>
                <w:rFonts w:hint="eastAsia" w:asciiTheme="minorEastAsia" w:hAnsiTheme="minorEastAsia" w:eastAsiaTheme="minorEastAsia" w:cstheme="minorEastAsia"/>
                <w:sz w:val="20"/>
                <w:szCs w:val="20"/>
                <w:highlight w:val="none"/>
                <w:lang w:eastAsia="zh-CN"/>
              </w:rPr>
              <w:t>人员删除和恢复功能：支持人员删除和恢复功能，防止管理员误操作。</w:t>
            </w:r>
          </w:p>
          <w:p w14:paraId="086135C8">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A）以上满足≥13条得13分，</w:t>
            </w:r>
          </w:p>
          <w:p w14:paraId="1AE50EFE">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B）以上满足≥12条得10分，</w:t>
            </w:r>
          </w:p>
          <w:p w14:paraId="2F63EDE1">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C）以上满足≥11条得7分，</w:t>
            </w:r>
          </w:p>
          <w:p w14:paraId="409AAA57">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D）以上满足≥10条得4分，</w:t>
            </w:r>
          </w:p>
          <w:p w14:paraId="6A1A591A">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E）其他不得分</w:t>
            </w:r>
          </w:p>
          <w:p w14:paraId="1EBF2082">
            <w:pP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以投标文件中加盖供应商或品牌厂商公章的证明材料扫描件为评分依据（提供带有CNAS标识的第三方权威机构出具的检验检测报告作为评分依据）。</w:t>
            </w:r>
          </w:p>
        </w:tc>
        <w:tc>
          <w:tcPr>
            <w:tcW w:w="617" w:type="dxa"/>
            <w:tcBorders>
              <w:top w:val="nil"/>
              <w:left w:val="nil"/>
              <w:bottom w:val="single" w:color="000000" w:sz="8" w:space="0"/>
              <w:right w:val="single" w:color="000000" w:sz="8" w:space="0"/>
            </w:tcBorders>
            <w:shd w:val="clear" w:color="auto" w:fill="auto"/>
            <w:vAlign w:val="center"/>
          </w:tcPr>
          <w:p w14:paraId="2EF93C69">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13分</w:t>
            </w:r>
          </w:p>
        </w:tc>
        <w:tc>
          <w:tcPr>
            <w:tcW w:w="909" w:type="dxa"/>
            <w:tcBorders>
              <w:top w:val="nil"/>
              <w:left w:val="nil"/>
              <w:bottom w:val="single" w:color="000000" w:sz="8" w:space="0"/>
              <w:right w:val="single" w:color="000000" w:sz="8" w:space="0"/>
            </w:tcBorders>
            <w:shd w:val="clear" w:color="auto" w:fill="auto"/>
            <w:vAlign w:val="center"/>
          </w:tcPr>
          <w:p w14:paraId="77635F7C">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3CA726B7">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7567B72D">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5</w:t>
            </w:r>
          </w:p>
        </w:tc>
        <w:tc>
          <w:tcPr>
            <w:tcW w:w="1095" w:type="dxa"/>
            <w:tcBorders>
              <w:top w:val="nil"/>
              <w:left w:val="nil"/>
              <w:bottom w:val="single" w:color="000000" w:sz="8" w:space="0"/>
              <w:right w:val="single" w:color="000000" w:sz="8" w:space="0"/>
            </w:tcBorders>
            <w:shd w:val="clear" w:color="auto" w:fill="auto"/>
            <w:vAlign w:val="center"/>
          </w:tcPr>
          <w:p w14:paraId="1D6753C1">
            <w:pPr>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实施保障方案</w:t>
            </w:r>
          </w:p>
        </w:tc>
        <w:tc>
          <w:tcPr>
            <w:tcW w:w="6060" w:type="dxa"/>
            <w:tcBorders>
              <w:top w:val="nil"/>
              <w:left w:val="nil"/>
              <w:bottom w:val="single" w:color="000000" w:sz="8" w:space="0"/>
              <w:right w:val="single" w:color="000000" w:sz="8" w:space="0"/>
            </w:tcBorders>
            <w:shd w:val="clear" w:color="auto" w:fill="auto"/>
            <w:vAlign w:val="center"/>
          </w:tcPr>
          <w:p w14:paraId="6DD5FE93">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根据投标人提供的实施保障方案，包括但不限于：</w:t>
            </w:r>
            <w:r>
              <w:rPr>
                <w:rFonts w:hint="eastAsia" w:asciiTheme="minorEastAsia" w:hAnsiTheme="minorEastAsia" w:eastAsiaTheme="minorEastAsia" w:cstheme="minorEastAsia"/>
                <w:sz w:val="20"/>
                <w:szCs w:val="20"/>
                <w:lang w:eastAsia="zh-CN" w:bidi="ar"/>
              </w:rPr>
              <w:br w:type="textWrapping"/>
            </w:r>
            <w:r>
              <w:rPr>
                <w:rFonts w:hint="eastAsia" w:asciiTheme="minorEastAsia" w:hAnsiTheme="minorEastAsia" w:eastAsiaTheme="minorEastAsia" w:cstheme="minorEastAsia"/>
                <w:sz w:val="20"/>
                <w:szCs w:val="20"/>
                <w:lang w:eastAsia="zh-CN" w:bidi="ar"/>
              </w:rPr>
              <w:t>1.实施计划</w:t>
            </w:r>
            <w:r>
              <w:rPr>
                <w:rFonts w:hint="eastAsia" w:asciiTheme="minorEastAsia" w:hAnsiTheme="minorEastAsia" w:eastAsiaTheme="minorEastAsia" w:cstheme="minorEastAsia"/>
                <w:sz w:val="20"/>
                <w:szCs w:val="20"/>
                <w:lang w:val="zh-CN" w:eastAsia="zh-CN" w:bidi="ar"/>
              </w:rPr>
              <w:t>；</w:t>
            </w:r>
            <w:r>
              <w:rPr>
                <w:rFonts w:hint="eastAsia" w:asciiTheme="minorEastAsia" w:hAnsiTheme="minorEastAsia" w:eastAsiaTheme="minorEastAsia" w:cstheme="minorEastAsia"/>
                <w:sz w:val="20"/>
                <w:szCs w:val="20"/>
                <w:lang w:eastAsia="zh-CN" w:bidi="ar"/>
              </w:rPr>
              <w:t>2.组织方案</w:t>
            </w:r>
            <w:r>
              <w:rPr>
                <w:rFonts w:hint="eastAsia" w:asciiTheme="minorEastAsia" w:hAnsiTheme="minorEastAsia" w:eastAsiaTheme="minorEastAsia" w:cstheme="minorEastAsia"/>
                <w:sz w:val="20"/>
                <w:szCs w:val="20"/>
                <w:lang w:val="zh-CN" w:eastAsia="zh-CN" w:bidi="ar"/>
              </w:rPr>
              <w:t>；</w:t>
            </w:r>
            <w:r>
              <w:rPr>
                <w:rFonts w:hint="eastAsia" w:asciiTheme="minorEastAsia" w:hAnsiTheme="minorEastAsia" w:eastAsiaTheme="minorEastAsia" w:cstheme="minorEastAsia"/>
                <w:sz w:val="20"/>
                <w:szCs w:val="20"/>
                <w:lang w:eastAsia="zh-CN" w:bidi="ar"/>
              </w:rPr>
              <w:t>3.质量控制、风险控制。</w:t>
            </w:r>
          </w:p>
          <w:p w14:paraId="400A1411">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上述小项方案具有针对性和可行性，内容完整合理满足采购需求要求的每项得</w:t>
            </w:r>
            <w:r>
              <w:rPr>
                <w:rFonts w:hint="eastAsia" w:asciiTheme="minorEastAsia" w:hAnsiTheme="minorEastAsia" w:eastAsiaTheme="minorEastAsia" w:cstheme="minorEastAsia"/>
                <w:sz w:val="20"/>
                <w:szCs w:val="20"/>
                <w:lang w:eastAsia="zh-CN" w:bidi="ar"/>
              </w:rPr>
              <w:t>3</w:t>
            </w:r>
            <w:r>
              <w:rPr>
                <w:rFonts w:hint="eastAsia" w:asciiTheme="minorEastAsia" w:hAnsiTheme="minorEastAsia" w:eastAsiaTheme="minorEastAsia" w:cstheme="minorEastAsia"/>
                <w:sz w:val="20"/>
                <w:szCs w:val="20"/>
                <w:lang w:val="zh-CN" w:eastAsia="zh-CN" w:bidi="ar"/>
              </w:rPr>
              <w:t>分。</w:t>
            </w:r>
          </w:p>
          <w:p w14:paraId="07FC367F">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存在一般缺陷的小项方案得</w:t>
            </w:r>
            <w:r>
              <w:rPr>
                <w:rFonts w:hint="eastAsia" w:asciiTheme="minorEastAsia" w:hAnsiTheme="minorEastAsia" w:eastAsiaTheme="minorEastAsia" w:cstheme="minorEastAsia"/>
                <w:sz w:val="20"/>
                <w:szCs w:val="20"/>
                <w:lang w:eastAsia="zh-CN" w:bidi="ar"/>
              </w:rPr>
              <w:t>1.5</w:t>
            </w:r>
            <w:r>
              <w:rPr>
                <w:rFonts w:hint="eastAsia" w:asciiTheme="minorEastAsia" w:hAnsiTheme="minorEastAsia" w:eastAsiaTheme="minorEastAsia" w:cstheme="minorEastAsia"/>
                <w:sz w:val="20"/>
                <w:szCs w:val="20"/>
                <w:lang w:val="zh-CN" w:eastAsia="zh-CN" w:bidi="ar"/>
              </w:rPr>
              <w:t>分（一般缺陷是指方案内容前后不一致、前后逻辑错误、内容有缺失，不影响项目的实施）。</w:t>
            </w:r>
          </w:p>
          <w:p w14:paraId="72F484D2">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bidi="ar"/>
              </w:rPr>
              <w:t>未提供或存在重大缺陷的小项方案不得分（重大缺陷是指方案凭空编造、与采购项目和采购需求无关，无法指导项目实施）</w:t>
            </w:r>
            <w:r>
              <w:rPr>
                <w:rFonts w:hint="eastAsia" w:asciiTheme="minorEastAsia" w:hAnsiTheme="minorEastAsia" w:eastAsiaTheme="minorEastAsia" w:cstheme="minorEastAsia"/>
                <w:sz w:val="20"/>
                <w:szCs w:val="20"/>
                <w:lang w:eastAsia="zh-CN" w:bidi="ar"/>
              </w:rPr>
              <w:t>。</w:t>
            </w:r>
          </w:p>
        </w:tc>
        <w:tc>
          <w:tcPr>
            <w:tcW w:w="617" w:type="dxa"/>
            <w:tcBorders>
              <w:top w:val="nil"/>
              <w:left w:val="nil"/>
              <w:bottom w:val="single" w:color="000000" w:sz="8" w:space="0"/>
              <w:right w:val="single" w:color="000000" w:sz="8" w:space="0"/>
            </w:tcBorders>
            <w:shd w:val="clear" w:color="auto" w:fill="auto"/>
            <w:vAlign w:val="center"/>
          </w:tcPr>
          <w:p w14:paraId="4B19F067">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9分</w:t>
            </w:r>
          </w:p>
        </w:tc>
        <w:tc>
          <w:tcPr>
            <w:tcW w:w="909" w:type="dxa"/>
            <w:tcBorders>
              <w:top w:val="nil"/>
              <w:left w:val="nil"/>
              <w:bottom w:val="single" w:color="000000" w:sz="8" w:space="0"/>
              <w:right w:val="single" w:color="000000" w:sz="8" w:space="0"/>
            </w:tcBorders>
            <w:shd w:val="clear" w:color="auto" w:fill="auto"/>
            <w:vAlign w:val="center"/>
          </w:tcPr>
          <w:p w14:paraId="20C74166">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主观项</w:t>
            </w:r>
          </w:p>
        </w:tc>
      </w:tr>
      <w:tr w14:paraId="210DF0D0">
        <w:tblPrEx>
          <w:tblCellMar>
            <w:top w:w="0" w:type="dxa"/>
            <w:left w:w="108" w:type="dxa"/>
            <w:bottom w:w="0" w:type="dxa"/>
            <w:right w:w="108" w:type="dxa"/>
          </w:tblCellMar>
        </w:tblPrEx>
        <w:tc>
          <w:tcPr>
            <w:tcW w:w="9319" w:type="dxa"/>
            <w:gridSpan w:val="5"/>
            <w:tcBorders>
              <w:top w:val="nil"/>
              <w:left w:val="single" w:color="000000" w:sz="8" w:space="0"/>
              <w:bottom w:val="single" w:color="000000" w:sz="8" w:space="0"/>
              <w:right w:val="single" w:color="000000" w:sz="8" w:space="0"/>
            </w:tcBorders>
            <w:shd w:val="clear" w:color="auto" w:fill="auto"/>
            <w:vAlign w:val="center"/>
          </w:tcPr>
          <w:p w14:paraId="3F4C9983">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z w:val="20"/>
                <w:szCs w:val="20"/>
                <w:lang w:eastAsia="zh-CN" w:bidi="ar"/>
              </w:rPr>
              <w:t>（三）商务评分（</w:t>
            </w:r>
            <w:r>
              <w:rPr>
                <w:rStyle w:val="53"/>
                <w:rFonts w:asciiTheme="minorEastAsia" w:hAnsiTheme="minorEastAsia" w:eastAsiaTheme="minorEastAsia" w:cstheme="minorEastAsia"/>
                <w:b/>
                <w:bCs/>
                <w:sz w:val="20"/>
                <w:szCs w:val="20"/>
                <w:lang w:eastAsia="zh-CN" w:bidi="ar"/>
              </w:rPr>
              <w:t xml:space="preserve"> 19.00分）</w:t>
            </w:r>
          </w:p>
        </w:tc>
      </w:tr>
      <w:tr w14:paraId="30960C8A">
        <w:tblPrEx>
          <w:tblCellMar>
            <w:top w:w="0" w:type="dxa"/>
            <w:left w:w="108" w:type="dxa"/>
            <w:bottom w:w="0" w:type="dxa"/>
            <w:right w:w="108" w:type="dxa"/>
          </w:tblCellMar>
        </w:tblPrEx>
        <w:tc>
          <w:tcPr>
            <w:tcW w:w="638" w:type="dxa"/>
            <w:tcBorders>
              <w:top w:val="nil"/>
              <w:left w:val="single" w:color="000000" w:sz="8" w:space="0"/>
              <w:bottom w:val="single" w:color="000000" w:sz="8" w:space="0"/>
              <w:right w:val="single" w:color="000000" w:sz="8" w:space="0"/>
            </w:tcBorders>
            <w:shd w:val="clear" w:color="auto" w:fill="auto"/>
            <w:vAlign w:val="center"/>
          </w:tcPr>
          <w:p w14:paraId="7F222010">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1</w:t>
            </w:r>
          </w:p>
        </w:tc>
        <w:tc>
          <w:tcPr>
            <w:tcW w:w="1095" w:type="dxa"/>
            <w:tcBorders>
              <w:top w:val="single" w:color="000000" w:sz="8" w:space="0"/>
              <w:left w:val="nil"/>
              <w:bottom w:val="single" w:color="000000" w:sz="8" w:space="0"/>
              <w:right w:val="single" w:color="000000" w:sz="8" w:space="0"/>
            </w:tcBorders>
            <w:shd w:val="clear" w:color="auto" w:fill="auto"/>
            <w:vAlign w:val="center"/>
          </w:tcPr>
          <w:p w14:paraId="5DB5EEC4">
            <w:pPr>
              <w:widowControl w:val="0"/>
              <w:jc w:val="both"/>
              <w:rPr>
                <w:rFonts w:hint="eastAsia" w:asciiTheme="minorEastAsia" w:hAnsiTheme="minorEastAsia" w:eastAsiaTheme="minorEastAsia" w:cstheme="minorEastAsia"/>
                <w:sz w:val="20"/>
                <w:szCs w:val="20"/>
              </w:rPr>
            </w:pPr>
            <w:r>
              <w:rPr>
                <w:rFonts w:hint="eastAsia"/>
                <w:lang w:val="zh-CN" w:eastAsia="zh-CN"/>
              </w:rPr>
              <w:t>售后服务方案</w:t>
            </w:r>
          </w:p>
        </w:tc>
        <w:tc>
          <w:tcPr>
            <w:tcW w:w="6060" w:type="dxa"/>
            <w:tcBorders>
              <w:top w:val="single" w:color="000000" w:sz="8" w:space="0"/>
              <w:left w:val="nil"/>
              <w:bottom w:val="single" w:color="000000" w:sz="8" w:space="0"/>
              <w:right w:val="single" w:color="000000" w:sz="8" w:space="0"/>
            </w:tcBorders>
            <w:shd w:val="clear" w:color="auto" w:fill="auto"/>
            <w:vAlign w:val="center"/>
          </w:tcPr>
          <w:p w14:paraId="15A9DB3A">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根据投标人提供的售后服务方案，包括但不限于：</w:t>
            </w:r>
            <w:r>
              <w:rPr>
                <w:rFonts w:hint="eastAsia" w:asciiTheme="minorEastAsia" w:hAnsiTheme="minorEastAsia" w:eastAsiaTheme="minorEastAsia" w:cstheme="minorEastAsia"/>
                <w:sz w:val="20"/>
                <w:szCs w:val="20"/>
                <w:lang w:val="zh-CN" w:eastAsia="zh-CN" w:bidi="ar"/>
              </w:rPr>
              <w:br w:type="textWrapping"/>
            </w:r>
            <w:r>
              <w:rPr>
                <w:rFonts w:hint="eastAsia" w:asciiTheme="minorEastAsia" w:hAnsiTheme="minorEastAsia" w:eastAsiaTheme="minorEastAsia" w:cstheme="minorEastAsia"/>
                <w:sz w:val="20"/>
                <w:szCs w:val="20"/>
                <w:lang w:val="zh-CN" w:eastAsia="zh-CN" w:bidi="ar"/>
              </w:rPr>
              <w:t>1.针对本项目服务机构和人员；</w:t>
            </w:r>
          </w:p>
          <w:p w14:paraId="165C9760">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2.备品备件；</w:t>
            </w:r>
          </w:p>
          <w:p w14:paraId="4C5D26B0">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3.服务响应时间；</w:t>
            </w:r>
          </w:p>
          <w:p w14:paraId="3E51448D">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4.应急保障方案等内容：</w:t>
            </w:r>
          </w:p>
          <w:p w14:paraId="725D2F35">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val="zh-CN" w:eastAsia="zh-CN" w:bidi="ar"/>
              </w:rPr>
              <w:t>上述小项方案具有针对性和可行性，内容完整合理满足采购需求要求的每项得</w:t>
            </w:r>
            <w:r>
              <w:rPr>
                <w:rFonts w:hint="eastAsia" w:asciiTheme="minorEastAsia" w:hAnsiTheme="minorEastAsia" w:eastAsiaTheme="minorEastAsia" w:cstheme="minorEastAsia"/>
                <w:sz w:val="20"/>
                <w:szCs w:val="20"/>
                <w:lang w:eastAsia="zh-CN" w:bidi="ar"/>
              </w:rPr>
              <w:t>1</w:t>
            </w:r>
            <w:r>
              <w:rPr>
                <w:rFonts w:hint="eastAsia" w:asciiTheme="minorEastAsia" w:hAnsiTheme="minorEastAsia" w:eastAsiaTheme="minorEastAsia" w:cstheme="minorEastAsia"/>
                <w:sz w:val="20"/>
                <w:szCs w:val="20"/>
                <w:lang w:val="zh-CN" w:eastAsia="zh-CN" w:bidi="ar"/>
              </w:rPr>
              <w:t>分，</w:t>
            </w:r>
            <w:r>
              <w:rPr>
                <w:rFonts w:hint="eastAsia" w:asciiTheme="minorEastAsia" w:hAnsiTheme="minorEastAsia" w:eastAsiaTheme="minorEastAsia" w:cstheme="minorEastAsia"/>
                <w:sz w:val="20"/>
                <w:szCs w:val="20"/>
                <w:lang w:eastAsia="zh-CN" w:bidi="ar"/>
              </w:rPr>
              <w:t>最多得4分。</w:t>
            </w:r>
          </w:p>
          <w:p w14:paraId="644D5CA4">
            <w:pPr>
              <w:textAlignment w:val="center"/>
              <w:rPr>
                <w:rFonts w:hint="eastAsia" w:asciiTheme="minorEastAsia" w:hAnsiTheme="minorEastAsia" w:eastAsiaTheme="minorEastAsia" w:cstheme="minorEastAsia"/>
                <w:sz w:val="20"/>
                <w:szCs w:val="20"/>
                <w:lang w:val="zh-CN" w:eastAsia="zh-CN" w:bidi="ar"/>
              </w:rPr>
            </w:pPr>
            <w:r>
              <w:rPr>
                <w:rFonts w:hint="eastAsia" w:asciiTheme="minorEastAsia" w:hAnsiTheme="minorEastAsia" w:eastAsiaTheme="minorEastAsia" w:cstheme="minorEastAsia"/>
                <w:sz w:val="20"/>
                <w:szCs w:val="20"/>
                <w:lang w:val="zh-CN" w:eastAsia="zh-CN" w:bidi="ar"/>
              </w:rPr>
              <w:t>存在一般缺陷的小项方案得</w:t>
            </w:r>
            <w:r>
              <w:rPr>
                <w:rFonts w:hint="eastAsia" w:asciiTheme="minorEastAsia" w:hAnsiTheme="minorEastAsia" w:eastAsiaTheme="minorEastAsia" w:cstheme="minorEastAsia"/>
                <w:sz w:val="20"/>
                <w:szCs w:val="20"/>
                <w:lang w:eastAsia="zh-CN" w:bidi="ar"/>
              </w:rPr>
              <w:t>0.5</w:t>
            </w:r>
            <w:r>
              <w:rPr>
                <w:rFonts w:hint="eastAsia" w:asciiTheme="minorEastAsia" w:hAnsiTheme="minorEastAsia" w:eastAsiaTheme="minorEastAsia" w:cstheme="minorEastAsia"/>
                <w:sz w:val="20"/>
                <w:szCs w:val="20"/>
                <w:lang w:val="zh-CN" w:eastAsia="zh-CN" w:bidi="ar"/>
              </w:rPr>
              <w:t>分（一般缺陷是指方案内容前后不一致、前后逻辑错误、内容有缺失，不影响项目的实施）。</w:t>
            </w:r>
          </w:p>
          <w:p w14:paraId="56635334">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bidi="ar"/>
              </w:rPr>
              <w:t>未提供或存在重大缺陷的小项方案不得分（重大缺陷是指方案凭空编造、与采购项目和采购需求无关，无法指导项目实施</w:t>
            </w:r>
            <w:r>
              <w:rPr>
                <w:rFonts w:hint="eastAsia"/>
                <w:lang w:val="zh-CN" w:eastAsia="zh-CN"/>
              </w:rPr>
              <w:t>）。</w:t>
            </w:r>
          </w:p>
        </w:tc>
        <w:tc>
          <w:tcPr>
            <w:tcW w:w="617" w:type="dxa"/>
            <w:tcBorders>
              <w:top w:val="single" w:color="000000" w:sz="8" w:space="0"/>
              <w:left w:val="nil"/>
              <w:bottom w:val="single" w:color="000000" w:sz="8" w:space="0"/>
              <w:right w:val="single" w:color="000000" w:sz="8" w:space="0"/>
            </w:tcBorders>
            <w:shd w:val="clear" w:color="auto" w:fill="auto"/>
            <w:vAlign w:val="center"/>
          </w:tcPr>
          <w:p w14:paraId="3EAA4D96">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4分</w:t>
            </w:r>
          </w:p>
        </w:tc>
        <w:tc>
          <w:tcPr>
            <w:tcW w:w="909" w:type="dxa"/>
            <w:tcBorders>
              <w:top w:val="single" w:color="000000" w:sz="8" w:space="0"/>
              <w:left w:val="nil"/>
              <w:bottom w:val="single" w:color="000000" w:sz="8" w:space="0"/>
              <w:right w:val="single" w:color="000000" w:sz="8" w:space="0"/>
            </w:tcBorders>
            <w:shd w:val="clear" w:color="auto" w:fill="auto"/>
            <w:vAlign w:val="center"/>
          </w:tcPr>
          <w:p w14:paraId="336C9E61">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主观项</w:t>
            </w:r>
          </w:p>
        </w:tc>
      </w:tr>
      <w:tr w14:paraId="574C6211">
        <w:tblPrEx>
          <w:tblCellMar>
            <w:top w:w="0" w:type="dxa"/>
            <w:left w:w="108" w:type="dxa"/>
            <w:bottom w:w="0" w:type="dxa"/>
            <w:right w:w="108" w:type="dxa"/>
          </w:tblCellMar>
        </w:tblPrEx>
        <w:tc>
          <w:tcPr>
            <w:tcW w:w="638" w:type="dxa"/>
            <w:tcBorders>
              <w:top w:val="nil"/>
              <w:left w:val="single" w:color="000000" w:sz="8" w:space="0"/>
              <w:bottom w:val="single" w:color="auto" w:sz="4" w:space="0"/>
              <w:right w:val="single" w:color="000000" w:sz="8" w:space="0"/>
            </w:tcBorders>
            <w:shd w:val="clear" w:color="auto" w:fill="auto"/>
            <w:vAlign w:val="center"/>
          </w:tcPr>
          <w:p w14:paraId="003F058D">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2</w:t>
            </w:r>
          </w:p>
        </w:tc>
        <w:tc>
          <w:tcPr>
            <w:tcW w:w="1095" w:type="dxa"/>
            <w:tcBorders>
              <w:top w:val="nil"/>
              <w:left w:val="nil"/>
              <w:bottom w:val="single" w:color="auto" w:sz="4" w:space="0"/>
              <w:right w:val="single" w:color="000000" w:sz="8" w:space="0"/>
            </w:tcBorders>
            <w:shd w:val="clear" w:color="auto" w:fill="auto"/>
            <w:vAlign w:val="center"/>
          </w:tcPr>
          <w:p w14:paraId="53879404">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企业业绩</w:t>
            </w:r>
          </w:p>
        </w:tc>
        <w:tc>
          <w:tcPr>
            <w:tcW w:w="6060" w:type="dxa"/>
            <w:tcBorders>
              <w:top w:val="nil"/>
              <w:left w:val="nil"/>
              <w:bottom w:val="single" w:color="auto" w:sz="4" w:space="0"/>
              <w:right w:val="single" w:color="000000" w:sz="8" w:space="0"/>
            </w:tcBorders>
            <w:shd w:val="clear" w:color="auto" w:fill="auto"/>
            <w:vAlign w:val="center"/>
          </w:tcPr>
          <w:p w14:paraId="7AA8DDD6">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2022年1月1日至今）投标人或品牌厂商提供具有智慧校园、一卡通建设销售业绩成功案例，提供完整合同的为有效案例，未提供或不提供完整者不得分。其中提供包含有智慧校园案例，每提供一个得1分，最多得4分。</w:t>
            </w:r>
          </w:p>
          <w:p w14:paraId="1434081C">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bidi="ar"/>
              </w:rPr>
              <w:t>(以投标文件中加盖投标人或品牌厂商公章的相应业绩合同复印件为评分依据)</w:t>
            </w:r>
          </w:p>
        </w:tc>
        <w:tc>
          <w:tcPr>
            <w:tcW w:w="617" w:type="dxa"/>
            <w:tcBorders>
              <w:top w:val="nil"/>
              <w:left w:val="nil"/>
              <w:bottom w:val="single" w:color="auto" w:sz="4" w:space="0"/>
              <w:right w:val="single" w:color="000000" w:sz="8" w:space="0"/>
            </w:tcBorders>
            <w:shd w:val="clear" w:color="auto" w:fill="auto"/>
            <w:vAlign w:val="center"/>
          </w:tcPr>
          <w:p w14:paraId="7D25A475">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4分</w:t>
            </w:r>
          </w:p>
        </w:tc>
        <w:tc>
          <w:tcPr>
            <w:tcW w:w="909" w:type="dxa"/>
            <w:tcBorders>
              <w:top w:val="nil"/>
              <w:left w:val="nil"/>
              <w:bottom w:val="single" w:color="auto" w:sz="4" w:space="0"/>
              <w:right w:val="single" w:color="000000" w:sz="8" w:space="0"/>
            </w:tcBorders>
            <w:shd w:val="clear" w:color="auto" w:fill="auto"/>
            <w:vAlign w:val="center"/>
          </w:tcPr>
          <w:p w14:paraId="57EA900A">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077149ED">
        <w:tblPrEx>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5D0A2A6A">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E665113">
            <w:pPr>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bidi="ar"/>
              </w:rPr>
              <w:t>开发能力</w:t>
            </w:r>
          </w:p>
        </w:tc>
        <w:tc>
          <w:tcPr>
            <w:tcW w:w="6060" w:type="dxa"/>
            <w:tcBorders>
              <w:top w:val="single" w:color="auto" w:sz="4" w:space="0"/>
              <w:left w:val="single" w:color="auto" w:sz="4" w:space="0"/>
              <w:bottom w:val="single" w:color="auto" w:sz="4" w:space="0"/>
              <w:right w:val="single" w:color="auto" w:sz="4" w:space="0"/>
            </w:tcBorders>
            <w:shd w:val="clear" w:color="auto" w:fill="auto"/>
            <w:vAlign w:val="center"/>
          </w:tcPr>
          <w:p w14:paraId="192517DF">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投标人或品牌厂商需具有独立开发能力：</w:t>
            </w:r>
          </w:p>
          <w:p w14:paraId="4519A0DA">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1.提供与所投第1项一卡通管理系统相关的软件著作权登记证书。每提供1项得1分，不提供不得分，满分1分。</w:t>
            </w:r>
          </w:p>
          <w:p w14:paraId="738E65E2">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2.提供与所投第2项智慧服务通综合管理系统相关的软件著作权登记证书。每提供1项得1分，不提供不得分，满分1分。</w:t>
            </w:r>
          </w:p>
          <w:p w14:paraId="11E65BD7">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3.提供与所投第3项数据交互接口软件相关的软件著作权证书。</w:t>
            </w:r>
          </w:p>
          <w:p w14:paraId="5B5B12D9">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每提供1项得1分，不提供不得分，满分1分。</w:t>
            </w:r>
          </w:p>
          <w:p w14:paraId="78B0A797">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4.提供与所投第4智慧校园大数据综合服务平台相关的软件著作权证书。每提供1项得1分，不提供不得分，满分1分。</w:t>
            </w:r>
          </w:p>
          <w:p w14:paraId="5E8B00CF">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5.提供与所投第6项自助证卡充值管理系统相关的软件著作权证书。每提供1项得1分，不提供不得分，满分1分。</w:t>
            </w:r>
          </w:p>
          <w:p w14:paraId="47899981">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(以投标文件中加盖供应商公章的系统软件著作权扫描件和查询地址作为评分依据)</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7CDD7EBA">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5分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D999A67">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0074162B">
        <w:tblPrEx>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C1B0926">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2A61D4B">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企业实力</w:t>
            </w:r>
          </w:p>
        </w:tc>
        <w:tc>
          <w:tcPr>
            <w:tcW w:w="6060" w:type="dxa"/>
            <w:tcBorders>
              <w:top w:val="single" w:color="auto" w:sz="4" w:space="0"/>
              <w:left w:val="single" w:color="auto" w:sz="4" w:space="0"/>
              <w:bottom w:val="single" w:color="auto" w:sz="4" w:space="0"/>
              <w:right w:val="single" w:color="auto" w:sz="4" w:space="0"/>
            </w:tcBorders>
            <w:shd w:val="clear" w:color="auto" w:fill="auto"/>
            <w:vAlign w:val="center"/>
          </w:tcPr>
          <w:p w14:paraId="64FA1E62">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投标人或品牌厂商提供以下有效期内的相关认证证书：</w:t>
            </w:r>
          </w:p>
          <w:p w14:paraId="646A084C">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1.环境管理体系认证证书（ISO14001），</w:t>
            </w:r>
          </w:p>
          <w:p w14:paraId="43CC771B">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2.质量管理体系认证证书（ISO9001），</w:t>
            </w:r>
          </w:p>
          <w:p w14:paraId="3BF51B2C">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3.职业健康安全管理体系认证证书（ISO45001），</w:t>
            </w:r>
          </w:p>
          <w:p w14:paraId="7306D4A2">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4.安防二级及以上资信证书。</w:t>
            </w:r>
          </w:p>
          <w:p w14:paraId="5F94F0EE">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以上证书每提供1个得1分，不提供不得分，最多得4分</w:t>
            </w:r>
          </w:p>
          <w:p w14:paraId="02153D76">
            <w:pP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(以投标文件中加盖投标供应商公章的证书扫描件作为评分依据)</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12F7A541">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4分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8967B9B">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r w14:paraId="6291EF29">
        <w:tblPrEx>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A50B6FA">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AE30477">
            <w:pPr>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质保</w:t>
            </w:r>
            <w:r>
              <w:rPr>
                <w:rFonts w:hint="eastAsia" w:asciiTheme="minorEastAsia" w:hAnsiTheme="minorEastAsia" w:eastAsiaTheme="minorEastAsia" w:cstheme="minorEastAsia"/>
                <w:sz w:val="20"/>
                <w:szCs w:val="20"/>
                <w:lang w:eastAsia="zh-CN"/>
              </w:rPr>
              <w:t>期</w:t>
            </w:r>
          </w:p>
        </w:tc>
        <w:tc>
          <w:tcPr>
            <w:tcW w:w="6060" w:type="dxa"/>
            <w:tcBorders>
              <w:top w:val="single" w:color="auto" w:sz="4" w:space="0"/>
              <w:left w:val="single" w:color="auto" w:sz="4" w:space="0"/>
              <w:bottom w:val="single" w:color="auto" w:sz="4" w:space="0"/>
              <w:right w:val="single" w:color="auto" w:sz="4" w:space="0"/>
            </w:tcBorders>
            <w:shd w:val="clear" w:color="auto" w:fill="auto"/>
            <w:vAlign w:val="center"/>
          </w:tcPr>
          <w:p w14:paraId="6E68B233">
            <w:pP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i w:val="0"/>
                <w:iCs w:val="0"/>
                <w:color w:val="000000"/>
                <w:sz w:val="20"/>
                <w:szCs w:val="20"/>
                <w:u w:val="none"/>
                <w:lang w:val="en-US" w:eastAsia="zh-CN"/>
              </w:rPr>
              <w:t>免费保质期5年，在此基础上每增加1年得1分，满分2分。</w:t>
            </w:r>
            <w:r>
              <w:rPr>
                <w:rFonts w:hint="eastAsia" w:asciiTheme="minorEastAsia" w:hAnsiTheme="minorEastAsia" w:eastAsiaTheme="minorEastAsia" w:cstheme="minorEastAsia"/>
                <w:sz w:val="20"/>
                <w:szCs w:val="20"/>
                <w:lang w:eastAsia="zh-CN"/>
              </w:rPr>
              <w:t>不提供不得分。(以投标文件中提供的承诺函并加盖投标供应商公章或法人签字作为评分依据)</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602BDC38">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2分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FA2A290">
            <w:pPr>
              <w:jc w:val="center"/>
              <w:textAlignment w:val="center"/>
              <w:rPr>
                <w:rFonts w:hint="eastAsia" w:asciiTheme="minorEastAsia" w:hAnsiTheme="minorEastAsia" w:eastAsiaTheme="minorEastAsia" w:cstheme="minorEastAsia"/>
                <w:sz w:val="20"/>
                <w:szCs w:val="20"/>
                <w:lang w:eastAsia="zh-CN" w:bidi="ar"/>
              </w:rPr>
            </w:pPr>
            <w:r>
              <w:rPr>
                <w:rFonts w:hint="eastAsia" w:asciiTheme="minorEastAsia" w:hAnsiTheme="minorEastAsia" w:eastAsiaTheme="minorEastAsia" w:cstheme="minorEastAsia"/>
                <w:sz w:val="20"/>
                <w:szCs w:val="20"/>
                <w:lang w:eastAsia="zh-CN" w:bidi="ar"/>
              </w:rPr>
              <w:t>客观项</w:t>
            </w:r>
          </w:p>
        </w:tc>
      </w:tr>
    </w:tbl>
    <w:p w14:paraId="1003A8A2">
      <w:pPr>
        <w:kinsoku/>
        <w:snapToGrid/>
        <w:spacing w:line="0" w:lineRule="atLeast"/>
        <w:textAlignment w:val="auto"/>
        <w:rPr>
          <w:rFonts w:hint="eastAsia" w:ascii="宋体" w:hAnsi="宋体" w:cs="宋体"/>
          <w:color w:val="auto"/>
        </w:rPr>
      </w:pPr>
      <w:r>
        <w:rPr>
          <w:rFonts w:hint="eastAsia" w:ascii="宋体" w:hAnsi="宋体" w:cs="宋体"/>
          <w:color w:val="auto"/>
        </w:rPr>
        <w:t xml:space="preserve"> </w:t>
      </w:r>
    </w:p>
    <w:p w14:paraId="374D42CD">
      <w:pPr>
        <w:kinsoku/>
        <w:snapToGrid/>
        <w:spacing w:line="0" w:lineRule="atLeast"/>
        <w:textAlignment w:val="auto"/>
        <w:rPr>
          <w:rFonts w:hint="eastAsia" w:ascii="宋体" w:hAnsi="宋体" w:cs="宋体"/>
          <w:color w:val="auto"/>
        </w:rPr>
      </w:pPr>
      <w:r>
        <w:rPr>
          <w:rFonts w:hint="eastAsia" w:ascii="宋体" w:hAnsi="宋体" w:cs="宋体"/>
          <w:color w:val="auto"/>
        </w:rPr>
        <w:t xml:space="preserve"> </w:t>
      </w:r>
    </w:p>
    <w:p w14:paraId="6B7C1EAC">
      <w:pPr>
        <w:spacing w:before="221"/>
        <w:rPr>
          <w:rFonts w:hint="eastAsia" w:ascii="宋体" w:hAnsi="宋体" w:cs="宋体"/>
          <w:color w:val="auto"/>
          <w:sz w:val="20"/>
          <w:szCs w:val="20"/>
          <w:lang w:eastAsia="zh-CN"/>
        </w:rPr>
      </w:pPr>
    </w:p>
    <w:p w14:paraId="04229721">
      <w:pPr>
        <w:spacing w:before="221"/>
        <w:rPr>
          <w:rFonts w:hint="eastAsia" w:ascii="宋体" w:hAnsi="宋体" w:cs="宋体"/>
          <w:color w:val="auto"/>
          <w:sz w:val="20"/>
          <w:szCs w:val="20"/>
          <w:lang w:eastAsia="zh-CN"/>
        </w:rPr>
      </w:pPr>
    </w:p>
    <w:p w14:paraId="4F529724">
      <w:pPr>
        <w:spacing w:before="221"/>
        <w:rPr>
          <w:rFonts w:hint="eastAsia" w:ascii="宋体" w:hAnsi="宋体" w:cs="宋体"/>
          <w:color w:val="auto"/>
          <w:sz w:val="20"/>
          <w:szCs w:val="20"/>
          <w:lang w:eastAsia="zh-CN"/>
        </w:rPr>
      </w:pPr>
    </w:p>
    <w:p w14:paraId="014E14BE">
      <w:pPr>
        <w:spacing w:before="221"/>
        <w:rPr>
          <w:rFonts w:hint="eastAsia" w:ascii="宋体" w:hAnsi="宋体" w:cs="宋体"/>
          <w:color w:val="auto"/>
          <w:sz w:val="20"/>
          <w:szCs w:val="20"/>
          <w:lang w:eastAsia="zh-CN"/>
        </w:rPr>
      </w:pPr>
    </w:p>
    <w:p w14:paraId="1C417326">
      <w:pPr>
        <w:spacing w:before="221"/>
        <w:rPr>
          <w:rFonts w:hint="eastAsia" w:ascii="宋体" w:hAnsi="宋体" w:cs="宋体"/>
          <w:color w:val="auto"/>
          <w:sz w:val="20"/>
          <w:szCs w:val="20"/>
          <w:lang w:eastAsia="zh-CN"/>
        </w:rPr>
      </w:pPr>
    </w:p>
    <w:p w14:paraId="392A9C51">
      <w:pPr>
        <w:spacing w:before="221"/>
        <w:rPr>
          <w:rFonts w:hint="eastAsia" w:ascii="宋体" w:hAnsi="宋体" w:cs="宋体"/>
          <w:color w:val="auto"/>
          <w:sz w:val="20"/>
          <w:szCs w:val="20"/>
          <w:lang w:eastAsia="zh-CN"/>
        </w:rPr>
      </w:pPr>
    </w:p>
    <w:p w14:paraId="745C56D1">
      <w:pPr>
        <w:spacing w:line="228" w:lineRule="auto"/>
        <w:rPr>
          <w:rFonts w:hint="eastAsia" w:ascii="宋体" w:hAnsi="宋体" w:cs="宋体"/>
          <w:color w:val="auto"/>
          <w:sz w:val="20"/>
          <w:szCs w:val="20"/>
          <w:lang w:eastAsia="zh-CN"/>
        </w:rPr>
        <w:sectPr>
          <w:pgSz w:w="11906" w:h="16839"/>
          <w:pgMar w:top="1392" w:right="1362" w:bottom="0" w:left="1369" w:header="0" w:footer="737" w:gutter="0"/>
          <w:pgBorders>
            <w:top w:val="none" w:sz="0" w:space="0"/>
            <w:left w:val="none" w:sz="0" w:space="0"/>
            <w:bottom w:val="none" w:sz="0" w:space="0"/>
            <w:right w:val="none" w:sz="0" w:space="0"/>
          </w:pgBorders>
          <w:pgNumType w:fmt="decimal"/>
          <w:cols w:space="720" w:num="1"/>
        </w:sectPr>
      </w:pPr>
      <w:bookmarkStart w:id="61" w:name="_GoBack"/>
      <w:bookmarkEnd w:id="61"/>
    </w:p>
    <w:p w14:paraId="2F4C3B3E">
      <w:pPr>
        <w:spacing w:before="296" w:line="222" w:lineRule="auto"/>
        <w:ind w:left="679"/>
        <w:rPr>
          <w:rFonts w:hint="eastAsia" w:ascii="宋体" w:hAnsi="宋体" w:cs="宋体"/>
          <w:color w:val="auto"/>
          <w:sz w:val="28"/>
          <w:szCs w:val="28"/>
          <w:lang w:eastAsia="zh-CN"/>
        </w:rPr>
      </w:pPr>
      <w:r>
        <w:rPr>
          <w:rFonts w:hint="eastAsia" w:ascii="宋体" w:hAnsi="宋体" w:cs="宋体"/>
          <w:color w:val="auto"/>
          <w:spacing w:val="-3"/>
          <w:sz w:val="28"/>
          <w:szCs w:val="28"/>
          <w:lang w:eastAsia="zh-CN"/>
        </w:rPr>
        <w:t>附件：</w:t>
      </w:r>
      <w:r>
        <w:rPr>
          <w:rFonts w:hint="eastAsia" w:ascii="宋体" w:hAnsi="宋体" w:cs="宋体"/>
          <w:b/>
          <w:bCs/>
          <w:color w:val="auto"/>
          <w:spacing w:val="-3"/>
          <w:sz w:val="28"/>
          <w:szCs w:val="28"/>
          <w:lang w:eastAsia="zh-CN"/>
        </w:rPr>
        <w:t>关于印发《政府采购促进中小企业发展暂行办法》的通知</w:t>
      </w:r>
    </w:p>
    <w:p w14:paraId="2A49F5B1">
      <w:pPr>
        <w:pStyle w:val="8"/>
        <w:spacing w:line="321" w:lineRule="auto"/>
        <w:rPr>
          <w:rFonts w:hint="eastAsia" w:ascii="宋体" w:hAnsi="宋体" w:eastAsia="宋体" w:cs="宋体"/>
          <w:color w:val="auto"/>
          <w:lang w:eastAsia="zh-CN"/>
        </w:rPr>
      </w:pPr>
      <w:bookmarkStart w:id="33" w:name="_Toc14307"/>
    </w:p>
    <w:p w14:paraId="5699E89D">
      <w:pPr>
        <w:spacing w:before="91" w:line="220" w:lineRule="auto"/>
        <w:ind w:left="3470"/>
        <w:rPr>
          <w:rFonts w:hint="eastAsia" w:ascii="宋体" w:hAnsi="宋体" w:cs="宋体"/>
          <w:color w:val="auto"/>
          <w:sz w:val="28"/>
          <w:szCs w:val="28"/>
          <w:lang w:eastAsia="zh-CN"/>
        </w:rPr>
      </w:pPr>
      <w:r>
        <w:rPr>
          <w:rFonts w:hint="eastAsia" w:ascii="宋体" w:hAnsi="宋体" w:cs="宋体"/>
          <w:b/>
          <w:bCs/>
          <w:color w:val="auto"/>
          <w:spacing w:val="-3"/>
          <w:sz w:val="28"/>
          <w:szCs w:val="28"/>
          <w:lang w:eastAsia="zh-CN"/>
        </w:rPr>
        <w:t>财库〔2020〕46号</w:t>
      </w:r>
    </w:p>
    <w:p w14:paraId="616EF551">
      <w:pPr>
        <w:spacing w:before="215" w:line="502" w:lineRule="exact"/>
        <w:ind w:right="22"/>
        <w:jc w:val="right"/>
        <w:rPr>
          <w:rFonts w:hint="eastAsia" w:ascii="宋体" w:hAnsi="宋体" w:cs="宋体"/>
          <w:color w:val="auto"/>
          <w:sz w:val="20"/>
          <w:szCs w:val="20"/>
          <w:lang w:eastAsia="zh-CN"/>
        </w:rPr>
      </w:pPr>
      <w:r>
        <w:rPr>
          <w:rFonts w:hint="eastAsia" w:ascii="宋体" w:hAnsi="宋体" w:cs="宋体"/>
          <w:color w:val="auto"/>
          <w:spacing w:val="7"/>
          <w:position w:val="23"/>
          <w:sz w:val="20"/>
          <w:szCs w:val="20"/>
          <w:lang w:eastAsia="zh-CN"/>
        </w:rPr>
        <w:t>各中央预算单位办公厅（室</w:t>
      </w:r>
      <w:r>
        <w:rPr>
          <w:rFonts w:hint="eastAsia" w:ascii="宋体" w:hAnsi="宋体" w:cs="宋体"/>
          <w:color w:val="auto"/>
          <w:spacing w:val="14"/>
          <w:position w:val="23"/>
          <w:sz w:val="20"/>
          <w:szCs w:val="20"/>
          <w:lang w:eastAsia="zh-CN"/>
        </w:rPr>
        <w:t>），</w:t>
      </w:r>
      <w:r>
        <w:rPr>
          <w:rFonts w:hint="eastAsia" w:ascii="宋体" w:hAnsi="宋体" w:cs="宋体"/>
          <w:color w:val="auto"/>
          <w:spacing w:val="7"/>
          <w:position w:val="23"/>
          <w:sz w:val="20"/>
          <w:szCs w:val="20"/>
          <w:lang w:eastAsia="zh-CN"/>
        </w:rPr>
        <w:t>各省、自治区、直辖市、计划单列市财政厅（局）、工业和信息</w:t>
      </w:r>
    </w:p>
    <w:p w14:paraId="43495699">
      <w:pPr>
        <w:spacing w:line="227"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化主管部门，新疆生产建设兵团财政局、工业和信息化主管部门：</w:t>
      </w:r>
    </w:p>
    <w:p w14:paraId="651425E7">
      <w:pPr>
        <w:spacing w:before="252" w:line="462" w:lineRule="auto"/>
        <w:ind w:left="4" w:right="22" w:firstLine="41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为贯彻落实《关于促进中小企业健康发展的指导意见》，发挥政府采购政策功能，促进中小企业发展，根据《中华人民共和国政府采购法》、《中华人民共和国中小企业促进法》等法律法规，财政</w:t>
      </w:r>
    </w:p>
    <w:p w14:paraId="76C3E732">
      <w:pPr>
        <w:spacing w:line="226" w:lineRule="auto"/>
        <w:jc w:val="right"/>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部、工业和信息化部制定了《政府采购促进中小企业发展管理办法》。现印发给你们，请遵照</w:t>
      </w:r>
      <w:r>
        <w:rPr>
          <w:rFonts w:hint="eastAsia" w:ascii="宋体" w:hAnsi="宋体" w:cs="宋体"/>
          <w:color w:val="auto"/>
          <w:spacing w:val="8"/>
          <w:sz w:val="20"/>
          <w:szCs w:val="20"/>
          <w:lang w:eastAsia="zh-CN"/>
        </w:rPr>
        <w:t>执行。</w:t>
      </w:r>
    </w:p>
    <w:p w14:paraId="49E96D94">
      <w:pPr>
        <w:spacing w:before="254" w:line="227" w:lineRule="auto"/>
        <w:ind w:left="43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附件：政府采购促进中小企业发展管理办法。</w:t>
      </w:r>
    </w:p>
    <w:p w14:paraId="1C73E237">
      <w:pPr>
        <w:pStyle w:val="8"/>
        <w:spacing w:line="315" w:lineRule="auto"/>
        <w:rPr>
          <w:rFonts w:hint="eastAsia" w:ascii="宋体" w:hAnsi="宋体" w:eastAsia="宋体" w:cs="宋体"/>
          <w:color w:val="auto"/>
          <w:lang w:eastAsia="zh-CN"/>
        </w:rPr>
      </w:pPr>
    </w:p>
    <w:p w14:paraId="65ABF380">
      <w:pPr>
        <w:pStyle w:val="8"/>
        <w:spacing w:line="316" w:lineRule="auto"/>
        <w:rPr>
          <w:rFonts w:hint="eastAsia" w:ascii="宋体" w:hAnsi="宋体" w:eastAsia="宋体" w:cs="宋体"/>
          <w:color w:val="auto"/>
          <w:lang w:eastAsia="zh-CN"/>
        </w:rPr>
      </w:pPr>
    </w:p>
    <w:p w14:paraId="4677C7D6">
      <w:pPr>
        <w:pStyle w:val="8"/>
        <w:spacing w:line="316" w:lineRule="auto"/>
        <w:rPr>
          <w:rFonts w:hint="eastAsia" w:ascii="宋体" w:hAnsi="宋体" w:eastAsia="宋体" w:cs="宋体"/>
          <w:color w:val="auto"/>
          <w:lang w:eastAsia="zh-CN"/>
        </w:rPr>
      </w:pPr>
    </w:p>
    <w:p w14:paraId="1554FCCB">
      <w:pPr>
        <w:spacing w:before="65" w:line="228" w:lineRule="auto"/>
        <w:ind w:right="22"/>
        <w:jc w:val="right"/>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财政部</w:t>
      </w:r>
    </w:p>
    <w:p w14:paraId="4E30C70C">
      <w:pPr>
        <w:pStyle w:val="8"/>
        <w:spacing w:line="436" w:lineRule="auto"/>
        <w:rPr>
          <w:rFonts w:hint="eastAsia" w:ascii="宋体" w:hAnsi="宋体" w:eastAsia="宋体" w:cs="宋体"/>
          <w:color w:val="auto"/>
          <w:lang w:eastAsia="zh-CN"/>
        </w:rPr>
      </w:pPr>
    </w:p>
    <w:p w14:paraId="0051677E">
      <w:pPr>
        <w:spacing w:before="66" w:line="228" w:lineRule="auto"/>
        <w:ind w:right="22"/>
        <w:jc w:val="right"/>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工业和信息化部</w:t>
      </w:r>
    </w:p>
    <w:p w14:paraId="545E7C62">
      <w:pPr>
        <w:pStyle w:val="8"/>
        <w:spacing w:line="436" w:lineRule="auto"/>
        <w:rPr>
          <w:rFonts w:hint="eastAsia" w:ascii="宋体" w:hAnsi="宋体" w:eastAsia="宋体" w:cs="宋体"/>
          <w:color w:val="auto"/>
          <w:lang w:eastAsia="zh-CN"/>
        </w:rPr>
      </w:pPr>
    </w:p>
    <w:p w14:paraId="62D36C71">
      <w:pPr>
        <w:spacing w:before="66" w:line="228" w:lineRule="auto"/>
        <w:ind w:left="7618"/>
        <w:rPr>
          <w:rFonts w:hint="eastAsia" w:ascii="宋体" w:hAnsi="宋体" w:cs="宋体"/>
          <w:color w:val="auto"/>
          <w:sz w:val="20"/>
          <w:szCs w:val="20"/>
          <w:lang w:eastAsia="zh-CN"/>
        </w:rPr>
      </w:pPr>
      <w:r>
        <w:rPr>
          <w:rFonts w:hint="eastAsia" w:ascii="宋体" w:hAnsi="宋体" w:cs="宋体"/>
          <w:color w:val="auto"/>
          <w:spacing w:val="12"/>
          <w:sz w:val="20"/>
          <w:szCs w:val="20"/>
          <w:lang w:eastAsia="zh-CN"/>
        </w:rPr>
        <w:t>2020年12月18日</w:t>
      </w:r>
    </w:p>
    <w:p w14:paraId="327DE60C">
      <w:pPr>
        <w:pStyle w:val="8"/>
        <w:rPr>
          <w:rFonts w:hint="eastAsia" w:ascii="宋体" w:hAnsi="宋体" w:eastAsia="宋体" w:cs="宋体"/>
          <w:color w:val="auto"/>
          <w:lang w:eastAsia="zh-CN"/>
        </w:rPr>
      </w:pPr>
    </w:p>
    <w:p w14:paraId="5E084DF5">
      <w:pPr>
        <w:pStyle w:val="8"/>
        <w:rPr>
          <w:rFonts w:hint="eastAsia" w:ascii="宋体" w:hAnsi="宋体" w:eastAsia="宋体" w:cs="宋体"/>
          <w:color w:val="auto"/>
          <w:lang w:eastAsia="zh-CN"/>
        </w:rPr>
      </w:pPr>
    </w:p>
    <w:p w14:paraId="47BD84D0">
      <w:pPr>
        <w:pStyle w:val="8"/>
        <w:rPr>
          <w:rFonts w:hint="eastAsia" w:ascii="宋体" w:hAnsi="宋体" w:eastAsia="宋体" w:cs="宋体"/>
          <w:color w:val="auto"/>
          <w:lang w:eastAsia="zh-CN"/>
        </w:rPr>
      </w:pPr>
    </w:p>
    <w:p w14:paraId="40FD4F46">
      <w:pPr>
        <w:rPr>
          <w:rFonts w:hint="eastAsia" w:ascii="宋体" w:hAnsi="宋体" w:cs="宋体"/>
          <w:color w:val="auto"/>
          <w:spacing w:val="-1"/>
          <w:sz w:val="28"/>
          <w:szCs w:val="28"/>
          <w:lang w:eastAsia="zh-CN"/>
        </w:rPr>
      </w:pPr>
      <w:r>
        <w:rPr>
          <w:rFonts w:hint="eastAsia" w:ascii="宋体" w:hAnsi="宋体" w:cs="宋体"/>
          <w:color w:val="auto"/>
          <w:spacing w:val="-1"/>
          <w:sz w:val="28"/>
          <w:szCs w:val="28"/>
          <w:lang w:eastAsia="zh-CN"/>
        </w:rPr>
        <w:br w:type="page"/>
      </w:r>
    </w:p>
    <w:p w14:paraId="67A18D8E">
      <w:pPr>
        <w:spacing w:before="91" w:line="222" w:lineRule="auto"/>
        <w:ind w:left="2634"/>
        <w:rPr>
          <w:rFonts w:hint="eastAsia" w:ascii="宋体" w:hAnsi="宋体" w:cs="宋体"/>
          <w:color w:val="auto"/>
          <w:sz w:val="28"/>
          <w:szCs w:val="28"/>
          <w:lang w:eastAsia="zh-CN"/>
        </w:rPr>
      </w:pPr>
      <w:r>
        <w:rPr>
          <w:rFonts w:hint="eastAsia" w:ascii="宋体" w:hAnsi="宋体" w:cs="宋体"/>
          <w:color w:val="auto"/>
          <w:spacing w:val="-1"/>
          <w:sz w:val="28"/>
          <w:szCs w:val="28"/>
          <w:lang w:eastAsia="zh-CN"/>
        </w:rPr>
        <w:t>政府采购促进中小企业发展管理办法</w:t>
      </w:r>
    </w:p>
    <w:p w14:paraId="6F40F285">
      <w:pPr>
        <w:spacing w:before="208" w:line="271" w:lineRule="auto"/>
        <w:ind w:right="37"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第一条</w:t>
      </w:r>
      <w:r>
        <w:rPr>
          <w:rFonts w:hint="eastAsia" w:ascii="宋体" w:hAnsi="宋体" w:cs="宋体"/>
          <w:color w:val="auto"/>
          <w:spacing w:val="23"/>
          <w:sz w:val="20"/>
          <w:szCs w:val="20"/>
          <w:lang w:eastAsia="zh-CN"/>
        </w:rPr>
        <w:t xml:space="preserve">  为了发挥政府采购的政策功能，促进中小</w:t>
      </w:r>
      <w:r>
        <w:rPr>
          <w:rFonts w:hint="eastAsia" w:ascii="宋体" w:hAnsi="宋体" w:cs="宋体"/>
          <w:color w:val="auto"/>
          <w:spacing w:val="22"/>
          <w:sz w:val="20"/>
          <w:szCs w:val="20"/>
          <w:lang w:eastAsia="zh-CN"/>
        </w:rPr>
        <w:t>企业健康发展，根据《中华人民共和国</w:t>
      </w:r>
      <w:r>
        <w:rPr>
          <w:rFonts w:hint="eastAsia" w:ascii="宋体" w:hAnsi="宋体" w:cs="宋体"/>
          <w:color w:val="auto"/>
          <w:spacing w:val="19"/>
          <w:sz w:val="20"/>
          <w:szCs w:val="20"/>
          <w:lang w:eastAsia="zh-CN"/>
        </w:rPr>
        <w:t>政府采购法》、《中华人民共和国中小企业促进法》等有关法律法规，制定本办法。</w:t>
      </w:r>
    </w:p>
    <w:p w14:paraId="2EA900C1">
      <w:pPr>
        <w:spacing w:before="95" w:line="285" w:lineRule="auto"/>
        <w:ind w:left="2" w:right="37" w:firstLine="447"/>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第二条</w:t>
      </w:r>
      <w:r>
        <w:rPr>
          <w:rFonts w:hint="eastAsia" w:ascii="宋体" w:hAnsi="宋体" w:cs="宋体"/>
          <w:color w:val="auto"/>
          <w:spacing w:val="22"/>
          <w:sz w:val="20"/>
          <w:szCs w:val="20"/>
          <w:lang w:eastAsia="zh-CN"/>
        </w:rPr>
        <w:t xml:space="preserve">  本办法所称中小企业，是指在中华人</w:t>
      </w:r>
      <w:r>
        <w:rPr>
          <w:rFonts w:hint="eastAsia" w:ascii="宋体" w:hAnsi="宋体" w:cs="宋体"/>
          <w:color w:val="auto"/>
          <w:spacing w:val="21"/>
          <w:sz w:val="20"/>
          <w:szCs w:val="20"/>
          <w:lang w:eastAsia="zh-CN"/>
        </w:rPr>
        <w:t>民共和国境内依法设立，依据国务院批准的</w:t>
      </w:r>
      <w:r>
        <w:rPr>
          <w:rFonts w:hint="eastAsia" w:ascii="宋体" w:hAnsi="宋体" w:cs="宋体"/>
          <w:color w:val="auto"/>
          <w:spacing w:val="23"/>
          <w:sz w:val="20"/>
          <w:szCs w:val="20"/>
          <w:lang w:eastAsia="zh-CN"/>
        </w:rPr>
        <w:t>中小企业划分标准确定的中型企业、小型企业和微型企业，但与大企业的负责人为同一人，或</w:t>
      </w:r>
      <w:r>
        <w:rPr>
          <w:rFonts w:hint="eastAsia" w:ascii="宋体" w:hAnsi="宋体" w:cs="宋体"/>
          <w:color w:val="auto"/>
          <w:spacing w:val="21"/>
          <w:sz w:val="20"/>
          <w:szCs w:val="20"/>
          <w:lang w:eastAsia="zh-CN"/>
        </w:rPr>
        <w:t>者与大企业存在直接控股、管理关系的除外。</w:t>
      </w:r>
    </w:p>
    <w:p w14:paraId="7EBDF094">
      <w:pPr>
        <w:spacing w:before="94" w:line="227" w:lineRule="auto"/>
        <w:ind w:left="451"/>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符合中小企业划分标准的个体工商户，在政府采购活动中视同中小企业。</w:t>
      </w:r>
    </w:p>
    <w:p w14:paraId="34916F3E">
      <w:pPr>
        <w:spacing w:before="92" w:line="271" w:lineRule="auto"/>
        <w:ind w:right="37"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第三条</w:t>
      </w:r>
      <w:r>
        <w:rPr>
          <w:rFonts w:hint="eastAsia" w:ascii="宋体" w:hAnsi="宋体" w:cs="宋体"/>
          <w:color w:val="auto"/>
          <w:spacing w:val="23"/>
          <w:sz w:val="20"/>
          <w:szCs w:val="20"/>
          <w:lang w:eastAsia="zh-CN"/>
        </w:rPr>
        <w:t xml:space="preserve">  采购人在政府采购活动中应当通过加强采</w:t>
      </w:r>
      <w:r>
        <w:rPr>
          <w:rFonts w:hint="eastAsia" w:ascii="宋体" w:hAnsi="宋体" w:cs="宋体"/>
          <w:color w:val="auto"/>
          <w:spacing w:val="22"/>
          <w:sz w:val="20"/>
          <w:szCs w:val="20"/>
          <w:lang w:eastAsia="zh-CN"/>
        </w:rPr>
        <w:t>购需求管理，落实预留采购份额、价格</w:t>
      </w:r>
      <w:r>
        <w:rPr>
          <w:rFonts w:hint="eastAsia" w:ascii="宋体" w:hAnsi="宋体" w:cs="宋体"/>
          <w:color w:val="auto"/>
          <w:spacing w:val="23"/>
          <w:sz w:val="20"/>
          <w:szCs w:val="20"/>
          <w:lang w:eastAsia="zh-CN"/>
        </w:rPr>
        <w:t>评审优惠、优先采购等措施，提高中小企业在政府采购中的份额</w:t>
      </w:r>
      <w:r>
        <w:rPr>
          <w:rFonts w:hint="eastAsia" w:ascii="宋体" w:hAnsi="宋体" w:cs="宋体"/>
          <w:color w:val="auto"/>
          <w:spacing w:val="22"/>
          <w:sz w:val="20"/>
          <w:szCs w:val="20"/>
          <w:lang w:eastAsia="zh-CN"/>
        </w:rPr>
        <w:t>，支持中小企业发展。</w:t>
      </w:r>
    </w:p>
    <w:p w14:paraId="39F5AA99">
      <w:pPr>
        <w:spacing w:before="95" w:line="270" w:lineRule="auto"/>
        <w:ind w:left="5" w:right="34" w:firstLine="444"/>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第四条</w:t>
      </w:r>
      <w:r>
        <w:rPr>
          <w:rFonts w:hint="eastAsia" w:ascii="宋体" w:hAnsi="宋体" w:cs="宋体"/>
          <w:color w:val="auto"/>
          <w:spacing w:val="22"/>
          <w:sz w:val="20"/>
          <w:szCs w:val="20"/>
          <w:lang w:eastAsia="zh-CN"/>
        </w:rPr>
        <w:t xml:space="preserve">  在政府采购活动中，供应商提供的货物、工</w:t>
      </w:r>
      <w:r>
        <w:rPr>
          <w:rFonts w:hint="eastAsia" w:ascii="宋体" w:hAnsi="宋体" w:cs="宋体"/>
          <w:color w:val="auto"/>
          <w:spacing w:val="21"/>
          <w:sz w:val="20"/>
          <w:szCs w:val="20"/>
          <w:lang w:eastAsia="zh-CN"/>
        </w:rPr>
        <w:t>程或者服务符合下列情形的，享受本</w:t>
      </w:r>
      <w:r>
        <w:rPr>
          <w:rFonts w:hint="eastAsia" w:ascii="宋体" w:hAnsi="宋体" w:cs="宋体"/>
          <w:color w:val="auto"/>
          <w:spacing w:val="20"/>
          <w:sz w:val="20"/>
          <w:szCs w:val="20"/>
          <w:lang w:eastAsia="zh-CN"/>
        </w:rPr>
        <w:t>办法规定的中小企业扶持政策：</w:t>
      </w:r>
    </w:p>
    <w:p w14:paraId="0E879BC2">
      <w:pPr>
        <w:spacing w:before="95" w:line="271" w:lineRule="auto"/>
        <w:ind w:right="37" w:firstLine="459"/>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（一）在货物采购项目中，货物由中小企业制造，即货物由中小</w:t>
      </w:r>
      <w:r>
        <w:rPr>
          <w:rFonts w:hint="eastAsia" w:ascii="宋体" w:hAnsi="宋体" w:cs="宋体"/>
          <w:color w:val="auto"/>
          <w:spacing w:val="20"/>
          <w:sz w:val="20"/>
          <w:szCs w:val="20"/>
          <w:lang w:eastAsia="zh-CN"/>
        </w:rPr>
        <w:t>企业生产且使用该中小企</w:t>
      </w:r>
      <w:r>
        <w:rPr>
          <w:rFonts w:hint="eastAsia" w:ascii="宋体" w:hAnsi="宋体" w:cs="宋体"/>
          <w:color w:val="auto"/>
          <w:spacing w:val="19"/>
          <w:sz w:val="20"/>
          <w:szCs w:val="20"/>
          <w:lang w:eastAsia="zh-CN"/>
        </w:rPr>
        <w:t>业商号或者注册商标；</w:t>
      </w:r>
    </w:p>
    <w:p w14:paraId="2527FC2D">
      <w:pPr>
        <w:spacing w:before="91" w:line="227" w:lineRule="auto"/>
        <w:ind w:left="459"/>
        <w:rPr>
          <w:rFonts w:hint="eastAsia" w:ascii="宋体" w:hAnsi="宋体" w:cs="宋体"/>
          <w:color w:val="auto"/>
          <w:sz w:val="20"/>
          <w:szCs w:val="20"/>
          <w:lang w:eastAsia="zh-CN"/>
        </w:rPr>
      </w:pPr>
      <w:r>
        <w:rPr>
          <w:rFonts w:hint="eastAsia" w:ascii="宋体" w:hAnsi="宋体" w:cs="宋体"/>
          <w:color w:val="auto"/>
          <w:spacing w:val="18"/>
          <w:sz w:val="20"/>
          <w:szCs w:val="20"/>
          <w:lang w:eastAsia="zh-CN"/>
        </w:rPr>
        <w:t>（二）在工程采购项目中，工程由中小企业承建，即工程施工单位为中小企业；</w:t>
      </w:r>
    </w:p>
    <w:p w14:paraId="2677B534">
      <w:pPr>
        <w:spacing w:before="95" w:line="271" w:lineRule="auto"/>
        <w:ind w:left="1" w:right="37" w:firstLine="458"/>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（三）在服务采购项目中，服务由中小企业承接，即提供服务的</w:t>
      </w:r>
      <w:r>
        <w:rPr>
          <w:rFonts w:hint="eastAsia" w:ascii="宋体" w:hAnsi="宋体" w:cs="宋体"/>
          <w:color w:val="auto"/>
          <w:spacing w:val="20"/>
          <w:sz w:val="20"/>
          <w:szCs w:val="20"/>
          <w:lang w:eastAsia="zh-CN"/>
        </w:rPr>
        <w:t>人员为中小企业依照《中华人民共和国劳动合同法》订立劳动合同的</w:t>
      </w:r>
      <w:r>
        <w:rPr>
          <w:rFonts w:hint="eastAsia" w:ascii="宋体" w:hAnsi="宋体" w:cs="宋体"/>
          <w:color w:val="auto"/>
          <w:spacing w:val="19"/>
          <w:sz w:val="20"/>
          <w:szCs w:val="20"/>
          <w:lang w:eastAsia="zh-CN"/>
        </w:rPr>
        <w:t>从业人员。</w:t>
      </w:r>
    </w:p>
    <w:p w14:paraId="0EDF724F">
      <w:pPr>
        <w:spacing w:line="271" w:lineRule="auto"/>
        <w:rPr>
          <w:rFonts w:hint="eastAsia" w:ascii="宋体" w:hAnsi="宋体" w:cs="宋体"/>
          <w:color w:val="auto"/>
          <w:sz w:val="20"/>
          <w:szCs w:val="20"/>
          <w:lang w:eastAsia="zh-CN"/>
        </w:rPr>
        <w:sectPr>
          <w:pgSz w:w="11906" w:h="16839"/>
          <w:pgMar w:top="1431" w:right="1339" w:bottom="0" w:left="1368" w:header="0" w:footer="737" w:gutter="0"/>
          <w:pgBorders>
            <w:top w:val="none" w:sz="0" w:space="0"/>
            <w:left w:val="none" w:sz="0" w:space="0"/>
            <w:bottom w:val="none" w:sz="0" w:space="0"/>
            <w:right w:val="none" w:sz="0" w:space="0"/>
          </w:pgBorders>
          <w:pgNumType w:fmt="decimal"/>
          <w:cols w:space="720" w:num="1"/>
        </w:sectPr>
      </w:pPr>
    </w:p>
    <w:p w14:paraId="442DAA7C">
      <w:pPr>
        <w:spacing w:before="41" w:line="271" w:lineRule="auto"/>
        <w:ind w:left="5" w:firstLine="444"/>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在货物采购项目中，供应商提供的货物既有中小企业制造货物，也有大型企业制造货物的，</w:t>
      </w:r>
      <w:r>
        <w:rPr>
          <w:rFonts w:hint="eastAsia" w:ascii="宋体" w:hAnsi="宋体" w:cs="宋体"/>
          <w:color w:val="auto"/>
          <w:spacing w:val="21"/>
          <w:sz w:val="20"/>
          <w:szCs w:val="20"/>
          <w:lang w:eastAsia="zh-CN"/>
        </w:rPr>
        <w:t>不享受本办法规定的中小企业扶持政策。</w:t>
      </w:r>
    </w:p>
    <w:p w14:paraId="51E5290F">
      <w:pPr>
        <w:spacing w:before="95" w:line="270" w:lineRule="auto"/>
        <w:ind w:left="21" w:right="61" w:firstLine="452"/>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以联合体形式参加政府采购活动，联合体各方均</w:t>
      </w:r>
      <w:r>
        <w:rPr>
          <w:rFonts w:hint="eastAsia" w:ascii="宋体" w:hAnsi="宋体" w:cs="宋体"/>
          <w:color w:val="auto"/>
          <w:spacing w:val="20"/>
          <w:sz w:val="20"/>
          <w:szCs w:val="20"/>
          <w:lang w:eastAsia="zh-CN"/>
        </w:rPr>
        <w:t>为中小企业的，联合体视同中小企业。其</w:t>
      </w:r>
      <w:r>
        <w:rPr>
          <w:rFonts w:hint="eastAsia" w:ascii="宋体" w:hAnsi="宋体" w:cs="宋体"/>
          <w:color w:val="auto"/>
          <w:spacing w:val="19"/>
          <w:sz w:val="20"/>
          <w:szCs w:val="20"/>
          <w:lang w:eastAsia="zh-CN"/>
        </w:rPr>
        <w:t>中，联合体各方均为小微企业的，联合体视同小微企业。</w:t>
      </w:r>
    </w:p>
    <w:p w14:paraId="5945AB03">
      <w:pPr>
        <w:spacing w:before="95" w:line="292" w:lineRule="auto"/>
        <w:ind w:left="2" w:right="59" w:firstLine="447"/>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第五条</w:t>
      </w:r>
      <w:r>
        <w:rPr>
          <w:rFonts w:hint="eastAsia" w:ascii="宋体" w:hAnsi="宋体" w:cs="宋体"/>
          <w:color w:val="auto"/>
          <w:spacing w:val="23"/>
          <w:sz w:val="20"/>
          <w:szCs w:val="20"/>
          <w:lang w:eastAsia="zh-CN"/>
        </w:rPr>
        <w:t xml:space="preserve">  采购人在政府采购活动中应当合理确定采</w:t>
      </w:r>
      <w:r>
        <w:rPr>
          <w:rFonts w:hint="eastAsia" w:ascii="宋体" w:hAnsi="宋体" w:cs="宋体"/>
          <w:color w:val="auto"/>
          <w:spacing w:val="22"/>
          <w:sz w:val="20"/>
          <w:szCs w:val="20"/>
          <w:lang w:eastAsia="zh-CN"/>
        </w:rPr>
        <w:t>购项目的采购需求，不得以企业注册资</w:t>
      </w:r>
      <w:r>
        <w:rPr>
          <w:rFonts w:hint="eastAsia" w:ascii="宋体" w:hAnsi="宋体" w:cs="宋体"/>
          <w:color w:val="auto"/>
          <w:spacing w:val="23"/>
          <w:sz w:val="20"/>
          <w:szCs w:val="20"/>
          <w:lang w:eastAsia="zh-CN"/>
        </w:rPr>
        <w:t>本、资产总额、营业收入、从业人员、利润、纳税额等规模条件和财务指标作为供应商的资格</w:t>
      </w:r>
      <w:r>
        <w:rPr>
          <w:rFonts w:hint="eastAsia" w:ascii="宋体" w:hAnsi="宋体" w:cs="宋体"/>
          <w:color w:val="auto"/>
          <w:spacing w:val="22"/>
          <w:sz w:val="20"/>
          <w:szCs w:val="20"/>
          <w:lang w:eastAsia="zh-CN"/>
        </w:rPr>
        <w:t>要求或者评审因素，不得在企业股权结构、经营年限等方面对中小企业实行差别待遇或者歧视</w:t>
      </w:r>
      <w:r>
        <w:rPr>
          <w:rFonts w:hint="eastAsia" w:ascii="宋体" w:hAnsi="宋体" w:cs="宋体"/>
          <w:color w:val="auto"/>
          <w:spacing w:val="7"/>
          <w:sz w:val="20"/>
          <w:szCs w:val="20"/>
          <w:lang w:eastAsia="zh-CN"/>
        </w:rPr>
        <w:t>待遇。</w:t>
      </w:r>
    </w:p>
    <w:p w14:paraId="3513DF41">
      <w:pPr>
        <w:spacing w:before="92" w:line="285" w:lineRule="auto"/>
        <w:ind w:left="5" w:right="61" w:firstLine="445"/>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第六条</w:t>
      </w:r>
      <w:r>
        <w:rPr>
          <w:rFonts w:hint="eastAsia" w:ascii="宋体" w:hAnsi="宋体" w:cs="宋体"/>
          <w:color w:val="auto"/>
          <w:spacing w:val="22"/>
          <w:sz w:val="20"/>
          <w:szCs w:val="20"/>
          <w:lang w:eastAsia="zh-CN"/>
        </w:rPr>
        <w:t xml:space="preserve">  主管预算单位应当组织评估本部门及</w:t>
      </w:r>
      <w:r>
        <w:rPr>
          <w:rFonts w:hint="eastAsia" w:ascii="宋体" w:hAnsi="宋体" w:cs="宋体"/>
          <w:color w:val="auto"/>
          <w:spacing w:val="21"/>
          <w:sz w:val="20"/>
          <w:szCs w:val="20"/>
          <w:lang w:eastAsia="zh-CN"/>
        </w:rPr>
        <w:t>所属单位政府采购项目，统筹制定面向中小</w:t>
      </w:r>
      <w:r>
        <w:rPr>
          <w:rFonts w:hint="eastAsia" w:ascii="宋体" w:hAnsi="宋体" w:cs="宋体"/>
          <w:color w:val="auto"/>
          <w:spacing w:val="22"/>
          <w:sz w:val="20"/>
          <w:szCs w:val="20"/>
          <w:lang w:eastAsia="zh-CN"/>
        </w:rPr>
        <w:t>企业预留采购份额的具体方案，对适宜由中小企业提供的采购项目和采购包，预留采购份额专门面向中小企业采购，并在政府采购预算中</w:t>
      </w:r>
      <w:r>
        <w:rPr>
          <w:rFonts w:hint="eastAsia" w:ascii="宋体" w:hAnsi="宋体" w:cs="宋体"/>
          <w:color w:val="auto"/>
          <w:spacing w:val="21"/>
          <w:sz w:val="20"/>
          <w:szCs w:val="20"/>
          <w:lang w:eastAsia="zh-CN"/>
        </w:rPr>
        <w:t>单独列示。</w:t>
      </w:r>
    </w:p>
    <w:p w14:paraId="71D840B8">
      <w:pPr>
        <w:spacing w:before="94" w:line="227" w:lineRule="auto"/>
        <w:ind w:left="452"/>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符合下列情形之一的，可不专门面向中小企业预留采购份额：</w:t>
      </w:r>
    </w:p>
    <w:p w14:paraId="41E9B003">
      <w:pPr>
        <w:spacing w:before="92" w:line="271" w:lineRule="auto"/>
        <w:ind w:left="3" w:right="61" w:firstLine="457"/>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（一）法律法规和国家有关政策明确规定优先或者应当面向事业单位、社会组</w:t>
      </w:r>
      <w:r>
        <w:rPr>
          <w:rFonts w:hint="eastAsia" w:ascii="宋体" w:hAnsi="宋体" w:cs="宋体"/>
          <w:color w:val="auto"/>
          <w:spacing w:val="21"/>
          <w:sz w:val="20"/>
          <w:szCs w:val="20"/>
          <w:lang w:eastAsia="zh-CN"/>
        </w:rPr>
        <w:t>织等非企业</w:t>
      </w:r>
      <w:r>
        <w:rPr>
          <w:rFonts w:hint="eastAsia" w:ascii="宋体" w:hAnsi="宋体" w:cs="宋体"/>
          <w:color w:val="auto"/>
          <w:spacing w:val="15"/>
          <w:sz w:val="20"/>
          <w:szCs w:val="20"/>
          <w:lang w:eastAsia="zh-CN"/>
        </w:rPr>
        <w:t>主体采购的；</w:t>
      </w:r>
    </w:p>
    <w:p w14:paraId="1924A0D1">
      <w:pPr>
        <w:spacing w:before="94" w:line="270" w:lineRule="auto"/>
        <w:ind w:left="6" w:right="61" w:firstLine="453"/>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（二）因确需使用不可替代的专利、专有技术，基础设施限制，或者提供特定公共服务等</w:t>
      </w:r>
      <w:r>
        <w:rPr>
          <w:rFonts w:hint="eastAsia" w:ascii="宋体" w:hAnsi="宋体" w:cs="宋体"/>
          <w:color w:val="auto"/>
          <w:spacing w:val="17"/>
          <w:sz w:val="20"/>
          <w:szCs w:val="20"/>
          <w:lang w:eastAsia="zh-CN"/>
        </w:rPr>
        <w:t>原因，只能从中小企业之外的供应商处采购的；</w:t>
      </w:r>
    </w:p>
    <w:p w14:paraId="57C621E2">
      <w:pPr>
        <w:spacing w:before="95" w:line="271" w:lineRule="auto"/>
        <w:ind w:right="59" w:firstLine="459"/>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（三）按照本办法规定预留采购份额无法确保充分供应、充分竞争，或者存</w:t>
      </w:r>
      <w:r>
        <w:rPr>
          <w:rFonts w:hint="eastAsia" w:ascii="宋体" w:hAnsi="宋体" w:cs="宋体"/>
          <w:color w:val="auto"/>
          <w:spacing w:val="21"/>
          <w:sz w:val="20"/>
          <w:szCs w:val="20"/>
          <w:lang w:eastAsia="zh-CN"/>
        </w:rPr>
        <w:t>在可能影响政</w:t>
      </w:r>
      <w:r>
        <w:rPr>
          <w:rFonts w:hint="eastAsia" w:ascii="宋体" w:hAnsi="宋体" w:cs="宋体"/>
          <w:color w:val="auto"/>
          <w:spacing w:val="19"/>
          <w:sz w:val="20"/>
          <w:szCs w:val="20"/>
          <w:lang w:eastAsia="zh-CN"/>
        </w:rPr>
        <w:t>府采购目标实现的情形；</w:t>
      </w:r>
    </w:p>
    <w:p w14:paraId="56DDFC7E">
      <w:pPr>
        <w:spacing w:before="92" w:line="227" w:lineRule="auto"/>
        <w:ind w:left="460"/>
        <w:rPr>
          <w:rFonts w:hint="eastAsia" w:ascii="宋体" w:hAnsi="宋体" w:cs="宋体"/>
          <w:color w:val="auto"/>
          <w:sz w:val="20"/>
          <w:szCs w:val="20"/>
          <w:lang w:eastAsia="zh-CN"/>
        </w:rPr>
      </w:pPr>
      <w:r>
        <w:rPr>
          <w:rFonts w:hint="eastAsia" w:ascii="宋体" w:hAnsi="宋体" w:cs="宋体"/>
          <w:color w:val="auto"/>
          <w:spacing w:val="15"/>
          <w:sz w:val="20"/>
          <w:szCs w:val="20"/>
          <w:lang w:eastAsia="zh-CN"/>
        </w:rPr>
        <w:t>（四）框架协议采购项目；</w:t>
      </w:r>
    </w:p>
    <w:p w14:paraId="55A0908B">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（五）省级以上人民政府财政部门规定的其他情形。</w:t>
      </w:r>
    </w:p>
    <w:p w14:paraId="271DAAB4">
      <w:pPr>
        <w:spacing w:before="95" w:line="227" w:lineRule="auto"/>
        <w:ind w:left="462"/>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除上述情形外，其他均为适宜由中小企业提供的情形。</w:t>
      </w:r>
    </w:p>
    <w:p w14:paraId="1D4CCEBA">
      <w:pPr>
        <w:spacing w:before="92" w:line="271" w:lineRule="auto"/>
        <w:ind w:right="61" w:firstLine="450"/>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第七条</w:t>
      </w:r>
      <w:r>
        <w:rPr>
          <w:rFonts w:hint="eastAsia" w:ascii="宋体" w:hAnsi="宋体" w:cs="宋体"/>
          <w:color w:val="auto"/>
          <w:spacing w:val="21"/>
          <w:sz w:val="20"/>
          <w:szCs w:val="20"/>
          <w:lang w:eastAsia="zh-CN"/>
        </w:rPr>
        <w:t xml:space="preserve">  采购限额标准以上，200万元以下的货物和服务采购项目、400万元以下的工程采购项目，适宜由中小企业提供的，采购人应当专门面向中小企业采购。</w:t>
      </w:r>
    </w:p>
    <w:p w14:paraId="398FC6F3">
      <w:pPr>
        <w:spacing w:before="94" w:line="285" w:lineRule="auto"/>
        <w:ind w:left="1" w:right="59" w:firstLine="448"/>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第八条</w:t>
      </w:r>
      <w:r>
        <w:rPr>
          <w:rFonts w:hint="eastAsia" w:ascii="宋体" w:hAnsi="宋体" w:cs="宋体"/>
          <w:color w:val="auto"/>
          <w:spacing w:val="21"/>
          <w:sz w:val="20"/>
          <w:szCs w:val="20"/>
          <w:lang w:eastAsia="zh-CN"/>
        </w:rPr>
        <w:t xml:space="preserve">  超过200万元的货物和服务采购项目、超过400万元的工程采购项目中适宜由中小</w:t>
      </w:r>
      <w:r>
        <w:rPr>
          <w:rFonts w:hint="eastAsia" w:ascii="宋体" w:hAnsi="宋体" w:cs="宋体"/>
          <w:color w:val="auto"/>
          <w:spacing w:val="23"/>
          <w:sz w:val="20"/>
          <w:szCs w:val="20"/>
          <w:lang w:eastAsia="zh-CN"/>
        </w:rPr>
        <w:t>企业提供的，预留该部分采购项目预算总额的30%以上专门面向中小企业采购，其中预留给小</w:t>
      </w:r>
      <w:r>
        <w:rPr>
          <w:rFonts w:hint="eastAsia" w:ascii="宋体" w:hAnsi="宋体" w:cs="宋体"/>
          <w:color w:val="auto"/>
          <w:spacing w:val="21"/>
          <w:sz w:val="20"/>
          <w:szCs w:val="20"/>
          <w:lang w:eastAsia="zh-CN"/>
        </w:rPr>
        <w:t>微企业的比例不低于60%。预留份额通过</w:t>
      </w:r>
      <w:r>
        <w:rPr>
          <w:rFonts w:hint="eastAsia" w:ascii="宋体" w:hAnsi="宋体" w:cs="宋体"/>
          <w:color w:val="auto"/>
          <w:spacing w:val="20"/>
          <w:sz w:val="20"/>
          <w:szCs w:val="20"/>
          <w:lang w:eastAsia="zh-CN"/>
        </w:rPr>
        <w:t>下列措施进行：</w:t>
      </w:r>
    </w:p>
    <w:p w14:paraId="55E2583A">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（一）将采购项目整体或者设置采购包专门面向中小企业采购；</w:t>
      </w:r>
    </w:p>
    <w:p w14:paraId="39B6D3E3">
      <w:pPr>
        <w:spacing w:before="92" w:line="272" w:lineRule="auto"/>
        <w:ind w:left="24" w:right="59" w:firstLine="436"/>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（二）要求供应商以联合体形式参加采购活动，且联合体中中小企业承担的部</w:t>
      </w:r>
      <w:r>
        <w:rPr>
          <w:rFonts w:hint="eastAsia" w:ascii="宋体" w:hAnsi="宋体" w:cs="宋体"/>
          <w:color w:val="auto"/>
          <w:spacing w:val="21"/>
          <w:sz w:val="20"/>
          <w:szCs w:val="20"/>
          <w:lang w:eastAsia="zh-CN"/>
        </w:rPr>
        <w:t>分达到一定</w:t>
      </w:r>
      <w:r>
        <w:rPr>
          <w:rFonts w:hint="eastAsia" w:ascii="宋体" w:hAnsi="宋体" w:cs="宋体"/>
          <w:color w:val="auto"/>
          <w:sz w:val="20"/>
          <w:szCs w:val="20"/>
          <w:lang w:eastAsia="zh-CN"/>
        </w:rPr>
        <w:t>比例；</w:t>
      </w:r>
    </w:p>
    <w:p w14:paraId="29EE0AF1">
      <w:pPr>
        <w:spacing w:before="93" w:line="276" w:lineRule="auto"/>
        <w:ind w:right="61" w:firstLine="459"/>
        <w:rPr>
          <w:rFonts w:hint="eastAsia" w:ascii="宋体" w:hAnsi="宋体" w:cs="宋体"/>
          <w:color w:val="auto"/>
          <w:sz w:val="20"/>
          <w:szCs w:val="20"/>
          <w:lang w:eastAsia="zh-CN"/>
        </w:rPr>
      </w:pPr>
      <w:r>
        <w:rPr>
          <w:rFonts w:hint="eastAsia" w:ascii="宋体" w:hAnsi="宋体" w:cs="宋体"/>
          <w:color w:val="auto"/>
          <w:spacing w:val="27"/>
          <w:sz w:val="20"/>
          <w:szCs w:val="20"/>
          <w:lang w:eastAsia="zh-CN"/>
        </w:rPr>
        <w:t>（三）要求获得采购合同的供应商将采购项目中的一定比例分包给一家或者多家中小企</w:t>
      </w:r>
      <w:r>
        <w:rPr>
          <w:rFonts w:hint="eastAsia" w:ascii="宋体" w:hAnsi="宋体" w:cs="宋体"/>
          <w:color w:val="auto"/>
          <w:sz w:val="20"/>
          <w:szCs w:val="20"/>
          <w:lang w:eastAsia="zh-CN"/>
        </w:rPr>
        <w:t>业。</w:t>
      </w:r>
    </w:p>
    <w:p w14:paraId="7CE1E097">
      <w:pPr>
        <w:spacing w:before="81" w:line="271" w:lineRule="auto"/>
        <w:ind w:right="61" w:firstLine="452"/>
        <w:rPr>
          <w:rFonts w:hint="eastAsia" w:ascii="宋体" w:hAnsi="宋体" w:cs="宋体"/>
          <w:color w:val="auto"/>
          <w:sz w:val="20"/>
          <w:szCs w:val="20"/>
          <w:lang w:eastAsia="zh-CN"/>
        </w:rPr>
      </w:pPr>
      <w:r>
        <w:rPr>
          <w:rFonts w:hint="eastAsia" w:ascii="宋体" w:hAnsi="宋体" w:cs="宋体"/>
          <w:color w:val="auto"/>
          <w:spacing w:val="23"/>
          <w:sz w:val="20"/>
          <w:szCs w:val="20"/>
          <w:lang w:eastAsia="zh-CN"/>
        </w:rPr>
        <w:t>组成联合体或者接受分包合同的中小企业与联合体内其他企业、分包企业之间不得存在直</w:t>
      </w:r>
      <w:r>
        <w:rPr>
          <w:rFonts w:hint="eastAsia" w:ascii="宋体" w:hAnsi="宋体" w:cs="宋体"/>
          <w:color w:val="auto"/>
          <w:spacing w:val="18"/>
          <w:sz w:val="20"/>
          <w:szCs w:val="20"/>
          <w:lang w:eastAsia="zh-CN"/>
        </w:rPr>
        <w:t>接控股、管理关系。</w:t>
      </w:r>
    </w:p>
    <w:p w14:paraId="21061F61">
      <w:pPr>
        <w:spacing w:before="94" w:line="296" w:lineRule="auto"/>
        <w:ind w:right="61" w:firstLine="449"/>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第九条</w:t>
      </w:r>
      <w:r>
        <w:rPr>
          <w:rFonts w:hint="eastAsia" w:ascii="宋体" w:hAnsi="宋体" w:cs="宋体"/>
          <w:color w:val="auto"/>
          <w:spacing w:val="21"/>
          <w:sz w:val="20"/>
          <w:szCs w:val="20"/>
          <w:lang w:eastAsia="zh-CN"/>
        </w:rPr>
        <w:t xml:space="preserve">  对于经主管预算单位统筹后未预留份额专门面向中小企业采购的采购项目，以及</w:t>
      </w:r>
      <w:r>
        <w:rPr>
          <w:rFonts w:hint="eastAsia" w:ascii="宋体" w:hAnsi="宋体" w:cs="宋体"/>
          <w:color w:val="auto"/>
          <w:spacing w:val="22"/>
          <w:sz w:val="20"/>
          <w:szCs w:val="20"/>
          <w:lang w:eastAsia="zh-CN"/>
        </w:rPr>
        <w:t>预留份额项目中的非预留部分采购包，采购人、采购代理机构应当对符合本办法规定的小微企</w:t>
      </w:r>
      <w:r>
        <w:rPr>
          <w:rFonts w:hint="eastAsia" w:ascii="宋体" w:hAnsi="宋体" w:cs="宋体"/>
          <w:color w:val="auto"/>
          <w:spacing w:val="19"/>
          <w:sz w:val="20"/>
          <w:szCs w:val="20"/>
          <w:lang w:eastAsia="zh-CN"/>
        </w:rPr>
        <w:t>业报价给予6%—10%（工程项目为3%—5%）的</w:t>
      </w:r>
      <w:r>
        <w:rPr>
          <w:rFonts w:hint="eastAsia" w:ascii="宋体" w:hAnsi="宋体" w:cs="宋体"/>
          <w:color w:val="auto"/>
          <w:spacing w:val="18"/>
          <w:sz w:val="20"/>
          <w:szCs w:val="20"/>
          <w:lang w:eastAsia="zh-CN"/>
        </w:rPr>
        <w:t>扣除，用扣除后的价格参加评审。适用招标投标</w:t>
      </w:r>
      <w:r>
        <w:rPr>
          <w:rFonts w:hint="eastAsia" w:ascii="宋体" w:hAnsi="宋体" w:cs="宋体"/>
          <w:color w:val="auto"/>
          <w:spacing w:val="22"/>
          <w:sz w:val="20"/>
          <w:szCs w:val="20"/>
          <w:lang w:eastAsia="zh-CN"/>
        </w:rPr>
        <w:t>法的政府采购工程建设项目，采用综合评估法但未采用低价优先法计算价格分的，评标时应当</w:t>
      </w:r>
      <w:r>
        <w:rPr>
          <w:rFonts w:hint="eastAsia" w:ascii="宋体" w:hAnsi="宋体" w:cs="宋体"/>
          <w:color w:val="auto"/>
          <w:spacing w:val="20"/>
          <w:sz w:val="20"/>
          <w:szCs w:val="20"/>
          <w:lang w:eastAsia="zh-CN"/>
        </w:rPr>
        <w:t>在采用原报价进行评分的基础上增加其价格得分的3%—5%作为其价格分。</w:t>
      </w:r>
    </w:p>
    <w:p w14:paraId="68C7B38B">
      <w:pPr>
        <w:spacing w:before="97" w:line="284" w:lineRule="auto"/>
        <w:ind w:left="1" w:right="58" w:firstLine="447"/>
        <w:rPr>
          <w:rFonts w:hint="eastAsia" w:ascii="宋体" w:hAnsi="宋体" w:cs="宋体"/>
          <w:color w:val="auto"/>
          <w:sz w:val="20"/>
          <w:szCs w:val="20"/>
          <w:lang w:eastAsia="zh-CN"/>
        </w:rPr>
      </w:pPr>
      <w:r>
        <w:rPr>
          <w:rFonts w:hint="eastAsia" w:ascii="宋体" w:hAnsi="宋体" w:cs="宋体"/>
          <w:color w:val="auto"/>
          <w:spacing w:val="29"/>
          <w:sz w:val="20"/>
          <w:szCs w:val="20"/>
          <w:lang w:eastAsia="zh-CN"/>
        </w:rPr>
        <w:t>接受大中型企业与小微企业组成联合体或者允许大中型企业向一家或者多家小微企业分</w:t>
      </w:r>
      <w:r>
        <w:rPr>
          <w:rFonts w:hint="eastAsia" w:ascii="宋体" w:hAnsi="宋体" w:cs="宋体"/>
          <w:color w:val="auto"/>
          <w:spacing w:val="24"/>
          <w:sz w:val="20"/>
          <w:szCs w:val="20"/>
          <w:lang w:eastAsia="zh-CN"/>
        </w:rPr>
        <w:t>包的采购项目，对于联合协议或者分包意向协议约定小微企业的合同份额占到合同总金额30%</w:t>
      </w:r>
      <w:r>
        <w:rPr>
          <w:rFonts w:hint="eastAsia" w:ascii="宋体" w:hAnsi="宋体" w:cs="宋体"/>
          <w:color w:val="auto"/>
          <w:spacing w:val="23"/>
          <w:sz w:val="20"/>
          <w:szCs w:val="20"/>
          <w:lang w:eastAsia="zh-CN"/>
        </w:rPr>
        <w:t>以上的，采购人、采购代理机构应当对联合体或者大中型企</w:t>
      </w:r>
      <w:r>
        <w:rPr>
          <w:rFonts w:hint="eastAsia" w:ascii="宋体" w:hAnsi="宋体" w:cs="宋体"/>
          <w:color w:val="auto"/>
          <w:spacing w:val="22"/>
          <w:sz w:val="20"/>
          <w:szCs w:val="20"/>
          <w:lang w:eastAsia="zh-CN"/>
        </w:rPr>
        <w:t>业的报价给予2%-3%（工程项目为</w:t>
      </w:r>
    </w:p>
    <w:p w14:paraId="4D243B08">
      <w:pPr>
        <w:spacing w:line="284" w:lineRule="auto"/>
        <w:rPr>
          <w:rFonts w:hint="eastAsia" w:ascii="宋体" w:hAnsi="宋体" w:cs="宋体"/>
          <w:color w:val="auto"/>
          <w:sz w:val="20"/>
          <w:szCs w:val="20"/>
          <w:lang w:eastAsia="zh-CN"/>
        </w:rPr>
        <w:sectPr>
          <w:pgSz w:w="11906" w:h="16839"/>
          <w:pgMar w:top="1354" w:right="1315" w:bottom="0" w:left="1367" w:header="0" w:footer="737" w:gutter="0"/>
          <w:pgBorders>
            <w:top w:val="none" w:sz="0" w:space="0"/>
            <w:left w:val="none" w:sz="0" w:space="0"/>
            <w:bottom w:val="none" w:sz="0" w:space="0"/>
            <w:right w:val="none" w:sz="0" w:space="0"/>
          </w:pgBorders>
          <w:pgNumType w:fmt="decimal"/>
          <w:cols w:space="720" w:num="1"/>
        </w:sectPr>
      </w:pPr>
    </w:p>
    <w:p w14:paraId="2ABCB133">
      <w:pPr>
        <w:spacing w:before="41" w:line="292" w:lineRule="auto"/>
        <w:ind w:right="59" w:firstLine="16"/>
        <w:jc w:val="both"/>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1%—2%）的扣除，用扣除后的价格参加评审。适用招标投标法的政府采购工程建设项目，采用</w:t>
      </w:r>
      <w:r>
        <w:rPr>
          <w:rFonts w:hint="eastAsia" w:ascii="宋体" w:hAnsi="宋体" w:cs="宋体"/>
          <w:color w:val="auto"/>
          <w:spacing w:val="22"/>
          <w:sz w:val="20"/>
          <w:szCs w:val="20"/>
          <w:lang w:eastAsia="zh-CN"/>
        </w:rPr>
        <w:t>综合评估法但未采用低价优先法计算价格分的，评标时应当在采用原报价进行评分的基础上增</w:t>
      </w:r>
      <w:r>
        <w:rPr>
          <w:rFonts w:hint="eastAsia" w:ascii="宋体" w:hAnsi="宋体" w:cs="宋体"/>
          <w:color w:val="auto"/>
          <w:spacing w:val="21"/>
          <w:sz w:val="20"/>
          <w:szCs w:val="20"/>
          <w:lang w:eastAsia="zh-CN"/>
        </w:rPr>
        <w:t>加其价格得分的1%—2%作为其价格分。组成联合体或者接受分包的小微企</w:t>
      </w:r>
      <w:r>
        <w:rPr>
          <w:rFonts w:hint="eastAsia" w:ascii="宋体" w:hAnsi="宋体" w:cs="宋体"/>
          <w:color w:val="auto"/>
          <w:spacing w:val="20"/>
          <w:sz w:val="20"/>
          <w:szCs w:val="20"/>
          <w:lang w:eastAsia="zh-CN"/>
        </w:rPr>
        <w:t>业与联合体内其他企</w:t>
      </w:r>
      <w:r>
        <w:rPr>
          <w:rFonts w:hint="eastAsia" w:ascii="宋体" w:hAnsi="宋体" w:cs="宋体"/>
          <w:color w:val="auto"/>
          <w:spacing w:val="21"/>
          <w:sz w:val="20"/>
          <w:szCs w:val="20"/>
          <w:lang w:eastAsia="zh-CN"/>
        </w:rPr>
        <w:t>业、分包企业之间存在直接控股、管理关系的，不享受价格扣除优惠政策。</w:t>
      </w:r>
    </w:p>
    <w:p w14:paraId="31B15B56">
      <w:pPr>
        <w:spacing w:before="97" w:line="284" w:lineRule="auto"/>
        <w:ind w:left="4" w:right="61" w:firstLine="447"/>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价格扣除比例或者价格分加分比例对小型企业和微型企业同等对待，不作区分。具体采购</w:t>
      </w:r>
      <w:r>
        <w:rPr>
          <w:rFonts w:hint="eastAsia" w:ascii="宋体" w:hAnsi="宋体" w:cs="宋体"/>
          <w:color w:val="auto"/>
          <w:spacing w:val="22"/>
          <w:sz w:val="20"/>
          <w:szCs w:val="20"/>
          <w:lang w:eastAsia="zh-CN"/>
        </w:rPr>
        <w:t>项目的价格扣除比例或者价格分加分比例，由采购人根据采购标的相关行业平均利润率、市场</w:t>
      </w:r>
      <w:r>
        <w:rPr>
          <w:rFonts w:hint="eastAsia" w:ascii="宋体" w:hAnsi="宋体" w:cs="宋体"/>
          <w:color w:val="auto"/>
          <w:spacing w:val="19"/>
          <w:sz w:val="20"/>
          <w:szCs w:val="20"/>
          <w:lang w:eastAsia="zh-CN"/>
        </w:rPr>
        <w:t>竞争状况等，在本办法规定的幅度内确定。</w:t>
      </w:r>
    </w:p>
    <w:p w14:paraId="01AD9329">
      <w:pPr>
        <w:spacing w:before="96" w:line="292" w:lineRule="auto"/>
        <w:ind w:left="2" w:firstLine="447"/>
        <w:rPr>
          <w:rFonts w:hint="eastAsia" w:ascii="宋体" w:hAnsi="宋体" w:cs="宋体"/>
          <w:color w:val="auto"/>
          <w:sz w:val="20"/>
          <w:szCs w:val="20"/>
          <w:lang w:eastAsia="zh-CN"/>
        </w:rPr>
      </w:pPr>
      <w:r>
        <w:rPr>
          <w:rFonts w:hint="eastAsia" w:ascii="宋体" w:hAnsi="宋体" w:cs="宋体"/>
          <w:b/>
          <w:bCs/>
          <w:color w:val="auto"/>
          <w:spacing w:val="25"/>
          <w:sz w:val="20"/>
          <w:szCs w:val="20"/>
          <w:lang w:eastAsia="zh-CN"/>
        </w:rPr>
        <w:t>第十条</w:t>
      </w:r>
      <w:r>
        <w:rPr>
          <w:rFonts w:hint="eastAsia" w:ascii="宋体" w:hAnsi="宋体" w:cs="宋体"/>
          <w:color w:val="auto"/>
          <w:spacing w:val="25"/>
          <w:sz w:val="20"/>
          <w:szCs w:val="20"/>
          <w:lang w:eastAsia="zh-CN"/>
        </w:rPr>
        <w:t xml:space="preserve">  采购人应当严格按照本办法规定和主管预算单位制定的预留采购份额</w:t>
      </w:r>
      <w:r>
        <w:rPr>
          <w:rFonts w:hint="eastAsia" w:ascii="宋体" w:hAnsi="宋体" w:cs="宋体"/>
          <w:color w:val="auto"/>
          <w:spacing w:val="24"/>
          <w:sz w:val="20"/>
          <w:szCs w:val="20"/>
          <w:lang w:eastAsia="zh-CN"/>
        </w:rPr>
        <w:t>具体方案</w:t>
      </w:r>
      <w:r>
        <w:rPr>
          <w:rFonts w:hint="eastAsia" w:ascii="宋体" w:hAnsi="宋体" w:cs="宋体"/>
          <w:color w:val="auto"/>
          <w:spacing w:val="20"/>
          <w:sz w:val="20"/>
          <w:szCs w:val="20"/>
          <w:lang w:eastAsia="zh-CN"/>
        </w:rPr>
        <w:t>开展采购活动。预留份额的采购项目或者采购包，通过发布公告方式邀请供应商后，符合资格</w:t>
      </w:r>
      <w:r>
        <w:rPr>
          <w:rFonts w:hint="eastAsia" w:ascii="宋体" w:hAnsi="宋体" w:cs="宋体"/>
          <w:color w:val="auto"/>
          <w:spacing w:val="21"/>
          <w:sz w:val="20"/>
          <w:szCs w:val="20"/>
          <w:lang w:eastAsia="zh-CN"/>
        </w:rPr>
        <w:t>条件的中小企业数量不足3家的，应当中止采购活动，视同未预留份额的采购项目或</w:t>
      </w:r>
      <w:r>
        <w:rPr>
          <w:rFonts w:hint="eastAsia" w:ascii="宋体" w:hAnsi="宋体" w:cs="宋体"/>
          <w:color w:val="auto"/>
          <w:spacing w:val="20"/>
          <w:sz w:val="20"/>
          <w:szCs w:val="20"/>
          <w:lang w:eastAsia="zh-CN"/>
        </w:rPr>
        <w:t>者采购包，</w:t>
      </w:r>
      <w:r>
        <w:rPr>
          <w:rFonts w:hint="eastAsia" w:ascii="宋体" w:hAnsi="宋体" w:cs="宋体"/>
          <w:color w:val="auto"/>
          <w:spacing w:val="21"/>
          <w:sz w:val="20"/>
          <w:szCs w:val="20"/>
          <w:lang w:eastAsia="zh-CN"/>
        </w:rPr>
        <w:t>按照本办法第九条有关规定重新组织采购活动。</w:t>
      </w:r>
    </w:p>
    <w:p w14:paraId="28F44790">
      <w:pPr>
        <w:spacing w:before="94" w:line="285" w:lineRule="auto"/>
        <w:ind w:left="5" w:right="61" w:firstLine="444"/>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第十一条</w:t>
      </w:r>
      <w:r>
        <w:rPr>
          <w:rFonts w:hint="eastAsia" w:ascii="宋体" w:hAnsi="宋体" w:cs="宋体"/>
          <w:color w:val="auto"/>
          <w:spacing w:val="22"/>
          <w:sz w:val="20"/>
          <w:szCs w:val="20"/>
          <w:lang w:eastAsia="zh-CN"/>
        </w:rPr>
        <w:t xml:space="preserve">  中小企业参加政府采购活动，</w:t>
      </w:r>
      <w:r>
        <w:rPr>
          <w:rFonts w:hint="eastAsia" w:ascii="宋体" w:hAnsi="宋体" w:cs="宋体"/>
          <w:color w:val="auto"/>
          <w:spacing w:val="21"/>
          <w:sz w:val="20"/>
          <w:szCs w:val="20"/>
          <w:lang w:eastAsia="zh-CN"/>
        </w:rPr>
        <w:t>应当出具本办法规定的《中小企业声明函》（附</w:t>
      </w:r>
      <w:r>
        <w:rPr>
          <w:rFonts w:hint="eastAsia" w:ascii="宋体" w:hAnsi="宋体" w:cs="宋体"/>
          <w:color w:val="auto"/>
          <w:spacing w:val="24"/>
          <w:sz w:val="20"/>
          <w:szCs w:val="20"/>
          <w:lang w:eastAsia="zh-CN"/>
        </w:rPr>
        <w:t>1</w:t>
      </w:r>
      <w:r>
        <w:rPr>
          <w:rFonts w:hint="eastAsia" w:ascii="宋体" w:hAnsi="宋体" w:cs="宋体"/>
          <w:color w:val="auto"/>
          <w:spacing w:val="-12"/>
          <w:sz w:val="20"/>
          <w:szCs w:val="20"/>
          <w:lang w:eastAsia="zh-CN"/>
        </w:rPr>
        <w:t>），</w:t>
      </w:r>
      <w:r>
        <w:rPr>
          <w:rFonts w:hint="eastAsia" w:ascii="宋体" w:hAnsi="宋体" w:cs="宋体"/>
          <w:color w:val="auto"/>
          <w:spacing w:val="24"/>
          <w:sz w:val="20"/>
          <w:szCs w:val="20"/>
          <w:lang w:eastAsia="zh-CN"/>
        </w:rPr>
        <w:t>否则不得享受相关中小企业扶持政策。任何单位和个人不得要求供应</w:t>
      </w:r>
      <w:r>
        <w:rPr>
          <w:rFonts w:hint="eastAsia" w:ascii="宋体" w:hAnsi="宋体" w:cs="宋体"/>
          <w:color w:val="auto"/>
          <w:spacing w:val="23"/>
          <w:sz w:val="20"/>
          <w:szCs w:val="20"/>
          <w:lang w:eastAsia="zh-CN"/>
        </w:rPr>
        <w:t>商提供《中小企业</w:t>
      </w:r>
      <w:r>
        <w:rPr>
          <w:rFonts w:hint="eastAsia" w:ascii="宋体" w:hAnsi="宋体" w:cs="宋体"/>
          <w:color w:val="auto"/>
          <w:spacing w:val="18"/>
          <w:sz w:val="20"/>
          <w:szCs w:val="20"/>
          <w:lang w:eastAsia="zh-CN"/>
        </w:rPr>
        <w:t>声明函》之外的中小企业身份证明文件。</w:t>
      </w:r>
    </w:p>
    <w:p w14:paraId="240E1B67">
      <w:pPr>
        <w:spacing w:before="94" w:line="227" w:lineRule="auto"/>
        <w:ind w:left="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第十二条</w:t>
      </w:r>
      <w:r>
        <w:rPr>
          <w:rFonts w:hint="eastAsia" w:ascii="宋体" w:hAnsi="宋体" w:cs="宋体"/>
          <w:color w:val="auto"/>
          <w:spacing w:val="22"/>
          <w:sz w:val="20"/>
          <w:szCs w:val="20"/>
          <w:lang w:eastAsia="zh-CN"/>
        </w:rPr>
        <w:t xml:space="preserve">  采购项目涉及中小企业采购的，</w:t>
      </w:r>
      <w:r>
        <w:rPr>
          <w:rFonts w:hint="eastAsia" w:ascii="宋体" w:hAnsi="宋体" w:cs="宋体"/>
          <w:color w:val="auto"/>
          <w:spacing w:val="21"/>
          <w:sz w:val="20"/>
          <w:szCs w:val="20"/>
          <w:lang w:eastAsia="zh-CN"/>
        </w:rPr>
        <w:t>采购文件应当明确以下内容：</w:t>
      </w:r>
    </w:p>
    <w:p w14:paraId="6C2C0F76">
      <w:pPr>
        <w:spacing w:before="92" w:line="271" w:lineRule="auto"/>
        <w:ind w:left="25" w:firstLine="435"/>
        <w:rPr>
          <w:rFonts w:hint="eastAsia" w:ascii="宋体" w:hAnsi="宋体" w:cs="宋体"/>
          <w:color w:val="auto"/>
          <w:sz w:val="20"/>
          <w:szCs w:val="20"/>
          <w:lang w:eastAsia="zh-CN"/>
        </w:rPr>
      </w:pPr>
      <w:r>
        <w:rPr>
          <w:rFonts w:hint="eastAsia" w:ascii="宋体" w:hAnsi="宋体" w:cs="宋体"/>
          <w:color w:val="auto"/>
          <w:spacing w:val="18"/>
          <w:sz w:val="20"/>
          <w:szCs w:val="20"/>
          <w:lang w:eastAsia="zh-CN"/>
        </w:rPr>
        <w:t>（一）预留份额的采购项目或者采购包，明确该项目或相关采购包专门面向中小企业采购，以及相关标的及预算金额；</w:t>
      </w:r>
    </w:p>
    <w:p w14:paraId="4B8157FD">
      <w:pPr>
        <w:spacing w:before="93" w:line="270" w:lineRule="auto"/>
        <w:ind w:right="59" w:firstLine="459"/>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（二）要求以联合体形式参加或者合同分包的，明</w:t>
      </w:r>
      <w:r>
        <w:rPr>
          <w:rFonts w:hint="eastAsia" w:ascii="宋体" w:hAnsi="宋体" w:cs="宋体"/>
          <w:color w:val="auto"/>
          <w:spacing w:val="20"/>
          <w:sz w:val="20"/>
          <w:szCs w:val="20"/>
          <w:lang w:eastAsia="zh-CN"/>
        </w:rPr>
        <w:t>确联合协议或者分包意向协议中中小企</w:t>
      </w:r>
      <w:r>
        <w:rPr>
          <w:rFonts w:hint="eastAsia" w:ascii="宋体" w:hAnsi="宋体" w:cs="宋体"/>
          <w:color w:val="auto"/>
          <w:spacing w:val="22"/>
          <w:sz w:val="20"/>
          <w:szCs w:val="20"/>
          <w:lang w:eastAsia="zh-CN"/>
        </w:rPr>
        <w:t>业合同金额应当达到的比例，并作为供应商资格条件；</w:t>
      </w:r>
    </w:p>
    <w:p w14:paraId="4C1EB69E">
      <w:pPr>
        <w:spacing w:before="95" w:line="226"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（三）非预留份额的采购项目或者采购包，明确有关价格扣除比例或者价格分加</w:t>
      </w:r>
      <w:r>
        <w:rPr>
          <w:rFonts w:hint="eastAsia" w:ascii="宋体" w:hAnsi="宋体" w:cs="宋体"/>
          <w:color w:val="auto"/>
          <w:spacing w:val="19"/>
          <w:sz w:val="20"/>
          <w:szCs w:val="20"/>
          <w:lang w:eastAsia="zh-CN"/>
        </w:rPr>
        <w:t>分比例；</w:t>
      </w:r>
    </w:p>
    <w:p w14:paraId="5266EC53">
      <w:pPr>
        <w:spacing w:before="96" w:line="270" w:lineRule="auto"/>
        <w:ind w:left="2" w:right="61" w:firstLine="458"/>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（四）规定依据本办法规定享受扶持政策获得政府采购合同的，小微企业</w:t>
      </w:r>
      <w:r>
        <w:rPr>
          <w:rFonts w:hint="eastAsia" w:ascii="宋体" w:hAnsi="宋体" w:cs="宋体"/>
          <w:color w:val="auto"/>
          <w:spacing w:val="21"/>
          <w:sz w:val="20"/>
          <w:szCs w:val="20"/>
          <w:lang w:eastAsia="zh-CN"/>
        </w:rPr>
        <w:t>不得将合同分包</w:t>
      </w:r>
      <w:r>
        <w:rPr>
          <w:rFonts w:hint="eastAsia" w:ascii="宋体" w:hAnsi="宋体" w:cs="宋体"/>
          <w:color w:val="auto"/>
          <w:spacing w:val="20"/>
          <w:sz w:val="20"/>
          <w:szCs w:val="20"/>
          <w:lang w:eastAsia="zh-CN"/>
        </w:rPr>
        <w:t>给大中型企业，中型企业不得将合同分包给大型</w:t>
      </w:r>
      <w:r>
        <w:rPr>
          <w:rFonts w:hint="eastAsia" w:ascii="宋体" w:hAnsi="宋体" w:cs="宋体"/>
          <w:color w:val="auto"/>
          <w:spacing w:val="19"/>
          <w:sz w:val="20"/>
          <w:szCs w:val="20"/>
          <w:lang w:eastAsia="zh-CN"/>
        </w:rPr>
        <w:t>企业；</w:t>
      </w:r>
    </w:p>
    <w:p w14:paraId="1E92DA54">
      <w:pPr>
        <w:spacing w:before="94" w:line="271" w:lineRule="auto"/>
        <w:ind w:left="18" w:right="61" w:firstLine="441"/>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（五）采购人认为具备相关条件的，明确对中小企业在</w:t>
      </w:r>
      <w:r>
        <w:rPr>
          <w:rFonts w:hint="eastAsia" w:ascii="宋体" w:hAnsi="宋体" w:cs="宋体"/>
          <w:color w:val="auto"/>
          <w:spacing w:val="20"/>
          <w:sz w:val="20"/>
          <w:szCs w:val="20"/>
          <w:lang w:eastAsia="zh-CN"/>
        </w:rPr>
        <w:t>资金支付期限、预付款比例等方面</w:t>
      </w:r>
      <w:r>
        <w:rPr>
          <w:rFonts w:hint="eastAsia" w:ascii="宋体" w:hAnsi="宋体" w:cs="宋体"/>
          <w:color w:val="auto"/>
          <w:spacing w:val="13"/>
          <w:sz w:val="20"/>
          <w:szCs w:val="20"/>
          <w:lang w:eastAsia="zh-CN"/>
        </w:rPr>
        <w:t>的优惠措施；</w:t>
      </w:r>
    </w:p>
    <w:p w14:paraId="1504984A">
      <w:pPr>
        <w:spacing w:before="92" w:line="227" w:lineRule="auto"/>
        <w:ind w:left="460"/>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（六）明确采购标的对应的中小企业划分标准所属行业；</w:t>
      </w:r>
    </w:p>
    <w:p w14:paraId="0590D3BF">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（七）法律法规和省级以上人民政府财政部门规定的其他事项。</w:t>
      </w:r>
    </w:p>
    <w:p w14:paraId="73BBBF08">
      <w:pPr>
        <w:spacing w:before="94" w:line="270" w:lineRule="auto"/>
        <w:ind w:right="61"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第十三条</w:t>
      </w:r>
      <w:r>
        <w:rPr>
          <w:rFonts w:hint="eastAsia" w:ascii="宋体" w:hAnsi="宋体" w:cs="宋体"/>
          <w:color w:val="auto"/>
          <w:spacing w:val="23"/>
          <w:sz w:val="20"/>
          <w:szCs w:val="20"/>
          <w:lang w:eastAsia="zh-CN"/>
        </w:rPr>
        <w:t xml:space="preserve">  中标、成交供应商享受本办法规定</w:t>
      </w:r>
      <w:r>
        <w:rPr>
          <w:rFonts w:hint="eastAsia" w:ascii="宋体" w:hAnsi="宋体" w:cs="宋体"/>
          <w:color w:val="auto"/>
          <w:spacing w:val="22"/>
          <w:sz w:val="20"/>
          <w:szCs w:val="20"/>
          <w:lang w:eastAsia="zh-CN"/>
        </w:rPr>
        <w:t>的中小企业扶持政策的，采购人、采购代理机构应当随中标、成交结果公开中标、成交供应商的《中小企</w:t>
      </w:r>
      <w:r>
        <w:rPr>
          <w:rFonts w:hint="eastAsia" w:ascii="宋体" w:hAnsi="宋体" w:cs="宋体"/>
          <w:color w:val="auto"/>
          <w:spacing w:val="21"/>
          <w:sz w:val="20"/>
          <w:szCs w:val="20"/>
          <w:lang w:eastAsia="zh-CN"/>
        </w:rPr>
        <w:t>业声明函》。</w:t>
      </w:r>
    </w:p>
    <w:p w14:paraId="01EB9FE7">
      <w:pPr>
        <w:spacing w:before="95" w:line="271" w:lineRule="auto"/>
        <w:ind w:left="7" w:right="61" w:firstLine="443"/>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适用招标投标法的政府采购工程建设项目，应当在公示中标候选人时</w:t>
      </w:r>
      <w:r>
        <w:rPr>
          <w:rFonts w:hint="eastAsia" w:ascii="宋体" w:hAnsi="宋体" w:cs="宋体"/>
          <w:color w:val="auto"/>
          <w:spacing w:val="21"/>
          <w:sz w:val="20"/>
          <w:szCs w:val="20"/>
          <w:lang w:eastAsia="zh-CN"/>
        </w:rPr>
        <w:t>公开中标候选人的</w:t>
      </w:r>
      <w:r>
        <w:rPr>
          <w:rFonts w:hint="eastAsia" w:ascii="宋体" w:hAnsi="宋体" w:cs="宋体"/>
          <w:color w:val="auto"/>
          <w:spacing w:val="16"/>
          <w:sz w:val="20"/>
          <w:szCs w:val="20"/>
          <w:lang w:eastAsia="zh-CN"/>
        </w:rPr>
        <w:t>《中小企业声明函》。</w:t>
      </w:r>
    </w:p>
    <w:p w14:paraId="1EDE9AD7">
      <w:pPr>
        <w:spacing w:before="94" w:line="292" w:lineRule="auto"/>
        <w:ind w:left="1" w:right="59" w:firstLine="448"/>
        <w:rPr>
          <w:rFonts w:hint="eastAsia" w:ascii="宋体" w:hAnsi="宋体" w:cs="宋体"/>
          <w:color w:val="auto"/>
          <w:sz w:val="20"/>
          <w:szCs w:val="20"/>
          <w:lang w:eastAsia="zh-CN"/>
        </w:rPr>
      </w:pPr>
      <w:r>
        <w:rPr>
          <w:rFonts w:hint="eastAsia" w:ascii="宋体" w:hAnsi="宋体" w:cs="宋体"/>
          <w:b/>
          <w:bCs/>
          <w:color w:val="auto"/>
          <w:spacing w:val="24"/>
          <w:sz w:val="20"/>
          <w:szCs w:val="20"/>
          <w:lang w:eastAsia="zh-CN"/>
        </w:rPr>
        <w:t>第十四条</w:t>
      </w:r>
      <w:r>
        <w:rPr>
          <w:rFonts w:hint="eastAsia" w:ascii="宋体" w:hAnsi="宋体" w:cs="宋体"/>
          <w:color w:val="auto"/>
          <w:spacing w:val="24"/>
          <w:sz w:val="20"/>
          <w:szCs w:val="20"/>
          <w:lang w:eastAsia="zh-CN"/>
        </w:rPr>
        <w:t>对于通过预留采购项目、预留专门采购包、要求以联合体形式参加或者合同分</w:t>
      </w:r>
      <w:r>
        <w:rPr>
          <w:rFonts w:hint="eastAsia" w:ascii="宋体" w:hAnsi="宋体" w:cs="宋体"/>
          <w:color w:val="auto"/>
          <w:spacing w:val="20"/>
          <w:sz w:val="20"/>
          <w:szCs w:val="20"/>
          <w:lang w:eastAsia="zh-CN"/>
        </w:rPr>
        <w:t>包等措施签订的采购合同，应当明确标注本合同为中小企业预留合同。其中，要求以联合体形</w:t>
      </w:r>
      <w:r>
        <w:rPr>
          <w:rFonts w:hint="eastAsia" w:ascii="宋体" w:hAnsi="宋体" w:cs="宋体"/>
          <w:color w:val="auto"/>
          <w:spacing w:val="24"/>
          <w:sz w:val="20"/>
          <w:szCs w:val="20"/>
          <w:lang w:eastAsia="zh-CN"/>
        </w:rPr>
        <w:t>式参加采购活动或者合同分包的，应当将联合协议或者分包意向协议作为采购合同的组成部</w:t>
      </w:r>
      <w:r>
        <w:rPr>
          <w:rFonts w:hint="eastAsia" w:ascii="宋体" w:hAnsi="宋体" w:cs="宋体"/>
          <w:color w:val="auto"/>
          <w:sz w:val="20"/>
          <w:szCs w:val="20"/>
          <w:lang w:eastAsia="zh-CN"/>
        </w:rPr>
        <w:t>分。</w:t>
      </w:r>
    </w:p>
    <w:p w14:paraId="525F8C58">
      <w:pPr>
        <w:spacing w:before="94" w:line="285" w:lineRule="auto"/>
        <w:ind w:right="59" w:firstLine="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第十五条</w:t>
      </w:r>
      <w:r>
        <w:rPr>
          <w:rFonts w:hint="eastAsia" w:ascii="宋体" w:hAnsi="宋体" w:cs="宋体"/>
          <w:color w:val="auto"/>
          <w:spacing w:val="22"/>
          <w:sz w:val="20"/>
          <w:szCs w:val="20"/>
          <w:lang w:eastAsia="zh-CN"/>
        </w:rPr>
        <w:t xml:space="preserve">  鼓励各地区、各部门在采购活</w:t>
      </w:r>
      <w:r>
        <w:rPr>
          <w:rFonts w:hint="eastAsia" w:ascii="宋体" w:hAnsi="宋体" w:cs="宋体"/>
          <w:color w:val="auto"/>
          <w:spacing w:val="21"/>
          <w:sz w:val="20"/>
          <w:szCs w:val="20"/>
          <w:lang w:eastAsia="zh-CN"/>
        </w:rPr>
        <w:t>动中允许中小企业引入信用担保手段，为中小企业在投标（响应）保证、履约保证等方面提供专业化服务。鼓励中小企业依法合规通过政府采</w:t>
      </w:r>
      <w:r>
        <w:rPr>
          <w:rFonts w:hint="eastAsia" w:ascii="宋体" w:hAnsi="宋体" w:cs="宋体"/>
          <w:color w:val="auto"/>
          <w:spacing w:val="16"/>
          <w:sz w:val="20"/>
          <w:szCs w:val="20"/>
          <w:lang w:eastAsia="zh-CN"/>
        </w:rPr>
        <w:t>购合同融资。</w:t>
      </w:r>
    </w:p>
    <w:p w14:paraId="1EB8F459">
      <w:pPr>
        <w:spacing w:before="93" w:line="271" w:lineRule="auto"/>
        <w:ind w:left="1" w:right="61" w:firstLine="448"/>
        <w:rPr>
          <w:rFonts w:hint="eastAsia" w:ascii="宋体" w:hAnsi="宋体" w:cs="宋体"/>
          <w:color w:val="auto"/>
          <w:sz w:val="20"/>
          <w:szCs w:val="20"/>
          <w:lang w:eastAsia="zh-CN"/>
        </w:rPr>
      </w:pPr>
      <w:r>
        <w:rPr>
          <w:rFonts w:hint="eastAsia" w:ascii="宋体" w:hAnsi="宋体" w:cs="宋体"/>
          <w:b/>
          <w:bCs/>
          <w:color w:val="auto"/>
          <w:spacing w:val="20"/>
          <w:sz w:val="20"/>
          <w:szCs w:val="20"/>
          <w:lang w:eastAsia="zh-CN"/>
        </w:rPr>
        <w:t>第十六条</w:t>
      </w:r>
      <w:r>
        <w:rPr>
          <w:rFonts w:hint="eastAsia" w:ascii="宋体" w:hAnsi="宋体" w:cs="宋体"/>
          <w:color w:val="auto"/>
          <w:spacing w:val="20"/>
          <w:sz w:val="20"/>
          <w:szCs w:val="20"/>
          <w:lang w:eastAsia="zh-CN"/>
        </w:rPr>
        <w:t xml:space="preserve">  政府采购监督检查、投诉处理及政府采购行政处罚中对中小企业的认定，由货</w:t>
      </w:r>
      <w:r>
        <w:rPr>
          <w:rFonts w:hint="eastAsia" w:ascii="宋体" w:hAnsi="宋体" w:cs="宋体"/>
          <w:color w:val="auto"/>
          <w:spacing w:val="23"/>
          <w:sz w:val="20"/>
          <w:szCs w:val="20"/>
          <w:lang w:eastAsia="zh-CN"/>
        </w:rPr>
        <w:t>物制造商或者工程、服务供应商注册登记所在地的县级以上人民政府中小企</w:t>
      </w:r>
      <w:r>
        <w:rPr>
          <w:rFonts w:hint="eastAsia" w:ascii="宋体" w:hAnsi="宋体" w:cs="宋体"/>
          <w:color w:val="auto"/>
          <w:spacing w:val="22"/>
          <w:sz w:val="20"/>
          <w:szCs w:val="20"/>
          <w:lang w:eastAsia="zh-CN"/>
        </w:rPr>
        <w:t>业主管部门负责。</w:t>
      </w:r>
    </w:p>
    <w:p w14:paraId="6DBBA6CB">
      <w:pPr>
        <w:spacing w:before="92" w:line="271" w:lineRule="auto"/>
        <w:ind w:left="7" w:right="61" w:firstLine="462"/>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中小企业主管部门应当在收到财政部门或者有关招标投标行政监督部门关于协助开展中</w:t>
      </w:r>
      <w:r>
        <w:rPr>
          <w:rFonts w:hint="eastAsia" w:ascii="宋体" w:hAnsi="宋体" w:cs="宋体"/>
          <w:color w:val="auto"/>
          <w:spacing w:val="20"/>
          <w:sz w:val="20"/>
          <w:szCs w:val="20"/>
          <w:lang w:eastAsia="zh-CN"/>
        </w:rPr>
        <w:t>小企业认定函后10个工作日内做出书面答复。</w:t>
      </w:r>
    </w:p>
    <w:p w14:paraId="5924B5DF">
      <w:pPr>
        <w:spacing w:line="271" w:lineRule="auto"/>
        <w:rPr>
          <w:rFonts w:hint="eastAsia" w:ascii="宋体" w:hAnsi="宋体" w:cs="宋体"/>
          <w:color w:val="auto"/>
          <w:sz w:val="20"/>
          <w:szCs w:val="20"/>
          <w:lang w:eastAsia="zh-CN"/>
        </w:rPr>
        <w:sectPr>
          <w:pgSz w:w="11906" w:h="16839"/>
          <w:pgMar w:top="1354" w:right="1315" w:bottom="0" w:left="1367" w:header="0" w:footer="737" w:gutter="0"/>
          <w:pgBorders>
            <w:top w:val="none" w:sz="0" w:space="0"/>
            <w:left w:val="none" w:sz="0" w:space="0"/>
            <w:bottom w:val="none" w:sz="0" w:space="0"/>
            <w:right w:val="none" w:sz="0" w:space="0"/>
          </w:pgBorders>
          <w:pgNumType w:fmt="decimal"/>
          <w:cols w:space="720" w:num="1"/>
        </w:sectPr>
      </w:pPr>
    </w:p>
    <w:p w14:paraId="0A8A51A1">
      <w:pPr>
        <w:spacing w:before="42" w:line="285" w:lineRule="auto"/>
        <w:ind w:left="4" w:firstLine="446"/>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第十七条</w:t>
      </w:r>
      <w:r>
        <w:rPr>
          <w:rFonts w:hint="eastAsia" w:ascii="宋体" w:hAnsi="宋体" w:cs="宋体"/>
          <w:color w:val="auto"/>
          <w:spacing w:val="23"/>
          <w:sz w:val="20"/>
          <w:szCs w:val="20"/>
          <w:lang w:eastAsia="zh-CN"/>
        </w:rPr>
        <w:t xml:space="preserve">  各地区、各部门应当对涉及中小企</w:t>
      </w:r>
      <w:r>
        <w:rPr>
          <w:rFonts w:hint="eastAsia" w:ascii="宋体" w:hAnsi="宋体" w:cs="宋体"/>
          <w:color w:val="auto"/>
          <w:spacing w:val="22"/>
          <w:sz w:val="20"/>
          <w:szCs w:val="20"/>
          <w:lang w:eastAsia="zh-CN"/>
        </w:rPr>
        <w:t>业采购的预算项目实施全过程绩效管理，合理设置绩效目标和指标，落实扶持中小企业有关政策要求，定期开展绩效监控和评价，强化绩</w:t>
      </w:r>
      <w:r>
        <w:rPr>
          <w:rFonts w:hint="eastAsia" w:ascii="宋体" w:hAnsi="宋体" w:cs="宋体"/>
          <w:color w:val="auto"/>
          <w:spacing w:val="17"/>
          <w:sz w:val="20"/>
          <w:szCs w:val="20"/>
          <w:lang w:eastAsia="zh-CN"/>
        </w:rPr>
        <w:t>效评价结果应用。</w:t>
      </w:r>
    </w:p>
    <w:p w14:paraId="5E20FA32">
      <w:pPr>
        <w:spacing w:before="94" w:line="285" w:lineRule="auto"/>
        <w:ind w:left="2" w:right="2" w:firstLine="447"/>
        <w:rPr>
          <w:rFonts w:hint="eastAsia" w:ascii="宋体" w:hAnsi="宋体" w:cs="宋体"/>
          <w:color w:val="auto"/>
          <w:sz w:val="20"/>
          <w:szCs w:val="20"/>
          <w:lang w:eastAsia="zh-CN"/>
        </w:rPr>
      </w:pPr>
      <w:r>
        <w:rPr>
          <w:rFonts w:hint="eastAsia" w:ascii="宋体" w:hAnsi="宋体" w:cs="宋体"/>
          <w:b/>
          <w:bCs/>
          <w:color w:val="auto"/>
          <w:spacing w:val="27"/>
          <w:sz w:val="20"/>
          <w:szCs w:val="20"/>
          <w:lang w:eastAsia="zh-CN"/>
        </w:rPr>
        <w:t>第十八条</w:t>
      </w:r>
      <w:r>
        <w:rPr>
          <w:rFonts w:hint="eastAsia" w:ascii="宋体" w:hAnsi="宋体" w:cs="宋体"/>
          <w:color w:val="auto"/>
          <w:spacing w:val="27"/>
          <w:sz w:val="20"/>
          <w:szCs w:val="20"/>
          <w:lang w:eastAsia="zh-CN"/>
        </w:rPr>
        <w:t xml:space="preserve">  主管预算单位应当自2022年起向同级财政部门报告本部门上一</w:t>
      </w:r>
      <w:r>
        <w:rPr>
          <w:rFonts w:hint="eastAsia" w:ascii="宋体" w:hAnsi="宋体" w:cs="宋体"/>
          <w:color w:val="auto"/>
          <w:spacing w:val="26"/>
          <w:sz w:val="20"/>
          <w:szCs w:val="20"/>
          <w:lang w:eastAsia="zh-CN"/>
        </w:rPr>
        <w:t>年度面向中小</w:t>
      </w:r>
      <w:r>
        <w:rPr>
          <w:rFonts w:hint="eastAsia" w:ascii="宋体" w:hAnsi="宋体" w:cs="宋体"/>
          <w:color w:val="auto"/>
          <w:spacing w:val="23"/>
          <w:sz w:val="20"/>
          <w:szCs w:val="20"/>
          <w:lang w:eastAsia="zh-CN"/>
        </w:rPr>
        <w:t>企业预留份额和采购的具体情况，并在中国政府采购网公开预留项目执行情况(附2)。未达到</w:t>
      </w:r>
      <w:r>
        <w:rPr>
          <w:rFonts w:hint="eastAsia" w:ascii="宋体" w:hAnsi="宋体" w:cs="宋体"/>
          <w:color w:val="auto"/>
          <w:spacing w:val="21"/>
          <w:sz w:val="20"/>
          <w:szCs w:val="20"/>
          <w:lang w:eastAsia="zh-CN"/>
        </w:rPr>
        <w:t>本办法规定的预留份额比例的，应当作出说明。</w:t>
      </w:r>
    </w:p>
    <w:p w14:paraId="6F84C2B2">
      <w:pPr>
        <w:spacing w:before="93" w:line="285" w:lineRule="auto"/>
        <w:ind w:left="7" w:right="2" w:firstLine="443"/>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第十九条</w:t>
      </w:r>
      <w:r>
        <w:rPr>
          <w:rFonts w:hint="eastAsia" w:ascii="宋体" w:hAnsi="宋体" w:cs="宋体"/>
          <w:color w:val="auto"/>
          <w:spacing w:val="23"/>
          <w:sz w:val="20"/>
          <w:szCs w:val="20"/>
          <w:lang w:eastAsia="zh-CN"/>
        </w:rPr>
        <w:t xml:space="preserve">  采购人未按本办法规定为中小企业</w:t>
      </w:r>
      <w:r>
        <w:rPr>
          <w:rFonts w:hint="eastAsia" w:ascii="宋体" w:hAnsi="宋体" w:cs="宋体"/>
          <w:color w:val="auto"/>
          <w:spacing w:val="22"/>
          <w:sz w:val="20"/>
          <w:szCs w:val="20"/>
          <w:lang w:eastAsia="zh-CN"/>
        </w:rPr>
        <w:t>预留采购份额，采购人、采购代理机构未按照本办法规定要求实施价格扣除或者价格分加分的，属于未按照规定执行政府采购政策，依照</w:t>
      </w:r>
      <w:r>
        <w:rPr>
          <w:rFonts w:hint="eastAsia" w:ascii="宋体" w:hAnsi="宋体" w:cs="宋体"/>
          <w:color w:val="auto"/>
          <w:spacing w:val="20"/>
          <w:sz w:val="20"/>
          <w:szCs w:val="20"/>
          <w:lang w:eastAsia="zh-CN"/>
        </w:rPr>
        <w:t>《中华人民共和国政府采购法》等国家有关规定追究法律责任。</w:t>
      </w:r>
    </w:p>
    <w:p w14:paraId="1C2A3D21">
      <w:pPr>
        <w:spacing w:before="92" w:line="271" w:lineRule="auto"/>
        <w:ind w:left="3" w:right="32" w:firstLine="447"/>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第二十条</w:t>
      </w:r>
      <w:r>
        <w:rPr>
          <w:rFonts w:hint="eastAsia" w:ascii="宋体" w:hAnsi="宋体" w:cs="宋体"/>
          <w:color w:val="auto"/>
          <w:spacing w:val="21"/>
          <w:sz w:val="20"/>
          <w:szCs w:val="20"/>
          <w:lang w:eastAsia="zh-CN"/>
        </w:rPr>
        <w:t xml:space="preserve">  供应商按照本办法规定提供声明函内容不实的，属于</w:t>
      </w:r>
      <w:r>
        <w:rPr>
          <w:rFonts w:hint="eastAsia" w:ascii="宋体" w:hAnsi="宋体" w:cs="宋体"/>
          <w:color w:val="auto"/>
          <w:spacing w:val="20"/>
          <w:sz w:val="20"/>
          <w:szCs w:val="20"/>
          <w:lang w:eastAsia="zh-CN"/>
        </w:rPr>
        <w:t>提供虚假材料谋取中标、成交，依照《中华人民共和国政府采购法》等国家有关</w:t>
      </w:r>
      <w:r>
        <w:rPr>
          <w:rFonts w:hint="eastAsia" w:ascii="宋体" w:hAnsi="宋体" w:cs="宋体"/>
          <w:color w:val="auto"/>
          <w:spacing w:val="19"/>
          <w:sz w:val="20"/>
          <w:szCs w:val="20"/>
          <w:lang w:eastAsia="zh-CN"/>
        </w:rPr>
        <w:t>规定追究相应责任。</w:t>
      </w:r>
    </w:p>
    <w:p w14:paraId="2787B062">
      <w:pPr>
        <w:spacing w:before="94" w:line="285" w:lineRule="auto"/>
        <w:ind w:firstLine="449"/>
        <w:rPr>
          <w:rFonts w:hint="eastAsia" w:ascii="宋体" w:hAnsi="宋体" w:cs="宋体"/>
          <w:color w:val="auto"/>
          <w:sz w:val="20"/>
          <w:szCs w:val="20"/>
          <w:lang w:eastAsia="zh-CN"/>
        </w:rPr>
      </w:pPr>
      <w:r>
        <w:rPr>
          <w:rFonts w:hint="eastAsia" w:ascii="宋体" w:hAnsi="宋体" w:cs="宋体"/>
          <w:color w:val="auto"/>
          <w:spacing w:val="28"/>
          <w:sz w:val="20"/>
          <w:szCs w:val="20"/>
          <w:lang w:eastAsia="zh-CN"/>
        </w:rPr>
        <w:t>适用招标投标法的政府采购工程建设项目，投标人按照本办法规定提供声明函内容不实</w:t>
      </w:r>
      <w:r>
        <w:rPr>
          <w:rFonts w:hint="eastAsia" w:ascii="宋体" w:hAnsi="宋体" w:cs="宋体"/>
          <w:color w:val="auto"/>
          <w:spacing w:val="21"/>
          <w:sz w:val="20"/>
          <w:szCs w:val="20"/>
          <w:lang w:eastAsia="zh-CN"/>
        </w:rPr>
        <w:t>的，属于弄虚作假骗取中标，依照《中华人民共和国招标投标法》等国家有关规定追究相应责</w:t>
      </w:r>
      <w:r>
        <w:rPr>
          <w:rFonts w:hint="eastAsia" w:ascii="宋体" w:hAnsi="宋体" w:cs="宋体"/>
          <w:color w:val="auto"/>
          <w:sz w:val="20"/>
          <w:szCs w:val="20"/>
          <w:lang w:eastAsia="zh-CN"/>
        </w:rPr>
        <w:t>任。</w:t>
      </w:r>
    </w:p>
    <w:p w14:paraId="1D6EA48A">
      <w:pPr>
        <w:spacing w:before="94" w:line="292" w:lineRule="auto"/>
        <w:ind w:right="2" w:firstLine="450"/>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第二十一条</w:t>
      </w:r>
      <w:r>
        <w:rPr>
          <w:rFonts w:hint="eastAsia" w:ascii="宋体" w:hAnsi="宋体" w:cs="宋体"/>
          <w:color w:val="auto"/>
          <w:spacing w:val="21"/>
          <w:sz w:val="20"/>
          <w:szCs w:val="20"/>
          <w:lang w:eastAsia="zh-CN"/>
        </w:rPr>
        <w:t xml:space="preserve">  财政部门、中小企业主管部门及其工作人员在履行职责中违反本办法规定及</w:t>
      </w:r>
      <w:r>
        <w:rPr>
          <w:rFonts w:hint="eastAsia" w:ascii="宋体" w:hAnsi="宋体" w:cs="宋体"/>
          <w:color w:val="auto"/>
          <w:spacing w:val="23"/>
          <w:sz w:val="20"/>
          <w:szCs w:val="20"/>
          <w:lang w:eastAsia="zh-CN"/>
        </w:rPr>
        <w:t>存在其他滥用职权、玩忽职守、徇私舞弊等违法违纪行为的，依照《中华人民共和国政府采购</w:t>
      </w:r>
      <w:r>
        <w:rPr>
          <w:rFonts w:hint="eastAsia" w:ascii="宋体" w:hAnsi="宋体" w:cs="宋体"/>
          <w:color w:val="auto"/>
          <w:spacing w:val="17"/>
          <w:sz w:val="20"/>
          <w:szCs w:val="20"/>
          <w:lang w:eastAsia="zh-CN"/>
        </w:rPr>
        <w:t>法》、《中华人民共和国公务员法》、《中华人民共和国监察法》、《中华人民共和国政</w:t>
      </w:r>
      <w:r>
        <w:rPr>
          <w:rFonts w:hint="eastAsia" w:ascii="宋体" w:hAnsi="宋体" w:cs="宋体"/>
          <w:color w:val="auto"/>
          <w:spacing w:val="16"/>
          <w:sz w:val="20"/>
          <w:szCs w:val="20"/>
          <w:lang w:eastAsia="zh-CN"/>
        </w:rPr>
        <w:t>府采</w:t>
      </w:r>
      <w:r>
        <w:rPr>
          <w:rFonts w:hint="eastAsia" w:ascii="宋体" w:hAnsi="宋体" w:cs="宋体"/>
          <w:color w:val="auto"/>
          <w:spacing w:val="19"/>
          <w:sz w:val="20"/>
          <w:szCs w:val="20"/>
          <w:lang w:eastAsia="zh-CN"/>
        </w:rPr>
        <w:t>购法实施条例》等国家有关规定追究相应责任；涉嫌犯罪的，依法移送有关国家机关处理。</w:t>
      </w:r>
    </w:p>
    <w:p w14:paraId="0093FA54">
      <w:pPr>
        <w:spacing w:line="51" w:lineRule="exact"/>
        <w:rPr>
          <w:rFonts w:hint="eastAsia" w:ascii="宋体" w:hAnsi="宋体" w:cs="宋体"/>
          <w:color w:val="auto"/>
          <w:lang w:eastAsia="zh-CN"/>
        </w:rPr>
      </w:pPr>
    </w:p>
    <w:p w14:paraId="55DCB6BF">
      <w:pPr>
        <w:spacing w:line="51" w:lineRule="exact"/>
        <w:rPr>
          <w:rFonts w:hint="eastAsia" w:ascii="宋体" w:hAnsi="宋体" w:cs="宋体"/>
          <w:color w:val="auto"/>
          <w:lang w:eastAsia="zh-CN"/>
        </w:rPr>
        <w:sectPr>
          <w:pgSz w:w="11906" w:h="16839"/>
          <w:pgMar w:top="1354" w:right="1374" w:bottom="0" w:left="1367" w:header="0" w:footer="737" w:gutter="0"/>
          <w:pgBorders>
            <w:top w:val="none" w:sz="0" w:space="0"/>
            <w:left w:val="none" w:sz="0" w:space="0"/>
            <w:bottom w:val="none" w:sz="0" w:space="0"/>
            <w:right w:val="none" w:sz="0" w:space="0"/>
          </w:pgBorders>
          <w:pgNumType w:fmt="decimal"/>
          <w:cols w:equalWidth="0" w:num="1">
            <w:col w:w="9165"/>
          </w:cols>
        </w:sectPr>
      </w:pPr>
    </w:p>
    <w:p w14:paraId="5A8A0A3C">
      <w:pPr>
        <w:spacing w:before="41" w:line="228"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第二十二条</w:t>
      </w:r>
    </w:p>
    <w:p w14:paraId="15FBA399">
      <w:pPr>
        <w:spacing w:before="94" w:line="228" w:lineRule="auto"/>
        <w:ind w:left="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办法。</w:t>
      </w:r>
    </w:p>
    <w:p w14:paraId="37A80683">
      <w:pPr>
        <w:spacing w:before="94" w:line="228"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第二十三条</w:t>
      </w:r>
    </w:p>
    <w:p w14:paraId="044CA0F2">
      <w:pPr>
        <w:spacing w:before="92" w:line="228" w:lineRule="auto"/>
        <w:ind w:left="6"/>
        <w:rPr>
          <w:rFonts w:hint="eastAsia" w:ascii="宋体" w:hAnsi="宋体" w:cs="宋体"/>
          <w:color w:val="auto"/>
          <w:sz w:val="20"/>
          <w:szCs w:val="20"/>
          <w:lang w:eastAsia="zh-CN"/>
        </w:rPr>
      </w:pPr>
      <w:r>
        <w:rPr>
          <w:rFonts w:hint="eastAsia" w:ascii="宋体" w:hAnsi="宋体" w:cs="宋体"/>
          <w:color w:val="auto"/>
          <w:spacing w:val="13"/>
          <w:sz w:val="20"/>
          <w:szCs w:val="20"/>
          <w:lang w:eastAsia="zh-CN"/>
        </w:rPr>
        <w:t>另行规定。</w:t>
      </w:r>
    </w:p>
    <w:p w14:paraId="1777791E">
      <w:pPr>
        <w:spacing w:before="93" w:line="228" w:lineRule="auto"/>
        <w:ind w:left="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第二十四条</w:t>
      </w:r>
    </w:p>
    <w:p w14:paraId="1A4ED291">
      <w:pPr>
        <w:spacing w:before="94" w:line="228" w:lineRule="auto"/>
        <w:ind w:left="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办法。</w:t>
      </w:r>
    </w:p>
    <w:p w14:paraId="08BAA1BA">
      <w:pPr>
        <w:spacing w:before="91" w:line="193"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第二十五条</w:t>
      </w:r>
    </w:p>
    <w:p w14:paraId="59677850">
      <w:pPr>
        <w:pStyle w:val="8"/>
        <w:spacing w:line="14" w:lineRule="auto"/>
        <w:rPr>
          <w:rFonts w:hint="eastAsia" w:ascii="宋体" w:hAnsi="宋体" w:eastAsia="宋体" w:cs="宋体"/>
          <w:color w:val="auto"/>
          <w:sz w:val="2"/>
          <w:lang w:eastAsia="zh-CN"/>
        </w:rPr>
      </w:pPr>
      <w:r>
        <w:rPr>
          <w:rFonts w:hint="eastAsia" w:ascii="宋体" w:hAnsi="宋体" w:eastAsia="宋体" w:cs="宋体"/>
          <w:color w:val="auto"/>
          <w:sz w:val="2"/>
          <w:szCs w:val="2"/>
          <w:lang w:eastAsia="zh-CN"/>
        </w:rPr>
        <w:br w:type="column"/>
      </w:r>
    </w:p>
    <w:p w14:paraId="4B4DCE61">
      <w:pPr>
        <w:spacing w:before="40" w:line="227" w:lineRule="auto"/>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对外援助项目、国家相关资格或者资质管理制度另</w:t>
      </w:r>
      <w:r>
        <w:rPr>
          <w:rFonts w:hint="eastAsia" w:ascii="宋体" w:hAnsi="宋体" w:cs="宋体"/>
          <w:color w:val="auto"/>
          <w:spacing w:val="21"/>
          <w:sz w:val="20"/>
          <w:szCs w:val="20"/>
          <w:lang w:eastAsia="zh-CN"/>
        </w:rPr>
        <w:t>有规定的项目，不适用本</w:t>
      </w:r>
    </w:p>
    <w:p w14:paraId="5F587210">
      <w:pPr>
        <w:pStyle w:val="8"/>
        <w:spacing w:line="368" w:lineRule="auto"/>
        <w:rPr>
          <w:rFonts w:hint="eastAsia" w:ascii="宋体" w:hAnsi="宋体" w:eastAsia="宋体" w:cs="宋体"/>
          <w:color w:val="auto"/>
          <w:lang w:eastAsia="zh-CN"/>
        </w:rPr>
      </w:pPr>
    </w:p>
    <w:p w14:paraId="47300ECC">
      <w:pPr>
        <w:spacing w:before="66" w:line="227" w:lineRule="auto"/>
        <w:ind w:left="4"/>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关于视同中小企业的其他主体的政府采购扶持政策，由财政部会同有关部门</w:t>
      </w:r>
    </w:p>
    <w:p w14:paraId="2F495831">
      <w:pPr>
        <w:pStyle w:val="8"/>
        <w:spacing w:line="366" w:lineRule="auto"/>
        <w:rPr>
          <w:rFonts w:hint="eastAsia" w:ascii="宋体" w:hAnsi="宋体" w:eastAsia="宋体" w:cs="宋体"/>
          <w:color w:val="auto"/>
          <w:lang w:eastAsia="zh-CN"/>
        </w:rPr>
      </w:pPr>
    </w:p>
    <w:p w14:paraId="0458DED0">
      <w:pPr>
        <w:spacing w:before="65" w:line="227" w:lineRule="auto"/>
        <w:ind w:right="2"/>
        <w:jc w:val="right"/>
        <w:rPr>
          <w:rFonts w:hint="eastAsia" w:ascii="宋体" w:hAnsi="宋体" w:cs="宋体"/>
          <w:color w:val="auto"/>
          <w:sz w:val="20"/>
          <w:szCs w:val="20"/>
          <w:lang w:eastAsia="zh-CN"/>
        </w:rPr>
      </w:pPr>
      <w:r>
        <w:rPr>
          <w:rFonts w:hint="eastAsia" w:ascii="宋体" w:hAnsi="宋体" w:cs="宋体"/>
          <w:color w:val="auto"/>
          <w:spacing w:val="29"/>
          <w:sz w:val="20"/>
          <w:szCs w:val="20"/>
          <w:lang w:eastAsia="zh-CN"/>
        </w:rPr>
        <w:t>省级财政部门可以会同中小企业主管部门根据本办法的规定制定</w:t>
      </w:r>
      <w:r>
        <w:rPr>
          <w:rFonts w:hint="eastAsia" w:ascii="宋体" w:hAnsi="宋体" w:cs="宋体"/>
          <w:color w:val="auto"/>
          <w:spacing w:val="28"/>
          <w:sz w:val="20"/>
          <w:szCs w:val="20"/>
          <w:lang w:eastAsia="zh-CN"/>
        </w:rPr>
        <w:t>具体实施</w:t>
      </w:r>
    </w:p>
    <w:p w14:paraId="0461747E">
      <w:pPr>
        <w:pStyle w:val="8"/>
        <w:spacing w:line="365" w:lineRule="auto"/>
        <w:rPr>
          <w:rFonts w:hint="eastAsia" w:ascii="宋体" w:hAnsi="宋体" w:eastAsia="宋体" w:cs="宋体"/>
          <w:color w:val="auto"/>
          <w:lang w:eastAsia="zh-CN"/>
        </w:rPr>
      </w:pPr>
    </w:p>
    <w:p w14:paraId="19A4E49A">
      <w:pPr>
        <w:spacing w:before="66" w:line="193" w:lineRule="auto"/>
        <w:jc w:val="right"/>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本办法自2021年1月1日起施行。《财政部工业和信息化部关于印发〈政府采</w:t>
      </w:r>
    </w:p>
    <w:p w14:paraId="0E1F2508">
      <w:pPr>
        <w:spacing w:line="193" w:lineRule="auto"/>
        <w:rPr>
          <w:rFonts w:hint="eastAsia" w:ascii="宋体" w:hAnsi="宋体" w:cs="宋体"/>
          <w:color w:val="auto"/>
          <w:sz w:val="20"/>
          <w:szCs w:val="20"/>
          <w:lang w:eastAsia="zh-CN"/>
        </w:rPr>
        <w:sectPr>
          <w:type w:val="continuous"/>
          <w:pgSz w:w="11906" w:h="16839"/>
          <w:pgMar w:top="1354" w:right="1374" w:bottom="0" w:left="1367" w:header="0" w:footer="0" w:gutter="0"/>
          <w:pgBorders>
            <w:top w:val="none" w:sz="0" w:space="0"/>
            <w:left w:val="none" w:sz="0" w:space="0"/>
            <w:bottom w:val="none" w:sz="0" w:space="0"/>
            <w:right w:val="none" w:sz="0" w:space="0"/>
          </w:pgBorders>
          <w:pgNumType w:fmt="decimal"/>
          <w:cols w:equalWidth="0" w:num="2">
            <w:col w:w="1699" w:space="100"/>
            <w:col w:w="7366"/>
          </w:cols>
        </w:sectPr>
      </w:pPr>
    </w:p>
    <w:p w14:paraId="3F6D8383">
      <w:pPr>
        <w:spacing w:before="131" w:line="227" w:lineRule="auto"/>
        <w:rPr>
          <w:rFonts w:hint="eastAsia" w:ascii="宋体" w:hAnsi="宋体" w:cs="宋体"/>
          <w:color w:val="auto"/>
          <w:sz w:val="20"/>
          <w:szCs w:val="20"/>
          <w:lang w:eastAsia="zh-CN"/>
        </w:rPr>
      </w:pPr>
      <w:r>
        <w:rPr>
          <w:rFonts w:hint="eastAsia" w:ascii="宋体" w:hAnsi="宋体" w:cs="宋体"/>
          <w:color w:val="auto"/>
          <w:spacing w:val="16"/>
          <w:sz w:val="20"/>
          <w:szCs w:val="20"/>
          <w:lang w:eastAsia="zh-CN"/>
        </w:rPr>
        <w:t>购促进中小企业发展暂行办法〉的通知》（财库﹝2011</w:t>
      </w:r>
      <w:r>
        <w:rPr>
          <w:rFonts w:hint="eastAsia" w:ascii="宋体" w:hAnsi="宋体" w:cs="宋体"/>
          <w:color w:val="auto"/>
          <w:spacing w:val="15"/>
          <w:sz w:val="20"/>
          <w:szCs w:val="20"/>
          <w:lang w:eastAsia="zh-CN"/>
        </w:rPr>
        <w:t>﹞181号）同时废止。</w:t>
      </w:r>
    </w:p>
    <w:p w14:paraId="6891ED4C">
      <w:pPr>
        <w:spacing w:before="95" w:line="227" w:lineRule="auto"/>
        <w:ind w:left="17"/>
        <w:outlineLvl w:val="0"/>
        <w:rPr>
          <w:rFonts w:hint="eastAsia" w:ascii="宋体" w:hAnsi="宋体" w:cs="宋体"/>
          <w:color w:val="auto"/>
          <w:sz w:val="20"/>
          <w:szCs w:val="20"/>
          <w:lang w:eastAsia="zh-CN"/>
        </w:rPr>
      </w:pPr>
      <w:bookmarkStart w:id="34" w:name="_Toc31553"/>
      <w:r>
        <w:rPr>
          <w:rFonts w:hint="eastAsia" w:ascii="宋体" w:hAnsi="宋体" w:cs="宋体"/>
          <w:b/>
          <w:bCs/>
          <w:color w:val="auto"/>
          <w:spacing w:val="-10"/>
          <w:sz w:val="20"/>
          <w:szCs w:val="20"/>
          <w:lang w:eastAsia="zh-CN"/>
        </w:rPr>
        <w:t>附：</w:t>
      </w:r>
      <w:bookmarkEnd w:id="34"/>
    </w:p>
    <w:p w14:paraId="3A803E55">
      <w:pPr>
        <w:spacing w:before="93" w:line="228" w:lineRule="auto"/>
        <w:ind w:left="17"/>
        <w:rPr>
          <w:rFonts w:hint="eastAsia" w:ascii="宋体" w:hAnsi="宋体" w:cs="宋体"/>
          <w:color w:val="auto"/>
          <w:sz w:val="20"/>
          <w:szCs w:val="20"/>
          <w:lang w:eastAsia="zh-CN"/>
        </w:rPr>
      </w:pPr>
      <w:r>
        <w:rPr>
          <w:rFonts w:hint="eastAsia" w:ascii="宋体" w:hAnsi="宋体" w:cs="宋体"/>
          <w:color w:val="auto"/>
          <w:spacing w:val="12"/>
          <w:sz w:val="20"/>
          <w:szCs w:val="20"/>
          <w:lang w:eastAsia="zh-CN"/>
        </w:rPr>
        <w:t>1.中小企业声明函</w:t>
      </w:r>
    </w:p>
    <w:p w14:paraId="24E0642F">
      <w:pPr>
        <w:spacing w:before="93" w:line="193" w:lineRule="auto"/>
        <w:ind w:left="4"/>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2.面向中小企业预留项目执行情况公告</w:t>
      </w:r>
    </w:p>
    <w:p w14:paraId="7CDB3F35">
      <w:pPr>
        <w:spacing w:line="193" w:lineRule="auto"/>
        <w:rPr>
          <w:rFonts w:hint="eastAsia" w:ascii="宋体" w:hAnsi="宋体" w:cs="宋体"/>
          <w:color w:val="auto"/>
          <w:sz w:val="20"/>
          <w:szCs w:val="20"/>
          <w:lang w:eastAsia="zh-CN"/>
        </w:rPr>
        <w:sectPr>
          <w:type w:val="continuous"/>
          <w:pgSz w:w="11906" w:h="16839"/>
          <w:pgMar w:top="1354" w:right="1374" w:bottom="0" w:left="1367" w:header="0" w:footer="0" w:gutter="0"/>
          <w:pgBorders>
            <w:top w:val="none" w:sz="0" w:space="0"/>
            <w:left w:val="none" w:sz="0" w:space="0"/>
            <w:bottom w:val="none" w:sz="0" w:space="0"/>
            <w:right w:val="none" w:sz="0" w:space="0"/>
          </w:pgBorders>
          <w:pgNumType w:fmt="decimal"/>
          <w:cols w:equalWidth="0" w:num="1">
            <w:col w:w="9165"/>
          </w:cols>
        </w:sectPr>
      </w:pPr>
    </w:p>
    <w:p w14:paraId="4F971166">
      <w:pPr>
        <w:spacing w:before="163" w:line="227" w:lineRule="auto"/>
        <w:ind w:left="16"/>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附</w:t>
      </w:r>
    </w:p>
    <w:p w14:paraId="06B3EAF9">
      <w:pPr>
        <w:pStyle w:val="8"/>
        <w:spacing w:line="378" w:lineRule="auto"/>
        <w:rPr>
          <w:rFonts w:hint="eastAsia" w:ascii="宋体" w:hAnsi="宋体" w:eastAsia="宋体" w:cs="宋体"/>
          <w:color w:val="auto"/>
          <w:lang w:eastAsia="zh-CN"/>
        </w:rPr>
      </w:pPr>
    </w:p>
    <w:p w14:paraId="2036C3C5">
      <w:pPr>
        <w:spacing w:before="78" w:line="219" w:lineRule="auto"/>
        <w:ind w:left="3196"/>
        <w:rPr>
          <w:rFonts w:hint="eastAsia" w:ascii="宋体" w:hAnsi="宋体" w:cs="宋体"/>
          <w:color w:val="auto"/>
          <w:sz w:val="24"/>
          <w:szCs w:val="24"/>
          <w:lang w:eastAsia="zh-CN"/>
        </w:rPr>
      </w:pPr>
      <w:r>
        <w:rPr>
          <w:rFonts w:hint="eastAsia" w:ascii="宋体" w:hAnsi="宋体" w:cs="宋体"/>
          <w:b/>
          <w:bCs/>
          <w:color w:val="auto"/>
          <w:spacing w:val="-13"/>
          <w:sz w:val="24"/>
          <w:szCs w:val="24"/>
          <w:lang w:eastAsia="zh-CN"/>
        </w:rPr>
        <w:t>中小企业声明函（货物格式）</w:t>
      </w:r>
    </w:p>
    <w:p w14:paraId="6AE81737">
      <w:pPr>
        <w:pStyle w:val="8"/>
        <w:spacing w:line="318" w:lineRule="auto"/>
        <w:rPr>
          <w:rFonts w:hint="eastAsia" w:ascii="宋体" w:hAnsi="宋体" w:eastAsia="宋体" w:cs="宋体"/>
          <w:color w:val="auto"/>
          <w:lang w:eastAsia="zh-CN"/>
        </w:rPr>
      </w:pPr>
    </w:p>
    <w:p w14:paraId="521E6722">
      <w:pPr>
        <w:pStyle w:val="8"/>
        <w:spacing w:line="318" w:lineRule="auto"/>
        <w:rPr>
          <w:rFonts w:hint="eastAsia" w:ascii="宋体" w:hAnsi="宋体" w:eastAsia="宋体" w:cs="宋体"/>
          <w:color w:val="auto"/>
          <w:lang w:eastAsia="zh-CN"/>
        </w:rPr>
      </w:pPr>
    </w:p>
    <w:p w14:paraId="2B7BCBBF">
      <w:pPr>
        <w:pStyle w:val="8"/>
        <w:spacing w:line="318" w:lineRule="auto"/>
        <w:rPr>
          <w:rFonts w:hint="eastAsia" w:ascii="宋体" w:hAnsi="宋体" w:eastAsia="宋体" w:cs="宋体"/>
          <w:color w:val="auto"/>
          <w:lang w:eastAsia="zh-CN"/>
        </w:rPr>
      </w:pPr>
    </w:p>
    <w:p w14:paraId="11F7F3B3">
      <w:pPr>
        <w:spacing w:before="78" w:line="374" w:lineRule="auto"/>
        <w:ind w:left="4" w:firstLine="561"/>
        <w:jc w:val="both"/>
        <w:rPr>
          <w:rFonts w:hint="eastAsia" w:ascii="宋体" w:hAnsi="宋体" w:cs="宋体"/>
          <w:color w:val="auto"/>
          <w:sz w:val="24"/>
          <w:szCs w:val="24"/>
          <w:lang w:eastAsia="zh-CN"/>
        </w:rPr>
      </w:pPr>
      <w:r>
        <w:rPr>
          <w:rFonts w:hint="eastAsia" w:ascii="宋体" w:hAnsi="宋体" w:cs="宋体"/>
          <w:color w:val="auto"/>
          <w:spacing w:val="-4"/>
          <w:sz w:val="24"/>
          <w:szCs w:val="24"/>
          <w:lang w:eastAsia="zh-CN"/>
        </w:rPr>
        <w:t>本公司（联合体）郑重声明，根据《政府采购促进中小 企业发展管理办法》</w:t>
      </w:r>
      <w:r>
        <w:rPr>
          <w:rFonts w:hint="eastAsia" w:ascii="宋体" w:hAnsi="宋体" w:cs="宋体"/>
          <w:color w:val="auto"/>
          <w:spacing w:val="-5"/>
          <w:sz w:val="24"/>
          <w:szCs w:val="24"/>
          <w:lang w:eastAsia="zh-CN"/>
        </w:rPr>
        <w:t>（财库﹝2020﹞46 号）的规定，本公司（联合体）参加</w:t>
      </w:r>
      <w:r>
        <w:rPr>
          <w:rFonts w:hint="eastAsia" w:ascii="宋体" w:hAnsi="宋体" w:cs="宋体"/>
          <w:color w:val="auto"/>
          <w:spacing w:val="-5"/>
          <w:sz w:val="24"/>
          <w:szCs w:val="24"/>
          <w:u w:val="single"/>
          <w:lang w:eastAsia="zh-CN"/>
        </w:rPr>
        <w:t>（</w:t>
      </w:r>
      <w:r>
        <w:rPr>
          <w:rFonts w:hint="eastAsia" w:ascii="宋体" w:hAnsi="宋体" w:cs="宋体"/>
          <w:color w:val="auto"/>
          <w:spacing w:val="-6"/>
          <w:sz w:val="24"/>
          <w:szCs w:val="24"/>
          <w:u w:val="single"/>
          <w:lang w:eastAsia="zh-CN"/>
        </w:rPr>
        <w:t>单位名称）</w:t>
      </w:r>
      <w:r>
        <w:rPr>
          <w:rFonts w:hint="eastAsia" w:ascii="宋体" w:hAnsi="宋体" w:cs="宋体"/>
          <w:color w:val="auto"/>
          <w:spacing w:val="-6"/>
          <w:sz w:val="24"/>
          <w:szCs w:val="24"/>
          <w:lang w:eastAsia="zh-CN"/>
        </w:rPr>
        <w:t>的</w:t>
      </w:r>
      <w:r>
        <w:rPr>
          <w:rFonts w:hint="eastAsia" w:ascii="宋体" w:hAnsi="宋体" w:cs="宋体"/>
          <w:color w:val="auto"/>
          <w:spacing w:val="-6"/>
          <w:sz w:val="24"/>
          <w:szCs w:val="24"/>
          <w:u w:val="single"/>
          <w:lang w:eastAsia="zh-CN"/>
        </w:rPr>
        <w:t>（项目名称）</w:t>
      </w:r>
      <w:r>
        <w:rPr>
          <w:rFonts w:hint="eastAsia" w:ascii="宋体" w:hAnsi="宋体" w:cs="宋体"/>
          <w:color w:val="auto"/>
          <w:spacing w:val="-6"/>
          <w:sz w:val="24"/>
          <w:szCs w:val="24"/>
          <w:lang w:eastAsia="zh-CN"/>
        </w:rPr>
        <w:t>采购活动，</w:t>
      </w:r>
      <w:r>
        <w:rPr>
          <w:rFonts w:hint="eastAsia" w:ascii="宋体" w:hAnsi="宋体" w:cs="宋体"/>
          <w:color w:val="auto"/>
          <w:sz w:val="24"/>
          <w:szCs w:val="24"/>
          <w:lang w:eastAsia="zh-CN"/>
        </w:rPr>
        <w:t>提供的货物全部由符合政策要求的中小企业制造。相关企业 （含联合体中的中小企业、</w:t>
      </w:r>
    </w:p>
    <w:p w14:paraId="146306D5">
      <w:pPr>
        <w:spacing w:line="220" w:lineRule="auto"/>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签订分包意向协议的中小企业） 的具体情况如下：</w:t>
      </w:r>
    </w:p>
    <w:p w14:paraId="271C8FE7">
      <w:pPr>
        <w:pStyle w:val="8"/>
        <w:spacing w:line="281" w:lineRule="auto"/>
        <w:rPr>
          <w:rFonts w:hint="eastAsia" w:ascii="宋体" w:hAnsi="宋体" w:eastAsia="宋体" w:cs="宋体"/>
          <w:color w:val="auto"/>
          <w:lang w:eastAsia="zh-CN"/>
        </w:rPr>
      </w:pPr>
    </w:p>
    <w:p w14:paraId="29B474B6">
      <w:pPr>
        <w:spacing w:before="79" w:line="219" w:lineRule="auto"/>
        <w:ind w:left="599"/>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 xml:space="preserve">1. </w:t>
      </w:r>
      <w:r>
        <w:rPr>
          <w:rFonts w:hint="eastAsia" w:ascii="宋体" w:hAnsi="宋体" w:cs="宋体"/>
          <w:color w:val="auto"/>
          <w:spacing w:val="-3"/>
          <w:sz w:val="24"/>
          <w:szCs w:val="24"/>
          <w:u w:val="single"/>
          <w:lang w:eastAsia="zh-CN"/>
        </w:rPr>
        <w:t>（标的名称</w:t>
      </w:r>
      <w:r>
        <w:rPr>
          <w:rFonts w:hint="eastAsia" w:ascii="宋体" w:hAnsi="宋体" w:cs="宋体"/>
          <w:color w:val="auto"/>
          <w:spacing w:val="-1"/>
          <w:sz w:val="24"/>
          <w:szCs w:val="24"/>
          <w:u w:val="single"/>
          <w:lang w:eastAsia="zh-CN"/>
        </w:rPr>
        <w:t>）</w:t>
      </w:r>
      <w:r>
        <w:rPr>
          <w:rFonts w:hint="eastAsia" w:ascii="宋体" w:hAnsi="宋体" w:cs="宋体"/>
          <w:color w:val="auto"/>
          <w:spacing w:val="-1"/>
          <w:sz w:val="24"/>
          <w:szCs w:val="24"/>
          <w:lang w:eastAsia="zh-CN"/>
        </w:rPr>
        <w:t>，</w:t>
      </w:r>
      <w:r>
        <w:rPr>
          <w:rFonts w:hint="eastAsia" w:ascii="宋体" w:hAnsi="宋体" w:cs="宋体"/>
          <w:color w:val="auto"/>
          <w:spacing w:val="-3"/>
          <w:sz w:val="24"/>
          <w:szCs w:val="24"/>
          <w:lang w:eastAsia="zh-CN"/>
        </w:rPr>
        <w:t>属于</w:t>
      </w:r>
      <w:r>
        <w:rPr>
          <w:rFonts w:hint="eastAsia" w:ascii="宋体" w:hAnsi="宋体" w:cs="宋体"/>
          <w:color w:val="auto"/>
          <w:spacing w:val="-3"/>
          <w:sz w:val="24"/>
          <w:szCs w:val="24"/>
          <w:u w:val="single"/>
          <w:lang w:eastAsia="zh-CN"/>
        </w:rPr>
        <w:t xml:space="preserve">（采购文件中明确的所属行业） </w:t>
      </w:r>
      <w:r>
        <w:rPr>
          <w:rFonts w:hint="eastAsia" w:ascii="宋体" w:hAnsi="宋体" w:cs="宋体"/>
          <w:color w:val="auto"/>
          <w:spacing w:val="-4"/>
          <w:sz w:val="24"/>
          <w:szCs w:val="24"/>
          <w:u w:val="single"/>
          <w:lang w:eastAsia="zh-CN"/>
        </w:rPr>
        <w:t>行业</w:t>
      </w:r>
      <w:r>
        <w:rPr>
          <w:rFonts w:hint="eastAsia" w:ascii="宋体" w:hAnsi="宋体" w:cs="宋体"/>
          <w:color w:val="auto"/>
          <w:spacing w:val="-4"/>
          <w:sz w:val="24"/>
          <w:szCs w:val="24"/>
          <w:lang w:eastAsia="zh-CN"/>
        </w:rPr>
        <w:t>；制造商为</w:t>
      </w:r>
      <w:r>
        <w:rPr>
          <w:rFonts w:hint="eastAsia" w:ascii="宋体" w:hAnsi="宋体" w:cs="宋体"/>
          <w:color w:val="auto"/>
          <w:spacing w:val="-4"/>
          <w:sz w:val="24"/>
          <w:szCs w:val="24"/>
          <w:u w:val="single"/>
          <w:lang w:eastAsia="zh-CN"/>
        </w:rPr>
        <w:t>（企业名</w:t>
      </w:r>
    </w:p>
    <w:p w14:paraId="691684F0">
      <w:pPr>
        <w:spacing w:before="237" w:line="321" w:lineRule="auto"/>
        <w:rPr>
          <w:rFonts w:hint="eastAsia" w:ascii="宋体" w:hAnsi="宋体" w:cs="宋体"/>
          <w:color w:val="auto"/>
          <w:sz w:val="24"/>
          <w:szCs w:val="24"/>
          <w:lang w:eastAsia="zh-CN"/>
        </w:rPr>
      </w:pPr>
      <w:r>
        <w:rPr>
          <w:rFonts w:hint="eastAsia" w:ascii="宋体" w:hAnsi="宋体" w:cs="宋体"/>
          <w:color w:val="auto"/>
          <w:spacing w:val="-6"/>
          <w:sz w:val="24"/>
          <w:szCs w:val="24"/>
          <w:u w:val="single"/>
          <w:lang w:eastAsia="zh-CN"/>
        </w:rPr>
        <w:t>称）</w:t>
      </w:r>
      <w:r>
        <w:rPr>
          <w:rFonts w:hint="eastAsia" w:ascii="宋体" w:hAnsi="宋体" w:cs="宋体"/>
          <w:color w:val="auto"/>
          <w:spacing w:val="-6"/>
          <w:sz w:val="24"/>
          <w:szCs w:val="24"/>
          <w:lang w:eastAsia="zh-CN"/>
        </w:rPr>
        <w:t>，从业人员人，营业收入为万元，资产总额为万元，属于</w:t>
      </w:r>
      <w:r>
        <w:rPr>
          <w:rFonts w:hint="eastAsia" w:ascii="宋体" w:hAnsi="宋体" w:cs="宋体"/>
          <w:color w:val="auto"/>
          <w:spacing w:val="-6"/>
          <w:sz w:val="24"/>
          <w:szCs w:val="24"/>
          <w:u w:val="single"/>
          <w:lang w:eastAsia="zh-CN"/>
        </w:rPr>
        <w:t>（中型企业、小型企业、微</w:t>
      </w:r>
    </w:p>
    <w:p w14:paraId="62E5FE62">
      <w:pPr>
        <w:spacing w:line="221" w:lineRule="auto"/>
        <w:ind w:left="17"/>
        <w:rPr>
          <w:rFonts w:hint="eastAsia" w:ascii="宋体" w:hAnsi="宋体" w:cs="宋体"/>
          <w:color w:val="auto"/>
          <w:sz w:val="24"/>
          <w:szCs w:val="24"/>
          <w:lang w:eastAsia="zh-CN"/>
        </w:rPr>
      </w:pPr>
      <w:r>
        <w:rPr>
          <w:rFonts w:hint="eastAsia" w:ascii="宋体" w:hAnsi="宋体" w:cs="宋体"/>
          <w:color w:val="auto"/>
          <w:spacing w:val="-14"/>
          <w:sz w:val="24"/>
          <w:szCs w:val="24"/>
          <w:u w:val="single"/>
          <w:lang w:eastAsia="zh-CN"/>
        </w:rPr>
        <w:t>型企业</w:t>
      </w:r>
      <w:r>
        <w:rPr>
          <w:rFonts w:hint="eastAsia" w:ascii="宋体" w:hAnsi="宋体" w:cs="宋体"/>
          <w:color w:val="auto"/>
          <w:spacing w:val="-6"/>
          <w:sz w:val="24"/>
          <w:szCs w:val="24"/>
          <w:u w:val="single"/>
          <w:lang w:eastAsia="zh-CN"/>
        </w:rPr>
        <w:t>）</w:t>
      </w:r>
      <w:r>
        <w:rPr>
          <w:rFonts w:hint="eastAsia" w:ascii="宋体" w:hAnsi="宋体" w:cs="宋体"/>
          <w:color w:val="auto"/>
          <w:spacing w:val="-6"/>
          <w:sz w:val="24"/>
          <w:szCs w:val="24"/>
          <w:lang w:eastAsia="zh-CN"/>
        </w:rPr>
        <w:t>；</w:t>
      </w:r>
    </w:p>
    <w:p w14:paraId="2CE04F4D">
      <w:pPr>
        <w:spacing w:before="291" w:line="378" w:lineRule="exact"/>
        <w:ind w:left="512"/>
        <w:rPr>
          <w:rFonts w:hint="eastAsia" w:ascii="宋体" w:hAnsi="宋体" w:cs="宋体"/>
          <w:color w:val="auto"/>
          <w:sz w:val="24"/>
          <w:szCs w:val="24"/>
          <w:lang w:eastAsia="zh-CN"/>
        </w:rPr>
      </w:pPr>
      <w:r>
        <w:rPr>
          <w:rFonts w:hint="eastAsia" w:ascii="宋体" w:hAnsi="宋体" w:cs="宋体"/>
          <w:color w:val="auto"/>
          <w:spacing w:val="-13"/>
          <w:position w:val="3"/>
          <w:sz w:val="24"/>
          <w:szCs w:val="24"/>
          <w:lang w:eastAsia="zh-CN"/>
        </w:rPr>
        <w:t>……</w:t>
      </w:r>
    </w:p>
    <w:p w14:paraId="79CD9FD8">
      <w:pPr>
        <w:spacing w:before="73" w:line="557" w:lineRule="exact"/>
        <w:ind w:left="493"/>
        <w:rPr>
          <w:rFonts w:hint="eastAsia" w:ascii="宋体" w:hAnsi="宋体" w:cs="宋体"/>
          <w:color w:val="auto"/>
          <w:sz w:val="24"/>
          <w:szCs w:val="24"/>
          <w:lang w:eastAsia="zh-CN"/>
        </w:rPr>
      </w:pPr>
      <w:r>
        <w:rPr>
          <w:rFonts w:hint="eastAsia" w:ascii="宋体" w:hAnsi="宋体" w:cs="宋体"/>
          <w:color w:val="auto"/>
          <w:spacing w:val="-7"/>
          <w:position w:val="24"/>
          <w:sz w:val="24"/>
          <w:szCs w:val="24"/>
          <w:lang w:eastAsia="zh-CN"/>
        </w:rPr>
        <w:t>以上企业，不属于大企业的分支机构，不存在控股股东为大企业的情形，也不存在与</w:t>
      </w:r>
    </w:p>
    <w:p w14:paraId="1E488977">
      <w:pPr>
        <w:spacing w:line="219" w:lineRule="auto"/>
        <w:ind w:left="8"/>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大企业的负责人为同一人的情形。</w:t>
      </w:r>
    </w:p>
    <w:p w14:paraId="090554D6">
      <w:pPr>
        <w:spacing w:before="262" w:line="219" w:lineRule="auto"/>
        <w:ind w:left="484"/>
        <w:rPr>
          <w:rFonts w:hint="eastAsia" w:ascii="宋体" w:hAnsi="宋体" w:cs="宋体"/>
          <w:color w:val="auto"/>
          <w:sz w:val="24"/>
          <w:szCs w:val="24"/>
          <w:lang w:eastAsia="zh-CN"/>
        </w:rPr>
      </w:pPr>
      <w:r>
        <w:rPr>
          <w:rFonts w:hint="eastAsia" w:ascii="宋体" w:hAnsi="宋体" w:cs="宋体"/>
          <w:color w:val="auto"/>
          <w:spacing w:val="-1"/>
          <w:sz w:val="24"/>
          <w:szCs w:val="24"/>
          <w:lang w:eastAsia="zh-CN"/>
        </w:rPr>
        <w:t>本企业对上述声明内容的真实性负责。如有虚假，将依法承担相应责任。</w:t>
      </w:r>
    </w:p>
    <w:p w14:paraId="609493AC">
      <w:pPr>
        <w:spacing w:before="227" w:line="556" w:lineRule="exact"/>
        <w:ind w:right="77"/>
        <w:jc w:val="right"/>
        <w:rPr>
          <w:rFonts w:hint="eastAsia" w:ascii="宋体" w:hAnsi="宋体" w:cs="宋体"/>
          <w:color w:val="auto"/>
          <w:sz w:val="24"/>
          <w:szCs w:val="24"/>
          <w:lang w:eastAsia="zh-CN"/>
        </w:rPr>
      </w:pPr>
      <w:r>
        <w:rPr>
          <w:rFonts w:hint="eastAsia" w:ascii="宋体" w:hAnsi="宋体" w:cs="宋体"/>
          <w:color w:val="auto"/>
          <w:spacing w:val="-6"/>
          <w:position w:val="24"/>
          <w:sz w:val="24"/>
          <w:szCs w:val="24"/>
          <w:lang w:eastAsia="zh-CN"/>
        </w:rPr>
        <w:t>企业名称（盖章</w:t>
      </w:r>
      <w:r>
        <w:rPr>
          <w:rFonts w:hint="eastAsia" w:ascii="宋体" w:hAnsi="宋体" w:cs="宋体"/>
          <w:color w:val="auto"/>
          <w:position w:val="24"/>
          <w:sz w:val="24"/>
          <w:szCs w:val="24"/>
          <w:lang w:eastAsia="zh-CN"/>
        </w:rPr>
        <w:t>）：</w:t>
      </w:r>
    </w:p>
    <w:p w14:paraId="09CC6273">
      <w:pPr>
        <w:spacing w:before="1" w:line="220" w:lineRule="auto"/>
        <w:jc w:val="right"/>
        <w:rPr>
          <w:rFonts w:hint="eastAsia" w:ascii="宋体" w:hAnsi="宋体" w:cs="宋体"/>
          <w:color w:val="auto"/>
          <w:sz w:val="24"/>
          <w:szCs w:val="24"/>
          <w:lang w:eastAsia="zh-CN"/>
        </w:rPr>
      </w:pPr>
      <w:r>
        <w:rPr>
          <w:rFonts w:hint="eastAsia" w:ascii="宋体" w:hAnsi="宋体" w:cs="宋体"/>
          <w:color w:val="auto"/>
          <w:spacing w:val="-54"/>
          <w:w w:val="95"/>
          <w:sz w:val="24"/>
          <w:szCs w:val="24"/>
          <w:lang w:eastAsia="zh-CN"/>
        </w:rPr>
        <w:t>日期：</w:t>
      </w:r>
    </w:p>
    <w:p w14:paraId="14231795">
      <w:pPr>
        <w:spacing w:line="220" w:lineRule="auto"/>
        <w:rPr>
          <w:rFonts w:hint="eastAsia" w:ascii="宋体" w:hAnsi="宋体" w:cs="宋体"/>
          <w:color w:val="auto"/>
          <w:sz w:val="24"/>
          <w:szCs w:val="24"/>
          <w:lang w:eastAsia="zh-CN"/>
        </w:rPr>
        <w:sectPr>
          <w:pgSz w:w="11906" w:h="16839"/>
          <w:pgMar w:top="1431" w:right="1282" w:bottom="0" w:left="1369" w:header="0" w:footer="737" w:gutter="0"/>
          <w:pgBorders>
            <w:top w:val="none" w:sz="0" w:space="0"/>
            <w:left w:val="none" w:sz="0" w:space="0"/>
            <w:bottom w:val="none" w:sz="0" w:space="0"/>
            <w:right w:val="none" w:sz="0" w:space="0"/>
          </w:pgBorders>
          <w:pgNumType w:fmt="decimal"/>
          <w:cols w:space="720" w:num="1"/>
        </w:sectPr>
      </w:pPr>
    </w:p>
    <w:p w14:paraId="6370AB81">
      <w:pPr>
        <w:spacing w:before="56" w:line="224" w:lineRule="auto"/>
        <w:ind w:left="3498"/>
        <w:rPr>
          <w:rFonts w:hint="eastAsia" w:ascii="宋体" w:hAnsi="宋体" w:cs="宋体"/>
          <w:color w:val="auto"/>
          <w:sz w:val="28"/>
          <w:szCs w:val="28"/>
          <w:lang w:eastAsia="zh-CN"/>
        </w:rPr>
      </w:pPr>
      <w:r>
        <w:rPr>
          <w:rFonts w:hint="eastAsia" w:ascii="宋体" w:hAnsi="宋体" w:cs="宋体"/>
          <w:color w:val="auto"/>
          <w:spacing w:val="-4"/>
          <w:sz w:val="28"/>
          <w:szCs w:val="28"/>
          <w:lang w:eastAsia="zh-CN"/>
        </w:rPr>
        <w:t>中小企业划型标准规定</w:t>
      </w:r>
    </w:p>
    <w:p w14:paraId="0AE95DBF">
      <w:pPr>
        <w:pStyle w:val="8"/>
        <w:spacing w:line="251" w:lineRule="auto"/>
        <w:rPr>
          <w:rFonts w:hint="eastAsia" w:ascii="宋体" w:hAnsi="宋体" w:eastAsia="宋体" w:cs="宋体"/>
          <w:color w:val="auto"/>
          <w:lang w:eastAsia="zh-CN"/>
        </w:rPr>
      </w:pPr>
    </w:p>
    <w:p w14:paraId="3727F38C">
      <w:pPr>
        <w:pStyle w:val="8"/>
        <w:spacing w:line="253" w:lineRule="auto"/>
        <w:rPr>
          <w:rFonts w:hint="eastAsia" w:ascii="宋体" w:hAnsi="宋体" w:eastAsia="宋体" w:cs="宋体"/>
          <w:color w:val="auto"/>
          <w:lang w:eastAsia="zh-CN"/>
        </w:rPr>
      </w:pPr>
    </w:p>
    <w:p w14:paraId="5B1E67E1">
      <w:pPr>
        <w:pStyle w:val="8"/>
        <w:spacing w:line="253" w:lineRule="auto"/>
        <w:rPr>
          <w:rFonts w:hint="eastAsia" w:ascii="宋体" w:hAnsi="宋体" w:eastAsia="宋体" w:cs="宋体"/>
          <w:color w:val="auto"/>
          <w:lang w:eastAsia="zh-CN"/>
        </w:rPr>
      </w:pPr>
    </w:p>
    <w:p w14:paraId="76912FF8">
      <w:pPr>
        <w:spacing w:before="65" w:line="271" w:lineRule="auto"/>
        <w:ind w:left="4" w:right="22"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一、根据《中华人民共和国中小企业促进法》和《国务院关于进一步促进中小企业发展的若干意</w:t>
      </w:r>
      <w:r>
        <w:rPr>
          <w:rFonts w:hint="eastAsia" w:ascii="宋体" w:hAnsi="宋体" w:cs="宋体"/>
          <w:color w:val="auto"/>
          <w:spacing w:val="4"/>
          <w:sz w:val="20"/>
          <w:szCs w:val="20"/>
          <w:lang w:eastAsia="zh-CN"/>
        </w:rPr>
        <w:t>见》(国发〔2009〕36号)，制定本规定。</w:t>
      </w:r>
    </w:p>
    <w:p w14:paraId="432556C5">
      <w:pPr>
        <w:spacing w:before="95" w:line="270" w:lineRule="auto"/>
        <w:ind w:left="6" w:right="22" w:firstLine="41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二、中小企业划分为中型、小型、微型三种类型，具体标准根据企业从业人员、营业收入、资产总额等指标，结合行业特点制定。</w:t>
      </w:r>
    </w:p>
    <w:p w14:paraId="5F4A3BB5">
      <w:pPr>
        <w:spacing w:before="92" w:line="297" w:lineRule="auto"/>
        <w:ind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三、本规定适用的行业包括：农、林、牧、渔业，工业（包括采矿业，制造业，电力、热力、燃气及水生产和供应业</w:t>
      </w:r>
      <w:r>
        <w:rPr>
          <w:rFonts w:hint="eastAsia" w:ascii="宋体" w:hAnsi="宋体" w:cs="宋体"/>
          <w:color w:val="auto"/>
          <w:spacing w:val="13"/>
          <w:sz w:val="20"/>
          <w:szCs w:val="20"/>
          <w:lang w:eastAsia="zh-CN"/>
        </w:rPr>
        <w:t>），</w:t>
      </w:r>
      <w:r>
        <w:rPr>
          <w:rFonts w:hint="eastAsia" w:ascii="宋体" w:hAnsi="宋体" w:cs="宋体"/>
          <w:color w:val="auto"/>
          <w:spacing w:val="8"/>
          <w:sz w:val="20"/>
          <w:szCs w:val="20"/>
          <w:lang w:eastAsia="zh-CN"/>
        </w:rPr>
        <w:t>建筑业，批发业，零售业，交通运输业（不含铁路运输业</w:t>
      </w:r>
      <w:r>
        <w:rPr>
          <w:rFonts w:hint="eastAsia" w:ascii="宋体" w:hAnsi="宋体" w:cs="宋体"/>
          <w:color w:val="auto"/>
          <w:spacing w:val="13"/>
          <w:sz w:val="20"/>
          <w:szCs w:val="20"/>
          <w:lang w:eastAsia="zh-CN"/>
        </w:rPr>
        <w:t>），</w:t>
      </w:r>
      <w:r>
        <w:rPr>
          <w:rFonts w:hint="eastAsia" w:ascii="宋体" w:hAnsi="宋体" w:cs="宋体"/>
          <w:color w:val="auto"/>
          <w:spacing w:val="8"/>
          <w:sz w:val="20"/>
          <w:szCs w:val="20"/>
          <w:lang w:eastAsia="zh-CN"/>
        </w:rPr>
        <w:t>仓储业，邮政</w:t>
      </w:r>
      <w:r>
        <w:rPr>
          <w:rFonts w:hint="eastAsia" w:ascii="宋体" w:hAnsi="宋体" w:cs="宋体"/>
          <w:color w:val="auto"/>
          <w:spacing w:val="9"/>
          <w:sz w:val="20"/>
          <w:szCs w:val="20"/>
          <w:lang w:eastAsia="zh-CN"/>
        </w:rPr>
        <w:t>业，住宿业，餐饮业，信息传输业（包括电</w:t>
      </w:r>
      <w:r>
        <w:rPr>
          <w:rFonts w:hint="eastAsia" w:ascii="宋体" w:hAnsi="宋体" w:cs="宋体"/>
          <w:color w:val="auto"/>
          <w:spacing w:val="8"/>
          <w:sz w:val="20"/>
          <w:szCs w:val="20"/>
          <w:lang w:eastAsia="zh-CN"/>
        </w:rPr>
        <w:t>信、互联网和相关服务</w:t>
      </w:r>
      <w:r>
        <w:rPr>
          <w:rFonts w:hint="eastAsia" w:ascii="宋体" w:hAnsi="宋体" w:cs="宋体"/>
          <w:color w:val="auto"/>
          <w:spacing w:val="9"/>
          <w:sz w:val="20"/>
          <w:szCs w:val="20"/>
          <w:lang w:eastAsia="zh-CN"/>
        </w:rPr>
        <w:t>），</w:t>
      </w:r>
      <w:r>
        <w:rPr>
          <w:rFonts w:hint="eastAsia" w:ascii="宋体" w:hAnsi="宋体" w:cs="宋体"/>
          <w:color w:val="auto"/>
          <w:spacing w:val="8"/>
          <w:sz w:val="20"/>
          <w:szCs w:val="20"/>
          <w:lang w:eastAsia="zh-CN"/>
        </w:rPr>
        <w:t>软件和信息技术服务业，房地</w:t>
      </w:r>
      <w:r>
        <w:rPr>
          <w:rFonts w:hint="eastAsia" w:ascii="宋体" w:hAnsi="宋体" w:cs="宋体"/>
          <w:color w:val="auto"/>
          <w:spacing w:val="9"/>
          <w:sz w:val="20"/>
          <w:szCs w:val="20"/>
          <w:lang w:eastAsia="zh-CN"/>
        </w:rPr>
        <w:t>产开发经营，物业管理，租赁和商务服务业，软件和信息技术服务业（包括科学研究和技术服务业，水利、环境和公共设施管理业，居民服务、修理和其他服务业，社会工作，文化、体育和娱乐业等）。</w:t>
      </w:r>
    </w:p>
    <w:p w14:paraId="0C374615">
      <w:pPr>
        <w:spacing w:before="92" w:line="228" w:lineRule="auto"/>
        <w:ind w:left="440"/>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四、各行业划型标准为：</w:t>
      </w:r>
    </w:p>
    <w:p w14:paraId="6940DEF7">
      <w:pPr>
        <w:spacing w:before="94" w:line="271" w:lineRule="auto"/>
        <w:ind w:right="22"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（一）农、林、牧、渔业。营业收入20000</w:t>
      </w:r>
      <w:r>
        <w:rPr>
          <w:rFonts w:hint="eastAsia" w:ascii="宋体" w:hAnsi="宋体" w:cs="宋体"/>
          <w:color w:val="auto"/>
          <w:spacing w:val="7"/>
          <w:sz w:val="20"/>
          <w:szCs w:val="20"/>
          <w:lang w:eastAsia="zh-CN"/>
        </w:rPr>
        <w:t>万元以下的为中小微型企业。其中，营业收入500万元</w:t>
      </w:r>
      <w:r>
        <w:rPr>
          <w:rFonts w:hint="eastAsia" w:ascii="宋体" w:hAnsi="宋体" w:cs="宋体"/>
          <w:color w:val="auto"/>
          <w:spacing w:val="9"/>
          <w:sz w:val="20"/>
          <w:szCs w:val="20"/>
          <w:lang w:eastAsia="zh-CN"/>
        </w:rPr>
        <w:t>及以上的为中型企业，营业收入50万元及以上的为小型企业，营业收入50万元以下的为微型企业。</w:t>
      </w:r>
    </w:p>
    <w:p w14:paraId="6C7C32C6">
      <w:pPr>
        <w:spacing w:before="90" w:line="286" w:lineRule="auto"/>
        <w:ind w:left="5" w:right="70" w:firstLine="425"/>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（二）工业。从业人员1000人以下或营业收入40000</w:t>
      </w:r>
      <w:r>
        <w:rPr>
          <w:rFonts w:hint="eastAsia" w:ascii="宋体" w:hAnsi="宋体" w:cs="宋体"/>
          <w:color w:val="auto"/>
          <w:spacing w:val="8"/>
          <w:sz w:val="20"/>
          <w:szCs w:val="20"/>
          <w:lang w:eastAsia="zh-CN"/>
        </w:rPr>
        <w:t>万元以下的为中小微型企业。其中，从业人</w:t>
      </w:r>
      <w:r>
        <w:rPr>
          <w:rFonts w:hint="eastAsia" w:ascii="宋体" w:hAnsi="宋体" w:cs="宋体"/>
          <w:color w:val="auto"/>
          <w:spacing w:val="9"/>
          <w:sz w:val="20"/>
          <w:szCs w:val="20"/>
          <w:lang w:eastAsia="zh-CN"/>
        </w:rPr>
        <w:t>员300人及以上，且营业收入2000万元及以上的为中</w:t>
      </w:r>
      <w:r>
        <w:rPr>
          <w:rFonts w:hint="eastAsia" w:ascii="宋体" w:hAnsi="宋体" w:cs="宋体"/>
          <w:color w:val="auto"/>
          <w:spacing w:val="8"/>
          <w:sz w:val="20"/>
          <w:szCs w:val="20"/>
          <w:lang w:eastAsia="zh-CN"/>
        </w:rPr>
        <w:t>型企业；从业人员20人及以上，且营业收入300</w:t>
      </w:r>
      <w:r>
        <w:rPr>
          <w:rFonts w:hint="eastAsia" w:ascii="宋体" w:hAnsi="宋体" w:cs="宋体"/>
          <w:color w:val="auto"/>
          <w:spacing w:val="9"/>
          <w:sz w:val="20"/>
          <w:szCs w:val="20"/>
          <w:lang w:eastAsia="zh-CN"/>
        </w:rPr>
        <w:t>万元及以上的为小型企业；从业人员20人以下或营业收入300</w:t>
      </w:r>
      <w:r>
        <w:rPr>
          <w:rFonts w:hint="eastAsia" w:ascii="宋体" w:hAnsi="宋体" w:cs="宋体"/>
          <w:color w:val="auto"/>
          <w:spacing w:val="8"/>
          <w:sz w:val="20"/>
          <w:szCs w:val="20"/>
          <w:lang w:eastAsia="zh-CN"/>
        </w:rPr>
        <w:t>万元以下的为微型企业。</w:t>
      </w:r>
    </w:p>
    <w:p w14:paraId="1614923C">
      <w:pPr>
        <w:spacing w:before="91" w:line="286" w:lineRule="auto"/>
        <w:ind w:right="22" w:firstLine="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（三）建筑业。营业收入80000万元以下或资产总额80000万元以下的为中小微型企业。其中，营</w:t>
      </w:r>
      <w:r>
        <w:rPr>
          <w:rFonts w:hint="eastAsia" w:ascii="宋体" w:hAnsi="宋体" w:cs="宋体"/>
          <w:color w:val="auto"/>
          <w:spacing w:val="9"/>
          <w:sz w:val="20"/>
          <w:szCs w:val="20"/>
          <w:lang w:eastAsia="zh-CN"/>
        </w:rPr>
        <w:t>业收入6000万元及以上，且资产总额5000万元及以上的为中型企业；</w:t>
      </w:r>
      <w:r>
        <w:rPr>
          <w:rFonts w:hint="eastAsia" w:ascii="宋体" w:hAnsi="宋体" w:cs="宋体"/>
          <w:color w:val="auto"/>
          <w:spacing w:val="8"/>
          <w:sz w:val="20"/>
          <w:szCs w:val="20"/>
          <w:lang w:eastAsia="zh-CN"/>
        </w:rPr>
        <w:t>营业收入300万元及以上，且资</w:t>
      </w:r>
      <w:r>
        <w:rPr>
          <w:rFonts w:hint="eastAsia" w:ascii="宋体" w:hAnsi="宋体" w:cs="宋体"/>
          <w:color w:val="auto"/>
          <w:spacing w:val="9"/>
          <w:sz w:val="20"/>
          <w:szCs w:val="20"/>
          <w:lang w:eastAsia="zh-CN"/>
        </w:rPr>
        <w:t>产总额300万元及以上的为小型企业；营业收入300万元以下或资</w:t>
      </w:r>
      <w:r>
        <w:rPr>
          <w:rFonts w:hint="eastAsia" w:ascii="宋体" w:hAnsi="宋体" w:cs="宋体"/>
          <w:color w:val="auto"/>
          <w:spacing w:val="8"/>
          <w:sz w:val="20"/>
          <w:szCs w:val="20"/>
          <w:lang w:eastAsia="zh-CN"/>
        </w:rPr>
        <w:t>产总额300万元以下的为微型企业。</w:t>
      </w:r>
    </w:p>
    <w:p w14:paraId="726E370B">
      <w:pPr>
        <w:spacing w:before="90" w:line="286" w:lineRule="auto"/>
        <w:ind w:left="2" w:right="22" w:firstLine="428"/>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（四）批发业。从业人员200人以下或营业收</w:t>
      </w:r>
      <w:r>
        <w:rPr>
          <w:rFonts w:hint="eastAsia" w:ascii="宋体" w:hAnsi="宋体" w:cs="宋体"/>
          <w:color w:val="auto"/>
          <w:spacing w:val="7"/>
          <w:sz w:val="20"/>
          <w:szCs w:val="20"/>
          <w:lang w:eastAsia="zh-CN"/>
        </w:rPr>
        <w:t>入40000万元以下的为中小微型企业。其中，从业人</w:t>
      </w:r>
      <w:r>
        <w:rPr>
          <w:rFonts w:hint="eastAsia" w:ascii="宋体" w:hAnsi="宋体" w:cs="宋体"/>
          <w:color w:val="auto"/>
          <w:spacing w:val="9"/>
          <w:sz w:val="20"/>
          <w:szCs w:val="20"/>
          <w:lang w:eastAsia="zh-CN"/>
        </w:rPr>
        <w:t>员20人及以上，且营业收入5000万元及以上的为中型企业；从业</w:t>
      </w:r>
      <w:r>
        <w:rPr>
          <w:rFonts w:hint="eastAsia" w:ascii="宋体" w:hAnsi="宋体" w:cs="宋体"/>
          <w:color w:val="auto"/>
          <w:spacing w:val="8"/>
          <w:sz w:val="20"/>
          <w:szCs w:val="20"/>
          <w:lang w:eastAsia="zh-CN"/>
        </w:rPr>
        <w:t>人员5人及以上，且营业收入1000万</w:t>
      </w:r>
      <w:r>
        <w:rPr>
          <w:rFonts w:hint="eastAsia" w:ascii="宋体" w:hAnsi="宋体" w:cs="宋体"/>
          <w:color w:val="auto"/>
          <w:spacing w:val="9"/>
          <w:sz w:val="20"/>
          <w:szCs w:val="20"/>
          <w:lang w:eastAsia="zh-CN"/>
        </w:rPr>
        <w:t>元及以上的为小型企业；从业人员5人以下或营业收入1000万元以</w:t>
      </w:r>
      <w:r>
        <w:rPr>
          <w:rFonts w:hint="eastAsia" w:ascii="宋体" w:hAnsi="宋体" w:cs="宋体"/>
          <w:color w:val="auto"/>
          <w:spacing w:val="8"/>
          <w:sz w:val="20"/>
          <w:szCs w:val="20"/>
          <w:lang w:eastAsia="zh-CN"/>
        </w:rPr>
        <w:t>下的为微型企业。</w:t>
      </w:r>
    </w:p>
    <w:p w14:paraId="7466E22F">
      <w:pPr>
        <w:spacing w:before="91" w:line="286" w:lineRule="auto"/>
        <w:ind w:right="22"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（五）零售业。从业人员300人以下或营业收</w:t>
      </w:r>
      <w:r>
        <w:rPr>
          <w:rFonts w:hint="eastAsia" w:ascii="宋体" w:hAnsi="宋体" w:cs="宋体"/>
          <w:color w:val="auto"/>
          <w:spacing w:val="7"/>
          <w:sz w:val="20"/>
          <w:szCs w:val="20"/>
          <w:lang w:eastAsia="zh-CN"/>
        </w:rPr>
        <w:t>入20000万元以下的为中小微型企业。其中，从业人</w:t>
      </w:r>
      <w:r>
        <w:rPr>
          <w:rFonts w:hint="eastAsia" w:ascii="宋体" w:hAnsi="宋体" w:cs="宋体"/>
          <w:color w:val="auto"/>
          <w:spacing w:val="8"/>
          <w:sz w:val="20"/>
          <w:szCs w:val="20"/>
          <w:lang w:eastAsia="zh-CN"/>
        </w:rPr>
        <w:t>员50人及以上，且营业收入500万元及以上的为中型企业；从业人</w:t>
      </w:r>
      <w:r>
        <w:rPr>
          <w:rFonts w:hint="eastAsia" w:ascii="宋体" w:hAnsi="宋体" w:cs="宋体"/>
          <w:color w:val="auto"/>
          <w:spacing w:val="7"/>
          <w:sz w:val="20"/>
          <w:szCs w:val="20"/>
          <w:lang w:eastAsia="zh-CN"/>
        </w:rPr>
        <w:t>员10人及以上，且营业收入100万元</w:t>
      </w:r>
      <w:r>
        <w:rPr>
          <w:rFonts w:hint="eastAsia" w:ascii="宋体" w:hAnsi="宋体" w:cs="宋体"/>
          <w:color w:val="auto"/>
          <w:spacing w:val="9"/>
          <w:sz w:val="20"/>
          <w:szCs w:val="20"/>
          <w:lang w:eastAsia="zh-CN"/>
        </w:rPr>
        <w:t>及以上的为小型企业；从业人员10人以下或营业收入100万元以下</w:t>
      </w:r>
      <w:r>
        <w:rPr>
          <w:rFonts w:hint="eastAsia" w:ascii="宋体" w:hAnsi="宋体" w:cs="宋体"/>
          <w:color w:val="auto"/>
          <w:spacing w:val="8"/>
          <w:sz w:val="20"/>
          <w:szCs w:val="20"/>
          <w:lang w:eastAsia="zh-CN"/>
        </w:rPr>
        <w:t>的为微型企业。</w:t>
      </w:r>
    </w:p>
    <w:p w14:paraId="2E8CCD5A">
      <w:pPr>
        <w:spacing w:before="90" w:line="286" w:lineRule="auto"/>
        <w:ind w:right="70" w:firstLine="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（六）交通运输业。从业人员1000人以下或营业收入30</w:t>
      </w:r>
      <w:r>
        <w:rPr>
          <w:rFonts w:hint="eastAsia" w:ascii="宋体" w:hAnsi="宋体" w:cs="宋体"/>
          <w:color w:val="auto"/>
          <w:spacing w:val="8"/>
          <w:sz w:val="20"/>
          <w:szCs w:val="20"/>
          <w:lang w:eastAsia="zh-CN"/>
        </w:rPr>
        <w:t>000万元以下的为中小微型企业。其中，</w:t>
      </w:r>
      <w:r>
        <w:rPr>
          <w:rFonts w:hint="eastAsia" w:ascii="宋体" w:hAnsi="宋体" w:cs="宋体"/>
          <w:color w:val="auto"/>
          <w:spacing w:val="9"/>
          <w:sz w:val="20"/>
          <w:szCs w:val="20"/>
          <w:lang w:eastAsia="zh-CN"/>
        </w:rPr>
        <w:t>从业人员300人及以上，且营业收入3000万元及以上的为中型企业；从业人员20人及以</w:t>
      </w:r>
      <w:r>
        <w:rPr>
          <w:rFonts w:hint="eastAsia" w:ascii="宋体" w:hAnsi="宋体" w:cs="宋体"/>
          <w:color w:val="auto"/>
          <w:spacing w:val="8"/>
          <w:sz w:val="20"/>
          <w:szCs w:val="20"/>
          <w:lang w:eastAsia="zh-CN"/>
        </w:rPr>
        <w:t>上，且营业收</w:t>
      </w:r>
      <w:r>
        <w:rPr>
          <w:rFonts w:hint="eastAsia" w:ascii="宋体" w:hAnsi="宋体" w:cs="宋体"/>
          <w:color w:val="auto"/>
          <w:spacing w:val="9"/>
          <w:sz w:val="20"/>
          <w:szCs w:val="20"/>
          <w:lang w:eastAsia="zh-CN"/>
        </w:rPr>
        <w:t>入200万元及以上的为小型企业；从业人员20人以下或营业</w:t>
      </w:r>
      <w:r>
        <w:rPr>
          <w:rFonts w:hint="eastAsia" w:ascii="宋体" w:hAnsi="宋体" w:cs="宋体"/>
          <w:color w:val="auto"/>
          <w:spacing w:val="8"/>
          <w:sz w:val="20"/>
          <w:szCs w:val="20"/>
          <w:lang w:eastAsia="zh-CN"/>
        </w:rPr>
        <w:t>收入200万元以下的为微型企业。</w:t>
      </w:r>
    </w:p>
    <w:p w14:paraId="7C4C12FC">
      <w:pPr>
        <w:spacing w:before="91" w:line="286" w:lineRule="auto"/>
        <w:ind w:left="5" w:right="22"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（七）仓储业。从业人员200人以下或营业收</w:t>
      </w:r>
      <w:r>
        <w:rPr>
          <w:rFonts w:hint="eastAsia" w:ascii="宋体" w:hAnsi="宋体" w:cs="宋体"/>
          <w:color w:val="auto"/>
          <w:spacing w:val="7"/>
          <w:sz w:val="20"/>
          <w:szCs w:val="20"/>
          <w:lang w:eastAsia="zh-CN"/>
        </w:rPr>
        <w:t>入30000万元以下的为中小微型企业。其中，从业人</w:t>
      </w:r>
      <w:r>
        <w:rPr>
          <w:rFonts w:hint="eastAsia" w:ascii="宋体" w:hAnsi="宋体" w:cs="宋体"/>
          <w:color w:val="auto"/>
          <w:spacing w:val="9"/>
          <w:sz w:val="20"/>
          <w:szCs w:val="20"/>
          <w:lang w:eastAsia="zh-CN"/>
        </w:rPr>
        <w:t>员100人及以上，且营业收入1000万元及以上的为中</w:t>
      </w:r>
      <w:r>
        <w:rPr>
          <w:rFonts w:hint="eastAsia" w:ascii="宋体" w:hAnsi="宋体" w:cs="宋体"/>
          <w:color w:val="auto"/>
          <w:spacing w:val="8"/>
          <w:sz w:val="20"/>
          <w:szCs w:val="20"/>
          <w:lang w:eastAsia="zh-CN"/>
        </w:rPr>
        <w:t>型企业；从业人员20人及以上，且营业收入100</w:t>
      </w:r>
      <w:r>
        <w:rPr>
          <w:rFonts w:hint="eastAsia" w:ascii="宋体" w:hAnsi="宋体" w:cs="宋体"/>
          <w:color w:val="auto"/>
          <w:spacing w:val="9"/>
          <w:sz w:val="20"/>
          <w:szCs w:val="20"/>
          <w:lang w:eastAsia="zh-CN"/>
        </w:rPr>
        <w:t>万元及以上的为小型企业；从业人员20人以下或营业收入100</w:t>
      </w:r>
      <w:r>
        <w:rPr>
          <w:rFonts w:hint="eastAsia" w:ascii="宋体" w:hAnsi="宋体" w:cs="宋体"/>
          <w:color w:val="auto"/>
          <w:spacing w:val="8"/>
          <w:sz w:val="20"/>
          <w:szCs w:val="20"/>
          <w:lang w:eastAsia="zh-CN"/>
        </w:rPr>
        <w:t>万元以下的为微型企业。</w:t>
      </w:r>
    </w:p>
    <w:p w14:paraId="7FCB6ED9">
      <w:pPr>
        <w:spacing w:before="90" w:line="286" w:lineRule="auto"/>
        <w:ind w:left="2" w:right="21" w:firstLine="428"/>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（八）邮政业。从业人员1000人以下或营业收入3000</w:t>
      </w:r>
      <w:r>
        <w:rPr>
          <w:rFonts w:hint="eastAsia" w:ascii="宋体" w:hAnsi="宋体" w:cs="宋体"/>
          <w:color w:val="auto"/>
          <w:spacing w:val="8"/>
          <w:sz w:val="20"/>
          <w:szCs w:val="20"/>
          <w:lang w:eastAsia="zh-CN"/>
        </w:rPr>
        <w:t>0万元以下的为中小微型企业。其中，从业人员300人及以上，且营业收入2000万元及</w:t>
      </w:r>
      <w:r>
        <w:rPr>
          <w:rFonts w:hint="eastAsia" w:ascii="宋体" w:hAnsi="宋体" w:cs="宋体"/>
          <w:color w:val="auto"/>
          <w:spacing w:val="7"/>
          <w:sz w:val="20"/>
          <w:szCs w:val="20"/>
          <w:lang w:eastAsia="zh-CN"/>
        </w:rPr>
        <w:t>以上的为中型企业；从业人员20人及以上，且营业收入100</w:t>
      </w:r>
      <w:r>
        <w:rPr>
          <w:rFonts w:hint="eastAsia" w:ascii="宋体" w:hAnsi="宋体" w:cs="宋体"/>
          <w:color w:val="auto"/>
          <w:spacing w:val="9"/>
          <w:sz w:val="20"/>
          <w:szCs w:val="20"/>
          <w:lang w:eastAsia="zh-CN"/>
        </w:rPr>
        <w:t>万元及以上的为小型企业；从业人员20人以下或营业收入100万元以</w:t>
      </w:r>
      <w:r>
        <w:rPr>
          <w:rFonts w:hint="eastAsia" w:ascii="宋体" w:hAnsi="宋体" w:cs="宋体"/>
          <w:color w:val="auto"/>
          <w:spacing w:val="8"/>
          <w:sz w:val="20"/>
          <w:szCs w:val="20"/>
          <w:lang w:eastAsia="zh-CN"/>
        </w:rPr>
        <w:t>下的为微型企业。</w:t>
      </w:r>
    </w:p>
    <w:p w14:paraId="0A1C07B6">
      <w:pPr>
        <w:spacing w:before="91" w:line="286" w:lineRule="auto"/>
        <w:ind w:left="5" w:right="22"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（九）住宿业。从业人员300人以下或营业收</w:t>
      </w:r>
      <w:r>
        <w:rPr>
          <w:rFonts w:hint="eastAsia" w:ascii="宋体" w:hAnsi="宋体" w:cs="宋体"/>
          <w:color w:val="auto"/>
          <w:spacing w:val="7"/>
          <w:sz w:val="20"/>
          <w:szCs w:val="20"/>
          <w:lang w:eastAsia="zh-CN"/>
        </w:rPr>
        <w:t>入10000万元以下的为中小微型企业。其中，从业人</w:t>
      </w:r>
      <w:r>
        <w:rPr>
          <w:rFonts w:hint="eastAsia" w:ascii="宋体" w:hAnsi="宋体" w:cs="宋体"/>
          <w:color w:val="auto"/>
          <w:spacing w:val="9"/>
          <w:sz w:val="20"/>
          <w:szCs w:val="20"/>
          <w:lang w:eastAsia="zh-CN"/>
        </w:rPr>
        <w:t>员100人及以上，且营业收入2000万元及以上的为中</w:t>
      </w:r>
      <w:r>
        <w:rPr>
          <w:rFonts w:hint="eastAsia" w:ascii="宋体" w:hAnsi="宋体" w:cs="宋体"/>
          <w:color w:val="auto"/>
          <w:spacing w:val="8"/>
          <w:sz w:val="20"/>
          <w:szCs w:val="20"/>
          <w:lang w:eastAsia="zh-CN"/>
        </w:rPr>
        <w:t>型企业；从业人员10人及以上，且营业收入100</w:t>
      </w:r>
      <w:r>
        <w:rPr>
          <w:rFonts w:hint="eastAsia" w:ascii="宋体" w:hAnsi="宋体" w:cs="宋体"/>
          <w:color w:val="auto"/>
          <w:spacing w:val="9"/>
          <w:sz w:val="20"/>
          <w:szCs w:val="20"/>
          <w:lang w:eastAsia="zh-CN"/>
        </w:rPr>
        <w:t>万元及以上的为小型企业；从业人员10人以下或营业收入100</w:t>
      </w:r>
      <w:r>
        <w:rPr>
          <w:rFonts w:hint="eastAsia" w:ascii="宋体" w:hAnsi="宋体" w:cs="宋体"/>
          <w:color w:val="auto"/>
          <w:spacing w:val="8"/>
          <w:sz w:val="20"/>
          <w:szCs w:val="20"/>
          <w:lang w:eastAsia="zh-CN"/>
        </w:rPr>
        <w:t>万元以下的为微型企业。</w:t>
      </w:r>
    </w:p>
    <w:p w14:paraId="790A3021">
      <w:pPr>
        <w:spacing w:line="286" w:lineRule="auto"/>
        <w:rPr>
          <w:rFonts w:hint="eastAsia" w:ascii="宋体" w:hAnsi="宋体" w:cs="宋体"/>
          <w:color w:val="auto"/>
          <w:sz w:val="20"/>
          <w:szCs w:val="20"/>
          <w:lang w:eastAsia="zh-CN"/>
        </w:rPr>
        <w:sectPr>
          <w:pgSz w:w="11906" w:h="16839"/>
          <w:pgMar w:top="1418" w:right="1339" w:bottom="0" w:left="1368" w:header="0" w:footer="737" w:gutter="0"/>
          <w:pgBorders>
            <w:top w:val="none" w:sz="0" w:space="0"/>
            <w:left w:val="none" w:sz="0" w:space="0"/>
            <w:bottom w:val="none" w:sz="0" w:space="0"/>
            <w:right w:val="none" w:sz="0" w:space="0"/>
          </w:pgBorders>
          <w:pgNumType w:fmt="decimal"/>
          <w:cols w:space="720" w:num="1"/>
        </w:sectPr>
      </w:pPr>
    </w:p>
    <w:p w14:paraId="796E768F">
      <w:pPr>
        <w:spacing w:before="40" w:line="286" w:lineRule="auto"/>
        <w:ind w:left="5" w:right="70"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（十）餐饮业。从业人员300人以下或营业收</w:t>
      </w:r>
      <w:r>
        <w:rPr>
          <w:rFonts w:hint="eastAsia" w:ascii="宋体" w:hAnsi="宋体" w:cs="宋体"/>
          <w:color w:val="auto"/>
          <w:spacing w:val="7"/>
          <w:sz w:val="20"/>
          <w:szCs w:val="20"/>
          <w:lang w:eastAsia="zh-CN"/>
        </w:rPr>
        <w:t>入10000万元以下的为中小微型企业。其中，从业人</w:t>
      </w:r>
      <w:r>
        <w:rPr>
          <w:rFonts w:hint="eastAsia" w:ascii="宋体" w:hAnsi="宋体" w:cs="宋体"/>
          <w:color w:val="auto"/>
          <w:spacing w:val="9"/>
          <w:sz w:val="20"/>
          <w:szCs w:val="20"/>
          <w:lang w:eastAsia="zh-CN"/>
        </w:rPr>
        <w:t>员100人及以上，且营业收入2000万元及以上的为中</w:t>
      </w:r>
      <w:r>
        <w:rPr>
          <w:rFonts w:hint="eastAsia" w:ascii="宋体" w:hAnsi="宋体" w:cs="宋体"/>
          <w:color w:val="auto"/>
          <w:spacing w:val="8"/>
          <w:sz w:val="20"/>
          <w:szCs w:val="20"/>
          <w:lang w:eastAsia="zh-CN"/>
        </w:rPr>
        <w:t>型企业；从业人员10人及以上，且营业收入100</w:t>
      </w:r>
      <w:r>
        <w:rPr>
          <w:rFonts w:hint="eastAsia" w:ascii="宋体" w:hAnsi="宋体" w:cs="宋体"/>
          <w:color w:val="auto"/>
          <w:spacing w:val="9"/>
          <w:sz w:val="20"/>
          <w:szCs w:val="20"/>
          <w:lang w:eastAsia="zh-CN"/>
        </w:rPr>
        <w:t>万元及以上的为小型企业；从业人员10人以下或营业收入100</w:t>
      </w:r>
      <w:r>
        <w:rPr>
          <w:rFonts w:hint="eastAsia" w:ascii="宋体" w:hAnsi="宋体" w:cs="宋体"/>
          <w:color w:val="auto"/>
          <w:spacing w:val="8"/>
          <w:sz w:val="20"/>
          <w:szCs w:val="20"/>
          <w:lang w:eastAsia="zh-CN"/>
        </w:rPr>
        <w:t>万元以下的为微型企业。</w:t>
      </w:r>
    </w:p>
    <w:p w14:paraId="4E5A79E0">
      <w:pPr>
        <w:spacing w:before="90" w:line="286" w:lineRule="auto"/>
        <w:ind w:right="16" w:firstLine="430"/>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（十一）信息传输业。从业人员2000人以下或营业收入100000万元以下的为中小微型企业。其中，</w:t>
      </w:r>
      <w:r>
        <w:rPr>
          <w:rFonts w:hint="eastAsia" w:ascii="宋体" w:hAnsi="宋体" w:cs="宋体"/>
          <w:color w:val="auto"/>
          <w:spacing w:val="9"/>
          <w:sz w:val="20"/>
          <w:szCs w:val="20"/>
          <w:lang w:eastAsia="zh-CN"/>
        </w:rPr>
        <w:t>从业人员100人及以上，且营业收入1000万元及以上的为中型企业；从业人员10人及以</w:t>
      </w:r>
      <w:r>
        <w:rPr>
          <w:rFonts w:hint="eastAsia" w:ascii="宋体" w:hAnsi="宋体" w:cs="宋体"/>
          <w:color w:val="auto"/>
          <w:spacing w:val="8"/>
          <w:sz w:val="20"/>
          <w:szCs w:val="20"/>
          <w:lang w:eastAsia="zh-CN"/>
        </w:rPr>
        <w:t>上，且营业收</w:t>
      </w:r>
      <w:r>
        <w:rPr>
          <w:rFonts w:hint="eastAsia" w:ascii="宋体" w:hAnsi="宋体" w:cs="宋体"/>
          <w:color w:val="auto"/>
          <w:spacing w:val="9"/>
          <w:sz w:val="20"/>
          <w:szCs w:val="20"/>
          <w:lang w:eastAsia="zh-CN"/>
        </w:rPr>
        <w:t>入100万元及以上的为小型企业；从业人员10人以下或营业</w:t>
      </w:r>
      <w:r>
        <w:rPr>
          <w:rFonts w:hint="eastAsia" w:ascii="宋体" w:hAnsi="宋体" w:cs="宋体"/>
          <w:color w:val="auto"/>
          <w:spacing w:val="8"/>
          <w:sz w:val="20"/>
          <w:szCs w:val="20"/>
          <w:lang w:eastAsia="zh-CN"/>
        </w:rPr>
        <w:t>收入100万元以下的为微型企业。</w:t>
      </w:r>
    </w:p>
    <w:p w14:paraId="1E5AE770">
      <w:pPr>
        <w:spacing w:before="90" w:line="286" w:lineRule="auto"/>
        <w:ind w:right="16"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（十二）软件和信息技术服务业。从业人员30</w:t>
      </w:r>
      <w:r>
        <w:rPr>
          <w:rFonts w:hint="eastAsia" w:ascii="宋体" w:hAnsi="宋体" w:cs="宋体"/>
          <w:color w:val="auto"/>
          <w:spacing w:val="7"/>
          <w:sz w:val="20"/>
          <w:szCs w:val="20"/>
          <w:lang w:eastAsia="zh-CN"/>
        </w:rPr>
        <w:t>0人以下或营业收入10000万元以下的为中小微型企业。其中，从业人员100人及以上，且营业收入1000万元及以上的为中</w:t>
      </w:r>
      <w:r>
        <w:rPr>
          <w:rFonts w:hint="eastAsia" w:ascii="宋体" w:hAnsi="宋体" w:cs="宋体"/>
          <w:color w:val="auto"/>
          <w:spacing w:val="6"/>
          <w:sz w:val="20"/>
          <w:szCs w:val="20"/>
          <w:lang w:eastAsia="zh-CN"/>
        </w:rPr>
        <w:t>型企业；从业人员10人及以上，</w:t>
      </w:r>
      <w:r>
        <w:rPr>
          <w:rFonts w:hint="eastAsia" w:ascii="宋体" w:hAnsi="宋体" w:cs="宋体"/>
          <w:color w:val="auto"/>
          <w:spacing w:val="9"/>
          <w:sz w:val="20"/>
          <w:szCs w:val="20"/>
          <w:lang w:eastAsia="zh-CN"/>
        </w:rPr>
        <w:t>且营业收入50万元及以上的为小型企业；从业人员10人以下或营业收入50万元以下的为</w:t>
      </w:r>
      <w:r>
        <w:rPr>
          <w:rFonts w:hint="eastAsia" w:ascii="宋体" w:hAnsi="宋体" w:cs="宋体"/>
          <w:color w:val="auto"/>
          <w:spacing w:val="8"/>
          <w:sz w:val="20"/>
          <w:szCs w:val="20"/>
          <w:lang w:eastAsia="zh-CN"/>
        </w:rPr>
        <w:t>微型企业。</w:t>
      </w:r>
    </w:p>
    <w:p w14:paraId="06368AA0">
      <w:pPr>
        <w:spacing w:before="93" w:line="292" w:lineRule="auto"/>
        <w:ind w:right="118" w:firstLine="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（十三）房地产开发经营。营业收入200</w:t>
      </w:r>
      <w:r>
        <w:rPr>
          <w:rFonts w:hint="eastAsia" w:ascii="宋体" w:hAnsi="宋体" w:cs="宋体"/>
          <w:color w:val="auto"/>
          <w:spacing w:val="8"/>
          <w:sz w:val="20"/>
          <w:szCs w:val="20"/>
          <w:lang w:eastAsia="zh-CN"/>
        </w:rPr>
        <w:t>000万元以下或资产总额10000万元以下的为中小微型企</w:t>
      </w:r>
      <w:r>
        <w:rPr>
          <w:rFonts w:hint="eastAsia" w:ascii="宋体" w:hAnsi="宋体" w:cs="宋体"/>
          <w:color w:val="auto"/>
          <w:spacing w:val="9"/>
          <w:sz w:val="20"/>
          <w:szCs w:val="20"/>
          <w:lang w:eastAsia="zh-CN"/>
        </w:rPr>
        <w:t>业。其中，营业收入1000万元及以上，且资产总额5000万元及以上的</w:t>
      </w:r>
      <w:r>
        <w:rPr>
          <w:rFonts w:hint="eastAsia" w:ascii="宋体" w:hAnsi="宋体" w:cs="宋体"/>
          <w:color w:val="auto"/>
          <w:spacing w:val="8"/>
          <w:sz w:val="20"/>
          <w:szCs w:val="20"/>
          <w:lang w:eastAsia="zh-CN"/>
        </w:rPr>
        <w:t>为中型企业；营业收入100万元</w:t>
      </w:r>
      <w:r>
        <w:rPr>
          <w:rFonts w:hint="eastAsia" w:ascii="宋体" w:hAnsi="宋体" w:cs="宋体"/>
          <w:color w:val="auto"/>
          <w:spacing w:val="9"/>
          <w:sz w:val="20"/>
          <w:szCs w:val="20"/>
          <w:lang w:eastAsia="zh-CN"/>
        </w:rPr>
        <w:t>及以上，且资产总额2000万元及以上的为小型企业；营业收入100万元</w:t>
      </w:r>
      <w:r>
        <w:rPr>
          <w:rFonts w:hint="eastAsia" w:ascii="宋体" w:hAnsi="宋体" w:cs="宋体"/>
          <w:color w:val="auto"/>
          <w:spacing w:val="8"/>
          <w:sz w:val="20"/>
          <w:szCs w:val="20"/>
          <w:lang w:eastAsia="zh-CN"/>
        </w:rPr>
        <w:t>以下或资产总额2000万元以下</w:t>
      </w:r>
      <w:r>
        <w:rPr>
          <w:rFonts w:hint="eastAsia" w:ascii="宋体" w:hAnsi="宋体" w:cs="宋体"/>
          <w:color w:val="auto"/>
          <w:spacing w:val="7"/>
          <w:sz w:val="20"/>
          <w:szCs w:val="20"/>
          <w:lang w:eastAsia="zh-CN"/>
        </w:rPr>
        <w:t>的为微型企业。</w:t>
      </w:r>
    </w:p>
    <w:p w14:paraId="2F827974">
      <w:pPr>
        <w:spacing w:before="93" w:line="285" w:lineRule="auto"/>
        <w:ind w:right="70"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（十四）物业管理。从业人员1000人以下或</w:t>
      </w:r>
      <w:r>
        <w:rPr>
          <w:rFonts w:hint="eastAsia" w:ascii="宋体" w:hAnsi="宋体" w:cs="宋体"/>
          <w:color w:val="auto"/>
          <w:spacing w:val="7"/>
          <w:sz w:val="20"/>
          <w:szCs w:val="20"/>
          <w:lang w:eastAsia="zh-CN"/>
        </w:rPr>
        <w:t>营业收入5000万元以下的为中小微型企业。其中，从</w:t>
      </w:r>
      <w:r>
        <w:rPr>
          <w:rFonts w:hint="eastAsia" w:ascii="宋体" w:hAnsi="宋体" w:cs="宋体"/>
          <w:color w:val="auto"/>
          <w:spacing w:val="8"/>
          <w:sz w:val="20"/>
          <w:szCs w:val="20"/>
          <w:lang w:eastAsia="zh-CN"/>
        </w:rPr>
        <w:t>业人员300人及以上，且营业收入1000万元及以上的为中型企业</w:t>
      </w:r>
      <w:r>
        <w:rPr>
          <w:rFonts w:hint="eastAsia" w:ascii="宋体" w:hAnsi="宋体" w:cs="宋体"/>
          <w:color w:val="auto"/>
          <w:spacing w:val="7"/>
          <w:sz w:val="20"/>
          <w:szCs w:val="20"/>
          <w:lang w:eastAsia="zh-CN"/>
        </w:rPr>
        <w:t>；从业人员100人及以上，且营业收入</w:t>
      </w:r>
      <w:r>
        <w:rPr>
          <w:rFonts w:hint="eastAsia" w:ascii="宋体" w:hAnsi="宋体" w:cs="宋体"/>
          <w:color w:val="auto"/>
          <w:spacing w:val="9"/>
          <w:sz w:val="20"/>
          <w:szCs w:val="20"/>
          <w:lang w:eastAsia="zh-CN"/>
        </w:rPr>
        <w:t>500万元及以上的为小型企业；从业人员100人</w:t>
      </w:r>
      <w:r>
        <w:rPr>
          <w:rFonts w:hint="eastAsia" w:ascii="宋体" w:hAnsi="宋体" w:cs="宋体"/>
          <w:color w:val="auto"/>
          <w:spacing w:val="8"/>
          <w:sz w:val="20"/>
          <w:szCs w:val="20"/>
          <w:lang w:eastAsia="zh-CN"/>
        </w:rPr>
        <w:t>以下或营业收入500万元以下的为微型企业。</w:t>
      </w:r>
    </w:p>
    <w:p w14:paraId="6DD33C0C">
      <w:pPr>
        <w:spacing w:before="94" w:line="285" w:lineRule="auto"/>
        <w:ind w:left="1" w:firstLine="429"/>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（十五）租赁和商务服务业。从业人员300人以下或资产总额1200</w:t>
      </w:r>
      <w:r>
        <w:rPr>
          <w:rFonts w:hint="eastAsia" w:ascii="宋体" w:hAnsi="宋体" w:cs="宋体"/>
          <w:color w:val="auto"/>
          <w:spacing w:val="6"/>
          <w:sz w:val="20"/>
          <w:szCs w:val="20"/>
          <w:lang w:eastAsia="zh-CN"/>
        </w:rPr>
        <w:t>00万元以下的为中小微型企业。</w:t>
      </w:r>
      <w:r>
        <w:rPr>
          <w:rFonts w:hint="eastAsia" w:ascii="宋体" w:hAnsi="宋体" w:cs="宋体"/>
          <w:color w:val="auto"/>
          <w:spacing w:val="9"/>
          <w:sz w:val="20"/>
          <w:szCs w:val="20"/>
          <w:lang w:eastAsia="zh-CN"/>
        </w:rPr>
        <w:t>其中，从业人员100人及以上，且资产总额8000万元及以上的为中型企业；从业人员</w:t>
      </w:r>
      <w:r>
        <w:rPr>
          <w:rFonts w:hint="eastAsia" w:ascii="宋体" w:hAnsi="宋体" w:cs="宋体"/>
          <w:color w:val="auto"/>
          <w:spacing w:val="8"/>
          <w:sz w:val="20"/>
          <w:szCs w:val="20"/>
          <w:lang w:eastAsia="zh-CN"/>
        </w:rPr>
        <w:t>10人及以上，且</w:t>
      </w:r>
      <w:r>
        <w:rPr>
          <w:rFonts w:hint="eastAsia" w:ascii="宋体" w:hAnsi="宋体" w:cs="宋体"/>
          <w:color w:val="auto"/>
          <w:spacing w:val="9"/>
          <w:sz w:val="20"/>
          <w:szCs w:val="20"/>
          <w:lang w:eastAsia="zh-CN"/>
        </w:rPr>
        <w:t>资产总额100万元及以上的为小型企业；从业人员10人以下或资产</w:t>
      </w:r>
      <w:r>
        <w:rPr>
          <w:rFonts w:hint="eastAsia" w:ascii="宋体" w:hAnsi="宋体" w:cs="宋体"/>
          <w:color w:val="auto"/>
          <w:spacing w:val="8"/>
          <w:sz w:val="20"/>
          <w:szCs w:val="20"/>
          <w:lang w:eastAsia="zh-CN"/>
        </w:rPr>
        <w:t>总额100万元以下的为微型企业。</w:t>
      </w:r>
    </w:p>
    <w:p w14:paraId="787FD153">
      <w:pPr>
        <w:spacing w:before="94" w:line="271" w:lineRule="auto"/>
        <w:ind w:left="17" w:right="70" w:firstLine="41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（十六）软件和信息技术服务业。从业人员300人以下的为中小微型</w:t>
      </w:r>
      <w:r>
        <w:rPr>
          <w:rFonts w:hint="eastAsia" w:ascii="宋体" w:hAnsi="宋体" w:cs="宋体"/>
          <w:color w:val="auto"/>
          <w:spacing w:val="7"/>
          <w:sz w:val="20"/>
          <w:szCs w:val="20"/>
          <w:lang w:eastAsia="zh-CN"/>
        </w:rPr>
        <w:t>企业。其中，从业人员100人及以上</w:t>
      </w:r>
      <w:r>
        <w:rPr>
          <w:rFonts w:hint="eastAsia" w:ascii="宋体" w:hAnsi="宋体" w:cs="宋体"/>
          <w:color w:val="auto"/>
          <w:spacing w:val="9"/>
          <w:sz w:val="20"/>
          <w:szCs w:val="20"/>
          <w:lang w:eastAsia="zh-CN"/>
        </w:rPr>
        <w:t>的为中型企业；从业人员10人及以上的为小型企</w:t>
      </w:r>
      <w:r>
        <w:rPr>
          <w:rFonts w:hint="eastAsia" w:ascii="宋体" w:hAnsi="宋体" w:cs="宋体"/>
          <w:color w:val="auto"/>
          <w:spacing w:val="8"/>
          <w:sz w:val="20"/>
          <w:szCs w:val="20"/>
          <w:lang w:eastAsia="zh-CN"/>
        </w:rPr>
        <w:t>业；从业人员10人以下的为微型企业。</w:t>
      </w:r>
    </w:p>
    <w:p w14:paraId="3B1561EE">
      <w:pPr>
        <w:spacing w:before="92" w:line="227" w:lineRule="auto"/>
        <w:ind w:left="424"/>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五、企业类型的划分以统计部门的统计数据为依</w:t>
      </w:r>
      <w:r>
        <w:rPr>
          <w:rFonts w:hint="eastAsia" w:ascii="宋体" w:hAnsi="宋体" w:cs="宋体"/>
          <w:color w:val="auto"/>
          <w:spacing w:val="8"/>
          <w:sz w:val="20"/>
          <w:szCs w:val="20"/>
          <w:lang w:eastAsia="zh-CN"/>
        </w:rPr>
        <w:t>据。</w:t>
      </w:r>
    </w:p>
    <w:p w14:paraId="43167454">
      <w:pPr>
        <w:spacing w:before="94" w:line="271" w:lineRule="auto"/>
        <w:ind w:left="5" w:right="70" w:firstLine="41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六、本规定适用于在中华人民共和国境内依法设立的各类所有制和各种组织形式的企业。个体工</w:t>
      </w:r>
      <w:r>
        <w:rPr>
          <w:rFonts w:hint="eastAsia" w:ascii="宋体" w:hAnsi="宋体" w:cs="宋体"/>
          <w:color w:val="auto"/>
          <w:spacing w:val="9"/>
          <w:sz w:val="20"/>
          <w:szCs w:val="20"/>
          <w:lang w:eastAsia="zh-CN"/>
        </w:rPr>
        <w:t>商户和本规定以外的行业，参照本规定进行</w:t>
      </w:r>
      <w:r>
        <w:rPr>
          <w:rFonts w:hint="eastAsia" w:ascii="宋体" w:hAnsi="宋体" w:cs="宋体"/>
          <w:color w:val="auto"/>
          <w:spacing w:val="8"/>
          <w:sz w:val="20"/>
          <w:szCs w:val="20"/>
          <w:lang w:eastAsia="zh-CN"/>
        </w:rPr>
        <w:t>划型。</w:t>
      </w:r>
    </w:p>
    <w:p w14:paraId="73142CE1">
      <w:pPr>
        <w:spacing w:before="92" w:line="271" w:lineRule="auto"/>
        <w:ind w:right="48"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七、本规定的中型企业标准上限即为大型企业标准的下限，国家统计部门据此制定大中小微型企</w:t>
      </w:r>
      <w:r>
        <w:rPr>
          <w:rFonts w:hint="eastAsia" w:ascii="宋体" w:hAnsi="宋体" w:cs="宋体"/>
          <w:color w:val="auto"/>
          <w:spacing w:val="9"/>
          <w:sz w:val="20"/>
          <w:szCs w:val="20"/>
          <w:lang w:eastAsia="zh-CN"/>
        </w:rPr>
        <w:t>业的统计分类。国务院有关部门据此进行相关数据分析，不得制定与本规定不一致的企业划型标准。</w:t>
      </w:r>
    </w:p>
    <w:p w14:paraId="3F4A074D">
      <w:pPr>
        <w:spacing w:before="95" w:line="270" w:lineRule="auto"/>
        <w:ind w:left="4" w:right="70"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八、本规定由工业和信息化部、国家统计局会同有关部门根据《国民经济行业分类》修订情况和企业发展变化情况适时修订。</w:t>
      </w:r>
    </w:p>
    <w:p w14:paraId="4FE75009">
      <w:pPr>
        <w:spacing w:before="94" w:line="227" w:lineRule="auto"/>
        <w:ind w:left="425"/>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九、本规定由工业和信息化部、国家统计局会同有关部门负责解释。</w:t>
      </w:r>
    </w:p>
    <w:p w14:paraId="1D7A038A">
      <w:pPr>
        <w:spacing w:before="131" w:line="227"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十、本规定自发布之日起执行，原国家经贸委、原国家计委、财政部和国家统计局2003年颁布的《中</w:t>
      </w:r>
    </w:p>
    <w:p w14:paraId="2461A6DF">
      <w:pPr>
        <w:spacing w:before="223" w:line="228" w:lineRule="auto"/>
        <w:ind w:left="6"/>
        <w:outlineLvl w:val="0"/>
        <w:rPr>
          <w:rFonts w:hint="eastAsia" w:ascii="宋体" w:hAnsi="宋体" w:cs="宋体"/>
          <w:color w:val="auto"/>
          <w:sz w:val="20"/>
          <w:szCs w:val="20"/>
          <w:lang w:eastAsia="zh-CN"/>
        </w:rPr>
      </w:pPr>
      <w:bookmarkStart w:id="35" w:name="bookmark4"/>
      <w:bookmarkEnd w:id="35"/>
      <w:bookmarkStart w:id="36" w:name="_Toc25506"/>
      <w:r>
        <w:rPr>
          <w:rFonts w:hint="eastAsia" w:ascii="宋体" w:hAnsi="宋体" w:cs="宋体"/>
          <w:color w:val="auto"/>
          <w:spacing w:val="8"/>
          <w:sz w:val="20"/>
          <w:szCs w:val="20"/>
          <w:lang w:eastAsia="zh-CN"/>
        </w:rPr>
        <w:t>小企业标准暂行规定》同时废止。</w:t>
      </w:r>
      <w:bookmarkEnd w:id="36"/>
    </w:p>
    <w:p w14:paraId="369FE2B4">
      <w:pPr>
        <w:spacing w:line="228" w:lineRule="auto"/>
        <w:rPr>
          <w:rFonts w:hint="eastAsia" w:ascii="宋体" w:hAnsi="宋体" w:cs="宋体"/>
          <w:color w:val="auto"/>
          <w:sz w:val="20"/>
          <w:szCs w:val="20"/>
          <w:lang w:eastAsia="zh-CN"/>
        </w:rPr>
        <w:sectPr>
          <w:pgSz w:w="11906" w:h="16839"/>
          <w:pgMar w:top="1354" w:right="1291" w:bottom="0" w:left="1368" w:header="0" w:footer="737" w:gutter="0"/>
          <w:pgBorders>
            <w:top w:val="none" w:sz="0" w:space="0"/>
            <w:left w:val="none" w:sz="0" w:space="0"/>
            <w:bottom w:val="none" w:sz="0" w:space="0"/>
            <w:right w:val="none" w:sz="0" w:space="0"/>
          </w:pgBorders>
          <w:pgNumType w:fmt="decimal"/>
          <w:cols w:space="720" w:num="1"/>
        </w:sectPr>
      </w:pPr>
    </w:p>
    <w:p w14:paraId="7A0C258F">
      <w:pPr>
        <w:pStyle w:val="2"/>
        <w:rPr>
          <w:rFonts w:hint="eastAsia" w:ascii="宋体" w:hAnsi="宋体" w:cs="宋体"/>
          <w:color w:val="auto"/>
          <w:lang w:eastAsia="zh-CN"/>
        </w:rPr>
      </w:pPr>
      <w:r>
        <w:rPr>
          <w:rFonts w:hint="eastAsia" w:ascii="宋体" w:hAnsi="宋体" w:cs="宋体"/>
          <w:color w:val="auto"/>
          <w:lang w:eastAsia="zh-CN"/>
        </w:rPr>
        <w:t>第四部分采购需求</w:t>
      </w:r>
      <w:bookmarkEnd w:id="33"/>
    </w:p>
    <w:p w14:paraId="22D31800">
      <w:pPr>
        <w:pStyle w:val="8"/>
        <w:rPr>
          <w:rFonts w:hint="eastAsia" w:ascii="宋体" w:hAnsi="宋体" w:eastAsia="宋体" w:cs="宋体"/>
          <w:color w:val="auto"/>
          <w:lang w:eastAsia="zh-CN"/>
        </w:rPr>
      </w:pPr>
    </w:p>
    <w:p w14:paraId="27BFA038">
      <w:pPr>
        <w:pStyle w:val="49"/>
        <w:widowControl/>
        <w:spacing w:line="480" w:lineRule="auto"/>
        <w:jc w:val="left"/>
        <w:rPr>
          <w:rFonts w:hint="eastAsia" w:ascii="宋体" w:hAnsi="宋体" w:eastAsia="宋体" w:cs="宋体"/>
          <w:b/>
          <w:kern w:val="0"/>
          <w:sz w:val="24"/>
        </w:rPr>
      </w:pPr>
      <w:r>
        <w:rPr>
          <w:rFonts w:hint="eastAsia" w:ascii="宋体" w:hAnsi="宋体" w:eastAsia="宋体" w:cs="宋体"/>
          <w:b/>
          <w:color w:val="000000"/>
          <w:kern w:val="0"/>
          <w:sz w:val="24"/>
          <w:highlight w:val="white"/>
        </w:rPr>
        <w:t>一、项目概述</w:t>
      </w:r>
    </w:p>
    <w:p w14:paraId="0031F5A5">
      <w:pPr>
        <w:pStyle w:val="49"/>
        <w:widowControl/>
        <w:spacing w:line="480" w:lineRule="auto"/>
        <w:jc w:val="left"/>
        <w:rPr>
          <w:rFonts w:hint="eastAsia" w:ascii="宋体" w:hAnsi="宋体" w:eastAsia="宋体" w:cs="宋体"/>
          <w:bCs/>
          <w:color w:val="000000"/>
          <w:kern w:val="0"/>
          <w:sz w:val="24"/>
          <w:highlight w:val="white"/>
        </w:rPr>
      </w:pPr>
      <w:r>
        <w:rPr>
          <w:rFonts w:hint="eastAsia" w:ascii="宋体" w:hAnsi="宋体" w:eastAsia="宋体" w:cs="宋体"/>
          <w:bCs/>
          <w:color w:val="000000"/>
          <w:kern w:val="0"/>
          <w:sz w:val="24"/>
          <w:highlight w:val="white"/>
        </w:rPr>
        <w:t>（一）本项目为我校以旧换新设备升级改造项目，拟采购包含完善人工智能专业、物联网专业实训实战教学场景的硬件设备，以满足学校相关实训教学及升级学校校园E卡通业务，全面提升学校智慧校园水平，通过基础智能物联设备和人工智能设备相结合，为全校师生提供智慧物联网服务和通用便捷应用教学及信息技术服务能力，也可以全面支撑人工智能和物联网领域的人才培养，以现实与生产化的场景为新一代信息技术产业的发展提供技术支持和人才储备提供保障，为学校扩展相关专业的实训场景提供业务支撑。</w:t>
      </w:r>
    </w:p>
    <w:p w14:paraId="718AB37C">
      <w:pPr>
        <w:pStyle w:val="49"/>
        <w:widowControl/>
        <w:numPr>
          <w:ilvl w:val="0"/>
          <w:numId w:val="2"/>
        </w:numPr>
        <w:spacing w:line="480" w:lineRule="auto"/>
        <w:jc w:val="left"/>
        <w:rPr>
          <w:rFonts w:hint="eastAsia" w:ascii="宋体" w:hAnsi="宋体" w:eastAsia="宋体" w:cs="宋体"/>
          <w:bCs/>
          <w:kern w:val="0"/>
          <w:sz w:val="24"/>
        </w:rPr>
      </w:pPr>
      <w:r>
        <w:rPr>
          <w:rFonts w:hint="eastAsia" w:ascii="宋体" w:hAnsi="宋体" w:eastAsia="宋体" w:cs="宋体"/>
          <w:bCs/>
          <w:color w:val="000000"/>
          <w:kern w:val="0"/>
          <w:sz w:val="24"/>
          <w:highlight w:val="white"/>
        </w:rPr>
        <w:t>采购标的需执行的国家相关标准、行业标准、地方标准或者其他标准、规范：无</w:t>
      </w:r>
    </w:p>
    <w:p w14:paraId="44F07865">
      <w:pPr>
        <w:pStyle w:val="49"/>
        <w:widowControl/>
        <w:spacing w:line="480" w:lineRule="auto"/>
        <w:jc w:val="left"/>
        <w:rPr>
          <w:rFonts w:hint="eastAsia" w:ascii="宋体" w:hAnsi="宋体" w:eastAsia="宋体" w:cs="宋体"/>
          <w:bCs/>
          <w:kern w:val="0"/>
          <w:sz w:val="24"/>
        </w:rPr>
      </w:pPr>
      <w:r>
        <w:rPr>
          <w:rFonts w:hint="eastAsia" w:ascii="宋体" w:hAnsi="宋体" w:eastAsia="宋体" w:cs="宋体"/>
          <w:bCs/>
          <w:color w:val="000000"/>
          <w:kern w:val="0"/>
          <w:sz w:val="24"/>
          <w:highlight w:val="white"/>
        </w:rPr>
        <w:t>（三）</w:t>
      </w:r>
      <w:r>
        <w:rPr>
          <w:rFonts w:hint="eastAsia" w:ascii="宋体" w:hAnsi="宋体" w:eastAsia="宋体" w:cs="宋体"/>
          <w:color w:val="000000"/>
          <w:spacing w:val="-3"/>
          <w:sz w:val="24"/>
          <w:highlight w:val="white"/>
        </w:rPr>
        <w:t>采购标的对应的中小企业划分标准所属行业（投标文件中《中小企业声明函》中填写的“</w:t>
      </w:r>
      <w:r>
        <w:rPr>
          <w:rFonts w:ascii="仿宋" w:hAnsi="仿宋" w:cs="仿宋"/>
          <w:color w:val="000000"/>
          <w:sz w:val="24"/>
          <w:highlight w:val="white"/>
        </w:rPr>
        <w:t>采购文件中明确的所属行业</w:t>
      </w:r>
      <w:r>
        <w:rPr>
          <w:rFonts w:hint="eastAsia" w:ascii="宋体" w:hAnsi="宋体" w:eastAsia="宋体" w:cs="宋体"/>
          <w:color w:val="000000"/>
          <w:spacing w:val="-3"/>
          <w:sz w:val="24"/>
          <w:highlight w:val="white"/>
        </w:rPr>
        <w:t>”应与下述行业一致）：序号1-6工业</w:t>
      </w:r>
    </w:p>
    <w:p w14:paraId="3CC8B25A">
      <w:pPr>
        <w:pStyle w:val="49"/>
        <w:widowControl/>
        <w:spacing w:line="480" w:lineRule="auto"/>
        <w:jc w:val="left"/>
        <w:rPr>
          <w:rFonts w:hint="eastAsia" w:ascii="宋体" w:hAnsi="宋体" w:eastAsia="宋体" w:cs="宋体"/>
          <w:b/>
          <w:kern w:val="0"/>
          <w:sz w:val="24"/>
        </w:rPr>
      </w:pPr>
      <w:r>
        <w:rPr>
          <w:rFonts w:hint="eastAsia" w:ascii="宋体" w:hAnsi="宋体" w:eastAsia="宋体" w:cs="宋体"/>
          <w:b/>
          <w:color w:val="000000"/>
          <w:kern w:val="0"/>
          <w:sz w:val="24"/>
          <w:highlight w:val="white"/>
        </w:rPr>
        <w:t>二、技术要求</w:t>
      </w:r>
    </w:p>
    <w:p w14:paraId="790C61CC">
      <w:pPr>
        <w:pStyle w:val="48"/>
        <w:wordWrap w:val="0"/>
        <w:spacing w:before="0" w:beforeAutospacing="0" w:after="2" w:afterAutospacing="0" w:line="480" w:lineRule="auto"/>
        <w:rPr>
          <w:rFonts w:cs="宋体"/>
          <w:bCs/>
        </w:rPr>
      </w:pPr>
      <w:r>
        <w:rPr>
          <w:rFonts w:hint="eastAsia" w:cs="宋体"/>
          <w:bCs/>
          <w:color w:val="000000"/>
          <w:highlight w:val="white"/>
        </w:rPr>
        <w:t>（一）技术条款（</w:t>
      </w:r>
      <w:r>
        <w:rPr>
          <w:rFonts w:hint="eastAsia" w:cs="宋体"/>
          <w:bCs/>
          <w:color w:val="000000"/>
          <w:highlight w:val="white"/>
          <w:lang w:val="zh-CN"/>
        </w:rPr>
        <w:t>采购标的的功能和质量要求，包括性能、材料、结构、外观、安全、</w:t>
      </w:r>
      <w:r>
        <w:rPr>
          <w:rFonts w:hint="eastAsia" w:cs="宋体"/>
          <w:bCs/>
          <w:color w:val="000000"/>
          <w:highlight w:val="white"/>
        </w:rPr>
        <w:t>服务内容和标准</w:t>
      </w:r>
      <w:r>
        <w:rPr>
          <w:rFonts w:hint="eastAsia" w:cs="宋体"/>
          <w:bCs/>
          <w:color w:val="000000"/>
          <w:highlight w:val="white"/>
          <w:lang w:val="zh-CN"/>
        </w:rPr>
        <w:t>等</w:t>
      </w:r>
      <w:r>
        <w:rPr>
          <w:rFonts w:hint="eastAsia" w:cs="宋体"/>
          <w:bCs/>
          <w:color w:val="000000"/>
          <w:highlight w:val="white"/>
        </w:rPr>
        <w:t>）：</w:t>
      </w:r>
    </w:p>
    <w:p w14:paraId="3DCBFA35">
      <w:pPr>
        <w:pStyle w:val="48"/>
        <w:wordWrap w:val="0"/>
        <w:spacing w:before="0" w:beforeAutospacing="0" w:after="2" w:afterAutospacing="0" w:line="480" w:lineRule="auto"/>
        <w:rPr>
          <w:rFonts w:ascii="Calibri" w:hAnsi="Calibri" w:eastAsia="等线" w:cs="宋体"/>
          <w:bCs/>
          <w:color w:val="000000"/>
          <w:lang w:val="zh-CN"/>
        </w:rPr>
      </w:pPr>
      <w:r>
        <w:rPr>
          <w:rFonts w:hint="eastAsia" w:cs="宋体"/>
          <w:bCs/>
          <w:color w:val="000000"/>
          <w:highlight w:val="white"/>
          <w:lang w:val="zh-CN"/>
        </w:rPr>
        <w:t>注：</w:t>
      </w:r>
      <w:r>
        <w:rPr>
          <w:rFonts w:hint="eastAsia" w:cs="宋体"/>
          <w:bCs/>
          <w:color w:val="000000"/>
          <w:highlight w:val="white"/>
        </w:rPr>
        <w:t>投标人</w:t>
      </w:r>
      <w:r>
        <w:rPr>
          <w:rFonts w:hint="eastAsia" w:cs="宋体"/>
          <w:bCs/>
          <w:color w:val="000000"/>
          <w:highlight w:val="white"/>
          <w:lang w:val="zh-CN"/>
        </w:rPr>
        <w:t>应在投标文件《技术条款偏离表》中对本部分技术条款逐条说明响应和偏离情况，</w:t>
      </w:r>
      <w:r>
        <w:rPr>
          <w:rFonts w:hint="eastAsia" w:cs="宋体"/>
          <w:bCs/>
          <w:color w:val="000000"/>
          <w:highlight w:val="white"/>
        </w:rPr>
        <w:t>技术条款</w:t>
      </w:r>
      <w:r>
        <w:rPr>
          <w:rFonts w:hint="eastAsia" w:cs="宋体"/>
          <w:bCs/>
          <w:color w:val="000000"/>
          <w:highlight w:val="white"/>
          <w:lang w:val="zh-CN"/>
        </w:rPr>
        <w:t>中的“</w:t>
      </w:r>
      <w:r>
        <w:rPr>
          <w:rFonts w:hint="eastAsia" w:cs="宋体"/>
          <w:bCs/>
          <w:color w:val="000000"/>
          <w:highlight w:val="white"/>
        </w:rPr>
        <w:t>具体参数值或功能要求表述</w:t>
      </w:r>
      <w:r>
        <w:rPr>
          <w:rFonts w:hint="eastAsia" w:cs="宋体"/>
          <w:bCs/>
          <w:color w:val="000000"/>
          <w:highlight w:val="white"/>
          <w:lang w:val="zh-CN"/>
        </w:rPr>
        <w:t>”中“*”条款</w:t>
      </w:r>
      <w:r>
        <w:rPr>
          <w:rFonts w:hint="eastAsia" w:cs="宋体"/>
          <w:bCs/>
          <w:color w:val="000000"/>
          <w:highlight w:val="white"/>
        </w:rPr>
        <w:t>为实质性条款，</w:t>
      </w:r>
      <w:r>
        <w:rPr>
          <w:rFonts w:hint="eastAsia" w:cs="宋体"/>
          <w:bCs/>
          <w:color w:val="000000"/>
          <w:highlight w:val="white"/>
          <w:lang w:val="zh-CN"/>
        </w:rPr>
        <w:t>投标人的投标必须完全满足或者正偏离，否则投标无效。</w:t>
      </w:r>
    </w:p>
    <w:tbl>
      <w:tblPr>
        <w:tblStyle w:val="23"/>
        <w:tblpPr w:leftFromText="180" w:rightFromText="180" w:vertAnchor="text" w:tblpXSpec="center" w:tblpY="1"/>
        <w:tblOverlap w:val="never"/>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5528"/>
        <w:gridCol w:w="1418"/>
      </w:tblGrid>
      <w:tr w14:paraId="4E2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0BCC9CA">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序号</w:t>
            </w:r>
          </w:p>
        </w:tc>
        <w:tc>
          <w:tcPr>
            <w:tcW w:w="1559" w:type="dxa"/>
            <w:vAlign w:val="center"/>
          </w:tcPr>
          <w:p w14:paraId="416A1FD3">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标的名称</w:t>
            </w:r>
          </w:p>
        </w:tc>
        <w:tc>
          <w:tcPr>
            <w:tcW w:w="5528" w:type="dxa"/>
            <w:vAlign w:val="center"/>
          </w:tcPr>
          <w:p w14:paraId="384BDBFD">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具体参数值或功能要求表述</w:t>
            </w:r>
          </w:p>
        </w:tc>
        <w:tc>
          <w:tcPr>
            <w:tcW w:w="1418" w:type="dxa"/>
            <w:vAlign w:val="center"/>
          </w:tcPr>
          <w:p w14:paraId="291198DD">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数量及单位</w:t>
            </w:r>
          </w:p>
        </w:tc>
      </w:tr>
      <w:tr w14:paraId="6236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749D031">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1</w:t>
            </w:r>
          </w:p>
        </w:tc>
        <w:tc>
          <w:tcPr>
            <w:tcW w:w="1559" w:type="dxa"/>
            <w:vAlign w:val="center"/>
          </w:tcPr>
          <w:p w14:paraId="56C68BAE">
            <w:pPr>
              <w:jc w:val="center"/>
              <w:rPr>
                <w:rFonts w:ascii="Calibri" w:hAnsi="Calibri" w:eastAsia="Calibri" w:cs="宋体"/>
                <w:bCs/>
                <w:color w:val="auto"/>
                <w:sz w:val="24"/>
                <w:szCs w:val="24"/>
                <w:highlight w:val="white"/>
                <w:lang w:val="zh-CN"/>
              </w:rPr>
            </w:pPr>
            <w:r>
              <w:rPr>
                <w:rFonts w:ascii="Calibri" w:hAnsi="Calibri" w:eastAsia="Calibri" w:cs="宋体"/>
                <w:bCs/>
                <w:color w:val="auto"/>
                <w:sz w:val="24"/>
                <w:szCs w:val="24"/>
                <w:highlight w:val="white"/>
                <w:lang w:val="zh-CN"/>
              </w:rPr>
              <w:t>一卡通管理系统</w:t>
            </w:r>
          </w:p>
        </w:tc>
        <w:tc>
          <w:tcPr>
            <w:tcW w:w="5528" w:type="dxa"/>
            <w:vAlign w:val="center"/>
          </w:tcPr>
          <w:p w14:paraId="1B7E6CA3">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智慧</w:t>
            </w:r>
            <w:r>
              <w:rPr>
                <w:rFonts w:eastAsia="Calibri" w:cs="宋体"/>
                <w:bCs/>
                <w:color w:val="auto"/>
                <w:sz w:val="24"/>
                <w:szCs w:val="24"/>
                <w:highlight w:val="white"/>
                <w:lang w:val="zh-CN" w:eastAsia="zh-CN"/>
              </w:rPr>
              <w:t>行为轨迹分析系统</w:t>
            </w:r>
            <w:r>
              <w:rPr>
                <w:rFonts w:hint="eastAsia" w:cs="宋体"/>
                <w:bCs/>
                <w:color w:val="auto"/>
                <w:sz w:val="24"/>
                <w:szCs w:val="24"/>
                <w:highlight w:val="white"/>
                <w:lang w:eastAsia="zh-CN"/>
              </w:rPr>
              <w:t>:结合</w:t>
            </w:r>
            <w:r>
              <w:rPr>
                <w:rFonts w:eastAsia="Calibri" w:cs="宋体"/>
                <w:bCs/>
                <w:color w:val="auto"/>
                <w:sz w:val="24"/>
                <w:szCs w:val="24"/>
                <w:highlight w:val="white"/>
                <w:lang w:val="zh-CN" w:eastAsia="zh-CN"/>
              </w:rPr>
              <w:t>对</w:t>
            </w:r>
            <w:r>
              <w:rPr>
                <w:rFonts w:hint="eastAsia" w:cs="宋体"/>
                <w:bCs/>
                <w:color w:val="auto"/>
                <w:sz w:val="24"/>
                <w:szCs w:val="24"/>
                <w:highlight w:val="white"/>
                <w:lang w:eastAsia="zh-CN"/>
              </w:rPr>
              <w:t>场景</w:t>
            </w:r>
            <w:r>
              <w:rPr>
                <w:rFonts w:eastAsia="Calibri" w:cs="宋体"/>
                <w:bCs/>
                <w:color w:val="auto"/>
                <w:sz w:val="24"/>
                <w:szCs w:val="24"/>
                <w:highlight w:val="white"/>
                <w:lang w:val="zh-CN" w:eastAsia="zh-CN"/>
              </w:rPr>
              <w:t>数据</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实现多源</w:t>
            </w:r>
            <w:r>
              <w:rPr>
                <w:rFonts w:eastAsia="Calibri" w:cs="宋体"/>
                <w:bCs/>
                <w:color w:val="auto"/>
                <w:sz w:val="24"/>
                <w:szCs w:val="24"/>
                <w:highlight w:val="white"/>
                <w:lang w:val="zh-CN" w:eastAsia="zh-CN"/>
              </w:rPr>
              <w:t>采集、处理、分析以及场景应用</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完成</w:t>
            </w:r>
            <w:r>
              <w:rPr>
                <w:rFonts w:eastAsia="Calibri" w:cs="宋体"/>
                <w:bCs/>
                <w:color w:val="auto"/>
                <w:sz w:val="24"/>
                <w:szCs w:val="24"/>
                <w:highlight w:val="white"/>
                <w:lang w:val="zh-CN" w:eastAsia="zh-CN"/>
              </w:rPr>
              <w:t>多方面因素的综合考虑，根据校方需求量身定制化开发行为轨迹分析系统；</w:t>
            </w:r>
          </w:p>
          <w:p w14:paraId="409BDB45">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学</w:t>
            </w:r>
            <w:r>
              <w:rPr>
                <w:rFonts w:eastAsia="Calibri" w:cs="宋体"/>
                <w:bCs/>
                <w:color w:val="auto"/>
                <w:sz w:val="24"/>
                <w:szCs w:val="24"/>
                <w:highlight w:val="white"/>
                <w:lang w:val="zh-CN" w:eastAsia="zh-CN"/>
              </w:rPr>
              <w:t>校行为轨迹分析系统是一种利用先进的信息技术，如物联网、云计算和大数据等，来收集、存储、分析和可视化</w:t>
            </w:r>
            <w:r>
              <w:rPr>
                <w:rFonts w:hint="eastAsia" w:cs="宋体"/>
                <w:bCs/>
                <w:color w:val="auto"/>
                <w:sz w:val="24"/>
                <w:szCs w:val="24"/>
                <w:highlight w:val="white"/>
                <w:lang w:eastAsia="zh-CN"/>
              </w:rPr>
              <w:t>人员</w:t>
            </w:r>
            <w:r>
              <w:rPr>
                <w:rFonts w:eastAsia="Calibri" w:cs="宋体"/>
                <w:bCs/>
                <w:color w:val="auto"/>
                <w:sz w:val="24"/>
                <w:szCs w:val="24"/>
                <w:highlight w:val="white"/>
                <w:lang w:val="zh-CN" w:eastAsia="zh-CN"/>
              </w:rPr>
              <w:t>在校园内的各类行为数据的系统。这些行为数据可能包括</w:t>
            </w:r>
            <w:r>
              <w:rPr>
                <w:rFonts w:hint="eastAsia" w:cs="宋体"/>
                <w:bCs/>
                <w:color w:val="auto"/>
                <w:sz w:val="24"/>
                <w:szCs w:val="24"/>
                <w:highlight w:val="white"/>
                <w:lang w:eastAsia="zh-CN"/>
              </w:rPr>
              <w:t>各楼楼宇的出入人员、</w:t>
            </w:r>
            <w:r>
              <w:rPr>
                <w:rFonts w:eastAsia="Calibri" w:cs="宋体"/>
                <w:bCs/>
                <w:color w:val="auto"/>
                <w:sz w:val="24"/>
                <w:szCs w:val="24"/>
                <w:highlight w:val="white"/>
                <w:lang w:val="zh-CN" w:eastAsia="zh-CN"/>
              </w:rPr>
              <w:t>学生的上课出勤、图书馆借阅、宿舍进出等多种形式。通过对这些数据的分析，系统能够帮助校方更好地理解学生的行为模式和习惯，从而优化教学资源配置、提升教学质量、加强</w:t>
            </w:r>
            <w:r>
              <w:rPr>
                <w:rFonts w:hint="eastAsia" w:cs="宋体"/>
                <w:bCs/>
                <w:color w:val="auto"/>
                <w:sz w:val="24"/>
                <w:szCs w:val="24"/>
                <w:highlight w:val="white"/>
                <w:lang w:eastAsia="zh-CN"/>
              </w:rPr>
              <w:t>智慧化</w:t>
            </w:r>
            <w:r>
              <w:rPr>
                <w:rFonts w:eastAsia="Calibri" w:cs="宋体"/>
                <w:bCs/>
                <w:color w:val="auto"/>
                <w:sz w:val="24"/>
                <w:szCs w:val="24"/>
                <w:highlight w:val="white"/>
                <w:lang w:val="zh-CN" w:eastAsia="zh-CN"/>
              </w:rPr>
              <w:t>管理</w:t>
            </w:r>
            <w:r>
              <w:rPr>
                <w:rFonts w:hint="eastAsia" w:cs="宋体"/>
                <w:bCs/>
                <w:color w:val="auto"/>
                <w:sz w:val="24"/>
                <w:szCs w:val="24"/>
                <w:highlight w:val="white"/>
                <w:lang w:eastAsia="zh-CN"/>
              </w:rPr>
              <w:t>与</w:t>
            </w:r>
            <w:r>
              <w:rPr>
                <w:rFonts w:eastAsia="Calibri" w:cs="宋体"/>
                <w:bCs/>
                <w:color w:val="auto"/>
                <w:sz w:val="24"/>
                <w:szCs w:val="24"/>
                <w:highlight w:val="white"/>
                <w:lang w:val="zh-CN" w:eastAsia="zh-CN"/>
              </w:rPr>
              <w:t>服务，以及增强校园安全保障。</w:t>
            </w:r>
          </w:p>
          <w:p w14:paraId="67AE9E8F">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w:t>
            </w:r>
            <w:r>
              <w:rPr>
                <w:rFonts w:eastAsia="Calibri" w:cs="宋体"/>
                <w:bCs/>
                <w:color w:val="auto"/>
                <w:sz w:val="24"/>
                <w:szCs w:val="24"/>
                <w:highlight w:val="white"/>
                <w:lang w:val="zh-CN" w:eastAsia="zh-CN"/>
              </w:rPr>
              <w:t>1</w:t>
            </w:r>
            <w:r>
              <w:rPr>
                <w:rFonts w:hint="eastAsia" w:cs="宋体"/>
                <w:bCs/>
                <w:color w:val="auto"/>
                <w:sz w:val="24"/>
                <w:szCs w:val="24"/>
                <w:highlight w:val="white"/>
                <w:lang w:eastAsia="zh-CN"/>
              </w:rPr>
              <w:t>.</w:t>
            </w:r>
            <w:r>
              <w:rPr>
                <w:rFonts w:eastAsia="Calibri" w:cs="宋体"/>
                <w:bCs/>
                <w:color w:val="auto"/>
                <w:sz w:val="24"/>
                <w:szCs w:val="24"/>
                <w:highlight w:val="white"/>
                <w:lang w:val="zh-CN" w:eastAsia="zh-CN"/>
              </w:rPr>
              <w:t>基础管理</w:t>
            </w:r>
          </w:p>
          <w:p w14:paraId="097DDEBA">
            <w:pPr>
              <w:pStyle w:val="54"/>
              <w:ind w:firstLine="0" w:firstLineChars="0"/>
              <w:rPr>
                <w:rFonts w:hint="eastAsia" w:ascii="宋体" w:hAnsi="宋体"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1</w:t>
            </w:r>
            <w:r>
              <w:rPr>
                <w:rFonts w:hint="eastAsia" w:eastAsia="Calibri" w:cs="宋体"/>
                <w:bCs/>
                <w:color w:val="auto"/>
                <w:sz w:val="24"/>
                <w:szCs w:val="24"/>
                <w:highlight w:val="white"/>
                <w:lang w:val="zh-CN" w:eastAsia="zh-CN"/>
              </w:rPr>
              <w:t>）学校设置：设置学校Logo、学校类别、办学模式、校长信息、建校日期、学校简介、历史沿革等。</w:t>
            </w:r>
          </w:p>
          <w:p w14:paraId="29A51AB3">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2</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支持统一平台：支持钉钉对接实现数据无缝衔接，智慧校园管理各子系统能够在同一管理平台下，实现统一数据库，统一界面风格，统一操作平台系统，统一授权界面，统一报表查询、分析，各个子系统实现数据共享，保证人员信息的一致性。</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3</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 xml:space="preserve"> 支持本地私有化平台模式。</w:t>
            </w:r>
          </w:p>
          <w:p w14:paraId="65538451">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4</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需支持平台模式：系统采用B/S结构，支持总校、分校和移动</w:t>
            </w:r>
            <w:r>
              <w:rPr>
                <w:rFonts w:hint="eastAsia" w:cs="宋体"/>
                <w:bCs/>
                <w:color w:val="auto"/>
                <w:sz w:val="24"/>
                <w:szCs w:val="24"/>
                <w:highlight w:val="white"/>
                <w:lang w:eastAsia="zh-CN"/>
              </w:rPr>
              <w:t>端</w:t>
            </w:r>
            <w:r>
              <w:rPr>
                <w:rFonts w:eastAsia="Calibri" w:cs="宋体"/>
                <w:bCs/>
                <w:color w:val="auto"/>
                <w:sz w:val="24"/>
                <w:szCs w:val="24"/>
                <w:highlight w:val="white"/>
                <w:lang w:val="zh-CN" w:eastAsia="zh-CN"/>
              </w:rPr>
              <w:t>模式，采用软、硬件相结合的安全解决方案，确保系统稳定运行</w:t>
            </w:r>
            <w:r>
              <w:rPr>
                <w:rFonts w:hint="eastAsia" w:eastAsia="Calibri" w:cs="宋体"/>
                <w:bCs/>
                <w:color w:val="auto"/>
                <w:sz w:val="24"/>
                <w:szCs w:val="24"/>
                <w:highlight w:val="white"/>
                <w:lang w:val="zh-CN" w:eastAsia="zh-CN"/>
              </w:rPr>
              <w:t>。</w:t>
            </w:r>
          </w:p>
          <w:p w14:paraId="37311D2E">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5</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支持多模块：支持人员管理、电子班牌、宿舍管理、通</w:t>
            </w:r>
            <w:r>
              <w:rPr>
                <w:rFonts w:hint="eastAsia" w:ascii="宋体" w:hAnsi="宋体" w:cs="宋体"/>
                <w:bCs/>
                <w:color w:val="auto"/>
                <w:sz w:val="24"/>
                <w:szCs w:val="24"/>
                <w:highlight w:val="white"/>
                <w:lang w:val="zh-CN" w:eastAsia="zh-CN"/>
              </w:rPr>
              <w:t>道、门禁</w:t>
            </w:r>
            <w:r>
              <w:rPr>
                <w:rFonts w:eastAsia="Calibri" w:cs="宋体"/>
                <w:bCs/>
                <w:color w:val="auto"/>
                <w:sz w:val="24"/>
                <w:szCs w:val="24"/>
                <w:highlight w:val="white"/>
                <w:lang w:val="zh-CN" w:eastAsia="zh-CN"/>
              </w:rPr>
              <w:t>、人员考勤、餐饮收费、订餐管理、预约管理、会议管理、访客管理、车辆管理、校车管理、人脸管理、信息发布、推送管理、图书馆进出、第三方应用管理等模块；平台支持</w:t>
            </w:r>
            <w:r>
              <w:rPr>
                <w:rFonts w:hint="eastAsia" w:eastAsia="Calibri" w:cs="宋体"/>
                <w:bCs/>
                <w:color w:val="auto"/>
                <w:sz w:val="24"/>
                <w:szCs w:val="24"/>
                <w:highlight w:val="white"/>
                <w:lang w:val="zh-CN" w:eastAsia="zh-CN"/>
              </w:rPr>
              <w:t>移动</w:t>
            </w:r>
            <w:r>
              <w:rPr>
                <w:rFonts w:eastAsia="Calibri" w:cs="宋体"/>
                <w:bCs/>
                <w:color w:val="auto"/>
                <w:sz w:val="24"/>
                <w:szCs w:val="24"/>
                <w:highlight w:val="white"/>
                <w:lang w:val="zh-CN" w:eastAsia="zh-CN"/>
              </w:rPr>
              <w:t>端功能。</w:t>
            </w:r>
          </w:p>
          <w:p w14:paraId="069BD11F">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6</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 xml:space="preserve"> 需支持用户管理：系统支持自定义用户角色，并针对个人用户设置系统权限实现分级管理。</w:t>
            </w:r>
          </w:p>
          <w:p w14:paraId="6B8087CF">
            <w:pPr>
              <w:pStyle w:val="54"/>
              <w:ind w:firstLine="0" w:firstLineChars="0"/>
              <w:rPr>
                <w:rFonts w:cs="宋体"/>
                <w:bCs/>
                <w:color w:val="auto"/>
                <w:sz w:val="24"/>
                <w:szCs w:val="24"/>
                <w:highlight w:val="white"/>
                <w:lang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7</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 xml:space="preserve"> 支持平台自定义：平台支持自定义各系统模块及其子菜单的名称；支持隐藏首页显示的模块；支持报表自定义功能，可以设置班级、角色、身份、入学年月、性别、民族、政治面貌、出</w:t>
            </w:r>
            <w:r>
              <w:rPr>
                <w:rFonts w:hint="eastAsia" w:eastAsia="Calibri" w:cs="宋体"/>
                <w:bCs/>
                <w:color w:val="auto"/>
                <w:sz w:val="24"/>
                <w:szCs w:val="24"/>
                <w:highlight w:val="white"/>
                <w:lang w:val="zh-CN" w:eastAsia="zh-CN"/>
              </w:rPr>
              <w:t>生</w:t>
            </w:r>
            <w:r>
              <w:rPr>
                <w:rFonts w:eastAsia="Calibri" w:cs="宋体"/>
                <w:bCs/>
                <w:color w:val="auto"/>
                <w:sz w:val="24"/>
                <w:szCs w:val="24"/>
                <w:highlight w:val="white"/>
                <w:lang w:val="zh-CN" w:eastAsia="zh-CN"/>
              </w:rPr>
              <w:t>日期、身份证号、联系电话、户口所在地、现住址、寝室、辅导员、变动时间、第三方应用编号、资产类别、资产名称、规格型号、数量、存放地点、库存预警、资产编号、二级卡编号、NC编码、保管人、保管部门、使用人、使用部门、存放地点、使用情况等字段的字段名、列宽度、对齐方式、排序、是否允许被排序、特殊格式等信息。支持自建应用模块功能，可以自定义自建模块的名称，子菜单等信息。</w:t>
            </w:r>
            <w:r>
              <w:rPr>
                <w:rFonts w:hint="eastAsia" w:cs="宋体"/>
                <w:bCs/>
                <w:color w:val="auto"/>
                <w:sz w:val="24"/>
                <w:szCs w:val="24"/>
                <w:highlight w:val="white"/>
                <w:lang w:eastAsia="zh-CN"/>
              </w:rPr>
              <w:t>支持与现有学校宿舍管理及考勤系统等进行数据对接和同步</w:t>
            </w:r>
          </w:p>
          <w:p w14:paraId="776443DB">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8</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支持数据字典：支持设置课程类型、设置专业类型、学位、学历、考核方式、教室类型、教研室类型、民族、政治面貌、证件类型、户口类别、入学方式、录取批次、培养层次、培养方式、学习形式、报考科类、学籍状态、</w:t>
            </w:r>
            <w:r>
              <w:rPr>
                <w:rFonts w:hint="eastAsia" w:eastAsia="Calibri" w:cs="宋体"/>
                <w:bCs/>
                <w:color w:val="auto"/>
                <w:sz w:val="24"/>
                <w:szCs w:val="24"/>
                <w:highlight w:val="white"/>
                <w:lang w:val="zh-CN" w:eastAsia="zh-CN"/>
              </w:rPr>
              <w:t>缴</w:t>
            </w:r>
            <w:r>
              <w:rPr>
                <w:rFonts w:eastAsia="Calibri" w:cs="宋体"/>
                <w:bCs/>
                <w:color w:val="auto"/>
                <w:sz w:val="24"/>
                <w:szCs w:val="24"/>
                <w:highlight w:val="white"/>
                <w:lang w:val="zh-CN" w:eastAsia="zh-CN"/>
              </w:rPr>
              <w:t>费方式、来源省份、异动类型、异动原因、党员状态、党课活动类型、发放方式、勤工助学结算方式、工资发放形式、奖励形式、奖励等级、惩处类别、社团分类、授课方式、教学班类型、论文提交方式、题目性质、志愿等级、教材类别等信息。</w:t>
            </w:r>
          </w:p>
          <w:p w14:paraId="14C8FF29">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 xml:space="preserve"> </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9</w:t>
            </w:r>
            <w:r>
              <w:rPr>
                <w:rFonts w:hint="eastAsia" w:eastAsia="Calibri" w:cs="宋体"/>
                <w:bCs/>
                <w:color w:val="auto"/>
                <w:sz w:val="24"/>
                <w:szCs w:val="24"/>
                <w:highlight w:val="white"/>
                <w:lang w:val="zh-CN" w:eastAsia="zh-CN"/>
              </w:rPr>
              <w:t>）支持学校人员数据及组织机构同步对接。</w:t>
            </w:r>
          </w:p>
          <w:p w14:paraId="3F64707A">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10</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 xml:space="preserve"> 需支持系统对接：平台需支持第三方应用对接开发，可视化调用，数据对接采用Http</w:t>
            </w:r>
            <w:r>
              <w:rPr>
                <w:rFonts w:hint="eastAsia" w:cs="宋体"/>
                <w:bCs/>
                <w:color w:val="auto"/>
                <w:sz w:val="24"/>
                <w:szCs w:val="24"/>
                <w:highlight w:val="white"/>
                <w:lang w:eastAsia="zh-CN"/>
              </w:rPr>
              <w:t>s</w:t>
            </w:r>
            <w:r>
              <w:rPr>
                <w:rFonts w:eastAsia="Calibri" w:cs="宋体"/>
                <w:bCs/>
                <w:color w:val="auto"/>
                <w:sz w:val="24"/>
                <w:szCs w:val="24"/>
                <w:highlight w:val="white"/>
                <w:lang w:val="zh-CN" w:eastAsia="zh-CN"/>
              </w:rPr>
              <w:t>方式，需支持对json数据的传入及接收，接口数据返回状态准确。屏蔽复杂业务逻辑，进行应用层的接口封装，接口模块分类清晰，降低应用层开发的门槛，加速应用落地周期；支持基于WEBAPI网络应用程序接口，所有接口均可以通过Postman访问，通过</w:t>
            </w:r>
            <w:r>
              <w:rPr>
                <w:rFonts w:hint="eastAsia" w:cs="宋体"/>
                <w:bCs/>
                <w:color w:val="auto"/>
                <w:sz w:val="24"/>
                <w:szCs w:val="24"/>
                <w:highlight w:val="white"/>
                <w:lang w:eastAsia="zh-CN"/>
              </w:rPr>
              <w:t>IP</w:t>
            </w:r>
            <w:r>
              <w:rPr>
                <w:rFonts w:eastAsia="Calibri" w:cs="宋体"/>
                <w:bCs/>
                <w:color w:val="auto"/>
                <w:sz w:val="24"/>
                <w:szCs w:val="24"/>
                <w:highlight w:val="white"/>
                <w:lang w:val="zh-CN" w:eastAsia="zh-CN"/>
              </w:rPr>
              <w:t>信令包加密token，实现数据传输过程中的数据保护，保证第三方数据传输安全。</w:t>
            </w:r>
          </w:p>
          <w:p w14:paraId="4372887E">
            <w:pPr>
              <w:pStyle w:val="54"/>
              <w:ind w:firstLine="0" w:firstLineChars="0"/>
              <w:rPr>
                <w:rFonts w:eastAsia="Calibri" w:cs="宋体"/>
                <w:bCs/>
                <w:color w:val="auto"/>
                <w:sz w:val="24"/>
                <w:szCs w:val="24"/>
                <w:highlight w:val="white"/>
                <w:lang w:val="zh-CN" w:eastAsia="zh-CN"/>
              </w:rPr>
            </w:pP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11</w:t>
            </w:r>
            <w:r>
              <w:rPr>
                <w:rFonts w:hint="eastAsia" w:eastAsia="Calibri" w:cs="宋体"/>
                <w:bCs/>
                <w:color w:val="auto"/>
                <w:sz w:val="24"/>
                <w:szCs w:val="24"/>
                <w:highlight w:val="white"/>
                <w:lang w:val="zh-CN" w:eastAsia="zh-CN"/>
              </w:rPr>
              <w:t>）支持人员身</w:t>
            </w:r>
            <w:r>
              <w:rPr>
                <w:rFonts w:hint="eastAsia" w:cs="宋体"/>
                <w:bCs/>
                <w:color w:val="auto"/>
                <w:sz w:val="24"/>
                <w:szCs w:val="24"/>
                <w:highlight w:val="white"/>
                <w:lang w:eastAsia="zh-CN"/>
              </w:rPr>
              <w:t>份</w:t>
            </w:r>
            <w:r>
              <w:rPr>
                <w:rFonts w:hint="eastAsia" w:eastAsia="Calibri" w:cs="宋体"/>
                <w:bCs/>
                <w:color w:val="auto"/>
                <w:sz w:val="24"/>
                <w:szCs w:val="24"/>
                <w:highlight w:val="white"/>
                <w:lang w:val="zh-CN" w:eastAsia="zh-CN"/>
              </w:rPr>
              <w:t>变更后，同步对应授权。</w:t>
            </w:r>
          </w:p>
          <w:p w14:paraId="6EC4D53E">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w:t>
            </w:r>
            <w:r>
              <w:rPr>
                <w:rFonts w:eastAsia="Calibri" w:cs="宋体"/>
                <w:bCs/>
                <w:color w:val="auto"/>
                <w:sz w:val="24"/>
                <w:szCs w:val="24"/>
                <w:highlight w:val="white"/>
                <w:lang w:val="zh-CN" w:eastAsia="zh-CN"/>
              </w:rPr>
              <w:t>卡务管理</w:t>
            </w:r>
          </w:p>
          <w:p w14:paraId="45619BEC">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以挂失、解挂、补卡等与丢卡业务有关的场景为主题进行分析，通过50多个模型多维度全面分析，辅助卡中心管理。</w:t>
            </w:r>
          </w:p>
          <w:p w14:paraId="4341E019">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*3.</w:t>
            </w:r>
            <w:r>
              <w:rPr>
                <w:rFonts w:eastAsia="Calibri" w:cs="宋体"/>
                <w:bCs/>
                <w:color w:val="auto"/>
                <w:sz w:val="24"/>
                <w:szCs w:val="24"/>
                <w:highlight w:val="white"/>
                <w:lang w:val="zh-CN" w:eastAsia="zh-CN"/>
              </w:rPr>
              <w:t>充值管理</w:t>
            </w:r>
          </w:p>
          <w:p w14:paraId="5B81A9E4">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卡充值一般有线下充值和线上充值，</w:t>
            </w:r>
            <w:r>
              <w:rPr>
                <w:rFonts w:hint="eastAsia" w:cs="宋体"/>
                <w:bCs/>
                <w:color w:val="auto"/>
                <w:sz w:val="24"/>
                <w:szCs w:val="24"/>
                <w:highlight w:val="white"/>
                <w:lang w:eastAsia="zh-CN"/>
              </w:rPr>
              <w:t>线下充值，包括手动充值；线上</w:t>
            </w:r>
            <w:r>
              <w:rPr>
                <w:rFonts w:eastAsia="Calibri" w:cs="宋体"/>
                <w:bCs/>
                <w:color w:val="auto"/>
                <w:sz w:val="24"/>
                <w:szCs w:val="24"/>
                <w:highlight w:val="white"/>
                <w:lang w:val="zh-CN" w:eastAsia="zh-CN"/>
              </w:rPr>
              <w:t>充值渠道有银行、微信、支付宝等。</w:t>
            </w:r>
            <w:r>
              <w:rPr>
                <w:rFonts w:hint="eastAsia" w:cs="宋体"/>
                <w:bCs/>
                <w:color w:val="auto"/>
                <w:sz w:val="24"/>
                <w:szCs w:val="24"/>
                <w:highlight w:val="white"/>
                <w:lang w:eastAsia="zh-CN"/>
              </w:rPr>
              <w:t>提供</w:t>
            </w:r>
            <w:r>
              <w:rPr>
                <w:rFonts w:eastAsia="Calibri" w:cs="宋体"/>
                <w:bCs/>
                <w:color w:val="auto"/>
                <w:sz w:val="24"/>
                <w:szCs w:val="24"/>
                <w:highlight w:val="white"/>
                <w:lang w:val="zh-CN" w:eastAsia="zh-CN"/>
              </w:rPr>
              <w:t>卡充值业务分析场景</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实现对</w:t>
            </w:r>
            <w:r>
              <w:rPr>
                <w:rFonts w:eastAsia="Calibri" w:cs="宋体"/>
                <w:bCs/>
                <w:color w:val="auto"/>
                <w:sz w:val="24"/>
                <w:szCs w:val="24"/>
                <w:highlight w:val="white"/>
                <w:lang w:val="zh-CN" w:eastAsia="zh-CN"/>
              </w:rPr>
              <w:t>不同充值方式，最主要分析用户充值规律及特征。通过多种维度30多个数据模型全面分析业务和用户特征。辅助卡管理中心等部门管理和决策。</w:t>
            </w:r>
          </w:p>
          <w:p w14:paraId="6139D45F">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*4.</w:t>
            </w:r>
            <w:r>
              <w:rPr>
                <w:rFonts w:eastAsia="Calibri" w:cs="宋体"/>
                <w:bCs/>
                <w:color w:val="auto"/>
                <w:sz w:val="24"/>
                <w:szCs w:val="24"/>
                <w:highlight w:val="white"/>
                <w:lang w:val="zh-CN" w:eastAsia="zh-CN"/>
              </w:rPr>
              <w:t>账户管理</w:t>
            </w:r>
          </w:p>
          <w:p w14:paraId="0ACE54A6">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以一卡通账户为主题进行多维度分析，为卡</w:t>
            </w:r>
            <w:r>
              <w:rPr>
                <w:rFonts w:hint="eastAsia" w:cs="宋体"/>
                <w:bCs/>
                <w:color w:val="auto"/>
                <w:sz w:val="24"/>
                <w:szCs w:val="24"/>
                <w:highlight w:val="white"/>
                <w:lang w:eastAsia="zh-CN"/>
              </w:rPr>
              <w:t>务</w:t>
            </w:r>
            <w:r>
              <w:rPr>
                <w:rFonts w:eastAsia="Calibri" w:cs="宋体"/>
                <w:bCs/>
                <w:color w:val="auto"/>
                <w:sz w:val="24"/>
                <w:szCs w:val="24"/>
                <w:highlight w:val="white"/>
                <w:lang w:val="zh-CN" w:eastAsia="zh-CN"/>
              </w:rPr>
              <w:t>中心管理提供支持。</w:t>
            </w:r>
          </w:p>
          <w:p w14:paraId="53322FC6">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5</w:t>
            </w:r>
            <w:r>
              <w:rPr>
                <w:rFonts w:hint="eastAsia" w:cs="宋体"/>
                <w:bCs/>
                <w:color w:val="auto"/>
                <w:sz w:val="24"/>
                <w:szCs w:val="24"/>
                <w:highlight w:val="white"/>
                <w:lang w:eastAsia="zh-CN"/>
              </w:rPr>
              <w:t>.</w:t>
            </w:r>
            <w:r>
              <w:rPr>
                <w:rFonts w:eastAsia="Calibri" w:cs="宋体"/>
                <w:bCs/>
                <w:color w:val="auto"/>
                <w:sz w:val="24"/>
                <w:szCs w:val="24"/>
                <w:highlight w:val="white"/>
                <w:lang w:val="zh-CN" w:eastAsia="zh-CN"/>
              </w:rPr>
              <w:t>餐饮交易分析</w:t>
            </w:r>
          </w:p>
          <w:p w14:paraId="312738B2">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以实体卡和虚拟卡餐饮消费业务场景为主题，通过多种维度50多个数据模型全面分析业务和用户特征。辅助后勤等部门管理和决策。</w:t>
            </w:r>
          </w:p>
          <w:p w14:paraId="5CF2CBB1">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6</w:t>
            </w:r>
            <w:r>
              <w:rPr>
                <w:rFonts w:hint="eastAsia" w:cs="宋体"/>
                <w:bCs/>
                <w:color w:val="auto"/>
                <w:sz w:val="24"/>
                <w:szCs w:val="24"/>
                <w:highlight w:val="white"/>
                <w:lang w:eastAsia="zh-CN"/>
              </w:rPr>
              <w:t>.</w:t>
            </w:r>
            <w:r>
              <w:rPr>
                <w:rFonts w:eastAsia="Calibri" w:cs="宋体"/>
                <w:bCs/>
                <w:color w:val="auto"/>
                <w:sz w:val="24"/>
                <w:szCs w:val="24"/>
                <w:highlight w:val="white"/>
                <w:lang w:val="zh-CN" w:eastAsia="zh-CN"/>
              </w:rPr>
              <w:t>餐厅营业分析</w:t>
            </w:r>
          </w:p>
          <w:p w14:paraId="43CC7C66">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以餐厅经营业务场景为主题，通过多种维度50多个数据模型全面分析业务特征。让管理者对学校餐厅经营情况、受欢迎情况、营业时间及高峰等等全面掌握，辅助后勤等部门管理和决策。</w:t>
            </w:r>
          </w:p>
          <w:p w14:paraId="615B8C7B">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7</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校园卡交易中心</w:t>
            </w:r>
          </w:p>
          <w:p w14:paraId="6573E664">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为</w:t>
            </w:r>
            <w:r>
              <w:rPr>
                <w:rFonts w:hint="eastAsia" w:cs="宋体"/>
                <w:bCs/>
                <w:color w:val="auto"/>
                <w:sz w:val="24"/>
                <w:szCs w:val="24"/>
                <w:highlight w:val="white"/>
                <w:lang w:eastAsia="zh-CN"/>
              </w:rPr>
              <w:t>学校</w:t>
            </w:r>
            <w:r>
              <w:rPr>
                <w:rFonts w:eastAsia="Calibri" w:cs="宋体"/>
                <w:bCs/>
                <w:color w:val="auto"/>
                <w:sz w:val="24"/>
                <w:szCs w:val="24"/>
                <w:highlight w:val="white"/>
                <w:lang w:val="zh-CN" w:eastAsia="zh-CN"/>
              </w:rPr>
              <w:t>专门打造的针对学校各餐厅、超市、</w:t>
            </w:r>
            <w:r>
              <w:rPr>
                <w:rFonts w:hint="eastAsia" w:cs="宋体"/>
                <w:bCs/>
                <w:color w:val="auto"/>
                <w:sz w:val="24"/>
                <w:szCs w:val="24"/>
                <w:highlight w:val="white"/>
                <w:lang w:eastAsia="zh-CN"/>
              </w:rPr>
              <w:t>第三方商铺</w:t>
            </w:r>
            <w:r>
              <w:rPr>
                <w:rFonts w:eastAsia="Calibri" w:cs="宋体"/>
                <w:bCs/>
                <w:color w:val="auto"/>
                <w:sz w:val="24"/>
                <w:szCs w:val="24"/>
                <w:highlight w:val="white"/>
                <w:lang w:val="zh-CN" w:eastAsia="zh-CN"/>
              </w:rPr>
              <w:t>、淋浴、开水等等</w:t>
            </w:r>
            <w:r>
              <w:rPr>
                <w:rFonts w:hint="eastAsia" w:cs="宋体"/>
                <w:bCs/>
                <w:color w:val="auto"/>
                <w:sz w:val="24"/>
                <w:szCs w:val="24"/>
                <w:highlight w:val="white"/>
                <w:lang w:eastAsia="zh-CN"/>
              </w:rPr>
              <w:t>多</w:t>
            </w:r>
            <w:r>
              <w:rPr>
                <w:rFonts w:eastAsia="Calibri" w:cs="宋体"/>
                <w:bCs/>
                <w:color w:val="auto"/>
                <w:sz w:val="24"/>
                <w:szCs w:val="24"/>
                <w:highlight w:val="white"/>
                <w:lang w:val="zh-CN" w:eastAsia="zh-CN"/>
              </w:rPr>
              <w:t>消费</w:t>
            </w:r>
            <w:r>
              <w:rPr>
                <w:rFonts w:hint="eastAsia" w:cs="宋体"/>
                <w:bCs/>
                <w:color w:val="auto"/>
                <w:sz w:val="24"/>
                <w:szCs w:val="24"/>
                <w:highlight w:val="white"/>
                <w:lang w:eastAsia="zh-CN"/>
              </w:rPr>
              <w:t>场景统计</w:t>
            </w:r>
            <w:r>
              <w:rPr>
                <w:rFonts w:eastAsia="Calibri" w:cs="宋体"/>
                <w:bCs/>
                <w:color w:val="auto"/>
                <w:sz w:val="24"/>
                <w:szCs w:val="24"/>
                <w:highlight w:val="white"/>
                <w:lang w:val="zh-CN" w:eastAsia="zh-CN"/>
              </w:rPr>
              <w:t>，帮助学校</w:t>
            </w:r>
            <w:r>
              <w:rPr>
                <w:rFonts w:hint="eastAsia" w:cs="宋体"/>
                <w:bCs/>
                <w:color w:val="auto"/>
                <w:sz w:val="24"/>
                <w:szCs w:val="24"/>
                <w:highlight w:val="white"/>
                <w:lang w:eastAsia="zh-CN"/>
              </w:rPr>
              <w:t>掌握</w:t>
            </w:r>
            <w:r>
              <w:rPr>
                <w:rFonts w:eastAsia="Calibri" w:cs="宋体"/>
                <w:bCs/>
                <w:color w:val="auto"/>
                <w:sz w:val="24"/>
                <w:szCs w:val="24"/>
                <w:highlight w:val="white"/>
                <w:lang w:val="zh-CN" w:eastAsia="zh-CN"/>
              </w:rPr>
              <w:t>消费经营</w:t>
            </w:r>
            <w:r>
              <w:rPr>
                <w:rFonts w:hint="eastAsia" w:cs="宋体"/>
                <w:bCs/>
                <w:color w:val="auto"/>
                <w:sz w:val="24"/>
                <w:szCs w:val="24"/>
                <w:highlight w:val="white"/>
                <w:lang w:eastAsia="zh-CN"/>
              </w:rPr>
              <w:t>情况</w:t>
            </w:r>
            <w:r>
              <w:rPr>
                <w:rFonts w:eastAsia="Calibri" w:cs="宋体"/>
                <w:bCs/>
                <w:color w:val="auto"/>
                <w:sz w:val="24"/>
                <w:szCs w:val="24"/>
                <w:highlight w:val="white"/>
                <w:lang w:val="zh-CN" w:eastAsia="zh-CN"/>
              </w:rPr>
              <w:t>，便于</w:t>
            </w:r>
            <w:r>
              <w:rPr>
                <w:rFonts w:hint="eastAsia" w:cs="宋体"/>
                <w:bCs/>
                <w:color w:val="auto"/>
                <w:sz w:val="24"/>
                <w:szCs w:val="24"/>
                <w:highlight w:val="white"/>
                <w:lang w:eastAsia="zh-CN"/>
              </w:rPr>
              <w:t>学校</w:t>
            </w:r>
            <w:r>
              <w:rPr>
                <w:rFonts w:eastAsia="Calibri" w:cs="宋体"/>
                <w:bCs/>
                <w:color w:val="auto"/>
                <w:sz w:val="24"/>
                <w:szCs w:val="24"/>
                <w:highlight w:val="white"/>
                <w:lang w:val="zh-CN" w:eastAsia="zh-CN"/>
              </w:rPr>
              <w:t>优化管理。</w:t>
            </w:r>
          </w:p>
          <w:p w14:paraId="5D5E0234">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8.</w:t>
            </w:r>
            <w:r>
              <w:rPr>
                <w:rFonts w:eastAsia="Calibri" w:cs="宋体"/>
                <w:bCs/>
                <w:color w:val="auto"/>
                <w:sz w:val="24"/>
                <w:szCs w:val="24"/>
                <w:highlight w:val="white"/>
                <w:lang w:val="zh-CN" w:eastAsia="zh-CN"/>
              </w:rPr>
              <w:t>淋浴交易分析</w:t>
            </w:r>
          </w:p>
          <w:p w14:paraId="41A6DC87">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以集中淋浴和宿舍淋浴消费业务场景为主题，通过多种维度30多个数据模型全面分析业务和用户特征。辅助</w:t>
            </w:r>
            <w:r>
              <w:rPr>
                <w:rFonts w:hint="eastAsia" w:cs="宋体"/>
                <w:bCs/>
                <w:color w:val="auto"/>
                <w:sz w:val="24"/>
                <w:szCs w:val="24"/>
                <w:highlight w:val="white"/>
                <w:lang w:eastAsia="zh-CN"/>
              </w:rPr>
              <w:t>校内</w:t>
            </w:r>
            <w:r>
              <w:rPr>
                <w:rFonts w:eastAsia="Calibri" w:cs="宋体"/>
                <w:bCs/>
                <w:color w:val="auto"/>
                <w:sz w:val="24"/>
                <w:szCs w:val="24"/>
                <w:highlight w:val="white"/>
                <w:lang w:val="zh-CN" w:eastAsia="zh-CN"/>
              </w:rPr>
              <w:t>部门管理和决策。</w:t>
            </w:r>
          </w:p>
          <w:p w14:paraId="2ED34994">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9.</w:t>
            </w:r>
            <w:r>
              <w:rPr>
                <w:rFonts w:eastAsia="Calibri" w:cs="宋体"/>
                <w:bCs/>
                <w:color w:val="auto"/>
                <w:sz w:val="24"/>
                <w:szCs w:val="24"/>
                <w:highlight w:val="white"/>
                <w:lang w:val="zh-CN" w:eastAsia="zh-CN"/>
              </w:rPr>
              <w:t>商超交易分析</w:t>
            </w:r>
          </w:p>
          <w:p w14:paraId="0820FFFE">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以商超消费业务场景为主题，通过多种维度30多个数据模型全面分析业务和用户特征。辅助</w:t>
            </w:r>
            <w:r>
              <w:rPr>
                <w:rFonts w:hint="eastAsia" w:cs="宋体"/>
                <w:bCs/>
                <w:color w:val="auto"/>
                <w:sz w:val="24"/>
                <w:szCs w:val="24"/>
                <w:highlight w:val="white"/>
                <w:lang w:eastAsia="zh-CN"/>
              </w:rPr>
              <w:t>校内</w:t>
            </w:r>
            <w:r>
              <w:rPr>
                <w:rFonts w:eastAsia="Calibri" w:cs="宋体"/>
                <w:bCs/>
                <w:color w:val="auto"/>
                <w:sz w:val="24"/>
                <w:szCs w:val="24"/>
                <w:highlight w:val="white"/>
                <w:lang w:val="zh-CN" w:eastAsia="zh-CN"/>
              </w:rPr>
              <w:t>部门管理和决策。</w:t>
            </w:r>
          </w:p>
          <w:p w14:paraId="6DDF705A">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10.</w:t>
            </w:r>
            <w:r>
              <w:rPr>
                <w:rFonts w:eastAsia="Calibri" w:cs="宋体"/>
                <w:bCs/>
                <w:color w:val="auto"/>
                <w:sz w:val="24"/>
                <w:szCs w:val="24"/>
                <w:highlight w:val="white"/>
                <w:lang w:val="zh-CN" w:eastAsia="zh-CN"/>
              </w:rPr>
              <w:t>热水交易分析</w:t>
            </w:r>
          </w:p>
          <w:p w14:paraId="3D4CCC75">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以热水消费及热水布局特征业务场景为主题，通过多种维度30多个数据模型全面分析业务特征。辅助</w:t>
            </w:r>
            <w:r>
              <w:rPr>
                <w:rFonts w:hint="eastAsia" w:cs="宋体"/>
                <w:bCs/>
                <w:color w:val="auto"/>
                <w:sz w:val="24"/>
                <w:szCs w:val="24"/>
                <w:highlight w:val="white"/>
                <w:lang w:eastAsia="zh-CN"/>
              </w:rPr>
              <w:t>校内</w:t>
            </w:r>
            <w:r>
              <w:rPr>
                <w:rFonts w:eastAsia="Calibri" w:cs="宋体"/>
                <w:bCs/>
                <w:color w:val="auto"/>
                <w:sz w:val="24"/>
                <w:szCs w:val="24"/>
                <w:highlight w:val="white"/>
                <w:lang w:val="zh-CN" w:eastAsia="zh-CN"/>
              </w:rPr>
              <w:t>部门管理和决策。</w:t>
            </w:r>
          </w:p>
          <w:p w14:paraId="43C580E7">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11.</w:t>
            </w:r>
            <w:r>
              <w:rPr>
                <w:rFonts w:eastAsia="Calibri" w:cs="宋体"/>
                <w:bCs/>
                <w:color w:val="auto"/>
                <w:sz w:val="24"/>
                <w:szCs w:val="24"/>
                <w:highlight w:val="white"/>
                <w:lang w:val="zh-CN" w:eastAsia="zh-CN"/>
              </w:rPr>
              <w:t>公寓用电分析</w:t>
            </w:r>
          </w:p>
          <w:p w14:paraId="3A0A5E2F">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对接电控数据，分析学校各个宿舍用电情况，辅助学校管理。</w:t>
            </w:r>
          </w:p>
          <w:p w14:paraId="498FA623">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12.</w:t>
            </w:r>
            <w:r>
              <w:rPr>
                <w:rFonts w:eastAsia="Calibri" w:cs="宋体"/>
                <w:bCs/>
                <w:color w:val="auto"/>
                <w:sz w:val="24"/>
                <w:szCs w:val="24"/>
                <w:highlight w:val="white"/>
                <w:lang w:val="zh-CN" w:eastAsia="zh-CN"/>
              </w:rPr>
              <w:t>业务总体排行榜</w:t>
            </w:r>
          </w:p>
          <w:p w14:paraId="691379F8">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对校园卡各种业务类型的排行榜分析，从中分析规律和问题。</w:t>
            </w:r>
          </w:p>
          <w:p w14:paraId="19996C40">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1</w:t>
            </w:r>
            <w:r>
              <w:rPr>
                <w:rFonts w:hint="eastAsia" w:cs="宋体"/>
                <w:bCs/>
                <w:color w:val="auto"/>
                <w:sz w:val="24"/>
                <w:szCs w:val="24"/>
                <w:highlight w:val="white"/>
                <w:lang w:eastAsia="zh-CN"/>
              </w:rPr>
              <w:t>3.</w:t>
            </w:r>
            <w:r>
              <w:rPr>
                <w:rFonts w:eastAsia="Calibri" w:cs="宋体"/>
                <w:bCs/>
                <w:color w:val="auto"/>
                <w:sz w:val="24"/>
                <w:szCs w:val="24"/>
                <w:highlight w:val="white"/>
                <w:lang w:val="zh-CN" w:eastAsia="zh-CN"/>
              </w:rPr>
              <w:t>认证场景分析</w:t>
            </w:r>
          </w:p>
          <w:p w14:paraId="4232642F">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基于门禁、通道、考勤等业务场景为主题，通过多种维度数据模型分析业务特征。让管理者掌握各个公寓管理规范情况，辅助</w:t>
            </w:r>
            <w:r>
              <w:rPr>
                <w:rFonts w:hint="eastAsia" w:cs="宋体"/>
                <w:bCs/>
                <w:color w:val="auto"/>
                <w:sz w:val="24"/>
                <w:szCs w:val="24"/>
                <w:highlight w:val="white"/>
                <w:lang w:eastAsia="zh-CN"/>
              </w:rPr>
              <w:t>校内</w:t>
            </w:r>
            <w:r>
              <w:rPr>
                <w:rFonts w:eastAsia="Calibri" w:cs="宋体"/>
                <w:bCs/>
                <w:color w:val="auto"/>
                <w:sz w:val="24"/>
                <w:szCs w:val="24"/>
                <w:highlight w:val="white"/>
                <w:lang w:val="zh-CN" w:eastAsia="zh-CN"/>
              </w:rPr>
              <w:t>管理部门管理和决策。</w:t>
            </w:r>
          </w:p>
          <w:p w14:paraId="0FE8BCC0">
            <w:pPr>
              <w:pStyle w:val="54"/>
              <w:ind w:firstLine="0" w:firstLineChars="0"/>
              <w:rPr>
                <w:rFonts w:cs="宋体"/>
                <w:bCs/>
                <w:color w:val="auto"/>
                <w:sz w:val="24"/>
                <w:szCs w:val="24"/>
                <w:highlight w:val="white"/>
                <w:lang w:eastAsia="zh-CN"/>
              </w:rPr>
            </w:pPr>
            <w:r>
              <w:rPr>
                <w:rFonts w:hint="eastAsia" w:cs="宋体"/>
                <w:bCs/>
                <w:color w:val="auto"/>
                <w:sz w:val="24"/>
                <w:szCs w:val="24"/>
                <w:highlight w:val="white"/>
                <w:lang w:eastAsia="zh-CN"/>
              </w:rPr>
              <w:t>14</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智能</w:t>
            </w:r>
            <w:r>
              <w:rPr>
                <w:rFonts w:hint="eastAsia" w:cs="宋体"/>
                <w:bCs/>
                <w:color w:val="auto"/>
                <w:sz w:val="24"/>
                <w:szCs w:val="24"/>
                <w:highlight w:val="white"/>
                <w:lang w:eastAsia="zh-CN"/>
              </w:rPr>
              <w:t>查寝</w:t>
            </w:r>
          </w:p>
          <w:p w14:paraId="2F8DDAE9">
            <w:pPr>
              <w:pStyle w:val="54"/>
              <w:ind w:firstLine="0" w:firstLineChars="0"/>
              <w:rPr>
                <w:rFonts w:cs="宋体"/>
                <w:bCs/>
                <w:color w:val="auto"/>
                <w:sz w:val="24"/>
                <w:szCs w:val="24"/>
                <w:highlight w:val="white"/>
                <w:lang w:eastAsia="zh-CN"/>
              </w:rPr>
            </w:pPr>
            <w:r>
              <w:rPr>
                <w:rFonts w:eastAsia="Calibri" w:cs="宋体"/>
                <w:bCs/>
                <w:color w:val="auto"/>
                <w:sz w:val="24"/>
                <w:szCs w:val="24"/>
                <w:highlight w:val="white"/>
                <w:lang w:val="zh-CN" w:eastAsia="zh-CN"/>
              </w:rPr>
              <w:t>利用通道数据、一卡通数据进行识别晚归、未归人员，并推送给相关人员。无需再去宿舍进行逐间</w:t>
            </w:r>
            <w:r>
              <w:rPr>
                <w:rFonts w:hint="eastAsia" w:cs="宋体"/>
                <w:bCs/>
                <w:color w:val="auto"/>
                <w:sz w:val="24"/>
                <w:szCs w:val="24"/>
                <w:highlight w:val="white"/>
                <w:lang w:eastAsia="zh-CN"/>
              </w:rPr>
              <w:t>查寝</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支持与学校现有平台对接。</w:t>
            </w:r>
          </w:p>
          <w:p w14:paraId="0A12D858">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15</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用电安全预警</w:t>
            </w:r>
          </w:p>
          <w:p w14:paraId="3FB7591C">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全国</w:t>
            </w:r>
            <w:r>
              <w:rPr>
                <w:rFonts w:hint="eastAsia" w:cs="宋体"/>
                <w:bCs/>
                <w:color w:val="auto"/>
                <w:sz w:val="24"/>
                <w:szCs w:val="24"/>
                <w:highlight w:val="white"/>
                <w:lang w:eastAsia="zh-CN"/>
              </w:rPr>
              <w:t>学校</w:t>
            </w:r>
            <w:r>
              <w:rPr>
                <w:rFonts w:eastAsia="Calibri" w:cs="宋体"/>
                <w:bCs/>
                <w:color w:val="auto"/>
                <w:sz w:val="24"/>
                <w:szCs w:val="24"/>
                <w:highlight w:val="white"/>
                <w:lang w:val="zh-CN" w:eastAsia="zh-CN"/>
              </w:rPr>
              <w:t>每年都有因为违规使用电器出现安全事故的事情，此功能是对学校公寓楼学生宿舍违规使用电器或电器、电表出现异常情况进行实时预警。并把预警信息推送给辅导员、公寓管理人员，让安全事故降到最低。</w:t>
            </w:r>
          </w:p>
          <w:p w14:paraId="66529AF2">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16</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学生预警平台</w:t>
            </w:r>
          </w:p>
          <w:p w14:paraId="5DC77936">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对在校生各种异常类型进行预警并能分析预警人群特征。预警关爱平台要有各个院系预警事件分布情况。</w:t>
            </w:r>
          </w:p>
          <w:p w14:paraId="4FABF89D">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17</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校园卡管理运营中心</w:t>
            </w:r>
          </w:p>
          <w:p w14:paraId="5E928473">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根据校园卡管理中心职责，为其设计的针对校园卡项目整体运行情况分析、卡业务办理及趋势分析、校园卡运行异常检测分析等内容提供实时监控，让校园卡</w:t>
            </w:r>
            <w:r>
              <w:rPr>
                <w:rFonts w:hint="eastAsia" w:cs="宋体"/>
                <w:bCs/>
                <w:color w:val="auto"/>
                <w:sz w:val="24"/>
                <w:szCs w:val="24"/>
                <w:highlight w:val="white"/>
                <w:lang w:eastAsia="zh-CN"/>
              </w:rPr>
              <w:t>业务</w:t>
            </w:r>
            <w:r>
              <w:rPr>
                <w:rFonts w:eastAsia="Calibri" w:cs="宋体"/>
                <w:bCs/>
                <w:color w:val="auto"/>
                <w:sz w:val="24"/>
                <w:szCs w:val="24"/>
                <w:highlight w:val="white"/>
                <w:lang w:val="zh-CN" w:eastAsia="zh-CN"/>
              </w:rPr>
              <w:t>工作更便捷，降低工作量的同时提高服务水平。</w:t>
            </w:r>
          </w:p>
          <w:p w14:paraId="15CED82F">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1</w:t>
            </w:r>
            <w:r>
              <w:rPr>
                <w:rFonts w:hint="eastAsia" w:cs="宋体"/>
                <w:bCs/>
                <w:color w:val="auto"/>
                <w:sz w:val="24"/>
                <w:szCs w:val="24"/>
                <w:highlight w:val="white"/>
                <w:lang w:eastAsia="zh-CN"/>
              </w:rPr>
              <w:t>8</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大数据平台监控中心</w:t>
            </w:r>
          </w:p>
          <w:p w14:paraId="35273E77">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功能包括集群状态实时监测，集群整体使用率实时监测，集群服务器运行实时监测，大数据平台日采集量、共采集数据量、占了多少存储，大数据平台数据池数据实时监测，大数据平台任务运行状态实时监测，总离线任务的运营时间分析等等。</w:t>
            </w:r>
          </w:p>
          <w:p w14:paraId="7371231E">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1</w:t>
            </w:r>
            <w:r>
              <w:rPr>
                <w:rFonts w:hint="eastAsia" w:cs="宋体"/>
                <w:bCs/>
                <w:color w:val="auto"/>
                <w:sz w:val="24"/>
                <w:szCs w:val="24"/>
                <w:highlight w:val="white"/>
                <w:lang w:eastAsia="zh-CN"/>
              </w:rPr>
              <w:t>9</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学期、学年师生个人生活报告</w:t>
            </w:r>
          </w:p>
          <w:p w14:paraId="0E77176B">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为学生和教师提供以学期和学年为周期的生活习惯数据分析报告，分析学校自然人的消费、充值习惯及生活规律。让每个人了解自己的生活习惯，好的习惯要坚持，不好的习惯要改正，保持好的状态去学习。</w:t>
            </w:r>
          </w:p>
          <w:p w14:paraId="64D850BD">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20</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一卡通管理中心运营报告</w:t>
            </w:r>
          </w:p>
          <w:p w14:paraId="7987AF8E">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为校园卡管理中心定制专属的月度数据报告，包括卡业务、终端业务、一卡通系统、人脸通道、</w:t>
            </w:r>
            <w:r>
              <w:rPr>
                <w:rFonts w:hint="eastAsia" w:eastAsia="Calibri" w:cs="宋体"/>
                <w:bCs/>
                <w:color w:val="auto"/>
                <w:sz w:val="24"/>
                <w:szCs w:val="24"/>
                <w:highlight w:val="white"/>
                <w:lang w:val="zh-CN" w:eastAsia="zh-CN"/>
              </w:rPr>
              <w:t>安全用电</w:t>
            </w:r>
            <w:r>
              <w:rPr>
                <w:rFonts w:eastAsia="Calibri" w:cs="宋体"/>
                <w:bCs/>
                <w:color w:val="auto"/>
                <w:sz w:val="24"/>
                <w:szCs w:val="24"/>
                <w:highlight w:val="white"/>
                <w:lang w:val="zh-CN" w:eastAsia="zh-CN"/>
              </w:rPr>
              <w:t>业务、消费业务等，让主管部门领导和老师通过手机端数据报告即可掌握部门负责业务的进展情况。</w:t>
            </w:r>
          </w:p>
          <w:p w14:paraId="1962F617">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21</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学生群体画像</w:t>
            </w:r>
          </w:p>
          <w:p w14:paraId="0140C57C">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基于学校所有学生进行特征分析，便于学校的管理。维度包括</w:t>
            </w:r>
            <w:r>
              <w:rPr>
                <w:rFonts w:hint="eastAsia" w:cs="宋体"/>
                <w:bCs/>
                <w:color w:val="auto"/>
                <w:sz w:val="24"/>
                <w:szCs w:val="24"/>
                <w:highlight w:val="white"/>
                <w:lang w:eastAsia="zh-CN"/>
              </w:rPr>
              <w:t>学校所需关注的业务信息</w:t>
            </w:r>
            <w:r>
              <w:rPr>
                <w:rFonts w:eastAsia="Calibri" w:cs="宋体"/>
                <w:bCs/>
                <w:color w:val="auto"/>
                <w:sz w:val="24"/>
                <w:szCs w:val="24"/>
                <w:highlight w:val="white"/>
                <w:lang w:val="zh-CN" w:eastAsia="zh-CN"/>
              </w:rPr>
              <w:t>等等。</w:t>
            </w:r>
          </w:p>
          <w:p w14:paraId="720B22A5">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22</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个人画像</w:t>
            </w:r>
          </w:p>
          <w:p w14:paraId="61CABEF3">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基于一卡通相关数据，为师生提供标签信息，沟通千人千面的师生特征。</w:t>
            </w:r>
          </w:p>
          <w:p w14:paraId="306ADE00">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23</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教师群体画像</w:t>
            </w:r>
          </w:p>
          <w:p w14:paraId="7A209242">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基于学校所有老师进行特征分析，便于学校的管理。维度包括</w:t>
            </w:r>
            <w:r>
              <w:rPr>
                <w:rFonts w:hint="eastAsia" w:cs="宋体"/>
                <w:bCs/>
                <w:color w:val="auto"/>
                <w:sz w:val="24"/>
                <w:szCs w:val="24"/>
                <w:highlight w:val="white"/>
                <w:lang w:eastAsia="zh-CN"/>
              </w:rPr>
              <w:t>学校所需关注的业务信息</w:t>
            </w:r>
            <w:r>
              <w:rPr>
                <w:rFonts w:eastAsia="Calibri" w:cs="宋体"/>
                <w:bCs/>
                <w:color w:val="auto"/>
                <w:sz w:val="24"/>
                <w:szCs w:val="24"/>
                <w:highlight w:val="white"/>
                <w:lang w:val="zh-CN" w:eastAsia="zh-CN"/>
              </w:rPr>
              <w:t>等等。</w:t>
            </w:r>
          </w:p>
          <w:p w14:paraId="5ED55D50">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24</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失联预警</w:t>
            </w:r>
          </w:p>
          <w:p w14:paraId="7064D051">
            <w:pPr>
              <w:pStyle w:val="54"/>
              <w:ind w:firstLine="0" w:firstLineChars="0"/>
              <w:rPr>
                <w:rFonts w:cs="宋体"/>
                <w:bCs/>
                <w:color w:val="auto"/>
                <w:sz w:val="24"/>
                <w:szCs w:val="24"/>
                <w:highlight w:val="white"/>
                <w:lang w:eastAsia="zh-CN"/>
              </w:rPr>
            </w:pPr>
            <w:r>
              <w:rPr>
                <w:rFonts w:eastAsia="Calibri" w:cs="宋体"/>
                <w:bCs/>
                <w:color w:val="auto"/>
                <w:sz w:val="24"/>
                <w:szCs w:val="24"/>
                <w:highlight w:val="white"/>
                <w:lang w:val="zh-CN" w:eastAsia="zh-CN"/>
              </w:rPr>
              <w:t>利用大数据技术及相关算法，基于学生行为轨迹及位置信息，如发现学生不在学校及时进行预警，并对可能触发预警的学生进行告警。预警和告警信息推送给辅导员及时干预解决</w:t>
            </w:r>
            <w:r>
              <w:rPr>
                <w:rFonts w:hint="eastAsia" w:eastAsia="Calibri" w:cs="宋体"/>
                <w:bCs/>
                <w:color w:val="auto"/>
                <w:sz w:val="24"/>
                <w:szCs w:val="24"/>
                <w:highlight w:val="white"/>
                <w:lang w:val="zh-CN" w:eastAsia="zh-CN"/>
              </w:rPr>
              <w:t>，</w:t>
            </w:r>
            <w:r>
              <w:rPr>
                <w:rFonts w:hint="eastAsia" w:cs="宋体"/>
                <w:bCs/>
                <w:color w:val="auto"/>
                <w:sz w:val="24"/>
                <w:szCs w:val="24"/>
                <w:highlight w:val="white"/>
                <w:lang w:eastAsia="zh-CN"/>
              </w:rPr>
              <w:t>支持消息中心推送。</w:t>
            </w:r>
          </w:p>
          <w:p w14:paraId="6B0366EA">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25</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学生轨迹</w:t>
            </w:r>
          </w:p>
          <w:p w14:paraId="0A41E89A">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基于位置（一卡通）数据实时分析学生行为轨迹，辅助学校管理。</w:t>
            </w:r>
          </w:p>
          <w:p w14:paraId="0C0702B5">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26</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消费异常</w:t>
            </w:r>
          </w:p>
          <w:p w14:paraId="50332128">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基于学生消费历史数据及当前消费数据，结合学生特征及画像信息。识别学生消费出现的异常情况，辅助学校及时了解沟通，提升学校人性化服务水平。</w:t>
            </w:r>
          </w:p>
          <w:p w14:paraId="1FDF9A5A">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27</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情感分析</w:t>
            </w:r>
          </w:p>
          <w:p w14:paraId="73F1BF5F">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根据学生刷卡记录及算法模型，识别目前学校单身、恋爱中等学生。</w:t>
            </w:r>
          </w:p>
          <w:p w14:paraId="2355D8EA">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28</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精准扶贫</w:t>
            </w:r>
          </w:p>
          <w:p w14:paraId="079C2BB9">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根据学生消费数据、家庭数据及学生特征数据，从全校所有符合条件的学生中进行多维度识别家庭真正贫困的学生。并对识别或认定的贫困生消费行为进行跟踪，发现不符合可进行取消贫困生资格。</w:t>
            </w:r>
          </w:p>
          <w:p w14:paraId="28C93E77">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2</w:t>
            </w:r>
            <w:r>
              <w:rPr>
                <w:rFonts w:hint="eastAsia" w:cs="宋体"/>
                <w:bCs/>
                <w:color w:val="auto"/>
                <w:sz w:val="24"/>
                <w:szCs w:val="24"/>
                <w:highlight w:val="white"/>
                <w:lang w:eastAsia="zh-CN"/>
              </w:rPr>
              <w:t>9</w:t>
            </w:r>
            <w:r>
              <w:rPr>
                <w:rFonts w:hint="eastAsia" w:eastAsia="Calibri" w:cs="宋体"/>
                <w:bCs/>
                <w:color w:val="auto"/>
                <w:sz w:val="24"/>
                <w:szCs w:val="24"/>
                <w:highlight w:val="white"/>
                <w:lang w:val="zh-CN" w:eastAsia="zh-CN"/>
              </w:rPr>
              <w:t>.</w:t>
            </w:r>
            <w:r>
              <w:rPr>
                <w:rFonts w:eastAsia="Calibri" w:cs="宋体"/>
                <w:bCs/>
                <w:color w:val="auto"/>
                <w:sz w:val="24"/>
                <w:szCs w:val="24"/>
                <w:highlight w:val="white"/>
                <w:lang w:val="zh-CN" w:eastAsia="zh-CN"/>
              </w:rPr>
              <w:t>孤僻预警</w:t>
            </w:r>
          </w:p>
          <w:p w14:paraId="52FEC678">
            <w:pPr>
              <w:pStyle w:val="54"/>
              <w:ind w:firstLine="0" w:firstLineChars="0"/>
              <w:rPr>
                <w:rFonts w:eastAsia="Calibri" w:cs="宋体"/>
                <w:bCs/>
                <w:color w:val="auto"/>
                <w:sz w:val="24"/>
                <w:szCs w:val="24"/>
                <w:highlight w:val="white"/>
                <w:lang w:val="zh-CN" w:eastAsia="zh-CN"/>
              </w:rPr>
            </w:pPr>
            <w:r>
              <w:rPr>
                <w:rFonts w:eastAsia="Calibri" w:cs="宋体"/>
                <w:bCs/>
                <w:color w:val="auto"/>
                <w:sz w:val="24"/>
                <w:szCs w:val="24"/>
                <w:highlight w:val="white"/>
                <w:lang w:val="zh-CN" w:eastAsia="zh-CN"/>
              </w:rPr>
              <w:t>采用不同的模型多维度识别可能有心理问题的学生并发给辅导员等指定人员。进行及早的沟通疏导，减少安全事故发生。</w:t>
            </w:r>
          </w:p>
          <w:p w14:paraId="4ABC6187">
            <w:pPr>
              <w:pStyle w:val="54"/>
              <w:ind w:firstLine="0" w:firstLineChars="0"/>
              <w:rPr>
                <w:rFonts w:eastAsia="Calibri" w:cs="宋体"/>
                <w:bCs/>
                <w:color w:val="auto"/>
                <w:sz w:val="24"/>
                <w:szCs w:val="24"/>
                <w:highlight w:val="white"/>
                <w:lang w:val="zh-CN" w:eastAsia="zh-CN"/>
              </w:rPr>
            </w:pPr>
            <w:r>
              <w:rPr>
                <w:rFonts w:hint="eastAsia" w:cs="宋体"/>
                <w:bCs/>
                <w:color w:val="auto"/>
                <w:sz w:val="24"/>
                <w:szCs w:val="24"/>
                <w:highlight w:val="white"/>
                <w:lang w:eastAsia="zh-CN"/>
              </w:rPr>
              <w:t>30.支持用户照片信息比对，可以判断及辨别出一卡通用户身份，进行人员比对识别。</w:t>
            </w:r>
          </w:p>
        </w:tc>
        <w:tc>
          <w:tcPr>
            <w:tcW w:w="1418" w:type="dxa"/>
            <w:vAlign w:val="center"/>
          </w:tcPr>
          <w:p w14:paraId="73C2736F">
            <w:pPr>
              <w:pStyle w:val="19"/>
              <w:spacing w:beforeAutospacing="0" w:afterAutospacing="0"/>
              <w:jc w:val="center"/>
              <w:rPr>
                <w:rFonts w:ascii="Calibri" w:hAnsi="Calibri" w:eastAsia="Calibri" w:cs="宋体"/>
                <w:bCs/>
                <w:color w:val="auto"/>
                <w:highlight w:val="white"/>
                <w:lang w:val="zh-CN"/>
              </w:rPr>
            </w:pPr>
            <w:r>
              <w:rPr>
                <w:rFonts w:ascii="Calibri" w:hAnsi="Calibri" w:eastAsia="Calibri" w:cs="宋体"/>
                <w:bCs/>
                <w:color w:val="auto"/>
                <w:highlight w:val="white"/>
                <w:lang w:val="zh-CN"/>
              </w:rPr>
              <w:t>1套</w:t>
            </w:r>
          </w:p>
        </w:tc>
      </w:tr>
      <w:tr w14:paraId="0CE0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B168721">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2</w:t>
            </w:r>
          </w:p>
        </w:tc>
        <w:tc>
          <w:tcPr>
            <w:tcW w:w="1559" w:type="dxa"/>
            <w:vAlign w:val="center"/>
          </w:tcPr>
          <w:p w14:paraId="39BE75A5">
            <w:pPr>
              <w:jc w:val="cente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智慧服务通综合管理系统</w:t>
            </w:r>
          </w:p>
        </w:tc>
        <w:tc>
          <w:tcPr>
            <w:tcW w:w="5528" w:type="dxa"/>
            <w:vAlign w:val="center"/>
          </w:tcPr>
          <w:p w14:paraId="5F728F6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结合学校智慧服务通综合管理系统对数据采集、处理、分析以及应用场景等多方面因素的综合考虑，要求</w:t>
            </w:r>
            <w:r>
              <w:rPr>
                <w:rFonts w:hint="eastAsia" w:ascii="宋体" w:hAnsi="宋体" w:cs="宋体"/>
                <w:bCs/>
                <w:color w:val="auto"/>
                <w:sz w:val="24"/>
                <w:szCs w:val="24"/>
                <w:highlight w:val="white"/>
                <w:lang w:eastAsia="zh-CN"/>
              </w:rPr>
              <w:t>供应商</w:t>
            </w:r>
            <w:r>
              <w:rPr>
                <w:rFonts w:ascii="宋体" w:hAnsi="宋体" w:eastAsia="Calibri" w:cs="宋体"/>
                <w:bCs/>
                <w:color w:val="auto"/>
                <w:sz w:val="24"/>
                <w:szCs w:val="24"/>
                <w:highlight w:val="white"/>
                <w:lang w:val="zh-CN" w:eastAsia="zh-CN"/>
              </w:rPr>
              <w:t>根据校方需求量身定制化开发，开发的内容包含不仅限于人脸识别管理平台、大数据管理分析平台、智慧校园移动端软件、会议签到管理系统、订餐管理系统、车辆智能管理系统、预约管理系统、数据采集管理系统、报表子系统等子系统。</w:t>
            </w:r>
          </w:p>
          <w:p w14:paraId="2AD8A032">
            <w:pPr>
              <w:pStyle w:val="54"/>
              <w:numPr>
                <w:ilvl w:val="0"/>
                <w:numId w:val="3"/>
              </w:numPr>
              <w:ind w:firstLine="0" w:firstLineChars="0"/>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人脸识别管理平台</w:t>
            </w:r>
          </w:p>
          <w:p w14:paraId="28B3978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w:t>
            </w: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支持批量数据管理；通过文件将人员数据，人员照片批量导入</w:t>
            </w:r>
            <w:r>
              <w:rPr>
                <w:rFonts w:hint="eastAsia" w:ascii="宋体" w:hAnsi="宋体" w:eastAsia="Calibri" w:cs="宋体"/>
                <w:bCs/>
                <w:color w:val="auto"/>
                <w:sz w:val="24"/>
                <w:szCs w:val="24"/>
                <w:highlight w:val="white"/>
                <w:lang w:val="zh-CN" w:eastAsia="zh-CN"/>
              </w:rPr>
              <w:t>；</w:t>
            </w:r>
          </w:p>
          <w:p w14:paraId="7F4EF0C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平台支持照片质量检测，对上传的照片进行自动检测，筛选不合格的照片；</w:t>
            </w:r>
          </w:p>
          <w:p w14:paraId="6A9DFDB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线上自助采集应用（微信小程序），支持手机端、平台端、班牌等终端设备多端录入人员档案照片并自动同步至其他终端</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要求有确定和撤销功能</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，减少信息重复录入支持按部门、按组织录入人员信息，人员信息包含姓名、手机号、人脸照片、卡号等； </w:t>
            </w:r>
          </w:p>
          <w:p w14:paraId="55BFBAF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系统支持特征值管理功能，可以根据不同的人脸识别算法提前提取特征值，并根据设备算法将特征值自动下载到设备进行人脸识别，以提高数据下载的速率及个人信息的安全性</w:t>
            </w:r>
            <w:r>
              <w:rPr>
                <w:rFonts w:hint="eastAsia" w:ascii="宋体" w:hAnsi="宋体" w:eastAsia="Calibri" w:cs="宋体"/>
                <w:bCs/>
                <w:color w:val="auto"/>
                <w:sz w:val="24"/>
                <w:szCs w:val="24"/>
                <w:highlight w:val="white"/>
                <w:lang w:val="zh-CN" w:eastAsia="zh-CN"/>
              </w:rPr>
              <w:t>；</w:t>
            </w:r>
          </w:p>
          <w:p w14:paraId="0BCBEAF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人脸采集</w:t>
            </w:r>
            <w:r>
              <w:rPr>
                <w:rFonts w:hint="eastAsia" w:ascii="宋体" w:hAnsi="宋体" w:cs="宋体"/>
                <w:bCs/>
                <w:color w:val="auto"/>
                <w:sz w:val="24"/>
                <w:szCs w:val="24"/>
                <w:highlight w:val="white"/>
                <w:lang w:eastAsia="zh-CN"/>
              </w:rPr>
              <w:t>可以</w:t>
            </w:r>
            <w:r>
              <w:rPr>
                <w:rFonts w:ascii="宋体" w:hAnsi="宋体" w:eastAsia="Calibri" w:cs="宋体"/>
                <w:bCs/>
                <w:color w:val="auto"/>
                <w:sz w:val="24"/>
                <w:szCs w:val="24"/>
                <w:highlight w:val="white"/>
                <w:lang w:val="zh-CN" w:eastAsia="zh-CN"/>
              </w:rPr>
              <w:t>支持设置采集次数，可以按部门、身份、具体人员等信息设置每个人员可以采集人脸信息的次数</w:t>
            </w:r>
            <w:r>
              <w:rPr>
                <w:rFonts w:hint="eastAsia" w:ascii="宋体" w:hAnsi="宋体" w:eastAsia="Calibri" w:cs="宋体"/>
                <w:bCs/>
                <w:color w:val="auto"/>
                <w:sz w:val="24"/>
                <w:szCs w:val="24"/>
                <w:highlight w:val="white"/>
                <w:lang w:val="zh-CN" w:eastAsia="zh-CN"/>
              </w:rPr>
              <w:t>；</w:t>
            </w:r>
          </w:p>
          <w:p w14:paraId="4CE618BD">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可自定义身份种类，方便企业对校园卡的分类管理和权限管理</w:t>
            </w:r>
            <w:r>
              <w:rPr>
                <w:rFonts w:hint="eastAsia" w:ascii="宋体" w:hAnsi="宋体" w:eastAsia="Calibri" w:cs="宋体"/>
                <w:bCs/>
                <w:color w:val="auto"/>
                <w:sz w:val="24"/>
                <w:szCs w:val="24"/>
                <w:highlight w:val="white"/>
                <w:lang w:val="zh-CN" w:eastAsia="zh-CN"/>
              </w:rPr>
              <w:t>。</w:t>
            </w:r>
          </w:p>
          <w:p w14:paraId="2142EB7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大数据管理分析平台</w:t>
            </w:r>
          </w:p>
          <w:p w14:paraId="12C003B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对一个学期或一个学年，一卡通整体运行情况进行总结，通过数字、对话和图表的形式进行总结。一是为校园卡管理中心总结经验，提供更好的服务；二是为全校师生展示一卡通项目整体状态，体谅校园卡管理中心的不易。</w:t>
            </w:r>
          </w:p>
          <w:p w14:paraId="0CEACEF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设备管理：大数据显示设备支持定时开关机功能，支持按星期设置是否开关机；支持设置设备密码防止人员胡乱操作；支持大数据与校园内通行设备进行绑定，显示对应设备的投屏信息；投屏信息可以设置抓拍图像或者档案照片；支持设置投屏模式，可以设置全部投屏，白名单投屏和不投模式；支持按身份设置不同的投屏人员。</w:t>
            </w:r>
          </w:p>
          <w:p w14:paraId="07A904FB">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需支持大数据样式：支持不少于34种大数据样式，可以根据不同的场景选择需要的大数据样式</w:t>
            </w:r>
          </w:p>
          <w:p w14:paraId="24D39B7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需支持可视化视图显示：支持数据图文可视化，支持数据三维视图呈现。</w:t>
            </w:r>
          </w:p>
          <w:p w14:paraId="030EC62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系统支持领导驾驶舱功能，支持挂载第三方链接，领导可以直接通过领导驾驶舱查看学校的汇总大数据看板信息。</w:t>
            </w:r>
          </w:p>
          <w:p w14:paraId="3808AFC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需支持多场景大数据：支持多个场景的大数据展示，包括通道、宿舍、图书馆、访客、考勤、消费、疫情等大数据。</w:t>
            </w:r>
          </w:p>
          <w:p w14:paraId="01FD5C9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智慧校园移动端软件</w:t>
            </w:r>
          </w:p>
          <w:p w14:paraId="466B5D6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移动端可需支持第三方应用内嵌开发，可兼容第三方应用挂接及html5接口形式挂接。能够提供底层人脸识别、刷卡、语音输出、物联网硬件等SDK的调用，以及html5形式的底层接口调用。提供标准人员身份信息认证的接口，可以实现第三方登录应用、二维码应用等外部扩展功能模块的开发。</w:t>
            </w:r>
          </w:p>
          <w:p w14:paraId="245B0BD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支持平台端设置不同人员、角色、身份、部门等菜单显示权限,可根据不同职责划分菜单内容。</w:t>
            </w:r>
          </w:p>
          <w:p w14:paraId="5BD4036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支持平台端设置不同人员、角色、身份、部门等菜单显示权限,可根据不同职责划分菜单内容。</w:t>
            </w:r>
          </w:p>
          <w:p w14:paraId="341A588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需支持消费记录、消费时间、余额等信息实时推送,在线圈存可对接银行、微信、支付宝。</w:t>
            </w:r>
          </w:p>
          <w:p w14:paraId="00F8A06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移动端需支持根据身份不同设置各类型的通知模板实现对通知的发送，也可以通过平台端反向通知学生、教师端。</w:t>
            </w:r>
          </w:p>
          <w:p w14:paraId="65FD37B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支持学生在移动端提交留校申请，申请寒暑假期间留校住宿。教师收到申请后，可进行审批处理。</w:t>
            </w:r>
          </w:p>
          <w:p w14:paraId="0B05D8F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会</w:t>
            </w:r>
            <w:r>
              <w:rPr>
                <w:rFonts w:ascii="宋体" w:hAnsi="宋体" w:eastAsia="Calibri" w:cs="宋体"/>
                <w:bCs/>
                <w:color w:val="auto"/>
                <w:sz w:val="24"/>
                <w:szCs w:val="24"/>
                <w:highlight w:val="white"/>
                <w:lang w:val="zh-CN" w:eastAsia="zh-CN"/>
              </w:rPr>
              <w:t>议签到管理系统</w:t>
            </w:r>
          </w:p>
          <w:p w14:paraId="519EE44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在会议室门口安装会议签到机，开会时与会人员刷脸、刷卡签到，会议叫号、签到考勤。</w:t>
            </w:r>
          </w:p>
          <w:p w14:paraId="6DE20D8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订餐管理系统</w:t>
            </w:r>
          </w:p>
          <w:p w14:paraId="2801B88B">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营业设置</w:t>
            </w:r>
          </w:p>
          <w:p w14:paraId="0280C5E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食堂管理： 可以针对食堂营业信息进行添加、修改、删除，其中报表包含，营业编号、营业名称、容纳人数、容纳状态。</w:t>
            </w:r>
          </w:p>
          <w:p w14:paraId="776F07D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食堂档口管理： 食堂档口管理可以通过所属食堂筛选查询，可以针对营业组信息进行添加、修改、删除。其中报表包含如下字段，所属营业、营业组名称、描述。</w:t>
            </w:r>
          </w:p>
          <w:p w14:paraId="1F66189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窗口机设置： 窗口机设置可以通过所属营业、设备类型、窗口机名称、编号筛选查询。可以针对窗口机进行添加、批量添加、修改、删除、消费查询类型设备绑定营业组、消费机2.0命令下发。其中报表包含如下字段，所属营业、所属营业组、窗口机编号、窗口机名称、设备类型、运行状态、最后心跳时间、当前版本、最后同步序号、份饭号、窗口机类型：早午晚夜、窗口机IP、网关IP、子网掩码、份饭号、支持份饭限次、支持计算器限次、支持份饭议价、支持份饭折扣、是否打印、支付方式、窗口机运行方式、支持补助存款分</w:t>
            </w:r>
            <w:r>
              <w:rPr>
                <w:rFonts w:hint="eastAsia" w:ascii="宋体" w:hAnsi="宋体" w:eastAsia="Calibri" w:cs="宋体"/>
                <w:bCs/>
                <w:color w:val="auto"/>
                <w:sz w:val="24"/>
                <w:szCs w:val="24"/>
                <w:highlight w:val="white"/>
                <w:lang w:val="zh-CN" w:eastAsia="zh-CN"/>
              </w:rPr>
              <w:t>账号</w:t>
            </w:r>
            <w:r>
              <w:rPr>
                <w:rFonts w:ascii="宋体" w:hAnsi="宋体" w:eastAsia="Calibri" w:cs="宋体"/>
                <w:bCs/>
                <w:color w:val="auto"/>
                <w:sz w:val="24"/>
                <w:szCs w:val="24"/>
                <w:highlight w:val="white"/>
                <w:lang w:val="zh-CN" w:eastAsia="zh-CN"/>
              </w:rPr>
              <w:t>、手持同步状态、通讯状态。</w:t>
            </w:r>
          </w:p>
          <w:p w14:paraId="2B0D312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餐端时间设置： 可以针对早餐、午餐、晚餐、夜餐进行编辑、设置订餐提前天数。其中报表包含如下字段，餐段名称、开始时间、结束时间、间隔分钟、订餐截止、开启订餐、是否有效。</w:t>
            </w:r>
          </w:p>
          <w:p w14:paraId="1245039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菜品</w:t>
            </w:r>
          </w:p>
          <w:p w14:paraId="23E348E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菜品类别管理： 菜品类别管理可以通过食堂/档口筛选查询，可以针对食堂/档口进行添加顶级类别、添加下一级、修改、删除。</w:t>
            </w:r>
          </w:p>
          <w:p w14:paraId="08122D8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菜品管理： 菜品管理可以通过食堂/档口、菜品编码、名称、描述、菜品类型筛选条件查询。可以针对菜品进行添加、修改、批量删除、导入、批量调整档口、批量上传图片。其中报表包含如下字段，编码、简码、名称、别名、类别、状态、类型、图片、描述、单位、原价、起卖份数、操作，支持导出Excel表格。</w:t>
            </w:r>
          </w:p>
          <w:p w14:paraId="344FFFD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食物分类管理 ：可以针对食品分类进行添加顶级分类、添加下一级、修改、删除，其中报表包含如下字段，名称、操作。</w:t>
            </w:r>
          </w:p>
          <w:p w14:paraId="063B8E4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食物管理： 食物管理可以通过名称、分类筛选条件查询，可以针对食物进行从网络搜索添加、添加、修改、删除。其中报表包含如下字段，名称、分类、主要营养素、维生素、矿物质。</w:t>
            </w:r>
          </w:p>
          <w:p w14:paraId="3F08CB0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车辆智能管理系统</w:t>
            </w:r>
          </w:p>
          <w:p w14:paraId="6BD8C75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班车管理：支持班车上下班刷卡消费。</w:t>
            </w:r>
          </w:p>
          <w:p w14:paraId="71996B9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车辆信息对接：支持录入车载设备，并将车载设备与车辆绑定，支持车辆信息对接。</w:t>
            </w:r>
          </w:p>
          <w:p w14:paraId="1D4DC17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实训室预约管理系统</w:t>
            </w:r>
          </w:p>
          <w:p w14:paraId="31C4377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基础数据管理：实现对实训室、场地、人员等的精细化管理，包括组织架构、人员管理、权限管理等。</w:t>
            </w:r>
          </w:p>
          <w:p w14:paraId="50DE2FA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实训教学管理：针对实训教学调课、教学过程、教学数据等进行过程管理，并支持与教务系统对接课表导入。</w:t>
            </w:r>
          </w:p>
          <w:p w14:paraId="1A89C75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开放预约管理：针对空闲实训室、实训设备等资源进行全过程信息化管理，支撑开放实训、创新实训的开展。</w:t>
            </w:r>
          </w:p>
          <w:p w14:paraId="7CBC20C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设备与耗材管理：对实训室设备和耗材进行全面监管，实现信息化管理。</w:t>
            </w:r>
          </w:p>
          <w:p w14:paraId="456C957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数据采集管理系统</w:t>
            </w:r>
          </w:p>
          <w:p w14:paraId="3E1A7A8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数据采集：系统采集包括身份信息、消费流水、图书借阅等数据。数据不仅包括刷卡产生的流水数据，还涵盖了基于身份认证的各种关联数据，以及代表的人、物和行为轨迹等。</w:t>
            </w:r>
          </w:p>
          <w:p w14:paraId="45A9A4A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数据处理：数据处理层负责数据的清理、转换、整合、提取和维护，以确保分析的可靠性和稳定性。</w:t>
            </w:r>
          </w:p>
          <w:p w14:paraId="2F46E7A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数据分析：数据分析层可以进行消费分析、图书馆服务设计、安全预警、个人数据服务等多维度分析应用。通过消费数据分析，可以挖掘学生的消费习惯，结合家庭状况，为贫困生助学金及贷款发放提供依据。</w:t>
            </w:r>
          </w:p>
          <w:p w14:paraId="2867835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数据应用：数据应用层将分析结果用于实际管理，如学生资助、学业预警、图书管理和个人数据服务等。</w:t>
            </w:r>
          </w:p>
          <w:p w14:paraId="44ED858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身份识别与支付：一卡通系统广泛应用于餐厅、场馆、公寓、门禁、通道、图书馆等场景，实现身份识别和金融支付。</w:t>
            </w:r>
          </w:p>
          <w:p w14:paraId="1331821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食堂消费：师生可通过扫码、刷脸等多种方式完成食堂消费，减少就餐排队等待时间。</w:t>
            </w:r>
          </w:p>
          <w:p w14:paraId="6C43F0A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门禁管理：师生刷脸可出入校园、宿舍、图书馆等，有效管控校外人员随意出入，保障师生安全。</w:t>
            </w:r>
          </w:p>
          <w:p w14:paraId="03DED92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图书借阅：师生通过刷脸可进行图书借阅、图书归还，更加便捷。</w:t>
            </w:r>
          </w:p>
          <w:p w14:paraId="04415C9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宿舍电费充值：学生通过手机可实时查询宿舍剩余电量，并进行电费充值，减少线下“跑腿”的繁杂。</w:t>
            </w:r>
          </w:p>
          <w:p w14:paraId="41DDA16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数字化管理：一卡通系统推动高校数字化管理系统建设和信息管理水平，清晰掌握一卡通用户的活动轨迹。</w:t>
            </w:r>
          </w:p>
          <w:p w14:paraId="106B99C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年度账单：一卡通数据涵盖了全校师生员工的生活、工作、学习和科研的方方面面，体现了师生员工在校内的工作和学习状态。</w:t>
            </w:r>
          </w:p>
          <w:p w14:paraId="0CC7759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预警机制：通过数据分析，建立模型，实现学生安全、消费、上网等情况的预警机制，更进一步地了解学生心理动向，进行成绩、就业的预测。</w:t>
            </w:r>
          </w:p>
          <w:p w14:paraId="35A9F85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个人数据服务：通过大数据对校园一卡通数据的分析，为用户提供个性化分析，保证个人数据全面精准</w:t>
            </w:r>
          </w:p>
        </w:tc>
        <w:tc>
          <w:tcPr>
            <w:tcW w:w="1418" w:type="dxa"/>
            <w:vAlign w:val="center"/>
          </w:tcPr>
          <w:p w14:paraId="1565E58C">
            <w:pPr>
              <w:jc w:val="center"/>
              <w:rPr>
                <w:rFonts w:ascii="Calibri" w:hAnsi="Calibri"/>
                <w:color w:val="auto"/>
              </w:rPr>
            </w:pPr>
            <w:r>
              <w:rPr>
                <w:rFonts w:ascii="Calibri" w:hAnsi="Calibri"/>
                <w:color w:val="auto"/>
              </w:rPr>
              <w:t>1套</w:t>
            </w:r>
          </w:p>
        </w:tc>
      </w:tr>
      <w:tr w14:paraId="718A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453E9BB">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3</w:t>
            </w:r>
          </w:p>
        </w:tc>
        <w:tc>
          <w:tcPr>
            <w:tcW w:w="1559" w:type="dxa"/>
            <w:vAlign w:val="center"/>
          </w:tcPr>
          <w:p w14:paraId="4428479D">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数据交互接口软件</w:t>
            </w:r>
          </w:p>
        </w:tc>
        <w:tc>
          <w:tcPr>
            <w:tcW w:w="5528" w:type="dxa"/>
            <w:vAlign w:val="center"/>
          </w:tcPr>
          <w:p w14:paraId="4B18D70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结合学校实际业务应用场景，一卡通系统需要与其他系统平台进行无缝衔接，要求</w:t>
            </w:r>
            <w:r>
              <w:rPr>
                <w:rFonts w:hint="eastAsia" w:ascii="宋体" w:hAnsi="宋体" w:cs="宋体"/>
                <w:bCs/>
                <w:color w:val="auto"/>
                <w:sz w:val="24"/>
                <w:szCs w:val="24"/>
                <w:highlight w:val="white"/>
                <w:lang w:eastAsia="zh-CN"/>
              </w:rPr>
              <w:t>供应商</w:t>
            </w:r>
            <w:r>
              <w:rPr>
                <w:rFonts w:ascii="宋体" w:hAnsi="宋体" w:eastAsia="Calibri" w:cs="宋体"/>
                <w:bCs/>
                <w:color w:val="auto"/>
                <w:sz w:val="24"/>
                <w:szCs w:val="24"/>
                <w:highlight w:val="white"/>
                <w:lang w:val="zh-CN" w:eastAsia="zh-CN"/>
              </w:rPr>
              <w:t>量身定制化接口系统，开发的内容包含不仅限于智慧校园系统、会议管理系统、图书管理系统、统一身份认证系统等。</w:t>
            </w:r>
          </w:p>
          <w:p w14:paraId="7B5F619B">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val="zh-CN" w:eastAsia="zh-CN"/>
              </w:rPr>
              <w:t>要求与智慧校园系统、图书管理系统等接口定制开发；</w:t>
            </w:r>
          </w:p>
          <w:p w14:paraId="6BE05DFC">
            <w:pPr>
              <w:pStyle w:val="54"/>
              <w:ind w:firstLine="0" w:firstLineChars="0"/>
              <w:rPr>
                <w:rFonts w:hint="eastAsia" w:ascii="宋体" w:hAnsi="宋体"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平台需支持第三方应用对接开发，可视化调用，数据对接采用Http</w:t>
            </w:r>
            <w:r>
              <w:rPr>
                <w:rFonts w:hint="eastAsia" w:ascii="宋体" w:hAnsi="宋体" w:cs="宋体"/>
                <w:bCs/>
                <w:color w:val="auto"/>
                <w:sz w:val="24"/>
                <w:szCs w:val="24"/>
                <w:highlight w:val="white"/>
                <w:lang w:eastAsia="zh-CN"/>
              </w:rPr>
              <w:t>s</w:t>
            </w:r>
            <w:r>
              <w:rPr>
                <w:rFonts w:ascii="宋体" w:hAnsi="宋体" w:eastAsia="Calibri" w:cs="宋体"/>
                <w:bCs/>
                <w:color w:val="auto"/>
                <w:sz w:val="24"/>
                <w:szCs w:val="24"/>
                <w:highlight w:val="white"/>
                <w:lang w:val="zh-CN" w:eastAsia="zh-CN"/>
              </w:rPr>
              <w:t>方式</w:t>
            </w:r>
            <w:r>
              <w:rPr>
                <w:rFonts w:hint="eastAsia" w:ascii="宋体" w:hAnsi="宋体" w:cs="宋体"/>
                <w:bCs/>
                <w:color w:val="auto"/>
                <w:sz w:val="24"/>
                <w:szCs w:val="24"/>
                <w:highlight w:val="white"/>
                <w:lang w:val="zh-CN" w:eastAsia="zh-CN"/>
              </w:rPr>
              <w:t>；</w:t>
            </w:r>
          </w:p>
          <w:p w14:paraId="66077ACF">
            <w:pPr>
              <w:pStyle w:val="54"/>
              <w:ind w:firstLine="0" w:firstLineChars="0"/>
              <w:rPr>
                <w:rFonts w:hint="eastAsia" w:ascii="宋体" w:hAnsi="宋体"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需支持对json数据的传入及接收，接口数据返回状态准确</w:t>
            </w:r>
            <w:r>
              <w:rPr>
                <w:rFonts w:hint="eastAsia" w:ascii="宋体" w:hAnsi="宋体" w:cs="宋体"/>
                <w:bCs/>
                <w:color w:val="auto"/>
                <w:sz w:val="24"/>
                <w:szCs w:val="24"/>
                <w:highlight w:val="white"/>
                <w:lang w:val="zh-CN" w:eastAsia="zh-CN"/>
              </w:rPr>
              <w:t>；</w:t>
            </w:r>
          </w:p>
        </w:tc>
        <w:tc>
          <w:tcPr>
            <w:tcW w:w="1418" w:type="dxa"/>
            <w:vAlign w:val="center"/>
          </w:tcPr>
          <w:p w14:paraId="40FDA83B">
            <w:pPr>
              <w:jc w:val="center"/>
              <w:rPr>
                <w:rFonts w:ascii="Calibri" w:hAnsi="Calibri"/>
                <w:color w:val="auto"/>
              </w:rPr>
            </w:pPr>
            <w:r>
              <w:rPr>
                <w:rFonts w:ascii="Calibri" w:hAnsi="Calibri"/>
                <w:color w:val="auto"/>
              </w:rPr>
              <w:t>1套</w:t>
            </w:r>
          </w:p>
        </w:tc>
      </w:tr>
      <w:tr w14:paraId="13B4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039305D">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4</w:t>
            </w:r>
          </w:p>
        </w:tc>
        <w:tc>
          <w:tcPr>
            <w:tcW w:w="1559" w:type="dxa"/>
            <w:vAlign w:val="center"/>
          </w:tcPr>
          <w:p w14:paraId="4851121D">
            <w:pPr>
              <w:jc w:val="cente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智慧校园大数据综合服务平台</w:t>
            </w:r>
          </w:p>
        </w:tc>
        <w:tc>
          <w:tcPr>
            <w:tcW w:w="5528" w:type="dxa"/>
            <w:vAlign w:val="center"/>
          </w:tcPr>
          <w:p w14:paraId="76AF7E5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结合学校智慧校园大数据综合服务平台对数据采集、处理、分析以及应用场景等多方面因素的综合考虑，要求</w:t>
            </w:r>
            <w:r>
              <w:rPr>
                <w:rFonts w:hint="eastAsia" w:ascii="宋体" w:hAnsi="宋体" w:cs="宋体"/>
                <w:bCs/>
                <w:color w:val="auto"/>
                <w:sz w:val="24"/>
                <w:szCs w:val="24"/>
                <w:highlight w:val="white"/>
                <w:lang w:eastAsia="zh-CN"/>
              </w:rPr>
              <w:t>供应商</w:t>
            </w:r>
            <w:r>
              <w:rPr>
                <w:rFonts w:ascii="宋体" w:hAnsi="宋体" w:eastAsia="Calibri" w:cs="宋体"/>
                <w:bCs/>
                <w:color w:val="auto"/>
                <w:sz w:val="24"/>
                <w:szCs w:val="24"/>
                <w:highlight w:val="white"/>
                <w:lang w:val="zh-CN" w:eastAsia="zh-CN"/>
              </w:rPr>
              <w:t>根据校方需求量身定制化开发，开发的内容包含不仅限于智慧校园大数据综合服务平台、卡务管理系统、智能缴费管理系统、餐饮收费管理系统、水控管理系统、门禁管理系统、宿舍管理系统、考勤管理系统、信息发布管理系统、访客管理系统、智慧圈存管理系统、物联网管理平台等子系统。</w:t>
            </w:r>
          </w:p>
          <w:p w14:paraId="6EB4B467">
            <w:pPr>
              <w:pStyle w:val="54"/>
              <w:ind w:firstLine="0" w:firstLineChars="0"/>
              <w:rPr>
                <w:rFonts w:hint="eastAsia"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人员管理</w:t>
            </w:r>
          </w:p>
          <w:p w14:paraId="2B81263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（1）学校设置：设置学校Logo、学校类别、办学模式、校长信息、建校日期、学校简介、历史沿革等。</w:t>
            </w:r>
          </w:p>
          <w:p w14:paraId="41B189D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（2）教师组织管理：自定义多级教师部门，支持通过Excel表格批量导入部门信息。</w:t>
            </w:r>
          </w:p>
          <w:p w14:paraId="713037FF">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（3）班级管理：自定义学生的校区、年级和班级信息，支持批量创建班级（输入班级个数自动生成班级）和通过Excel表格批量导入班级组织信息。</w:t>
            </w:r>
          </w:p>
          <w:p w14:paraId="2C576BB1">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（4）角色权限管理：自定义用户角色信息，并按角色对控制菜单进行授权，实现权限划分和多级管理。</w:t>
            </w:r>
          </w:p>
          <w:p w14:paraId="127027A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（5）身份管理：自定义用户身份信息，实现校园大门、食堂就餐、人员考勤的差异化通行、就餐和考勤。</w:t>
            </w:r>
          </w:p>
          <w:p w14:paraId="73DDD5B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（6）一键升班：支持一键升班功能。</w:t>
            </w:r>
          </w:p>
          <w:p w14:paraId="37BD2F6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（7）老师管理：管理教职工基本信息，包括教师工号、姓名、性别、职位、联系方式、在岗状态、直属主管等。</w:t>
            </w:r>
          </w:p>
          <w:p w14:paraId="3EE99A9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（8）离职老师：支持教师离职、复职及一键转换成学生功能。</w:t>
            </w:r>
          </w:p>
          <w:p w14:paraId="3512B72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（9）教师信息批量导入和批量修改：支持教师信息、照片等批量导入和批量修改。</w:t>
            </w:r>
          </w:p>
          <w:p w14:paraId="45370BF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（10）学生管理：管理学生基本信息，包括学生编号、姓名、性别、年级、班级辅导员等。</w:t>
            </w:r>
          </w:p>
          <w:p w14:paraId="13F32B4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（11）学生信息批量导入和批量修改：支持学生信息、照片等批量导入和批量修改。</w:t>
            </w:r>
          </w:p>
          <w:p w14:paraId="1062F0D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（12）家长管理：支持家长通过移动端自行注册，并在系统中查询和维护相关信息。</w:t>
            </w:r>
          </w:p>
          <w:p w14:paraId="182B6F6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（13）人员删除和恢复功能：支持人员删除和恢复功能，防止管理员误操作。</w:t>
            </w:r>
          </w:p>
          <w:p w14:paraId="519C3BE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（14）</w:t>
            </w:r>
            <w:r>
              <w:rPr>
                <w:rFonts w:ascii="宋体" w:hAnsi="宋体" w:eastAsia="Calibri" w:cs="宋体"/>
                <w:bCs/>
                <w:color w:val="auto"/>
                <w:sz w:val="24"/>
                <w:szCs w:val="24"/>
                <w:highlight w:val="white"/>
                <w:lang w:val="zh-CN" w:eastAsia="zh-CN"/>
              </w:rPr>
              <w:t>统一应用管理：将不同的校园信息化应用软件有机地集成到一个无缝的、并列的、易于访问的单一系统中，形成统一的服务展示平台，解决用户需登录多个系统和需记住多个账号和密码的困扰，使教职工登录一个系统平台即可完成所有业务处理和信息共享。</w:t>
            </w:r>
          </w:p>
          <w:p w14:paraId="5E1906F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统一数据管理：解决数据标准、资源共享等方面存在的问题，从各个独立系统中抽取数据，实现数据的集中维护、集中管理，实现跨系统的数据共享。</w:t>
            </w:r>
          </w:p>
          <w:p w14:paraId="65B20BB3">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统一报表生成：对数据库中的相关数据进行数据挖掘分析，并在此基础上生成报表，以提供用户在不同层面及时地获取校园管理业务中的相关数据。</w:t>
            </w:r>
          </w:p>
          <w:p w14:paraId="18A843A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个性设置：界面主题：用户可设置自己喜欢的软件界面颜色，整套系统提供六大不同颜色样式给用户自由选择，如浪漫的紫色，富有现代感的蓝色，给人充满春天气息的绿色。如此多明快的线条和富有现代感的设计让视觉永不疲劳，给工作带来无限快乐。</w:t>
            </w:r>
          </w:p>
          <w:p w14:paraId="1AA82203">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消息提醒设置：通过消息提醒设置用户可设置自己喜欢的消息提示音，也可以设置消息的提醒频率。</w:t>
            </w:r>
          </w:p>
          <w:p w14:paraId="64D8BB93">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默认展开菜单：通过默认展开菜单用户可设置登陆系统以后首先出现在左边的菜单，让工作更加方便、快捷。</w:t>
            </w:r>
          </w:p>
          <w:p w14:paraId="74E8750B">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操作日志：用户可在此管理自己的操作日志。系统提供日志功能，将用户登录、退出系统，以及重要的模块所有的操作都记录在日志中，并可以详细记录操作的IP地址，操作时间。有效追踪非法入侵和维护系统数据安全。</w:t>
            </w:r>
          </w:p>
          <w:p w14:paraId="04E417E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卡务管理系统</w:t>
            </w:r>
          </w:p>
          <w:p w14:paraId="225BAA8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支持用户进行自助查询、挂失、补卡、充值及消费查询等操作，学生卡丢失或余额不足时可以及时处理。</w:t>
            </w:r>
          </w:p>
          <w:p w14:paraId="15E6F77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支持用户自定义打印的模板，补卡后自动打印新卡。</w:t>
            </w:r>
          </w:p>
          <w:p w14:paraId="1252ADE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支持刷卡验证及人证比对认证，进行登录查询。</w:t>
            </w:r>
          </w:p>
          <w:p w14:paraId="357CD5D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智能缴费管理系统</w:t>
            </w:r>
          </w:p>
          <w:p w14:paraId="40CFB828">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学生缴费可通过两种途径：登录移动端个人账号使用微信支付自助缴费</w:t>
            </w:r>
          </w:p>
          <w:p w14:paraId="2A649D4B">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）收费管理：支持按照姓名、缴费学期、部门等条件筛选查看应收款情况并进行单人缴费和导入缴费信息</w:t>
            </w:r>
          </w:p>
          <w:p w14:paraId="67F97D3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）收费记录：支持按照姓名、缴费学期、部门等条件查询收费记录，支持作废、删除、导出收费记录</w:t>
            </w:r>
          </w:p>
          <w:p w14:paraId="1C62D9E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4.自助补卡管理系统</w:t>
            </w:r>
          </w:p>
          <w:p w14:paraId="6377A58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支持用户进行自助查询、挂失、补卡、充值及消费查询等操作，学生卡丢失或余额不足时可以及时处理。</w:t>
            </w:r>
          </w:p>
          <w:p w14:paraId="7E736F9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支持用户自定义打印的模板，补卡后自动打印新卡。</w:t>
            </w:r>
          </w:p>
          <w:p w14:paraId="16D9E34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支持刷卡验证及人证比对认证，进行登录查询。</w:t>
            </w:r>
          </w:p>
          <w:p w14:paraId="55082FD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餐饮收费管理系统</w:t>
            </w:r>
          </w:p>
          <w:p w14:paraId="23715F7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食堂管理的智能化解决方案，系统使用电子货币取代现金，方便内部结算，人员消费权限管制，自动生成消费记录报表，与微信或支付宝对接，支持移动支付，可自主充值，查询充值记录、消费记录等。</w:t>
            </w:r>
          </w:p>
          <w:p w14:paraId="12D3C91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系统支持根据商家的需求设置不同的食堂和营业组信息，以便按商户统计收入信息。</w:t>
            </w:r>
          </w:p>
          <w:p w14:paraId="4A57C5F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支持一卡通充值功能，可以通过微信</w:t>
            </w:r>
            <w:r>
              <w:rPr>
                <w:rFonts w:hint="eastAsia" w:ascii="宋体" w:hAnsi="宋体" w:cs="宋体"/>
                <w:bCs/>
                <w:color w:val="auto"/>
                <w:sz w:val="24"/>
                <w:szCs w:val="24"/>
                <w:highlight w:val="white"/>
                <w:lang w:eastAsia="zh-CN"/>
              </w:rPr>
              <w:t>或</w:t>
            </w:r>
            <w:r>
              <w:rPr>
                <w:rFonts w:ascii="宋体" w:hAnsi="宋体" w:eastAsia="Calibri" w:cs="宋体"/>
                <w:bCs/>
                <w:color w:val="auto"/>
                <w:sz w:val="24"/>
                <w:szCs w:val="24"/>
                <w:highlight w:val="white"/>
                <w:lang w:val="zh-CN" w:eastAsia="zh-CN"/>
              </w:rPr>
              <w:t>支付宝，银联账户给一卡通账户充值；</w:t>
            </w:r>
          </w:p>
          <w:p w14:paraId="2907F78D">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系统支持维护消费相关的基础信息，包括餐段设置、份饭设置、食堂区域信息、营业设置、营业组设置、窗口机设置、管理员用户，以便进行管理和统计分析。</w:t>
            </w:r>
          </w:p>
          <w:p w14:paraId="2DA5057F">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支持账户权限管理，根据不同角色的人员划分不同的权限，实现商户查询自己的营业数据，学校财务可以查询总的消费数据，提升数据的保密性。</w:t>
            </w:r>
          </w:p>
          <w:p w14:paraId="6B616F68">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支持排餐功能，商家可根据实际情况自由配置每个餐段销售的菜品，支持按周批量生成指定时间段内的排餐。</w:t>
            </w:r>
          </w:p>
          <w:p w14:paraId="0905CC3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支持根据学校的规定自由设置订餐策略，包括订餐时间、订餐周期、是否可退餐及退餐截</w:t>
            </w:r>
            <w:r>
              <w:rPr>
                <w:rFonts w:hint="eastAsia" w:ascii="宋体" w:hAnsi="宋体" w:eastAsia="Calibri" w:cs="宋体"/>
                <w:bCs/>
                <w:color w:val="auto"/>
                <w:sz w:val="24"/>
                <w:szCs w:val="24"/>
                <w:highlight w:val="white"/>
                <w:lang w:val="zh-CN" w:eastAsia="zh-CN"/>
              </w:rPr>
              <w:t>止</w:t>
            </w:r>
            <w:r>
              <w:rPr>
                <w:rFonts w:ascii="宋体" w:hAnsi="宋体" w:eastAsia="Calibri" w:cs="宋体"/>
                <w:bCs/>
                <w:color w:val="auto"/>
                <w:sz w:val="24"/>
                <w:szCs w:val="24"/>
                <w:highlight w:val="white"/>
                <w:lang w:val="zh-CN" w:eastAsia="zh-CN"/>
              </w:rPr>
              <w:t>时间等。</w:t>
            </w:r>
          </w:p>
          <w:p w14:paraId="7DC13FA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支持取餐引导功能，订餐后，可在引导终端通过人脸或刷卡识别，系统认证后自动引导学生到指定窗口进行取餐；支持代取功能，可以设置由其他人代取。</w:t>
            </w:r>
          </w:p>
          <w:p w14:paraId="692430E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支持对菜品的订餐明细及统计信息进行查询，为商户或食堂提供准确的数据，以便准备食材，减少浪费。</w:t>
            </w:r>
          </w:p>
          <w:p w14:paraId="653A611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支持与大数据系统联动，展示食堂菜品的排名情况及菜品介绍。</w:t>
            </w:r>
          </w:p>
          <w:p w14:paraId="1C6B9CB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水控管理系统</w:t>
            </w:r>
          </w:p>
          <w:p w14:paraId="0C82DFDD">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支持多种通讯方式，包括蓝牙、4G和传统485通讯方式。用户可以根据实际场景选择适合的通讯方式。</w:t>
            </w:r>
          </w:p>
          <w:p w14:paraId="0FFA1BB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支持多种计费模式，包括计时模式，计量模式和倒计时模式；支持设置卡读取扇区、加密方式、卡类型和防复制等功能。</w:t>
            </w:r>
          </w:p>
          <w:p w14:paraId="2CDF86A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用户可以灵活配置卡的管理规则，确保系统的安全性和可靠性。</w:t>
            </w:r>
          </w:p>
          <w:p w14:paraId="1C7DE7A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支持传统刷卡方式的同时，还支持移动端蓝牙控制，实现无卡消费，提高便利性和用户体验。</w:t>
            </w:r>
          </w:p>
          <w:p w14:paraId="6D39D3D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管理系统可以记录和统计水控设备的使用情况及消费统计信息。用户可以随时查看设备的使用记录和统计数据，以便进行数据分析和管理决策。</w:t>
            </w:r>
          </w:p>
          <w:p w14:paraId="488E7A4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通道管理系统</w:t>
            </w:r>
          </w:p>
          <w:p w14:paraId="50B30071">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系统可通过人脸、身份证、二维码、刷卡、指纹等多种认证模式提高安全性。</w:t>
            </w:r>
          </w:p>
          <w:p w14:paraId="64B9906E">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在出入口对人员的进出或异常进行记录，并可执行放行、禁行、常开常闭、报警等控制命令，终端设备包含道闸等，并支持平台、移动端等远程操作。</w:t>
            </w:r>
          </w:p>
          <w:p w14:paraId="43386E7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终端设备可作为考勤机，记录出入时间判定考勤状态，并可根据需求自动抓拍识别图片，开启陌生人模式可对非白名单人员进行对比抓拍，抓拍记录及通行时间存储在终端设备和存储服务器中，逾期自动清理。</w:t>
            </w:r>
          </w:p>
          <w:p w14:paraId="77CE507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通道系统还可以跟访客系统联动，访客登记完信息，并审批通过后，可以直接进出校门。</w:t>
            </w:r>
          </w:p>
          <w:p w14:paraId="28F45E2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借助闸机和抓拍机等设备以及人脸识别和大数据分析技术，生成学生在校园内活动轨迹详情，包括时间、地点、抓拍照片，通过时间轴展示形式呈现在手机端，并可按姓名查询，支持模糊查询。</w:t>
            </w:r>
          </w:p>
          <w:p w14:paraId="69E0486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可对接当地安全管理中心，对抓拍数据进行上传，加强校园安全。</w:t>
            </w:r>
          </w:p>
          <w:p w14:paraId="5561A18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支持连接报警系统，出现黑名单人员或非法闯入时可以实时发出报警</w:t>
            </w:r>
          </w:p>
          <w:p w14:paraId="3A0754A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数据统计：系统支持多种统计报表，可以查询每天的通行明细和通行统计信息。</w:t>
            </w:r>
          </w:p>
          <w:p w14:paraId="7131794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门禁管理系统</w:t>
            </w:r>
          </w:p>
          <w:p w14:paraId="2B1E5123">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系统支持人脸、密码、卡片一种或者多种组合认证方式</w:t>
            </w:r>
          </w:p>
          <w:p w14:paraId="4CD2D72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系统能够根据持卡人注册的权限对每个门的通行/禁行人员进行设置；支持按时段设置通行权限，同时支持对无权限人员进行临时授权。</w:t>
            </w:r>
          </w:p>
          <w:p w14:paraId="48899BBF">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系统支持设置应急卡，实现当系统出故障时临时开门。</w:t>
            </w:r>
          </w:p>
          <w:p w14:paraId="0300285D">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系统可对不同角色的操作</w:t>
            </w:r>
            <w:r>
              <w:rPr>
                <w:rFonts w:hint="eastAsia" w:ascii="宋体" w:hAnsi="宋体" w:eastAsia="Calibri" w:cs="宋体"/>
                <w:bCs/>
                <w:color w:val="auto"/>
                <w:sz w:val="24"/>
                <w:szCs w:val="24"/>
                <w:highlight w:val="white"/>
                <w:lang w:val="zh-CN" w:eastAsia="zh-CN"/>
              </w:rPr>
              <w:t>人</w:t>
            </w:r>
            <w:r>
              <w:rPr>
                <w:rFonts w:ascii="宋体" w:hAnsi="宋体" w:eastAsia="Calibri" w:cs="宋体"/>
                <w:bCs/>
                <w:color w:val="auto"/>
                <w:sz w:val="24"/>
                <w:szCs w:val="24"/>
                <w:highlight w:val="white"/>
                <w:lang w:val="zh-CN" w:eastAsia="zh-CN"/>
              </w:rPr>
              <w:t xml:space="preserve">员进行权限设置：灵活的权限管理、时间段权限管理功能；系统对管理权限进行分级管理，使系统具有更高的保密性、安全性； </w:t>
            </w:r>
          </w:p>
          <w:p w14:paraId="4F4C472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系统提供丰富详细的设备信息、人员信息、进出信息、请假记录等信息管理和统计分析报表，支持各种查询方式，满足用户进行管理分析需求； </w:t>
            </w:r>
          </w:p>
          <w:p w14:paraId="62C49B41">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系统对管理权限进行分级管理，使系统具有更高的保密性、安全性；</w:t>
            </w:r>
          </w:p>
          <w:p w14:paraId="678C958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日志管理功能完善，可记录下所有的操作行为和系统状态，供管理和取证之用。</w:t>
            </w:r>
          </w:p>
          <w:p w14:paraId="6C0F2B1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宿舍管理系统</w:t>
            </w:r>
          </w:p>
          <w:p w14:paraId="60731EA9">
            <w:pPr>
              <w:pStyle w:val="54"/>
              <w:ind w:firstLine="0" w:firstLineChars="0"/>
              <w:rPr>
                <w:rFonts w:ascii="宋体" w:hAnsi="宋体" w:eastAsia="Calibri" w:cs="宋体"/>
                <w:bCs/>
                <w:color w:val="auto"/>
                <w:sz w:val="24"/>
                <w:szCs w:val="24"/>
                <w:highlight w:val="white"/>
                <w:lang w:val="zh-CN" w:eastAsia="zh-CN"/>
              </w:rPr>
            </w:pPr>
            <w:bookmarkStart w:id="37" w:name="OLE_LINK7"/>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基础信息设置 </w:t>
            </w:r>
          </w:p>
          <w:p w14:paraId="40999F8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生活区管理 生活区管理可以针对生活区信息添加、修改、删除。其中报表包含如下字段，生活区名称。</w:t>
            </w:r>
          </w:p>
          <w:p w14:paraId="0BBA177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宿舍寝室管理 宿舍寝室管理可以通过生活区、宿舍楼宇筛选查询，可以针对宿舍信息进行批量添加、添加宿舍楼宇、导入。其中报表包含如下字段，宿舍名称、宿舍通知、操作。</w:t>
            </w:r>
          </w:p>
          <w:p w14:paraId="1F40413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宿舍归寝时段设置 宿舍归寝时段设置可以针对归寝时段进行添加年级时段、设置时段、复制时段、删除。其中报表包含如下字段名称、操作、离寝时段1、归寝时段1、离寝时段2、归寝时段2、离寝时段3、归寝时段3、启用离寝、启用第二时段、启用第三时段、启用跨天。</w:t>
            </w:r>
          </w:p>
          <w:p w14:paraId="5369B3A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宿舍寝室详细信息 宿舍寝室详细信息可以通过宿舍楼宇、房间名称、房间总面积、更多条件、房间朝向、收费标准筛选条件查询，可以针对宿舍信息进行批量修改信息、图片管理、导入。其中报表包含如下字段，房间、房间总面积(m²) 、房间朝向、收费标准 、自助选床功能、独立床位、临街、阳台、独立卫生间、一体化洗漱台、洗澡间、电表、水表、网络、空调、热水、备注。</w:t>
            </w:r>
          </w:p>
          <w:p w14:paraId="02BA932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宿舍寝室评比 宿舍寝室评比可以通过宿舍楼宇、房间名称筛选条件查询。可以针对宿舍进行批量宿舍评比。其中报表包含如下字段，房间、综合评价、评语。</w:t>
            </w:r>
          </w:p>
          <w:p w14:paraId="35D3874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设备管理 </w:t>
            </w:r>
          </w:p>
          <w:p w14:paraId="64BA57F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管理：设备管理菜单可以通过区域、设备名称、SN、IP筛选条件查询。可以针对设备信息进行添加、修改、删除。其中报表包含如下字段，设备序号、设备名称、设备类型、网络IP、子网掩码、网关、是否在用、仅下载有权限人员、请假生效、大数据推送投屏、开启推送。</w:t>
            </w:r>
          </w:p>
          <w:p w14:paraId="5CD2471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控制台：可以通过区域、设备名称、SN、IP、全部、在线、离线状态筛选条件查询，可以针对设备进行设置参数、下发全部档案、下发增量档案、下发档案、清空全部档案、更多功能、查看下发报错、查看任务日志。</w:t>
            </w:r>
          </w:p>
          <w:p w14:paraId="5F26330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报表管理包含如下字段，设备编号、设备名称、固件版本、设备实际人员数量、IP、状态、未同步档案、最后通讯指令、最后通讯结果、最后通讯时间、心跳时间、下载进度、操作信息。</w:t>
            </w:r>
          </w:p>
          <w:p w14:paraId="631A1E3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通行策略 </w:t>
            </w:r>
          </w:p>
          <w:p w14:paraId="02412A2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通行时段设置 通行时段设置菜单可以通过时段类别筛选条件查询，可以针对时段进行新增、编辑、删除。其中报表包含如下字段，通行时段编号、通行时段名称、星期启用、星期一、星期二、星期三、星期四、星期五、星期六、星期日、日期起始启用 、起始日期 、结束日期、通行时段1、通行时段2、通行时段3等信息。</w:t>
            </w:r>
          </w:p>
          <w:p w14:paraId="27F20D0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在线核验 </w:t>
            </w:r>
          </w:p>
          <w:p w14:paraId="431AA62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按身份授权：按身份授权可以通过身份查询已绑定时段。可以针对通行时段进行绑定身份与设备。其中报表包含如下字段，操作、通行时段编号、通行时段名称、星期启用、日期启用、起始日期、结束日期、通行时段、链接下一时段编号信息。</w:t>
            </w:r>
          </w:p>
          <w:p w14:paraId="19D65B0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临时授权：临时授权可以通过部门、账号、姓名筛选条件查询，可以针对人员信息和设备进行选择、撤销选择、按星期、按日期、开始日期、结束日期、时段、授权。</w:t>
            </w:r>
          </w:p>
          <w:p w14:paraId="5DBDE33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在线授权查询:在线授权查询报表可以通过部门、帐号/姓名、身份、通行时段、区域、教学楼、设备筛选条件查询，其中报表包含如下字段，部门、帐号、姓名、设备编号、设备名称、通行时段、通行日期、通行时间信息，支持导出Excel表格。</w:t>
            </w:r>
          </w:p>
          <w:p w14:paraId="49C71C0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脱机授权 </w:t>
            </w:r>
          </w:p>
          <w:p w14:paraId="614BA0C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按通道授权：可以通过部门、设备名称、账号、姓名筛选条件查询，可以针对设备进行授权、复制权限。</w:t>
            </w:r>
          </w:p>
          <w:p w14:paraId="377EB70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按人授权：可以通过部门、帐号/姓名、身份、设备名称筛选条件查询，可以针对人员进</w:t>
            </w:r>
            <w:r>
              <w:rPr>
                <w:rFonts w:hint="eastAsia" w:ascii="宋体" w:hAnsi="宋体" w:eastAsia="Calibri" w:cs="宋体"/>
                <w:bCs/>
                <w:color w:val="auto"/>
                <w:sz w:val="24"/>
                <w:szCs w:val="24"/>
                <w:highlight w:val="white"/>
                <w:lang w:val="zh-CN" w:eastAsia="zh-CN"/>
              </w:rPr>
              <w:t>行</w:t>
            </w:r>
            <w:r>
              <w:rPr>
                <w:rFonts w:ascii="宋体" w:hAnsi="宋体" w:eastAsia="Calibri" w:cs="宋体"/>
                <w:bCs/>
                <w:color w:val="auto"/>
                <w:sz w:val="24"/>
                <w:szCs w:val="24"/>
                <w:highlight w:val="white"/>
                <w:lang w:val="zh-CN" w:eastAsia="zh-CN"/>
              </w:rPr>
              <w:t>设置通行权限。其中报表包含如下字段，设备名称、部门、帐号、姓名、设备名称信息。</w:t>
            </w:r>
          </w:p>
          <w:p w14:paraId="3E44B80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导入授权：可</w:t>
            </w:r>
            <w:r>
              <w:rPr>
                <w:rFonts w:hint="eastAsia" w:ascii="宋体" w:hAnsi="宋体" w:eastAsia="Calibri" w:cs="宋体"/>
                <w:bCs/>
                <w:color w:val="auto"/>
                <w:sz w:val="24"/>
                <w:szCs w:val="24"/>
                <w:highlight w:val="white"/>
                <w:lang w:val="zh-CN" w:eastAsia="zh-CN"/>
              </w:rPr>
              <w:t>以</w:t>
            </w:r>
            <w:r>
              <w:rPr>
                <w:rFonts w:ascii="宋体" w:hAnsi="宋体" w:eastAsia="Calibri" w:cs="宋体"/>
                <w:bCs/>
                <w:color w:val="auto"/>
                <w:sz w:val="24"/>
                <w:szCs w:val="24"/>
                <w:highlight w:val="white"/>
                <w:lang w:val="zh-CN" w:eastAsia="zh-CN"/>
              </w:rPr>
              <w:t>通过部门、帐号、姓名、身份、通行时段筛选条件查询，可以针对授权进行追加导入、覆盖导入、全部重导、所有设备可通行、所有设备禁止通行。其中报表包含如下字段，部门、帐号 、姓名、设备名称、通行时段信息。</w:t>
            </w:r>
          </w:p>
          <w:p w14:paraId="2645907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脱机授权查询：可</w:t>
            </w:r>
            <w:r>
              <w:rPr>
                <w:rFonts w:hint="eastAsia" w:ascii="宋体" w:hAnsi="宋体" w:eastAsia="Calibri" w:cs="宋体"/>
                <w:bCs/>
                <w:color w:val="auto"/>
                <w:sz w:val="24"/>
                <w:szCs w:val="24"/>
                <w:highlight w:val="white"/>
                <w:lang w:val="zh-CN" w:eastAsia="zh-CN"/>
              </w:rPr>
              <w:t>以</w:t>
            </w:r>
            <w:r>
              <w:rPr>
                <w:rFonts w:ascii="宋体" w:hAnsi="宋体" w:eastAsia="Calibri" w:cs="宋体"/>
                <w:bCs/>
                <w:color w:val="auto"/>
                <w:sz w:val="24"/>
                <w:szCs w:val="24"/>
                <w:highlight w:val="white"/>
                <w:lang w:val="zh-CN" w:eastAsia="zh-CN"/>
              </w:rPr>
              <w:t>通过部门、工/学号、姓名、导出、身份、通行时段、区域、设备筛选条件查询，其中报表包含如下字段，部门、帐号、姓名、设备名称、通行时段信息。支持导出Excel表格。</w:t>
            </w:r>
          </w:p>
          <w:p w14:paraId="17E02DE3">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宿舍入住管理 </w:t>
            </w:r>
          </w:p>
          <w:p w14:paraId="2F183CD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入住分配寝室 入住分配寝室菜单可以通过生活区、楼宇、姓名、房间号、账号、性别、身份、民族筛选条件查询，可以针对人员进行单楼重新导入、全部重导、拖拽入住、设置备注。其中报表包含如下字段，帐号、姓名、性别、民族、班级、宿舍、备注。</w:t>
            </w:r>
          </w:p>
          <w:p w14:paraId="33906EC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调换/互换寝室 调换/互换寝室可以通过生活区、楼宇、姓名、房间号筛选条件查询，可以针对入住信息拖拽互换寝室。</w:t>
            </w:r>
          </w:p>
          <w:p w14:paraId="5264E57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人员退寝办理 人员退寝办理菜单可以通过生活区/楼宇/楼层/房间/床、学区/院系/班级、账号、姓名、性别、身份、民族筛选条件筛选，可以针对人员信息进行退寝、批量退寝导入。其中报表包含如下字段，帐号姓名、性别、班级/部门 、宿舍、身份、联系电话、民族。</w:t>
            </w:r>
          </w:p>
          <w:p w14:paraId="28A9934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入住人员查询 入住人员查询菜单可以通过生活区/楼宇/楼层/房间/床、学区/院系/班级、账号、姓名、性别、身份、状态、民族筛选条件查询，其中报表包含如下字段，帐号、姓名、性别、班级/部门、宿舍、身份、联系电话、民族。</w:t>
            </w:r>
          </w:p>
          <w:p w14:paraId="7876842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床位情况查询 床位情况查询菜单可以通过生活区/楼宇/楼层/房间/床、学区/院系/班级、床位状态筛选条件查询，其中报表包含如下字段，生活区、宿舍楼宇、楼层、房间、床位、床位状态、帐号、姓名、有余床房间、空床位。支持导出Excel表格。</w:t>
            </w:r>
          </w:p>
          <w:p w14:paraId="263C8C9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留校情况查询 留校情况查询菜单可以通过生活区/楼宇/楼层/房间、帐号、姓名、留校状态、假期留校筛选条件查询。其中报表包含如下字段，帐号、姓名、留校时间、生活区、宿舍楼宇、楼层、房间、床位、假期留校、操作。</w:t>
            </w:r>
          </w:p>
          <w:p w14:paraId="4BE067B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人员入住时段 人员入住时段可以通过生活区/楼宇/楼层/房间/床、学区/院系/班级、帐号、姓名、状态筛选条件查询，可以针对人员进行修改入职时段。其中报表包含如下字段，帐号、姓名、部门/班级、宿舍、第一时段、第二时段、第三时段。</w:t>
            </w:r>
          </w:p>
          <w:p w14:paraId="4804014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宿舍操作记录查询 宿舍操作记录查询菜单可以通过生活区/楼宇/楼层/房间、操作人、账号、姓名、操作筛选条件查询，可以针对操作记录进行添加附件。其中报表包含如下字段，时间、操作员、操作行为、说明、操作。</w:t>
            </w:r>
          </w:p>
          <w:p w14:paraId="3889E6C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 xml:space="preserve">请假管理  </w:t>
            </w:r>
          </w:p>
          <w:p w14:paraId="1D542FE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审批流程：请假和公出支持分别设置审批流程，可以根据实际流程设置审批人、经办人、抄送人等节点；</w:t>
            </w:r>
          </w:p>
          <w:p w14:paraId="2E17945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请假公出查询：可以按班级、人员、日期、请假公出类别、原由、审批状态等条件查询请假公出信息。可以查询包括请假人的部门、账号、姓名、性别、身份、区域、起始日期、结束日期、结束时间、时长、申请原因、申请时间</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审批意见、审批时间、审批人、录入人、离开时间、返回时间等信息，支持导出请假公出明细信息表格。</w:t>
            </w:r>
          </w:p>
          <w:p w14:paraId="0CD5779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补填管理  </w:t>
            </w:r>
          </w:p>
          <w:p w14:paraId="764AE0D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审批流程：补填考勤设置审批流程，可以根据实际流程设置审批人、经办人、抄送人等节点；</w:t>
            </w:r>
          </w:p>
          <w:p w14:paraId="626737D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补填记录查询：可以查询补填考勤人员的部门、姓名、工号、补填考勤信息、申请原因、申请时间、审批状态、审批意见、审批时间、审批人、录入人等信息，支持导出补填记录报表。</w:t>
            </w:r>
          </w:p>
          <w:p w14:paraId="517C619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统计分析 ：</w:t>
            </w:r>
          </w:p>
          <w:p w14:paraId="0EB2AA6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识别记录 可以通过部门、账号、姓名、日期、时间、身份、区域、设备、方向、状态、显示所有打卡足迹、显示温度异常筛选条件查询，其中报表包含如下字段，抓拍照片、头像、相似度、帐号、姓名、部门、通行日期、通行时间、身份、体温、识别描述、方向、卡号、处理日期、处理时间信息，支持导出Excel表格。</w:t>
            </w:r>
          </w:p>
          <w:p w14:paraId="2523B4D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识别统计 ：可以通过部门、账号、姓名、时间、身份、方向、状态筛选条件查询，其中报表包含如下字段，帐号、姓名、部门、身份、首次通行时间、最后通行时间、测温最高温度、通行次数信息，支持导出Excel表格。</w:t>
            </w:r>
          </w:p>
          <w:p w14:paraId="5E78C14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今日情况查询 </w:t>
            </w:r>
          </w:p>
          <w:p w14:paraId="2B2585C2">
            <w:pPr>
              <w:pStyle w:val="54"/>
              <w:ind w:firstLine="0" w:firstLineChars="0"/>
              <w:rPr>
                <w:rFonts w:ascii="宋体" w:hAnsi="宋体" w:eastAsia="Calibri" w:cs="宋体"/>
                <w:bCs/>
                <w:color w:val="auto"/>
                <w:sz w:val="24"/>
                <w:szCs w:val="24"/>
                <w:highlight w:val="white"/>
                <w:lang w:val="zh-CN" w:eastAsia="zh-CN"/>
              </w:rPr>
            </w:pPr>
          </w:p>
          <w:p w14:paraId="735D01B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信息发布管理系统</w:t>
            </w:r>
          </w:p>
          <w:p w14:paraId="67F0A26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首页展示 支持使用流程快捷菜单功能，可以按步骤进行节目制作；</w:t>
            </w:r>
          </w:p>
          <w:p w14:paraId="48CBD67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平台支持</w:t>
            </w:r>
            <w:r>
              <w:rPr>
                <w:rFonts w:hint="eastAsia" w:ascii="宋体" w:hAnsi="宋体" w:cs="宋体"/>
                <w:bCs/>
                <w:color w:val="auto"/>
                <w:sz w:val="24"/>
                <w:szCs w:val="24"/>
                <w:highlight w:val="white"/>
                <w:lang w:eastAsia="zh-CN"/>
              </w:rPr>
              <w:t>A</w:t>
            </w:r>
            <w:r>
              <w:rPr>
                <w:rFonts w:ascii="宋体" w:hAnsi="宋体" w:eastAsia="Calibri" w:cs="宋体"/>
                <w:bCs/>
                <w:color w:val="auto"/>
                <w:sz w:val="24"/>
                <w:szCs w:val="24"/>
                <w:highlight w:val="white"/>
                <w:lang w:val="zh-CN" w:eastAsia="zh-CN"/>
              </w:rPr>
              <w:t>ndroid设备和windows设备接入，可以查看接入设备的数量，注册装填和设备在线装填等信息。</w:t>
            </w:r>
          </w:p>
          <w:p w14:paraId="03AC9E0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多用户模式</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平台支持根据角色创建不</w:t>
            </w:r>
            <w:r>
              <w:rPr>
                <w:rFonts w:hint="eastAsia" w:ascii="宋体" w:hAnsi="宋体" w:eastAsia="Calibri" w:cs="宋体"/>
                <w:bCs/>
                <w:color w:val="auto"/>
                <w:sz w:val="24"/>
                <w:szCs w:val="24"/>
                <w:highlight w:val="white"/>
                <w:lang w:val="zh-CN" w:eastAsia="zh-CN"/>
              </w:rPr>
              <w:t>同</w:t>
            </w:r>
            <w:r>
              <w:rPr>
                <w:rFonts w:ascii="宋体" w:hAnsi="宋体" w:eastAsia="Calibri" w:cs="宋体"/>
                <w:bCs/>
                <w:color w:val="auto"/>
                <w:sz w:val="24"/>
                <w:szCs w:val="24"/>
                <w:highlight w:val="white"/>
                <w:lang w:val="zh-CN" w:eastAsia="zh-CN"/>
              </w:rPr>
              <w:t>用户并分配权限，实现多级管理。</w:t>
            </w:r>
          </w:p>
          <w:p w14:paraId="0D29914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设备维护</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平台支持查看设备的运行状态，磁盘空间使用状态等信息；</w:t>
            </w:r>
          </w:p>
          <w:p w14:paraId="51CC558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平台支持远程控制终端设备，可以发送重启，回收截屏，调整声音大小，在线升级，回收设备日志等命令；</w:t>
            </w:r>
          </w:p>
          <w:p w14:paraId="20DBEA8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支持远程切换设备播放内容，工作场景；</w:t>
            </w:r>
          </w:p>
          <w:p w14:paraId="2B90B3C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支持在线激活功能。"资源管理 "支持上传图片、视频、pdf等文件；</w:t>
            </w:r>
          </w:p>
          <w:p w14:paraId="57A365D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支持文件审核功能，防止随意上传无用资源。"</w:t>
            </w:r>
          </w:p>
          <w:p w14:paraId="2565D4F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节目管理 "支持互动按钮、3D效果、轮播、网页、日期、天气、倒计时、数字时钟、字幕等组件，可以自定义拖拽各组件的位置，支持图片视频混排播放。</w:t>
            </w:r>
          </w:p>
          <w:p w14:paraId="3E5139A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支持多节目互动功能，实现节目间跳转切换；支持在平台端和设备端执行切换操作；</w:t>
            </w:r>
          </w:p>
          <w:p w14:paraId="75BE9CB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支持节目预览功能，编排后可以通过预览查看效果；</w:t>
            </w:r>
          </w:p>
          <w:p w14:paraId="574746C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支持插播功能实现定时播放指定内容，播放时间结束后，切回原节目。</w:t>
            </w:r>
          </w:p>
          <w:p w14:paraId="7F169F5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应用切换</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支持多应用切换功能，可以实现班牌，信息发布，会议，宿舍，第三方程序等应用的切换；支持平台端远程控制切换终端设备上的应用。</w:t>
            </w:r>
          </w:p>
          <w:p w14:paraId="405FC49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场景管理</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系统支持设置根据不同应用设置多种场景，实现根据需要快速切换到对应节目或应用。</w:t>
            </w:r>
          </w:p>
          <w:p w14:paraId="5ED0647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会议模式 支持会议模式，可以自定义会议模板，与会议预约功能联合使用，实现根据不同会议切换需要的场景。</w:t>
            </w:r>
          </w:p>
          <w:p w14:paraId="7307EFF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计划任务</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支持计划任务功能，实现按设定时间自动切换节目或使用场景的功能。</w:t>
            </w:r>
          </w:p>
          <w:p w14:paraId="1B827BB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访客管理系统</w:t>
            </w:r>
          </w:p>
          <w:p w14:paraId="29831AA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访客登记一览表可以通过日期、进</w:t>
            </w:r>
            <w:r>
              <w:rPr>
                <w:rFonts w:hint="eastAsia" w:ascii="宋体" w:hAnsi="宋体" w:cs="宋体"/>
                <w:bCs/>
                <w:color w:val="auto"/>
                <w:sz w:val="24"/>
                <w:szCs w:val="24"/>
                <w:highlight w:val="white"/>
                <w:lang w:eastAsia="zh-CN"/>
              </w:rPr>
              <w:t>校</w:t>
            </w:r>
            <w:r>
              <w:rPr>
                <w:rFonts w:ascii="宋体" w:hAnsi="宋体" w:eastAsia="Calibri" w:cs="宋体"/>
                <w:bCs/>
                <w:color w:val="auto"/>
                <w:sz w:val="24"/>
                <w:szCs w:val="24"/>
                <w:highlight w:val="white"/>
                <w:lang w:val="zh-CN" w:eastAsia="zh-CN"/>
              </w:rPr>
              <w:t>类别、访单状态、证件号、访客姓名、车牌号筛选条件查询，可以针对访客记录进行添加、审批、重新下发、取消预约、查看随行人员、导入访客功能，期中报表包含如下字段，下发状态、提交时间、预约日期、来访时间、有效期止、来访人员、被访人、发起方式、访单号、来访事由、来访人数、通行限次(0不限制)、进入时间、离开时间、进</w:t>
            </w:r>
            <w:r>
              <w:rPr>
                <w:rFonts w:hint="eastAsia" w:ascii="宋体" w:hAnsi="宋体" w:cs="宋体"/>
                <w:bCs/>
                <w:color w:val="auto"/>
                <w:sz w:val="24"/>
                <w:szCs w:val="24"/>
                <w:highlight w:val="white"/>
                <w:lang w:eastAsia="zh-CN"/>
              </w:rPr>
              <w:t>校</w:t>
            </w:r>
            <w:r>
              <w:rPr>
                <w:rFonts w:ascii="宋体" w:hAnsi="宋体" w:eastAsia="Calibri" w:cs="宋体"/>
                <w:bCs/>
                <w:color w:val="auto"/>
                <w:sz w:val="24"/>
                <w:szCs w:val="24"/>
                <w:highlight w:val="white"/>
                <w:lang w:val="zh-CN" w:eastAsia="zh-CN"/>
              </w:rPr>
              <w:t>类别、审批状态、审批人 、车牌号、操作人员、登记设备、备注、人脸照片、健康码图片、行程码图片、核酸图片、证件号、姓名、电话、公司、工号、姓名、电话。支持导出Excel表格。</w:t>
            </w:r>
          </w:p>
          <w:p w14:paraId="2118CF2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记录报表可以通过日期范围、访客卡帐号、访客卡名称、时间、身份、设备筛选条件查询，其中报表包含如下字段，抓拍照片、头像、访客卡帐号、访客卡名称、通行日期、通行时间、身份、识别描述、设备名称、方向、回收日期、回收时间。支持导出Excel表格。</w:t>
            </w:r>
          </w:p>
          <w:p w14:paraId="4E030D6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字典管理可以通过字典类别筛选查询，可以针对类别进行添加、修改、删除。</w:t>
            </w:r>
          </w:p>
          <w:p w14:paraId="5325AF1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访客管理</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访客卡办理 访客卡办理可以通过访客卡帐号、访客卡名称、卡号筛选条件查询，可以针对访客卡记录进行添加、注销、批量发卡。其中报表包含如下字段，访客卡帐号、访客卡名称、有效期、卡状态、卡号。</w:t>
            </w:r>
          </w:p>
          <w:p w14:paraId="2970742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设备管理</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设备添加 设备添加可以通过区域、设备名称筛选条件查询，可以针对报表进行添加、修改、删除。其中报表包含如下字段，设备编号、设备名称、设备IP、是否使用、工作模式。</w:t>
            </w:r>
          </w:p>
          <w:p w14:paraId="22AC72B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设备控制台 设备控制台可以通过部门、设备编号、名称、IP、关联信息筛选条件查询，可以针对设备进行回收截屏、设置时间、回收日志、下载日志、更换启动图片、在线升级、重启设备、关闭设备、初始化设备、查看截图。</w:t>
            </w:r>
          </w:p>
          <w:p w14:paraId="590D9FF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通行策略</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访客通行组 访客通行组可以通过通行组类别、通行组名称筛选条件查询，可以针对通行组添加、修改、删除。其中报表包含如下字段，通行组类别、通行组名称、备注。</w:t>
            </w:r>
          </w:p>
          <w:p w14:paraId="4975C0C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违规登记</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访客黑名单 访客黑名单可以通过姓名、身份证号、电话筛选条件查询，可以针对访客黑名单信息进行添加、修改、删除、导出。其中报表包含如下字段，姓名、性别、身份证号、操作员、提交日期。</w:t>
            </w:r>
          </w:p>
          <w:p w14:paraId="1B82D22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车辆黑名单</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可以针对车辆黑名单信息添加、删除。其中报表包含如下字段，车牌号、操作员、是否加入黑名单、联系电话、修改日期、原因。</w:t>
            </w:r>
          </w:p>
          <w:p w14:paraId="007A9E0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违规违纪 可以针对违规违纪信息添加、删除。其中报表包含如下字段，车牌号、是否违规违纪、违规时间、原因。</w:t>
            </w:r>
          </w:p>
          <w:p w14:paraId="05F6E0D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访客管理系统</w:t>
            </w:r>
            <w:r>
              <w:rPr>
                <w:rFonts w:hint="eastAsia" w:ascii="宋体" w:hAnsi="宋体" w:eastAsia="Calibri" w:cs="宋体"/>
                <w:bCs/>
                <w:color w:val="auto"/>
                <w:sz w:val="24"/>
                <w:szCs w:val="24"/>
                <w:highlight w:val="white"/>
                <w:lang w:val="zh-CN" w:eastAsia="zh-CN"/>
              </w:rPr>
              <w:t>与现有的学校的人脸识别通道设备及车辆道闸兼容，能够实现数据同步及预约出入数据的校验放行。</w:t>
            </w:r>
          </w:p>
          <w:bookmarkEnd w:id="37"/>
          <w:p w14:paraId="321ED7A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智慧圈存管理系统</w:t>
            </w:r>
          </w:p>
          <w:p w14:paraId="09F0BD2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（1）圈存管理是银行系统在校园端设置银行前置服务器，采用双网卡进行前置双网隔离2个逻辑网段，隔离校园网内部对银行网络的访问。 </w:t>
            </w:r>
          </w:p>
          <w:p w14:paraId="389BE85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（2）支持支付宝、微信和银联卡转账功能。</w:t>
            </w:r>
          </w:p>
          <w:p w14:paraId="35AC964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（3）为满足不同用户的需要，系统应有自助圈存和自动圈存两种转账方式。</w:t>
            </w:r>
          </w:p>
          <w:p w14:paraId="13C24F3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（4）要求快速、安全的实现向一卡通账户单向实时转账，且由于各种情况出现日圈存不到账的几率保证在0.01%以下，并隔日对账后实现100%的到账率。</w:t>
            </w:r>
          </w:p>
          <w:p w14:paraId="72FD12F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（5）可以提供自助终端、WEB、手机等多种圈存形式。</w:t>
            </w:r>
          </w:p>
          <w:p w14:paraId="250D060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（6）在管理中心可查询转账明细，统计总额，并导出相关数据报表。</w:t>
            </w:r>
          </w:p>
          <w:p w14:paraId="0DAF157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（7）提供完善的三方（银行、学校、用户）对账方式</w:t>
            </w:r>
          </w:p>
          <w:p w14:paraId="090682E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物联网管理平台</w:t>
            </w:r>
          </w:p>
          <w:p w14:paraId="574A649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管理：物联网智慧中控平台可以监控和管理教室内的各种设备，如投影仪、电子白板、温度控制器等。教师和管理员可以通过平台实时监测设备的状态、进行远程控制和故障排除，提高设备的可靠性和使用效率。</w:t>
            </w:r>
          </w:p>
          <w:p w14:paraId="78F91D7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能耗管理：平台可以监测和控制教室的能源消耗，例如电力、照明和空调等。通过数据分析和智能控制，可以优化能源使用，节约能源成本，并提供可持续的环境。</w:t>
            </w:r>
          </w:p>
          <w:p w14:paraId="0BFB2F7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数据分析和报告：平台可以收集和分析教室内各种传感器的数据，生成报告和统计信息。这些数据可以用于评估教学效果、识别问题和改进教学方法。教师和管理员可以利用这些数据做出更明智的决策和改进教学质量。</w:t>
            </w:r>
          </w:p>
          <w:p w14:paraId="2E92D60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安全监控：平台可以配备安全监控系统，包括视频监控和入侵</w:t>
            </w:r>
            <w:r>
              <w:rPr>
                <w:rFonts w:hint="eastAsia" w:ascii="宋体" w:hAnsi="宋体" w:eastAsia="Calibri" w:cs="宋体"/>
                <w:bCs/>
                <w:color w:val="auto"/>
                <w:sz w:val="24"/>
                <w:szCs w:val="24"/>
                <w:highlight w:val="white"/>
                <w:lang w:val="zh-CN" w:eastAsia="zh-CN"/>
              </w:rPr>
              <w:t>监测</w:t>
            </w:r>
            <w:r>
              <w:rPr>
                <w:rFonts w:ascii="宋体" w:hAnsi="宋体" w:eastAsia="Calibri" w:cs="宋体"/>
                <w:bCs/>
                <w:color w:val="auto"/>
                <w:sz w:val="24"/>
                <w:szCs w:val="24"/>
                <w:highlight w:val="white"/>
                <w:lang w:val="zh-CN" w:eastAsia="zh-CN"/>
              </w:rPr>
              <w:t>等。这可以提供对教室安全状况的实时监测，并及时采取行动以确保学生和教职员工的安全。</w:t>
            </w:r>
          </w:p>
        </w:tc>
        <w:tc>
          <w:tcPr>
            <w:tcW w:w="1418" w:type="dxa"/>
            <w:vAlign w:val="center"/>
          </w:tcPr>
          <w:p w14:paraId="709CEBD2">
            <w:pPr>
              <w:jc w:val="center"/>
              <w:rPr>
                <w:rFonts w:ascii="Calibri" w:hAnsi="Calibri"/>
                <w:color w:val="auto"/>
              </w:rPr>
            </w:pPr>
            <w:r>
              <w:rPr>
                <w:rFonts w:ascii="Calibri" w:hAnsi="Calibri"/>
                <w:color w:val="auto"/>
              </w:rPr>
              <w:t>1套</w:t>
            </w:r>
          </w:p>
        </w:tc>
      </w:tr>
      <w:tr w14:paraId="4356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EF452C0">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5</w:t>
            </w:r>
          </w:p>
        </w:tc>
        <w:tc>
          <w:tcPr>
            <w:tcW w:w="1559" w:type="dxa"/>
            <w:vAlign w:val="center"/>
          </w:tcPr>
          <w:p w14:paraId="7D589C6D">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多功能识别一体机</w:t>
            </w:r>
          </w:p>
        </w:tc>
        <w:tc>
          <w:tcPr>
            <w:tcW w:w="5528" w:type="dxa"/>
            <w:vAlign w:val="center"/>
          </w:tcPr>
          <w:p w14:paraId="277AE47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为了兼容现有的校园卡和业务场景实际需求，卡务系统要求</w:t>
            </w:r>
            <w:r>
              <w:rPr>
                <w:rFonts w:hint="eastAsia" w:ascii="宋体" w:hAnsi="宋体" w:cs="宋体"/>
                <w:bCs/>
                <w:color w:val="auto"/>
                <w:sz w:val="24"/>
                <w:szCs w:val="24"/>
                <w:highlight w:val="white"/>
                <w:lang w:eastAsia="zh-CN"/>
              </w:rPr>
              <w:t>供应商</w:t>
            </w:r>
            <w:r>
              <w:rPr>
                <w:rFonts w:ascii="宋体" w:hAnsi="宋体" w:eastAsia="Calibri" w:cs="宋体"/>
                <w:bCs/>
                <w:color w:val="auto"/>
                <w:sz w:val="24"/>
                <w:szCs w:val="24"/>
                <w:highlight w:val="white"/>
                <w:lang w:val="zh-CN" w:eastAsia="zh-CN"/>
              </w:rPr>
              <w:t>定制化一款8寸触摸屏，支持校园卡、二维码等介质的多功能识别一体机；</w:t>
            </w:r>
          </w:p>
          <w:p w14:paraId="5D6E5F8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处理器：双核 ARM Cortex-A7 and RISC-V MCU</w:t>
            </w:r>
          </w:p>
          <w:p w14:paraId="0CBB845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操作系统：Linux操作系统</w:t>
            </w:r>
          </w:p>
          <w:p w14:paraId="19D4F66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存储：1GB内存 + 8GB eMMC </w:t>
            </w:r>
          </w:p>
          <w:p w14:paraId="34D5F04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摄像头：双目，210万有效像素，1920*1080</w:t>
            </w:r>
          </w:p>
          <w:p w14:paraId="61CA80E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成像器件 1/2.8" Progressive Scan CMOS</w:t>
            </w:r>
          </w:p>
          <w:p w14:paraId="5D29596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镜头 4.32mm 焦距</w:t>
            </w:r>
          </w:p>
          <w:p w14:paraId="654E2EC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4G模块（选配）： 支持LTE-FDD、LTE-TDD网络制式，最大上行速率5Mbps，最大下行速率10Mbps</w:t>
            </w:r>
          </w:p>
          <w:p w14:paraId="6F8C26A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蓝牙模块（选配）： 8DPSK,</w:t>
            </w:r>
            <w:r>
              <w:rPr>
                <w:rFonts w:ascii="宋体" w:hAnsi="宋体" w:eastAsia="Calibri" w:cs="宋体"/>
                <w:bCs/>
                <w:color w:val="auto"/>
                <w:sz w:val="24"/>
                <w:szCs w:val="24"/>
                <w:highlight w:val="white"/>
                <w:lang w:val="zh-CN"/>
              </w:rPr>
              <w:t>π</w:t>
            </w:r>
            <w:r>
              <w:rPr>
                <w:rFonts w:ascii="宋体" w:hAnsi="宋体" w:eastAsia="Calibri" w:cs="宋体"/>
                <w:bCs/>
                <w:color w:val="auto"/>
                <w:sz w:val="24"/>
                <w:szCs w:val="24"/>
                <w:highlight w:val="white"/>
                <w:lang w:val="zh-CN" w:eastAsia="zh-CN"/>
              </w:rPr>
              <w:t>/4DQPSK, GFSK，速度区间 1Mbps-2,3Mbps</w:t>
            </w:r>
          </w:p>
          <w:p w14:paraId="330B8EA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WiFi模块： 2.4GHz WiFi SoC芯片，集成IEEE 802.11b/g/n基带和RF电路，最大54Mbps物理层速率</w:t>
            </w:r>
          </w:p>
          <w:p w14:paraId="3D90CF1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二维码模块： 640（水平） X 480（垂直）CMOS，水平视角31°，支持QR code、PDF417、EAN13、EAN8、UPC-A等各种一维码、二维码</w:t>
            </w:r>
          </w:p>
          <w:p w14:paraId="496BCEE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刷卡模块： 13．56MHz，支持Mifare S50、S70卡，ultralinght卡，NTAG卡，DESFire D21、D41、D81，非接触CPU卡，支持TK、EM 等系列 125KHz 频段卡片（IC/ID均支持）</w:t>
            </w:r>
          </w:p>
          <w:p w14:paraId="3123F1F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触屏模块(立柱式选配，壁挂式标配) ：电容式多点触控屏</w:t>
            </w:r>
          </w:p>
          <w:p w14:paraId="0F0C510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扬声器： 语音播放内容可定制</w:t>
            </w:r>
          </w:p>
          <w:p w14:paraId="554EDC9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识别高度： 1.2~2.3米，角度可调</w:t>
            </w:r>
          </w:p>
          <w:p w14:paraId="28B6D07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识别距离： 0.3~1.5米</w:t>
            </w:r>
          </w:p>
          <w:p w14:paraId="20A18D8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人脸角度：左右30度，上下30度</w:t>
            </w:r>
          </w:p>
          <w:p w14:paraId="69D17B87">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识别时间：小于0.3秒</w:t>
            </w:r>
          </w:p>
          <w:p w14:paraId="74F73C4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识别记录容量：69000</w:t>
            </w:r>
          </w:p>
          <w:p w14:paraId="717044D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人脸容量：24000</w:t>
            </w:r>
          </w:p>
          <w:p w14:paraId="669500E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电源输入：DC12V/2A</w:t>
            </w:r>
          </w:p>
          <w:p w14:paraId="3907847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网络接口：1 个 RJ45 10M / 100M 自适应以太网口</w:t>
            </w:r>
          </w:p>
          <w:p w14:paraId="4684C04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韦根接口：1 路韦根接口输出，1路韦根接口输入</w:t>
            </w:r>
          </w:p>
          <w:p w14:paraId="2D3218D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报警接口：1 路火警输入</w:t>
            </w:r>
          </w:p>
          <w:p w14:paraId="3FBC467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门磁接口：1 路门磁接口输入</w:t>
            </w:r>
          </w:p>
          <w:p w14:paraId="4C2151A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开门接口：1 路开门接口输入</w:t>
            </w:r>
          </w:p>
          <w:p w14:paraId="21905F4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门铃接口：1 路门铃接口输出</w:t>
            </w:r>
          </w:p>
          <w:p w14:paraId="7A2FF29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门锁接口：1 路门锁接口输出</w:t>
            </w:r>
          </w:p>
          <w:p w14:paraId="5F4B085D">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通讯接口：1 路RS485通讯接口</w:t>
            </w:r>
          </w:p>
          <w:p w14:paraId="64AEEB0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摄像机： 双目摄像头，定制镜头，可见光和近红外，支持活体检测</w:t>
            </w:r>
          </w:p>
          <w:p w14:paraId="69FB2F5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有效像素：210万有效像素，1920*1080</w:t>
            </w:r>
          </w:p>
          <w:p w14:paraId="3358D19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最低照度：彩色0.01Lux @F1.2(ICR);黑白0.001Lux @F1.2 (ICR)</w:t>
            </w:r>
          </w:p>
          <w:p w14:paraId="543A2336">
            <w:pPr>
              <w:pStyle w:val="54"/>
              <w:ind w:firstLine="0" w:firstLineChars="0"/>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信噪比</w:t>
            </w:r>
            <w:r>
              <w:rPr>
                <w:rFonts w:ascii="宋体" w:hAnsi="宋体" w:eastAsia="Calibri" w:cs="宋体"/>
                <w:bCs/>
                <w:color w:val="auto"/>
                <w:sz w:val="24"/>
                <w:szCs w:val="24"/>
                <w:highlight w:val="white"/>
              </w:rPr>
              <w:t>： ≥50db(AGC OFF)</w:t>
            </w:r>
          </w:p>
          <w:p w14:paraId="6A7B629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宽动态：100db，ISP算法人脸局部曝光</w:t>
            </w:r>
          </w:p>
          <w:p w14:paraId="30E849C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视频编码： H.265 Main Profile编码/H.264 BP/MP/HP编码/MJPEG编码</w:t>
            </w:r>
          </w:p>
          <w:p w14:paraId="54EFC23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双码流分辨率：主码流 50Hz: 25fps (1920×1080,1280×720)</w:t>
            </w:r>
          </w:p>
          <w:p w14:paraId="6BC29F4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60Hz: 30fps (1920×1080,1280×720)</w:t>
            </w:r>
          </w:p>
          <w:p w14:paraId="2987451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次码流 720*576，1-25(30)帧/秒/640*480，1-25(30)帧/秒                                                                                         320*240，1-25(30)帧/秒                                                                                   </w:t>
            </w:r>
          </w:p>
          <w:p w14:paraId="35D2C78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工作温度： -20℃ - 60℃</w:t>
            </w:r>
          </w:p>
          <w:p w14:paraId="32CE4EB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工作湿度： 0～90%相对湿度,无冷凝</w:t>
            </w:r>
          </w:p>
          <w:p w14:paraId="20A15E8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设备功率： 15W(MAX)</w:t>
            </w:r>
          </w:p>
          <w:p w14:paraId="4385AEFE">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盐雾等级： Rp6级</w:t>
            </w:r>
          </w:p>
          <w:p w14:paraId="751AE6A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ESD 接触±6KV，空气±8KV</w:t>
            </w:r>
          </w:p>
          <w:p w14:paraId="2053101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供电：DC12V/2A</w:t>
            </w:r>
          </w:p>
          <w:p w14:paraId="42F367C0">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防护等级：IP66</w:t>
            </w:r>
          </w:p>
          <w:p w14:paraId="303F945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屏幕规格：8寸高清IPS屏，分辨率1280*800</w:t>
            </w:r>
          </w:p>
          <w:p w14:paraId="3949C42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设备尺寸：292.24(长) * 133(宽) *22(厚)mm</w:t>
            </w:r>
          </w:p>
        </w:tc>
        <w:tc>
          <w:tcPr>
            <w:tcW w:w="1418" w:type="dxa"/>
            <w:vAlign w:val="center"/>
          </w:tcPr>
          <w:p w14:paraId="4FA8532F">
            <w:pPr>
              <w:jc w:val="center"/>
              <w:rPr>
                <w:rFonts w:ascii="Calibri" w:hAnsi="Calibri"/>
                <w:color w:val="auto"/>
              </w:rPr>
            </w:pPr>
            <w:r>
              <w:rPr>
                <w:rFonts w:ascii="Calibri" w:hAnsi="Calibri"/>
                <w:color w:val="auto"/>
              </w:rPr>
              <w:t>6台</w:t>
            </w:r>
          </w:p>
        </w:tc>
      </w:tr>
      <w:tr w14:paraId="46E1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C655459">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6</w:t>
            </w:r>
          </w:p>
        </w:tc>
        <w:tc>
          <w:tcPr>
            <w:tcW w:w="1559" w:type="dxa"/>
            <w:vAlign w:val="center"/>
          </w:tcPr>
          <w:p w14:paraId="062625D3">
            <w:pPr>
              <w:jc w:val="center"/>
              <w:rPr>
                <w:rFonts w:ascii="宋体" w:hAnsi="宋体" w:eastAsia="Calibri" w:cs="宋体"/>
                <w:bCs/>
                <w:color w:val="auto"/>
                <w:sz w:val="24"/>
                <w:szCs w:val="24"/>
                <w:highlight w:val="white"/>
                <w:lang w:val="zh-CN"/>
              </w:rPr>
            </w:pPr>
          </w:p>
          <w:p w14:paraId="449987AF">
            <w:pPr>
              <w:jc w:val="center"/>
              <w:rPr>
                <w:rFonts w:ascii="宋体" w:hAnsi="宋体" w:eastAsia="Calibri" w:cs="宋体"/>
                <w:bCs/>
                <w:color w:val="auto"/>
                <w:sz w:val="24"/>
                <w:szCs w:val="24"/>
                <w:highlight w:val="white"/>
                <w:lang w:val="zh-CN"/>
              </w:rPr>
            </w:pPr>
            <w:r>
              <w:rPr>
                <w:rFonts w:hint="eastAsia" w:ascii="宋体" w:hAnsi="宋体" w:cs="宋体"/>
                <w:spacing w:val="-3"/>
                <w:kern w:val="2"/>
                <w:sz w:val="24"/>
                <w:szCs w:val="24"/>
                <w:highlight w:val="white"/>
                <w:lang w:eastAsia="zh-CN"/>
              </w:rPr>
              <w:t>自助证卡充值管理系统</w:t>
            </w:r>
          </w:p>
          <w:p w14:paraId="79FDDD6C">
            <w:pPr>
              <w:jc w:val="center"/>
              <w:rPr>
                <w:rFonts w:ascii="宋体" w:hAnsi="宋体" w:eastAsia="Calibri" w:cs="宋体"/>
                <w:bCs/>
                <w:color w:val="auto"/>
                <w:sz w:val="24"/>
                <w:szCs w:val="24"/>
                <w:highlight w:val="white"/>
                <w:lang w:val="zh-CN"/>
              </w:rPr>
            </w:pPr>
          </w:p>
        </w:tc>
        <w:tc>
          <w:tcPr>
            <w:tcW w:w="5528" w:type="dxa"/>
            <w:vAlign w:val="center"/>
          </w:tcPr>
          <w:p w14:paraId="343C366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为了兼容现有的校园卡和业务场景实际需求，自助补卡充值管理系统要求</w:t>
            </w:r>
            <w:r>
              <w:rPr>
                <w:rFonts w:hint="eastAsia" w:ascii="宋体" w:hAnsi="宋体" w:cs="宋体"/>
                <w:bCs/>
                <w:color w:val="auto"/>
                <w:sz w:val="24"/>
                <w:szCs w:val="24"/>
                <w:highlight w:val="white"/>
                <w:lang w:eastAsia="zh-CN"/>
              </w:rPr>
              <w:t>供应商</w:t>
            </w:r>
            <w:r>
              <w:rPr>
                <w:rFonts w:ascii="宋体" w:hAnsi="宋体" w:eastAsia="Calibri" w:cs="宋体"/>
                <w:bCs/>
                <w:color w:val="auto"/>
                <w:sz w:val="24"/>
                <w:szCs w:val="24"/>
                <w:highlight w:val="white"/>
                <w:lang w:val="zh-CN" w:eastAsia="zh-CN"/>
              </w:rPr>
              <w:t>定制化</w:t>
            </w:r>
            <w:r>
              <w:rPr>
                <w:rFonts w:hint="eastAsia" w:ascii="宋体" w:hAnsi="宋体" w:eastAsia="Calibri" w:cs="宋体"/>
                <w:bCs/>
                <w:color w:val="auto"/>
                <w:sz w:val="24"/>
                <w:szCs w:val="24"/>
                <w:highlight w:val="white"/>
                <w:lang w:val="zh-CN" w:eastAsia="zh-CN"/>
              </w:rPr>
              <w:t>开</w:t>
            </w:r>
            <w:r>
              <w:rPr>
                <w:rFonts w:ascii="宋体" w:hAnsi="宋体" w:eastAsia="Calibri" w:cs="宋体"/>
                <w:bCs/>
                <w:color w:val="auto"/>
                <w:sz w:val="24"/>
                <w:szCs w:val="24"/>
                <w:highlight w:val="white"/>
                <w:lang w:val="zh-CN" w:eastAsia="zh-CN"/>
              </w:rPr>
              <w:t>发，开发内容包含自助补卡一卡机和自助补卡充值前端管理系统。</w:t>
            </w:r>
          </w:p>
          <w:p w14:paraId="19DFE02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自助补卡一卡机；</w:t>
            </w:r>
          </w:p>
          <w:p w14:paraId="06BF74F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主机：内嵌主频≥2.41GHz工业级双核，一個 PCI v2.2 插槽，一個迷你 PCI Express 插槽，（支持 mSATA 和 USB2.0，mSATA 与 SATA2 共享相同的信号两个 SATA 3.0Gb/s 連接6个COM口，4个USB口，10/100M 自适应网卡；声卡、显卡、网卡集成。 </w:t>
            </w:r>
          </w:p>
          <w:p w14:paraId="357C652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内存：≥4G </w:t>
            </w:r>
          </w:p>
          <w:p w14:paraId="004B690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固态硬盘：</w:t>
            </w:r>
            <w:bookmarkStart w:id="38" w:name="OLE_LINK2"/>
            <w:r>
              <w:rPr>
                <w:rFonts w:ascii="宋体" w:hAnsi="宋体" w:eastAsia="Calibri" w:cs="宋体"/>
                <w:bCs/>
                <w:color w:val="auto"/>
                <w:sz w:val="24"/>
                <w:szCs w:val="24"/>
                <w:highlight w:val="white"/>
                <w:lang w:val="zh-CN" w:eastAsia="zh-CN"/>
              </w:rPr>
              <w:t>≥</w:t>
            </w:r>
            <w:bookmarkEnd w:id="38"/>
            <w:r>
              <w:rPr>
                <w:rFonts w:ascii="宋体" w:hAnsi="宋体" w:eastAsia="Calibri" w:cs="宋体"/>
                <w:bCs/>
                <w:color w:val="auto"/>
                <w:sz w:val="24"/>
                <w:szCs w:val="24"/>
                <w:highlight w:val="white"/>
                <w:lang w:val="zh-CN" w:eastAsia="zh-CN"/>
              </w:rPr>
              <w:t xml:space="preserve">60GB </w:t>
            </w:r>
          </w:p>
          <w:p w14:paraId="6D48717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面板类型：a-Si TFT-LED,液晶屏，面板尺寸：≥17.0英寸，分辨率：</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1280(RGB)*</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1024，显示模式：TN,常白显示，透射式</w:t>
            </w:r>
          </w:p>
          <w:p w14:paraId="6E32EEA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表面处理：雾面,Hard coating(3H)，面板亮度：250cd/m2(Typ.)，对比度：1000:1(Typ.）（透射），显示颜色：16.7M（6-bit+ Hi-FRC)</w:t>
            </w:r>
          </w:p>
          <w:p w14:paraId="321170C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响应时间：3.8/1.2(Typ.)(Tr+Td)(ms)</w:t>
            </w:r>
          </w:p>
          <w:p w14:paraId="134776B1">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可视角度：85/85/80/80(Typ.)(CR&gt;=10)(左/右/上/下)</w:t>
            </w:r>
          </w:p>
          <w:p w14:paraId="49FFE03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扫描频率：</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60Hz</w:t>
            </w:r>
          </w:p>
          <w:p w14:paraId="4917F9F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光源类型：9S4P WLED</w:t>
            </w:r>
          </w:p>
          <w:p w14:paraId="544920F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信号接口：LVDS(2 ch,8-bit)    </w:t>
            </w:r>
          </w:p>
          <w:p w14:paraId="429AC621">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打印模块：RS-232接口、热敏打印、打印宽度：≥80mm  卷式，黑标检测，缺纸报警</w:t>
            </w:r>
            <w:r>
              <w:rPr>
                <w:rFonts w:hint="eastAsia" w:ascii="宋体" w:hAnsi="宋体" w:eastAsia="Calibri" w:cs="宋体"/>
                <w:bCs/>
                <w:color w:val="auto"/>
                <w:sz w:val="24"/>
                <w:szCs w:val="24"/>
                <w:highlight w:val="white"/>
                <w:lang w:val="zh-CN" w:eastAsia="zh-CN"/>
              </w:rPr>
              <w:t>，3套</w:t>
            </w:r>
          </w:p>
          <w:p w14:paraId="562D7272">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自助补卡充值管理系统</w:t>
            </w:r>
          </w:p>
          <w:p w14:paraId="0A66D0B8">
            <w:pPr>
              <w:pStyle w:val="54"/>
              <w:ind w:firstLine="0" w:firstLineChars="0"/>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eastAsia="zh-CN"/>
              </w:rPr>
              <w:t>支持自助补卡、发卡、充值、挂失等卡务功能</w:t>
            </w:r>
            <w:r>
              <w:rPr>
                <w:rFonts w:hint="eastAsia" w:ascii="宋体" w:hAnsi="宋体" w:eastAsia="Calibri" w:cs="宋体"/>
                <w:bCs/>
                <w:color w:val="auto"/>
                <w:sz w:val="24"/>
                <w:szCs w:val="24"/>
                <w:highlight w:val="white"/>
                <w:lang w:val="zh-CN" w:eastAsia="zh-CN"/>
              </w:rPr>
              <w:t>。</w:t>
            </w:r>
          </w:p>
        </w:tc>
        <w:tc>
          <w:tcPr>
            <w:tcW w:w="1418" w:type="dxa"/>
            <w:vAlign w:val="center"/>
          </w:tcPr>
          <w:p w14:paraId="0FC04103">
            <w:pPr>
              <w:jc w:val="center"/>
              <w:rPr>
                <w:rFonts w:ascii="Calibri" w:hAnsi="Calibri"/>
                <w:color w:val="auto"/>
              </w:rPr>
            </w:pPr>
            <w:r>
              <w:rPr>
                <w:rFonts w:ascii="Calibri" w:hAnsi="Calibri"/>
                <w:color w:val="auto"/>
              </w:rPr>
              <w:t>1套</w:t>
            </w:r>
          </w:p>
        </w:tc>
      </w:tr>
      <w:tr w14:paraId="520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BC3EB97">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7</w:t>
            </w:r>
          </w:p>
        </w:tc>
        <w:tc>
          <w:tcPr>
            <w:tcW w:w="1559" w:type="dxa"/>
            <w:vAlign w:val="center"/>
          </w:tcPr>
          <w:p w14:paraId="5FF90648">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智能消费终端</w:t>
            </w:r>
          </w:p>
        </w:tc>
        <w:tc>
          <w:tcPr>
            <w:tcW w:w="5528" w:type="dxa"/>
            <w:vAlign w:val="center"/>
          </w:tcPr>
          <w:p w14:paraId="70F96E9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为了兼容现有的校园卡和业务场景实际需求，食堂消费系统要求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定制化一款支持校园卡、二维码等介质的智能消费终端；支持扫二维码，（包含</w:t>
            </w:r>
            <w:r>
              <w:rPr>
                <w:rFonts w:hint="eastAsia" w:ascii="宋体" w:hAnsi="宋体" w:cs="宋体"/>
                <w:bCs/>
                <w:color w:val="auto"/>
                <w:sz w:val="24"/>
                <w:szCs w:val="24"/>
                <w:highlight w:val="white"/>
                <w:lang w:eastAsia="zh-CN"/>
              </w:rPr>
              <w:t>一卡通二位码、</w:t>
            </w:r>
            <w:r>
              <w:rPr>
                <w:rFonts w:ascii="宋体" w:hAnsi="宋体" w:eastAsia="Calibri" w:cs="宋体"/>
                <w:bCs/>
                <w:color w:val="auto"/>
                <w:sz w:val="24"/>
                <w:szCs w:val="24"/>
                <w:highlight w:val="white"/>
                <w:lang w:val="zh-CN" w:eastAsia="zh-CN"/>
              </w:rPr>
              <w:t>微信</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支付宝</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银联）；</w:t>
            </w:r>
          </w:p>
          <w:p w14:paraId="0D669D05">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ascii="宋体" w:hAnsi="宋体" w:eastAsia="Calibri" w:cs="宋体"/>
                <w:bCs/>
                <w:color w:val="auto"/>
                <w:sz w:val="24"/>
                <w:szCs w:val="24"/>
                <w:highlight w:val="white"/>
                <w:lang w:val="zh-CN" w:eastAsia="zh-CN"/>
              </w:rPr>
              <w:t>核心处理器400M SOC处理器</w:t>
            </w:r>
          </w:p>
          <w:p w14:paraId="6CEBB07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ascii="宋体" w:hAnsi="宋体" w:eastAsia="Calibri" w:cs="宋体"/>
                <w:bCs/>
                <w:color w:val="auto"/>
                <w:sz w:val="24"/>
                <w:szCs w:val="24"/>
                <w:highlight w:val="white"/>
                <w:lang w:val="zh-CN" w:eastAsia="zh-CN"/>
              </w:rPr>
              <w:t xml:space="preserve"> </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4.3寸双全彩液晶显示，分辨率480*272，屏幕颜色65K色，16位RGB，清晰方便。</w:t>
            </w:r>
          </w:p>
          <w:p w14:paraId="33DC3C2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3.</w:t>
            </w:r>
            <w:r>
              <w:rPr>
                <w:rFonts w:ascii="宋体" w:hAnsi="宋体" w:eastAsia="Calibri" w:cs="宋体"/>
                <w:bCs/>
                <w:color w:val="auto"/>
                <w:sz w:val="24"/>
                <w:szCs w:val="24"/>
                <w:highlight w:val="white"/>
                <w:lang w:val="zh-CN" w:eastAsia="zh-CN"/>
              </w:rPr>
              <w:t>具有自定义语音播报功能，支持自定义显示功能。</w:t>
            </w:r>
          </w:p>
          <w:p w14:paraId="29E63582">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4.</w:t>
            </w:r>
            <w:r>
              <w:rPr>
                <w:rFonts w:ascii="宋体" w:hAnsi="宋体" w:eastAsia="Calibri" w:cs="宋体"/>
                <w:bCs/>
                <w:color w:val="auto"/>
                <w:sz w:val="24"/>
                <w:szCs w:val="24"/>
                <w:highlight w:val="white"/>
                <w:lang w:val="zh-CN" w:eastAsia="zh-CN"/>
              </w:rPr>
              <w:t xml:space="preserve"> 20键机械键盘，方便实用，蜂鸣器操作提示。</w:t>
            </w:r>
          </w:p>
          <w:p w14:paraId="451F1F2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5.</w:t>
            </w:r>
            <w:r>
              <w:rPr>
                <w:rFonts w:ascii="宋体" w:hAnsi="宋体" w:eastAsia="Calibri" w:cs="宋体"/>
                <w:bCs/>
                <w:color w:val="auto"/>
                <w:sz w:val="24"/>
                <w:szCs w:val="24"/>
                <w:highlight w:val="white"/>
                <w:lang w:val="zh-CN" w:eastAsia="zh-CN"/>
              </w:rPr>
              <w:t xml:space="preserve"> 采用刷卡非接触，刷卡距离 &gt;3cm</w:t>
            </w:r>
          </w:p>
          <w:p w14:paraId="6086456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6.</w:t>
            </w:r>
            <w:r>
              <w:rPr>
                <w:rFonts w:ascii="宋体" w:hAnsi="宋体" w:eastAsia="Calibri" w:cs="宋体"/>
                <w:bCs/>
                <w:color w:val="auto"/>
                <w:sz w:val="24"/>
                <w:szCs w:val="24"/>
                <w:highlight w:val="white"/>
                <w:lang w:val="zh-CN" w:eastAsia="zh-CN"/>
              </w:rPr>
              <w:t xml:space="preserve"> 内置2000MA锂电池，停电自动切换，保证窗口机连续工作3-4小时，具有欠压自动保护电路，电池免维护。“看门狗”及隔离电路设计，确保单机出现故障的系统正常运行。</w:t>
            </w:r>
          </w:p>
          <w:p w14:paraId="0222CB8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7.</w:t>
            </w:r>
            <w:r>
              <w:rPr>
                <w:rFonts w:ascii="宋体" w:hAnsi="宋体" w:eastAsia="Calibri" w:cs="宋体"/>
                <w:bCs/>
                <w:color w:val="auto"/>
                <w:sz w:val="24"/>
                <w:szCs w:val="24"/>
                <w:highlight w:val="white"/>
                <w:lang w:val="zh-CN" w:eastAsia="zh-CN"/>
              </w:rPr>
              <w:t>存储空间64Mbit</w:t>
            </w:r>
          </w:p>
          <w:p w14:paraId="7FEC4E97">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8.</w:t>
            </w:r>
            <w:r>
              <w:rPr>
                <w:rFonts w:ascii="宋体" w:hAnsi="宋体" w:eastAsia="Calibri" w:cs="宋体"/>
                <w:bCs/>
                <w:color w:val="auto"/>
                <w:sz w:val="24"/>
                <w:szCs w:val="24"/>
                <w:highlight w:val="white"/>
                <w:lang w:val="zh-CN" w:eastAsia="zh-CN"/>
              </w:rPr>
              <w:t xml:space="preserve"> 内置矢量字体，边缘抗锯齿处理，支持任意大小ASCII、GBK、GB2312、UNICODE（全球语言）字库，也可自定义任意电脑字体显示</w:t>
            </w:r>
          </w:p>
          <w:p w14:paraId="318B30C4">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9.</w:t>
            </w:r>
            <w:r>
              <w:rPr>
                <w:rFonts w:ascii="宋体" w:hAnsi="宋体" w:eastAsia="Calibri" w:cs="宋体"/>
                <w:bCs/>
                <w:color w:val="auto"/>
                <w:sz w:val="24"/>
                <w:szCs w:val="24"/>
                <w:highlight w:val="white"/>
                <w:lang w:val="zh-CN" w:eastAsia="zh-CN"/>
              </w:rPr>
              <w:t xml:space="preserve"> 图片存储支持JPEG、PNG（半透/全透）压缩，支持任意大小图片存储。累加可存储约185张全屏图片(按大小40KB/张计算)</w:t>
            </w:r>
          </w:p>
          <w:p w14:paraId="4304120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10.</w:t>
            </w:r>
            <w:r>
              <w:rPr>
                <w:rFonts w:ascii="宋体" w:hAnsi="宋体" w:eastAsia="Calibri" w:cs="宋体"/>
                <w:bCs/>
                <w:color w:val="auto"/>
                <w:sz w:val="24"/>
                <w:szCs w:val="24"/>
                <w:highlight w:val="white"/>
                <w:lang w:val="zh-CN" w:eastAsia="zh-CN"/>
              </w:rPr>
              <w:t xml:space="preserve"> 工作温度-20～+70℃  存储温度 -30～+80℃</w:t>
            </w:r>
          </w:p>
          <w:p w14:paraId="322115EC">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11.</w:t>
            </w:r>
            <w:r>
              <w:rPr>
                <w:rFonts w:ascii="宋体" w:hAnsi="宋体" w:eastAsia="Calibri" w:cs="宋体"/>
                <w:bCs/>
                <w:color w:val="auto"/>
                <w:sz w:val="24"/>
                <w:szCs w:val="24"/>
                <w:highlight w:val="white"/>
                <w:lang w:val="zh-CN" w:eastAsia="zh-CN"/>
              </w:rPr>
              <w:t xml:space="preserve"> 电源 220V± 10% ；50HZ（内置2000MA锂电池）</w:t>
            </w:r>
          </w:p>
          <w:p w14:paraId="4E3B9BB0">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12.</w:t>
            </w:r>
            <w:r>
              <w:rPr>
                <w:rFonts w:ascii="宋体" w:hAnsi="宋体" w:eastAsia="Calibri" w:cs="宋体"/>
                <w:bCs/>
                <w:color w:val="auto"/>
                <w:sz w:val="24"/>
                <w:szCs w:val="24"/>
                <w:highlight w:val="white"/>
                <w:lang w:val="zh-CN" w:eastAsia="zh-CN"/>
              </w:rPr>
              <w:t>通讯协议 支持TCP/IP协议，http</w:t>
            </w:r>
            <w:r>
              <w:rPr>
                <w:rFonts w:hint="eastAsia" w:ascii="宋体" w:hAnsi="宋体" w:cs="宋体"/>
                <w:bCs/>
                <w:color w:val="auto"/>
                <w:sz w:val="24"/>
                <w:szCs w:val="24"/>
                <w:highlight w:val="white"/>
                <w:lang w:eastAsia="zh-CN"/>
              </w:rPr>
              <w:t>s</w:t>
            </w:r>
            <w:r>
              <w:rPr>
                <w:rFonts w:ascii="宋体" w:hAnsi="宋体" w:eastAsia="Calibri" w:cs="宋体"/>
                <w:bCs/>
                <w:color w:val="auto"/>
                <w:sz w:val="24"/>
                <w:szCs w:val="24"/>
                <w:highlight w:val="white"/>
                <w:lang w:val="zh-CN" w:eastAsia="zh-CN"/>
              </w:rPr>
              <w:t>协议</w:t>
            </w:r>
          </w:p>
          <w:p w14:paraId="3FEE1211">
            <w:pPr>
              <w:pStyle w:val="54"/>
              <w:ind w:left="480" w:hanging="480" w:hangingChars="20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13.</w:t>
            </w:r>
            <w:r>
              <w:rPr>
                <w:rFonts w:ascii="宋体" w:hAnsi="宋体" w:eastAsia="Calibri" w:cs="宋体"/>
                <w:bCs/>
                <w:color w:val="auto"/>
                <w:sz w:val="24"/>
                <w:szCs w:val="24"/>
                <w:highlight w:val="white"/>
                <w:lang w:val="zh-CN" w:eastAsia="zh-CN"/>
              </w:rPr>
              <w:t>存储容量 存储</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2万消费记录；可扩展芯片至</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10万条断电数据保护时间永久保存</w:t>
            </w:r>
          </w:p>
          <w:p w14:paraId="68EA32D6">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14.</w:t>
            </w:r>
            <w:r>
              <w:rPr>
                <w:rFonts w:ascii="宋体" w:hAnsi="宋体" w:eastAsia="Calibri" w:cs="宋体"/>
                <w:bCs/>
                <w:color w:val="auto"/>
                <w:sz w:val="24"/>
                <w:szCs w:val="24"/>
                <w:highlight w:val="white"/>
                <w:lang w:val="zh-CN" w:eastAsia="zh-CN"/>
              </w:rPr>
              <w:t>读卡类型 Mifare 1卡/CPU卡</w:t>
            </w:r>
          </w:p>
          <w:p w14:paraId="332AD7F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15.</w:t>
            </w:r>
            <w:r>
              <w:rPr>
                <w:rFonts w:ascii="宋体" w:hAnsi="宋体" w:eastAsia="Calibri" w:cs="宋体"/>
                <w:bCs/>
                <w:color w:val="auto"/>
                <w:sz w:val="24"/>
                <w:szCs w:val="24"/>
                <w:highlight w:val="white"/>
                <w:lang w:val="zh-CN" w:eastAsia="zh-CN"/>
              </w:rPr>
              <w:t xml:space="preserve"> 通讯方式  TCP/IP以太网</w:t>
            </w:r>
          </w:p>
          <w:p w14:paraId="76ECAA2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16.</w:t>
            </w:r>
            <w:r>
              <w:rPr>
                <w:rFonts w:ascii="宋体" w:hAnsi="宋体" w:eastAsia="Calibri" w:cs="宋体"/>
                <w:bCs/>
                <w:color w:val="auto"/>
                <w:sz w:val="24"/>
                <w:szCs w:val="24"/>
                <w:highlight w:val="white"/>
                <w:lang w:val="zh-CN" w:eastAsia="zh-CN"/>
              </w:rPr>
              <w:t xml:space="preserve"> 识读模式：CMOS</w:t>
            </w:r>
          </w:p>
          <w:p w14:paraId="202850AA">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17.</w:t>
            </w:r>
            <w:r>
              <w:rPr>
                <w:rFonts w:ascii="宋体" w:hAnsi="宋体" w:eastAsia="Calibri" w:cs="宋体"/>
                <w:bCs/>
                <w:color w:val="auto"/>
                <w:sz w:val="24"/>
                <w:szCs w:val="24"/>
                <w:highlight w:val="white"/>
                <w:lang w:val="zh-CN" w:eastAsia="zh-CN"/>
              </w:rPr>
              <w:t xml:space="preserve"> 识读码制：QR二维码(屏幕码、纸质码）</w:t>
            </w:r>
          </w:p>
          <w:p w14:paraId="6A79F2E7">
            <w:pPr>
              <w:pStyle w:val="54"/>
              <w:ind w:firstLine="0" w:firstLineChars="0"/>
              <w:rPr>
                <w:rFonts w:ascii="宋体" w:hAnsi="宋体" w:eastAsia="Calibri" w:cs="宋体"/>
                <w:bCs/>
                <w:color w:val="auto"/>
                <w:sz w:val="24"/>
                <w:szCs w:val="24"/>
                <w:highlight w:val="white"/>
                <w:lang w:val="zh-CN"/>
              </w:rPr>
            </w:pPr>
            <w:r>
              <w:rPr>
                <w:rFonts w:hint="eastAsia" w:ascii="宋体" w:hAnsi="宋体" w:cs="宋体"/>
                <w:bCs/>
                <w:color w:val="auto"/>
                <w:sz w:val="24"/>
                <w:szCs w:val="24"/>
                <w:highlight w:val="white"/>
                <w:lang w:eastAsia="zh-CN"/>
              </w:rPr>
              <w:t>18.</w:t>
            </w:r>
            <w:r>
              <w:rPr>
                <w:rFonts w:ascii="宋体" w:hAnsi="宋体" w:eastAsia="Calibri" w:cs="宋体"/>
                <w:bCs/>
                <w:color w:val="auto"/>
                <w:sz w:val="24"/>
                <w:szCs w:val="24"/>
                <w:highlight w:val="white"/>
                <w:lang w:val="zh-CN"/>
              </w:rPr>
              <w:t xml:space="preserve"> 识读距离：2 ~10cm</w:t>
            </w:r>
          </w:p>
        </w:tc>
        <w:tc>
          <w:tcPr>
            <w:tcW w:w="1418" w:type="dxa"/>
            <w:vAlign w:val="center"/>
          </w:tcPr>
          <w:p w14:paraId="0D2CC8E3">
            <w:pPr>
              <w:jc w:val="center"/>
              <w:rPr>
                <w:rFonts w:ascii="Calibri" w:hAnsi="Calibri"/>
                <w:color w:val="auto"/>
              </w:rPr>
            </w:pPr>
            <w:r>
              <w:rPr>
                <w:rFonts w:hint="eastAsia" w:ascii="Calibri" w:hAnsi="Calibri"/>
                <w:color w:val="auto"/>
                <w:lang w:val="en-US" w:eastAsia="zh-CN"/>
              </w:rPr>
              <w:t>90</w:t>
            </w:r>
            <w:r>
              <w:rPr>
                <w:rFonts w:ascii="Calibri" w:hAnsi="Calibri"/>
                <w:color w:val="auto"/>
              </w:rPr>
              <w:t>台</w:t>
            </w:r>
          </w:p>
        </w:tc>
      </w:tr>
      <w:tr w14:paraId="706D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05BC487">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8</w:t>
            </w:r>
          </w:p>
        </w:tc>
        <w:tc>
          <w:tcPr>
            <w:tcW w:w="1559" w:type="dxa"/>
            <w:vAlign w:val="center"/>
          </w:tcPr>
          <w:p w14:paraId="22F87B0F">
            <w:pPr>
              <w:jc w:val="center"/>
              <w:rPr>
                <w:rFonts w:ascii="Times New Roman" w:hAnsi="Times New Roman"/>
                <w:color w:val="auto"/>
                <w:szCs w:val="24"/>
              </w:rPr>
            </w:pPr>
            <w:r>
              <w:rPr>
                <w:rFonts w:ascii="宋体" w:hAnsi="宋体" w:eastAsia="Calibri" w:cs="宋体"/>
                <w:bCs/>
                <w:color w:val="auto"/>
                <w:sz w:val="24"/>
                <w:szCs w:val="24"/>
                <w:highlight w:val="white"/>
                <w:lang w:val="zh-CN"/>
              </w:rPr>
              <w:t>翼闸单机芯</w:t>
            </w:r>
          </w:p>
          <w:p w14:paraId="2C8A53B9">
            <w:pPr>
              <w:rPr>
                <w:rFonts w:ascii="宋体" w:hAnsi="宋体" w:eastAsia="Calibri" w:cs="宋体"/>
                <w:color w:val="auto"/>
                <w:sz w:val="24"/>
                <w:szCs w:val="24"/>
                <w:lang w:val="zh-CN"/>
              </w:rPr>
            </w:pPr>
          </w:p>
          <w:p w14:paraId="5A3E7495">
            <w:pPr>
              <w:rPr>
                <w:rFonts w:ascii="宋体" w:hAnsi="宋体" w:eastAsia="Calibri" w:cs="宋体"/>
                <w:color w:val="auto"/>
                <w:sz w:val="24"/>
                <w:szCs w:val="24"/>
                <w:lang w:val="zh-CN"/>
              </w:rPr>
            </w:pPr>
          </w:p>
          <w:p w14:paraId="6F6C4314">
            <w:pPr>
              <w:rPr>
                <w:rFonts w:ascii="宋体" w:hAnsi="宋体" w:eastAsia="Calibri" w:cs="宋体"/>
                <w:color w:val="auto"/>
                <w:sz w:val="24"/>
                <w:szCs w:val="24"/>
                <w:lang w:val="zh-CN"/>
              </w:rPr>
            </w:pPr>
          </w:p>
          <w:p w14:paraId="7A0A0F68">
            <w:pPr>
              <w:rPr>
                <w:rFonts w:ascii="Times New Roman" w:hAnsi="Times New Roman"/>
                <w:color w:val="auto"/>
                <w:szCs w:val="24"/>
              </w:rPr>
            </w:pPr>
          </w:p>
          <w:p w14:paraId="41AE97A9">
            <w:pPr>
              <w:rPr>
                <w:rFonts w:ascii="宋体" w:hAnsi="宋体" w:eastAsia="Calibri" w:cs="宋体"/>
                <w:color w:val="auto"/>
                <w:sz w:val="24"/>
                <w:szCs w:val="24"/>
                <w:lang w:val="zh-CN"/>
              </w:rPr>
            </w:pPr>
          </w:p>
          <w:p w14:paraId="2ADBCACB">
            <w:pPr>
              <w:rPr>
                <w:rFonts w:ascii="Times New Roman" w:hAnsi="Times New Roman"/>
                <w:color w:val="auto"/>
                <w:szCs w:val="24"/>
              </w:rPr>
            </w:pPr>
          </w:p>
          <w:p w14:paraId="4B19FDE5">
            <w:pPr>
              <w:rPr>
                <w:rFonts w:ascii="Times New Roman" w:hAnsi="Times New Roman"/>
                <w:color w:val="auto"/>
                <w:szCs w:val="24"/>
              </w:rPr>
            </w:pPr>
          </w:p>
          <w:p w14:paraId="2A01C8A5">
            <w:pPr>
              <w:rPr>
                <w:rFonts w:ascii="Times New Roman" w:hAnsi="Times New Roman"/>
                <w:color w:val="auto"/>
                <w:szCs w:val="24"/>
              </w:rPr>
            </w:pPr>
          </w:p>
          <w:p w14:paraId="23F5F46A">
            <w:pPr>
              <w:rPr>
                <w:rFonts w:ascii="宋体" w:hAnsi="宋体" w:eastAsia="Calibri" w:cs="宋体"/>
                <w:color w:val="auto"/>
                <w:sz w:val="24"/>
                <w:szCs w:val="24"/>
                <w:highlight w:val="white"/>
                <w:lang w:val="zh-CN"/>
              </w:rPr>
            </w:pPr>
          </w:p>
        </w:tc>
        <w:tc>
          <w:tcPr>
            <w:tcW w:w="5528" w:type="dxa"/>
            <w:vAlign w:val="center"/>
          </w:tcPr>
          <w:p w14:paraId="5F38ABE9">
            <w:pPr>
              <w:pStyle w:val="54"/>
              <w:ind w:firstLine="0" w:firstLineChars="0"/>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教工食堂；为了兼容现有的校园卡和业务场景实际需求，教工食堂人员通道消费系统要求供应商定制化一款</w:t>
            </w:r>
            <w:r>
              <w:rPr>
                <w:rFonts w:ascii="宋体" w:hAnsi="宋体" w:eastAsia="Calibri" w:cs="宋体"/>
                <w:bCs/>
                <w:color w:val="auto"/>
                <w:sz w:val="24"/>
                <w:szCs w:val="24"/>
                <w:highlight w:val="white"/>
                <w:lang w:val="zh-CN" w:eastAsia="zh-CN"/>
              </w:rPr>
              <w:t>8</w:t>
            </w:r>
            <w:r>
              <w:rPr>
                <w:rFonts w:hint="eastAsia" w:ascii="宋体" w:hAnsi="宋体" w:cs="宋体"/>
                <w:bCs/>
                <w:color w:val="auto"/>
                <w:sz w:val="24"/>
                <w:szCs w:val="24"/>
                <w:highlight w:val="white"/>
                <w:lang w:val="zh-CN" w:eastAsia="zh-CN"/>
              </w:rPr>
              <w:t>寸触摸屏，支持人脸、校园卡、二维码等介质的人脸识别消费终端；一款具有符合消费系统管理要求的翼闸通道一体机，方便教职工食堂就餐快速通行；</w:t>
            </w:r>
          </w:p>
          <w:p w14:paraId="15E6B36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ascii="宋体" w:hAnsi="宋体" w:eastAsia="Calibri" w:cs="宋体"/>
                <w:bCs/>
                <w:color w:val="auto"/>
                <w:sz w:val="24"/>
                <w:szCs w:val="24"/>
                <w:highlight w:val="white"/>
                <w:lang w:val="zh-CN" w:eastAsia="zh-CN"/>
              </w:rPr>
              <w:t>脱机功能检验：样机与管理软件连接断开后，应能脱机正常工作</w:t>
            </w:r>
          </w:p>
          <w:p w14:paraId="4C9A844F">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2.</w:t>
            </w:r>
            <w:r>
              <w:rPr>
                <w:rFonts w:ascii="宋体" w:hAnsi="宋体" w:eastAsia="Calibri" w:cs="宋体"/>
                <w:bCs/>
                <w:color w:val="auto"/>
                <w:sz w:val="24"/>
                <w:szCs w:val="24"/>
                <w:highlight w:val="white"/>
                <w:lang w:val="zh-CN" w:eastAsia="zh-CN"/>
              </w:rPr>
              <w:t>参数设定功能检验：可通过管理软件对样机进行授权、取消授权、设定时间、报警布/撤防操作</w:t>
            </w:r>
          </w:p>
          <w:p w14:paraId="1F24A598">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3.</w:t>
            </w:r>
            <w:r>
              <w:rPr>
                <w:rFonts w:ascii="宋体" w:hAnsi="宋体" w:eastAsia="Calibri" w:cs="宋体"/>
                <w:bCs/>
                <w:color w:val="auto"/>
                <w:sz w:val="24"/>
                <w:szCs w:val="24"/>
                <w:highlight w:val="white"/>
                <w:lang w:val="zh-CN" w:eastAsia="zh-CN"/>
              </w:rPr>
              <w:t>信息存储功能检验：样机可在本地存储通行记录</w:t>
            </w:r>
          </w:p>
          <w:p w14:paraId="55EA9026">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4.</w:t>
            </w:r>
            <w:r>
              <w:rPr>
                <w:rFonts w:ascii="宋体" w:hAnsi="宋体" w:eastAsia="Calibri" w:cs="宋体"/>
                <w:bCs/>
                <w:color w:val="auto"/>
                <w:sz w:val="24"/>
                <w:szCs w:val="24"/>
                <w:highlight w:val="white"/>
                <w:lang w:val="zh-CN" w:eastAsia="zh-CN"/>
              </w:rPr>
              <w:t>信息上传功能检验：样机可将通行、报警等信息上传至管理软件</w:t>
            </w:r>
          </w:p>
          <w:p w14:paraId="21E78D07">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 xml:space="preserve"> 强行通行报警功能检验：未收到允许通行信号，样机检测到人员进入通道，应给出报警</w:t>
            </w:r>
          </w:p>
          <w:p w14:paraId="4CCC2028">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6.</w:t>
            </w:r>
            <w:r>
              <w:rPr>
                <w:rFonts w:ascii="宋体" w:hAnsi="宋体" w:eastAsia="Calibri" w:cs="宋体"/>
                <w:bCs/>
                <w:color w:val="auto"/>
                <w:sz w:val="24"/>
                <w:szCs w:val="24"/>
                <w:highlight w:val="white"/>
                <w:lang w:val="zh-CN" w:eastAsia="zh-CN"/>
              </w:rPr>
              <w:t xml:space="preserve"> 通行状态监控功能检验：可通过管理软件对样机的通行状态进行监控</w:t>
            </w:r>
          </w:p>
          <w:p w14:paraId="79643EE6">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LED指示灯指示通行方向功能检验：样机可通过LED指示灯指示通行方向</w:t>
            </w:r>
          </w:p>
          <w:p w14:paraId="65B37EFC">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8.</w:t>
            </w:r>
            <w:r>
              <w:rPr>
                <w:rFonts w:ascii="宋体" w:hAnsi="宋体" w:eastAsia="Calibri" w:cs="宋体"/>
                <w:bCs/>
                <w:color w:val="auto"/>
                <w:sz w:val="24"/>
                <w:szCs w:val="24"/>
                <w:highlight w:val="white"/>
                <w:lang w:val="zh-CN" w:eastAsia="zh-CN"/>
              </w:rPr>
              <w:t>防夹功能检验：样机的拦挡部分在运动过程中，通道拦挡部分运行区域有人或物时，拦挡部分应停止运动并自动运行到允许通行状态，并给出报警</w:t>
            </w:r>
          </w:p>
          <w:p w14:paraId="44446D8F">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9.</w:t>
            </w:r>
            <w:r>
              <w:rPr>
                <w:rFonts w:ascii="宋体" w:hAnsi="宋体" w:eastAsia="Calibri" w:cs="宋体"/>
                <w:bCs/>
                <w:color w:val="auto"/>
                <w:sz w:val="24"/>
                <w:szCs w:val="24"/>
                <w:highlight w:val="white"/>
                <w:lang w:val="zh-CN" w:eastAsia="zh-CN"/>
              </w:rPr>
              <w:t>远程开启/关闭功能检验：可通过管理软件远程控制样机开启/关闭通行通道</w:t>
            </w:r>
          </w:p>
          <w:p w14:paraId="07292331">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10.</w:t>
            </w:r>
            <w:r>
              <w:rPr>
                <w:rFonts w:ascii="宋体" w:hAnsi="宋体" w:eastAsia="Calibri" w:cs="宋体"/>
                <w:bCs/>
                <w:color w:val="auto"/>
                <w:sz w:val="24"/>
                <w:szCs w:val="24"/>
                <w:highlight w:val="white"/>
                <w:lang w:val="zh-CN" w:eastAsia="zh-CN"/>
              </w:rPr>
              <w:t>抗电强度试验：安全防范报警设备的电源插头或电源引入端与外壳裸露金属部件之间，应能承受GB16796-2009中表1规定的45Hz~65Hz交流电压的抗电强度试验，历时1min应无击穿和飞弧现象（提供CNAS检测报告复印件）</w:t>
            </w:r>
          </w:p>
          <w:p w14:paraId="452507AF">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11.</w:t>
            </w:r>
            <w:r>
              <w:rPr>
                <w:rFonts w:ascii="宋体" w:hAnsi="宋体" w:eastAsia="Calibri" w:cs="宋体"/>
                <w:bCs/>
                <w:color w:val="auto"/>
                <w:sz w:val="24"/>
                <w:szCs w:val="24"/>
                <w:highlight w:val="white"/>
                <w:lang w:val="zh-CN" w:eastAsia="zh-CN"/>
              </w:rPr>
              <w:t xml:space="preserve"> 通道宽度 ≤550mm</w:t>
            </w:r>
          </w:p>
          <w:p w14:paraId="30D39763">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12.</w:t>
            </w:r>
            <w:r>
              <w:rPr>
                <w:rFonts w:ascii="宋体" w:hAnsi="宋体" w:eastAsia="Calibri" w:cs="宋体"/>
                <w:bCs/>
                <w:color w:val="auto"/>
                <w:sz w:val="24"/>
                <w:szCs w:val="24"/>
                <w:highlight w:val="white"/>
                <w:lang w:val="zh-CN" w:eastAsia="zh-CN"/>
              </w:rPr>
              <w:t xml:space="preserve">尺寸：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1200</w:t>
            </w:r>
            <w:r>
              <w:rPr>
                <w:rFonts w:ascii="宋体" w:hAnsi="宋体" w:eastAsia="Calibri" w:cs="宋体"/>
                <w:bCs/>
                <w:color w:val="auto"/>
                <w:sz w:val="24"/>
                <w:szCs w:val="24"/>
                <w:highlight w:val="white"/>
                <w:lang w:eastAsia="zh-CN"/>
              </w:rPr>
              <w:t>mm（长）</w:t>
            </w:r>
            <w:r>
              <w:rPr>
                <w:rFonts w:ascii="宋体" w:hAnsi="宋体" w:eastAsia="Calibri" w:cs="宋体"/>
                <w:bCs/>
                <w:color w:val="auto"/>
                <w:sz w:val="24"/>
                <w:szCs w:val="24"/>
                <w:highlight w:val="white"/>
                <w:lang w:val="zh-CN" w:eastAsia="zh-CN"/>
              </w:rPr>
              <w:t>*</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300</w:t>
            </w:r>
            <w:r>
              <w:rPr>
                <w:rFonts w:ascii="宋体" w:hAnsi="宋体" w:eastAsia="Calibri" w:cs="宋体"/>
                <w:bCs/>
                <w:color w:val="auto"/>
                <w:sz w:val="24"/>
                <w:szCs w:val="24"/>
                <w:highlight w:val="white"/>
                <w:lang w:eastAsia="zh-CN"/>
              </w:rPr>
              <w:t>mm（宽）</w:t>
            </w:r>
            <w:r>
              <w:rPr>
                <w:rFonts w:ascii="宋体" w:hAnsi="宋体" w:eastAsia="Calibri" w:cs="宋体"/>
                <w:bCs/>
                <w:color w:val="auto"/>
                <w:sz w:val="24"/>
                <w:szCs w:val="24"/>
                <w:highlight w:val="white"/>
                <w:lang w:val="zh-CN" w:eastAsia="zh-CN"/>
              </w:rPr>
              <w:t>*</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980mm</w:t>
            </w:r>
            <w:r>
              <w:rPr>
                <w:rFonts w:ascii="宋体" w:hAnsi="宋体" w:eastAsia="Calibri" w:cs="宋体"/>
                <w:bCs/>
                <w:color w:val="auto"/>
                <w:sz w:val="24"/>
                <w:szCs w:val="24"/>
                <w:highlight w:val="white"/>
                <w:lang w:eastAsia="zh-CN"/>
              </w:rPr>
              <w:t>（高）</w:t>
            </w:r>
            <w:r>
              <w:rPr>
                <w:rFonts w:ascii="宋体" w:hAnsi="宋体" w:eastAsia="Calibri" w:cs="宋体"/>
                <w:bCs/>
                <w:color w:val="auto"/>
                <w:sz w:val="24"/>
                <w:szCs w:val="24"/>
                <w:highlight w:val="white"/>
                <w:lang w:val="zh-CN" w:eastAsia="zh-CN"/>
              </w:rPr>
              <w:t xml:space="preserve"> </w:t>
            </w:r>
          </w:p>
          <w:p w14:paraId="09A916C5">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hint="eastAsia" w:ascii="宋体" w:hAnsi="宋体" w:cs="宋体"/>
                <w:bCs/>
                <w:color w:val="auto"/>
                <w:sz w:val="24"/>
                <w:szCs w:val="24"/>
                <w:highlight w:val="white"/>
                <w:lang w:eastAsia="zh-CN"/>
              </w:rPr>
              <w:t>3.</w:t>
            </w:r>
            <w:r>
              <w:rPr>
                <w:rFonts w:ascii="宋体" w:hAnsi="宋体" w:eastAsia="Calibri" w:cs="宋体"/>
                <w:bCs/>
                <w:color w:val="auto"/>
                <w:sz w:val="24"/>
                <w:szCs w:val="24"/>
                <w:highlight w:val="white"/>
                <w:lang w:val="zh-CN" w:eastAsia="zh-CN"/>
              </w:rPr>
              <w:t xml:space="preserve"> 材料厚度： 顶盖厚度</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 mm，其他厚度</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 mm</w:t>
            </w:r>
          </w:p>
          <w:p w14:paraId="0A574B5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14.</w:t>
            </w:r>
            <w:r>
              <w:rPr>
                <w:rFonts w:ascii="宋体" w:hAnsi="宋体" w:eastAsia="Calibri" w:cs="宋体"/>
                <w:bCs/>
                <w:color w:val="auto"/>
                <w:sz w:val="24"/>
                <w:szCs w:val="24"/>
                <w:highlight w:val="white"/>
                <w:lang w:val="zh-CN" w:eastAsia="zh-CN"/>
              </w:rPr>
              <w:t>红外</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6对</w:t>
            </w:r>
          </w:p>
          <w:p w14:paraId="7724873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 xml:space="preserve"> 工作环境 室内、室外（需配防雨架）</w:t>
            </w:r>
          </w:p>
        </w:tc>
        <w:tc>
          <w:tcPr>
            <w:tcW w:w="1418" w:type="dxa"/>
            <w:vAlign w:val="center"/>
          </w:tcPr>
          <w:p w14:paraId="3C22019C">
            <w:pPr>
              <w:jc w:val="center"/>
              <w:rPr>
                <w:rFonts w:ascii="Calibri" w:hAnsi="Calibri"/>
                <w:color w:val="auto"/>
              </w:rPr>
            </w:pPr>
            <w:r>
              <w:rPr>
                <w:rFonts w:ascii="Calibri" w:hAnsi="Calibri"/>
                <w:color w:val="auto"/>
              </w:rPr>
              <w:t>2台</w:t>
            </w:r>
          </w:p>
        </w:tc>
      </w:tr>
      <w:tr w14:paraId="2511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6973000">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9</w:t>
            </w:r>
          </w:p>
        </w:tc>
        <w:tc>
          <w:tcPr>
            <w:tcW w:w="1559" w:type="dxa"/>
            <w:vAlign w:val="center"/>
          </w:tcPr>
          <w:p w14:paraId="61354F6D">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翼闸双机芯</w:t>
            </w:r>
          </w:p>
        </w:tc>
        <w:tc>
          <w:tcPr>
            <w:tcW w:w="5528" w:type="dxa"/>
            <w:vAlign w:val="center"/>
          </w:tcPr>
          <w:p w14:paraId="40B2A579">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教工食堂；为了兼容现有的校园卡和业务场景实际需求，教工食堂人员通道消费系统要求供应商定制化一款</w:t>
            </w:r>
            <w:r>
              <w:rPr>
                <w:rFonts w:ascii="宋体" w:hAnsi="宋体" w:eastAsia="Calibri" w:cs="宋体"/>
                <w:bCs/>
                <w:color w:val="auto"/>
                <w:sz w:val="24"/>
                <w:szCs w:val="24"/>
                <w:highlight w:val="white"/>
                <w:lang w:val="zh-CN" w:eastAsia="zh-CN"/>
              </w:rPr>
              <w:t>8</w:t>
            </w:r>
            <w:r>
              <w:rPr>
                <w:rFonts w:hint="eastAsia" w:ascii="宋体" w:hAnsi="宋体" w:cs="宋体"/>
                <w:bCs/>
                <w:color w:val="auto"/>
                <w:sz w:val="24"/>
                <w:szCs w:val="24"/>
                <w:highlight w:val="white"/>
                <w:lang w:val="zh-CN" w:eastAsia="zh-CN"/>
              </w:rPr>
              <w:t>寸触摸屏，支持人脸、校园卡、二维码等介质的人脸识别消费终端；一款具有符合消费系统管理要求的翼闸通道一体机，方便教职工食堂就餐快速通行；</w:t>
            </w:r>
            <w:r>
              <w:rPr>
                <w:rFonts w:ascii="宋体" w:hAnsi="宋体" w:eastAsia="Calibri" w:cs="宋体"/>
                <w:bCs/>
                <w:color w:val="auto"/>
                <w:sz w:val="24"/>
                <w:szCs w:val="24"/>
                <w:highlight w:val="white"/>
                <w:lang w:val="zh-CN" w:eastAsia="zh-CN"/>
              </w:rPr>
              <w:t xml:space="preserve"> </w:t>
            </w:r>
          </w:p>
          <w:p w14:paraId="03DDBBB8">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ascii="宋体" w:hAnsi="宋体" w:eastAsia="Calibri" w:cs="宋体"/>
                <w:bCs/>
                <w:color w:val="auto"/>
                <w:sz w:val="24"/>
                <w:szCs w:val="24"/>
                <w:highlight w:val="white"/>
                <w:lang w:val="zh-CN" w:eastAsia="zh-CN"/>
              </w:rPr>
              <w:t>脱机功能检验：样机与管理软件连接断开后，应能脱机正常工作</w:t>
            </w:r>
          </w:p>
          <w:p w14:paraId="74B2096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2.</w:t>
            </w:r>
            <w:r>
              <w:rPr>
                <w:rFonts w:ascii="宋体" w:hAnsi="宋体" w:eastAsia="Calibri" w:cs="宋体"/>
                <w:bCs/>
                <w:color w:val="auto"/>
                <w:sz w:val="24"/>
                <w:szCs w:val="24"/>
                <w:highlight w:val="white"/>
                <w:lang w:val="zh-CN" w:eastAsia="zh-CN"/>
              </w:rPr>
              <w:t>参数设定功能检验：可通过管理软件对样机进行授权、取消授权、设定时间、报警布/撤防操作</w:t>
            </w:r>
          </w:p>
          <w:p w14:paraId="5D0223C6">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3.</w:t>
            </w:r>
            <w:r>
              <w:rPr>
                <w:rFonts w:ascii="宋体" w:hAnsi="宋体" w:eastAsia="Calibri" w:cs="宋体"/>
                <w:bCs/>
                <w:color w:val="auto"/>
                <w:sz w:val="24"/>
                <w:szCs w:val="24"/>
                <w:highlight w:val="white"/>
                <w:lang w:val="zh-CN" w:eastAsia="zh-CN"/>
              </w:rPr>
              <w:t>信息存储功能检验：样机可在本地存储通行记录</w:t>
            </w:r>
          </w:p>
          <w:p w14:paraId="15ADD3B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4.</w:t>
            </w:r>
            <w:r>
              <w:rPr>
                <w:rFonts w:ascii="宋体" w:hAnsi="宋体" w:eastAsia="Calibri" w:cs="宋体"/>
                <w:bCs/>
                <w:color w:val="auto"/>
                <w:sz w:val="24"/>
                <w:szCs w:val="24"/>
                <w:highlight w:val="white"/>
                <w:lang w:val="zh-CN" w:eastAsia="zh-CN"/>
              </w:rPr>
              <w:t>信息上传功能检验：样机可将通行、报警等信息上传至管理软件</w:t>
            </w:r>
          </w:p>
          <w:p w14:paraId="1F9A3FD8">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强行通行报警功能检验：未收到允许通行信号，样机检测到人员进入通道，应给出报警</w:t>
            </w:r>
          </w:p>
          <w:p w14:paraId="30DE5B1F">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6.</w:t>
            </w:r>
            <w:r>
              <w:rPr>
                <w:rFonts w:ascii="宋体" w:hAnsi="宋体" w:eastAsia="Calibri" w:cs="宋体"/>
                <w:bCs/>
                <w:color w:val="auto"/>
                <w:sz w:val="24"/>
                <w:szCs w:val="24"/>
                <w:highlight w:val="white"/>
                <w:lang w:val="zh-CN" w:eastAsia="zh-CN"/>
              </w:rPr>
              <w:t xml:space="preserve"> 通行状态监控功能检验：可通过管理软件对样机的通行状态进行监控</w:t>
            </w:r>
          </w:p>
          <w:p w14:paraId="05252865">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7.</w:t>
            </w:r>
            <w:r>
              <w:rPr>
                <w:rFonts w:ascii="宋体" w:hAnsi="宋体" w:eastAsia="Calibri" w:cs="宋体"/>
                <w:bCs/>
                <w:color w:val="auto"/>
                <w:sz w:val="24"/>
                <w:szCs w:val="24"/>
                <w:highlight w:val="white"/>
                <w:lang w:val="zh-CN" w:eastAsia="zh-CN"/>
              </w:rPr>
              <w:t>LED指示灯指示通行方向功能检验：样机可通过LED指示灯指示通行方向</w:t>
            </w:r>
          </w:p>
          <w:p w14:paraId="6FF9082B">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8.</w:t>
            </w:r>
            <w:r>
              <w:rPr>
                <w:rFonts w:ascii="宋体" w:hAnsi="宋体" w:eastAsia="Calibri" w:cs="宋体"/>
                <w:bCs/>
                <w:color w:val="auto"/>
                <w:sz w:val="24"/>
                <w:szCs w:val="24"/>
                <w:highlight w:val="white"/>
                <w:lang w:val="zh-CN" w:eastAsia="zh-CN"/>
              </w:rPr>
              <w:t xml:space="preserve"> 防夹功能检验：样机的拦挡部分在运动过程中，通道拦挡部分运行区域有人或物时，拦挡部分应停止运动并自动运行到允许通行状态，并给出报警</w:t>
            </w:r>
          </w:p>
          <w:p w14:paraId="4AF35DC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9.</w:t>
            </w:r>
            <w:r>
              <w:rPr>
                <w:rFonts w:ascii="宋体" w:hAnsi="宋体" w:eastAsia="Calibri" w:cs="宋体"/>
                <w:bCs/>
                <w:color w:val="auto"/>
                <w:sz w:val="24"/>
                <w:szCs w:val="24"/>
                <w:highlight w:val="white"/>
                <w:lang w:val="zh-CN" w:eastAsia="zh-CN"/>
              </w:rPr>
              <w:t xml:space="preserve"> 远程开启/关闭功能检验：可通过管理软件远程控制样机开启/关闭通行通道</w:t>
            </w:r>
          </w:p>
          <w:p w14:paraId="465CA2D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cs="宋体"/>
                <w:bCs/>
                <w:color w:val="auto"/>
                <w:sz w:val="24"/>
                <w:szCs w:val="24"/>
                <w:highlight w:val="white"/>
                <w:lang w:eastAsia="zh-CN"/>
              </w:rPr>
              <w:t>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抗电强度试验：安全防范报警设备的电源插头或电源引入端与外壳裸露金属部件之间，应能承受GB16796-2009中表1规定的45Hz~65Hz交流电压的抗电强度试验，历时1min应无击穿和飞弧现象</w:t>
            </w:r>
          </w:p>
          <w:p w14:paraId="22D4B28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通道宽度 ≤550mm</w:t>
            </w:r>
          </w:p>
          <w:p w14:paraId="21A485D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尺寸：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1200</w:t>
            </w:r>
            <w:r>
              <w:rPr>
                <w:rFonts w:ascii="宋体" w:hAnsi="宋体" w:eastAsia="Calibri" w:cs="宋体"/>
                <w:bCs/>
                <w:color w:val="auto"/>
                <w:sz w:val="24"/>
                <w:szCs w:val="24"/>
                <w:highlight w:val="white"/>
                <w:lang w:eastAsia="zh-CN"/>
              </w:rPr>
              <w:t>mm（长）</w:t>
            </w:r>
            <w:r>
              <w:rPr>
                <w:rFonts w:ascii="宋体" w:hAnsi="宋体" w:eastAsia="Calibri" w:cs="宋体"/>
                <w:bCs/>
                <w:color w:val="auto"/>
                <w:sz w:val="24"/>
                <w:szCs w:val="24"/>
                <w:highlight w:val="white"/>
                <w:lang w:val="zh-CN" w:eastAsia="zh-CN"/>
              </w:rPr>
              <w:t>*</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300</w:t>
            </w:r>
            <w:r>
              <w:rPr>
                <w:rFonts w:ascii="宋体" w:hAnsi="宋体" w:eastAsia="Calibri" w:cs="宋体"/>
                <w:bCs/>
                <w:color w:val="auto"/>
                <w:sz w:val="24"/>
                <w:szCs w:val="24"/>
                <w:highlight w:val="white"/>
                <w:lang w:eastAsia="zh-CN"/>
              </w:rPr>
              <w:t>mm（宽）</w:t>
            </w:r>
            <w:r>
              <w:rPr>
                <w:rFonts w:ascii="宋体" w:hAnsi="宋体" w:eastAsia="Calibri" w:cs="宋体"/>
                <w:bCs/>
                <w:color w:val="auto"/>
                <w:sz w:val="24"/>
                <w:szCs w:val="24"/>
                <w:highlight w:val="white"/>
                <w:lang w:val="zh-CN" w:eastAsia="zh-CN"/>
              </w:rPr>
              <w:t>*</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980mm</w:t>
            </w:r>
            <w:r>
              <w:rPr>
                <w:rFonts w:ascii="宋体" w:hAnsi="宋体" w:eastAsia="Calibri" w:cs="宋体"/>
                <w:bCs/>
                <w:color w:val="auto"/>
                <w:sz w:val="24"/>
                <w:szCs w:val="24"/>
                <w:highlight w:val="white"/>
                <w:lang w:eastAsia="zh-CN"/>
              </w:rPr>
              <w:t>（高）</w:t>
            </w:r>
            <w:r>
              <w:rPr>
                <w:rFonts w:ascii="宋体" w:hAnsi="宋体" w:eastAsia="Calibri" w:cs="宋体"/>
                <w:bCs/>
                <w:color w:val="auto"/>
                <w:sz w:val="24"/>
                <w:szCs w:val="24"/>
                <w:highlight w:val="white"/>
                <w:lang w:val="zh-CN" w:eastAsia="zh-CN"/>
              </w:rPr>
              <w:t xml:space="preserve"> </w:t>
            </w:r>
          </w:p>
          <w:p w14:paraId="1DCFFA2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材料厚度： 顶盖厚度</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 mm，其他厚度</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 mm</w:t>
            </w:r>
          </w:p>
          <w:p w14:paraId="490E78B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红外</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6对</w:t>
            </w:r>
          </w:p>
          <w:p w14:paraId="0176A83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工作环境 室内、室外（需配防雨架）</w:t>
            </w:r>
          </w:p>
        </w:tc>
        <w:tc>
          <w:tcPr>
            <w:tcW w:w="1418" w:type="dxa"/>
            <w:vAlign w:val="center"/>
          </w:tcPr>
          <w:p w14:paraId="305FC378">
            <w:pPr>
              <w:jc w:val="center"/>
              <w:rPr>
                <w:rFonts w:ascii="Calibri" w:hAnsi="Calibri"/>
                <w:color w:val="auto"/>
              </w:rPr>
            </w:pPr>
            <w:r>
              <w:rPr>
                <w:rFonts w:ascii="Calibri" w:hAnsi="Calibri"/>
                <w:color w:val="auto"/>
              </w:rPr>
              <w:t>2台</w:t>
            </w:r>
          </w:p>
        </w:tc>
      </w:tr>
      <w:tr w14:paraId="3AC4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8AC0BC6">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10</w:t>
            </w:r>
          </w:p>
        </w:tc>
        <w:tc>
          <w:tcPr>
            <w:tcW w:w="1559" w:type="dxa"/>
            <w:vAlign w:val="center"/>
          </w:tcPr>
          <w:p w14:paraId="3B00CF08">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人脸识别消费终端</w:t>
            </w:r>
          </w:p>
        </w:tc>
        <w:tc>
          <w:tcPr>
            <w:tcW w:w="5528" w:type="dxa"/>
            <w:vAlign w:val="center"/>
          </w:tcPr>
          <w:p w14:paraId="17976FA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 容量：应支持高线存储</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50000个用户；应支持离线存储</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50000张人脸照片；应支持离线存储</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50000张识别卡信息。</w:t>
            </w:r>
          </w:p>
          <w:p w14:paraId="1A5A503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支付方式：应可支持刷卡、刷脸、公众号二维码、微信支付二维码、支付宝支付二维码支付；超消费限额时，应具有输入支付密码支付功能。</w:t>
            </w:r>
          </w:p>
          <w:p w14:paraId="7C3FF78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消费限制：应具有消费次功能，可以根据人员身份，按餐、日、月、食堂、档口或消费机进行限次；应具有消费限额功能，可以根据人员身份，按餐、日、月、食堂或档口进行消费限额；应具有超消费限额输入支付密码功能；应具有就餐限制功能，可按身份、餐段、部门设置可以消费的人员； </w:t>
            </w:r>
          </w:p>
          <w:p w14:paraId="3557D4B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折扣议价：应具有设置固定金额模式功能，可支持根据人员身份设置不同的价格模式，包括标准消费方式（固定金额消费）、议价（第一笔消费按固定金额扣费，第二笔消费及之后按议价金额消费）、免费、每日第一笔消费按固定金额扣费，第二笔消费开始免费等；应具有身份折扣功能，可根据人员身份设置每餐不同的消费折扣；应具有设置份饭（固定金额）模式功能，可设置一周每日不同价格，节假日可单独设置金额； </w:t>
            </w:r>
          </w:p>
          <w:p w14:paraId="05DCAB0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补助现金双账：应具有配置补助和现金分</w:t>
            </w:r>
            <w:r>
              <w:rPr>
                <w:rFonts w:hint="eastAsia" w:ascii="宋体" w:hAnsi="宋体" w:eastAsia="Calibri" w:cs="宋体"/>
                <w:bCs/>
                <w:color w:val="auto"/>
                <w:sz w:val="24"/>
                <w:szCs w:val="24"/>
                <w:highlight w:val="white"/>
                <w:lang w:val="zh-CN" w:eastAsia="zh-CN"/>
              </w:rPr>
              <w:t>账号</w:t>
            </w:r>
            <w:r>
              <w:rPr>
                <w:rFonts w:ascii="宋体" w:hAnsi="宋体" w:eastAsia="Calibri" w:cs="宋体"/>
                <w:bCs/>
                <w:color w:val="auto"/>
                <w:sz w:val="24"/>
                <w:szCs w:val="24"/>
                <w:highlight w:val="white"/>
                <w:lang w:val="zh-CN" w:eastAsia="zh-CN"/>
              </w:rPr>
              <w:t>功能；应具有设置自动发放补助和补助清零功能，可按人员身份设置定期发放补助和清除补助计划；应可按人员身份设置补助占扣款比例；应可按人员身份设置首次消费扣除固定补助金额；应具有每餐首次消费自动发放补助功能，可设置发放补助的最低消费金额，首次消费超过该金额自动发放补助；应具有补助清零功能；</w:t>
            </w:r>
          </w:p>
          <w:p w14:paraId="7097DF2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营养分析：应具有营养分析功能，可支持点餐模式，根据每餐购买的菜品，自动计算营养摄入情况；移动端应可查看每天就餐情况、三大营养素的摄入情况和身体BMI指数等信息； </w:t>
            </w:r>
          </w:p>
          <w:p w14:paraId="1A27A54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摄像头：双目，200万有效像素，1920*1080，双目摄像头，可见光和近红外，支持活体检测</w:t>
            </w:r>
          </w:p>
          <w:p w14:paraId="2B3CBA6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刷卡模块：13．56MHz、非接触CPU卡</w:t>
            </w:r>
          </w:p>
          <w:p w14:paraId="68D1BF5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通讯方式：LAN+WIFI+蓝牙</w:t>
            </w:r>
          </w:p>
          <w:p w14:paraId="3C274D6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工作湿度：0～90%相对湿度,无冷凝</w:t>
            </w:r>
          </w:p>
          <w:p w14:paraId="5DFC144D">
            <w:pP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11</w:t>
            </w:r>
            <w:r>
              <w:rPr>
                <w:rFonts w:hint="eastAsia"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lang w:val="zh-CN"/>
              </w:rPr>
              <w:t>供电：DC12V/3A</w:t>
            </w:r>
          </w:p>
        </w:tc>
        <w:tc>
          <w:tcPr>
            <w:tcW w:w="1418" w:type="dxa"/>
            <w:vAlign w:val="center"/>
          </w:tcPr>
          <w:p w14:paraId="4C6AA2D5">
            <w:pPr>
              <w:jc w:val="center"/>
              <w:rPr>
                <w:rFonts w:ascii="Calibri" w:hAnsi="Calibri"/>
                <w:color w:val="auto"/>
              </w:rPr>
            </w:pPr>
            <w:r>
              <w:rPr>
                <w:rFonts w:ascii="Calibri" w:hAnsi="Calibri"/>
                <w:color w:val="auto"/>
              </w:rPr>
              <w:t>3台</w:t>
            </w:r>
          </w:p>
        </w:tc>
      </w:tr>
      <w:tr w14:paraId="3A2E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44017EC">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1</w:t>
            </w:r>
          </w:p>
        </w:tc>
        <w:tc>
          <w:tcPr>
            <w:tcW w:w="1559" w:type="dxa"/>
            <w:vAlign w:val="center"/>
          </w:tcPr>
          <w:p w14:paraId="3C602995">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水控POS机</w:t>
            </w:r>
          </w:p>
        </w:tc>
        <w:tc>
          <w:tcPr>
            <w:tcW w:w="5528" w:type="dxa"/>
            <w:vAlign w:val="center"/>
          </w:tcPr>
          <w:p w14:paraId="38D72C5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为了兼容现有的校园卡和业务场景实际需求，公寓水控系统要求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定制化一款水控POS机支持密码、扫码</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公众号二维码、微信支付二维码、支付宝支付二维码支付</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根据学校要求设置</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、刷卡支付，按钮停水开关。</w:t>
            </w:r>
          </w:p>
          <w:p w14:paraId="4297603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密码、卡片和手机用水都共用钱包，无须额外操作；</w:t>
            </w:r>
          </w:p>
          <w:p w14:paraId="41FEAA5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独特扣费精确到厘，扣费更精确，更准确；</w:t>
            </w:r>
          </w:p>
          <w:p w14:paraId="7E79BA1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异常干扰自动关阀功能：遇外界强磁干扰时，自动关阀；</w:t>
            </w:r>
          </w:p>
          <w:p w14:paraId="7768047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水表一体化及防水设计施工简单更易于维护；</w:t>
            </w:r>
          </w:p>
          <w:p w14:paraId="01191B1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采用计时和计量方式扣费，可以对费率进行灵活设置，符合各种需求；</w:t>
            </w:r>
          </w:p>
          <w:p w14:paraId="5D28CD4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采用微信/支付宝充值，既方便快捷又安全无忧；</w:t>
            </w:r>
          </w:p>
          <w:p w14:paraId="0C93A8C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学生自主绑卡、自助设置密码方便快捷；</w:t>
            </w:r>
          </w:p>
          <w:p w14:paraId="02BA129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无脉冲检测时自动报警关阀；</w:t>
            </w:r>
          </w:p>
          <w:p w14:paraId="6929091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支持蓝牙+NB-IOT通讯方式</w:t>
            </w:r>
          </w:p>
          <w:p w14:paraId="7488D67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10.工作电压: 12VDC.</w:t>
            </w:r>
          </w:p>
          <w:p w14:paraId="2031F63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11.操作距离: 0--25mm.</w:t>
            </w:r>
          </w:p>
          <w:p w14:paraId="5A382FE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12.正常工作功率：</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6W</w:t>
            </w:r>
          </w:p>
          <w:p w14:paraId="001DB06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工作频率：50HZ</w:t>
            </w:r>
          </w:p>
          <w:p w14:paraId="13DCE1F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正常工作电流：500MA</w:t>
            </w:r>
          </w:p>
          <w:p w14:paraId="5D91EA8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待机工作电流：200MA</w:t>
            </w:r>
          </w:p>
          <w:p w14:paraId="2D8805D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待机功率：</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2.5W</w:t>
            </w:r>
          </w:p>
          <w:p w14:paraId="6C74D70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卡片类型：识别任意IC卡、CPU卡、非接触式银行卡等</w:t>
            </w:r>
          </w:p>
          <w:p w14:paraId="29D25AC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环境温度: 0℃-90℃.</w:t>
            </w:r>
          </w:p>
          <w:p w14:paraId="21F208F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耐压性：&lt;=1.0MPa</w:t>
            </w:r>
          </w:p>
          <w:p w14:paraId="340A350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电磁阀在0.03-0.8MPa时：正常开阀</w:t>
            </w:r>
          </w:p>
          <w:p w14:paraId="3BC897B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计费精度：</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0.001 元.</w:t>
            </w:r>
          </w:p>
          <w:p w14:paraId="57BD851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最大累计消费总额: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4000 万.</w:t>
            </w:r>
          </w:p>
          <w:p w14:paraId="5C80E0C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尺寸：长</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185mm    宽</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92mm    高</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99mm</w:t>
            </w:r>
          </w:p>
          <w:p w14:paraId="4A168D9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蓝牙连接距离：</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5M内</w:t>
            </w:r>
          </w:p>
          <w:p w14:paraId="66A8CCF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适配机型：Android、IOS系统智能手机</w:t>
            </w:r>
          </w:p>
          <w:p w14:paraId="1AF0EDB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26</w:t>
            </w:r>
            <w:r>
              <w:rPr>
                <w:rFonts w:hint="eastAsia" w:ascii="宋体" w:hAnsi="宋体" w:eastAsia="Calibri" w:cs="宋体"/>
                <w:bCs/>
                <w:color w:val="auto"/>
                <w:sz w:val="24"/>
                <w:szCs w:val="24"/>
                <w:highlight w:val="white"/>
                <w:lang w:val="zh-CN" w:eastAsia="zh-CN"/>
              </w:rPr>
              <w:t>.</w:t>
            </w:r>
            <w:r>
              <w:rPr>
                <w:rFonts w:eastAsia="Calibri"/>
                <w:bCs/>
                <w:color w:val="auto"/>
                <w:sz w:val="24"/>
                <w:szCs w:val="24"/>
                <w:highlight w:val="white"/>
                <w:lang w:val="zh-CN" w:eastAsia="zh-CN"/>
              </w:rPr>
              <w:t>LCD显示参数：双色，白色和蓝色，≥2.8英寸LCD</w:t>
            </w:r>
            <w:r>
              <w:rPr>
                <w:rFonts w:hint="eastAsia" w:eastAsia="Calibri"/>
                <w:bCs/>
                <w:color w:val="auto"/>
                <w:sz w:val="24"/>
                <w:szCs w:val="24"/>
                <w:highlight w:val="white"/>
                <w:lang w:val="zh-CN" w:eastAsia="zh-CN"/>
              </w:rPr>
              <w:t>数</w:t>
            </w:r>
            <w:r>
              <w:rPr>
                <w:rFonts w:eastAsia="Calibri"/>
                <w:bCs/>
                <w:color w:val="auto"/>
                <w:sz w:val="24"/>
                <w:szCs w:val="24"/>
                <w:highlight w:val="white"/>
                <w:lang w:val="zh-CN" w:eastAsia="zh-CN"/>
              </w:rPr>
              <w:t>码液晶屏，低</w:t>
            </w:r>
            <w:r>
              <w:rPr>
                <w:rFonts w:ascii="宋体" w:hAnsi="宋体" w:eastAsia="Calibri" w:cs="宋体"/>
                <w:bCs/>
                <w:color w:val="auto"/>
                <w:sz w:val="24"/>
                <w:szCs w:val="24"/>
                <w:highlight w:val="white"/>
                <w:lang w:val="zh-CN" w:eastAsia="zh-CN"/>
              </w:rPr>
              <w:t>功耗</w:t>
            </w:r>
          </w:p>
          <w:p w14:paraId="74821E64">
            <w:p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27.球阀</w:t>
            </w:r>
          </w:p>
          <w:p w14:paraId="1843A4B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规格：功率</w:t>
            </w:r>
            <w:r>
              <w:rPr>
                <w:rFonts w:ascii="宋体" w:hAnsi="宋体" w:eastAsia="Calibri" w:cs="宋体"/>
                <w:bCs/>
                <w:color w:val="auto"/>
                <w:sz w:val="24"/>
                <w:szCs w:val="24"/>
                <w:highlight w:val="white"/>
                <w:lang w:eastAsia="zh-CN"/>
              </w:rPr>
              <w:t>电压</w:t>
            </w:r>
            <w:r>
              <w:rPr>
                <w:rFonts w:ascii="宋体" w:hAnsi="宋体" w:eastAsia="Calibri" w:cs="宋体"/>
                <w:bCs/>
                <w:color w:val="auto"/>
                <w:sz w:val="24"/>
                <w:szCs w:val="24"/>
                <w:highlight w:val="white"/>
                <w:lang w:val="zh-CN" w:eastAsia="zh-CN"/>
              </w:rPr>
              <w:t>：5W@DC24V±10%；</w:t>
            </w:r>
          </w:p>
          <w:p w14:paraId="1EB8BF63">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物理尺寸：</w:t>
            </w:r>
            <w:r>
              <w:rPr>
                <w:rFonts w:ascii="宋体" w:hAnsi="宋体" w:eastAsia="Calibri" w:cs="宋体"/>
                <w:bCs/>
                <w:color w:val="auto"/>
                <w:sz w:val="24"/>
                <w:szCs w:val="24"/>
                <w:highlight w:val="white"/>
                <w:lang w:eastAsia="zh-CN"/>
              </w:rPr>
              <w:t>长</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144</w:t>
            </w:r>
            <w:r>
              <w:rPr>
                <w:rFonts w:ascii="宋体" w:hAnsi="宋体" w:eastAsia="Calibri" w:cs="宋体"/>
                <w:bCs/>
                <w:color w:val="auto"/>
                <w:sz w:val="24"/>
                <w:szCs w:val="24"/>
                <w:highlight w:val="white"/>
                <w:lang w:eastAsia="zh-CN"/>
              </w:rPr>
              <w:t>mm，宽</w:t>
            </w:r>
            <w:r>
              <w:rPr>
                <w:rFonts w:eastAsia="Calibri"/>
                <w:bCs/>
                <w:color w:val="auto"/>
                <w:sz w:val="24"/>
                <w:szCs w:val="24"/>
                <w:highlight w:val="white"/>
                <w:lang w:val="zh-CN" w:eastAsia="zh-CN"/>
              </w:rPr>
              <w:t>≥</w:t>
            </w:r>
            <w:r>
              <w:rPr>
                <w:rFonts w:hint="eastAsia" w:eastAsia="Calibri"/>
                <w:bCs/>
                <w:color w:val="auto"/>
                <w:sz w:val="24"/>
                <w:szCs w:val="24"/>
                <w:highlight w:val="white"/>
                <w:lang w:eastAsia="zh-CN"/>
              </w:rPr>
              <w:t>4</w:t>
            </w:r>
            <w:r>
              <w:rPr>
                <w:rFonts w:ascii="宋体" w:hAnsi="宋体" w:eastAsia="Calibri" w:cs="宋体"/>
                <w:bCs/>
                <w:color w:val="auto"/>
                <w:sz w:val="24"/>
                <w:szCs w:val="24"/>
                <w:highlight w:val="white"/>
                <w:lang w:val="zh-CN" w:eastAsia="zh-CN"/>
              </w:rPr>
              <w:t>0</w:t>
            </w:r>
            <w:r>
              <w:rPr>
                <w:rFonts w:ascii="宋体" w:hAnsi="宋体" w:eastAsia="Calibri" w:cs="宋体"/>
                <w:bCs/>
                <w:color w:val="auto"/>
                <w:sz w:val="24"/>
                <w:szCs w:val="24"/>
                <w:highlight w:val="white"/>
                <w:lang w:eastAsia="zh-CN"/>
              </w:rPr>
              <w:t>mm，高</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64mm；</w:t>
            </w:r>
          </w:p>
          <w:p w14:paraId="7D22A55D">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阀体材质：铜阀体；</w:t>
            </w:r>
          </w:p>
          <w:p w14:paraId="0283BC0D">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接管口径：G1/2(四分管)；</w:t>
            </w:r>
          </w:p>
          <w:p w14:paraId="7F1D8B3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公称口径：DN15；</w:t>
            </w:r>
          </w:p>
          <w:p w14:paraId="213E4F6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介质温度：1-100℃（液态水）；</w:t>
            </w:r>
          </w:p>
          <w:p w14:paraId="6E8D537A">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瞬间最高水压力：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1.2MPa；</w:t>
            </w:r>
          </w:p>
          <w:p w14:paraId="29C59787">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有效量程： 1L/min～20L/min；；</w:t>
            </w:r>
          </w:p>
          <w:p w14:paraId="2585713E">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流量精度： 脉冲频率（Hz）值±5%</w:t>
            </w:r>
          </w:p>
          <w:p w14:paraId="3314137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工作温度：-5℃-45℃；</w:t>
            </w:r>
          </w:p>
          <w:p w14:paraId="28FD93D2">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工作湿度： 35%～90%RH（无霜）；</w:t>
            </w:r>
          </w:p>
        </w:tc>
        <w:tc>
          <w:tcPr>
            <w:tcW w:w="1418" w:type="dxa"/>
            <w:vAlign w:val="center"/>
          </w:tcPr>
          <w:p w14:paraId="04CDDBD0">
            <w:pPr>
              <w:jc w:val="center"/>
              <w:rPr>
                <w:rFonts w:ascii="Calibri" w:hAnsi="Calibri"/>
                <w:color w:val="auto"/>
              </w:rPr>
            </w:pPr>
            <w:r>
              <w:rPr>
                <w:rFonts w:ascii="Calibri" w:hAnsi="Calibri"/>
                <w:color w:val="auto"/>
              </w:rPr>
              <w:t>64台</w:t>
            </w:r>
          </w:p>
        </w:tc>
      </w:tr>
      <w:tr w14:paraId="2ADB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290B350">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2</w:t>
            </w:r>
          </w:p>
        </w:tc>
        <w:tc>
          <w:tcPr>
            <w:tcW w:w="1559" w:type="dxa"/>
            <w:vAlign w:val="center"/>
          </w:tcPr>
          <w:p w14:paraId="2D778CFC">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电源控制箱</w:t>
            </w:r>
          </w:p>
        </w:tc>
        <w:tc>
          <w:tcPr>
            <w:tcW w:w="5528" w:type="dxa"/>
            <w:vAlign w:val="center"/>
          </w:tcPr>
          <w:p w14:paraId="14E535F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给水控系统设备供电使用，每个水控+水阀1A</w:t>
            </w:r>
          </w:p>
          <w:p w14:paraId="214989B3">
            <w:pP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2</w:t>
            </w:r>
            <w:r>
              <w:rPr>
                <w:rFonts w:hint="eastAsia"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lang w:val="zh-CN"/>
              </w:rPr>
              <w:t>集中供电</w:t>
            </w:r>
          </w:p>
        </w:tc>
        <w:tc>
          <w:tcPr>
            <w:tcW w:w="1418" w:type="dxa"/>
            <w:vAlign w:val="center"/>
          </w:tcPr>
          <w:p w14:paraId="686B53FB">
            <w:pPr>
              <w:jc w:val="center"/>
              <w:rPr>
                <w:rFonts w:ascii="Calibri" w:hAnsi="Calibri"/>
                <w:color w:val="auto"/>
              </w:rPr>
            </w:pPr>
            <w:r>
              <w:rPr>
                <w:rFonts w:ascii="Calibri" w:hAnsi="Calibri"/>
                <w:color w:val="auto"/>
              </w:rPr>
              <w:t>8个</w:t>
            </w:r>
          </w:p>
        </w:tc>
      </w:tr>
      <w:tr w14:paraId="3D8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E1B25F3">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3</w:t>
            </w:r>
          </w:p>
        </w:tc>
        <w:tc>
          <w:tcPr>
            <w:tcW w:w="1559" w:type="dxa"/>
            <w:vAlign w:val="center"/>
          </w:tcPr>
          <w:p w14:paraId="33CECD97">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水控POS机</w:t>
            </w:r>
          </w:p>
        </w:tc>
        <w:tc>
          <w:tcPr>
            <w:tcW w:w="5528" w:type="dxa"/>
            <w:vAlign w:val="center"/>
          </w:tcPr>
          <w:p w14:paraId="02E3E10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为了兼容现有的校园卡和业务场景实际需求，浴池水控系统要求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定制化一款水控POS机，支持密码、刷卡支付。</w:t>
            </w:r>
          </w:p>
          <w:p w14:paraId="552CAEE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通信方式：水控器总线式（485、CAN）、采集器采用TCP/IP网络通讯.</w:t>
            </w:r>
          </w:p>
          <w:p w14:paraId="2E3A4E71">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工作电压:采集器12VDC、水控器12-24VDC.</w:t>
            </w:r>
          </w:p>
          <w:p w14:paraId="379E9326">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电流：水控器待机120mA   水控器正常工作420mA.</w:t>
            </w:r>
          </w:p>
          <w:p w14:paraId="1376B09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功率：水控器12W.</w:t>
            </w:r>
          </w:p>
          <w:p w14:paraId="2B58118A">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 xml:space="preserve"> </w:t>
            </w:r>
            <w:r>
              <w:rPr>
                <w:rFonts w:ascii="宋体" w:hAnsi="宋体" w:eastAsia="Calibri" w:cs="宋体"/>
                <w:bCs/>
                <w:color w:val="auto"/>
                <w:sz w:val="24"/>
                <w:szCs w:val="24"/>
                <w:highlight w:val="white"/>
                <w:lang w:val="zh-CN" w:eastAsia="zh-CN"/>
              </w:rPr>
              <w:t>输出控制方式:直接控制.</w:t>
            </w:r>
          </w:p>
          <w:p w14:paraId="5714B103">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计费精度:0.01元.</w:t>
            </w:r>
          </w:p>
          <w:p w14:paraId="4D3586C4">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整机尺寸</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110mm*</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110mm*</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56mm.</w:t>
            </w:r>
          </w:p>
          <w:p w14:paraId="4BCF7389">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2.8寸TFT</w:t>
            </w:r>
          </w:p>
          <w:p w14:paraId="2A6099BC">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eastAsia="zh-CN"/>
              </w:rPr>
              <w:t>9</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 xml:space="preserve"> 环境温度: -10℃--50℃.</w:t>
            </w:r>
          </w:p>
          <w:p w14:paraId="5B9D978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eastAsia="zh-CN"/>
              </w:rPr>
              <w:t>10</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 xml:space="preserve"> 布线距离：300米内</w:t>
            </w:r>
          </w:p>
          <w:p w14:paraId="009F428B">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eastAsia="zh-CN"/>
              </w:rPr>
              <w:t>11</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 xml:space="preserve"> 兼容M1卡、复合卡、FM1208-09CPU卡</w:t>
            </w:r>
          </w:p>
          <w:p w14:paraId="1DE8E4F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cs="宋体"/>
                <w:bCs/>
                <w:color w:val="auto"/>
                <w:sz w:val="24"/>
                <w:szCs w:val="24"/>
                <w:highlight w:val="white"/>
                <w:lang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球阀</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规格：功率</w:t>
            </w:r>
            <w:r>
              <w:rPr>
                <w:rFonts w:ascii="宋体" w:hAnsi="宋体" w:eastAsia="Calibri" w:cs="宋体"/>
                <w:bCs/>
                <w:color w:val="auto"/>
                <w:sz w:val="24"/>
                <w:szCs w:val="24"/>
                <w:highlight w:val="white"/>
                <w:lang w:eastAsia="zh-CN"/>
              </w:rPr>
              <w:t>电压</w:t>
            </w:r>
            <w:r>
              <w:rPr>
                <w:rFonts w:ascii="宋体" w:hAnsi="宋体" w:eastAsia="Calibri" w:cs="宋体"/>
                <w:bCs/>
                <w:color w:val="auto"/>
                <w:sz w:val="24"/>
                <w:szCs w:val="24"/>
                <w:highlight w:val="white"/>
                <w:lang w:val="zh-CN" w:eastAsia="zh-CN"/>
              </w:rPr>
              <w:t>：5W@DC24V±10%；</w:t>
            </w:r>
          </w:p>
          <w:p w14:paraId="2197273D">
            <w:pPr>
              <w:pStyle w:val="54"/>
              <w:ind w:firstLine="240" w:firstLineChars="1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物理尺寸：</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144*</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40*</w:t>
            </w:r>
            <w:r>
              <w:rPr>
                <w:rFonts w:ascii="Arial" w:hAnsi="Arial"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64mm；</w:t>
            </w:r>
          </w:p>
          <w:p w14:paraId="5441C517">
            <w:pPr>
              <w:pStyle w:val="54"/>
              <w:ind w:firstLine="48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阀体材质：铜阀体；</w:t>
            </w:r>
          </w:p>
          <w:p w14:paraId="7B21722A">
            <w:pPr>
              <w:pStyle w:val="54"/>
              <w:ind w:firstLine="240" w:firstLineChars="1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接管口径：G1/2(四分管)；</w:t>
            </w:r>
          </w:p>
          <w:p w14:paraId="1BFD9124">
            <w:pPr>
              <w:pStyle w:val="54"/>
              <w:ind w:firstLine="48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公称口径：DN15；</w:t>
            </w:r>
          </w:p>
          <w:p w14:paraId="72167212">
            <w:pPr>
              <w:pStyle w:val="54"/>
              <w:ind w:firstLine="48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介质温度：1-100℃（液态水）；</w:t>
            </w:r>
          </w:p>
          <w:p w14:paraId="60A1B0CF">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w:t>
            </w:r>
            <w:r>
              <w:rPr>
                <w:rFonts w:hint="eastAsia" w:ascii="宋体" w:hAnsi="宋体" w:cs="宋体"/>
                <w:bCs/>
                <w:color w:val="auto"/>
                <w:sz w:val="24"/>
                <w:szCs w:val="24"/>
                <w:highlight w:val="white"/>
                <w:lang w:eastAsia="zh-CN"/>
              </w:rPr>
              <w:t xml:space="preserve">   </w:t>
            </w:r>
            <w:r>
              <w:rPr>
                <w:rFonts w:ascii="宋体" w:hAnsi="宋体" w:eastAsia="Calibri" w:cs="宋体"/>
                <w:bCs/>
                <w:color w:val="auto"/>
                <w:sz w:val="24"/>
                <w:szCs w:val="24"/>
                <w:highlight w:val="white"/>
                <w:lang w:val="zh-CN" w:eastAsia="zh-CN"/>
              </w:rPr>
              <w:t>瞬间最高水压力： 1.2MPa；</w:t>
            </w:r>
          </w:p>
          <w:p w14:paraId="3BB9163D">
            <w:pPr>
              <w:pStyle w:val="54"/>
              <w:ind w:firstLine="0" w:firstLineChars="0"/>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eastAsia="zh-CN"/>
              </w:rPr>
              <w:t xml:space="preserve"> </w:t>
            </w:r>
            <w:r>
              <w:rPr>
                <w:rFonts w:hint="eastAsia" w:ascii="宋体" w:hAnsi="宋体" w:cs="宋体"/>
                <w:bCs/>
                <w:color w:val="auto"/>
                <w:sz w:val="24"/>
                <w:szCs w:val="24"/>
                <w:highlight w:val="white"/>
                <w:lang w:eastAsia="zh-CN"/>
              </w:rPr>
              <w:t xml:space="preserve">   </w:t>
            </w:r>
            <w:r>
              <w:rPr>
                <w:rFonts w:ascii="宋体" w:hAnsi="宋体" w:eastAsia="Calibri" w:cs="宋体"/>
                <w:bCs/>
                <w:color w:val="auto"/>
                <w:sz w:val="24"/>
                <w:szCs w:val="24"/>
                <w:highlight w:val="white"/>
                <w:lang w:val="zh-CN"/>
              </w:rPr>
              <w:t>有效量程</w:t>
            </w:r>
            <w:r>
              <w:rPr>
                <w:rFonts w:ascii="宋体" w:hAnsi="宋体" w:eastAsia="Calibri" w:cs="宋体"/>
                <w:bCs/>
                <w:color w:val="auto"/>
                <w:sz w:val="24"/>
                <w:szCs w:val="24"/>
                <w:highlight w:val="white"/>
              </w:rPr>
              <w:t>： 1L/min</w:t>
            </w:r>
            <w:r>
              <w:rPr>
                <w:rFonts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rPr>
              <w:t>20L/min；；</w:t>
            </w:r>
          </w:p>
          <w:p w14:paraId="79641A85">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rPr>
              <w:t xml:space="preserve"> </w:t>
            </w:r>
            <w:r>
              <w:rPr>
                <w:rFonts w:hint="eastAsia" w:ascii="宋体" w:hAnsi="宋体" w:cs="宋体"/>
                <w:bCs/>
                <w:color w:val="auto"/>
                <w:sz w:val="24"/>
                <w:szCs w:val="24"/>
                <w:highlight w:val="white"/>
                <w:lang w:eastAsia="zh-CN"/>
              </w:rPr>
              <w:t xml:space="preserve">   </w:t>
            </w:r>
            <w:r>
              <w:rPr>
                <w:rFonts w:ascii="宋体" w:hAnsi="宋体" w:eastAsia="Calibri" w:cs="宋体"/>
                <w:bCs/>
                <w:color w:val="auto"/>
                <w:sz w:val="24"/>
                <w:szCs w:val="24"/>
                <w:highlight w:val="white"/>
                <w:lang w:val="zh-CN" w:eastAsia="zh-CN"/>
              </w:rPr>
              <w:t>流量精度： 脉冲频率（Hz）值±5%</w:t>
            </w:r>
          </w:p>
          <w:p w14:paraId="04111A18">
            <w:pPr>
              <w:pStyle w:val="54"/>
              <w:ind w:firstLine="0" w:firstLineChars="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w:t>
            </w:r>
            <w:r>
              <w:rPr>
                <w:rFonts w:hint="eastAsia" w:ascii="宋体" w:hAnsi="宋体" w:cs="宋体"/>
                <w:bCs/>
                <w:color w:val="auto"/>
                <w:sz w:val="24"/>
                <w:szCs w:val="24"/>
                <w:highlight w:val="white"/>
                <w:lang w:eastAsia="zh-CN"/>
              </w:rPr>
              <w:t xml:space="preserve">   </w:t>
            </w:r>
            <w:r>
              <w:rPr>
                <w:rFonts w:ascii="宋体" w:hAnsi="宋体" w:eastAsia="Calibri" w:cs="宋体"/>
                <w:bCs/>
                <w:color w:val="auto"/>
                <w:sz w:val="24"/>
                <w:szCs w:val="24"/>
                <w:highlight w:val="white"/>
                <w:lang w:val="zh-CN" w:eastAsia="zh-CN"/>
              </w:rPr>
              <w:t>工作温度：-5℃-45℃；</w:t>
            </w:r>
          </w:p>
          <w:p w14:paraId="7CB96944">
            <w:pPr>
              <w:pStyle w:val="54"/>
              <w:ind w:firstLine="48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工作湿度： 35%～90%RH（无霜）；</w:t>
            </w:r>
          </w:p>
          <w:p w14:paraId="08933951">
            <w:pPr>
              <w:pStyle w:val="54"/>
              <w:ind w:firstLine="0" w:firstLineChars="0"/>
              <w:rPr>
                <w:rFonts w:ascii="宋体" w:hAnsi="宋体" w:eastAsia="Calibri" w:cs="宋体"/>
                <w:bCs/>
                <w:color w:val="auto"/>
                <w:sz w:val="24"/>
                <w:szCs w:val="24"/>
                <w:highlight w:val="white"/>
                <w:lang w:val="zh-CN" w:eastAsia="zh-CN"/>
              </w:rPr>
            </w:pPr>
          </w:p>
        </w:tc>
        <w:tc>
          <w:tcPr>
            <w:tcW w:w="1418" w:type="dxa"/>
            <w:vAlign w:val="center"/>
          </w:tcPr>
          <w:p w14:paraId="51DD3401">
            <w:pPr>
              <w:jc w:val="center"/>
              <w:rPr>
                <w:rFonts w:ascii="Calibri" w:hAnsi="Calibri"/>
                <w:color w:val="auto"/>
              </w:rPr>
            </w:pPr>
            <w:r>
              <w:rPr>
                <w:rFonts w:ascii="Calibri" w:hAnsi="Calibri"/>
                <w:color w:val="auto"/>
              </w:rPr>
              <w:t>180台</w:t>
            </w:r>
          </w:p>
        </w:tc>
      </w:tr>
      <w:tr w14:paraId="243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A897A40">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4</w:t>
            </w:r>
          </w:p>
        </w:tc>
        <w:tc>
          <w:tcPr>
            <w:tcW w:w="1559" w:type="dxa"/>
            <w:vAlign w:val="center"/>
          </w:tcPr>
          <w:p w14:paraId="65C74DB8">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中央集控器</w:t>
            </w:r>
          </w:p>
        </w:tc>
        <w:tc>
          <w:tcPr>
            <w:tcW w:w="5528" w:type="dxa"/>
            <w:vAlign w:val="center"/>
          </w:tcPr>
          <w:p w14:paraId="4C7D985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为了兼容现有的校园卡和业务场景实际需求，浴池水控系统要求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定制化一款具有采集浴池消费数据的智能终端。</w:t>
            </w:r>
          </w:p>
          <w:p w14:paraId="625601B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数据实时处理，数据更新及时。</w:t>
            </w:r>
          </w:p>
          <w:p w14:paraId="3AB3672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基于232串口协议，使网络环境的组建更加灵活，布线操作更简单</w:t>
            </w:r>
          </w:p>
          <w:p w14:paraId="36C1448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每台网卡下最多可连接32台消费机。</w:t>
            </w:r>
          </w:p>
          <w:p w14:paraId="63DCE6B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温度 -10℃-75℃</w:t>
            </w:r>
          </w:p>
          <w:p w14:paraId="4D2A041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湿度 10%-90%RH</w:t>
            </w:r>
          </w:p>
          <w:p w14:paraId="488D860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电源 AC220V，50Hz</w:t>
            </w:r>
          </w:p>
          <w:p w14:paraId="1AAD2D5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后备电源 容量</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1200mAh</w:t>
            </w:r>
          </w:p>
          <w:p w14:paraId="2403268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功率 &lt;3W</w:t>
            </w:r>
          </w:p>
          <w:p w14:paraId="346E8C8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通讯距离 </w:t>
            </w:r>
            <w:r>
              <w:rPr>
                <w:rFonts w:hint="eastAsia" w:ascii="宋体" w:hAnsi="宋体" w:cs="宋体"/>
                <w:bCs/>
                <w:color w:val="auto"/>
                <w:sz w:val="24"/>
                <w:szCs w:val="24"/>
                <w:highlight w:val="white"/>
                <w:lang w:eastAsia="zh-CN"/>
              </w:rPr>
              <w:t>≤</w:t>
            </w:r>
            <w:r>
              <w:rPr>
                <w:rFonts w:ascii="宋体" w:hAnsi="宋体" w:eastAsia="Calibri" w:cs="宋体"/>
                <w:bCs/>
                <w:color w:val="auto"/>
                <w:sz w:val="24"/>
                <w:szCs w:val="24"/>
                <w:highlight w:val="white"/>
                <w:lang w:val="zh-CN" w:eastAsia="zh-CN"/>
              </w:rPr>
              <w:t>1200m</w:t>
            </w:r>
          </w:p>
          <w:p w14:paraId="27D8E1E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通讯方式 RS232/485通讯</w:t>
            </w:r>
          </w:p>
          <w:p w14:paraId="782DC4D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档案容量 </w:t>
            </w:r>
            <w:r>
              <w:rPr>
                <w:rFonts w:hint="eastAsia"/>
                <w:color w:val="auto"/>
                <w:lang w:eastAsia="zh-CN"/>
              </w:rPr>
              <w:t>≥</w:t>
            </w:r>
            <w:r>
              <w:rPr>
                <w:rFonts w:ascii="宋体" w:hAnsi="宋体" w:eastAsia="Calibri" w:cs="宋体"/>
                <w:bCs/>
                <w:color w:val="auto"/>
                <w:sz w:val="24"/>
                <w:szCs w:val="24"/>
                <w:highlight w:val="white"/>
                <w:lang w:val="zh-CN" w:eastAsia="zh-CN"/>
              </w:rPr>
              <w:t>6万</w:t>
            </w:r>
          </w:p>
          <w:p w14:paraId="218A6D3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数据容量 </w:t>
            </w:r>
            <w:r>
              <w:rPr>
                <w:rFonts w:hint="eastAsia"/>
                <w:color w:val="auto"/>
                <w:lang w:eastAsia="zh-CN"/>
              </w:rPr>
              <w:t>≥</w:t>
            </w:r>
            <w:r>
              <w:rPr>
                <w:rFonts w:ascii="宋体" w:hAnsi="宋体" w:eastAsia="Calibri" w:cs="宋体"/>
                <w:bCs/>
                <w:color w:val="auto"/>
                <w:sz w:val="24"/>
                <w:szCs w:val="24"/>
                <w:highlight w:val="white"/>
                <w:lang w:val="zh-CN" w:eastAsia="zh-CN"/>
              </w:rPr>
              <w:t>10万</w:t>
            </w:r>
          </w:p>
          <w:p w14:paraId="6209E3F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断电数据保护时间 永久保存</w:t>
            </w:r>
          </w:p>
          <w:p w14:paraId="259A7FDE">
            <w:pP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14</w:t>
            </w:r>
            <w:r>
              <w:rPr>
                <w:rFonts w:hint="eastAsia"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lang w:val="zh-CN"/>
              </w:rPr>
              <w:t xml:space="preserve">外型尺寸 </w:t>
            </w:r>
            <w:r>
              <w:rPr>
                <w:rFonts w:hint="eastAsia"/>
                <w:color w:val="auto"/>
              </w:rPr>
              <w:t>≥</w:t>
            </w:r>
            <w:r>
              <w:rPr>
                <w:rFonts w:ascii="宋体" w:hAnsi="宋体" w:eastAsia="Calibri" w:cs="宋体"/>
                <w:bCs/>
                <w:color w:val="auto"/>
                <w:sz w:val="24"/>
                <w:szCs w:val="24"/>
                <w:highlight w:val="white"/>
                <w:lang w:val="zh-CN"/>
              </w:rPr>
              <w:t>232</w:t>
            </w:r>
            <w:r>
              <w:rPr>
                <w:rFonts w:hint="eastAsia" w:ascii="宋体" w:hAnsi="宋体" w:cs="宋体"/>
                <w:bCs/>
                <w:color w:val="auto"/>
                <w:sz w:val="24"/>
                <w:szCs w:val="24"/>
                <w:highlight w:val="white"/>
              </w:rPr>
              <w:t>mm</w:t>
            </w:r>
            <w:r>
              <w:rPr>
                <w:rFonts w:hint="eastAsia" w:ascii="宋体" w:hAnsi="宋体" w:eastAsia="Calibri" w:cs="宋体"/>
                <w:bCs/>
                <w:color w:val="auto"/>
                <w:sz w:val="24"/>
                <w:szCs w:val="24"/>
                <w:highlight w:val="white"/>
                <w:lang w:val="zh-CN"/>
              </w:rPr>
              <w:t>（</w:t>
            </w:r>
            <w:r>
              <w:rPr>
                <w:rFonts w:hint="eastAsia" w:ascii="宋体" w:hAnsi="宋体" w:cs="宋体"/>
                <w:bCs/>
                <w:color w:val="auto"/>
                <w:sz w:val="24"/>
                <w:szCs w:val="24"/>
                <w:highlight w:val="white"/>
              </w:rPr>
              <w:t>长</w:t>
            </w:r>
            <w:r>
              <w:rPr>
                <w:rFonts w:hint="eastAsia" w:ascii="宋体" w:hAnsi="宋体" w:eastAsia="Calibri" w:cs="宋体"/>
                <w:bCs/>
                <w:color w:val="auto"/>
                <w:sz w:val="24"/>
                <w:szCs w:val="24"/>
                <w:highlight w:val="white"/>
                <w:lang w:val="zh-CN"/>
              </w:rPr>
              <w:t>）</w:t>
            </w:r>
            <w:r>
              <w:rPr>
                <w:rFonts w:hint="eastAsia"/>
                <w:color w:val="auto"/>
              </w:rPr>
              <w:t>≥</w:t>
            </w:r>
            <w:r>
              <w:rPr>
                <w:rFonts w:ascii="宋体" w:hAnsi="宋体" w:eastAsia="Calibri" w:cs="宋体"/>
                <w:bCs/>
                <w:color w:val="auto"/>
                <w:sz w:val="24"/>
                <w:szCs w:val="24"/>
                <w:highlight w:val="white"/>
                <w:lang w:val="zh-CN"/>
              </w:rPr>
              <w:t>141</w:t>
            </w:r>
            <w:r>
              <w:rPr>
                <w:rFonts w:hint="eastAsia" w:ascii="宋体" w:hAnsi="宋体" w:cs="宋体"/>
                <w:bCs/>
                <w:color w:val="auto"/>
                <w:sz w:val="24"/>
                <w:szCs w:val="24"/>
                <w:highlight w:val="white"/>
              </w:rPr>
              <w:t>mm</w:t>
            </w:r>
            <w:r>
              <w:rPr>
                <w:rFonts w:hint="eastAsia" w:ascii="宋体" w:hAnsi="宋体" w:eastAsia="Calibri" w:cs="宋体"/>
                <w:bCs/>
                <w:color w:val="auto"/>
                <w:sz w:val="24"/>
                <w:szCs w:val="24"/>
                <w:highlight w:val="white"/>
                <w:lang w:val="zh-CN"/>
              </w:rPr>
              <w:t>（</w:t>
            </w:r>
            <w:r>
              <w:rPr>
                <w:rFonts w:hint="eastAsia" w:ascii="宋体" w:hAnsi="宋体" w:cs="宋体"/>
                <w:bCs/>
                <w:color w:val="auto"/>
                <w:sz w:val="24"/>
                <w:szCs w:val="24"/>
                <w:highlight w:val="white"/>
              </w:rPr>
              <w:t>宽</w:t>
            </w:r>
            <w:r>
              <w:rPr>
                <w:rFonts w:hint="eastAsia" w:ascii="宋体" w:hAnsi="宋体" w:eastAsia="Calibri" w:cs="宋体"/>
                <w:bCs/>
                <w:color w:val="auto"/>
                <w:sz w:val="24"/>
                <w:szCs w:val="24"/>
                <w:highlight w:val="white"/>
                <w:lang w:val="zh-CN"/>
              </w:rPr>
              <w:t>）</w:t>
            </w:r>
            <w:r>
              <w:rPr>
                <w:rFonts w:hint="eastAsia"/>
                <w:color w:val="auto"/>
              </w:rPr>
              <w:t>≥</w:t>
            </w:r>
            <w:r>
              <w:rPr>
                <w:rFonts w:ascii="宋体" w:hAnsi="宋体" w:eastAsia="Calibri" w:cs="宋体"/>
                <w:bCs/>
                <w:color w:val="auto"/>
                <w:sz w:val="24"/>
                <w:szCs w:val="24"/>
                <w:highlight w:val="white"/>
                <w:lang w:val="zh-CN"/>
              </w:rPr>
              <w:t>45mm</w:t>
            </w:r>
            <w:r>
              <w:rPr>
                <w:rFonts w:hint="eastAsia" w:ascii="宋体" w:hAnsi="宋体" w:eastAsia="Calibri" w:cs="宋体"/>
                <w:bCs/>
                <w:color w:val="auto"/>
                <w:sz w:val="24"/>
                <w:szCs w:val="24"/>
                <w:highlight w:val="white"/>
                <w:lang w:val="zh-CN"/>
              </w:rPr>
              <w:t>（</w:t>
            </w:r>
            <w:r>
              <w:rPr>
                <w:rFonts w:hint="eastAsia" w:ascii="宋体" w:hAnsi="宋体" w:cs="宋体"/>
                <w:bCs/>
                <w:color w:val="auto"/>
                <w:sz w:val="24"/>
                <w:szCs w:val="24"/>
                <w:highlight w:val="white"/>
              </w:rPr>
              <w:t>高</w:t>
            </w:r>
            <w:r>
              <w:rPr>
                <w:rFonts w:hint="eastAsia" w:ascii="宋体" w:hAnsi="宋体" w:eastAsia="Calibri" w:cs="宋体"/>
                <w:bCs/>
                <w:color w:val="auto"/>
                <w:sz w:val="24"/>
                <w:szCs w:val="24"/>
                <w:highlight w:val="white"/>
                <w:lang w:val="zh-CN"/>
              </w:rPr>
              <w:t>）</w:t>
            </w:r>
          </w:p>
        </w:tc>
        <w:tc>
          <w:tcPr>
            <w:tcW w:w="1418" w:type="dxa"/>
            <w:vAlign w:val="center"/>
          </w:tcPr>
          <w:p w14:paraId="58D6C73A">
            <w:pPr>
              <w:jc w:val="center"/>
              <w:rPr>
                <w:rFonts w:ascii="Calibri" w:hAnsi="Calibri"/>
                <w:color w:val="auto"/>
              </w:rPr>
            </w:pPr>
            <w:r>
              <w:rPr>
                <w:rFonts w:ascii="Calibri" w:hAnsi="Calibri"/>
                <w:color w:val="auto"/>
              </w:rPr>
              <w:t>6台</w:t>
            </w:r>
          </w:p>
        </w:tc>
      </w:tr>
      <w:tr w14:paraId="25AF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DE389E7">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5</w:t>
            </w:r>
          </w:p>
        </w:tc>
        <w:tc>
          <w:tcPr>
            <w:tcW w:w="1559" w:type="dxa"/>
            <w:vAlign w:val="center"/>
          </w:tcPr>
          <w:p w14:paraId="4ABAD399">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电源控制箱</w:t>
            </w:r>
          </w:p>
        </w:tc>
        <w:tc>
          <w:tcPr>
            <w:tcW w:w="5528" w:type="dxa"/>
            <w:vAlign w:val="center"/>
          </w:tcPr>
          <w:p w14:paraId="06BD833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给水控系统设备供电使用，每个水控+水阀1A</w:t>
            </w:r>
          </w:p>
          <w:p w14:paraId="0A41F9F2">
            <w:pP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2</w:t>
            </w:r>
            <w:r>
              <w:rPr>
                <w:rFonts w:hint="eastAsia"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lang w:val="zh-CN"/>
              </w:rPr>
              <w:t>集中供电</w:t>
            </w:r>
          </w:p>
        </w:tc>
        <w:tc>
          <w:tcPr>
            <w:tcW w:w="1418" w:type="dxa"/>
            <w:vAlign w:val="center"/>
          </w:tcPr>
          <w:p w14:paraId="5CF63A0A">
            <w:pPr>
              <w:jc w:val="center"/>
              <w:rPr>
                <w:rFonts w:ascii="Calibri" w:hAnsi="Calibri"/>
                <w:color w:val="auto"/>
              </w:rPr>
            </w:pPr>
            <w:r>
              <w:rPr>
                <w:rFonts w:ascii="Calibri" w:hAnsi="Calibri"/>
                <w:color w:val="auto"/>
              </w:rPr>
              <w:t>6个</w:t>
            </w:r>
          </w:p>
        </w:tc>
      </w:tr>
      <w:tr w14:paraId="2ED5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652DECC">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1</w:t>
            </w:r>
            <w:r>
              <w:rPr>
                <w:rFonts w:hint="eastAsia" w:eastAsia="宋体" w:cs="宋体"/>
                <w:bCs/>
                <w:color w:val="auto"/>
                <w:kern w:val="2"/>
                <w:highlight w:val="white"/>
              </w:rPr>
              <w:t>6</w:t>
            </w:r>
          </w:p>
        </w:tc>
        <w:tc>
          <w:tcPr>
            <w:tcW w:w="1559" w:type="dxa"/>
            <w:vAlign w:val="center"/>
          </w:tcPr>
          <w:p w14:paraId="4C04ED9A">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自助换卡机</w:t>
            </w:r>
          </w:p>
        </w:tc>
        <w:tc>
          <w:tcPr>
            <w:tcW w:w="5528" w:type="dxa"/>
            <w:vAlign w:val="center"/>
          </w:tcPr>
          <w:p w14:paraId="7975F4E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为了兼容现有的校园卡和业务场景实际需求，浴池水控系统要求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定制化一款具有自助换卡的智能一体机，方便学生换卡洗浴。</w:t>
            </w:r>
          </w:p>
          <w:p w14:paraId="1D10EA7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主机：内嵌主频</w:t>
            </w:r>
            <w:r>
              <w:rPr>
                <w:rFonts w:hint="eastAsia"/>
                <w:color w:val="auto"/>
                <w:lang w:eastAsia="zh-CN"/>
              </w:rPr>
              <w:t>≥</w:t>
            </w:r>
            <w:r>
              <w:rPr>
                <w:rFonts w:ascii="宋体" w:hAnsi="宋体" w:eastAsia="Calibri" w:cs="宋体"/>
                <w:bCs/>
                <w:color w:val="auto"/>
                <w:sz w:val="24"/>
                <w:szCs w:val="24"/>
                <w:highlight w:val="white"/>
                <w:lang w:val="zh-CN" w:eastAsia="zh-CN"/>
              </w:rPr>
              <w:t xml:space="preserve">2.41GHz工业级双核，一個 PCI v2.2 插槽，一個迷你 PCI Express 插槽，（支持 mSATA 和 USB2.0，mSATA 与 SATA2 共享相同的信号两个 SATA 3.0Gb/s 連接6个COM口，4个USB口，10/100M 自适应网卡；声卡、显卡、网卡集成。 </w:t>
            </w:r>
          </w:p>
          <w:p w14:paraId="4046C34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内存：</w:t>
            </w:r>
            <w:r>
              <w:rPr>
                <w:rFonts w:hint="eastAsia"/>
                <w:color w:val="auto"/>
                <w:lang w:eastAsia="zh-CN"/>
              </w:rPr>
              <w:t>≥</w:t>
            </w:r>
            <w:r>
              <w:rPr>
                <w:rFonts w:ascii="宋体" w:hAnsi="宋体" w:eastAsia="Calibri" w:cs="宋体"/>
                <w:bCs/>
                <w:color w:val="auto"/>
                <w:sz w:val="24"/>
                <w:szCs w:val="24"/>
                <w:highlight w:val="white"/>
                <w:lang w:val="zh-CN" w:eastAsia="zh-CN"/>
              </w:rPr>
              <w:t xml:space="preserve">4G </w:t>
            </w:r>
          </w:p>
          <w:p w14:paraId="470FF95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固态硬盘：60GB </w:t>
            </w:r>
          </w:p>
          <w:p w14:paraId="2120599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面板类型：a-Si TFT-LED,液晶屏，面板尺寸：17.0英寸，分辨率：1280(RGB)*1024，显示模式：TN,常白显示，透射式</w:t>
            </w:r>
          </w:p>
          <w:p w14:paraId="56D34F6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表面处理：雾面,Hard coating(3H)，面板亮度：250cd/m2(Typ.)，对比度：1000:1(Typ.）（透射），显示颜色：16.7M（6-bit+ Hi-FRC)</w:t>
            </w:r>
          </w:p>
          <w:p w14:paraId="0B0FF9D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响应时间：3.8/1.2(Typ.)(Tr+Td)(ms)</w:t>
            </w:r>
          </w:p>
          <w:p w14:paraId="5B8C32E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可视角度：85/85/80/80(Typ.)(CR</w:t>
            </w:r>
            <w:r>
              <w:rPr>
                <w:rFonts w:hint="eastAsia"/>
                <w:color w:val="auto"/>
                <w:lang w:eastAsia="zh-CN"/>
              </w:rPr>
              <w:t>≥</w:t>
            </w:r>
            <w:r>
              <w:rPr>
                <w:rFonts w:ascii="宋体" w:hAnsi="宋体" w:eastAsia="Calibri" w:cs="宋体"/>
                <w:bCs/>
                <w:color w:val="auto"/>
                <w:sz w:val="24"/>
                <w:szCs w:val="24"/>
                <w:highlight w:val="white"/>
                <w:lang w:val="zh-CN" w:eastAsia="zh-CN"/>
              </w:rPr>
              <w:t>10)(左/右/上/下)</w:t>
            </w:r>
          </w:p>
          <w:p w14:paraId="25A80EC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扫描频率：60Hz</w:t>
            </w:r>
          </w:p>
          <w:p w14:paraId="7BBC64C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光源类型：9S4P WLED</w:t>
            </w:r>
          </w:p>
          <w:p w14:paraId="38C2212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信号接口：LVDS(2 ch,8-bit)    </w:t>
            </w:r>
          </w:p>
          <w:p w14:paraId="334EAD9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打印模块：RS-232接口、热敏打印、打印宽度：80mm  卷式，黑标检测，缺纸报警</w:t>
            </w:r>
          </w:p>
        </w:tc>
        <w:tc>
          <w:tcPr>
            <w:tcW w:w="1418" w:type="dxa"/>
            <w:vAlign w:val="center"/>
          </w:tcPr>
          <w:p w14:paraId="5DC244DD">
            <w:pPr>
              <w:jc w:val="center"/>
              <w:rPr>
                <w:rFonts w:ascii="Calibri" w:hAnsi="Calibri"/>
                <w:color w:val="auto"/>
              </w:rPr>
            </w:pPr>
            <w:r>
              <w:rPr>
                <w:rFonts w:ascii="Calibri" w:hAnsi="Calibri"/>
                <w:color w:val="auto"/>
              </w:rPr>
              <w:t>1套</w:t>
            </w:r>
          </w:p>
        </w:tc>
      </w:tr>
      <w:tr w14:paraId="3800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A872168">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17</w:t>
            </w:r>
          </w:p>
        </w:tc>
        <w:tc>
          <w:tcPr>
            <w:tcW w:w="1559" w:type="dxa"/>
            <w:vAlign w:val="center"/>
          </w:tcPr>
          <w:p w14:paraId="29FDBDD0">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无障碍单机芯</w:t>
            </w:r>
          </w:p>
        </w:tc>
        <w:tc>
          <w:tcPr>
            <w:tcW w:w="5528" w:type="dxa"/>
            <w:vAlign w:val="center"/>
          </w:tcPr>
          <w:p w14:paraId="7E8F590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为了兼容现有的校园卡和公寓归寝业务场景实际需求，公寓通道系统要求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定制化一款具有符合公寓管理要求的无障碍通道一体机，方便学生公寓进出通行，归寝、查寝管理。</w:t>
            </w:r>
          </w:p>
          <w:p w14:paraId="029F92A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生产</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需有权威部门的通道闸机检验报告并提供复印件加盖公章</w:t>
            </w:r>
          </w:p>
          <w:p w14:paraId="59EE161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脱机功能检验：样机与管理软件连接断开后，应能脱机正常工作</w:t>
            </w:r>
          </w:p>
          <w:p w14:paraId="0F6DDED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参数设定功能检验：可通过管理软件对样机进行授权、取消授权、设定时间、报警布/撤防操作</w:t>
            </w:r>
          </w:p>
          <w:p w14:paraId="4523CE8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信息存储功能检验：样机可在本地存储通行记录</w:t>
            </w:r>
          </w:p>
          <w:p w14:paraId="115514F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信息上传功能检验：样机可将通行、报警等信息上传至管理软件</w:t>
            </w:r>
          </w:p>
          <w:p w14:paraId="7AAF8A3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强行通行报警功能检验：未收到允许通行信号，样机检测到人员进入通道，应给出报警</w:t>
            </w:r>
          </w:p>
          <w:p w14:paraId="5CBEE8F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通行状态监控功能检验：可通过管理软件对样机的通行状态进行监控</w:t>
            </w:r>
          </w:p>
          <w:p w14:paraId="16D34F4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LED指示灯指示通行方向功能检验：样机可通过LED指示灯指示通行方向</w:t>
            </w:r>
          </w:p>
          <w:p w14:paraId="51475BD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抗电强度试验：安全防范报警设备的电源插头或电源引入端与外壳裸露金属部件之间，应能承受GB16796-2009中表1规定的45Hz~65Hz交流电压的抗电强度试验，历时1min应无击穿和飞弧现象（提供CNAS检测报告复印件）</w:t>
            </w:r>
          </w:p>
          <w:p w14:paraId="59248DA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通道宽度 ≤550mm</w:t>
            </w:r>
          </w:p>
          <w:p w14:paraId="068EBE6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尺寸：</w:t>
            </w:r>
            <w:r>
              <w:rPr>
                <w:rFonts w:hint="eastAsia"/>
                <w:color w:val="auto"/>
                <w:lang w:eastAsia="zh-CN"/>
              </w:rPr>
              <w:t>≥</w:t>
            </w:r>
            <w:r>
              <w:rPr>
                <w:rFonts w:ascii="宋体" w:hAnsi="宋体" w:eastAsia="Calibri" w:cs="宋体"/>
                <w:bCs/>
                <w:color w:val="auto"/>
                <w:sz w:val="24"/>
                <w:szCs w:val="24"/>
                <w:highlight w:val="white"/>
                <w:lang w:val="zh-CN" w:eastAsia="zh-CN"/>
              </w:rPr>
              <w:t xml:space="preserve"> 1200</w:t>
            </w:r>
            <w:r>
              <w:rPr>
                <w:rFonts w:ascii="宋体" w:hAnsi="宋体" w:eastAsia="Calibri" w:cs="宋体"/>
                <w:bCs/>
                <w:color w:val="auto"/>
                <w:sz w:val="24"/>
                <w:szCs w:val="24"/>
                <w:highlight w:val="white"/>
                <w:lang w:eastAsia="zh-CN"/>
              </w:rPr>
              <w:t>mm（长）</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300</w:t>
            </w:r>
            <w:r>
              <w:rPr>
                <w:rFonts w:ascii="宋体" w:hAnsi="宋体" w:eastAsia="Calibri" w:cs="宋体"/>
                <w:bCs/>
                <w:color w:val="auto"/>
                <w:sz w:val="24"/>
                <w:szCs w:val="24"/>
                <w:highlight w:val="white"/>
                <w:lang w:eastAsia="zh-CN"/>
              </w:rPr>
              <w:t>mm（宽）</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980mm</w:t>
            </w:r>
            <w:r>
              <w:rPr>
                <w:rFonts w:ascii="宋体" w:hAnsi="宋体" w:eastAsia="Calibri" w:cs="宋体"/>
                <w:bCs/>
                <w:color w:val="auto"/>
                <w:sz w:val="24"/>
                <w:szCs w:val="24"/>
                <w:highlight w:val="white"/>
                <w:lang w:eastAsia="zh-CN"/>
              </w:rPr>
              <w:t>（高）</w:t>
            </w:r>
            <w:r>
              <w:rPr>
                <w:rFonts w:ascii="宋体" w:hAnsi="宋体" w:eastAsia="Calibri" w:cs="宋体"/>
                <w:bCs/>
                <w:color w:val="auto"/>
                <w:sz w:val="24"/>
                <w:szCs w:val="24"/>
                <w:highlight w:val="white"/>
                <w:lang w:val="zh-CN" w:eastAsia="zh-CN"/>
              </w:rPr>
              <w:t xml:space="preserve"> </w:t>
            </w:r>
          </w:p>
          <w:p w14:paraId="24D567D1">
            <w:pPr>
              <w:rPr>
                <w:rFonts w:ascii="宋体" w:hAnsi="宋体" w:eastAsia="Calibri" w:cs="宋体"/>
                <w:bCs/>
                <w:color w:val="auto"/>
                <w:sz w:val="24"/>
                <w:szCs w:val="24"/>
                <w:highlight w:val="white"/>
                <w:lang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材料厚度： 顶盖</w:t>
            </w:r>
            <w:r>
              <w:rPr>
                <w:rFonts w:hint="eastAsia"/>
                <w:color w:val="auto"/>
                <w:lang w:eastAsia="zh-CN"/>
              </w:rPr>
              <w:t>≥</w:t>
            </w:r>
            <w:r>
              <w:rPr>
                <w:rFonts w:ascii="宋体" w:hAnsi="宋体" w:eastAsia="Calibri" w:cs="宋体"/>
                <w:bCs/>
                <w:color w:val="auto"/>
                <w:sz w:val="24"/>
                <w:szCs w:val="24"/>
                <w:highlight w:val="white"/>
                <w:lang w:val="zh-CN" w:eastAsia="zh-CN"/>
              </w:rPr>
              <w:t>1.2</w:t>
            </w:r>
            <w:r>
              <w:rPr>
                <w:rFonts w:ascii="宋体" w:hAnsi="宋体" w:eastAsia="Calibri" w:cs="宋体"/>
                <w:bCs/>
                <w:color w:val="auto"/>
                <w:sz w:val="24"/>
                <w:szCs w:val="24"/>
                <w:highlight w:val="white"/>
                <w:lang w:eastAsia="zh-CN"/>
              </w:rPr>
              <w:t>mm</w:t>
            </w:r>
            <w:r>
              <w:rPr>
                <w:rFonts w:ascii="宋体" w:hAnsi="宋体" w:eastAsia="Calibri" w:cs="宋体"/>
                <w:bCs/>
                <w:color w:val="auto"/>
                <w:sz w:val="24"/>
                <w:szCs w:val="24"/>
                <w:highlight w:val="white"/>
                <w:lang w:val="zh-CN" w:eastAsia="zh-CN"/>
              </w:rPr>
              <w:t>其他</w:t>
            </w:r>
            <w:r>
              <w:rPr>
                <w:rFonts w:hint="eastAsia"/>
                <w:color w:val="auto"/>
                <w:lang w:eastAsia="zh-CN"/>
              </w:rPr>
              <w:t>≥</w:t>
            </w:r>
            <w:r>
              <w:rPr>
                <w:rFonts w:ascii="宋体" w:hAnsi="宋体" w:eastAsia="Calibri" w:cs="宋体"/>
                <w:bCs/>
                <w:color w:val="auto"/>
                <w:sz w:val="24"/>
                <w:szCs w:val="24"/>
                <w:highlight w:val="white"/>
                <w:lang w:val="zh-CN" w:eastAsia="zh-CN"/>
              </w:rPr>
              <w:t>1.0</w:t>
            </w:r>
            <w:r>
              <w:rPr>
                <w:rFonts w:ascii="宋体" w:hAnsi="宋体" w:eastAsia="Calibri" w:cs="宋体"/>
                <w:bCs/>
                <w:color w:val="auto"/>
                <w:sz w:val="24"/>
                <w:szCs w:val="24"/>
                <w:highlight w:val="white"/>
                <w:lang w:eastAsia="zh-CN"/>
              </w:rPr>
              <w:t>mm</w:t>
            </w:r>
          </w:p>
          <w:p w14:paraId="7D58EC1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工作环境： 室内、室外（需配防雨架）</w:t>
            </w:r>
          </w:p>
        </w:tc>
        <w:tc>
          <w:tcPr>
            <w:tcW w:w="1418" w:type="dxa"/>
            <w:vAlign w:val="center"/>
          </w:tcPr>
          <w:p w14:paraId="21C2E89E">
            <w:pPr>
              <w:jc w:val="center"/>
              <w:rPr>
                <w:rFonts w:ascii="Calibri" w:hAnsi="Calibri"/>
                <w:color w:val="auto"/>
              </w:rPr>
            </w:pPr>
            <w:r>
              <w:rPr>
                <w:rFonts w:ascii="Calibri" w:hAnsi="Calibri"/>
                <w:color w:val="auto"/>
              </w:rPr>
              <w:t>16台</w:t>
            </w:r>
          </w:p>
        </w:tc>
      </w:tr>
      <w:tr w14:paraId="7D31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ACF8529">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18</w:t>
            </w:r>
          </w:p>
        </w:tc>
        <w:tc>
          <w:tcPr>
            <w:tcW w:w="1559" w:type="dxa"/>
            <w:vAlign w:val="center"/>
          </w:tcPr>
          <w:p w14:paraId="70E23A4A">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无障碍双机芯</w:t>
            </w:r>
          </w:p>
        </w:tc>
        <w:tc>
          <w:tcPr>
            <w:tcW w:w="5528" w:type="dxa"/>
            <w:vAlign w:val="center"/>
          </w:tcPr>
          <w:p w14:paraId="63FB87A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为了兼容现有的校园卡和公寓归寝业务场景实际需求，公寓通道系统要求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定制化一款具有符合公寓管理要求的无障碍通道一体机，方便学生公寓进出通行，归寝、查寝管理。</w:t>
            </w:r>
          </w:p>
          <w:p w14:paraId="2C30E56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生产</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需有权威部门的通道闸机检验报告并提供复印件加盖公章</w:t>
            </w:r>
          </w:p>
          <w:p w14:paraId="2797961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脱机功能检验：样机与管理软件连接断开后，应能脱机正常工作</w:t>
            </w:r>
          </w:p>
          <w:p w14:paraId="464F15A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参数设定功能检验：可通过管理软件对样机进行授权、取消授权、设定时间、报警布/撤防操作</w:t>
            </w:r>
          </w:p>
          <w:p w14:paraId="3511FFA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信息存储功能检验：样机可在本地存储通行记录</w:t>
            </w:r>
          </w:p>
          <w:p w14:paraId="07C0C68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信息上传功能检验：样机可将通行、报警等信息上传至管理软件</w:t>
            </w:r>
          </w:p>
          <w:p w14:paraId="48D6AF7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强行通行报警功能检验：未收到允许通行信号，样机检测到人员进入通道，应给出报警</w:t>
            </w:r>
          </w:p>
          <w:p w14:paraId="0365BA1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通行状态监控功能检验：可通过管理软件对样机的通行状态进行监控</w:t>
            </w:r>
          </w:p>
          <w:p w14:paraId="4613A51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LED指示灯指示通行方向功能检验：样机可通过LED指示灯指示通行方向</w:t>
            </w:r>
          </w:p>
          <w:p w14:paraId="04FB855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抗电强度试验：安全防范报警设备的电源插头或电源引入端与外壳裸露金属部件之间，应能承受GB16796-2009中表1规定的45Hz~65Hz交流电压的抗电强度试验，历时1min应无击穿和飞弧现象（提供CNAS检测报告复印件）</w:t>
            </w:r>
          </w:p>
          <w:p w14:paraId="40222B1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通道宽度 ≤550mm</w:t>
            </w:r>
          </w:p>
          <w:p w14:paraId="4170B1D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尺寸： </w:t>
            </w:r>
            <w:r>
              <w:rPr>
                <w:rFonts w:hint="eastAsia"/>
                <w:color w:val="auto"/>
                <w:lang w:eastAsia="zh-CN"/>
              </w:rPr>
              <w:t>≥</w:t>
            </w:r>
            <w:r>
              <w:rPr>
                <w:rFonts w:ascii="宋体" w:hAnsi="宋体" w:eastAsia="Calibri" w:cs="宋体"/>
                <w:bCs/>
                <w:color w:val="auto"/>
                <w:sz w:val="24"/>
                <w:szCs w:val="24"/>
                <w:highlight w:val="white"/>
                <w:lang w:val="zh-CN" w:eastAsia="zh-CN"/>
              </w:rPr>
              <w:t>1200</w:t>
            </w:r>
            <w:r>
              <w:rPr>
                <w:rFonts w:ascii="宋体" w:hAnsi="宋体" w:eastAsia="Calibri" w:cs="宋体"/>
                <w:bCs/>
                <w:color w:val="auto"/>
                <w:sz w:val="24"/>
                <w:szCs w:val="24"/>
                <w:highlight w:val="white"/>
                <w:lang w:eastAsia="zh-CN"/>
              </w:rPr>
              <w:t>mm（长）</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300</w:t>
            </w:r>
            <w:r>
              <w:rPr>
                <w:rFonts w:ascii="宋体" w:hAnsi="宋体" w:eastAsia="Calibri" w:cs="宋体"/>
                <w:bCs/>
                <w:color w:val="auto"/>
                <w:sz w:val="24"/>
                <w:szCs w:val="24"/>
                <w:highlight w:val="white"/>
                <w:lang w:eastAsia="zh-CN"/>
              </w:rPr>
              <w:t>mm(宽）</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980mm</w:t>
            </w:r>
            <w:r>
              <w:rPr>
                <w:rFonts w:ascii="宋体" w:hAnsi="宋体" w:eastAsia="Calibri" w:cs="宋体"/>
                <w:bCs/>
                <w:color w:val="auto"/>
                <w:sz w:val="24"/>
                <w:szCs w:val="24"/>
                <w:highlight w:val="white"/>
                <w:lang w:eastAsia="zh-CN"/>
              </w:rPr>
              <w:t>（高）</w:t>
            </w:r>
            <w:r>
              <w:rPr>
                <w:rFonts w:ascii="宋体" w:hAnsi="宋体" w:eastAsia="Calibri" w:cs="宋体"/>
                <w:bCs/>
                <w:color w:val="auto"/>
                <w:sz w:val="24"/>
                <w:szCs w:val="24"/>
                <w:highlight w:val="white"/>
                <w:lang w:val="zh-CN" w:eastAsia="zh-CN"/>
              </w:rPr>
              <w:t xml:space="preserve"> </w:t>
            </w:r>
          </w:p>
          <w:p w14:paraId="2BBE180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材料厚度： 顶盖</w:t>
            </w:r>
            <w:r>
              <w:rPr>
                <w:rFonts w:hint="eastAsia"/>
                <w:color w:val="auto"/>
                <w:lang w:eastAsia="zh-CN"/>
              </w:rPr>
              <w:t>≥</w:t>
            </w:r>
            <w:r>
              <w:rPr>
                <w:rFonts w:ascii="宋体" w:hAnsi="宋体" w:eastAsia="Calibri" w:cs="宋体"/>
                <w:bCs/>
                <w:color w:val="auto"/>
                <w:sz w:val="24"/>
                <w:szCs w:val="24"/>
                <w:highlight w:val="white"/>
                <w:lang w:val="zh-CN" w:eastAsia="zh-CN"/>
              </w:rPr>
              <w:t>1.2</w:t>
            </w:r>
            <w:r>
              <w:rPr>
                <w:rFonts w:ascii="宋体" w:hAnsi="宋体" w:eastAsia="Calibri" w:cs="宋体"/>
                <w:bCs/>
                <w:color w:val="auto"/>
                <w:sz w:val="24"/>
                <w:szCs w:val="24"/>
                <w:highlight w:val="white"/>
                <w:lang w:eastAsia="zh-CN"/>
              </w:rPr>
              <w:t>mm</w:t>
            </w:r>
            <w:r>
              <w:rPr>
                <w:rFonts w:ascii="宋体" w:hAnsi="宋体" w:eastAsia="Calibri" w:cs="宋体"/>
                <w:bCs/>
                <w:color w:val="auto"/>
                <w:sz w:val="24"/>
                <w:szCs w:val="24"/>
                <w:highlight w:val="white"/>
                <w:lang w:val="zh-CN" w:eastAsia="zh-CN"/>
              </w:rPr>
              <w:t>其他</w:t>
            </w:r>
            <w:r>
              <w:rPr>
                <w:rFonts w:hint="eastAsia"/>
                <w:color w:val="auto"/>
                <w:lang w:eastAsia="zh-CN"/>
              </w:rPr>
              <w:t>≥</w:t>
            </w:r>
            <w:r>
              <w:rPr>
                <w:rFonts w:ascii="宋体" w:hAnsi="宋体" w:eastAsia="Calibri" w:cs="宋体"/>
                <w:bCs/>
                <w:color w:val="auto"/>
                <w:sz w:val="24"/>
                <w:szCs w:val="24"/>
                <w:highlight w:val="white"/>
                <w:lang w:val="zh-CN" w:eastAsia="zh-CN"/>
              </w:rPr>
              <w:t>1.0</w:t>
            </w:r>
          </w:p>
          <w:p w14:paraId="4D0FF8C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工作环境： 室内、室外（需配防雨架）</w:t>
            </w:r>
          </w:p>
        </w:tc>
        <w:tc>
          <w:tcPr>
            <w:tcW w:w="1418" w:type="dxa"/>
            <w:vAlign w:val="center"/>
          </w:tcPr>
          <w:p w14:paraId="346E1A44">
            <w:pPr>
              <w:jc w:val="center"/>
              <w:rPr>
                <w:rFonts w:ascii="Calibri" w:hAnsi="Calibri"/>
                <w:color w:val="auto"/>
              </w:rPr>
            </w:pPr>
            <w:r>
              <w:rPr>
                <w:rFonts w:ascii="Calibri" w:hAnsi="Calibri"/>
                <w:color w:val="auto"/>
              </w:rPr>
              <w:t>16台</w:t>
            </w:r>
          </w:p>
        </w:tc>
      </w:tr>
      <w:tr w14:paraId="7B4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BCF9BAA">
            <w:pPr>
              <w:pStyle w:val="19"/>
              <w:spacing w:beforeAutospacing="0" w:afterAutospacing="0"/>
              <w:jc w:val="center"/>
              <w:rPr>
                <w:rFonts w:hint="eastAsia" w:eastAsia="宋体" w:cs="宋体"/>
                <w:bCs/>
                <w:color w:val="auto"/>
                <w:kern w:val="2"/>
                <w:highlight w:val="white"/>
              </w:rPr>
            </w:pPr>
            <w:bookmarkStart w:id="39" w:name="OLE_LINK148" w:colFirst="0" w:colLast="2"/>
            <w:bookmarkStart w:id="40" w:name="_Hlk194958778"/>
            <w:bookmarkStart w:id="41" w:name="OLE_LINK147" w:colFirst="0" w:colLast="2"/>
            <w:r>
              <w:rPr>
                <w:rFonts w:hint="eastAsia" w:eastAsia="宋体" w:cs="宋体"/>
                <w:bCs/>
                <w:color w:val="auto"/>
                <w:kern w:val="2"/>
                <w:highlight w:val="white"/>
              </w:rPr>
              <w:t>19</w:t>
            </w:r>
          </w:p>
        </w:tc>
        <w:tc>
          <w:tcPr>
            <w:tcW w:w="1559" w:type="dxa"/>
            <w:vAlign w:val="center"/>
          </w:tcPr>
          <w:p w14:paraId="258031DA">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人脸识别一体机</w:t>
            </w:r>
          </w:p>
        </w:tc>
        <w:tc>
          <w:tcPr>
            <w:tcW w:w="5528" w:type="dxa"/>
            <w:vAlign w:val="center"/>
          </w:tcPr>
          <w:p w14:paraId="50AF39D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为了兼容现有的校园卡和业务场景实际需求，校门出入口系统要求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定制化一款支持人脸、校园卡、二维码等介质的多功能人脸识别一体机。</w:t>
            </w:r>
          </w:p>
          <w:p w14:paraId="4B5D0FD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ascii="宋体" w:hAnsi="宋体" w:eastAsia="Calibri" w:cs="宋体"/>
                <w:bCs/>
                <w:color w:val="auto"/>
                <w:sz w:val="24"/>
                <w:szCs w:val="24"/>
                <w:highlight w:val="white"/>
                <w:lang w:val="zh-CN" w:eastAsia="zh-CN"/>
              </w:rPr>
              <w:t xml:space="preserve"> 识读功能检验：样机可进行人脸识别、IC卡识读二维码识别，识读成功后联动输出控制指令</w:t>
            </w:r>
          </w:p>
          <w:p w14:paraId="42BE78F0">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2.</w:t>
            </w:r>
            <w:r>
              <w:rPr>
                <w:rFonts w:ascii="宋体" w:hAnsi="宋体" w:eastAsia="Calibri" w:cs="宋体"/>
                <w:bCs/>
                <w:color w:val="auto"/>
                <w:sz w:val="24"/>
                <w:szCs w:val="24"/>
                <w:highlight w:val="white"/>
                <w:lang w:val="zh-CN" w:eastAsia="zh-CN"/>
              </w:rPr>
              <w:t xml:space="preserve"> 存储容量检验：样机可保存注册信息＞50000条；可保存出入事件日志信息＞100000条</w:t>
            </w:r>
          </w:p>
          <w:p w14:paraId="3DC04098">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3.</w:t>
            </w:r>
            <w:r>
              <w:rPr>
                <w:rFonts w:ascii="宋体" w:hAnsi="宋体" w:eastAsia="Calibri" w:cs="宋体"/>
                <w:bCs/>
                <w:color w:val="auto"/>
                <w:sz w:val="24"/>
                <w:szCs w:val="24"/>
                <w:highlight w:val="white"/>
                <w:lang w:val="zh-CN" w:eastAsia="zh-CN"/>
              </w:rPr>
              <w:t xml:space="preserve"> 人脸信息注册功能检验：可通过样机现场采集人脸图像信息进行注册；可通过管理平台导入人脸图片进行注册，注册信息包括：人脸图片、编号、姓名、性别、联系方式。图片格式支持JPEG、BMP、PNG；支持批量导入，并可根据图片名称自动匹配到相应人员注册名下：可通过管理平台对注册信息进行查询、增加、修改、删除。</w:t>
            </w:r>
          </w:p>
          <w:p w14:paraId="591ED5A8">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4.</w:t>
            </w:r>
            <w:r>
              <w:rPr>
                <w:rFonts w:ascii="宋体" w:hAnsi="宋体" w:eastAsia="Calibri" w:cs="宋体"/>
                <w:bCs/>
                <w:color w:val="auto"/>
                <w:sz w:val="24"/>
                <w:szCs w:val="24"/>
                <w:highlight w:val="white"/>
                <w:lang w:val="zh-CN" w:eastAsia="zh-CN"/>
              </w:rPr>
              <w:t>人脸识别功能检验：当有人员经过样机镜头时可自动进入人脸识别界面，获取人脸信息并进行比对，样机可显示比对结果声光提示，可显示人脸比对相似度</w:t>
            </w:r>
          </w:p>
          <w:p w14:paraId="1C5EF9E7">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 xml:space="preserve"> 人员注册信息管理功能检验：可通过管理平台对人员注册信息进行查询、增加、修改、删除</w:t>
            </w:r>
          </w:p>
          <w:p w14:paraId="201D3AA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6.</w:t>
            </w:r>
            <w:r>
              <w:rPr>
                <w:rFonts w:ascii="宋体" w:hAnsi="宋体" w:eastAsia="Calibri" w:cs="宋体"/>
                <w:bCs/>
                <w:color w:val="auto"/>
                <w:sz w:val="24"/>
                <w:szCs w:val="24"/>
                <w:highlight w:val="white"/>
                <w:lang w:val="zh-CN" w:eastAsia="zh-CN"/>
              </w:rPr>
              <w:t>人脸识别响应时间检验：人脸识别平均响应时间：≤1s；IC卡识别平均响应时间：≤1s</w:t>
            </w:r>
          </w:p>
          <w:p w14:paraId="1196D5B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7.</w:t>
            </w:r>
            <w:r>
              <w:rPr>
                <w:rFonts w:ascii="宋体" w:hAnsi="宋体" w:eastAsia="Calibri" w:cs="宋体"/>
                <w:bCs/>
                <w:color w:val="auto"/>
                <w:sz w:val="24"/>
                <w:szCs w:val="24"/>
                <w:highlight w:val="white"/>
                <w:lang w:val="zh-CN" w:eastAsia="zh-CN"/>
              </w:rPr>
              <w:t xml:space="preserve"> 自检功能检验：样机具有自检功能，可显示在线、离线等状态指示</w:t>
            </w:r>
          </w:p>
          <w:p w14:paraId="397CEC5B">
            <w:pPr>
              <w:rPr>
                <w:rFonts w:hint="eastAsia" w:ascii="宋体" w:hAnsi="宋体"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8.</w:t>
            </w:r>
            <w:r>
              <w:rPr>
                <w:rFonts w:ascii="宋体" w:hAnsi="宋体" w:eastAsia="Calibri" w:cs="宋体"/>
                <w:bCs/>
                <w:color w:val="auto"/>
                <w:sz w:val="24"/>
                <w:szCs w:val="24"/>
                <w:highlight w:val="white"/>
                <w:lang w:val="zh-CN" w:eastAsia="zh-CN"/>
              </w:rPr>
              <w:t xml:space="preserve"> 实时上传功能检验：样机将进行人脸识别的信息实时上传至管理平台，上传内容包括：识别时间、人员信息、人脸图像等。</w:t>
            </w:r>
          </w:p>
          <w:p w14:paraId="0D79ACC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9.系统软件功能检验：</w:t>
            </w:r>
            <w:bookmarkStart w:id="42" w:name="OLE_LINK3"/>
            <w:r>
              <w:rPr>
                <w:rFonts w:hint="eastAsia" w:ascii="宋体" w:hAnsi="宋体" w:cs="宋体"/>
                <w:bCs/>
                <w:color w:val="auto"/>
                <w:sz w:val="24"/>
                <w:szCs w:val="24"/>
                <w:highlight w:val="white"/>
                <w:lang w:val="zh-CN" w:eastAsia="zh-CN"/>
              </w:rPr>
              <w:t>（</w:t>
            </w:r>
            <w:bookmarkEnd w:id="42"/>
            <w:r>
              <w:rPr>
                <w:rFonts w:hint="eastAsia" w:ascii="宋体" w:hAnsi="宋体" w:eastAsia="Calibri" w:cs="宋体"/>
                <w:bCs/>
                <w:color w:val="auto"/>
                <w:sz w:val="24"/>
                <w:szCs w:val="24"/>
                <w:highlight w:val="white"/>
                <w:lang w:val="zh-CN" w:eastAsia="zh-CN"/>
              </w:rPr>
              <w:t>1</w:t>
            </w:r>
            <w:r>
              <w:rPr>
                <w:rFonts w:hint="eastAsia" w:ascii="宋体" w:hAnsi="宋体" w:cs="宋体"/>
                <w:bCs/>
                <w:color w:val="auto"/>
                <w:sz w:val="24"/>
                <w:szCs w:val="24"/>
                <w:highlight w:val="white"/>
                <w:lang w:val="zh-CN" w:eastAsia="zh-CN"/>
              </w:rPr>
              <w:t>）样机支持中、英、日、韩等多种语言；（</w:t>
            </w:r>
            <w:r>
              <w:rPr>
                <w:rFonts w:hint="eastAsia" w:ascii="宋体" w:hAnsi="宋体" w:eastAsia="Calibri" w:cs="宋体"/>
                <w:bCs/>
                <w:color w:val="auto"/>
                <w:sz w:val="24"/>
                <w:szCs w:val="24"/>
                <w:highlight w:val="white"/>
                <w:lang w:val="zh-CN" w:eastAsia="zh-CN"/>
              </w:rPr>
              <w:t>2</w:t>
            </w:r>
            <w:r>
              <w:rPr>
                <w:rFonts w:hint="eastAsia" w:ascii="宋体" w:hAnsi="宋体" w:cs="宋体"/>
                <w:bCs/>
                <w:color w:val="auto"/>
                <w:sz w:val="24"/>
                <w:szCs w:val="24"/>
                <w:highlight w:val="white"/>
                <w:lang w:val="zh-CN" w:eastAsia="zh-CN"/>
              </w:rPr>
              <w:t>）可设置视频</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val="zh-CN" w:eastAsia="zh-CN"/>
              </w:rPr>
              <w:t>图片屏保；（</w:t>
            </w:r>
            <w:r>
              <w:rPr>
                <w:rFonts w:hint="eastAsia" w:ascii="宋体" w:hAnsi="宋体" w:eastAsia="Calibri" w:cs="宋体"/>
                <w:bCs/>
                <w:color w:val="auto"/>
                <w:sz w:val="24"/>
                <w:szCs w:val="24"/>
                <w:highlight w:val="white"/>
                <w:lang w:val="zh-CN" w:eastAsia="zh-CN"/>
              </w:rPr>
              <w:t>3</w:t>
            </w:r>
            <w:r>
              <w:rPr>
                <w:rFonts w:hint="eastAsia" w:ascii="宋体" w:hAnsi="宋体" w:cs="宋体"/>
                <w:bCs/>
                <w:color w:val="auto"/>
                <w:sz w:val="24"/>
                <w:szCs w:val="24"/>
                <w:highlight w:val="white"/>
                <w:lang w:val="zh-CN" w:eastAsia="zh-CN"/>
              </w:rPr>
              <w:t>）支持安卓</w:t>
            </w:r>
            <w:r>
              <w:rPr>
                <w:rFonts w:hint="eastAsia" w:ascii="宋体" w:hAnsi="宋体" w:eastAsia="Calibri" w:cs="宋体"/>
                <w:bCs/>
                <w:color w:val="auto"/>
                <w:sz w:val="24"/>
                <w:szCs w:val="24"/>
                <w:highlight w:val="white"/>
                <w:lang w:val="zh-CN" w:eastAsia="zh-CN"/>
              </w:rPr>
              <w:t>7</w:t>
            </w:r>
            <w:r>
              <w:rPr>
                <w:rFonts w:hint="eastAsia" w:ascii="宋体" w:hAnsi="宋体" w:cs="宋体"/>
                <w:bCs/>
                <w:color w:val="auto"/>
                <w:sz w:val="24"/>
                <w:szCs w:val="24"/>
                <w:highlight w:val="white"/>
                <w:lang w:val="zh-CN" w:eastAsia="zh-CN"/>
              </w:rPr>
              <w:t>.</w:t>
            </w:r>
            <w:r>
              <w:rPr>
                <w:rFonts w:hint="eastAsia" w:ascii="宋体" w:hAnsi="宋体" w:eastAsia="Calibri" w:cs="宋体"/>
                <w:bCs/>
                <w:color w:val="auto"/>
                <w:sz w:val="24"/>
                <w:szCs w:val="24"/>
                <w:highlight w:val="white"/>
                <w:lang w:val="zh-CN" w:eastAsia="zh-CN"/>
              </w:rPr>
              <w:t>1</w:t>
            </w:r>
            <w:r>
              <w:rPr>
                <w:rFonts w:hint="eastAsia" w:ascii="宋体" w:hAnsi="宋体" w:cs="宋体"/>
                <w:bCs/>
                <w:color w:val="auto"/>
                <w:sz w:val="24"/>
                <w:szCs w:val="24"/>
                <w:highlight w:val="white"/>
                <w:lang w:val="zh-CN" w:eastAsia="zh-CN"/>
              </w:rPr>
              <w:t>系统，具有触摸屏；（</w:t>
            </w:r>
            <w:r>
              <w:rPr>
                <w:rFonts w:hint="eastAsia" w:ascii="宋体" w:hAnsi="宋体" w:eastAsia="Calibri" w:cs="宋体"/>
                <w:bCs/>
                <w:color w:val="auto"/>
                <w:sz w:val="24"/>
                <w:szCs w:val="24"/>
                <w:highlight w:val="white"/>
                <w:lang w:val="zh-CN" w:eastAsia="zh-CN"/>
              </w:rPr>
              <w:t>4</w:t>
            </w:r>
            <w:r>
              <w:rPr>
                <w:rFonts w:hint="eastAsia" w:ascii="宋体" w:hAnsi="宋体" w:cs="宋体"/>
                <w:bCs/>
                <w:color w:val="auto"/>
                <w:sz w:val="24"/>
                <w:szCs w:val="24"/>
                <w:highlight w:val="white"/>
                <w:lang w:val="zh-CN" w:eastAsia="zh-CN"/>
              </w:rPr>
              <w:t>）本机具有应用系统设置功能，可设置为门禁管理、餐饮管理、人脸采集、宿舍签到、会议签到、车载终端等应用系统模式；（</w:t>
            </w:r>
            <w:r>
              <w:rPr>
                <w:rFonts w:hint="eastAsia" w:ascii="宋体" w:hAnsi="宋体" w:eastAsia="Calibri" w:cs="宋体"/>
                <w:bCs/>
                <w:color w:val="auto"/>
                <w:sz w:val="24"/>
                <w:szCs w:val="24"/>
                <w:highlight w:val="white"/>
                <w:lang w:val="zh-CN" w:eastAsia="zh-CN"/>
              </w:rPr>
              <w:t>5</w:t>
            </w:r>
            <w:r>
              <w:rPr>
                <w:rFonts w:hint="eastAsia" w:ascii="宋体" w:hAnsi="宋体" w:cs="宋体"/>
                <w:bCs/>
                <w:color w:val="auto"/>
                <w:sz w:val="24"/>
                <w:szCs w:val="24"/>
                <w:highlight w:val="white"/>
                <w:lang w:val="zh-CN" w:eastAsia="zh-CN"/>
              </w:rPr>
              <w:t>）支持位置导航图显示功能；（</w:t>
            </w:r>
            <w:r>
              <w:rPr>
                <w:rFonts w:hint="eastAsia" w:ascii="宋体" w:hAnsi="宋体" w:eastAsia="Calibri" w:cs="宋体"/>
                <w:bCs/>
                <w:color w:val="auto"/>
                <w:sz w:val="24"/>
                <w:szCs w:val="24"/>
                <w:highlight w:val="white"/>
                <w:lang w:val="zh-CN" w:eastAsia="zh-CN"/>
              </w:rPr>
              <w:t>6</w:t>
            </w:r>
            <w:r>
              <w:rPr>
                <w:rFonts w:hint="eastAsia" w:ascii="宋体" w:hAnsi="宋体" w:cs="宋体"/>
                <w:bCs/>
                <w:color w:val="auto"/>
                <w:sz w:val="24"/>
                <w:szCs w:val="24"/>
                <w:highlight w:val="white"/>
                <w:lang w:val="zh-CN" w:eastAsia="zh-CN"/>
              </w:rPr>
              <w:t>）具有最高用户权限，管理员用户具有用户管理权限；（</w:t>
            </w:r>
            <w:r>
              <w:rPr>
                <w:rFonts w:hint="eastAsia" w:ascii="宋体" w:hAnsi="宋体" w:eastAsia="Calibri" w:cs="宋体"/>
                <w:bCs/>
                <w:color w:val="auto"/>
                <w:sz w:val="24"/>
                <w:szCs w:val="24"/>
                <w:highlight w:val="white"/>
                <w:lang w:val="zh-CN" w:eastAsia="zh-CN"/>
              </w:rPr>
              <w:t>7</w:t>
            </w:r>
            <w:r>
              <w:rPr>
                <w:rFonts w:hint="eastAsia" w:ascii="宋体" w:hAnsi="宋体" w:cs="宋体"/>
                <w:bCs/>
                <w:color w:val="auto"/>
                <w:sz w:val="24"/>
                <w:szCs w:val="24"/>
                <w:highlight w:val="white"/>
                <w:lang w:val="zh-CN" w:eastAsia="zh-CN"/>
              </w:rPr>
              <w:t>）可通过</w:t>
            </w:r>
            <w:r>
              <w:rPr>
                <w:rFonts w:hint="eastAsia" w:ascii="宋体" w:hAnsi="宋体" w:eastAsia="Calibri" w:cs="宋体"/>
                <w:bCs/>
                <w:color w:val="auto"/>
                <w:sz w:val="24"/>
                <w:szCs w:val="24"/>
                <w:highlight w:val="white"/>
                <w:lang w:val="zh-CN" w:eastAsia="zh-CN"/>
              </w:rPr>
              <w:t>web</w:t>
            </w:r>
            <w:r>
              <w:rPr>
                <w:rFonts w:hint="eastAsia" w:ascii="宋体" w:hAnsi="宋体" w:cs="宋体"/>
                <w:bCs/>
                <w:color w:val="auto"/>
                <w:sz w:val="24"/>
                <w:szCs w:val="24"/>
                <w:highlight w:val="white"/>
                <w:lang w:val="zh-CN" w:eastAsia="zh-CN"/>
              </w:rPr>
              <w:t>端实时显示样机抓拍的人脸图像信息</w:t>
            </w:r>
          </w:p>
          <w:p w14:paraId="725F1EAB">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10.</w:t>
            </w:r>
            <w:r>
              <w:rPr>
                <w:rFonts w:ascii="宋体" w:hAnsi="宋体" w:eastAsia="Calibri" w:cs="宋体"/>
                <w:bCs/>
                <w:color w:val="auto"/>
                <w:sz w:val="24"/>
                <w:szCs w:val="24"/>
                <w:highlight w:val="white"/>
                <w:lang w:val="zh-CN" w:eastAsia="zh-CN"/>
              </w:rPr>
              <w:t xml:space="preserve"> 摄像头：双目，</w:t>
            </w:r>
            <w:r>
              <w:rPr>
                <w:rFonts w:hint="eastAsia"/>
                <w:color w:val="auto"/>
                <w:lang w:eastAsia="zh-CN"/>
              </w:rPr>
              <w:t>≥</w:t>
            </w:r>
            <w:r>
              <w:rPr>
                <w:rFonts w:ascii="宋体" w:hAnsi="宋体" w:eastAsia="Calibri" w:cs="宋体"/>
                <w:bCs/>
                <w:color w:val="auto"/>
                <w:sz w:val="24"/>
                <w:szCs w:val="24"/>
                <w:highlight w:val="white"/>
                <w:lang w:val="zh-CN" w:eastAsia="zh-CN"/>
              </w:rPr>
              <w:t>200万有效像素，</w:t>
            </w:r>
            <w:r>
              <w:rPr>
                <w:rFonts w:hint="eastAsia"/>
                <w:color w:val="auto"/>
                <w:lang w:eastAsia="zh-CN"/>
              </w:rPr>
              <w:t>≥</w:t>
            </w:r>
            <w:r>
              <w:rPr>
                <w:rFonts w:ascii="宋体" w:hAnsi="宋体" w:eastAsia="Calibri" w:cs="宋体"/>
                <w:bCs/>
                <w:color w:val="auto"/>
                <w:sz w:val="24"/>
                <w:szCs w:val="24"/>
                <w:highlight w:val="white"/>
                <w:lang w:val="zh-CN" w:eastAsia="zh-CN"/>
              </w:rPr>
              <w:t>1920*</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1080，双目摄像头，可见光和近红外，支持活体检测</w:t>
            </w:r>
          </w:p>
          <w:p w14:paraId="432E677F">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11.</w:t>
            </w:r>
            <w:r>
              <w:rPr>
                <w:rFonts w:ascii="宋体" w:hAnsi="宋体" w:eastAsia="Calibri" w:cs="宋体"/>
                <w:bCs/>
                <w:color w:val="auto"/>
                <w:sz w:val="24"/>
                <w:szCs w:val="24"/>
                <w:highlight w:val="white"/>
                <w:lang w:val="zh-CN" w:eastAsia="zh-CN"/>
              </w:rPr>
              <w:t xml:space="preserve"> 刷卡模块：13．56MHz，支持MifareS50、S70卡，ultralinght卡，NTAG卡，DESFireD21、D41、D81，非接触CPU卡</w:t>
            </w:r>
          </w:p>
          <w:p w14:paraId="139A6B3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工作温度：-30℃-+60℃</w:t>
            </w:r>
          </w:p>
          <w:p w14:paraId="216010B9">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hint="eastAsia" w:ascii="宋体" w:hAnsi="宋体" w:cs="宋体"/>
                <w:bCs/>
                <w:color w:val="auto"/>
                <w:sz w:val="24"/>
                <w:szCs w:val="24"/>
                <w:highlight w:val="white"/>
                <w:lang w:eastAsia="zh-CN"/>
              </w:rPr>
              <w:t>3.</w:t>
            </w:r>
            <w:r>
              <w:rPr>
                <w:rFonts w:ascii="宋体" w:hAnsi="宋体" w:eastAsia="Calibri" w:cs="宋体"/>
                <w:bCs/>
                <w:color w:val="auto"/>
                <w:sz w:val="24"/>
                <w:szCs w:val="24"/>
                <w:highlight w:val="white"/>
                <w:lang w:val="zh-CN" w:eastAsia="zh-CN"/>
              </w:rPr>
              <w:t xml:space="preserve"> 工作湿度：0～90%相对湿度,无冷凝</w:t>
            </w:r>
          </w:p>
          <w:p w14:paraId="6ED5B13B">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1</w:t>
            </w:r>
            <w:r>
              <w:rPr>
                <w:rFonts w:hint="eastAsia" w:ascii="宋体" w:hAnsi="宋体" w:cs="宋体"/>
                <w:bCs/>
                <w:color w:val="auto"/>
                <w:sz w:val="24"/>
                <w:szCs w:val="24"/>
                <w:highlight w:val="white"/>
                <w:lang w:eastAsia="zh-CN"/>
              </w:rPr>
              <w:t>4.</w:t>
            </w:r>
            <w:r>
              <w:rPr>
                <w:rFonts w:ascii="宋体" w:hAnsi="宋体" w:eastAsia="Calibri" w:cs="宋体"/>
                <w:bCs/>
                <w:color w:val="auto"/>
                <w:sz w:val="24"/>
                <w:szCs w:val="24"/>
                <w:highlight w:val="white"/>
                <w:lang w:val="zh-CN" w:eastAsia="zh-CN"/>
              </w:rPr>
              <w:t xml:space="preserve"> 供电：DC12V/2A</w:t>
            </w:r>
          </w:p>
          <w:p w14:paraId="2F13854E">
            <w:p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15.电源箱</w:t>
            </w:r>
          </w:p>
          <w:p w14:paraId="49D077DD">
            <w:pPr>
              <w:ind w:firstLine="480" w:firstLineChars="200"/>
              <w:rPr>
                <w:rFonts w:ascii="宋体" w:hAnsi="宋体" w:eastAsia="Calibri" w:cs="宋体"/>
                <w:bCs/>
                <w:color w:val="auto"/>
                <w:sz w:val="24"/>
                <w:szCs w:val="24"/>
                <w:highlight w:val="white"/>
                <w:lang w:val="zh-CN" w:eastAsia="zh-CN"/>
              </w:rPr>
            </w:pP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60W大功率电源板，并且具备较高的利用效率，输出功率大，可满足2-4个读卡器1台控制器，4把电插锁或者3把280公斤力的磁力锁同时正常工作。</w:t>
            </w:r>
          </w:p>
          <w:p w14:paraId="4231A0DE">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有标准的散热排风设计。全金属设计，良好的散热和屏蔽抗干扰特性。</w:t>
            </w:r>
          </w:p>
          <w:p w14:paraId="250CE55A">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箱盖可以拆卸并可以扣装，适合安装空间小的场合。上下都有标准的对接</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6分的PVC管。</w:t>
            </w:r>
          </w:p>
          <w:p w14:paraId="0C264E06">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具有短路保护，过载过流保护，电源保护时移除负载一段时间后电源恢复。</w:t>
            </w:r>
          </w:p>
          <w:p w14:paraId="3BA8BD8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箱内设计地线连接点，便于防雷 防静电 防浪涌功能的贯彻。</w:t>
            </w:r>
          </w:p>
          <w:p w14:paraId="35CBB425">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波形质量好，无高频纹波干扰。输出电压为DC12V，可局部微调到DC14V. </w:t>
            </w:r>
          </w:p>
          <w:p w14:paraId="16E781DF">
            <w:pPr>
              <w:ind w:firstLine="240" w:firstLineChars="1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输入电压90-260,50-60HZ</w:t>
            </w:r>
          </w:p>
          <w:p w14:paraId="03795EAD">
            <w:p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16.扫码读卡器</w:t>
            </w:r>
          </w:p>
          <w:p w14:paraId="6C1797BD">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识读模式：CMOS</w:t>
            </w:r>
          </w:p>
          <w:p w14:paraId="13FC8ED8">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识读码制：QR二维码(屏幕码、纸质码）</w:t>
            </w:r>
          </w:p>
          <w:p w14:paraId="5DB45353">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识读指示：三色灯，待机蓝色、合法绿色、非法红色</w:t>
            </w:r>
          </w:p>
          <w:p w14:paraId="2CD900D1">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识读距离：2 ~10cm</w:t>
            </w:r>
          </w:p>
          <w:p w14:paraId="7DC5FC4B">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识读角度：360度</w:t>
            </w:r>
          </w:p>
          <w:p w14:paraId="6CABD481">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镜头识读范围:上下\左右80度</w:t>
            </w:r>
          </w:p>
          <w:p w14:paraId="50AF23E1">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工作电压：DC5~12V</w:t>
            </w:r>
          </w:p>
          <w:p w14:paraId="7DFB5C53">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通讯接口：标配TTL、RS485、韦根26/34  选配:RS232</w:t>
            </w:r>
          </w:p>
          <w:p w14:paraId="526A4029">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自带补光灯和光线传感器 ,光线暗时自动补光</w:t>
            </w:r>
          </w:p>
          <w:p w14:paraId="2D7B2C38">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二维码识别窗不能小于21X40</w:t>
            </w:r>
          </w:p>
          <w:p w14:paraId="352A7E80">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支持读动态变量二维码，输出固定ID(适用于门禁/闸机)</w:t>
            </w:r>
          </w:p>
          <w:p w14:paraId="1896EE91">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支持同时双路输出：韦根输出固定ID，TTL和485输出原码数据                        </w:t>
            </w:r>
          </w:p>
          <w:p w14:paraId="5D5FD86D">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读卡类型:Mifare one(IC卡)、手机NFC、身份证物理号、CPU卡（可屏蔽IC卡，100%防复制）</w:t>
            </w:r>
          </w:p>
          <w:p w14:paraId="1CDDD721">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读卡距离:3～6cm</w:t>
            </w:r>
          </w:p>
          <w:p w14:paraId="0720080F">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读卡速度: ≤0.3s                                   </w:t>
            </w:r>
          </w:p>
          <w:p w14:paraId="375EC7C5">
            <w:pPr>
              <w:ind w:firstLine="480" w:firstLineChars="200"/>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机体尺寸：</w:t>
            </w:r>
            <w:r>
              <w:rPr>
                <w:rFonts w:hint="eastAsia"/>
                <w:color w:val="auto"/>
                <w:lang w:eastAsia="zh-CN"/>
              </w:rPr>
              <w:t>≥</w:t>
            </w:r>
            <w:r>
              <w:rPr>
                <w:rFonts w:ascii="宋体" w:hAnsi="宋体" w:eastAsia="Calibri" w:cs="宋体"/>
                <w:bCs/>
                <w:color w:val="auto"/>
                <w:sz w:val="24"/>
                <w:szCs w:val="24"/>
                <w:highlight w:val="white"/>
                <w:lang w:val="zh-CN" w:eastAsia="zh-CN"/>
              </w:rPr>
              <w:t>86mm</w:t>
            </w:r>
            <w:r>
              <w:rPr>
                <w:rFonts w:hint="eastAsia" w:ascii="宋体" w:hAnsi="宋体" w:eastAsia="Calibri" w:cs="宋体"/>
                <w:bCs/>
                <w:color w:val="auto"/>
                <w:sz w:val="24"/>
                <w:szCs w:val="24"/>
                <w:highlight w:val="white"/>
                <w:lang w:val="zh-CN" w:eastAsia="zh-CN"/>
              </w:rPr>
              <w:t>（长）</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86mm</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宽</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w:t>
            </w:r>
            <w:r>
              <w:rPr>
                <w:rFonts w:hint="eastAsia"/>
                <w:color w:val="auto"/>
                <w:lang w:eastAsia="zh-CN"/>
              </w:rPr>
              <w:t>≥</w:t>
            </w:r>
            <w:r>
              <w:rPr>
                <w:rFonts w:ascii="宋体" w:hAnsi="宋体" w:eastAsia="Calibri" w:cs="宋体"/>
                <w:bCs/>
                <w:color w:val="auto"/>
                <w:sz w:val="24"/>
                <w:szCs w:val="24"/>
                <w:highlight w:val="white"/>
                <w:lang w:val="zh-CN" w:eastAsia="zh-CN"/>
              </w:rPr>
              <w:t>21mm</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高</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w:t>
            </w:r>
          </w:p>
          <w:p w14:paraId="45AC7EBD">
            <w:pPr>
              <w:ind w:firstLine="480" w:firstLineChars="200"/>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eastAsia="zh-CN"/>
              </w:rPr>
              <w:t>识读成功提示：蜂鸣器</w:t>
            </w:r>
          </w:p>
        </w:tc>
        <w:tc>
          <w:tcPr>
            <w:tcW w:w="1418" w:type="dxa"/>
            <w:vAlign w:val="center"/>
          </w:tcPr>
          <w:p w14:paraId="366CB171">
            <w:pPr>
              <w:jc w:val="center"/>
              <w:rPr>
                <w:rFonts w:ascii="Calibri" w:hAnsi="Calibri"/>
                <w:color w:val="auto"/>
                <w:lang w:eastAsia="zh-CN"/>
              </w:rPr>
            </w:pPr>
            <w:r>
              <w:rPr>
                <w:rFonts w:ascii="Calibri" w:hAnsi="Calibri"/>
                <w:color w:val="auto"/>
              </w:rPr>
              <w:t>48</w:t>
            </w:r>
            <w:r>
              <w:rPr>
                <w:rFonts w:hint="eastAsia" w:ascii="Calibri" w:hAnsi="Calibri"/>
                <w:color w:val="auto"/>
                <w:lang w:eastAsia="zh-CN"/>
              </w:rPr>
              <w:t>套</w:t>
            </w:r>
          </w:p>
        </w:tc>
      </w:tr>
      <w:bookmarkEnd w:id="39"/>
      <w:bookmarkEnd w:id="40"/>
      <w:bookmarkEnd w:id="41"/>
      <w:tr w14:paraId="50C7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EE42197">
            <w:pPr>
              <w:pStyle w:val="19"/>
              <w:spacing w:beforeAutospacing="0" w:afterAutospacing="0"/>
              <w:jc w:val="center"/>
              <w:rPr>
                <w:rFonts w:hint="eastAsia" w:eastAsia="宋体" w:cs="宋体"/>
                <w:bCs/>
                <w:color w:val="auto"/>
                <w:kern w:val="2"/>
                <w:highlight w:val="white"/>
              </w:rPr>
            </w:pPr>
            <w:r>
              <w:rPr>
                <w:rFonts w:eastAsia="Calibri" w:cs="宋体"/>
                <w:bCs/>
                <w:color w:val="auto"/>
                <w:kern w:val="2"/>
                <w:highlight w:val="white"/>
                <w:lang w:val="zh-CN"/>
              </w:rPr>
              <w:t>2</w:t>
            </w:r>
            <w:r>
              <w:rPr>
                <w:rFonts w:hint="eastAsia" w:eastAsia="宋体" w:cs="宋体"/>
                <w:bCs/>
                <w:color w:val="auto"/>
                <w:kern w:val="2"/>
                <w:highlight w:val="white"/>
              </w:rPr>
              <w:t>0</w:t>
            </w:r>
          </w:p>
        </w:tc>
        <w:tc>
          <w:tcPr>
            <w:tcW w:w="1559" w:type="dxa"/>
            <w:vAlign w:val="center"/>
          </w:tcPr>
          <w:p w14:paraId="5AD7EB3B">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显示大屏</w:t>
            </w:r>
          </w:p>
        </w:tc>
        <w:tc>
          <w:tcPr>
            <w:tcW w:w="5528" w:type="dxa"/>
            <w:vAlign w:val="center"/>
          </w:tcPr>
          <w:p w14:paraId="26096B4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公寓情况</w:t>
            </w:r>
            <w:r>
              <w:rPr>
                <w:rFonts w:ascii="宋体" w:hAnsi="宋体" w:eastAsia="Calibri" w:cs="宋体"/>
                <w:bCs/>
                <w:color w:val="auto"/>
                <w:sz w:val="24"/>
                <w:szCs w:val="24"/>
                <w:highlight w:val="white"/>
                <w:lang w:val="zh-CN" w:eastAsia="zh-CN"/>
              </w:rPr>
              <w:t>大数据展示屏</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挂装电视机，</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55寸</w:t>
            </w:r>
            <w:r>
              <w:rPr>
                <w:rFonts w:hint="eastAsia" w:ascii="宋体" w:hAnsi="宋体" w:eastAsia="Calibri" w:cs="宋体"/>
                <w:bCs/>
                <w:color w:val="auto"/>
                <w:sz w:val="24"/>
                <w:szCs w:val="24"/>
                <w:highlight w:val="white"/>
                <w:lang w:val="zh-CN" w:eastAsia="zh-CN"/>
              </w:rPr>
              <w:t>。</w:t>
            </w:r>
          </w:p>
        </w:tc>
        <w:tc>
          <w:tcPr>
            <w:tcW w:w="1418" w:type="dxa"/>
            <w:vAlign w:val="center"/>
          </w:tcPr>
          <w:p w14:paraId="4A68F860">
            <w:pPr>
              <w:jc w:val="center"/>
              <w:rPr>
                <w:rFonts w:ascii="Calibri" w:hAnsi="Calibri"/>
                <w:color w:val="auto"/>
              </w:rPr>
            </w:pPr>
            <w:r>
              <w:rPr>
                <w:rFonts w:ascii="Calibri" w:hAnsi="Calibri"/>
                <w:color w:val="auto"/>
              </w:rPr>
              <w:t>8套</w:t>
            </w:r>
          </w:p>
        </w:tc>
      </w:tr>
      <w:tr w14:paraId="79D3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BE5F139">
            <w:pPr>
              <w:pStyle w:val="19"/>
              <w:spacing w:beforeAutospacing="0" w:afterAutospacing="0"/>
              <w:jc w:val="center"/>
              <w:rPr>
                <w:rFonts w:hint="eastAsia" w:eastAsia="宋体" w:cs="宋体"/>
                <w:bCs/>
                <w:color w:val="auto"/>
                <w:kern w:val="2"/>
                <w:highlight w:val="white"/>
                <w:lang w:val="zh-CN"/>
              </w:rPr>
            </w:pPr>
            <w:r>
              <w:rPr>
                <w:rFonts w:eastAsia="Calibri" w:cs="宋体"/>
                <w:bCs/>
                <w:color w:val="auto"/>
                <w:kern w:val="2"/>
                <w:highlight w:val="white"/>
                <w:lang w:val="zh-CN"/>
              </w:rPr>
              <w:t>2</w:t>
            </w:r>
            <w:r>
              <w:rPr>
                <w:rFonts w:hint="eastAsia" w:eastAsia="宋体" w:cs="宋体"/>
                <w:bCs/>
                <w:color w:val="auto"/>
                <w:kern w:val="2"/>
                <w:highlight w:val="white"/>
              </w:rPr>
              <w:t>1</w:t>
            </w:r>
          </w:p>
        </w:tc>
        <w:tc>
          <w:tcPr>
            <w:tcW w:w="1559" w:type="dxa"/>
            <w:vAlign w:val="center"/>
          </w:tcPr>
          <w:p w14:paraId="2860C50B">
            <w:pPr>
              <w:jc w:val="cente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智能数据展示控制终端</w:t>
            </w:r>
          </w:p>
        </w:tc>
        <w:tc>
          <w:tcPr>
            <w:tcW w:w="5528" w:type="dxa"/>
            <w:vAlign w:val="center"/>
          </w:tcPr>
          <w:p w14:paraId="11A1863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为了兼容现有的校园卡和业务场景实际需求，公寓通道系统要求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定制化一款显示公寓人员归寝情况的智能数据展示控制终端。</w:t>
            </w:r>
          </w:p>
          <w:p w14:paraId="13AA8579">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1. CPU RK3288，</w:t>
            </w:r>
            <w:r>
              <w:rPr>
                <w:rFonts w:ascii="宋体" w:hAnsi="宋体" w:eastAsia="Calibri" w:cs="宋体"/>
                <w:bCs/>
                <w:color w:val="auto"/>
                <w:sz w:val="24"/>
                <w:szCs w:val="24"/>
                <w:highlight w:val="white"/>
                <w:lang w:val="zh-CN"/>
              </w:rPr>
              <w:t>四核</w:t>
            </w:r>
            <w:r>
              <w:rPr>
                <w:rFonts w:ascii="宋体" w:hAnsi="宋体" w:eastAsia="Calibri" w:cs="宋体"/>
                <w:bCs/>
                <w:color w:val="auto"/>
                <w:sz w:val="24"/>
                <w:szCs w:val="24"/>
                <w:highlight w:val="white"/>
              </w:rPr>
              <w:t xml:space="preserve"> ARM-A17，</w:t>
            </w:r>
            <w:r>
              <w:rPr>
                <w:rFonts w:eastAsia="Calibri"/>
                <w:bCs/>
                <w:color w:val="auto"/>
                <w:sz w:val="24"/>
                <w:szCs w:val="24"/>
                <w:highlight w:val="white"/>
              </w:rPr>
              <w:t>≥</w:t>
            </w:r>
            <w:r>
              <w:rPr>
                <w:rFonts w:ascii="宋体" w:hAnsi="宋体" w:eastAsia="Calibri" w:cs="宋体"/>
                <w:bCs/>
                <w:color w:val="auto"/>
                <w:sz w:val="24"/>
                <w:szCs w:val="24"/>
                <w:highlight w:val="white"/>
              </w:rPr>
              <w:t>1.8GHz</w:t>
            </w:r>
          </w:p>
          <w:p w14:paraId="44269F32">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2. GPU Mali-T764</w:t>
            </w:r>
          </w:p>
          <w:p w14:paraId="577336BC">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 xml:space="preserve">3. </w:t>
            </w:r>
            <w:r>
              <w:rPr>
                <w:rFonts w:ascii="宋体" w:hAnsi="宋体" w:eastAsia="Calibri" w:cs="宋体"/>
                <w:bCs/>
                <w:color w:val="auto"/>
                <w:sz w:val="24"/>
                <w:szCs w:val="24"/>
                <w:highlight w:val="white"/>
                <w:lang w:val="zh-CN"/>
              </w:rPr>
              <w:t>内存</w:t>
            </w:r>
            <w:r>
              <w:rPr>
                <w:rFonts w:ascii="宋体" w:hAnsi="宋体" w:eastAsia="Calibri" w:cs="宋体"/>
                <w:bCs/>
                <w:color w:val="auto"/>
                <w:sz w:val="24"/>
                <w:szCs w:val="24"/>
                <w:highlight w:val="white"/>
              </w:rPr>
              <w:t xml:space="preserve"> DDR 2GB</w:t>
            </w:r>
          </w:p>
          <w:p w14:paraId="1575865E">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 xml:space="preserve">4. </w:t>
            </w:r>
            <w:r>
              <w:rPr>
                <w:rFonts w:ascii="宋体" w:hAnsi="宋体" w:eastAsia="Calibri" w:cs="宋体"/>
                <w:bCs/>
                <w:color w:val="auto"/>
                <w:sz w:val="24"/>
                <w:szCs w:val="24"/>
                <w:highlight w:val="white"/>
                <w:lang w:val="zh-CN"/>
              </w:rPr>
              <w:t>内置存储器</w:t>
            </w:r>
            <w:r>
              <w:rPr>
                <w:rFonts w:ascii="宋体" w:hAnsi="宋体" w:eastAsia="Calibri" w:cs="宋体"/>
                <w:bCs/>
                <w:color w:val="auto"/>
                <w:sz w:val="24"/>
                <w:szCs w:val="24"/>
                <w:highlight w:val="white"/>
              </w:rPr>
              <w:t xml:space="preserve"> EMMC 8G（16G/32G/64G</w:t>
            </w:r>
            <w:r>
              <w:rPr>
                <w:rFonts w:ascii="宋体" w:hAnsi="宋体" w:eastAsia="Calibri" w:cs="宋体"/>
                <w:bCs/>
                <w:color w:val="auto"/>
                <w:sz w:val="24"/>
                <w:szCs w:val="24"/>
                <w:highlight w:val="white"/>
                <w:lang w:val="zh-CN"/>
              </w:rPr>
              <w:t>可选</w:t>
            </w:r>
            <w:r>
              <w:rPr>
                <w:rFonts w:ascii="宋体" w:hAnsi="宋体" w:eastAsia="Calibri" w:cs="宋体"/>
                <w:bCs/>
                <w:color w:val="auto"/>
                <w:sz w:val="24"/>
                <w:szCs w:val="24"/>
                <w:highlight w:val="white"/>
              </w:rPr>
              <w:t>)</w:t>
            </w:r>
          </w:p>
          <w:p w14:paraId="06DC4EBD">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 xml:space="preserve">5. </w:t>
            </w:r>
            <w:r>
              <w:rPr>
                <w:rFonts w:ascii="宋体" w:hAnsi="宋体" w:eastAsia="Calibri" w:cs="宋体"/>
                <w:bCs/>
                <w:color w:val="auto"/>
                <w:sz w:val="24"/>
                <w:szCs w:val="24"/>
                <w:highlight w:val="white"/>
                <w:lang w:val="zh-CN"/>
              </w:rPr>
              <w:t>多媒体</w:t>
            </w:r>
          </w:p>
          <w:p w14:paraId="17336829">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 xml:space="preserve">6. </w:t>
            </w:r>
            <w:r>
              <w:rPr>
                <w:rFonts w:ascii="宋体" w:hAnsi="宋体" w:eastAsia="Calibri" w:cs="宋体"/>
                <w:bCs/>
                <w:color w:val="auto"/>
                <w:sz w:val="24"/>
                <w:szCs w:val="24"/>
                <w:highlight w:val="white"/>
                <w:lang w:val="zh-CN"/>
              </w:rPr>
              <w:t>多格式</w:t>
            </w:r>
            <w:r>
              <w:rPr>
                <w:rFonts w:ascii="宋体" w:hAnsi="宋体" w:eastAsia="Calibri" w:cs="宋体"/>
                <w:bCs/>
                <w:color w:val="auto"/>
                <w:sz w:val="24"/>
                <w:szCs w:val="24"/>
                <w:highlight w:val="white"/>
              </w:rPr>
              <w:t>1080P 60fps</w:t>
            </w:r>
            <w:r>
              <w:rPr>
                <w:rFonts w:ascii="宋体" w:hAnsi="宋体" w:eastAsia="Calibri" w:cs="宋体"/>
                <w:bCs/>
                <w:color w:val="auto"/>
                <w:sz w:val="24"/>
                <w:szCs w:val="24"/>
                <w:highlight w:val="white"/>
                <w:lang w:val="zh-CN"/>
              </w:rPr>
              <w:t>视频解码</w:t>
            </w:r>
            <w:r>
              <w:rPr>
                <w:rFonts w:ascii="宋体" w:hAnsi="宋体" w:eastAsia="Calibri" w:cs="宋体"/>
                <w:bCs/>
                <w:color w:val="auto"/>
                <w:sz w:val="24"/>
                <w:szCs w:val="24"/>
                <w:highlight w:val="white"/>
              </w:rPr>
              <w:t xml:space="preserve"> (H.265,H.264,VC-1, MPEG-1/2/4, VP8)</w:t>
            </w:r>
          </w:p>
          <w:p w14:paraId="550C0A8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7. 1080P 多格式视频解码 (VC-1, MPEG-1/2/4, VP8)</w:t>
            </w:r>
          </w:p>
          <w:p w14:paraId="44A1D48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8. 1080P 视频编码，支持H.264,VP8</w:t>
            </w:r>
          </w:p>
          <w:p w14:paraId="142C9AA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9. 显示 HDMI2.0 支持 4K@60HZ 输出</w:t>
            </w:r>
          </w:p>
          <w:p w14:paraId="67D9BCD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10. 外围接口</w:t>
            </w:r>
          </w:p>
          <w:p w14:paraId="3729C64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11. 支持</w:t>
            </w:r>
            <w:r>
              <w:rPr>
                <w:rFonts w:hint="eastAsia"/>
                <w:color w:val="auto"/>
                <w:lang w:eastAsia="zh-CN"/>
              </w:rPr>
              <w:t>≥</w:t>
            </w:r>
            <w:r>
              <w:rPr>
                <w:rFonts w:ascii="宋体" w:hAnsi="宋体" w:eastAsia="Calibri" w:cs="宋体"/>
                <w:bCs/>
                <w:color w:val="auto"/>
                <w:sz w:val="24"/>
                <w:szCs w:val="24"/>
                <w:highlight w:val="white"/>
                <w:lang w:val="zh-CN" w:eastAsia="zh-CN"/>
              </w:rPr>
              <w:t>100M 自适应以太网</w:t>
            </w:r>
          </w:p>
          <w:p w14:paraId="0F631C5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12. 支持WIFI-2.4G(可扩展BT-4.0)</w:t>
            </w:r>
          </w:p>
          <w:p w14:paraId="21A58A8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13. 1 个USB host and 1 个 OTG USB</w:t>
            </w:r>
          </w:p>
          <w:p w14:paraId="77A0ADA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14. HDMI2.0 支持 4K@60HZ 输出</w:t>
            </w:r>
          </w:p>
          <w:p w14:paraId="564DE2B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15. 支持左右声道，MIC 输出接口</w:t>
            </w:r>
          </w:p>
        </w:tc>
        <w:tc>
          <w:tcPr>
            <w:tcW w:w="1418" w:type="dxa"/>
            <w:vAlign w:val="center"/>
          </w:tcPr>
          <w:p w14:paraId="2EBB7D96">
            <w:pPr>
              <w:jc w:val="center"/>
              <w:rPr>
                <w:rFonts w:ascii="Calibri" w:hAnsi="Calibri"/>
                <w:color w:val="auto"/>
              </w:rPr>
            </w:pPr>
            <w:r>
              <w:rPr>
                <w:rFonts w:ascii="Calibri" w:hAnsi="Calibri"/>
                <w:color w:val="auto"/>
              </w:rPr>
              <w:t>8套</w:t>
            </w:r>
          </w:p>
        </w:tc>
      </w:tr>
      <w:tr w14:paraId="662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595BC5C">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22</w:t>
            </w:r>
          </w:p>
        </w:tc>
        <w:tc>
          <w:tcPr>
            <w:tcW w:w="1559" w:type="dxa"/>
            <w:vAlign w:val="center"/>
          </w:tcPr>
          <w:p w14:paraId="7BA48E69">
            <w:pPr>
              <w:jc w:val="cente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门禁系统</w:t>
            </w:r>
          </w:p>
        </w:tc>
        <w:tc>
          <w:tcPr>
            <w:tcW w:w="5528" w:type="dxa"/>
            <w:vAlign w:val="center"/>
          </w:tcPr>
          <w:p w14:paraId="594BEB55">
            <w:pPr>
              <w:numPr>
                <w:ilvl w:val="0"/>
                <w:numId w:val="4"/>
              </w:num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开门按钮</w:t>
            </w:r>
          </w:p>
          <w:p w14:paraId="0536F01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NO常开型，带夜光指示</w:t>
            </w:r>
          </w:p>
          <w:p w14:paraId="2991176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材料：铁质中板，图案为激光雕刻，永不掉色，更加耐用</w:t>
            </w:r>
          </w:p>
          <w:p w14:paraId="1ED6243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常开NO输出</w:t>
            </w:r>
          </w:p>
          <w:p w14:paraId="03B1685D">
            <w:pPr>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外型尺寸：</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86*</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86*</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20mm</w:t>
            </w:r>
          </w:p>
          <w:p w14:paraId="17F4157F">
            <w:p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二、</w:t>
            </w:r>
            <w:r>
              <w:rPr>
                <w:rFonts w:ascii="宋体" w:hAnsi="宋体" w:eastAsia="Calibri" w:cs="宋体"/>
                <w:bCs/>
                <w:color w:val="auto"/>
                <w:sz w:val="24"/>
                <w:szCs w:val="24"/>
                <w:highlight w:val="white"/>
                <w:lang w:val="zh-CN" w:eastAsia="zh-CN"/>
              </w:rPr>
              <w:t>280KG单门磁力锁(五线</w:t>
            </w:r>
            <w:r>
              <w:rPr>
                <w:rFonts w:hint="eastAsia" w:ascii="宋体" w:hAnsi="宋体" w:eastAsia="Calibri" w:cs="宋体"/>
                <w:bCs/>
                <w:color w:val="auto"/>
                <w:sz w:val="24"/>
                <w:szCs w:val="24"/>
                <w:highlight w:val="white"/>
                <w:lang w:val="zh-CN" w:eastAsia="zh-CN"/>
              </w:rPr>
              <w:t>）</w:t>
            </w:r>
          </w:p>
          <w:p w14:paraId="5B5A38D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锁体尺寸：长</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250</w:t>
            </w:r>
            <w:r>
              <w:rPr>
                <w:rFonts w:hint="eastAsia" w:ascii="宋体" w:hAnsi="宋体" w:cs="宋体"/>
                <w:bCs/>
                <w:color w:val="auto"/>
                <w:sz w:val="24"/>
                <w:szCs w:val="24"/>
                <w:highlight w:val="white"/>
                <w:lang w:eastAsia="zh-CN"/>
              </w:rPr>
              <w:t xml:space="preserve">mm </w:t>
            </w:r>
            <w:r>
              <w:rPr>
                <w:rFonts w:ascii="宋体" w:hAnsi="宋体" w:eastAsia="Calibri" w:cs="宋体"/>
                <w:bCs/>
                <w:color w:val="auto"/>
                <w:sz w:val="24"/>
                <w:szCs w:val="24"/>
                <w:highlight w:val="white"/>
                <w:lang w:val="zh-CN" w:eastAsia="zh-CN"/>
              </w:rPr>
              <w:t>x宽</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48.5</w:t>
            </w:r>
            <w:r>
              <w:rPr>
                <w:rFonts w:hint="eastAsia" w:ascii="宋体" w:hAnsi="宋体" w:cs="宋体"/>
                <w:bCs/>
                <w:color w:val="auto"/>
                <w:sz w:val="24"/>
                <w:szCs w:val="24"/>
                <w:highlight w:val="white"/>
                <w:lang w:eastAsia="zh-CN"/>
              </w:rPr>
              <w:t xml:space="preserve">mm </w:t>
            </w:r>
            <w:r>
              <w:rPr>
                <w:rFonts w:ascii="宋体" w:hAnsi="宋体" w:eastAsia="Calibri" w:cs="宋体"/>
                <w:bCs/>
                <w:color w:val="auto"/>
                <w:sz w:val="24"/>
                <w:szCs w:val="24"/>
                <w:highlight w:val="white"/>
                <w:lang w:val="zh-CN" w:eastAsia="zh-CN"/>
              </w:rPr>
              <w:t>x高</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25(mm)</w:t>
            </w:r>
          </w:p>
          <w:p w14:paraId="51C2F4E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吸板尺寸：长</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180</w:t>
            </w:r>
            <w:r>
              <w:rPr>
                <w:rFonts w:hint="eastAsia" w:ascii="宋体" w:hAnsi="宋体" w:cs="宋体"/>
                <w:bCs/>
                <w:color w:val="auto"/>
                <w:sz w:val="24"/>
                <w:szCs w:val="24"/>
                <w:highlight w:val="white"/>
                <w:lang w:eastAsia="zh-CN"/>
              </w:rPr>
              <w:t xml:space="preserve">mm </w:t>
            </w:r>
            <w:r>
              <w:rPr>
                <w:rFonts w:ascii="宋体" w:hAnsi="宋体" w:eastAsia="Calibri" w:cs="宋体"/>
                <w:bCs/>
                <w:color w:val="auto"/>
                <w:sz w:val="24"/>
                <w:szCs w:val="24"/>
                <w:highlight w:val="white"/>
                <w:lang w:val="zh-CN" w:eastAsia="zh-CN"/>
              </w:rPr>
              <w:t>x宽</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38</w:t>
            </w:r>
            <w:r>
              <w:rPr>
                <w:rFonts w:hint="eastAsia" w:ascii="宋体" w:hAnsi="宋体" w:cs="宋体"/>
                <w:bCs/>
                <w:color w:val="auto"/>
                <w:sz w:val="24"/>
                <w:szCs w:val="24"/>
                <w:highlight w:val="white"/>
                <w:lang w:eastAsia="zh-CN"/>
              </w:rPr>
              <w:t xml:space="preserve">mm </w:t>
            </w:r>
            <w:r>
              <w:rPr>
                <w:rFonts w:ascii="宋体" w:hAnsi="宋体" w:eastAsia="Calibri" w:cs="宋体"/>
                <w:bCs/>
                <w:color w:val="auto"/>
                <w:sz w:val="24"/>
                <w:szCs w:val="24"/>
                <w:highlight w:val="white"/>
                <w:lang w:val="zh-CN" w:eastAsia="zh-CN"/>
              </w:rPr>
              <w:t>x高</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10.5(mm)</w:t>
            </w:r>
          </w:p>
          <w:p w14:paraId="32828F1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最大拉力：280kg(600Lbs)直线拉力,</w:t>
            </w:r>
          </w:p>
          <w:p w14:paraId="335CA24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输入电压：DC12V或DC24V+10%,</w:t>
            </w:r>
          </w:p>
          <w:p w14:paraId="4355C33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工作电流：12V/380mA 24V/250mA，</w:t>
            </w:r>
          </w:p>
          <w:p w14:paraId="54A8EDD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信号输出：干接点输出，最大承受功率3</w:t>
            </w:r>
            <w:r>
              <w:rPr>
                <w:rFonts w:ascii="宋体" w:hAnsi="宋体" w:eastAsia="Calibri" w:cs="宋体"/>
                <w:bCs/>
                <w:color w:val="auto"/>
                <w:sz w:val="24"/>
                <w:szCs w:val="24"/>
                <w:highlight w:val="white"/>
                <w:lang w:eastAsia="zh-CN"/>
              </w:rPr>
              <w:t>W</w:t>
            </w:r>
            <w:r>
              <w:rPr>
                <w:rFonts w:ascii="宋体" w:hAnsi="宋体" w:eastAsia="Calibri" w:cs="宋体"/>
                <w:bCs/>
                <w:color w:val="auto"/>
                <w:sz w:val="24"/>
                <w:szCs w:val="24"/>
                <w:highlight w:val="white"/>
                <w:lang w:val="zh-CN" w:eastAsia="zh-CN"/>
              </w:rPr>
              <w:t>，上锁时NO输出，开锁时NC输出，</w:t>
            </w:r>
          </w:p>
          <w:p w14:paraId="1800C64B">
            <w:pPr>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eastAsia="zh-CN"/>
              </w:rPr>
              <w:t>7</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LED显示：红灯(开门状态)   绿灯(上锁状态)</w:t>
            </w:r>
          </w:p>
          <w:p w14:paraId="2F9786A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三、</w:t>
            </w:r>
            <w:r>
              <w:rPr>
                <w:rFonts w:ascii="宋体" w:hAnsi="宋体" w:eastAsia="Calibri" w:cs="宋体"/>
                <w:bCs/>
                <w:color w:val="auto"/>
                <w:sz w:val="24"/>
                <w:szCs w:val="24"/>
                <w:highlight w:val="white"/>
                <w:lang w:val="zh-CN" w:eastAsia="zh-CN"/>
              </w:rPr>
              <w:t>多功能人脸识别一体机</w:t>
            </w:r>
          </w:p>
          <w:p w14:paraId="4F58D39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为了兼容现有的校园卡和业务场景实际需求，门禁系统要求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定制化一款8寸触摸屏，支持人脸、校园卡、二维码等介质的多功能人脸识别一体机。</w:t>
            </w:r>
          </w:p>
          <w:p w14:paraId="771A61D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处理器 双核 ARM Cortex-A7 and RISC-V MCU</w:t>
            </w:r>
          </w:p>
          <w:p w14:paraId="3ADA133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操作系统 Linux操作系统</w:t>
            </w:r>
          </w:p>
          <w:p w14:paraId="72E0B57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存储 ≥1GB内存 + ≥8GB eMMC </w:t>
            </w:r>
          </w:p>
          <w:p w14:paraId="7ED4664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摄像头 双目，≥210万有效像素，≥1920*≥1080</w:t>
            </w:r>
          </w:p>
          <w:p w14:paraId="434E749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成像器件 1/2.8" Progressive Scan CMOS</w:t>
            </w:r>
          </w:p>
          <w:p w14:paraId="17ED43F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镜头 4.32mm 焦距</w:t>
            </w:r>
          </w:p>
          <w:p w14:paraId="48EC6A3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4G模块（选配） 支持LTE-FDD、LTE-TDD网络制式，最大上行速率5Mbps，最大下行速率10Mbps</w:t>
            </w:r>
          </w:p>
          <w:p w14:paraId="5EC7A0F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蓝牙模块（选配） 8DPSK,</w:t>
            </w:r>
            <w:r>
              <w:rPr>
                <w:rFonts w:ascii="宋体" w:hAnsi="宋体" w:eastAsia="Calibri" w:cs="宋体"/>
                <w:bCs/>
                <w:color w:val="auto"/>
                <w:sz w:val="24"/>
                <w:szCs w:val="24"/>
                <w:highlight w:val="white"/>
                <w:lang w:val="zh-CN"/>
              </w:rPr>
              <w:t>π</w:t>
            </w:r>
            <w:r>
              <w:rPr>
                <w:rFonts w:ascii="宋体" w:hAnsi="宋体" w:eastAsia="Calibri" w:cs="宋体"/>
                <w:bCs/>
                <w:color w:val="auto"/>
                <w:sz w:val="24"/>
                <w:szCs w:val="24"/>
                <w:highlight w:val="white"/>
                <w:lang w:val="zh-CN" w:eastAsia="zh-CN"/>
              </w:rPr>
              <w:t>/4DQPSK, GFSK，速度区间 1Mbps-2,3Mbps</w:t>
            </w:r>
          </w:p>
          <w:p w14:paraId="163A252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WiFi模块 2.4GHz WiFi SoC芯片，集成IEEE 802.11b/g/n基带和RF电路，最大54Mbps物理层速率</w:t>
            </w:r>
          </w:p>
          <w:p w14:paraId="3D275A7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二维码模块 640（水平） X 480（垂直）CMOS，水平视角31°，支持QR code、PDF417、EAN13、EAN8、UPC-A等各种一维码、二维码</w:t>
            </w:r>
          </w:p>
          <w:p w14:paraId="667B678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刷卡模块 13．56MHz，支持Mifare S50、S70卡，ultralinght卡，NTAG卡，DESFire D21、D41、D81，非接触CPU卡，支持TK、EM 等系列 125KHz 频段卡片（IC/ID均支持）</w:t>
            </w:r>
          </w:p>
          <w:p w14:paraId="4DFC853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触屏模块(立柱式选配，壁挂式标配) 电容式多点触控屏</w:t>
            </w:r>
          </w:p>
          <w:p w14:paraId="27E532B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扬声器 语音播放内容可定制</w:t>
            </w:r>
          </w:p>
          <w:p w14:paraId="14DA780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识别高度 1.2~2.3米，角度可调</w:t>
            </w:r>
          </w:p>
          <w:p w14:paraId="6E0057A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识别距离 0.3~1.5米</w:t>
            </w:r>
          </w:p>
          <w:p w14:paraId="6C0AC2E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人脸角度 左右30度，上下30度</w:t>
            </w:r>
          </w:p>
          <w:p w14:paraId="17FD3E2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识别时间 小于0.3秒</w:t>
            </w:r>
          </w:p>
          <w:p w14:paraId="1A369EB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识别记录容量 ≥69000</w:t>
            </w:r>
          </w:p>
          <w:p w14:paraId="5D5470B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人脸容量 ≥24000</w:t>
            </w:r>
          </w:p>
          <w:p w14:paraId="0E9D8EB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电源输入 DC12V/2A</w:t>
            </w:r>
          </w:p>
          <w:p w14:paraId="0782790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网络接口 1 个 RJ45 10M / 100M 自适应以太网口</w:t>
            </w:r>
          </w:p>
          <w:p w14:paraId="17D9450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韦根接口 1 路韦根接口输出，1路韦根接口输入</w:t>
            </w:r>
          </w:p>
          <w:p w14:paraId="15734FD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报警接口 1 路火警输入</w:t>
            </w:r>
          </w:p>
          <w:p w14:paraId="6BC8BC0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门磁接口 1 路门磁接口输入</w:t>
            </w:r>
          </w:p>
          <w:p w14:paraId="70FD88B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开门接口 1 路开门接口输入</w:t>
            </w:r>
          </w:p>
          <w:p w14:paraId="3D0DCE2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门铃接口 1 路门铃接口输出</w:t>
            </w:r>
          </w:p>
          <w:p w14:paraId="0AAE6B4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门锁接口 1 路门锁接口输出</w:t>
            </w:r>
          </w:p>
          <w:p w14:paraId="2120EE2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通讯接口 1 路RS485通讯接口</w:t>
            </w:r>
          </w:p>
          <w:p w14:paraId="08F83A1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摄像机 双目摄像头，定制镜头，可见光和近红外，支持活体检测</w:t>
            </w:r>
          </w:p>
          <w:p w14:paraId="1DB8AE5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有效像素≥ 210万有效像素，≥1920*≥1080</w:t>
            </w:r>
          </w:p>
          <w:p w14:paraId="4403392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最低照度 彩色0.01Lux @F1.2(ICR);黑白0.001Lux @F1.2 (ICR)</w:t>
            </w:r>
          </w:p>
          <w:p w14:paraId="5CDB7E53">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信噪比</w:t>
            </w:r>
            <w:r>
              <w:rPr>
                <w:rFonts w:ascii="宋体" w:hAnsi="宋体" w:eastAsia="Calibri" w:cs="宋体"/>
                <w:bCs/>
                <w:color w:val="auto"/>
                <w:sz w:val="24"/>
                <w:szCs w:val="24"/>
                <w:highlight w:val="white"/>
              </w:rPr>
              <w:t xml:space="preserve"> ≥50db(AGC OFF)</w:t>
            </w:r>
          </w:p>
          <w:p w14:paraId="2255BBC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宽动态 ≥100db，ISP算法人脸局部曝光</w:t>
            </w:r>
          </w:p>
          <w:p w14:paraId="1D97401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视频编码 H.265 Main Profile编码/H.264 BP/MP/HP编码/MJPEG编码</w:t>
            </w:r>
          </w:p>
          <w:p w14:paraId="2963BFF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双码流分辨率 主码流 50Hz: 25fps (1920×1080,1280×720)</w:t>
            </w:r>
          </w:p>
          <w:p w14:paraId="316F9C6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60Hz: 30fps (1920×1080,1280×720)</w:t>
            </w:r>
          </w:p>
          <w:p w14:paraId="7A79100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次码流 720*576，1-25(30)帧/秒/640*480，1-25(30)帧/秒                                                                                         320*240，1-25(30)帧/秒                                                                                   </w:t>
            </w:r>
          </w:p>
          <w:p w14:paraId="3F5B424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工作温度 -20℃ - 60℃</w:t>
            </w:r>
          </w:p>
          <w:p w14:paraId="5DD5BE2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工作湿度 0～90%相对湿度,无冷凝</w:t>
            </w:r>
          </w:p>
          <w:p w14:paraId="00959F8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设备功率 15W(MAX)</w:t>
            </w:r>
          </w:p>
          <w:p w14:paraId="542EA6C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盐雾等级 Rp6级</w:t>
            </w:r>
          </w:p>
          <w:p w14:paraId="01A46AB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ESD 接触±6KV，空气±8KV</w:t>
            </w:r>
          </w:p>
          <w:p w14:paraId="43F8CF0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供电 DC12V/2A</w:t>
            </w:r>
          </w:p>
          <w:p w14:paraId="65441E0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防护等级≥ IP66</w:t>
            </w:r>
          </w:p>
          <w:p w14:paraId="32C528A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屏幕规格≥ 8寸高清IPS屏，分辨率1280*800</w:t>
            </w:r>
          </w:p>
          <w:p w14:paraId="1A9EC0C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设备尺寸 ≥292.24</w:t>
            </w:r>
            <w:r>
              <w:rPr>
                <w:rFonts w:hint="eastAsia" w:ascii="宋体" w:hAnsi="宋体" w:eastAsia="Calibri" w:cs="宋体"/>
                <w:bCs/>
                <w:color w:val="auto"/>
                <w:sz w:val="24"/>
                <w:szCs w:val="24"/>
                <w:highlight w:val="white"/>
                <w:lang w:val="zh-CN" w:eastAsia="zh-CN"/>
              </w:rPr>
              <w:t>mm</w:t>
            </w:r>
            <w:r>
              <w:rPr>
                <w:rFonts w:ascii="宋体" w:hAnsi="宋体" w:eastAsia="Calibri" w:cs="宋体"/>
                <w:bCs/>
                <w:color w:val="auto"/>
                <w:sz w:val="24"/>
                <w:szCs w:val="24"/>
                <w:highlight w:val="white"/>
                <w:lang w:val="zh-CN" w:eastAsia="zh-CN"/>
              </w:rPr>
              <w:t>(长) * ≥133</w:t>
            </w:r>
            <w:r>
              <w:rPr>
                <w:rFonts w:hint="eastAsia" w:ascii="宋体" w:hAnsi="宋体" w:eastAsia="Calibri" w:cs="宋体"/>
                <w:bCs/>
                <w:color w:val="auto"/>
                <w:sz w:val="24"/>
                <w:szCs w:val="24"/>
                <w:highlight w:val="white"/>
                <w:lang w:val="zh-CN" w:eastAsia="zh-CN"/>
              </w:rPr>
              <w:t>mm</w:t>
            </w:r>
            <w:r>
              <w:rPr>
                <w:rFonts w:ascii="宋体" w:hAnsi="宋体" w:eastAsia="Calibri" w:cs="宋体"/>
                <w:bCs/>
                <w:color w:val="auto"/>
                <w:sz w:val="24"/>
                <w:szCs w:val="24"/>
                <w:highlight w:val="white"/>
                <w:lang w:val="zh-CN" w:eastAsia="zh-CN"/>
              </w:rPr>
              <w:t>(宽) *≥22(厚)mm</w:t>
            </w:r>
          </w:p>
          <w:p w14:paraId="5F089120">
            <w:pPr>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 xml:space="preserve">四、电源箱 </w:t>
            </w:r>
          </w:p>
          <w:p w14:paraId="29F4385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 </w:t>
            </w:r>
            <w:r>
              <w:rPr>
                <w:rFonts w:hint="eastAsia" w:ascii="宋体" w:hAnsi="宋体" w:cs="宋体"/>
                <w:bCs/>
                <w:color w:val="auto"/>
                <w:sz w:val="24"/>
                <w:szCs w:val="24"/>
                <w:highlight w:val="white"/>
                <w:lang w:eastAsia="zh-CN"/>
              </w:rPr>
              <w:t>1.</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60W大功率电源板，并且具备较高的利用效率，输出功率大，可满足2-4个读卡器1台控制器，4把电插锁或者3把280公斤力的磁力锁同时正常工作。</w:t>
            </w:r>
          </w:p>
          <w:p w14:paraId="0FF3A0E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ascii="宋体" w:hAnsi="宋体" w:eastAsia="Calibri" w:cs="宋体"/>
                <w:bCs/>
                <w:color w:val="auto"/>
                <w:sz w:val="24"/>
                <w:szCs w:val="24"/>
                <w:highlight w:val="white"/>
                <w:lang w:val="zh-CN" w:eastAsia="zh-CN"/>
              </w:rPr>
              <w:t>有标准的散热排风设计。全金属设计，良好的散热和屏蔽抗干扰特性。</w:t>
            </w:r>
          </w:p>
          <w:p w14:paraId="456FF26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箱盖可以拆卸并可以扣装，适合安装空间小的场合。上下都有标准的对接</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6分的PVC管。箱内有5处葫芦型挂孔；</w:t>
            </w:r>
          </w:p>
          <w:p w14:paraId="2D5B9A0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具有短路保护，过载过流保护，电源保护时移除负载一段时间后电源恢复。</w:t>
            </w:r>
          </w:p>
          <w:p w14:paraId="6F2BFE8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5</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箱内设计地线连接点，便于防雷 防静电 防浪涌功能的贯彻。</w:t>
            </w:r>
          </w:p>
          <w:p w14:paraId="6C75316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波形质量好，无高频纹波干扰。输出电压为DC12V，可局部微调到DC14V. </w:t>
            </w:r>
          </w:p>
          <w:p w14:paraId="20C34DA2">
            <w:pPr>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rPr>
              <w:t>7</w:t>
            </w:r>
            <w:r>
              <w:rPr>
                <w:rFonts w:hint="eastAsia"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lang w:val="zh-CN"/>
              </w:rPr>
              <w:t xml:space="preserve"> 输入电压90-260,50-60HZ</w:t>
            </w:r>
          </w:p>
        </w:tc>
        <w:tc>
          <w:tcPr>
            <w:tcW w:w="1418" w:type="dxa"/>
            <w:vAlign w:val="center"/>
          </w:tcPr>
          <w:p w14:paraId="1048248A">
            <w:pPr>
              <w:ind w:firstLine="240" w:firstLineChars="100"/>
              <w:rPr>
                <w:rFonts w:hint="eastAsia" w:ascii="宋体" w:hAnsi="宋体" w:cs="宋体"/>
                <w:bCs/>
                <w:color w:val="auto"/>
                <w:sz w:val="24"/>
                <w:szCs w:val="24"/>
                <w:highlight w:val="white"/>
                <w:lang w:eastAsia="zh-CN"/>
              </w:rPr>
            </w:pPr>
            <w:r>
              <w:rPr>
                <w:rFonts w:hint="eastAsia" w:ascii="宋体" w:hAnsi="宋体" w:cs="宋体"/>
                <w:bCs/>
                <w:color w:val="auto"/>
                <w:sz w:val="24"/>
                <w:szCs w:val="24"/>
                <w:highlight w:val="white"/>
                <w:lang w:eastAsia="zh-CN"/>
              </w:rPr>
              <w:t>8套</w:t>
            </w:r>
          </w:p>
        </w:tc>
      </w:tr>
      <w:tr w14:paraId="0D2B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F417DB0">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23</w:t>
            </w:r>
          </w:p>
        </w:tc>
        <w:tc>
          <w:tcPr>
            <w:tcW w:w="1559" w:type="dxa"/>
            <w:vAlign w:val="center"/>
          </w:tcPr>
          <w:p w14:paraId="6D9D4726">
            <w:pPr>
              <w:jc w:val="center"/>
              <w:rPr>
                <w:rFonts w:ascii="宋体" w:hAnsi="宋体" w:eastAsia="Calibri" w:cs="宋体"/>
                <w:bCs/>
                <w:color w:val="auto"/>
                <w:sz w:val="24"/>
                <w:szCs w:val="24"/>
                <w:highlight w:val="white"/>
                <w:lang w:val="zh-CN"/>
              </w:rPr>
            </w:pPr>
            <w:r>
              <w:rPr>
                <w:rFonts w:ascii="宋体" w:hAnsi="宋体" w:eastAsia="Calibri" w:cs="宋体"/>
                <w:bCs/>
                <w:color w:val="auto"/>
                <w:sz w:val="24"/>
                <w:szCs w:val="24"/>
                <w:highlight w:val="white"/>
                <w:lang w:val="zh-CN"/>
              </w:rPr>
              <w:t>智能车载终端</w:t>
            </w:r>
          </w:p>
        </w:tc>
        <w:tc>
          <w:tcPr>
            <w:tcW w:w="5528" w:type="dxa"/>
            <w:vAlign w:val="center"/>
          </w:tcPr>
          <w:p w14:paraId="63556F9B">
            <w:pPr>
              <w:rPr>
                <w:rFonts w:hint="eastAsia" w:ascii="宋体" w:hAnsi="宋体" w:cs="宋体"/>
                <w:bCs/>
                <w:color w:val="auto"/>
                <w:sz w:val="24"/>
                <w:szCs w:val="24"/>
                <w:highlight w:val="white"/>
                <w:lang w:eastAsia="zh-CN"/>
              </w:rPr>
            </w:pPr>
            <w:r>
              <w:rPr>
                <w:rFonts w:ascii="宋体" w:hAnsi="宋体" w:eastAsia="Calibri" w:cs="宋体"/>
                <w:bCs/>
                <w:color w:val="auto"/>
                <w:sz w:val="24"/>
                <w:szCs w:val="24"/>
                <w:highlight w:val="white"/>
                <w:lang w:val="zh-CN" w:eastAsia="zh-CN"/>
              </w:rPr>
              <w:t>为了兼容现有的校园卡和业务场景实际需求，车辆系统要求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量身定制化一款4G全网通车载终端</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提供数据流量卡及其服务期内费用</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，支持校园卡、二维码等</w:t>
            </w:r>
            <w:r>
              <w:rPr>
                <w:rFonts w:hint="eastAsia" w:ascii="宋体" w:hAnsi="宋体" w:cs="宋体"/>
                <w:bCs/>
                <w:color w:val="auto"/>
                <w:sz w:val="24"/>
                <w:szCs w:val="24"/>
                <w:highlight w:val="white"/>
                <w:lang w:eastAsia="zh-CN"/>
              </w:rPr>
              <w:t>支付方式</w:t>
            </w:r>
            <w:r>
              <w:rPr>
                <w:rFonts w:hint="eastAsia" w:ascii="宋体" w:hAnsi="宋体" w:eastAsia="Calibri" w:cs="宋体"/>
                <w:bCs/>
                <w:color w:val="auto"/>
                <w:sz w:val="24"/>
                <w:szCs w:val="24"/>
                <w:highlight w:val="white"/>
                <w:lang w:val="zh-CN" w:eastAsia="zh-CN"/>
              </w:rPr>
              <w:t>。</w:t>
            </w:r>
            <w:r>
              <w:rPr>
                <w:rFonts w:hint="eastAsia" w:ascii="宋体" w:hAnsi="宋体" w:cs="宋体"/>
                <w:bCs/>
                <w:color w:val="auto"/>
                <w:sz w:val="24"/>
                <w:szCs w:val="24"/>
                <w:highlight w:val="white"/>
                <w:lang w:eastAsia="zh-CN"/>
              </w:rPr>
              <w:t xml:space="preserve"> </w:t>
            </w:r>
          </w:p>
          <w:p w14:paraId="196593B3">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CPU：</w:t>
            </w:r>
            <w:r>
              <w:rPr>
                <w:rFonts w:ascii="宋体" w:hAnsi="宋体" w:eastAsia="Calibri" w:cs="宋体"/>
                <w:bCs/>
                <w:color w:val="auto"/>
                <w:sz w:val="24"/>
                <w:szCs w:val="24"/>
                <w:highlight w:val="white"/>
                <w:lang w:val="zh-CN"/>
              </w:rPr>
              <w:t>四核</w:t>
            </w:r>
            <w:r>
              <w:rPr>
                <w:rFonts w:ascii="宋体" w:hAnsi="宋体" w:eastAsia="Calibri" w:cs="宋体"/>
                <w:bCs/>
                <w:color w:val="auto"/>
                <w:sz w:val="24"/>
                <w:szCs w:val="24"/>
                <w:highlight w:val="white"/>
              </w:rPr>
              <w:t>2.0GHz</w:t>
            </w:r>
          </w:p>
          <w:p w14:paraId="0DFB82FC">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存储器</w:t>
            </w:r>
            <w:r>
              <w:rPr>
                <w:rFonts w:ascii="宋体" w:hAnsi="宋体" w:eastAsia="Calibri" w:cs="宋体"/>
                <w:bCs/>
                <w:color w:val="auto"/>
                <w:sz w:val="24"/>
                <w:szCs w:val="24"/>
                <w:highlight w:val="white"/>
              </w:rPr>
              <w:t>：2GB + 8CB</w:t>
            </w:r>
          </w:p>
          <w:p w14:paraId="5D9F3E45">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主屏幕</w:t>
            </w:r>
            <w:r>
              <w:rPr>
                <w:rFonts w:ascii="宋体" w:hAnsi="宋体" w:eastAsia="Calibri" w:cs="宋体"/>
                <w:bCs/>
                <w:color w:val="auto"/>
                <w:sz w:val="24"/>
                <w:szCs w:val="24"/>
                <w:highlight w:val="white"/>
              </w:rPr>
              <w:t>：</w:t>
            </w:r>
            <w:r>
              <w:rPr>
                <w:rFonts w:eastAsia="Calibri"/>
                <w:bCs/>
                <w:color w:val="auto"/>
                <w:sz w:val="24"/>
                <w:szCs w:val="24"/>
                <w:highlight w:val="white"/>
              </w:rPr>
              <w:t>≥</w:t>
            </w:r>
            <w:r>
              <w:rPr>
                <w:rFonts w:ascii="宋体" w:hAnsi="宋体" w:eastAsia="Calibri" w:cs="宋体"/>
                <w:bCs/>
                <w:color w:val="auto"/>
                <w:sz w:val="24"/>
                <w:szCs w:val="24"/>
                <w:highlight w:val="white"/>
              </w:rPr>
              <w:t>7</w:t>
            </w:r>
            <w:r>
              <w:rPr>
                <w:rFonts w:ascii="宋体" w:hAnsi="宋体" w:eastAsia="Calibri" w:cs="宋体"/>
                <w:bCs/>
                <w:color w:val="auto"/>
                <w:sz w:val="24"/>
                <w:szCs w:val="24"/>
                <w:highlight w:val="white"/>
                <w:lang w:val="zh-CN"/>
              </w:rPr>
              <w:t>英寸</w:t>
            </w:r>
            <w:r>
              <w:rPr>
                <w:rFonts w:ascii="宋体" w:hAnsi="宋体" w:eastAsia="Calibri" w:cs="宋体"/>
                <w:bCs/>
                <w:color w:val="auto"/>
                <w:sz w:val="24"/>
                <w:szCs w:val="24"/>
                <w:highlight w:val="white"/>
              </w:rPr>
              <w:t>，</w:t>
            </w:r>
            <w:r>
              <w:rPr>
                <w:rFonts w:ascii="宋体" w:hAnsi="宋体" w:eastAsia="Calibri" w:cs="宋体"/>
                <w:bCs/>
                <w:color w:val="auto"/>
                <w:sz w:val="24"/>
                <w:szCs w:val="24"/>
                <w:highlight w:val="white"/>
                <w:lang w:val="zh-CN"/>
              </w:rPr>
              <w:t>分辨率</w:t>
            </w:r>
            <w:r>
              <w:rPr>
                <w:rFonts w:ascii="宋体" w:hAnsi="宋体" w:eastAsia="Calibri" w:cs="宋体"/>
                <w:bCs/>
                <w:color w:val="auto"/>
                <w:sz w:val="24"/>
                <w:szCs w:val="24"/>
                <w:highlight w:val="white"/>
              </w:rPr>
              <w:t>720*1280，500cd/m2</w:t>
            </w:r>
          </w:p>
          <w:p w14:paraId="088A976A">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操作系统</w:t>
            </w:r>
            <w:r>
              <w:rPr>
                <w:rFonts w:ascii="宋体" w:hAnsi="宋体" w:eastAsia="Calibri" w:cs="宋体"/>
                <w:bCs/>
                <w:color w:val="auto"/>
                <w:sz w:val="24"/>
                <w:szCs w:val="24"/>
                <w:highlight w:val="white"/>
              </w:rPr>
              <w:t>：Android 11</w:t>
            </w:r>
          </w:p>
          <w:p w14:paraId="7957C7E8">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外部储存</w:t>
            </w:r>
            <w:r>
              <w:rPr>
                <w:rFonts w:ascii="宋体" w:hAnsi="宋体" w:eastAsia="Calibri" w:cs="宋体"/>
                <w:bCs/>
                <w:color w:val="auto"/>
                <w:sz w:val="24"/>
                <w:szCs w:val="24"/>
                <w:highlight w:val="white"/>
              </w:rPr>
              <w:t>：</w:t>
            </w:r>
            <w:r>
              <w:rPr>
                <w:rFonts w:ascii="宋体" w:hAnsi="宋体" w:eastAsia="Calibri" w:cs="宋体"/>
                <w:bCs/>
                <w:color w:val="auto"/>
                <w:sz w:val="24"/>
                <w:szCs w:val="24"/>
                <w:highlight w:val="white"/>
                <w:lang w:val="zh-CN"/>
              </w:rPr>
              <w:t>支持扩展至</w:t>
            </w:r>
            <w:r>
              <w:rPr>
                <w:rFonts w:ascii="宋体" w:hAnsi="宋体" w:eastAsia="Calibri" w:cs="宋体"/>
                <w:bCs/>
                <w:color w:val="auto"/>
                <w:sz w:val="24"/>
                <w:szCs w:val="24"/>
                <w:highlight w:val="white"/>
              </w:rPr>
              <w:t>128GB Micro 8D</w:t>
            </w:r>
            <w:r>
              <w:rPr>
                <w:rFonts w:ascii="宋体" w:hAnsi="宋体" w:eastAsia="Calibri" w:cs="宋体"/>
                <w:bCs/>
                <w:color w:val="auto"/>
                <w:sz w:val="24"/>
                <w:szCs w:val="24"/>
                <w:highlight w:val="white"/>
                <w:lang w:val="zh-CN"/>
              </w:rPr>
              <w:t>卡</w:t>
            </w:r>
          </w:p>
          <w:p w14:paraId="70E4049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通讯方式 ：国内4G全网通</w:t>
            </w:r>
          </w:p>
          <w:p w14:paraId="0F443FB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蓝牙：Bluetooth4.2</w:t>
            </w:r>
          </w:p>
          <w:p w14:paraId="5E28CC3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扬声器：数字音频扬声器*2</w:t>
            </w:r>
          </w:p>
          <w:p w14:paraId="57C8840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WIFl：802.11b/g/n，2.4GHz/5GHz</w:t>
            </w:r>
          </w:p>
          <w:p w14:paraId="76EB12D9">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定位</w:t>
            </w:r>
            <w:r>
              <w:rPr>
                <w:rFonts w:ascii="宋体" w:hAnsi="宋体" w:eastAsia="Calibri" w:cs="宋体"/>
                <w:bCs/>
                <w:color w:val="auto"/>
                <w:sz w:val="24"/>
                <w:szCs w:val="24"/>
                <w:highlight w:val="white"/>
              </w:rPr>
              <w:t>：GPS/A-GPS</w:t>
            </w:r>
            <w:r>
              <w:rPr>
                <w:rFonts w:ascii="宋体" w:hAnsi="宋体" w:eastAsia="Calibri" w:cs="宋体"/>
                <w:bCs/>
                <w:color w:val="auto"/>
                <w:sz w:val="24"/>
                <w:szCs w:val="24"/>
                <w:highlight w:val="white"/>
                <w:lang w:val="zh-CN"/>
              </w:rPr>
              <w:t>、</w:t>
            </w:r>
            <w:r>
              <w:rPr>
                <w:rFonts w:ascii="宋体" w:hAnsi="宋体" w:eastAsia="Calibri" w:cs="宋体"/>
                <w:bCs/>
                <w:color w:val="auto"/>
                <w:sz w:val="24"/>
                <w:szCs w:val="24"/>
                <w:highlight w:val="white"/>
              </w:rPr>
              <w:t>GLONASS</w:t>
            </w:r>
            <w:r>
              <w:rPr>
                <w:rFonts w:ascii="宋体" w:hAnsi="宋体" w:eastAsia="Calibri" w:cs="宋体"/>
                <w:bCs/>
                <w:color w:val="auto"/>
                <w:sz w:val="24"/>
                <w:szCs w:val="24"/>
                <w:highlight w:val="white"/>
                <w:lang w:val="zh-CN"/>
              </w:rPr>
              <w:t>、北斗</w:t>
            </w:r>
          </w:p>
          <w:p w14:paraId="5E4A3AE1">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NFC：ISO11443 Type A/B, MifareISO18092</w:t>
            </w:r>
          </w:p>
          <w:p w14:paraId="4AE0A7D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识读模块：嵌入式，识读各类主流一维条码及标准二维码，软解码</w:t>
            </w:r>
          </w:p>
          <w:p w14:paraId="58C356FD">
            <w:pPr>
              <w:rPr>
                <w:rFonts w:ascii="宋体" w:hAnsi="宋体" w:eastAsia="Calibri" w:cs="宋体"/>
                <w:bCs/>
                <w:color w:val="auto"/>
                <w:sz w:val="24"/>
                <w:szCs w:val="24"/>
                <w:highlight w:val="white"/>
                <w:lang w:eastAsia="zh-CN"/>
              </w:rPr>
            </w:pPr>
            <w:r>
              <w:rPr>
                <w:rFonts w:ascii="宋体" w:hAnsi="宋体" w:eastAsia="Calibri" w:cs="宋体"/>
                <w:bCs/>
                <w:color w:val="auto"/>
                <w:sz w:val="24"/>
                <w:szCs w:val="24"/>
                <w:highlight w:val="white"/>
                <w:lang w:eastAsia="zh-CN"/>
              </w:rPr>
              <w:t>SIM</w:t>
            </w:r>
            <w:r>
              <w:rPr>
                <w:rFonts w:ascii="宋体" w:hAnsi="宋体" w:eastAsia="Calibri" w:cs="宋体"/>
                <w:bCs/>
                <w:color w:val="auto"/>
                <w:sz w:val="24"/>
                <w:szCs w:val="24"/>
                <w:highlight w:val="white"/>
                <w:lang w:val="zh-CN" w:eastAsia="zh-CN"/>
              </w:rPr>
              <w:t>卡槽</w:t>
            </w:r>
            <w:r>
              <w:rPr>
                <w:rFonts w:ascii="宋体" w:hAnsi="宋体" w:eastAsia="Calibri" w:cs="宋体"/>
                <w:bCs/>
                <w:color w:val="auto"/>
                <w:sz w:val="24"/>
                <w:szCs w:val="24"/>
                <w:highlight w:val="white"/>
                <w:lang w:eastAsia="zh-CN"/>
              </w:rPr>
              <w:t>：SIMM*1</w:t>
            </w:r>
          </w:p>
          <w:p w14:paraId="644C0E0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电源接口： DC 9-40V</w:t>
            </w:r>
          </w:p>
          <w:p w14:paraId="135C0B7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PSAM卡槽 PSAM*4</w:t>
            </w:r>
          </w:p>
          <w:p w14:paraId="0163F89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认证：IK08,IP65</w:t>
            </w:r>
          </w:p>
          <w:p w14:paraId="05D62EF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指示灯：绿色、黄色和红色指示灯，最多有4 种颜色可选</w:t>
            </w:r>
          </w:p>
          <w:p w14:paraId="15049AD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功能键：2个</w:t>
            </w:r>
          </w:p>
          <w:p w14:paraId="05EA58E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开关按键 ：1个</w:t>
            </w:r>
          </w:p>
          <w:p w14:paraId="125CE32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环境温度：工作温度:-20℃~+70℃，相对湿度:5%RH-98%RH</w:t>
            </w:r>
          </w:p>
        </w:tc>
        <w:tc>
          <w:tcPr>
            <w:tcW w:w="1418" w:type="dxa"/>
            <w:vAlign w:val="center"/>
          </w:tcPr>
          <w:p w14:paraId="188634B6">
            <w:pPr>
              <w:jc w:val="center"/>
              <w:rPr>
                <w:rFonts w:ascii="Calibri" w:hAnsi="Calibri"/>
                <w:color w:val="auto"/>
              </w:rPr>
            </w:pPr>
            <w:r>
              <w:rPr>
                <w:rFonts w:ascii="Calibri" w:hAnsi="Calibri"/>
                <w:color w:val="auto"/>
              </w:rPr>
              <w:t>7台</w:t>
            </w:r>
          </w:p>
        </w:tc>
      </w:tr>
      <w:tr w14:paraId="22F8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ACE7634">
            <w:pPr>
              <w:pStyle w:val="19"/>
              <w:spacing w:beforeAutospacing="0" w:afterAutospacing="0"/>
              <w:jc w:val="center"/>
              <w:rPr>
                <w:rFonts w:hint="eastAsia" w:eastAsia="宋体" w:cs="宋体"/>
                <w:bCs/>
                <w:color w:val="auto"/>
                <w:kern w:val="2"/>
                <w:highlight w:val="white"/>
              </w:rPr>
            </w:pPr>
            <w:bookmarkStart w:id="43" w:name="OLE_LINK149" w:colFirst="0" w:colLast="2"/>
            <w:bookmarkStart w:id="44" w:name="OLE_LINK150" w:colFirst="0" w:colLast="2"/>
            <w:bookmarkStart w:id="45" w:name="_Hlk194959323"/>
            <w:r>
              <w:rPr>
                <w:rFonts w:hint="eastAsia" w:eastAsia="宋体" w:cs="宋体"/>
                <w:bCs/>
                <w:color w:val="auto"/>
                <w:kern w:val="2"/>
                <w:highlight w:val="white"/>
              </w:rPr>
              <w:t>24</w:t>
            </w:r>
          </w:p>
        </w:tc>
        <w:tc>
          <w:tcPr>
            <w:tcW w:w="1559" w:type="dxa"/>
            <w:vAlign w:val="center"/>
          </w:tcPr>
          <w:p w14:paraId="324DD7A5">
            <w:pPr>
              <w:jc w:val="cente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多功能智能会议预约一体机</w:t>
            </w:r>
          </w:p>
        </w:tc>
        <w:tc>
          <w:tcPr>
            <w:tcW w:w="5528" w:type="dxa"/>
            <w:vAlign w:val="center"/>
          </w:tcPr>
          <w:p w14:paraId="1508E43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为了兼容现有的校园卡和业务场景实际需求，预约系统要求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定制一款多功能智能会议预约一体机，支持会议</w:t>
            </w:r>
            <w:r>
              <w:rPr>
                <w:rFonts w:hint="eastAsia" w:ascii="宋体" w:hAnsi="宋体" w:eastAsia="Calibri" w:cs="宋体"/>
                <w:bCs/>
                <w:color w:val="auto"/>
                <w:sz w:val="24"/>
                <w:szCs w:val="24"/>
                <w:highlight w:val="white"/>
                <w:lang w:eastAsia="zh-CN"/>
              </w:rPr>
              <w:t>管理与会议数据同步，会议排号叫号，</w:t>
            </w:r>
            <w:r>
              <w:rPr>
                <w:rFonts w:ascii="宋体" w:hAnsi="宋体" w:eastAsia="Calibri" w:cs="宋体"/>
                <w:bCs/>
                <w:color w:val="auto"/>
                <w:sz w:val="24"/>
                <w:szCs w:val="24"/>
                <w:highlight w:val="white"/>
                <w:lang w:val="zh-CN" w:eastAsia="zh-CN"/>
              </w:rPr>
              <w:t>显示当前会议状态，排队预约管控。</w:t>
            </w:r>
          </w:p>
          <w:p w14:paraId="28CEB4F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外观与结构：表面应平整、光洁，无明显划痕、凹痕圆弧边框无变形；采用纯贴合安装方式，其紧固件、连接件应牢固、无松脱</w:t>
            </w:r>
          </w:p>
          <w:p w14:paraId="05A0A43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2</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标称配置：配置独立内置走线槽；配置200万像素单目宽动态摄像头</w:t>
            </w:r>
          </w:p>
          <w:p w14:paraId="263F288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样式：可自定义拖拽模板样式(模块背景不少于10个、模块数量不少于100个），可动态添加第三方链接作为模块，在指定区域对接校园门户网站，底部菜单可进行自定义编辑、配置菜单，并生成自定义模板，呈现在看板前端</w:t>
            </w:r>
          </w:p>
          <w:p w14:paraId="03E8428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4.</w:t>
            </w:r>
            <w:r>
              <w:rPr>
                <w:rFonts w:ascii="宋体" w:hAnsi="宋体" w:eastAsia="Calibri" w:cs="宋体"/>
                <w:bCs/>
                <w:color w:val="auto"/>
                <w:sz w:val="24"/>
                <w:szCs w:val="24"/>
                <w:highlight w:val="white"/>
                <w:lang w:val="zh-CN" w:eastAsia="zh-CN"/>
              </w:rPr>
              <w:t>低温工作：按GB/T2423.1-2008的方法进行：在-15℃低温环境条件下运行2h，试验中及试验后应正常工作</w:t>
            </w:r>
          </w:p>
          <w:p w14:paraId="6B0F21C6">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5</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高温工作：按GB/T2423.2-2008的方法进行：在50℃高温环境条件下运行2h，试验中及试验后应正常工作</w:t>
            </w:r>
          </w:p>
          <w:p w14:paraId="77DC89BA">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6</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整机尺寸：长</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510.86*宽</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324.47*厚</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28mm(不含壁挂板)， 屏幕尺寸</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21.5 英寸</w:t>
            </w:r>
          </w:p>
          <w:p w14:paraId="4C2E0D3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7.</w:t>
            </w:r>
            <w:r>
              <w:rPr>
                <w:rFonts w:ascii="宋体" w:hAnsi="宋体" w:eastAsia="Calibri" w:cs="宋体"/>
                <w:bCs/>
                <w:color w:val="auto"/>
                <w:sz w:val="24"/>
                <w:szCs w:val="24"/>
                <w:highlight w:val="white"/>
                <w:lang w:val="zh-CN" w:eastAsia="zh-CN"/>
              </w:rPr>
              <w:t xml:space="preserve"> 整机功率：待机功率 ≤0.5W；工作功率 &lt;45W</w:t>
            </w:r>
          </w:p>
          <w:p w14:paraId="3D703F97">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8.</w:t>
            </w:r>
            <w:r>
              <w:rPr>
                <w:rFonts w:ascii="宋体" w:hAnsi="宋体" w:eastAsia="Calibri" w:cs="宋体"/>
                <w:bCs/>
                <w:color w:val="auto"/>
                <w:sz w:val="24"/>
                <w:szCs w:val="24"/>
                <w:highlight w:val="white"/>
                <w:lang w:val="zh-CN" w:eastAsia="zh-CN"/>
              </w:rPr>
              <w:t xml:space="preserve"> 工作电压：12V ，工作电流：5A</w:t>
            </w:r>
          </w:p>
          <w:p w14:paraId="4B3EA50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val="zh-CN" w:eastAsia="zh-CN"/>
              </w:rPr>
              <w:t>9.</w:t>
            </w:r>
            <w:r>
              <w:rPr>
                <w:rFonts w:ascii="宋体" w:hAnsi="宋体" w:eastAsia="Calibri" w:cs="宋体"/>
                <w:bCs/>
                <w:color w:val="auto"/>
                <w:sz w:val="24"/>
                <w:szCs w:val="24"/>
                <w:highlight w:val="white"/>
                <w:lang w:val="zh-CN" w:eastAsia="zh-CN"/>
              </w:rPr>
              <w:t xml:space="preserve"> 工作环境：室内、半室外 ，安装方式：壁挂式安装，扬声器：2W*2, 8</w:t>
            </w:r>
            <w:r>
              <w:rPr>
                <w:rFonts w:ascii="宋体" w:hAnsi="宋体" w:eastAsia="Calibri" w:cs="宋体"/>
                <w:bCs/>
                <w:color w:val="auto"/>
                <w:sz w:val="24"/>
                <w:szCs w:val="24"/>
                <w:highlight w:val="white"/>
                <w:lang w:val="zh-CN"/>
              </w:rPr>
              <w:t>Ω</w:t>
            </w:r>
          </w:p>
          <w:p w14:paraId="6D566A5B">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10</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分辨率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1920 x 1080，显示比例 16:9</w:t>
            </w:r>
          </w:p>
          <w:p w14:paraId="49E6F4D6">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11</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亮度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300cd/m²   </w:t>
            </w:r>
          </w:p>
          <w:p w14:paraId="5148BD2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12</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屏对比度 1000:1</w:t>
            </w:r>
          </w:p>
          <w:p w14:paraId="788AC5C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13</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响应时间</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14ms</w:t>
            </w:r>
          </w:p>
          <w:p w14:paraId="3963D581">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4.</w:t>
            </w:r>
            <w:r>
              <w:rPr>
                <w:rFonts w:ascii="宋体" w:hAnsi="宋体" w:eastAsia="Calibri" w:cs="宋体"/>
                <w:bCs/>
                <w:color w:val="auto"/>
                <w:sz w:val="24"/>
                <w:szCs w:val="24"/>
                <w:highlight w:val="white"/>
                <w:lang w:val="zh-CN" w:eastAsia="zh-CN"/>
              </w:rPr>
              <w:t xml:space="preserve"> 钢化玻璃 莫氏七级钢化玻璃 </w:t>
            </w:r>
          </w:p>
          <w:p w14:paraId="72429DA2">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 xml:space="preserve"> 最大输出点数 10点触摸</w:t>
            </w:r>
          </w:p>
          <w:p w14:paraId="5F91933F">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6.</w:t>
            </w:r>
            <w:r>
              <w:rPr>
                <w:rFonts w:ascii="宋体" w:hAnsi="宋体" w:eastAsia="Calibri" w:cs="宋体"/>
                <w:bCs/>
                <w:color w:val="auto"/>
                <w:sz w:val="24"/>
                <w:szCs w:val="24"/>
                <w:highlight w:val="white"/>
                <w:lang w:val="zh-CN" w:eastAsia="zh-CN"/>
              </w:rPr>
              <w:t xml:space="preserve"> 触摸技术 投射式电容触摸</w:t>
            </w:r>
          </w:p>
          <w:p w14:paraId="643DE2B5">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7.</w:t>
            </w:r>
            <w:r>
              <w:rPr>
                <w:rFonts w:ascii="宋体" w:hAnsi="宋体" w:eastAsia="Calibri" w:cs="宋体"/>
                <w:bCs/>
                <w:color w:val="auto"/>
                <w:sz w:val="24"/>
                <w:szCs w:val="24"/>
                <w:highlight w:val="white"/>
                <w:lang w:val="zh-CN" w:eastAsia="zh-CN"/>
              </w:rPr>
              <w:t xml:space="preserve"> 响应时间 ＜8MS</w:t>
            </w:r>
          </w:p>
          <w:p w14:paraId="2F682049">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8.</w:t>
            </w:r>
            <w:r>
              <w:rPr>
                <w:rFonts w:ascii="宋体" w:hAnsi="宋体" w:eastAsia="Calibri" w:cs="宋体"/>
                <w:bCs/>
                <w:color w:val="auto"/>
                <w:sz w:val="24"/>
                <w:szCs w:val="24"/>
                <w:highlight w:val="white"/>
                <w:lang w:val="zh-CN" w:eastAsia="zh-CN"/>
              </w:rPr>
              <w:t xml:space="preserve"> 系统版本</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Android 7.1</w:t>
            </w:r>
          </w:p>
          <w:p w14:paraId="09A0568A">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1</w:t>
            </w:r>
            <w:r>
              <w:rPr>
                <w:rFonts w:hint="eastAsia" w:ascii="宋体" w:hAnsi="宋体" w:cs="宋体"/>
                <w:bCs/>
                <w:color w:val="auto"/>
                <w:sz w:val="24"/>
                <w:szCs w:val="24"/>
                <w:highlight w:val="white"/>
                <w:lang w:val="zh-CN" w:eastAsia="zh-CN"/>
              </w:rPr>
              <w:t>9.</w:t>
            </w:r>
            <w:r>
              <w:rPr>
                <w:rFonts w:ascii="宋体" w:hAnsi="宋体" w:eastAsia="Calibri" w:cs="宋体"/>
                <w:bCs/>
                <w:color w:val="auto"/>
                <w:sz w:val="24"/>
                <w:szCs w:val="24"/>
                <w:highlight w:val="white"/>
                <w:lang w:val="zh-CN" w:eastAsia="zh-CN"/>
              </w:rPr>
              <w:t xml:space="preserve"> 主芯片 RK3288</w:t>
            </w:r>
          </w:p>
          <w:p w14:paraId="4BFB936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0.</w:t>
            </w:r>
            <w:r>
              <w:rPr>
                <w:rFonts w:ascii="宋体" w:hAnsi="宋体" w:eastAsia="Calibri" w:cs="宋体"/>
                <w:bCs/>
                <w:color w:val="auto"/>
                <w:sz w:val="24"/>
                <w:szCs w:val="24"/>
                <w:highlight w:val="white"/>
                <w:lang w:val="zh-CN" w:eastAsia="zh-CN"/>
              </w:rPr>
              <w:t xml:space="preserve"> 内存 标配</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2G</w:t>
            </w:r>
          </w:p>
          <w:p w14:paraId="772A7BF4">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21</w:t>
            </w:r>
            <w:r>
              <w:rPr>
                <w:rFonts w:hint="eastAsia" w:ascii="宋体" w:hAnsi="宋体"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 存储 标配</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8G</w:t>
            </w:r>
          </w:p>
          <w:p w14:paraId="2FF13D1E">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2.</w:t>
            </w:r>
            <w:r>
              <w:rPr>
                <w:rFonts w:ascii="宋体" w:hAnsi="宋体" w:eastAsia="Calibri" w:cs="宋体"/>
                <w:bCs/>
                <w:color w:val="auto"/>
                <w:sz w:val="24"/>
                <w:szCs w:val="24"/>
                <w:highlight w:val="white"/>
                <w:lang w:val="zh-CN" w:eastAsia="zh-CN"/>
              </w:rPr>
              <w:t xml:space="preserve"> 外置接口：USB1个、升级键1个、OTG-USB1个、网口1个、DC1个</w:t>
            </w:r>
          </w:p>
          <w:p w14:paraId="0E8C8AE3">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3.</w:t>
            </w:r>
            <w:r>
              <w:rPr>
                <w:rFonts w:ascii="宋体" w:hAnsi="宋体" w:eastAsia="Calibri" w:cs="宋体"/>
                <w:bCs/>
                <w:color w:val="auto"/>
                <w:sz w:val="24"/>
                <w:szCs w:val="24"/>
                <w:highlight w:val="white"/>
                <w:lang w:val="zh-CN" w:eastAsia="zh-CN"/>
              </w:rPr>
              <w:t xml:space="preserve"> 摄像头：高清单目200W（宽动态可选）</w:t>
            </w:r>
          </w:p>
          <w:p w14:paraId="3918DFF3">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4.</w:t>
            </w:r>
            <w:r>
              <w:rPr>
                <w:rFonts w:ascii="宋体" w:hAnsi="宋体" w:eastAsia="Calibri" w:cs="宋体"/>
                <w:bCs/>
                <w:color w:val="auto"/>
                <w:sz w:val="24"/>
                <w:szCs w:val="24"/>
                <w:highlight w:val="white"/>
                <w:lang w:val="zh-CN" w:eastAsia="zh-CN"/>
              </w:rPr>
              <w:t xml:space="preserve"> 读卡距离  00~35mm（不同卡识别距离有差异）</w:t>
            </w:r>
          </w:p>
          <w:p w14:paraId="2749CEAD">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5.</w:t>
            </w:r>
            <w:r>
              <w:rPr>
                <w:rFonts w:ascii="宋体" w:hAnsi="宋体" w:eastAsia="Calibri" w:cs="宋体"/>
                <w:bCs/>
                <w:color w:val="auto"/>
                <w:sz w:val="24"/>
                <w:szCs w:val="24"/>
                <w:highlight w:val="white"/>
                <w:lang w:val="zh-CN" w:eastAsia="zh-CN"/>
              </w:rPr>
              <w:t xml:space="preserve"> 读卡时间 ＜100ms</w:t>
            </w:r>
          </w:p>
          <w:p w14:paraId="627BABEC">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6.</w:t>
            </w:r>
            <w:r>
              <w:rPr>
                <w:rFonts w:ascii="宋体" w:hAnsi="宋体" w:eastAsia="Calibri" w:cs="宋体"/>
                <w:bCs/>
                <w:color w:val="auto"/>
                <w:sz w:val="24"/>
                <w:szCs w:val="24"/>
                <w:highlight w:val="white"/>
                <w:lang w:val="zh-CN" w:eastAsia="zh-CN"/>
              </w:rPr>
              <w:t xml:space="preserve"> 工作频率 13.56MHZ</w:t>
            </w:r>
          </w:p>
          <w:p w14:paraId="307D5F85">
            <w:pPr>
              <w:rPr>
                <w:rFonts w:ascii="宋体" w:hAnsi="宋体" w:eastAsia="Calibri" w:cs="宋体"/>
                <w:bCs/>
                <w:color w:val="auto"/>
                <w:sz w:val="24"/>
                <w:szCs w:val="24"/>
                <w:highlight w:val="white"/>
                <w:lang w:val="zh-CN" w:eastAsia="zh-CN"/>
              </w:rPr>
            </w:pPr>
            <w:r>
              <w:rPr>
                <w:rFonts w:hint="eastAsia" w:ascii="宋体" w:hAnsi="宋体" w:cs="宋体"/>
                <w:bCs/>
                <w:color w:val="auto"/>
                <w:sz w:val="24"/>
                <w:szCs w:val="24"/>
                <w:highlight w:val="white"/>
                <w:lang w:eastAsia="zh-CN"/>
              </w:rPr>
              <w:t>2</w:t>
            </w:r>
            <w:r>
              <w:rPr>
                <w:rFonts w:hint="eastAsia" w:ascii="宋体" w:hAnsi="宋体" w:cs="宋体"/>
                <w:bCs/>
                <w:color w:val="auto"/>
                <w:sz w:val="24"/>
                <w:szCs w:val="24"/>
                <w:highlight w:val="white"/>
                <w:lang w:val="zh-CN" w:eastAsia="zh-CN"/>
              </w:rPr>
              <w:t>7.</w:t>
            </w:r>
            <w:r>
              <w:rPr>
                <w:rFonts w:ascii="宋体" w:hAnsi="宋体" w:eastAsia="Calibri" w:cs="宋体"/>
                <w:bCs/>
                <w:color w:val="auto"/>
                <w:sz w:val="24"/>
                <w:szCs w:val="24"/>
                <w:highlight w:val="white"/>
                <w:lang w:val="zh-CN" w:eastAsia="zh-CN"/>
              </w:rPr>
              <w:t xml:space="preserve"> 有线网络 10/100M TCP/IP</w:t>
            </w:r>
          </w:p>
        </w:tc>
        <w:tc>
          <w:tcPr>
            <w:tcW w:w="1418" w:type="dxa"/>
            <w:vAlign w:val="center"/>
          </w:tcPr>
          <w:p w14:paraId="669263A9">
            <w:pPr>
              <w:jc w:val="center"/>
              <w:rPr>
                <w:rFonts w:ascii="Calibri" w:hAnsi="Calibri"/>
                <w:color w:val="auto"/>
              </w:rPr>
            </w:pPr>
            <w:r>
              <w:rPr>
                <w:rFonts w:ascii="Calibri" w:hAnsi="Calibri"/>
                <w:color w:val="auto"/>
              </w:rPr>
              <w:t>1台</w:t>
            </w:r>
          </w:p>
        </w:tc>
      </w:tr>
      <w:bookmarkEnd w:id="43"/>
      <w:bookmarkEnd w:id="44"/>
      <w:bookmarkEnd w:id="45"/>
      <w:tr w14:paraId="1C73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FCF45D6">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25</w:t>
            </w:r>
          </w:p>
        </w:tc>
        <w:tc>
          <w:tcPr>
            <w:tcW w:w="1559" w:type="dxa"/>
            <w:vAlign w:val="center"/>
          </w:tcPr>
          <w:p w14:paraId="76DB791D">
            <w:pPr>
              <w:jc w:val="cente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学生轨迹数据采集一体机</w:t>
            </w:r>
          </w:p>
        </w:tc>
        <w:tc>
          <w:tcPr>
            <w:tcW w:w="5528" w:type="dxa"/>
            <w:vAlign w:val="center"/>
          </w:tcPr>
          <w:p w14:paraId="7D47B67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根据学生轨迹分析业务场景实际需求，要求</w:t>
            </w:r>
            <w:r>
              <w:rPr>
                <w:rFonts w:hint="eastAsia" w:ascii="宋体" w:hAnsi="宋体" w:eastAsia="Calibri" w:cs="宋体"/>
                <w:bCs/>
                <w:color w:val="auto"/>
                <w:sz w:val="24"/>
                <w:szCs w:val="24"/>
                <w:highlight w:val="white"/>
                <w:lang w:val="zh-CN" w:eastAsia="zh-CN"/>
              </w:rPr>
              <w:t>供应商</w:t>
            </w:r>
            <w:r>
              <w:rPr>
                <w:rFonts w:ascii="宋体" w:hAnsi="宋体" w:eastAsia="Calibri" w:cs="宋体"/>
                <w:bCs/>
                <w:color w:val="auto"/>
                <w:sz w:val="24"/>
                <w:szCs w:val="24"/>
                <w:highlight w:val="white"/>
                <w:lang w:val="zh-CN" w:eastAsia="zh-CN"/>
              </w:rPr>
              <w:t>定制一款学生轨迹数据采集一体机，用于学生轨迹信息采集。包含智能摄像机、智能超脑、教育综合安防管理平台等。</w:t>
            </w:r>
          </w:p>
          <w:p w14:paraId="1B52798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智能摄像机：</w:t>
            </w:r>
          </w:p>
          <w:p w14:paraId="2CA430C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人/车抓拍筒机</w:t>
            </w:r>
          </w:p>
          <w:p w14:paraId="3C174FF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采用深度学习算法，以海量图片及视频资源为路基，通过机器自身提取目标特征，形成深层可供学习的图像</w:t>
            </w:r>
          </w:p>
          <w:p w14:paraId="461ED0B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支持智能资源模式切换：人脸抓拍模式，车辆抓拍模式，Smart事件模式</w:t>
            </w:r>
          </w:p>
          <w:p w14:paraId="37854AB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人脸抓拍模式：1、支持对运动人脸进行检测、抓拍、评分、筛选，输出优选的人脸； 2、支持去误报、快速抓拍人脸； 3、支持快速抓拍和优选抓拍两种模式； 4、最多同时检测40张人脸。 </w:t>
            </w:r>
          </w:p>
          <w:p w14:paraId="56C3637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车辆抓拍模式：支持车辆检测，支持车牌识别并抓拍，同时提取车牌号码和车辆类型</w:t>
            </w:r>
          </w:p>
          <w:p w14:paraId="5A194EE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p>
          <w:p w14:paraId="4466CE8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系统功能：支持开放型网络视频接口、ISAPI、GB/T28181和E-HOME协议接入；支持三码流技术，支持同时6路取流；支持萤石平台接入</w:t>
            </w:r>
          </w:p>
          <w:p w14:paraId="55DE15E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Smart录像：支持断网续传功能保证录像不丢失，配合Smart NVR/SD卡实现事件录像的智能后检索、分析和浓缩播放，Smart编码：支持低码率、低延时、ROI感兴趣区域增强编码、支持Smart265编码</w:t>
            </w:r>
          </w:p>
          <w:p w14:paraId="181343B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图像相关：支持400万像素@25 fps实时帧率，图像更流畅；支持透雾，并具有多种白平衡模式，适合各种场景需求</w:t>
            </w:r>
          </w:p>
          <w:p w14:paraId="3352CDE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安全服务：支持三级用户权限管理，支持授权的用户和密码，支持IP地址过滤</w:t>
            </w:r>
          </w:p>
          <w:p w14:paraId="01B6800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接口功能：内置MicroSD/MicroSDHC/MicroSDXC插槽，最大支持 512 GB；支持10 M/100 M自适应网口；支持一对报警输入输出</w:t>
            </w:r>
          </w:p>
          <w:p w14:paraId="79126BD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宽动态：≥100 dB</w:t>
            </w:r>
          </w:p>
          <w:p w14:paraId="17D5B33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传感器类型：1/2.7"" Progressive Scan CMOS</w:t>
            </w:r>
          </w:p>
          <w:p w14:paraId="55241DAA">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最低照度</w:t>
            </w:r>
            <w:r>
              <w:rPr>
                <w:rFonts w:ascii="宋体" w:hAnsi="宋体" w:eastAsia="Calibri" w:cs="宋体"/>
                <w:bCs/>
                <w:color w:val="auto"/>
                <w:sz w:val="24"/>
                <w:szCs w:val="24"/>
                <w:highlight w:val="white"/>
              </w:rPr>
              <w:t>：</w:t>
            </w:r>
            <w:r>
              <w:rPr>
                <w:rFonts w:ascii="宋体" w:hAnsi="宋体" w:eastAsia="Calibri" w:cs="宋体"/>
                <w:bCs/>
                <w:color w:val="auto"/>
                <w:sz w:val="24"/>
                <w:szCs w:val="24"/>
                <w:highlight w:val="white"/>
                <w:lang w:val="zh-CN"/>
              </w:rPr>
              <w:t>彩色</w:t>
            </w:r>
            <w:r>
              <w:rPr>
                <w:rFonts w:ascii="宋体" w:hAnsi="宋体" w:eastAsia="Calibri" w:cs="宋体"/>
                <w:bCs/>
                <w:color w:val="auto"/>
                <w:sz w:val="24"/>
                <w:szCs w:val="24"/>
                <w:highlight w:val="white"/>
              </w:rPr>
              <w:t>：0.005 Lux @（F1.2，AGC ON），0 Lux with Light；</w:t>
            </w:r>
          </w:p>
          <w:p w14:paraId="742E169A">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lang w:val="zh-CN"/>
              </w:rPr>
              <w:t>黑白</w:t>
            </w:r>
            <w:r>
              <w:rPr>
                <w:rFonts w:ascii="宋体" w:hAnsi="宋体" w:eastAsia="Calibri" w:cs="宋体"/>
                <w:bCs/>
                <w:color w:val="auto"/>
                <w:sz w:val="24"/>
                <w:szCs w:val="24"/>
                <w:highlight w:val="white"/>
              </w:rPr>
              <w:t xml:space="preserve">：0.002 Lux @（F1.2，AGC ON），0 Lux with IR </w:t>
            </w:r>
          </w:p>
          <w:p w14:paraId="47AB547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焦距&amp;视场角：2.8 mm：水平视场角：94.4°，垂直视场角：50.4°，对角视场角：112.6°</w:t>
            </w:r>
          </w:p>
          <w:p w14:paraId="414B4BC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4 mm：水平视场角：69.9°，垂直视场角：34.9°，对角视场角：84.9°</w:t>
            </w:r>
          </w:p>
          <w:p w14:paraId="4ADA856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6 mm：水平视场角：45.9°，垂直视场角：24.1°，对角视场角：53.9°</w:t>
            </w:r>
          </w:p>
          <w:p w14:paraId="04E7F3A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8 mm：水平视场角：43.7°，垂直视场角：23.9°，对角视场角：51.2°  </w:t>
            </w:r>
          </w:p>
          <w:p w14:paraId="08E47DA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补光灯类型：支持双光补光：红外补光 或 暖白光补光</w:t>
            </w:r>
          </w:p>
          <w:p w14:paraId="3A3AFEC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补光距离：白光：普通监控：最远可达30 m，人脸抓拍/识别：最远可达5 m</w:t>
            </w:r>
          </w:p>
          <w:p w14:paraId="29B5F67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红外：普通监控：最远可达50 m，人脸抓拍/识别：最远可达10 m</w:t>
            </w:r>
          </w:p>
          <w:p w14:paraId="7C2CE82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防补光过曝：支持防补光过曝开启和关闭，开启下支持自动和手动，手动支持根据距离等级控制补光灯亮度</w:t>
            </w:r>
          </w:p>
          <w:p w14:paraId="2BAA16C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红外波长范围：850 nm </w:t>
            </w:r>
          </w:p>
          <w:p w14:paraId="220A941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最大分辨率：2560 × 1440</w:t>
            </w:r>
          </w:p>
          <w:p w14:paraId="63CA4E4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视频压缩标准：H.265/H.264/MJPEG </w:t>
            </w:r>
          </w:p>
          <w:p w14:paraId="020DFFF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网络：1个RJ45 10 M/100 M自适应以太网口</w:t>
            </w:r>
          </w:p>
          <w:p w14:paraId="0611C85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SD卡扩展：内置MicroSD/MicroSDHC/MicroSDXC插槽，最大支持512 GB</w:t>
            </w:r>
          </w:p>
          <w:p w14:paraId="2E1962C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音频：1路输入（Line in），1路输出（Line out），1个内置麦克风，1个内置扬声器</w:t>
            </w:r>
          </w:p>
          <w:p w14:paraId="490925E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报警：1路输入，1路输出（报警输入支持电平量，报警输出最大支持DC12 V，30 mA）</w:t>
            </w:r>
          </w:p>
          <w:p w14:paraId="67BBCF5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复位：支持</w:t>
            </w:r>
          </w:p>
          <w:p w14:paraId="65365F7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电源输出：DC12 V，100 mA</w:t>
            </w:r>
          </w:p>
          <w:p w14:paraId="4CB150D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接口类型：外甩线 </w:t>
            </w:r>
          </w:p>
          <w:p w14:paraId="1AAAB2C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电流及功耗：DC：12 V，0.8 A，最大功耗：9.6 W</w:t>
            </w:r>
          </w:p>
          <w:p w14:paraId="30A62DC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PoE：802.3af，37 V~57 V，0.30 A~0.19A，最大功耗：10.8 W</w:t>
            </w:r>
          </w:p>
          <w:p w14:paraId="3C213D7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产品尺寸：</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102.3×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89 ×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181.5 mm</w:t>
            </w:r>
          </w:p>
          <w:p w14:paraId="2672EB5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包装尺寸：</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315 ×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137 × </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141 mm</w:t>
            </w:r>
          </w:p>
          <w:p w14:paraId="5255C56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设备重量：440g</w:t>
            </w:r>
          </w:p>
          <w:p w14:paraId="45725DF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带包装重量：604g</w:t>
            </w:r>
          </w:p>
          <w:p w14:paraId="61B0DDB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恢复出厂设置：支持RESET按键，客户端或浏览器恢复 </w:t>
            </w:r>
          </w:p>
          <w:p w14:paraId="4C7441C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在线升级：支持</w:t>
            </w:r>
          </w:p>
          <w:p w14:paraId="24F9487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启动和工作温湿度：-30 °C~60 °C，湿度小于95%（无凝结）</w:t>
            </w:r>
          </w:p>
          <w:p w14:paraId="5A56B0D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存储温湿度：-30 °C~60 °C，湿度小于95%（无凝结）</w:t>
            </w:r>
          </w:p>
          <w:p w14:paraId="3F240E6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供电方式：DC：12 V ± 20%，支持防反接保护</w:t>
            </w:r>
          </w:p>
          <w:p w14:paraId="1B9C8832">
            <w:pPr>
              <w:rPr>
                <w:rFonts w:ascii="宋体" w:hAnsi="宋体" w:eastAsia="Calibri" w:cs="宋体"/>
                <w:bCs/>
                <w:color w:val="auto"/>
                <w:sz w:val="24"/>
                <w:szCs w:val="24"/>
                <w:highlight w:val="white"/>
              </w:rPr>
            </w:pPr>
            <w:r>
              <w:rPr>
                <w:rFonts w:ascii="宋体" w:hAnsi="宋体" w:eastAsia="Calibri" w:cs="宋体"/>
                <w:bCs/>
                <w:color w:val="auto"/>
                <w:sz w:val="24"/>
                <w:szCs w:val="24"/>
                <w:highlight w:val="white"/>
              </w:rPr>
              <w:t>PoE：802.3af，Type 2，Class 3</w:t>
            </w:r>
          </w:p>
          <w:p w14:paraId="2BE763B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 xml:space="preserve">电源接口类型：Ø5.5 mm圆口 </w:t>
            </w:r>
          </w:p>
          <w:p w14:paraId="7F6C545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防护：</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 xml:space="preserve">IP67 </w:t>
            </w:r>
          </w:p>
          <w:p w14:paraId="07D5BDA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电源：</w:t>
            </w:r>
          </w:p>
          <w:p w14:paraId="35F2787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国标,12V1A输出,</w:t>
            </w:r>
            <w:r>
              <w:rPr>
                <w:rFonts w:ascii="宋体" w:hAnsi="宋体" w:eastAsia="Calibri" w:cs="宋体"/>
                <w:bCs/>
                <w:color w:val="auto"/>
                <w:sz w:val="24"/>
                <w:szCs w:val="24"/>
                <w:highlight w:val="white"/>
                <w:lang w:val="zh-CN"/>
              </w:rPr>
              <w:t>Φ</w:t>
            </w:r>
            <w:r>
              <w:rPr>
                <w:rFonts w:ascii="宋体" w:hAnsi="宋体" w:eastAsia="Calibri" w:cs="宋体"/>
                <w:bCs/>
                <w:color w:val="auto"/>
                <w:sz w:val="24"/>
                <w:szCs w:val="24"/>
                <w:highlight w:val="white"/>
                <w:lang w:val="zh-CN" w:eastAsia="zh-CN"/>
              </w:rPr>
              <w:t>2.1圆头，桌面式，输入350mm,输出800mm</w:t>
            </w:r>
          </w:p>
          <w:p w14:paraId="22DCFFD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输入电压：AC170V~240V</w:t>
            </w:r>
          </w:p>
          <w:p w14:paraId="7878573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金属壁装支架</w:t>
            </w:r>
          </w:p>
          <w:p w14:paraId="42E91E9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压铸纯铝合金材质，表面做喷塑处理</w:t>
            </w:r>
          </w:p>
          <w:p w14:paraId="605F46E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支架带出线孔，安装更加美观</w:t>
            </w:r>
          </w:p>
          <w:p w14:paraId="3AAF317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摄像机安装座表面有海绵垫，保证和摄像机底座结合更紧密</w:t>
            </w:r>
          </w:p>
          <w:p w14:paraId="1E8A96C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摄像机安装座可旋转，方便摄像机角度调整</w:t>
            </w:r>
          </w:p>
          <w:p w14:paraId="7C5BC41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材质：铝合金</w:t>
            </w:r>
          </w:p>
          <w:p w14:paraId="2F0766E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尺寸：</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70×</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97.1×</w:t>
            </w:r>
            <w:r>
              <w:rPr>
                <w:rFonts w:eastAsia="Calibri"/>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173.4mm</w:t>
            </w:r>
          </w:p>
          <w:p w14:paraId="0638E44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重量：最大承受重量为2KG</w:t>
            </w:r>
          </w:p>
          <w:p w14:paraId="1C89EAC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角度：调整角度：水平：360°，垂直：-45°~45°</w:t>
            </w:r>
          </w:p>
          <w:p w14:paraId="0C95005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泛智能超脑：</w:t>
            </w:r>
          </w:p>
          <w:p w14:paraId="5086EC7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3U机架式16盘位嵌入式边缘计算主机，采用存算一体架构，内置高性能AI处理器</w:t>
            </w:r>
          </w:p>
          <w:p w14:paraId="4BD3983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【硬件规格】</w:t>
            </w:r>
          </w:p>
          <w:p w14:paraId="3FB0822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存储接口：16个SATA接口，支持硬盘热插拔，可满配12TB硬盘</w:t>
            </w:r>
          </w:p>
          <w:p w14:paraId="3E1D46B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视频接口：2×HDMI，2×VGA</w:t>
            </w:r>
          </w:p>
          <w:p w14:paraId="33A6E40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网络接口：2×RJ45 10/100/1000Mbps自适应以太网口</w:t>
            </w:r>
          </w:p>
          <w:p w14:paraId="7296B7C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报警接口：16路报警输入，9路报警输出（其中第9路支持CTRL 12V）</w:t>
            </w:r>
          </w:p>
          <w:p w14:paraId="5F90C1D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反向供电：1路DC12V 1A</w:t>
            </w:r>
          </w:p>
          <w:p w14:paraId="5F9F0F5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串行接口：1路RS-232接口，1路全双工RS-485接口</w:t>
            </w:r>
          </w:p>
          <w:p w14:paraId="474A6C4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USB接口：2×USB 2.0，2×USB 3.0</w:t>
            </w:r>
          </w:p>
          <w:p w14:paraId="73999E2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扩展接口：1×eSATA</w:t>
            </w:r>
          </w:p>
          <w:p w14:paraId="01BC029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【产品性能】</w:t>
            </w:r>
          </w:p>
          <w:p w14:paraId="5E33E9A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输入带宽：384Mbps</w:t>
            </w:r>
          </w:p>
          <w:p w14:paraId="09A3D46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输出带宽：256Mbps</w:t>
            </w:r>
          </w:p>
          <w:p w14:paraId="07E29F5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接入能力：64路H.264、H.265格式高清码流接入</w:t>
            </w:r>
          </w:p>
          <w:p w14:paraId="3433BAF0">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解码能力：最大支持32×1080P</w:t>
            </w:r>
          </w:p>
          <w:p w14:paraId="7883644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显示能力：最大支持8K+1080P、2×4K异源输出</w:t>
            </w:r>
          </w:p>
          <w:p w14:paraId="188F1D7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RAID模式：RAID0、RAID1、RAID5、RAID6、RAID10，支持全局热备盘</w:t>
            </w:r>
          </w:p>
          <w:p w14:paraId="6158506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【智能应用】</w:t>
            </w:r>
          </w:p>
          <w:p w14:paraId="6F98FFB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整机搭载2颗高性能AI引擎，支持独立配置目标识别、周界防范、周界二次分析、视频结构化、高空抛物、以文搜图，以图搜图引擎模式</w:t>
            </w:r>
          </w:p>
          <w:p w14:paraId="09D24E6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一、以文搜图-以图搜图：</w:t>
            </w:r>
          </w:p>
          <w:p w14:paraId="7B9BC86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支持以文搜图功能，开放式语义检索，输入文字描述即可查找相关目标</w:t>
            </w:r>
          </w:p>
          <w:p w14:paraId="085753C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支持人，车，非机动车以及附属物的开放式属性检索</w:t>
            </w:r>
          </w:p>
          <w:p w14:paraId="082638C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支持秒级检索响应，检索结果快速返回</w:t>
            </w:r>
          </w:p>
          <w:p w14:paraId="1CA9872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支持以图搜图功能，可对视频预览和录像中的目标实现快速检索</w:t>
            </w:r>
          </w:p>
          <w:p w14:paraId="6590C50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视频流性能（普通相机）：4路视频流（2MP)</w:t>
            </w:r>
          </w:p>
          <w:p w14:paraId="5FE14FF3">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图片流性能（智搜相机）：64路图片流</w:t>
            </w:r>
          </w:p>
          <w:p w14:paraId="5B3D7E2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单颗AI引擎分析性能：64路图片流；4路2MP视频流/2路4MP/1路8MP视频流</w:t>
            </w:r>
          </w:p>
          <w:p w14:paraId="593ABD6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二、目标识别应用：</w:t>
            </w:r>
          </w:p>
          <w:p w14:paraId="7903F7A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支持目标抓拍、比对报警；支持以图搜图、按姓名检索、按属性检索</w:t>
            </w:r>
          </w:p>
          <w:p w14:paraId="091FB4EC">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目标名单库：支持32个名单库，名单库库容10万张；路人库库容10万张</w:t>
            </w:r>
          </w:p>
          <w:p w14:paraId="6611199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视频流：16路视频流（4MP）</w:t>
            </w:r>
          </w:p>
          <w:p w14:paraId="3BF82BD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图片流：64路图片流</w:t>
            </w:r>
          </w:p>
          <w:p w14:paraId="01C302C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目标客流：支持客流分析（图片流），支持4个客流统计组去重</w:t>
            </w:r>
          </w:p>
          <w:p w14:paraId="5646E867">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目标应用：签到、频次（高频、低频）</w:t>
            </w:r>
          </w:p>
          <w:p w14:paraId="096A747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单颗AI引擎分析能力：32路图片流或8路2MP/8路4MP/4路8MP视频流</w:t>
            </w:r>
          </w:p>
          <w:p w14:paraId="044647D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三、周界防范应用：</w:t>
            </w:r>
          </w:p>
          <w:p w14:paraId="59B8E33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支持周界算法（越界侦测、区域入侵、进入区域、离开区域）事件报警及联动</w:t>
            </w:r>
          </w:p>
          <w:p w14:paraId="66B9DED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支持大模型周界的二次分析功能</w:t>
            </w:r>
          </w:p>
          <w:p w14:paraId="78D39B6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视频流性能：24路视频流（2MP）周界防范</w:t>
            </w:r>
          </w:p>
          <w:p w14:paraId="199C7E9D">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图片流性能：64路图片流大模型周界防范</w:t>
            </w:r>
          </w:p>
          <w:p w14:paraId="4419BEC8">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单颗AI引擎分析能力：32路图片流或12路2MP/6路4MP/2路8MP视频流</w:t>
            </w:r>
          </w:p>
          <w:p w14:paraId="5297669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四、视频结构化应用：</w:t>
            </w:r>
          </w:p>
          <w:p w14:paraId="7BB8A23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支持目标，人体，车辆，非机动车抓拍，支持人体以图搜图及属性检索，支持车牌识别，车牌库报警</w:t>
            </w:r>
          </w:p>
          <w:p w14:paraId="4692DBD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视频结构化性能：12路视频流（2MP）</w:t>
            </w:r>
          </w:p>
          <w:p w14:paraId="5ADA95AB">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单颗AI引擎分析能力：6路2MP/3路4MP/2路8MP视频流</w:t>
            </w:r>
          </w:p>
          <w:p w14:paraId="21EDFA3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五、高空抛物检测应用：</w:t>
            </w:r>
          </w:p>
          <w:p w14:paraId="156C1AAE">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支持后智能高空抛物检测，支持高空抛物轨迹展示、抛物事件录像和图片快速检索溯源</w:t>
            </w:r>
          </w:p>
          <w:p w14:paraId="7AFB2E55">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高空抛物性能：12路视频流（4MP）</w:t>
            </w:r>
          </w:p>
          <w:p w14:paraId="32C0D27F">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单颗AI引擎分析能力：6路4MP/4路8MP视频流"</w:t>
            </w:r>
          </w:p>
          <w:p w14:paraId="2741232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专用硬盘</w:t>
            </w:r>
          </w:p>
          <w:p w14:paraId="6C1F3582">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教育综合安防管理平台：</w:t>
            </w:r>
          </w:p>
          <w:p w14:paraId="5F07E8B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系统基础包，提供业务应用依赖的基础资源信息及基础服务能力，包括组织管理、区域管理、人员管理、车辆管理、用户管理、设备管理、低代码引擎、门户工作台、云眸与本地EDU融合等。</w:t>
            </w:r>
          </w:p>
          <w:p w14:paraId="09D5278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【系统基础信息管理】</w:t>
            </w:r>
          </w:p>
          <w:p w14:paraId="014960FA">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14:paraId="168185B9">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一、组织资源管理</w:t>
            </w:r>
          </w:p>
          <w:p w14:paraId="339E8CA6">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支持组织基础信息的增删改查、导入、导出等功能；</w:t>
            </w:r>
          </w:p>
          <w:p w14:paraId="5A4349C4">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二、区域资源管理</w:t>
            </w:r>
          </w:p>
          <w:p w14:paraId="53DF6F71">
            <w:pPr>
              <w:rPr>
                <w:rFonts w:ascii="宋体" w:hAnsi="宋体" w:eastAsia="Calibri" w:cs="宋体"/>
                <w:bCs/>
                <w:color w:val="auto"/>
                <w:sz w:val="24"/>
                <w:szCs w:val="24"/>
                <w:highlight w:val="white"/>
                <w:lang w:val="zh-CN" w:eastAsia="zh-CN"/>
              </w:rPr>
            </w:pPr>
            <w:r>
              <w:rPr>
                <w:rFonts w:ascii="宋体" w:hAnsi="宋体" w:eastAsia="Calibri" w:cs="宋体"/>
                <w:bCs/>
                <w:color w:val="auto"/>
                <w:sz w:val="24"/>
                <w:szCs w:val="24"/>
                <w:highlight w:val="white"/>
                <w:lang w:val="zh-CN" w:eastAsia="zh-CN"/>
              </w:rPr>
              <w:t>1</w:t>
            </w:r>
            <w:r>
              <w:rPr>
                <w:rFonts w:hint="eastAsia" w:ascii="宋体" w:hAnsi="宋体" w:eastAsia="Calibri" w:cs="宋体"/>
                <w:bCs/>
                <w:color w:val="auto"/>
                <w:sz w:val="24"/>
                <w:szCs w:val="24"/>
                <w:highlight w:val="white"/>
                <w:lang w:val="zh-CN" w:eastAsia="zh-CN"/>
              </w:rPr>
              <w:t>.</w:t>
            </w:r>
            <w:r>
              <w:rPr>
                <w:rFonts w:ascii="宋体" w:hAnsi="宋体" w:eastAsia="Calibri" w:cs="宋体"/>
                <w:bCs/>
                <w:color w:val="auto"/>
                <w:sz w:val="24"/>
                <w:szCs w:val="24"/>
                <w:highlight w:val="white"/>
                <w:lang w:val="zh-CN" w:eastAsia="zh-CN"/>
              </w:rPr>
              <w:t>支持区域基础信息的增删改查、导入、导出等功能；</w:t>
            </w:r>
          </w:p>
        </w:tc>
        <w:tc>
          <w:tcPr>
            <w:tcW w:w="1418" w:type="dxa"/>
            <w:vAlign w:val="center"/>
          </w:tcPr>
          <w:p w14:paraId="2EAC7645">
            <w:pPr>
              <w:jc w:val="center"/>
              <w:rPr>
                <w:rFonts w:ascii="Calibri" w:hAnsi="Calibri"/>
                <w:color w:val="auto"/>
              </w:rPr>
            </w:pPr>
            <w:r>
              <w:rPr>
                <w:rFonts w:ascii="Calibri" w:hAnsi="Calibri"/>
                <w:color w:val="auto"/>
              </w:rPr>
              <w:t>44台</w:t>
            </w:r>
          </w:p>
        </w:tc>
      </w:tr>
      <w:tr w14:paraId="535D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9833FB6">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26</w:t>
            </w:r>
          </w:p>
        </w:tc>
        <w:tc>
          <w:tcPr>
            <w:tcW w:w="1559" w:type="dxa"/>
            <w:vAlign w:val="center"/>
          </w:tcPr>
          <w:p w14:paraId="41E1C05D">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高档平面圆角摆闸（单机芯）</w:t>
            </w:r>
          </w:p>
        </w:tc>
        <w:tc>
          <w:tcPr>
            <w:tcW w:w="5528" w:type="dxa"/>
            <w:vAlign w:val="center"/>
          </w:tcPr>
          <w:p w14:paraId="76146D1C">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1.</w:t>
            </w:r>
            <w:r>
              <w:rPr>
                <w:rFonts w:eastAsia="Calibri" w:cs="宋体"/>
                <w:bCs/>
                <w:color w:val="auto"/>
                <w:kern w:val="2"/>
                <w:highlight w:val="white"/>
                <w:lang w:val="zh-CN"/>
              </w:rPr>
              <w:t>为了兼容现有的校园卡和业务场景实际需求，校门出入口系统要求</w:t>
            </w:r>
            <w:r>
              <w:rPr>
                <w:rFonts w:hint="eastAsia" w:eastAsia="Calibri" w:cs="宋体"/>
                <w:bCs/>
                <w:color w:val="auto"/>
                <w:kern w:val="2"/>
                <w:highlight w:val="white"/>
                <w:lang w:val="zh-CN"/>
              </w:rPr>
              <w:t>供应商</w:t>
            </w:r>
            <w:r>
              <w:rPr>
                <w:rFonts w:eastAsia="Calibri" w:cs="宋体"/>
                <w:bCs/>
                <w:color w:val="auto"/>
                <w:kern w:val="2"/>
                <w:highlight w:val="white"/>
                <w:lang w:val="zh-CN"/>
              </w:rPr>
              <w:t>定制化一款支持人脸、校园卡、二维码等介质的多功能人脸识别一体机，用于人员身份核验和通行管理</w:t>
            </w:r>
          </w:p>
          <w:p w14:paraId="3816A9E4">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设备采用直流无刷防撞电机，通过自研算法有效保障设备稳定可靠运行，最少支持600万次无故障通行；</w:t>
            </w:r>
          </w:p>
          <w:p w14:paraId="01E5C67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设备可联网运行，支持远程控制管理功能，也可单机离线运行；</w:t>
            </w:r>
          </w:p>
          <w:p w14:paraId="3826C92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设备支持人数统计功能，可针对进出方向分别进行统计；</w:t>
            </w:r>
          </w:p>
          <w:p w14:paraId="19BCD516">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设备集成语音模块，可根据用户需求自定义语音播报内容；</w:t>
            </w:r>
          </w:p>
          <w:p w14:paraId="5D92486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设备集成门禁主控板，可扩展人脸识别组件、读卡器、二维码、指纹（二维码与指纹二选一）等多种认证方式；</w:t>
            </w:r>
          </w:p>
          <w:p w14:paraId="419F038A">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2.</w:t>
            </w:r>
            <w:r>
              <w:rPr>
                <w:rFonts w:eastAsia="Calibri" w:cs="宋体"/>
                <w:bCs/>
                <w:color w:val="auto"/>
                <w:kern w:val="2"/>
                <w:highlight w:val="white"/>
                <w:lang w:val="zh-CN"/>
              </w:rPr>
              <w:t>通行控制</w:t>
            </w:r>
          </w:p>
          <w:p w14:paraId="50F16133">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经授权人员才能通过，未经授权人员无法通行；</w:t>
            </w:r>
          </w:p>
          <w:p w14:paraId="4BA37EA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设备具有自动复位功能，开门后在规定的时间内未通行，系统将自动取消用户的本次通行的权限，可设定通行时间；</w:t>
            </w:r>
          </w:p>
          <w:p w14:paraId="645C65D5">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设备支持进出方向通行状态（受控、自由通行、禁止通行）的灵活配置；</w:t>
            </w:r>
          </w:p>
          <w:p w14:paraId="5DB9D9A1">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设备支持记忆模式，可实现连续快速通行；</w:t>
            </w:r>
          </w:p>
          <w:p w14:paraId="26C5A4C2">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设备支持跨主机反潜回功能，有效防止未授权人员尾随进入；</w:t>
            </w:r>
          </w:p>
          <w:p w14:paraId="47D9D314">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6</w:t>
            </w:r>
            <w:r>
              <w:rPr>
                <w:rFonts w:hint="eastAsia" w:eastAsia="Calibri" w:cs="宋体"/>
                <w:bCs/>
                <w:color w:val="auto"/>
                <w:kern w:val="2"/>
                <w:highlight w:val="white"/>
                <w:lang w:val="zh-CN"/>
              </w:rPr>
              <w:t>）</w:t>
            </w:r>
            <w:r>
              <w:rPr>
                <w:rFonts w:eastAsia="Calibri" w:cs="宋体"/>
                <w:bCs/>
                <w:color w:val="auto"/>
                <w:kern w:val="2"/>
                <w:highlight w:val="white"/>
                <w:lang w:val="zh-CN"/>
              </w:rPr>
              <w:t>设备集成了无线接收器，搭配遥控器（需要另配）使用可实现遥控开门（遥控器支持一对多：一个遥控器同时控制最多6个通道，空旷条件下遥控距离可达30m）；</w:t>
            </w:r>
          </w:p>
          <w:p w14:paraId="45B099D7">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3.</w:t>
            </w:r>
            <w:r>
              <w:rPr>
                <w:rFonts w:eastAsia="Calibri" w:cs="宋体"/>
                <w:bCs/>
                <w:color w:val="auto"/>
                <w:kern w:val="2"/>
                <w:highlight w:val="white"/>
                <w:lang w:val="zh-CN"/>
              </w:rPr>
              <w:t>安全设计</w:t>
            </w:r>
          </w:p>
          <w:p w14:paraId="668DABA5">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设备具有消防联动接口，当消防信号触发时，门翼自动打开，快速引导人员疏散；</w:t>
            </w:r>
          </w:p>
          <w:p w14:paraId="377BED6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设备标配超级电容，断电时门翼处于打开状态，人员可自由通行，防止恐慌；</w:t>
            </w:r>
          </w:p>
          <w:p w14:paraId="1A80E726">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设备采用4对红外检测传感器，采用防尾随跟踪控制技术，授权人员才能通过，未经授权人员尾随闯入时会发出声光报警；并能在睛天、雨天等复杂环境下稳定运行，不产生误报。</w:t>
            </w:r>
          </w:p>
          <w:p w14:paraId="2F9F6425">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设备具备防夹功能，在门翼复位的过程中遇阻时电机自动停止工作,防止人员受伤；</w:t>
            </w:r>
          </w:p>
          <w:p w14:paraId="259F1CF3">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在没有接收到开门信号时，门翼自动锁死；</w:t>
            </w:r>
          </w:p>
          <w:p w14:paraId="31B5D4CB">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4.</w:t>
            </w:r>
            <w:r>
              <w:rPr>
                <w:rFonts w:eastAsia="Calibri" w:cs="宋体"/>
                <w:bCs/>
                <w:color w:val="auto"/>
                <w:kern w:val="2"/>
                <w:highlight w:val="white"/>
                <w:lang w:val="zh-CN"/>
              </w:rPr>
              <w:t>体验设计</w:t>
            </w:r>
          </w:p>
          <w:p w14:paraId="3B6096B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造型简洁、美观、大方，结构稳固、耐用，颠覆低端闸机的臃肿印象；</w:t>
            </w:r>
          </w:p>
          <w:p w14:paraId="5B748DF1">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设备采用LED指示通行方向，显示通行状态，指示灯亮度可自定义调节；</w:t>
            </w:r>
          </w:p>
          <w:p w14:paraId="4D65B53D">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5.</w:t>
            </w:r>
            <w:r>
              <w:rPr>
                <w:rFonts w:eastAsia="Calibri" w:cs="宋体"/>
                <w:bCs/>
                <w:color w:val="auto"/>
                <w:kern w:val="2"/>
                <w:highlight w:val="white"/>
                <w:lang w:val="zh-CN"/>
              </w:rPr>
              <w:t>安装维护</w:t>
            </w:r>
          </w:p>
          <w:p w14:paraId="647371A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设备具备自检测、自诊断、自动报警及声光报警功能，含非法闯入报警，反向闯入报警，尾随报警；</w:t>
            </w:r>
          </w:p>
          <w:p w14:paraId="0189C89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自带漏电保护器，整机相关电气模块工作电压均不超过24V。</w:t>
            </w:r>
          </w:p>
          <w:p w14:paraId="6AFDD2CF">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6.</w:t>
            </w:r>
            <w:r>
              <w:rPr>
                <w:rFonts w:eastAsia="Calibri" w:cs="宋体"/>
                <w:bCs/>
                <w:color w:val="auto"/>
                <w:kern w:val="2"/>
                <w:highlight w:val="white"/>
                <w:lang w:val="zh-CN"/>
              </w:rPr>
              <w:t>技术参数</w:t>
            </w:r>
          </w:p>
          <w:p w14:paraId="59E91AD4">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产品尺寸：</w:t>
            </w:r>
            <w:r>
              <w:rPr>
                <w:rFonts w:ascii="Arial" w:hAnsi="Arial" w:eastAsia="Calibri" w:cs="Arial"/>
                <w:bCs/>
                <w:color w:val="auto"/>
                <w:kern w:val="2"/>
                <w:highlight w:val="white"/>
                <w:lang w:val="zh-CN"/>
              </w:rPr>
              <w:t>≥</w:t>
            </w:r>
            <w:r>
              <w:rPr>
                <w:rFonts w:eastAsia="Calibri" w:cs="宋体"/>
                <w:bCs/>
                <w:color w:val="auto"/>
                <w:kern w:val="2"/>
                <w:highlight w:val="white"/>
                <w:lang w:val="zh-CN"/>
              </w:rPr>
              <w:t>1200</w:t>
            </w:r>
            <w:r>
              <w:rPr>
                <w:rFonts w:eastAsia="Calibri" w:cs="宋体"/>
                <w:bCs/>
                <w:color w:val="auto"/>
                <w:kern w:val="2"/>
                <w:highlight w:val="white"/>
              </w:rPr>
              <w:t>mm（长）</w:t>
            </w:r>
            <w:r>
              <w:rPr>
                <w:rFonts w:eastAsia="Calibri" w:cs="宋体"/>
                <w:bCs/>
                <w:color w:val="auto"/>
                <w:kern w:val="2"/>
                <w:highlight w:val="white"/>
                <w:lang w:val="zh-CN"/>
              </w:rPr>
              <w:t>*</w:t>
            </w:r>
            <w:r>
              <w:rPr>
                <w:rFonts w:ascii="Arial" w:hAnsi="Arial" w:eastAsia="Calibri" w:cs="Arial"/>
                <w:bCs/>
                <w:color w:val="auto"/>
                <w:kern w:val="2"/>
                <w:highlight w:val="white"/>
                <w:lang w:val="zh-CN"/>
              </w:rPr>
              <w:t>≥</w:t>
            </w:r>
            <w:r>
              <w:rPr>
                <w:rFonts w:eastAsia="Calibri" w:cs="宋体"/>
                <w:bCs/>
                <w:color w:val="auto"/>
                <w:kern w:val="2"/>
                <w:highlight w:val="white"/>
                <w:lang w:val="zh-CN"/>
              </w:rPr>
              <w:t>200</w:t>
            </w:r>
            <w:r>
              <w:rPr>
                <w:rFonts w:eastAsia="Calibri" w:cs="宋体"/>
                <w:bCs/>
                <w:color w:val="auto"/>
                <w:kern w:val="2"/>
                <w:highlight w:val="white"/>
              </w:rPr>
              <w:t>mm（宽）</w:t>
            </w:r>
            <w:r>
              <w:rPr>
                <w:rFonts w:eastAsia="Calibri" w:cs="宋体"/>
                <w:bCs/>
                <w:color w:val="auto"/>
                <w:kern w:val="2"/>
                <w:highlight w:val="white"/>
                <w:lang w:val="zh-CN"/>
              </w:rPr>
              <w:t>*</w:t>
            </w:r>
            <w:r>
              <w:rPr>
                <w:rFonts w:ascii="Arial" w:hAnsi="Arial" w:eastAsia="Calibri" w:cs="Arial"/>
                <w:bCs/>
                <w:color w:val="auto"/>
                <w:kern w:val="2"/>
                <w:highlight w:val="white"/>
                <w:lang w:val="zh-CN"/>
              </w:rPr>
              <w:t>≥</w:t>
            </w:r>
            <w:r>
              <w:rPr>
                <w:rFonts w:eastAsia="Calibri" w:cs="宋体"/>
                <w:bCs/>
                <w:color w:val="auto"/>
                <w:kern w:val="2"/>
                <w:highlight w:val="white"/>
                <w:lang w:val="zh-CN"/>
              </w:rPr>
              <w:t>980mm</w:t>
            </w:r>
            <w:r>
              <w:rPr>
                <w:rFonts w:eastAsia="Calibri" w:cs="宋体"/>
                <w:bCs/>
                <w:color w:val="auto"/>
                <w:kern w:val="2"/>
                <w:highlight w:val="white"/>
              </w:rPr>
              <w:t>（高）</w:t>
            </w:r>
            <w:r>
              <w:rPr>
                <w:rFonts w:eastAsia="Calibri" w:cs="宋体"/>
                <w:bCs/>
                <w:color w:val="auto"/>
                <w:kern w:val="2"/>
                <w:highlight w:val="white"/>
                <w:lang w:val="zh-CN"/>
              </w:rPr>
              <w:t xml:space="preserve">              </w:t>
            </w:r>
          </w:p>
          <w:p w14:paraId="5DCEBA69">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通道宽度：600mm-800mm</w:t>
            </w:r>
          </w:p>
          <w:p w14:paraId="23FA69C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箱体材质：304拉丝不锈钢，顶盖</w:t>
            </w:r>
            <w:r>
              <w:rPr>
                <w:rFonts w:ascii="Arial" w:hAnsi="Arial" w:eastAsia="Calibri" w:cs="Arial"/>
                <w:bCs/>
                <w:color w:val="auto"/>
                <w:kern w:val="2"/>
                <w:highlight w:val="white"/>
                <w:lang w:val="zh-CN"/>
              </w:rPr>
              <w:t>≥</w:t>
            </w:r>
            <w:r>
              <w:rPr>
                <w:rFonts w:eastAsia="Calibri" w:cs="宋体"/>
                <w:bCs/>
                <w:color w:val="auto"/>
                <w:kern w:val="2"/>
                <w:highlight w:val="white"/>
                <w:lang w:val="zh-CN"/>
              </w:rPr>
              <w:t>1.2mm，其他</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1.0mm </w:t>
            </w:r>
          </w:p>
          <w:p w14:paraId="736661E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门翼材质：支持亚克力门翼、不锈钢</w:t>
            </w:r>
          </w:p>
          <w:p w14:paraId="06E912C5">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电机类型：直流无刷防撞电机</w:t>
            </w:r>
          </w:p>
          <w:p w14:paraId="3EAEE80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6</w:t>
            </w:r>
            <w:r>
              <w:rPr>
                <w:rFonts w:hint="eastAsia" w:eastAsia="Calibri" w:cs="宋体"/>
                <w:bCs/>
                <w:color w:val="auto"/>
                <w:kern w:val="2"/>
                <w:highlight w:val="white"/>
                <w:lang w:val="zh-CN"/>
              </w:rPr>
              <w:t>）</w:t>
            </w:r>
            <w:r>
              <w:rPr>
                <w:rFonts w:eastAsia="Calibri" w:cs="宋体"/>
                <w:bCs/>
                <w:color w:val="auto"/>
                <w:kern w:val="2"/>
                <w:highlight w:val="white"/>
                <w:lang w:val="zh-CN"/>
              </w:rPr>
              <w:t>红外对数：</w:t>
            </w:r>
            <w:r>
              <w:rPr>
                <w:rFonts w:ascii="Arial" w:hAnsi="Arial" w:eastAsia="Calibri" w:cs="Arial"/>
                <w:bCs/>
                <w:color w:val="auto"/>
                <w:kern w:val="2"/>
                <w:highlight w:val="white"/>
                <w:lang w:val="zh-CN"/>
              </w:rPr>
              <w:t>≥</w:t>
            </w:r>
            <w:r>
              <w:rPr>
                <w:rFonts w:eastAsia="Calibri" w:cs="宋体"/>
                <w:bCs/>
                <w:color w:val="auto"/>
                <w:kern w:val="2"/>
                <w:highlight w:val="white"/>
                <w:lang w:val="zh-CN"/>
              </w:rPr>
              <w:t>4对</w:t>
            </w:r>
          </w:p>
          <w:p w14:paraId="2FD042EC">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7</w:t>
            </w:r>
            <w:r>
              <w:rPr>
                <w:rFonts w:hint="eastAsia" w:eastAsia="Calibri" w:cs="宋体"/>
                <w:bCs/>
                <w:color w:val="auto"/>
                <w:kern w:val="2"/>
                <w:highlight w:val="white"/>
                <w:lang w:val="zh-CN"/>
              </w:rPr>
              <w:t>）</w:t>
            </w:r>
            <w:r>
              <w:rPr>
                <w:rFonts w:eastAsia="Calibri" w:cs="宋体"/>
                <w:bCs/>
                <w:color w:val="auto"/>
                <w:kern w:val="2"/>
                <w:highlight w:val="white"/>
                <w:lang w:val="zh-CN"/>
              </w:rPr>
              <w:t>使用环境：室内外（IP54)</w:t>
            </w:r>
          </w:p>
          <w:p w14:paraId="61DC14FC">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8</w:t>
            </w:r>
            <w:r>
              <w:rPr>
                <w:rFonts w:hint="eastAsia" w:eastAsia="Calibri" w:cs="宋体"/>
                <w:bCs/>
                <w:color w:val="auto"/>
                <w:kern w:val="2"/>
                <w:highlight w:val="white"/>
                <w:lang w:val="zh-CN"/>
              </w:rPr>
              <w:t>）</w:t>
            </w:r>
            <w:r>
              <w:rPr>
                <w:rFonts w:eastAsia="Calibri" w:cs="宋体"/>
                <w:bCs/>
                <w:color w:val="auto"/>
                <w:kern w:val="2"/>
                <w:highlight w:val="white"/>
                <w:lang w:val="zh-CN"/>
              </w:rPr>
              <w:t>设备容量：支持</w:t>
            </w:r>
            <w:r>
              <w:rPr>
                <w:rFonts w:ascii="Arial" w:hAnsi="Arial" w:eastAsia="Calibri" w:cs="Arial"/>
                <w:bCs/>
                <w:color w:val="auto"/>
                <w:kern w:val="2"/>
                <w:highlight w:val="white"/>
                <w:lang w:val="zh-CN"/>
              </w:rPr>
              <w:t>≥</w:t>
            </w:r>
            <w:r>
              <w:rPr>
                <w:rFonts w:eastAsia="Calibri" w:cs="宋体"/>
                <w:bCs/>
                <w:color w:val="auto"/>
                <w:kern w:val="2"/>
                <w:highlight w:val="white"/>
                <w:lang w:val="zh-CN"/>
              </w:rPr>
              <w:t>6万张普通卡、</w:t>
            </w:r>
            <w:r>
              <w:rPr>
                <w:rFonts w:ascii="Arial" w:hAnsi="Arial" w:eastAsia="Calibri" w:cs="Arial"/>
                <w:bCs/>
                <w:color w:val="auto"/>
                <w:kern w:val="2"/>
                <w:highlight w:val="white"/>
                <w:lang w:val="zh-CN"/>
              </w:rPr>
              <w:t>≥</w:t>
            </w:r>
            <w:r>
              <w:rPr>
                <w:rFonts w:eastAsia="Calibri" w:cs="宋体"/>
                <w:bCs/>
                <w:color w:val="auto"/>
                <w:kern w:val="2"/>
                <w:highlight w:val="white"/>
                <w:lang w:val="zh-CN"/>
              </w:rPr>
              <w:t>3千张来宾卡、18万条事件记录</w:t>
            </w:r>
          </w:p>
          <w:p w14:paraId="52D03A0C">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9</w:t>
            </w:r>
            <w:r>
              <w:rPr>
                <w:rFonts w:hint="eastAsia" w:eastAsia="Calibri" w:cs="宋体"/>
                <w:bCs/>
                <w:color w:val="auto"/>
                <w:kern w:val="2"/>
                <w:highlight w:val="white"/>
                <w:lang w:val="zh-CN"/>
              </w:rPr>
              <w:t>）</w:t>
            </w:r>
            <w:r>
              <w:rPr>
                <w:rFonts w:eastAsia="Calibri" w:cs="宋体"/>
                <w:bCs/>
                <w:color w:val="auto"/>
                <w:kern w:val="2"/>
                <w:highlight w:val="white"/>
                <w:lang w:val="zh-CN"/>
              </w:rPr>
              <w:t>超级电容：闸机标配超级电容，断电后门翼自动打开（符合消防要求）</w:t>
            </w:r>
          </w:p>
          <w:p w14:paraId="7DF14E5C">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10</w:t>
            </w:r>
            <w:r>
              <w:rPr>
                <w:rFonts w:hint="eastAsia" w:eastAsia="Calibri" w:cs="宋体"/>
                <w:bCs/>
                <w:color w:val="auto"/>
                <w:kern w:val="2"/>
                <w:highlight w:val="white"/>
                <w:lang w:val="zh-CN"/>
              </w:rPr>
              <w:t>）</w:t>
            </w:r>
            <w:r>
              <w:rPr>
                <w:rFonts w:eastAsia="Calibri" w:cs="宋体"/>
                <w:bCs/>
                <w:color w:val="auto"/>
                <w:kern w:val="2"/>
                <w:highlight w:val="white"/>
                <w:lang w:val="zh-CN"/>
              </w:rPr>
              <w:t>通行速度：20-60人每分钟，受人员情况和通行模式影响</w:t>
            </w:r>
          </w:p>
          <w:p w14:paraId="579DD53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11</w:t>
            </w:r>
            <w:r>
              <w:rPr>
                <w:rFonts w:hint="eastAsia" w:eastAsia="Calibri" w:cs="宋体"/>
                <w:bCs/>
                <w:color w:val="auto"/>
                <w:kern w:val="2"/>
                <w:highlight w:val="white"/>
                <w:lang w:val="zh-CN"/>
              </w:rPr>
              <w:t>）</w:t>
            </w:r>
            <w:r>
              <w:rPr>
                <w:rFonts w:eastAsia="Calibri" w:cs="宋体"/>
                <w:bCs/>
                <w:color w:val="auto"/>
                <w:kern w:val="2"/>
                <w:highlight w:val="white"/>
                <w:lang w:val="zh-CN"/>
              </w:rPr>
              <w:t>电压功率：AC 100~240V/50~60HZ/ 单通道（一组通道）额定功率：</w:t>
            </w:r>
            <w:r>
              <w:rPr>
                <w:rFonts w:ascii="Arial" w:hAnsi="Arial" w:eastAsia="Calibri" w:cs="Arial"/>
                <w:bCs/>
                <w:color w:val="auto"/>
                <w:kern w:val="2"/>
                <w:highlight w:val="white"/>
                <w:lang w:val="zh-CN"/>
              </w:rPr>
              <w:t>≤</w:t>
            </w:r>
            <w:r>
              <w:rPr>
                <w:rFonts w:eastAsia="Calibri" w:cs="宋体"/>
                <w:bCs/>
                <w:color w:val="auto"/>
                <w:kern w:val="2"/>
                <w:highlight w:val="white"/>
                <w:lang w:val="zh-CN"/>
              </w:rPr>
              <w:t>320W</w:t>
            </w:r>
          </w:p>
          <w:p w14:paraId="58BCF982">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12</w:t>
            </w:r>
            <w:r>
              <w:rPr>
                <w:rFonts w:hint="eastAsia" w:eastAsia="Calibri" w:cs="宋体"/>
                <w:bCs/>
                <w:color w:val="auto"/>
                <w:kern w:val="2"/>
                <w:highlight w:val="white"/>
                <w:lang w:val="zh-CN"/>
              </w:rPr>
              <w:t>）</w:t>
            </w:r>
            <w:r>
              <w:rPr>
                <w:rFonts w:eastAsia="Calibri" w:cs="宋体"/>
                <w:bCs/>
                <w:color w:val="auto"/>
                <w:kern w:val="2"/>
                <w:highlight w:val="white"/>
                <w:lang w:val="zh-CN"/>
              </w:rPr>
              <w:t>工作温度：-20℃~70℃</w:t>
            </w:r>
          </w:p>
          <w:p w14:paraId="5EF2E466">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13</w:t>
            </w:r>
            <w:r>
              <w:rPr>
                <w:rFonts w:hint="eastAsia" w:eastAsia="Calibri" w:cs="宋体"/>
                <w:bCs/>
                <w:color w:val="auto"/>
                <w:kern w:val="2"/>
                <w:highlight w:val="white"/>
                <w:lang w:val="zh-CN"/>
              </w:rPr>
              <w:t>）</w:t>
            </w:r>
            <w:r>
              <w:rPr>
                <w:rFonts w:eastAsia="Calibri" w:cs="宋体"/>
                <w:bCs/>
                <w:color w:val="auto"/>
                <w:kern w:val="2"/>
                <w:highlight w:val="white"/>
                <w:lang w:val="zh-CN"/>
              </w:rPr>
              <w:t>物理接口：TCP/IP,I/O,RS232,RS485S</w:t>
            </w:r>
          </w:p>
          <w:p w14:paraId="422832E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14</w:t>
            </w:r>
            <w:r>
              <w:rPr>
                <w:rFonts w:hint="eastAsia" w:eastAsia="Calibri" w:cs="宋体"/>
                <w:bCs/>
                <w:color w:val="auto"/>
                <w:kern w:val="2"/>
                <w:highlight w:val="white"/>
                <w:lang w:val="zh-CN"/>
              </w:rPr>
              <w:t>）</w:t>
            </w:r>
            <w:r>
              <w:rPr>
                <w:rFonts w:eastAsia="Calibri" w:cs="宋体"/>
                <w:bCs/>
                <w:color w:val="auto"/>
                <w:kern w:val="2"/>
                <w:highlight w:val="white"/>
                <w:lang w:val="zh-CN"/>
              </w:rPr>
              <w:t xml:space="preserve">表面原厂拉丝处理  </w:t>
            </w:r>
          </w:p>
          <w:p w14:paraId="6BB0AC06">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15</w:t>
            </w:r>
            <w:r>
              <w:rPr>
                <w:rFonts w:hint="eastAsia" w:eastAsia="Calibri" w:cs="宋体"/>
                <w:bCs/>
                <w:color w:val="auto"/>
                <w:kern w:val="2"/>
                <w:highlight w:val="white"/>
                <w:lang w:val="zh-CN"/>
              </w:rPr>
              <w:t>）</w:t>
            </w:r>
            <w:r>
              <w:rPr>
                <w:rFonts w:eastAsia="Calibri" w:cs="宋体"/>
                <w:bCs/>
                <w:color w:val="auto"/>
                <w:kern w:val="2"/>
                <w:highlight w:val="white"/>
                <w:lang w:val="zh-CN"/>
              </w:rPr>
              <w:t xml:space="preserve">非法闯入报警提示                           </w:t>
            </w:r>
          </w:p>
        </w:tc>
        <w:tc>
          <w:tcPr>
            <w:tcW w:w="1418" w:type="dxa"/>
            <w:vAlign w:val="center"/>
          </w:tcPr>
          <w:p w14:paraId="0F664620">
            <w:pPr>
              <w:pStyle w:val="19"/>
              <w:spacing w:beforeAutospacing="0" w:afterAutospacing="0"/>
              <w:jc w:val="center"/>
              <w:rPr>
                <w:rFonts w:eastAsia="Calibri" w:cs="宋体"/>
                <w:bCs/>
                <w:color w:val="auto"/>
                <w:kern w:val="2"/>
                <w:highlight w:val="white"/>
                <w:lang w:val="zh-CN"/>
              </w:rPr>
            </w:pPr>
            <w:r>
              <w:rPr>
                <w:rFonts w:hint="eastAsia" w:eastAsia="宋体" w:cs="宋体"/>
                <w:bCs/>
                <w:color w:val="auto"/>
                <w:kern w:val="2"/>
                <w:highlight w:val="white"/>
              </w:rPr>
              <w:t>4</w:t>
            </w:r>
            <w:r>
              <w:rPr>
                <w:rFonts w:eastAsia="Calibri" w:cs="宋体"/>
                <w:bCs/>
                <w:color w:val="auto"/>
                <w:kern w:val="2"/>
                <w:highlight w:val="white"/>
                <w:lang w:val="zh-CN"/>
              </w:rPr>
              <w:t>台</w:t>
            </w:r>
          </w:p>
        </w:tc>
      </w:tr>
      <w:tr w14:paraId="5DF6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F91A5CB">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27</w:t>
            </w:r>
          </w:p>
        </w:tc>
        <w:tc>
          <w:tcPr>
            <w:tcW w:w="1559" w:type="dxa"/>
            <w:vAlign w:val="center"/>
          </w:tcPr>
          <w:p w14:paraId="6831B743">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高档平面圆角摆闸（双机芯）</w:t>
            </w:r>
          </w:p>
        </w:tc>
        <w:tc>
          <w:tcPr>
            <w:tcW w:w="5528" w:type="dxa"/>
            <w:vAlign w:val="center"/>
          </w:tcPr>
          <w:p w14:paraId="2EF68AD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为了兼容现有的校园卡和业务场景实际需求，校门出入口系统要求</w:t>
            </w:r>
            <w:r>
              <w:rPr>
                <w:rFonts w:hint="eastAsia" w:eastAsia="Calibri" w:cs="宋体"/>
                <w:bCs/>
                <w:color w:val="auto"/>
                <w:kern w:val="2"/>
                <w:highlight w:val="white"/>
                <w:lang w:val="zh-CN"/>
              </w:rPr>
              <w:t>供应商</w:t>
            </w:r>
            <w:r>
              <w:rPr>
                <w:rFonts w:eastAsia="Calibri" w:cs="宋体"/>
                <w:bCs/>
                <w:color w:val="auto"/>
                <w:kern w:val="2"/>
                <w:highlight w:val="white"/>
                <w:lang w:val="zh-CN"/>
              </w:rPr>
              <w:t>定制化一款支持人脸、校园卡、二维码等介质的多功能人脸识别一体机，用于人员</w:t>
            </w:r>
            <w:r>
              <w:rPr>
                <w:rFonts w:hint="eastAsia" w:eastAsia="宋体" w:cs="宋体"/>
                <w:bCs/>
                <w:color w:val="auto"/>
                <w:kern w:val="2"/>
                <w:highlight w:val="white"/>
              </w:rPr>
              <w:t>1.</w:t>
            </w:r>
            <w:r>
              <w:rPr>
                <w:rFonts w:eastAsia="Calibri" w:cs="宋体"/>
                <w:bCs/>
                <w:color w:val="auto"/>
                <w:kern w:val="2"/>
                <w:highlight w:val="white"/>
                <w:lang w:val="zh-CN"/>
              </w:rPr>
              <w:t>身份核验和通行管理。</w:t>
            </w:r>
          </w:p>
          <w:p w14:paraId="186CEA3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设备采用直流无刷防撞电机，通过自研算法有效保障设备稳定可靠运行，最少支持600万次无故障通行；</w:t>
            </w:r>
          </w:p>
          <w:p w14:paraId="509C55A3">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设备可联网运行，支持远程控制管理功能，也可单机离线运行；</w:t>
            </w:r>
          </w:p>
          <w:p w14:paraId="2D4B381F">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设备支持人数统计功能，可针对进出方向分别进行统计；</w:t>
            </w:r>
          </w:p>
          <w:p w14:paraId="1A2A4C00">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设备集成语音模块，可根据用户需求自定义语音播报内容；</w:t>
            </w:r>
          </w:p>
          <w:p w14:paraId="236C761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设备集成门禁主控板，可扩展人脸识别组件、读卡器、二维码、指纹（二维码与指纹二选一）等多种认证方式；</w:t>
            </w:r>
          </w:p>
          <w:p w14:paraId="53F8542E">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2.</w:t>
            </w:r>
            <w:r>
              <w:rPr>
                <w:rFonts w:eastAsia="Calibri" w:cs="宋体"/>
                <w:bCs/>
                <w:color w:val="auto"/>
                <w:kern w:val="2"/>
                <w:highlight w:val="white"/>
                <w:lang w:val="zh-CN"/>
              </w:rPr>
              <w:t>通行控制</w:t>
            </w:r>
          </w:p>
          <w:p w14:paraId="67260E08">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经授权人员才能通过，未经授权人员无法通行；</w:t>
            </w:r>
          </w:p>
          <w:p w14:paraId="1E2546C4">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设备具有自动复位功能，开门后在规定的时间内未通行，系统将自动取消用户的本次通行的权限，可设定通行时间；</w:t>
            </w:r>
          </w:p>
          <w:p w14:paraId="7F86543A">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设备支持进出方向通行状态（受控、自由通行、禁止通行）的灵活配置；</w:t>
            </w:r>
          </w:p>
          <w:p w14:paraId="3C8C3343">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设备支持记忆模式，可实现连续快速通行；</w:t>
            </w:r>
          </w:p>
          <w:p w14:paraId="1D9CDD2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设备支持跨主机反潜回功能，有效防止未授权人员尾随进入；</w:t>
            </w:r>
          </w:p>
          <w:p w14:paraId="5F5D9F9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6</w:t>
            </w:r>
            <w:r>
              <w:rPr>
                <w:rFonts w:hint="eastAsia" w:eastAsia="Calibri" w:cs="宋体"/>
                <w:bCs/>
                <w:color w:val="auto"/>
                <w:kern w:val="2"/>
                <w:highlight w:val="white"/>
                <w:lang w:val="zh-CN"/>
              </w:rPr>
              <w:t>）</w:t>
            </w:r>
            <w:r>
              <w:rPr>
                <w:rFonts w:eastAsia="Calibri" w:cs="宋体"/>
                <w:bCs/>
                <w:color w:val="auto"/>
                <w:kern w:val="2"/>
                <w:highlight w:val="white"/>
                <w:lang w:val="zh-CN"/>
              </w:rPr>
              <w:t>设备集成了无线接收器，搭配遥控器（需要另配）使用可实现遥控开门（遥控器支持一对多：一个遥控器同时控制最多6个通道，空旷条件下遥控距离可达30m）；</w:t>
            </w:r>
          </w:p>
          <w:p w14:paraId="4203E632">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3.</w:t>
            </w:r>
            <w:r>
              <w:rPr>
                <w:rFonts w:eastAsia="Calibri" w:cs="宋体"/>
                <w:bCs/>
                <w:color w:val="auto"/>
                <w:kern w:val="2"/>
                <w:highlight w:val="white"/>
                <w:lang w:val="zh-CN"/>
              </w:rPr>
              <w:t>安全设计</w:t>
            </w:r>
          </w:p>
          <w:p w14:paraId="33FFB56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设备具有消防联动接口，当消防信号触发时，门翼自动打开，快速引导人员疏散；</w:t>
            </w:r>
          </w:p>
          <w:p w14:paraId="47518890">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设备标配超级电容，断电时门翼处于打开状态，人员可自由通行，防止恐慌；</w:t>
            </w:r>
          </w:p>
          <w:p w14:paraId="162A15F1">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设备采用4对红外检测传感器，采用防尾随跟踪控制技术，授权人员才能通过，未经授权人员尾随闯入时会发出声光报警；并能在睛天、雨天等复杂环境下稳定运行，不产生误报。</w:t>
            </w:r>
          </w:p>
          <w:p w14:paraId="1AEC6D6C">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4</w:t>
            </w:r>
            <w:r>
              <w:rPr>
                <w:rFonts w:hint="eastAsia" w:eastAsia="Calibri" w:cs="宋体"/>
                <w:bCs/>
                <w:color w:val="auto"/>
                <w:kern w:val="2"/>
                <w:highlight w:val="white"/>
                <w:lang w:val="zh-CN"/>
              </w:rPr>
              <w:t>）</w:t>
            </w:r>
            <w:r>
              <w:rPr>
                <w:rFonts w:eastAsia="Calibri" w:cs="宋体"/>
                <w:bCs/>
                <w:color w:val="auto"/>
                <w:kern w:val="2"/>
                <w:highlight w:val="white"/>
                <w:lang w:val="zh-CN"/>
              </w:rPr>
              <w:t>设备具备防夹功能，在门翼复位的过程中遇阻时电机自动停止工作,防止人员受伤；</w:t>
            </w:r>
          </w:p>
          <w:p w14:paraId="6C5D490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5</w:t>
            </w:r>
            <w:r>
              <w:rPr>
                <w:rFonts w:hint="eastAsia" w:eastAsia="Calibri" w:cs="宋体"/>
                <w:bCs/>
                <w:color w:val="auto"/>
                <w:kern w:val="2"/>
                <w:highlight w:val="white"/>
                <w:lang w:val="zh-CN"/>
              </w:rPr>
              <w:t>）</w:t>
            </w:r>
            <w:r>
              <w:rPr>
                <w:rFonts w:eastAsia="Calibri" w:cs="宋体"/>
                <w:bCs/>
                <w:color w:val="auto"/>
                <w:kern w:val="2"/>
                <w:highlight w:val="white"/>
                <w:lang w:val="zh-CN"/>
              </w:rPr>
              <w:t>在没有接收到开门信号时，门翼自动锁死；</w:t>
            </w:r>
          </w:p>
          <w:p w14:paraId="48262031">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4.</w:t>
            </w:r>
            <w:r>
              <w:rPr>
                <w:rFonts w:eastAsia="Calibri" w:cs="宋体"/>
                <w:bCs/>
                <w:color w:val="auto"/>
                <w:kern w:val="2"/>
                <w:highlight w:val="white"/>
                <w:lang w:val="zh-CN"/>
              </w:rPr>
              <w:t>体验设计</w:t>
            </w:r>
          </w:p>
          <w:p w14:paraId="66141FB9">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造型简洁、美观、大方，结构稳固、耐用，颠覆低端闸机的臃肿印象；</w:t>
            </w:r>
          </w:p>
          <w:p w14:paraId="0C32EDDD">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设备采用LED指示通行方向，显示通行状态，指示灯亮度可自定义调节；</w:t>
            </w:r>
          </w:p>
          <w:p w14:paraId="6A9DC456">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5.</w:t>
            </w:r>
            <w:r>
              <w:rPr>
                <w:rFonts w:eastAsia="Calibri" w:cs="宋体"/>
                <w:bCs/>
                <w:color w:val="auto"/>
                <w:kern w:val="2"/>
                <w:highlight w:val="white"/>
                <w:lang w:val="zh-CN"/>
              </w:rPr>
              <w:t>安装维护</w:t>
            </w:r>
          </w:p>
          <w:p w14:paraId="783E653F">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设备具备自检测、自诊断、自动报警及声光报警功能，含非法闯入报警，反向闯入报警，尾随报警；</w:t>
            </w:r>
          </w:p>
          <w:p w14:paraId="5C86245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自带漏电保护器，整机相关电气模块工作电压均不超过24V。</w:t>
            </w:r>
          </w:p>
          <w:p w14:paraId="3EED06DE">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6.</w:t>
            </w:r>
            <w:r>
              <w:rPr>
                <w:rFonts w:eastAsia="Calibri" w:cs="宋体"/>
                <w:bCs/>
                <w:color w:val="auto"/>
                <w:kern w:val="2"/>
                <w:highlight w:val="white"/>
                <w:lang w:val="zh-CN"/>
              </w:rPr>
              <w:t>技术参数</w:t>
            </w:r>
          </w:p>
          <w:p w14:paraId="10170610">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w:t>
            </w:r>
            <w:r>
              <w:rPr>
                <w:rFonts w:hint="eastAsia" w:eastAsia="Calibri" w:cs="宋体"/>
                <w:bCs/>
                <w:color w:val="auto"/>
                <w:kern w:val="2"/>
                <w:highlight w:val="white"/>
                <w:lang w:val="zh-CN"/>
              </w:rPr>
              <w:t>）</w:t>
            </w:r>
            <w:r>
              <w:rPr>
                <w:rFonts w:eastAsia="Calibri" w:cs="宋体"/>
                <w:bCs/>
                <w:color w:val="auto"/>
                <w:kern w:val="2"/>
                <w:highlight w:val="white"/>
                <w:lang w:val="zh-CN"/>
              </w:rPr>
              <w:t>产品尺寸：</w:t>
            </w:r>
            <w:r>
              <w:rPr>
                <w:rFonts w:ascii="Arial" w:hAnsi="Arial" w:eastAsia="Calibri" w:cs="Arial"/>
                <w:bCs/>
                <w:color w:val="auto"/>
                <w:kern w:val="2"/>
                <w:highlight w:val="white"/>
                <w:lang w:val="zh-CN"/>
              </w:rPr>
              <w:t>≥</w:t>
            </w:r>
            <w:r>
              <w:rPr>
                <w:rFonts w:eastAsia="Calibri" w:cs="宋体"/>
                <w:bCs/>
                <w:color w:val="auto"/>
                <w:kern w:val="2"/>
                <w:highlight w:val="white"/>
                <w:lang w:val="zh-CN"/>
              </w:rPr>
              <w:t>1200</w:t>
            </w:r>
            <w:r>
              <w:rPr>
                <w:rFonts w:eastAsia="Calibri" w:cs="宋体"/>
                <w:bCs/>
                <w:color w:val="auto"/>
                <w:kern w:val="2"/>
                <w:highlight w:val="white"/>
              </w:rPr>
              <w:t>mm(长）</w:t>
            </w:r>
            <w:r>
              <w:rPr>
                <w:rFonts w:eastAsia="Calibri" w:cs="宋体"/>
                <w:bCs/>
                <w:color w:val="auto"/>
                <w:kern w:val="2"/>
                <w:highlight w:val="white"/>
                <w:lang w:val="zh-CN"/>
              </w:rPr>
              <w:t>*</w:t>
            </w:r>
            <w:r>
              <w:rPr>
                <w:rFonts w:ascii="Arial" w:hAnsi="Arial" w:eastAsia="Calibri" w:cs="Arial"/>
                <w:bCs/>
                <w:color w:val="auto"/>
                <w:kern w:val="2"/>
                <w:highlight w:val="white"/>
                <w:lang w:val="zh-CN"/>
              </w:rPr>
              <w:t>≥</w:t>
            </w:r>
            <w:r>
              <w:rPr>
                <w:rFonts w:eastAsia="Calibri" w:cs="宋体"/>
                <w:bCs/>
                <w:color w:val="auto"/>
                <w:kern w:val="2"/>
                <w:highlight w:val="white"/>
                <w:lang w:val="zh-CN"/>
              </w:rPr>
              <w:t>200</w:t>
            </w:r>
            <w:r>
              <w:rPr>
                <w:rFonts w:eastAsia="Calibri" w:cs="宋体"/>
                <w:bCs/>
                <w:color w:val="auto"/>
                <w:kern w:val="2"/>
                <w:highlight w:val="white"/>
              </w:rPr>
              <w:t>mm（宽)</w:t>
            </w:r>
            <w:r>
              <w:rPr>
                <w:rFonts w:eastAsia="Calibri" w:cs="宋体"/>
                <w:bCs/>
                <w:color w:val="auto"/>
                <w:kern w:val="2"/>
                <w:highlight w:val="white"/>
                <w:lang w:val="zh-CN"/>
              </w:rPr>
              <w:t>*</w:t>
            </w:r>
            <w:r>
              <w:rPr>
                <w:rFonts w:ascii="Arial" w:hAnsi="Arial" w:eastAsia="Calibri" w:cs="Arial"/>
                <w:bCs/>
                <w:color w:val="auto"/>
                <w:kern w:val="2"/>
                <w:highlight w:val="white"/>
                <w:lang w:val="zh-CN"/>
              </w:rPr>
              <w:t>≥</w:t>
            </w:r>
            <w:r>
              <w:rPr>
                <w:rFonts w:eastAsia="Calibri" w:cs="宋体"/>
                <w:bCs/>
                <w:color w:val="auto"/>
                <w:kern w:val="2"/>
                <w:highlight w:val="white"/>
                <w:lang w:val="zh-CN"/>
              </w:rPr>
              <w:t>980mm</w:t>
            </w:r>
            <w:r>
              <w:rPr>
                <w:rFonts w:eastAsia="Calibri" w:cs="宋体"/>
                <w:bCs/>
                <w:color w:val="auto"/>
                <w:kern w:val="2"/>
                <w:highlight w:val="white"/>
              </w:rPr>
              <w:t>(高）</w:t>
            </w:r>
            <w:r>
              <w:rPr>
                <w:rFonts w:eastAsia="Calibri" w:cs="宋体"/>
                <w:bCs/>
                <w:color w:val="auto"/>
                <w:kern w:val="2"/>
                <w:highlight w:val="white"/>
                <w:lang w:val="zh-CN"/>
              </w:rPr>
              <w:t xml:space="preserve">              </w:t>
            </w:r>
          </w:p>
          <w:p w14:paraId="0927837F">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2</w:t>
            </w:r>
            <w:r>
              <w:rPr>
                <w:rFonts w:hint="eastAsia" w:eastAsia="Calibri" w:cs="宋体"/>
                <w:bCs/>
                <w:color w:val="auto"/>
                <w:kern w:val="2"/>
                <w:highlight w:val="white"/>
                <w:lang w:val="zh-CN"/>
              </w:rPr>
              <w:t>）</w:t>
            </w:r>
            <w:r>
              <w:rPr>
                <w:rFonts w:eastAsia="Calibri" w:cs="宋体"/>
                <w:bCs/>
                <w:color w:val="auto"/>
                <w:kern w:val="2"/>
                <w:highlight w:val="white"/>
                <w:lang w:val="zh-CN"/>
              </w:rPr>
              <w:t>通道宽度：600mm-800mm</w:t>
            </w:r>
          </w:p>
          <w:p w14:paraId="0CCF9357">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3</w:t>
            </w:r>
            <w:r>
              <w:rPr>
                <w:rFonts w:hint="eastAsia" w:eastAsia="Calibri" w:cs="宋体"/>
                <w:bCs/>
                <w:color w:val="auto"/>
                <w:kern w:val="2"/>
                <w:highlight w:val="white"/>
                <w:lang w:val="zh-CN"/>
              </w:rPr>
              <w:t>）</w:t>
            </w:r>
            <w:r>
              <w:rPr>
                <w:rFonts w:eastAsia="Calibri" w:cs="宋体"/>
                <w:bCs/>
                <w:color w:val="auto"/>
                <w:kern w:val="2"/>
                <w:highlight w:val="white"/>
                <w:lang w:val="zh-CN"/>
              </w:rPr>
              <w:t>箱体材质：304拉丝不锈钢，顶盖</w:t>
            </w:r>
            <w:r>
              <w:rPr>
                <w:rFonts w:ascii="Arial" w:hAnsi="Arial" w:eastAsia="Calibri" w:cs="Arial"/>
                <w:bCs/>
                <w:color w:val="auto"/>
                <w:kern w:val="2"/>
                <w:highlight w:val="white"/>
                <w:lang w:val="zh-CN"/>
              </w:rPr>
              <w:t>≥</w:t>
            </w:r>
            <w:r>
              <w:rPr>
                <w:rFonts w:eastAsia="Calibri" w:cs="宋体"/>
                <w:bCs/>
                <w:color w:val="auto"/>
                <w:kern w:val="2"/>
                <w:highlight w:val="white"/>
                <w:lang w:val="zh-CN"/>
              </w:rPr>
              <w:t>1.2mm，其他</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1.0mm </w:t>
            </w:r>
          </w:p>
          <w:p w14:paraId="646C4BC1">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（4）</w:t>
            </w:r>
            <w:r>
              <w:rPr>
                <w:rFonts w:eastAsia="Calibri" w:cs="宋体"/>
                <w:bCs/>
                <w:color w:val="auto"/>
                <w:kern w:val="2"/>
                <w:highlight w:val="white"/>
                <w:lang w:val="zh-CN"/>
              </w:rPr>
              <w:t>门翼材质：支持亚克力门翼、不锈钢</w:t>
            </w:r>
          </w:p>
          <w:p w14:paraId="7B5A138B">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（5）</w:t>
            </w:r>
            <w:r>
              <w:rPr>
                <w:rFonts w:eastAsia="Calibri" w:cs="宋体"/>
                <w:bCs/>
                <w:color w:val="auto"/>
                <w:kern w:val="2"/>
                <w:highlight w:val="white"/>
                <w:lang w:val="zh-CN"/>
              </w:rPr>
              <w:t>电机类型：直流无刷防撞电机</w:t>
            </w:r>
          </w:p>
          <w:p w14:paraId="20853F38">
            <w:pPr>
              <w:pStyle w:val="19"/>
              <w:spacing w:beforeAutospacing="0" w:afterAutospacing="0"/>
              <w:rPr>
                <w:rFonts w:eastAsia="Calibri" w:cs="宋体"/>
                <w:bCs/>
                <w:color w:val="auto"/>
                <w:kern w:val="2"/>
                <w:highlight w:val="white"/>
                <w:lang w:val="zh-CN"/>
              </w:rPr>
            </w:pPr>
            <w:r>
              <w:rPr>
                <w:rFonts w:hint="eastAsia" w:eastAsia="宋体" w:cs="宋体"/>
                <w:bCs/>
                <w:color w:val="auto"/>
                <w:kern w:val="2"/>
                <w:highlight w:val="white"/>
              </w:rPr>
              <w:t>（6）</w:t>
            </w:r>
            <w:r>
              <w:rPr>
                <w:rFonts w:eastAsia="Calibri" w:cs="宋体"/>
                <w:bCs/>
                <w:color w:val="auto"/>
                <w:kern w:val="2"/>
                <w:highlight w:val="white"/>
                <w:lang w:val="zh-CN"/>
              </w:rPr>
              <w:t>红外对数：</w:t>
            </w:r>
            <w:r>
              <w:rPr>
                <w:rFonts w:ascii="Arial" w:hAnsi="Arial" w:eastAsia="Calibri" w:cs="Arial"/>
                <w:bCs/>
                <w:color w:val="auto"/>
                <w:kern w:val="2"/>
                <w:highlight w:val="white"/>
                <w:lang w:val="zh-CN"/>
              </w:rPr>
              <w:t>≥</w:t>
            </w:r>
            <w:r>
              <w:rPr>
                <w:rFonts w:eastAsia="Calibri" w:cs="宋体"/>
                <w:bCs/>
                <w:color w:val="auto"/>
                <w:kern w:val="2"/>
                <w:highlight w:val="white"/>
                <w:lang w:val="zh-CN"/>
              </w:rPr>
              <w:t>4对</w:t>
            </w:r>
          </w:p>
          <w:p w14:paraId="7594137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7</w:t>
            </w:r>
            <w:r>
              <w:rPr>
                <w:rFonts w:hint="eastAsia" w:eastAsia="Calibri" w:cs="宋体"/>
                <w:bCs/>
                <w:color w:val="auto"/>
                <w:kern w:val="2"/>
                <w:highlight w:val="white"/>
                <w:lang w:val="zh-CN"/>
              </w:rPr>
              <w:t>）</w:t>
            </w:r>
            <w:r>
              <w:rPr>
                <w:rFonts w:eastAsia="Calibri" w:cs="宋体"/>
                <w:bCs/>
                <w:color w:val="auto"/>
                <w:kern w:val="2"/>
                <w:highlight w:val="white"/>
                <w:lang w:val="zh-CN"/>
              </w:rPr>
              <w:t>使用环境：室内外（IP54)</w:t>
            </w:r>
          </w:p>
          <w:p w14:paraId="5FC4B3B9">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8</w:t>
            </w:r>
            <w:r>
              <w:rPr>
                <w:rFonts w:hint="eastAsia" w:eastAsia="Calibri" w:cs="宋体"/>
                <w:bCs/>
                <w:color w:val="auto"/>
                <w:kern w:val="2"/>
                <w:highlight w:val="white"/>
                <w:lang w:val="zh-CN"/>
              </w:rPr>
              <w:t>）</w:t>
            </w:r>
            <w:r>
              <w:rPr>
                <w:rFonts w:eastAsia="Calibri" w:cs="宋体"/>
                <w:bCs/>
                <w:color w:val="auto"/>
                <w:kern w:val="2"/>
                <w:highlight w:val="white"/>
                <w:lang w:val="zh-CN"/>
              </w:rPr>
              <w:t>设备容量：支持</w:t>
            </w:r>
            <w:r>
              <w:rPr>
                <w:rFonts w:ascii="Arial" w:hAnsi="Arial" w:eastAsia="Calibri" w:cs="Arial"/>
                <w:bCs/>
                <w:color w:val="auto"/>
                <w:kern w:val="2"/>
                <w:highlight w:val="white"/>
                <w:lang w:val="zh-CN"/>
              </w:rPr>
              <w:t>≥</w:t>
            </w:r>
            <w:r>
              <w:rPr>
                <w:rFonts w:eastAsia="Calibri" w:cs="宋体"/>
                <w:bCs/>
                <w:color w:val="auto"/>
                <w:kern w:val="2"/>
                <w:highlight w:val="white"/>
                <w:lang w:val="zh-CN"/>
              </w:rPr>
              <w:t>6万张普通卡、</w:t>
            </w:r>
            <w:r>
              <w:rPr>
                <w:rFonts w:ascii="Arial" w:hAnsi="Arial" w:eastAsia="Calibri" w:cs="Arial"/>
                <w:bCs/>
                <w:color w:val="auto"/>
                <w:kern w:val="2"/>
                <w:highlight w:val="white"/>
                <w:lang w:val="zh-CN"/>
              </w:rPr>
              <w:t>≥</w:t>
            </w:r>
            <w:r>
              <w:rPr>
                <w:rFonts w:eastAsia="Calibri" w:cs="宋体"/>
                <w:bCs/>
                <w:color w:val="auto"/>
                <w:kern w:val="2"/>
                <w:highlight w:val="white"/>
                <w:lang w:val="zh-CN"/>
              </w:rPr>
              <w:t>3千张来宾卡、18万条事件记录</w:t>
            </w:r>
          </w:p>
          <w:p w14:paraId="23B186A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9</w:t>
            </w:r>
            <w:r>
              <w:rPr>
                <w:rFonts w:hint="eastAsia" w:eastAsia="Calibri" w:cs="宋体"/>
                <w:bCs/>
                <w:color w:val="auto"/>
                <w:kern w:val="2"/>
                <w:highlight w:val="white"/>
                <w:lang w:val="zh-CN"/>
              </w:rPr>
              <w:t>）</w:t>
            </w:r>
            <w:r>
              <w:rPr>
                <w:rFonts w:eastAsia="Calibri" w:cs="宋体"/>
                <w:bCs/>
                <w:color w:val="auto"/>
                <w:kern w:val="2"/>
                <w:highlight w:val="white"/>
                <w:lang w:val="zh-CN"/>
              </w:rPr>
              <w:t>超级电容：闸机标配超级电容，断电后门翼自动打开（符合消防要求）</w:t>
            </w:r>
          </w:p>
          <w:p w14:paraId="7CD6ADA2">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10</w:t>
            </w:r>
            <w:r>
              <w:rPr>
                <w:rFonts w:hint="eastAsia" w:eastAsia="Calibri" w:cs="宋体"/>
                <w:bCs/>
                <w:color w:val="auto"/>
                <w:kern w:val="2"/>
                <w:highlight w:val="white"/>
                <w:lang w:val="zh-CN"/>
              </w:rPr>
              <w:t>）</w:t>
            </w:r>
            <w:r>
              <w:rPr>
                <w:rFonts w:eastAsia="Calibri" w:cs="宋体"/>
                <w:bCs/>
                <w:color w:val="auto"/>
                <w:kern w:val="2"/>
                <w:highlight w:val="white"/>
                <w:lang w:val="zh-CN"/>
              </w:rPr>
              <w:t>通行速度：20-60人每分钟，受人员情况和通行模式影响</w:t>
            </w:r>
          </w:p>
          <w:p w14:paraId="0DB93A95">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11</w:t>
            </w:r>
            <w:r>
              <w:rPr>
                <w:rFonts w:hint="eastAsia" w:eastAsia="Calibri" w:cs="宋体"/>
                <w:bCs/>
                <w:color w:val="auto"/>
                <w:kern w:val="2"/>
                <w:highlight w:val="white"/>
                <w:lang w:val="zh-CN"/>
              </w:rPr>
              <w:t>）</w:t>
            </w:r>
            <w:r>
              <w:rPr>
                <w:rFonts w:eastAsia="Calibri" w:cs="宋体"/>
                <w:bCs/>
                <w:color w:val="auto"/>
                <w:kern w:val="2"/>
                <w:highlight w:val="white"/>
                <w:lang w:val="zh-CN"/>
              </w:rPr>
              <w:t>电压功率：AC 100~240V/50~60HZ/ 单通道（一组通道）额定功率：</w:t>
            </w:r>
            <w:r>
              <w:rPr>
                <w:rFonts w:ascii="Arial" w:hAnsi="Arial" w:eastAsia="Calibri" w:cs="Arial"/>
                <w:bCs/>
                <w:color w:val="auto"/>
                <w:kern w:val="2"/>
                <w:highlight w:val="white"/>
                <w:lang w:val="zh-CN"/>
              </w:rPr>
              <w:t>≤</w:t>
            </w:r>
            <w:r>
              <w:rPr>
                <w:rFonts w:eastAsia="Calibri" w:cs="宋体"/>
                <w:bCs/>
                <w:color w:val="auto"/>
                <w:kern w:val="2"/>
                <w:highlight w:val="white"/>
                <w:lang w:val="zh-CN"/>
              </w:rPr>
              <w:t>320W</w:t>
            </w:r>
          </w:p>
          <w:p w14:paraId="3F6AC3CE">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12</w:t>
            </w:r>
            <w:r>
              <w:rPr>
                <w:rFonts w:hint="eastAsia" w:eastAsia="Calibri" w:cs="宋体"/>
                <w:bCs/>
                <w:color w:val="auto"/>
                <w:kern w:val="2"/>
                <w:highlight w:val="white"/>
                <w:lang w:val="zh-CN"/>
              </w:rPr>
              <w:t>）</w:t>
            </w:r>
            <w:r>
              <w:rPr>
                <w:rFonts w:eastAsia="Calibri" w:cs="宋体"/>
                <w:bCs/>
                <w:color w:val="auto"/>
                <w:kern w:val="2"/>
                <w:highlight w:val="white"/>
                <w:lang w:val="zh-CN"/>
              </w:rPr>
              <w:t>工作温度：-20℃~70℃</w:t>
            </w:r>
          </w:p>
          <w:p w14:paraId="4C00231A">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13</w:t>
            </w:r>
            <w:r>
              <w:rPr>
                <w:rFonts w:hint="eastAsia" w:eastAsia="Calibri" w:cs="宋体"/>
                <w:bCs/>
                <w:color w:val="auto"/>
                <w:kern w:val="2"/>
                <w:highlight w:val="white"/>
                <w:lang w:val="zh-CN"/>
              </w:rPr>
              <w:t>）</w:t>
            </w:r>
            <w:r>
              <w:rPr>
                <w:rFonts w:eastAsia="Calibri" w:cs="宋体"/>
                <w:bCs/>
                <w:color w:val="auto"/>
                <w:kern w:val="2"/>
                <w:highlight w:val="white"/>
                <w:lang w:val="zh-CN"/>
              </w:rPr>
              <w:t>物理接口：TCP/IP,I/O,RS232,RS485S</w:t>
            </w:r>
          </w:p>
          <w:p w14:paraId="16E459FB">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14</w:t>
            </w:r>
            <w:r>
              <w:rPr>
                <w:rFonts w:hint="eastAsia" w:eastAsia="Calibri" w:cs="宋体"/>
                <w:bCs/>
                <w:color w:val="auto"/>
                <w:kern w:val="2"/>
                <w:highlight w:val="white"/>
                <w:lang w:val="zh-CN"/>
              </w:rPr>
              <w:t>）</w:t>
            </w:r>
            <w:r>
              <w:rPr>
                <w:rFonts w:eastAsia="Calibri" w:cs="宋体"/>
                <w:bCs/>
                <w:color w:val="auto"/>
                <w:kern w:val="2"/>
                <w:highlight w:val="white"/>
                <w:lang w:val="zh-CN"/>
              </w:rPr>
              <w:t xml:space="preserve">表面原厂拉丝处理  </w:t>
            </w:r>
          </w:p>
          <w:p w14:paraId="6DD8C6E4">
            <w:pPr>
              <w:pStyle w:val="19"/>
              <w:spacing w:beforeAutospacing="0" w:afterAutospacing="0"/>
              <w:rPr>
                <w:rFonts w:eastAsia="Calibri" w:cs="宋体"/>
                <w:bCs/>
                <w:color w:val="auto"/>
                <w:kern w:val="2"/>
                <w:highlight w:val="white"/>
                <w:lang w:val="zh-CN"/>
              </w:rPr>
            </w:pPr>
            <w:r>
              <w:rPr>
                <w:rFonts w:hint="eastAsia" w:eastAsia="Calibri" w:cs="宋体"/>
                <w:bCs/>
                <w:color w:val="auto"/>
                <w:kern w:val="2"/>
                <w:highlight w:val="white"/>
                <w:lang w:val="zh-CN"/>
              </w:rPr>
              <w:t>（</w:t>
            </w:r>
            <w:r>
              <w:rPr>
                <w:rFonts w:hint="eastAsia" w:eastAsia="宋体" w:cs="宋体"/>
                <w:bCs/>
                <w:color w:val="auto"/>
                <w:kern w:val="2"/>
                <w:highlight w:val="white"/>
              </w:rPr>
              <w:t>15</w:t>
            </w:r>
            <w:r>
              <w:rPr>
                <w:rFonts w:hint="eastAsia" w:eastAsia="Calibri" w:cs="宋体"/>
                <w:bCs/>
                <w:color w:val="auto"/>
                <w:kern w:val="2"/>
                <w:highlight w:val="white"/>
                <w:lang w:val="zh-CN"/>
              </w:rPr>
              <w:t>）</w:t>
            </w:r>
            <w:r>
              <w:rPr>
                <w:rFonts w:eastAsia="Calibri" w:cs="宋体"/>
                <w:bCs/>
                <w:color w:val="auto"/>
                <w:kern w:val="2"/>
                <w:highlight w:val="white"/>
                <w:lang w:val="zh-CN"/>
              </w:rPr>
              <w:t xml:space="preserve">非法闯入报警提示                           </w:t>
            </w:r>
          </w:p>
        </w:tc>
        <w:tc>
          <w:tcPr>
            <w:tcW w:w="1418" w:type="dxa"/>
            <w:vAlign w:val="center"/>
          </w:tcPr>
          <w:p w14:paraId="2C3BACC0">
            <w:pPr>
              <w:pStyle w:val="19"/>
              <w:spacing w:beforeAutospacing="0" w:afterAutospacing="0"/>
              <w:jc w:val="center"/>
              <w:rPr>
                <w:rFonts w:eastAsia="Calibri" w:cs="宋体"/>
                <w:bCs/>
                <w:color w:val="auto"/>
                <w:kern w:val="2"/>
                <w:highlight w:val="white"/>
                <w:lang w:val="zh-CN"/>
              </w:rPr>
            </w:pPr>
            <w:r>
              <w:rPr>
                <w:rFonts w:hint="eastAsia" w:eastAsia="宋体" w:cs="宋体"/>
                <w:bCs/>
                <w:color w:val="auto"/>
                <w:kern w:val="2"/>
                <w:highlight w:val="white"/>
              </w:rPr>
              <w:t>1</w:t>
            </w:r>
            <w:r>
              <w:rPr>
                <w:rFonts w:eastAsia="Calibri" w:cs="宋体"/>
                <w:bCs/>
                <w:color w:val="auto"/>
                <w:kern w:val="2"/>
                <w:highlight w:val="white"/>
                <w:lang w:val="zh-CN"/>
              </w:rPr>
              <w:t>台</w:t>
            </w:r>
          </w:p>
        </w:tc>
      </w:tr>
      <w:tr w14:paraId="4C6E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18D2061">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28</w:t>
            </w:r>
          </w:p>
        </w:tc>
        <w:tc>
          <w:tcPr>
            <w:tcW w:w="1559" w:type="dxa"/>
            <w:vAlign w:val="center"/>
          </w:tcPr>
          <w:p w14:paraId="0A5C4142">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多功能人脸识别一体机</w:t>
            </w:r>
          </w:p>
        </w:tc>
        <w:tc>
          <w:tcPr>
            <w:tcW w:w="5528" w:type="dxa"/>
            <w:vAlign w:val="center"/>
          </w:tcPr>
          <w:p w14:paraId="7C4472C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为了兼容现有的校园卡和业务场景实际需求，校门出入口系统要求</w:t>
            </w:r>
            <w:r>
              <w:rPr>
                <w:rFonts w:hint="eastAsia" w:eastAsia="Calibri" w:cs="宋体"/>
                <w:bCs/>
                <w:color w:val="auto"/>
                <w:kern w:val="2"/>
                <w:highlight w:val="white"/>
                <w:lang w:val="zh-CN"/>
              </w:rPr>
              <w:t>供应商</w:t>
            </w:r>
            <w:r>
              <w:rPr>
                <w:rFonts w:eastAsia="Calibri" w:cs="宋体"/>
                <w:bCs/>
                <w:color w:val="auto"/>
                <w:kern w:val="2"/>
                <w:highlight w:val="white"/>
                <w:lang w:val="zh-CN"/>
              </w:rPr>
              <w:t>定制化一款支持人脸、校园卡、二维码等介质的多功能人脸识别一体机，用于人员身份核验和通行管理。</w:t>
            </w:r>
          </w:p>
          <w:p w14:paraId="38D8CF1F">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处理器 双核 ARM Cortex-A7 and RISC-V MCU</w:t>
            </w:r>
          </w:p>
          <w:p w14:paraId="4F9F5DB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操作系统 Linux操作系统</w:t>
            </w:r>
          </w:p>
          <w:p w14:paraId="2D6AD42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存储 </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1GB内存 + </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8GB eMMC </w:t>
            </w:r>
          </w:p>
          <w:p w14:paraId="4CDE3434">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摄像头 双目，</w:t>
            </w:r>
            <w:r>
              <w:rPr>
                <w:rFonts w:ascii="Arial" w:hAnsi="Arial" w:eastAsia="Calibri" w:cs="Arial"/>
                <w:bCs/>
                <w:color w:val="auto"/>
                <w:kern w:val="2"/>
                <w:highlight w:val="white"/>
                <w:lang w:val="zh-CN"/>
              </w:rPr>
              <w:t>≥</w:t>
            </w:r>
            <w:r>
              <w:rPr>
                <w:rFonts w:eastAsia="Calibri" w:cs="宋体"/>
                <w:bCs/>
                <w:color w:val="auto"/>
                <w:kern w:val="2"/>
                <w:highlight w:val="white"/>
                <w:lang w:val="zh-CN"/>
              </w:rPr>
              <w:t>210万有效像素，1920*1080</w:t>
            </w:r>
          </w:p>
          <w:p w14:paraId="1C440500">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成像器件 1/2.8" Progressive Scan CMOS</w:t>
            </w:r>
          </w:p>
          <w:p w14:paraId="4D6E485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镜头 </w:t>
            </w:r>
            <w:r>
              <w:rPr>
                <w:rFonts w:ascii="Arial" w:hAnsi="Arial" w:eastAsia="Calibri" w:cs="Arial"/>
                <w:bCs/>
                <w:color w:val="auto"/>
                <w:kern w:val="2"/>
                <w:highlight w:val="white"/>
                <w:lang w:val="zh-CN"/>
              </w:rPr>
              <w:t>≥</w:t>
            </w:r>
            <w:r>
              <w:rPr>
                <w:rFonts w:eastAsia="Calibri" w:cs="宋体"/>
                <w:bCs/>
                <w:color w:val="auto"/>
                <w:kern w:val="2"/>
                <w:highlight w:val="white"/>
                <w:lang w:val="zh-CN"/>
              </w:rPr>
              <w:t>4.32mm 焦距</w:t>
            </w:r>
          </w:p>
          <w:p w14:paraId="52645D83">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4G模块（选配） 支持LTE-FDD、LTE-TDD网络制式，最大上行速率5Mbps，最大下行速率10Mbps</w:t>
            </w:r>
          </w:p>
          <w:p w14:paraId="03E9763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蓝牙模块（选配） 8DPSK,π/4DQPSK, GFSK，速度区间 1Mbps-2,3Mbps</w:t>
            </w:r>
          </w:p>
          <w:p w14:paraId="2600220B">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WiFi模块 2.4GHz WiFi SoC芯片，集成IEEE 802.11b/g/n基带和RF电路，最大54Mbps物理层速率</w:t>
            </w:r>
          </w:p>
          <w:p w14:paraId="59137C6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二维码模块 640（水平） X 480（垂直）CMOS，水平视角31°，支持QR code、PDF417、EAN13、EAN8、UPC-A等各种一维码、二维码</w:t>
            </w:r>
          </w:p>
          <w:p w14:paraId="268730B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刷卡模块 13．56MHz，支持Mifare S50、S70卡，ultralinght卡，NTAG卡，DESFire D21、D41、D81，非接触CPU卡，支持TK、EM 等系列 125KHz 频段卡片（IC/ID均支持）</w:t>
            </w:r>
          </w:p>
          <w:p w14:paraId="47B5BCE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触屏模块(立柱式选配，壁挂式标配) 电容式多点触控屏</w:t>
            </w:r>
          </w:p>
          <w:p w14:paraId="61323A50">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扬声器 语音播放内容可定制</w:t>
            </w:r>
          </w:p>
          <w:p w14:paraId="00B5B326">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识别高度 1.2~2.3米，角度可调</w:t>
            </w:r>
          </w:p>
          <w:p w14:paraId="23EEC24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识别距离 0.3~1.5米</w:t>
            </w:r>
          </w:p>
          <w:p w14:paraId="119A8FD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人脸角度 左右30度，上下30度</w:t>
            </w:r>
          </w:p>
          <w:p w14:paraId="7237C1B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识别时间 小于0.3秒</w:t>
            </w:r>
          </w:p>
          <w:p w14:paraId="080C3D0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识别记录容量</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 69000</w:t>
            </w:r>
          </w:p>
          <w:p w14:paraId="3E012F57">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人脸容量 </w:t>
            </w:r>
            <w:r>
              <w:rPr>
                <w:rFonts w:ascii="Arial" w:hAnsi="Arial" w:eastAsia="Calibri" w:cs="Arial"/>
                <w:bCs/>
                <w:color w:val="auto"/>
                <w:kern w:val="2"/>
                <w:highlight w:val="white"/>
                <w:lang w:val="zh-CN"/>
              </w:rPr>
              <w:t>≥</w:t>
            </w:r>
            <w:r>
              <w:rPr>
                <w:rFonts w:eastAsia="Calibri" w:cs="宋体"/>
                <w:bCs/>
                <w:color w:val="auto"/>
                <w:kern w:val="2"/>
                <w:highlight w:val="white"/>
                <w:lang w:val="zh-CN"/>
              </w:rPr>
              <w:t>24000</w:t>
            </w:r>
          </w:p>
          <w:p w14:paraId="354EC4AB">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电源输入 DC12V/2A</w:t>
            </w:r>
          </w:p>
          <w:p w14:paraId="1D20980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网络接口 1 个 RJ45 10M / 100M 自适应以太网口</w:t>
            </w:r>
          </w:p>
          <w:p w14:paraId="503385E7">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韦根接口 1 路韦根接口输出，1路韦根接口输入</w:t>
            </w:r>
          </w:p>
          <w:p w14:paraId="05FDD6FF">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报警接口 1 路火警输入</w:t>
            </w:r>
          </w:p>
          <w:p w14:paraId="5AB230A3">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门磁接口 1 路门磁接口输入</w:t>
            </w:r>
          </w:p>
          <w:p w14:paraId="0D8A889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开门接口 1 路开门接口输入</w:t>
            </w:r>
          </w:p>
          <w:p w14:paraId="3410B46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门铃接口 1 路门铃接口输出</w:t>
            </w:r>
          </w:p>
          <w:p w14:paraId="1AB1EAB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门锁接口 1 路门锁接口输出</w:t>
            </w:r>
          </w:p>
          <w:p w14:paraId="462F1D6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通讯接口 1 路RS485通讯接口</w:t>
            </w:r>
          </w:p>
          <w:p w14:paraId="005A969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摄像机 双目摄像头，定制镜头，可见光和近红外，支持活体检测</w:t>
            </w:r>
          </w:p>
          <w:p w14:paraId="7D436259">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有效像素 </w:t>
            </w:r>
            <w:r>
              <w:rPr>
                <w:rFonts w:ascii="Arial" w:hAnsi="Arial" w:eastAsia="Calibri" w:cs="Arial"/>
                <w:bCs/>
                <w:color w:val="auto"/>
                <w:kern w:val="2"/>
                <w:highlight w:val="white"/>
                <w:lang w:val="zh-CN"/>
              </w:rPr>
              <w:t>≥</w:t>
            </w:r>
            <w:r>
              <w:rPr>
                <w:rFonts w:eastAsia="Calibri" w:cs="宋体"/>
                <w:bCs/>
                <w:color w:val="auto"/>
                <w:kern w:val="2"/>
                <w:highlight w:val="white"/>
                <w:lang w:val="zh-CN"/>
              </w:rPr>
              <w:t>210万有效像素，1920*1080</w:t>
            </w:r>
          </w:p>
          <w:p w14:paraId="4A45D3F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最低照度 彩色0.01Lux @F1.2(ICR);黑白0.001Lux @F1.2 (ICR)</w:t>
            </w:r>
          </w:p>
          <w:p w14:paraId="5D3C3E74">
            <w:pPr>
              <w:pStyle w:val="19"/>
              <w:spacing w:beforeAutospacing="0" w:afterAutospacing="0"/>
              <w:rPr>
                <w:rFonts w:eastAsia="Calibri" w:cs="宋体"/>
                <w:bCs/>
                <w:color w:val="auto"/>
                <w:kern w:val="2"/>
                <w:highlight w:val="white"/>
              </w:rPr>
            </w:pPr>
            <w:r>
              <w:rPr>
                <w:rFonts w:eastAsia="Calibri" w:cs="宋体"/>
                <w:bCs/>
                <w:color w:val="auto"/>
                <w:kern w:val="2"/>
                <w:highlight w:val="white"/>
                <w:lang w:val="zh-CN"/>
              </w:rPr>
              <w:t>信噪比</w:t>
            </w:r>
            <w:r>
              <w:rPr>
                <w:rFonts w:eastAsia="Calibri" w:cs="宋体"/>
                <w:bCs/>
                <w:color w:val="auto"/>
                <w:kern w:val="2"/>
                <w:highlight w:val="white"/>
              </w:rPr>
              <w:t xml:space="preserve"> ≥50db(AGC OFF)</w:t>
            </w:r>
          </w:p>
          <w:p w14:paraId="2209AD1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宽动态 </w:t>
            </w:r>
            <w:r>
              <w:rPr>
                <w:rFonts w:ascii="Arial" w:hAnsi="Arial" w:eastAsia="Calibri" w:cs="Arial"/>
                <w:bCs/>
                <w:color w:val="auto"/>
                <w:kern w:val="2"/>
                <w:highlight w:val="white"/>
                <w:lang w:val="zh-CN"/>
              </w:rPr>
              <w:t>≥</w:t>
            </w:r>
            <w:r>
              <w:rPr>
                <w:rFonts w:eastAsia="Calibri" w:cs="宋体"/>
                <w:bCs/>
                <w:color w:val="auto"/>
                <w:kern w:val="2"/>
                <w:highlight w:val="white"/>
                <w:lang w:val="zh-CN"/>
              </w:rPr>
              <w:t>100db，ISP算法人脸局部曝光</w:t>
            </w:r>
          </w:p>
          <w:p w14:paraId="7266631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视频编码 H.265 Main Profile编码/H.264 BP/MP/HP编码/MJPEG编码</w:t>
            </w:r>
          </w:p>
          <w:p w14:paraId="5B7F26B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双码流分辨率 主码流 50Hz: 25fps (1920×1080,1280×720)</w:t>
            </w:r>
          </w:p>
          <w:p w14:paraId="41F148F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  60Hz: 30fps (1920×1080,1280×720)</w:t>
            </w:r>
          </w:p>
          <w:p w14:paraId="5FB746B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 次码流 720*576，1-25(30)帧/秒/640*480，1-25(30)帧/秒                                                                                         320*240，1-25(30)帧/秒                                                                                   </w:t>
            </w:r>
          </w:p>
          <w:p w14:paraId="7EDC7839">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工作温度 -20℃ - 60℃</w:t>
            </w:r>
          </w:p>
          <w:p w14:paraId="5094AFA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工作湿度 0～90%相对湿度,无冷凝</w:t>
            </w:r>
          </w:p>
          <w:p w14:paraId="2A745B0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设备功率 15W(MAX)</w:t>
            </w:r>
          </w:p>
          <w:p w14:paraId="778CB03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盐雾等级 Rp6级</w:t>
            </w:r>
          </w:p>
          <w:p w14:paraId="2129E86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ESD 接触±6KV，空气±8KV</w:t>
            </w:r>
          </w:p>
          <w:p w14:paraId="533C5DAB">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供电 DC12V/2A</w:t>
            </w:r>
          </w:p>
          <w:p w14:paraId="055DCF08">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防护等级 </w:t>
            </w:r>
            <w:r>
              <w:rPr>
                <w:rFonts w:ascii="Arial" w:hAnsi="Arial" w:eastAsia="Calibri" w:cs="Arial"/>
                <w:bCs/>
                <w:color w:val="auto"/>
                <w:kern w:val="2"/>
                <w:highlight w:val="white"/>
                <w:lang w:val="zh-CN"/>
              </w:rPr>
              <w:t>≥</w:t>
            </w:r>
            <w:r>
              <w:rPr>
                <w:rFonts w:eastAsia="Calibri" w:cs="宋体"/>
                <w:bCs/>
                <w:color w:val="auto"/>
                <w:kern w:val="2"/>
                <w:highlight w:val="white"/>
                <w:lang w:val="zh-CN"/>
              </w:rPr>
              <w:t>IP66</w:t>
            </w:r>
          </w:p>
          <w:p w14:paraId="556D530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屏幕规格 8寸高清IPS屏，分辨率1280*800</w:t>
            </w:r>
          </w:p>
          <w:p w14:paraId="6EF8A77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 xml:space="preserve">设备尺寸 </w:t>
            </w:r>
            <w:r>
              <w:rPr>
                <w:rFonts w:ascii="Arial" w:hAnsi="Arial" w:eastAsia="Calibri" w:cs="Arial"/>
                <w:bCs/>
                <w:color w:val="auto"/>
                <w:kern w:val="2"/>
                <w:highlight w:val="white"/>
                <w:lang w:val="zh-CN"/>
              </w:rPr>
              <w:t>≥</w:t>
            </w:r>
            <w:r>
              <w:rPr>
                <w:rFonts w:eastAsia="Calibri" w:cs="宋体"/>
                <w:bCs/>
                <w:color w:val="auto"/>
                <w:kern w:val="2"/>
                <w:highlight w:val="white"/>
                <w:lang w:val="zh-CN"/>
              </w:rPr>
              <w:t xml:space="preserve">292.24(长) * </w:t>
            </w:r>
            <w:r>
              <w:rPr>
                <w:rFonts w:ascii="Arial" w:hAnsi="Arial" w:eastAsia="Calibri" w:cs="Arial"/>
                <w:bCs/>
                <w:color w:val="auto"/>
                <w:kern w:val="2"/>
                <w:highlight w:val="white"/>
                <w:lang w:val="zh-CN"/>
              </w:rPr>
              <w:t>≥</w:t>
            </w:r>
            <w:r>
              <w:rPr>
                <w:rFonts w:eastAsia="Calibri" w:cs="宋体"/>
                <w:bCs/>
                <w:color w:val="auto"/>
                <w:kern w:val="2"/>
                <w:highlight w:val="white"/>
                <w:lang w:val="zh-CN"/>
              </w:rPr>
              <w:t>133(宽) *</w:t>
            </w:r>
            <w:r>
              <w:rPr>
                <w:rFonts w:ascii="Arial" w:hAnsi="Arial" w:eastAsia="Calibri" w:cs="Arial"/>
                <w:bCs/>
                <w:color w:val="auto"/>
                <w:kern w:val="2"/>
                <w:highlight w:val="white"/>
                <w:lang w:val="zh-CN"/>
              </w:rPr>
              <w:t>≥</w:t>
            </w:r>
            <w:r>
              <w:rPr>
                <w:rFonts w:eastAsia="Calibri" w:cs="宋体"/>
                <w:bCs/>
                <w:color w:val="auto"/>
                <w:kern w:val="2"/>
                <w:highlight w:val="white"/>
                <w:lang w:val="zh-CN"/>
              </w:rPr>
              <w:t>22(厚)mm</w:t>
            </w:r>
          </w:p>
        </w:tc>
        <w:tc>
          <w:tcPr>
            <w:tcW w:w="1418" w:type="dxa"/>
            <w:vAlign w:val="center"/>
          </w:tcPr>
          <w:p w14:paraId="35B912BE">
            <w:pPr>
              <w:pStyle w:val="19"/>
              <w:spacing w:beforeAutospacing="0" w:afterAutospacing="0"/>
              <w:jc w:val="center"/>
              <w:rPr>
                <w:rFonts w:eastAsia="Calibri" w:cs="宋体"/>
                <w:bCs/>
                <w:color w:val="auto"/>
                <w:kern w:val="2"/>
                <w:highlight w:val="white"/>
                <w:lang w:val="zh-CN"/>
              </w:rPr>
            </w:pPr>
            <w:r>
              <w:rPr>
                <w:rFonts w:hint="eastAsia" w:eastAsia="宋体" w:cs="宋体"/>
                <w:bCs/>
                <w:color w:val="auto"/>
                <w:kern w:val="2"/>
                <w:highlight w:val="white"/>
              </w:rPr>
              <w:t>4</w:t>
            </w:r>
            <w:r>
              <w:rPr>
                <w:rFonts w:eastAsia="Calibri" w:cs="宋体"/>
                <w:bCs/>
                <w:color w:val="auto"/>
                <w:kern w:val="2"/>
                <w:highlight w:val="white"/>
                <w:lang w:val="zh-CN"/>
              </w:rPr>
              <w:t>台</w:t>
            </w:r>
          </w:p>
        </w:tc>
      </w:tr>
      <w:tr w14:paraId="1AF1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0EEDAC8">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29</w:t>
            </w:r>
          </w:p>
        </w:tc>
        <w:tc>
          <w:tcPr>
            <w:tcW w:w="1559" w:type="dxa"/>
            <w:vAlign w:val="center"/>
          </w:tcPr>
          <w:p w14:paraId="6A38EE29">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人工AI双核训练机器人</w:t>
            </w:r>
          </w:p>
        </w:tc>
        <w:tc>
          <w:tcPr>
            <w:tcW w:w="5528" w:type="dxa"/>
            <w:vAlign w:val="center"/>
          </w:tcPr>
          <w:p w14:paraId="21865768">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一、人工AI双核训练机器人</w:t>
            </w:r>
          </w:p>
          <w:p w14:paraId="613B807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w:t>
            </w:r>
            <w:r>
              <w:rPr>
                <w:rFonts w:hint="eastAsia" w:eastAsia="宋体" w:cs="宋体"/>
                <w:bCs/>
                <w:color w:val="auto"/>
                <w:kern w:val="2"/>
                <w:highlight w:val="white"/>
              </w:rPr>
              <w:t>.</w:t>
            </w:r>
            <w:r>
              <w:rPr>
                <w:rFonts w:eastAsia="Calibri" w:cs="宋体"/>
                <w:bCs/>
                <w:color w:val="auto"/>
                <w:kern w:val="2"/>
                <w:highlight w:val="white"/>
                <w:lang w:val="zh-CN"/>
              </w:rPr>
              <w:t>尺寸和重量</w:t>
            </w:r>
          </w:p>
          <w:p w14:paraId="0C5FFE04">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外部尺寸：长≥325mm，宽≥325mm，高≥900mm；重量：≤15kg；2、速度和性能</w:t>
            </w:r>
          </w:p>
          <w:p w14:paraId="078416C4">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最大负载：≥10kg；最大速度：≥0.2m/s；</w:t>
            </w:r>
          </w:p>
          <w:p w14:paraId="2BC577D9">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w:t>
            </w:r>
            <w:r>
              <w:rPr>
                <w:rFonts w:hint="eastAsia" w:eastAsia="宋体" w:cs="宋体"/>
                <w:bCs/>
                <w:color w:val="auto"/>
                <w:kern w:val="2"/>
                <w:highlight w:val="white"/>
              </w:rPr>
              <w:t>.</w:t>
            </w:r>
            <w:r>
              <w:rPr>
                <w:rFonts w:eastAsia="Calibri" w:cs="宋体"/>
                <w:bCs/>
                <w:color w:val="auto"/>
                <w:kern w:val="2"/>
                <w:highlight w:val="white"/>
                <w:lang w:val="zh-CN"/>
              </w:rPr>
              <w:t>传感器</w:t>
            </w:r>
          </w:p>
          <w:p w14:paraId="679577E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3D视觉传感器：彩色/深度图像分辨率：至少支持640x480@30fps；</w:t>
            </w:r>
          </w:p>
          <w:p w14:paraId="6FEF3A2F">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激光雷达：需具有360°扫描测距能力；覆盖范围：最大半径≥12米；测量频率：≥8000次/秒；需支持OPTMAG光磁融合；</w:t>
            </w:r>
          </w:p>
          <w:p w14:paraId="51C84006">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运动传感器：需包含惯性测量单元、里程计、陀螺仪等；</w:t>
            </w:r>
          </w:p>
          <w:p w14:paraId="2E00001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3</w:t>
            </w:r>
            <w:r>
              <w:rPr>
                <w:rFonts w:hint="eastAsia" w:eastAsia="宋体" w:cs="宋体"/>
                <w:bCs/>
                <w:color w:val="auto"/>
                <w:kern w:val="2"/>
                <w:highlight w:val="white"/>
              </w:rPr>
              <w:t>.</w:t>
            </w:r>
            <w:r>
              <w:rPr>
                <w:rFonts w:eastAsia="Calibri" w:cs="宋体"/>
                <w:bCs/>
                <w:color w:val="auto"/>
                <w:kern w:val="2"/>
                <w:highlight w:val="white"/>
                <w:lang w:val="zh-CN"/>
              </w:rPr>
              <w:t>核心处理器</w:t>
            </w:r>
          </w:p>
          <w:p w14:paraId="4646BA60">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处理器：内核数量：不少于6核，最高睿频≥4.2GHz；内存容量：≥16G；内置硬盘：≥250G SSD；</w:t>
            </w:r>
          </w:p>
          <w:p w14:paraId="15CF798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4</w:t>
            </w:r>
            <w:r>
              <w:rPr>
                <w:rFonts w:hint="eastAsia" w:eastAsia="宋体" w:cs="宋体"/>
                <w:bCs/>
                <w:color w:val="auto"/>
                <w:kern w:val="2"/>
                <w:highlight w:val="white"/>
              </w:rPr>
              <w:t>.</w:t>
            </w:r>
            <w:r>
              <w:rPr>
                <w:rFonts w:eastAsia="Calibri" w:cs="宋体"/>
                <w:bCs/>
                <w:color w:val="auto"/>
                <w:kern w:val="2"/>
                <w:highlight w:val="white"/>
                <w:lang w:val="zh-CN"/>
              </w:rPr>
              <w:t>视觉追踪平台</w:t>
            </w:r>
          </w:p>
          <w:p w14:paraId="11358D18">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舵机：至少1个；精度：≤0.3°；</w:t>
            </w:r>
          </w:p>
          <w:p w14:paraId="5C178FA4">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5</w:t>
            </w:r>
            <w:r>
              <w:rPr>
                <w:rFonts w:hint="eastAsia" w:eastAsia="宋体" w:cs="宋体"/>
                <w:bCs/>
                <w:color w:val="auto"/>
                <w:kern w:val="2"/>
                <w:highlight w:val="white"/>
              </w:rPr>
              <w:t>.</w:t>
            </w:r>
            <w:r>
              <w:rPr>
                <w:rFonts w:eastAsia="Calibri" w:cs="宋体"/>
                <w:bCs/>
                <w:color w:val="auto"/>
                <w:kern w:val="2"/>
                <w:highlight w:val="white"/>
                <w:lang w:val="zh-CN"/>
              </w:rPr>
              <w:t>相关软件包。</w:t>
            </w:r>
          </w:p>
        </w:tc>
        <w:tc>
          <w:tcPr>
            <w:tcW w:w="1418" w:type="dxa"/>
            <w:vAlign w:val="center"/>
          </w:tcPr>
          <w:p w14:paraId="7E465B7B">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1套</w:t>
            </w:r>
          </w:p>
        </w:tc>
      </w:tr>
      <w:tr w14:paraId="168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21D6C63">
            <w:pPr>
              <w:pStyle w:val="19"/>
              <w:spacing w:beforeAutospacing="0" w:afterAutospacing="0"/>
              <w:jc w:val="center"/>
              <w:rPr>
                <w:rFonts w:hint="eastAsia" w:eastAsia="宋体" w:cs="宋体"/>
                <w:bCs/>
                <w:color w:val="auto"/>
                <w:kern w:val="2"/>
                <w:highlight w:val="white"/>
              </w:rPr>
            </w:pPr>
            <w:r>
              <w:rPr>
                <w:rFonts w:hint="eastAsia" w:eastAsia="宋体" w:cs="宋体"/>
                <w:bCs/>
                <w:color w:val="auto"/>
                <w:kern w:val="2"/>
                <w:highlight w:val="white"/>
              </w:rPr>
              <w:t>30</w:t>
            </w:r>
          </w:p>
        </w:tc>
        <w:tc>
          <w:tcPr>
            <w:tcW w:w="1559" w:type="dxa"/>
            <w:vAlign w:val="center"/>
          </w:tcPr>
          <w:p w14:paraId="03A12083">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可视化大屏</w:t>
            </w:r>
          </w:p>
        </w:tc>
        <w:tc>
          <w:tcPr>
            <w:tcW w:w="5528" w:type="dxa"/>
            <w:vAlign w:val="center"/>
          </w:tcPr>
          <w:p w14:paraId="7436F1CE">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根据公寓管理数据分析业务场景实际需求，要求</w:t>
            </w:r>
            <w:r>
              <w:rPr>
                <w:rFonts w:hint="eastAsia" w:eastAsia="Calibri" w:cs="宋体"/>
                <w:bCs/>
                <w:color w:val="auto"/>
                <w:kern w:val="2"/>
                <w:highlight w:val="white"/>
                <w:lang w:val="zh-CN"/>
              </w:rPr>
              <w:t>供应商</w:t>
            </w:r>
            <w:r>
              <w:rPr>
                <w:rFonts w:eastAsia="Calibri" w:cs="宋体"/>
                <w:bCs/>
                <w:color w:val="auto"/>
                <w:kern w:val="2"/>
                <w:highlight w:val="white"/>
                <w:lang w:val="zh-CN"/>
              </w:rPr>
              <w:t>定制一款可视化大屏（包含运行主机），满足学生归寝情况可视化分析。</w:t>
            </w:r>
          </w:p>
          <w:p w14:paraId="5E571B1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 显示屏 ≥65寸原装工业级A规液晶屏</w:t>
            </w:r>
          </w:p>
          <w:p w14:paraId="12BAFE3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 有效显示面积 ≥1210MM(H)*681(V)MM</w:t>
            </w:r>
          </w:p>
          <w:p w14:paraId="135E2FB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3. 显示比例 16:9</w:t>
            </w:r>
          </w:p>
          <w:p w14:paraId="3FD683B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4. 平均亮度 ≥350cd/m2(中心点，典型)</w:t>
            </w:r>
          </w:p>
          <w:p w14:paraId="7DDAEF23">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5. 点距 0.36*0.36MM</w:t>
            </w:r>
          </w:p>
          <w:p w14:paraId="08CA10F7">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6. 物理分辨率 1920*1080</w:t>
            </w:r>
          </w:p>
          <w:p w14:paraId="091D69CC">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7. 视角 上下176 度 左右176度</w:t>
            </w:r>
          </w:p>
          <w:p w14:paraId="4023CF6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8. 频率 水平频率30KHz-80KHz  垂直频率60Hz/75Hz</w:t>
            </w:r>
          </w:p>
          <w:p w14:paraId="4FC1EC1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9. 颜色 ≥16.77M万真色彩</w:t>
            </w:r>
          </w:p>
          <w:p w14:paraId="11DD3D4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10. 背光类型 LED</w:t>
            </w:r>
          </w:p>
          <w:p w14:paraId="02A46BA0">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11. 背光寿命（hrs） ≥50000小时</w:t>
            </w:r>
          </w:p>
          <w:p w14:paraId="5336E51B">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12. 背光均匀性 70%</w:t>
            </w:r>
          </w:p>
          <w:p w14:paraId="0D8A764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13. 背光电流及电压 39-51V/600MA</w:t>
            </w:r>
          </w:p>
          <w:p w14:paraId="44CCBDD9">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14. 对比度 3000:1</w:t>
            </w:r>
          </w:p>
          <w:p w14:paraId="07698CC2">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15. 响应时间 6ms</w:t>
            </w:r>
          </w:p>
          <w:p w14:paraId="54CEABB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16. 触摸方式 红外触摸</w:t>
            </w:r>
          </w:p>
          <w:p w14:paraId="6A9297D6">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17. 玻璃表面强度 ≧6H</w:t>
            </w:r>
          </w:p>
          <w:p w14:paraId="303C09C7">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18. 钢化玻璃厚度 ≤3mm</w:t>
            </w:r>
          </w:p>
          <w:p w14:paraId="2AA3E7F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19. 书写方式 手指、触摸笔</w:t>
            </w:r>
          </w:p>
          <w:p w14:paraId="4BF3C0C8">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20. 触摸屏寿命 ≧6亿次单点触摸</w:t>
            </w:r>
          </w:p>
          <w:p w14:paraId="60668ABB">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21. 触摸精度 95%的区域定位误差小于2mm、边缘定位误差小于5mm</w:t>
            </w:r>
          </w:p>
          <w:p w14:paraId="749BD41D">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22. 支持触摸点数 10点触控</w:t>
            </w:r>
          </w:p>
          <w:p w14:paraId="5C534CC5">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23. CPU：四核Cortex-A17，主频最高达1.8GHz</w:t>
            </w:r>
          </w:p>
          <w:p w14:paraId="7BA97481">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24. GPU：Mali-T764 GPU,支持AFBC(帧缓冲压缩）   25.支持 OpenGL ES 1.1/2.0/3.1, OpenCL, DirectX9.3</w:t>
            </w:r>
          </w:p>
          <w:p w14:paraId="5E5739CA">
            <w:pPr>
              <w:pStyle w:val="19"/>
              <w:spacing w:beforeAutospacing="0" w:afterAutospacing="0"/>
              <w:rPr>
                <w:rFonts w:eastAsia="Calibri" w:cs="宋体"/>
                <w:bCs/>
                <w:color w:val="auto"/>
                <w:kern w:val="2"/>
                <w:highlight w:val="white"/>
                <w:lang w:val="zh-CN"/>
              </w:rPr>
            </w:pPr>
            <w:r>
              <w:rPr>
                <w:rFonts w:eastAsia="Calibri" w:cs="宋体"/>
                <w:bCs/>
                <w:color w:val="auto"/>
                <w:kern w:val="2"/>
                <w:highlight w:val="white"/>
                <w:lang w:val="zh-CN"/>
              </w:rPr>
              <w:t>26.内嵌高性能2D 加速硬件。</w:t>
            </w:r>
          </w:p>
        </w:tc>
        <w:tc>
          <w:tcPr>
            <w:tcW w:w="1418" w:type="dxa"/>
            <w:vAlign w:val="center"/>
          </w:tcPr>
          <w:p w14:paraId="25D9FBE2">
            <w:pPr>
              <w:pStyle w:val="19"/>
              <w:spacing w:beforeAutospacing="0" w:afterAutospacing="0"/>
              <w:jc w:val="center"/>
              <w:rPr>
                <w:rFonts w:eastAsia="Calibri" w:cs="宋体"/>
                <w:bCs/>
                <w:color w:val="auto"/>
                <w:kern w:val="2"/>
                <w:highlight w:val="white"/>
                <w:lang w:val="zh-CN"/>
              </w:rPr>
            </w:pPr>
            <w:r>
              <w:rPr>
                <w:rFonts w:eastAsia="Calibri" w:cs="宋体"/>
                <w:bCs/>
                <w:color w:val="auto"/>
                <w:kern w:val="2"/>
                <w:highlight w:val="white"/>
                <w:lang w:val="zh-CN"/>
              </w:rPr>
              <w:t>2台</w:t>
            </w:r>
          </w:p>
        </w:tc>
      </w:tr>
    </w:tbl>
    <w:p w14:paraId="08E20BD6">
      <w:pPr>
        <w:pStyle w:val="49"/>
        <w:widowControl/>
        <w:spacing w:line="480" w:lineRule="auto"/>
        <w:jc w:val="left"/>
        <w:rPr>
          <w:rFonts w:eastAsia="宋体" w:cs="宋体"/>
          <w:bCs/>
          <w:kern w:val="0"/>
          <w:sz w:val="24"/>
        </w:rPr>
      </w:pPr>
      <w:r>
        <w:rPr>
          <w:rFonts w:cs="宋体"/>
          <w:bCs/>
          <w:color w:val="000000"/>
          <w:sz w:val="24"/>
          <w:highlight w:val="white"/>
        </w:rPr>
        <w:t>（二）需具有</w:t>
      </w:r>
      <w:r>
        <w:rPr>
          <w:rFonts w:cs="宋体"/>
          <w:bCs/>
          <w:color w:val="000000"/>
          <w:sz w:val="24"/>
          <w:highlight w:val="white"/>
          <w:lang w:val="zh-CN"/>
        </w:rPr>
        <w:t>强制</w:t>
      </w:r>
      <w:r>
        <w:rPr>
          <w:rFonts w:cs="宋体"/>
          <w:bCs/>
          <w:color w:val="000000"/>
          <w:kern w:val="0"/>
          <w:sz w:val="24"/>
          <w:highlight w:val="white"/>
        </w:rPr>
        <w:t>采购节能产品、环境标志产品认证证书的标的名称：</w:t>
      </w:r>
      <w:r>
        <w:rPr>
          <w:rFonts w:eastAsia="宋体" w:cs="宋体"/>
          <w:bCs/>
          <w:color w:val="000000"/>
          <w:kern w:val="0"/>
          <w:sz w:val="24"/>
          <w:highlight w:val="white"/>
        </w:rPr>
        <w:t>无</w:t>
      </w:r>
    </w:p>
    <w:p w14:paraId="3D926BB1">
      <w:pPr>
        <w:pStyle w:val="49"/>
        <w:widowControl/>
        <w:spacing w:line="480" w:lineRule="auto"/>
        <w:jc w:val="left"/>
        <w:rPr>
          <w:rFonts w:ascii="宋体" w:hAnsi="宋体" w:cs="宋体"/>
          <w:bCs/>
          <w:kern w:val="0"/>
          <w:sz w:val="24"/>
        </w:rPr>
      </w:pPr>
      <w:r>
        <w:rPr>
          <w:rFonts w:hint="eastAsia" w:ascii="宋体" w:hAnsi="宋体" w:cs="宋体"/>
          <w:bCs/>
          <w:color w:val="000000"/>
          <w:kern w:val="0"/>
          <w:sz w:val="24"/>
          <w:highlight w:val="white"/>
        </w:rPr>
        <w:t>注：</w:t>
      </w:r>
      <w:r>
        <w:rPr>
          <w:rFonts w:hint="eastAsia" w:ascii="宋体" w:hAnsi="宋体" w:cs="宋体"/>
          <w:bCs/>
          <w:color w:val="000000"/>
          <w:sz w:val="24"/>
          <w:highlight w:val="white"/>
        </w:rPr>
        <w:t>投标人</w:t>
      </w:r>
      <w:r>
        <w:rPr>
          <w:rFonts w:hint="eastAsia" w:ascii="宋体" w:hAnsi="宋体" w:cs="宋体"/>
          <w:bCs/>
          <w:color w:val="000000"/>
          <w:sz w:val="24"/>
          <w:highlight w:val="white"/>
          <w:lang w:val="zh-CN"/>
        </w:rPr>
        <w:t>应在投标文件《节能产品、环境标志产品政府强制采购认证证书一览表》</w:t>
      </w:r>
      <w:r>
        <w:rPr>
          <w:rFonts w:hint="eastAsia" w:ascii="宋体" w:hAnsi="宋体" w:cs="宋体"/>
          <w:bCs/>
          <w:color w:val="000000"/>
          <w:sz w:val="24"/>
          <w:highlight w:val="white"/>
        </w:rPr>
        <w:t>后附</w:t>
      </w:r>
      <w:r>
        <w:rPr>
          <w:rFonts w:hint="eastAsia" w:ascii="宋体" w:hAnsi="宋体" w:cs="宋体"/>
          <w:bCs/>
          <w:color w:val="000000"/>
          <w:sz w:val="24"/>
          <w:highlight w:val="white"/>
          <w:lang w:val="zh-CN"/>
        </w:rPr>
        <w:t>本部分要求的证书</w:t>
      </w:r>
      <w:r>
        <w:rPr>
          <w:rFonts w:hint="eastAsia" w:ascii="宋体" w:hAnsi="宋体" w:cs="宋体"/>
          <w:bCs/>
          <w:color w:val="000000"/>
          <w:sz w:val="24"/>
          <w:highlight w:val="white"/>
        </w:rPr>
        <w:t>扫描件</w:t>
      </w:r>
      <w:r>
        <w:rPr>
          <w:rFonts w:hint="eastAsia" w:ascii="宋体" w:hAnsi="宋体" w:cs="宋体"/>
          <w:bCs/>
          <w:color w:val="000000"/>
          <w:sz w:val="24"/>
          <w:highlight w:val="white"/>
          <w:lang w:val="zh-CN"/>
        </w:rPr>
        <w:t>，否则投标无效。</w:t>
      </w:r>
    </w:p>
    <w:p w14:paraId="5C2736AD">
      <w:pPr>
        <w:pStyle w:val="49"/>
        <w:widowControl/>
        <w:spacing w:line="480" w:lineRule="auto"/>
        <w:jc w:val="left"/>
        <w:rPr>
          <w:rFonts w:hint="eastAsia" w:ascii="宋体" w:hAnsi="宋体" w:eastAsia="宋体" w:cs="宋体"/>
          <w:bCs/>
          <w:sz w:val="24"/>
        </w:rPr>
      </w:pPr>
      <w:r>
        <w:rPr>
          <w:rFonts w:hint="eastAsia" w:ascii="宋体" w:hAnsi="宋体" w:cs="宋体"/>
          <w:bCs/>
          <w:color w:val="000000"/>
          <w:kern w:val="0"/>
          <w:sz w:val="24"/>
          <w:highlight w:val="white"/>
        </w:rPr>
        <w:t>（三）采</w:t>
      </w:r>
      <w:r>
        <w:rPr>
          <w:rFonts w:hint="eastAsia" w:ascii="宋体" w:hAnsi="宋体" w:cs="宋体"/>
          <w:bCs/>
          <w:color w:val="000000"/>
          <w:sz w:val="24"/>
          <w:highlight w:val="white"/>
          <w:lang w:val="zh-CN"/>
        </w:rPr>
        <w:t>购标的的强制性产品认证等其他要求：</w:t>
      </w:r>
      <w:r>
        <w:rPr>
          <w:rFonts w:hint="eastAsia" w:ascii="宋体" w:hAnsi="宋体" w:eastAsia="宋体" w:cs="宋体"/>
          <w:bCs/>
          <w:color w:val="000000"/>
          <w:sz w:val="24"/>
          <w:highlight w:val="white"/>
        </w:rPr>
        <w:t>无</w:t>
      </w:r>
    </w:p>
    <w:p w14:paraId="24FD5B5F">
      <w:pPr>
        <w:pStyle w:val="49"/>
        <w:widowControl/>
        <w:spacing w:line="360" w:lineRule="auto"/>
        <w:jc w:val="left"/>
        <w:rPr>
          <w:rFonts w:ascii="宋体" w:hAnsi="宋体" w:cs="宋体"/>
          <w:bCs/>
          <w:sz w:val="24"/>
          <w:lang w:val="zh-CN"/>
        </w:rPr>
      </w:pPr>
      <w:r>
        <w:rPr>
          <w:rFonts w:hint="eastAsia" w:ascii="宋体" w:hAnsi="宋体" w:cs="宋体"/>
          <w:bCs/>
          <w:color w:val="000000"/>
          <w:sz w:val="24"/>
          <w:highlight w:val="white"/>
          <w:lang w:val="zh-CN"/>
        </w:rPr>
        <w:t>注：</w:t>
      </w:r>
      <w:r>
        <w:rPr>
          <w:rFonts w:hint="eastAsia" w:ascii="宋体" w:hAnsi="宋体" w:cs="宋体"/>
          <w:bCs/>
          <w:color w:val="000000"/>
          <w:sz w:val="24"/>
          <w:highlight w:val="white"/>
        </w:rPr>
        <w:t>投标人应在</w:t>
      </w:r>
      <w:r>
        <w:rPr>
          <w:rFonts w:hint="eastAsia" w:ascii="宋体" w:hAnsi="宋体" w:cs="宋体"/>
          <w:bCs/>
          <w:color w:val="000000"/>
          <w:sz w:val="24"/>
          <w:highlight w:val="white"/>
          <w:lang w:val="zh-CN"/>
        </w:rPr>
        <w:t>投标文件《招标文件要求提供或投标人认为需要提供的其他技术资料》中对本部分逐条说明响应和偏离情况，否则投标无效。</w:t>
      </w:r>
    </w:p>
    <w:p w14:paraId="22595729">
      <w:pPr>
        <w:pStyle w:val="49"/>
        <w:widowControl/>
        <w:spacing w:line="480" w:lineRule="auto"/>
        <w:jc w:val="left"/>
        <w:rPr>
          <w:rFonts w:ascii="宋体" w:hAnsi="宋体" w:cs="宋体"/>
          <w:b/>
          <w:kern w:val="0"/>
          <w:sz w:val="24"/>
        </w:rPr>
      </w:pPr>
      <w:r>
        <w:rPr>
          <w:rFonts w:hint="eastAsia" w:ascii="宋体" w:hAnsi="宋体" w:cs="宋体"/>
          <w:b/>
          <w:color w:val="000000"/>
          <w:kern w:val="0"/>
          <w:sz w:val="24"/>
          <w:highlight w:val="white"/>
        </w:rPr>
        <w:t>三、商务要求</w:t>
      </w:r>
    </w:p>
    <w:p w14:paraId="57CFD555">
      <w:pPr>
        <w:pStyle w:val="49"/>
        <w:widowControl/>
        <w:spacing w:line="360" w:lineRule="auto"/>
        <w:jc w:val="left"/>
        <w:rPr>
          <w:rFonts w:ascii="宋体" w:hAnsi="宋体" w:cs="宋体"/>
          <w:bCs/>
          <w:sz w:val="24"/>
          <w:lang w:val="zh-CN"/>
        </w:rPr>
      </w:pPr>
      <w:r>
        <w:rPr>
          <w:rFonts w:hint="eastAsia" w:ascii="宋体" w:hAnsi="宋体" w:cs="宋体"/>
          <w:bCs/>
          <w:color w:val="000000"/>
          <w:sz w:val="24"/>
          <w:highlight w:val="white"/>
          <w:lang w:val="zh-CN"/>
        </w:rPr>
        <w:t>注：</w:t>
      </w:r>
      <w:r>
        <w:rPr>
          <w:rFonts w:hint="eastAsia" w:ascii="宋体" w:hAnsi="宋体" w:cs="宋体"/>
          <w:bCs/>
          <w:color w:val="000000"/>
          <w:sz w:val="24"/>
          <w:highlight w:val="white"/>
        </w:rPr>
        <w:t>1.投标人</w:t>
      </w:r>
      <w:r>
        <w:rPr>
          <w:rFonts w:hint="eastAsia" w:ascii="宋体" w:hAnsi="宋体" w:cs="宋体"/>
          <w:bCs/>
          <w:color w:val="000000"/>
          <w:sz w:val="24"/>
          <w:highlight w:val="white"/>
          <w:lang w:val="zh-CN"/>
        </w:rPr>
        <w:t>应在投标文件《</w:t>
      </w:r>
      <w:r>
        <w:rPr>
          <w:rFonts w:hint="eastAsia" w:ascii="宋体" w:hAnsi="宋体" w:cs="宋体"/>
          <w:bCs/>
          <w:color w:val="000000"/>
          <w:sz w:val="24"/>
          <w:highlight w:val="white"/>
        </w:rPr>
        <w:t>商务条款偏离表</w:t>
      </w:r>
      <w:r>
        <w:rPr>
          <w:rFonts w:hint="eastAsia" w:ascii="宋体" w:hAnsi="宋体" w:cs="宋体"/>
          <w:bCs/>
          <w:color w:val="000000"/>
          <w:sz w:val="24"/>
          <w:highlight w:val="white"/>
          <w:lang w:val="zh-CN"/>
        </w:rPr>
        <w:t>》中对本部分所有条款逐条说明响应和偏离情况，否则投标无效。</w:t>
      </w:r>
    </w:p>
    <w:p w14:paraId="17C00BE8">
      <w:pPr>
        <w:pStyle w:val="49"/>
        <w:widowControl/>
        <w:numPr>
          <w:ilvl w:val="0"/>
          <w:numId w:val="5"/>
        </w:numPr>
        <w:spacing w:line="360" w:lineRule="auto"/>
        <w:ind w:firstLine="480" w:firstLineChars="200"/>
        <w:jc w:val="left"/>
        <w:rPr>
          <w:rFonts w:ascii="宋体" w:hAnsi="宋体" w:cs="宋体"/>
          <w:bCs/>
          <w:sz w:val="24"/>
          <w:lang w:val="zh-CN"/>
        </w:rPr>
      </w:pPr>
      <w:r>
        <w:rPr>
          <w:rFonts w:hint="eastAsia" w:ascii="宋体" w:hAnsi="宋体" w:cs="宋体"/>
          <w:bCs/>
          <w:color w:val="000000"/>
          <w:sz w:val="24"/>
          <w:highlight w:val="white"/>
          <w:lang w:val="zh-CN"/>
        </w:rPr>
        <w:t>本部分内容均为实质性条款，投标人的投标必须完全满足或者正偏离，否则投标无效。</w:t>
      </w:r>
      <w:r>
        <w:rPr>
          <w:rFonts w:hint="eastAsia" w:ascii="宋体" w:hAnsi="宋体" w:cs="宋体"/>
          <w:bCs/>
          <w:color w:val="000000"/>
          <w:sz w:val="24"/>
          <w:highlight w:val="white"/>
          <w:lang w:val="zh-CN"/>
        </w:rPr>
        <w:br w:type="textWrapping"/>
      </w:r>
    </w:p>
    <w:tbl>
      <w:tblPr>
        <w:tblStyle w:val="23"/>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7"/>
        <w:gridCol w:w="2286"/>
        <w:gridCol w:w="6385"/>
      </w:tblGrid>
      <w:tr w14:paraId="26B42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87" w:type="dxa"/>
            <w:vAlign w:val="center"/>
          </w:tcPr>
          <w:p w14:paraId="6253D3FC">
            <w:pPr>
              <w:rPr>
                <w:lang w:val="zh-CN"/>
              </w:rPr>
            </w:pPr>
            <w:r>
              <w:rPr>
                <w:rFonts w:hint="eastAsia"/>
                <w:lang w:val="zh-CN"/>
              </w:rPr>
              <w:t>序号</w:t>
            </w:r>
          </w:p>
        </w:tc>
        <w:tc>
          <w:tcPr>
            <w:tcW w:w="2286" w:type="dxa"/>
            <w:vAlign w:val="center"/>
          </w:tcPr>
          <w:p w14:paraId="7D662C5B">
            <w:pPr>
              <w:rPr>
                <w:lang w:val="zh-CN"/>
              </w:rPr>
            </w:pPr>
            <w:r>
              <w:rPr>
                <w:rFonts w:hint="eastAsia"/>
                <w:lang w:val="zh-CN"/>
              </w:rPr>
              <w:t>商务条款</w:t>
            </w:r>
          </w:p>
        </w:tc>
        <w:tc>
          <w:tcPr>
            <w:tcW w:w="6385" w:type="dxa"/>
            <w:vAlign w:val="center"/>
          </w:tcPr>
          <w:p w14:paraId="00C0F672">
            <w:pPr>
              <w:rPr>
                <w:lang w:val="zh-CN"/>
              </w:rPr>
            </w:pPr>
            <w:r>
              <w:rPr>
                <w:rFonts w:hint="eastAsia"/>
                <w:lang w:val="zh-CN"/>
              </w:rPr>
              <w:t>内容</w:t>
            </w:r>
          </w:p>
        </w:tc>
      </w:tr>
      <w:tr w14:paraId="49CFC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87" w:type="dxa"/>
            <w:vAlign w:val="center"/>
          </w:tcPr>
          <w:p w14:paraId="4A04149D">
            <w:r>
              <w:rPr>
                <w:rFonts w:hint="eastAsia"/>
              </w:rPr>
              <w:t>1</w:t>
            </w:r>
          </w:p>
        </w:tc>
        <w:tc>
          <w:tcPr>
            <w:tcW w:w="2286" w:type="dxa"/>
            <w:vAlign w:val="center"/>
          </w:tcPr>
          <w:p w14:paraId="1A044DDE">
            <w:pPr>
              <w:rPr>
                <w:lang w:val="zh-CN" w:eastAsia="zh-CN"/>
              </w:rPr>
            </w:pPr>
            <w:r>
              <w:rPr>
                <w:rFonts w:hint="eastAsia"/>
                <w:lang w:eastAsia="zh-CN"/>
              </w:rPr>
              <w:t>交付（实施）的时间（期限）</w:t>
            </w:r>
          </w:p>
          <w:p w14:paraId="6284A676">
            <w:pPr>
              <w:rPr>
                <w:lang w:val="zh-CN" w:eastAsia="zh-CN"/>
              </w:rPr>
            </w:pPr>
          </w:p>
        </w:tc>
        <w:tc>
          <w:tcPr>
            <w:tcW w:w="6385" w:type="dxa"/>
            <w:vAlign w:val="center"/>
          </w:tcPr>
          <w:p w14:paraId="7F34888D">
            <w:pPr>
              <w:rPr>
                <w:lang w:val="zh-CN" w:eastAsia="zh-CN"/>
              </w:rPr>
            </w:pPr>
            <w:r>
              <w:rPr>
                <w:rFonts w:hint="eastAsia"/>
                <w:lang w:eastAsia="zh-CN"/>
              </w:rPr>
              <w:t>采购合同签订之日起 90  天内。</w:t>
            </w:r>
          </w:p>
        </w:tc>
      </w:tr>
      <w:tr w14:paraId="35CE5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787" w:type="dxa"/>
            <w:vAlign w:val="center"/>
          </w:tcPr>
          <w:p w14:paraId="0C5AC937">
            <w:r>
              <w:rPr>
                <w:rFonts w:hint="eastAsia"/>
              </w:rPr>
              <w:t>2</w:t>
            </w:r>
          </w:p>
        </w:tc>
        <w:tc>
          <w:tcPr>
            <w:tcW w:w="2286" w:type="dxa"/>
            <w:vAlign w:val="center"/>
          </w:tcPr>
          <w:p w14:paraId="1AB4EC3F">
            <w:pPr>
              <w:rPr>
                <w:lang w:eastAsia="zh-CN"/>
              </w:rPr>
            </w:pPr>
            <w:r>
              <w:rPr>
                <w:rFonts w:hint="eastAsia"/>
                <w:lang w:eastAsia="zh-CN"/>
              </w:rPr>
              <w:t>交付（实施）的地点（范围）</w:t>
            </w:r>
          </w:p>
        </w:tc>
        <w:tc>
          <w:tcPr>
            <w:tcW w:w="6385" w:type="dxa"/>
            <w:vAlign w:val="center"/>
          </w:tcPr>
          <w:p w14:paraId="64C88418">
            <w:pPr>
              <w:rPr>
                <w:lang w:val="zh-CN" w:eastAsia="zh-CN"/>
              </w:rPr>
            </w:pPr>
            <w:r>
              <w:rPr>
                <w:rFonts w:hint="eastAsia"/>
                <w:lang w:eastAsia="zh-CN"/>
              </w:rPr>
              <w:t>长春汽车职业技术</w:t>
            </w:r>
            <w:r>
              <w:rPr>
                <w:rFonts w:hint="eastAsia"/>
                <w:lang w:val="zh-CN" w:eastAsia="zh-CN"/>
              </w:rPr>
              <w:t>大学校内指定位置</w:t>
            </w:r>
          </w:p>
        </w:tc>
      </w:tr>
      <w:tr w14:paraId="5310E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787" w:type="dxa"/>
            <w:vAlign w:val="center"/>
          </w:tcPr>
          <w:p w14:paraId="31FEBA1C">
            <w:r>
              <w:rPr>
                <w:rFonts w:hint="eastAsia"/>
              </w:rPr>
              <w:t>3</w:t>
            </w:r>
          </w:p>
        </w:tc>
        <w:tc>
          <w:tcPr>
            <w:tcW w:w="2286" w:type="dxa"/>
            <w:vAlign w:val="center"/>
          </w:tcPr>
          <w:p w14:paraId="524DEF31">
            <w:pPr>
              <w:rPr>
                <w:lang w:val="zh-CN"/>
              </w:rPr>
            </w:pPr>
            <w:r>
              <w:rPr>
                <w:rFonts w:hint="eastAsia"/>
              </w:rPr>
              <w:t>包装和运输要求</w:t>
            </w:r>
          </w:p>
        </w:tc>
        <w:tc>
          <w:tcPr>
            <w:tcW w:w="6385" w:type="dxa"/>
            <w:vAlign w:val="center"/>
          </w:tcPr>
          <w:p w14:paraId="7E8AB91D">
            <w:pPr>
              <w:rPr>
                <w:lang w:eastAsia="zh-CN"/>
              </w:rPr>
            </w:pPr>
            <w:r>
              <w:rPr>
                <w:rFonts w:hint="eastAsia"/>
                <w:lang w:eastAsia="zh-CN"/>
              </w:rPr>
              <w:t>1.符合《商品包装政府采购需求标准（试行）》和《快递包装政府采购需求标准（试行）》</w:t>
            </w:r>
          </w:p>
          <w:p w14:paraId="3D6E3DFD">
            <w:pPr>
              <w:rPr>
                <w:lang w:eastAsia="zh-CN"/>
              </w:rPr>
            </w:pPr>
            <w:r>
              <w:rPr>
                <w:rFonts w:hint="eastAsia"/>
                <w:lang w:eastAsia="zh-CN"/>
              </w:rPr>
              <w:t>2.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中标人未能在3个工作日内更换符合包装及防护要求的设备，将视同中标人无法履行本合同约定，采购人有权解除合同、要求中标人于3天内退还采购人已支付的本项目相应设备的款项并要求中标人承担由此给采购人造成的一切损失。</w:t>
            </w:r>
          </w:p>
        </w:tc>
      </w:tr>
      <w:tr w14:paraId="4C230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787" w:type="dxa"/>
            <w:vAlign w:val="center"/>
          </w:tcPr>
          <w:p w14:paraId="2EA2A6BC">
            <w:r>
              <w:rPr>
                <w:rFonts w:hint="eastAsia"/>
              </w:rPr>
              <w:t>4</w:t>
            </w:r>
          </w:p>
        </w:tc>
        <w:tc>
          <w:tcPr>
            <w:tcW w:w="2286" w:type="dxa"/>
            <w:vAlign w:val="center"/>
          </w:tcPr>
          <w:p w14:paraId="6A777762">
            <w:pPr>
              <w:rPr>
                <w:lang w:val="zh-CN"/>
              </w:rPr>
            </w:pPr>
            <w:r>
              <w:rPr>
                <w:rFonts w:hint="eastAsia"/>
              </w:rPr>
              <w:t>保险要求</w:t>
            </w:r>
          </w:p>
        </w:tc>
        <w:tc>
          <w:tcPr>
            <w:tcW w:w="6385" w:type="dxa"/>
            <w:vAlign w:val="center"/>
          </w:tcPr>
          <w:p w14:paraId="73E6EC96">
            <w:r>
              <w:rPr>
                <w:rFonts w:hint="eastAsia"/>
              </w:rPr>
              <w:t>无</w:t>
            </w:r>
          </w:p>
        </w:tc>
      </w:tr>
      <w:tr w14:paraId="29FE1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787" w:type="dxa"/>
            <w:vMerge w:val="restart"/>
            <w:vAlign w:val="center"/>
          </w:tcPr>
          <w:p w14:paraId="63DCFA83">
            <w:r>
              <w:rPr>
                <w:rFonts w:hint="eastAsia"/>
              </w:rPr>
              <w:t>5</w:t>
            </w:r>
          </w:p>
        </w:tc>
        <w:tc>
          <w:tcPr>
            <w:tcW w:w="2286" w:type="dxa"/>
            <w:vMerge w:val="restart"/>
            <w:vAlign w:val="center"/>
          </w:tcPr>
          <w:p w14:paraId="009C8526">
            <w:pPr>
              <w:rPr>
                <w:lang w:val="zh-CN" w:eastAsia="zh-CN"/>
              </w:rPr>
            </w:pPr>
            <w:r>
              <w:rPr>
                <w:rFonts w:hint="eastAsia"/>
                <w:lang w:eastAsia="zh-CN"/>
              </w:rPr>
              <w:t>付款条件（进度和方式）</w:t>
            </w:r>
          </w:p>
        </w:tc>
        <w:tc>
          <w:tcPr>
            <w:tcW w:w="6385" w:type="dxa"/>
            <w:vAlign w:val="center"/>
          </w:tcPr>
          <w:p w14:paraId="03659D59">
            <w:pPr>
              <w:rPr>
                <w:lang w:val="zh-CN" w:eastAsia="zh-CN"/>
              </w:rPr>
            </w:pPr>
            <w:r>
              <w:rPr>
                <w:rFonts w:hint="eastAsia"/>
                <w:lang w:eastAsia="zh-CN"/>
              </w:rPr>
              <w:t>中小企业（需执行《保障中小企业款项支付条例》【国务院第728令】的相关规定）：签订合同后10日内预付合同金额的35%，验收合格后60天内支付合同金额的65%。</w:t>
            </w:r>
          </w:p>
        </w:tc>
      </w:tr>
      <w:tr w14:paraId="513A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787" w:type="dxa"/>
            <w:vMerge w:val="continue"/>
            <w:vAlign w:val="center"/>
          </w:tcPr>
          <w:p w14:paraId="2C1CEB35">
            <w:pPr>
              <w:rPr>
                <w:lang w:eastAsia="zh-CN"/>
              </w:rPr>
            </w:pPr>
          </w:p>
        </w:tc>
        <w:tc>
          <w:tcPr>
            <w:tcW w:w="2286" w:type="dxa"/>
            <w:vMerge w:val="continue"/>
            <w:vAlign w:val="center"/>
          </w:tcPr>
          <w:p w14:paraId="515843F3">
            <w:pPr>
              <w:rPr>
                <w:lang w:val="zh-CN" w:eastAsia="zh-CN"/>
              </w:rPr>
            </w:pPr>
          </w:p>
        </w:tc>
        <w:tc>
          <w:tcPr>
            <w:tcW w:w="6385" w:type="dxa"/>
            <w:vAlign w:val="center"/>
          </w:tcPr>
          <w:p w14:paraId="0DFAC319">
            <w:pPr>
              <w:rPr>
                <w:lang w:eastAsia="zh-CN"/>
              </w:rPr>
            </w:pPr>
            <w:r>
              <w:rPr>
                <w:rFonts w:hint="eastAsia"/>
                <w:lang w:eastAsia="zh-CN"/>
              </w:rPr>
              <w:t>非中小企业：签订合同后10日内预付合同金额的30%，验收合格后支付合同金额65%，剩余5%合同金额自项目验收合格之日起1年后经采购人确认所有产品无质量问题一次付清。</w:t>
            </w:r>
          </w:p>
        </w:tc>
      </w:tr>
      <w:tr w14:paraId="506D4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787" w:type="dxa"/>
            <w:vAlign w:val="center"/>
          </w:tcPr>
          <w:p w14:paraId="10B60E10">
            <w:r>
              <w:rPr>
                <w:rFonts w:hint="eastAsia"/>
              </w:rPr>
              <w:t>6</w:t>
            </w:r>
          </w:p>
        </w:tc>
        <w:tc>
          <w:tcPr>
            <w:tcW w:w="2286" w:type="dxa"/>
            <w:vAlign w:val="center"/>
          </w:tcPr>
          <w:p w14:paraId="743E4A7D">
            <w:pPr>
              <w:rPr>
                <w:lang w:val="zh-CN"/>
              </w:rPr>
            </w:pPr>
            <w:r>
              <w:rPr>
                <w:rFonts w:hint="eastAsia"/>
              </w:rPr>
              <w:t>售后服务</w:t>
            </w:r>
          </w:p>
        </w:tc>
        <w:tc>
          <w:tcPr>
            <w:tcW w:w="6385" w:type="dxa"/>
            <w:vAlign w:val="center"/>
          </w:tcPr>
          <w:p w14:paraId="6DF529F0">
            <w:pPr>
              <w:rPr>
                <w:lang w:eastAsia="zh-CN"/>
              </w:rPr>
            </w:pPr>
            <w:r>
              <w:rPr>
                <w:rFonts w:hint="eastAsia"/>
                <w:lang w:eastAsia="zh-CN"/>
              </w:rPr>
              <w:t>1.实施过程中所有</w:t>
            </w:r>
            <w:r>
              <w:rPr>
                <w:rFonts w:hint="eastAsia"/>
                <w:lang w:val="zh-CN" w:eastAsia="zh-CN"/>
              </w:rPr>
              <w:t>设备安装调试、</w:t>
            </w:r>
            <w:r>
              <w:rPr>
                <w:rFonts w:hint="eastAsia"/>
                <w:lang w:eastAsia="zh-CN"/>
              </w:rPr>
              <w:t>提供数据传输所包含线路及通信设备，同时包含原系统的数据迁移及</w:t>
            </w:r>
            <w:r>
              <w:rPr>
                <w:rFonts w:hint="eastAsia"/>
                <w:lang w:val="zh-CN" w:eastAsia="zh-CN"/>
              </w:rPr>
              <w:t>设备拆除服务。</w:t>
            </w:r>
          </w:p>
          <w:p w14:paraId="0BD5465E">
            <w:pPr>
              <w:rPr>
                <w:lang w:eastAsia="zh-CN"/>
              </w:rPr>
            </w:pPr>
            <w:r>
              <w:rPr>
                <w:rFonts w:hint="eastAsia"/>
                <w:lang w:eastAsia="zh-CN"/>
              </w:rPr>
              <w:t>2.提供一名工程师五年驻场服务（包含五年质保期内一卡通设备的更换与维修费用）等；含工程师集成部署、设备硬件安装等。</w:t>
            </w:r>
          </w:p>
          <w:p w14:paraId="4293B7EF">
            <w:pPr>
              <w:rPr>
                <w:lang w:val="zh-CN" w:eastAsia="zh-CN"/>
              </w:rPr>
            </w:pPr>
            <w:r>
              <w:rPr>
                <w:rFonts w:hint="eastAsia"/>
                <w:lang w:eastAsia="zh-CN"/>
              </w:rPr>
              <w:t xml:space="preserve">3. </w:t>
            </w:r>
            <w:r>
              <w:rPr>
                <w:rFonts w:hint="eastAsia"/>
                <w:lang w:val="zh-CN" w:eastAsia="zh-CN"/>
              </w:rPr>
              <w:t>提供运维期</w:t>
            </w:r>
            <w:r>
              <w:rPr>
                <w:rFonts w:hint="eastAsia"/>
                <w:lang w:eastAsia="zh-CN"/>
              </w:rPr>
              <w:t>5年期</w:t>
            </w:r>
            <w:r>
              <w:rPr>
                <w:rFonts w:hint="eastAsia"/>
                <w:lang w:val="zh-CN" w:eastAsia="zh-CN"/>
              </w:rPr>
              <w:t>内</w:t>
            </w:r>
            <w:r>
              <w:rPr>
                <w:rFonts w:hint="eastAsia"/>
                <w:lang w:eastAsia="zh-CN"/>
              </w:rPr>
              <w:t>一卡通用户</w:t>
            </w:r>
            <w:r>
              <w:rPr>
                <w:rFonts w:hint="eastAsia"/>
                <w:lang w:val="zh-CN" w:eastAsia="zh-CN"/>
              </w:rPr>
              <w:t>CPU卡供应，</w:t>
            </w:r>
            <w:r>
              <w:rPr>
                <w:rFonts w:hint="eastAsia"/>
                <w:lang w:eastAsia="zh-CN"/>
              </w:rPr>
              <w:t>包括制卡印刷</w:t>
            </w:r>
            <w:r>
              <w:rPr>
                <w:rFonts w:hint="eastAsia"/>
                <w:lang w:val="zh-CN" w:eastAsia="zh-CN"/>
              </w:rPr>
              <w:t>。</w:t>
            </w:r>
          </w:p>
          <w:p w14:paraId="733FDB81">
            <w:pPr>
              <w:rPr>
                <w:lang w:val="zh-CN" w:eastAsia="zh-CN"/>
              </w:rPr>
            </w:pPr>
            <w:r>
              <w:rPr>
                <w:rFonts w:hint="eastAsia"/>
                <w:lang w:eastAsia="zh-CN"/>
              </w:rPr>
              <w:t xml:space="preserve">（1） </w:t>
            </w:r>
            <w:r>
              <w:rPr>
                <w:rFonts w:hint="eastAsia"/>
                <w:lang w:val="zh-CN" w:eastAsia="zh-CN"/>
              </w:rPr>
              <w:t>13.56MHz 卡内有微处理器CPU、 存储单元 、用户数据存储器以及芯片操作系统 COS。</w:t>
            </w:r>
          </w:p>
          <w:p w14:paraId="68B6F78B">
            <w:pPr>
              <w:rPr>
                <w:lang w:val="zh-CN" w:eastAsia="zh-CN"/>
              </w:rPr>
            </w:pPr>
            <w:r>
              <w:rPr>
                <w:rFonts w:hint="eastAsia"/>
                <w:lang w:eastAsia="zh-CN"/>
              </w:rPr>
              <w:t>（2）</w:t>
            </w:r>
            <w:r>
              <w:rPr>
                <w:rFonts w:hint="eastAsia"/>
                <w:lang w:val="zh-CN" w:eastAsia="zh-CN"/>
              </w:rPr>
              <w:t>8K存储空间，安全级别高，不可复制。</w:t>
            </w:r>
          </w:p>
          <w:p w14:paraId="3CE2F706">
            <w:pPr>
              <w:rPr>
                <w:lang w:eastAsia="zh-CN"/>
              </w:rPr>
            </w:pPr>
            <w:r>
              <w:rPr>
                <w:rFonts w:hint="eastAsia"/>
                <w:lang w:eastAsia="zh-CN"/>
              </w:rPr>
              <w:t>4.服务运维周期为项目验收之日起五年。</w:t>
            </w:r>
          </w:p>
        </w:tc>
      </w:tr>
    </w:tbl>
    <w:p w14:paraId="492EB1F6">
      <w:pPr>
        <w:pStyle w:val="48"/>
        <w:wordWrap w:val="0"/>
        <w:spacing w:before="0" w:beforeAutospacing="0" w:after="2" w:afterAutospacing="0" w:line="480" w:lineRule="auto"/>
        <w:rPr>
          <w:rFonts w:cs="宋体"/>
          <w:bCs/>
        </w:rPr>
      </w:pPr>
      <w:r>
        <w:rPr>
          <w:rFonts w:hint="eastAsia" w:cs="宋体"/>
          <w:bCs/>
          <w:color w:val="000000"/>
          <w:highlight w:val="white"/>
        </w:rPr>
        <w:t>四、合同主要条款</w:t>
      </w:r>
    </w:p>
    <w:tbl>
      <w:tblPr>
        <w:tblStyle w:val="23"/>
        <w:tblW w:w="94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9"/>
        <w:gridCol w:w="2291"/>
        <w:gridCol w:w="6399"/>
      </w:tblGrid>
      <w:tr w14:paraId="1FA69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 w:type="dxa"/>
            <w:vAlign w:val="center"/>
          </w:tcPr>
          <w:p w14:paraId="78BEDD9F">
            <w:r>
              <w:rPr>
                <w:rFonts w:hint="eastAsia"/>
              </w:rPr>
              <w:t>1</w:t>
            </w:r>
          </w:p>
        </w:tc>
        <w:tc>
          <w:tcPr>
            <w:tcW w:w="2291" w:type="dxa"/>
            <w:vAlign w:val="center"/>
          </w:tcPr>
          <w:p w14:paraId="742E4532">
            <w:pPr>
              <w:rPr>
                <w:lang w:val="zh-CN"/>
              </w:rPr>
            </w:pPr>
            <w:r>
              <w:rPr>
                <w:rFonts w:hint="eastAsia"/>
                <w:lang w:val="zh-CN"/>
              </w:rPr>
              <w:t>合同类型及定价方式</w:t>
            </w:r>
          </w:p>
        </w:tc>
        <w:tc>
          <w:tcPr>
            <w:tcW w:w="6399" w:type="dxa"/>
            <w:vAlign w:val="center"/>
          </w:tcPr>
          <w:p w14:paraId="50D3CAD5">
            <w:pPr>
              <w:rPr>
                <w:lang w:eastAsia="zh-CN"/>
              </w:rPr>
            </w:pPr>
            <w:r>
              <w:rPr>
                <w:rFonts w:hint="eastAsia"/>
                <w:lang w:eastAsia="zh-CN"/>
              </w:rPr>
              <w:t>本项目为固定总价合同。</w:t>
            </w:r>
          </w:p>
          <w:p w14:paraId="5CDBB3E2">
            <w:pPr>
              <w:rPr>
                <w:lang w:eastAsia="zh-CN"/>
              </w:rPr>
            </w:pPr>
            <w:r>
              <w:rPr>
                <w:rFonts w:hint="eastAsia"/>
                <w:lang w:eastAsia="zh-CN"/>
              </w:rPr>
              <w:t>说明：供应商的报价应当包含为完成本项目全部工作所需的一切费用，包括成本、利润、税金等。</w:t>
            </w:r>
          </w:p>
        </w:tc>
      </w:tr>
      <w:tr w14:paraId="5061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 w:type="dxa"/>
            <w:vAlign w:val="center"/>
          </w:tcPr>
          <w:p w14:paraId="05E99370">
            <w:r>
              <w:rPr>
                <w:rFonts w:hint="eastAsia"/>
              </w:rPr>
              <w:t>2</w:t>
            </w:r>
          </w:p>
        </w:tc>
        <w:tc>
          <w:tcPr>
            <w:tcW w:w="2291" w:type="dxa"/>
            <w:vAlign w:val="center"/>
          </w:tcPr>
          <w:p w14:paraId="33FDF34D">
            <w:pPr>
              <w:rPr>
                <w:lang w:val="zh-CN"/>
              </w:rPr>
            </w:pPr>
            <w:r>
              <w:rPr>
                <w:rFonts w:hint="eastAsia"/>
              </w:rPr>
              <w:t>履约保证金数额</w:t>
            </w:r>
          </w:p>
        </w:tc>
        <w:tc>
          <w:tcPr>
            <w:tcW w:w="6399" w:type="dxa"/>
            <w:vAlign w:val="center"/>
          </w:tcPr>
          <w:p w14:paraId="1EF676E1">
            <w:pPr>
              <w:rPr>
                <w:lang w:eastAsia="zh-CN"/>
              </w:rPr>
            </w:pPr>
            <w:r>
              <w:rPr>
                <w:rFonts w:hint="eastAsia"/>
                <w:lang w:eastAsia="zh-CN"/>
              </w:rPr>
              <w:t>非中小企业中标的：中标金额的 5 %（0-5%）。</w:t>
            </w:r>
          </w:p>
          <w:p w14:paraId="182325EA">
            <w:pPr>
              <w:rPr>
                <w:lang w:eastAsia="zh-CN"/>
              </w:rPr>
            </w:pPr>
            <w:r>
              <w:rPr>
                <w:rFonts w:hint="eastAsia"/>
                <w:lang w:eastAsia="zh-CN"/>
              </w:rPr>
              <w:t>中小企业中标的：中标金额的 2 %（0-2%）。</w:t>
            </w:r>
          </w:p>
          <w:p w14:paraId="13B6F850">
            <w:pPr>
              <w:rPr>
                <w:lang w:eastAsia="zh-CN"/>
              </w:rPr>
            </w:pPr>
            <w:r>
              <w:rPr>
                <w:rFonts w:hint="eastAsia"/>
                <w:lang w:eastAsia="zh-CN"/>
              </w:rPr>
              <w:t>中标人交纳履约保证金须在转账凭证备注栏里填写（采购项目+采购项目编号）</w:t>
            </w:r>
          </w:p>
          <w:p w14:paraId="6157F4D6">
            <w:pPr>
              <w:rPr>
                <w:lang w:eastAsia="zh-CN"/>
              </w:rPr>
            </w:pPr>
            <w:r>
              <w:rPr>
                <w:rFonts w:hint="eastAsia"/>
                <w:lang w:eastAsia="zh-CN"/>
              </w:rPr>
              <w:t>履约保证金账户：</w:t>
            </w:r>
          </w:p>
          <w:p w14:paraId="52CB41FF">
            <w:pPr>
              <w:rPr>
                <w:lang w:eastAsia="zh-CN"/>
              </w:rPr>
            </w:pPr>
            <w:r>
              <w:rPr>
                <w:rFonts w:hint="eastAsia"/>
                <w:lang w:eastAsia="zh-CN"/>
              </w:rPr>
              <w:t xml:space="preserve">开户名：长春汽车工业高等专科学校 </w:t>
            </w:r>
          </w:p>
          <w:p w14:paraId="3C06D623">
            <w:pPr>
              <w:rPr>
                <w:lang w:eastAsia="zh-CN"/>
              </w:rPr>
            </w:pPr>
            <w:r>
              <w:rPr>
                <w:rFonts w:hint="eastAsia"/>
                <w:lang w:eastAsia="zh-CN"/>
              </w:rPr>
              <w:t xml:space="preserve">账 号：4200222409000034129 </w:t>
            </w:r>
          </w:p>
          <w:p w14:paraId="3E64F0C0">
            <w:pPr>
              <w:rPr>
                <w:lang w:eastAsia="zh-CN"/>
              </w:rPr>
            </w:pPr>
            <w:r>
              <w:rPr>
                <w:rFonts w:hint="eastAsia"/>
                <w:lang w:eastAsia="zh-CN"/>
              </w:rPr>
              <w:t>开户行：工行驻一汽支行</w:t>
            </w:r>
          </w:p>
        </w:tc>
      </w:tr>
      <w:tr w14:paraId="4F77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 w:type="dxa"/>
            <w:vAlign w:val="center"/>
          </w:tcPr>
          <w:p w14:paraId="1EB01DBB">
            <w:r>
              <w:rPr>
                <w:rFonts w:hint="eastAsia"/>
              </w:rPr>
              <w:t>3</w:t>
            </w:r>
          </w:p>
        </w:tc>
        <w:tc>
          <w:tcPr>
            <w:tcW w:w="2291" w:type="dxa"/>
            <w:vAlign w:val="center"/>
          </w:tcPr>
          <w:p w14:paraId="6369827F">
            <w:pPr>
              <w:rPr>
                <w:lang w:val="zh-CN" w:eastAsia="zh-CN"/>
              </w:rPr>
            </w:pPr>
            <w:r>
              <w:rPr>
                <w:rFonts w:hint="eastAsia"/>
                <w:lang w:eastAsia="zh-CN"/>
              </w:rPr>
              <w:t>知识产权的归属和处理方式</w:t>
            </w:r>
          </w:p>
        </w:tc>
        <w:tc>
          <w:tcPr>
            <w:tcW w:w="6399" w:type="dxa"/>
            <w:vAlign w:val="center"/>
          </w:tcPr>
          <w:p w14:paraId="08DE3A44">
            <w:pPr>
              <w:rPr>
                <w:lang w:eastAsia="zh-CN"/>
              </w:rPr>
            </w:pPr>
            <w:r>
              <w:rPr>
                <w:rFonts w:hint="eastAsia"/>
                <w:lang w:eastAsia="zh-CN"/>
              </w:rPr>
              <w:t>1.中标供应商需保证本项目所提供的货物没有侵犯任何第三方的知识产权、技术秘密等合法权利, 采购人、中标供应商双方在本项目之前各自所获得的知识产权及相应权益均归各自所有，不因共同执行本项目而改变。</w:t>
            </w:r>
          </w:p>
          <w:p w14:paraId="516D9378">
            <w:pPr>
              <w:rPr>
                <w:lang w:eastAsia="zh-CN"/>
              </w:rPr>
            </w:pPr>
            <w:r>
              <w:rPr>
                <w:rFonts w:hint="eastAsia"/>
                <w:lang w:eastAsia="zh-CN"/>
              </w:rPr>
              <w:t>2.在本项目执行过程中，供应商与采购人双方共同完成的科技成果由采购人、中标供应商形成的知识产权、技术秘密、荣誉等归双方共同享有。知识产权纠纷可以调解，也可以根据当事人达成的书面仲裁协议或者知识产权协议的仲裁条款，向仲裁机构申请仲裁。</w:t>
            </w:r>
          </w:p>
        </w:tc>
      </w:tr>
      <w:tr w14:paraId="44C49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 w:type="dxa"/>
            <w:vAlign w:val="center"/>
          </w:tcPr>
          <w:p w14:paraId="1295E33F">
            <w:r>
              <w:rPr>
                <w:rFonts w:hint="eastAsia"/>
              </w:rPr>
              <w:t>4</w:t>
            </w:r>
          </w:p>
        </w:tc>
        <w:tc>
          <w:tcPr>
            <w:tcW w:w="2291" w:type="dxa"/>
            <w:vAlign w:val="center"/>
          </w:tcPr>
          <w:p w14:paraId="7EDBBEC7">
            <w:pPr>
              <w:rPr>
                <w:lang w:val="zh-CN"/>
              </w:rPr>
            </w:pPr>
            <w:r>
              <w:rPr>
                <w:rFonts w:hint="eastAsia"/>
                <w:lang w:val="zh-CN"/>
              </w:rPr>
              <w:t>履约验收要求</w:t>
            </w:r>
          </w:p>
        </w:tc>
        <w:tc>
          <w:tcPr>
            <w:tcW w:w="6399" w:type="dxa"/>
            <w:vAlign w:val="center"/>
          </w:tcPr>
          <w:p w14:paraId="7F2B7470">
            <w:pPr>
              <w:rPr>
                <w:lang w:eastAsia="zh-CN"/>
              </w:rPr>
            </w:pPr>
            <w:r>
              <w:rPr>
                <w:rFonts w:hint="eastAsia"/>
                <w:lang w:eastAsia="zh-CN"/>
              </w:rPr>
              <w:t xml:space="preserve"> 1.产品验收：投标人提供的产品必须逐条检验技术参数，产品经过安装调试，性能符合使用要求，如经鉴定不符合要求，采购人将拒收投标人的所有货物，一切费用投标人负担。为确保产品的质量和售后服务，中标人在验收前必须提供全部产品及完整的技术资料；产品符合招标文件技术规格书的要求，产品已安装和调试到位并能正常使用。 AP1、 AP2、 AP3及POE交换机提供测试服务，不影响现有网络系统业务的正常运行，部署前需提供产品给甲方测试，测试期为5个工作日，测试结果与投标书中的应答一致时，且能够满足用户的实际需求，方为测试通过；测试结果与投标书中的应答不一致时，测试未通过，视作虚假应标。</w:t>
            </w:r>
          </w:p>
          <w:p w14:paraId="16E6EA81">
            <w:pPr>
              <w:rPr>
                <w:lang w:eastAsia="zh-CN"/>
              </w:rPr>
            </w:pPr>
            <w:r>
              <w:rPr>
                <w:rFonts w:hint="eastAsia"/>
                <w:lang w:eastAsia="zh-CN"/>
              </w:rPr>
              <w:t>2.货物按照采购人同意的时间和方式运抵现场并完成安装调试后，采购人一般应在30日内完成验收，并在验收单上签字。如果“合同专用条款”对验收时间和方式另有约定的，按照专用条款执行。</w:t>
            </w:r>
          </w:p>
          <w:p w14:paraId="2C272F62">
            <w:pPr>
              <w:rPr>
                <w:lang w:eastAsia="zh-CN"/>
              </w:rPr>
            </w:pPr>
            <w:r>
              <w:rPr>
                <w:rFonts w:hint="eastAsia"/>
                <w:lang w:eastAsia="zh-CN"/>
              </w:rPr>
              <w:t>3.如果任何被检验或测试的货物不能满足规格的要求,采购人可以拒绝接受该货物,供应商应无条件更换被拒绝的货物,如果采购人同意，供应商也可以免费进行必要的修改以满足规格的要求。</w:t>
            </w:r>
          </w:p>
          <w:p w14:paraId="762DBA2F">
            <w:pPr>
              <w:rPr>
                <w:lang w:eastAsia="zh-CN"/>
              </w:rPr>
            </w:pPr>
            <w:r>
              <w:rPr>
                <w:rFonts w:hint="eastAsia"/>
                <w:lang w:eastAsia="zh-CN"/>
              </w:rPr>
              <w:t>4.采购人在验收材料上签字是对外观、数量和试运行符合要求的确认，不作为采购人认可供应商所供货物设备质量合格的依据，如供应商所供货物在质保期或合理使用期限内出现质量问题，供应商应无条件修复或更换。</w:t>
            </w:r>
          </w:p>
          <w:p w14:paraId="579AA1E0">
            <w:pPr>
              <w:rPr>
                <w:lang w:eastAsia="zh-CN"/>
              </w:rPr>
            </w:pPr>
            <w:r>
              <w:rPr>
                <w:rFonts w:hint="eastAsia"/>
                <w:lang w:eastAsia="zh-CN"/>
              </w:rPr>
              <w:t>5.中标供应商需提供（包括：作为本项目评分细则评分依据的，中标供应商投标文件中需要提供的，由具有检测资质的第三方检测机构出具的所有检测报告、软件功能截图、相关认证证书、业绩等证明文件）的原件，在合同履约前供采购人备查。</w:t>
            </w:r>
          </w:p>
        </w:tc>
      </w:tr>
      <w:tr w14:paraId="2A4F8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 w:type="dxa"/>
            <w:vAlign w:val="center"/>
          </w:tcPr>
          <w:p w14:paraId="1EE9D3DB">
            <w:r>
              <w:rPr>
                <w:rFonts w:hint="eastAsia"/>
              </w:rPr>
              <w:t>5</w:t>
            </w:r>
          </w:p>
        </w:tc>
        <w:tc>
          <w:tcPr>
            <w:tcW w:w="2291" w:type="dxa"/>
            <w:vAlign w:val="center"/>
          </w:tcPr>
          <w:p w14:paraId="3B17DA06">
            <w:pPr>
              <w:rPr>
                <w:lang w:val="zh-CN" w:eastAsia="zh-CN"/>
              </w:rPr>
            </w:pPr>
            <w:r>
              <w:rPr>
                <w:rFonts w:hint="eastAsia"/>
                <w:lang w:val="zh-CN" w:eastAsia="zh-CN"/>
              </w:rPr>
              <w:t>违约责任与解决争议的方法</w:t>
            </w:r>
          </w:p>
        </w:tc>
        <w:tc>
          <w:tcPr>
            <w:tcW w:w="6399" w:type="dxa"/>
            <w:vAlign w:val="center"/>
          </w:tcPr>
          <w:p w14:paraId="0A392CF6">
            <w:pPr>
              <w:rPr>
                <w:lang w:eastAsia="zh-CN"/>
              </w:rPr>
            </w:pPr>
            <w:r>
              <w:rPr>
                <w:rFonts w:hint="eastAsia"/>
                <w:lang w:eastAsia="zh-CN"/>
              </w:rPr>
              <w:t>1.经验收，由于供应商责任，合同货物的主要技术参数不能够满足合同附件规定的保证值（或技术参数）时，供应商应按专用条款的规定向采购人支付违约金，专用条款中如未对质量等问题的违约责任进行约定的，供应商提供货物存在质量问题的，可视为供应商未能在约定期限内交付合格货物，双方按照约定承担违约责任。</w:t>
            </w:r>
          </w:p>
          <w:p w14:paraId="58F703C2">
            <w:pPr>
              <w:rPr>
                <w:lang w:eastAsia="zh-CN"/>
              </w:rPr>
            </w:pPr>
            <w:r>
              <w:rPr>
                <w:rFonts w:hint="eastAsia"/>
                <w:lang w:eastAsia="zh-CN"/>
              </w:rPr>
              <w:t>2.采购人对合同货物进行抽检，发现合同货物不符合合同要求，供应商未能在采购人限定的时间内通过整改使其符合合同要求，或者采购人扩大范围抽检的结果表明合同货物仍不符合要求的，采购人有权要求更换此货物或解除合同，由此引起的一切后果由供应商承担。</w:t>
            </w:r>
          </w:p>
          <w:p w14:paraId="3E18DD78">
            <w:pPr>
              <w:rPr>
                <w:lang w:eastAsia="zh-CN"/>
              </w:rPr>
            </w:pPr>
            <w:r>
              <w:rPr>
                <w:rFonts w:hint="eastAsia"/>
                <w:lang w:eastAsia="zh-CN"/>
              </w:rPr>
              <w:t>3.如果在出厂试验时合同货物未满足合同规定的保证值，且供应商在发现不合格之日起2个月内（含本数）未能通过整改使合同货物满足保证值，采购人有权要求更换此货物或解除合同，由此引起的一切后果由供应商承担。</w:t>
            </w:r>
          </w:p>
          <w:p w14:paraId="3E71C348">
            <w:pPr>
              <w:rPr>
                <w:lang w:eastAsia="zh-CN"/>
              </w:rPr>
            </w:pPr>
            <w:r>
              <w:rPr>
                <w:rFonts w:hint="eastAsia"/>
                <w:lang w:eastAsia="zh-CN"/>
              </w:rPr>
              <w:t>4.合同实施或与合同有关的一切争端应通过双方友好解决。如自协商开始之日起15日内得不到解决，双方应将争端提交同级政府采购监督管理部门调解。调解不成的，可申请采购人所在地法院诉讼解决。</w:t>
            </w:r>
          </w:p>
        </w:tc>
      </w:tr>
    </w:tbl>
    <w:p w14:paraId="5AF5AB78">
      <w:pPr>
        <w:rPr>
          <w:rFonts w:hint="eastAsia" w:ascii="宋体" w:hAnsi="宋体" w:cs="宋体"/>
          <w:color w:val="auto"/>
          <w:lang w:eastAsia="zh-CN"/>
        </w:rPr>
        <w:sectPr>
          <w:pgSz w:w="11906" w:h="16839"/>
          <w:pgMar w:top="1309" w:right="660" w:bottom="0" w:left="1658" w:header="0" w:footer="737" w:gutter="0"/>
          <w:pgBorders>
            <w:top w:val="none" w:sz="0" w:space="0"/>
            <w:left w:val="none" w:sz="0" w:space="0"/>
            <w:bottom w:val="none" w:sz="0" w:space="0"/>
            <w:right w:val="none" w:sz="0" w:space="0"/>
          </w:pgBorders>
          <w:pgNumType w:fmt="decimal"/>
          <w:cols w:space="720" w:num="1"/>
        </w:sectPr>
      </w:pPr>
    </w:p>
    <w:p w14:paraId="39C5F17A">
      <w:pPr>
        <w:pStyle w:val="2"/>
        <w:rPr>
          <w:rFonts w:hint="eastAsia" w:ascii="宋体" w:hAnsi="宋体" w:cs="宋体"/>
          <w:color w:val="auto"/>
          <w:lang w:eastAsia="zh-CN"/>
        </w:rPr>
      </w:pPr>
      <w:bookmarkStart w:id="46" w:name="bookmark5"/>
      <w:bookmarkEnd w:id="46"/>
      <w:bookmarkStart w:id="47" w:name="_Toc11620"/>
      <w:r>
        <w:rPr>
          <w:rFonts w:hint="eastAsia" w:ascii="宋体" w:hAnsi="宋体" w:cs="宋体"/>
          <w:color w:val="auto"/>
          <w:lang w:eastAsia="zh-CN"/>
        </w:rPr>
        <w:t>第五部分合同条款</w:t>
      </w:r>
      <w:bookmarkEnd w:id="47"/>
    </w:p>
    <w:p w14:paraId="14E87DEE">
      <w:pPr>
        <w:pStyle w:val="8"/>
        <w:spacing w:line="301" w:lineRule="auto"/>
        <w:rPr>
          <w:rFonts w:hint="eastAsia" w:ascii="宋体" w:hAnsi="宋体" w:eastAsia="宋体" w:cs="宋体"/>
          <w:color w:val="auto"/>
          <w:lang w:eastAsia="zh-CN"/>
        </w:rPr>
      </w:pPr>
    </w:p>
    <w:p w14:paraId="05C6CE27">
      <w:pPr>
        <w:spacing w:line="271" w:lineRule="auto"/>
        <w:rPr>
          <w:color w:val="auto"/>
          <w:lang w:eastAsia="zh-CN"/>
        </w:rPr>
      </w:pPr>
      <w:r>
        <w:rPr>
          <w:rFonts w:hint="eastAsia" w:ascii="宋体" w:hAnsi="宋体" w:cs="宋体"/>
          <w:b/>
          <w:bCs/>
          <w:color w:val="auto"/>
          <w:sz w:val="28"/>
          <w:szCs w:val="28"/>
          <w:lang w:eastAsia="zh-CN"/>
        </w:rPr>
        <w:t>注：本合同条款仅供参考，最终以甲方提供的样本并经甲乙双方协商一致的合同为准。</w:t>
      </w:r>
    </w:p>
    <w:p w14:paraId="018319FA">
      <w:pPr>
        <w:spacing w:line="271" w:lineRule="auto"/>
        <w:rPr>
          <w:rFonts w:hint="eastAsia" w:ascii="宋体" w:hAnsi="宋体" w:cs="宋体"/>
          <w:b/>
          <w:bCs/>
          <w:color w:val="auto"/>
          <w:sz w:val="28"/>
          <w:szCs w:val="28"/>
          <w:lang w:eastAsia="zh-CN"/>
        </w:rPr>
      </w:pPr>
    </w:p>
    <w:p w14:paraId="37E279BD">
      <w:pPr>
        <w:spacing w:before="221" w:line="229" w:lineRule="auto"/>
        <w:ind w:left="6"/>
        <w:rPr>
          <w:rFonts w:hint="eastAsia" w:ascii="宋体" w:hAnsi="宋体" w:cs="宋体"/>
          <w:color w:val="auto"/>
          <w:sz w:val="20"/>
          <w:szCs w:val="20"/>
          <w:lang w:eastAsia="zh-CN"/>
        </w:rPr>
      </w:pPr>
    </w:p>
    <w:p w14:paraId="5BA553FF">
      <w:pPr>
        <w:spacing w:line="229" w:lineRule="auto"/>
        <w:rPr>
          <w:rFonts w:hint="eastAsia" w:ascii="宋体" w:hAnsi="宋体" w:cs="宋体"/>
          <w:color w:val="auto"/>
          <w:sz w:val="20"/>
          <w:szCs w:val="20"/>
          <w:lang w:eastAsia="zh-CN"/>
        </w:rPr>
      </w:pPr>
    </w:p>
    <w:p w14:paraId="0C9D78E6">
      <w:pPr>
        <w:spacing w:line="229" w:lineRule="auto"/>
        <w:rPr>
          <w:rFonts w:hint="eastAsia" w:ascii="宋体" w:hAnsi="宋体" w:cs="宋体"/>
          <w:color w:val="auto"/>
          <w:sz w:val="20"/>
          <w:szCs w:val="20"/>
          <w:lang w:eastAsia="zh-CN"/>
        </w:rPr>
      </w:pPr>
    </w:p>
    <w:p w14:paraId="256BA405">
      <w:pPr>
        <w:spacing w:line="229" w:lineRule="auto"/>
        <w:rPr>
          <w:rFonts w:hint="eastAsia" w:ascii="宋体" w:hAnsi="宋体" w:cs="宋体"/>
          <w:color w:val="auto"/>
          <w:sz w:val="20"/>
          <w:szCs w:val="20"/>
          <w:lang w:eastAsia="zh-CN"/>
        </w:rPr>
      </w:pPr>
    </w:p>
    <w:p w14:paraId="28939979">
      <w:pPr>
        <w:spacing w:line="229" w:lineRule="auto"/>
        <w:rPr>
          <w:rFonts w:hint="eastAsia" w:ascii="宋体" w:hAnsi="宋体" w:cs="宋体"/>
          <w:color w:val="auto"/>
          <w:sz w:val="20"/>
          <w:szCs w:val="20"/>
          <w:lang w:eastAsia="zh-CN"/>
        </w:rPr>
      </w:pPr>
    </w:p>
    <w:p w14:paraId="31FD9D2E">
      <w:pPr>
        <w:spacing w:line="229" w:lineRule="auto"/>
        <w:rPr>
          <w:rFonts w:hint="eastAsia" w:ascii="宋体" w:hAnsi="宋体" w:cs="宋体"/>
          <w:color w:val="auto"/>
          <w:sz w:val="20"/>
          <w:szCs w:val="20"/>
          <w:lang w:eastAsia="zh-CN"/>
        </w:rPr>
      </w:pPr>
    </w:p>
    <w:p w14:paraId="68A9155C">
      <w:pPr>
        <w:spacing w:line="229" w:lineRule="auto"/>
        <w:rPr>
          <w:rFonts w:hint="eastAsia" w:ascii="宋体" w:hAnsi="宋体" w:cs="宋体"/>
          <w:color w:val="auto"/>
          <w:sz w:val="20"/>
          <w:szCs w:val="20"/>
          <w:lang w:eastAsia="zh-CN"/>
        </w:rPr>
      </w:pPr>
    </w:p>
    <w:p w14:paraId="57A7A3AE">
      <w:pPr>
        <w:spacing w:line="229" w:lineRule="auto"/>
        <w:rPr>
          <w:rFonts w:hint="eastAsia" w:ascii="宋体" w:hAnsi="宋体" w:cs="宋体"/>
          <w:color w:val="auto"/>
          <w:sz w:val="20"/>
          <w:szCs w:val="20"/>
          <w:lang w:eastAsia="zh-CN"/>
        </w:rPr>
      </w:pPr>
    </w:p>
    <w:p w14:paraId="2031B812">
      <w:pPr>
        <w:spacing w:line="229" w:lineRule="auto"/>
        <w:rPr>
          <w:rFonts w:hint="eastAsia" w:ascii="宋体" w:hAnsi="宋体" w:cs="宋体"/>
          <w:color w:val="auto"/>
          <w:sz w:val="20"/>
          <w:szCs w:val="20"/>
          <w:lang w:eastAsia="zh-CN"/>
        </w:rPr>
      </w:pPr>
    </w:p>
    <w:p w14:paraId="32809AEC">
      <w:pPr>
        <w:spacing w:line="229" w:lineRule="auto"/>
        <w:rPr>
          <w:rFonts w:hint="eastAsia" w:ascii="宋体" w:hAnsi="宋体" w:cs="宋体"/>
          <w:color w:val="auto"/>
          <w:sz w:val="20"/>
          <w:szCs w:val="20"/>
          <w:lang w:eastAsia="zh-CN"/>
        </w:rPr>
        <w:sectPr>
          <w:pgSz w:w="11906" w:h="16839"/>
          <w:pgMar w:top="1392" w:right="1785" w:bottom="1395" w:left="1785" w:header="0" w:footer="737" w:gutter="0"/>
          <w:pgBorders>
            <w:top w:val="none" w:sz="0" w:space="0"/>
            <w:left w:val="none" w:sz="0" w:space="0"/>
            <w:bottom w:val="none" w:sz="0" w:space="0"/>
            <w:right w:val="none" w:sz="0" w:space="0"/>
          </w:pgBorders>
          <w:pgNumType w:fmt="decimal"/>
          <w:cols w:space="720" w:num="1"/>
        </w:sectPr>
      </w:pPr>
    </w:p>
    <w:p w14:paraId="6438CD88">
      <w:pPr>
        <w:pStyle w:val="8"/>
        <w:jc w:val="center"/>
        <w:rPr>
          <w:rFonts w:ascii="宋体" w:hAnsi="宋体" w:cs="宋体"/>
          <w:b/>
          <w:bCs/>
          <w:spacing w:val="-20"/>
          <w:kern w:val="44"/>
          <w:sz w:val="48"/>
          <w:szCs w:val="48"/>
          <w:lang w:eastAsia="zh-CN"/>
        </w:rPr>
      </w:pPr>
      <w:bookmarkStart w:id="48" w:name="_Toc3995"/>
    </w:p>
    <w:p w14:paraId="4E4E964C">
      <w:pPr>
        <w:pStyle w:val="8"/>
        <w:jc w:val="center"/>
        <w:rPr>
          <w:rFonts w:ascii="宋体" w:hAnsi="宋体" w:cs="宋体"/>
          <w:b/>
          <w:bCs/>
          <w:spacing w:val="-20"/>
          <w:kern w:val="44"/>
          <w:sz w:val="48"/>
          <w:szCs w:val="48"/>
          <w:lang w:eastAsia="zh-CN"/>
        </w:rPr>
      </w:pPr>
    </w:p>
    <w:p w14:paraId="12FC308C">
      <w:pPr>
        <w:pStyle w:val="8"/>
        <w:jc w:val="center"/>
        <w:rPr>
          <w:rFonts w:ascii="宋体" w:hAnsi="宋体" w:cs="宋体"/>
          <w:b/>
          <w:bCs/>
          <w:spacing w:val="-20"/>
          <w:kern w:val="44"/>
          <w:sz w:val="48"/>
          <w:szCs w:val="48"/>
          <w:lang w:eastAsia="zh-CN"/>
        </w:rPr>
      </w:pPr>
    </w:p>
    <w:p w14:paraId="594F5AC3">
      <w:pPr>
        <w:pStyle w:val="8"/>
        <w:jc w:val="center"/>
        <w:rPr>
          <w:rFonts w:ascii="宋体" w:hAnsi="宋体" w:cs="宋体"/>
          <w:b/>
          <w:bCs/>
          <w:spacing w:val="-20"/>
          <w:kern w:val="44"/>
          <w:sz w:val="48"/>
          <w:szCs w:val="48"/>
          <w:lang w:eastAsia="zh-CN"/>
        </w:rPr>
      </w:pPr>
    </w:p>
    <w:p w14:paraId="106143D6">
      <w:pPr>
        <w:pStyle w:val="8"/>
        <w:jc w:val="center"/>
        <w:rPr>
          <w:rFonts w:ascii="宋体" w:hAnsi="宋体" w:cs="宋体"/>
          <w:b/>
          <w:bCs/>
          <w:spacing w:val="-20"/>
          <w:kern w:val="44"/>
          <w:sz w:val="48"/>
          <w:szCs w:val="48"/>
          <w:lang w:eastAsia="zh-CN"/>
        </w:rPr>
      </w:pPr>
    </w:p>
    <w:p w14:paraId="292F472A">
      <w:pPr>
        <w:pStyle w:val="8"/>
        <w:jc w:val="center"/>
        <w:rPr>
          <w:rFonts w:ascii="宋体" w:hAnsi="宋体" w:cs="宋体"/>
          <w:b/>
          <w:bCs/>
          <w:spacing w:val="-20"/>
          <w:kern w:val="44"/>
          <w:sz w:val="48"/>
          <w:szCs w:val="48"/>
          <w:lang w:eastAsia="zh-CN"/>
        </w:rPr>
      </w:pPr>
      <w:r>
        <w:rPr>
          <w:rFonts w:hint="eastAsia" w:ascii="宋体" w:hAnsi="宋体" w:cs="宋体"/>
          <w:b/>
          <w:bCs/>
          <w:spacing w:val="-20"/>
          <w:kern w:val="44"/>
          <w:sz w:val="48"/>
          <w:szCs w:val="48"/>
          <w:lang w:eastAsia="zh-CN"/>
        </w:rPr>
        <w:t>政府采购货物买卖合同</w:t>
      </w:r>
    </w:p>
    <w:p w14:paraId="6FEA40C8">
      <w:pPr>
        <w:pStyle w:val="8"/>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A9FD431">
      <w:pPr>
        <w:rPr>
          <w:rFonts w:hint="eastAsia" w:ascii="宋体" w:hAnsi="宋体" w:cs="宋体"/>
          <w:b/>
          <w:bCs/>
          <w:spacing w:val="-20"/>
          <w:kern w:val="44"/>
          <w:sz w:val="40"/>
          <w:szCs w:val="40"/>
          <w:lang w:eastAsia="zh-CN"/>
        </w:rPr>
      </w:pPr>
    </w:p>
    <w:p w14:paraId="012F172E">
      <w:pPr>
        <w:rPr>
          <w:rFonts w:hint="eastAsia" w:ascii="宋体" w:hAnsi="宋体" w:cs="宋体"/>
          <w:b/>
          <w:bCs/>
          <w:spacing w:val="-20"/>
          <w:kern w:val="44"/>
          <w:sz w:val="40"/>
          <w:szCs w:val="40"/>
          <w:lang w:eastAsia="zh-CN"/>
        </w:rPr>
      </w:pPr>
    </w:p>
    <w:p w14:paraId="2AEEE095">
      <w:pPr>
        <w:rPr>
          <w:rFonts w:hint="eastAsia" w:ascii="宋体" w:hAnsi="宋体" w:cs="宋体"/>
          <w:b/>
          <w:bCs/>
          <w:spacing w:val="-20"/>
          <w:kern w:val="44"/>
          <w:sz w:val="40"/>
          <w:szCs w:val="40"/>
          <w:lang w:eastAsia="zh-CN"/>
        </w:rPr>
      </w:pPr>
    </w:p>
    <w:p w14:paraId="1063AB44">
      <w:pPr>
        <w:spacing w:line="360" w:lineRule="auto"/>
        <w:ind w:left="420" w:leftChars="200"/>
        <w:rPr>
          <w:sz w:val="32"/>
          <w:szCs w:val="32"/>
          <w:lang w:eastAsia="zh-CN"/>
        </w:rPr>
      </w:pPr>
      <w:r>
        <w:rPr>
          <w:rFonts w:hint="eastAsia" w:ascii="宋体" w:hAnsi="宋体" w:cs="宋体"/>
          <w:sz w:val="32"/>
          <w:szCs w:val="32"/>
          <w:lang w:eastAsia="zh-CN"/>
        </w:rPr>
        <w:t>项目名称：</w:t>
      </w:r>
      <w:r>
        <w:rPr>
          <w:rFonts w:hint="eastAsia"/>
          <w:sz w:val="32"/>
          <w:szCs w:val="32"/>
          <w:u w:val="single"/>
          <w:lang w:eastAsia="zh-CN"/>
        </w:rPr>
        <w:t xml:space="preserve">                             </w:t>
      </w:r>
    </w:p>
    <w:p w14:paraId="30A6893B">
      <w:pPr>
        <w:spacing w:line="360" w:lineRule="auto"/>
        <w:ind w:left="420" w:leftChars="200"/>
        <w:rPr>
          <w:sz w:val="32"/>
          <w:szCs w:val="32"/>
          <w:u w:val="single"/>
          <w:lang w:eastAsia="zh-CN"/>
        </w:rPr>
      </w:pPr>
      <w:r>
        <w:rPr>
          <w:rFonts w:hint="eastAsia"/>
          <w:sz w:val="32"/>
          <w:szCs w:val="32"/>
          <w:lang w:eastAsia="zh-CN"/>
        </w:rPr>
        <w:t>合同编号：</w:t>
      </w:r>
      <w:r>
        <w:rPr>
          <w:rFonts w:hint="eastAsia"/>
          <w:sz w:val="32"/>
          <w:szCs w:val="32"/>
          <w:u w:val="single"/>
          <w:lang w:eastAsia="zh-CN"/>
        </w:rPr>
        <w:t xml:space="preserve">                             </w:t>
      </w:r>
    </w:p>
    <w:p w14:paraId="1F445FC5">
      <w:pPr>
        <w:spacing w:line="360" w:lineRule="auto"/>
        <w:ind w:left="420" w:leftChars="200"/>
        <w:rPr>
          <w:sz w:val="32"/>
          <w:szCs w:val="32"/>
          <w:lang w:eastAsia="zh-CN"/>
        </w:rPr>
      </w:pPr>
      <w:r>
        <w:rPr>
          <w:rFonts w:hint="eastAsia"/>
          <w:sz w:val="32"/>
          <w:szCs w:val="32"/>
          <w:lang w:eastAsia="zh-CN"/>
        </w:rPr>
        <w:t>甲    方：</w:t>
      </w:r>
      <w:r>
        <w:rPr>
          <w:rFonts w:hint="eastAsia"/>
          <w:sz w:val="32"/>
          <w:szCs w:val="32"/>
          <w:u w:val="single"/>
          <w:lang w:eastAsia="zh-CN"/>
        </w:rPr>
        <w:t xml:space="preserve">                             </w:t>
      </w:r>
    </w:p>
    <w:p w14:paraId="60BBE8AD">
      <w:pPr>
        <w:spacing w:line="360" w:lineRule="auto"/>
        <w:ind w:left="420" w:leftChars="200"/>
        <w:rPr>
          <w:sz w:val="32"/>
          <w:szCs w:val="32"/>
          <w:u w:val="single"/>
          <w:lang w:eastAsia="zh-CN"/>
        </w:rPr>
      </w:pPr>
      <w:r>
        <w:rPr>
          <w:rFonts w:hint="eastAsia"/>
          <w:sz w:val="32"/>
          <w:szCs w:val="32"/>
          <w:lang w:eastAsia="zh-CN"/>
        </w:rPr>
        <w:t>乙    方：</w:t>
      </w:r>
      <w:r>
        <w:rPr>
          <w:rFonts w:hint="eastAsia"/>
          <w:sz w:val="32"/>
          <w:szCs w:val="32"/>
          <w:u w:val="single"/>
          <w:lang w:eastAsia="zh-CN"/>
        </w:rPr>
        <w:t xml:space="preserve">                             </w:t>
      </w:r>
    </w:p>
    <w:p w14:paraId="70593F9B">
      <w:pPr>
        <w:spacing w:line="360" w:lineRule="auto"/>
        <w:ind w:left="420" w:leftChars="200"/>
        <w:rPr>
          <w:sz w:val="32"/>
          <w:szCs w:val="32"/>
          <w:lang w:eastAsia="zh-CN"/>
        </w:rPr>
      </w:pPr>
      <w:r>
        <w:rPr>
          <w:rFonts w:hint="eastAsia"/>
          <w:sz w:val="32"/>
          <w:szCs w:val="32"/>
          <w:lang w:eastAsia="zh-CN"/>
        </w:rPr>
        <w:t>签订时间：</w:t>
      </w:r>
      <w:r>
        <w:rPr>
          <w:rFonts w:hint="eastAsia"/>
          <w:sz w:val="32"/>
          <w:szCs w:val="32"/>
          <w:u w:val="single"/>
          <w:lang w:eastAsia="zh-CN"/>
        </w:rPr>
        <w:t xml:space="preserve">      </w:t>
      </w:r>
      <w:r>
        <w:rPr>
          <w:sz w:val="32"/>
          <w:szCs w:val="32"/>
          <w:u w:val="single"/>
          <w:lang w:eastAsia="zh-CN"/>
        </w:rPr>
        <w:t xml:space="preserve">           </w:t>
      </w:r>
      <w:r>
        <w:rPr>
          <w:rFonts w:hint="eastAsia"/>
          <w:sz w:val="32"/>
          <w:szCs w:val="32"/>
          <w:u w:val="single"/>
          <w:lang w:eastAsia="zh-CN"/>
        </w:rPr>
        <w:t xml:space="preserve">            </w:t>
      </w:r>
    </w:p>
    <w:p w14:paraId="0B0F79EF">
      <w:pPr>
        <w:rPr>
          <w:lang w:eastAsia="zh-CN"/>
        </w:rPr>
      </w:pPr>
    </w:p>
    <w:p w14:paraId="1988B077">
      <w:pPr>
        <w:rPr>
          <w:rFonts w:eastAsia="黑体"/>
          <w:sz w:val="44"/>
          <w:szCs w:val="44"/>
          <w:lang w:eastAsia="zh-CN"/>
        </w:rPr>
      </w:pPr>
      <w:r>
        <w:rPr>
          <w:rFonts w:eastAsia="黑体"/>
          <w:sz w:val="44"/>
          <w:szCs w:val="44"/>
          <w:lang w:eastAsia="zh-CN"/>
        </w:rPr>
        <w:br w:type="page"/>
      </w:r>
    </w:p>
    <w:p w14:paraId="6892C8B4">
      <w:pPr>
        <w:rPr>
          <w:rFonts w:eastAsia="黑体"/>
          <w:sz w:val="44"/>
          <w:szCs w:val="44"/>
          <w:lang w:eastAsia="zh-CN"/>
        </w:rPr>
      </w:pPr>
    </w:p>
    <w:p w14:paraId="39B13A45">
      <w:pPr>
        <w:rPr>
          <w:rFonts w:eastAsia="黑体"/>
          <w:sz w:val="44"/>
          <w:szCs w:val="44"/>
          <w:lang w:eastAsia="zh-CN"/>
        </w:rPr>
      </w:pPr>
    </w:p>
    <w:p w14:paraId="50889505">
      <w:pPr>
        <w:jc w:val="center"/>
        <w:rPr>
          <w:rFonts w:eastAsia="黑体"/>
          <w:sz w:val="44"/>
          <w:szCs w:val="44"/>
          <w:lang w:eastAsia="zh-CN"/>
        </w:rPr>
      </w:pPr>
      <w:r>
        <w:rPr>
          <w:rFonts w:hint="eastAsia" w:eastAsia="黑体"/>
          <w:sz w:val="44"/>
          <w:szCs w:val="44"/>
          <w:lang w:eastAsia="zh-CN"/>
        </w:rPr>
        <w:t>使 用 说 明</w:t>
      </w:r>
    </w:p>
    <w:p w14:paraId="69851C78">
      <w:pPr>
        <w:ind w:firstLine="640" w:firstLineChars="200"/>
        <w:rPr>
          <w:rFonts w:hint="eastAsia" w:ascii="仿宋_GB2312" w:hAnsi="仿宋_GB2312" w:eastAsia="仿宋_GB2312" w:cs="仿宋_GB2312"/>
          <w:sz w:val="32"/>
          <w:szCs w:val="32"/>
          <w:lang w:eastAsia="zh-CN"/>
        </w:rPr>
      </w:pPr>
    </w:p>
    <w:p w14:paraId="4775DF6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1.本合同标准文本适用于购买现成货物的采购项目，不包括需要供应商定制开发、创新研发的货物采购项目。</w:t>
      </w:r>
    </w:p>
    <w:p w14:paraId="5334016F">
      <w:pPr>
        <w:rPr>
          <w:rFonts w:eastAsia="黑体"/>
          <w:sz w:val="44"/>
          <w:szCs w:val="44"/>
          <w:lang w:eastAsia="zh-CN"/>
        </w:rPr>
      </w:pPr>
      <w:r>
        <w:rPr>
          <w:rFonts w:hint="eastAsia" w:eastAsia="黑体"/>
          <w:sz w:val="44"/>
          <w:szCs w:val="44"/>
          <w:lang w:eastAsia="zh-CN"/>
        </w:rPr>
        <w:t xml:space="preserve">   </w:t>
      </w:r>
      <w:r>
        <w:rPr>
          <w:rFonts w:hint="eastAsia" w:ascii="仿宋_GB2312" w:hAnsi="仿宋_GB2312" w:eastAsia="仿宋_GB2312" w:cs="仿宋_GB2312"/>
          <w:sz w:val="32"/>
          <w:szCs w:val="32"/>
          <w:lang w:eastAsia="zh-CN"/>
        </w:rPr>
        <w:t>2.本合同标准文本为政府采购货物买卖合同编制提供参考，可以结合采购项目具体情况，对文本作必要的调整修订后使用。</w:t>
      </w:r>
    </w:p>
    <w:p w14:paraId="269E654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3.本合同标准文本各条款中，如涉及填写多家供应商、制造商，多种采购标的、分包主要内容等信息的，可根据采购项目具体情况添加信息项。</w:t>
      </w:r>
    </w:p>
    <w:p w14:paraId="20DA0E2A">
      <w:pPr>
        <w:ind w:firstLine="880" w:firstLineChars="200"/>
        <w:jc w:val="both"/>
        <w:rPr>
          <w:rFonts w:eastAsia="黑体"/>
          <w:sz w:val="44"/>
          <w:szCs w:val="44"/>
          <w:lang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8"/>
    <w:p w14:paraId="6E1725C8">
      <w:pPr>
        <w:pStyle w:val="3"/>
        <w:spacing w:line="400" w:lineRule="exact"/>
        <w:jc w:val="center"/>
        <w:rPr>
          <w:rFonts w:hint="eastAsia" w:ascii="黑体" w:hAnsi="黑体" w:eastAsia="黑体"/>
          <w:sz w:val="28"/>
          <w:szCs w:val="28"/>
          <w:lang w:eastAsia="zh-CN"/>
        </w:rPr>
      </w:pPr>
      <w:bookmarkStart w:id="49" w:name="_Toc22209"/>
    </w:p>
    <w:p w14:paraId="03DC1FD0">
      <w:pPr>
        <w:pStyle w:val="3"/>
        <w:spacing w:line="400" w:lineRule="exact"/>
        <w:jc w:val="center"/>
        <w:rPr>
          <w:rFonts w:hint="eastAsia" w:ascii="黑体" w:hAnsi="华文中宋" w:eastAsia="黑体"/>
          <w:sz w:val="28"/>
          <w:szCs w:val="28"/>
          <w:lang w:eastAsia="zh-CN"/>
        </w:rPr>
      </w:pPr>
      <w:r>
        <w:rPr>
          <w:rFonts w:hint="eastAsia" w:ascii="黑体" w:hAnsi="黑体" w:eastAsia="黑体"/>
          <w:sz w:val="28"/>
          <w:szCs w:val="28"/>
          <w:lang w:eastAsia="zh-CN"/>
        </w:rPr>
        <w:t xml:space="preserve">第一节 </w:t>
      </w:r>
      <w:r>
        <w:rPr>
          <w:rFonts w:hint="eastAsia" w:ascii="黑体" w:hAnsi="华文中宋" w:eastAsia="黑体"/>
          <w:sz w:val="28"/>
          <w:szCs w:val="28"/>
          <w:lang w:eastAsia="zh-CN"/>
        </w:rPr>
        <w:t>政府采购合同协议书</w:t>
      </w:r>
      <w:bookmarkEnd w:id="49"/>
    </w:p>
    <w:p w14:paraId="167B5564">
      <w:pPr>
        <w:pStyle w:val="3"/>
        <w:spacing w:line="400" w:lineRule="exact"/>
        <w:jc w:val="center"/>
        <w:rPr>
          <w:rFonts w:hint="eastAsia" w:ascii="黑体" w:hAnsi="华文中宋" w:eastAsia="黑体"/>
          <w:sz w:val="28"/>
          <w:szCs w:val="28"/>
          <w:lang w:eastAsia="zh-CN"/>
        </w:rPr>
      </w:pPr>
    </w:p>
    <w:p w14:paraId="613CCB04">
      <w:pPr>
        <w:spacing w:line="400" w:lineRule="exact"/>
        <w:rPr>
          <w:rFonts w:hint="eastAsia" w:ascii="宋体" w:hAnsi="宋体"/>
          <w:lang w:eastAsia="zh-CN"/>
        </w:rPr>
      </w:pPr>
      <w:r>
        <w:rPr>
          <w:rFonts w:hint="eastAsia" w:ascii="宋体" w:hAnsi="宋体"/>
          <w:lang w:eastAsia="zh-CN"/>
        </w:rPr>
        <w:t>甲方（全称）：</w:t>
      </w:r>
      <w:r>
        <w:rPr>
          <w:rFonts w:hint="eastAsia" w:ascii="宋体" w:hAnsi="宋体"/>
          <w:u w:val="single"/>
          <w:lang w:eastAsia="zh-CN"/>
        </w:rPr>
        <w:t xml:space="preserve">                        </w:t>
      </w:r>
      <w:r>
        <w:rPr>
          <w:rFonts w:hint="eastAsia" w:ascii="宋体" w:hAnsi="宋体"/>
          <w:lang w:eastAsia="zh-CN"/>
        </w:rPr>
        <w:t>（采购人、受采购人委托签订合同的单位或采购</w:t>
      </w:r>
      <w:r>
        <w:rPr>
          <w:rFonts w:hint="eastAsia" w:ascii="宋体" w:hAnsi="宋体"/>
          <w:lang w:eastAsia="zh-CN"/>
        </w:rPr>
        <w:tab/>
      </w:r>
      <w:r>
        <w:rPr>
          <w:rFonts w:hint="eastAsia" w:ascii="宋体" w:hAnsi="宋体"/>
          <w:lang w:eastAsia="zh-CN"/>
        </w:rPr>
        <w:t xml:space="preserve">                                   文件约定的合同甲方）</w:t>
      </w:r>
    </w:p>
    <w:p w14:paraId="14C7CD7D">
      <w:pPr>
        <w:spacing w:line="400" w:lineRule="exact"/>
        <w:rPr>
          <w:rFonts w:hint="eastAsia" w:ascii="宋体" w:hAnsi="宋体"/>
          <w:lang w:eastAsia="zh-CN"/>
        </w:rPr>
      </w:pPr>
      <w:r>
        <w:rPr>
          <w:rFonts w:hint="eastAsia" w:ascii="宋体" w:hAnsi="宋体"/>
          <w:lang w:eastAsia="zh-CN"/>
        </w:rPr>
        <w:t>乙方1（全称）：</w:t>
      </w:r>
      <w:r>
        <w:rPr>
          <w:rFonts w:hint="eastAsia" w:ascii="宋体" w:hAnsi="宋体"/>
          <w:u w:val="single"/>
          <w:lang w:eastAsia="zh-CN"/>
        </w:rPr>
        <w:t xml:space="preserve">                       </w:t>
      </w:r>
      <w:r>
        <w:rPr>
          <w:rFonts w:hint="eastAsia" w:ascii="宋体" w:hAnsi="宋体"/>
          <w:lang w:eastAsia="zh-CN"/>
        </w:rPr>
        <w:t>（供应商）</w:t>
      </w:r>
    </w:p>
    <w:p w14:paraId="1A90B0AA">
      <w:pPr>
        <w:spacing w:line="400" w:lineRule="exact"/>
        <w:rPr>
          <w:rFonts w:hint="eastAsia" w:ascii="宋体" w:hAnsi="宋体"/>
          <w:lang w:eastAsia="zh-CN"/>
        </w:rPr>
      </w:pPr>
      <w:r>
        <w:rPr>
          <w:rFonts w:hint="eastAsia" w:ascii="宋体" w:hAnsi="宋体"/>
          <w:lang w:eastAsia="zh-CN"/>
        </w:rPr>
        <w:t>乙方2（全称）：</w:t>
      </w:r>
      <w:r>
        <w:rPr>
          <w:rFonts w:hint="eastAsia" w:ascii="宋体" w:hAnsi="宋体"/>
          <w:u w:val="single"/>
          <w:lang w:eastAsia="zh-CN"/>
        </w:rPr>
        <w:t xml:space="preserve">                        </w:t>
      </w:r>
      <w:r>
        <w:rPr>
          <w:rFonts w:hint="eastAsia" w:ascii="宋体" w:hAnsi="宋体"/>
          <w:lang w:eastAsia="zh-CN"/>
        </w:rPr>
        <w:t>（联合体成员供应商或其他合同主体）（如有）</w:t>
      </w:r>
    </w:p>
    <w:p w14:paraId="617B9F6F">
      <w:pPr>
        <w:spacing w:line="400" w:lineRule="exact"/>
        <w:rPr>
          <w:rFonts w:hint="eastAsia" w:ascii="宋体" w:hAnsi="宋体"/>
          <w:lang w:eastAsia="zh-CN"/>
        </w:rPr>
      </w:pPr>
      <w:r>
        <w:rPr>
          <w:rFonts w:hint="eastAsia"/>
          <w:lang w:eastAsia="zh-CN"/>
        </w:rPr>
        <w:t>乙方</w:t>
      </w:r>
      <w:r>
        <w:rPr>
          <w:rFonts w:hint="eastAsia" w:ascii="宋体" w:hAnsi="宋体"/>
          <w:lang w:eastAsia="zh-CN"/>
        </w:rPr>
        <w:t>3</w:t>
      </w:r>
      <w:r>
        <w:rPr>
          <w:rFonts w:hint="eastAsia"/>
          <w:lang w:eastAsia="zh-CN"/>
        </w:rPr>
        <w:t>（全称）</w:t>
      </w:r>
      <w:r>
        <w:rPr>
          <w:rFonts w:hint="eastAsia" w:ascii="宋体" w:hAnsi="宋体"/>
          <w:u w:val="single"/>
          <w:lang w:eastAsia="zh-CN"/>
        </w:rPr>
        <w:t xml:space="preserve">                          </w:t>
      </w:r>
      <w:r>
        <w:rPr>
          <w:rFonts w:hint="eastAsia" w:ascii="宋体" w:hAnsi="宋体"/>
          <w:lang w:eastAsia="zh-CN"/>
        </w:rPr>
        <w:t>（联合体成员供应商或其他合同主体）（如有）</w:t>
      </w:r>
    </w:p>
    <w:p w14:paraId="035BD02E">
      <w:pPr>
        <w:spacing w:line="400" w:lineRule="exact"/>
        <w:rPr>
          <w:lang w:eastAsia="zh-CN"/>
        </w:rPr>
      </w:pPr>
    </w:p>
    <w:p w14:paraId="7AE53D51">
      <w:pPr>
        <w:pStyle w:val="9"/>
        <w:spacing w:line="400" w:lineRule="exact"/>
        <w:ind w:firstLine="528" w:firstLineChars="200"/>
        <w:rPr>
          <w:rFonts w:hint="eastAsia" w:hAnsi="宋体"/>
        </w:rPr>
      </w:pPr>
      <w:r>
        <w:rPr>
          <w:rFonts w:hint="eastAsia" w:hAnsi="宋体"/>
          <w:lang w:eastAsia="zh-CN"/>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hAnsi="宋体"/>
        </w:rPr>
        <w:t xml:space="preserve">具体情况及要求如下：     </w:t>
      </w:r>
    </w:p>
    <w:p w14:paraId="3AF89AF8">
      <w:pPr>
        <w:numPr>
          <w:ilvl w:val="0"/>
          <w:numId w:val="6"/>
        </w:numPr>
        <w:spacing w:line="400" w:lineRule="exact"/>
        <w:ind w:firstLine="422" w:firstLineChars="200"/>
        <w:rPr>
          <w:rFonts w:hint="eastAsia" w:ascii="宋体" w:hAnsi="宋体"/>
          <w:b/>
        </w:rPr>
      </w:pPr>
      <w:r>
        <w:rPr>
          <w:rFonts w:hint="eastAsia" w:ascii="宋体" w:hAnsi="宋体"/>
          <w:b/>
        </w:rPr>
        <w:t>项目信息</w:t>
      </w:r>
    </w:p>
    <w:p w14:paraId="2A8212B4">
      <w:pPr>
        <w:pStyle w:val="9"/>
        <w:numPr>
          <w:ilvl w:val="0"/>
          <w:numId w:val="7"/>
        </w:numPr>
        <w:spacing w:line="400" w:lineRule="exact"/>
        <w:ind w:firstLine="528" w:firstLineChars="200"/>
        <w:rPr>
          <w:rFonts w:hint="eastAsia" w:hAnsi="宋体"/>
          <w:u w:val="single"/>
        </w:rPr>
      </w:pPr>
      <w:r>
        <w:rPr>
          <w:rFonts w:hint="eastAsia" w:hAnsi="宋体"/>
        </w:rPr>
        <w:t>采购项目名称：</w:t>
      </w:r>
      <w:r>
        <w:rPr>
          <w:rFonts w:hAnsi="宋体"/>
          <w:u w:val="single"/>
        </w:rPr>
        <w:t xml:space="preserve">                                          </w:t>
      </w:r>
    </w:p>
    <w:p w14:paraId="21EC55EC">
      <w:pPr>
        <w:pStyle w:val="9"/>
        <w:numPr>
          <w:ilvl w:val="255"/>
          <w:numId w:val="0"/>
        </w:numPr>
        <w:tabs>
          <w:tab w:val="left" w:pos="999"/>
        </w:tabs>
        <w:spacing w:line="400" w:lineRule="exact"/>
        <w:rPr>
          <w:rFonts w:hint="eastAsia" w:hAnsi="宋体"/>
          <w:lang w:eastAsia="zh-CN"/>
        </w:rPr>
      </w:pPr>
      <w:r>
        <w:rPr>
          <w:rFonts w:hint="eastAsia" w:hAnsi="宋体"/>
          <w:lang w:eastAsia="zh-CN"/>
        </w:rPr>
        <w:t xml:space="preserve">         采购项目编号：</w:t>
      </w:r>
      <w:r>
        <w:rPr>
          <w:rFonts w:hAnsi="宋体"/>
          <w:u w:val="single"/>
        </w:rPr>
        <w:t xml:space="preserve">                                          </w:t>
      </w:r>
    </w:p>
    <w:p w14:paraId="71719EEF">
      <w:pPr>
        <w:pStyle w:val="9"/>
        <w:spacing w:line="400" w:lineRule="exact"/>
        <w:ind w:firstLine="528" w:firstLineChars="200"/>
        <w:rPr>
          <w:rFonts w:hint="eastAsia" w:hAnsi="宋体"/>
        </w:rPr>
      </w:pPr>
      <w:r>
        <w:rPr>
          <w:rFonts w:hint="eastAsia" w:hAnsi="宋体"/>
        </w:rPr>
        <w:t>（2）采购计划编号：</w:t>
      </w:r>
      <w:r>
        <w:rPr>
          <w:rFonts w:hAnsi="宋体"/>
          <w:u w:val="single"/>
        </w:rPr>
        <w:t xml:space="preserve">                     </w:t>
      </w:r>
      <w:r>
        <w:rPr>
          <w:rFonts w:hint="eastAsia" w:hAnsi="宋体"/>
          <w:u w:val="single"/>
        </w:rPr>
        <w:t xml:space="preserve">                </w:t>
      </w:r>
      <w:r>
        <w:rPr>
          <w:rFonts w:hAnsi="宋体"/>
          <w:u w:val="single"/>
        </w:rPr>
        <w:t xml:space="preserve">     </w:t>
      </w:r>
      <w:r>
        <w:rPr>
          <w:rFonts w:hAnsi="宋体"/>
        </w:rPr>
        <w:t xml:space="preserve"> </w:t>
      </w:r>
    </w:p>
    <w:p w14:paraId="0C8E6C4A">
      <w:pPr>
        <w:spacing w:line="400" w:lineRule="exact"/>
        <w:ind w:firstLine="420" w:firstLineChars="200"/>
        <w:rPr>
          <w:rFonts w:hint="eastAsia" w:ascii="宋体" w:hAnsi="宋体"/>
        </w:rPr>
      </w:pPr>
      <w:r>
        <w:rPr>
          <w:rFonts w:hint="eastAsia" w:ascii="宋体" w:hAnsi="宋体"/>
        </w:rPr>
        <w:t>（3）项目内容：</w:t>
      </w:r>
    </w:p>
    <w:p w14:paraId="1204565E">
      <w:pPr>
        <w:spacing w:line="400" w:lineRule="exact"/>
        <w:ind w:firstLine="420" w:firstLineChars="200"/>
        <w:rPr>
          <w:rFonts w:hint="eastAsia" w:ascii="宋体" w:hAnsi="宋体"/>
          <w:lang w:eastAsia="zh-CN"/>
        </w:rPr>
      </w:pPr>
      <w:r>
        <w:rPr>
          <w:rFonts w:hint="eastAsia" w:ascii="宋体" w:hAnsi="宋体"/>
          <w:lang w:eastAsia="zh-CN"/>
        </w:rPr>
        <w:t xml:space="preserve">     采购标的及数量（台/套</w:t>
      </w:r>
      <w:r>
        <w:rPr>
          <w:rFonts w:ascii="宋体" w:hAnsi="宋体"/>
          <w:lang w:val="en" w:eastAsia="zh-CN"/>
        </w:rPr>
        <w:t>/</w:t>
      </w:r>
      <w:r>
        <w:rPr>
          <w:rFonts w:hint="eastAsia" w:ascii="宋体" w:hAnsi="宋体"/>
          <w:lang w:val="en" w:eastAsia="zh-CN"/>
        </w:rPr>
        <w:t>个</w:t>
      </w:r>
      <w:r>
        <w:rPr>
          <w:rFonts w:ascii="宋体" w:hAnsi="宋体"/>
          <w:lang w:val="en" w:eastAsia="zh-CN"/>
        </w:rPr>
        <w:t>/</w:t>
      </w:r>
      <w:r>
        <w:rPr>
          <w:rFonts w:hint="eastAsia" w:ascii="宋体" w:hAnsi="宋体"/>
          <w:lang w:val="en" w:eastAsia="zh-CN"/>
        </w:rPr>
        <w:t>架</w:t>
      </w:r>
      <w:r>
        <w:rPr>
          <w:rFonts w:ascii="宋体" w:hAnsi="宋体"/>
          <w:lang w:val="en" w:eastAsia="zh-CN"/>
        </w:rPr>
        <w:t>/</w:t>
      </w:r>
      <w:r>
        <w:rPr>
          <w:rFonts w:hint="eastAsia" w:ascii="宋体" w:hAnsi="宋体"/>
          <w:lang w:val="en" w:eastAsia="zh-CN"/>
        </w:rPr>
        <w:t>组等</w:t>
      </w:r>
      <w:r>
        <w:rPr>
          <w:rFonts w:hint="eastAsia" w:ascii="宋体" w:hAnsi="宋体"/>
          <w:lang w:eastAsia="zh-CN"/>
        </w:rPr>
        <w:t>）：</w:t>
      </w:r>
      <w:r>
        <w:rPr>
          <w:rFonts w:hint="eastAsia" w:ascii="宋体" w:hAnsi="宋体"/>
          <w:u w:val="single"/>
          <w:lang w:eastAsia="zh-CN"/>
        </w:rPr>
        <w:t xml:space="preserve">                       </w:t>
      </w:r>
      <w:r>
        <w:rPr>
          <w:rFonts w:hint="eastAsia" w:ascii="宋体" w:hAnsi="宋体"/>
          <w:lang w:eastAsia="zh-CN"/>
        </w:rPr>
        <w:t xml:space="preserve">            </w:t>
      </w:r>
      <w:r>
        <w:rPr>
          <w:rFonts w:hint="eastAsia" w:ascii="宋体" w:hAnsi="宋体"/>
          <w:u w:val="single"/>
          <w:lang w:eastAsia="zh-CN"/>
        </w:rPr>
        <w:t xml:space="preserve">                  </w:t>
      </w:r>
      <w:r>
        <w:rPr>
          <w:rFonts w:hint="eastAsia" w:ascii="宋体" w:hAnsi="宋体"/>
          <w:lang w:eastAsia="zh-CN"/>
        </w:rPr>
        <w:t xml:space="preserve"> </w:t>
      </w:r>
    </w:p>
    <w:p w14:paraId="3352DDC2">
      <w:pPr>
        <w:numPr>
          <w:ilvl w:val="255"/>
          <w:numId w:val="0"/>
        </w:numPr>
        <w:spacing w:line="400" w:lineRule="exact"/>
        <w:ind w:firstLine="420" w:firstLineChars="200"/>
        <w:rPr>
          <w:rFonts w:hint="eastAsia" w:ascii="宋体" w:hAnsi="宋体" w:cs="宋体"/>
          <w:lang w:val="en" w:eastAsia="zh-CN"/>
        </w:rPr>
      </w:pPr>
      <w:r>
        <w:rPr>
          <w:rFonts w:hint="eastAsia" w:ascii="宋体" w:hAnsi="宋体"/>
          <w:lang w:eastAsia="zh-CN"/>
        </w:rPr>
        <w:t xml:space="preserve">     </w:t>
      </w:r>
      <w:r>
        <w:rPr>
          <w:rFonts w:hint="eastAsia" w:ascii="宋体" w:hAnsi="宋体" w:cs="宋体"/>
          <w:lang w:eastAsia="zh-CN"/>
        </w:rPr>
        <w:t>品牌：</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lang w:val="en" w:eastAsia="zh-CN"/>
        </w:rPr>
        <w:t xml:space="preserve">     </w:t>
      </w:r>
      <w:r>
        <w:rPr>
          <w:rFonts w:hint="eastAsia" w:ascii="宋体" w:hAnsi="宋体" w:cs="宋体"/>
          <w:lang w:eastAsia="zh-CN"/>
        </w:rPr>
        <w:t>规格型号：</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u w:val="single"/>
          <w:lang w:val="en" w:eastAsia="zh-CN"/>
        </w:rPr>
        <w:t xml:space="preserve">   </w:t>
      </w:r>
    </w:p>
    <w:p w14:paraId="1FC6215F">
      <w:pPr>
        <w:spacing w:line="400" w:lineRule="exact"/>
        <w:ind w:firstLine="945" w:firstLineChars="450"/>
        <w:rPr>
          <w:rFonts w:hint="eastAsia" w:ascii="宋体" w:hAnsi="宋体"/>
          <w:u w:val="single"/>
          <w:lang w:eastAsia="zh-CN"/>
        </w:rPr>
      </w:pPr>
      <w:r>
        <w:rPr>
          <w:rFonts w:hint="eastAsia" w:ascii="宋体" w:hAnsi="宋体"/>
          <w:lang w:eastAsia="zh-CN"/>
        </w:rPr>
        <w:t>采购标的的技术要求、商务要求具体见附件。</w:t>
      </w:r>
    </w:p>
    <w:p w14:paraId="7EA6A778">
      <w:pPr>
        <w:numPr>
          <w:ilvl w:val="255"/>
          <w:numId w:val="0"/>
        </w:numPr>
        <w:spacing w:line="400" w:lineRule="exact"/>
        <w:ind w:firstLine="945" w:firstLineChars="450"/>
        <w:rPr>
          <w:rFonts w:hint="eastAsia" w:ascii="宋体" w:hAnsi="宋体" w:cs="宋体"/>
          <w:lang w:eastAsia="zh-CN"/>
        </w:rPr>
      </w:pPr>
      <w:r>
        <w:rPr>
          <w:rFonts w:hint="eastAsia" w:ascii="汉仪书宋二S" w:hAnsi="汉仪书宋二S" w:eastAsia="汉仪书宋二S" w:cs="汉仪书宋二S"/>
          <w:lang w:eastAsia="zh-CN"/>
        </w:rPr>
        <w:t>①</w:t>
      </w:r>
      <w:r>
        <w:rPr>
          <w:rFonts w:hint="eastAsia" w:ascii="宋体" w:hAnsi="宋体" w:cs="宋体"/>
          <w:lang w:eastAsia="zh-CN"/>
        </w:rPr>
        <w:t>涉及信息类产品，请填写该产品关键部件的品牌、型号：</w:t>
      </w:r>
    </w:p>
    <w:p w14:paraId="50143730">
      <w:pPr>
        <w:numPr>
          <w:ilvl w:val="255"/>
          <w:numId w:val="0"/>
        </w:numPr>
        <w:spacing w:line="400" w:lineRule="exact"/>
        <w:ind w:firstLine="420" w:firstLineChars="200"/>
        <w:rPr>
          <w:rFonts w:hint="eastAsia" w:ascii="宋体" w:hAnsi="宋体" w:cs="宋体"/>
          <w:u w:val="single"/>
          <w:lang w:eastAsia="zh-CN"/>
        </w:rPr>
      </w:pPr>
      <w:r>
        <w:rPr>
          <w:rFonts w:hint="eastAsia" w:ascii="宋体" w:hAnsi="宋体" w:cs="宋体"/>
          <w:lang w:eastAsia="zh-CN"/>
        </w:rPr>
        <w:t xml:space="preserve">     标的名称：</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p>
    <w:p w14:paraId="4EC3B740">
      <w:pPr>
        <w:numPr>
          <w:ilvl w:val="255"/>
          <w:numId w:val="0"/>
        </w:numPr>
        <w:spacing w:line="400" w:lineRule="exact"/>
        <w:ind w:firstLine="420" w:firstLineChars="200"/>
        <w:rPr>
          <w:rFonts w:hint="eastAsia" w:ascii="宋体" w:hAnsi="宋体" w:cs="宋体"/>
          <w:lang w:eastAsia="zh-CN"/>
        </w:rPr>
      </w:pPr>
      <w:r>
        <w:rPr>
          <w:rFonts w:hint="eastAsia" w:ascii="宋体" w:hAnsi="宋体" w:cs="宋体"/>
          <w:lang w:eastAsia="zh-CN"/>
        </w:rPr>
        <w:t xml:space="preserve">     关键部件：</w:t>
      </w:r>
      <w:r>
        <w:rPr>
          <w:rFonts w:hint="eastAsia" w:ascii="宋体" w:hAnsi="宋体" w:cs="宋体"/>
          <w:u w:val="single"/>
          <w:lang w:eastAsia="zh-CN"/>
        </w:rPr>
        <w:t xml:space="preserve">          </w:t>
      </w:r>
      <w:r>
        <w:rPr>
          <w:rFonts w:hint="eastAsia" w:ascii="宋体" w:hAnsi="宋体" w:cs="宋体"/>
          <w:lang w:eastAsia="zh-CN"/>
        </w:rPr>
        <w:t xml:space="preserve"> 品牌：</w:t>
      </w:r>
      <w:r>
        <w:rPr>
          <w:rFonts w:hint="eastAsia" w:ascii="宋体" w:hAnsi="宋体" w:cs="宋体"/>
          <w:u w:val="single"/>
          <w:lang w:eastAsia="zh-CN"/>
        </w:rPr>
        <w:t xml:space="preserve">        </w:t>
      </w:r>
      <w:r>
        <w:rPr>
          <w:rFonts w:hint="eastAsia" w:ascii="宋体" w:hAnsi="宋体" w:cs="宋体"/>
          <w:lang w:eastAsia="zh-CN"/>
        </w:rPr>
        <w:t xml:space="preserve"> 型号：</w:t>
      </w:r>
      <w:r>
        <w:rPr>
          <w:rFonts w:hint="eastAsia" w:ascii="宋体" w:hAnsi="宋体" w:cs="宋体"/>
          <w:u w:val="single"/>
          <w:lang w:eastAsia="zh-CN"/>
        </w:rPr>
        <w:t xml:space="preserve">       </w:t>
      </w:r>
      <w:r>
        <w:rPr>
          <w:rFonts w:hint="eastAsia" w:ascii="宋体" w:hAnsi="宋体" w:cs="宋体"/>
          <w:lang w:eastAsia="zh-CN"/>
        </w:rPr>
        <w:t xml:space="preserve"> </w:t>
      </w:r>
    </w:p>
    <w:p w14:paraId="52E162E6">
      <w:pPr>
        <w:pStyle w:val="51"/>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1BEC37F">
      <w:pPr>
        <w:pStyle w:val="51"/>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96233BE">
      <w:pPr>
        <w:pStyle w:val="51"/>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767E1B8D">
      <w:pPr>
        <w:pStyle w:val="51"/>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33F26725">
      <w:pPr>
        <w:pStyle w:val="5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9DF12B2">
      <w:pPr>
        <w:pStyle w:val="5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48A3C115">
      <w:pPr>
        <w:pStyle w:val="5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C60F2A9">
      <w:pPr>
        <w:pStyle w:val="51"/>
        <w:numPr>
          <w:ilvl w:val="255"/>
          <w:numId w:val="0"/>
        </w:numPr>
        <w:snapToGrid w:val="0"/>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7A9EC78A">
      <w:pPr>
        <w:pStyle w:val="51"/>
        <w:numPr>
          <w:ilvl w:val="255"/>
          <w:numId w:val="0"/>
        </w:numPr>
        <w:snapToGrid w:val="0"/>
        <w:ind w:firstLine="420"/>
        <w:rPr>
          <w:rFonts w:hint="eastAsia"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7927DBAB">
      <w:pPr>
        <w:pStyle w:val="51"/>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458648A1">
      <w:pPr>
        <w:pStyle w:val="51"/>
        <w:numPr>
          <w:ilvl w:val="255"/>
          <w:numId w:val="0"/>
        </w:numPr>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388D450">
      <w:pPr>
        <w:numPr>
          <w:ilvl w:val="255"/>
          <w:numId w:val="0"/>
        </w:numPr>
        <w:spacing w:line="400" w:lineRule="exact"/>
        <w:rPr>
          <w:rFonts w:hint="eastAsia" w:ascii="宋体" w:hAnsi="宋体"/>
          <w:iCs/>
          <w:lang w:eastAsia="zh-CN"/>
        </w:rPr>
      </w:pPr>
      <w:r>
        <w:rPr>
          <w:rFonts w:hint="eastAsia" w:ascii="宋体" w:hAnsi="宋体"/>
          <w:lang w:eastAsia="zh-CN"/>
        </w:rPr>
        <w:t xml:space="preserve">         本合同是否为专门面向中小企业的采购合同（中小企业预留合同）：</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56D9D5BF">
      <w:pPr>
        <w:numPr>
          <w:ilvl w:val="255"/>
          <w:numId w:val="0"/>
        </w:numPr>
        <w:spacing w:line="400" w:lineRule="exact"/>
        <w:rPr>
          <w:rFonts w:hint="eastAsia" w:ascii="宋体" w:hAnsi="宋体"/>
          <w:iCs/>
          <w:lang w:eastAsia="zh-CN"/>
        </w:rPr>
      </w:pPr>
      <w:r>
        <w:rPr>
          <w:rFonts w:hint="eastAsia"/>
          <w:lang w:eastAsia="zh-CN"/>
        </w:rPr>
        <w:t xml:space="preserve">         若本项目不专门面向中小企业采购，是否给予小微企业评审优惠：</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4713B799">
      <w:pPr>
        <w:numPr>
          <w:ilvl w:val="255"/>
          <w:numId w:val="0"/>
        </w:numPr>
        <w:spacing w:line="400" w:lineRule="exact"/>
        <w:rPr>
          <w:rFonts w:hint="eastAsia" w:ascii="宋体" w:hAnsi="宋体"/>
          <w:iCs/>
          <w:lang w:eastAsia="zh-CN"/>
        </w:rPr>
      </w:pPr>
      <w:r>
        <w:rPr>
          <w:rFonts w:hint="eastAsia"/>
          <w:lang w:eastAsia="zh-CN"/>
        </w:rPr>
        <w:t xml:space="preserve">         中标（成交）采购标的制造商是否为残疾人福利性单位：</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3F213EFD">
      <w:pPr>
        <w:spacing w:line="400" w:lineRule="exact"/>
        <w:rPr>
          <w:lang w:eastAsia="zh-CN"/>
        </w:rPr>
      </w:pPr>
      <w:r>
        <w:rPr>
          <w:rFonts w:hint="eastAsia"/>
          <w:lang w:eastAsia="zh-CN"/>
        </w:rPr>
        <w:t xml:space="preserve">         中标（成交）采购标的制造商是否为监狱企业：</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120D66B6">
      <w:pPr>
        <w:spacing w:line="400" w:lineRule="exact"/>
        <w:ind w:firstLine="420" w:firstLineChars="200"/>
        <w:rPr>
          <w:rFonts w:hint="eastAsia" w:ascii="宋体" w:hAnsi="宋体"/>
        </w:rPr>
      </w:pPr>
      <w:r>
        <w:rPr>
          <w:rFonts w:hint="eastAsia" w:ascii="宋体" w:hAnsi="宋体"/>
        </w:rPr>
        <w:t>（</w:t>
      </w:r>
      <w:r>
        <w:rPr>
          <w:rFonts w:ascii="宋体" w:hAnsi="宋体"/>
          <w:lang w:val="en" w:eastAsia="zh-CN"/>
        </w:rPr>
        <w:t>7</w:t>
      </w:r>
      <w:r>
        <w:rPr>
          <w:rFonts w:hint="eastAsia" w:ascii="宋体" w:hAnsi="宋体"/>
        </w:rPr>
        <w:t>）合同是否分包：</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49E321AD">
      <w:pPr>
        <w:spacing w:line="400" w:lineRule="exact"/>
        <w:ind w:firstLine="840" w:firstLineChars="400"/>
        <w:rPr>
          <w:rFonts w:hint="eastAsia" w:ascii="宋体" w:hAnsi="宋体"/>
          <w:u w:val="single"/>
          <w:lang w:eastAsia="zh-CN"/>
        </w:rPr>
      </w:pPr>
      <w:r>
        <w:rPr>
          <w:rFonts w:hint="eastAsia" w:ascii="宋体" w:hAnsi="宋体"/>
          <w:lang w:eastAsia="zh-CN"/>
        </w:rPr>
        <w:t xml:space="preserve"> 分包主要内容：</w:t>
      </w:r>
      <w:r>
        <w:rPr>
          <w:rFonts w:hint="eastAsia" w:ascii="宋体" w:hAnsi="宋体"/>
          <w:u w:val="single"/>
          <w:lang w:eastAsia="zh-CN"/>
        </w:rPr>
        <w:t xml:space="preserve">                                            </w:t>
      </w:r>
    </w:p>
    <w:p w14:paraId="60CF4BE5">
      <w:pPr>
        <w:spacing w:line="400" w:lineRule="exact"/>
        <w:ind w:firstLine="840" w:firstLineChars="400"/>
        <w:rPr>
          <w:rFonts w:hint="eastAsia" w:ascii="宋体" w:hAnsi="宋体"/>
          <w:lang w:eastAsia="zh-CN"/>
        </w:rPr>
      </w:pPr>
      <w:r>
        <w:rPr>
          <w:rFonts w:hint="eastAsia" w:ascii="宋体" w:hAnsi="宋体"/>
          <w:lang w:eastAsia="zh-CN"/>
        </w:rPr>
        <w:t xml:space="preserve"> 分包供应商/制造商名称（如供应商和制造商不同，请分别填写）：</w:t>
      </w:r>
    </w:p>
    <w:p w14:paraId="370386E4">
      <w:pPr>
        <w:spacing w:line="400" w:lineRule="exact"/>
        <w:ind w:firstLine="840" w:firstLineChars="400"/>
        <w:rPr>
          <w:rFonts w:hint="eastAsia" w:ascii="宋体" w:hAnsi="宋体"/>
          <w:u w:val="single"/>
          <w:lang w:eastAsia="zh-CN"/>
        </w:rPr>
      </w:pPr>
      <w:r>
        <w:rPr>
          <w:rFonts w:hint="eastAsia" w:ascii="宋体" w:hAnsi="宋体"/>
          <w:lang w:eastAsia="zh-CN"/>
        </w:rPr>
        <w:t xml:space="preserve"> </w:t>
      </w:r>
      <w:r>
        <w:rPr>
          <w:rFonts w:hint="eastAsia" w:ascii="宋体" w:hAnsi="宋体"/>
          <w:u w:val="single"/>
          <w:lang w:eastAsia="zh-CN"/>
        </w:rPr>
        <w:t xml:space="preserve">                                                          </w:t>
      </w:r>
    </w:p>
    <w:p w14:paraId="493901E6">
      <w:pPr>
        <w:spacing w:line="400" w:lineRule="exact"/>
        <w:ind w:firstLine="840" w:firstLineChars="400"/>
        <w:rPr>
          <w:rFonts w:hint="eastAsia" w:ascii="宋体" w:hAnsi="宋体"/>
          <w:lang w:eastAsia="zh-CN"/>
        </w:rPr>
      </w:pPr>
      <w:r>
        <w:rPr>
          <w:rFonts w:hint="eastAsia" w:ascii="宋体" w:hAnsi="宋体"/>
          <w:lang w:eastAsia="zh-CN"/>
        </w:rPr>
        <w:t xml:space="preserve"> 分包供应商/制造商类型（如果供应商和制造商不同，只填写制造商类型）：</w:t>
      </w:r>
    </w:p>
    <w:p w14:paraId="3B68CD1F">
      <w:pPr>
        <w:spacing w:line="400" w:lineRule="exact"/>
        <w:ind w:firstLine="840" w:firstLineChars="400"/>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大型企业  </w:t>
      </w:r>
      <w:r>
        <w:rPr>
          <w:rFonts w:hint="eastAsia" w:ascii="宋体" w:hAnsi="宋体"/>
          <w:iCs/>
        </w:rPr>
        <w:sym w:font="Wingdings" w:char="00A8"/>
      </w:r>
      <w:r>
        <w:rPr>
          <w:rFonts w:hint="eastAsia" w:ascii="宋体" w:hAnsi="宋体"/>
          <w:iCs/>
          <w:lang w:eastAsia="zh-CN"/>
        </w:rPr>
        <w:t xml:space="preserve">中型企业  </w:t>
      </w:r>
      <w:r>
        <w:rPr>
          <w:rFonts w:hint="eastAsia" w:ascii="宋体" w:hAnsi="宋体"/>
          <w:iCs/>
        </w:rPr>
        <w:sym w:font="Wingdings" w:char="00A8"/>
      </w:r>
      <w:r>
        <w:rPr>
          <w:rFonts w:hint="eastAsia" w:ascii="宋体" w:hAnsi="宋体"/>
          <w:iCs/>
          <w:lang w:eastAsia="zh-CN"/>
        </w:rPr>
        <w:t xml:space="preserve">小微型企业  </w:t>
      </w:r>
    </w:p>
    <w:p w14:paraId="69C9EAAF">
      <w:pPr>
        <w:spacing w:line="400" w:lineRule="exact"/>
        <w:ind w:firstLine="840" w:firstLineChars="400"/>
        <w:rPr>
          <w:rFonts w:eastAsia="华文楷体"/>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残疾人福利性单位 </w:t>
      </w:r>
      <w:r>
        <w:rPr>
          <w:rFonts w:hint="eastAsia" w:ascii="宋体" w:hAnsi="宋体"/>
          <w:iCs/>
        </w:rPr>
        <w:sym w:font="Wingdings" w:char="00A8"/>
      </w:r>
      <w:r>
        <w:rPr>
          <w:rFonts w:hint="eastAsia" w:ascii="宋体" w:hAnsi="宋体"/>
          <w:iCs/>
          <w:lang w:eastAsia="zh-CN"/>
        </w:rPr>
        <w:t xml:space="preserve">监狱企业 </w:t>
      </w:r>
      <w:r>
        <w:rPr>
          <w:rFonts w:hint="eastAsia" w:ascii="宋体" w:hAnsi="宋体"/>
          <w:iCs/>
        </w:rPr>
        <w:sym w:font="Wingdings" w:char="00A8"/>
      </w:r>
      <w:r>
        <w:rPr>
          <w:rFonts w:hint="eastAsia" w:ascii="宋体" w:hAnsi="宋体"/>
          <w:iCs/>
          <w:lang w:eastAsia="zh-CN"/>
        </w:rPr>
        <w:t>其他</w:t>
      </w:r>
    </w:p>
    <w:p w14:paraId="33F6D82F">
      <w:pPr>
        <w:numPr>
          <w:ilvl w:val="255"/>
          <w:numId w:val="0"/>
        </w:numPr>
        <w:spacing w:line="400" w:lineRule="exact"/>
        <w:rPr>
          <w:rFonts w:hint="eastAsia" w:ascii="宋体" w:hAnsi="宋体" w:cs="宋体"/>
          <w:iCs/>
          <w:lang w:eastAsia="zh-CN"/>
        </w:rPr>
      </w:pPr>
      <w:r>
        <w:rPr>
          <w:rFonts w:hint="eastAsia" w:ascii="宋体" w:hAnsi="宋体"/>
          <w:lang w:eastAsia="zh-CN"/>
        </w:rPr>
        <w:t xml:space="preserve">    </w:t>
      </w:r>
      <w:r>
        <w:rPr>
          <w:rFonts w:hint="eastAsia" w:ascii="宋体" w:hAnsi="宋体" w:cs="宋体"/>
          <w:lang w:eastAsia="zh-CN"/>
        </w:rPr>
        <w:t>（</w:t>
      </w:r>
      <w:r>
        <w:rPr>
          <w:rFonts w:ascii="宋体" w:hAnsi="宋体" w:cs="宋体"/>
          <w:lang w:val="en" w:eastAsia="zh-CN"/>
        </w:rPr>
        <w:t>8</w:t>
      </w:r>
      <w:r>
        <w:rPr>
          <w:rFonts w:hint="eastAsia" w:ascii="宋体" w:hAnsi="宋体" w:cs="宋体"/>
          <w:lang w:eastAsia="zh-CN"/>
        </w:rPr>
        <w:t>）中标（成交）供应商是否为外商投资企业：</w:t>
      </w:r>
      <w:r>
        <w:rPr>
          <w:rFonts w:hint="eastAsia" w:ascii="宋体" w:hAnsi="宋体" w:cs="宋体"/>
          <w:iCs/>
        </w:rPr>
        <w:sym w:font="Wingdings" w:char="00A8"/>
      </w:r>
      <w:r>
        <w:rPr>
          <w:rFonts w:hint="eastAsia" w:ascii="宋体" w:hAnsi="宋体" w:cs="宋体"/>
          <w:iCs/>
          <w:lang w:eastAsia="zh-CN"/>
        </w:rPr>
        <w:t xml:space="preserve">是       </w:t>
      </w:r>
      <w:r>
        <w:rPr>
          <w:rFonts w:hint="eastAsia" w:ascii="宋体" w:hAnsi="宋体" w:cs="宋体"/>
          <w:iCs/>
        </w:rPr>
        <w:sym w:font="Wingdings" w:char="00A8"/>
      </w:r>
      <w:r>
        <w:rPr>
          <w:rFonts w:hint="eastAsia" w:ascii="宋体" w:hAnsi="宋体" w:cs="宋体"/>
          <w:iCs/>
          <w:lang w:eastAsia="zh-CN"/>
        </w:rPr>
        <w:t>否</w:t>
      </w:r>
    </w:p>
    <w:p w14:paraId="5414AA28">
      <w:pPr>
        <w:pStyle w:val="51"/>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05B1FC9">
      <w:pPr>
        <w:numPr>
          <w:ilvl w:val="255"/>
          <w:numId w:val="0"/>
        </w:numPr>
        <w:spacing w:line="400" w:lineRule="exact"/>
        <w:ind w:firstLine="420" w:firstLineChars="200"/>
        <w:rPr>
          <w:rFonts w:hint="eastAsia" w:ascii="宋体" w:hAnsi="宋体" w:cs="宋体"/>
          <w:lang w:eastAsia="zh-CN"/>
        </w:rPr>
      </w:pPr>
      <w:r>
        <w:rPr>
          <w:rFonts w:hint="eastAsia" w:ascii="宋体" w:hAnsi="宋体" w:cs="宋体"/>
          <w:lang w:eastAsia="zh-CN"/>
        </w:rPr>
        <w:t>（</w:t>
      </w:r>
      <w:r>
        <w:rPr>
          <w:rFonts w:ascii="宋体" w:hAnsi="宋体" w:cs="宋体"/>
          <w:lang w:val="en" w:eastAsia="zh-CN"/>
        </w:rPr>
        <w:t>9</w:t>
      </w:r>
      <w:r>
        <w:rPr>
          <w:rFonts w:hint="eastAsia" w:ascii="宋体" w:hAnsi="宋体" w:cs="宋体"/>
          <w:lang w:eastAsia="zh-CN"/>
        </w:rPr>
        <w:t>）是否涉及进口产品：</w:t>
      </w:r>
    </w:p>
    <w:p w14:paraId="62D2DF8B">
      <w:pPr>
        <w:numPr>
          <w:ilvl w:val="255"/>
          <w:numId w:val="0"/>
        </w:numPr>
        <w:spacing w:line="400" w:lineRule="exact"/>
        <w:ind w:firstLine="840" w:firstLineChars="400"/>
        <w:rPr>
          <w:rFonts w:hint="eastAsia" w:ascii="宋体" w:hAnsi="宋体" w:cs="宋体"/>
          <w:u w:val="single"/>
          <w:lang w:eastAsia="zh-CN"/>
        </w:rPr>
      </w:pPr>
      <w:r>
        <w:rPr>
          <w:rFonts w:hint="eastAsia" w:ascii="宋体" w:hAnsi="宋体" w:cs="宋体"/>
          <w:lang w:eastAsia="zh-CN"/>
        </w:rPr>
        <w:t xml:space="preserve"> </w:t>
      </w:r>
      <w:r>
        <w:rPr>
          <w:rFonts w:hint="eastAsia" w:ascii="宋体" w:hAnsi="宋体" w:cs="宋体"/>
        </w:rPr>
        <w:sym w:font="Wingdings" w:char="00A8"/>
      </w:r>
      <w:r>
        <w:rPr>
          <w:rFonts w:hint="eastAsia" w:ascii="宋体" w:hAnsi="宋体" w:cs="宋体"/>
          <w:lang w:eastAsia="zh-CN"/>
        </w:rPr>
        <w:t>是，《政府采购品目分类目录》底级品目名称：</w:t>
      </w:r>
      <w:r>
        <w:rPr>
          <w:rFonts w:hint="eastAsia" w:ascii="宋体" w:hAnsi="宋体" w:cs="宋体"/>
          <w:u w:val="single"/>
          <w:lang w:eastAsia="zh-CN"/>
        </w:rPr>
        <w:t xml:space="preserve">         </w:t>
      </w:r>
      <w:r>
        <w:rPr>
          <w:rFonts w:hint="eastAsia" w:ascii="宋体" w:hAnsi="宋体" w:cs="宋体"/>
          <w:lang w:eastAsia="zh-CN"/>
        </w:rPr>
        <w:t xml:space="preserve"> 金额：</w:t>
      </w:r>
      <w:r>
        <w:rPr>
          <w:rFonts w:hint="eastAsia" w:ascii="宋体" w:hAnsi="宋体" w:cs="宋体"/>
          <w:u w:val="single"/>
          <w:lang w:eastAsia="zh-CN"/>
        </w:rPr>
        <w:t xml:space="preserve">        </w:t>
      </w:r>
    </w:p>
    <w:p w14:paraId="733CA94C">
      <w:pPr>
        <w:numPr>
          <w:ilvl w:val="255"/>
          <w:numId w:val="0"/>
        </w:numPr>
        <w:spacing w:line="400" w:lineRule="exact"/>
        <w:ind w:firstLine="840" w:firstLineChars="400"/>
        <w:rPr>
          <w:rFonts w:hint="eastAsia" w:ascii="宋体" w:hAnsi="宋体"/>
          <w:lang w:eastAsia="zh-CN"/>
        </w:rPr>
      </w:pPr>
      <w:r>
        <w:rPr>
          <w:rFonts w:hint="eastAsia" w:ascii="宋体" w:hAnsi="宋体" w:cs="宋体"/>
          <w:lang w:eastAsia="zh-CN"/>
        </w:rPr>
        <w:t xml:space="preserve">        国别：</w:t>
      </w:r>
      <w:r>
        <w:rPr>
          <w:rFonts w:hint="eastAsia" w:ascii="宋体" w:hAnsi="宋体" w:cs="宋体"/>
          <w:u w:val="single"/>
          <w:lang w:eastAsia="zh-CN"/>
        </w:rPr>
        <w:t xml:space="preserve">        </w:t>
      </w:r>
      <w:r>
        <w:rPr>
          <w:rFonts w:hint="eastAsia" w:ascii="宋体" w:hAnsi="宋体" w:cs="宋体"/>
          <w:lang w:eastAsia="zh-CN"/>
        </w:rPr>
        <w:t xml:space="preserve"> 品牌：</w:t>
      </w:r>
      <w:r>
        <w:rPr>
          <w:rFonts w:hint="eastAsia" w:ascii="宋体" w:hAnsi="宋体" w:cs="宋体"/>
          <w:u w:val="single"/>
          <w:lang w:eastAsia="zh-CN"/>
        </w:rPr>
        <w:t xml:space="preserve">        </w:t>
      </w:r>
      <w:r>
        <w:rPr>
          <w:rFonts w:hint="eastAsia" w:ascii="宋体" w:hAnsi="宋体" w:cs="宋体"/>
          <w:lang w:eastAsia="zh-CN"/>
        </w:rPr>
        <w:t xml:space="preserve"> 规格型号：</w:t>
      </w:r>
      <w:r>
        <w:rPr>
          <w:rFonts w:hint="eastAsia" w:ascii="宋体" w:hAnsi="宋体" w:cs="宋体"/>
          <w:u w:val="single"/>
          <w:lang w:eastAsia="zh-CN"/>
        </w:rPr>
        <w:t xml:space="preserve">        </w:t>
      </w:r>
      <w:r>
        <w:rPr>
          <w:rFonts w:hint="eastAsia" w:ascii="宋体" w:hAnsi="宋体"/>
          <w:lang w:eastAsia="zh-CN"/>
        </w:rPr>
        <w:t xml:space="preserve">      </w:t>
      </w:r>
    </w:p>
    <w:p w14:paraId="6D22D22D">
      <w:pPr>
        <w:spacing w:line="400" w:lineRule="exact"/>
        <w:ind w:firstLine="840" w:firstLineChars="400"/>
        <w:rPr>
          <w:rFonts w:hint="eastAsia" w:ascii="宋体" w:hAnsi="宋体"/>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否</w:t>
      </w:r>
    </w:p>
    <w:p w14:paraId="0E792C10">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（1</w:t>
      </w:r>
      <w:r>
        <w:rPr>
          <w:rFonts w:ascii="宋体" w:hAnsi="宋体"/>
          <w:lang w:val="en" w:eastAsia="zh-CN"/>
        </w:rPr>
        <w:t>0</w:t>
      </w:r>
      <w:r>
        <w:rPr>
          <w:rFonts w:hint="eastAsia" w:ascii="宋体" w:hAnsi="宋体"/>
          <w:lang w:eastAsia="zh-CN"/>
        </w:rPr>
        <w:t>）是否涉及节能产品：</w:t>
      </w:r>
    </w:p>
    <w:p w14:paraId="7A83E9B5">
      <w:pPr>
        <w:numPr>
          <w:ilvl w:val="255"/>
          <w:numId w:val="0"/>
        </w:numPr>
        <w:tabs>
          <w:tab w:val="left" w:pos="740"/>
        </w:tabs>
        <w:spacing w:line="400" w:lineRule="exact"/>
        <w:rPr>
          <w:rFonts w:hint="eastAsia" w:ascii="宋体" w:hAnsi="宋体"/>
          <w:iCs/>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是，《节能产品政府采购品目清单》的底级品目名称：</w:t>
      </w:r>
      <w:r>
        <w:rPr>
          <w:rFonts w:hint="eastAsia" w:ascii="宋体" w:hAnsi="宋体"/>
          <w:u w:val="single"/>
          <w:lang w:eastAsia="zh-CN"/>
        </w:rPr>
        <w:t xml:space="preserve">         </w:t>
      </w:r>
      <w:r>
        <w:rPr>
          <w:rFonts w:hint="eastAsia" w:ascii="宋体" w:hAnsi="宋体"/>
          <w:iCs/>
          <w:lang w:eastAsia="zh-CN"/>
        </w:rPr>
        <w:t xml:space="preserve">     </w:t>
      </w:r>
    </w:p>
    <w:p w14:paraId="67898291">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08DCDD6F">
      <w:pPr>
        <w:numPr>
          <w:ilvl w:val="255"/>
          <w:numId w:val="0"/>
        </w:numPr>
        <w:tabs>
          <w:tab w:val="left" w:pos="740"/>
        </w:tabs>
        <w:spacing w:line="400" w:lineRule="exact"/>
        <w:rPr>
          <w:rFonts w:hint="eastAsia" w:ascii="宋体" w:hAnsi="宋体"/>
          <w:lang w:eastAsia="zh-CN"/>
        </w:rPr>
      </w:pPr>
      <w:r>
        <w:rPr>
          <w:rFonts w:hint="eastAsia" w:ascii="宋体" w:hAnsi="宋体"/>
          <w:iCs/>
          <w:lang w:eastAsia="zh-CN"/>
        </w:rPr>
        <w:t xml:space="preserve">         </w:t>
      </w:r>
      <w:r>
        <w:rPr>
          <w:rFonts w:hint="eastAsia" w:ascii="宋体" w:hAnsi="宋体"/>
        </w:rPr>
        <w:sym w:font="Wingdings" w:char="00A8"/>
      </w:r>
      <w:r>
        <w:rPr>
          <w:rFonts w:hint="eastAsia" w:ascii="宋体" w:hAnsi="宋体"/>
          <w:lang w:eastAsia="zh-CN"/>
        </w:rPr>
        <w:t>否</w:t>
      </w:r>
    </w:p>
    <w:p w14:paraId="5FE064EB">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是否涉及环境标志产品：</w:t>
      </w:r>
    </w:p>
    <w:p w14:paraId="52FBE89F">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是，《环境标志产品政府采购品目清单》的底级品目名称：</w:t>
      </w:r>
      <w:r>
        <w:rPr>
          <w:rFonts w:hint="eastAsia" w:ascii="宋体" w:hAnsi="宋体"/>
          <w:u w:val="single"/>
          <w:lang w:eastAsia="zh-CN"/>
        </w:rPr>
        <w:t xml:space="preserve">         </w:t>
      </w:r>
      <w:r>
        <w:rPr>
          <w:rFonts w:hint="eastAsia" w:ascii="宋体" w:hAnsi="宋体"/>
          <w:iCs/>
          <w:lang w:eastAsia="zh-CN"/>
        </w:rPr>
        <w:t xml:space="preserve"> </w:t>
      </w:r>
    </w:p>
    <w:p w14:paraId="1C54F6D3">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574FE0DF">
      <w:pPr>
        <w:numPr>
          <w:ilvl w:val="255"/>
          <w:numId w:val="0"/>
        </w:numPr>
        <w:tabs>
          <w:tab w:val="left" w:pos="740"/>
        </w:tabs>
        <w:spacing w:line="400" w:lineRule="exact"/>
        <w:rPr>
          <w:rFonts w:hint="eastAsia" w:ascii="宋体" w:hAnsi="宋体"/>
          <w:lang w:eastAsia="zh-CN"/>
        </w:rPr>
      </w:pPr>
      <w:r>
        <w:rPr>
          <w:rFonts w:hint="eastAsia" w:ascii="宋体" w:hAnsi="宋体"/>
          <w:iCs/>
          <w:lang w:eastAsia="zh-CN"/>
        </w:rPr>
        <w:t xml:space="preserve">         </w:t>
      </w:r>
      <w:r>
        <w:rPr>
          <w:rFonts w:hint="eastAsia" w:ascii="宋体" w:hAnsi="宋体"/>
        </w:rPr>
        <w:sym w:font="Wingdings" w:char="00A8"/>
      </w:r>
      <w:r>
        <w:rPr>
          <w:rFonts w:hint="eastAsia" w:ascii="宋体" w:hAnsi="宋体"/>
          <w:lang w:eastAsia="zh-CN"/>
        </w:rPr>
        <w:t>否</w:t>
      </w:r>
    </w:p>
    <w:p w14:paraId="3B306553">
      <w:pPr>
        <w:pStyle w:val="51"/>
        <w:numPr>
          <w:ilvl w:val="255"/>
          <w:numId w:val="0"/>
        </w:numPr>
        <w:snapToGrid w:val="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05BE3663">
      <w:pPr>
        <w:pStyle w:val="51"/>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AA7F03C">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2186B9A0">
      <w:pPr>
        <w:pStyle w:val="51"/>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168B779">
      <w:pPr>
        <w:numPr>
          <w:ilvl w:val="255"/>
          <w:numId w:val="0"/>
        </w:numPr>
        <w:spacing w:line="400" w:lineRule="exact"/>
        <w:rPr>
          <w:rFonts w:hint="eastAsia" w:ascii="宋体" w:hAnsi="宋体"/>
          <w:lang w:eastAsia="zh-CN"/>
        </w:rPr>
      </w:pPr>
      <w:r>
        <w:rPr>
          <w:rFonts w:hint="eastAsia" w:ascii="宋体" w:hAnsi="宋体"/>
          <w:lang w:eastAsia="zh-CN"/>
        </w:rPr>
        <w:t xml:space="preserve">    （1</w:t>
      </w:r>
      <w:r>
        <w:rPr>
          <w:rFonts w:ascii="宋体" w:hAnsi="宋体"/>
          <w:lang w:val="en" w:eastAsia="zh-CN"/>
        </w:rPr>
        <w:t>1</w:t>
      </w:r>
      <w:r>
        <w:rPr>
          <w:rFonts w:hint="eastAsia" w:ascii="宋体" w:hAnsi="宋体"/>
          <w:lang w:eastAsia="zh-CN"/>
        </w:rPr>
        <w:t>）涉及商品包装和快递包装的，是否参考《商品包装政府采购需求标准（试行）》、《快递包装政府采购需求标准（试行）》明确产品及相关快递服务的具体包装要求：</w:t>
      </w:r>
    </w:p>
    <w:p w14:paraId="6868D86C">
      <w:pPr>
        <w:numPr>
          <w:ilvl w:val="255"/>
          <w:numId w:val="0"/>
        </w:numPr>
        <w:spacing w:line="400" w:lineRule="exact"/>
        <w:ind w:firstLine="840" w:firstLineChars="400"/>
        <w:rPr>
          <w:rFonts w:hint="eastAsia" w:ascii="宋体" w:hAnsi="宋体"/>
          <w:lang w:eastAsia="zh-CN"/>
        </w:rPr>
      </w:pP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否</w:t>
      </w: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不涉及</w:t>
      </w:r>
    </w:p>
    <w:p w14:paraId="7F131BEE">
      <w:pPr>
        <w:numPr>
          <w:ilvl w:val="0"/>
          <w:numId w:val="6"/>
        </w:numPr>
        <w:spacing w:line="400" w:lineRule="exact"/>
        <w:ind w:firstLine="422" w:firstLineChars="200"/>
        <w:rPr>
          <w:rFonts w:hint="eastAsia" w:ascii="宋体" w:hAnsi="宋体"/>
          <w:b/>
        </w:rPr>
      </w:pPr>
      <w:r>
        <w:rPr>
          <w:rFonts w:hint="eastAsia" w:ascii="宋体" w:hAnsi="宋体"/>
          <w:b/>
        </w:rPr>
        <w:t>合同金额</w:t>
      </w:r>
    </w:p>
    <w:p w14:paraId="22A4308C">
      <w:pPr>
        <w:spacing w:line="400" w:lineRule="exact"/>
        <w:ind w:firstLine="420" w:firstLineChars="200"/>
        <w:rPr>
          <w:rFonts w:hint="eastAsia" w:ascii="宋体" w:hAnsi="宋体"/>
        </w:rPr>
      </w:pPr>
      <w:r>
        <w:rPr>
          <w:rFonts w:hint="eastAsia" w:ascii="宋体" w:hAnsi="宋体"/>
        </w:rPr>
        <w:t>（1）合同金额小写：</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p>
    <w:p w14:paraId="7F07FB88">
      <w:pPr>
        <w:spacing w:line="400" w:lineRule="exact"/>
        <w:rPr>
          <w:rFonts w:hint="eastAsia" w:ascii="宋体" w:hAnsi="宋体"/>
          <w:u w:val="single"/>
        </w:rPr>
      </w:pPr>
      <w:r>
        <w:rPr>
          <w:rFonts w:hint="eastAsia" w:ascii="宋体" w:hAnsi="宋体"/>
          <w:lang w:eastAsia="zh-CN"/>
        </w:rPr>
        <w:t xml:space="preserve">                 </w:t>
      </w:r>
      <w:r>
        <w:rPr>
          <w:rFonts w:hint="eastAsia" w:ascii="宋体" w:hAnsi="宋体"/>
        </w:rPr>
        <w:t>大写：</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p>
    <w:p w14:paraId="27DA759B">
      <w:pPr>
        <w:spacing w:line="400" w:lineRule="exact"/>
        <w:rPr>
          <w:rFonts w:hint="eastAsia" w:ascii="宋体" w:hAnsi="宋体"/>
          <w:lang w:eastAsia="zh-CN"/>
        </w:rPr>
      </w:pPr>
      <w:r>
        <w:rPr>
          <w:rFonts w:hint="eastAsia" w:ascii="宋体" w:hAnsi="宋体"/>
          <w:lang w:eastAsia="zh-CN"/>
        </w:rPr>
        <w:t xml:space="preserve">         分包金额（如有）小写：</w:t>
      </w:r>
      <w:r>
        <w:rPr>
          <w:rFonts w:hint="eastAsia" w:ascii="宋体" w:hAnsi="宋体"/>
          <w:u w:val="single"/>
          <w:lang w:eastAsia="zh-CN"/>
        </w:rPr>
        <w:t xml:space="preserve">                   </w:t>
      </w:r>
    </w:p>
    <w:p w14:paraId="5DBD2DBB">
      <w:pPr>
        <w:spacing w:line="400" w:lineRule="exact"/>
        <w:rPr>
          <w:rFonts w:hint="eastAsia" w:ascii="宋体" w:hAnsi="宋体"/>
          <w:u w:val="single"/>
          <w:lang w:eastAsia="zh-CN"/>
        </w:rPr>
      </w:pPr>
      <w:r>
        <w:rPr>
          <w:rFonts w:hint="eastAsia" w:ascii="宋体" w:hAnsi="宋体"/>
          <w:lang w:eastAsia="zh-CN"/>
        </w:rPr>
        <w:t xml:space="preserve">                     大写：</w:t>
      </w:r>
      <w:r>
        <w:rPr>
          <w:rFonts w:hint="eastAsia" w:ascii="宋体" w:hAnsi="宋体"/>
          <w:u w:val="single"/>
          <w:lang w:eastAsia="zh-CN"/>
        </w:rPr>
        <w:t xml:space="preserve">                       </w:t>
      </w:r>
    </w:p>
    <w:p w14:paraId="658F7455">
      <w:pPr>
        <w:spacing w:line="400" w:lineRule="exact"/>
        <w:rPr>
          <w:rFonts w:hint="eastAsia" w:ascii="宋体" w:hAnsi="宋体"/>
          <w:lang w:eastAsia="zh-CN"/>
        </w:rPr>
      </w:pPr>
      <w:r>
        <w:rPr>
          <w:rFonts w:hint="eastAsia" w:ascii="宋体" w:hAnsi="宋体"/>
          <w:lang w:eastAsia="zh-CN"/>
        </w:rPr>
        <w:t xml:space="preserve">    （注：固定单价合同应填写单价和最高限价）</w:t>
      </w:r>
    </w:p>
    <w:p w14:paraId="38E7299E">
      <w:pPr>
        <w:numPr>
          <w:ilvl w:val="255"/>
          <w:numId w:val="0"/>
        </w:numPr>
        <w:spacing w:line="400" w:lineRule="exact"/>
        <w:rPr>
          <w:rFonts w:hint="eastAsia" w:ascii="宋体" w:hAnsi="宋体"/>
          <w:lang w:eastAsia="zh-CN"/>
        </w:rPr>
      </w:pPr>
      <w:r>
        <w:rPr>
          <w:rFonts w:hint="eastAsia" w:ascii="宋体" w:hAnsi="宋体"/>
          <w:lang w:eastAsia="zh-CN"/>
        </w:rPr>
        <w:t xml:space="preserve">    （2）合同定价方式（采用组合定价方式的，可以勾选多项）：</w:t>
      </w:r>
    </w:p>
    <w:p w14:paraId="6F868F3C">
      <w:pPr>
        <w:spacing w:line="400" w:lineRule="exact"/>
        <w:ind w:firstLine="420" w:firstLineChars="200"/>
        <w:rPr>
          <w:rFonts w:hint="eastAsia" w:ascii="宋体" w:hAnsi="宋体"/>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固定总价 </w:t>
      </w:r>
      <w:r>
        <w:rPr>
          <w:rFonts w:hint="eastAsia" w:ascii="宋体" w:hAnsi="宋体"/>
          <w:iCs/>
        </w:rPr>
        <w:sym w:font="Wingdings" w:char="00A8"/>
      </w:r>
      <w:r>
        <w:rPr>
          <w:rFonts w:hint="eastAsia" w:ascii="宋体" w:hAnsi="宋体"/>
          <w:iCs/>
          <w:lang w:eastAsia="zh-CN"/>
        </w:rPr>
        <w:t xml:space="preserve">固定单价 </w:t>
      </w:r>
      <w:r>
        <w:rPr>
          <w:rFonts w:hint="eastAsia" w:ascii="宋体" w:hAnsi="宋体"/>
          <w:iCs/>
        </w:rPr>
        <w:sym w:font="Wingdings" w:char="00A8"/>
      </w:r>
      <w:r>
        <w:rPr>
          <w:rFonts w:hint="eastAsia" w:ascii="宋体" w:hAnsi="宋体"/>
          <w:iCs/>
          <w:lang w:eastAsia="zh-CN"/>
        </w:rPr>
        <w:t xml:space="preserve">固定费率 </w:t>
      </w:r>
      <w:r>
        <w:rPr>
          <w:rFonts w:hint="eastAsia" w:ascii="宋体" w:hAnsi="宋体"/>
          <w:iCs/>
        </w:rPr>
        <w:sym w:font="Wingdings" w:char="00A8"/>
      </w:r>
      <w:r>
        <w:rPr>
          <w:rFonts w:hint="eastAsia" w:ascii="宋体" w:hAnsi="宋体"/>
          <w:iCs/>
          <w:lang w:eastAsia="zh-CN"/>
        </w:rPr>
        <w:t xml:space="preserve">成本补偿 </w:t>
      </w:r>
      <w:r>
        <w:rPr>
          <w:rFonts w:hint="eastAsia" w:ascii="宋体" w:hAnsi="宋体"/>
          <w:iCs/>
        </w:rPr>
        <w:sym w:font="Wingdings" w:char="00A8"/>
      </w:r>
      <w:r>
        <w:rPr>
          <w:rFonts w:hint="eastAsia" w:ascii="宋体" w:hAnsi="宋体"/>
          <w:iCs/>
          <w:lang w:eastAsia="zh-CN"/>
        </w:rPr>
        <w:t xml:space="preserve">绩效激励 </w:t>
      </w:r>
      <w:r>
        <w:rPr>
          <w:rFonts w:hint="eastAsia" w:ascii="宋体" w:hAnsi="宋体"/>
          <w:iCs/>
        </w:rPr>
        <w:sym w:font="Wingdings" w:char="00A8"/>
      </w:r>
      <w:r>
        <w:rPr>
          <w:rFonts w:hint="eastAsia" w:ascii="宋体" w:hAnsi="宋体"/>
          <w:iCs/>
          <w:lang w:eastAsia="zh-CN"/>
        </w:rPr>
        <w:t>其他</w:t>
      </w:r>
      <w:r>
        <w:rPr>
          <w:rFonts w:hint="eastAsia" w:ascii="宋体" w:hAnsi="宋体"/>
          <w:u w:val="single"/>
          <w:lang w:eastAsia="zh-CN"/>
        </w:rPr>
        <w:t xml:space="preserve">       </w:t>
      </w:r>
    </w:p>
    <w:p w14:paraId="7BC1EF46">
      <w:pPr>
        <w:pStyle w:val="52"/>
        <w:spacing w:line="400" w:lineRule="exact"/>
        <w:rPr>
          <w:lang w:eastAsia="zh-CN"/>
        </w:rPr>
      </w:pPr>
      <w:r>
        <w:rPr>
          <w:rFonts w:hint="eastAsia" w:ascii="宋体" w:hAnsi="宋体"/>
          <w:lang w:eastAsia="zh-CN"/>
        </w:rPr>
        <w:t>（3）付款方式（按项目实际勾选填写）：</w:t>
      </w:r>
    </w:p>
    <w:p w14:paraId="690CE7DC">
      <w:pPr>
        <w:spacing w:line="400" w:lineRule="exact"/>
        <w:ind w:firstLine="630" w:firstLineChars="300"/>
        <w:rPr>
          <w:rFonts w:hint="eastAsia" w:ascii="宋体" w:hAnsi="宋体"/>
          <w:u w:val="single"/>
          <w:lang w:eastAsia="zh-CN"/>
        </w:rPr>
      </w:pPr>
      <w:r>
        <w:rPr>
          <w:rFonts w:hint="eastAsia" w:ascii="宋体" w:hAnsi="宋体"/>
        </w:rPr>
        <w:sym w:font="Wingdings" w:char="00A8"/>
      </w:r>
      <w:r>
        <w:rPr>
          <w:rFonts w:hint="eastAsia" w:ascii="宋体" w:hAnsi="宋体"/>
          <w:lang w:eastAsia="zh-CN"/>
        </w:rPr>
        <w:t>全额付款：</w:t>
      </w:r>
      <w:r>
        <w:rPr>
          <w:rFonts w:hint="eastAsia" w:ascii="宋体" w:hAnsi="宋体"/>
          <w:u w:val="single"/>
          <w:lang w:eastAsia="zh-CN"/>
        </w:rPr>
        <w:t xml:space="preserve">     （应明确一次性支付合同款项的条件）                    </w:t>
      </w:r>
    </w:p>
    <w:p w14:paraId="200FF6B2">
      <w:pPr>
        <w:spacing w:line="400" w:lineRule="exact"/>
        <w:ind w:firstLine="630" w:firstLineChars="300"/>
        <w:rPr>
          <w:lang w:eastAsia="zh-CN"/>
        </w:rPr>
      </w:pPr>
      <w:r>
        <w:rPr>
          <w:rFonts w:hint="eastAsia" w:ascii="宋体" w:hAnsi="宋体"/>
        </w:rPr>
        <w:sym w:font="Wingdings" w:char="00A8"/>
      </w:r>
      <w:r>
        <w:rPr>
          <w:rFonts w:hint="eastAsia" w:ascii="宋体" w:hAnsi="宋体"/>
          <w:lang w:eastAsia="zh-CN"/>
        </w:rPr>
        <w:t>分期付款：</w:t>
      </w:r>
      <w:r>
        <w:rPr>
          <w:rFonts w:hint="eastAsia" w:ascii="宋体" w:hAnsi="宋体"/>
          <w:u w:val="single"/>
          <w:lang w:eastAsia="zh-CN"/>
        </w:rPr>
        <w:t xml:space="preserve">  （应明确分期支付合同款项的各期比例和支付条件，各期支付条件应与分期履约验收情况挂钩） </w:t>
      </w:r>
      <w:r>
        <w:rPr>
          <w:rFonts w:hint="eastAsia" w:ascii="宋体" w:hAnsi="宋体"/>
          <w:lang w:eastAsia="zh-CN"/>
        </w:rPr>
        <w:t>，其中涉及预付款的：</w:t>
      </w:r>
      <w:r>
        <w:rPr>
          <w:rFonts w:hint="eastAsia" w:ascii="宋体" w:hAnsi="宋体"/>
          <w:u w:val="single"/>
          <w:lang w:eastAsia="zh-CN"/>
        </w:rPr>
        <w:t xml:space="preserve"> （应明确预付款的支付比例和支付条件） </w:t>
      </w:r>
    </w:p>
    <w:p w14:paraId="7AA264F0">
      <w:pPr>
        <w:spacing w:line="400" w:lineRule="exact"/>
        <w:ind w:firstLine="630" w:firstLineChars="300"/>
        <w:rPr>
          <w:rFonts w:hint="eastAsia" w:ascii="宋体" w:hAnsi="宋体"/>
          <w:u w:val="single"/>
          <w:lang w:eastAsia="zh-CN"/>
        </w:rPr>
      </w:pPr>
      <w:r>
        <w:rPr>
          <w:rFonts w:hint="eastAsia" w:ascii="宋体" w:hAnsi="宋体"/>
        </w:rPr>
        <w:sym w:font="Wingdings" w:char="00A8"/>
      </w:r>
      <w:r>
        <w:rPr>
          <w:rFonts w:hint="eastAsia" w:ascii="宋体" w:hAnsi="宋体"/>
          <w:lang w:eastAsia="zh-CN"/>
        </w:rPr>
        <w:t>成本补偿：</w:t>
      </w:r>
      <w:r>
        <w:rPr>
          <w:rFonts w:hint="eastAsia" w:ascii="宋体" w:hAnsi="宋体"/>
          <w:u w:val="single"/>
          <w:lang w:eastAsia="zh-CN"/>
        </w:rPr>
        <w:t xml:space="preserve">      （应明确按照成本补偿方式的支付方式和支付条件）   </w:t>
      </w:r>
    </w:p>
    <w:p w14:paraId="0443DD51">
      <w:pPr>
        <w:spacing w:line="400" w:lineRule="exact"/>
        <w:ind w:firstLine="630" w:firstLineChars="300"/>
        <w:rPr>
          <w:rFonts w:hint="eastAsia" w:ascii="宋体" w:hAnsi="宋体"/>
          <w:lang w:eastAsia="zh-CN"/>
        </w:rPr>
      </w:pPr>
      <w:r>
        <w:rPr>
          <w:rFonts w:hint="eastAsia" w:ascii="宋体" w:hAnsi="宋体"/>
        </w:rPr>
        <w:sym w:font="Wingdings" w:char="00A8"/>
      </w:r>
      <w:r>
        <w:rPr>
          <w:rFonts w:hint="eastAsia" w:ascii="宋体" w:hAnsi="宋体"/>
          <w:lang w:eastAsia="zh-CN"/>
        </w:rPr>
        <w:t>绩效激励：</w:t>
      </w:r>
      <w:r>
        <w:rPr>
          <w:rFonts w:hint="eastAsia" w:ascii="宋体" w:hAnsi="宋体"/>
          <w:u w:val="single"/>
          <w:lang w:eastAsia="zh-CN"/>
        </w:rPr>
        <w:t xml:space="preserve">      （应明确按照绩效激励方式的支付方式和支付条件）   </w:t>
      </w:r>
    </w:p>
    <w:p w14:paraId="796770A6">
      <w:pPr>
        <w:numPr>
          <w:ilvl w:val="0"/>
          <w:numId w:val="6"/>
        </w:numPr>
        <w:spacing w:line="400" w:lineRule="exact"/>
        <w:ind w:firstLine="422" w:firstLineChars="200"/>
        <w:rPr>
          <w:rFonts w:hint="eastAsia" w:ascii="宋体" w:hAnsi="宋体"/>
          <w:b/>
          <w:u w:val="single"/>
        </w:rPr>
      </w:pPr>
      <w:r>
        <w:rPr>
          <w:rFonts w:hint="eastAsia" w:ascii="宋体" w:hAnsi="宋体"/>
          <w:b/>
        </w:rPr>
        <w:t>合同履行</w:t>
      </w:r>
    </w:p>
    <w:p w14:paraId="0CDF0C64">
      <w:pPr>
        <w:spacing w:line="400" w:lineRule="exact"/>
        <w:ind w:firstLine="420" w:firstLineChars="200"/>
        <w:rPr>
          <w:rFonts w:hint="eastAsia" w:ascii="宋体" w:hAnsi="宋体" w:cs="宋体"/>
        </w:rPr>
      </w:pPr>
      <w:r>
        <w:rPr>
          <w:rFonts w:hint="eastAsia" w:ascii="宋体" w:hAnsi="宋体" w:cs="宋体"/>
        </w:rPr>
        <w:t>（1）起始日期：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日，完成日期：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97A9363">
      <w:pPr>
        <w:spacing w:line="400" w:lineRule="exact"/>
        <w:ind w:firstLine="420" w:firstLineChars="200"/>
        <w:rPr>
          <w:rFonts w:hint="eastAsia" w:ascii="宋体" w:hAnsi="宋体" w:cs="宋体"/>
          <w:u w:val="single"/>
          <w:lang w:eastAsia="zh-CN"/>
        </w:rPr>
      </w:pPr>
      <w:r>
        <w:rPr>
          <w:rFonts w:hint="eastAsia" w:ascii="宋体" w:hAnsi="宋体" w:cs="宋体"/>
          <w:lang w:eastAsia="zh-CN"/>
        </w:rPr>
        <w:t>（2）履约地点</w:t>
      </w:r>
      <w:r>
        <w:rPr>
          <w:rFonts w:hint="eastAsia" w:ascii="宋体" w:hAnsi="宋体" w:cs="宋体"/>
          <w:bCs/>
          <w:lang w:eastAsia="zh-CN"/>
        </w:rPr>
        <w:t>：</w:t>
      </w:r>
      <w:r>
        <w:rPr>
          <w:rFonts w:hint="eastAsia" w:ascii="宋体" w:hAnsi="宋体" w:cs="宋体"/>
          <w:u w:val="single"/>
          <w:lang w:eastAsia="zh-CN"/>
        </w:rPr>
        <w:t xml:space="preserve">                             </w:t>
      </w:r>
    </w:p>
    <w:p w14:paraId="382DE6F1">
      <w:pPr>
        <w:spacing w:line="400" w:lineRule="exact"/>
        <w:ind w:firstLine="420" w:firstLineChars="200"/>
        <w:rPr>
          <w:rFonts w:hint="eastAsia" w:ascii="宋体" w:hAnsi="宋体" w:cs="宋体"/>
          <w:lang w:eastAsia="zh-CN"/>
        </w:rPr>
      </w:pPr>
      <w:r>
        <w:rPr>
          <w:rFonts w:hint="eastAsia" w:ascii="宋体" w:hAnsi="宋体" w:cs="宋体"/>
          <w:bCs/>
          <w:lang w:eastAsia="zh-CN"/>
        </w:rPr>
        <w:t>（3）履约担保：</w:t>
      </w:r>
      <w:r>
        <w:rPr>
          <w:rFonts w:hint="eastAsia" w:ascii="宋体" w:hAnsi="宋体" w:cs="宋体"/>
          <w:lang w:eastAsia="zh-CN"/>
        </w:rPr>
        <w:t>是否收取履约保证金：</w:t>
      </w:r>
      <w:r>
        <w:rPr>
          <w:rFonts w:hint="eastAsia" w:ascii="宋体" w:hAnsi="宋体" w:cs="宋体"/>
        </w:rPr>
        <w:sym w:font="Wingdings" w:char="00A8"/>
      </w:r>
      <w:r>
        <w:rPr>
          <w:rFonts w:hint="eastAsia" w:ascii="宋体" w:hAnsi="宋体" w:cs="宋体"/>
          <w:lang w:eastAsia="zh-CN"/>
        </w:rPr>
        <w:t xml:space="preserve">是    </w:t>
      </w:r>
      <w:r>
        <w:rPr>
          <w:rFonts w:hint="eastAsia" w:ascii="宋体" w:hAnsi="宋体" w:cs="宋体"/>
        </w:rPr>
        <w:sym w:font="Wingdings" w:char="00A8"/>
      </w:r>
      <w:r>
        <w:rPr>
          <w:rFonts w:hint="eastAsia" w:ascii="宋体" w:hAnsi="宋体" w:cs="宋体"/>
          <w:lang w:eastAsia="zh-CN"/>
        </w:rPr>
        <w:t>否</w:t>
      </w:r>
    </w:p>
    <w:p w14:paraId="46898138">
      <w:pPr>
        <w:pStyle w:val="51"/>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2EFC9052">
      <w:pPr>
        <w:pStyle w:val="51"/>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F0BB7E5">
      <w:pPr>
        <w:spacing w:line="400" w:lineRule="exact"/>
        <w:ind w:firstLine="420" w:firstLineChars="200"/>
        <w:rPr>
          <w:rFonts w:hint="eastAsia" w:ascii="宋体" w:hAnsi="宋体" w:cs="宋体"/>
          <w:lang w:eastAsia="zh-CN"/>
        </w:rPr>
      </w:pPr>
      <w:r>
        <w:rPr>
          <w:rFonts w:hint="eastAsia" w:ascii="宋体" w:hAnsi="宋体" w:cs="宋体"/>
          <w:bCs/>
          <w:lang w:eastAsia="zh-CN"/>
        </w:rPr>
        <w:t xml:space="preserve">    履约担保期限：</w:t>
      </w:r>
      <w:r>
        <w:rPr>
          <w:rFonts w:hint="eastAsia" w:ascii="宋体" w:hAnsi="宋体" w:cs="宋体"/>
          <w:bCs/>
          <w:u w:val="single"/>
          <w:lang w:eastAsia="zh-CN"/>
        </w:rPr>
        <w:t xml:space="preserve">                                  </w:t>
      </w:r>
    </w:p>
    <w:p w14:paraId="39A6FEC6">
      <w:pPr>
        <w:spacing w:line="400" w:lineRule="exact"/>
        <w:ind w:firstLine="420" w:firstLineChars="200"/>
        <w:rPr>
          <w:rFonts w:hint="eastAsia" w:ascii="宋体" w:hAnsi="宋体" w:cs="宋体"/>
          <w:bCs/>
          <w:lang w:eastAsia="zh-CN"/>
        </w:rPr>
      </w:pPr>
      <w:r>
        <w:rPr>
          <w:rFonts w:hint="eastAsia" w:ascii="宋体" w:hAnsi="宋体" w:cs="宋体"/>
          <w:bCs/>
          <w:lang w:eastAsia="zh-CN"/>
        </w:rPr>
        <w:t>（4）分期履行要求：</w:t>
      </w:r>
      <w:r>
        <w:rPr>
          <w:rFonts w:hint="eastAsia" w:ascii="宋体" w:hAnsi="宋体" w:cs="宋体"/>
          <w:bCs/>
          <w:u w:val="single"/>
          <w:lang w:eastAsia="zh-CN"/>
        </w:rPr>
        <w:t xml:space="preserve">                                                        </w:t>
      </w:r>
    </w:p>
    <w:p w14:paraId="39CBC93C">
      <w:pPr>
        <w:spacing w:line="400" w:lineRule="exact"/>
        <w:ind w:firstLine="420" w:firstLineChars="200"/>
        <w:rPr>
          <w:rFonts w:hint="eastAsia" w:ascii="宋体" w:hAnsi="宋体" w:cs="宋体"/>
          <w:u w:val="single"/>
          <w:lang w:eastAsia="zh-CN"/>
        </w:rPr>
      </w:pPr>
      <w:r>
        <w:rPr>
          <w:rFonts w:hint="eastAsia" w:ascii="宋体" w:hAnsi="宋体" w:cs="宋体"/>
          <w:bCs/>
          <w:lang w:eastAsia="zh-CN"/>
        </w:rPr>
        <w:t>（5）风险处置措施和替代方案：</w:t>
      </w:r>
      <w:r>
        <w:rPr>
          <w:rFonts w:hint="eastAsia" w:ascii="宋体" w:hAnsi="宋体" w:cs="宋体"/>
          <w:color w:val="0000FF"/>
          <w:u w:val="single"/>
          <w:lang w:eastAsia="zh-CN"/>
        </w:rPr>
        <w:t xml:space="preserve"> </w:t>
      </w:r>
      <w:r>
        <w:rPr>
          <w:rFonts w:hint="eastAsia" w:ascii="宋体" w:hAnsi="宋体" w:cs="宋体"/>
          <w:color w:val="000000" w:themeColor="text1"/>
          <w:u w:val="single"/>
          <w:lang w:eastAsia="zh-CN"/>
          <w14:textFill>
            <w14:solidFill>
              <w14:schemeClr w14:val="tx1"/>
            </w14:solidFill>
          </w14:textFill>
        </w:rPr>
        <w:t xml:space="preserve">              </w:t>
      </w:r>
      <w:r>
        <w:rPr>
          <w:rFonts w:hint="eastAsia" w:ascii="宋体" w:hAnsi="宋体" w:cs="宋体"/>
          <w:u w:val="single"/>
          <w:lang w:eastAsia="zh-CN"/>
        </w:rPr>
        <w:t xml:space="preserve">                                                </w:t>
      </w:r>
    </w:p>
    <w:p w14:paraId="0D387D31">
      <w:pPr>
        <w:numPr>
          <w:ilvl w:val="0"/>
          <w:numId w:val="6"/>
        </w:numPr>
        <w:spacing w:line="400" w:lineRule="exact"/>
        <w:ind w:firstLine="422" w:firstLineChars="200"/>
        <w:rPr>
          <w:rFonts w:hint="eastAsia" w:ascii="宋体" w:hAnsi="宋体"/>
          <w:b/>
        </w:rPr>
      </w:pPr>
      <w:r>
        <w:rPr>
          <w:rFonts w:hint="eastAsia" w:ascii="宋体" w:hAnsi="宋体"/>
          <w:b/>
        </w:rPr>
        <w:t>合同验收</w:t>
      </w:r>
    </w:p>
    <w:p w14:paraId="32EBCE34">
      <w:pPr>
        <w:numPr>
          <w:ilvl w:val="0"/>
          <w:numId w:val="8"/>
        </w:numPr>
        <w:spacing w:line="400" w:lineRule="exact"/>
        <w:ind w:firstLine="420" w:firstLineChars="200"/>
        <w:rPr>
          <w:rFonts w:hint="eastAsia" w:ascii="宋体" w:hAnsi="宋体"/>
          <w:bCs/>
          <w:lang w:eastAsia="zh-CN"/>
        </w:rPr>
      </w:pPr>
      <w:r>
        <w:rPr>
          <w:rFonts w:hint="eastAsia" w:ascii="宋体" w:hAnsi="宋体"/>
          <w:bCs/>
          <w:lang w:eastAsia="zh-CN"/>
        </w:rPr>
        <w:t>验收组织方式：</w:t>
      </w:r>
      <w:r>
        <w:rPr>
          <w:rFonts w:hint="eastAsia" w:ascii="宋体" w:hAnsi="宋体" w:cs="宋体"/>
        </w:rPr>
        <w:sym w:font="Wingdings" w:char="00A8"/>
      </w:r>
      <w:r>
        <w:rPr>
          <w:rFonts w:hint="eastAsia" w:ascii="宋体" w:hAnsi="宋体"/>
          <w:bCs/>
          <w:lang w:eastAsia="zh-CN"/>
        </w:rPr>
        <w:t xml:space="preserve">自行组织 </w:t>
      </w:r>
      <w:r>
        <w:rPr>
          <w:rFonts w:hint="eastAsia" w:ascii="宋体" w:hAnsi="宋体" w:cs="宋体"/>
        </w:rPr>
        <w:sym w:font="Wingdings" w:char="00A8"/>
      </w:r>
      <w:r>
        <w:rPr>
          <w:rFonts w:hint="eastAsia" w:ascii="宋体" w:hAnsi="宋体"/>
          <w:bCs/>
          <w:lang w:eastAsia="zh-CN"/>
        </w:rPr>
        <w:t>委托第三方组织</w:t>
      </w:r>
    </w:p>
    <w:p w14:paraId="05A79B11">
      <w:pPr>
        <w:spacing w:line="400" w:lineRule="exact"/>
        <w:rPr>
          <w:rFonts w:hint="eastAsia" w:ascii="宋体" w:hAnsi="宋体"/>
          <w:bCs/>
          <w:lang w:eastAsia="zh-CN"/>
        </w:rPr>
      </w:pPr>
      <w:r>
        <w:rPr>
          <w:rFonts w:hint="eastAsia" w:ascii="宋体" w:hAnsi="宋体"/>
          <w:bCs/>
          <w:lang w:eastAsia="zh-CN"/>
        </w:rPr>
        <w:t xml:space="preserve">         验收主体：</w:t>
      </w:r>
      <w:r>
        <w:rPr>
          <w:rFonts w:hint="eastAsia" w:ascii="宋体" w:hAnsi="宋体"/>
          <w:bCs/>
          <w:u w:val="single"/>
          <w:lang w:eastAsia="zh-CN"/>
        </w:rPr>
        <w:t xml:space="preserve">                  </w:t>
      </w:r>
    </w:p>
    <w:p w14:paraId="34F41153">
      <w:pPr>
        <w:spacing w:line="400" w:lineRule="exact"/>
        <w:rPr>
          <w:rFonts w:hint="eastAsia" w:ascii="宋体" w:hAnsi="宋体"/>
          <w:bCs/>
          <w:lang w:eastAsia="zh-CN"/>
        </w:rPr>
      </w:pPr>
      <w:r>
        <w:rPr>
          <w:rFonts w:hint="eastAsia" w:ascii="宋体" w:hAnsi="宋体"/>
          <w:bCs/>
          <w:lang w:eastAsia="zh-CN"/>
        </w:rPr>
        <w:t xml:space="preserve">        是否邀请本项目的其他供应商参加验收：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71E5579B">
      <w:pPr>
        <w:spacing w:line="400" w:lineRule="exact"/>
        <w:ind w:firstLine="840" w:firstLineChars="400"/>
        <w:rPr>
          <w:rFonts w:hint="eastAsia" w:ascii="宋体" w:hAnsi="宋体"/>
          <w:bCs/>
          <w:lang w:eastAsia="zh-CN"/>
        </w:rPr>
      </w:pPr>
      <w:r>
        <w:rPr>
          <w:rFonts w:hint="eastAsia" w:ascii="宋体" w:hAnsi="宋体"/>
          <w:bCs/>
          <w:lang w:eastAsia="zh-CN"/>
        </w:rPr>
        <w:t>是否邀请专家参加验收：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0E0F7B0E">
      <w:pPr>
        <w:spacing w:line="400" w:lineRule="exact"/>
        <w:ind w:firstLine="840" w:firstLineChars="400"/>
        <w:rPr>
          <w:rFonts w:hint="eastAsia" w:ascii="宋体" w:hAnsi="宋体"/>
          <w:bCs/>
          <w:lang w:eastAsia="zh-CN"/>
        </w:rPr>
      </w:pPr>
      <w:r>
        <w:rPr>
          <w:rFonts w:hint="eastAsia" w:ascii="宋体" w:hAnsi="宋体"/>
          <w:bCs/>
          <w:lang w:eastAsia="zh-CN"/>
        </w:rPr>
        <w:t>是否邀请服务对象参加验收：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786ED645">
      <w:pPr>
        <w:spacing w:line="400" w:lineRule="exact"/>
        <w:ind w:firstLine="840" w:firstLineChars="400"/>
        <w:rPr>
          <w:rFonts w:hint="eastAsia" w:ascii="宋体" w:hAnsi="宋体"/>
          <w:bCs/>
          <w:lang w:eastAsia="zh-CN"/>
        </w:rPr>
      </w:pPr>
      <w:r>
        <w:rPr>
          <w:rFonts w:hint="eastAsia" w:ascii="宋体" w:hAnsi="宋体"/>
          <w:bCs/>
          <w:lang w:eastAsia="zh-CN"/>
        </w:rPr>
        <w:t>是否邀请第三方检测机构参加验收：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7A1DCB93">
      <w:pPr>
        <w:spacing w:line="400" w:lineRule="exact"/>
        <w:ind w:firstLine="840" w:firstLineChars="400"/>
        <w:rPr>
          <w:rFonts w:hint="eastAsia" w:ascii="宋体" w:hAnsi="宋体"/>
          <w:bCs/>
          <w:lang w:eastAsia="zh-CN"/>
        </w:rPr>
      </w:pPr>
      <w:r>
        <w:rPr>
          <w:rFonts w:hint="eastAsia" w:ascii="宋体" w:hAnsi="宋体"/>
          <w:bCs/>
          <w:lang w:eastAsia="zh-CN"/>
        </w:rPr>
        <w:t>是否进行抽查检测：</w:t>
      </w:r>
      <w:r>
        <w:rPr>
          <w:rFonts w:hint="eastAsia" w:ascii="宋体" w:hAnsi="宋体" w:cs="宋体"/>
        </w:rPr>
        <w:sym w:font="Wingdings" w:char="00A8"/>
      </w:r>
      <w:r>
        <w:rPr>
          <w:rFonts w:hint="eastAsia" w:ascii="宋体" w:hAnsi="宋体"/>
          <w:bCs/>
          <w:lang w:eastAsia="zh-CN"/>
        </w:rPr>
        <w:t>是，抽查比例：</w:t>
      </w:r>
      <w:r>
        <w:rPr>
          <w:rFonts w:hint="eastAsia" w:ascii="宋体" w:hAnsi="宋体"/>
          <w:bCs/>
          <w:u w:val="single"/>
          <w:lang w:eastAsia="zh-CN"/>
        </w:rPr>
        <w:t xml:space="preserve">        </w:t>
      </w: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否</w:t>
      </w:r>
    </w:p>
    <w:p w14:paraId="55BA12DB">
      <w:pPr>
        <w:spacing w:line="400" w:lineRule="exact"/>
        <w:ind w:firstLine="840" w:firstLineChars="400"/>
        <w:rPr>
          <w:rFonts w:hint="eastAsia" w:ascii="宋体" w:hAnsi="宋体"/>
          <w:bCs/>
          <w:u w:val="single"/>
          <w:lang w:eastAsia="zh-CN"/>
        </w:rPr>
      </w:pPr>
      <w:r>
        <w:rPr>
          <w:rFonts w:hint="eastAsia" w:ascii="宋体" w:hAnsi="宋体"/>
          <w:bCs/>
          <w:lang w:eastAsia="zh-CN"/>
        </w:rPr>
        <w:t>是否存在破坏性检测：</w:t>
      </w:r>
      <w:r>
        <w:rPr>
          <w:rFonts w:hint="eastAsia" w:ascii="宋体" w:hAnsi="宋体" w:cs="宋体"/>
        </w:rPr>
        <w:sym w:font="Wingdings" w:char="00A8"/>
      </w:r>
      <w:r>
        <w:rPr>
          <w:rFonts w:hint="eastAsia" w:ascii="宋体" w:hAnsi="宋体"/>
          <w:bCs/>
          <w:lang w:eastAsia="zh-CN"/>
        </w:rPr>
        <w:t>是，</w:t>
      </w:r>
      <w:r>
        <w:rPr>
          <w:rFonts w:hint="eastAsia" w:ascii="宋体" w:hAnsi="宋体"/>
          <w:bCs/>
          <w:u w:val="single"/>
          <w:lang w:eastAsia="zh-CN"/>
        </w:rPr>
        <w:t>（应明确对被破坏的检测产品的处理方式）</w:t>
      </w:r>
    </w:p>
    <w:p w14:paraId="06E439BE">
      <w:pPr>
        <w:spacing w:line="400" w:lineRule="exact"/>
        <w:ind w:firstLine="840" w:firstLineChars="400"/>
        <w:rPr>
          <w:rFonts w:hint="eastAsia" w:ascii="宋体" w:hAnsi="宋体"/>
          <w:bCs/>
          <w:lang w:eastAsia="zh-CN"/>
        </w:rPr>
      </w:pP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否</w:t>
      </w:r>
    </w:p>
    <w:p w14:paraId="63246FE9">
      <w:pPr>
        <w:spacing w:line="400" w:lineRule="exact"/>
        <w:ind w:firstLine="840" w:firstLineChars="400"/>
        <w:rPr>
          <w:rFonts w:hint="eastAsia" w:ascii="宋体" w:hAnsi="宋体"/>
          <w:bCs/>
          <w:u w:val="single"/>
          <w:lang w:eastAsia="zh-CN"/>
        </w:rPr>
      </w:pPr>
      <w:r>
        <w:rPr>
          <w:rFonts w:hint="eastAsia" w:ascii="宋体" w:hAnsi="宋体"/>
          <w:bCs/>
          <w:lang w:eastAsia="zh-CN"/>
        </w:rPr>
        <w:t>验收组织的其他事项：</w:t>
      </w:r>
      <w:r>
        <w:rPr>
          <w:rFonts w:hint="eastAsia" w:ascii="宋体" w:hAnsi="宋体"/>
          <w:bCs/>
          <w:u w:val="single"/>
          <w:lang w:eastAsia="zh-CN"/>
        </w:rPr>
        <w:t xml:space="preserve">                </w:t>
      </w:r>
    </w:p>
    <w:p w14:paraId="57F90FF7">
      <w:pPr>
        <w:spacing w:line="400" w:lineRule="exact"/>
        <w:ind w:firstLine="420" w:firstLineChars="200"/>
        <w:rPr>
          <w:rFonts w:hint="eastAsia" w:ascii="宋体" w:hAnsi="宋体"/>
          <w:bCs/>
          <w:u w:val="single"/>
          <w:lang w:eastAsia="zh-CN"/>
        </w:rPr>
      </w:pPr>
      <w:r>
        <w:rPr>
          <w:rFonts w:hint="eastAsia" w:ascii="宋体" w:hAnsi="宋体"/>
          <w:bCs/>
          <w:lang w:eastAsia="zh-CN"/>
        </w:rPr>
        <w:t>（2）履约验收时间：</w:t>
      </w:r>
      <w:r>
        <w:rPr>
          <w:rFonts w:hint="eastAsia" w:ascii="宋体" w:hAnsi="宋体"/>
          <w:bCs/>
          <w:u w:val="single"/>
          <w:lang w:eastAsia="zh-CN"/>
        </w:rPr>
        <w:t xml:space="preserve">（计划于何时验收/供应商提出验收申请之日起   日内组织验收） </w:t>
      </w:r>
    </w:p>
    <w:p w14:paraId="249B3928">
      <w:pPr>
        <w:spacing w:line="400" w:lineRule="exact"/>
        <w:ind w:firstLine="420" w:firstLineChars="200"/>
        <w:rPr>
          <w:rFonts w:hint="eastAsia" w:ascii="宋体" w:hAnsi="宋体"/>
          <w:bCs/>
          <w:lang w:eastAsia="zh-CN"/>
        </w:rPr>
      </w:pPr>
      <w:r>
        <w:rPr>
          <w:rFonts w:hint="eastAsia" w:ascii="宋体" w:hAnsi="宋体"/>
          <w:bCs/>
          <w:lang w:eastAsia="zh-CN"/>
        </w:rPr>
        <w:t>（3）履约验收方式：</w:t>
      </w:r>
      <w:r>
        <w:rPr>
          <w:rFonts w:hint="eastAsia" w:ascii="宋体" w:hAnsi="宋体" w:cs="宋体"/>
        </w:rPr>
        <w:sym w:font="Wingdings" w:char="00A8"/>
      </w:r>
      <w:r>
        <w:rPr>
          <w:rFonts w:hint="eastAsia" w:ascii="宋体" w:hAnsi="宋体"/>
          <w:bCs/>
          <w:lang w:eastAsia="zh-CN"/>
        </w:rPr>
        <w:t xml:space="preserve">一次性验收         </w:t>
      </w:r>
    </w:p>
    <w:p w14:paraId="5011D762">
      <w:pPr>
        <w:spacing w:line="400" w:lineRule="exact"/>
        <w:rPr>
          <w:rFonts w:hint="eastAsia" w:ascii="宋体" w:hAnsi="宋体"/>
          <w:bCs/>
          <w:lang w:eastAsia="zh-CN"/>
        </w:rPr>
      </w:pP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分期/分项验收：</w:t>
      </w:r>
      <w:r>
        <w:rPr>
          <w:rFonts w:hint="eastAsia" w:ascii="宋体" w:hAnsi="宋体"/>
          <w:bCs/>
          <w:u w:val="single"/>
          <w:lang w:eastAsia="zh-CN"/>
        </w:rPr>
        <w:t xml:space="preserve"> （应明确分期</w:t>
      </w:r>
      <w:r>
        <w:rPr>
          <w:rFonts w:ascii="宋体" w:hAnsi="宋体"/>
          <w:bCs/>
          <w:u w:val="single"/>
          <w:lang w:val="en" w:eastAsia="zh-CN"/>
        </w:rPr>
        <w:t>/</w:t>
      </w:r>
      <w:r>
        <w:rPr>
          <w:rFonts w:hint="eastAsia" w:ascii="宋体" w:hAnsi="宋体"/>
          <w:bCs/>
          <w:u w:val="single"/>
          <w:lang w:val="en" w:eastAsia="zh-CN"/>
        </w:rPr>
        <w:t>分项验收的工作安排</w:t>
      </w:r>
      <w:r>
        <w:rPr>
          <w:rFonts w:hint="eastAsia" w:ascii="宋体" w:hAnsi="宋体"/>
          <w:bCs/>
          <w:u w:val="single"/>
          <w:lang w:eastAsia="zh-CN"/>
        </w:rPr>
        <w:t xml:space="preserve">）  </w:t>
      </w:r>
    </w:p>
    <w:p w14:paraId="5C701F5F">
      <w:pPr>
        <w:spacing w:line="400" w:lineRule="exact"/>
        <w:ind w:firstLine="420" w:firstLineChars="200"/>
        <w:rPr>
          <w:rFonts w:hint="eastAsia" w:ascii="宋体" w:hAnsi="宋体"/>
          <w:bCs/>
          <w:lang w:eastAsia="zh-CN"/>
        </w:rPr>
      </w:pPr>
      <w:r>
        <w:rPr>
          <w:rFonts w:hint="eastAsia" w:ascii="宋体" w:hAnsi="宋体"/>
          <w:bCs/>
          <w:lang w:eastAsia="zh-CN"/>
        </w:rPr>
        <w:t>（4）履约验收程序：</w:t>
      </w:r>
      <w:r>
        <w:rPr>
          <w:rFonts w:hint="eastAsia" w:ascii="宋体" w:hAnsi="宋体"/>
          <w:bCs/>
          <w:u w:val="single"/>
          <w:lang w:eastAsia="zh-CN"/>
        </w:rPr>
        <w:t xml:space="preserve">                                         </w:t>
      </w:r>
    </w:p>
    <w:p w14:paraId="788D6D8A">
      <w:pPr>
        <w:spacing w:line="400" w:lineRule="exact"/>
        <w:ind w:firstLine="420" w:firstLineChars="200"/>
        <w:rPr>
          <w:rFonts w:hint="eastAsia" w:ascii="宋体" w:hAnsi="宋体"/>
          <w:bCs/>
          <w:u w:val="single"/>
          <w:lang w:eastAsia="zh-CN"/>
        </w:rPr>
      </w:pPr>
      <w:r>
        <w:rPr>
          <w:rFonts w:hint="eastAsia" w:ascii="宋体" w:hAnsi="宋体"/>
          <w:bCs/>
          <w:lang w:eastAsia="zh-CN"/>
        </w:rPr>
        <w:t>（5）履约验收的内容：</w:t>
      </w:r>
      <w:r>
        <w:rPr>
          <w:rFonts w:hint="eastAsia" w:ascii="宋体" w:hAnsi="宋体"/>
          <w:bCs/>
          <w:u w:val="single"/>
          <w:lang w:eastAsia="zh-CN"/>
        </w:rPr>
        <w:t xml:space="preserve"> （应当包括每一项技术和商务要求的履约情况，特别是落实政府采购扶持中小企业，支持绿色发展和乡村振兴等政策情况）                                      </w:t>
      </w:r>
    </w:p>
    <w:p w14:paraId="7656A7E3">
      <w:pPr>
        <w:spacing w:line="400" w:lineRule="exact"/>
        <w:ind w:firstLine="420" w:firstLineChars="200"/>
        <w:rPr>
          <w:rFonts w:hint="eastAsia" w:ascii="宋体" w:hAnsi="宋体"/>
          <w:bCs/>
          <w:u w:val="single"/>
          <w:lang w:eastAsia="zh-CN"/>
        </w:rPr>
      </w:pPr>
      <w:r>
        <w:rPr>
          <w:rFonts w:hint="eastAsia" w:ascii="宋体" w:hAnsi="宋体"/>
          <w:bCs/>
          <w:lang w:eastAsia="zh-CN"/>
        </w:rPr>
        <w:t>（6）履约验收标准：</w:t>
      </w:r>
      <w:r>
        <w:rPr>
          <w:rFonts w:hint="eastAsia" w:ascii="宋体" w:hAnsi="宋体"/>
          <w:bCs/>
          <w:u w:val="single"/>
          <w:lang w:eastAsia="zh-CN"/>
        </w:rPr>
        <w:t xml:space="preserve">                                         </w:t>
      </w:r>
    </w:p>
    <w:p w14:paraId="0DDFDABF">
      <w:pPr>
        <w:pStyle w:val="51"/>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6D7E619">
      <w:pPr>
        <w:spacing w:line="400" w:lineRule="exact"/>
        <w:ind w:firstLine="420" w:firstLineChars="200"/>
        <w:rPr>
          <w:rFonts w:hint="eastAsia" w:ascii="宋体" w:hAnsi="宋体" w:cs="宋体"/>
          <w:bCs/>
          <w:u w:val="single"/>
          <w:lang w:eastAsia="zh-CN"/>
        </w:rPr>
      </w:pPr>
      <w:r>
        <w:rPr>
          <w:rFonts w:hint="eastAsia" w:ascii="宋体" w:hAnsi="宋体" w:cs="宋体"/>
          <w:bCs/>
          <w:lang w:eastAsia="zh-CN"/>
        </w:rPr>
        <w:t>（8）履约验收其他事项：</w:t>
      </w:r>
      <w:r>
        <w:rPr>
          <w:rFonts w:hint="eastAsia" w:ascii="宋体" w:hAnsi="宋体" w:cs="宋体"/>
          <w:bCs/>
          <w:u w:val="single"/>
          <w:lang w:eastAsia="zh-CN"/>
        </w:rPr>
        <w:t xml:space="preserve">      （产权过户登记等）          </w:t>
      </w:r>
    </w:p>
    <w:p w14:paraId="6C02CECB">
      <w:pPr>
        <w:numPr>
          <w:ilvl w:val="0"/>
          <w:numId w:val="6"/>
        </w:numPr>
        <w:spacing w:line="400" w:lineRule="exact"/>
        <w:ind w:firstLine="422" w:firstLineChars="200"/>
        <w:rPr>
          <w:rFonts w:hint="eastAsia" w:ascii="宋体" w:hAnsi="宋体"/>
          <w:b/>
        </w:rPr>
      </w:pPr>
      <w:r>
        <w:rPr>
          <w:rFonts w:hint="eastAsia" w:ascii="宋体" w:hAnsi="宋体"/>
          <w:b/>
        </w:rPr>
        <w:t>组成合同的文件</w:t>
      </w:r>
    </w:p>
    <w:p w14:paraId="7E18B0DA">
      <w:pPr>
        <w:spacing w:line="400" w:lineRule="exact"/>
        <w:ind w:firstLine="420" w:firstLineChars="200"/>
        <w:rPr>
          <w:rFonts w:hint="eastAsia" w:ascii="宋体" w:hAnsi="宋体"/>
          <w:lang w:eastAsia="zh-CN"/>
        </w:rPr>
      </w:pPr>
      <w:r>
        <w:rPr>
          <w:rFonts w:hint="eastAsia" w:ascii="宋体" w:hAnsi="宋体"/>
          <w:lang w:eastAsia="zh-CN"/>
        </w:rPr>
        <w:t>本协议书与下列文件一起构成合同文件，如下述文件之间有任何抵触、矛盾或歧义，应按以下顺序解释：</w:t>
      </w:r>
    </w:p>
    <w:p w14:paraId="378CC250">
      <w:pPr>
        <w:spacing w:line="400" w:lineRule="exact"/>
        <w:ind w:firstLine="420" w:firstLineChars="200"/>
        <w:rPr>
          <w:rFonts w:hint="eastAsia" w:ascii="宋体" w:hAnsi="宋体"/>
          <w:color w:val="auto"/>
          <w:lang w:eastAsia="zh-CN"/>
        </w:rPr>
      </w:pPr>
      <w:r>
        <w:rPr>
          <w:rFonts w:hint="eastAsia" w:ascii="宋体" w:hAnsi="宋体"/>
          <w:color w:val="auto"/>
          <w:lang w:eastAsia="zh-CN"/>
        </w:rPr>
        <w:t>（1）政府采购合同协议书及其变更、补充协议</w:t>
      </w:r>
    </w:p>
    <w:p w14:paraId="208839DA">
      <w:pPr>
        <w:spacing w:line="400" w:lineRule="exact"/>
        <w:ind w:firstLine="420" w:firstLineChars="200"/>
        <w:rPr>
          <w:rFonts w:hint="eastAsia" w:ascii="宋体" w:hAnsi="宋体"/>
          <w:lang w:eastAsia="zh-CN"/>
        </w:rPr>
      </w:pPr>
      <w:r>
        <w:rPr>
          <w:rFonts w:hint="eastAsia" w:ascii="宋体" w:hAnsi="宋体"/>
          <w:lang w:eastAsia="zh-CN"/>
        </w:rPr>
        <w:t>（2）政府采购合同专用条款</w:t>
      </w:r>
    </w:p>
    <w:p w14:paraId="67DF0A4D">
      <w:pPr>
        <w:spacing w:line="400" w:lineRule="exact"/>
        <w:ind w:firstLine="420" w:firstLineChars="200"/>
        <w:rPr>
          <w:rFonts w:hint="eastAsia" w:ascii="宋体" w:hAnsi="宋体"/>
          <w:lang w:eastAsia="zh-CN"/>
        </w:rPr>
      </w:pPr>
      <w:r>
        <w:rPr>
          <w:rFonts w:hint="eastAsia" w:ascii="宋体" w:hAnsi="宋体"/>
          <w:lang w:eastAsia="zh-CN"/>
        </w:rPr>
        <w:t>（3）政府采购合同通用条款</w:t>
      </w:r>
    </w:p>
    <w:p w14:paraId="76F89560">
      <w:pPr>
        <w:spacing w:line="400" w:lineRule="exact"/>
        <w:ind w:firstLine="420" w:firstLineChars="200"/>
        <w:rPr>
          <w:rFonts w:hint="eastAsia" w:ascii="宋体" w:hAnsi="宋体"/>
          <w:color w:val="auto"/>
          <w:lang w:eastAsia="zh-CN"/>
        </w:rPr>
      </w:pPr>
      <w:r>
        <w:rPr>
          <w:rFonts w:hint="eastAsia" w:ascii="宋体" w:hAnsi="宋体"/>
          <w:color w:val="auto"/>
          <w:lang w:eastAsia="zh-CN"/>
        </w:rPr>
        <w:t>（4）中标（成交）通知书</w:t>
      </w:r>
    </w:p>
    <w:p w14:paraId="44CF428F">
      <w:pPr>
        <w:spacing w:line="400" w:lineRule="exact"/>
        <w:ind w:firstLine="420" w:firstLineChars="200"/>
        <w:rPr>
          <w:rFonts w:hint="eastAsia" w:ascii="宋体" w:hAnsi="宋体"/>
          <w:lang w:eastAsia="zh-CN"/>
        </w:rPr>
      </w:pPr>
      <w:r>
        <w:rPr>
          <w:rFonts w:hint="eastAsia" w:ascii="宋体" w:hAnsi="宋体"/>
          <w:lang w:eastAsia="zh-CN"/>
        </w:rPr>
        <w:t>（5）投标（响应）文件</w:t>
      </w:r>
    </w:p>
    <w:p w14:paraId="52FD40FB">
      <w:pPr>
        <w:spacing w:line="400" w:lineRule="exact"/>
        <w:ind w:firstLine="420" w:firstLineChars="200"/>
        <w:rPr>
          <w:rFonts w:hint="eastAsia" w:ascii="宋体" w:hAnsi="宋体"/>
          <w:lang w:eastAsia="zh-CN"/>
        </w:rPr>
      </w:pPr>
      <w:r>
        <w:rPr>
          <w:rFonts w:hint="eastAsia" w:ascii="宋体" w:hAnsi="宋体"/>
          <w:lang w:eastAsia="zh-CN"/>
        </w:rPr>
        <w:t>（6）采购文件</w:t>
      </w:r>
    </w:p>
    <w:p w14:paraId="46A72721">
      <w:pPr>
        <w:spacing w:line="400" w:lineRule="exact"/>
        <w:ind w:firstLine="420" w:firstLineChars="200"/>
        <w:rPr>
          <w:rFonts w:hint="eastAsia" w:ascii="宋体" w:hAnsi="宋体"/>
          <w:lang w:eastAsia="zh-CN"/>
        </w:rPr>
      </w:pPr>
      <w:r>
        <w:rPr>
          <w:rFonts w:hint="eastAsia" w:ascii="宋体" w:hAnsi="宋体"/>
          <w:lang w:eastAsia="zh-CN"/>
        </w:rPr>
        <w:t>（7）有关技术文件，图纸</w:t>
      </w:r>
    </w:p>
    <w:p w14:paraId="4D479256">
      <w:pPr>
        <w:pStyle w:val="51"/>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70251B3B">
      <w:pPr>
        <w:numPr>
          <w:ilvl w:val="0"/>
          <w:numId w:val="6"/>
        </w:numPr>
        <w:spacing w:line="400" w:lineRule="exact"/>
        <w:ind w:firstLine="422" w:firstLineChars="200"/>
        <w:rPr>
          <w:rFonts w:hint="eastAsia" w:ascii="宋体" w:hAnsi="宋体"/>
          <w:b/>
        </w:rPr>
      </w:pPr>
      <w:r>
        <w:rPr>
          <w:rFonts w:hint="eastAsia" w:ascii="宋体" w:hAnsi="宋体"/>
          <w:b/>
        </w:rPr>
        <w:t>合同生效</w:t>
      </w:r>
    </w:p>
    <w:p w14:paraId="14D16543">
      <w:pPr>
        <w:spacing w:line="400" w:lineRule="exact"/>
        <w:ind w:firstLine="420" w:firstLineChars="200"/>
        <w:rPr>
          <w:rFonts w:hint="eastAsia" w:ascii="宋体" w:hAnsi="宋体"/>
        </w:rPr>
      </w:pPr>
      <w:r>
        <w:rPr>
          <w:rFonts w:hint="eastAsia" w:ascii="宋体" w:hAnsi="宋体"/>
        </w:rPr>
        <w:t>本合同自</w:t>
      </w:r>
      <w:r>
        <w:rPr>
          <w:rFonts w:hint="eastAsia" w:ascii="宋体" w:hAnsi="宋体"/>
          <w:u w:val="single"/>
        </w:rPr>
        <w:t xml:space="preserve">                             </w:t>
      </w:r>
      <w:r>
        <w:rPr>
          <w:rFonts w:hint="eastAsia" w:ascii="宋体" w:hAnsi="宋体"/>
        </w:rPr>
        <w:t>生效。</w:t>
      </w:r>
    </w:p>
    <w:p w14:paraId="3772D864">
      <w:pPr>
        <w:numPr>
          <w:ilvl w:val="0"/>
          <w:numId w:val="6"/>
        </w:numPr>
        <w:spacing w:line="400" w:lineRule="exact"/>
        <w:ind w:firstLine="422" w:firstLineChars="200"/>
        <w:rPr>
          <w:rFonts w:hint="eastAsia" w:ascii="宋体" w:hAnsi="宋体"/>
          <w:b/>
        </w:rPr>
      </w:pPr>
      <w:r>
        <w:rPr>
          <w:rFonts w:hint="eastAsia" w:ascii="宋体" w:hAnsi="宋体"/>
          <w:b/>
        </w:rPr>
        <w:t>合同份数</w:t>
      </w:r>
    </w:p>
    <w:p w14:paraId="130EB54C">
      <w:pPr>
        <w:spacing w:line="400" w:lineRule="exact"/>
        <w:ind w:firstLine="420" w:firstLineChars="200"/>
        <w:rPr>
          <w:rFonts w:hint="eastAsia" w:ascii="宋体" w:hAnsi="宋体"/>
          <w:lang w:eastAsia="zh-CN"/>
        </w:rPr>
      </w:pPr>
      <w:r>
        <w:rPr>
          <w:rFonts w:hint="eastAsia" w:ascii="宋体" w:hAnsi="宋体"/>
          <w:lang w:eastAsia="zh-CN"/>
        </w:rPr>
        <w:t>本合同一式</w:t>
      </w:r>
      <w:r>
        <w:rPr>
          <w:rFonts w:hint="eastAsia" w:ascii="宋体" w:hAnsi="宋体"/>
          <w:u w:val="single"/>
          <w:lang w:eastAsia="zh-CN"/>
        </w:rPr>
        <w:t xml:space="preserve">    </w:t>
      </w:r>
      <w:r>
        <w:rPr>
          <w:rFonts w:hint="eastAsia" w:ascii="宋体" w:hAnsi="宋体"/>
          <w:lang w:eastAsia="zh-CN"/>
        </w:rPr>
        <w:t>份，甲方执</w:t>
      </w:r>
      <w:r>
        <w:rPr>
          <w:rFonts w:hint="eastAsia" w:ascii="宋体" w:hAnsi="宋体"/>
          <w:u w:val="single"/>
          <w:lang w:eastAsia="zh-CN"/>
        </w:rPr>
        <w:t xml:space="preserve">    </w:t>
      </w:r>
      <w:r>
        <w:rPr>
          <w:rFonts w:hint="eastAsia" w:ascii="宋体" w:hAnsi="宋体"/>
          <w:lang w:eastAsia="zh-CN"/>
        </w:rPr>
        <w:t>份，乙方执</w:t>
      </w:r>
      <w:r>
        <w:rPr>
          <w:rFonts w:hint="eastAsia" w:ascii="宋体" w:hAnsi="宋体"/>
          <w:u w:val="single"/>
          <w:lang w:eastAsia="zh-CN"/>
        </w:rPr>
        <w:t xml:space="preserve">    </w:t>
      </w:r>
      <w:r>
        <w:rPr>
          <w:rFonts w:hint="eastAsia" w:ascii="宋体" w:hAnsi="宋体"/>
          <w:lang w:eastAsia="zh-CN"/>
        </w:rPr>
        <w:t>份，均具有同等法律效力。</w:t>
      </w:r>
    </w:p>
    <w:p w14:paraId="02BE456C">
      <w:pPr>
        <w:spacing w:line="400" w:lineRule="exact"/>
        <w:ind w:firstLine="420" w:firstLineChars="200"/>
        <w:rPr>
          <w:rFonts w:hint="eastAsia" w:ascii="宋体" w:hAnsi="宋体"/>
          <w:lang w:eastAsia="zh-CN"/>
        </w:rPr>
      </w:pPr>
      <w:r>
        <w:rPr>
          <w:rFonts w:hint="eastAsia" w:ascii="宋体" w:hAnsi="宋体"/>
          <w:lang w:eastAsia="zh-CN"/>
        </w:rPr>
        <w:t>合同订立时间：</w:t>
      </w: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14:paraId="47EF4139">
      <w:pPr>
        <w:spacing w:line="400" w:lineRule="exact"/>
        <w:ind w:firstLine="420" w:firstLineChars="200"/>
        <w:rPr>
          <w:rFonts w:hint="eastAsia" w:ascii="宋体" w:hAnsi="宋体"/>
          <w:lang w:eastAsia="zh-CN"/>
        </w:rPr>
      </w:pPr>
      <w:r>
        <w:rPr>
          <w:rFonts w:hint="eastAsia" w:ascii="宋体" w:hAnsi="宋体"/>
          <w:lang w:eastAsia="zh-CN"/>
        </w:rPr>
        <w:t>合同订立地点：</w:t>
      </w:r>
      <w:r>
        <w:rPr>
          <w:rFonts w:hint="eastAsia" w:ascii="宋体" w:hAnsi="宋体"/>
          <w:u w:val="single"/>
          <w:lang w:eastAsia="zh-CN"/>
        </w:rPr>
        <w:t xml:space="preserve">                           </w:t>
      </w:r>
    </w:p>
    <w:p w14:paraId="23A8F8C9">
      <w:pPr>
        <w:spacing w:line="400" w:lineRule="exact"/>
        <w:ind w:firstLine="420" w:firstLineChars="200"/>
        <w:rPr>
          <w:lang w:eastAsia="zh-CN"/>
        </w:rPr>
      </w:pPr>
      <w:r>
        <w:rPr>
          <w:rFonts w:hint="eastAsia" w:ascii="宋体" w:hAnsi="宋体"/>
          <w:lang w:eastAsia="zh-CN"/>
        </w:rPr>
        <w:t>附件：具体标的及其技术要求和商务要求、联合协议、分包意向协议等。</w:t>
      </w:r>
    </w:p>
    <w:p w14:paraId="622C38A9">
      <w:pPr>
        <w:pStyle w:val="52"/>
        <w:spacing w:line="400" w:lineRule="exact"/>
        <w:rPr>
          <w:lang w:eastAsia="zh-CN"/>
        </w:rPr>
      </w:pPr>
    </w:p>
    <w:p w14:paraId="05C5F320">
      <w:pPr>
        <w:pStyle w:val="3"/>
        <w:spacing w:line="400" w:lineRule="exact"/>
        <w:rPr>
          <w:rFonts w:hint="eastAsia" w:ascii="宋体" w:hAnsi="宋体" w:cs="Times New Roman"/>
          <w:sz w:val="21"/>
          <w:szCs w:val="21"/>
          <w:lang w:eastAsia="zh-CN"/>
        </w:rPr>
      </w:pPr>
      <w:r>
        <w:rPr>
          <w:lang w:val="en" w:eastAsia="zh-CN"/>
        </w:rPr>
        <w:t xml:space="preserve">   </w:t>
      </w:r>
    </w:p>
    <w:p w14:paraId="6A9A46D5">
      <w:pPr>
        <w:rPr>
          <w:lang w:eastAsia="zh-CN"/>
        </w:rPr>
      </w:pPr>
      <w:r>
        <w:rPr>
          <w:rFonts w:hint="eastAsia"/>
          <w:lang w:eastAsia="zh-CN"/>
        </w:rPr>
        <w:br w:type="page"/>
      </w:r>
    </w:p>
    <w:p w14:paraId="39FEE919">
      <w:pPr>
        <w:pStyle w:val="52"/>
        <w:rPr>
          <w:lang w:eastAsia="zh-CN"/>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6BB756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C3D44E5">
            <w:pPr>
              <w:spacing w:line="300" w:lineRule="exact"/>
              <w:jc w:val="center"/>
              <w:rPr>
                <w:lang w:eastAsia="zh-CN"/>
              </w:rPr>
            </w:pPr>
            <w:r>
              <w:rPr>
                <w:lang w:eastAsia="zh-CN"/>
              </w:rPr>
              <w:t>甲方</w:t>
            </w:r>
            <w:r>
              <w:rPr>
                <w:rFonts w:hint="eastAsia"/>
                <w:lang w:eastAsia="zh-CN"/>
              </w:rPr>
              <w:t>（采购人</w:t>
            </w:r>
            <w:r>
              <w:rPr>
                <w:rFonts w:hint="eastAsia" w:ascii="宋体" w:hAnsi="宋体"/>
                <w:lang w:eastAsia="zh-CN"/>
              </w:rPr>
              <w:t>、受采购人委托签订合同的单位或</w:t>
            </w:r>
            <w:r>
              <w:rPr>
                <w:rFonts w:hint="eastAsia"/>
                <w:lang w:eastAsia="zh-CN"/>
              </w:rPr>
              <w:t>采购文件约定的合同甲方）</w:t>
            </w:r>
          </w:p>
        </w:tc>
        <w:tc>
          <w:tcPr>
            <w:tcW w:w="2437" w:type="pct"/>
            <w:gridSpan w:val="2"/>
            <w:tcBorders>
              <w:left w:val="single" w:color="auto" w:sz="2" w:space="0"/>
              <w:bottom w:val="single" w:color="auto" w:sz="2" w:space="0"/>
            </w:tcBorders>
            <w:vAlign w:val="center"/>
          </w:tcPr>
          <w:p w14:paraId="68513502">
            <w:pPr>
              <w:spacing w:line="300" w:lineRule="exact"/>
              <w:jc w:val="center"/>
            </w:pPr>
            <w:r>
              <w:t>乙方</w:t>
            </w:r>
            <w:r>
              <w:rPr>
                <w:rFonts w:hint="eastAsia"/>
              </w:rPr>
              <w:t>（供应商）</w:t>
            </w:r>
          </w:p>
        </w:tc>
      </w:tr>
      <w:tr w14:paraId="7EC95E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8BE37DA">
            <w:pPr>
              <w:spacing w:line="300" w:lineRule="exact"/>
              <w:jc w:val="center"/>
              <w:rPr>
                <w:lang w:eastAsia="zh-CN"/>
              </w:rPr>
            </w:pPr>
            <w:r>
              <w:rPr>
                <w:lang w:eastAsia="zh-CN"/>
              </w:rPr>
              <w:t>单位名称</w:t>
            </w:r>
            <w:r>
              <w:rPr>
                <w:rFonts w:hint="eastAsia"/>
                <w:lang w:eastAsia="zh-CN"/>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AD11700">
            <w:pPr>
              <w:spacing w:line="300" w:lineRule="exact"/>
              <w:jc w:val="center"/>
              <w:rPr>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DAA8781">
            <w:pPr>
              <w:spacing w:line="300" w:lineRule="exact"/>
              <w:jc w:val="center"/>
              <w:rPr>
                <w:lang w:eastAsia="zh-CN"/>
              </w:rPr>
            </w:pPr>
            <w:r>
              <w:rPr>
                <w:lang w:eastAsia="zh-CN"/>
              </w:rPr>
              <w:t>单位名称</w:t>
            </w:r>
            <w:r>
              <w:rPr>
                <w:rFonts w:hint="eastAsia"/>
                <w:lang w:eastAsia="zh-CN"/>
              </w:rPr>
              <w:t>（公章或合同章）</w:t>
            </w:r>
          </w:p>
        </w:tc>
        <w:tc>
          <w:tcPr>
            <w:tcW w:w="1259" w:type="pct"/>
            <w:tcBorders>
              <w:top w:val="single" w:color="auto" w:sz="2" w:space="0"/>
              <w:left w:val="single" w:color="auto" w:sz="2" w:space="0"/>
              <w:bottom w:val="single" w:color="auto" w:sz="2" w:space="0"/>
            </w:tcBorders>
            <w:vAlign w:val="center"/>
          </w:tcPr>
          <w:p w14:paraId="332B9814">
            <w:pPr>
              <w:spacing w:line="300" w:lineRule="exact"/>
              <w:jc w:val="center"/>
              <w:rPr>
                <w:spacing w:val="20"/>
                <w:lang w:eastAsia="zh-CN"/>
              </w:rPr>
            </w:pPr>
          </w:p>
        </w:tc>
      </w:tr>
      <w:tr w14:paraId="4D49D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580D8D5">
            <w:pPr>
              <w:spacing w:line="300" w:lineRule="exact"/>
              <w:jc w:val="center"/>
              <w:rPr>
                <w:lang w:eastAsia="zh-CN"/>
              </w:rPr>
            </w:pPr>
            <w:r>
              <w:rPr>
                <w:lang w:eastAsia="zh-CN"/>
              </w:rPr>
              <w:t>法定代表人</w:t>
            </w:r>
          </w:p>
          <w:p w14:paraId="6C4C4546">
            <w:pPr>
              <w:spacing w:line="300" w:lineRule="exact"/>
              <w:ind w:firstLine="100" w:firstLineChars="48"/>
              <w:jc w:val="center"/>
              <w:rPr>
                <w:lang w:eastAsia="zh-CN"/>
              </w:rPr>
            </w:pPr>
            <w:r>
              <w:rPr>
                <w:rFonts w:hint="eastAsia"/>
                <w:lang w:eastAsia="zh-CN"/>
              </w:rPr>
              <w:t>或其</w:t>
            </w:r>
            <w:r>
              <w:rPr>
                <w:lang w:eastAsia="zh-CN"/>
              </w:rPr>
              <w:t>委托代理人</w:t>
            </w:r>
            <w:r>
              <w:rPr>
                <w:rFonts w:hint="eastAsia"/>
                <w:lang w:eastAsia="zh-CN"/>
              </w:rPr>
              <w:t>（签章）</w:t>
            </w:r>
          </w:p>
        </w:tc>
        <w:tc>
          <w:tcPr>
            <w:tcW w:w="1436" w:type="pct"/>
            <w:vMerge w:val="restart"/>
            <w:tcBorders>
              <w:top w:val="single" w:color="auto" w:sz="2" w:space="0"/>
              <w:left w:val="single" w:color="auto" w:sz="2" w:space="0"/>
              <w:right w:val="single" w:color="auto" w:sz="2" w:space="0"/>
            </w:tcBorders>
            <w:vAlign w:val="center"/>
          </w:tcPr>
          <w:p w14:paraId="302A1083">
            <w:pPr>
              <w:spacing w:line="300" w:lineRule="exact"/>
              <w:jc w:val="center"/>
              <w:rPr>
                <w:lang w:eastAsia="zh-CN"/>
              </w:rPr>
            </w:pPr>
          </w:p>
        </w:tc>
        <w:tc>
          <w:tcPr>
            <w:tcW w:w="1178" w:type="pct"/>
            <w:tcBorders>
              <w:top w:val="single" w:color="auto" w:sz="2" w:space="0"/>
              <w:left w:val="single" w:color="auto" w:sz="2" w:space="0"/>
              <w:right w:val="single" w:color="auto" w:sz="2" w:space="0"/>
            </w:tcBorders>
            <w:vAlign w:val="center"/>
          </w:tcPr>
          <w:p w14:paraId="59724611">
            <w:pPr>
              <w:spacing w:line="300" w:lineRule="exact"/>
              <w:jc w:val="center"/>
              <w:rPr>
                <w:lang w:eastAsia="zh-CN"/>
              </w:rPr>
            </w:pPr>
            <w:r>
              <w:rPr>
                <w:lang w:eastAsia="zh-CN"/>
              </w:rPr>
              <w:t>法定代表人</w:t>
            </w:r>
          </w:p>
          <w:p w14:paraId="54B5551B">
            <w:pPr>
              <w:spacing w:line="300" w:lineRule="exact"/>
              <w:jc w:val="center"/>
              <w:rPr>
                <w:lang w:eastAsia="zh-CN"/>
              </w:rPr>
            </w:pPr>
            <w:r>
              <w:rPr>
                <w:rFonts w:hint="eastAsia"/>
                <w:lang w:eastAsia="zh-CN"/>
              </w:rPr>
              <w:t>或其</w:t>
            </w:r>
            <w:r>
              <w:rPr>
                <w:lang w:eastAsia="zh-CN"/>
              </w:rPr>
              <w:t>委托代理人</w:t>
            </w:r>
            <w:r>
              <w:rPr>
                <w:rFonts w:hint="eastAsia"/>
                <w:lang w:eastAsia="zh-CN"/>
              </w:rPr>
              <w:t>（签章）</w:t>
            </w:r>
          </w:p>
        </w:tc>
        <w:tc>
          <w:tcPr>
            <w:tcW w:w="1259" w:type="pct"/>
            <w:tcBorders>
              <w:top w:val="single" w:color="auto" w:sz="2" w:space="0"/>
              <w:left w:val="single" w:color="auto" w:sz="2" w:space="0"/>
              <w:bottom w:val="single" w:color="auto" w:sz="2" w:space="0"/>
            </w:tcBorders>
            <w:vAlign w:val="center"/>
          </w:tcPr>
          <w:p w14:paraId="305E997B">
            <w:pPr>
              <w:spacing w:line="300" w:lineRule="exact"/>
              <w:jc w:val="center"/>
              <w:rPr>
                <w:lang w:eastAsia="zh-CN"/>
              </w:rPr>
            </w:pPr>
          </w:p>
        </w:tc>
      </w:tr>
      <w:tr w14:paraId="289D8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14DEAD0">
            <w:pPr>
              <w:spacing w:line="300" w:lineRule="exact"/>
              <w:jc w:val="center"/>
              <w:rPr>
                <w:lang w:eastAsia="zh-CN"/>
              </w:rPr>
            </w:pPr>
          </w:p>
        </w:tc>
        <w:tc>
          <w:tcPr>
            <w:tcW w:w="1436" w:type="pct"/>
            <w:vMerge w:val="continue"/>
            <w:tcBorders>
              <w:left w:val="single" w:color="auto" w:sz="2" w:space="0"/>
              <w:bottom w:val="single" w:color="auto" w:sz="2" w:space="0"/>
              <w:right w:val="single" w:color="auto" w:sz="2" w:space="0"/>
            </w:tcBorders>
            <w:vAlign w:val="center"/>
          </w:tcPr>
          <w:p w14:paraId="665E78A8">
            <w:pPr>
              <w:spacing w:line="300" w:lineRule="exact"/>
              <w:jc w:val="center"/>
              <w:rPr>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2149B8E">
            <w:pPr>
              <w:spacing w:line="300" w:lineRule="exact"/>
              <w:jc w:val="center"/>
              <w:rPr>
                <w:lang w:eastAsia="zh-CN"/>
              </w:rPr>
            </w:pPr>
            <w:r>
              <w:rPr>
                <w:rFonts w:hint="eastAsia"/>
                <w:lang w:eastAsia="zh-CN"/>
              </w:rPr>
              <w:t>拥有者性别</w:t>
            </w:r>
          </w:p>
        </w:tc>
        <w:tc>
          <w:tcPr>
            <w:tcW w:w="1259" w:type="pct"/>
            <w:tcBorders>
              <w:top w:val="single" w:color="auto" w:sz="2" w:space="0"/>
              <w:left w:val="single" w:color="auto" w:sz="2" w:space="0"/>
              <w:bottom w:val="single" w:color="auto" w:sz="2" w:space="0"/>
            </w:tcBorders>
            <w:vAlign w:val="center"/>
          </w:tcPr>
          <w:p w14:paraId="1E7DF14F">
            <w:pPr>
              <w:spacing w:line="300" w:lineRule="exact"/>
              <w:jc w:val="center"/>
              <w:rPr>
                <w:spacing w:val="20"/>
              </w:rPr>
            </w:pPr>
          </w:p>
        </w:tc>
      </w:tr>
      <w:tr w14:paraId="3759E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1890C0">
            <w:pPr>
              <w:spacing w:line="300" w:lineRule="exact"/>
              <w:jc w:val="center"/>
              <w:rPr>
                <w:lang w:eastAsia="zh-CN"/>
              </w:rPr>
            </w:pPr>
            <w:r>
              <w:rPr>
                <w:rFonts w:hint="eastAsia"/>
                <w:lang w:eastAsia="zh-CN"/>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A563AC7">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47F4EAC5">
            <w:pPr>
              <w:spacing w:line="300" w:lineRule="exact"/>
              <w:jc w:val="center"/>
              <w:rPr>
                <w:lang w:eastAsia="zh-CN"/>
              </w:rPr>
            </w:pPr>
            <w:r>
              <w:rPr>
                <w:rFonts w:hint="eastAsia"/>
                <w:lang w:eastAsia="zh-CN"/>
              </w:rPr>
              <w:t>住  所</w:t>
            </w:r>
          </w:p>
        </w:tc>
        <w:tc>
          <w:tcPr>
            <w:tcW w:w="1259" w:type="pct"/>
            <w:tcBorders>
              <w:top w:val="single" w:color="auto" w:sz="2" w:space="0"/>
              <w:left w:val="single" w:color="auto" w:sz="2" w:space="0"/>
              <w:bottom w:val="single" w:color="auto" w:sz="2" w:space="0"/>
            </w:tcBorders>
            <w:vAlign w:val="center"/>
          </w:tcPr>
          <w:p w14:paraId="2726E0AF">
            <w:pPr>
              <w:spacing w:line="300" w:lineRule="exact"/>
              <w:jc w:val="center"/>
              <w:rPr>
                <w:spacing w:val="20"/>
              </w:rPr>
            </w:pPr>
          </w:p>
        </w:tc>
      </w:tr>
      <w:tr w14:paraId="06BCB2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4DB1A4">
            <w:pPr>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83FDDE1">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6698350">
            <w:pPr>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36709E5D">
            <w:pPr>
              <w:spacing w:line="300" w:lineRule="exact"/>
              <w:jc w:val="center"/>
              <w:rPr>
                <w:spacing w:val="20"/>
              </w:rPr>
            </w:pPr>
          </w:p>
        </w:tc>
      </w:tr>
      <w:tr w14:paraId="157413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61CEDC">
            <w:pPr>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74E45C0">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E8A3E5F">
            <w:pPr>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6CDECB75">
            <w:pPr>
              <w:spacing w:line="300" w:lineRule="exact"/>
              <w:jc w:val="center"/>
              <w:rPr>
                <w:spacing w:val="20"/>
              </w:rPr>
            </w:pPr>
          </w:p>
        </w:tc>
      </w:tr>
      <w:tr w14:paraId="0AC6B2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DCA779">
            <w:pPr>
              <w:spacing w:line="300" w:lineRule="exact"/>
              <w:jc w:val="center"/>
              <w:rPr>
                <w:lang w:eastAsia="zh-CN"/>
              </w:rPr>
            </w:pPr>
            <w:r>
              <w:rPr>
                <w:rFonts w:hint="eastAsia"/>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2879C2C">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05F65E57">
            <w:pPr>
              <w:spacing w:line="300" w:lineRule="exact"/>
              <w:jc w:val="center"/>
            </w:pPr>
            <w:r>
              <w:rPr>
                <w:rFonts w:hint="eastAsia"/>
                <w:lang w:eastAsia="zh-CN"/>
              </w:rPr>
              <w:t>通信地址</w:t>
            </w:r>
          </w:p>
        </w:tc>
        <w:tc>
          <w:tcPr>
            <w:tcW w:w="1259" w:type="pct"/>
            <w:tcBorders>
              <w:top w:val="single" w:color="auto" w:sz="2" w:space="0"/>
              <w:left w:val="single" w:color="auto" w:sz="2" w:space="0"/>
              <w:bottom w:val="single" w:color="auto" w:sz="2" w:space="0"/>
            </w:tcBorders>
            <w:vAlign w:val="center"/>
          </w:tcPr>
          <w:p w14:paraId="137D162F">
            <w:pPr>
              <w:spacing w:line="300" w:lineRule="exact"/>
              <w:jc w:val="center"/>
              <w:rPr>
                <w:spacing w:val="20"/>
              </w:rPr>
            </w:pPr>
          </w:p>
        </w:tc>
      </w:tr>
      <w:tr w14:paraId="05CAE6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EEE4F9">
            <w:pPr>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38311BB">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C412ACD">
            <w:pPr>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421CB4B2">
            <w:pPr>
              <w:spacing w:line="300" w:lineRule="exact"/>
              <w:jc w:val="center"/>
              <w:rPr>
                <w:spacing w:val="20"/>
              </w:rPr>
            </w:pPr>
          </w:p>
        </w:tc>
      </w:tr>
      <w:tr w14:paraId="06C66B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11F351">
            <w:pPr>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786D7A4">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46D9E45">
            <w:pPr>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3809E899">
            <w:pPr>
              <w:spacing w:line="300" w:lineRule="exact"/>
              <w:jc w:val="center"/>
              <w:rPr>
                <w:spacing w:val="20"/>
              </w:rPr>
            </w:pPr>
          </w:p>
        </w:tc>
      </w:tr>
      <w:tr w14:paraId="4D124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443141">
            <w:pPr>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A9E9538">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7E99E35">
            <w:pPr>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7F18BF9F">
            <w:pPr>
              <w:spacing w:line="300" w:lineRule="exact"/>
              <w:jc w:val="center"/>
              <w:rPr>
                <w:spacing w:val="20"/>
              </w:rPr>
            </w:pPr>
          </w:p>
        </w:tc>
      </w:tr>
      <w:tr w14:paraId="355AD1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123A86">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FD75AD7">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2D7EF95">
            <w:pPr>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69FAC3C1">
            <w:pPr>
              <w:spacing w:line="300" w:lineRule="exact"/>
              <w:jc w:val="center"/>
              <w:rPr>
                <w:spacing w:val="20"/>
              </w:rPr>
            </w:pPr>
          </w:p>
        </w:tc>
      </w:tr>
      <w:tr w14:paraId="290B1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F15CA0">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5B422D66">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B2A3A0F">
            <w:pPr>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28158FE3">
            <w:pPr>
              <w:spacing w:line="300" w:lineRule="exact"/>
              <w:jc w:val="center"/>
              <w:rPr>
                <w:spacing w:val="20"/>
              </w:rPr>
            </w:pPr>
          </w:p>
        </w:tc>
      </w:tr>
      <w:tr w14:paraId="28F84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1A32DB">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2F94930F">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E5DF1D5">
            <w:pPr>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4B975E7F">
            <w:pPr>
              <w:spacing w:line="300" w:lineRule="exact"/>
              <w:jc w:val="center"/>
              <w:rPr>
                <w:spacing w:val="20"/>
              </w:rPr>
            </w:pPr>
          </w:p>
        </w:tc>
      </w:tr>
      <w:tr w14:paraId="6682F4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8AF4DBA">
            <w:pPr>
              <w:pStyle w:val="9"/>
              <w:spacing w:before="120" w:beforeLines="50"/>
              <w:jc w:val="left"/>
              <w:rPr>
                <w:rFonts w:hint="eastAsia"/>
                <w:spacing w:val="20"/>
                <w:lang w:eastAsia="zh-CN"/>
              </w:rPr>
            </w:pPr>
            <w:r>
              <w:rPr>
                <w:rFonts w:hint="eastAsia" w:hAnsi="宋体"/>
                <w:lang w:eastAsia="zh-CN"/>
              </w:rPr>
              <w:t>注：涉及联合体或其他合同主体的信息应按上表格式加列。</w:t>
            </w:r>
          </w:p>
        </w:tc>
      </w:tr>
    </w:tbl>
    <w:p w14:paraId="71655CD1">
      <w:pPr>
        <w:pStyle w:val="3"/>
        <w:spacing w:before="120" w:beforeLines="50"/>
        <w:jc w:val="center"/>
        <w:rPr>
          <w:rFonts w:hint="eastAsia" w:ascii="黑体" w:hAnsi="黑体" w:eastAsia="黑体"/>
          <w:sz w:val="28"/>
          <w:szCs w:val="28"/>
          <w:lang w:eastAsia="zh-CN"/>
        </w:rPr>
      </w:pPr>
      <w:r>
        <w:rPr>
          <w:rFonts w:ascii="宋体" w:hAnsi="宋体"/>
          <w:sz w:val="21"/>
          <w:szCs w:val="21"/>
          <w:u w:val="single"/>
          <w:lang w:eastAsia="zh-CN"/>
        </w:rPr>
        <w:br w:type="page"/>
      </w:r>
      <w:bookmarkStart w:id="50" w:name="_Toc27624"/>
      <w:r>
        <w:rPr>
          <w:rFonts w:hint="eastAsia" w:ascii="黑体" w:hAnsi="黑体" w:eastAsia="黑体"/>
          <w:sz w:val="28"/>
          <w:szCs w:val="28"/>
          <w:lang w:eastAsia="zh-CN"/>
        </w:rPr>
        <w:t>第二节 政府采购合同通用条款</w:t>
      </w:r>
      <w:bookmarkEnd w:id="50"/>
    </w:p>
    <w:p w14:paraId="06118C27">
      <w:pPr>
        <w:tabs>
          <w:tab w:val="left" w:pos="8820"/>
          <w:tab w:val="left" w:pos="9345"/>
          <w:tab w:val="left" w:pos="9765"/>
        </w:tabs>
        <w:spacing w:line="400" w:lineRule="exact"/>
        <w:rPr>
          <w:rFonts w:hint="eastAsia" w:ascii="宋体" w:hAnsi="宋体"/>
          <w:b/>
          <w:bCs/>
          <w:sz w:val="24"/>
          <w:lang w:eastAsia="zh-CN"/>
        </w:rPr>
      </w:pPr>
      <w:r>
        <w:rPr>
          <w:rFonts w:hint="eastAsia" w:ascii="宋体" w:hAnsi="宋体"/>
          <w:b/>
          <w:sz w:val="24"/>
          <w:lang w:eastAsia="zh-CN"/>
        </w:rPr>
        <w:t xml:space="preserve">1. </w:t>
      </w:r>
      <w:r>
        <w:rPr>
          <w:rFonts w:hint="eastAsia" w:ascii="宋体" w:hAnsi="宋体"/>
          <w:b/>
          <w:bCs/>
          <w:sz w:val="24"/>
          <w:lang w:eastAsia="zh-CN"/>
        </w:rPr>
        <w:t>定义</w:t>
      </w:r>
    </w:p>
    <w:p w14:paraId="59F840B0">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1.1合同当事人</w:t>
      </w:r>
    </w:p>
    <w:p w14:paraId="32E14DDB">
      <w:pPr>
        <w:spacing w:line="400" w:lineRule="exact"/>
        <w:ind w:firstLine="420" w:firstLineChars="200"/>
        <w:rPr>
          <w:rFonts w:hint="eastAsia" w:ascii="宋体" w:hAnsi="宋体"/>
          <w:color w:val="auto"/>
          <w:lang w:eastAsia="zh-CN"/>
        </w:rPr>
      </w:pPr>
      <w:r>
        <w:rPr>
          <w:rFonts w:hint="eastAsia" w:ascii="宋体" w:hAnsi="宋体"/>
          <w:color w:val="auto"/>
          <w:lang w:eastAsia="zh-CN"/>
        </w:rPr>
        <w:t>（1）采购人（以下称甲方）是指使用财政性资金，通过政府采购方式向供应商购买货物及其相关服务的国家机关、事业单位、团体组织。</w:t>
      </w:r>
    </w:p>
    <w:p w14:paraId="2B3C77C6">
      <w:pPr>
        <w:spacing w:line="400" w:lineRule="exact"/>
        <w:ind w:firstLine="420" w:firstLineChars="200"/>
        <w:rPr>
          <w:rFonts w:hint="eastAsia" w:ascii="宋体" w:hAnsi="宋体"/>
          <w:color w:val="auto"/>
          <w:lang w:eastAsia="zh-CN"/>
        </w:rPr>
      </w:pPr>
      <w:r>
        <w:rPr>
          <w:rFonts w:hint="eastAsia" w:ascii="宋体" w:hAnsi="宋体"/>
          <w:color w:val="auto"/>
          <w:lang w:eastAsia="zh-CN"/>
        </w:rPr>
        <w:t>（2）供应商（以下称乙方）是指参加政府采购活动并且中标（成交），向采购人提供合同约定的货物及其相关服务的法人、非法人组织或者自然人。</w:t>
      </w:r>
    </w:p>
    <w:p w14:paraId="09B8E700">
      <w:pPr>
        <w:spacing w:line="400" w:lineRule="exact"/>
        <w:ind w:firstLine="420" w:firstLineChars="200"/>
        <w:rPr>
          <w:rFonts w:hint="eastAsia" w:ascii="宋体" w:hAnsi="宋体"/>
          <w:color w:val="auto"/>
          <w:lang w:eastAsia="zh-CN"/>
        </w:rPr>
      </w:pPr>
      <w:r>
        <w:rPr>
          <w:rFonts w:hint="eastAsia" w:ascii="宋体" w:hAnsi="宋体"/>
          <w:color w:val="auto"/>
          <w:lang w:eastAsia="zh-CN"/>
        </w:rPr>
        <w:t>（3）其他合同主体是指除采购人和供应商以外，</w:t>
      </w:r>
      <w:r>
        <w:rPr>
          <w:rFonts w:hint="eastAsia" w:ascii="宋体" w:hAnsi="宋体" w:cs="宋体"/>
          <w:bCs/>
          <w:color w:val="000000" w:themeColor="text1"/>
          <w:lang w:eastAsia="zh-CN"/>
          <w14:textFill>
            <w14:solidFill>
              <w14:schemeClr w14:val="tx1"/>
            </w14:solidFill>
          </w14:textFill>
        </w:rPr>
        <w:t>依法参与合同缔结或履行，享有权利、承担义务的合同当事人</w:t>
      </w:r>
      <w:r>
        <w:rPr>
          <w:rFonts w:hint="eastAsia" w:ascii="宋体" w:hAnsi="宋体"/>
          <w:color w:val="auto"/>
          <w:lang w:eastAsia="zh-CN"/>
        </w:rPr>
        <w:t>。</w:t>
      </w:r>
    </w:p>
    <w:p w14:paraId="41C4F948">
      <w:pPr>
        <w:tabs>
          <w:tab w:val="left" w:pos="570"/>
          <w:tab w:val="left" w:pos="9240"/>
          <w:tab w:val="left" w:pos="9555"/>
        </w:tabs>
        <w:spacing w:line="400" w:lineRule="exact"/>
        <w:ind w:firstLine="420" w:firstLineChars="200"/>
        <w:rPr>
          <w:rFonts w:hint="eastAsia" w:ascii="宋体" w:hAnsi="宋体"/>
          <w:color w:val="auto"/>
          <w:lang w:eastAsia="zh-CN"/>
        </w:rPr>
      </w:pPr>
      <w:r>
        <w:rPr>
          <w:rFonts w:hint="eastAsia" w:ascii="宋体" w:hAnsi="宋体"/>
          <w:color w:val="auto"/>
          <w:lang w:eastAsia="zh-CN"/>
        </w:rPr>
        <w:t>1.2本合同下列术语应解释为：</w:t>
      </w:r>
    </w:p>
    <w:p w14:paraId="4F3FBAB9">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（1）“合同”系指</w:t>
      </w:r>
      <w:r>
        <w:rPr>
          <w:rFonts w:hint="eastAsia" w:ascii="宋体" w:hAnsi="宋体" w:cs="宋体"/>
          <w:bCs/>
          <w:color w:val="000000" w:themeColor="text1"/>
          <w:lang w:eastAsia="zh-CN"/>
          <w14:textFill>
            <w14:solidFill>
              <w14:schemeClr w14:val="tx1"/>
            </w14:solidFill>
          </w14:textFill>
        </w:rPr>
        <w:t>合同当事人意思表示达成一致的任何协议，包括签署的</w:t>
      </w:r>
      <w:r>
        <w:rPr>
          <w:rFonts w:hint="eastAsia" w:ascii="宋体" w:hAnsi="宋体"/>
          <w:color w:val="auto"/>
          <w:lang w:eastAsia="zh-CN"/>
        </w:rPr>
        <w:t>政府采购合同协议书及其变更、补充协议，</w:t>
      </w:r>
      <w:r>
        <w:rPr>
          <w:rFonts w:hint="eastAsia" w:ascii="宋体" w:hAnsi="宋体"/>
          <w:lang w:eastAsia="zh-CN"/>
        </w:rPr>
        <w:t>政府采购合同专用条款，政府采购合同通用条款，</w:t>
      </w:r>
      <w:r>
        <w:rPr>
          <w:rFonts w:hint="eastAsia" w:ascii="宋体" w:hAnsi="宋体"/>
          <w:color w:val="auto"/>
          <w:lang w:eastAsia="zh-CN"/>
        </w:rPr>
        <w:t>中标（成交）通知书，</w:t>
      </w:r>
      <w:r>
        <w:rPr>
          <w:rFonts w:hint="eastAsia" w:ascii="宋体" w:hAnsi="宋体"/>
          <w:lang w:eastAsia="zh-CN"/>
        </w:rPr>
        <w:t>投标（响应）文件，采购文件，有关技术文件和图纸，以及</w:t>
      </w:r>
      <w:r>
        <w:rPr>
          <w:rFonts w:hint="eastAsia" w:ascii="宋体" w:hAnsi="宋体" w:cs="宋体"/>
          <w:color w:val="000000" w:themeColor="text1"/>
          <w:kern w:val="2"/>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lang w:eastAsia="zh-CN"/>
        </w:rPr>
        <w:t>。</w:t>
      </w:r>
    </w:p>
    <w:p w14:paraId="2D67BE86">
      <w:pPr>
        <w:tabs>
          <w:tab w:val="left" w:pos="570"/>
          <w:tab w:val="left" w:pos="9240"/>
          <w:tab w:val="left" w:pos="9555"/>
        </w:tabs>
        <w:spacing w:line="400" w:lineRule="exact"/>
        <w:ind w:firstLine="420" w:firstLineChars="200"/>
        <w:rPr>
          <w:rFonts w:hint="eastAsia" w:ascii="宋体" w:hAnsi="宋体"/>
          <w:color w:val="auto"/>
          <w:lang w:eastAsia="zh-CN"/>
        </w:rPr>
      </w:pPr>
      <w:r>
        <w:rPr>
          <w:rFonts w:hint="eastAsia" w:ascii="宋体" w:hAnsi="宋体"/>
          <w:color w:val="auto"/>
          <w:lang w:eastAsia="zh-CN"/>
        </w:rPr>
        <w:t>（2）“合同价款”系指根据本合同规定乙方在全面履行合同义务后甲方应支付给乙方的价款。</w:t>
      </w:r>
    </w:p>
    <w:p w14:paraId="3B0D7124">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auto"/>
          <w:lang w:eastAsia="zh-CN"/>
        </w:rPr>
        <w:t>（3）“货物”系指乙方根据本合同规定须向甲方提供的各种形态和种类的物品，包括原材料、设备、产品（</w:t>
      </w:r>
      <w:r>
        <w:rPr>
          <w:rFonts w:hint="eastAsia" w:ascii="宋体" w:hAnsi="宋体"/>
          <w:color w:val="000000" w:themeColor="text1"/>
          <w:lang w:eastAsia="zh-CN"/>
          <w14:textFill>
            <w14:solidFill>
              <w14:schemeClr w14:val="tx1"/>
            </w14:solidFill>
          </w14:textFill>
        </w:rPr>
        <w:t>包括软件）及相关的其备品备件、工具、手册及</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技术资料和材料等。</w:t>
      </w:r>
    </w:p>
    <w:p w14:paraId="60C61260">
      <w:pPr>
        <w:spacing w:line="400" w:lineRule="exact"/>
        <w:ind w:firstLine="420" w:firstLineChars="200"/>
        <w:rPr>
          <w:rFonts w:hint="eastAsia" w:ascii="宋体" w:hAnsi="宋体"/>
          <w:color w:val="000000" w:themeColor="text1"/>
          <w:highlight w:val="yellow"/>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w:t>
      </w:r>
      <w:r>
        <w:rPr>
          <w:rFonts w:hint="eastAsia" w:ascii="宋体" w:hAnsi="宋体"/>
          <w:color w:val="auto"/>
          <w:lang w:eastAsia="zh-CN"/>
        </w:rPr>
        <w:t>相关</w:t>
      </w:r>
      <w:r>
        <w:rPr>
          <w:rFonts w:hint="eastAsia" w:ascii="宋体" w:hAnsi="宋体"/>
          <w:color w:val="000000" w:themeColor="text1"/>
          <w:lang w:eastAsia="zh-CN"/>
          <w14:textFill>
            <w14:solidFill>
              <w14:schemeClr w14:val="tx1"/>
            </w14:solidFill>
          </w14:textFill>
        </w:rPr>
        <w:t>服务”系指根据合同规定，乙方应提供的与货物有关的技术、管理和</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义务。</w:t>
      </w:r>
    </w:p>
    <w:p w14:paraId="545CFD12">
      <w:pPr>
        <w:spacing w:line="400" w:lineRule="exact"/>
        <w:ind w:firstLine="420" w:firstLineChars="200"/>
        <w:rPr>
          <w:rFonts w:hint="eastAsia" w:ascii="宋体" w:hAnsi="宋体"/>
          <w:color w:val="000000" w:themeColor="text1"/>
          <w:highlight w:val="yellow"/>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4BA1AB6F">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w:t>
      </w:r>
      <w:r>
        <w:rPr>
          <w:rFonts w:hint="eastAsia" w:ascii="宋体" w:hAnsi="宋体"/>
          <w:lang w:eastAsia="zh-CN"/>
        </w:rPr>
        <w:t>“联合体”系指由两个以上的自然人、法人或者非法人组织组成，以一个供应商的身份共同参加政府采购的主体</w:t>
      </w:r>
      <w:r>
        <w:rPr>
          <w:rFonts w:hint="eastAsia" w:ascii="宋体" w:hAnsi="宋体"/>
          <w:color w:val="000000" w:themeColor="text1"/>
          <w:lang w:eastAsia="zh-CN"/>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lang w:eastAsia="zh-CN"/>
          <w14:textFill>
            <w14:solidFill>
              <w14:schemeClr w14:val="tx1"/>
            </w14:solidFill>
          </w14:textFill>
        </w:rPr>
        <w:t>政府采购合同专用条款</w:t>
      </w:r>
      <w:r>
        <w:rPr>
          <w:rFonts w:hint="eastAsia" w:ascii="宋体" w:hAnsi="宋体"/>
          <w:color w:val="000000" w:themeColor="text1"/>
          <w:lang w:eastAsia="zh-CN"/>
          <w14:textFill>
            <w14:solidFill>
              <w14:schemeClr w14:val="tx1"/>
            </w14:solidFill>
          </w14:textFill>
        </w:rPr>
        <w:t>】。</w:t>
      </w:r>
    </w:p>
    <w:p w14:paraId="290E3286">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（7）其他术语解释，见【</w:t>
      </w:r>
      <w:r>
        <w:rPr>
          <w:rFonts w:hint="eastAsia" w:ascii="宋体" w:hAnsi="宋体"/>
          <w:b/>
          <w:bCs/>
          <w:color w:val="000000" w:themeColor="text1"/>
          <w:lang w:eastAsia="zh-CN"/>
          <w14:textFill>
            <w14:solidFill>
              <w14:schemeClr w14:val="tx1"/>
            </w14:solidFill>
          </w14:textFill>
        </w:rPr>
        <w:t>政府采购合同专用条款</w:t>
      </w:r>
      <w:r>
        <w:rPr>
          <w:rFonts w:hint="eastAsia" w:ascii="宋体" w:hAnsi="宋体"/>
          <w:color w:val="000000" w:themeColor="text1"/>
          <w:lang w:eastAsia="zh-CN"/>
          <w14:textFill>
            <w14:solidFill>
              <w14:schemeClr w14:val="tx1"/>
            </w14:solidFill>
          </w14:textFill>
        </w:rPr>
        <w:t>】。</w:t>
      </w:r>
    </w:p>
    <w:p w14:paraId="37491E2A">
      <w:pPr>
        <w:numPr>
          <w:ilvl w:val="0"/>
          <w:numId w:val="9"/>
        </w:numPr>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350145F8">
      <w:pPr>
        <w:spacing w:line="400" w:lineRule="exact"/>
        <w:ind w:firstLine="420" w:firstLineChars="200"/>
        <w:rPr>
          <w:rFonts w:hint="eastAsia" w:ascii="宋体" w:hAnsi="宋体"/>
          <w:b/>
          <w:bCs/>
          <w:i/>
          <w:iCs/>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任何费用。</w:t>
      </w:r>
    </w:p>
    <w:p w14:paraId="14219312">
      <w:pPr>
        <w:spacing w:line="400" w:lineRule="exact"/>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3. 履行合同的时间、地点和方式</w:t>
      </w:r>
    </w:p>
    <w:p w14:paraId="36D637E6">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3.1 </w:t>
      </w:r>
      <w:r>
        <w:rPr>
          <w:rFonts w:hint="eastAsia" w:ascii="宋体" w:hAnsi="宋体" w:cs="宋体"/>
          <w:lang w:eastAsia="zh-CN"/>
        </w:rPr>
        <w:t>乙方应当在约定的时间、地点，按照约定方式履行合同。</w:t>
      </w:r>
    </w:p>
    <w:p w14:paraId="5A9EF27E">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4. 甲方的权利和义务</w:t>
      </w:r>
    </w:p>
    <w:p w14:paraId="0E8ADF08">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4.1</w:t>
      </w:r>
      <w:r>
        <w:rPr>
          <w:rFonts w:ascii="宋体" w:hAnsi="宋体"/>
          <w:color w:val="000000" w:themeColor="text1"/>
          <w:lang w:eastAsia="zh-CN"/>
          <w14:textFill>
            <w14:solidFill>
              <w14:schemeClr w14:val="tx1"/>
            </w14:solidFill>
          </w14:textFill>
        </w:rPr>
        <w:t xml:space="preserve"> 签署合同后，甲方</w:t>
      </w:r>
      <w:r>
        <w:rPr>
          <w:rFonts w:hint="eastAsia" w:ascii="宋体" w:hAnsi="宋体"/>
          <w:color w:val="000000" w:themeColor="text1"/>
          <w:lang w:eastAsia="zh-CN"/>
          <w14:textFill>
            <w14:solidFill>
              <w14:schemeClr w14:val="tx1"/>
            </w14:solidFill>
          </w14:textFill>
        </w:rPr>
        <w:t>应</w:t>
      </w:r>
      <w:r>
        <w:rPr>
          <w:rFonts w:ascii="宋体" w:hAnsi="宋体"/>
          <w:color w:val="000000" w:themeColor="text1"/>
          <w:lang w:eastAsia="zh-CN"/>
          <w14:textFill>
            <w14:solidFill>
              <w14:schemeClr w14:val="tx1"/>
            </w14:solidFill>
          </w14:textFill>
        </w:rPr>
        <w:t>确定</w:t>
      </w:r>
      <w:r>
        <w:rPr>
          <w:rFonts w:hint="eastAsia" w:ascii="宋体" w:hAnsi="宋体"/>
          <w:color w:val="000000" w:themeColor="text1"/>
          <w:lang w:eastAsia="zh-CN"/>
          <w14:textFill>
            <w14:solidFill>
              <w14:schemeClr w14:val="tx1"/>
            </w14:solidFill>
          </w14:textFill>
        </w:rPr>
        <w:t>项目负责人（或项目联系人）</w:t>
      </w:r>
      <w:r>
        <w:rPr>
          <w:rFonts w:ascii="宋体" w:hAnsi="宋体"/>
          <w:color w:val="000000" w:themeColor="text1"/>
          <w:lang w:eastAsia="zh-CN"/>
          <w14:textFill>
            <w14:solidFill>
              <w14:schemeClr w14:val="tx1"/>
            </w14:solidFill>
          </w14:textFill>
        </w:rPr>
        <w:t>，负责与本合同有关的事务。</w:t>
      </w:r>
      <w:r>
        <w:rPr>
          <w:rFonts w:hint="eastAsia" w:ascii="宋体" w:hAnsi="宋体"/>
          <w:color w:val="000000" w:themeColor="text1"/>
          <w:lang w:eastAsia="zh-CN"/>
          <w14:textFill>
            <w14:solidFill>
              <w14:schemeClr w14:val="tx1"/>
            </w14:solidFill>
          </w14:textFill>
        </w:rPr>
        <w:t>甲方有权对乙方的履约行为进行检查，并</w:t>
      </w:r>
      <w:r>
        <w:rPr>
          <w:rFonts w:ascii="宋体" w:hAnsi="宋体"/>
          <w:color w:val="000000" w:themeColor="text1"/>
          <w:lang w:eastAsia="zh-CN"/>
          <w14:textFill>
            <w14:solidFill>
              <w14:schemeClr w14:val="tx1"/>
            </w14:solidFill>
          </w14:textFill>
        </w:rPr>
        <w:t>及时确认乙方提交的事项</w:t>
      </w:r>
      <w:r>
        <w:rPr>
          <w:rFonts w:hint="eastAsia" w:ascii="宋体" w:hAnsi="宋体"/>
          <w:color w:val="000000" w:themeColor="text1"/>
          <w:lang w:eastAsia="zh-CN"/>
          <w14:textFill>
            <w14:solidFill>
              <w14:schemeClr w14:val="tx1"/>
            </w14:solidFill>
          </w14:textFill>
        </w:rPr>
        <w:t>。甲方应当</w:t>
      </w:r>
      <w:r>
        <w:rPr>
          <w:rFonts w:ascii="宋体" w:hAnsi="宋体"/>
          <w:color w:val="000000" w:themeColor="text1"/>
          <w:lang w:eastAsia="zh-CN"/>
          <w14:textFill>
            <w14:solidFill>
              <w14:schemeClr w14:val="tx1"/>
            </w14:solidFill>
          </w14:textFill>
        </w:rPr>
        <w:t>配合乙方完成</w:t>
      </w:r>
      <w:r>
        <w:rPr>
          <w:rFonts w:hint="eastAsia" w:ascii="宋体" w:hAnsi="宋体"/>
          <w:color w:val="000000" w:themeColor="text1"/>
          <w:lang w:eastAsia="zh-CN"/>
          <w14:textFill>
            <w14:solidFill>
              <w14:schemeClr w14:val="tx1"/>
            </w14:solidFill>
          </w14:textFill>
        </w:rPr>
        <w:t>相关项目</w:t>
      </w:r>
      <w:r>
        <w:rPr>
          <w:rFonts w:ascii="宋体" w:hAnsi="宋体"/>
          <w:color w:val="000000" w:themeColor="text1"/>
          <w:lang w:eastAsia="zh-CN"/>
          <w14:textFill>
            <w14:solidFill>
              <w14:schemeClr w14:val="tx1"/>
            </w14:solidFill>
          </w14:textFill>
        </w:rPr>
        <w:t>实施工作。</w:t>
      </w:r>
    </w:p>
    <w:p w14:paraId="252150A4">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4.2 </w:t>
      </w:r>
      <w:r>
        <w:rPr>
          <w:rFonts w:ascii="宋体" w:hAnsi="宋体"/>
          <w:color w:val="000000" w:themeColor="text1"/>
          <w:lang w:eastAsia="zh-CN"/>
          <w14:textFill>
            <w14:solidFill>
              <w14:schemeClr w14:val="tx1"/>
            </w14:solidFill>
          </w14:textFill>
        </w:rPr>
        <w:t>甲方有权要求乙方按时提交各阶段有关</w:t>
      </w:r>
      <w:r>
        <w:rPr>
          <w:rFonts w:hint="eastAsia" w:ascii="宋体" w:hAnsi="宋体"/>
          <w:color w:val="000000" w:themeColor="text1"/>
          <w:lang w:eastAsia="zh-CN"/>
          <w14:textFill>
            <w14:solidFill>
              <w14:schemeClr w14:val="tx1"/>
            </w14:solidFill>
          </w14:textFill>
        </w:rPr>
        <w:t>安排计划</w:t>
      </w:r>
      <w:r>
        <w:rPr>
          <w:rFonts w:ascii="宋体" w:hAnsi="宋体"/>
          <w:color w:val="000000" w:themeColor="text1"/>
          <w:lang w:eastAsia="zh-CN"/>
          <w14:textFill>
            <w14:solidFill>
              <w14:schemeClr w14:val="tx1"/>
            </w14:solidFill>
          </w14:textFill>
        </w:rPr>
        <w:t>，并有权</w:t>
      </w:r>
      <w:r>
        <w:rPr>
          <w:rFonts w:hint="eastAsia" w:ascii="宋体" w:hAnsi="宋体"/>
          <w:color w:val="000000" w:themeColor="text1"/>
          <w:lang w:eastAsia="zh-CN"/>
          <w14:textFill>
            <w14:solidFill>
              <w14:schemeClr w14:val="tx1"/>
            </w14:solidFill>
          </w14:textFill>
        </w:rPr>
        <w:t>定期核对乙方提供货物数量、规格、质量等内容。甲方</w:t>
      </w:r>
      <w:r>
        <w:rPr>
          <w:rFonts w:ascii="宋体" w:hAnsi="宋体"/>
          <w:color w:val="000000" w:themeColor="text1"/>
          <w:lang w:eastAsia="zh-CN"/>
          <w14:textFill>
            <w14:solidFill>
              <w14:schemeClr w14:val="tx1"/>
            </w14:solidFill>
          </w14:textFill>
        </w:rPr>
        <w:t>有权督促乙方工作并要求乙方</w:t>
      </w:r>
      <w:r>
        <w:rPr>
          <w:rFonts w:hint="eastAsia" w:ascii="宋体" w:hAnsi="宋体"/>
          <w:color w:val="000000" w:themeColor="text1"/>
          <w:lang w:eastAsia="zh-CN"/>
          <w14:textFill>
            <w14:solidFill>
              <w14:schemeClr w14:val="tx1"/>
            </w14:solidFill>
          </w14:textFill>
        </w:rPr>
        <w:t>更</w:t>
      </w:r>
      <w:r>
        <w:rPr>
          <w:rFonts w:ascii="宋体" w:hAnsi="宋体"/>
          <w:color w:val="000000" w:themeColor="text1"/>
          <w:lang w:eastAsia="zh-CN"/>
          <w14:textFill>
            <w14:solidFill>
              <w14:schemeClr w14:val="tx1"/>
            </w14:solidFill>
          </w14:textFill>
        </w:rPr>
        <w:t>换不符合要求的</w:t>
      </w:r>
      <w:r>
        <w:rPr>
          <w:rFonts w:hint="eastAsia" w:ascii="宋体" w:hAnsi="宋体"/>
          <w:color w:val="000000" w:themeColor="text1"/>
          <w:lang w:eastAsia="zh-CN"/>
          <w14:textFill>
            <w14:solidFill>
              <w14:schemeClr w14:val="tx1"/>
            </w14:solidFill>
          </w14:textFill>
        </w:rPr>
        <w:t>货物</w:t>
      </w:r>
      <w:r>
        <w:rPr>
          <w:rFonts w:ascii="宋体" w:hAnsi="宋体"/>
          <w:color w:val="000000" w:themeColor="text1"/>
          <w:lang w:eastAsia="zh-CN"/>
          <w14:textFill>
            <w14:solidFill>
              <w14:schemeClr w14:val="tx1"/>
            </w14:solidFill>
          </w14:textFill>
        </w:rPr>
        <w:t>。</w:t>
      </w:r>
    </w:p>
    <w:p w14:paraId="5F3DF37A">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甲方</w:t>
      </w:r>
      <w:r>
        <w:rPr>
          <w:rFonts w:hint="eastAsia" w:ascii="宋体" w:hAnsi="宋体"/>
          <w:color w:val="000000" w:themeColor="text1"/>
          <w:lang w:eastAsia="zh-CN"/>
          <w14:textFill>
            <w14:solidFill>
              <w14:schemeClr w14:val="tx1"/>
            </w14:solidFill>
          </w14:textFill>
        </w:rPr>
        <w:t>有权要求乙方对缺陷部分予以修复，并按合同约定享有货物保修及其他合同约定的权利。</w:t>
      </w:r>
    </w:p>
    <w:p w14:paraId="1220EC13">
      <w:pPr>
        <w:spacing w:line="400" w:lineRule="exact"/>
        <w:ind w:firstLine="420" w:firstLineChars="200"/>
        <w:rPr>
          <w:rFonts w:eastAsia="华文楷体"/>
          <w:lang w:eastAsia="zh-CN"/>
        </w:rPr>
      </w:pPr>
      <w:r>
        <w:rPr>
          <w:rFonts w:ascii="宋体" w:hAnsi="宋体"/>
          <w:color w:val="000000" w:themeColor="text1"/>
          <w:lang w:eastAsia="zh-CN"/>
          <w14:textFill>
            <w14:solidFill>
              <w14:schemeClr w14:val="tx1"/>
            </w14:solidFill>
          </w14:textFill>
        </w:rPr>
        <w:t>4.4 甲方应当按照合同约定及时对交付的货物进行验收</w:t>
      </w:r>
      <w:r>
        <w:rPr>
          <w:rFonts w:hint="eastAsia" w:ascii="宋体" w:hAnsi="宋体"/>
          <w:color w:val="000000" w:themeColor="text1"/>
          <w:lang w:eastAsia="zh-CN"/>
          <w14:textFill>
            <w14:solidFill>
              <w14:schemeClr w14:val="tx1"/>
            </w14:solidFill>
          </w14:textFill>
        </w:rPr>
        <w:t>，</w:t>
      </w:r>
      <w:r>
        <w:rPr>
          <w:rFonts w:hint="eastAsia" w:ascii="宋体" w:hAnsi="宋体" w:cs="宋体"/>
          <w:lang w:eastAsia="zh-CN"/>
        </w:rPr>
        <w:t>未</w:t>
      </w:r>
      <w:r>
        <w:rPr>
          <w:rFonts w:hint="eastAsia" w:ascii="宋体" w:hAnsi="宋体"/>
          <w:color w:val="000000" w:themeColor="text1"/>
          <w:lang w:eastAsia="zh-CN"/>
          <w14:textFill>
            <w14:solidFill>
              <w14:schemeClr w14:val="tx1"/>
            </w14:solidFill>
          </w14:textFill>
        </w:rPr>
        <w:t>在</w:t>
      </w:r>
      <w:r>
        <w:rPr>
          <w:rFonts w:hint="eastAsia" w:ascii="宋体" w:hAnsi="宋体" w:cs="宋体"/>
          <w:b/>
          <w:bCs/>
          <w:lang w:eastAsia="zh-CN"/>
        </w:rPr>
        <w:t>【政府采购合同专用条款】</w:t>
      </w:r>
      <w:r>
        <w:rPr>
          <w:rFonts w:hint="eastAsia" w:ascii="宋体" w:hAnsi="宋体" w:cs="宋体"/>
          <w:lang w:eastAsia="zh-CN"/>
        </w:rPr>
        <w:t>约定的期限内对乙方履约提出任何异议或者向乙方作出任何说明的，</w:t>
      </w:r>
      <w:r>
        <w:rPr>
          <w:rFonts w:hint="eastAsia" w:ascii="宋体" w:hAnsi="宋体"/>
          <w:color w:val="000000" w:themeColor="text1"/>
          <w:lang w:eastAsia="zh-CN"/>
          <w14:textFill>
            <w14:solidFill>
              <w14:schemeClr w14:val="tx1"/>
            </w14:solidFill>
          </w14:textFill>
        </w:rPr>
        <w:t>视为验收通过。</w:t>
      </w:r>
    </w:p>
    <w:p w14:paraId="311B2AFF">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4</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 xml:space="preserve">5 </w:t>
      </w:r>
      <w:r>
        <w:rPr>
          <w:rFonts w:hint="eastAsia" w:ascii="宋体" w:hAnsi="宋体"/>
          <w:color w:val="000000" w:themeColor="text1"/>
          <w:lang w:eastAsia="zh-CN"/>
          <w14:textFill>
            <w14:solidFill>
              <w14:schemeClr w14:val="tx1"/>
            </w14:solidFill>
          </w14:textFill>
        </w:rPr>
        <w:t>甲方应当根据合同约定及时向乙方支付合同价款</w:t>
      </w:r>
      <w:r>
        <w:rPr>
          <w:rFonts w:ascii="宋体" w:hAnsi="宋体"/>
          <w:color w:val="000000" w:themeColor="text1"/>
          <w:lang w:eastAsia="zh-CN"/>
          <w14:textFill>
            <w14:solidFill>
              <w14:schemeClr w14:val="tx1"/>
            </w14:solidFill>
          </w14:textFill>
        </w:rPr>
        <w:t>，不得以内部人员变更、履行内部付款流程等为由，拒绝或迟延支付。</w:t>
      </w:r>
    </w:p>
    <w:p w14:paraId="502ABF18">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4.6</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国家法律法规规定及</w:t>
      </w:r>
      <w:r>
        <w:rPr>
          <w:rFonts w:hint="eastAsia" w:ascii="宋体" w:hAnsi="宋体" w:cs="宋体"/>
          <w:b/>
          <w:bCs/>
          <w:lang w:eastAsia="zh-CN"/>
        </w:rPr>
        <w:t>【政府采购合同专用条款】</w:t>
      </w:r>
      <w:r>
        <w:rPr>
          <w:rFonts w:hint="eastAsia" w:ascii="宋体" w:hAnsi="宋体"/>
          <w:color w:val="000000" w:themeColor="text1"/>
          <w:lang w:eastAsia="zh-CN"/>
          <w14:textFill>
            <w14:solidFill>
              <w14:schemeClr w14:val="tx1"/>
            </w14:solidFill>
          </w14:textFill>
        </w:rPr>
        <w:t>约定应由甲方承担的其他义务和责任。</w:t>
      </w:r>
    </w:p>
    <w:p w14:paraId="76B686FF">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5. 乙方的权利和义务</w:t>
      </w:r>
    </w:p>
    <w:p w14:paraId="03D4F00B">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5.1 </w:t>
      </w:r>
      <w:r>
        <w:rPr>
          <w:rFonts w:ascii="宋体" w:hAnsi="宋体"/>
          <w:color w:val="000000" w:themeColor="text1"/>
          <w:lang w:eastAsia="zh-CN"/>
          <w14:textFill>
            <w14:solidFill>
              <w14:schemeClr w14:val="tx1"/>
            </w14:solidFill>
          </w14:textFill>
        </w:rPr>
        <w:t>签署合同后，乙方</w:t>
      </w:r>
      <w:r>
        <w:rPr>
          <w:rFonts w:hint="eastAsia" w:ascii="宋体" w:hAnsi="宋体"/>
          <w:color w:val="000000" w:themeColor="text1"/>
          <w:lang w:eastAsia="zh-CN"/>
          <w14:textFill>
            <w14:solidFill>
              <w14:schemeClr w14:val="tx1"/>
            </w14:solidFill>
          </w14:textFill>
        </w:rPr>
        <w:t>应</w:t>
      </w:r>
      <w:r>
        <w:rPr>
          <w:rFonts w:ascii="宋体" w:hAnsi="宋体"/>
          <w:color w:val="000000" w:themeColor="text1"/>
          <w:lang w:eastAsia="zh-CN"/>
          <w14:textFill>
            <w14:solidFill>
              <w14:schemeClr w14:val="tx1"/>
            </w14:solidFill>
          </w14:textFill>
        </w:rPr>
        <w:t>确定</w:t>
      </w:r>
      <w:r>
        <w:rPr>
          <w:rFonts w:hint="eastAsia" w:ascii="宋体" w:hAnsi="宋体"/>
          <w:color w:val="000000" w:themeColor="text1"/>
          <w:lang w:eastAsia="zh-CN"/>
          <w14:textFill>
            <w14:solidFill>
              <w14:schemeClr w14:val="tx1"/>
            </w14:solidFill>
          </w14:textFill>
        </w:rPr>
        <w:t>项目负责人（或项目联系人）</w:t>
      </w:r>
      <w:r>
        <w:rPr>
          <w:rFonts w:ascii="宋体" w:hAnsi="宋体"/>
          <w:color w:val="000000" w:themeColor="text1"/>
          <w:lang w:eastAsia="zh-CN"/>
          <w14:textFill>
            <w14:solidFill>
              <w14:schemeClr w14:val="tx1"/>
            </w14:solidFill>
          </w14:textFill>
        </w:rPr>
        <w:t>，负责与本合同有关的事务。</w:t>
      </w:r>
    </w:p>
    <w:p w14:paraId="29B74DD6">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2 乙方应按照合同要求</w:t>
      </w:r>
      <w:r>
        <w:rPr>
          <w:rFonts w:hint="eastAsia" w:ascii="宋体" w:hAnsi="宋体"/>
          <w:color w:val="000000" w:themeColor="text1"/>
          <w:lang w:eastAsia="zh-CN"/>
          <w14:textFill>
            <w14:solidFill>
              <w14:schemeClr w14:val="tx1"/>
            </w14:solidFill>
          </w14:textFill>
        </w:rPr>
        <w:t>履约</w:t>
      </w:r>
      <w:r>
        <w:rPr>
          <w:rFonts w:ascii="宋体" w:hAnsi="宋体"/>
          <w:color w:val="000000" w:themeColor="text1"/>
          <w:lang w:eastAsia="zh-CN"/>
          <w14:textFill>
            <w14:solidFill>
              <w14:schemeClr w14:val="tx1"/>
            </w14:solidFill>
          </w14:textFill>
        </w:rPr>
        <w:t>，充分合理安排，确保</w:t>
      </w:r>
      <w:r>
        <w:rPr>
          <w:rFonts w:hint="eastAsia" w:ascii="宋体" w:hAnsi="宋体"/>
          <w:color w:val="000000" w:themeColor="text1"/>
          <w:lang w:eastAsia="zh-CN"/>
          <w14:textFill>
            <w14:solidFill>
              <w14:schemeClr w14:val="tx1"/>
            </w14:solidFill>
          </w14:textFill>
        </w:rPr>
        <w:t>提供的货物及相关服务符合合同有关</w:t>
      </w:r>
      <w:r>
        <w:rPr>
          <w:rFonts w:ascii="宋体" w:hAnsi="宋体"/>
          <w:color w:val="000000" w:themeColor="text1"/>
          <w:lang w:eastAsia="zh-CN"/>
          <w14:textFill>
            <w14:solidFill>
              <w14:schemeClr w14:val="tx1"/>
            </w14:solidFill>
          </w14:textFill>
        </w:rPr>
        <w:t>要求</w:t>
      </w:r>
      <w:r>
        <w:rPr>
          <w:rFonts w:hint="eastAsia" w:ascii="宋体" w:hAnsi="宋体"/>
          <w:color w:val="000000" w:themeColor="text1"/>
          <w:lang w:eastAsia="zh-CN"/>
          <w14:textFill>
            <w14:solidFill>
              <w14:schemeClr w14:val="tx1"/>
            </w14:solidFill>
          </w14:textFill>
        </w:rPr>
        <w:t>。接受项目行业管理部门及政府有关部门的指导，配合甲方的履约检查及验收，并</w:t>
      </w:r>
      <w:r>
        <w:rPr>
          <w:rFonts w:ascii="宋体" w:hAnsi="宋体"/>
          <w:color w:val="000000" w:themeColor="text1"/>
          <w:lang w:eastAsia="zh-CN"/>
          <w14:textFill>
            <w14:solidFill>
              <w14:schemeClr w14:val="tx1"/>
            </w14:solidFill>
          </w14:textFill>
        </w:rPr>
        <w:t>负责项目实施过程中的所有协调工作。</w:t>
      </w:r>
    </w:p>
    <w:p w14:paraId="30B9F7BE">
      <w:pPr>
        <w:pStyle w:val="8"/>
        <w:spacing w:line="400" w:lineRule="exact"/>
        <w:ind w:firstLine="369" w:firstLineChars="176"/>
        <w:rPr>
          <w:rFonts w:ascii="宋体" w:hAns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乙方有权</w:t>
      </w:r>
      <w:r>
        <w:rPr>
          <w:rFonts w:hint="eastAsia" w:ascii="宋体" w:hAnsi="宋体" w:cs="宋体"/>
          <w:color w:val="000000" w:themeColor="text1"/>
          <w:lang w:eastAsia="zh-CN"/>
          <w14:textFill>
            <w14:solidFill>
              <w14:schemeClr w14:val="tx1"/>
            </w14:solidFill>
          </w14:textFill>
        </w:rPr>
        <w:t>根据合同约定向甲方收取合同价款。</w:t>
      </w:r>
    </w:p>
    <w:p w14:paraId="7DEA32CE">
      <w:pPr>
        <w:pStyle w:val="8"/>
        <w:spacing w:line="400" w:lineRule="exact"/>
        <w:ind w:firstLine="369" w:firstLineChars="176"/>
        <w:rPr>
          <w:rFonts w:ascii="宋体" w:hAns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国家法律法规规定</w:t>
      </w:r>
      <w:r>
        <w:rPr>
          <w:rFonts w:hint="eastAsia" w:ascii="宋体" w:hAnsi="宋体"/>
          <w:color w:val="000000" w:themeColor="text1"/>
          <w:lang w:eastAsia="zh-CN"/>
          <w14:textFill>
            <w14:solidFill>
              <w14:schemeClr w14:val="tx1"/>
            </w14:solidFill>
          </w14:textFill>
        </w:rPr>
        <w:t>及</w:t>
      </w:r>
      <w:r>
        <w:rPr>
          <w:rFonts w:hint="eastAsia" w:ascii="宋体" w:hAnsi="宋体" w:eastAsia="宋体" w:cs="宋体"/>
          <w:b/>
          <w:bCs/>
          <w:lang w:eastAsia="zh-CN"/>
        </w:rPr>
        <w:t>【政府采购合同专用条款】</w:t>
      </w:r>
      <w:r>
        <w:rPr>
          <w:rFonts w:hint="eastAsia" w:ascii="宋体" w:hAnsi="宋体" w:cs="宋体"/>
          <w:lang w:eastAsia="zh-CN"/>
        </w:rPr>
        <w:t>约定应</w:t>
      </w:r>
      <w:r>
        <w:rPr>
          <w:rFonts w:hint="eastAsia" w:ascii="宋体" w:hAnsi="宋体" w:cs="宋体"/>
          <w:color w:val="000000" w:themeColor="text1"/>
          <w:lang w:eastAsia="zh-CN"/>
          <w14:textFill>
            <w14:solidFill>
              <w14:schemeClr w14:val="tx1"/>
            </w14:solidFill>
          </w14:textFill>
        </w:rPr>
        <w:t>由乙方承担的其他义务和责任。</w:t>
      </w:r>
    </w:p>
    <w:p w14:paraId="626233CD">
      <w:pPr>
        <w:numPr>
          <w:ilvl w:val="0"/>
          <w:numId w:val="10"/>
        </w:numPr>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w:t>
      </w:r>
      <w:r>
        <w:rPr>
          <w:rFonts w:hint="eastAsia" w:ascii="宋体" w:hAnsi="宋体"/>
          <w:b/>
          <w:bCs/>
          <w:color w:val="000000" w:themeColor="text1"/>
          <w:sz w:val="24"/>
          <w:lang w:eastAsia="zh-CN"/>
          <w14:textFill>
            <w14:solidFill>
              <w14:schemeClr w14:val="tx1"/>
            </w14:solidFill>
          </w14:textFill>
        </w:rPr>
        <w:t>行</w:t>
      </w:r>
    </w:p>
    <w:p w14:paraId="7CB76463">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6.1 甲乙双方应当按照</w:t>
      </w:r>
      <w:r>
        <w:rPr>
          <w:rFonts w:hint="eastAsia" w:ascii="宋体" w:hAnsi="宋体" w:cs="宋体"/>
          <w:b/>
          <w:bCs/>
          <w:lang w:eastAsia="zh-CN"/>
        </w:rPr>
        <w:t>【政府采购合同专用条款】</w:t>
      </w:r>
      <w:r>
        <w:rPr>
          <w:rFonts w:hint="eastAsia" w:ascii="宋体" w:hAnsi="宋体"/>
          <w:color w:val="000000" w:themeColor="text1"/>
          <w:lang w:eastAsia="zh-CN"/>
          <w14:textFill>
            <w14:solidFill>
              <w14:schemeClr w14:val="tx1"/>
            </w14:solidFill>
          </w14:textFill>
        </w:rPr>
        <w:t>约定顺序履行合同义务；如果没有先后顺序的，应当同时履行。</w:t>
      </w:r>
    </w:p>
    <w:p w14:paraId="425660D1">
      <w:pPr>
        <w:spacing w:line="400" w:lineRule="exact"/>
        <w:ind w:firstLine="420" w:firstLineChars="200"/>
        <w:rPr>
          <w:lang w:eastAsia="zh-CN"/>
        </w:rPr>
      </w:pPr>
      <w:r>
        <w:rPr>
          <w:rFonts w:hint="eastAsia" w:ascii="宋体" w:hAnsi="宋体"/>
          <w:color w:val="000000" w:themeColor="text1"/>
          <w:lang w:eastAsia="zh-CN"/>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0EAA29C">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7. 货物包装、运输、保险和交付要求</w:t>
      </w:r>
    </w:p>
    <w:p w14:paraId="79EFF25B">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7.1 本合同</w:t>
      </w:r>
      <w:r>
        <w:rPr>
          <w:rFonts w:hint="eastAsia" w:ascii="宋体" w:hAnsi="宋体"/>
          <w:bCs/>
          <w:color w:val="000000" w:themeColor="text1"/>
          <w:lang w:eastAsia="zh-CN"/>
          <w14:textFill>
            <w14:solidFill>
              <w14:schemeClr w14:val="tx1"/>
            </w14:solidFill>
          </w14:textFill>
        </w:rPr>
        <w:t>涉及商品包装、快递包装的，</w:t>
      </w:r>
      <w:r>
        <w:rPr>
          <w:rFonts w:hint="eastAsia" w:ascii="宋体" w:hAnsi="宋体"/>
          <w:color w:val="000000" w:themeColor="text1"/>
          <w:lang w:eastAsia="zh-CN"/>
          <w14:textFill>
            <w14:solidFill>
              <w14:schemeClr w14:val="tx1"/>
            </w14:solidFill>
          </w14:textFill>
        </w:rPr>
        <w:t>除</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另有约定外，</w:t>
      </w:r>
      <w:r>
        <w:rPr>
          <w:rFonts w:hint="eastAsia" w:ascii="宋体" w:hAnsi="宋体"/>
          <w:color w:val="000000" w:themeColor="text1"/>
          <w:lang w:eastAsia="zh-CN"/>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约定的</w:t>
      </w:r>
      <w:r>
        <w:rPr>
          <w:rFonts w:hint="eastAsia" w:ascii="宋体" w:hAnsi="宋体"/>
          <w:color w:val="000000" w:themeColor="text1"/>
          <w:lang w:eastAsia="zh-CN"/>
          <w14:textFill>
            <w14:solidFill>
              <w14:schemeClr w14:val="tx1"/>
            </w14:solidFill>
          </w14:textFill>
        </w:rPr>
        <w:t>指定现场。</w:t>
      </w:r>
    </w:p>
    <w:p w14:paraId="3A26FA85">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7.2 除</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另有约定外，</w:t>
      </w:r>
      <w:r>
        <w:rPr>
          <w:rFonts w:hint="eastAsia" w:ascii="宋体" w:hAnsi="宋体"/>
          <w:color w:val="000000" w:themeColor="text1"/>
          <w:lang w:eastAsia="zh-CN"/>
          <w14:textFill>
            <w14:solidFill>
              <w14:schemeClr w14:val="tx1"/>
            </w14:solidFill>
          </w14:textFill>
        </w:rPr>
        <w:t>乙方负责办理将货物运抵本合同规定的交货地点，并装卸、交付至甲方的一切运输事项，相关费用应包含在合同价款中。</w:t>
      </w:r>
    </w:p>
    <w:p w14:paraId="7DBFA5D4">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7.3 货物保险要求按</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规定执行</w:t>
      </w:r>
      <w:r>
        <w:rPr>
          <w:rFonts w:hint="eastAsia" w:ascii="宋体" w:hAnsi="宋体"/>
          <w:color w:val="000000" w:themeColor="text1"/>
          <w:lang w:eastAsia="zh-CN"/>
          <w14:textFill>
            <w14:solidFill>
              <w14:schemeClr w14:val="tx1"/>
            </w14:solidFill>
          </w14:textFill>
        </w:rPr>
        <w:t>。</w:t>
      </w:r>
    </w:p>
    <w:p w14:paraId="62F75E12">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00D8CF6">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7.5 </w:t>
      </w:r>
      <w:r>
        <w:rPr>
          <w:rFonts w:hint="eastAsia" w:ascii="宋体" w:hAnsi="宋体" w:cs="宋体"/>
          <w:lang w:eastAsia="zh-CN"/>
        </w:rPr>
        <w:t>乙方在运输到达之前应提前通知甲方，并提示货物运输装卸的注意事项，甲方配合乙方做好货物的接收工作。</w:t>
      </w:r>
    </w:p>
    <w:p w14:paraId="152F2D22">
      <w:pPr>
        <w:pStyle w:val="51"/>
        <w:ind w:firstLine="420"/>
        <w:rPr>
          <w:rFonts w:hint="eastAsia"/>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4F73FA3D">
      <w:pPr>
        <w:spacing w:line="400" w:lineRule="exact"/>
        <w:rPr>
          <w:rFonts w:hint="eastAsia" w:ascii="宋体" w:hAnsi="宋体"/>
          <w:b/>
          <w:color w:val="auto"/>
          <w:sz w:val="24"/>
          <w:lang w:eastAsia="zh-CN"/>
        </w:rPr>
      </w:pPr>
      <w:r>
        <w:rPr>
          <w:rFonts w:hint="eastAsia" w:ascii="宋体" w:hAnsi="宋体"/>
          <w:b/>
          <w:color w:val="000000" w:themeColor="text1"/>
          <w:sz w:val="24"/>
          <w:lang w:eastAsia="zh-CN"/>
          <w14:textFill>
            <w14:solidFill>
              <w14:schemeClr w14:val="tx1"/>
            </w14:solidFill>
          </w14:textFill>
        </w:rPr>
        <w:t xml:space="preserve">8. </w:t>
      </w:r>
      <w:r>
        <w:rPr>
          <w:rFonts w:hint="eastAsia" w:ascii="宋体" w:hAnsi="宋体"/>
          <w:b/>
          <w:color w:val="auto"/>
          <w:sz w:val="24"/>
          <w:lang w:eastAsia="zh-CN"/>
        </w:rPr>
        <w:t>质量标准和保证</w:t>
      </w:r>
    </w:p>
    <w:p w14:paraId="5D7EB257">
      <w:pPr>
        <w:pStyle w:val="11"/>
        <w:spacing w:line="400" w:lineRule="exact"/>
        <w:ind w:firstLine="420" w:firstLineChars="200"/>
        <w:rPr>
          <w:rFonts w:hint="eastAsia" w:hAnsi="宋体"/>
          <w:b/>
          <w:color w:val="auto"/>
          <w:lang w:eastAsia="zh-CN"/>
        </w:rPr>
      </w:pPr>
      <w:r>
        <w:rPr>
          <w:rFonts w:hint="eastAsia" w:hAnsi="宋体"/>
          <w:color w:val="auto"/>
          <w:lang w:eastAsia="zh-CN"/>
        </w:rPr>
        <w:t>8.1 质量标准</w:t>
      </w:r>
    </w:p>
    <w:p w14:paraId="4AA4E76E">
      <w:pPr>
        <w:spacing w:line="400" w:lineRule="exact"/>
        <w:ind w:firstLine="420" w:firstLineChars="200"/>
        <w:rPr>
          <w:rFonts w:hint="eastAsia" w:ascii="宋体" w:hAnsi="宋体"/>
          <w:color w:val="auto"/>
          <w:lang w:eastAsia="zh-CN"/>
        </w:rPr>
      </w:pPr>
      <w:r>
        <w:rPr>
          <w:rFonts w:hint="eastAsia" w:ascii="宋体" w:hAnsi="宋体"/>
          <w:color w:val="auto"/>
          <w:lang w:eastAsia="zh-CN"/>
        </w:rPr>
        <w:t>（1）本合同下提供的货物应符合合同</w:t>
      </w:r>
      <w:r>
        <w:rPr>
          <w:rFonts w:hint="eastAsia" w:ascii="宋体" w:hAnsi="宋体" w:cs="宋体"/>
          <w:lang w:eastAsia="zh-CN"/>
        </w:rPr>
        <w:t>约定的品牌、规格型号、技术性能、配置、质量、数量等要求。</w:t>
      </w:r>
      <w:r>
        <w:rPr>
          <w:rFonts w:hint="eastAsia" w:ascii="宋体" w:hAnsi="宋体"/>
          <w:color w:val="auto"/>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2404AB">
      <w:pPr>
        <w:pStyle w:val="11"/>
        <w:spacing w:line="400" w:lineRule="exact"/>
        <w:ind w:firstLine="420" w:firstLineChars="200"/>
        <w:rPr>
          <w:rFonts w:hint="eastAsia" w:hAnsi="宋体"/>
          <w:color w:val="auto"/>
          <w:lang w:eastAsia="zh-CN"/>
        </w:rPr>
      </w:pPr>
      <w:r>
        <w:rPr>
          <w:rFonts w:hint="eastAsia" w:hAnsi="宋体"/>
          <w:color w:val="auto"/>
          <w:lang w:eastAsia="zh-CN"/>
        </w:rPr>
        <w:t>（2）采用中华人民共和国法定计量单位。</w:t>
      </w:r>
    </w:p>
    <w:p w14:paraId="2AF147E5">
      <w:pPr>
        <w:spacing w:line="400" w:lineRule="exact"/>
        <w:ind w:firstLine="420" w:firstLineChars="200"/>
        <w:rPr>
          <w:rFonts w:hint="eastAsia" w:ascii="宋体" w:hAnsi="宋体"/>
          <w:color w:val="auto"/>
          <w:lang w:eastAsia="zh-CN"/>
        </w:rPr>
      </w:pPr>
      <w:r>
        <w:rPr>
          <w:rFonts w:hint="eastAsia" w:ascii="宋体" w:hAnsi="宋体"/>
          <w:color w:val="auto"/>
          <w:lang w:eastAsia="zh-CN"/>
        </w:rPr>
        <w:t>（3）乙方所提供的货物应符合国家有关安全、环保、卫生的规定。</w:t>
      </w:r>
    </w:p>
    <w:p w14:paraId="5E910849">
      <w:pPr>
        <w:spacing w:line="400" w:lineRule="exact"/>
        <w:ind w:firstLine="420" w:firstLineChars="200"/>
        <w:rPr>
          <w:rFonts w:hint="eastAsia" w:ascii="宋体" w:hAnsi="宋体"/>
          <w:color w:val="auto"/>
          <w:lang w:eastAsia="zh-CN"/>
        </w:rPr>
      </w:pPr>
      <w:r>
        <w:rPr>
          <w:rFonts w:hint="eastAsia" w:ascii="宋体" w:hAnsi="宋体"/>
          <w:color w:val="auto"/>
          <w:lang w:eastAsia="zh-CN"/>
        </w:rPr>
        <w:t>（4）乙方应向甲方提交所提供货物的技术文件，包括相应的中文技术文件，如：产品目录、图纸、操作手册、使用说明、维护手册或服务指南等。上述文件应包装好随货物一同发运。</w:t>
      </w:r>
    </w:p>
    <w:p w14:paraId="0021CEBC">
      <w:pPr>
        <w:spacing w:line="400" w:lineRule="exact"/>
        <w:ind w:firstLine="420" w:firstLineChars="200"/>
        <w:rPr>
          <w:rFonts w:hint="eastAsia" w:ascii="宋体" w:hAnsi="宋体"/>
          <w:color w:val="auto"/>
          <w:lang w:eastAsia="zh-CN"/>
        </w:rPr>
      </w:pPr>
      <w:r>
        <w:rPr>
          <w:rFonts w:hint="eastAsia" w:ascii="宋体" w:hAnsi="宋体"/>
          <w:color w:val="auto"/>
          <w:lang w:eastAsia="zh-CN"/>
        </w:rPr>
        <w:t>8.2 保证</w:t>
      </w:r>
    </w:p>
    <w:p w14:paraId="2EE11FAB">
      <w:pPr>
        <w:spacing w:line="400" w:lineRule="exact"/>
        <w:ind w:firstLine="420" w:firstLineChars="200"/>
        <w:rPr>
          <w:rFonts w:hint="eastAsia" w:ascii="宋体" w:hAnsi="宋体"/>
          <w:color w:val="auto"/>
          <w:lang w:eastAsia="zh-CN"/>
        </w:rPr>
      </w:pPr>
      <w:r>
        <w:rPr>
          <w:rFonts w:hint="eastAsia" w:ascii="宋体" w:hAnsi="宋体"/>
          <w:color w:val="auto"/>
          <w:lang w:eastAsia="zh-CN"/>
        </w:rPr>
        <w:t>（1）乙方应保证提供的货物完全符合合同规定的质量、规格和性能要求。乙方应保证货物在正确安装、正常使用和保养条件下，</w:t>
      </w:r>
      <w:r>
        <w:rPr>
          <w:rFonts w:hint="eastAsia" w:ascii="宋体" w:hAnsi="宋体" w:cs="宋体"/>
          <w:lang w:eastAsia="zh-CN"/>
        </w:rPr>
        <w:t>在其使用寿命期内具备合同约定的性能</w:t>
      </w:r>
      <w:r>
        <w:rPr>
          <w:rFonts w:hint="eastAsia" w:ascii="宋体" w:hAnsi="宋体"/>
          <w:color w:val="auto"/>
          <w:lang w:eastAsia="zh-CN"/>
        </w:rPr>
        <w:t>。存在质量保证期的，货物最终交付验收合格后在</w:t>
      </w:r>
      <w:r>
        <w:rPr>
          <w:rFonts w:hint="eastAsia" w:ascii="宋体" w:hAnsi="宋体"/>
          <w:b/>
          <w:color w:val="auto"/>
          <w:lang w:eastAsia="zh-CN"/>
        </w:rPr>
        <w:t>【政府采购合同专用条款】</w:t>
      </w:r>
      <w:r>
        <w:rPr>
          <w:rFonts w:hint="eastAsia" w:ascii="宋体" w:hAnsi="宋体"/>
          <w:color w:val="auto"/>
          <w:lang w:eastAsia="zh-CN"/>
        </w:rPr>
        <w:t>规定或乙方书面承诺（两者以较长的为准）的质量保证期内，本保证保持有效。</w:t>
      </w:r>
    </w:p>
    <w:p w14:paraId="55526FE3">
      <w:pPr>
        <w:spacing w:line="400" w:lineRule="exact"/>
        <w:ind w:firstLine="420" w:firstLineChars="200"/>
        <w:rPr>
          <w:rFonts w:hint="eastAsia" w:ascii="宋体" w:hAnsi="宋体"/>
          <w:color w:val="auto"/>
          <w:lang w:eastAsia="zh-CN"/>
        </w:rPr>
      </w:pPr>
      <w:r>
        <w:rPr>
          <w:rFonts w:hint="eastAsia" w:ascii="宋体" w:hAnsi="宋体"/>
          <w:color w:val="auto"/>
          <w:lang w:eastAsia="zh-CN"/>
        </w:rPr>
        <w:t>（2）在质量保证期内所发现的缺陷，甲方应尽快以书面形式通知乙方。</w:t>
      </w:r>
    </w:p>
    <w:p w14:paraId="17D94B63">
      <w:pPr>
        <w:spacing w:line="400" w:lineRule="exact"/>
        <w:ind w:firstLine="420" w:firstLineChars="200"/>
        <w:rPr>
          <w:rFonts w:hint="eastAsia" w:ascii="宋体" w:hAnsi="宋体"/>
          <w:color w:val="auto"/>
          <w:lang w:eastAsia="zh-CN"/>
        </w:rPr>
      </w:pPr>
      <w:r>
        <w:rPr>
          <w:rFonts w:hint="eastAsia" w:ascii="宋体" w:hAnsi="宋体"/>
          <w:color w:val="auto"/>
          <w:lang w:eastAsia="zh-CN"/>
        </w:rPr>
        <w:t>（3）乙方收到通知后，应在</w:t>
      </w:r>
      <w:r>
        <w:rPr>
          <w:rFonts w:hint="eastAsia" w:ascii="宋体" w:hAnsi="宋体"/>
          <w:b/>
          <w:color w:val="auto"/>
          <w:lang w:eastAsia="zh-CN"/>
        </w:rPr>
        <w:t>【政府采购合同专用条款】</w:t>
      </w:r>
      <w:r>
        <w:rPr>
          <w:rFonts w:hint="eastAsia" w:ascii="宋体" w:hAnsi="宋体"/>
          <w:color w:val="auto"/>
          <w:lang w:eastAsia="zh-CN"/>
        </w:rPr>
        <w:t>规定的响应时间内以合理的速度免费维修或更换有缺陷的货物或部件。</w:t>
      </w:r>
    </w:p>
    <w:p w14:paraId="65F70A6D">
      <w:pPr>
        <w:spacing w:line="400" w:lineRule="exact"/>
        <w:ind w:firstLine="420" w:firstLineChars="200"/>
        <w:rPr>
          <w:rFonts w:hint="eastAsia" w:ascii="宋体" w:hAnsi="宋体"/>
          <w:color w:val="auto"/>
          <w:lang w:eastAsia="zh-CN"/>
        </w:rPr>
      </w:pPr>
      <w:r>
        <w:rPr>
          <w:rFonts w:hint="eastAsia" w:ascii="宋体" w:hAnsi="宋体"/>
          <w:color w:val="auto"/>
          <w:lang w:eastAsia="zh-CN"/>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lang w:eastAsia="zh-CN"/>
          <w14:textFill>
            <w14:solidFill>
              <w14:schemeClr w14:val="tx1"/>
            </w14:solidFill>
          </w14:textFill>
        </w:rPr>
        <w:t>5</w:t>
      </w:r>
      <w:r>
        <w:rPr>
          <w:rFonts w:hint="eastAsia" w:ascii="宋体" w:hAnsi="宋体"/>
          <w:color w:val="auto"/>
          <w:lang w:eastAsia="zh-CN"/>
        </w:rPr>
        <w:t>.1条规定以书面形式</w:t>
      </w:r>
      <w:r>
        <w:rPr>
          <w:rFonts w:hint="eastAsia" w:ascii="宋体" w:hAnsi="宋体"/>
          <w:color w:val="000000" w:themeColor="text1"/>
          <w:lang w:eastAsia="zh-CN"/>
          <w14:textFill>
            <w14:solidFill>
              <w14:schemeClr w14:val="tx1"/>
            </w14:solidFill>
          </w14:textFill>
        </w:rPr>
        <w:t>追究</w:t>
      </w:r>
      <w:r>
        <w:rPr>
          <w:rFonts w:hint="eastAsia" w:ascii="宋体" w:hAnsi="宋体"/>
          <w:color w:val="auto"/>
          <w:lang w:eastAsia="zh-CN"/>
        </w:rPr>
        <w:t>乙方</w:t>
      </w:r>
      <w:r>
        <w:rPr>
          <w:rFonts w:hint="eastAsia" w:ascii="宋体" w:hAnsi="宋体"/>
          <w:color w:val="000000" w:themeColor="text1"/>
          <w:lang w:eastAsia="zh-CN"/>
          <w14:textFill>
            <w14:solidFill>
              <w14:schemeClr w14:val="tx1"/>
            </w14:solidFill>
          </w14:textFill>
        </w:rPr>
        <w:t>的违约责任</w:t>
      </w:r>
      <w:r>
        <w:rPr>
          <w:rFonts w:hint="eastAsia" w:ascii="宋体" w:hAnsi="宋体"/>
          <w:color w:val="auto"/>
          <w:lang w:eastAsia="zh-CN"/>
        </w:rPr>
        <w:t>。</w:t>
      </w:r>
    </w:p>
    <w:p w14:paraId="4701D659">
      <w:pPr>
        <w:spacing w:line="400" w:lineRule="exact"/>
        <w:ind w:firstLine="420" w:firstLineChars="200"/>
        <w:rPr>
          <w:color w:val="auto"/>
          <w:lang w:eastAsia="zh-CN"/>
        </w:rPr>
      </w:pPr>
      <w:r>
        <w:rPr>
          <w:rFonts w:hint="eastAsia" w:ascii="宋体" w:hAnsi="宋体"/>
          <w:color w:val="auto"/>
          <w:lang w:eastAsia="zh-CN"/>
        </w:rPr>
        <w:t>（5）乙方在约定的时间内未能弥补缺陷，甲方可采取必要的补救措施，但其风险和费用将由乙方承担，甲方根据合同约定对乙方行使的其他权利不受影响。</w:t>
      </w:r>
    </w:p>
    <w:p w14:paraId="17474492">
      <w:pPr>
        <w:spacing w:line="400" w:lineRule="exact"/>
        <w:rPr>
          <w:rFonts w:hint="eastAsia" w:ascii="宋体" w:hAnsi="宋体"/>
          <w:b/>
          <w:bCs/>
          <w:color w:val="auto"/>
          <w:sz w:val="24"/>
          <w:lang w:eastAsia="zh-CN"/>
        </w:rPr>
      </w:pPr>
      <w:r>
        <w:rPr>
          <w:rFonts w:hint="eastAsia" w:ascii="宋体" w:hAnsi="宋体"/>
          <w:b/>
          <w:bCs/>
          <w:color w:val="000000" w:themeColor="text1"/>
          <w:sz w:val="24"/>
          <w:lang w:eastAsia="zh-CN"/>
          <w14:textFill>
            <w14:solidFill>
              <w14:schemeClr w14:val="tx1"/>
            </w14:solidFill>
          </w14:textFill>
        </w:rPr>
        <w:t>9</w:t>
      </w:r>
      <w:r>
        <w:rPr>
          <w:rFonts w:hint="eastAsia" w:ascii="宋体" w:hAnsi="宋体"/>
          <w:b/>
          <w:bCs/>
          <w:color w:val="auto"/>
          <w:sz w:val="24"/>
          <w:lang w:eastAsia="zh-CN"/>
        </w:rPr>
        <w:t>.</w:t>
      </w:r>
      <w:r>
        <w:rPr>
          <w:rFonts w:hint="eastAsia" w:ascii="宋体" w:hAnsi="宋体"/>
          <w:b/>
          <w:bCs/>
          <w:color w:val="000000" w:themeColor="text1"/>
          <w:sz w:val="24"/>
          <w:lang w:eastAsia="zh-CN"/>
          <w14:textFill>
            <w14:solidFill>
              <w14:schemeClr w14:val="tx1"/>
            </w14:solidFill>
          </w14:textFill>
        </w:rPr>
        <w:t xml:space="preserve"> </w:t>
      </w:r>
      <w:r>
        <w:rPr>
          <w:rFonts w:hint="eastAsia" w:ascii="宋体" w:hAnsi="宋体"/>
          <w:b/>
          <w:bCs/>
          <w:color w:val="auto"/>
          <w:sz w:val="24"/>
          <w:lang w:eastAsia="zh-CN"/>
        </w:rPr>
        <w:t>权利瑕疵担保</w:t>
      </w:r>
    </w:p>
    <w:p w14:paraId="6EE4ECDE">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9.1 乙方保证对其出售的货物享有合法的权利。</w:t>
      </w:r>
    </w:p>
    <w:p w14:paraId="41122C02">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9.2 </w:t>
      </w:r>
      <w:r>
        <w:rPr>
          <w:rFonts w:hint="eastAsia" w:ascii="宋体" w:hAnsi="宋体" w:cs="宋体"/>
          <w:szCs w:val="15"/>
          <w:lang w:eastAsia="zh-CN"/>
        </w:rPr>
        <w:t>乙方保证在交付的货物上不存在抵押权等担保物权。</w:t>
      </w:r>
    </w:p>
    <w:p w14:paraId="7AE24C1D">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9.3 如甲方使用上述货物构成对第三人侵权的，则由乙方承担全部责任。</w:t>
      </w:r>
    </w:p>
    <w:p w14:paraId="0C278ACD">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10. 知识产权保护</w:t>
      </w:r>
    </w:p>
    <w:p w14:paraId="3235C154">
      <w:pPr>
        <w:spacing w:line="400" w:lineRule="exact"/>
        <w:ind w:firstLine="420" w:firstLineChars="200"/>
        <w:rPr>
          <w:rFonts w:hint="eastAsia" w:ascii="宋体" w:hAnsi="宋体"/>
          <w:color w:val="auto"/>
          <w:lang w:eastAsia="zh-CN"/>
        </w:rPr>
      </w:pPr>
      <w:r>
        <w:rPr>
          <w:rFonts w:hint="eastAsia" w:ascii="宋体" w:hAnsi="宋体"/>
          <w:color w:val="000000" w:themeColor="text1"/>
          <w:lang w:eastAsia="zh-CN"/>
          <w14:textFill>
            <w14:solidFill>
              <w14:schemeClr w14:val="tx1"/>
            </w14:solidFill>
          </w14:textFill>
        </w:rPr>
        <w:t>10.1 乙方对其所销售的货物应当享有知识产权或经权利人合法授权，保证没有侵犯任</w:t>
      </w:r>
      <w:r>
        <w:rPr>
          <w:rFonts w:hint="eastAsia" w:ascii="宋体" w:hAnsi="宋体"/>
          <w:color w:val="auto"/>
          <w:lang w:eastAsia="zh-CN"/>
        </w:rPr>
        <w:t>何第三人的知识产权等权利。</w:t>
      </w:r>
      <w:bookmarkStart w:id="51" w:name="_Hlk163047038"/>
      <w:r>
        <w:rPr>
          <w:rFonts w:hint="eastAsia" w:ascii="宋体" w:hAnsi="宋体" w:cs="宋体"/>
          <w:szCs w:val="15"/>
          <w:lang w:eastAsia="zh-CN"/>
        </w:rPr>
        <w:t>因违反前述约定对第三人构成侵权的，应当由乙方向第三人承担法律责任；甲方依法向第三人赔偿后，有权向乙方追偿。甲方有其他损失的，乙方应当赔偿</w:t>
      </w:r>
      <w:bookmarkEnd w:id="51"/>
      <w:r>
        <w:rPr>
          <w:rFonts w:hint="eastAsia" w:ascii="宋体" w:hAnsi="宋体"/>
          <w:color w:val="auto"/>
          <w:lang w:eastAsia="zh-CN"/>
        </w:rPr>
        <w:t>。</w:t>
      </w:r>
    </w:p>
    <w:p w14:paraId="630CECDD">
      <w:pPr>
        <w:spacing w:line="400" w:lineRule="exact"/>
        <w:rPr>
          <w:rFonts w:hint="eastAsia" w:ascii="宋体" w:hAnsi="宋体"/>
          <w:b/>
          <w:bCs/>
          <w:color w:val="auto"/>
          <w:sz w:val="24"/>
          <w:lang w:eastAsia="zh-CN"/>
        </w:rPr>
      </w:pPr>
      <w:r>
        <w:rPr>
          <w:rFonts w:hint="eastAsia" w:ascii="宋体" w:hAnsi="宋体"/>
          <w:b/>
          <w:bCs/>
          <w:color w:val="auto"/>
          <w:sz w:val="24"/>
          <w:lang w:eastAsia="zh-CN"/>
        </w:rPr>
        <w:t>11. 保密义务</w:t>
      </w:r>
    </w:p>
    <w:p w14:paraId="773F78F4">
      <w:pPr>
        <w:spacing w:line="400" w:lineRule="exact"/>
        <w:ind w:firstLine="420" w:firstLineChars="200"/>
        <w:rPr>
          <w:rFonts w:hint="eastAsia" w:ascii="宋体" w:hAnsi="宋体" w:cs="宋体"/>
          <w:szCs w:val="15"/>
          <w:lang w:eastAsia="zh-CN"/>
        </w:rPr>
      </w:pPr>
      <w:r>
        <w:rPr>
          <w:rFonts w:hint="eastAsia" w:ascii="宋体" w:hAnsi="宋体" w:cs="宋体"/>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lang w:eastAsia="zh-CN"/>
        </w:rPr>
        <w:t>【政府采购合同专用条款】</w:t>
      </w:r>
      <w:r>
        <w:rPr>
          <w:rFonts w:hint="eastAsia" w:ascii="宋体" w:hAnsi="宋体" w:cs="宋体"/>
          <w:szCs w:val="15"/>
          <w:lang w:eastAsia="zh-CN"/>
        </w:rPr>
        <w:t>中约定。</w:t>
      </w:r>
    </w:p>
    <w:p w14:paraId="63AB7EF1">
      <w:pPr>
        <w:spacing w:line="400" w:lineRule="exact"/>
        <w:rPr>
          <w:rFonts w:hint="eastAsia" w:ascii="宋体" w:hAnsi="宋体"/>
          <w:b/>
          <w:bCs/>
          <w:color w:val="auto"/>
          <w:sz w:val="24"/>
          <w:lang w:eastAsia="zh-CN"/>
        </w:rPr>
      </w:pPr>
      <w:r>
        <w:rPr>
          <w:rFonts w:hint="eastAsia" w:ascii="宋体" w:hAnsi="宋体"/>
          <w:b/>
          <w:bCs/>
          <w:color w:val="auto"/>
          <w:sz w:val="24"/>
          <w:lang w:eastAsia="zh-CN"/>
        </w:rPr>
        <w:t>12. 合同价款支付</w:t>
      </w:r>
    </w:p>
    <w:p w14:paraId="1BC28AE6">
      <w:pPr>
        <w:autoSpaceDE/>
        <w:autoSpaceDN/>
        <w:spacing w:line="400" w:lineRule="exact"/>
        <w:ind w:firstLine="420" w:firstLineChars="200"/>
        <w:rPr>
          <w:rFonts w:hint="eastAsia" w:ascii="宋体" w:hAnsi="宋体"/>
          <w:color w:val="auto"/>
          <w:lang w:eastAsia="zh-CN"/>
        </w:rPr>
      </w:pPr>
      <w:r>
        <w:rPr>
          <w:rFonts w:hint="eastAsia" w:ascii="宋体" w:hAnsi="宋体"/>
          <w:color w:val="auto"/>
          <w:lang w:eastAsia="zh-CN"/>
        </w:rPr>
        <w:t>12.1 合同价款支付按照国库集中支付制度及财政管理相关规定执行。</w:t>
      </w:r>
    </w:p>
    <w:p w14:paraId="4FD9AF06">
      <w:pPr>
        <w:pStyle w:val="3"/>
        <w:spacing w:line="400" w:lineRule="exact"/>
        <w:ind w:firstLine="420" w:firstLineChars="200"/>
        <w:rPr>
          <w:color w:val="auto"/>
          <w:lang w:eastAsia="zh-CN"/>
        </w:rPr>
      </w:pPr>
      <w:r>
        <w:rPr>
          <w:rFonts w:hint="eastAsia" w:ascii="宋体" w:hAnsi="宋体" w:cs="Times New Roman"/>
          <w:color w:val="auto"/>
          <w:sz w:val="21"/>
          <w:szCs w:val="21"/>
          <w:lang w:eastAsia="zh-CN"/>
        </w:rPr>
        <w:t xml:space="preserve">12.2 </w:t>
      </w:r>
      <w:r>
        <w:rPr>
          <w:rFonts w:hint="eastAsia" w:ascii="宋体" w:hAnsi="宋体" w:cs="Times New Roman"/>
          <w:color w:val="auto"/>
          <w:kern w:val="2"/>
          <w:sz w:val="21"/>
          <w:szCs w:val="21"/>
          <w:lang w:eastAsia="zh-CN"/>
        </w:rPr>
        <w:t>对于满足合同约定支付条件的，甲方</w:t>
      </w:r>
      <w:r>
        <w:rPr>
          <w:rFonts w:hint="eastAsia" w:ascii="宋体" w:hAnsi="宋体" w:cs="Times New Roman"/>
          <w:color w:val="auto"/>
          <w:sz w:val="21"/>
          <w:szCs w:val="21"/>
          <w:lang w:eastAsia="zh-CN"/>
        </w:rPr>
        <w:t>原则上应当自收到发票后10个工作日内</w:t>
      </w:r>
      <w:r>
        <w:rPr>
          <w:rFonts w:hint="eastAsia" w:ascii="宋体" w:hAnsi="宋体" w:cs="Times New Roman"/>
          <w:color w:val="auto"/>
          <w:kern w:val="2"/>
          <w:sz w:val="21"/>
          <w:szCs w:val="21"/>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Times New Roman"/>
          <w:b/>
          <w:bCs/>
          <w:color w:val="auto"/>
          <w:kern w:val="2"/>
          <w:sz w:val="21"/>
          <w:szCs w:val="21"/>
          <w:lang w:eastAsia="zh-CN"/>
        </w:rPr>
        <w:t>政府采购合同专用条款</w:t>
      </w:r>
      <w:r>
        <w:rPr>
          <w:rFonts w:hint="eastAsia" w:ascii="宋体" w:hAnsi="宋体" w:cs="Times New Roman"/>
          <w:color w:val="auto"/>
          <w:kern w:val="2"/>
          <w:sz w:val="21"/>
          <w:szCs w:val="21"/>
          <w:lang w:eastAsia="zh-CN"/>
        </w:rPr>
        <w:t>】中约定。</w:t>
      </w:r>
    </w:p>
    <w:p w14:paraId="6DA00CBF">
      <w:pPr>
        <w:pStyle w:val="8"/>
        <w:spacing w:line="400" w:lineRule="exact"/>
        <w:rPr>
          <w:rFonts w:ascii="宋体" w:hAnsi="宋体"/>
          <w:b/>
          <w:bCs/>
          <w:color w:val="auto"/>
          <w:sz w:val="24"/>
          <w:szCs w:val="24"/>
          <w:lang w:eastAsia="zh-CN"/>
        </w:rPr>
      </w:pPr>
      <w:r>
        <w:rPr>
          <w:rFonts w:hint="eastAsia" w:ascii="宋体" w:hAnsi="宋体"/>
          <w:b/>
          <w:bCs/>
          <w:color w:val="auto"/>
          <w:sz w:val="24"/>
          <w:szCs w:val="24"/>
          <w:lang w:eastAsia="zh-CN"/>
        </w:rPr>
        <w:t>13. 履约保证金</w:t>
      </w:r>
    </w:p>
    <w:p w14:paraId="59A8A68C">
      <w:pPr>
        <w:spacing w:line="400" w:lineRule="exact"/>
        <w:ind w:firstLine="420" w:firstLineChars="200"/>
        <w:rPr>
          <w:rFonts w:hint="eastAsia" w:ascii="宋体" w:hAnsi="宋体"/>
          <w:color w:val="auto"/>
          <w:lang w:eastAsia="zh-CN"/>
        </w:rPr>
      </w:pPr>
      <w:r>
        <w:rPr>
          <w:rFonts w:hint="eastAsia" w:ascii="宋体" w:hAnsi="宋体"/>
          <w:color w:val="auto"/>
          <w:lang w:eastAsia="zh-CN"/>
        </w:rPr>
        <w:t xml:space="preserve">13.1 </w:t>
      </w:r>
      <w:r>
        <w:rPr>
          <w:rFonts w:hint="eastAsia" w:ascii="宋体" w:hAnsi="宋体" w:cs="宋体"/>
          <w:szCs w:val="15"/>
          <w:lang w:eastAsia="zh-CN"/>
        </w:rPr>
        <w:t>乙方应当以支票、汇票、本票或者金融机构、担保机构出具的保函等非现金形式提交。</w:t>
      </w:r>
    </w:p>
    <w:p w14:paraId="00D5971A">
      <w:pPr>
        <w:spacing w:line="400" w:lineRule="exact"/>
        <w:ind w:firstLine="420" w:firstLineChars="200"/>
        <w:rPr>
          <w:rFonts w:hint="eastAsia" w:ascii="宋体" w:hAnsi="宋体"/>
          <w:color w:val="auto"/>
          <w:lang w:eastAsia="zh-CN"/>
        </w:rPr>
      </w:pPr>
      <w:r>
        <w:rPr>
          <w:rFonts w:hint="eastAsia" w:ascii="宋体" w:hAnsi="宋体"/>
          <w:color w:val="auto"/>
          <w:lang w:eastAsia="zh-CN"/>
        </w:rPr>
        <w:t>13.2 如果乙方出现</w:t>
      </w:r>
      <w:r>
        <w:rPr>
          <w:rFonts w:hint="eastAsia" w:ascii="宋体" w:hAnsi="宋体" w:cs="宋体"/>
          <w:b/>
          <w:bCs/>
          <w:szCs w:val="15"/>
          <w:lang w:eastAsia="zh-CN"/>
        </w:rPr>
        <w:t>【政府采购合同专用条款】</w:t>
      </w:r>
      <w:r>
        <w:rPr>
          <w:rFonts w:hint="eastAsia" w:ascii="宋体" w:hAnsi="宋体" w:cs="宋体"/>
          <w:szCs w:val="15"/>
          <w:lang w:eastAsia="zh-CN"/>
        </w:rPr>
        <w:t>约定情形的</w:t>
      </w:r>
      <w:r>
        <w:rPr>
          <w:rFonts w:hint="eastAsia" w:ascii="宋体" w:hAnsi="宋体"/>
          <w:color w:val="auto"/>
          <w:lang w:eastAsia="zh-CN"/>
        </w:rPr>
        <w:t>，履约保证金不予退还；如果乙方未能按合同约定全面履行义务，甲方有权从履约保证金中取得补偿或赔偿，且不影响甲方要求乙方承担合同约定的超过履约保证金的违约责任的权利。</w:t>
      </w:r>
    </w:p>
    <w:p w14:paraId="43581DFE">
      <w:pPr>
        <w:spacing w:line="400" w:lineRule="exact"/>
        <w:ind w:firstLine="420"/>
        <w:rPr>
          <w:color w:val="auto"/>
          <w:lang w:eastAsia="zh-CN"/>
        </w:rPr>
      </w:pPr>
      <w:r>
        <w:rPr>
          <w:rFonts w:hint="eastAsia" w:ascii="宋体" w:hAnsi="宋体"/>
          <w:color w:val="auto"/>
          <w:lang w:eastAsia="zh-CN"/>
        </w:rPr>
        <w:t>13.3 甲方在项目通过验收后按照</w:t>
      </w:r>
      <w:r>
        <w:rPr>
          <w:rFonts w:hint="eastAsia" w:ascii="宋体" w:hAnsi="宋体"/>
          <w:b/>
          <w:color w:val="auto"/>
          <w:lang w:eastAsia="zh-CN"/>
        </w:rPr>
        <w:t>【政府采购合同专用条款】</w:t>
      </w:r>
      <w:r>
        <w:rPr>
          <w:rFonts w:hint="eastAsia" w:ascii="宋体" w:hAnsi="宋体"/>
          <w:color w:val="auto"/>
          <w:lang w:eastAsia="zh-CN"/>
        </w:rPr>
        <w:t>规定的时间内将履约保证金退还乙方；逾期退还的，乙方可要求甲方支付违约金，违约金按照</w:t>
      </w:r>
      <w:r>
        <w:rPr>
          <w:rFonts w:hint="eastAsia" w:ascii="宋体" w:hAnsi="宋体"/>
          <w:b/>
          <w:color w:val="auto"/>
          <w:lang w:eastAsia="zh-CN"/>
        </w:rPr>
        <w:t>【政府采购合同专用条款】</w:t>
      </w:r>
      <w:r>
        <w:rPr>
          <w:rFonts w:hint="eastAsia" w:ascii="宋体" w:hAnsi="宋体"/>
          <w:color w:val="auto"/>
          <w:lang w:eastAsia="zh-CN"/>
        </w:rPr>
        <w:t>规定支付。</w:t>
      </w:r>
    </w:p>
    <w:p w14:paraId="5F334B35">
      <w:pPr>
        <w:spacing w:line="400" w:lineRule="exact"/>
        <w:rPr>
          <w:rFonts w:hint="eastAsia" w:ascii="宋体" w:hAnsi="宋体"/>
          <w:b/>
          <w:color w:val="auto"/>
          <w:sz w:val="24"/>
          <w:lang w:eastAsia="zh-CN"/>
        </w:rPr>
      </w:pPr>
      <w:r>
        <w:rPr>
          <w:rFonts w:hint="eastAsia" w:ascii="宋体" w:hAnsi="宋体"/>
          <w:b/>
          <w:bCs/>
          <w:color w:val="auto"/>
          <w:sz w:val="24"/>
          <w:lang w:eastAsia="zh-CN"/>
        </w:rPr>
        <w:t xml:space="preserve">14. </w:t>
      </w:r>
      <w:r>
        <w:rPr>
          <w:rFonts w:hint="eastAsia"/>
          <w:b/>
          <w:color w:val="auto"/>
          <w:sz w:val="24"/>
          <w:lang w:eastAsia="zh-CN"/>
        </w:rPr>
        <w:t>售后</w:t>
      </w:r>
      <w:r>
        <w:rPr>
          <w:rFonts w:hint="eastAsia" w:ascii="宋体" w:hAnsi="宋体"/>
          <w:b/>
          <w:color w:val="auto"/>
          <w:sz w:val="24"/>
          <w:lang w:eastAsia="zh-CN"/>
        </w:rPr>
        <w:t>服务</w:t>
      </w:r>
    </w:p>
    <w:p w14:paraId="62A6D7F8">
      <w:pPr>
        <w:spacing w:line="400" w:lineRule="exact"/>
        <w:ind w:firstLine="420" w:firstLineChars="200"/>
        <w:rPr>
          <w:rFonts w:hint="eastAsia" w:ascii="宋体" w:hAnsi="宋体"/>
          <w:color w:val="auto"/>
          <w:lang w:eastAsia="zh-CN"/>
        </w:rPr>
      </w:pPr>
      <w:r>
        <w:rPr>
          <w:rFonts w:hint="eastAsia" w:ascii="宋体" w:hAnsi="宋体"/>
          <w:color w:val="auto"/>
          <w:lang w:eastAsia="zh-CN"/>
        </w:rPr>
        <w:t>14.1 除项目不涉及或采购活动中明确约定无须承担外，乙方还应提供下列服务：</w:t>
      </w:r>
    </w:p>
    <w:p w14:paraId="19B47318">
      <w:pPr>
        <w:spacing w:line="400" w:lineRule="exact"/>
        <w:ind w:firstLine="420" w:firstLineChars="200"/>
        <w:rPr>
          <w:rFonts w:hint="eastAsia" w:ascii="宋体" w:hAnsi="宋体"/>
          <w:color w:val="auto"/>
          <w:lang w:eastAsia="zh-CN"/>
        </w:rPr>
      </w:pPr>
      <w:r>
        <w:rPr>
          <w:rFonts w:hint="eastAsia" w:ascii="宋体" w:hAnsi="宋体"/>
          <w:color w:val="auto"/>
          <w:lang w:eastAsia="zh-CN"/>
        </w:rPr>
        <w:t>（1）货物的现场移动、安装、调试、启动监督及技术支持；</w:t>
      </w:r>
    </w:p>
    <w:p w14:paraId="3EF912BD">
      <w:pPr>
        <w:spacing w:line="400" w:lineRule="exact"/>
        <w:ind w:firstLine="420" w:firstLineChars="200"/>
        <w:rPr>
          <w:rFonts w:hint="eastAsia" w:ascii="宋体" w:hAnsi="宋体"/>
          <w:color w:val="auto"/>
          <w:lang w:eastAsia="zh-CN"/>
        </w:rPr>
      </w:pPr>
      <w:r>
        <w:rPr>
          <w:rFonts w:hint="eastAsia" w:ascii="宋体" w:hAnsi="宋体"/>
          <w:color w:val="auto"/>
          <w:lang w:eastAsia="zh-CN"/>
        </w:rPr>
        <w:t>（2）提供货物组装和维修所需的专用工具和辅助材料；</w:t>
      </w:r>
    </w:p>
    <w:p w14:paraId="0D26063B">
      <w:pPr>
        <w:spacing w:line="400" w:lineRule="exact"/>
        <w:ind w:firstLine="420" w:firstLineChars="200"/>
        <w:rPr>
          <w:rFonts w:hint="eastAsia" w:ascii="宋体" w:hAnsi="宋体"/>
          <w:color w:val="auto"/>
          <w:lang w:eastAsia="zh-CN"/>
        </w:rPr>
      </w:pPr>
      <w:r>
        <w:rPr>
          <w:rFonts w:hint="eastAsia" w:ascii="宋体" w:hAnsi="宋体"/>
          <w:color w:val="auto"/>
          <w:lang w:eastAsia="zh-CN"/>
        </w:rPr>
        <w:t>（3）在</w:t>
      </w:r>
      <w:r>
        <w:rPr>
          <w:rFonts w:hint="eastAsia" w:ascii="宋体" w:hAnsi="宋体" w:cs="宋体"/>
          <w:b/>
          <w:bCs/>
          <w:szCs w:val="15"/>
          <w:lang w:eastAsia="zh-CN"/>
        </w:rPr>
        <w:t>【政府采购合同专用条款】</w:t>
      </w:r>
      <w:r>
        <w:rPr>
          <w:rFonts w:hint="eastAsia" w:ascii="宋体" w:hAnsi="宋体"/>
          <w:color w:val="auto"/>
          <w:lang w:eastAsia="zh-CN"/>
        </w:rPr>
        <w:t>约定的期限内对所有的货物实施运行监督、维修，但前提条件是该服务并不能免除乙方在质量保证期内所承担的义务；</w:t>
      </w:r>
    </w:p>
    <w:p w14:paraId="60D62F3A">
      <w:pPr>
        <w:spacing w:line="400" w:lineRule="exact"/>
        <w:ind w:firstLine="420" w:firstLineChars="200"/>
        <w:rPr>
          <w:rFonts w:hint="eastAsia" w:ascii="宋体" w:hAnsi="宋体"/>
          <w:color w:val="auto"/>
          <w:lang w:eastAsia="zh-CN"/>
        </w:rPr>
      </w:pPr>
      <w:r>
        <w:rPr>
          <w:rFonts w:hint="eastAsia" w:ascii="宋体" w:hAnsi="宋体"/>
          <w:color w:val="auto"/>
          <w:lang w:eastAsia="zh-CN"/>
        </w:rPr>
        <w:t>（4）在制造商所在地或指定现场就货物的安装、启动、运营、维护、废弃处置等对甲方操作人员进行培训</w:t>
      </w:r>
      <w:r>
        <w:rPr>
          <w:rFonts w:hint="eastAsia" w:ascii="宋体" w:hAnsi="宋体" w:cs="宋体"/>
          <w:szCs w:val="15"/>
          <w:lang w:eastAsia="zh-CN"/>
        </w:rPr>
        <w:t>；</w:t>
      </w:r>
    </w:p>
    <w:p w14:paraId="660D75D6">
      <w:pPr>
        <w:pStyle w:val="51"/>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46F78C19">
      <w:pPr>
        <w:spacing w:line="400" w:lineRule="exact"/>
        <w:ind w:firstLine="420" w:firstLineChars="200"/>
        <w:rPr>
          <w:rFonts w:hint="eastAsia" w:ascii="宋体" w:hAnsi="宋体"/>
          <w:color w:val="auto"/>
          <w:lang w:eastAsia="zh-CN"/>
        </w:rPr>
      </w:pPr>
      <w:r>
        <w:rPr>
          <w:rFonts w:hint="eastAsia" w:ascii="宋体" w:hAnsi="宋体"/>
          <w:color w:val="auto"/>
          <w:lang w:eastAsia="zh-CN"/>
        </w:rPr>
        <w:t>（6）</w:t>
      </w:r>
      <w:r>
        <w:rPr>
          <w:rFonts w:hint="eastAsia" w:ascii="宋体" w:hAnsi="宋体"/>
          <w:b/>
          <w:color w:val="auto"/>
          <w:lang w:eastAsia="zh-CN"/>
        </w:rPr>
        <w:t>【政府采购合同专用条款】</w:t>
      </w:r>
      <w:r>
        <w:rPr>
          <w:rFonts w:hint="eastAsia" w:ascii="宋体" w:hAnsi="宋体"/>
          <w:color w:val="auto"/>
          <w:lang w:eastAsia="zh-CN"/>
        </w:rPr>
        <w:t>规定由乙方提供的其他服务。</w:t>
      </w:r>
    </w:p>
    <w:p w14:paraId="789146DE">
      <w:pPr>
        <w:spacing w:line="400" w:lineRule="exact"/>
        <w:ind w:firstLine="420" w:firstLineChars="200"/>
        <w:rPr>
          <w:rFonts w:hint="eastAsia" w:ascii="宋体" w:hAnsi="宋体"/>
          <w:color w:val="auto"/>
          <w:lang w:eastAsia="zh-CN"/>
        </w:rPr>
      </w:pPr>
      <w:r>
        <w:rPr>
          <w:rFonts w:hint="eastAsia" w:ascii="宋体" w:hAnsi="宋体"/>
          <w:color w:val="auto"/>
          <w:lang w:eastAsia="zh-CN"/>
        </w:rPr>
        <w:t>14.2 乙方提供的售后服务的费用已包含在合同价款中，甲方不再另行支付。</w:t>
      </w:r>
    </w:p>
    <w:p w14:paraId="35823A27">
      <w:pPr>
        <w:spacing w:line="400" w:lineRule="exact"/>
        <w:rPr>
          <w:rFonts w:hint="eastAsia" w:ascii="宋体" w:hAnsi="宋体"/>
          <w:b/>
          <w:bCs/>
          <w:color w:val="auto"/>
          <w:sz w:val="24"/>
          <w:lang w:eastAsia="zh-CN"/>
        </w:rPr>
      </w:pPr>
      <w:r>
        <w:rPr>
          <w:rFonts w:hint="eastAsia" w:ascii="宋体" w:hAnsi="宋体"/>
          <w:b/>
          <w:bCs/>
          <w:color w:val="auto"/>
          <w:sz w:val="24"/>
          <w:lang w:eastAsia="zh-CN"/>
        </w:rPr>
        <w:t>15. 违约责任</w:t>
      </w:r>
    </w:p>
    <w:p w14:paraId="36A8FDD4">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15.1质量瑕疵的违约责任</w:t>
      </w:r>
    </w:p>
    <w:p w14:paraId="47D2657A">
      <w:pPr>
        <w:spacing w:line="400" w:lineRule="exact"/>
        <w:ind w:firstLine="420" w:firstLineChars="200"/>
        <w:rPr>
          <w:rFonts w:hint="eastAsia" w:ascii="宋体" w:hAnsi="宋体"/>
          <w:color w:val="auto"/>
          <w:lang w:eastAsia="zh-CN"/>
        </w:rPr>
      </w:pPr>
      <w:r>
        <w:rPr>
          <w:rFonts w:hint="eastAsia" w:ascii="宋体" w:hAnsi="宋体"/>
          <w:color w:val="auto"/>
          <w:lang w:eastAsia="zh-CN"/>
        </w:rPr>
        <w:t>乙方提供的产品不符合合同约定的质量标准或存在产品质量缺陷，甲方有权要求乙方根据</w:t>
      </w:r>
      <w:r>
        <w:rPr>
          <w:rFonts w:hint="eastAsia" w:ascii="宋体" w:hAnsi="宋体"/>
          <w:b/>
          <w:color w:val="auto"/>
          <w:lang w:eastAsia="zh-CN"/>
        </w:rPr>
        <w:t>【政府采购合同专用条款】</w:t>
      </w:r>
      <w:r>
        <w:rPr>
          <w:rFonts w:hint="eastAsia" w:ascii="宋体" w:hAnsi="宋体"/>
          <w:bCs/>
          <w:color w:val="auto"/>
          <w:lang w:eastAsia="zh-CN"/>
        </w:rPr>
        <w:t>要求</w:t>
      </w:r>
      <w:r>
        <w:rPr>
          <w:rFonts w:hint="eastAsia" w:ascii="宋体" w:hAnsi="宋体"/>
          <w:color w:val="auto"/>
          <w:lang w:eastAsia="zh-CN"/>
        </w:rPr>
        <w:t>及时修理、重作、更换，并承担由此给甲方造成的损失。</w:t>
      </w:r>
    </w:p>
    <w:p w14:paraId="6A644D2C">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15.2 迟延交货的违约责任</w:t>
      </w:r>
    </w:p>
    <w:p w14:paraId="2D4C14A0">
      <w:pPr>
        <w:spacing w:line="400" w:lineRule="exact"/>
        <w:ind w:firstLine="420" w:firstLineChars="200"/>
        <w:rPr>
          <w:rFonts w:hint="eastAsia" w:ascii="宋体" w:hAnsi="宋体"/>
          <w:color w:val="auto"/>
          <w:lang w:eastAsia="zh-CN"/>
        </w:rPr>
      </w:pPr>
      <w:r>
        <w:rPr>
          <w:rFonts w:hint="eastAsia" w:ascii="宋体" w:hAnsi="宋体"/>
          <w:color w:val="auto"/>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C7E91A3">
      <w:pPr>
        <w:spacing w:line="400" w:lineRule="exact"/>
        <w:ind w:firstLine="420" w:firstLineChars="200"/>
        <w:rPr>
          <w:rFonts w:hint="eastAsia" w:ascii="宋体" w:hAnsi="宋体"/>
          <w:color w:val="auto"/>
          <w:lang w:eastAsia="zh-CN"/>
        </w:rPr>
      </w:pPr>
      <w:r>
        <w:rPr>
          <w:rFonts w:hint="eastAsia" w:ascii="宋体" w:hAnsi="宋体"/>
          <w:color w:val="auto"/>
          <w:lang w:eastAsia="zh-CN"/>
        </w:rPr>
        <w:t>（2）如果乙方没有按照合同规定的时间交货和提供相关服务，甲方有权从货款中扣除误期赔偿费而不影响合同项下的其他补救方法，赔偿费按</w:t>
      </w:r>
      <w:r>
        <w:rPr>
          <w:rFonts w:hint="eastAsia" w:ascii="宋体" w:hAnsi="宋体"/>
          <w:b/>
          <w:color w:val="auto"/>
          <w:lang w:eastAsia="zh-CN"/>
        </w:rPr>
        <w:t>【政府采购合同专用条款】</w:t>
      </w:r>
      <w:r>
        <w:rPr>
          <w:rFonts w:hint="eastAsia" w:ascii="宋体" w:hAnsi="宋体"/>
          <w:color w:val="auto"/>
          <w:lang w:eastAsia="zh-CN"/>
        </w:rPr>
        <w:t>规定执行。如果涉及公共利益，且赔偿金额无法弥补公共利益损失，甲方可要求继续履行或者采取其他补救措施。</w:t>
      </w:r>
    </w:p>
    <w:p w14:paraId="5054D984">
      <w:pPr>
        <w:spacing w:line="400" w:lineRule="exact"/>
        <w:ind w:firstLine="420" w:firstLineChars="200"/>
        <w:rPr>
          <w:rFonts w:hint="eastAsia" w:ascii="宋体" w:hAnsi="宋体"/>
          <w:color w:val="auto"/>
          <w:lang w:eastAsia="zh-CN"/>
        </w:rPr>
      </w:pPr>
      <w:r>
        <w:rPr>
          <w:rFonts w:hint="eastAsia" w:ascii="宋体" w:hAnsi="宋体"/>
          <w:color w:val="auto"/>
          <w:lang w:eastAsia="zh-CN"/>
        </w:rPr>
        <w:t>15.3 迟延支付的违约责任</w:t>
      </w:r>
    </w:p>
    <w:p w14:paraId="7154D3CE">
      <w:pPr>
        <w:spacing w:line="400" w:lineRule="exact"/>
        <w:ind w:firstLine="420" w:firstLineChars="200"/>
        <w:rPr>
          <w:rFonts w:hint="eastAsia" w:ascii="宋体" w:hAnsi="宋体"/>
          <w:color w:val="auto"/>
          <w:lang w:eastAsia="zh-CN"/>
        </w:rPr>
      </w:pPr>
      <w:r>
        <w:rPr>
          <w:rFonts w:hint="eastAsia" w:ascii="宋体" w:hAnsi="宋体"/>
          <w:color w:val="auto"/>
          <w:lang w:eastAsia="zh-CN"/>
        </w:rPr>
        <w:t>甲方存在迟延支付乙方合同款项的，应当承担</w:t>
      </w:r>
      <w:r>
        <w:rPr>
          <w:rFonts w:hint="eastAsia" w:ascii="宋体" w:hAnsi="宋体"/>
          <w:b/>
          <w:bCs/>
          <w:color w:val="auto"/>
          <w:lang w:eastAsia="zh-CN"/>
        </w:rPr>
        <w:t>【政府采购合同专用条款】</w:t>
      </w:r>
      <w:r>
        <w:rPr>
          <w:rFonts w:hint="eastAsia" w:ascii="宋体" w:hAnsi="宋体"/>
          <w:color w:val="auto"/>
          <w:lang w:eastAsia="zh-CN"/>
        </w:rPr>
        <w:t>规定的逾期付款利息。</w:t>
      </w:r>
    </w:p>
    <w:p w14:paraId="36368028">
      <w:pPr>
        <w:spacing w:line="400" w:lineRule="exact"/>
        <w:ind w:firstLine="420" w:firstLineChars="200"/>
        <w:rPr>
          <w:rFonts w:hint="eastAsia" w:ascii="宋体" w:hAnsi="宋体"/>
          <w:color w:val="auto"/>
          <w:lang w:eastAsia="zh-CN"/>
        </w:rPr>
      </w:pPr>
      <w:r>
        <w:rPr>
          <w:rFonts w:hint="eastAsia" w:ascii="宋体" w:hAnsi="宋体"/>
          <w:bCs/>
          <w:color w:val="auto"/>
          <w:lang w:eastAsia="zh-CN"/>
        </w:rPr>
        <w:t>15.4其他违约责任根据项目实际需要按</w:t>
      </w:r>
      <w:r>
        <w:rPr>
          <w:rFonts w:hint="eastAsia" w:ascii="宋体" w:hAnsi="宋体"/>
          <w:b/>
          <w:bCs/>
          <w:color w:val="auto"/>
          <w:lang w:eastAsia="zh-CN"/>
        </w:rPr>
        <w:t>【政府采购合同专用条款】</w:t>
      </w:r>
      <w:r>
        <w:rPr>
          <w:rFonts w:hint="eastAsia" w:ascii="宋体" w:hAnsi="宋体"/>
          <w:color w:val="auto"/>
          <w:lang w:eastAsia="zh-CN"/>
        </w:rPr>
        <w:t>规定执行。</w:t>
      </w:r>
    </w:p>
    <w:p w14:paraId="28D6B449">
      <w:pPr>
        <w:numPr>
          <w:ilvl w:val="0"/>
          <w:numId w:val="11"/>
        </w:numPr>
        <w:spacing w:line="400" w:lineRule="exact"/>
        <w:rPr>
          <w:rFonts w:hint="eastAsia" w:ascii="宋体" w:hAnsi="宋体"/>
          <w:b/>
          <w:color w:val="auto"/>
          <w:sz w:val="24"/>
        </w:rPr>
      </w:pPr>
      <w:r>
        <w:rPr>
          <w:rFonts w:hint="eastAsia" w:ascii="宋体" w:hAnsi="宋体"/>
          <w:b/>
          <w:color w:val="auto"/>
          <w:sz w:val="24"/>
        </w:rPr>
        <w:t>合同变更</w:t>
      </w:r>
      <w:r>
        <w:rPr>
          <w:rFonts w:hint="eastAsia" w:ascii="宋体" w:hAnsi="宋体"/>
          <w:b/>
          <w:color w:val="auto"/>
          <w:sz w:val="24"/>
          <w:lang w:eastAsia="zh-CN"/>
        </w:rPr>
        <w:t>、中止与终止</w:t>
      </w:r>
    </w:p>
    <w:p w14:paraId="4ECF4951">
      <w:pPr>
        <w:autoSpaceDE/>
        <w:autoSpaceDN/>
        <w:spacing w:line="400" w:lineRule="exact"/>
        <w:rPr>
          <w:rFonts w:hint="eastAsia" w:ascii="宋体" w:hAnsi="宋体"/>
          <w:color w:val="auto"/>
        </w:rPr>
      </w:pPr>
      <w:r>
        <w:rPr>
          <w:rFonts w:hint="eastAsia" w:ascii="宋体" w:hAnsi="宋体"/>
          <w:color w:val="auto"/>
          <w:lang w:eastAsia="zh-CN"/>
        </w:rPr>
        <w:t xml:space="preserve">    </w:t>
      </w:r>
      <w:r>
        <w:rPr>
          <w:rFonts w:hint="eastAsia" w:ascii="宋体" w:hAnsi="宋体"/>
          <w:color w:val="auto"/>
        </w:rPr>
        <w:t>1</w:t>
      </w:r>
      <w:r>
        <w:rPr>
          <w:rFonts w:hint="eastAsia" w:ascii="宋体" w:hAnsi="宋体"/>
          <w:color w:val="auto"/>
          <w:lang w:eastAsia="zh-CN"/>
        </w:rPr>
        <w:t>6</w:t>
      </w:r>
      <w:r>
        <w:rPr>
          <w:rFonts w:hint="eastAsia" w:ascii="宋体" w:hAnsi="宋体"/>
          <w:color w:val="auto"/>
        </w:rPr>
        <w:t>.1合同的</w:t>
      </w:r>
      <w:r>
        <w:rPr>
          <w:rFonts w:hint="eastAsia" w:ascii="宋体" w:hAnsi="宋体"/>
          <w:color w:val="auto"/>
          <w:lang w:eastAsia="zh-CN"/>
        </w:rPr>
        <w:t>变更</w:t>
      </w:r>
    </w:p>
    <w:p w14:paraId="659ABE0B">
      <w:pPr>
        <w:spacing w:line="400" w:lineRule="exact"/>
        <w:ind w:firstLine="420" w:firstLineChars="200"/>
        <w:rPr>
          <w:rFonts w:hint="eastAsia" w:ascii="宋体" w:hAnsi="宋体"/>
          <w:color w:val="auto"/>
          <w:lang w:eastAsia="zh-CN"/>
        </w:rPr>
      </w:pPr>
      <w:r>
        <w:rPr>
          <w:rFonts w:hint="eastAsia" w:ascii="宋体" w:hAnsi="宋体"/>
          <w:color w:val="auto"/>
          <w:lang w:eastAsia="zh-CN"/>
        </w:rPr>
        <w:t>政府采购合同履行中，在不改变合同其他条款的前提下，甲方可以在合同价款10%的范围内追加与合同标的相同的货物，并就此与乙方协商一致后签订补充协议。</w:t>
      </w:r>
    </w:p>
    <w:p w14:paraId="5B979641">
      <w:pPr>
        <w:spacing w:line="400" w:lineRule="exact"/>
        <w:ind w:firstLine="420" w:firstLineChars="200"/>
        <w:rPr>
          <w:rFonts w:hint="eastAsia" w:ascii="宋体" w:hAnsi="宋体"/>
          <w:color w:val="auto"/>
          <w:lang w:eastAsia="zh-CN"/>
        </w:rPr>
      </w:pPr>
      <w:r>
        <w:rPr>
          <w:rFonts w:hint="eastAsia" w:ascii="宋体" w:hAnsi="宋体"/>
          <w:color w:val="auto"/>
          <w:lang w:eastAsia="zh-CN"/>
        </w:rPr>
        <w:t>16.2合同的中止</w:t>
      </w:r>
    </w:p>
    <w:p w14:paraId="7B096B04">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（1）合同履行过程中因供应商就采购文件、采购过程或结果提起投诉的，甲方认为有必要的，可以中止合同的履行。</w:t>
      </w:r>
    </w:p>
    <w:p w14:paraId="37E01572">
      <w:pPr>
        <w:spacing w:line="400" w:lineRule="exact"/>
        <w:ind w:firstLine="420" w:firstLineChars="200"/>
        <w:rPr>
          <w:rFonts w:hint="eastAsia" w:ascii="宋体" w:hAnsi="宋体"/>
          <w:color w:val="auto"/>
          <w:lang w:eastAsia="zh-CN"/>
        </w:rPr>
      </w:pPr>
      <w:r>
        <w:rPr>
          <w:rFonts w:hint="eastAsia" w:ascii="宋体" w:hAnsi="宋体"/>
          <w:color w:val="auto"/>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A9DFF2">
      <w:pPr>
        <w:pStyle w:val="51"/>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760686E1">
      <w:pPr>
        <w:spacing w:line="400" w:lineRule="exact"/>
        <w:ind w:firstLine="420" w:firstLineChars="200"/>
        <w:rPr>
          <w:lang w:eastAsia="zh-CN"/>
        </w:rPr>
      </w:pPr>
      <w:r>
        <w:rPr>
          <w:rFonts w:hint="eastAsia" w:ascii="宋体" w:hAnsi="宋体"/>
          <w:color w:val="auto"/>
          <w:lang w:eastAsia="zh-CN"/>
        </w:rPr>
        <w:t>（4）甲方不得以行政区划调整、政府换届、机构或者职能调整以及相关责任人更替为由中止合同。</w:t>
      </w:r>
    </w:p>
    <w:p w14:paraId="1AA1CFF1">
      <w:pPr>
        <w:spacing w:line="400" w:lineRule="exact"/>
        <w:ind w:firstLine="420" w:firstLineChars="200"/>
        <w:rPr>
          <w:rFonts w:hint="eastAsia" w:ascii="宋体" w:hAnsi="宋体"/>
          <w:color w:val="auto"/>
          <w:lang w:eastAsia="zh-CN"/>
        </w:rPr>
      </w:pPr>
      <w:r>
        <w:rPr>
          <w:rFonts w:hint="eastAsia" w:ascii="宋体" w:hAnsi="宋体"/>
          <w:color w:val="auto"/>
          <w:lang w:eastAsia="zh-CN"/>
        </w:rPr>
        <w:t>16.3合同的终止</w:t>
      </w:r>
    </w:p>
    <w:p w14:paraId="4D5E2D1C">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（1）合同因有效期限届满而终止；</w:t>
      </w:r>
    </w:p>
    <w:p w14:paraId="060CF464">
      <w:pPr>
        <w:spacing w:line="400" w:lineRule="exact"/>
        <w:ind w:firstLine="420" w:firstLineChars="200"/>
        <w:rPr>
          <w:rFonts w:hint="eastAsia" w:ascii="宋体" w:hAnsi="宋体" w:cs="宋体"/>
          <w:lang w:eastAsia="zh-CN"/>
        </w:rPr>
      </w:pPr>
      <w:r>
        <w:rPr>
          <w:rFonts w:hint="eastAsia" w:ascii="宋体" w:hAnsi="宋体"/>
          <w:color w:val="auto"/>
          <w:lang w:eastAsia="zh-CN"/>
        </w:rPr>
        <w:t>（2）乙方未按合同约定履行，构成根本性违约的，甲方有权终止合同，</w:t>
      </w:r>
      <w:r>
        <w:rPr>
          <w:rFonts w:hint="eastAsia" w:ascii="宋体" w:hAnsi="宋体" w:cs="宋体"/>
          <w:lang w:eastAsia="zh-CN"/>
        </w:rPr>
        <w:t>并追究乙方的违约责任</w:t>
      </w:r>
      <w:r>
        <w:rPr>
          <w:rFonts w:hint="eastAsia" w:ascii="宋体" w:hAnsi="宋体"/>
          <w:color w:val="auto"/>
          <w:lang w:eastAsia="zh-CN"/>
        </w:rPr>
        <w:t>。</w:t>
      </w:r>
    </w:p>
    <w:p w14:paraId="77C802FC">
      <w:pPr>
        <w:pStyle w:val="51"/>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7FB3617A">
      <w:pPr>
        <w:pStyle w:val="51"/>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01F3BCD8">
      <w:pPr>
        <w:spacing w:line="400" w:lineRule="exact"/>
        <w:rPr>
          <w:rFonts w:hint="eastAsia" w:ascii="宋体" w:hAnsi="宋体"/>
          <w:b/>
          <w:bCs/>
          <w:color w:val="auto"/>
          <w:sz w:val="24"/>
          <w:lang w:eastAsia="zh-CN"/>
        </w:rPr>
      </w:pPr>
      <w:r>
        <w:rPr>
          <w:rFonts w:hint="eastAsia" w:ascii="宋体" w:hAnsi="宋体"/>
          <w:b/>
          <w:bCs/>
          <w:color w:val="auto"/>
          <w:sz w:val="24"/>
          <w:lang w:eastAsia="zh-CN"/>
        </w:rPr>
        <w:t>17. 合同分包</w:t>
      </w:r>
    </w:p>
    <w:p w14:paraId="25F87516">
      <w:pPr>
        <w:spacing w:line="400" w:lineRule="exact"/>
        <w:ind w:firstLine="420" w:firstLineChars="200"/>
        <w:rPr>
          <w:rFonts w:hint="eastAsia" w:ascii="宋体" w:hAnsi="宋体"/>
          <w:color w:val="auto"/>
          <w:lang w:eastAsia="zh-CN"/>
        </w:rPr>
      </w:pPr>
      <w:r>
        <w:rPr>
          <w:rFonts w:hint="eastAsia" w:ascii="宋体" w:hAnsi="宋体"/>
          <w:color w:val="auto"/>
          <w:lang w:eastAsia="zh-CN"/>
        </w:rPr>
        <w:t>17.1 乙方不得将合同转包给其他供应商。涉及合同分包的，乙方应根据采购文件和投标（响应）文件规定进行合同分包。</w:t>
      </w:r>
    </w:p>
    <w:p w14:paraId="03063722">
      <w:pPr>
        <w:spacing w:line="400" w:lineRule="exact"/>
        <w:ind w:firstLine="420" w:firstLineChars="200"/>
        <w:rPr>
          <w:rFonts w:hint="eastAsia" w:ascii="宋体" w:hAnsi="宋体"/>
          <w:color w:val="auto"/>
          <w:lang w:eastAsia="zh-CN"/>
        </w:rPr>
      </w:pPr>
      <w:r>
        <w:rPr>
          <w:rFonts w:hint="eastAsia" w:ascii="宋体" w:hAnsi="宋体"/>
          <w:color w:val="auto"/>
          <w:lang w:eastAsia="zh-CN"/>
        </w:rPr>
        <w:t>17.2 乙方执行政府采购政策向中小企业依法分包的，乙方应当按采购文件和投标（响应）文件签订分包意向协议，分包意向协议属于本合同组成部分。</w:t>
      </w:r>
    </w:p>
    <w:p w14:paraId="128A5AAC">
      <w:pPr>
        <w:spacing w:line="400" w:lineRule="exact"/>
        <w:rPr>
          <w:rFonts w:hint="eastAsia" w:ascii="宋体" w:hAnsi="宋体"/>
          <w:b/>
          <w:bCs/>
          <w:color w:val="auto"/>
          <w:sz w:val="24"/>
          <w:lang w:eastAsia="zh-CN"/>
        </w:rPr>
      </w:pPr>
      <w:r>
        <w:rPr>
          <w:rFonts w:hint="eastAsia" w:ascii="宋体" w:hAnsi="宋体"/>
          <w:b/>
          <w:bCs/>
          <w:color w:val="auto"/>
          <w:sz w:val="24"/>
          <w:lang w:eastAsia="zh-CN"/>
        </w:rPr>
        <w:t>18. 不可抗力</w:t>
      </w:r>
    </w:p>
    <w:p w14:paraId="6267DC87">
      <w:pPr>
        <w:spacing w:line="400" w:lineRule="exact"/>
        <w:ind w:firstLine="420" w:firstLineChars="200"/>
        <w:rPr>
          <w:rFonts w:hint="eastAsia" w:ascii="宋体" w:hAnsi="宋体"/>
          <w:color w:val="auto"/>
          <w:lang w:eastAsia="zh-CN"/>
        </w:rPr>
      </w:pPr>
      <w:r>
        <w:rPr>
          <w:rFonts w:hint="eastAsia" w:ascii="宋体" w:hAnsi="宋体"/>
          <w:color w:val="auto"/>
          <w:lang w:eastAsia="zh-CN"/>
        </w:rPr>
        <w:t>18.1 不可抗力是指合同双方不能预见、不能避免且不能克服的客观情况。</w:t>
      </w:r>
    </w:p>
    <w:p w14:paraId="68B0E4E2">
      <w:pPr>
        <w:spacing w:line="400" w:lineRule="exact"/>
        <w:ind w:firstLine="420" w:firstLineChars="200"/>
        <w:rPr>
          <w:rFonts w:hint="eastAsia" w:ascii="宋体" w:hAnsi="宋体"/>
          <w:color w:val="auto"/>
          <w:lang w:eastAsia="zh-CN"/>
        </w:rPr>
      </w:pPr>
      <w:r>
        <w:rPr>
          <w:rFonts w:hint="eastAsia" w:ascii="宋体" w:hAnsi="宋体"/>
          <w:color w:val="auto"/>
          <w:lang w:eastAsia="zh-CN"/>
        </w:rPr>
        <w:t>18.2 任何一方对由于不可抗力造成的部分或全部不能履行合同不承担违约责任。但迟延履行后发生不可抗力的，不能免除责任。</w:t>
      </w:r>
    </w:p>
    <w:p w14:paraId="5F23A756">
      <w:pPr>
        <w:spacing w:line="400" w:lineRule="exact"/>
        <w:ind w:firstLine="420" w:firstLineChars="200"/>
        <w:rPr>
          <w:rFonts w:hint="eastAsia" w:ascii="宋体" w:hAnsi="宋体"/>
          <w:color w:val="auto"/>
          <w:lang w:eastAsia="zh-CN"/>
        </w:rPr>
      </w:pPr>
      <w:r>
        <w:rPr>
          <w:rFonts w:hint="eastAsia" w:ascii="宋体" w:hAnsi="宋体"/>
          <w:color w:val="auto"/>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1B49C0">
      <w:pPr>
        <w:spacing w:line="400" w:lineRule="exact"/>
        <w:rPr>
          <w:rFonts w:hint="eastAsia" w:ascii="宋体" w:hAnsi="宋体"/>
          <w:b/>
          <w:bCs/>
          <w:color w:val="auto"/>
          <w:sz w:val="24"/>
          <w:lang w:eastAsia="zh-CN"/>
        </w:rPr>
      </w:pPr>
      <w:r>
        <w:rPr>
          <w:rFonts w:hint="eastAsia" w:ascii="宋体" w:hAnsi="宋体"/>
          <w:b/>
          <w:bCs/>
          <w:color w:val="auto"/>
          <w:sz w:val="24"/>
          <w:lang w:eastAsia="zh-CN"/>
        </w:rPr>
        <w:t>19. 解决争议的方法</w:t>
      </w:r>
    </w:p>
    <w:p w14:paraId="2A76D183">
      <w:pPr>
        <w:pStyle w:val="51"/>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2DD56759">
      <w:pPr>
        <w:pStyle w:val="51"/>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590C87D">
      <w:pPr>
        <w:pStyle w:val="51"/>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D764350">
      <w:pPr>
        <w:spacing w:line="400" w:lineRule="exact"/>
        <w:rPr>
          <w:rFonts w:hint="eastAsia" w:ascii="宋体" w:hAnsi="宋体"/>
          <w:color w:val="auto"/>
          <w:sz w:val="24"/>
          <w:lang w:eastAsia="zh-CN"/>
        </w:rPr>
      </w:pPr>
      <w:r>
        <w:rPr>
          <w:rFonts w:hint="eastAsia" w:ascii="宋体" w:hAnsi="宋体"/>
          <w:b/>
          <w:color w:val="auto"/>
          <w:sz w:val="24"/>
          <w:lang w:eastAsia="zh-CN"/>
        </w:rPr>
        <w:t>20. 政府采购政策</w:t>
      </w:r>
    </w:p>
    <w:p w14:paraId="4D622A4B">
      <w:pPr>
        <w:spacing w:line="400" w:lineRule="exact"/>
        <w:ind w:firstLine="420" w:firstLineChars="200"/>
        <w:rPr>
          <w:rFonts w:hint="eastAsia" w:ascii="宋体" w:hAnsi="宋体"/>
          <w:color w:val="auto"/>
          <w:lang w:eastAsia="zh-CN"/>
        </w:rPr>
      </w:pPr>
      <w:r>
        <w:rPr>
          <w:rFonts w:hint="eastAsia" w:ascii="宋体" w:hAnsi="宋体"/>
          <w:color w:val="auto"/>
          <w:lang w:eastAsia="zh-CN"/>
        </w:rPr>
        <w:t xml:space="preserve">20.1 </w:t>
      </w:r>
      <w:r>
        <w:rPr>
          <w:rFonts w:hint="eastAsia" w:ascii="宋体" w:hAnsi="宋体" w:cs="宋体"/>
          <w:lang w:val="en-GB" w:eastAsia="zh-CN"/>
        </w:rPr>
        <w:t>本合同应当按照规定执行政府采购政策。</w:t>
      </w:r>
    </w:p>
    <w:p w14:paraId="435D7AB2">
      <w:pPr>
        <w:spacing w:line="400" w:lineRule="exact"/>
        <w:ind w:firstLine="420" w:firstLineChars="200"/>
        <w:rPr>
          <w:rFonts w:hint="eastAsia" w:ascii="宋体" w:hAnsi="宋体"/>
          <w:color w:val="auto"/>
          <w:lang w:eastAsia="zh-CN"/>
        </w:rPr>
      </w:pPr>
      <w:r>
        <w:rPr>
          <w:rFonts w:ascii="宋体" w:hAnsi="宋体"/>
          <w:color w:val="auto"/>
          <w:lang w:eastAsia="zh-CN"/>
        </w:rPr>
        <w:t>2</w:t>
      </w:r>
      <w:r>
        <w:rPr>
          <w:rFonts w:hint="eastAsia" w:ascii="宋体" w:hAnsi="宋体"/>
          <w:color w:val="auto"/>
          <w:lang w:eastAsia="zh-CN"/>
        </w:rPr>
        <w:t>0.2 本合同依法执行政府采购政策的方式和内容，属于合同履约验收的范围。</w:t>
      </w:r>
      <w:r>
        <w:rPr>
          <w:rFonts w:hint="eastAsia" w:ascii="宋体" w:hAnsi="宋体" w:cs="宋体"/>
          <w:lang w:eastAsia="zh-CN"/>
        </w:rPr>
        <w:t>甲乙双方</w:t>
      </w:r>
      <w:r>
        <w:rPr>
          <w:rFonts w:hint="eastAsia" w:ascii="宋体" w:hAnsi="宋体" w:cs="宋体"/>
          <w:lang w:val="en-GB" w:eastAsia="zh-CN"/>
        </w:rPr>
        <w:t>未按规定要求执行政府采购政策造成损失的</w:t>
      </w:r>
      <w:r>
        <w:rPr>
          <w:rFonts w:hint="eastAsia" w:ascii="宋体" w:hAnsi="宋体"/>
          <w:color w:val="auto"/>
          <w:lang w:eastAsia="zh-CN"/>
        </w:rPr>
        <w:t>，有过错的一方应当承担赔偿责任，双方都有过错的，各自承担相应的责任。</w:t>
      </w:r>
    </w:p>
    <w:p w14:paraId="4F01A123">
      <w:pPr>
        <w:pStyle w:val="8"/>
        <w:spacing w:line="400" w:lineRule="exact"/>
        <w:ind w:firstLine="420" w:firstLineChars="200"/>
        <w:rPr>
          <w:color w:val="auto"/>
          <w:lang w:eastAsia="zh-CN"/>
        </w:rPr>
      </w:pPr>
      <w:r>
        <w:rPr>
          <w:rFonts w:ascii="宋体" w:hAnsi="宋体"/>
          <w:color w:val="auto"/>
          <w:lang w:eastAsia="zh-CN"/>
        </w:rPr>
        <w:t>2</w:t>
      </w:r>
      <w:r>
        <w:rPr>
          <w:rFonts w:hint="eastAsia" w:ascii="宋体" w:hAnsi="宋体"/>
          <w:color w:val="auto"/>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C9227F2">
      <w:pPr>
        <w:spacing w:line="400" w:lineRule="exact"/>
        <w:rPr>
          <w:rFonts w:hint="eastAsia" w:ascii="宋体" w:hAnsi="宋体"/>
          <w:b/>
          <w:color w:val="auto"/>
          <w:sz w:val="24"/>
          <w:lang w:eastAsia="zh-CN"/>
        </w:rPr>
      </w:pPr>
      <w:r>
        <w:rPr>
          <w:rFonts w:hint="eastAsia" w:ascii="宋体" w:hAnsi="宋体"/>
          <w:b/>
          <w:color w:val="auto"/>
          <w:sz w:val="24"/>
          <w:lang w:eastAsia="zh-CN"/>
        </w:rPr>
        <w:t>21. 法律适用</w:t>
      </w:r>
    </w:p>
    <w:p w14:paraId="52F7CAC3">
      <w:pPr>
        <w:pStyle w:val="51"/>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F9801AD">
      <w:pPr>
        <w:pStyle w:val="51"/>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1D9241C0">
      <w:pPr>
        <w:numPr>
          <w:ilvl w:val="255"/>
          <w:numId w:val="0"/>
        </w:numPr>
        <w:spacing w:line="400" w:lineRule="exact"/>
        <w:rPr>
          <w:rFonts w:hint="eastAsia" w:ascii="宋体" w:hAnsi="宋体"/>
          <w:b/>
          <w:color w:val="auto"/>
          <w:sz w:val="24"/>
          <w:lang w:eastAsia="zh-CN"/>
        </w:rPr>
      </w:pPr>
      <w:r>
        <w:rPr>
          <w:rFonts w:hint="eastAsia" w:ascii="宋体" w:hAnsi="宋体"/>
          <w:b/>
          <w:color w:val="auto"/>
          <w:sz w:val="24"/>
          <w:lang w:eastAsia="zh-CN"/>
        </w:rPr>
        <w:t>22. 通知</w:t>
      </w:r>
    </w:p>
    <w:p w14:paraId="07C6CD90">
      <w:pPr>
        <w:pStyle w:val="51"/>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5EF82763">
      <w:pPr>
        <w:pStyle w:val="51"/>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514DD0D1">
      <w:pPr>
        <w:spacing w:line="400" w:lineRule="exact"/>
        <w:ind w:firstLine="420" w:firstLineChars="200"/>
        <w:rPr>
          <w:rFonts w:hint="eastAsia" w:ascii="宋体" w:hAnsi="宋体"/>
          <w:color w:val="auto"/>
          <w:lang w:eastAsia="zh-CN"/>
        </w:rPr>
      </w:pPr>
      <w:r>
        <w:rPr>
          <w:rFonts w:hint="eastAsia" w:ascii="宋体" w:hAnsi="宋体"/>
          <w:color w:val="auto"/>
          <w:lang w:eastAsia="zh-CN"/>
        </w:rPr>
        <w:t>22.3本合同一方给另一方的通知均应采用书面形式，传真或快递送到本合同中规定的对方的地址和办理签收手续。</w:t>
      </w:r>
    </w:p>
    <w:p w14:paraId="025517B0">
      <w:pPr>
        <w:spacing w:line="400" w:lineRule="exact"/>
        <w:ind w:firstLine="420" w:firstLineChars="200"/>
        <w:rPr>
          <w:rFonts w:hint="eastAsia" w:ascii="宋体" w:hAnsi="宋体"/>
          <w:color w:val="auto"/>
          <w:lang w:eastAsia="zh-CN"/>
        </w:rPr>
      </w:pPr>
      <w:r>
        <w:rPr>
          <w:rFonts w:hint="eastAsia" w:ascii="宋体" w:hAnsi="宋体"/>
          <w:color w:val="auto"/>
          <w:lang w:eastAsia="zh-CN"/>
        </w:rPr>
        <w:t>22.4通知以送达之日或通知书中规定的生效之日起生效，两者中以较迟之日为准。</w:t>
      </w:r>
    </w:p>
    <w:p w14:paraId="0D9C94AB">
      <w:pPr>
        <w:numPr>
          <w:ilvl w:val="0"/>
          <w:numId w:val="12"/>
        </w:numPr>
        <w:spacing w:line="400" w:lineRule="exact"/>
        <w:rPr>
          <w:rFonts w:hint="eastAsia" w:ascii="宋体" w:hAnsi="宋体"/>
          <w:b/>
          <w:bCs/>
          <w:color w:val="auto"/>
          <w:sz w:val="24"/>
        </w:rPr>
      </w:pPr>
      <w:r>
        <w:rPr>
          <w:rFonts w:hint="eastAsia" w:ascii="宋体" w:hAnsi="宋体"/>
          <w:b/>
          <w:bCs/>
          <w:color w:val="auto"/>
          <w:sz w:val="24"/>
        </w:rPr>
        <w:t>合同未尽事项</w:t>
      </w:r>
    </w:p>
    <w:p w14:paraId="37AB8F80">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23.1合同未尽事项见</w:t>
      </w:r>
      <w:r>
        <w:rPr>
          <w:rFonts w:hint="eastAsia" w:ascii="宋体" w:hAnsi="宋体"/>
          <w:b/>
          <w:color w:val="auto"/>
          <w:lang w:eastAsia="zh-CN"/>
        </w:rPr>
        <w:t>【政府采购合同专用条款】</w:t>
      </w:r>
      <w:r>
        <w:rPr>
          <w:rFonts w:hint="eastAsia" w:ascii="宋体" w:hAnsi="宋体"/>
          <w:bCs/>
          <w:color w:val="auto"/>
          <w:lang w:eastAsia="zh-CN"/>
        </w:rPr>
        <w:t>。</w:t>
      </w:r>
    </w:p>
    <w:p w14:paraId="18CF6BA4">
      <w:pPr>
        <w:spacing w:line="400" w:lineRule="exact"/>
        <w:rPr>
          <w:rFonts w:hint="eastAsia" w:ascii="黑体" w:hAnsi="华文中宋" w:eastAsia="黑体"/>
          <w:color w:val="auto"/>
          <w:sz w:val="28"/>
          <w:szCs w:val="28"/>
        </w:rPr>
      </w:pPr>
      <w:r>
        <w:rPr>
          <w:rFonts w:hint="eastAsia" w:ascii="宋体" w:hAnsi="宋体"/>
          <w:bCs/>
          <w:color w:val="auto"/>
          <w:lang w:eastAsia="zh-CN"/>
        </w:rPr>
        <w:t xml:space="preserve">    23.2 合同附件与合同正文具有同等的法律效力。</w:t>
      </w:r>
      <w:bookmarkStart w:id="52" w:name="_Toc20313"/>
    </w:p>
    <w:p w14:paraId="6A596252">
      <w:pPr>
        <w:jc w:val="center"/>
        <w:rPr>
          <w:rFonts w:hint="eastAsia" w:ascii="黑体" w:hAnsi="华文中宋" w:eastAsia="黑体"/>
          <w:sz w:val="28"/>
          <w:szCs w:val="28"/>
        </w:rPr>
      </w:pPr>
      <w:r>
        <w:rPr>
          <w:rFonts w:hint="eastAsia" w:ascii="黑体" w:hAnsi="华文中宋" w:eastAsia="黑体"/>
          <w:sz w:val="28"/>
          <w:szCs w:val="28"/>
        </w:rPr>
        <w:br w:type="page"/>
      </w:r>
    </w:p>
    <w:p w14:paraId="617E78BD">
      <w:pPr>
        <w:pStyle w:val="3"/>
        <w:jc w:val="center"/>
        <w:rPr>
          <w:rFonts w:hint="eastAsia" w:ascii="黑体" w:hAnsi="华文中宋" w:eastAsia="黑体"/>
          <w:sz w:val="28"/>
          <w:szCs w:val="28"/>
          <w:lang w:eastAsia="zh-CN"/>
        </w:rPr>
      </w:pPr>
      <w:r>
        <w:rPr>
          <w:rFonts w:hint="eastAsia" w:ascii="黑体" w:hAnsi="华文中宋" w:eastAsia="黑体"/>
          <w:sz w:val="28"/>
          <w:szCs w:val="28"/>
          <w:lang w:eastAsia="zh-CN"/>
        </w:rPr>
        <w:t>第三节 政府采购合同专用条款</w:t>
      </w:r>
      <w:bookmarkEnd w:id="52"/>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A06D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71D9C3">
            <w:pPr>
              <w:jc w:val="center"/>
              <w:rPr>
                <w:rFonts w:hint="eastAsia" w:ascii="宋体" w:hAnsi="宋体"/>
              </w:rPr>
            </w:pPr>
            <w:r>
              <w:rPr>
                <w:rFonts w:hint="eastAsia" w:ascii="宋体" w:hAnsi="宋体"/>
              </w:rPr>
              <w:t>第二节</w:t>
            </w:r>
          </w:p>
          <w:p w14:paraId="2098B066">
            <w:pPr>
              <w:jc w:val="center"/>
              <w:rPr>
                <w:rFonts w:hint="eastAsia" w:ascii="宋体" w:hAnsi="宋体"/>
              </w:rPr>
            </w:pPr>
            <w:r>
              <w:rPr>
                <w:rFonts w:hint="eastAsia" w:ascii="宋体" w:hAnsi="宋体"/>
              </w:rPr>
              <w:t>第1.2（</w:t>
            </w:r>
            <w:r>
              <w:rPr>
                <w:rFonts w:hint="eastAsia" w:ascii="宋体" w:hAnsi="宋体"/>
                <w:lang w:eastAsia="zh-CN"/>
              </w:rPr>
              <w:t>6</w:t>
            </w:r>
            <w:r>
              <w:rPr>
                <w:rFonts w:hint="eastAsia" w:ascii="宋体" w:hAnsi="宋体"/>
              </w:rPr>
              <w:t>）项</w:t>
            </w:r>
          </w:p>
        </w:tc>
        <w:tc>
          <w:tcPr>
            <w:tcW w:w="1742" w:type="dxa"/>
            <w:vAlign w:val="center"/>
          </w:tcPr>
          <w:p w14:paraId="2339C3B4">
            <w:pPr>
              <w:rPr>
                <w:rFonts w:hint="eastAsia" w:ascii="宋体" w:hAnsi="宋体"/>
              </w:rPr>
            </w:pPr>
            <w:r>
              <w:rPr>
                <w:rFonts w:hint="eastAsia" w:ascii="宋体" w:hAnsi="宋体"/>
                <w:lang w:eastAsia="zh-CN"/>
              </w:rPr>
              <w:t>联合体具体要求</w:t>
            </w:r>
          </w:p>
        </w:tc>
        <w:tc>
          <w:tcPr>
            <w:tcW w:w="5170" w:type="dxa"/>
            <w:vAlign w:val="center"/>
          </w:tcPr>
          <w:p w14:paraId="4B0B097F">
            <w:pPr>
              <w:rPr>
                <w:rFonts w:hint="eastAsia" w:ascii="宋体" w:hAnsi="宋体"/>
              </w:rPr>
            </w:pPr>
          </w:p>
        </w:tc>
      </w:tr>
      <w:tr w14:paraId="53AC6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180924D">
            <w:pPr>
              <w:jc w:val="center"/>
              <w:rPr>
                <w:rFonts w:hint="eastAsia" w:ascii="宋体" w:hAnsi="宋体"/>
              </w:rPr>
            </w:pPr>
            <w:r>
              <w:rPr>
                <w:rFonts w:hint="eastAsia" w:ascii="宋体" w:hAnsi="宋体"/>
              </w:rPr>
              <w:t>第二节</w:t>
            </w:r>
          </w:p>
          <w:p w14:paraId="67B47D10">
            <w:pPr>
              <w:jc w:val="center"/>
              <w:rPr>
                <w:rFonts w:hint="eastAsia" w:ascii="宋体" w:hAnsi="宋体" w:cs="Times New Roman"/>
                <w:kern w:val="2"/>
                <w:lang w:eastAsia="zh-CN"/>
              </w:rPr>
            </w:pPr>
            <w:r>
              <w:rPr>
                <w:rFonts w:hint="eastAsia" w:ascii="宋体" w:hAnsi="宋体"/>
              </w:rPr>
              <w:t>第1.2（</w:t>
            </w:r>
            <w:r>
              <w:rPr>
                <w:rFonts w:hint="eastAsia" w:ascii="宋体" w:hAnsi="宋体"/>
                <w:lang w:eastAsia="zh-CN"/>
              </w:rPr>
              <w:t>7</w:t>
            </w:r>
            <w:r>
              <w:rPr>
                <w:rFonts w:hint="eastAsia" w:ascii="宋体" w:hAnsi="宋体"/>
              </w:rPr>
              <w:t>）项</w:t>
            </w:r>
          </w:p>
        </w:tc>
        <w:tc>
          <w:tcPr>
            <w:tcW w:w="1742" w:type="dxa"/>
            <w:vAlign w:val="center"/>
          </w:tcPr>
          <w:p w14:paraId="280BA952">
            <w:pPr>
              <w:rPr>
                <w:rFonts w:hint="eastAsia" w:ascii="宋体" w:hAnsi="宋体" w:cs="Times New Roman"/>
                <w:kern w:val="2"/>
                <w:lang w:eastAsia="zh-CN"/>
              </w:rPr>
            </w:pPr>
            <w:r>
              <w:rPr>
                <w:rFonts w:hint="eastAsia" w:ascii="宋体" w:hAnsi="宋体"/>
              </w:rPr>
              <w:t>其他术语解释</w:t>
            </w:r>
          </w:p>
        </w:tc>
        <w:tc>
          <w:tcPr>
            <w:tcW w:w="5170" w:type="dxa"/>
            <w:vAlign w:val="center"/>
          </w:tcPr>
          <w:p w14:paraId="6E713095">
            <w:pPr>
              <w:rPr>
                <w:rFonts w:hint="eastAsia" w:ascii="宋体" w:hAnsi="宋体" w:cs="Times New Roman"/>
                <w:kern w:val="2"/>
                <w:lang w:eastAsia="zh-CN"/>
              </w:rPr>
            </w:pPr>
          </w:p>
        </w:tc>
      </w:tr>
      <w:tr w14:paraId="463E0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12C744">
            <w:pPr>
              <w:jc w:val="center"/>
              <w:rPr>
                <w:rFonts w:hint="eastAsia" w:ascii="宋体" w:hAnsi="宋体"/>
              </w:rPr>
            </w:pPr>
            <w:r>
              <w:rPr>
                <w:rFonts w:hint="eastAsia" w:ascii="宋体" w:hAnsi="宋体"/>
              </w:rPr>
              <w:t>第二节</w:t>
            </w:r>
          </w:p>
          <w:p w14:paraId="38E2A943">
            <w:pPr>
              <w:jc w:val="center"/>
              <w:rPr>
                <w:rFonts w:hint="eastAsia" w:ascii="宋体" w:hAnsi="宋体"/>
                <w:lang w:eastAsia="zh-CN"/>
              </w:rPr>
            </w:pPr>
            <w:r>
              <w:rPr>
                <w:rFonts w:hint="eastAsia" w:ascii="宋体" w:hAnsi="宋体"/>
                <w:lang w:eastAsia="zh-CN"/>
              </w:rPr>
              <w:t>第4.4款</w:t>
            </w:r>
          </w:p>
        </w:tc>
        <w:tc>
          <w:tcPr>
            <w:tcW w:w="1742" w:type="dxa"/>
            <w:vAlign w:val="center"/>
          </w:tcPr>
          <w:p w14:paraId="0FCB5A4F">
            <w:pPr>
              <w:rPr>
                <w:rFonts w:hint="eastAsia" w:ascii="宋体" w:hAnsi="宋体"/>
                <w:lang w:eastAsia="zh-CN"/>
              </w:rPr>
            </w:pPr>
            <w:r>
              <w:rPr>
                <w:rFonts w:hint="eastAsia" w:ascii="宋体" w:hAnsi="宋体"/>
                <w:lang w:eastAsia="zh-CN"/>
              </w:rPr>
              <w:t>履约验收中甲方提出异议或作出说明的期限</w:t>
            </w:r>
          </w:p>
        </w:tc>
        <w:tc>
          <w:tcPr>
            <w:tcW w:w="5170" w:type="dxa"/>
            <w:vAlign w:val="center"/>
          </w:tcPr>
          <w:p w14:paraId="60627949">
            <w:pPr>
              <w:rPr>
                <w:rFonts w:hint="eastAsia" w:ascii="宋体" w:hAnsi="宋体" w:cs="Times New Roman"/>
                <w:kern w:val="2"/>
                <w:lang w:eastAsia="zh-CN"/>
              </w:rPr>
            </w:pPr>
          </w:p>
        </w:tc>
      </w:tr>
      <w:tr w14:paraId="07F5E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ACA0C">
            <w:pPr>
              <w:jc w:val="center"/>
              <w:rPr>
                <w:rFonts w:hint="eastAsia" w:ascii="宋体" w:hAnsi="宋体"/>
              </w:rPr>
            </w:pPr>
            <w:r>
              <w:rPr>
                <w:rFonts w:hint="eastAsia" w:ascii="宋体" w:hAnsi="宋体"/>
              </w:rPr>
              <w:t>第二节</w:t>
            </w:r>
          </w:p>
          <w:p w14:paraId="33D9193A">
            <w:pPr>
              <w:jc w:val="center"/>
              <w:rPr>
                <w:rFonts w:hint="eastAsia" w:ascii="宋体" w:hAnsi="宋体"/>
              </w:rPr>
            </w:pPr>
            <w:r>
              <w:rPr>
                <w:rFonts w:hint="eastAsia" w:ascii="宋体" w:hAnsi="宋体"/>
                <w:lang w:eastAsia="zh-CN"/>
              </w:rPr>
              <w:t>第4.6款</w:t>
            </w:r>
          </w:p>
        </w:tc>
        <w:tc>
          <w:tcPr>
            <w:tcW w:w="1742" w:type="dxa"/>
            <w:vAlign w:val="center"/>
          </w:tcPr>
          <w:p w14:paraId="6357312E">
            <w:pPr>
              <w:rPr>
                <w:rFonts w:hint="eastAsia" w:ascii="宋体" w:hAnsi="宋体"/>
                <w:lang w:eastAsia="zh-CN"/>
              </w:rPr>
            </w:pPr>
            <w:r>
              <w:rPr>
                <w:rFonts w:hint="eastAsia" w:ascii="宋体" w:hAnsi="宋体"/>
                <w:lang w:eastAsia="zh-CN"/>
              </w:rPr>
              <w:t>约定甲方承担的其他义务和责任</w:t>
            </w:r>
          </w:p>
        </w:tc>
        <w:tc>
          <w:tcPr>
            <w:tcW w:w="5170" w:type="dxa"/>
            <w:vAlign w:val="center"/>
          </w:tcPr>
          <w:p w14:paraId="2973CD4C">
            <w:pPr>
              <w:rPr>
                <w:rFonts w:hint="eastAsia" w:ascii="宋体" w:hAnsi="宋体" w:cs="Times New Roman"/>
                <w:kern w:val="2"/>
                <w:lang w:eastAsia="zh-CN"/>
              </w:rPr>
            </w:pPr>
          </w:p>
        </w:tc>
      </w:tr>
      <w:tr w14:paraId="730FA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EAA35B">
            <w:pPr>
              <w:jc w:val="center"/>
              <w:rPr>
                <w:rFonts w:hint="eastAsia" w:ascii="宋体" w:hAnsi="宋体"/>
                <w:lang w:eastAsia="zh-CN"/>
              </w:rPr>
            </w:pPr>
            <w:r>
              <w:rPr>
                <w:rFonts w:hint="eastAsia" w:ascii="宋体" w:hAnsi="宋体"/>
                <w:lang w:eastAsia="zh-CN"/>
              </w:rPr>
              <w:t>第二节</w:t>
            </w:r>
          </w:p>
          <w:p w14:paraId="38BA308D">
            <w:pPr>
              <w:jc w:val="center"/>
              <w:rPr>
                <w:lang w:eastAsia="zh-CN"/>
              </w:rPr>
            </w:pPr>
            <w:r>
              <w:rPr>
                <w:rFonts w:hint="eastAsia" w:ascii="宋体" w:hAnsi="宋体"/>
                <w:lang w:eastAsia="zh-CN"/>
              </w:rPr>
              <w:t>第5.4款</w:t>
            </w:r>
          </w:p>
        </w:tc>
        <w:tc>
          <w:tcPr>
            <w:tcW w:w="1742" w:type="dxa"/>
            <w:vAlign w:val="center"/>
          </w:tcPr>
          <w:p w14:paraId="0783D3C7">
            <w:pPr>
              <w:rPr>
                <w:rFonts w:hint="eastAsia" w:ascii="宋体" w:hAnsi="宋体"/>
                <w:lang w:eastAsia="zh-CN"/>
              </w:rPr>
            </w:pPr>
            <w:r>
              <w:rPr>
                <w:rFonts w:hint="eastAsia" w:ascii="宋体" w:hAnsi="宋体"/>
                <w:lang w:eastAsia="zh-CN"/>
              </w:rPr>
              <w:t>约定乙方承担的其他义务和责任</w:t>
            </w:r>
          </w:p>
        </w:tc>
        <w:tc>
          <w:tcPr>
            <w:tcW w:w="5170" w:type="dxa"/>
            <w:vAlign w:val="center"/>
          </w:tcPr>
          <w:p w14:paraId="6D5A71D0">
            <w:pPr>
              <w:rPr>
                <w:rFonts w:hint="eastAsia" w:ascii="宋体" w:hAnsi="宋体" w:cs="Times New Roman"/>
                <w:kern w:val="2"/>
                <w:lang w:eastAsia="zh-CN"/>
              </w:rPr>
            </w:pPr>
          </w:p>
        </w:tc>
      </w:tr>
      <w:tr w14:paraId="4B2EC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37758">
            <w:pPr>
              <w:jc w:val="center"/>
              <w:rPr>
                <w:rFonts w:hint="eastAsia" w:ascii="宋体" w:hAnsi="宋体"/>
                <w:lang w:eastAsia="zh-CN"/>
              </w:rPr>
            </w:pPr>
            <w:r>
              <w:rPr>
                <w:rFonts w:hint="eastAsia" w:ascii="宋体" w:hAnsi="宋体"/>
                <w:lang w:eastAsia="zh-CN"/>
              </w:rPr>
              <w:t>第二节</w:t>
            </w:r>
          </w:p>
          <w:p w14:paraId="599C0C2B">
            <w:pPr>
              <w:jc w:val="center"/>
              <w:rPr>
                <w:rFonts w:hint="eastAsia" w:ascii="宋体" w:hAnsi="宋体"/>
                <w:lang w:eastAsia="zh-CN"/>
              </w:rPr>
            </w:pPr>
            <w:r>
              <w:rPr>
                <w:rFonts w:hint="eastAsia" w:ascii="宋体" w:hAnsi="宋体"/>
                <w:lang w:eastAsia="zh-CN"/>
              </w:rPr>
              <w:t>第6.1款</w:t>
            </w:r>
          </w:p>
        </w:tc>
        <w:tc>
          <w:tcPr>
            <w:tcW w:w="1742" w:type="dxa"/>
            <w:vAlign w:val="center"/>
          </w:tcPr>
          <w:p w14:paraId="524AB25C">
            <w:pPr>
              <w:rPr>
                <w:rFonts w:hint="eastAsia" w:ascii="宋体" w:hAnsi="宋体"/>
                <w:lang w:eastAsia="zh-CN"/>
              </w:rPr>
            </w:pPr>
            <w:r>
              <w:rPr>
                <w:rFonts w:hint="eastAsia" w:ascii="宋体" w:hAnsi="宋体"/>
                <w:lang w:eastAsia="zh-CN"/>
              </w:rPr>
              <w:t>履行合同义务的顺序</w:t>
            </w:r>
          </w:p>
        </w:tc>
        <w:tc>
          <w:tcPr>
            <w:tcW w:w="5170" w:type="dxa"/>
            <w:vAlign w:val="center"/>
          </w:tcPr>
          <w:p w14:paraId="67F63854">
            <w:pPr>
              <w:rPr>
                <w:rFonts w:hint="eastAsia" w:ascii="宋体" w:hAnsi="宋体" w:cs="Times New Roman"/>
                <w:kern w:val="2"/>
                <w:lang w:eastAsia="zh-CN"/>
              </w:rPr>
            </w:pPr>
          </w:p>
        </w:tc>
      </w:tr>
      <w:tr w14:paraId="5700E6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BE70F64">
            <w:pPr>
              <w:jc w:val="center"/>
              <w:rPr>
                <w:rFonts w:hint="eastAsia" w:ascii="宋体" w:hAnsi="宋体"/>
              </w:rPr>
            </w:pPr>
            <w:r>
              <w:rPr>
                <w:rFonts w:hint="eastAsia" w:ascii="宋体" w:hAnsi="宋体"/>
              </w:rPr>
              <w:t>第二节</w:t>
            </w:r>
          </w:p>
          <w:p w14:paraId="3911077B">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.1</w:t>
            </w:r>
            <w:r>
              <w:rPr>
                <w:rFonts w:hint="eastAsia" w:ascii="宋体" w:hAnsi="宋体"/>
                <w:lang w:eastAsia="zh-CN"/>
              </w:rPr>
              <w:t>款</w:t>
            </w:r>
          </w:p>
        </w:tc>
        <w:tc>
          <w:tcPr>
            <w:tcW w:w="1742" w:type="dxa"/>
            <w:vAlign w:val="center"/>
          </w:tcPr>
          <w:p w14:paraId="31A02EA2">
            <w:pPr>
              <w:rPr>
                <w:rFonts w:hint="eastAsia" w:ascii="宋体" w:hAnsi="宋体"/>
              </w:rPr>
            </w:pPr>
            <w:r>
              <w:rPr>
                <w:rFonts w:hint="eastAsia" w:ascii="宋体" w:hAnsi="宋体"/>
              </w:rPr>
              <w:t>包装</w:t>
            </w:r>
            <w:r>
              <w:rPr>
                <w:rFonts w:hint="eastAsia" w:ascii="宋体" w:hAnsi="宋体"/>
                <w:lang w:eastAsia="zh-CN"/>
              </w:rPr>
              <w:t>特殊要求</w:t>
            </w:r>
          </w:p>
        </w:tc>
        <w:tc>
          <w:tcPr>
            <w:tcW w:w="5170" w:type="dxa"/>
            <w:vAlign w:val="center"/>
          </w:tcPr>
          <w:p w14:paraId="34665C9F"/>
        </w:tc>
      </w:tr>
      <w:tr w14:paraId="0E94D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BB315FA">
            <w:pPr>
              <w:jc w:val="center"/>
              <w:rPr>
                <w:rFonts w:hint="eastAsia" w:ascii="宋体" w:hAnsi="宋体"/>
              </w:rPr>
            </w:pPr>
          </w:p>
        </w:tc>
        <w:tc>
          <w:tcPr>
            <w:tcW w:w="1742" w:type="dxa"/>
            <w:vAlign w:val="center"/>
          </w:tcPr>
          <w:p w14:paraId="139D2B50">
            <w:pPr>
              <w:rPr>
                <w:rFonts w:hint="eastAsia" w:ascii="宋体" w:hAnsi="宋体"/>
                <w:lang w:eastAsia="zh-CN"/>
              </w:rPr>
            </w:pPr>
            <w:r>
              <w:rPr>
                <w:rFonts w:hint="eastAsia" w:ascii="宋体" w:hAnsi="宋体"/>
                <w:lang w:eastAsia="zh-CN"/>
              </w:rPr>
              <w:t>指定现场</w:t>
            </w:r>
          </w:p>
        </w:tc>
        <w:tc>
          <w:tcPr>
            <w:tcW w:w="5170" w:type="dxa"/>
            <w:vAlign w:val="center"/>
          </w:tcPr>
          <w:p w14:paraId="5581E1DD"/>
        </w:tc>
      </w:tr>
      <w:tr w14:paraId="040A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ADA8D15">
            <w:pPr>
              <w:jc w:val="center"/>
              <w:rPr>
                <w:rFonts w:hint="eastAsia" w:ascii="宋体" w:hAnsi="宋体"/>
              </w:rPr>
            </w:pPr>
            <w:r>
              <w:rPr>
                <w:rFonts w:hint="eastAsia" w:ascii="宋体" w:hAnsi="宋体"/>
              </w:rPr>
              <w:t>第二节</w:t>
            </w:r>
          </w:p>
          <w:p w14:paraId="3C01DBA3">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.2</w:t>
            </w:r>
            <w:r>
              <w:rPr>
                <w:rFonts w:hint="eastAsia" w:ascii="宋体" w:hAnsi="宋体"/>
                <w:lang w:eastAsia="zh-CN"/>
              </w:rPr>
              <w:t>款</w:t>
            </w:r>
          </w:p>
        </w:tc>
        <w:tc>
          <w:tcPr>
            <w:tcW w:w="1742" w:type="dxa"/>
            <w:vAlign w:val="center"/>
          </w:tcPr>
          <w:p w14:paraId="3F0672A4">
            <w:pPr>
              <w:rPr>
                <w:rFonts w:hint="eastAsia" w:ascii="宋体" w:hAnsi="宋体"/>
                <w:lang w:eastAsia="zh-CN"/>
              </w:rPr>
            </w:pPr>
            <w:r>
              <w:rPr>
                <w:rFonts w:hint="eastAsia" w:ascii="宋体" w:hAnsi="宋体"/>
                <w:lang w:eastAsia="zh-CN"/>
              </w:rPr>
              <w:t>运输特殊要求</w:t>
            </w:r>
          </w:p>
        </w:tc>
        <w:tc>
          <w:tcPr>
            <w:tcW w:w="5170" w:type="dxa"/>
            <w:vAlign w:val="center"/>
          </w:tcPr>
          <w:p w14:paraId="42314048"/>
        </w:tc>
      </w:tr>
      <w:tr w14:paraId="1E8BB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BFFFC17">
            <w:pPr>
              <w:jc w:val="center"/>
              <w:rPr>
                <w:rFonts w:hint="eastAsia" w:ascii="宋体" w:hAnsi="宋体"/>
              </w:rPr>
            </w:pPr>
            <w:r>
              <w:rPr>
                <w:rFonts w:hint="eastAsia" w:ascii="宋体" w:hAnsi="宋体"/>
              </w:rPr>
              <w:t>第二节</w:t>
            </w:r>
          </w:p>
          <w:p w14:paraId="75B48782">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.3</w:t>
            </w:r>
            <w:r>
              <w:rPr>
                <w:rFonts w:hint="eastAsia" w:ascii="宋体" w:hAnsi="宋体"/>
                <w:lang w:eastAsia="zh-CN"/>
              </w:rPr>
              <w:t>款</w:t>
            </w:r>
          </w:p>
        </w:tc>
        <w:tc>
          <w:tcPr>
            <w:tcW w:w="1742" w:type="dxa"/>
            <w:vAlign w:val="center"/>
          </w:tcPr>
          <w:p w14:paraId="71BB9ABE">
            <w:pPr>
              <w:rPr>
                <w:rFonts w:hint="eastAsia" w:ascii="宋体" w:hAnsi="宋体"/>
                <w:lang w:eastAsia="zh-CN"/>
              </w:rPr>
            </w:pPr>
            <w:r>
              <w:rPr>
                <w:rFonts w:hint="eastAsia" w:ascii="宋体" w:hAnsi="宋体"/>
                <w:lang w:eastAsia="zh-CN"/>
              </w:rPr>
              <w:t>保险要求</w:t>
            </w:r>
          </w:p>
        </w:tc>
        <w:tc>
          <w:tcPr>
            <w:tcW w:w="5170" w:type="dxa"/>
            <w:vAlign w:val="center"/>
          </w:tcPr>
          <w:p w14:paraId="47F4351D"/>
        </w:tc>
      </w:tr>
      <w:tr w14:paraId="6548B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F21C76">
            <w:pPr>
              <w:jc w:val="center"/>
              <w:rPr>
                <w:rFonts w:hint="eastAsia" w:ascii="宋体" w:hAnsi="宋体"/>
              </w:rPr>
            </w:pPr>
            <w:r>
              <w:rPr>
                <w:rFonts w:hint="eastAsia" w:ascii="宋体" w:hAnsi="宋体"/>
              </w:rPr>
              <w:t>第二节</w:t>
            </w:r>
          </w:p>
          <w:p w14:paraId="74A37E62">
            <w:pPr>
              <w:jc w:val="center"/>
              <w:rPr>
                <w:rFonts w:hint="eastAsia" w:ascii="宋体" w:hAnsi="宋体"/>
              </w:rPr>
            </w:pPr>
            <w:r>
              <w:rPr>
                <w:rFonts w:hint="eastAsia" w:ascii="宋体" w:hAnsi="宋体"/>
              </w:rPr>
              <w:t>第</w:t>
            </w:r>
            <w:r>
              <w:rPr>
                <w:rFonts w:hint="eastAsia" w:ascii="宋体" w:hAnsi="宋体"/>
                <w:lang w:eastAsia="zh-CN"/>
              </w:rPr>
              <w:t>8</w:t>
            </w:r>
            <w:r>
              <w:rPr>
                <w:rFonts w:hint="eastAsia" w:ascii="宋体" w:hAnsi="宋体"/>
              </w:rPr>
              <w:t>.2（1）项</w:t>
            </w:r>
          </w:p>
        </w:tc>
        <w:tc>
          <w:tcPr>
            <w:tcW w:w="1742" w:type="dxa"/>
            <w:vAlign w:val="center"/>
          </w:tcPr>
          <w:p w14:paraId="0258409A">
            <w:pPr>
              <w:rPr>
                <w:rFonts w:hint="eastAsia" w:ascii="宋体" w:hAnsi="宋体"/>
              </w:rPr>
            </w:pPr>
            <w:r>
              <w:rPr>
                <w:rFonts w:hint="eastAsia" w:ascii="宋体" w:hAnsi="宋体"/>
              </w:rPr>
              <w:t>质量保证期</w:t>
            </w:r>
          </w:p>
        </w:tc>
        <w:tc>
          <w:tcPr>
            <w:tcW w:w="5170" w:type="dxa"/>
            <w:vAlign w:val="center"/>
          </w:tcPr>
          <w:p w14:paraId="01CB0C8F">
            <w:pPr>
              <w:ind w:firstLine="420" w:firstLineChars="200"/>
              <w:rPr>
                <w:rFonts w:hint="eastAsia" w:ascii="宋体" w:hAnsi="宋体"/>
              </w:rPr>
            </w:pPr>
          </w:p>
        </w:tc>
      </w:tr>
      <w:tr w14:paraId="45F54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5970C9">
            <w:pPr>
              <w:jc w:val="center"/>
              <w:rPr>
                <w:rFonts w:hint="eastAsia" w:ascii="宋体" w:hAnsi="宋体"/>
              </w:rPr>
            </w:pPr>
            <w:r>
              <w:rPr>
                <w:rFonts w:hint="eastAsia" w:ascii="宋体" w:hAnsi="宋体"/>
              </w:rPr>
              <w:t>第二节</w:t>
            </w:r>
          </w:p>
          <w:p w14:paraId="1EF424E6">
            <w:pPr>
              <w:jc w:val="center"/>
              <w:rPr>
                <w:rFonts w:hint="eastAsia" w:ascii="宋体" w:hAnsi="宋体"/>
              </w:rPr>
            </w:pPr>
            <w:r>
              <w:rPr>
                <w:rFonts w:hint="eastAsia" w:ascii="宋体" w:hAnsi="宋体"/>
              </w:rPr>
              <w:t>第</w:t>
            </w:r>
            <w:r>
              <w:rPr>
                <w:rFonts w:hint="eastAsia" w:ascii="宋体" w:hAnsi="宋体"/>
                <w:lang w:eastAsia="zh-CN"/>
              </w:rPr>
              <w:t>8</w:t>
            </w:r>
            <w:r>
              <w:rPr>
                <w:rFonts w:hint="eastAsia" w:ascii="宋体" w:hAnsi="宋体"/>
              </w:rPr>
              <w:t>.2（3）项</w:t>
            </w:r>
          </w:p>
        </w:tc>
        <w:tc>
          <w:tcPr>
            <w:tcW w:w="1742" w:type="dxa"/>
            <w:vAlign w:val="center"/>
          </w:tcPr>
          <w:p w14:paraId="1C50CC94">
            <w:pPr>
              <w:rPr>
                <w:rFonts w:hint="eastAsia" w:ascii="宋体" w:hAnsi="宋体"/>
                <w:lang w:eastAsia="zh-CN"/>
              </w:rPr>
            </w:pPr>
            <w:r>
              <w:rPr>
                <w:rFonts w:hint="eastAsia" w:ascii="宋体" w:hAnsi="宋体"/>
                <w:lang w:eastAsia="zh-CN"/>
              </w:rPr>
              <w:t>货物质量缺陷</w:t>
            </w:r>
          </w:p>
          <w:p w14:paraId="6A268299">
            <w:pPr>
              <w:rPr>
                <w:rFonts w:hint="eastAsia" w:ascii="宋体" w:hAnsi="宋体"/>
                <w:lang w:eastAsia="zh-CN"/>
              </w:rPr>
            </w:pPr>
            <w:r>
              <w:rPr>
                <w:rFonts w:hint="eastAsia" w:ascii="宋体" w:hAnsi="宋体"/>
                <w:lang w:eastAsia="zh-CN"/>
              </w:rPr>
              <w:t>响应时间</w:t>
            </w:r>
          </w:p>
        </w:tc>
        <w:tc>
          <w:tcPr>
            <w:tcW w:w="5170" w:type="dxa"/>
            <w:vAlign w:val="center"/>
          </w:tcPr>
          <w:p w14:paraId="657E4B7E">
            <w:pPr>
              <w:rPr>
                <w:rFonts w:hint="eastAsia" w:ascii="宋体" w:hAnsi="宋体"/>
                <w:lang w:eastAsia="zh-CN"/>
              </w:rPr>
            </w:pPr>
          </w:p>
        </w:tc>
      </w:tr>
      <w:tr w14:paraId="006F2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AA9D7">
            <w:pPr>
              <w:jc w:val="center"/>
              <w:rPr>
                <w:rFonts w:hint="eastAsia" w:ascii="宋体" w:hAnsi="宋体" w:cs="宋体"/>
                <w:lang w:eastAsia="zh-CN"/>
              </w:rPr>
            </w:pPr>
            <w:r>
              <w:rPr>
                <w:rFonts w:hint="eastAsia" w:ascii="宋体" w:hAnsi="宋体" w:cs="宋体"/>
                <w:lang w:eastAsia="zh-CN"/>
              </w:rPr>
              <w:t>第二节</w:t>
            </w:r>
          </w:p>
          <w:p w14:paraId="03F3F21C">
            <w:pPr>
              <w:pStyle w:val="51"/>
              <w:ind w:firstLine="0" w:firstLineChars="0"/>
              <w:jc w:val="center"/>
              <w:rPr>
                <w:rFonts w:hint="eastAsia"/>
              </w:rPr>
            </w:pPr>
            <w:r>
              <w:rPr>
                <w:rFonts w:hint="eastAsia" w:ascii="宋体" w:hAnsi="宋体" w:eastAsia="宋体" w:cs="宋体"/>
              </w:rPr>
              <w:t>第11.1款</w:t>
            </w:r>
          </w:p>
        </w:tc>
        <w:tc>
          <w:tcPr>
            <w:tcW w:w="1742" w:type="dxa"/>
            <w:vAlign w:val="center"/>
          </w:tcPr>
          <w:p w14:paraId="716CD74E">
            <w:pPr>
              <w:jc w:val="both"/>
              <w:rPr>
                <w:rFonts w:hint="eastAsia" w:ascii="宋体" w:hAnsi="宋体"/>
                <w:lang w:eastAsia="zh-CN"/>
              </w:rPr>
            </w:pPr>
            <w:r>
              <w:rPr>
                <w:rFonts w:hint="eastAsia" w:ascii="宋体" w:hAnsi="宋体"/>
                <w:lang w:eastAsia="zh-CN"/>
              </w:rPr>
              <w:t>其他应当保密的信息</w:t>
            </w:r>
          </w:p>
        </w:tc>
        <w:tc>
          <w:tcPr>
            <w:tcW w:w="5170" w:type="dxa"/>
            <w:vAlign w:val="center"/>
          </w:tcPr>
          <w:p w14:paraId="7EC1AB3A">
            <w:pPr>
              <w:rPr>
                <w:rFonts w:hint="eastAsia" w:ascii="宋体" w:hAnsi="宋体"/>
              </w:rPr>
            </w:pPr>
          </w:p>
        </w:tc>
      </w:tr>
      <w:tr w14:paraId="1F416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865ED9A">
            <w:pPr>
              <w:jc w:val="center"/>
              <w:rPr>
                <w:rFonts w:hint="eastAsia" w:ascii="宋体" w:hAnsi="宋体"/>
              </w:rPr>
            </w:pPr>
            <w:r>
              <w:rPr>
                <w:rFonts w:hint="eastAsia" w:ascii="宋体" w:hAnsi="宋体"/>
              </w:rPr>
              <w:t>第二节</w:t>
            </w:r>
          </w:p>
          <w:p w14:paraId="029C652B">
            <w:pPr>
              <w:jc w:val="center"/>
              <w:rPr>
                <w:rFonts w:hint="eastAsia" w:ascii="宋体" w:hAnsi="宋体"/>
              </w:rPr>
            </w:pPr>
            <w:r>
              <w:rPr>
                <w:rFonts w:hint="eastAsia" w:ascii="宋体" w:hAnsi="宋体"/>
              </w:rPr>
              <w:t>第1</w:t>
            </w:r>
            <w:r>
              <w:rPr>
                <w:rFonts w:hint="eastAsia" w:ascii="宋体" w:hAnsi="宋体"/>
                <w:lang w:eastAsia="zh-CN"/>
              </w:rPr>
              <w:t>2</w:t>
            </w:r>
            <w:r>
              <w:rPr>
                <w:rFonts w:hint="eastAsia" w:ascii="宋体" w:hAnsi="宋体"/>
              </w:rPr>
              <w:t>.2款</w:t>
            </w:r>
          </w:p>
        </w:tc>
        <w:tc>
          <w:tcPr>
            <w:tcW w:w="1742" w:type="dxa"/>
            <w:vAlign w:val="center"/>
          </w:tcPr>
          <w:p w14:paraId="18B8BB5F">
            <w:pPr>
              <w:rPr>
                <w:rFonts w:hint="eastAsia" w:ascii="宋体" w:hAnsi="宋体"/>
                <w:lang w:eastAsia="zh-CN"/>
              </w:rPr>
            </w:pPr>
            <w:r>
              <w:rPr>
                <w:rFonts w:hint="eastAsia" w:ascii="宋体" w:hAnsi="宋体"/>
              </w:rPr>
              <w:t>合同价款支付</w:t>
            </w:r>
            <w:r>
              <w:rPr>
                <w:rFonts w:hint="eastAsia" w:ascii="宋体" w:hAnsi="宋体"/>
                <w:lang w:eastAsia="zh-CN"/>
              </w:rPr>
              <w:t>时间</w:t>
            </w:r>
          </w:p>
        </w:tc>
        <w:tc>
          <w:tcPr>
            <w:tcW w:w="5170" w:type="dxa"/>
            <w:vAlign w:val="center"/>
          </w:tcPr>
          <w:p w14:paraId="4A8DBBE5">
            <w:pPr>
              <w:rPr>
                <w:rFonts w:hint="eastAsia" w:ascii="宋体" w:hAnsi="宋体"/>
              </w:rPr>
            </w:pPr>
          </w:p>
        </w:tc>
      </w:tr>
      <w:tr w14:paraId="03253F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E87688">
            <w:pPr>
              <w:jc w:val="center"/>
              <w:rPr>
                <w:rFonts w:hint="eastAsia" w:ascii="宋体" w:hAnsi="宋体"/>
              </w:rPr>
            </w:pPr>
            <w:r>
              <w:rPr>
                <w:rFonts w:hint="eastAsia" w:ascii="宋体" w:hAnsi="宋体"/>
              </w:rPr>
              <w:t>第二节</w:t>
            </w:r>
          </w:p>
          <w:p w14:paraId="395E2D10">
            <w:pPr>
              <w:jc w:val="center"/>
              <w:rPr>
                <w:rFonts w:hint="eastAsia" w:ascii="宋体" w:hAnsi="宋体"/>
              </w:rPr>
            </w:pPr>
            <w:r>
              <w:rPr>
                <w:rFonts w:hint="eastAsia" w:ascii="宋体" w:hAnsi="宋体"/>
              </w:rPr>
              <w:t>第</w:t>
            </w:r>
            <w:r>
              <w:rPr>
                <w:rFonts w:hint="eastAsia" w:ascii="宋体" w:hAnsi="宋体"/>
                <w:lang w:eastAsia="zh-CN"/>
              </w:rPr>
              <w:t>13.2</w:t>
            </w:r>
            <w:r>
              <w:rPr>
                <w:rFonts w:hint="eastAsia" w:ascii="宋体" w:hAnsi="宋体"/>
              </w:rPr>
              <w:t>款</w:t>
            </w:r>
          </w:p>
        </w:tc>
        <w:tc>
          <w:tcPr>
            <w:tcW w:w="1742" w:type="dxa"/>
            <w:vAlign w:val="center"/>
          </w:tcPr>
          <w:p w14:paraId="65F11674">
            <w:pPr>
              <w:rPr>
                <w:rFonts w:hint="eastAsia" w:ascii="宋体" w:hAnsi="宋体"/>
                <w:lang w:eastAsia="zh-CN"/>
              </w:rPr>
            </w:pPr>
            <w:r>
              <w:rPr>
                <w:rFonts w:hint="eastAsia" w:ascii="宋体" w:hAnsi="宋体"/>
                <w:lang w:eastAsia="zh-CN"/>
              </w:rPr>
              <w:t>履约保证金不予退还的情形</w:t>
            </w:r>
          </w:p>
        </w:tc>
        <w:tc>
          <w:tcPr>
            <w:tcW w:w="5170" w:type="dxa"/>
            <w:vAlign w:val="center"/>
          </w:tcPr>
          <w:p w14:paraId="011E71C5">
            <w:pPr>
              <w:rPr>
                <w:rFonts w:hint="eastAsia" w:ascii="宋体" w:hAnsi="宋体"/>
                <w:lang w:eastAsia="zh-CN"/>
              </w:rPr>
            </w:pPr>
          </w:p>
        </w:tc>
      </w:tr>
      <w:tr w14:paraId="31F11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51E513">
            <w:pPr>
              <w:jc w:val="center"/>
              <w:rPr>
                <w:rFonts w:hint="eastAsia" w:ascii="宋体" w:hAnsi="宋体"/>
              </w:rPr>
            </w:pPr>
            <w:r>
              <w:rPr>
                <w:rFonts w:hint="eastAsia" w:ascii="宋体" w:hAnsi="宋体"/>
              </w:rPr>
              <w:t>第二节</w:t>
            </w:r>
          </w:p>
          <w:p w14:paraId="69DCC289">
            <w:pPr>
              <w:jc w:val="center"/>
              <w:rPr>
                <w:rFonts w:hint="eastAsia" w:ascii="宋体" w:hAnsi="宋体"/>
              </w:rPr>
            </w:pPr>
            <w:r>
              <w:rPr>
                <w:rFonts w:hint="eastAsia" w:ascii="宋体" w:hAnsi="宋体"/>
              </w:rPr>
              <w:t>第</w:t>
            </w:r>
            <w:r>
              <w:rPr>
                <w:rFonts w:hint="eastAsia" w:ascii="宋体" w:hAnsi="宋体"/>
                <w:lang w:eastAsia="zh-CN"/>
              </w:rPr>
              <w:t>13.3</w:t>
            </w:r>
            <w:r>
              <w:rPr>
                <w:rFonts w:hint="eastAsia" w:ascii="宋体" w:hAnsi="宋体"/>
              </w:rPr>
              <w:t>款</w:t>
            </w:r>
          </w:p>
        </w:tc>
        <w:tc>
          <w:tcPr>
            <w:tcW w:w="1742" w:type="dxa"/>
            <w:vAlign w:val="center"/>
          </w:tcPr>
          <w:p w14:paraId="71977731">
            <w:pPr>
              <w:rPr>
                <w:rFonts w:hint="eastAsia" w:ascii="宋体" w:hAnsi="宋体"/>
                <w:lang w:eastAsia="zh-CN"/>
              </w:rPr>
            </w:pPr>
            <w:r>
              <w:rPr>
                <w:rFonts w:hint="eastAsia" w:ascii="宋体" w:hAnsi="宋体"/>
                <w:lang w:eastAsia="zh-CN"/>
              </w:rPr>
              <w:t>履约保证金退还时间及逾期退还的违约金</w:t>
            </w:r>
          </w:p>
        </w:tc>
        <w:tc>
          <w:tcPr>
            <w:tcW w:w="5170" w:type="dxa"/>
            <w:vAlign w:val="center"/>
          </w:tcPr>
          <w:p w14:paraId="108D00E7">
            <w:pPr>
              <w:rPr>
                <w:rFonts w:hint="eastAsia" w:ascii="宋体" w:hAnsi="宋体"/>
                <w:lang w:eastAsia="zh-CN"/>
              </w:rPr>
            </w:pPr>
          </w:p>
        </w:tc>
      </w:tr>
      <w:tr w14:paraId="2C76AE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ABBC0C3">
            <w:pPr>
              <w:jc w:val="center"/>
              <w:rPr>
                <w:rFonts w:hint="eastAsia" w:ascii="宋体" w:hAnsi="宋体"/>
              </w:rPr>
            </w:pPr>
            <w:r>
              <w:rPr>
                <w:rFonts w:hint="eastAsia" w:ascii="宋体" w:hAnsi="宋体"/>
              </w:rPr>
              <w:t>第二节</w:t>
            </w:r>
          </w:p>
          <w:p w14:paraId="54F02EE2">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3</w:t>
            </w:r>
            <w:r>
              <w:rPr>
                <w:rFonts w:hint="eastAsia" w:ascii="宋体" w:hAnsi="宋体"/>
              </w:rPr>
              <w:t>）项</w:t>
            </w:r>
          </w:p>
        </w:tc>
        <w:tc>
          <w:tcPr>
            <w:tcW w:w="1742" w:type="dxa"/>
            <w:vAlign w:val="center"/>
          </w:tcPr>
          <w:p w14:paraId="2780AC90">
            <w:pPr>
              <w:rPr>
                <w:rFonts w:hint="eastAsia" w:ascii="宋体" w:hAnsi="宋体"/>
                <w:lang w:eastAsia="zh-CN"/>
              </w:rPr>
            </w:pPr>
            <w:r>
              <w:rPr>
                <w:rFonts w:hint="eastAsia" w:ascii="宋体" w:hAnsi="宋体"/>
                <w:lang w:eastAsia="zh-CN"/>
              </w:rPr>
              <w:t>运行监督、维修期限</w:t>
            </w:r>
          </w:p>
        </w:tc>
        <w:tc>
          <w:tcPr>
            <w:tcW w:w="5170" w:type="dxa"/>
            <w:vAlign w:val="center"/>
          </w:tcPr>
          <w:p w14:paraId="33D6ABE2">
            <w:pPr>
              <w:rPr>
                <w:rFonts w:hint="eastAsia" w:ascii="宋体" w:hAnsi="宋体"/>
              </w:rPr>
            </w:pPr>
          </w:p>
        </w:tc>
      </w:tr>
      <w:tr w14:paraId="392B55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24B1ECD">
            <w:pPr>
              <w:jc w:val="center"/>
              <w:rPr>
                <w:rFonts w:hint="eastAsia" w:ascii="宋体" w:hAnsi="宋体"/>
              </w:rPr>
            </w:pPr>
            <w:r>
              <w:rPr>
                <w:rFonts w:hint="eastAsia" w:ascii="宋体" w:hAnsi="宋体"/>
              </w:rPr>
              <w:t>第二节</w:t>
            </w:r>
          </w:p>
          <w:p w14:paraId="406D6B1E">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5</w:t>
            </w:r>
            <w:r>
              <w:rPr>
                <w:rFonts w:hint="eastAsia" w:ascii="宋体" w:hAnsi="宋体"/>
              </w:rPr>
              <w:t>）项</w:t>
            </w:r>
          </w:p>
        </w:tc>
        <w:tc>
          <w:tcPr>
            <w:tcW w:w="1742" w:type="dxa"/>
            <w:vAlign w:val="center"/>
          </w:tcPr>
          <w:p w14:paraId="2720D7D2">
            <w:pPr>
              <w:rPr>
                <w:rFonts w:hint="eastAsia" w:ascii="宋体" w:hAnsi="宋体"/>
                <w:lang w:eastAsia="zh-CN"/>
              </w:rPr>
            </w:pPr>
            <w:r>
              <w:rPr>
                <w:rFonts w:hint="eastAsia" w:ascii="宋体" w:hAnsi="宋体"/>
                <w:lang w:eastAsia="zh-CN"/>
              </w:rPr>
              <w:t>货物回收的约定</w:t>
            </w:r>
          </w:p>
        </w:tc>
        <w:tc>
          <w:tcPr>
            <w:tcW w:w="5170" w:type="dxa"/>
            <w:vAlign w:val="center"/>
          </w:tcPr>
          <w:p w14:paraId="686291B9">
            <w:pPr>
              <w:rPr>
                <w:rFonts w:hint="eastAsia" w:ascii="宋体" w:hAnsi="宋体"/>
              </w:rPr>
            </w:pPr>
          </w:p>
        </w:tc>
      </w:tr>
      <w:tr w14:paraId="16592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8C103F">
            <w:pPr>
              <w:jc w:val="center"/>
              <w:rPr>
                <w:rFonts w:hint="eastAsia" w:ascii="宋体" w:hAnsi="宋体"/>
              </w:rPr>
            </w:pPr>
            <w:r>
              <w:rPr>
                <w:rFonts w:hint="eastAsia" w:ascii="宋体" w:hAnsi="宋体"/>
              </w:rPr>
              <w:t>第二节</w:t>
            </w:r>
          </w:p>
          <w:p w14:paraId="469D6914">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6</w:t>
            </w:r>
            <w:r>
              <w:rPr>
                <w:rFonts w:hint="eastAsia" w:ascii="宋体" w:hAnsi="宋体"/>
              </w:rPr>
              <w:t>）项</w:t>
            </w:r>
          </w:p>
        </w:tc>
        <w:tc>
          <w:tcPr>
            <w:tcW w:w="1742" w:type="dxa"/>
            <w:vAlign w:val="center"/>
          </w:tcPr>
          <w:p w14:paraId="19D6D816">
            <w:pPr>
              <w:rPr>
                <w:rFonts w:hint="eastAsia" w:ascii="宋体" w:hAnsi="宋体"/>
              </w:rPr>
            </w:pPr>
            <w:r>
              <w:rPr>
                <w:rFonts w:hint="eastAsia" w:ascii="宋体" w:hAnsi="宋体"/>
              </w:rPr>
              <w:t>乙方提供的其他服务</w:t>
            </w:r>
          </w:p>
        </w:tc>
        <w:tc>
          <w:tcPr>
            <w:tcW w:w="5170" w:type="dxa"/>
            <w:vAlign w:val="center"/>
          </w:tcPr>
          <w:p w14:paraId="2B7A1CBF">
            <w:pPr>
              <w:rPr>
                <w:rFonts w:hint="eastAsia" w:ascii="宋体" w:hAnsi="宋体"/>
              </w:rPr>
            </w:pPr>
          </w:p>
        </w:tc>
      </w:tr>
      <w:tr w14:paraId="7CC48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2DCDB8">
            <w:pPr>
              <w:jc w:val="center"/>
              <w:rPr>
                <w:rFonts w:hint="eastAsia" w:ascii="宋体" w:hAnsi="宋体"/>
              </w:rPr>
            </w:pPr>
            <w:r>
              <w:rPr>
                <w:rFonts w:hint="eastAsia" w:ascii="宋体" w:hAnsi="宋体"/>
              </w:rPr>
              <w:t>第二节</w:t>
            </w:r>
          </w:p>
          <w:p w14:paraId="6F9D9A4D">
            <w:pPr>
              <w:jc w:val="center"/>
              <w:rPr>
                <w:rFonts w:hint="eastAsia" w:ascii="宋体" w:hAnsi="宋体"/>
                <w:lang w:eastAsia="zh-CN"/>
              </w:rPr>
            </w:pPr>
            <w:r>
              <w:rPr>
                <w:rFonts w:hint="eastAsia" w:ascii="宋体" w:hAnsi="宋体"/>
              </w:rPr>
              <w:t>第1</w:t>
            </w:r>
            <w:r>
              <w:rPr>
                <w:rFonts w:hint="eastAsia" w:ascii="宋体" w:hAnsi="宋体"/>
                <w:lang w:eastAsia="zh-CN"/>
              </w:rPr>
              <w:t>5</w:t>
            </w:r>
            <w:r>
              <w:rPr>
                <w:rFonts w:hint="eastAsia" w:ascii="宋体" w:hAnsi="宋体"/>
              </w:rPr>
              <w:t>.</w:t>
            </w:r>
            <w:r>
              <w:rPr>
                <w:rFonts w:hint="eastAsia" w:ascii="宋体" w:hAnsi="宋体"/>
                <w:lang w:eastAsia="zh-CN"/>
              </w:rPr>
              <w:t>1款</w:t>
            </w:r>
          </w:p>
        </w:tc>
        <w:tc>
          <w:tcPr>
            <w:tcW w:w="1742" w:type="dxa"/>
            <w:vAlign w:val="center"/>
          </w:tcPr>
          <w:p w14:paraId="7635856A">
            <w:pPr>
              <w:rPr>
                <w:rFonts w:hint="eastAsia" w:ascii="宋体" w:hAnsi="宋体"/>
                <w:lang w:eastAsia="zh-CN"/>
              </w:rPr>
            </w:pPr>
            <w:r>
              <w:rPr>
                <w:rFonts w:hint="eastAsia" w:ascii="宋体" w:hAnsi="宋体"/>
                <w:color w:val="auto"/>
                <w:lang w:eastAsia="zh-CN"/>
              </w:rPr>
              <w:t>修理、重作、更换相关具体规定</w:t>
            </w:r>
          </w:p>
        </w:tc>
        <w:tc>
          <w:tcPr>
            <w:tcW w:w="5170" w:type="dxa"/>
            <w:vAlign w:val="center"/>
          </w:tcPr>
          <w:p w14:paraId="751A302D">
            <w:pPr>
              <w:rPr>
                <w:rFonts w:hint="eastAsia" w:ascii="宋体" w:hAnsi="宋体"/>
                <w:lang w:eastAsia="zh-CN"/>
              </w:rPr>
            </w:pPr>
          </w:p>
        </w:tc>
      </w:tr>
      <w:tr w14:paraId="54B2F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CC1B7B">
            <w:pPr>
              <w:jc w:val="center"/>
              <w:rPr>
                <w:rFonts w:hint="eastAsia" w:ascii="宋体" w:hAnsi="宋体"/>
              </w:rPr>
            </w:pPr>
            <w:r>
              <w:rPr>
                <w:rFonts w:hint="eastAsia" w:ascii="宋体" w:hAnsi="宋体"/>
              </w:rPr>
              <w:t>第二节</w:t>
            </w:r>
          </w:p>
          <w:p w14:paraId="558982B9">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.2（2）项</w:t>
            </w:r>
          </w:p>
        </w:tc>
        <w:tc>
          <w:tcPr>
            <w:tcW w:w="1742" w:type="dxa"/>
            <w:vAlign w:val="center"/>
          </w:tcPr>
          <w:p w14:paraId="3AAE19A8">
            <w:pPr>
              <w:rPr>
                <w:rFonts w:hint="eastAsia" w:ascii="宋体" w:hAnsi="宋体"/>
              </w:rPr>
            </w:pPr>
            <w:r>
              <w:rPr>
                <w:rFonts w:hint="eastAsia" w:ascii="宋体" w:hAnsi="宋体"/>
              </w:rPr>
              <w:t>迟延交货赔偿费</w:t>
            </w:r>
          </w:p>
        </w:tc>
        <w:tc>
          <w:tcPr>
            <w:tcW w:w="5170" w:type="dxa"/>
            <w:vAlign w:val="center"/>
          </w:tcPr>
          <w:p w14:paraId="5796F2C1">
            <w:pPr>
              <w:rPr>
                <w:rFonts w:hint="eastAsia" w:ascii="宋体" w:hAnsi="宋体"/>
                <w:u w:val="single"/>
              </w:rPr>
            </w:pPr>
          </w:p>
        </w:tc>
      </w:tr>
      <w:tr w14:paraId="335374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07D8E8">
            <w:pPr>
              <w:jc w:val="center"/>
              <w:rPr>
                <w:rFonts w:hint="eastAsia" w:ascii="宋体" w:hAnsi="宋体"/>
              </w:rPr>
            </w:pPr>
            <w:r>
              <w:rPr>
                <w:rFonts w:hint="eastAsia" w:ascii="宋体" w:hAnsi="宋体"/>
              </w:rPr>
              <w:t>第二节</w:t>
            </w:r>
          </w:p>
          <w:p w14:paraId="20E7ADA4">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w:t>
            </w:r>
            <w:r>
              <w:rPr>
                <w:rFonts w:hint="eastAsia" w:ascii="宋体" w:hAnsi="宋体"/>
                <w:lang w:eastAsia="zh-CN"/>
              </w:rPr>
              <w:t>3款</w:t>
            </w:r>
          </w:p>
        </w:tc>
        <w:tc>
          <w:tcPr>
            <w:tcW w:w="1742" w:type="dxa"/>
            <w:vAlign w:val="center"/>
          </w:tcPr>
          <w:p w14:paraId="692D9E39">
            <w:pPr>
              <w:rPr>
                <w:rFonts w:hint="eastAsia" w:ascii="宋体" w:hAnsi="宋体"/>
              </w:rPr>
            </w:pPr>
            <w:r>
              <w:rPr>
                <w:rFonts w:hint="eastAsia" w:ascii="宋体" w:hAnsi="宋体"/>
              </w:rPr>
              <w:t>逾期付款利息</w:t>
            </w:r>
          </w:p>
        </w:tc>
        <w:tc>
          <w:tcPr>
            <w:tcW w:w="5170" w:type="dxa"/>
            <w:vAlign w:val="center"/>
          </w:tcPr>
          <w:p w14:paraId="2EDC7CC2">
            <w:pPr>
              <w:rPr>
                <w:rFonts w:hint="eastAsia" w:ascii="宋体" w:hAnsi="宋体"/>
                <w:u w:val="single"/>
              </w:rPr>
            </w:pPr>
          </w:p>
        </w:tc>
      </w:tr>
      <w:tr w14:paraId="4F038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265FD1E">
            <w:pPr>
              <w:jc w:val="center"/>
              <w:rPr>
                <w:rFonts w:hint="eastAsia" w:ascii="宋体" w:hAnsi="宋体"/>
              </w:rPr>
            </w:pPr>
            <w:r>
              <w:rPr>
                <w:rFonts w:hint="eastAsia" w:ascii="宋体" w:hAnsi="宋体"/>
              </w:rPr>
              <w:t>第二节</w:t>
            </w:r>
          </w:p>
          <w:p w14:paraId="6F27AFF0">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.4</w:t>
            </w:r>
            <w:r>
              <w:rPr>
                <w:rFonts w:hint="eastAsia" w:ascii="宋体" w:hAnsi="宋体"/>
                <w:lang w:eastAsia="zh-CN"/>
              </w:rPr>
              <w:t>款</w:t>
            </w:r>
          </w:p>
        </w:tc>
        <w:tc>
          <w:tcPr>
            <w:tcW w:w="1742" w:type="dxa"/>
            <w:tcBorders>
              <w:left w:val="single" w:color="auto" w:sz="2" w:space="0"/>
              <w:bottom w:val="single" w:color="auto" w:sz="2" w:space="0"/>
              <w:right w:val="single" w:color="auto" w:sz="2" w:space="0"/>
            </w:tcBorders>
            <w:vAlign w:val="center"/>
          </w:tcPr>
          <w:p w14:paraId="3292DDF8">
            <w:pPr>
              <w:rPr>
                <w:rFonts w:hint="eastAsia" w:ascii="宋体" w:hAnsi="宋体"/>
              </w:rPr>
            </w:pPr>
            <w:r>
              <w:rPr>
                <w:rFonts w:hint="eastAsia" w:ascii="宋体" w:hAnsi="宋体"/>
              </w:rPr>
              <w:t>其他违约责任</w:t>
            </w:r>
          </w:p>
        </w:tc>
        <w:tc>
          <w:tcPr>
            <w:tcW w:w="5170" w:type="dxa"/>
            <w:tcBorders>
              <w:left w:val="single" w:color="auto" w:sz="2" w:space="0"/>
              <w:bottom w:val="single" w:color="auto" w:sz="2" w:space="0"/>
            </w:tcBorders>
            <w:vAlign w:val="center"/>
          </w:tcPr>
          <w:p w14:paraId="0CCEB110">
            <w:pPr>
              <w:rPr>
                <w:rFonts w:hint="eastAsia" w:ascii="宋体" w:hAnsi="宋体"/>
                <w:u w:val="single"/>
              </w:rPr>
            </w:pPr>
          </w:p>
        </w:tc>
      </w:tr>
      <w:tr w14:paraId="0C97C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E57BAC">
            <w:pPr>
              <w:jc w:val="center"/>
              <w:rPr>
                <w:rFonts w:hint="eastAsia" w:ascii="宋体" w:hAnsi="宋体"/>
              </w:rPr>
            </w:pPr>
            <w:r>
              <w:rPr>
                <w:rFonts w:hint="eastAsia" w:ascii="宋体" w:hAnsi="宋体"/>
              </w:rPr>
              <w:t>第二节</w:t>
            </w:r>
          </w:p>
          <w:p w14:paraId="09EA5EEA">
            <w:pPr>
              <w:jc w:val="center"/>
              <w:rPr>
                <w:rFonts w:hint="eastAsia" w:ascii="宋体" w:hAnsi="宋体"/>
              </w:rPr>
            </w:pPr>
            <w:r>
              <w:rPr>
                <w:rFonts w:hint="eastAsia" w:ascii="宋体" w:hAnsi="宋体"/>
              </w:rPr>
              <w:t>第</w:t>
            </w:r>
            <w:r>
              <w:rPr>
                <w:rFonts w:hint="eastAsia" w:ascii="宋体" w:hAnsi="宋体"/>
                <w:lang w:eastAsia="zh-CN"/>
              </w:rPr>
              <w:t>19</w:t>
            </w:r>
            <w:r>
              <w:rPr>
                <w:rFonts w:hint="eastAsia" w:ascii="宋体" w:hAnsi="宋体"/>
              </w:rPr>
              <w:t>.2</w:t>
            </w:r>
            <w:r>
              <w:rPr>
                <w:rFonts w:hint="eastAsia" w:ascii="宋体" w:hAnsi="宋体"/>
                <w:lang w:eastAsia="zh-CN"/>
              </w:rPr>
              <w:t>款</w:t>
            </w:r>
          </w:p>
        </w:tc>
        <w:tc>
          <w:tcPr>
            <w:tcW w:w="1742" w:type="dxa"/>
            <w:tcBorders>
              <w:top w:val="single" w:color="auto" w:sz="2" w:space="0"/>
              <w:left w:val="single" w:color="auto" w:sz="2" w:space="0"/>
              <w:right w:val="single" w:color="auto" w:sz="2" w:space="0"/>
            </w:tcBorders>
            <w:vAlign w:val="center"/>
          </w:tcPr>
          <w:p w14:paraId="3DB2AA52">
            <w:pPr>
              <w:rPr>
                <w:rFonts w:hint="eastAsia" w:ascii="宋体" w:hAnsi="宋体"/>
              </w:rPr>
            </w:pPr>
            <w:r>
              <w:rPr>
                <w:rFonts w:hint="eastAsia" w:ascii="宋体" w:hAnsi="宋体"/>
                <w:lang w:eastAsia="zh-CN"/>
              </w:rPr>
              <w:t>解决争议的方法</w:t>
            </w:r>
          </w:p>
        </w:tc>
        <w:tc>
          <w:tcPr>
            <w:tcW w:w="5170" w:type="dxa"/>
            <w:tcBorders>
              <w:top w:val="single" w:color="auto" w:sz="2" w:space="0"/>
              <w:left w:val="single" w:color="auto" w:sz="2" w:space="0"/>
            </w:tcBorders>
            <w:vAlign w:val="center"/>
          </w:tcPr>
          <w:p w14:paraId="27445080">
            <w:pPr>
              <w:spacing w:line="400" w:lineRule="exact"/>
              <w:rPr>
                <w:rFonts w:hint="eastAsia" w:ascii="宋体" w:hAnsi="宋体" w:cs="宋体"/>
                <w:iCs/>
                <w:lang w:eastAsia="zh-CN"/>
              </w:rPr>
            </w:pPr>
            <w:r>
              <w:rPr>
                <w:rFonts w:hint="eastAsia" w:ascii="宋体" w:hAnsi="宋体" w:cs="宋体"/>
                <w:iCs/>
                <w:lang w:eastAsia="zh-CN"/>
              </w:rPr>
              <w:t>因本合同及合同有关事项发生的争议，按下列第</w:t>
            </w:r>
            <w:r>
              <w:rPr>
                <w:rFonts w:hint="eastAsia" w:ascii="宋体" w:hAnsi="宋体" w:cs="宋体"/>
                <w:iCs/>
                <w:u w:val="single"/>
                <w:lang w:eastAsia="zh-CN"/>
              </w:rPr>
              <w:t xml:space="preserve">   </w:t>
            </w:r>
            <w:r>
              <w:rPr>
                <w:rFonts w:hint="eastAsia" w:ascii="宋体" w:hAnsi="宋体" w:cs="宋体"/>
                <w:iCs/>
                <w:lang w:eastAsia="zh-CN"/>
              </w:rPr>
              <w:t>种方式解决：</w:t>
            </w:r>
          </w:p>
          <w:p w14:paraId="4A58E44E">
            <w:pPr>
              <w:spacing w:line="400" w:lineRule="exact"/>
              <w:rPr>
                <w:rFonts w:hint="eastAsia" w:ascii="宋体" w:hAnsi="宋体" w:cs="宋体"/>
                <w:iCs/>
                <w:lang w:eastAsia="zh-CN"/>
              </w:rPr>
            </w:pPr>
            <w:r>
              <w:rPr>
                <w:rFonts w:hint="eastAsia" w:ascii="宋体" w:hAnsi="宋体" w:cs="宋体"/>
                <w:iCs/>
                <w:lang w:eastAsia="zh-CN"/>
              </w:rPr>
              <w:t>（1）向</w:t>
            </w:r>
            <w:r>
              <w:rPr>
                <w:rFonts w:hint="eastAsia" w:ascii="宋体" w:hAnsi="宋体" w:cs="宋体"/>
                <w:iCs/>
                <w:u w:val="single"/>
                <w:lang w:eastAsia="zh-CN"/>
              </w:rPr>
              <w:t xml:space="preserve">                    </w:t>
            </w:r>
            <w:r>
              <w:rPr>
                <w:rFonts w:hint="eastAsia" w:ascii="宋体" w:hAnsi="宋体" w:cs="宋体"/>
                <w:iCs/>
                <w:lang w:eastAsia="zh-CN"/>
              </w:rPr>
              <w:t>仲裁委员会申请仲裁，仲裁地点为</w:t>
            </w:r>
            <w:r>
              <w:rPr>
                <w:rFonts w:hint="eastAsia" w:ascii="宋体" w:hAnsi="宋体" w:cs="宋体"/>
                <w:iCs/>
                <w:u w:val="single"/>
                <w:lang w:eastAsia="zh-CN"/>
              </w:rPr>
              <w:t xml:space="preserve">           </w:t>
            </w:r>
            <w:r>
              <w:rPr>
                <w:rFonts w:hint="eastAsia" w:ascii="宋体" w:hAnsi="宋体" w:cs="宋体"/>
                <w:iCs/>
                <w:lang w:eastAsia="zh-CN"/>
              </w:rPr>
              <w:t>；</w:t>
            </w:r>
          </w:p>
          <w:p w14:paraId="1CBE8707">
            <w:pPr>
              <w:rPr>
                <w:rFonts w:hint="eastAsia" w:ascii="宋体" w:hAnsi="宋体"/>
                <w:u w:val="single"/>
                <w:lang w:eastAsia="zh-CN"/>
              </w:rPr>
            </w:pPr>
            <w:r>
              <w:rPr>
                <w:rFonts w:hint="eastAsia" w:ascii="宋体" w:hAnsi="宋体" w:cs="宋体"/>
                <w:iCs/>
                <w:lang w:eastAsia="zh-CN"/>
              </w:rPr>
              <w:t>（2）向</w:t>
            </w:r>
            <w:r>
              <w:rPr>
                <w:rFonts w:hint="eastAsia" w:ascii="宋体" w:hAnsi="宋体" w:cs="宋体"/>
                <w:iCs/>
                <w:u w:val="single"/>
                <w:lang w:eastAsia="zh-CN"/>
              </w:rPr>
              <w:t xml:space="preserve">                    </w:t>
            </w:r>
            <w:r>
              <w:rPr>
                <w:rFonts w:hint="eastAsia" w:ascii="宋体" w:hAnsi="宋体" w:cs="宋体"/>
                <w:iCs/>
                <w:lang w:eastAsia="zh-CN"/>
              </w:rPr>
              <w:t>人民法院起诉。</w:t>
            </w:r>
          </w:p>
        </w:tc>
      </w:tr>
      <w:tr w14:paraId="64A6B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0DA71BE">
            <w:pPr>
              <w:jc w:val="center"/>
              <w:rPr>
                <w:rFonts w:hint="eastAsia" w:ascii="宋体" w:hAnsi="宋体"/>
              </w:rPr>
            </w:pPr>
            <w:r>
              <w:rPr>
                <w:rFonts w:hint="eastAsia" w:ascii="宋体" w:hAnsi="宋体"/>
              </w:rPr>
              <w:t>第二节</w:t>
            </w:r>
          </w:p>
          <w:p w14:paraId="05D5394D">
            <w:pPr>
              <w:jc w:val="center"/>
              <w:rPr>
                <w:rFonts w:hint="eastAsia" w:ascii="宋体" w:hAnsi="宋体"/>
              </w:rPr>
            </w:pPr>
            <w:r>
              <w:rPr>
                <w:rFonts w:hint="eastAsia" w:ascii="宋体" w:hAnsi="宋体"/>
              </w:rPr>
              <w:t>第2</w:t>
            </w:r>
            <w:r>
              <w:rPr>
                <w:rFonts w:hint="eastAsia" w:ascii="宋体" w:hAnsi="宋体"/>
                <w:lang w:eastAsia="zh-CN"/>
              </w:rPr>
              <w:t>3.1款</w:t>
            </w:r>
          </w:p>
        </w:tc>
        <w:tc>
          <w:tcPr>
            <w:tcW w:w="1742" w:type="dxa"/>
            <w:vAlign w:val="center"/>
          </w:tcPr>
          <w:p w14:paraId="37B67C37">
            <w:pPr>
              <w:rPr>
                <w:rFonts w:hint="eastAsia" w:ascii="宋体" w:hAnsi="宋体"/>
              </w:rPr>
            </w:pPr>
            <w:r>
              <w:rPr>
                <w:rFonts w:hint="eastAsia" w:ascii="宋体" w:hAnsi="宋体"/>
                <w:bCs/>
                <w:color w:val="auto"/>
                <w:lang w:eastAsia="zh-CN"/>
              </w:rPr>
              <w:t>其他专用条款</w:t>
            </w:r>
          </w:p>
        </w:tc>
        <w:tc>
          <w:tcPr>
            <w:tcW w:w="5170" w:type="dxa"/>
            <w:vAlign w:val="center"/>
          </w:tcPr>
          <w:p w14:paraId="27F4A593">
            <w:pPr>
              <w:rPr>
                <w:rFonts w:hint="eastAsia" w:ascii="宋体" w:hAnsi="宋体"/>
                <w:lang w:eastAsia="zh-CN"/>
              </w:rPr>
            </w:pPr>
          </w:p>
        </w:tc>
      </w:tr>
    </w:tbl>
    <w:p w14:paraId="65C1C5AE"/>
    <w:p w14:paraId="42129C08"/>
    <w:p w14:paraId="7E8242A9">
      <w:pPr>
        <w:pStyle w:val="8"/>
        <w:spacing w:line="293" w:lineRule="auto"/>
        <w:rPr>
          <w:rFonts w:hint="eastAsia" w:ascii="宋体" w:hAnsi="宋体" w:eastAsia="宋体" w:cs="宋体"/>
          <w:color w:val="auto"/>
          <w:lang w:eastAsia="zh-CN"/>
        </w:rPr>
      </w:pPr>
    </w:p>
    <w:p w14:paraId="59E2F3C6">
      <w:pPr>
        <w:rPr>
          <w:rFonts w:hint="eastAsia" w:ascii="宋体" w:hAnsi="宋体" w:cs="宋体"/>
          <w:color w:val="auto"/>
          <w:lang w:eastAsia="zh-CN"/>
        </w:rPr>
      </w:pPr>
      <w:bookmarkStart w:id="53" w:name="_Toc26307"/>
      <w:r>
        <w:rPr>
          <w:rFonts w:hint="eastAsia" w:ascii="宋体" w:hAnsi="宋体" w:cs="宋体"/>
          <w:color w:val="auto"/>
          <w:lang w:eastAsia="zh-CN"/>
        </w:rPr>
        <w:br w:type="page"/>
      </w:r>
    </w:p>
    <w:p w14:paraId="4A15ED16">
      <w:pPr>
        <w:pStyle w:val="2"/>
        <w:rPr>
          <w:rFonts w:hint="eastAsia" w:ascii="宋体" w:hAnsi="宋体" w:cs="宋体"/>
          <w:color w:val="auto"/>
          <w:lang w:eastAsia="zh-CN"/>
        </w:rPr>
      </w:pPr>
      <w:r>
        <w:rPr>
          <w:rFonts w:hint="eastAsia" w:ascii="宋体" w:hAnsi="宋体" w:cs="宋体"/>
          <w:color w:val="auto"/>
          <w:lang w:eastAsia="zh-CN"/>
        </w:rPr>
        <w:t>第六部分投标文件格式</w:t>
      </w:r>
      <w:bookmarkEnd w:id="53"/>
    </w:p>
    <w:p w14:paraId="00D36CE5">
      <w:pPr>
        <w:pStyle w:val="8"/>
        <w:spacing w:line="253" w:lineRule="auto"/>
        <w:rPr>
          <w:rFonts w:hint="eastAsia" w:ascii="宋体" w:hAnsi="宋体" w:eastAsia="宋体" w:cs="宋体"/>
          <w:color w:val="auto"/>
          <w:lang w:eastAsia="zh-CN"/>
        </w:rPr>
      </w:pPr>
    </w:p>
    <w:p w14:paraId="092D0216">
      <w:pPr>
        <w:pStyle w:val="8"/>
        <w:spacing w:line="253" w:lineRule="auto"/>
        <w:rPr>
          <w:rFonts w:hint="eastAsia" w:ascii="宋体" w:hAnsi="宋体" w:eastAsia="宋体" w:cs="宋体"/>
          <w:color w:val="auto"/>
          <w:lang w:eastAsia="zh-CN"/>
        </w:rPr>
      </w:pPr>
    </w:p>
    <w:p w14:paraId="7A0E0A23">
      <w:pPr>
        <w:pStyle w:val="8"/>
        <w:spacing w:line="253" w:lineRule="auto"/>
        <w:rPr>
          <w:rFonts w:hint="eastAsia" w:ascii="宋体" w:hAnsi="宋体" w:eastAsia="宋体" w:cs="宋体"/>
          <w:color w:val="auto"/>
          <w:lang w:eastAsia="zh-CN"/>
        </w:rPr>
      </w:pPr>
    </w:p>
    <w:p w14:paraId="33C9813D">
      <w:pPr>
        <w:pStyle w:val="8"/>
        <w:spacing w:line="253" w:lineRule="auto"/>
        <w:rPr>
          <w:rFonts w:hint="eastAsia" w:ascii="宋体" w:hAnsi="宋体" w:eastAsia="宋体" w:cs="宋体"/>
          <w:color w:val="auto"/>
          <w:lang w:eastAsia="zh-CN"/>
        </w:rPr>
      </w:pPr>
    </w:p>
    <w:p w14:paraId="18B9787D">
      <w:pPr>
        <w:rPr>
          <w:rFonts w:hint="eastAsia" w:ascii="宋体" w:hAnsi="宋体" w:cs="宋体"/>
          <w:color w:val="auto"/>
          <w:lang w:eastAsia="zh-CN"/>
        </w:rPr>
      </w:pPr>
      <w:r>
        <w:rPr>
          <w:rFonts w:hint="eastAsia" w:ascii="宋体" w:hAnsi="宋体" w:cs="宋体"/>
          <w:color w:val="auto"/>
          <w:lang w:eastAsia="zh-CN"/>
        </w:rPr>
        <w:br w:type="page"/>
      </w:r>
    </w:p>
    <w:p w14:paraId="7E4CBD78">
      <w:pPr>
        <w:rPr>
          <w:lang w:eastAsia="zh-CN"/>
        </w:rPr>
      </w:pPr>
    </w:p>
    <w:p w14:paraId="776EAF81">
      <w:pPr>
        <w:pStyle w:val="8"/>
        <w:spacing w:line="253" w:lineRule="auto"/>
        <w:rPr>
          <w:rFonts w:hint="eastAsia" w:ascii="宋体" w:hAnsi="宋体" w:eastAsia="宋体" w:cs="宋体"/>
          <w:color w:val="auto"/>
          <w:lang w:eastAsia="zh-CN"/>
        </w:rPr>
      </w:pPr>
    </w:p>
    <w:p w14:paraId="5C5F2BFB">
      <w:pPr>
        <w:pStyle w:val="8"/>
        <w:spacing w:line="253" w:lineRule="auto"/>
        <w:rPr>
          <w:rFonts w:hint="eastAsia" w:ascii="宋体" w:hAnsi="宋体" w:eastAsia="宋体" w:cs="宋体"/>
          <w:color w:val="auto"/>
          <w:lang w:eastAsia="zh-CN"/>
        </w:rPr>
      </w:pPr>
    </w:p>
    <w:p w14:paraId="07039BCB">
      <w:pPr>
        <w:pStyle w:val="8"/>
        <w:spacing w:line="253" w:lineRule="auto"/>
        <w:rPr>
          <w:rFonts w:hint="eastAsia" w:ascii="宋体" w:hAnsi="宋体" w:eastAsia="宋体" w:cs="宋体"/>
          <w:color w:val="auto"/>
          <w:lang w:eastAsia="zh-CN"/>
        </w:rPr>
      </w:pPr>
    </w:p>
    <w:p w14:paraId="25352465">
      <w:pPr>
        <w:pStyle w:val="8"/>
        <w:spacing w:line="253" w:lineRule="auto"/>
        <w:rPr>
          <w:rFonts w:hint="eastAsia" w:ascii="宋体" w:hAnsi="宋体" w:eastAsia="宋体" w:cs="宋体"/>
          <w:color w:val="auto"/>
          <w:lang w:eastAsia="zh-CN"/>
        </w:rPr>
      </w:pPr>
    </w:p>
    <w:p w14:paraId="7DC5F140">
      <w:pPr>
        <w:spacing w:before="91" w:line="222" w:lineRule="auto"/>
        <w:ind w:left="2516"/>
        <w:rPr>
          <w:rFonts w:hint="eastAsia" w:ascii="宋体" w:hAnsi="宋体" w:cs="宋体"/>
          <w:color w:val="auto"/>
          <w:sz w:val="28"/>
          <w:szCs w:val="28"/>
          <w:lang w:eastAsia="zh-CN"/>
        </w:rPr>
      </w:pPr>
      <w:r>
        <w:rPr>
          <w:rFonts w:hint="eastAsia" w:ascii="宋体" w:hAnsi="宋体" w:cs="宋体"/>
          <w:color w:val="auto"/>
          <w:sz w:val="28"/>
          <w:szCs w:val="28"/>
          <w:lang w:eastAsia="zh-CN"/>
        </w:rPr>
        <w:t>（项目名称</w:t>
      </w:r>
      <w:r>
        <w:rPr>
          <w:rFonts w:hint="eastAsia" w:ascii="宋体" w:hAnsi="宋体" w:cs="宋体"/>
          <w:color w:val="auto"/>
          <w:spacing w:val="-15"/>
          <w:sz w:val="28"/>
          <w:szCs w:val="28"/>
          <w:lang w:eastAsia="zh-CN"/>
        </w:rPr>
        <w:t>）（</w:t>
      </w:r>
      <w:r>
        <w:rPr>
          <w:rFonts w:hint="eastAsia" w:ascii="宋体" w:hAnsi="宋体" w:cs="宋体"/>
          <w:color w:val="auto"/>
          <w:sz w:val="28"/>
          <w:szCs w:val="28"/>
          <w:lang w:eastAsia="zh-CN"/>
        </w:rPr>
        <w:t>标段名称）</w:t>
      </w:r>
    </w:p>
    <w:p w14:paraId="2168F9FD">
      <w:pPr>
        <w:pStyle w:val="8"/>
        <w:spacing w:line="242" w:lineRule="auto"/>
        <w:rPr>
          <w:rFonts w:hint="eastAsia" w:ascii="宋体" w:hAnsi="宋体" w:eastAsia="宋体" w:cs="宋体"/>
          <w:color w:val="auto"/>
          <w:lang w:eastAsia="zh-CN"/>
        </w:rPr>
      </w:pPr>
    </w:p>
    <w:p w14:paraId="43ED051D">
      <w:pPr>
        <w:pStyle w:val="8"/>
        <w:spacing w:line="243" w:lineRule="auto"/>
        <w:rPr>
          <w:rFonts w:hint="eastAsia" w:ascii="宋体" w:hAnsi="宋体" w:eastAsia="宋体" w:cs="宋体"/>
          <w:color w:val="auto"/>
          <w:lang w:eastAsia="zh-CN"/>
        </w:rPr>
      </w:pPr>
    </w:p>
    <w:p w14:paraId="7B6A3A8F">
      <w:pPr>
        <w:spacing w:before="465" w:line="223" w:lineRule="auto"/>
        <w:ind w:left="1330"/>
        <w:outlineLvl w:val="0"/>
        <w:rPr>
          <w:rFonts w:hint="eastAsia" w:ascii="宋体" w:hAnsi="宋体" w:cs="宋体"/>
          <w:color w:val="auto"/>
          <w:sz w:val="143"/>
          <w:szCs w:val="143"/>
          <w:lang w:eastAsia="zh-CN"/>
        </w:rPr>
      </w:pPr>
      <w:bookmarkStart w:id="54" w:name="bookmark6"/>
      <w:bookmarkEnd w:id="54"/>
      <w:bookmarkStart w:id="55" w:name="_Toc23278"/>
      <w:r>
        <w:rPr>
          <w:rFonts w:hint="eastAsia" w:ascii="宋体" w:hAnsi="宋体" w:cs="宋体"/>
          <w:color w:val="auto"/>
          <w:spacing w:val="-2"/>
          <w:sz w:val="143"/>
          <w:szCs w:val="143"/>
          <w:lang w:eastAsia="zh-CN"/>
        </w:rPr>
        <w:t>投标文件</w:t>
      </w:r>
      <w:bookmarkEnd w:id="55"/>
    </w:p>
    <w:p w14:paraId="09244187">
      <w:pPr>
        <w:spacing w:before="101" w:line="222" w:lineRule="auto"/>
        <w:ind w:left="3478"/>
        <w:rPr>
          <w:rFonts w:hint="eastAsia" w:ascii="宋体" w:hAnsi="宋体" w:cs="宋体"/>
          <w:color w:val="auto"/>
          <w:sz w:val="28"/>
          <w:szCs w:val="28"/>
          <w:lang w:eastAsia="zh-CN"/>
        </w:rPr>
      </w:pPr>
      <w:r>
        <w:rPr>
          <w:rFonts w:hint="eastAsia" w:ascii="宋体" w:hAnsi="宋体" w:cs="宋体"/>
          <w:color w:val="auto"/>
          <w:spacing w:val="-2"/>
          <w:sz w:val="28"/>
          <w:szCs w:val="28"/>
          <w:lang w:eastAsia="zh-CN"/>
        </w:rPr>
        <w:t>项目编号：</w:t>
      </w:r>
    </w:p>
    <w:p w14:paraId="574A9D9C">
      <w:pPr>
        <w:pStyle w:val="8"/>
        <w:spacing w:line="251" w:lineRule="auto"/>
        <w:rPr>
          <w:rFonts w:hint="eastAsia" w:ascii="宋体" w:hAnsi="宋体" w:eastAsia="宋体" w:cs="宋体"/>
          <w:color w:val="auto"/>
          <w:lang w:eastAsia="zh-CN"/>
        </w:rPr>
      </w:pPr>
    </w:p>
    <w:p w14:paraId="3AE246AD">
      <w:pPr>
        <w:pStyle w:val="8"/>
        <w:spacing w:line="251" w:lineRule="auto"/>
        <w:rPr>
          <w:rFonts w:hint="eastAsia" w:ascii="宋体" w:hAnsi="宋体" w:eastAsia="宋体" w:cs="宋体"/>
          <w:color w:val="auto"/>
          <w:lang w:eastAsia="zh-CN"/>
        </w:rPr>
      </w:pPr>
    </w:p>
    <w:p w14:paraId="18BF43AC">
      <w:pPr>
        <w:pStyle w:val="8"/>
        <w:spacing w:line="251" w:lineRule="auto"/>
        <w:rPr>
          <w:rFonts w:hint="eastAsia" w:ascii="宋体" w:hAnsi="宋体" w:eastAsia="宋体" w:cs="宋体"/>
          <w:color w:val="auto"/>
          <w:lang w:eastAsia="zh-CN"/>
        </w:rPr>
      </w:pPr>
    </w:p>
    <w:p w14:paraId="1A124AD0">
      <w:pPr>
        <w:pStyle w:val="8"/>
        <w:spacing w:line="251" w:lineRule="auto"/>
        <w:rPr>
          <w:rFonts w:hint="eastAsia" w:ascii="宋体" w:hAnsi="宋体" w:eastAsia="宋体" w:cs="宋体"/>
          <w:color w:val="auto"/>
          <w:lang w:eastAsia="zh-CN"/>
        </w:rPr>
      </w:pPr>
    </w:p>
    <w:p w14:paraId="0DAA94F7">
      <w:pPr>
        <w:pStyle w:val="8"/>
        <w:spacing w:line="251" w:lineRule="auto"/>
        <w:rPr>
          <w:rFonts w:hint="eastAsia" w:ascii="宋体" w:hAnsi="宋体" w:eastAsia="宋体" w:cs="宋体"/>
          <w:color w:val="auto"/>
          <w:lang w:eastAsia="zh-CN"/>
        </w:rPr>
      </w:pPr>
    </w:p>
    <w:p w14:paraId="131559CF">
      <w:pPr>
        <w:pStyle w:val="8"/>
        <w:spacing w:line="251" w:lineRule="auto"/>
        <w:rPr>
          <w:rFonts w:hint="eastAsia" w:ascii="宋体" w:hAnsi="宋体" w:eastAsia="宋体" w:cs="宋体"/>
          <w:color w:val="auto"/>
          <w:lang w:eastAsia="zh-CN"/>
        </w:rPr>
      </w:pPr>
    </w:p>
    <w:p w14:paraId="48A809C8">
      <w:pPr>
        <w:pStyle w:val="8"/>
        <w:spacing w:line="251" w:lineRule="auto"/>
        <w:rPr>
          <w:rFonts w:hint="eastAsia" w:ascii="宋体" w:hAnsi="宋体" w:eastAsia="宋体" w:cs="宋体"/>
          <w:color w:val="auto"/>
          <w:lang w:eastAsia="zh-CN"/>
        </w:rPr>
      </w:pPr>
    </w:p>
    <w:p w14:paraId="215EF6A5">
      <w:pPr>
        <w:pStyle w:val="8"/>
        <w:spacing w:line="251" w:lineRule="auto"/>
        <w:rPr>
          <w:rFonts w:hint="eastAsia" w:ascii="宋体" w:hAnsi="宋体" w:eastAsia="宋体" w:cs="宋体"/>
          <w:color w:val="auto"/>
          <w:lang w:eastAsia="zh-CN"/>
        </w:rPr>
      </w:pPr>
    </w:p>
    <w:p w14:paraId="61171E95">
      <w:pPr>
        <w:pStyle w:val="8"/>
        <w:spacing w:line="251" w:lineRule="auto"/>
        <w:rPr>
          <w:rFonts w:hint="eastAsia" w:ascii="宋体" w:hAnsi="宋体" w:eastAsia="宋体" w:cs="宋体"/>
          <w:color w:val="auto"/>
          <w:lang w:eastAsia="zh-CN"/>
        </w:rPr>
      </w:pPr>
    </w:p>
    <w:p w14:paraId="6497D56A">
      <w:pPr>
        <w:pStyle w:val="8"/>
        <w:spacing w:line="251" w:lineRule="auto"/>
        <w:rPr>
          <w:rFonts w:hint="eastAsia" w:ascii="宋体" w:hAnsi="宋体" w:eastAsia="宋体" w:cs="宋体"/>
          <w:color w:val="auto"/>
          <w:lang w:eastAsia="zh-CN"/>
        </w:rPr>
      </w:pPr>
    </w:p>
    <w:p w14:paraId="3C370BCD">
      <w:pPr>
        <w:pStyle w:val="8"/>
        <w:spacing w:line="251" w:lineRule="auto"/>
        <w:rPr>
          <w:rFonts w:hint="eastAsia" w:ascii="宋体" w:hAnsi="宋体" w:eastAsia="宋体" w:cs="宋体"/>
          <w:color w:val="auto"/>
          <w:lang w:eastAsia="zh-CN"/>
        </w:rPr>
      </w:pPr>
    </w:p>
    <w:p w14:paraId="0EF5A814">
      <w:pPr>
        <w:pStyle w:val="8"/>
        <w:spacing w:line="251" w:lineRule="auto"/>
        <w:rPr>
          <w:rFonts w:hint="eastAsia" w:ascii="宋体" w:hAnsi="宋体" w:eastAsia="宋体" w:cs="宋体"/>
          <w:color w:val="auto"/>
          <w:lang w:eastAsia="zh-CN"/>
        </w:rPr>
      </w:pPr>
    </w:p>
    <w:p w14:paraId="73EA2A3A">
      <w:pPr>
        <w:pStyle w:val="8"/>
        <w:spacing w:line="251" w:lineRule="auto"/>
        <w:rPr>
          <w:rFonts w:hint="eastAsia" w:ascii="宋体" w:hAnsi="宋体" w:eastAsia="宋体" w:cs="宋体"/>
          <w:color w:val="auto"/>
          <w:lang w:eastAsia="zh-CN"/>
        </w:rPr>
      </w:pPr>
    </w:p>
    <w:p w14:paraId="2AE4CB28">
      <w:pPr>
        <w:pStyle w:val="8"/>
        <w:spacing w:line="251" w:lineRule="auto"/>
        <w:rPr>
          <w:rFonts w:hint="eastAsia" w:ascii="宋体" w:hAnsi="宋体" w:eastAsia="宋体" w:cs="宋体"/>
          <w:color w:val="auto"/>
          <w:lang w:eastAsia="zh-CN"/>
        </w:rPr>
      </w:pPr>
    </w:p>
    <w:p w14:paraId="2698F3AF">
      <w:pPr>
        <w:pStyle w:val="8"/>
        <w:spacing w:line="253" w:lineRule="auto"/>
        <w:rPr>
          <w:rFonts w:hint="eastAsia" w:ascii="宋体" w:hAnsi="宋体" w:eastAsia="宋体" w:cs="宋体"/>
          <w:color w:val="auto"/>
          <w:lang w:eastAsia="zh-CN"/>
        </w:rPr>
      </w:pPr>
    </w:p>
    <w:p w14:paraId="57DD77FF">
      <w:pPr>
        <w:spacing w:before="91" w:line="222" w:lineRule="auto"/>
        <w:ind w:left="2776"/>
        <w:rPr>
          <w:rFonts w:hint="eastAsia" w:ascii="宋体" w:hAnsi="宋体" w:cs="宋体"/>
          <w:color w:val="auto"/>
          <w:sz w:val="28"/>
          <w:szCs w:val="28"/>
          <w:lang w:eastAsia="zh-CN"/>
        </w:rPr>
      </w:pPr>
      <w:r>
        <w:rPr>
          <w:rFonts w:hint="eastAsia" w:ascii="宋体" w:hAnsi="宋体" w:cs="宋体"/>
          <w:color w:val="auto"/>
          <w:spacing w:val="2"/>
          <w:sz w:val="28"/>
          <w:szCs w:val="28"/>
          <w:lang w:eastAsia="zh-CN"/>
        </w:rPr>
        <w:t>投标人</w:t>
      </w:r>
      <w:r>
        <w:rPr>
          <w:rFonts w:hint="eastAsia" w:ascii="宋体" w:hAnsi="宋体" w:cs="宋体"/>
          <w:color w:val="auto"/>
          <w:spacing w:val="-14"/>
          <w:sz w:val="28"/>
          <w:szCs w:val="28"/>
          <w:lang w:eastAsia="zh-CN"/>
        </w:rPr>
        <w:t>：（</w:t>
      </w:r>
      <w:r>
        <w:rPr>
          <w:rFonts w:hint="eastAsia" w:ascii="宋体" w:hAnsi="宋体" w:cs="宋体"/>
          <w:color w:val="auto"/>
          <w:spacing w:val="2"/>
          <w:sz w:val="28"/>
          <w:szCs w:val="28"/>
          <w:lang w:eastAsia="zh-CN"/>
        </w:rPr>
        <w:t>盖单位章）</w:t>
      </w:r>
    </w:p>
    <w:p w14:paraId="081A75F9">
      <w:pPr>
        <w:spacing w:before="287" w:line="222" w:lineRule="auto"/>
        <w:ind w:left="1800"/>
        <w:rPr>
          <w:rFonts w:hint="eastAsia" w:ascii="宋体" w:hAnsi="宋体" w:cs="宋体"/>
          <w:color w:val="auto"/>
          <w:sz w:val="28"/>
          <w:szCs w:val="28"/>
          <w:lang w:eastAsia="zh-CN"/>
        </w:rPr>
      </w:pPr>
      <w:r>
        <w:rPr>
          <w:rFonts w:hint="eastAsia" w:ascii="宋体" w:hAnsi="宋体" w:cs="宋体"/>
          <w:color w:val="auto"/>
          <w:spacing w:val="1"/>
          <w:sz w:val="28"/>
          <w:szCs w:val="28"/>
          <w:lang w:eastAsia="zh-CN"/>
        </w:rPr>
        <w:t>法定代表人或其委托代理人</w:t>
      </w:r>
      <w:r>
        <w:rPr>
          <w:rFonts w:hint="eastAsia" w:ascii="宋体" w:hAnsi="宋体" w:cs="宋体"/>
          <w:color w:val="auto"/>
          <w:spacing w:val="-15"/>
          <w:sz w:val="28"/>
          <w:szCs w:val="28"/>
          <w:lang w:eastAsia="zh-CN"/>
        </w:rPr>
        <w:t>：（</w:t>
      </w:r>
      <w:r>
        <w:rPr>
          <w:rFonts w:hint="eastAsia" w:ascii="宋体" w:hAnsi="宋体" w:cs="宋体"/>
          <w:color w:val="auto"/>
          <w:spacing w:val="1"/>
          <w:sz w:val="28"/>
          <w:szCs w:val="28"/>
          <w:lang w:eastAsia="zh-CN"/>
        </w:rPr>
        <w:t>签字）</w:t>
      </w:r>
    </w:p>
    <w:p w14:paraId="37D303B7">
      <w:pPr>
        <w:spacing w:before="287" w:line="224" w:lineRule="auto"/>
        <w:jc w:val="center"/>
        <w:rPr>
          <w:rFonts w:hint="eastAsia" w:ascii="宋体" w:hAnsi="宋体" w:cs="宋体"/>
          <w:color w:val="auto"/>
          <w:sz w:val="28"/>
          <w:szCs w:val="28"/>
          <w:lang w:eastAsia="zh-CN"/>
        </w:rPr>
      </w:pPr>
      <w:r>
        <w:rPr>
          <w:rFonts w:hint="eastAsia" w:ascii="宋体" w:hAnsi="宋体" w:cs="宋体"/>
          <w:color w:val="auto"/>
          <w:spacing w:val="-4"/>
          <w:sz w:val="28"/>
          <w:szCs w:val="28"/>
          <w:lang w:eastAsia="zh-CN"/>
        </w:rPr>
        <w:t>日期：  年  月  日</w:t>
      </w:r>
    </w:p>
    <w:p w14:paraId="72514782">
      <w:pPr>
        <w:spacing w:line="224" w:lineRule="auto"/>
        <w:rPr>
          <w:rFonts w:hint="eastAsia" w:ascii="宋体" w:hAnsi="宋体" w:cs="宋体"/>
          <w:color w:val="auto"/>
          <w:sz w:val="28"/>
          <w:szCs w:val="28"/>
          <w:lang w:eastAsia="zh-CN"/>
        </w:rPr>
        <w:sectPr>
          <w:pgSz w:w="11906" w:h="16839"/>
          <w:pgMar w:top="1431" w:right="1785" w:bottom="0" w:left="1785" w:header="0" w:footer="737" w:gutter="0"/>
          <w:pgBorders>
            <w:top w:val="none" w:sz="0" w:space="0"/>
            <w:left w:val="none" w:sz="0" w:space="0"/>
            <w:bottom w:val="none" w:sz="0" w:space="0"/>
            <w:right w:val="none" w:sz="0" w:space="0"/>
          </w:pgBorders>
          <w:pgNumType w:fmt="decimal"/>
          <w:cols w:space="720" w:num="1"/>
        </w:sectPr>
      </w:pPr>
    </w:p>
    <w:p w14:paraId="442DB1BC">
      <w:pPr>
        <w:pStyle w:val="8"/>
        <w:spacing w:line="292" w:lineRule="auto"/>
        <w:rPr>
          <w:rFonts w:hint="eastAsia" w:ascii="宋体" w:hAnsi="宋体" w:eastAsia="宋体" w:cs="宋体"/>
          <w:color w:val="auto"/>
          <w:lang w:eastAsia="zh-CN"/>
        </w:rPr>
      </w:pPr>
    </w:p>
    <w:p w14:paraId="5FF25901">
      <w:pPr>
        <w:tabs>
          <w:tab w:val="left" w:pos="1365"/>
        </w:tabs>
        <w:spacing w:line="360" w:lineRule="auto"/>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目  录</w:t>
      </w:r>
    </w:p>
    <w:p w14:paraId="1C00458C">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1、投标函</w:t>
      </w:r>
    </w:p>
    <w:p w14:paraId="7F606ED7">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2、法定代表人证明</w:t>
      </w:r>
    </w:p>
    <w:p w14:paraId="14EB09E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3、授权委托书</w:t>
      </w:r>
    </w:p>
    <w:p w14:paraId="7FE3F616">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4、开标一览表</w:t>
      </w:r>
    </w:p>
    <w:p w14:paraId="5AE34794">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5、投标报价明细表</w:t>
      </w:r>
    </w:p>
    <w:p w14:paraId="72B57063">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6、投标货物技术文件</w:t>
      </w:r>
    </w:p>
    <w:p w14:paraId="54C0E396">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7、投标人资格声明</w:t>
      </w:r>
    </w:p>
    <w:p w14:paraId="09524CE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8、投标人基本情况</w:t>
      </w:r>
    </w:p>
    <w:p w14:paraId="6A5CB04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9、公司财务状况依法缴纳税收和社会保障资金的相关证明材料</w:t>
      </w:r>
    </w:p>
    <w:p w14:paraId="22EBDFDB">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10、2022年至今完成类似项目一览表</w:t>
      </w:r>
    </w:p>
    <w:p w14:paraId="3870C40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11、招标文件要求的其他材料   </w:t>
      </w:r>
    </w:p>
    <w:p w14:paraId="16594117">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12、投标人认为需要提供的其他材料</w:t>
      </w:r>
    </w:p>
    <w:p w14:paraId="4CA75C16">
      <w:pPr>
        <w:tabs>
          <w:tab w:val="left" w:pos="1365"/>
        </w:tabs>
        <w:rPr>
          <w:rFonts w:hint="eastAsia" w:ascii="宋体" w:hAnsi="宋体" w:cs="宋体"/>
          <w:b/>
          <w:color w:val="auto"/>
          <w:sz w:val="32"/>
          <w:lang w:eastAsia="zh-CN"/>
        </w:rPr>
      </w:pPr>
    </w:p>
    <w:p w14:paraId="3E424C03">
      <w:pPr>
        <w:tabs>
          <w:tab w:val="left" w:pos="1365"/>
        </w:tabs>
        <w:rPr>
          <w:rFonts w:hint="eastAsia" w:ascii="宋体" w:hAnsi="宋体" w:cs="宋体"/>
          <w:b/>
          <w:color w:val="auto"/>
          <w:sz w:val="32"/>
          <w:lang w:eastAsia="zh-CN"/>
        </w:rPr>
      </w:pPr>
    </w:p>
    <w:p w14:paraId="5D0BFC50">
      <w:pPr>
        <w:tabs>
          <w:tab w:val="left" w:pos="1365"/>
        </w:tabs>
        <w:spacing w:line="360" w:lineRule="auto"/>
        <w:rPr>
          <w:rFonts w:hint="eastAsia" w:ascii="宋体" w:hAnsi="宋体" w:cs="宋体"/>
          <w:b/>
          <w:color w:val="auto"/>
          <w:sz w:val="28"/>
          <w:szCs w:val="28"/>
          <w:lang w:eastAsia="zh-CN"/>
        </w:rPr>
      </w:pPr>
    </w:p>
    <w:p w14:paraId="3D958544">
      <w:pPr>
        <w:tabs>
          <w:tab w:val="left" w:pos="1365"/>
        </w:tabs>
        <w:spacing w:line="360" w:lineRule="auto"/>
        <w:rPr>
          <w:rFonts w:hint="eastAsia" w:ascii="宋体" w:hAnsi="宋体" w:cs="宋体"/>
          <w:b/>
          <w:color w:val="auto"/>
          <w:sz w:val="28"/>
          <w:szCs w:val="28"/>
          <w:lang w:eastAsia="zh-CN"/>
        </w:rPr>
      </w:pPr>
    </w:p>
    <w:p w14:paraId="06740B26">
      <w:pPr>
        <w:tabs>
          <w:tab w:val="left" w:pos="1365"/>
        </w:tabs>
        <w:spacing w:line="360" w:lineRule="auto"/>
        <w:rPr>
          <w:rFonts w:hint="eastAsia" w:ascii="宋体" w:hAnsi="宋体" w:cs="宋体"/>
          <w:b/>
          <w:color w:val="auto"/>
          <w:sz w:val="28"/>
          <w:szCs w:val="28"/>
          <w:lang w:eastAsia="zh-CN"/>
        </w:rPr>
      </w:pPr>
    </w:p>
    <w:p w14:paraId="7DAAF194">
      <w:pPr>
        <w:tabs>
          <w:tab w:val="left" w:pos="1365"/>
        </w:tabs>
        <w:spacing w:line="360" w:lineRule="auto"/>
        <w:rPr>
          <w:rFonts w:hint="eastAsia" w:ascii="宋体" w:hAnsi="宋体" w:cs="宋体"/>
          <w:b/>
          <w:color w:val="auto"/>
          <w:sz w:val="28"/>
          <w:szCs w:val="28"/>
          <w:lang w:eastAsia="zh-CN"/>
        </w:rPr>
      </w:pPr>
    </w:p>
    <w:p w14:paraId="1909DC3D">
      <w:pPr>
        <w:tabs>
          <w:tab w:val="left" w:pos="1365"/>
        </w:tabs>
        <w:spacing w:line="360" w:lineRule="auto"/>
        <w:rPr>
          <w:rFonts w:hint="eastAsia" w:ascii="宋体" w:hAnsi="宋体" w:cs="宋体"/>
          <w:b/>
          <w:color w:val="auto"/>
          <w:sz w:val="28"/>
          <w:szCs w:val="28"/>
          <w:lang w:eastAsia="zh-CN"/>
        </w:rPr>
      </w:pPr>
    </w:p>
    <w:p w14:paraId="6E529FDA">
      <w:pPr>
        <w:tabs>
          <w:tab w:val="left" w:pos="1365"/>
        </w:tabs>
        <w:spacing w:line="360" w:lineRule="auto"/>
        <w:jc w:val="center"/>
        <w:rPr>
          <w:rFonts w:hint="eastAsia"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32"/>
          <w:szCs w:val="32"/>
          <w:lang w:eastAsia="zh-CN"/>
        </w:rPr>
        <w:t xml:space="preserve">1、投 标 函 </w:t>
      </w:r>
    </w:p>
    <w:p w14:paraId="0958FE7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致：{</w:t>
      </w:r>
      <w:r>
        <w:rPr>
          <w:rFonts w:hint="eastAsia" w:ascii="宋体" w:hAnsi="宋体" w:cs="宋体"/>
          <w:color w:val="auto"/>
          <w:sz w:val="24"/>
          <w:szCs w:val="24"/>
          <w:lang w:val="zh-CN" w:eastAsia="zh-CN"/>
        </w:rPr>
        <w:t>采购人</w:t>
      </w:r>
      <w:r>
        <w:rPr>
          <w:rFonts w:hint="eastAsia" w:ascii="宋体" w:hAnsi="宋体" w:cs="宋体"/>
          <w:color w:val="auto"/>
          <w:sz w:val="24"/>
          <w:szCs w:val="24"/>
          <w:lang w:eastAsia="zh-CN"/>
        </w:rPr>
        <w:t>名称}</w:t>
      </w:r>
    </w:p>
    <w:p w14:paraId="748C097D">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根据贵方</w:t>
      </w: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eastAsia="zh-CN"/>
        </w:rPr>
        <w:t>项目名称</w:t>
      </w:r>
      <w:r>
        <w:rPr>
          <w:rFonts w:hint="eastAsia" w:ascii="宋体" w:hAnsi="宋体" w:cs="宋体"/>
          <w:color w:val="auto"/>
          <w:sz w:val="24"/>
          <w:szCs w:val="24"/>
          <w:u w:val="single"/>
          <w:lang w:val="zh-CN" w:eastAsia="zh-CN"/>
        </w:rPr>
        <w:t>（标书编号：</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zh-CN" w:eastAsia="zh-CN"/>
        </w:rPr>
        <w:t>）”</w:t>
      </w:r>
      <w:r>
        <w:rPr>
          <w:rFonts w:hint="eastAsia" w:ascii="宋体" w:hAnsi="宋体" w:cs="宋体"/>
          <w:color w:val="auto"/>
          <w:sz w:val="24"/>
          <w:szCs w:val="24"/>
          <w:lang w:eastAsia="zh-CN"/>
        </w:rPr>
        <w:t>的招标邀请正式授权下述签字人</w:t>
      </w:r>
      <w:r>
        <w:rPr>
          <w:rFonts w:hint="eastAsia" w:ascii="宋体" w:hAnsi="宋体" w:cs="宋体"/>
          <w:color w:val="auto"/>
          <w:sz w:val="24"/>
          <w:szCs w:val="24"/>
          <w:u w:val="single"/>
          <w:lang w:eastAsia="zh-CN"/>
        </w:rPr>
        <w:t xml:space="preserve">     （姓名和职务）   </w:t>
      </w:r>
      <w:r>
        <w:rPr>
          <w:rFonts w:hint="eastAsia" w:ascii="宋体" w:hAnsi="宋体" w:cs="宋体"/>
          <w:color w:val="auto"/>
          <w:sz w:val="24"/>
          <w:szCs w:val="24"/>
          <w:lang w:eastAsia="zh-CN"/>
        </w:rPr>
        <w:t>代表投标方</w:t>
      </w:r>
      <w:r>
        <w:rPr>
          <w:rFonts w:hint="eastAsia" w:ascii="宋体" w:hAnsi="宋体" w:cs="宋体"/>
          <w:color w:val="auto"/>
          <w:sz w:val="24"/>
          <w:szCs w:val="24"/>
          <w:u w:val="single"/>
          <w:lang w:eastAsia="zh-CN"/>
        </w:rPr>
        <w:t xml:space="preserve">     （投标单位名称）     </w:t>
      </w:r>
      <w:r>
        <w:rPr>
          <w:rFonts w:hint="eastAsia" w:ascii="宋体" w:hAnsi="宋体" w:cs="宋体"/>
          <w:color w:val="auto"/>
          <w:sz w:val="24"/>
          <w:szCs w:val="24"/>
          <w:lang w:eastAsia="zh-CN"/>
        </w:rPr>
        <w:t>,提交本项目投标文件。</w:t>
      </w:r>
    </w:p>
    <w:p w14:paraId="11527EAB">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据此函，签字人同意如下：</w:t>
      </w:r>
    </w:p>
    <w:p w14:paraId="675BFA74">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我们已详细审核全部招标文件，并严格按照招标文件要求编制投标书和履行一切必要手续。</w:t>
      </w:r>
    </w:p>
    <w:p w14:paraId="541440FB">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(1)我们如中标后，严格履行招标规定的责任和义务，保证按时签订合同，并于合同签字生效后立即开始依合同要求履行相关义务。</w:t>
      </w:r>
    </w:p>
    <w:p w14:paraId="07B375F6">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(2)如果中标签约后，我们有违反合同的行为，同意依照招标文件中关于罚则的规定进行处理。</w:t>
      </w:r>
    </w:p>
    <w:p w14:paraId="22278DEB">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(3)同意向贵方提供贵方可能另外要求的与投标有关的任何证据或资料。</w:t>
      </w:r>
    </w:p>
    <w:p w14:paraId="3F1AA321">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(4)投标文件所提供的材料全部真实；</w:t>
      </w:r>
    </w:p>
    <w:p w14:paraId="7AB58336">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(5)不以不正当手段诋毁、排挤其他投标人；</w:t>
      </w:r>
    </w:p>
    <w:p w14:paraId="0A5F2CAC">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(6)不与采购人、其他投标人、招标代理机构串通谋取中标；</w:t>
      </w:r>
    </w:p>
    <w:p w14:paraId="315C7056">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(7)不向采购人、评委、招标代理机构行贿或提供不正当利益，中标后也不向采购人行贿；</w:t>
      </w:r>
    </w:p>
    <w:p w14:paraId="384ECB5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(8)自觉遵守我市政府采购招投标有关工作纪律，不以任何方式干涉招标工作正常进行；</w:t>
      </w:r>
    </w:p>
    <w:p w14:paraId="2606466F">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(9)愿意向贵方提供任何与该项投标有关的数据、情况和技术资料。</w:t>
      </w:r>
    </w:p>
    <w:p w14:paraId="5E33A111">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(10)投标报价总价为：人民币大写：</w:t>
      </w:r>
      <w:r>
        <w:rPr>
          <w:rFonts w:hint="eastAsia" w:ascii="宋体" w:hAnsi="宋体" w:cs="宋体"/>
          <w:color w:val="auto"/>
          <w:sz w:val="24"/>
          <w:szCs w:val="24"/>
          <w:u w:val="single"/>
          <w:lang w:eastAsia="zh-CN"/>
        </w:rPr>
        <w:t xml:space="preserve">           （¥：     ）</w:t>
      </w:r>
      <w:r>
        <w:rPr>
          <w:rFonts w:hint="eastAsia" w:ascii="宋体" w:hAnsi="宋体" w:cs="宋体"/>
          <w:color w:val="auto"/>
          <w:sz w:val="24"/>
          <w:szCs w:val="24"/>
          <w:lang w:eastAsia="zh-CN"/>
        </w:rPr>
        <w:t>。</w:t>
      </w:r>
    </w:p>
    <w:p w14:paraId="51731B83">
      <w:pPr>
        <w:tabs>
          <w:tab w:val="left" w:pos="0"/>
        </w:tabs>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(11)我方承诺供供货期为</w:t>
      </w:r>
      <w:r>
        <w:rPr>
          <w:rFonts w:hint="eastAsia" w:ascii="宋体" w:hAnsi="宋体" w:cs="宋体"/>
          <w:color w:val="auto"/>
          <w:sz w:val="24"/>
          <w:szCs w:val="24"/>
          <w:u w:val="single"/>
          <w:lang w:eastAsia="zh-CN"/>
        </w:rPr>
        <w:t xml:space="preserve">                </w:t>
      </w:r>
      <w:r>
        <w:rPr>
          <w:rFonts w:hint="eastAsia" w:ascii="宋体" w:hAnsi="宋体" w:cs="宋体"/>
          <w:color w:val="auto"/>
          <w:sz w:val="24"/>
          <w:lang w:eastAsia="zh-CN"/>
        </w:rPr>
        <w:t>。</w:t>
      </w:r>
    </w:p>
    <w:p w14:paraId="5A793D9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(12) 本投标自开标之日起</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天内有效。</w:t>
      </w:r>
    </w:p>
    <w:p w14:paraId="19B1720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与本投标有关的正式通讯地址为：</w:t>
      </w:r>
    </w:p>
    <w:p w14:paraId="4AC20DAD">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7C374187">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w:t>
      </w:r>
      <w:r>
        <w:rPr>
          <w:rFonts w:hint="eastAsia" w:ascii="宋体" w:hAnsi="宋体" w:cs="宋体"/>
          <w:bCs/>
          <w:color w:val="auto"/>
          <w:sz w:val="24"/>
          <w:szCs w:val="24"/>
          <w:u w:val="single"/>
          <w:lang w:val="zh-CN"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w:t>
      </w:r>
    </w:p>
    <w:p w14:paraId="47FDD745">
      <w:pPr>
        <w:wordWrap w:val="0"/>
        <w:spacing w:line="360" w:lineRule="auto"/>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地址：</w:t>
      </w:r>
      <w:r>
        <w:rPr>
          <w:rFonts w:hint="eastAsia" w:ascii="宋体" w:hAnsi="宋体" w:cs="宋体"/>
          <w:bCs/>
          <w:color w:val="auto"/>
          <w:sz w:val="24"/>
          <w:szCs w:val="24"/>
          <w:u w:val="single"/>
          <w:lang w:val="zh-CN"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val="zh-CN" w:eastAsia="zh-CN"/>
        </w:rPr>
        <w:t xml:space="preserve">                   </w:t>
      </w:r>
    </w:p>
    <w:p w14:paraId="5F495ECB">
      <w:pPr>
        <w:wordWrap w:val="0"/>
        <w:spacing w:line="360" w:lineRule="auto"/>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邮政编码：</w:t>
      </w:r>
      <w:r>
        <w:rPr>
          <w:rFonts w:hint="eastAsia" w:ascii="宋体" w:hAnsi="宋体" w:cs="宋体"/>
          <w:bCs/>
          <w:color w:val="auto"/>
          <w:sz w:val="24"/>
          <w:szCs w:val="24"/>
          <w:lang w:eastAsia="zh-CN"/>
        </w:rPr>
        <w:t xml:space="preserve">  </w:t>
      </w:r>
      <w:r>
        <w:rPr>
          <w:rFonts w:hint="eastAsia" w:ascii="宋体" w:hAnsi="宋体" w:cs="宋体"/>
          <w:bCs/>
          <w:color w:val="auto"/>
          <w:sz w:val="24"/>
          <w:szCs w:val="24"/>
          <w:u w:val="single"/>
          <w:lang w:val="zh-CN" w:eastAsia="zh-CN"/>
        </w:rPr>
        <w:t xml:space="preserve">                                  </w:t>
      </w:r>
    </w:p>
    <w:p w14:paraId="7A73F042">
      <w:pPr>
        <w:wordWrap w:val="0"/>
        <w:spacing w:line="360" w:lineRule="auto"/>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 xml:space="preserve"> </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年</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月</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日</w:t>
      </w:r>
    </w:p>
    <w:p w14:paraId="6B185B71">
      <w:pPr>
        <w:tabs>
          <w:tab w:val="left" w:pos="1365"/>
        </w:tabs>
        <w:spacing w:line="360" w:lineRule="auto"/>
        <w:jc w:val="center"/>
        <w:rPr>
          <w:rFonts w:hint="eastAsia" w:ascii="宋体" w:hAnsi="宋体" w:cs="宋体"/>
          <w:b/>
          <w:color w:val="auto"/>
          <w:sz w:val="30"/>
          <w:szCs w:val="30"/>
          <w:lang w:eastAsia="zh-CN"/>
        </w:rPr>
      </w:pPr>
    </w:p>
    <w:p w14:paraId="49B9B2C9">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2、法定代表人证明</w:t>
      </w:r>
    </w:p>
    <w:p w14:paraId="0C5DE5B6">
      <w:pPr>
        <w:spacing w:line="360" w:lineRule="auto"/>
        <w:rPr>
          <w:rFonts w:hint="eastAsia" w:ascii="宋体" w:hAnsi="宋体" w:cs="宋体"/>
          <w:b/>
          <w:bCs/>
          <w:color w:val="auto"/>
          <w:sz w:val="24"/>
          <w:szCs w:val="24"/>
          <w:u w:val="single"/>
          <w:lang w:eastAsia="zh-CN"/>
        </w:rPr>
      </w:pPr>
    </w:p>
    <w:p w14:paraId="14B4031D">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同志，现任我单位</w:t>
      </w:r>
      <w:r>
        <w:rPr>
          <w:rFonts w:hint="eastAsia" w:ascii="宋体" w:hAnsi="宋体" w:cs="宋体"/>
          <w:color w:val="auto"/>
          <w:sz w:val="24"/>
          <w:szCs w:val="24"/>
          <w:u w:val="single"/>
          <w:lang w:eastAsia="zh-CN"/>
        </w:rPr>
        <w:t xml:space="preserve">         （职务）</w:t>
      </w:r>
      <w:r>
        <w:rPr>
          <w:rFonts w:hint="eastAsia" w:ascii="宋体" w:hAnsi="宋体" w:cs="宋体"/>
          <w:color w:val="auto"/>
          <w:sz w:val="24"/>
          <w:szCs w:val="24"/>
          <w:lang w:eastAsia="zh-CN"/>
        </w:rPr>
        <w:t>，为法定代表人，特此证明。</w:t>
      </w:r>
    </w:p>
    <w:p w14:paraId="17636EFB">
      <w:pPr>
        <w:spacing w:line="360" w:lineRule="auto"/>
        <w:rPr>
          <w:rFonts w:hint="eastAsia" w:ascii="宋体" w:hAnsi="宋体" w:cs="宋体"/>
          <w:color w:val="auto"/>
          <w:sz w:val="24"/>
          <w:szCs w:val="24"/>
          <w:lang w:eastAsia="zh-CN"/>
        </w:rPr>
      </w:pPr>
    </w:p>
    <w:p w14:paraId="29C4C0A8">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签发日期：</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有效期限：</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单位：</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（盖章）</w:t>
      </w:r>
    </w:p>
    <w:p w14:paraId="424D877A">
      <w:pPr>
        <w:spacing w:line="360" w:lineRule="auto"/>
        <w:rPr>
          <w:rFonts w:hint="eastAsia" w:ascii="宋体" w:hAnsi="宋体" w:cs="宋体"/>
          <w:color w:val="auto"/>
          <w:sz w:val="24"/>
          <w:szCs w:val="24"/>
          <w:lang w:eastAsia="zh-CN"/>
        </w:rPr>
      </w:pPr>
    </w:p>
    <w:p w14:paraId="56975D38">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附：</w:t>
      </w:r>
    </w:p>
    <w:p w14:paraId="57B943AB">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代表人性别：</w:t>
      </w:r>
    </w:p>
    <w:p w14:paraId="52450C40">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年龄：</w:t>
      </w:r>
    </w:p>
    <w:p w14:paraId="647D9ABD">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身份证号码：</w:t>
      </w:r>
    </w:p>
    <w:p w14:paraId="3A1985EB">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营业执照（注册号）：</w:t>
      </w:r>
    </w:p>
    <w:p w14:paraId="1F199E98">
      <w:pPr>
        <w:spacing w:line="360" w:lineRule="auto"/>
        <w:rPr>
          <w:rFonts w:hint="eastAsia" w:ascii="宋体" w:hAnsi="宋体" w:cs="宋体"/>
          <w:color w:val="auto"/>
          <w:sz w:val="24"/>
          <w:szCs w:val="24"/>
        </w:rPr>
      </w:pPr>
      <w:r>
        <w:rPr>
          <w:rFonts w:hint="eastAsia" w:ascii="宋体" w:hAnsi="宋体" w:cs="宋体"/>
          <w:color w:val="auto"/>
          <w:sz w:val="24"/>
          <w:szCs w:val="24"/>
        </w:rPr>
        <w:t>经济性质：</w:t>
      </w:r>
    </w:p>
    <w:p w14:paraId="7AD7C284">
      <w:pPr>
        <w:spacing w:line="360" w:lineRule="auto"/>
        <w:rPr>
          <w:rFonts w:hint="eastAsia" w:ascii="宋体" w:hAnsi="宋体" w:cs="宋体"/>
          <w:color w:val="auto"/>
          <w:sz w:val="24"/>
          <w:szCs w:val="24"/>
        </w:rPr>
      </w:pPr>
      <w:r>
        <w:rPr>
          <w:rFonts w:hint="eastAsia" w:ascii="宋体" w:hAnsi="宋体" w:cs="宋体"/>
          <w:color w:val="auto"/>
          <w:sz w:val="24"/>
          <w:szCs w:val="24"/>
        </w:rPr>
        <w:t>主营：</w:t>
      </w:r>
    </w:p>
    <w:p w14:paraId="52EA8CFC">
      <w:pPr>
        <w:spacing w:line="360" w:lineRule="auto"/>
        <w:rPr>
          <w:rFonts w:hint="eastAsia" w:ascii="宋体" w:hAnsi="宋体" w:cs="宋体"/>
          <w:color w:val="auto"/>
          <w:sz w:val="24"/>
          <w:szCs w:val="24"/>
        </w:rPr>
      </w:pPr>
    </w:p>
    <w:tbl>
      <w:tblPr>
        <w:tblStyle w:val="23"/>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20F9BD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78006CBB">
            <w:pPr>
              <w:spacing w:line="360" w:lineRule="auto"/>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法定代表人</w:t>
            </w:r>
          </w:p>
          <w:p w14:paraId="3FFC745B">
            <w:pPr>
              <w:spacing w:line="360" w:lineRule="auto"/>
              <w:jc w:val="center"/>
              <w:rPr>
                <w:rFonts w:hint="eastAsia" w:ascii="宋体" w:hAnsi="宋体" w:cs="宋体"/>
                <w:color w:val="auto"/>
                <w:sz w:val="24"/>
                <w:szCs w:val="24"/>
                <w:lang w:eastAsia="zh-CN"/>
              </w:rPr>
            </w:pPr>
            <w:r>
              <w:rPr>
                <w:rFonts w:hint="eastAsia" w:ascii="宋体" w:hAnsi="宋体" w:cs="宋体"/>
                <w:b/>
                <w:color w:val="auto"/>
                <w:sz w:val="24"/>
                <w:szCs w:val="24"/>
                <w:lang w:eastAsia="zh-CN"/>
              </w:rPr>
              <w:t>居民身份证复印件（正、反面）</w:t>
            </w:r>
          </w:p>
        </w:tc>
      </w:tr>
    </w:tbl>
    <w:p w14:paraId="488E2727">
      <w:pPr>
        <w:tabs>
          <w:tab w:val="left" w:pos="1365"/>
        </w:tabs>
        <w:spacing w:line="360" w:lineRule="auto"/>
        <w:ind w:left="-2" w:leftChars="-1" w:firstLine="2"/>
        <w:rPr>
          <w:rFonts w:hint="eastAsia" w:ascii="宋体" w:hAnsi="宋体" w:cs="宋体"/>
          <w:b/>
          <w:color w:val="auto"/>
          <w:sz w:val="24"/>
          <w:szCs w:val="24"/>
          <w:lang w:eastAsia="zh-CN"/>
        </w:rPr>
      </w:pPr>
    </w:p>
    <w:p w14:paraId="484CEF37">
      <w:pPr>
        <w:tabs>
          <w:tab w:val="left" w:pos="1365"/>
        </w:tabs>
        <w:spacing w:line="360" w:lineRule="auto"/>
        <w:ind w:left="-2" w:leftChars="-1" w:firstLine="2"/>
        <w:rPr>
          <w:rFonts w:hint="eastAsia" w:ascii="宋体" w:hAnsi="宋体" w:cs="宋体"/>
          <w:b/>
          <w:color w:val="auto"/>
          <w:sz w:val="24"/>
          <w:szCs w:val="24"/>
          <w:lang w:eastAsia="zh-CN"/>
        </w:rPr>
      </w:pPr>
    </w:p>
    <w:p w14:paraId="69B1F09B">
      <w:pPr>
        <w:tabs>
          <w:tab w:val="left" w:pos="1365"/>
        </w:tabs>
        <w:spacing w:line="360" w:lineRule="auto"/>
        <w:ind w:left="-2" w:leftChars="-1" w:firstLine="2"/>
        <w:rPr>
          <w:rFonts w:hint="eastAsia" w:ascii="宋体" w:hAnsi="宋体" w:cs="宋体"/>
          <w:b/>
          <w:color w:val="auto"/>
          <w:sz w:val="24"/>
          <w:szCs w:val="24"/>
          <w:lang w:eastAsia="zh-CN"/>
        </w:rPr>
      </w:pPr>
    </w:p>
    <w:p w14:paraId="0F0EFCAF">
      <w:pPr>
        <w:tabs>
          <w:tab w:val="left" w:pos="1365"/>
        </w:tabs>
        <w:spacing w:line="360" w:lineRule="auto"/>
        <w:rPr>
          <w:rFonts w:hint="eastAsia" w:ascii="宋体" w:hAnsi="宋体" w:cs="宋体"/>
          <w:b/>
          <w:color w:val="auto"/>
          <w:sz w:val="24"/>
          <w:szCs w:val="24"/>
          <w:lang w:eastAsia="zh-CN"/>
        </w:rPr>
      </w:pPr>
    </w:p>
    <w:p w14:paraId="1AA70BEB">
      <w:pPr>
        <w:tabs>
          <w:tab w:val="left" w:pos="1365"/>
        </w:tabs>
        <w:spacing w:line="360" w:lineRule="auto"/>
        <w:ind w:left="-2" w:leftChars="-1" w:firstLine="2"/>
        <w:rPr>
          <w:rFonts w:hint="eastAsia" w:ascii="宋体" w:hAnsi="宋体" w:cs="宋体"/>
          <w:b/>
          <w:color w:val="auto"/>
          <w:sz w:val="24"/>
          <w:szCs w:val="24"/>
          <w:lang w:eastAsia="zh-CN"/>
        </w:rPr>
      </w:pPr>
    </w:p>
    <w:p w14:paraId="16D14861">
      <w:pPr>
        <w:tabs>
          <w:tab w:val="left" w:pos="1365"/>
        </w:tabs>
        <w:spacing w:line="360" w:lineRule="auto"/>
        <w:ind w:left="-2" w:leftChars="-1" w:firstLine="2"/>
        <w:rPr>
          <w:rFonts w:hint="eastAsia" w:ascii="宋体" w:hAnsi="宋体" w:cs="宋体"/>
          <w:b/>
          <w:color w:val="auto"/>
          <w:sz w:val="24"/>
          <w:szCs w:val="24"/>
          <w:lang w:eastAsia="zh-CN"/>
        </w:rPr>
      </w:pPr>
    </w:p>
    <w:p w14:paraId="4E110A89">
      <w:pPr>
        <w:tabs>
          <w:tab w:val="left" w:pos="1365"/>
        </w:tabs>
        <w:spacing w:line="360" w:lineRule="auto"/>
        <w:ind w:left="-2" w:leftChars="-1" w:firstLine="2"/>
        <w:rPr>
          <w:rFonts w:hint="eastAsia" w:ascii="宋体" w:hAnsi="宋体" w:cs="宋体"/>
          <w:b/>
          <w:color w:val="auto"/>
          <w:sz w:val="24"/>
          <w:szCs w:val="24"/>
          <w:lang w:eastAsia="zh-CN"/>
        </w:rPr>
      </w:pPr>
    </w:p>
    <w:p w14:paraId="04999803">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24"/>
          <w:szCs w:val="24"/>
          <w:lang w:eastAsia="zh-CN"/>
        </w:rPr>
        <w:br w:type="page"/>
      </w:r>
      <w:r>
        <w:rPr>
          <w:rFonts w:hint="eastAsia" w:ascii="宋体" w:hAnsi="宋体" w:cs="宋体"/>
          <w:b/>
          <w:color w:val="auto"/>
          <w:sz w:val="30"/>
          <w:szCs w:val="30"/>
          <w:lang w:eastAsia="zh-CN"/>
        </w:rPr>
        <w:t>3、授权委托书</w:t>
      </w:r>
    </w:p>
    <w:p w14:paraId="179E69E7">
      <w:pPr>
        <w:spacing w:line="360" w:lineRule="auto"/>
        <w:ind w:firstLine="480" w:firstLineChars="200"/>
        <w:rPr>
          <w:rFonts w:hint="eastAsia" w:ascii="宋体" w:hAnsi="宋体" w:cs="宋体"/>
          <w:color w:val="auto"/>
          <w:sz w:val="24"/>
          <w:szCs w:val="24"/>
          <w:lang w:eastAsia="zh-CN"/>
        </w:rPr>
      </w:pPr>
    </w:p>
    <w:p w14:paraId="5BC3D1CF">
      <w:pPr>
        <w:spacing w:line="360" w:lineRule="auto"/>
        <w:ind w:firstLine="480" w:firstLineChars="200"/>
        <w:rPr>
          <w:rFonts w:hint="eastAsia" w:ascii="宋体" w:hAnsi="宋体" w:cs="宋体"/>
          <w:color w:val="auto"/>
          <w:sz w:val="24"/>
          <w:szCs w:val="24"/>
          <w:u w:val="single"/>
          <w:lang w:eastAsia="zh-CN"/>
        </w:rPr>
      </w:pPr>
      <w:r>
        <w:rPr>
          <w:rFonts w:hint="eastAsia" w:ascii="宋体" w:hAnsi="宋体" w:cs="宋体"/>
          <w:color w:val="auto"/>
          <w:sz w:val="24"/>
          <w:szCs w:val="24"/>
          <w:lang w:eastAsia="zh-CN"/>
        </w:rPr>
        <w:t>本授权书声明：</w:t>
      </w:r>
      <w:r>
        <w:rPr>
          <w:rFonts w:hint="eastAsia" w:ascii="宋体" w:hAnsi="宋体" w:cs="宋体"/>
          <w:color w:val="auto"/>
          <w:sz w:val="24"/>
          <w:szCs w:val="24"/>
          <w:u w:val="single"/>
          <w:lang w:eastAsia="zh-CN"/>
        </w:rPr>
        <w:t xml:space="preserve">         （公司）</w:t>
      </w:r>
      <w:r>
        <w:rPr>
          <w:rFonts w:hint="eastAsia" w:ascii="宋体" w:hAnsi="宋体" w:cs="宋体"/>
          <w:color w:val="auto"/>
          <w:sz w:val="24"/>
          <w:szCs w:val="24"/>
          <w:lang w:eastAsia="zh-CN"/>
        </w:rPr>
        <w:t>的</w:t>
      </w:r>
      <w:r>
        <w:rPr>
          <w:rFonts w:hint="eastAsia" w:ascii="宋体" w:hAnsi="宋体" w:cs="宋体"/>
          <w:color w:val="auto"/>
          <w:sz w:val="24"/>
          <w:szCs w:val="24"/>
          <w:u w:val="single"/>
          <w:lang w:eastAsia="zh-CN"/>
        </w:rPr>
        <w:t>（法人代表姓名、职务）</w:t>
      </w:r>
      <w:r>
        <w:rPr>
          <w:rFonts w:hint="eastAsia" w:ascii="宋体" w:hAnsi="宋体" w:cs="宋体"/>
          <w:color w:val="auto"/>
          <w:sz w:val="24"/>
          <w:szCs w:val="24"/>
          <w:lang w:eastAsia="zh-CN"/>
        </w:rPr>
        <w:t>代表本公司授权</w:t>
      </w:r>
      <w:r>
        <w:rPr>
          <w:rFonts w:hint="eastAsia" w:ascii="宋体" w:hAnsi="宋体" w:cs="宋体"/>
          <w:color w:val="auto"/>
          <w:sz w:val="24"/>
          <w:szCs w:val="24"/>
          <w:u w:val="single"/>
          <w:lang w:eastAsia="zh-CN"/>
        </w:rPr>
        <w:t>（被授权人姓名、职务）</w:t>
      </w:r>
      <w:r>
        <w:rPr>
          <w:rFonts w:hint="eastAsia" w:ascii="宋体" w:hAnsi="宋体" w:cs="宋体"/>
          <w:color w:val="auto"/>
          <w:sz w:val="24"/>
          <w:szCs w:val="24"/>
          <w:lang w:eastAsia="zh-CN"/>
        </w:rPr>
        <w:t>为本公司的合法代理人就参加项目编号为：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 xml:space="preserve">的 </w:t>
      </w:r>
      <w:r>
        <w:rPr>
          <w:rFonts w:hint="eastAsia" w:ascii="宋体" w:hAnsi="宋体" w:cs="宋体"/>
          <w:color w:val="auto"/>
          <w:sz w:val="24"/>
          <w:szCs w:val="24"/>
          <w:u w:val="single"/>
          <w:lang w:eastAsia="zh-CN"/>
        </w:rPr>
        <w:t xml:space="preserve">     （项目名称） </w:t>
      </w:r>
      <w:r>
        <w:rPr>
          <w:rFonts w:hint="eastAsia" w:ascii="宋体" w:hAnsi="宋体" w:cs="宋体"/>
          <w:color w:val="auto"/>
          <w:sz w:val="24"/>
          <w:szCs w:val="24"/>
          <w:lang w:eastAsia="zh-CN"/>
        </w:rPr>
        <w:t>的投标、签订合同，以及合同的执行等，以本公司的名义处理一切与之有关的事务。特此声明。</w:t>
      </w:r>
    </w:p>
    <w:p w14:paraId="38B1F9C0">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单位名称（加盖公章）：</w:t>
      </w:r>
    </w:p>
    <w:p w14:paraId="11629283">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地址：</w:t>
      </w:r>
    </w:p>
    <w:p w14:paraId="767EFB4E">
      <w:pPr>
        <w:pStyle w:val="8"/>
        <w:spacing w:line="360" w:lineRule="auto"/>
        <w:rPr>
          <w:rFonts w:hint="eastAsia" w:ascii="宋体" w:hAnsi="宋体" w:eastAsia="宋体" w:cs="宋体"/>
          <w:color w:val="auto"/>
          <w:sz w:val="24"/>
          <w:szCs w:val="24"/>
          <w:lang w:eastAsia="zh-CN"/>
        </w:rPr>
      </w:pPr>
    </w:p>
    <w:p w14:paraId="7BCA8573">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法定代表人签字：</w:t>
      </w:r>
    </w:p>
    <w:p w14:paraId="1B078A1A">
      <w:pPr>
        <w:spacing w:line="360" w:lineRule="auto"/>
        <w:rPr>
          <w:rFonts w:hint="eastAsia" w:ascii="宋体" w:hAnsi="宋体" w:cs="宋体"/>
          <w:color w:val="auto"/>
          <w:sz w:val="24"/>
          <w:szCs w:val="24"/>
          <w:lang w:eastAsia="zh-CN"/>
        </w:rPr>
      </w:pPr>
    </w:p>
    <w:p w14:paraId="58536BEF">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投标代表人（被授权人）签字：</w:t>
      </w:r>
    </w:p>
    <w:p w14:paraId="72CDC559">
      <w:pPr>
        <w:spacing w:line="360" w:lineRule="auto"/>
        <w:rPr>
          <w:rFonts w:hint="eastAsia" w:ascii="宋体" w:hAnsi="宋体" w:cs="宋体"/>
          <w:color w:val="auto"/>
          <w:sz w:val="24"/>
          <w:szCs w:val="24"/>
          <w:lang w:eastAsia="zh-CN"/>
        </w:rPr>
      </w:pPr>
    </w:p>
    <w:tbl>
      <w:tblPr>
        <w:tblStyle w:val="23"/>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6249615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5E9C8382">
            <w:pPr>
              <w:pStyle w:val="38"/>
              <w:ind w:left="105"/>
              <w:jc w:val="center"/>
              <w:rPr>
                <w:rFonts w:hint="eastAsia" w:cs="宋体"/>
                <w:b/>
                <w:color w:val="auto"/>
                <w:szCs w:val="24"/>
                <w:lang w:eastAsia="zh-CN"/>
              </w:rPr>
            </w:pPr>
            <w:r>
              <w:rPr>
                <w:rFonts w:hint="eastAsia" w:cs="宋体"/>
                <w:b/>
                <w:color w:val="auto"/>
                <w:szCs w:val="24"/>
                <w:lang w:eastAsia="zh-CN"/>
              </w:rPr>
              <w:t>被授权人（授权代表）</w:t>
            </w:r>
          </w:p>
          <w:p w14:paraId="171757D0">
            <w:pPr>
              <w:pStyle w:val="38"/>
              <w:ind w:left="105"/>
              <w:jc w:val="center"/>
              <w:rPr>
                <w:rFonts w:hint="eastAsia" w:cs="宋体"/>
                <w:color w:val="auto"/>
                <w:szCs w:val="24"/>
                <w:lang w:eastAsia="zh-CN"/>
              </w:rPr>
            </w:pPr>
            <w:r>
              <w:rPr>
                <w:rFonts w:hint="eastAsia" w:cs="宋体"/>
                <w:b/>
                <w:color w:val="auto"/>
                <w:szCs w:val="24"/>
                <w:lang w:eastAsia="zh-CN"/>
              </w:rPr>
              <w:t>居民身份证复印件（正、反面）</w:t>
            </w:r>
          </w:p>
        </w:tc>
      </w:tr>
    </w:tbl>
    <w:p w14:paraId="09C0E3FC">
      <w:pPr>
        <w:spacing w:line="360" w:lineRule="auto"/>
        <w:rPr>
          <w:rFonts w:hint="eastAsia" w:ascii="宋体" w:hAnsi="宋体" w:cs="宋体"/>
          <w:color w:val="auto"/>
          <w:sz w:val="24"/>
          <w:szCs w:val="24"/>
          <w:lang w:eastAsia="zh-CN"/>
        </w:rPr>
      </w:pPr>
    </w:p>
    <w:p w14:paraId="1D69A86E">
      <w:pPr>
        <w:tabs>
          <w:tab w:val="left" w:pos="1365"/>
        </w:tabs>
        <w:spacing w:line="360" w:lineRule="auto"/>
        <w:ind w:left="-2" w:leftChars="-1" w:firstLine="2"/>
        <w:outlineLvl w:val="0"/>
        <w:rPr>
          <w:rFonts w:hint="eastAsia" w:ascii="宋体" w:hAnsi="宋体" w:cs="宋体"/>
          <w:color w:val="auto"/>
          <w:sz w:val="24"/>
          <w:szCs w:val="24"/>
          <w:lang w:eastAsia="zh-CN"/>
        </w:rPr>
      </w:pPr>
      <w:bookmarkStart w:id="56" w:name="_Toc21928"/>
      <w:r>
        <w:rPr>
          <w:rFonts w:hint="eastAsia" w:ascii="宋体" w:hAnsi="宋体" w:cs="宋体"/>
          <w:color w:val="auto"/>
          <w:sz w:val="24"/>
          <w:szCs w:val="24"/>
          <w:lang w:eastAsia="zh-CN"/>
        </w:rPr>
        <w:t>签署日期：</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年</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月</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日</w:t>
      </w:r>
      <w:bookmarkEnd w:id="56"/>
    </w:p>
    <w:p w14:paraId="047FCE4F">
      <w:pPr>
        <w:tabs>
          <w:tab w:val="left" w:pos="0"/>
        </w:tabs>
        <w:spacing w:line="360" w:lineRule="auto"/>
        <w:jc w:val="center"/>
        <w:rPr>
          <w:rFonts w:hint="eastAsia" w:ascii="宋体" w:hAnsi="宋体" w:cs="宋体"/>
          <w:color w:val="auto"/>
          <w:sz w:val="24"/>
          <w:szCs w:val="24"/>
          <w:lang w:eastAsia="zh-CN"/>
        </w:rPr>
      </w:pPr>
    </w:p>
    <w:p w14:paraId="564DAD15">
      <w:pPr>
        <w:tabs>
          <w:tab w:val="left" w:pos="0"/>
        </w:tabs>
        <w:spacing w:line="360" w:lineRule="auto"/>
        <w:jc w:val="center"/>
        <w:rPr>
          <w:rFonts w:hint="eastAsia" w:ascii="宋体" w:hAnsi="宋体" w:cs="宋体"/>
          <w:color w:val="auto"/>
          <w:sz w:val="24"/>
          <w:szCs w:val="24"/>
          <w:lang w:eastAsia="zh-CN"/>
        </w:rPr>
      </w:pPr>
    </w:p>
    <w:p w14:paraId="40E1CEEE">
      <w:pPr>
        <w:tabs>
          <w:tab w:val="left" w:pos="0"/>
        </w:tabs>
        <w:spacing w:line="360" w:lineRule="auto"/>
        <w:jc w:val="center"/>
        <w:rPr>
          <w:rFonts w:hint="eastAsia" w:ascii="宋体" w:hAnsi="宋体" w:cs="宋体"/>
          <w:color w:val="auto"/>
          <w:sz w:val="24"/>
          <w:szCs w:val="24"/>
          <w:lang w:eastAsia="zh-CN"/>
        </w:rPr>
      </w:pPr>
    </w:p>
    <w:p w14:paraId="57F6000A">
      <w:pPr>
        <w:spacing w:line="360" w:lineRule="auto"/>
        <w:rPr>
          <w:rFonts w:hint="eastAsia" w:ascii="宋体" w:hAnsi="宋体" w:cs="宋体"/>
          <w:b/>
          <w:color w:val="auto"/>
          <w:sz w:val="24"/>
          <w:szCs w:val="24"/>
          <w:lang w:eastAsia="zh-CN"/>
        </w:rPr>
      </w:pPr>
    </w:p>
    <w:p w14:paraId="619E022E">
      <w:pPr>
        <w:spacing w:line="360" w:lineRule="auto"/>
        <w:rPr>
          <w:rFonts w:hint="eastAsia" w:ascii="宋体" w:hAnsi="宋体" w:cs="宋体"/>
          <w:b/>
          <w:color w:val="auto"/>
          <w:sz w:val="24"/>
          <w:szCs w:val="24"/>
          <w:lang w:eastAsia="zh-CN"/>
        </w:rPr>
      </w:pPr>
    </w:p>
    <w:p w14:paraId="2DEFFF74">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2"/>
          <w:szCs w:val="32"/>
          <w:lang w:eastAsia="zh-CN"/>
        </w:rPr>
        <w:br w:type="page"/>
      </w:r>
      <w:r>
        <w:rPr>
          <w:rFonts w:hint="eastAsia" w:ascii="宋体" w:hAnsi="宋体" w:cs="宋体"/>
          <w:b/>
          <w:color w:val="auto"/>
          <w:sz w:val="32"/>
          <w:szCs w:val="32"/>
          <w:lang w:eastAsia="zh-CN"/>
        </w:rPr>
        <w:t>4、</w:t>
      </w:r>
      <w:r>
        <w:rPr>
          <w:rFonts w:hint="eastAsia" w:ascii="宋体" w:hAnsi="宋体" w:cs="宋体"/>
          <w:b/>
          <w:color w:val="auto"/>
          <w:sz w:val="30"/>
          <w:szCs w:val="30"/>
          <w:lang w:eastAsia="zh-CN"/>
        </w:rPr>
        <w:t>开标一览表</w:t>
      </w:r>
    </w:p>
    <w:p w14:paraId="69A30464">
      <w:pPr>
        <w:spacing w:line="360" w:lineRule="auto"/>
        <w:ind w:left="211"/>
        <w:rPr>
          <w:rFonts w:hint="eastAsia" w:ascii="宋体" w:hAnsi="宋体" w:cs="宋体"/>
          <w:color w:val="auto"/>
          <w:sz w:val="24"/>
          <w:szCs w:val="24"/>
          <w:u w:val="single"/>
        </w:rPr>
      </w:pPr>
      <w:r>
        <w:rPr>
          <w:rFonts w:hint="eastAsia" w:ascii="宋体" w:hAnsi="宋体" w:cs="宋体"/>
          <w:color w:val="auto"/>
          <w:sz w:val="24"/>
          <w:szCs w:val="24"/>
        </w:rPr>
        <w:t>项目名称：</w:t>
      </w:r>
    </w:p>
    <w:p w14:paraId="5A9E2E7E">
      <w:pPr>
        <w:spacing w:line="360" w:lineRule="auto"/>
        <w:ind w:left="211"/>
        <w:rPr>
          <w:rFonts w:hint="eastAsia" w:ascii="宋体" w:hAnsi="宋体" w:cs="宋体"/>
          <w:color w:val="auto"/>
          <w:sz w:val="24"/>
          <w:szCs w:val="24"/>
          <w:u w:val="single"/>
        </w:rPr>
      </w:pPr>
      <w:r>
        <w:rPr>
          <w:rFonts w:hint="eastAsia" w:ascii="宋体" w:hAnsi="宋体" w:cs="宋体"/>
          <w:color w:val="auto"/>
          <w:sz w:val="24"/>
          <w:szCs w:val="24"/>
        </w:rPr>
        <w:t>招标编号：</w:t>
      </w:r>
    </w:p>
    <w:tbl>
      <w:tblPr>
        <w:tblStyle w:val="23"/>
        <w:tblW w:w="1021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59"/>
        <w:gridCol w:w="1563"/>
        <w:gridCol w:w="1512"/>
        <w:gridCol w:w="1303"/>
        <w:gridCol w:w="1139"/>
        <w:gridCol w:w="869"/>
        <w:gridCol w:w="869"/>
      </w:tblGrid>
      <w:tr w14:paraId="6D4E8CC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4F6E2B6C">
            <w:pPr>
              <w:jc w:val="center"/>
              <w:rPr>
                <w:rFonts w:hint="eastAsia" w:ascii="宋体" w:hAnsi="宋体" w:cs="宋体"/>
                <w:color w:val="auto"/>
                <w:sz w:val="24"/>
                <w:szCs w:val="24"/>
              </w:rPr>
            </w:pPr>
            <w:r>
              <w:rPr>
                <w:rFonts w:hint="eastAsia" w:ascii="宋体" w:hAnsi="宋体" w:cs="宋体"/>
                <w:color w:val="auto"/>
                <w:sz w:val="24"/>
                <w:szCs w:val="24"/>
              </w:rPr>
              <w:t>投标</w:t>
            </w:r>
          </w:p>
          <w:p w14:paraId="52127316">
            <w:pPr>
              <w:jc w:val="center"/>
              <w:rPr>
                <w:rFonts w:hint="eastAsia" w:ascii="宋体" w:hAnsi="宋体" w:cs="宋体"/>
                <w:color w:val="auto"/>
                <w:sz w:val="24"/>
                <w:szCs w:val="24"/>
              </w:rPr>
            </w:pPr>
            <w:r>
              <w:rPr>
                <w:rFonts w:hint="eastAsia" w:ascii="宋体" w:hAnsi="宋体" w:cs="宋体"/>
                <w:color w:val="auto"/>
                <w:sz w:val="24"/>
                <w:szCs w:val="24"/>
              </w:rPr>
              <w:t>单位名称</w:t>
            </w:r>
          </w:p>
        </w:tc>
        <w:tc>
          <w:tcPr>
            <w:tcW w:w="1559" w:type="dxa"/>
            <w:tcBorders>
              <w:top w:val="single" w:color="auto" w:sz="4" w:space="0"/>
              <w:left w:val="single" w:color="auto" w:sz="4" w:space="0"/>
              <w:bottom w:val="single" w:color="auto" w:sz="4" w:space="0"/>
              <w:right w:val="single" w:color="auto" w:sz="4" w:space="0"/>
            </w:tcBorders>
          </w:tcPr>
          <w:p w14:paraId="3F360047">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w:t>
            </w:r>
          </w:p>
          <w:p w14:paraId="61164AD0">
            <w:pPr>
              <w:jc w:val="center"/>
              <w:rPr>
                <w:rFonts w:hint="eastAsia" w:ascii="宋体" w:hAnsi="宋体" w:cs="宋体"/>
                <w:color w:val="auto"/>
                <w:sz w:val="24"/>
                <w:szCs w:val="24"/>
              </w:rPr>
            </w:pPr>
            <w:r>
              <w:rPr>
                <w:rFonts w:hint="eastAsia" w:ascii="宋体" w:hAnsi="宋体" w:cs="宋体"/>
                <w:color w:val="auto"/>
                <w:sz w:val="24"/>
                <w:szCs w:val="24"/>
              </w:rPr>
              <w:t>投标报价</w:t>
            </w:r>
          </w:p>
          <w:p w14:paraId="6BA81066">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小写</w:t>
            </w:r>
            <w:r>
              <w:rPr>
                <w:rFonts w:hint="eastAsia" w:ascii="宋体" w:hAnsi="宋体" w:cs="宋体"/>
                <w:color w:val="auto"/>
                <w:sz w:val="24"/>
                <w:szCs w:val="24"/>
              </w:rPr>
              <w:t>（元）</w:t>
            </w:r>
          </w:p>
          <w:p w14:paraId="6A337E47">
            <w:pPr>
              <w:jc w:val="center"/>
              <w:rPr>
                <w:rFonts w:hint="eastAsia" w:ascii="宋体" w:hAnsi="宋体" w:cs="宋体"/>
                <w:color w:val="auto"/>
                <w:sz w:val="24"/>
                <w:szCs w:val="24"/>
              </w:rPr>
            </w:pPr>
          </w:p>
        </w:tc>
        <w:tc>
          <w:tcPr>
            <w:tcW w:w="1563" w:type="dxa"/>
            <w:tcBorders>
              <w:top w:val="single" w:color="auto" w:sz="4" w:space="0"/>
              <w:left w:val="single" w:color="auto" w:sz="4" w:space="0"/>
              <w:bottom w:val="single" w:color="auto" w:sz="4" w:space="0"/>
              <w:right w:val="single" w:color="auto" w:sz="4" w:space="0"/>
            </w:tcBorders>
          </w:tcPr>
          <w:p w14:paraId="4EFA67DB">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w:t>
            </w:r>
          </w:p>
          <w:p w14:paraId="3D949A9B">
            <w:pPr>
              <w:jc w:val="center"/>
              <w:rPr>
                <w:rFonts w:hint="eastAsia" w:ascii="宋体" w:hAnsi="宋体" w:cs="宋体"/>
                <w:color w:val="auto"/>
                <w:sz w:val="24"/>
                <w:szCs w:val="24"/>
              </w:rPr>
            </w:pPr>
            <w:r>
              <w:rPr>
                <w:rFonts w:hint="eastAsia" w:ascii="宋体" w:hAnsi="宋体" w:cs="宋体"/>
                <w:color w:val="auto"/>
                <w:sz w:val="24"/>
                <w:szCs w:val="24"/>
              </w:rPr>
              <w:t>投标报价</w:t>
            </w:r>
          </w:p>
          <w:p w14:paraId="7F8F0ECD">
            <w:pPr>
              <w:jc w:val="center"/>
              <w:rPr>
                <w:rFonts w:hint="eastAsia" w:ascii="宋体" w:hAnsi="宋体" w:cs="宋体"/>
                <w:color w:val="auto"/>
                <w:sz w:val="24"/>
                <w:szCs w:val="24"/>
              </w:rPr>
            </w:pPr>
            <w:r>
              <w:rPr>
                <w:rFonts w:hint="eastAsia" w:ascii="宋体" w:hAnsi="宋体" w:cs="宋体"/>
                <w:color w:val="auto"/>
                <w:sz w:val="24"/>
                <w:szCs w:val="24"/>
                <w:lang w:eastAsia="zh-CN"/>
              </w:rPr>
              <w:t>大写</w:t>
            </w:r>
          </w:p>
        </w:tc>
        <w:tc>
          <w:tcPr>
            <w:tcW w:w="1512" w:type="dxa"/>
            <w:tcBorders>
              <w:top w:val="single" w:color="auto" w:sz="4" w:space="0"/>
              <w:left w:val="single" w:color="auto" w:sz="4" w:space="0"/>
              <w:bottom w:val="single" w:color="auto" w:sz="4" w:space="0"/>
              <w:right w:val="single" w:color="auto" w:sz="4" w:space="0"/>
            </w:tcBorders>
            <w:vAlign w:val="center"/>
          </w:tcPr>
          <w:p w14:paraId="15F36967">
            <w:pPr>
              <w:jc w:val="center"/>
              <w:rPr>
                <w:rFonts w:hint="eastAsia" w:ascii="宋体" w:hAnsi="宋体" w:cs="宋体"/>
                <w:color w:val="auto"/>
                <w:sz w:val="24"/>
                <w:szCs w:val="24"/>
              </w:rPr>
            </w:pPr>
            <w:r>
              <w:rPr>
                <w:rFonts w:hint="eastAsia" w:ascii="宋体" w:hAnsi="宋体" w:cs="宋体"/>
                <w:color w:val="auto"/>
                <w:sz w:val="24"/>
                <w:szCs w:val="24"/>
                <w:lang w:eastAsia="zh-CN"/>
              </w:rPr>
              <w:t>质保期</w:t>
            </w:r>
          </w:p>
        </w:tc>
        <w:tc>
          <w:tcPr>
            <w:tcW w:w="1303" w:type="dxa"/>
            <w:tcBorders>
              <w:top w:val="single" w:color="auto" w:sz="4" w:space="0"/>
              <w:left w:val="single" w:color="auto" w:sz="4" w:space="0"/>
              <w:bottom w:val="single" w:color="auto" w:sz="4" w:space="0"/>
              <w:right w:val="single" w:color="auto" w:sz="4" w:space="0"/>
            </w:tcBorders>
            <w:vAlign w:val="center"/>
          </w:tcPr>
          <w:p w14:paraId="4231D727">
            <w:pPr>
              <w:jc w:val="center"/>
              <w:rPr>
                <w:rFonts w:hint="eastAsia" w:ascii="宋体" w:hAnsi="宋体" w:cs="宋体"/>
                <w:color w:val="auto"/>
                <w:sz w:val="24"/>
                <w:szCs w:val="24"/>
              </w:rPr>
            </w:pPr>
            <w:r>
              <w:rPr>
                <w:rFonts w:hint="eastAsia" w:ascii="宋体" w:hAnsi="宋体" w:cs="宋体"/>
                <w:color w:val="auto"/>
                <w:sz w:val="24"/>
                <w:szCs w:val="24"/>
              </w:rPr>
              <w:t>投标保证金</w:t>
            </w:r>
          </w:p>
        </w:tc>
        <w:tc>
          <w:tcPr>
            <w:tcW w:w="1139" w:type="dxa"/>
            <w:tcBorders>
              <w:top w:val="single" w:color="auto" w:sz="4" w:space="0"/>
              <w:left w:val="single" w:color="auto" w:sz="4" w:space="0"/>
              <w:bottom w:val="single" w:color="auto" w:sz="4" w:space="0"/>
              <w:right w:val="single" w:color="auto" w:sz="4" w:space="0"/>
            </w:tcBorders>
            <w:vAlign w:val="center"/>
          </w:tcPr>
          <w:p w14:paraId="5BF8A37F">
            <w:pPr>
              <w:jc w:val="center"/>
              <w:rPr>
                <w:rFonts w:hint="eastAsia" w:ascii="宋体" w:hAnsi="宋体" w:cs="宋体"/>
                <w:color w:val="auto"/>
                <w:sz w:val="24"/>
                <w:szCs w:val="24"/>
              </w:rPr>
            </w:pPr>
            <w:r>
              <w:rPr>
                <w:rFonts w:hint="eastAsia" w:ascii="宋体" w:hAnsi="宋体" w:cs="宋体"/>
                <w:color w:val="auto"/>
                <w:sz w:val="24"/>
                <w:szCs w:val="24"/>
              </w:rPr>
              <w:t>供货期</w:t>
            </w:r>
          </w:p>
        </w:tc>
        <w:tc>
          <w:tcPr>
            <w:tcW w:w="869" w:type="dxa"/>
            <w:tcBorders>
              <w:top w:val="single" w:color="auto" w:sz="4" w:space="0"/>
              <w:left w:val="single" w:color="auto" w:sz="4" w:space="0"/>
              <w:bottom w:val="single" w:color="auto" w:sz="4" w:space="0"/>
              <w:right w:val="single" w:color="auto" w:sz="4" w:space="0"/>
            </w:tcBorders>
            <w:vAlign w:val="center"/>
          </w:tcPr>
          <w:p w14:paraId="5FE46D93">
            <w:pPr>
              <w:jc w:val="center"/>
              <w:rPr>
                <w:rFonts w:hint="eastAsia" w:ascii="宋体" w:hAnsi="宋体" w:cs="宋体"/>
                <w:color w:val="auto"/>
                <w:sz w:val="24"/>
                <w:szCs w:val="24"/>
              </w:rPr>
            </w:pPr>
            <w:r>
              <w:rPr>
                <w:rFonts w:hint="eastAsia" w:ascii="宋体" w:hAnsi="宋体" w:cs="宋体"/>
                <w:color w:val="auto"/>
                <w:sz w:val="24"/>
                <w:szCs w:val="24"/>
              </w:rPr>
              <w:t>质量</w:t>
            </w:r>
          </w:p>
          <w:p w14:paraId="148F5D62">
            <w:pPr>
              <w:jc w:val="center"/>
              <w:rPr>
                <w:rFonts w:hint="eastAsia" w:ascii="宋体" w:hAnsi="宋体" w:cs="宋体"/>
                <w:color w:val="auto"/>
                <w:sz w:val="24"/>
                <w:szCs w:val="24"/>
              </w:rPr>
            </w:pPr>
            <w:r>
              <w:rPr>
                <w:rFonts w:hint="eastAsia" w:ascii="宋体" w:hAnsi="宋体" w:cs="宋体"/>
                <w:color w:val="auto"/>
                <w:sz w:val="24"/>
                <w:szCs w:val="24"/>
              </w:rPr>
              <w:t>标准</w:t>
            </w:r>
          </w:p>
        </w:tc>
        <w:tc>
          <w:tcPr>
            <w:tcW w:w="869" w:type="dxa"/>
            <w:tcBorders>
              <w:top w:val="single" w:color="auto" w:sz="4" w:space="0"/>
              <w:left w:val="single" w:color="auto" w:sz="4" w:space="0"/>
              <w:bottom w:val="single" w:color="auto" w:sz="4" w:space="0"/>
              <w:right w:val="single" w:color="auto" w:sz="4" w:space="0"/>
            </w:tcBorders>
            <w:vAlign w:val="center"/>
          </w:tcPr>
          <w:p w14:paraId="6921CE47">
            <w:pPr>
              <w:jc w:val="center"/>
              <w:rPr>
                <w:rFonts w:hint="eastAsia" w:ascii="宋体" w:hAnsi="宋体" w:cs="宋体"/>
                <w:color w:val="auto"/>
                <w:sz w:val="24"/>
                <w:szCs w:val="24"/>
              </w:rPr>
            </w:pPr>
            <w:r>
              <w:rPr>
                <w:rFonts w:hint="eastAsia" w:ascii="宋体" w:hAnsi="宋体" w:cs="宋体"/>
                <w:color w:val="auto"/>
                <w:sz w:val="24"/>
                <w:szCs w:val="24"/>
              </w:rPr>
              <w:t>备注</w:t>
            </w:r>
          </w:p>
        </w:tc>
      </w:tr>
      <w:tr w14:paraId="4131E07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6125A209">
            <w:pPr>
              <w:jc w:val="center"/>
              <w:rPr>
                <w:rFonts w:hint="eastAsia" w:ascii="宋体" w:hAnsi="宋体" w:cs="宋体"/>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2A30107">
            <w:pPr>
              <w:rPr>
                <w:rFonts w:hint="eastAsia" w:ascii="宋体" w:hAnsi="宋体" w:cs="宋体"/>
                <w:color w:val="auto"/>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28A3D1BD">
            <w:pPr>
              <w:spacing w:line="480" w:lineRule="auto"/>
              <w:jc w:val="center"/>
              <w:rPr>
                <w:rFonts w:hint="eastAsia" w:ascii="宋体" w:hAnsi="宋体" w:cs="宋体"/>
                <w:color w:val="auto"/>
              </w:rPr>
            </w:pPr>
            <w:r>
              <w:rPr>
                <w:rFonts w:hint="eastAsia" w:ascii="宋体" w:hAnsi="宋体" w:cs="宋体"/>
                <w:color w:val="auto"/>
              </w:rPr>
              <w:t xml:space="preserve">                  </w:t>
            </w:r>
          </w:p>
          <w:p w14:paraId="71725CA1">
            <w:pPr>
              <w:jc w:val="center"/>
              <w:rPr>
                <w:rFonts w:hint="eastAsia" w:ascii="宋体" w:hAnsi="宋体" w:cs="宋体"/>
                <w:color w:val="auto"/>
              </w:rPr>
            </w:pPr>
          </w:p>
        </w:tc>
        <w:tc>
          <w:tcPr>
            <w:tcW w:w="1512" w:type="dxa"/>
            <w:tcBorders>
              <w:top w:val="single" w:color="auto" w:sz="4" w:space="0"/>
              <w:left w:val="single" w:color="auto" w:sz="4" w:space="0"/>
              <w:bottom w:val="single" w:color="auto" w:sz="4" w:space="0"/>
              <w:right w:val="single" w:color="auto" w:sz="4" w:space="0"/>
            </w:tcBorders>
            <w:vAlign w:val="center"/>
          </w:tcPr>
          <w:p w14:paraId="60D84654">
            <w:pPr>
              <w:jc w:val="center"/>
              <w:rPr>
                <w:rFonts w:hint="eastAsia" w:ascii="宋体" w:hAnsi="宋体" w:cs="宋体"/>
                <w:color w:val="auto"/>
                <w:sz w:val="24"/>
                <w:szCs w:val="24"/>
              </w:rPr>
            </w:pPr>
          </w:p>
        </w:tc>
        <w:tc>
          <w:tcPr>
            <w:tcW w:w="1303" w:type="dxa"/>
            <w:tcBorders>
              <w:top w:val="single" w:color="auto" w:sz="4" w:space="0"/>
              <w:left w:val="single" w:color="auto" w:sz="4" w:space="0"/>
              <w:bottom w:val="single" w:color="auto" w:sz="4" w:space="0"/>
              <w:right w:val="single" w:color="auto" w:sz="4" w:space="0"/>
            </w:tcBorders>
            <w:vAlign w:val="center"/>
          </w:tcPr>
          <w:p w14:paraId="48EB8590">
            <w:pPr>
              <w:jc w:val="center"/>
              <w:rPr>
                <w:rFonts w:hint="eastAsia" w:ascii="宋体" w:hAnsi="宋体" w:cs="宋体"/>
                <w:color w:val="auto"/>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1AE3660E">
            <w:pPr>
              <w:jc w:val="center"/>
              <w:rPr>
                <w:rFonts w:hint="eastAsia" w:ascii="宋体" w:hAnsi="宋体" w:cs="宋体"/>
                <w:color w:val="auto"/>
                <w:sz w:val="24"/>
                <w:szCs w:val="24"/>
              </w:rPr>
            </w:pPr>
          </w:p>
        </w:tc>
        <w:tc>
          <w:tcPr>
            <w:tcW w:w="869" w:type="dxa"/>
            <w:tcBorders>
              <w:top w:val="single" w:color="auto" w:sz="4" w:space="0"/>
              <w:left w:val="single" w:color="auto" w:sz="4" w:space="0"/>
              <w:bottom w:val="single" w:color="auto" w:sz="4" w:space="0"/>
              <w:right w:val="single" w:color="auto" w:sz="4" w:space="0"/>
            </w:tcBorders>
            <w:vAlign w:val="center"/>
          </w:tcPr>
          <w:p w14:paraId="77EC4235">
            <w:pPr>
              <w:jc w:val="center"/>
              <w:rPr>
                <w:rFonts w:hint="eastAsia" w:ascii="宋体" w:hAnsi="宋体" w:cs="宋体"/>
                <w:color w:val="auto"/>
                <w:sz w:val="24"/>
                <w:szCs w:val="24"/>
              </w:rPr>
            </w:pPr>
          </w:p>
        </w:tc>
        <w:tc>
          <w:tcPr>
            <w:tcW w:w="869" w:type="dxa"/>
            <w:tcBorders>
              <w:top w:val="single" w:color="auto" w:sz="4" w:space="0"/>
              <w:left w:val="single" w:color="auto" w:sz="4" w:space="0"/>
              <w:bottom w:val="single" w:color="auto" w:sz="4" w:space="0"/>
              <w:right w:val="single" w:color="auto" w:sz="4" w:space="0"/>
            </w:tcBorders>
            <w:vAlign w:val="center"/>
          </w:tcPr>
          <w:p w14:paraId="0A3DE6F4">
            <w:pPr>
              <w:jc w:val="center"/>
              <w:rPr>
                <w:rFonts w:hint="eastAsia" w:ascii="宋体" w:hAnsi="宋体" w:cs="宋体"/>
                <w:color w:val="auto"/>
                <w:sz w:val="24"/>
                <w:szCs w:val="24"/>
              </w:rPr>
            </w:pPr>
          </w:p>
        </w:tc>
      </w:tr>
    </w:tbl>
    <w:p w14:paraId="7C81D19A">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注：投标报价以元为单位，保留小数点后二位。</w:t>
      </w:r>
    </w:p>
    <w:p w14:paraId="3BB15274">
      <w:pPr>
        <w:pStyle w:val="39"/>
        <w:spacing w:line="360" w:lineRule="auto"/>
        <w:ind w:firstLine="840" w:firstLineChars="350"/>
        <w:rPr>
          <w:rFonts w:hint="eastAsia" w:ascii="宋体" w:hAnsi="宋体" w:eastAsia="宋体" w:cs="宋体"/>
          <w:sz w:val="24"/>
          <w:szCs w:val="24"/>
        </w:rPr>
      </w:pPr>
    </w:p>
    <w:p w14:paraId="21E66FBF">
      <w:pPr>
        <w:pStyle w:val="39"/>
        <w:spacing w:line="360" w:lineRule="auto"/>
        <w:ind w:firstLine="840" w:firstLineChars="350"/>
        <w:rPr>
          <w:rFonts w:hint="eastAsia" w:ascii="宋体" w:hAnsi="宋体" w:eastAsia="宋体" w:cs="宋体"/>
          <w:sz w:val="24"/>
          <w:szCs w:val="24"/>
        </w:rPr>
      </w:pPr>
    </w:p>
    <w:p w14:paraId="41DB9263">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5699414A">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6200C14F">
      <w:pPr>
        <w:ind w:left="-708" w:leftChars="-337" w:firstLine="480" w:firstLineChars="200"/>
        <w:rPr>
          <w:rFonts w:hint="eastAsia" w:ascii="宋体" w:hAnsi="宋体" w:cs="宋体"/>
          <w:color w:val="auto"/>
          <w:sz w:val="24"/>
          <w:szCs w:val="24"/>
          <w:lang w:eastAsia="zh-CN"/>
        </w:rPr>
      </w:pPr>
    </w:p>
    <w:p w14:paraId="45467710">
      <w:pPr>
        <w:ind w:left="-708" w:leftChars="-337" w:firstLine="480" w:firstLineChars="200"/>
        <w:rPr>
          <w:rFonts w:hint="eastAsia" w:ascii="宋体" w:hAnsi="宋体" w:cs="宋体"/>
          <w:color w:val="auto"/>
          <w:sz w:val="24"/>
          <w:szCs w:val="24"/>
          <w:lang w:eastAsia="zh-CN"/>
        </w:rPr>
      </w:pPr>
    </w:p>
    <w:p w14:paraId="66563CDC">
      <w:pPr>
        <w:ind w:left="-708" w:leftChars="-337" w:firstLine="5520" w:firstLineChars="2300"/>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3793F4D3">
      <w:pPr>
        <w:spacing w:line="360" w:lineRule="auto"/>
        <w:rPr>
          <w:rFonts w:hint="eastAsia" w:ascii="宋体" w:hAnsi="宋体" w:cs="宋体"/>
          <w:color w:val="auto"/>
          <w:sz w:val="24"/>
          <w:szCs w:val="24"/>
          <w:lang w:eastAsia="zh-CN"/>
        </w:rPr>
      </w:pPr>
    </w:p>
    <w:p w14:paraId="1BC5D594">
      <w:pPr>
        <w:spacing w:line="360" w:lineRule="auto"/>
        <w:rPr>
          <w:rFonts w:hint="eastAsia" w:ascii="宋体" w:hAnsi="宋体" w:cs="宋体"/>
          <w:color w:val="auto"/>
          <w:sz w:val="24"/>
          <w:szCs w:val="24"/>
          <w:lang w:eastAsia="zh-CN"/>
        </w:rPr>
      </w:pPr>
    </w:p>
    <w:p w14:paraId="32EB1202">
      <w:pPr>
        <w:spacing w:line="360" w:lineRule="auto"/>
        <w:rPr>
          <w:rFonts w:hint="eastAsia" w:ascii="宋体" w:hAnsi="宋体" w:cs="宋体"/>
          <w:color w:val="auto"/>
          <w:sz w:val="24"/>
          <w:szCs w:val="24"/>
          <w:lang w:eastAsia="zh-CN"/>
        </w:rPr>
      </w:pPr>
    </w:p>
    <w:p w14:paraId="6C689EDB">
      <w:pPr>
        <w:spacing w:line="360" w:lineRule="auto"/>
        <w:rPr>
          <w:rFonts w:hint="eastAsia" w:ascii="宋体" w:hAnsi="宋体" w:cs="宋体"/>
          <w:color w:val="auto"/>
          <w:sz w:val="24"/>
          <w:szCs w:val="24"/>
          <w:lang w:eastAsia="zh-CN"/>
        </w:rPr>
      </w:pPr>
    </w:p>
    <w:p w14:paraId="6A5F0D6B">
      <w:pPr>
        <w:spacing w:line="360" w:lineRule="auto"/>
        <w:rPr>
          <w:rFonts w:hint="eastAsia" w:ascii="宋体" w:hAnsi="宋体" w:cs="宋体"/>
          <w:color w:val="auto"/>
          <w:sz w:val="24"/>
          <w:szCs w:val="24"/>
          <w:lang w:eastAsia="zh-CN"/>
        </w:rPr>
      </w:pPr>
    </w:p>
    <w:p w14:paraId="648B52AB">
      <w:pPr>
        <w:spacing w:line="360" w:lineRule="auto"/>
        <w:rPr>
          <w:rFonts w:hint="eastAsia" w:ascii="宋体" w:hAnsi="宋体" w:cs="宋体"/>
          <w:color w:val="auto"/>
          <w:sz w:val="24"/>
          <w:szCs w:val="24"/>
          <w:lang w:eastAsia="zh-CN"/>
        </w:rPr>
      </w:pPr>
    </w:p>
    <w:p w14:paraId="62AF0BCE">
      <w:pPr>
        <w:spacing w:line="360" w:lineRule="auto"/>
        <w:rPr>
          <w:rFonts w:hint="eastAsia" w:ascii="宋体" w:hAnsi="宋体" w:cs="宋体"/>
          <w:color w:val="auto"/>
          <w:sz w:val="24"/>
          <w:szCs w:val="24"/>
          <w:lang w:eastAsia="zh-CN"/>
        </w:rPr>
      </w:pPr>
    </w:p>
    <w:p w14:paraId="371DD59F">
      <w:pPr>
        <w:spacing w:line="360" w:lineRule="auto"/>
        <w:rPr>
          <w:rFonts w:hint="eastAsia" w:ascii="宋体" w:hAnsi="宋体" w:cs="宋体"/>
          <w:color w:val="auto"/>
          <w:sz w:val="24"/>
          <w:szCs w:val="24"/>
          <w:lang w:eastAsia="zh-CN"/>
        </w:rPr>
      </w:pPr>
    </w:p>
    <w:p w14:paraId="2066D05F">
      <w:pPr>
        <w:spacing w:line="360" w:lineRule="auto"/>
        <w:rPr>
          <w:rFonts w:hint="eastAsia" w:ascii="宋体" w:hAnsi="宋体" w:cs="宋体"/>
          <w:color w:val="auto"/>
          <w:sz w:val="24"/>
          <w:szCs w:val="24"/>
          <w:lang w:eastAsia="zh-CN"/>
        </w:rPr>
      </w:pPr>
    </w:p>
    <w:p w14:paraId="3879F87F">
      <w:pPr>
        <w:tabs>
          <w:tab w:val="left" w:pos="1365"/>
        </w:tabs>
        <w:spacing w:line="360" w:lineRule="auto"/>
        <w:jc w:val="center"/>
        <w:rPr>
          <w:rFonts w:hint="eastAsia" w:ascii="宋体" w:hAnsi="宋体" w:cs="宋体"/>
          <w:b/>
          <w:color w:val="auto"/>
          <w:sz w:val="30"/>
          <w:szCs w:val="30"/>
          <w:lang w:eastAsia="zh-CN"/>
        </w:rPr>
      </w:pPr>
    </w:p>
    <w:p w14:paraId="3B64AD3D">
      <w:pPr>
        <w:pStyle w:val="29"/>
        <w:numPr>
          <w:ilvl w:val="0"/>
          <w:numId w:val="0"/>
        </w:numPr>
        <w:ind w:left="540"/>
        <w:rPr>
          <w:lang w:eastAsia="zh-CN"/>
        </w:rPr>
      </w:pPr>
    </w:p>
    <w:p w14:paraId="3CDAA4B2">
      <w:pPr>
        <w:pStyle w:val="29"/>
        <w:numPr>
          <w:ilvl w:val="0"/>
          <w:numId w:val="0"/>
        </w:numPr>
        <w:ind w:left="540"/>
        <w:rPr>
          <w:color w:val="auto"/>
          <w:lang w:eastAsia="zh-CN"/>
        </w:rPr>
      </w:pPr>
    </w:p>
    <w:p w14:paraId="0A349026">
      <w:pPr>
        <w:pStyle w:val="29"/>
        <w:numPr>
          <w:ilvl w:val="0"/>
          <w:numId w:val="0"/>
        </w:numPr>
        <w:rPr>
          <w:color w:val="auto"/>
          <w:lang w:eastAsia="zh-CN"/>
        </w:rPr>
      </w:pPr>
    </w:p>
    <w:p w14:paraId="1255EEC8">
      <w:pPr>
        <w:pStyle w:val="29"/>
        <w:numPr>
          <w:ilvl w:val="0"/>
          <w:numId w:val="0"/>
        </w:numPr>
        <w:rPr>
          <w:color w:val="auto"/>
          <w:lang w:eastAsia="zh-CN"/>
        </w:rPr>
      </w:pPr>
    </w:p>
    <w:p w14:paraId="1E5DCCAE">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5、投标报价明细表</w:t>
      </w:r>
    </w:p>
    <w:p w14:paraId="76635213">
      <w:pPr>
        <w:spacing w:line="48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报价说明：</w:t>
      </w:r>
    </w:p>
    <w:p w14:paraId="48005A95">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采用总价的方式报价。</w:t>
      </w:r>
    </w:p>
    <w:p w14:paraId="7C6DA518">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0193193C">
      <w:pPr>
        <w:spacing w:line="360" w:lineRule="auto"/>
        <w:ind w:firstLine="480" w:firstLineChars="200"/>
        <w:rPr>
          <w:rFonts w:hint="eastAsia" w:ascii="宋体" w:hAnsi="宋体" w:cs="宋体"/>
          <w:b/>
          <w:color w:val="auto"/>
          <w:sz w:val="24"/>
          <w:lang w:eastAsia="zh-CN"/>
        </w:rPr>
      </w:pPr>
      <w:r>
        <w:rPr>
          <w:rFonts w:hint="eastAsia" w:ascii="宋体" w:hAnsi="宋体" w:cs="宋体"/>
          <w:color w:val="auto"/>
          <w:sz w:val="24"/>
          <w:lang w:eastAsia="zh-CN"/>
        </w:rPr>
        <w:br w:type="page"/>
      </w:r>
      <w:r>
        <w:rPr>
          <w:rFonts w:hint="eastAsia" w:ascii="宋体" w:hAnsi="宋体" w:cs="宋体"/>
          <w:b/>
          <w:color w:val="auto"/>
          <w:sz w:val="24"/>
          <w:lang w:eastAsia="zh-CN"/>
        </w:rPr>
        <w:t xml:space="preserve">表5.1 </w:t>
      </w:r>
    </w:p>
    <w:p w14:paraId="7D1325E8">
      <w:pPr>
        <w:tabs>
          <w:tab w:val="left" w:pos="1365"/>
        </w:tabs>
        <w:spacing w:line="360" w:lineRule="auto"/>
        <w:jc w:val="center"/>
        <w:rPr>
          <w:rFonts w:hint="eastAsia" w:ascii="宋体" w:hAnsi="宋体" w:cs="宋体"/>
          <w:b/>
          <w:color w:val="auto"/>
          <w:sz w:val="30"/>
          <w:szCs w:val="30"/>
          <w:lang w:eastAsia="zh-CN"/>
        </w:rPr>
      </w:pPr>
      <w:bookmarkStart w:id="57" w:name="_Toc28852"/>
      <w:r>
        <w:rPr>
          <w:rFonts w:hint="eastAsia" w:ascii="宋体" w:hAnsi="宋体" w:cs="宋体"/>
          <w:b/>
          <w:color w:val="auto"/>
          <w:sz w:val="30"/>
          <w:szCs w:val="30"/>
          <w:lang w:eastAsia="zh-CN"/>
        </w:rPr>
        <w:t>报价明细表</w:t>
      </w:r>
      <w:bookmarkEnd w:id="57"/>
    </w:p>
    <w:p w14:paraId="6B7F97EE">
      <w:pPr>
        <w:pStyle w:val="29"/>
        <w:numPr>
          <w:ilvl w:val="0"/>
          <w:numId w:val="0"/>
        </w:numPr>
        <w:rPr>
          <w:color w:val="auto"/>
          <w:lang w:eastAsia="zh-CN"/>
        </w:rPr>
      </w:pPr>
    </w:p>
    <w:p w14:paraId="59C9D3B7">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清单（包含序号、货物名称、品牌、规格型号、产地、生产厂家、参数、数量、单位、单价、小计）</w:t>
      </w:r>
    </w:p>
    <w:tbl>
      <w:tblPr>
        <w:tblStyle w:val="23"/>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47F55BF8">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78DCE504">
            <w:pPr>
              <w:jc w:val="center"/>
              <w:textAlignment w:val="center"/>
              <w:rPr>
                <w:rFonts w:hint="eastAsia" w:ascii="宋体" w:hAnsi="宋体" w:cs="宋体"/>
                <w:color w:val="auto"/>
              </w:rPr>
            </w:pPr>
            <w:r>
              <w:rPr>
                <w:rFonts w:hint="eastAsia" w:ascii="宋体" w:hAnsi="宋体" w:cs="宋体"/>
                <w:color w:val="auto"/>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2578DDAD">
            <w:pPr>
              <w:jc w:val="center"/>
              <w:textAlignment w:val="center"/>
              <w:rPr>
                <w:rFonts w:hint="eastAsia" w:ascii="宋体" w:hAnsi="宋体" w:cs="宋体"/>
                <w:color w:val="auto"/>
              </w:rPr>
            </w:pPr>
            <w:r>
              <w:rPr>
                <w:rFonts w:hint="eastAsia" w:ascii="宋体" w:hAnsi="宋体" w:cs="宋体"/>
                <w:color w:val="auto"/>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2DAB0521">
            <w:pPr>
              <w:jc w:val="center"/>
              <w:textAlignment w:val="center"/>
              <w:rPr>
                <w:rFonts w:hint="eastAsia" w:ascii="宋体" w:hAnsi="宋体" w:cs="宋体"/>
                <w:color w:val="auto"/>
              </w:rPr>
            </w:pPr>
            <w:r>
              <w:rPr>
                <w:rFonts w:hint="eastAsia" w:ascii="宋体" w:hAnsi="宋体" w:cs="宋体"/>
                <w:color w:val="auto"/>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4D81D83A">
            <w:pPr>
              <w:jc w:val="center"/>
              <w:textAlignment w:val="center"/>
              <w:rPr>
                <w:rFonts w:hint="eastAsia" w:ascii="宋体" w:hAnsi="宋体" w:cs="宋体"/>
                <w:color w:val="auto"/>
              </w:rPr>
            </w:pPr>
            <w:r>
              <w:rPr>
                <w:rFonts w:hint="eastAsia" w:ascii="宋体" w:hAnsi="宋体" w:cs="宋体"/>
                <w:color w:val="auto"/>
                <w:lang w:eastAsia="zh-CN"/>
              </w:rPr>
              <w:t>规格</w:t>
            </w:r>
            <w:r>
              <w:rPr>
                <w:rFonts w:hint="eastAsia" w:ascii="宋体" w:hAnsi="宋体" w:cs="宋体"/>
                <w:color w:val="auto"/>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43284331">
            <w:pPr>
              <w:jc w:val="center"/>
              <w:textAlignment w:val="center"/>
              <w:rPr>
                <w:rFonts w:hint="eastAsia" w:ascii="宋体" w:hAnsi="宋体" w:cs="宋体"/>
                <w:color w:val="auto"/>
              </w:rPr>
            </w:pPr>
            <w:r>
              <w:rPr>
                <w:rFonts w:hint="eastAsia" w:ascii="宋体" w:hAnsi="宋体" w:cs="宋体"/>
                <w:color w:val="auto"/>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66832CD8">
            <w:pPr>
              <w:jc w:val="center"/>
              <w:textAlignment w:val="center"/>
              <w:rPr>
                <w:rFonts w:hint="eastAsia" w:ascii="宋体" w:hAnsi="宋体" w:cs="宋体"/>
                <w:color w:val="auto"/>
                <w:lang w:eastAsia="zh-CN"/>
              </w:rPr>
            </w:pPr>
            <w:r>
              <w:rPr>
                <w:rFonts w:hint="eastAsia" w:ascii="宋体" w:hAnsi="宋体" w:cs="宋体"/>
                <w:color w:val="auto"/>
                <w:lang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4B18097B">
            <w:pPr>
              <w:jc w:val="center"/>
              <w:textAlignment w:val="center"/>
              <w:rPr>
                <w:rFonts w:hint="eastAsia" w:ascii="宋体" w:hAnsi="宋体" w:cs="宋体"/>
                <w:color w:val="auto"/>
                <w:lang w:eastAsia="zh-CN"/>
              </w:rPr>
            </w:pPr>
            <w:r>
              <w:rPr>
                <w:rFonts w:hint="eastAsia" w:ascii="宋体" w:hAnsi="宋体" w:cs="宋体"/>
                <w:color w:val="auto"/>
                <w:lang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3F935A7C">
            <w:pPr>
              <w:jc w:val="center"/>
              <w:textAlignment w:val="center"/>
              <w:rPr>
                <w:rFonts w:hint="eastAsia" w:ascii="宋体" w:hAnsi="宋体" w:cs="宋体"/>
                <w:color w:val="auto"/>
              </w:rPr>
            </w:pPr>
            <w:r>
              <w:rPr>
                <w:rFonts w:hint="eastAsia" w:ascii="宋体" w:hAnsi="宋体" w:cs="宋体"/>
                <w:color w:val="auto"/>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4EB647BB">
            <w:pPr>
              <w:jc w:val="center"/>
              <w:textAlignment w:val="center"/>
              <w:rPr>
                <w:rFonts w:hint="eastAsia" w:ascii="宋体" w:hAnsi="宋体" w:cs="宋体"/>
                <w:color w:val="auto"/>
              </w:rPr>
            </w:pPr>
            <w:r>
              <w:rPr>
                <w:rFonts w:hint="eastAsia" w:ascii="宋体" w:hAnsi="宋体" w:cs="宋体"/>
                <w:color w:val="auto"/>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7410EEA3">
            <w:pPr>
              <w:jc w:val="center"/>
              <w:textAlignment w:val="center"/>
              <w:rPr>
                <w:rFonts w:hint="eastAsia" w:ascii="宋体" w:hAnsi="宋体" w:cs="宋体"/>
                <w:color w:val="auto"/>
              </w:rPr>
            </w:pPr>
            <w:r>
              <w:rPr>
                <w:rFonts w:hint="eastAsia" w:ascii="宋体" w:hAnsi="宋体" w:cs="宋体"/>
                <w:color w:val="auto"/>
              </w:rPr>
              <w:t>单价</w:t>
            </w:r>
          </w:p>
          <w:p w14:paraId="7AE33AC8">
            <w:pPr>
              <w:jc w:val="center"/>
              <w:textAlignment w:val="center"/>
              <w:rPr>
                <w:rFonts w:hint="eastAsia" w:ascii="宋体" w:hAnsi="宋体" w:cs="宋体"/>
                <w:color w:val="auto"/>
              </w:rPr>
            </w:pPr>
            <w:r>
              <w:rPr>
                <w:rFonts w:hint="eastAsia" w:ascii="宋体" w:hAnsi="宋体" w:cs="宋体"/>
                <w:color w:val="auto"/>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71462DAD">
            <w:pPr>
              <w:jc w:val="center"/>
              <w:textAlignment w:val="center"/>
              <w:rPr>
                <w:rFonts w:hint="eastAsia" w:ascii="宋体" w:hAnsi="宋体" w:cs="宋体"/>
                <w:color w:val="auto"/>
              </w:rPr>
            </w:pPr>
            <w:r>
              <w:rPr>
                <w:rFonts w:hint="eastAsia" w:ascii="宋体" w:hAnsi="宋体" w:cs="宋体"/>
                <w:color w:val="auto"/>
                <w:lang w:eastAsia="zh-CN"/>
              </w:rPr>
              <w:t>小</w:t>
            </w:r>
            <w:r>
              <w:rPr>
                <w:rFonts w:hint="eastAsia" w:ascii="宋体" w:hAnsi="宋体" w:cs="宋体"/>
                <w:color w:val="auto"/>
              </w:rPr>
              <w:t>计</w:t>
            </w:r>
          </w:p>
          <w:p w14:paraId="515B737F">
            <w:pPr>
              <w:jc w:val="center"/>
              <w:textAlignment w:val="center"/>
              <w:rPr>
                <w:rFonts w:hint="eastAsia" w:ascii="宋体" w:hAnsi="宋体" w:cs="宋体"/>
                <w:color w:val="auto"/>
              </w:rPr>
            </w:pPr>
            <w:r>
              <w:rPr>
                <w:rFonts w:hint="eastAsia" w:ascii="宋体" w:hAnsi="宋体" w:cs="宋体"/>
                <w:color w:val="auto"/>
              </w:rPr>
              <w:t>（元）</w:t>
            </w:r>
          </w:p>
        </w:tc>
      </w:tr>
      <w:tr w14:paraId="4CE8F99E">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08DF96EC">
            <w:pPr>
              <w:jc w:val="center"/>
              <w:textAlignment w:val="center"/>
              <w:rPr>
                <w:rFonts w:hint="eastAsia" w:ascii="宋体" w:hAnsi="宋体" w:cs="宋体"/>
                <w:color w:val="auto"/>
                <w:lang w:eastAsia="zh-CN"/>
              </w:rPr>
            </w:pPr>
            <w:r>
              <w:rPr>
                <w:rFonts w:hint="eastAsia" w:ascii="宋体" w:hAnsi="宋体" w:cs="宋体"/>
                <w:color w:val="auto"/>
                <w:lang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5F366BB5">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07B2117">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99833DA">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3BA00D48">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CA9662D">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77354A1B">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019FDC20">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56BE0032">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653C8F13">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01E65E9D">
            <w:pPr>
              <w:jc w:val="center"/>
              <w:textAlignment w:val="center"/>
              <w:rPr>
                <w:rFonts w:hint="eastAsia" w:ascii="宋体" w:hAnsi="宋体" w:cs="宋体"/>
                <w:color w:val="auto"/>
                <w:kern w:val="2"/>
                <w:lang w:eastAsia="zh-CN"/>
              </w:rPr>
            </w:pPr>
          </w:p>
        </w:tc>
      </w:tr>
      <w:tr w14:paraId="31DE3BFB">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1E132695">
            <w:pPr>
              <w:jc w:val="center"/>
              <w:textAlignment w:val="center"/>
              <w:rPr>
                <w:rFonts w:hint="eastAsia" w:ascii="宋体" w:hAnsi="宋体" w:cs="宋体"/>
                <w:color w:val="auto"/>
                <w:lang w:eastAsia="zh-CN"/>
              </w:rPr>
            </w:pPr>
            <w:r>
              <w:rPr>
                <w:rFonts w:hint="eastAsia" w:ascii="宋体" w:hAnsi="宋体" w:cs="宋体"/>
                <w:color w:val="auto"/>
                <w:lang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25744D79">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50F7171">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1893E153">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D925E74">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2E08137">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427F951E">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32A85399">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30EFFD52">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7F0D7427">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E2F26B7">
            <w:pPr>
              <w:jc w:val="center"/>
              <w:textAlignment w:val="center"/>
              <w:rPr>
                <w:rFonts w:hint="eastAsia" w:ascii="宋体" w:hAnsi="宋体" w:cs="宋体"/>
                <w:color w:val="auto"/>
                <w:kern w:val="2"/>
                <w:lang w:eastAsia="zh-CN"/>
              </w:rPr>
            </w:pPr>
          </w:p>
        </w:tc>
      </w:tr>
      <w:tr w14:paraId="7B5AB582">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2D1DC582">
            <w:pPr>
              <w:jc w:val="center"/>
              <w:textAlignment w:val="center"/>
              <w:rPr>
                <w:rFonts w:hint="eastAsia" w:ascii="宋体" w:hAnsi="宋体" w:cs="宋体"/>
                <w:color w:val="auto"/>
                <w:lang w:eastAsia="zh-CN"/>
              </w:rPr>
            </w:pPr>
            <w:r>
              <w:rPr>
                <w:rFonts w:hint="eastAsia" w:ascii="宋体" w:hAnsi="宋体" w:cs="宋体"/>
                <w:color w:val="auto"/>
                <w:lang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5F528A30">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F9B3988">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2BEF2E0E">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69FE9BAF">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9EE04E4">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62597FA9">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503C9EEA">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831E95C">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418B7640">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5BB12373">
            <w:pPr>
              <w:jc w:val="center"/>
              <w:textAlignment w:val="center"/>
              <w:rPr>
                <w:rFonts w:hint="eastAsia" w:ascii="宋体" w:hAnsi="宋体" w:cs="宋体"/>
                <w:color w:val="auto"/>
                <w:kern w:val="2"/>
                <w:lang w:eastAsia="zh-CN"/>
              </w:rPr>
            </w:pPr>
          </w:p>
        </w:tc>
      </w:tr>
      <w:tr w14:paraId="57B050AA">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07B49957">
            <w:pPr>
              <w:jc w:val="center"/>
              <w:textAlignment w:val="center"/>
              <w:rPr>
                <w:rFonts w:hint="eastAsia" w:ascii="宋体" w:hAnsi="宋体" w:cs="宋体"/>
                <w:color w:val="auto"/>
                <w:lang w:eastAsia="zh-CN"/>
              </w:rPr>
            </w:pPr>
            <w:r>
              <w:rPr>
                <w:rFonts w:hint="eastAsia" w:ascii="宋体" w:hAnsi="宋体" w:cs="宋体"/>
                <w:color w:val="auto"/>
                <w:lang w:eastAsia="zh-CN"/>
              </w:rPr>
              <w:t>合计</w:t>
            </w:r>
          </w:p>
          <w:p w14:paraId="26910B4D">
            <w:pPr>
              <w:jc w:val="center"/>
              <w:textAlignment w:val="center"/>
              <w:rPr>
                <w:rFonts w:hint="eastAsia" w:ascii="宋体" w:hAnsi="宋体" w:cs="宋体"/>
                <w:color w:val="auto"/>
                <w:lang w:eastAsia="zh-CN"/>
              </w:rPr>
            </w:pPr>
            <w:r>
              <w:rPr>
                <w:rFonts w:hint="eastAsia" w:ascii="宋体" w:hAnsi="宋体" w:cs="宋体"/>
                <w:color w:val="auto"/>
                <w:lang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2C62AB1B">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2BF3597">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781D24D5">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183F0AE">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080BEA7D">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64DA9299">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3D17F661">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A8E7BCB">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23D4D8CA">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18A99CF1">
            <w:pPr>
              <w:jc w:val="center"/>
              <w:textAlignment w:val="center"/>
              <w:rPr>
                <w:rFonts w:hint="eastAsia" w:ascii="宋体" w:hAnsi="宋体" w:cs="宋体"/>
                <w:color w:val="auto"/>
                <w:kern w:val="2"/>
                <w:lang w:eastAsia="zh-CN"/>
              </w:rPr>
            </w:pPr>
          </w:p>
        </w:tc>
      </w:tr>
    </w:tbl>
    <w:p w14:paraId="0C3AA41E">
      <w:pPr>
        <w:pStyle w:val="29"/>
        <w:numPr>
          <w:ilvl w:val="0"/>
          <w:numId w:val="0"/>
        </w:numPr>
        <w:rPr>
          <w:rFonts w:hint="eastAsia" w:ascii="宋体" w:hAnsi="宋体" w:eastAsia="宋体" w:cs="宋体"/>
          <w:b/>
          <w:bCs/>
          <w:color w:val="auto"/>
          <w:sz w:val="24"/>
          <w:szCs w:val="24"/>
        </w:rPr>
      </w:pPr>
    </w:p>
    <w:p w14:paraId="6183EDD6">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注：1、清单中各项必须填写完整，不能以空格、斜杠等其它形式代替，不能有合并单元格。</w:t>
      </w:r>
    </w:p>
    <w:p w14:paraId="580D609B">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2、供应商的报价应当包含为完成本项目全部工作所需的一切费用，包括成本、利润、税金等。</w:t>
      </w:r>
    </w:p>
    <w:p w14:paraId="5EEE4CE2">
      <w:pPr>
        <w:tabs>
          <w:tab w:val="left" w:pos="1365"/>
        </w:tabs>
        <w:spacing w:line="360" w:lineRule="auto"/>
        <w:jc w:val="center"/>
        <w:rPr>
          <w:rFonts w:hint="eastAsia" w:ascii="宋体" w:hAnsi="宋体" w:cs="宋体"/>
          <w:b/>
          <w:color w:val="auto"/>
          <w:sz w:val="30"/>
          <w:szCs w:val="30"/>
          <w:lang w:eastAsia="zh-CN"/>
        </w:rPr>
      </w:pPr>
    </w:p>
    <w:p w14:paraId="18E72682">
      <w:pPr>
        <w:pStyle w:val="40"/>
        <w:ind w:firstLine="602"/>
        <w:rPr>
          <w:rFonts w:hint="eastAsia" w:ascii="宋体" w:hAnsi="宋体" w:cs="宋体"/>
          <w:b/>
          <w:color w:val="auto"/>
          <w:sz w:val="30"/>
          <w:szCs w:val="30"/>
          <w:lang w:eastAsia="zh-CN"/>
        </w:rPr>
      </w:pPr>
    </w:p>
    <w:p w14:paraId="4E6992C9">
      <w:pPr>
        <w:pStyle w:val="40"/>
        <w:ind w:firstLine="602"/>
        <w:rPr>
          <w:rFonts w:hint="eastAsia" w:ascii="宋体" w:hAnsi="宋体" w:cs="宋体"/>
          <w:b/>
          <w:color w:val="auto"/>
          <w:sz w:val="30"/>
          <w:szCs w:val="30"/>
          <w:lang w:eastAsia="zh-CN"/>
        </w:rPr>
      </w:pPr>
    </w:p>
    <w:p w14:paraId="60937A4F">
      <w:pPr>
        <w:pStyle w:val="40"/>
        <w:ind w:firstLine="602"/>
        <w:rPr>
          <w:rFonts w:hint="eastAsia" w:ascii="宋体" w:hAnsi="宋体" w:cs="宋体"/>
          <w:b/>
          <w:color w:val="auto"/>
          <w:sz w:val="30"/>
          <w:szCs w:val="30"/>
          <w:lang w:eastAsia="zh-CN"/>
        </w:rPr>
      </w:pPr>
    </w:p>
    <w:p w14:paraId="3545C416">
      <w:pPr>
        <w:pStyle w:val="40"/>
        <w:ind w:firstLine="602"/>
        <w:rPr>
          <w:rFonts w:hint="eastAsia" w:ascii="宋体" w:hAnsi="宋体" w:cs="宋体"/>
          <w:b/>
          <w:color w:val="auto"/>
          <w:sz w:val="30"/>
          <w:szCs w:val="30"/>
          <w:lang w:eastAsia="zh-CN"/>
        </w:rPr>
      </w:pPr>
    </w:p>
    <w:p w14:paraId="372B6B4E">
      <w:pPr>
        <w:pStyle w:val="40"/>
        <w:ind w:firstLine="602"/>
        <w:rPr>
          <w:rFonts w:hint="eastAsia" w:ascii="宋体" w:hAnsi="宋体" w:cs="宋体"/>
          <w:b/>
          <w:color w:val="auto"/>
          <w:sz w:val="30"/>
          <w:szCs w:val="30"/>
          <w:lang w:eastAsia="zh-CN"/>
        </w:rPr>
      </w:pPr>
    </w:p>
    <w:p w14:paraId="11F75B24">
      <w:pPr>
        <w:pStyle w:val="40"/>
        <w:ind w:firstLine="602"/>
        <w:rPr>
          <w:rFonts w:hint="eastAsia" w:ascii="宋体" w:hAnsi="宋体" w:cs="宋体"/>
          <w:b/>
          <w:color w:val="auto"/>
          <w:sz w:val="30"/>
          <w:szCs w:val="30"/>
          <w:lang w:eastAsia="zh-CN"/>
        </w:rPr>
      </w:pPr>
    </w:p>
    <w:p w14:paraId="1AEC0D54">
      <w:pPr>
        <w:pStyle w:val="40"/>
        <w:ind w:firstLine="602"/>
        <w:rPr>
          <w:rFonts w:hint="eastAsia" w:ascii="宋体" w:hAnsi="宋体" w:cs="宋体"/>
          <w:b/>
          <w:color w:val="auto"/>
          <w:sz w:val="30"/>
          <w:szCs w:val="30"/>
          <w:lang w:eastAsia="zh-CN"/>
        </w:rPr>
      </w:pPr>
    </w:p>
    <w:p w14:paraId="6371BF68">
      <w:pPr>
        <w:pStyle w:val="40"/>
        <w:ind w:firstLine="602"/>
        <w:rPr>
          <w:rFonts w:hint="eastAsia" w:ascii="宋体" w:hAnsi="宋体" w:cs="宋体"/>
          <w:b/>
          <w:color w:val="auto"/>
          <w:sz w:val="30"/>
          <w:szCs w:val="30"/>
          <w:lang w:eastAsia="zh-CN"/>
        </w:rPr>
      </w:pPr>
    </w:p>
    <w:p w14:paraId="68560BDB">
      <w:pPr>
        <w:pStyle w:val="40"/>
        <w:ind w:firstLine="602"/>
        <w:rPr>
          <w:rFonts w:hint="eastAsia" w:ascii="宋体" w:hAnsi="宋体" w:cs="宋体"/>
          <w:b/>
          <w:color w:val="auto"/>
          <w:sz w:val="30"/>
          <w:szCs w:val="30"/>
          <w:lang w:eastAsia="zh-CN"/>
        </w:rPr>
      </w:pPr>
    </w:p>
    <w:p w14:paraId="3C1778C2">
      <w:pPr>
        <w:pStyle w:val="40"/>
        <w:ind w:firstLine="602"/>
        <w:rPr>
          <w:rFonts w:hint="eastAsia" w:ascii="宋体" w:hAnsi="宋体" w:cs="宋体"/>
          <w:b/>
          <w:color w:val="auto"/>
          <w:sz w:val="30"/>
          <w:szCs w:val="30"/>
          <w:lang w:eastAsia="zh-CN"/>
        </w:rPr>
      </w:pPr>
    </w:p>
    <w:p w14:paraId="0A2C19B8">
      <w:pPr>
        <w:pStyle w:val="40"/>
        <w:ind w:firstLine="602"/>
        <w:rPr>
          <w:rFonts w:hint="eastAsia" w:ascii="宋体" w:hAnsi="宋体" w:cs="宋体"/>
          <w:b/>
          <w:color w:val="auto"/>
          <w:sz w:val="30"/>
          <w:szCs w:val="30"/>
          <w:lang w:eastAsia="zh-CN"/>
        </w:rPr>
      </w:pPr>
    </w:p>
    <w:p w14:paraId="076134CA">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6、投标货物技术文件</w:t>
      </w:r>
    </w:p>
    <w:p w14:paraId="448D5D2B">
      <w:pPr>
        <w:pStyle w:val="6"/>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投标人应根据自身的实力以及经验，结合采购人需求编制科学、合理、可行性的项目</w:t>
      </w:r>
      <w:r>
        <w:rPr>
          <w:rFonts w:hint="eastAsia" w:ascii="宋体" w:hAnsi="宋体" w:cs="宋体"/>
          <w:b/>
          <w:color w:val="auto"/>
          <w:sz w:val="24"/>
          <w:szCs w:val="24"/>
          <w:lang w:val="zh-CN" w:eastAsia="zh-CN"/>
        </w:rPr>
        <w:t>技术方案、实施方案及产品简介等相关介绍</w:t>
      </w:r>
      <w:r>
        <w:rPr>
          <w:rFonts w:hint="eastAsia" w:ascii="宋体" w:hAnsi="宋体" w:cs="宋体"/>
          <w:b/>
          <w:color w:val="auto"/>
          <w:sz w:val="24"/>
          <w:szCs w:val="24"/>
          <w:lang w:eastAsia="zh-CN"/>
        </w:rPr>
        <w:t>：</w:t>
      </w:r>
    </w:p>
    <w:p w14:paraId="0A315162">
      <w:pPr>
        <w:pStyle w:val="6"/>
        <w:spacing w:line="360" w:lineRule="auto"/>
        <w:rPr>
          <w:rFonts w:hint="eastAsia" w:ascii="宋体" w:hAnsi="宋体" w:cs="宋体"/>
          <w:b/>
          <w:color w:val="auto"/>
          <w:sz w:val="24"/>
          <w:szCs w:val="24"/>
          <w:lang w:eastAsia="zh-CN"/>
        </w:rPr>
      </w:pPr>
    </w:p>
    <w:p w14:paraId="324344A7">
      <w:pPr>
        <w:pStyle w:val="3"/>
        <w:ind w:left="210" w:right="210"/>
        <w:rPr>
          <w:color w:val="auto"/>
          <w:szCs w:val="21"/>
          <w:lang w:eastAsia="zh-CN"/>
        </w:rPr>
      </w:pPr>
      <w:r>
        <w:rPr>
          <w:rFonts w:hint="eastAsia" w:ascii="宋体" w:hAnsi="宋体" w:cs="宋体"/>
          <w:b/>
          <w:color w:val="auto"/>
          <w:lang w:val="zh-CN" w:eastAsia="zh-CN"/>
        </w:rPr>
        <w:br w:type="page"/>
      </w:r>
      <w:bookmarkStart w:id="58" w:name="_Toc424468855"/>
      <w:r>
        <w:rPr>
          <w:rFonts w:hint="eastAsia"/>
          <w:color w:val="auto"/>
          <w:szCs w:val="21"/>
          <w:lang w:eastAsia="zh-CN"/>
        </w:rPr>
        <w:t>6.1：商务条款偏离表</w:t>
      </w:r>
    </w:p>
    <w:p w14:paraId="7AFC5682">
      <w:pPr>
        <w:jc w:val="center"/>
        <w:rPr>
          <w:rFonts w:hint="eastAsia" w:ascii="宋体" w:hAnsi="宋体"/>
          <w:b/>
          <w:color w:val="auto"/>
          <w:sz w:val="22"/>
          <w:szCs w:val="22"/>
          <w:lang w:eastAsia="zh-CN"/>
        </w:rPr>
      </w:pPr>
    </w:p>
    <w:p w14:paraId="209645A0">
      <w:pPr>
        <w:spacing w:line="360" w:lineRule="auto"/>
        <w:jc w:val="center"/>
        <w:rPr>
          <w:rFonts w:hint="eastAsia" w:ascii="宋体" w:hAnsi="宋体" w:cs="宋体"/>
          <w:b/>
          <w:bCs/>
          <w:color w:val="auto"/>
          <w:sz w:val="32"/>
          <w:szCs w:val="40"/>
          <w:lang w:eastAsia="zh-CN"/>
        </w:rPr>
      </w:pPr>
      <w:r>
        <w:rPr>
          <w:rFonts w:hint="eastAsia" w:ascii="宋体" w:hAnsi="宋体" w:cs="宋体"/>
          <w:b/>
          <w:bCs/>
          <w:color w:val="auto"/>
          <w:sz w:val="32"/>
          <w:szCs w:val="40"/>
          <w:lang w:eastAsia="zh-CN"/>
        </w:rPr>
        <w:t>商务条款偏离表</w:t>
      </w:r>
    </w:p>
    <w:p w14:paraId="54555DF5">
      <w:pPr>
        <w:spacing w:line="360" w:lineRule="auto"/>
        <w:jc w:val="both"/>
        <w:rPr>
          <w:rFonts w:hint="eastAsia" w:ascii="宋体" w:hAnsi="宋体" w:cs="宋体"/>
          <w:b/>
          <w:bCs/>
          <w:color w:val="auto"/>
          <w:sz w:val="40"/>
          <w:szCs w:val="40"/>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10B42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6E4FF526">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序号</w:t>
            </w:r>
          </w:p>
        </w:tc>
        <w:tc>
          <w:tcPr>
            <w:tcW w:w="3318" w:type="dxa"/>
            <w:tcMar>
              <w:top w:w="15" w:type="dxa"/>
              <w:left w:w="15" w:type="dxa"/>
              <w:bottom w:w="0" w:type="dxa"/>
              <w:right w:w="15" w:type="dxa"/>
            </w:tcMar>
            <w:vAlign w:val="center"/>
          </w:tcPr>
          <w:p w14:paraId="23E2AF21">
            <w:pPr>
              <w:spacing w:before="156" w:beforeLines="50" w:after="156" w:afterLines="50" w:line="240" w:lineRule="exact"/>
              <w:jc w:val="center"/>
              <w:rPr>
                <w:rFonts w:hint="eastAsia" w:ascii="宋体" w:hAnsi="宋体" w:cs="宋体"/>
                <w:color w:val="auto"/>
                <w:lang w:val="zh-CN" w:eastAsia="zh-CN"/>
              </w:rPr>
            </w:pPr>
            <w:r>
              <w:rPr>
                <w:rFonts w:hint="eastAsia" w:ascii="宋体" w:hAnsi="宋体" w:cs="宋体"/>
                <w:color w:val="auto"/>
                <w:lang w:val="zh-CN" w:eastAsia="zh-CN"/>
              </w:rPr>
              <w:t>采购文件商务要求</w:t>
            </w:r>
          </w:p>
        </w:tc>
        <w:tc>
          <w:tcPr>
            <w:tcW w:w="3050" w:type="dxa"/>
            <w:tcMar>
              <w:top w:w="15" w:type="dxa"/>
              <w:left w:w="15" w:type="dxa"/>
              <w:bottom w:w="0" w:type="dxa"/>
              <w:right w:w="15" w:type="dxa"/>
            </w:tcMar>
            <w:vAlign w:val="center"/>
          </w:tcPr>
          <w:p w14:paraId="159C4F05">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投标文件商务应答</w:t>
            </w:r>
          </w:p>
        </w:tc>
        <w:tc>
          <w:tcPr>
            <w:tcW w:w="1124" w:type="dxa"/>
            <w:tcMar>
              <w:top w:w="15" w:type="dxa"/>
              <w:left w:w="15" w:type="dxa"/>
              <w:bottom w:w="0" w:type="dxa"/>
              <w:right w:w="15" w:type="dxa"/>
            </w:tcMar>
            <w:vAlign w:val="center"/>
          </w:tcPr>
          <w:p w14:paraId="70A6E99A">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偏离情况</w:t>
            </w:r>
          </w:p>
        </w:tc>
        <w:tc>
          <w:tcPr>
            <w:tcW w:w="1172" w:type="dxa"/>
            <w:tcMar>
              <w:top w:w="15" w:type="dxa"/>
              <w:left w:w="15" w:type="dxa"/>
              <w:bottom w:w="0" w:type="dxa"/>
              <w:right w:w="15" w:type="dxa"/>
            </w:tcMar>
            <w:vAlign w:val="center"/>
          </w:tcPr>
          <w:p w14:paraId="62710DFD">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说明</w:t>
            </w:r>
          </w:p>
        </w:tc>
      </w:tr>
      <w:tr w14:paraId="11442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0B5D8EC6">
            <w:pPr>
              <w:spacing w:line="360" w:lineRule="exact"/>
              <w:jc w:val="center"/>
              <w:rPr>
                <w:rFonts w:hint="eastAsia" w:ascii="宋体" w:hAnsi="宋体" w:cs="宋体"/>
                <w:color w:val="auto"/>
              </w:rPr>
            </w:pPr>
            <w:r>
              <w:rPr>
                <w:rFonts w:hint="eastAsia" w:ascii="宋体" w:hAnsi="宋体" w:cs="宋体"/>
                <w:color w:val="auto"/>
              </w:rPr>
              <w:t>1</w:t>
            </w:r>
          </w:p>
        </w:tc>
        <w:tc>
          <w:tcPr>
            <w:tcW w:w="3318" w:type="dxa"/>
            <w:tcMar>
              <w:top w:w="15" w:type="dxa"/>
              <w:left w:w="15" w:type="dxa"/>
              <w:bottom w:w="0" w:type="dxa"/>
              <w:right w:w="15" w:type="dxa"/>
            </w:tcMar>
            <w:vAlign w:val="center"/>
          </w:tcPr>
          <w:p w14:paraId="6937F3BF">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1E2D915D">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0D82687">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17EF9C88">
            <w:pPr>
              <w:spacing w:line="360" w:lineRule="exact"/>
              <w:jc w:val="center"/>
              <w:rPr>
                <w:rFonts w:hint="eastAsia" w:ascii="宋体" w:hAnsi="宋体" w:cs="宋体"/>
                <w:color w:val="auto"/>
              </w:rPr>
            </w:pPr>
          </w:p>
        </w:tc>
      </w:tr>
      <w:tr w14:paraId="5C368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72C2FCF6">
            <w:pPr>
              <w:spacing w:line="360" w:lineRule="exact"/>
              <w:jc w:val="center"/>
              <w:rPr>
                <w:rFonts w:hint="eastAsia" w:ascii="宋体" w:hAnsi="宋体" w:cs="宋体"/>
                <w:color w:val="auto"/>
              </w:rPr>
            </w:pPr>
            <w:r>
              <w:rPr>
                <w:rFonts w:hint="eastAsia" w:ascii="宋体" w:hAnsi="宋体" w:cs="宋体"/>
                <w:color w:val="auto"/>
              </w:rPr>
              <w:t>2</w:t>
            </w:r>
          </w:p>
        </w:tc>
        <w:tc>
          <w:tcPr>
            <w:tcW w:w="3318" w:type="dxa"/>
            <w:tcMar>
              <w:top w:w="15" w:type="dxa"/>
              <w:left w:w="15" w:type="dxa"/>
              <w:bottom w:w="0" w:type="dxa"/>
              <w:right w:w="15" w:type="dxa"/>
            </w:tcMar>
            <w:vAlign w:val="center"/>
          </w:tcPr>
          <w:p w14:paraId="48FB2D05">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4D5F0E01">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FDCAECC">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0A7D0217">
            <w:pPr>
              <w:spacing w:line="360" w:lineRule="exact"/>
              <w:jc w:val="center"/>
              <w:rPr>
                <w:rFonts w:hint="eastAsia" w:ascii="宋体" w:hAnsi="宋体" w:cs="宋体"/>
                <w:color w:val="auto"/>
              </w:rPr>
            </w:pPr>
          </w:p>
        </w:tc>
      </w:tr>
      <w:tr w14:paraId="51AE1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24E344F5">
            <w:pPr>
              <w:spacing w:line="360" w:lineRule="exact"/>
              <w:jc w:val="center"/>
              <w:rPr>
                <w:rFonts w:hint="eastAsia" w:ascii="宋体" w:hAnsi="宋体" w:cs="宋体"/>
                <w:color w:val="auto"/>
              </w:rPr>
            </w:pPr>
            <w:r>
              <w:rPr>
                <w:rFonts w:hint="eastAsia" w:ascii="宋体" w:hAnsi="宋体" w:cs="宋体"/>
                <w:color w:val="auto"/>
              </w:rPr>
              <w:t>3</w:t>
            </w:r>
          </w:p>
        </w:tc>
        <w:tc>
          <w:tcPr>
            <w:tcW w:w="3318" w:type="dxa"/>
            <w:tcMar>
              <w:top w:w="15" w:type="dxa"/>
              <w:left w:w="15" w:type="dxa"/>
              <w:bottom w:w="0" w:type="dxa"/>
              <w:right w:w="15" w:type="dxa"/>
            </w:tcMar>
            <w:vAlign w:val="center"/>
          </w:tcPr>
          <w:p w14:paraId="440A38F0">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00CB299E">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BD37482">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53214D01">
            <w:pPr>
              <w:spacing w:line="360" w:lineRule="exact"/>
              <w:jc w:val="center"/>
              <w:rPr>
                <w:rFonts w:hint="eastAsia" w:ascii="宋体" w:hAnsi="宋体" w:cs="宋体"/>
                <w:color w:val="auto"/>
              </w:rPr>
            </w:pPr>
          </w:p>
        </w:tc>
      </w:tr>
      <w:tr w14:paraId="05564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32D2ED4">
            <w:pPr>
              <w:spacing w:line="360" w:lineRule="exact"/>
              <w:jc w:val="center"/>
              <w:rPr>
                <w:rFonts w:hint="eastAsia" w:ascii="宋体" w:hAnsi="宋体" w:cs="宋体"/>
                <w:color w:val="auto"/>
              </w:rPr>
            </w:pPr>
            <w:r>
              <w:rPr>
                <w:rFonts w:hint="eastAsia" w:ascii="宋体" w:hAnsi="宋体" w:cs="宋体"/>
                <w:color w:val="auto"/>
              </w:rPr>
              <w:t>4</w:t>
            </w:r>
          </w:p>
        </w:tc>
        <w:tc>
          <w:tcPr>
            <w:tcW w:w="3318" w:type="dxa"/>
            <w:tcMar>
              <w:top w:w="15" w:type="dxa"/>
              <w:left w:w="15" w:type="dxa"/>
              <w:bottom w:w="0" w:type="dxa"/>
              <w:right w:w="15" w:type="dxa"/>
            </w:tcMar>
            <w:vAlign w:val="center"/>
          </w:tcPr>
          <w:p w14:paraId="7E39D05A">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51C21816">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6530FA23">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3177E74C">
            <w:pPr>
              <w:spacing w:line="360" w:lineRule="exact"/>
              <w:jc w:val="center"/>
              <w:rPr>
                <w:rFonts w:hint="eastAsia" w:ascii="宋体" w:hAnsi="宋体" w:cs="宋体"/>
                <w:color w:val="auto"/>
              </w:rPr>
            </w:pPr>
          </w:p>
        </w:tc>
      </w:tr>
      <w:tr w14:paraId="6177D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2552CCBC">
            <w:pPr>
              <w:spacing w:line="360" w:lineRule="exact"/>
              <w:jc w:val="center"/>
              <w:rPr>
                <w:rFonts w:hint="eastAsia" w:ascii="宋体" w:hAnsi="宋体" w:cs="宋体"/>
                <w:color w:val="auto"/>
              </w:rPr>
            </w:pPr>
            <w:r>
              <w:rPr>
                <w:rFonts w:hint="eastAsia" w:ascii="宋体" w:hAnsi="宋体" w:cs="宋体"/>
                <w:color w:val="auto"/>
              </w:rPr>
              <w:t>5</w:t>
            </w:r>
          </w:p>
        </w:tc>
        <w:tc>
          <w:tcPr>
            <w:tcW w:w="3318" w:type="dxa"/>
            <w:tcMar>
              <w:top w:w="15" w:type="dxa"/>
              <w:left w:w="15" w:type="dxa"/>
              <w:bottom w:w="0" w:type="dxa"/>
              <w:right w:w="15" w:type="dxa"/>
            </w:tcMar>
            <w:vAlign w:val="center"/>
          </w:tcPr>
          <w:p w14:paraId="502D8617">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2662E222">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31B9CEDF">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32A51E60">
            <w:pPr>
              <w:spacing w:line="360" w:lineRule="exact"/>
              <w:jc w:val="center"/>
              <w:rPr>
                <w:rFonts w:hint="eastAsia" w:ascii="宋体" w:hAnsi="宋体" w:cs="宋体"/>
                <w:color w:val="auto"/>
              </w:rPr>
            </w:pPr>
          </w:p>
        </w:tc>
      </w:tr>
      <w:tr w14:paraId="5E881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5A5CC245">
            <w:pPr>
              <w:spacing w:line="360" w:lineRule="exact"/>
              <w:jc w:val="center"/>
              <w:rPr>
                <w:rFonts w:hint="eastAsia" w:ascii="宋体" w:hAnsi="宋体" w:cs="宋体"/>
                <w:color w:val="auto"/>
              </w:rPr>
            </w:pPr>
            <w:r>
              <w:rPr>
                <w:rFonts w:hint="eastAsia" w:ascii="宋体" w:hAnsi="宋体" w:cs="宋体"/>
                <w:color w:val="auto"/>
              </w:rPr>
              <w:t>……</w:t>
            </w:r>
          </w:p>
        </w:tc>
        <w:tc>
          <w:tcPr>
            <w:tcW w:w="3318" w:type="dxa"/>
            <w:tcMar>
              <w:top w:w="15" w:type="dxa"/>
              <w:left w:w="15" w:type="dxa"/>
              <w:bottom w:w="0" w:type="dxa"/>
              <w:right w:w="15" w:type="dxa"/>
            </w:tcMar>
            <w:vAlign w:val="center"/>
          </w:tcPr>
          <w:p w14:paraId="0E37C467">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38D05EF9">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078E4C53">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2C2B2BDB">
            <w:pPr>
              <w:spacing w:line="360" w:lineRule="exact"/>
              <w:jc w:val="center"/>
              <w:rPr>
                <w:rFonts w:hint="eastAsia" w:ascii="宋体" w:hAnsi="宋体" w:cs="宋体"/>
                <w:color w:val="auto"/>
              </w:rPr>
            </w:pPr>
          </w:p>
        </w:tc>
      </w:tr>
    </w:tbl>
    <w:p w14:paraId="6F32D3FC">
      <w:pPr>
        <w:spacing w:line="360" w:lineRule="auto"/>
        <w:rPr>
          <w:rFonts w:hint="eastAsia" w:ascii="宋体" w:hAnsi="宋体" w:cs="宋体"/>
          <w:color w:val="auto"/>
        </w:rPr>
      </w:pPr>
    </w:p>
    <w:p w14:paraId="4E5154AB">
      <w:pPr>
        <w:spacing w:line="360" w:lineRule="auto"/>
        <w:ind w:firstLine="570"/>
        <w:jc w:val="both"/>
        <w:rPr>
          <w:rFonts w:hint="eastAsia" w:ascii="宋体" w:hAnsi="宋体" w:cs="宋体"/>
          <w:color w:val="auto"/>
          <w:kern w:val="2"/>
          <w:sz w:val="24"/>
          <w:szCs w:val="24"/>
          <w:lang w:eastAsia="zh-CN"/>
        </w:rPr>
      </w:pPr>
      <w:r>
        <w:rPr>
          <w:rFonts w:hint="eastAsia" w:ascii="宋体" w:hAnsi="宋体" w:cs="宋体"/>
          <w:color w:val="auto"/>
          <w:lang w:eastAsia="zh-CN"/>
        </w:rPr>
        <w:t>注：</w:t>
      </w:r>
      <w:r>
        <w:rPr>
          <w:rFonts w:hint="eastAsia" w:ascii="宋体" w:hAnsi="宋体" w:cs="宋体"/>
          <w:color w:val="auto"/>
          <w:kern w:val="2"/>
          <w:sz w:val="24"/>
          <w:szCs w:val="24"/>
          <w:lang w:eastAsia="zh-CN"/>
        </w:rPr>
        <w:t>1.商务条款均应根据投标文件对采购文件的偏离情况相对应地填列。</w:t>
      </w:r>
    </w:p>
    <w:p w14:paraId="78693DB1">
      <w:pPr>
        <w:spacing w:line="360" w:lineRule="auto"/>
        <w:ind w:firstLine="57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2.商务条款主要填列交付（实施）的时间（期限）、交付（实施）的地点（范围）、包装和运输要求、保险要求、付款条件（进度和方式）、售后服务等重要条款方面的偏离情况。</w:t>
      </w:r>
    </w:p>
    <w:p w14:paraId="069EE49B">
      <w:pPr>
        <w:spacing w:line="360" w:lineRule="auto"/>
        <w:ind w:firstLine="480" w:firstLineChars="20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3.表内如果填列不全，可另外附页说明并按规定签字和加盖公章。             </w:t>
      </w:r>
    </w:p>
    <w:p w14:paraId="2B34F9CC">
      <w:pPr>
        <w:spacing w:line="360" w:lineRule="auto"/>
        <w:ind w:firstLine="480" w:firstLineChars="200"/>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4.采购人要求供应商认真填写本表。</w:t>
      </w:r>
      <w:r>
        <w:rPr>
          <w:rFonts w:hint="eastAsia" w:ascii="宋体" w:hAnsi="宋体" w:cs="宋体"/>
          <w:color w:val="auto"/>
          <w:kern w:val="2"/>
          <w:sz w:val="24"/>
          <w:szCs w:val="24"/>
          <w:lang w:val="zh-CN" w:eastAsia="zh-CN"/>
        </w:rPr>
        <w:t>“偏离情况”</w:t>
      </w:r>
      <w:r>
        <w:rPr>
          <w:rFonts w:hint="eastAsia" w:ascii="宋体" w:hAnsi="宋体" w:cs="宋体"/>
          <w:color w:val="auto"/>
          <w:kern w:val="2"/>
          <w:sz w:val="24"/>
          <w:szCs w:val="24"/>
          <w:lang w:eastAsia="zh-CN"/>
        </w:rPr>
        <w:t>一</w:t>
      </w:r>
      <w:r>
        <w:rPr>
          <w:rFonts w:hint="eastAsia" w:ascii="宋体" w:hAnsi="宋体" w:cs="宋体"/>
          <w:color w:val="auto"/>
          <w:kern w:val="2"/>
          <w:sz w:val="24"/>
          <w:szCs w:val="24"/>
          <w:lang w:val="zh-CN" w:eastAsia="zh-CN"/>
        </w:rPr>
        <w:t>栏中</w:t>
      </w:r>
      <w:r>
        <w:rPr>
          <w:rFonts w:hint="eastAsia" w:ascii="宋体" w:hAnsi="宋体" w:cs="宋体"/>
          <w:color w:val="auto"/>
          <w:kern w:val="2"/>
          <w:sz w:val="24"/>
          <w:szCs w:val="24"/>
          <w:lang w:eastAsia="zh-CN"/>
        </w:rPr>
        <w:t>必须</w:t>
      </w:r>
      <w:r>
        <w:rPr>
          <w:rFonts w:hint="eastAsia" w:ascii="宋体" w:hAnsi="宋体" w:cs="宋体"/>
          <w:color w:val="auto"/>
          <w:kern w:val="2"/>
          <w:sz w:val="24"/>
          <w:szCs w:val="24"/>
          <w:lang w:val="zh-CN" w:eastAsia="zh-CN"/>
        </w:rPr>
        <w:t>如实</w:t>
      </w:r>
      <w:r>
        <w:rPr>
          <w:rFonts w:hint="eastAsia" w:ascii="宋体" w:hAnsi="宋体" w:cs="宋体"/>
          <w:color w:val="auto"/>
          <w:kern w:val="2"/>
          <w:sz w:val="24"/>
          <w:szCs w:val="24"/>
          <w:lang w:eastAsia="zh-CN"/>
        </w:rPr>
        <w:t>并按照商务要求的内容逐项</w:t>
      </w:r>
      <w:r>
        <w:rPr>
          <w:rFonts w:hint="eastAsia" w:ascii="宋体" w:hAnsi="宋体" w:cs="宋体"/>
          <w:color w:val="auto"/>
          <w:kern w:val="2"/>
          <w:sz w:val="24"/>
          <w:szCs w:val="24"/>
          <w:lang w:val="zh-CN" w:eastAsia="zh-CN"/>
        </w:rPr>
        <w:t>填写“正偏离”、“负偏离”或“无偏离”，投标人的响应必须完全满足或者正偏离，否则按照</w:t>
      </w:r>
      <w:r>
        <w:rPr>
          <w:rFonts w:hint="eastAsia" w:ascii="宋体" w:hAnsi="宋体" w:cs="宋体"/>
          <w:color w:val="auto"/>
          <w:kern w:val="2"/>
          <w:sz w:val="24"/>
          <w:szCs w:val="24"/>
          <w:lang w:eastAsia="zh-CN"/>
        </w:rPr>
        <w:t>投标</w:t>
      </w:r>
      <w:r>
        <w:rPr>
          <w:rFonts w:hint="eastAsia" w:ascii="宋体" w:hAnsi="宋体" w:cs="宋体"/>
          <w:color w:val="auto"/>
          <w:kern w:val="2"/>
          <w:sz w:val="24"/>
          <w:szCs w:val="24"/>
          <w:lang w:val="zh-CN" w:eastAsia="zh-CN"/>
        </w:rPr>
        <w:t>无效处理。</w:t>
      </w:r>
    </w:p>
    <w:p w14:paraId="21CD4A59">
      <w:pPr>
        <w:spacing w:line="360" w:lineRule="auto"/>
        <w:ind w:firstLine="480" w:firstLineChars="200"/>
        <w:jc w:val="both"/>
        <w:outlineLvl w:val="0"/>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5.此表可根据需要自行拉长加宽。</w:t>
      </w:r>
    </w:p>
    <w:p w14:paraId="0EE68406">
      <w:pPr>
        <w:pStyle w:val="9"/>
        <w:ind w:left="366" w:firstLine="420"/>
        <w:rPr>
          <w:rFonts w:hint="eastAsia" w:hAnsi="宋体" w:cs="宋体"/>
          <w:color w:val="auto"/>
          <w:sz w:val="21"/>
          <w:lang w:eastAsia="zh-CN"/>
        </w:rPr>
      </w:pPr>
    </w:p>
    <w:p w14:paraId="670ADCA8">
      <w:pPr>
        <w:pStyle w:val="9"/>
        <w:ind w:left="366" w:firstLine="420"/>
        <w:rPr>
          <w:rFonts w:hint="eastAsia" w:hAnsi="宋体" w:cs="宋体"/>
          <w:color w:val="auto"/>
          <w:sz w:val="21"/>
          <w:lang w:eastAsia="zh-CN"/>
        </w:rPr>
      </w:pPr>
    </w:p>
    <w:p w14:paraId="3ACB212E">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646A81C3">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5CCD6C0B">
      <w:pPr>
        <w:pStyle w:val="9"/>
        <w:ind w:firstLine="0"/>
        <w:rPr>
          <w:rFonts w:hint="eastAsia" w:hAnsi="宋体" w:cs="宋体"/>
          <w:color w:val="auto"/>
          <w:sz w:val="21"/>
          <w:lang w:eastAsia="zh-CN"/>
        </w:rPr>
      </w:pPr>
    </w:p>
    <w:p w14:paraId="68C583B5">
      <w:pPr>
        <w:pStyle w:val="9"/>
        <w:ind w:left="366" w:firstLine="420"/>
        <w:jc w:val="right"/>
        <w:rPr>
          <w:rFonts w:hint="eastAsia" w:hAnsi="宋体" w:cs="宋体"/>
          <w:color w:val="auto"/>
          <w:sz w:val="21"/>
          <w:lang w:eastAsia="zh-CN"/>
        </w:rPr>
      </w:pPr>
      <w:r>
        <w:rPr>
          <w:rFonts w:hint="eastAsia" w:hAnsi="宋体" w:cs="宋体"/>
          <w:bCs/>
          <w:color w:val="auto"/>
          <w:sz w:val="21"/>
          <w:lang w:eastAsia="zh-CN"/>
        </w:rPr>
        <w:t>日期:</w:t>
      </w:r>
      <w:r>
        <w:rPr>
          <w:rFonts w:hint="eastAsia" w:hAnsi="宋体" w:cs="宋体"/>
          <w:color w:val="auto"/>
          <w:sz w:val="21"/>
          <w:u w:val="single"/>
          <w:lang w:eastAsia="zh-CN"/>
        </w:rPr>
        <w:t xml:space="preserve">     </w:t>
      </w:r>
      <w:r>
        <w:rPr>
          <w:rFonts w:hint="eastAsia" w:hAnsi="宋体" w:cs="宋体"/>
          <w:color w:val="auto"/>
          <w:sz w:val="21"/>
          <w:lang w:eastAsia="zh-CN"/>
        </w:rPr>
        <w:t>年</w:t>
      </w:r>
      <w:r>
        <w:rPr>
          <w:rFonts w:hint="eastAsia" w:hAnsi="宋体" w:cs="宋体"/>
          <w:color w:val="auto"/>
          <w:sz w:val="21"/>
          <w:u w:val="single"/>
          <w:lang w:eastAsia="zh-CN"/>
        </w:rPr>
        <w:t xml:space="preserve">   </w:t>
      </w:r>
      <w:r>
        <w:rPr>
          <w:rFonts w:hint="eastAsia" w:hAnsi="宋体" w:cs="宋体"/>
          <w:color w:val="auto"/>
          <w:sz w:val="21"/>
          <w:lang w:eastAsia="zh-CN"/>
        </w:rPr>
        <w:t>月</w:t>
      </w:r>
      <w:r>
        <w:rPr>
          <w:rFonts w:hint="eastAsia" w:hAnsi="宋体" w:cs="宋体"/>
          <w:color w:val="auto"/>
          <w:sz w:val="21"/>
          <w:u w:val="single"/>
          <w:lang w:eastAsia="zh-CN"/>
        </w:rPr>
        <w:t xml:space="preserve">   </w:t>
      </w:r>
      <w:r>
        <w:rPr>
          <w:rFonts w:hint="eastAsia" w:hAnsi="宋体" w:cs="宋体"/>
          <w:color w:val="auto"/>
          <w:sz w:val="21"/>
          <w:lang w:eastAsia="zh-CN"/>
        </w:rPr>
        <w:t>日</w:t>
      </w:r>
    </w:p>
    <w:p w14:paraId="423B5A85">
      <w:pPr>
        <w:spacing w:before="156" w:beforeLines="50" w:after="312" w:afterLines="100" w:line="420" w:lineRule="exact"/>
        <w:rPr>
          <w:rFonts w:hint="eastAsia" w:ascii="宋体" w:hAnsi="宋体" w:cs="宋体"/>
          <w:b/>
          <w:color w:val="auto"/>
          <w:lang w:eastAsia="zh-CN"/>
        </w:rPr>
      </w:pPr>
    </w:p>
    <w:p w14:paraId="7FECC8F5">
      <w:pPr>
        <w:pStyle w:val="3"/>
        <w:ind w:left="210" w:right="210"/>
        <w:rPr>
          <w:color w:val="auto"/>
          <w:szCs w:val="21"/>
          <w:lang w:eastAsia="zh-CN"/>
        </w:rPr>
      </w:pPr>
      <w:r>
        <w:rPr>
          <w:rFonts w:hint="eastAsia"/>
          <w:color w:val="auto"/>
          <w:szCs w:val="21"/>
          <w:lang w:eastAsia="zh-CN"/>
        </w:rPr>
        <w:t>6.2：技术规格偏离表</w:t>
      </w:r>
    </w:p>
    <w:p w14:paraId="3C2781C1">
      <w:pPr>
        <w:spacing w:line="360" w:lineRule="auto"/>
        <w:jc w:val="center"/>
        <w:rPr>
          <w:rFonts w:hint="eastAsia" w:ascii="宋体" w:hAnsi="宋体"/>
          <w:b/>
          <w:color w:val="auto"/>
          <w:sz w:val="28"/>
          <w:szCs w:val="28"/>
          <w:lang w:eastAsia="zh-CN"/>
        </w:rPr>
      </w:pPr>
      <w:r>
        <w:rPr>
          <w:rFonts w:hint="eastAsia" w:ascii="宋体" w:hAnsi="宋体"/>
          <w:b/>
          <w:color w:val="auto"/>
          <w:sz w:val="28"/>
          <w:szCs w:val="28"/>
          <w:lang w:eastAsia="zh-CN"/>
        </w:rPr>
        <w:t>技术规格偏离表(格式)</w:t>
      </w:r>
    </w:p>
    <w:p w14:paraId="22295F65">
      <w:pPr>
        <w:spacing w:line="360" w:lineRule="auto"/>
        <w:rPr>
          <w:rFonts w:hint="eastAsia" w:ascii="宋体" w:hAnsi="宋体"/>
          <w:color w:val="auto"/>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2973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2E63703B">
            <w:pPr>
              <w:spacing w:before="156" w:beforeLines="50" w:after="156" w:afterLines="50" w:line="240" w:lineRule="exact"/>
              <w:jc w:val="center"/>
              <w:rPr>
                <w:rFonts w:hint="eastAsia" w:ascii="宋体" w:hAnsi="宋体" w:cs="宋体"/>
                <w:color w:val="auto"/>
              </w:rPr>
            </w:pPr>
            <w:r>
              <w:rPr>
                <w:rFonts w:hint="eastAsia" w:ascii="宋体" w:hAnsi="宋体" w:cs="宋体"/>
                <w:color w:val="auto"/>
              </w:rPr>
              <w:t>序号</w:t>
            </w:r>
          </w:p>
        </w:tc>
        <w:tc>
          <w:tcPr>
            <w:tcW w:w="2987" w:type="dxa"/>
            <w:tcBorders>
              <w:top w:val="single" w:color="000000" w:sz="4" w:space="0"/>
              <w:left w:val="single" w:color="000000" w:sz="4" w:space="0"/>
              <w:bottom w:val="single" w:color="000000" w:sz="4" w:space="0"/>
              <w:right w:val="single" w:color="000000" w:sz="4" w:space="0"/>
            </w:tcBorders>
          </w:tcPr>
          <w:p w14:paraId="7F412C6D">
            <w:pPr>
              <w:spacing w:before="240" w:after="240"/>
              <w:jc w:val="center"/>
              <w:rPr>
                <w:rFonts w:hint="eastAsia" w:ascii="宋体" w:hAnsi="宋体" w:cs="宋体"/>
                <w:color w:val="auto"/>
                <w:lang w:eastAsia="zh-CN"/>
              </w:rPr>
            </w:pPr>
            <w:r>
              <w:rPr>
                <w:rFonts w:hint="eastAsia" w:ascii="宋体" w:hAnsi="宋体"/>
                <w:color w:val="auto"/>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3EA1524F">
            <w:pPr>
              <w:spacing w:before="240" w:after="240"/>
              <w:jc w:val="center"/>
              <w:rPr>
                <w:rFonts w:hint="eastAsia" w:ascii="宋体" w:hAnsi="宋体" w:cs="宋体"/>
                <w:color w:val="auto"/>
              </w:rPr>
            </w:pPr>
            <w:r>
              <w:rPr>
                <w:rFonts w:hint="eastAsia" w:ascii="宋体" w:hAnsi="宋体"/>
                <w:color w:val="auto"/>
                <w:lang w:eastAsia="zh-CN"/>
              </w:rPr>
              <w:t>投标文件</w:t>
            </w:r>
            <w:r>
              <w:rPr>
                <w:rFonts w:hint="eastAsia" w:ascii="宋体" w:hAnsi="宋体"/>
                <w:color w:val="auto"/>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7B205343">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偏离情况</w:t>
            </w:r>
          </w:p>
          <w:p w14:paraId="3CBA1816">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25C377CA">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相关证明材料（对应页码）（如有）</w:t>
            </w:r>
          </w:p>
        </w:tc>
      </w:tr>
      <w:tr w14:paraId="28825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78CDE7DD">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1</w:t>
            </w:r>
          </w:p>
        </w:tc>
        <w:tc>
          <w:tcPr>
            <w:tcW w:w="1695" w:type="pct"/>
            <w:tcBorders>
              <w:top w:val="single" w:color="000000" w:sz="4" w:space="0"/>
              <w:left w:val="single" w:color="000000" w:sz="4" w:space="0"/>
              <w:bottom w:val="single" w:color="000000" w:sz="4" w:space="0"/>
              <w:right w:val="single" w:color="000000" w:sz="4" w:space="0"/>
            </w:tcBorders>
          </w:tcPr>
          <w:p w14:paraId="4F829F28">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04732C24">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198D926F">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1F295631">
            <w:pPr>
              <w:spacing w:before="156" w:beforeLines="50" w:after="156" w:afterLines="50" w:line="312" w:lineRule="auto"/>
              <w:jc w:val="center"/>
              <w:rPr>
                <w:rFonts w:hint="eastAsia" w:ascii="宋体" w:hAnsi="宋体" w:cs="宋体"/>
                <w:color w:val="auto"/>
              </w:rPr>
            </w:pPr>
          </w:p>
        </w:tc>
      </w:tr>
      <w:tr w14:paraId="41F4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3955E1DA">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2</w:t>
            </w:r>
          </w:p>
        </w:tc>
        <w:tc>
          <w:tcPr>
            <w:tcW w:w="1695" w:type="pct"/>
            <w:tcBorders>
              <w:top w:val="single" w:color="000000" w:sz="4" w:space="0"/>
              <w:left w:val="single" w:color="000000" w:sz="4" w:space="0"/>
              <w:bottom w:val="single" w:color="000000" w:sz="4" w:space="0"/>
              <w:right w:val="single" w:color="000000" w:sz="4" w:space="0"/>
            </w:tcBorders>
          </w:tcPr>
          <w:p w14:paraId="2DC43891">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1D8780ED">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5AC8C2BC">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7EB27BB6">
            <w:pPr>
              <w:spacing w:before="156" w:beforeLines="50" w:after="156" w:afterLines="50" w:line="312" w:lineRule="auto"/>
              <w:jc w:val="center"/>
              <w:rPr>
                <w:rFonts w:hint="eastAsia" w:ascii="宋体" w:hAnsi="宋体" w:cs="宋体"/>
                <w:color w:val="auto"/>
              </w:rPr>
            </w:pPr>
          </w:p>
        </w:tc>
      </w:tr>
      <w:tr w14:paraId="7873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C0BB6FA">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3</w:t>
            </w:r>
          </w:p>
        </w:tc>
        <w:tc>
          <w:tcPr>
            <w:tcW w:w="1695" w:type="pct"/>
            <w:tcBorders>
              <w:top w:val="single" w:color="000000" w:sz="4" w:space="0"/>
              <w:left w:val="single" w:color="000000" w:sz="4" w:space="0"/>
              <w:bottom w:val="single" w:color="000000" w:sz="4" w:space="0"/>
              <w:right w:val="single" w:color="000000" w:sz="4" w:space="0"/>
            </w:tcBorders>
          </w:tcPr>
          <w:p w14:paraId="01EE873C">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214AC6A5">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7CB9886A">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5A8385F6">
            <w:pPr>
              <w:spacing w:before="156" w:beforeLines="50" w:after="156" w:afterLines="50" w:line="312" w:lineRule="auto"/>
              <w:jc w:val="center"/>
              <w:rPr>
                <w:rFonts w:hint="eastAsia" w:ascii="宋体" w:hAnsi="宋体" w:cs="宋体"/>
                <w:color w:val="auto"/>
              </w:rPr>
            </w:pPr>
          </w:p>
        </w:tc>
      </w:tr>
      <w:tr w14:paraId="09F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56E5DCAA">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1695" w:type="pct"/>
            <w:tcBorders>
              <w:top w:val="single" w:color="000000" w:sz="4" w:space="0"/>
              <w:left w:val="single" w:color="000000" w:sz="4" w:space="0"/>
              <w:bottom w:val="single" w:color="000000" w:sz="4" w:space="0"/>
              <w:right w:val="single" w:color="000000" w:sz="4" w:space="0"/>
            </w:tcBorders>
          </w:tcPr>
          <w:p w14:paraId="2A3D0D65">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1219" w:type="pct"/>
            <w:tcBorders>
              <w:top w:val="single" w:color="000000" w:sz="4" w:space="0"/>
              <w:left w:val="single" w:color="000000" w:sz="4" w:space="0"/>
              <w:bottom w:val="single" w:color="000000" w:sz="4" w:space="0"/>
              <w:right w:val="single" w:color="000000" w:sz="4" w:space="0"/>
            </w:tcBorders>
          </w:tcPr>
          <w:p w14:paraId="7708B034">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923" w:type="pct"/>
            <w:tcBorders>
              <w:top w:val="single" w:color="000000" w:sz="4" w:space="0"/>
              <w:left w:val="single" w:color="000000" w:sz="4" w:space="0"/>
              <w:bottom w:val="single" w:color="000000" w:sz="4" w:space="0"/>
              <w:right w:val="single" w:color="000000" w:sz="4" w:space="0"/>
            </w:tcBorders>
          </w:tcPr>
          <w:p w14:paraId="4DC381E8">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815" w:type="pct"/>
            <w:tcBorders>
              <w:top w:val="single" w:color="000000" w:sz="4" w:space="0"/>
              <w:left w:val="single" w:color="000000" w:sz="4" w:space="0"/>
              <w:bottom w:val="single" w:color="000000" w:sz="4" w:space="0"/>
              <w:right w:val="single" w:color="000000" w:sz="4" w:space="0"/>
            </w:tcBorders>
          </w:tcPr>
          <w:p w14:paraId="509F0A4B">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r>
    </w:tbl>
    <w:p w14:paraId="496FB1A3">
      <w:pPr>
        <w:spacing w:line="360" w:lineRule="auto"/>
        <w:rPr>
          <w:rFonts w:hint="eastAsia" w:ascii="宋体" w:hAnsi="宋体"/>
          <w:color w:val="auto"/>
        </w:rPr>
      </w:pPr>
    </w:p>
    <w:p w14:paraId="0AF97A05">
      <w:pPr>
        <w:spacing w:line="360" w:lineRule="auto"/>
        <w:rPr>
          <w:rFonts w:hint="eastAsia" w:ascii="宋体" w:hAnsi="宋体"/>
          <w:color w:val="auto"/>
          <w:lang w:eastAsia="zh-CN"/>
        </w:rPr>
      </w:pPr>
      <w:r>
        <w:rPr>
          <w:rFonts w:hint="eastAsia" w:ascii="宋体" w:hAnsi="宋体"/>
          <w:color w:val="auto"/>
          <w:lang w:eastAsia="zh-CN"/>
        </w:rPr>
        <w:t>注：1.技术需求均应根据投标文件对采购文件的偏离情况相对应地填列。</w:t>
      </w:r>
    </w:p>
    <w:p w14:paraId="79BD1AC3">
      <w:pPr>
        <w:spacing w:line="360" w:lineRule="auto"/>
        <w:rPr>
          <w:rFonts w:hint="eastAsia" w:ascii="宋体" w:hAnsi="宋体"/>
          <w:color w:val="auto"/>
          <w:lang w:eastAsia="zh-CN"/>
        </w:rPr>
      </w:pPr>
      <w:r>
        <w:rPr>
          <w:rFonts w:hint="eastAsia" w:ascii="宋体" w:hAnsi="宋体"/>
          <w:color w:val="auto"/>
          <w:lang w:eastAsia="zh-CN"/>
        </w:rPr>
        <w:t xml:space="preserve">2.表内如果填列不全，可另外附页说明并按规定签字和加盖公章。             </w:t>
      </w:r>
    </w:p>
    <w:p w14:paraId="35107EB2">
      <w:pPr>
        <w:spacing w:line="360" w:lineRule="auto"/>
        <w:rPr>
          <w:rFonts w:hint="eastAsia" w:ascii="宋体" w:hAnsi="宋体"/>
          <w:color w:val="auto"/>
          <w:lang w:eastAsia="zh-CN"/>
        </w:rPr>
      </w:pPr>
      <w:r>
        <w:rPr>
          <w:rFonts w:hint="eastAsia" w:ascii="宋体" w:hAnsi="宋体"/>
          <w:color w:val="auto"/>
          <w:lang w:eastAsia="zh-CN"/>
        </w:rPr>
        <w:t>3.采购人要求供应商认真填写本表。</w:t>
      </w:r>
    </w:p>
    <w:p w14:paraId="7CB30546">
      <w:pPr>
        <w:spacing w:line="360" w:lineRule="auto"/>
        <w:rPr>
          <w:rFonts w:hint="eastAsia" w:ascii="宋体" w:hAnsi="宋体"/>
          <w:color w:val="auto"/>
          <w:lang w:eastAsia="zh-CN"/>
        </w:rPr>
      </w:pPr>
      <w:r>
        <w:rPr>
          <w:rFonts w:hint="eastAsia" w:ascii="宋体" w:hAnsi="宋体"/>
          <w:color w:val="auto"/>
          <w:lang w:eastAsia="zh-CN"/>
        </w:rPr>
        <w:t>4.此表可根据需要自行拉长加宽。</w:t>
      </w:r>
    </w:p>
    <w:p w14:paraId="3BCD0523">
      <w:pPr>
        <w:spacing w:line="360" w:lineRule="auto"/>
        <w:rPr>
          <w:rFonts w:hint="eastAsia" w:ascii="宋体" w:hAnsi="宋体" w:cs="宋体"/>
          <w:color w:val="auto"/>
          <w:lang w:eastAsia="zh-CN"/>
        </w:rPr>
      </w:pPr>
    </w:p>
    <w:p w14:paraId="1F968EDA">
      <w:pPr>
        <w:spacing w:line="360" w:lineRule="auto"/>
        <w:rPr>
          <w:rFonts w:hint="eastAsia" w:ascii="宋体" w:hAnsi="宋体" w:cs="宋体"/>
          <w:color w:val="auto"/>
          <w:lang w:eastAsia="zh-CN"/>
        </w:rPr>
      </w:pPr>
    </w:p>
    <w:p w14:paraId="1B20CB6D">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60E962D3">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4800ACAD">
      <w:pPr>
        <w:spacing w:before="120" w:line="360" w:lineRule="auto"/>
        <w:jc w:val="right"/>
        <w:rPr>
          <w:rFonts w:hint="eastAsia" w:ascii="宋体" w:hAnsi="宋体" w:cs="宋体"/>
          <w:bCs/>
          <w:color w:val="auto"/>
          <w:lang w:eastAsia="zh-CN"/>
        </w:rPr>
      </w:pPr>
    </w:p>
    <w:p w14:paraId="5800A423">
      <w:pPr>
        <w:spacing w:before="120" w:line="360" w:lineRule="auto"/>
        <w:jc w:val="right"/>
        <w:rPr>
          <w:rFonts w:hint="eastAsia" w:ascii="宋体" w:hAnsi="宋体" w:cs="宋体"/>
          <w:bCs/>
          <w:color w:val="auto"/>
          <w:lang w:eastAsia="zh-CN"/>
        </w:rPr>
      </w:pPr>
    </w:p>
    <w:p w14:paraId="16176723">
      <w:pPr>
        <w:tabs>
          <w:tab w:val="left" w:pos="1365"/>
        </w:tabs>
        <w:spacing w:line="360" w:lineRule="auto"/>
        <w:jc w:val="center"/>
        <w:rPr>
          <w:rFonts w:hint="eastAsia" w:ascii="宋体" w:hAnsi="宋体" w:cs="宋体"/>
          <w:color w:val="auto"/>
          <w:lang w:eastAsia="zh-CN"/>
        </w:rPr>
      </w:pPr>
      <w:r>
        <w:rPr>
          <w:rFonts w:hint="eastAsia" w:ascii="宋体" w:hAnsi="宋体" w:cs="宋体"/>
          <w:bCs/>
          <w:color w:val="auto"/>
          <w:lang w:eastAsia="zh-CN"/>
        </w:rPr>
        <w:t>日期:</w:t>
      </w:r>
      <w:r>
        <w:rPr>
          <w:rFonts w:hint="eastAsia" w:ascii="宋体" w:hAnsi="宋体" w:cs="宋体"/>
          <w:color w:val="auto"/>
          <w:u w:val="single"/>
          <w:lang w:eastAsia="zh-CN"/>
        </w:rPr>
        <w:t xml:space="preserve">     </w:t>
      </w:r>
      <w:r>
        <w:rPr>
          <w:rFonts w:hint="eastAsia" w:ascii="宋体" w:hAnsi="宋体" w:cs="宋体"/>
          <w:color w:val="auto"/>
          <w:lang w:eastAsia="zh-CN"/>
        </w:rPr>
        <w:t>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10DEC167">
      <w:pPr>
        <w:jc w:val="center"/>
        <w:rPr>
          <w:rFonts w:hint="eastAsia" w:ascii="宋体" w:hAnsi="宋体" w:cs="宋体"/>
          <w:b/>
          <w:color w:val="auto"/>
          <w:sz w:val="24"/>
          <w:szCs w:val="24"/>
          <w:lang w:val="zh-CN" w:eastAsia="zh-CN"/>
        </w:rPr>
      </w:pPr>
    </w:p>
    <w:p w14:paraId="367DC318">
      <w:pPr>
        <w:jc w:val="center"/>
        <w:rPr>
          <w:rFonts w:hint="eastAsia" w:ascii="宋体" w:hAnsi="宋体" w:cs="宋体"/>
          <w:b/>
          <w:color w:val="auto"/>
          <w:sz w:val="24"/>
          <w:szCs w:val="24"/>
          <w:lang w:val="zh-CN" w:eastAsia="zh-CN"/>
        </w:rPr>
      </w:pPr>
    </w:p>
    <w:p w14:paraId="00D5ED02">
      <w:pPr>
        <w:jc w:val="center"/>
        <w:rPr>
          <w:rFonts w:hint="eastAsia" w:ascii="宋体" w:hAnsi="宋体" w:cs="宋体"/>
          <w:b/>
          <w:color w:val="auto"/>
          <w:sz w:val="24"/>
          <w:szCs w:val="24"/>
          <w:lang w:val="zh-CN" w:eastAsia="zh-CN"/>
        </w:rPr>
      </w:pPr>
    </w:p>
    <w:p w14:paraId="04B1280A">
      <w:pPr>
        <w:jc w:val="center"/>
        <w:rPr>
          <w:rFonts w:hint="eastAsia" w:ascii="宋体" w:hAnsi="宋体" w:cs="宋体"/>
          <w:b/>
          <w:color w:val="auto"/>
          <w:sz w:val="24"/>
          <w:szCs w:val="24"/>
          <w:lang w:val="zh-CN" w:eastAsia="zh-CN"/>
        </w:rPr>
      </w:pPr>
    </w:p>
    <w:p w14:paraId="2D0D0BF6">
      <w:pPr>
        <w:jc w:val="center"/>
        <w:rPr>
          <w:rFonts w:hint="eastAsia" w:ascii="宋体" w:hAnsi="宋体" w:cs="宋体"/>
          <w:b/>
          <w:color w:val="auto"/>
          <w:sz w:val="24"/>
          <w:szCs w:val="24"/>
          <w:lang w:val="zh-CN" w:eastAsia="zh-CN"/>
        </w:rPr>
      </w:pPr>
    </w:p>
    <w:p w14:paraId="057C3F8C">
      <w:pPr>
        <w:jc w:val="center"/>
        <w:rPr>
          <w:rFonts w:hint="eastAsia" w:ascii="宋体" w:hAnsi="宋体" w:cs="宋体"/>
          <w:b/>
          <w:color w:val="auto"/>
          <w:sz w:val="24"/>
          <w:szCs w:val="24"/>
          <w:lang w:val="zh-CN" w:eastAsia="zh-CN"/>
        </w:rPr>
      </w:pPr>
    </w:p>
    <w:p w14:paraId="6746FAB2">
      <w:pPr>
        <w:pStyle w:val="29"/>
        <w:numPr>
          <w:ilvl w:val="0"/>
          <w:numId w:val="0"/>
        </w:numPr>
        <w:rPr>
          <w:rFonts w:hint="eastAsia" w:ascii="宋体" w:hAnsi="宋体" w:eastAsia="宋体" w:cs="宋体"/>
          <w:b/>
          <w:color w:val="auto"/>
          <w:sz w:val="24"/>
          <w:szCs w:val="24"/>
          <w:lang w:val="zh-CN" w:eastAsia="zh-CN"/>
        </w:rPr>
      </w:pPr>
    </w:p>
    <w:p w14:paraId="083E0AD8">
      <w:pPr>
        <w:pStyle w:val="29"/>
        <w:numPr>
          <w:ilvl w:val="0"/>
          <w:numId w:val="0"/>
        </w:numPr>
        <w:rPr>
          <w:rFonts w:hint="eastAsia" w:ascii="宋体" w:hAnsi="宋体" w:eastAsia="宋体" w:cs="宋体"/>
          <w:b/>
          <w:color w:val="auto"/>
          <w:sz w:val="24"/>
          <w:szCs w:val="24"/>
          <w:lang w:val="zh-CN" w:eastAsia="zh-CN"/>
        </w:rPr>
      </w:pPr>
    </w:p>
    <w:p w14:paraId="334642F4">
      <w:pPr>
        <w:jc w:val="center"/>
        <w:rPr>
          <w:rFonts w:hint="eastAsia" w:ascii="宋体" w:hAnsi="宋体" w:cs="宋体"/>
          <w:b/>
          <w:color w:val="auto"/>
          <w:sz w:val="24"/>
          <w:szCs w:val="24"/>
          <w:lang w:val="zh-CN" w:eastAsia="zh-CN"/>
        </w:rPr>
      </w:pPr>
    </w:p>
    <w:p w14:paraId="053E30B8">
      <w:pPr>
        <w:jc w:val="center"/>
        <w:rPr>
          <w:rFonts w:hint="eastAsia" w:ascii="宋体" w:hAnsi="宋体" w:cs="宋体"/>
          <w:b/>
          <w:color w:val="auto"/>
          <w:sz w:val="32"/>
          <w:szCs w:val="32"/>
          <w:lang w:eastAsia="zh-CN"/>
        </w:rPr>
      </w:pPr>
      <w:r>
        <w:rPr>
          <w:rFonts w:hint="eastAsia" w:ascii="宋体" w:hAnsi="宋体" w:cs="宋体"/>
          <w:b/>
          <w:color w:val="auto"/>
          <w:sz w:val="24"/>
          <w:szCs w:val="24"/>
          <w:lang w:val="zh-CN" w:eastAsia="zh-CN"/>
        </w:rPr>
        <w:t>7</w:t>
      </w:r>
      <w:r>
        <w:rPr>
          <w:rFonts w:hint="eastAsia" w:ascii="宋体" w:hAnsi="宋体" w:cs="宋体"/>
          <w:b/>
          <w:color w:val="auto"/>
          <w:sz w:val="32"/>
          <w:szCs w:val="32"/>
          <w:lang w:eastAsia="zh-CN"/>
        </w:rPr>
        <w:t>、投标人资格声明</w:t>
      </w:r>
      <w:bookmarkEnd w:id="58"/>
    </w:p>
    <w:p w14:paraId="6B36BAE8">
      <w:pPr>
        <w:spacing w:line="360" w:lineRule="auto"/>
        <w:rPr>
          <w:rFonts w:hint="eastAsia" w:ascii="宋体" w:hAnsi="宋体" w:cs="宋体"/>
          <w:color w:val="auto"/>
          <w:sz w:val="24"/>
          <w:szCs w:val="24"/>
          <w:u w:val="single"/>
          <w:lang w:eastAsia="zh-CN"/>
        </w:rPr>
      </w:pPr>
      <w:r>
        <w:rPr>
          <w:rFonts w:hint="eastAsia" w:ascii="宋体" w:hAnsi="宋体" w:cs="宋体"/>
          <w:color w:val="auto"/>
          <w:sz w:val="24"/>
          <w:szCs w:val="24"/>
          <w:lang w:val="zh-CN" w:eastAsia="zh-CN"/>
        </w:rPr>
        <w:t>致：</w:t>
      </w:r>
      <w:r>
        <w:rPr>
          <w:rFonts w:hint="eastAsia" w:ascii="宋体" w:hAnsi="宋体" w:cs="宋体"/>
          <w:color w:val="auto"/>
          <w:sz w:val="24"/>
          <w:szCs w:val="24"/>
          <w:u w:val="single"/>
          <w:lang w:eastAsia="zh-CN"/>
        </w:rPr>
        <w:t xml:space="preserve">  {</w:t>
      </w:r>
      <w:r>
        <w:rPr>
          <w:rFonts w:hint="eastAsia" w:ascii="宋体" w:hAnsi="宋体" w:cs="宋体"/>
          <w:color w:val="auto"/>
          <w:sz w:val="24"/>
          <w:u w:val="single"/>
          <w:lang w:val="zh-CN" w:eastAsia="zh-CN"/>
        </w:rPr>
        <w:t>采购人</w:t>
      </w:r>
      <w:r>
        <w:rPr>
          <w:rFonts w:hint="eastAsia" w:ascii="宋体" w:hAnsi="宋体" w:cs="宋体"/>
          <w:color w:val="auto"/>
          <w:sz w:val="24"/>
          <w:szCs w:val="24"/>
          <w:u w:val="single"/>
          <w:lang w:eastAsia="zh-CN"/>
        </w:rPr>
        <w:t>名称}</w:t>
      </w:r>
    </w:p>
    <w:p w14:paraId="08382BB4">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一、</w:t>
      </w:r>
      <w:r>
        <w:rPr>
          <w:rFonts w:hint="eastAsia" w:ascii="宋体" w:hAnsi="宋体" w:cs="宋体"/>
          <w:color w:val="auto"/>
          <w:sz w:val="24"/>
          <w:szCs w:val="24"/>
          <w:lang w:val="zh-CN" w:eastAsia="zh-CN"/>
        </w:rPr>
        <w:t>按照《中华人民共和国政府采购法》第</w:t>
      </w:r>
      <w:r>
        <w:rPr>
          <w:rFonts w:hint="eastAsia" w:ascii="宋体" w:hAnsi="宋体" w:cs="宋体"/>
          <w:color w:val="auto"/>
          <w:sz w:val="24"/>
          <w:szCs w:val="24"/>
          <w:lang w:eastAsia="zh-CN"/>
        </w:rPr>
        <w:t>22</w:t>
      </w:r>
      <w:r>
        <w:rPr>
          <w:rFonts w:hint="eastAsia" w:ascii="宋体" w:hAnsi="宋体" w:cs="宋体"/>
          <w:color w:val="auto"/>
          <w:sz w:val="24"/>
          <w:szCs w:val="24"/>
          <w:lang w:val="zh-CN" w:eastAsia="zh-CN"/>
        </w:rPr>
        <w:t>条和你公司发布的《</w:t>
      </w:r>
      <w:r>
        <w:rPr>
          <w:rFonts w:hint="eastAsia" w:ascii="宋体" w:hAnsi="宋体" w:cs="宋体"/>
          <w:color w:val="auto"/>
          <w:sz w:val="24"/>
          <w:szCs w:val="24"/>
          <w:u w:val="single"/>
          <w:lang w:val="zh-CN" w:eastAsia="zh-CN"/>
        </w:rPr>
        <w:t>项目名称、项目编号</w:t>
      </w:r>
      <w:r>
        <w:rPr>
          <w:rFonts w:hint="eastAsia" w:ascii="宋体" w:hAnsi="宋体" w:cs="宋体"/>
          <w:color w:val="auto"/>
          <w:sz w:val="24"/>
          <w:szCs w:val="24"/>
          <w:lang w:val="zh-CN" w:eastAsia="zh-CN"/>
        </w:rPr>
        <w:t>招标文件》的规定，我公司郑重声明如下：</w:t>
      </w:r>
    </w:p>
    <w:p w14:paraId="00604D92">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zh-CN" w:eastAsia="zh-CN"/>
        </w:rPr>
        <w:t>、我公司是按照中华人民共和国法律在工商管理机关登记注册的企业法人，注册地点为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，公司全称为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，法定代表人为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，具有独立承担民事责任的能力。</w:t>
      </w:r>
    </w:p>
    <w:p w14:paraId="405DD77F">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lang w:val="zh-CN" w:eastAsia="zh-CN"/>
        </w:rPr>
        <w:t>、我公司具有良好的商业信誉和健全的财务会计制度。</w:t>
      </w:r>
    </w:p>
    <w:p w14:paraId="5038109E">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3</w:t>
      </w:r>
      <w:r>
        <w:rPr>
          <w:rFonts w:hint="eastAsia" w:ascii="宋体" w:hAnsi="宋体" w:cs="宋体"/>
          <w:color w:val="auto"/>
          <w:sz w:val="24"/>
          <w:szCs w:val="24"/>
          <w:lang w:val="zh-CN" w:eastAsia="zh-CN"/>
        </w:rPr>
        <w:t>、我公司具有履行本项目采购合同所必需的设备和专业技术能力。</w:t>
      </w:r>
    </w:p>
    <w:p w14:paraId="74B7D0CC">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4</w:t>
      </w:r>
      <w:r>
        <w:rPr>
          <w:rFonts w:hint="eastAsia" w:ascii="宋体" w:hAnsi="宋体" w:cs="宋体"/>
          <w:color w:val="auto"/>
          <w:sz w:val="24"/>
          <w:szCs w:val="24"/>
          <w:lang w:val="zh-CN" w:eastAsia="zh-CN"/>
        </w:rPr>
        <w:t>、我公司具有依法缴纳税收和社会保障资金的良好记录。</w:t>
      </w:r>
    </w:p>
    <w:p w14:paraId="711B5BC9">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5</w:t>
      </w:r>
      <w:r>
        <w:rPr>
          <w:rFonts w:hint="eastAsia" w:ascii="宋体" w:hAnsi="宋体" w:cs="宋体"/>
          <w:color w:val="auto"/>
          <w:sz w:val="24"/>
          <w:szCs w:val="24"/>
          <w:lang w:val="zh-CN" w:eastAsia="zh-CN"/>
        </w:rPr>
        <w:t>、我公司在参与本次政府采购活动之前三年内，在经营活动中无重大违法记录。</w:t>
      </w:r>
    </w:p>
    <w:p w14:paraId="1D1BABEF">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6</w:t>
      </w:r>
      <w:r>
        <w:rPr>
          <w:rFonts w:hint="eastAsia" w:ascii="宋体" w:hAnsi="宋体" w:cs="宋体"/>
          <w:color w:val="auto"/>
          <w:sz w:val="24"/>
          <w:szCs w:val="24"/>
          <w:lang w:val="zh-CN" w:eastAsia="zh-CN"/>
        </w:rPr>
        <w:t>、我公司在参与本次政府采购活动时未受到任何地方政府采购部门作出的暂停参加政府采购活动的处罚。</w:t>
      </w:r>
    </w:p>
    <w:p w14:paraId="2E894030">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val="zh-CN" w:eastAsia="zh-CN"/>
        </w:rPr>
        <w:t>二、我公司保证上述声明的事项都是真实的，如有虚假，我公司承担相应的法律责任，并承担因此给你公司以及本项目采购人所造成的损失。</w:t>
      </w:r>
    </w:p>
    <w:p w14:paraId="7999E38F">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三、</w:t>
      </w:r>
      <w:r>
        <w:rPr>
          <w:rFonts w:hint="eastAsia" w:ascii="宋体" w:hAnsi="宋体" w:cs="宋体"/>
          <w:color w:val="auto"/>
          <w:sz w:val="24"/>
          <w:szCs w:val="24"/>
          <w:lang w:val="zh-CN" w:eastAsia="zh-CN"/>
        </w:rPr>
        <w:t>我公司已经按照你公司招标文件的要求提交了所要求提交的能够证明上述声明事项真实性的全部文件材料，并保证随时按照你公司的要求提供能够证明上述声明事项真实性的任何有效文件。</w:t>
      </w:r>
    </w:p>
    <w:p w14:paraId="0A622983">
      <w:pPr>
        <w:spacing w:line="360" w:lineRule="auto"/>
        <w:ind w:firstLine="480"/>
        <w:rPr>
          <w:rFonts w:hint="eastAsia" w:ascii="宋体" w:hAnsi="宋体" w:cs="宋体"/>
          <w:color w:val="auto"/>
          <w:sz w:val="24"/>
          <w:szCs w:val="24"/>
          <w:lang w:val="zh-CN" w:eastAsia="zh-CN"/>
        </w:rPr>
      </w:pPr>
    </w:p>
    <w:p w14:paraId="536479C8">
      <w:pPr>
        <w:spacing w:line="360" w:lineRule="auto"/>
        <w:ind w:firstLine="480"/>
        <w:rPr>
          <w:rFonts w:hint="eastAsia" w:ascii="宋体" w:hAnsi="宋体" w:cs="宋体"/>
          <w:color w:val="auto"/>
          <w:sz w:val="24"/>
          <w:szCs w:val="24"/>
          <w:lang w:val="zh-CN" w:eastAsia="zh-CN"/>
        </w:rPr>
      </w:pPr>
    </w:p>
    <w:p w14:paraId="6AC1CF17">
      <w:pPr>
        <w:spacing w:line="360" w:lineRule="auto"/>
        <w:ind w:firstLine="480"/>
        <w:rPr>
          <w:rFonts w:hint="eastAsia" w:ascii="宋体" w:hAnsi="宋体" w:cs="宋体"/>
          <w:color w:val="auto"/>
          <w:sz w:val="24"/>
          <w:szCs w:val="24"/>
          <w:lang w:val="zh-CN" w:eastAsia="zh-CN"/>
        </w:rPr>
      </w:pPr>
    </w:p>
    <w:p w14:paraId="4FD40FFC">
      <w:pPr>
        <w:spacing w:line="360" w:lineRule="auto"/>
        <w:ind w:firstLine="480"/>
        <w:rPr>
          <w:rFonts w:hint="eastAsia" w:ascii="宋体" w:hAnsi="宋体" w:cs="宋体"/>
          <w:color w:val="auto"/>
          <w:sz w:val="24"/>
          <w:szCs w:val="24"/>
          <w:lang w:val="zh-CN" w:eastAsia="zh-CN"/>
        </w:rPr>
      </w:pPr>
    </w:p>
    <w:p w14:paraId="5BEFCDF7">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665FD5DD">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4B319186">
      <w:pPr>
        <w:ind w:left="-708" w:leftChars="-337" w:firstLine="480" w:firstLineChars="200"/>
        <w:rPr>
          <w:rFonts w:hint="eastAsia" w:ascii="宋体" w:hAnsi="宋体" w:cs="宋体"/>
          <w:color w:val="auto"/>
          <w:sz w:val="24"/>
          <w:szCs w:val="24"/>
          <w:lang w:eastAsia="zh-CN"/>
        </w:rPr>
      </w:pPr>
    </w:p>
    <w:p w14:paraId="6C71947F">
      <w:pPr>
        <w:ind w:left="-708" w:leftChars="-337" w:firstLine="480" w:firstLineChars="200"/>
        <w:rPr>
          <w:rFonts w:hint="eastAsia" w:ascii="宋体" w:hAnsi="宋体" w:cs="宋体"/>
          <w:color w:val="auto"/>
          <w:sz w:val="24"/>
          <w:szCs w:val="24"/>
          <w:lang w:eastAsia="zh-CN"/>
        </w:rPr>
      </w:pPr>
    </w:p>
    <w:p w14:paraId="79F18D97">
      <w:pPr>
        <w:ind w:left="-708" w:leftChars="-337" w:firstLine="5760" w:firstLineChars="2400"/>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650B245A">
      <w:pPr>
        <w:jc w:val="center"/>
        <w:rPr>
          <w:rFonts w:hint="eastAsia"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28"/>
          <w:szCs w:val="28"/>
          <w:lang w:eastAsia="zh-CN"/>
        </w:rPr>
        <w:t>8、</w:t>
      </w:r>
      <w:r>
        <w:rPr>
          <w:rFonts w:hint="eastAsia" w:ascii="宋体" w:hAnsi="宋体" w:cs="宋体"/>
          <w:b/>
          <w:color w:val="auto"/>
          <w:sz w:val="32"/>
          <w:szCs w:val="32"/>
          <w:lang w:eastAsia="zh-CN"/>
        </w:rPr>
        <w:t>投标人基本情况</w:t>
      </w:r>
    </w:p>
    <w:tbl>
      <w:tblPr>
        <w:tblStyle w:val="23"/>
        <w:tblW w:w="0" w:type="auto"/>
        <w:jc w:val="center"/>
        <w:tblLayout w:type="fixed"/>
        <w:tblCellMar>
          <w:top w:w="0" w:type="dxa"/>
          <w:left w:w="108" w:type="dxa"/>
          <w:bottom w:w="0" w:type="dxa"/>
          <w:right w:w="108" w:type="dxa"/>
        </w:tblCellMar>
      </w:tblPr>
      <w:tblGrid>
        <w:gridCol w:w="4056"/>
        <w:gridCol w:w="5754"/>
      </w:tblGrid>
      <w:tr w14:paraId="0D423C0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02EAAD33">
            <w:pPr>
              <w:wordWrap w:val="0"/>
              <w:spacing w:after="312" w:afterLines="100" w:line="360" w:lineRule="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单位名称：</w:t>
            </w:r>
            <w:r>
              <w:rPr>
                <w:rFonts w:hint="eastAsia" w:ascii="宋体" w:hAnsi="宋体" w:cs="宋体"/>
                <w:b/>
                <w:color w:val="auto"/>
                <w:sz w:val="24"/>
                <w:szCs w:val="24"/>
                <w:u w:val="single"/>
                <w:lang w:eastAsia="zh-CN"/>
              </w:rPr>
              <w:t xml:space="preserve">                                 </w:t>
            </w:r>
            <w:r>
              <w:rPr>
                <w:rFonts w:hint="eastAsia" w:ascii="宋体" w:hAnsi="宋体" w:cs="宋体"/>
                <w:b/>
                <w:color w:val="auto"/>
                <w:sz w:val="24"/>
                <w:szCs w:val="24"/>
                <w:lang w:eastAsia="zh-CN"/>
              </w:rPr>
              <w:t>（盖单位公章）</w:t>
            </w:r>
          </w:p>
        </w:tc>
      </w:tr>
      <w:tr w14:paraId="63E7F5BB">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2A0FF508">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注册资金</w:t>
            </w:r>
          </w:p>
        </w:tc>
        <w:tc>
          <w:tcPr>
            <w:tcW w:w="5754" w:type="dxa"/>
            <w:tcBorders>
              <w:top w:val="single" w:color="auto" w:sz="12" w:space="0"/>
              <w:left w:val="nil"/>
              <w:bottom w:val="single" w:color="auto" w:sz="4" w:space="0"/>
              <w:right w:val="single" w:color="auto" w:sz="12" w:space="0"/>
            </w:tcBorders>
            <w:vAlign w:val="center"/>
          </w:tcPr>
          <w:p w14:paraId="6F977C2C">
            <w:pPr>
              <w:wordWrap w:val="0"/>
              <w:spacing w:line="360" w:lineRule="auto"/>
              <w:jc w:val="right"/>
              <w:rPr>
                <w:rFonts w:hint="eastAsia" w:ascii="宋体" w:hAnsi="宋体" w:cs="宋体"/>
                <w:b/>
                <w:color w:val="auto"/>
                <w:sz w:val="24"/>
                <w:szCs w:val="24"/>
              </w:rPr>
            </w:pPr>
            <w:r>
              <w:rPr>
                <w:rFonts w:hint="eastAsia" w:ascii="宋体" w:hAnsi="宋体" w:cs="宋体"/>
                <w:b/>
                <w:color w:val="auto"/>
                <w:sz w:val="24"/>
                <w:szCs w:val="24"/>
              </w:rPr>
              <w:t>（万元）</w:t>
            </w:r>
          </w:p>
        </w:tc>
      </w:tr>
      <w:tr w14:paraId="500127A2">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286747CF">
            <w:pPr>
              <w:wordWrap w:val="0"/>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行业类别</w:t>
            </w:r>
          </w:p>
          <w:p w14:paraId="29989A9A">
            <w:pPr>
              <w:wordWrap w:val="0"/>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（对应“□”画“√”）</w:t>
            </w:r>
          </w:p>
        </w:tc>
        <w:tc>
          <w:tcPr>
            <w:tcW w:w="5754" w:type="dxa"/>
            <w:tcBorders>
              <w:top w:val="single" w:color="auto" w:sz="12" w:space="0"/>
              <w:left w:val="nil"/>
              <w:bottom w:val="single" w:color="auto" w:sz="4" w:space="0"/>
              <w:right w:val="single" w:color="auto" w:sz="12" w:space="0"/>
            </w:tcBorders>
            <w:vAlign w:val="bottom"/>
          </w:tcPr>
          <w:p w14:paraId="15052B74">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□（一）农、林、牧、渔业 </w:t>
            </w:r>
          </w:p>
          <w:p w14:paraId="4F83D504">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□（二）工业 </w:t>
            </w:r>
          </w:p>
          <w:p w14:paraId="2353FEBD">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□（三）建筑业 </w:t>
            </w:r>
          </w:p>
          <w:p w14:paraId="0651B935">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□（四）批发业 </w:t>
            </w:r>
          </w:p>
          <w:p w14:paraId="631F326C">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□（五）零售业 </w:t>
            </w:r>
          </w:p>
          <w:p w14:paraId="0C1236D4">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□（六）交通运输业 </w:t>
            </w:r>
          </w:p>
          <w:p w14:paraId="58345331">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□（七）仓储业 </w:t>
            </w:r>
          </w:p>
          <w:p w14:paraId="7540E1A3">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□（八）邮政业 </w:t>
            </w:r>
          </w:p>
          <w:p w14:paraId="3AE26D49">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□（九）住宿业 </w:t>
            </w:r>
          </w:p>
          <w:p w14:paraId="64497A75">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□（十）餐饮业 </w:t>
            </w:r>
          </w:p>
          <w:p w14:paraId="009A6AAA">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□（十一）信息传输业 </w:t>
            </w:r>
          </w:p>
          <w:p w14:paraId="44CA09CE">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□（十二）软件和信息信息技术服务业 </w:t>
            </w:r>
          </w:p>
          <w:p w14:paraId="420E364D">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□（十三）房地产开发经营 </w:t>
            </w:r>
          </w:p>
          <w:p w14:paraId="2373BC55">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□（十四）物业管理 </w:t>
            </w:r>
          </w:p>
          <w:p w14:paraId="54FB7140">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□（十五）租赁和商务服务业 </w:t>
            </w:r>
          </w:p>
          <w:p w14:paraId="18C2B9BF">
            <w:pPr>
              <w:rPr>
                <w:rFonts w:hint="eastAsia" w:ascii="宋体" w:hAnsi="宋体" w:cs="宋体"/>
                <w:color w:val="auto"/>
                <w:sz w:val="24"/>
                <w:szCs w:val="24"/>
                <w:lang w:eastAsia="zh-CN"/>
              </w:rPr>
            </w:pPr>
            <w:r>
              <w:rPr>
                <w:rFonts w:hint="eastAsia" w:ascii="宋体" w:hAnsi="宋体" w:cs="宋体"/>
                <w:color w:val="auto"/>
                <w:sz w:val="24"/>
                <w:szCs w:val="24"/>
                <w:lang w:eastAsia="zh-CN"/>
              </w:rPr>
              <w:t>□（十六）软件和信息技术服务业</w:t>
            </w:r>
          </w:p>
        </w:tc>
      </w:tr>
      <w:tr w14:paraId="10C291A2">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34664274">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职工人数</w:t>
            </w:r>
          </w:p>
        </w:tc>
        <w:tc>
          <w:tcPr>
            <w:tcW w:w="5754" w:type="dxa"/>
            <w:tcBorders>
              <w:top w:val="nil"/>
              <w:left w:val="nil"/>
              <w:bottom w:val="single" w:color="auto" w:sz="4" w:space="0"/>
              <w:right w:val="single" w:color="auto" w:sz="12" w:space="0"/>
            </w:tcBorders>
            <w:vAlign w:val="center"/>
          </w:tcPr>
          <w:p w14:paraId="2DA753AB">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（人）</w:t>
            </w:r>
          </w:p>
        </w:tc>
      </w:tr>
      <w:tr w14:paraId="434C4F5B">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722A97FD">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专业技术人员人数</w:t>
            </w:r>
          </w:p>
        </w:tc>
        <w:tc>
          <w:tcPr>
            <w:tcW w:w="5754" w:type="dxa"/>
            <w:tcBorders>
              <w:top w:val="nil"/>
              <w:left w:val="nil"/>
              <w:bottom w:val="single" w:color="auto" w:sz="4" w:space="0"/>
              <w:right w:val="single" w:color="auto" w:sz="12" w:space="0"/>
            </w:tcBorders>
            <w:vAlign w:val="center"/>
          </w:tcPr>
          <w:p w14:paraId="36B05EDE">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（人）</w:t>
            </w:r>
          </w:p>
        </w:tc>
      </w:tr>
      <w:tr w14:paraId="4E6CFA4A">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359D71B9">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上年度营业收入</w:t>
            </w:r>
          </w:p>
        </w:tc>
        <w:tc>
          <w:tcPr>
            <w:tcW w:w="5754" w:type="dxa"/>
            <w:tcBorders>
              <w:top w:val="nil"/>
              <w:left w:val="nil"/>
              <w:bottom w:val="single" w:color="auto" w:sz="4" w:space="0"/>
              <w:right w:val="single" w:color="auto" w:sz="12" w:space="0"/>
            </w:tcBorders>
            <w:vAlign w:val="center"/>
          </w:tcPr>
          <w:p w14:paraId="33220EAF">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（万元）</w:t>
            </w:r>
          </w:p>
        </w:tc>
      </w:tr>
      <w:tr w14:paraId="1C2D33E3">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2737F333">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社会保障资金情况</w:t>
            </w:r>
          </w:p>
        </w:tc>
        <w:tc>
          <w:tcPr>
            <w:tcW w:w="5754" w:type="dxa"/>
            <w:tcBorders>
              <w:top w:val="nil"/>
              <w:left w:val="nil"/>
              <w:bottom w:val="nil"/>
              <w:right w:val="single" w:color="auto" w:sz="12" w:space="0"/>
            </w:tcBorders>
            <w:vAlign w:val="center"/>
          </w:tcPr>
          <w:p w14:paraId="6A00FB92">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附缴费证明复印件</w:t>
            </w:r>
          </w:p>
        </w:tc>
      </w:tr>
      <w:tr w14:paraId="59C06D01">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7B67BA62">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缴税情况</w:t>
            </w:r>
          </w:p>
        </w:tc>
        <w:tc>
          <w:tcPr>
            <w:tcW w:w="5754" w:type="dxa"/>
            <w:tcBorders>
              <w:top w:val="single" w:color="auto" w:sz="4" w:space="0"/>
              <w:left w:val="nil"/>
              <w:bottom w:val="nil"/>
              <w:right w:val="single" w:color="auto" w:sz="12" w:space="0"/>
            </w:tcBorders>
            <w:vAlign w:val="center"/>
          </w:tcPr>
          <w:p w14:paraId="17B279B9">
            <w:pPr>
              <w:wordWrap w:val="0"/>
              <w:spacing w:line="360" w:lineRule="auto"/>
              <w:jc w:val="right"/>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有/无（有，附近期的缴费证明复印件）</w:t>
            </w:r>
          </w:p>
        </w:tc>
      </w:tr>
      <w:tr w14:paraId="461BD7C0">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7D91C308">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上年利润</w:t>
            </w:r>
          </w:p>
        </w:tc>
        <w:tc>
          <w:tcPr>
            <w:tcW w:w="5754" w:type="dxa"/>
            <w:tcBorders>
              <w:top w:val="single" w:color="auto" w:sz="4" w:space="0"/>
              <w:left w:val="nil"/>
              <w:bottom w:val="single" w:color="auto" w:sz="12" w:space="0"/>
              <w:right w:val="single" w:color="auto" w:sz="12" w:space="0"/>
            </w:tcBorders>
            <w:vAlign w:val="center"/>
          </w:tcPr>
          <w:p w14:paraId="4E26AC5F">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（万元）</w:t>
            </w:r>
          </w:p>
        </w:tc>
      </w:tr>
    </w:tbl>
    <w:p w14:paraId="652E7D92">
      <w:pPr>
        <w:pStyle w:val="40"/>
        <w:ind w:firstLine="0" w:firstLineChars="0"/>
        <w:rPr>
          <w:rFonts w:hint="eastAsia" w:ascii="宋体" w:hAnsi="宋体" w:cs="宋体"/>
          <w:color w:val="auto"/>
        </w:rPr>
      </w:pPr>
    </w:p>
    <w:p w14:paraId="2C91CC65">
      <w:pPr>
        <w:spacing w:line="360" w:lineRule="auto"/>
        <w:rPr>
          <w:rFonts w:hint="eastAsia" w:ascii="宋体" w:hAnsi="宋体" w:cs="宋体"/>
          <w:bCs/>
          <w:color w:val="auto"/>
          <w:sz w:val="24"/>
          <w:lang w:val="zh-CN" w:eastAsia="zh-CN"/>
        </w:rPr>
      </w:pPr>
      <w:r>
        <w:rPr>
          <w:rFonts w:hint="eastAsia" w:ascii="宋体" w:hAnsi="宋体" w:cs="宋体"/>
          <w:b/>
          <w:color w:val="auto"/>
          <w:sz w:val="24"/>
          <w:lang w:val="zh-CN" w:eastAsia="zh-CN"/>
        </w:rPr>
        <w:t>注：</w:t>
      </w:r>
      <w:r>
        <w:rPr>
          <w:rFonts w:hint="eastAsia" w:ascii="宋体" w:hAnsi="宋体" w:cs="宋体"/>
          <w:bCs/>
          <w:color w:val="auto"/>
          <w:sz w:val="24"/>
          <w:lang w:val="zh-CN" w:eastAsia="zh-CN"/>
        </w:rPr>
        <w:t>后附营业执照 、税务登记证（五证合一除外）、组织机构代码证（五证合一除外）、相关的资质证书等相关材料。</w:t>
      </w:r>
    </w:p>
    <w:p w14:paraId="737E6942">
      <w:pPr>
        <w:wordWrap w:val="0"/>
        <w:spacing w:line="360" w:lineRule="auto"/>
        <w:jc w:val="center"/>
        <w:rPr>
          <w:rFonts w:hint="eastAsia" w:ascii="宋体" w:hAnsi="宋体" w:cs="宋体"/>
          <w:b/>
          <w:bCs/>
          <w:sz w:val="24"/>
          <w:szCs w:val="24"/>
          <w:lang w:eastAsia="zh-CN"/>
        </w:rPr>
      </w:pPr>
      <w:r>
        <w:rPr>
          <w:rFonts w:hint="eastAsia" w:ascii="宋体" w:hAnsi="宋体" w:cs="宋体"/>
          <w:b/>
          <w:color w:val="auto"/>
          <w:sz w:val="28"/>
          <w:szCs w:val="28"/>
          <w:lang w:eastAsia="zh-CN"/>
        </w:rPr>
        <w:br w:type="page"/>
      </w:r>
      <w:r>
        <w:rPr>
          <w:rFonts w:hint="eastAsia" w:ascii="宋体" w:hAnsi="宋体" w:cs="宋体"/>
          <w:b/>
          <w:color w:val="auto"/>
          <w:sz w:val="28"/>
          <w:szCs w:val="28"/>
          <w:lang w:eastAsia="zh-CN"/>
        </w:rPr>
        <w:t>9</w:t>
      </w:r>
      <w:r>
        <w:rPr>
          <w:rFonts w:hint="eastAsia" w:ascii="宋体" w:hAnsi="宋体" w:cs="宋体"/>
          <w:color w:val="auto"/>
          <w:sz w:val="28"/>
          <w:szCs w:val="28"/>
          <w:lang w:eastAsia="zh-CN"/>
        </w:rPr>
        <w:t>、</w:t>
      </w:r>
      <w:r>
        <w:rPr>
          <w:rFonts w:hint="eastAsia" w:ascii="宋体" w:hAnsi="宋体" w:cs="宋体"/>
          <w:b/>
          <w:bCs/>
          <w:sz w:val="24"/>
          <w:szCs w:val="24"/>
          <w:lang w:eastAsia="zh-CN"/>
        </w:rPr>
        <w:t>资格条件承诺函</w:t>
      </w:r>
    </w:p>
    <w:p w14:paraId="6A6DF671">
      <w:pPr>
        <w:pStyle w:val="3"/>
        <w:wordWrap w:val="0"/>
        <w:rPr>
          <w:rFonts w:hint="eastAsia" w:ascii="宋体" w:hAnsi="宋体" w:cs="宋体"/>
          <w:lang w:eastAsia="zh-CN"/>
        </w:rPr>
      </w:pPr>
    </w:p>
    <w:p w14:paraId="2CA699C9">
      <w:pPr>
        <w:wordWrap w:val="0"/>
        <w:jc w:val="center"/>
        <w:rPr>
          <w:rFonts w:hint="eastAsia" w:ascii="宋体" w:hAnsi="宋体" w:cs="宋体"/>
          <w:sz w:val="24"/>
          <w:szCs w:val="24"/>
          <w:lang w:eastAsia="zh-CN"/>
        </w:rPr>
      </w:pPr>
      <w:r>
        <w:rPr>
          <w:rFonts w:hint="eastAsia" w:ascii="宋体" w:hAnsi="宋体" w:cs="宋体"/>
          <w:sz w:val="24"/>
          <w:szCs w:val="24"/>
          <w:lang w:eastAsia="zh-CN"/>
        </w:rPr>
        <w:t>资格条件承诺书</w:t>
      </w:r>
    </w:p>
    <w:p w14:paraId="7BEED419">
      <w:pPr>
        <w:wordWrap w:val="0"/>
        <w:rPr>
          <w:rFonts w:hint="eastAsia" w:ascii="宋体" w:hAnsi="宋体" w:cs="宋体"/>
          <w:sz w:val="24"/>
          <w:szCs w:val="24"/>
          <w:lang w:eastAsia="zh-CN"/>
        </w:rPr>
      </w:pPr>
    </w:p>
    <w:p w14:paraId="4C9F87DC">
      <w:pPr>
        <w:wordWrap w:val="0"/>
        <w:spacing w:line="480" w:lineRule="auto"/>
        <w:rPr>
          <w:rFonts w:hint="eastAsia" w:ascii="宋体" w:hAnsi="宋体" w:cs="宋体"/>
          <w:sz w:val="24"/>
          <w:szCs w:val="24"/>
          <w:u w:val="single"/>
          <w:lang w:eastAsia="zh-CN"/>
        </w:rPr>
      </w:pPr>
      <w:r>
        <w:rPr>
          <w:rFonts w:hint="eastAsia" w:ascii="宋体" w:hAnsi="宋体" w:cs="宋体"/>
          <w:sz w:val="24"/>
          <w:szCs w:val="24"/>
          <w:u w:val="single"/>
          <w:lang w:eastAsia="zh-CN"/>
        </w:rPr>
        <w:t>致：（采购人、采购代理机构）</w:t>
      </w:r>
    </w:p>
    <w:p w14:paraId="289D7374">
      <w:pPr>
        <w:wordWrap w:val="0"/>
        <w:spacing w:line="480" w:lineRule="auto"/>
        <w:ind w:firstLine="420"/>
        <w:rPr>
          <w:rFonts w:hint="eastAsia" w:ascii="宋体" w:hAnsi="宋体" w:cs="宋体"/>
          <w:sz w:val="24"/>
          <w:szCs w:val="24"/>
          <w:lang w:eastAsia="zh-CN"/>
        </w:rPr>
      </w:pPr>
      <w:r>
        <w:rPr>
          <w:rFonts w:hint="eastAsia" w:ascii="宋体" w:hAnsi="宋体" w:cs="宋体"/>
          <w:sz w:val="24"/>
          <w:szCs w:val="24"/>
          <w:lang w:eastAsia="zh-CN"/>
        </w:rPr>
        <w:t>我单位（公司）</w:t>
      </w:r>
      <w:r>
        <w:rPr>
          <w:rFonts w:hint="eastAsia" w:ascii="宋体" w:hAnsi="宋体" w:cs="宋体"/>
          <w:sz w:val="24"/>
          <w:szCs w:val="24"/>
          <w:u w:val="single"/>
          <w:lang w:eastAsia="zh-CN"/>
        </w:rPr>
        <w:t>参与（采购项目名称    项目编号）</w:t>
      </w:r>
      <w:r>
        <w:rPr>
          <w:rFonts w:hint="eastAsia" w:ascii="宋体" w:hAnsi="宋体" w:cs="宋体"/>
          <w:sz w:val="24"/>
          <w:szCs w:val="24"/>
          <w:lang w:eastAsia="zh-CN"/>
        </w:rPr>
        <w:t>采购项目的政府采购活动，现承诺如下：</w:t>
      </w:r>
    </w:p>
    <w:p w14:paraId="076D866C">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1.具有良好的商业信誉和健全的财务会计制度；</w:t>
      </w:r>
    </w:p>
    <w:p w14:paraId="74223A91">
      <w:pPr>
        <w:wordWrap w:val="0"/>
        <w:spacing w:line="480" w:lineRule="auto"/>
        <w:ind w:firstLine="240" w:firstLineChars="100"/>
        <w:rPr>
          <w:rFonts w:hint="eastAsia" w:ascii="宋体" w:hAnsi="宋体" w:cs="宋体"/>
          <w:sz w:val="24"/>
          <w:szCs w:val="24"/>
          <w:lang w:eastAsia="zh-CN"/>
        </w:rPr>
      </w:pPr>
      <w:r>
        <w:rPr>
          <w:rFonts w:hint="eastAsia" w:ascii="宋体" w:hAnsi="宋体" w:cs="宋体"/>
          <w:sz w:val="24"/>
          <w:szCs w:val="24"/>
          <w:lang w:eastAsia="zh-CN"/>
        </w:rPr>
        <w:t xml:space="preserve">    2.具有依法缴纳税收的良好记录；</w:t>
      </w:r>
    </w:p>
    <w:p w14:paraId="0FDA23C3">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3.具有依法缴纳社会保障金的良好记录；</w:t>
      </w:r>
    </w:p>
    <w:p w14:paraId="5B2EDE7C">
      <w:pPr>
        <w:wordWrap w:val="0"/>
        <w:spacing w:line="480" w:lineRule="auto"/>
        <w:rPr>
          <w:rFonts w:hint="eastAsia" w:ascii="宋体" w:hAnsi="宋体" w:cs="宋体"/>
          <w:sz w:val="24"/>
          <w:szCs w:val="24"/>
          <w:lang w:eastAsia="zh-CN"/>
        </w:rPr>
      </w:pPr>
      <w:r>
        <w:rPr>
          <w:rFonts w:hint="eastAsia" w:ascii="宋体" w:hAnsi="宋体" w:cs="宋体"/>
          <w:sz w:val="24"/>
          <w:szCs w:val="24"/>
          <w:lang w:eastAsia="zh-CN"/>
        </w:rPr>
        <w:t xml:space="preserve">    我方在采购项目评审（评标）环节结束后，随时接受采购人，采购代理机构的检查验证，配合提供相关证明资料，证明符合《中华人民共和国政府采购法》规定的供应商基本资格条件。</w:t>
      </w:r>
    </w:p>
    <w:p w14:paraId="75FD7A4E">
      <w:pPr>
        <w:wordWrap w:val="0"/>
        <w:spacing w:line="480" w:lineRule="auto"/>
        <w:rPr>
          <w:rFonts w:hint="eastAsia" w:ascii="宋体" w:hAnsi="宋体" w:cs="宋体"/>
          <w:sz w:val="24"/>
          <w:szCs w:val="24"/>
          <w:lang w:eastAsia="zh-CN"/>
        </w:rPr>
      </w:pPr>
      <w:r>
        <w:rPr>
          <w:rFonts w:hint="eastAsia" w:ascii="宋体" w:hAnsi="宋体" w:cs="宋体"/>
          <w:sz w:val="24"/>
          <w:szCs w:val="24"/>
          <w:lang w:eastAsia="zh-CN"/>
        </w:rPr>
        <w:t xml:space="preserve">     我单位（公司）对上述承诺的真实性负责，如有虚假，将依法承担相应责任。</w:t>
      </w:r>
    </w:p>
    <w:p w14:paraId="6009B118">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特此承诺。</w:t>
      </w:r>
    </w:p>
    <w:p w14:paraId="2243DE79">
      <w:pPr>
        <w:wordWrap w:val="0"/>
        <w:spacing w:line="360" w:lineRule="auto"/>
        <w:ind w:firstLine="480" w:firstLineChars="200"/>
        <w:rPr>
          <w:rFonts w:hint="eastAsia" w:ascii="宋体" w:hAnsi="宋体" w:cs="宋体"/>
          <w:sz w:val="24"/>
          <w:szCs w:val="24"/>
          <w:lang w:val="zh-CN" w:eastAsia="zh-CN"/>
        </w:rPr>
      </w:pPr>
    </w:p>
    <w:p w14:paraId="24A3B459">
      <w:pPr>
        <w:wordWrap w:val="0"/>
        <w:spacing w:line="360" w:lineRule="auto"/>
        <w:rPr>
          <w:rFonts w:hint="eastAsia" w:ascii="宋体" w:hAnsi="宋体" w:cs="宋体"/>
          <w:lang w:val="zh-CN" w:eastAsia="zh-CN"/>
        </w:rPr>
      </w:pPr>
    </w:p>
    <w:p w14:paraId="38B33BF0">
      <w:pPr>
        <w:wordWrap w:val="0"/>
        <w:spacing w:line="360" w:lineRule="auto"/>
        <w:rPr>
          <w:rFonts w:hint="eastAsia" w:ascii="宋体" w:hAnsi="宋体" w:cs="宋体"/>
          <w:lang w:val="zh-CN" w:eastAsia="zh-CN"/>
        </w:rPr>
      </w:pPr>
    </w:p>
    <w:p w14:paraId="6B780E87">
      <w:pPr>
        <w:wordWrap w:val="0"/>
        <w:spacing w:line="480" w:lineRule="auto"/>
        <w:rPr>
          <w:rFonts w:hint="eastAsia" w:ascii="宋体" w:hAnsi="宋体" w:cs="宋体"/>
          <w:sz w:val="24"/>
          <w:szCs w:val="24"/>
          <w:lang w:val="zh-CN" w:eastAsia="zh-CN"/>
        </w:rPr>
      </w:pPr>
    </w:p>
    <w:p w14:paraId="25EE228F">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盖 章 ：</w:t>
      </w:r>
    </w:p>
    <w:p w14:paraId="3C77725B">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签 字 ：</w:t>
      </w:r>
    </w:p>
    <w:p w14:paraId="7CAE27F4">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日 期 ：</w:t>
      </w:r>
    </w:p>
    <w:p w14:paraId="0AA85CB0">
      <w:pPr>
        <w:wordWrap w:val="0"/>
        <w:spacing w:line="480" w:lineRule="auto"/>
        <w:ind w:firstLine="480" w:firstLineChars="200"/>
        <w:rPr>
          <w:rFonts w:hint="eastAsia" w:ascii="宋体" w:hAnsi="宋体" w:cs="宋体"/>
          <w:sz w:val="24"/>
          <w:szCs w:val="24"/>
          <w:lang w:val="zh-CN" w:eastAsia="zh-CN"/>
        </w:rPr>
      </w:pPr>
    </w:p>
    <w:p w14:paraId="19BAE6E9">
      <w:pPr>
        <w:ind w:firstLine="560" w:firstLineChars="200"/>
        <w:jc w:val="both"/>
        <w:rPr>
          <w:rFonts w:hint="eastAsia" w:ascii="宋体" w:hAnsi="宋体" w:cs="宋体"/>
          <w:bCs/>
          <w:color w:val="auto"/>
          <w:sz w:val="28"/>
          <w:szCs w:val="28"/>
          <w:lang w:val="zh-CN" w:eastAsia="zh-CN"/>
        </w:rPr>
      </w:pPr>
      <w:r>
        <w:rPr>
          <w:rFonts w:hint="eastAsia" w:ascii="宋体" w:hAnsi="宋体" w:cs="宋体"/>
          <w:bCs/>
          <w:color w:val="auto"/>
          <w:sz w:val="28"/>
          <w:szCs w:val="28"/>
          <w:lang w:val="zh-CN" w:eastAsia="zh-CN"/>
        </w:rPr>
        <w:t>。</w:t>
      </w:r>
    </w:p>
    <w:p w14:paraId="180B5B6B">
      <w:pPr>
        <w:jc w:val="center"/>
        <w:rPr>
          <w:rFonts w:hint="eastAsia" w:ascii="宋体" w:hAnsi="宋体" w:cs="宋体"/>
          <w:b/>
          <w:color w:val="auto"/>
          <w:sz w:val="32"/>
          <w:szCs w:val="32"/>
          <w:lang w:eastAsia="zh-CN"/>
        </w:rPr>
      </w:pPr>
    </w:p>
    <w:p w14:paraId="3433E286">
      <w:pPr>
        <w:rPr>
          <w:rFonts w:hint="eastAsia" w:ascii="宋体" w:hAnsi="宋体" w:cs="宋体"/>
          <w:b/>
          <w:color w:val="auto"/>
          <w:sz w:val="32"/>
          <w:szCs w:val="32"/>
          <w:lang w:eastAsia="zh-CN"/>
        </w:rPr>
      </w:pPr>
    </w:p>
    <w:p w14:paraId="3C742943">
      <w:pPr>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10、2022年至今完成项目一览表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2118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E30DB30">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14205917">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047C4625">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3B6A690B">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0B79B3C7">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03D05AC0">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18C825A8">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业主单位联系电话</w:t>
            </w:r>
          </w:p>
        </w:tc>
      </w:tr>
      <w:tr w14:paraId="7529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137629F">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F139313">
            <w:pPr>
              <w:pStyle w:val="12"/>
              <w:spacing w:line="360" w:lineRule="auto"/>
              <w:ind w:left="8000"/>
              <w:rPr>
                <w:rFonts w:hint="eastAsia" w:ascii="宋体" w:hAnsi="宋体" w:eastAsia="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7840CB">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39E9DA7">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C67C2C9">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F301629">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7A1B86FB">
            <w:pPr>
              <w:spacing w:line="360" w:lineRule="auto"/>
              <w:rPr>
                <w:rFonts w:hint="eastAsia" w:ascii="宋体" w:hAnsi="宋体" w:cs="宋体"/>
                <w:color w:val="auto"/>
                <w:sz w:val="24"/>
                <w:szCs w:val="24"/>
              </w:rPr>
            </w:pPr>
          </w:p>
        </w:tc>
      </w:tr>
      <w:tr w14:paraId="7F12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5E9084C">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8AF4055">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C08B49">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1AFAA4">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D59C9BD">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3248AE7">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492AC4FD">
            <w:pPr>
              <w:spacing w:line="360" w:lineRule="auto"/>
              <w:rPr>
                <w:rFonts w:hint="eastAsia" w:ascii="宋体" w:hAnsi="宋体" w:cs="宋体"/>
                <w:color w:val="auto"/>
                <w:sz w:val="24"/>
                <w:szCs w:val="24"/>
              </w:rPr>
            </w:pPr>
          </w:p>
        </w:tc>
      </w:tr>
      <w:tr w14:paraId="70E4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2FF4529">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34FD89A2">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6080C8">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5CA618D">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37EB96D">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CA23E94">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7085E1E3">
            <w:pPr>
              <w:spacing w:line="360" w:lineRule="auto"/>
              <w:rPr>
                <w:rFonts w:hint="eastAsia" w:ascii="宋体" w:hAnsi="宋体" w:cs="宋体"/>
                <w:color w:val="auto"/>
                <w:sz w:val="24"/>
                <w:szCs w:val="24"/>
              </w:rPr>
            </w:pPr>
          </w:p>
        </w:tc>
      </w:tr>
      <w:tr w14:paraId="1266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C2317B7">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15357B7D">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BD248C6">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CE3F56">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D6549F3">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94A067E">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7F357EBD">
            <w:pPr>
              <w:spacing w:line="360" w:lineRule="auto"/>
              <w:rPr>
                <w:rFonts w:hint="eastAsia" w:ascii="宋体" w:hAnsi="宋体" w:cs="宋体"/>
                <w:color w:val="auto"/>
                <w:sz w:val="24"/>
                <w:szCs w:val="24"/>
              </w:rPr>
            </w:pPr>
          </w:p>
        </w:tc>
      </w:tr>
      <w:tr w14:paraId="05BB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7A0B9EA">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A37E361">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7F95C99">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1459E2">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45D2ED7D">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10636F3">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44EEB1CB">
            <w:pPr>
              <w:spacing w:line="360" w:lineRule="auto"/>
              <w:rPr>
                <w:rFonts w:hint="eastAsia" w:ascii="宋体" w:hAnsi="宋体" w:cs="宋体"/>
                <w:color w:val="auto"/>
                <w:sz w:val="24"/>
                <w:szCs w:val="24"/>
              </w:rPr>
            </w:pPr>
          </w:p>
        </w:tc>
      </w:tr>
      <w:tr w14:paraId="5EA4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96BD33E">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27187B1">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C8EAB03">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23CDFF">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ABF831F">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7BE2B8F">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0099B8F9">
            <w:pPr>
              <w:spacing w:line="360" w:lineRule="auto"/>
              <w:rPr>
                <w:rFonts w:hint="eastAsia" w:ascii="宋体" w:hAnsi="宋体" w:cs="宋体"/>
                <w:color w:val="auto"/>
                <w:sz w:val="24"/>
                <w:szCs w:val="24"/>
              </w:rPr>
            </w:pPr>
          </w:p>
        </w:tc>
      </w:tr>
      <w:tr w14:paraId="6237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FDA8ECB">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796F7B4D">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806160">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A6F6A9">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5AC6202">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C7B89BD">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3BDD6050">
            <w:pPr>
              <w:spacing w:line="360" w:lineRule="auto"/>
              <w:rPr>
                <w:rFonts w:hint="eastAsia" w:ascii="宋体" w:hAnsi="宋体" w:cs="宋体"/>
                <w:color w:val="auto"/>
                <w:sz w:val="24"/>
                <w:szCs w:val="24"/>
              </w:rPr>
            </w:pPr>
          </w:p>
        </w:tc>
      </w:tr>
      <w:tr w14:paraId="4829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20D626E">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40571F4">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CCB58E">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AC7D9C">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14C60A5">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046AC42">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536E3220">
            <w:pPr>
              <w:spacing w:line="360" w:lineRule="auto"/>
              <w:rPr>
                <w:rFonts w:hint="eastAsia" w:ascii="宋体" w:hAnsi="宋体" w:cs="宋体"/>
                <w:color w:val="auto"/>
                <w:sz w:val="24"/>
                <w:szCs w:val="24"/>
              </w:rPr>
            </w:pPr>
          </w:p>
        </w:tc>
      </w:tr>
    </w:tbl>
    <w:p w14:paraId="120D7223">
      <w:pPr>
        <w:spacing w:line="360" w:lineRule="auto"/>
        <w:rPr>
          <w:rFonts w:hint="eastAsia" w:ascii="宋体" w:hAnsi="宋体" w:cs="宋体"/>
          <w:b/>
          <w:color w:val="auto"/>
          <w:sz w:val="24"/>
          <w:szCs w:val="24"/>
          <w:lang w:eastAsia="zh-CN"/>
        </w:rPr>
      </w:pPr>
      <w:r>
        <w:rPr>
          <w:rFonts w:hint="eastAsia" w:ascii="宋体" w:hAnsi="宋体" w:cs="宋体"/>
          <w:b/>
          <w:bCs/>
          <w:color w:val="auto"/>
          <w:sz w:val="24"/>
          <w:szCs w:val="24"/>
          <w:lang w:eastAsia="zh-CN"/>
        </w:rPr>
        <w:t>注：(以投标文件中加盖投标人或品牌厂商公章的相应业绩合同复印件为评分依据)</w:t>
      </w:r>
      <w:r>
        <w:rPr>
          <w:rFonts w:hint="eastAsia" w:ascii="宋体" w:hAnsi="宋体" w:cs="宋体"/>
          <w:b/>
          <w:color w:val="auto"/>
          <w:sz w:val="24"/>
          <w:szCs w:val="24"/>
          <w:lang w:eastAsia="zh-CN"/>
        </w:rPr>
        <w:t>，否则该项业绩视为无效。</w:t>
      </w:r>
    </w:p>
    <w:p w14:paraId="051CBCDA">
      <w:pPr>
        <w:spacing w:line="360" w:lineRule="auto"/>
        <w:ind w:firstLine="480"/>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2、此表可根据投标人的实际情况自行删减。</w:t>
      </w:r>
    </w:p>
    <w:p w14:paraId="77364879">
      <w:pPr>
        <w:spacing w:line="360" w:lineRule="auto"/>
        <w:ind w:left="487" w:leftChars="200" w:right="-514" w:rightChars="-245" w:hanging="67" w:hangingChars="28"/>
        <w:rPr>
          <w:rFonts w:hint="eastAsia" w:ascii="宋体" w:hAnsi="宋体" w:cs="宋体"/>
          <w:b/>
          <w:bCs/>
          <w:color w:val="auto"/>
          <w:sz w:val="24"/>
          <w:szCs w:val="24"/>
          <w:lang w:eastAsia="zh-CN"/>
        </w:rPr>
      </w:pPr>
    </w:p>
    <w:p w14:paraId="1AFA85F3">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42BF9C02">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695AA13D">
      <w:pPr>
        <w:tabs>
          <w:tab w:val="left" w:pos="1365"/>
        </w:tabs>
        <w:spacing w:line="360" w:lineRule="auto"/>
        <w:jc w:val="center"/>
        <w:rPr>
          <w:rFonts w:hint="eastAsia" w:ascii="宋体" w:hAnsi="宋体" w:cs="宋体"/>
          <w:color w:val="auto"/>
          <w:sz w:val="24"/>
          <w:szCs w:val="24"/>
          <w:lang w:eastAsia="zh-CN"/>
        </w:rPr>
      </w:pPr>
    </w:p>
    <w:p w14:paraId="60F677BE">
      <w:pPr>
        <w:wordWrap w:val="0"/>
        <w:spacing w:line="360" w:lineRule="auto"/>
        <w:jc w:val="right"/>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0279036A">
      <w:pPr>
        <w:tabs>
          <w:tab w:val="left" w:pos="1026"/>
          <w:tab w:val="center" w:pos="4811"/>
        </w:tabs>
        <w:spacing w:line="360" w:lineRule="auto"/>
        <w:jc w:val="center"/>
        <w:outlineLvl w:val="1"/>
        <w:rPr>
          <w:rFonts w:hint="eastAsia" w:ascii="宋体" w:hAnsi="宋体" w:cs="宋体"/>
          <w:b/>
          <w:color w:val="auto"/>
          <w:sz w:val="32"/>
          <w:szCs w:val="32"/>
          <w:lang w:eastAsia="zh-CN"/>
        </w:rPr>
      </w:pPr>
    </w:p>
    <w:p w14:paraId="3EEF1519">
      <w:pPr>
        <w:pStyle w:val="29"/>
        <w:numPr>
          <w:ilvl w:val="0"/>
          <w:numId w:val="0"/>
        </w:numPr>
        <w:rPr>
          <w:color w:val="auto"/>
          <w:lang w:eastAsia="zh-CN"/>
        </w:rPr>
      </w:pPr>
    </w:p>
    <w:p w14:paraId="78559BBE">
      <w:pPr>
        <w:tabs>
          <w:tab w:val="left" w:pos="1026"/>
          <w:tab w:val="center" w:pos="4811"/>
        </w:tabs>
        <w:spacing w:line="360" w:lineRule="auto"/>
        <w:jc w:val="center"/>
        <w:outlineLvl w:val="1"/>
        <w:rPr>
          <w:rFonts w:hint="eastAsia" w:ascii="宋体" w:hAnsi="宋体" w:cs="宋体"/>
          <w:b/>
          <w:color w:val="auto"/>
          <w:sz w:val="32"/>
          <w:szCs w:val="32"/>
          <w:lang w:eastAsia="zh-CN"/>
        </w:rPr>
      </w:pPr>
      <w:r>
        <w:rPr>
          <w:rFonts w:hint="eastAsia" w:ascii="宋体" w:hAnsi="宋体" w:cs="宋体"/>
          <w:b/>
          <w:color w:val="auto"/>
          <w:sz w:val="32"/>
          <w:szCs w:val="32"/>
          <w:lang w:eastAsia="zh-CN"/>
        </w:rPr>
        <w:t>11、招标文件要求的其他材料</w:t>
      </w:r>
    </w:p>
    <w:p w14:paraId="629F35AC">
      <w:pPr>
        <w:pStyle w:val="4"/>
        <w:jc w:val="center"/>
        <w:rPr>
          <w:rFonts w:hint="eastAsia" w:ascii="宋体" w:hAnsi="宋体" w:cs="宋体"/>
          <w:bCs w:val="0"/>
          <w:color w:val="auto"/>
          <w:sz w:val="28"/>
          <w:szCs w:val="28"/>
          <w:lang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eastAsia="zh-CN"/>
        </w:rPr>
        <w:t>1</w:t>
      </w:r>
      <w:r>
        <w:rPr>
          <w:rFonts w:hint="eastAsia" w:ascii="宋体" w:hAnsi="宋体" w:cs="宋体"/>
          <w:color w:val="auto"/>
          <w:sz w:val="28"/>
          <w:szCs w:val="28"/>
          <w:lang w:val="zh-CN" w:eastAsia="zh-CN"/>
        </w:rPr>
        <w:t>）</w:t>
      </w:r>
      <w:r>
        <w:rPr>
          <w:rFonts w:hint="eastAsia" w:ascii="宋体" w:hAnsi="宋体" w:cs="宋体"/>
          <w:bCs w:val="0"/>
          <w:color w:val="auto"/>
          <w:sz w:val="28"/>
          <w:szCs w:val="28"/>
          <w:lang w:eastAsia="zh-CN"/>
        </w:rPr>
        <w:t>廉洁承诺书</w:t>
      </w:r>
    </w:p>
    <w:p w14:paraId="6C808FCF">
      <w:pPr>
        <w:spacing w:line="480" w:lineRule="auto"/>
        <w:rPr>
          <w:rFonts w:hint="eastAsia" w:ascii="宋体" w:hAnsi="宋体" w:cs="宋体"/>
          <w:color w:val="auto"/>
          <w:sz w:val="24"/>
          <w:lang w:eastAsia="zh-CN"/>
        </w:rPr>
      </w:pPr>
      <w:r>
        <w:rPr>
          <w:rFonts w:hint="eastAsia" w:ascii="宋体" w:hAnsi="宋体" w:cs="宋体"/>
          <w:color w:val="auto"/>
          <w:sz w:val="24"/>
          <w:lang w:eastAsia="zh-CN"/>
        </w:rPr>
        <w:t>参与此次【</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】的投标过程中，为保证本次招标活动在“公开、公正、公平”的竞争环境下顺利开展，本公司郑重承诺：</w:t>
      </w:r>
    </w:p>
    <w:p w14:paraId="7496689F">
      <w:pPr>
        <w:numPr>
          <w:ilvl w:val="0"/>
          <w:numId w:val="13"/>
        </w:numPr>
        <w:spacing w:line="480" w:lineRule="auto"/>
        <w:rPr>
          <w:rFonts w:hint="eastAsia" w:ascii="宋体" w:hAnsi="宋体" w:cs="宋体"/>
          <w:color w:val="auto"/>
          <w:sz w:val="24"/>
          <w:lang w:eastAsia="zh-CN"/>
        </w:rPr>
      </w:pPr>
      <w:r>
        <w:rPr>
          <w:rFonts w:hint="eastAsia" w:ascii="宋体" w:hAnsi="宋体" w:cs="宋体"/>
          <w:color w:val="auto"/>
          <w:sz w:val="24"/>
          <w:lang w:eastAsia="zh-CN"/>
        </w:rPr>
        <w:t>在本次招投标及若中标后的项目实施全过程中，我方承诺将严格遵守国家有关法律、法规、相关政策、以及廉政建设的各项规定。</w:t>
      </w:r>
    </w:p>
    <w:p w14:paraId="3992CA50">
      <w:pPr>
        <w:numPr>
          <w:ilvl w:val="0"/>
          <w:numId w:val="13"/>
        </w:numPr>
        <w:spacing w:line="480" w:lineRule="auto"/>
        <w:rPr>
          <w:rFonts w:hint="eastAsia" w:ascii="宋体" w:hAnsi="宋体" w:cs="宋体"/>
          <w:color w:val="auto"/>
          <w:sz w:val="24"/>
          <w:lang w:eastAsia="zh-CN"/>
        </w:rPr>
      </w:pPr>
      <w:r>
        <w:rPr>
          <w:rFonts w:hint="eastAsia" w:ascii="宋体" w:hAnsi="宋体" w:cs="宋体"/>
          <w:color w:val="auto"/>
          <w:sz w:val="24"/>
          <w:lang w:eastAsia="zh-CN"/>
        </w:rPr>
        <w:t>我方知悉采购方实行诚信制度和廉洁制度，并保证在购销活动中不涉嫌商业贿赂及违反不正当竞争法的行为，不以任何名义给予购买使用我方产品的各科室及相关工作人员回扣、礼金、有价证券。</w:t>
      </w:r>
    </w:p>
    <w:p w14:paraId="1AFB8EFB">
      <w:pPr>
        <w:numPr>
          <w:ilvl w:val="0"/>
          <w:numId w:val="13"/>
        </w:num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47E31ADD">
      <w:pPr>
        <w:numPr>
          <w:ilvl w:val="0"/>
          <w:numId w:val="13"/>
        </w:num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本承诺书自签署之日起生效。</w:t>
      </w:r>
    </w:p>
    <w:p w14:paraId="6F71DC39">
      <w:pPr>
        <w:spacing w:line="480" w:lineRule="auto"/>
        <w:rPr>
          <w:rFonts w:hint="eastAsia" w:ascii="宋体" w:hAnsi="宋体" w:cs="宋体"/>
          <w:color w:val="auto"/>
          <w:sz w:val="24"/>
          <w:lang w:eastAsia="zh-CN"/>
        </w:rPr>
      </w:pPr>
    </w:p>
    <w:p w14:paraId="5A90EB14">
      <w:pPr>
        <w:spacing w:line="480" w:lineRule="auto"/>
        <w:rPr>
          <w:rFonts w:hint="eastAsia" w:ascii="宋体" w:hAnsi="宋体" w:cs="宋体"/>
          <w:color w:val="auto"/>
          <w:sz w:val="24"/>
          <w:lang w:eastAsia="zh-CN"/>
        </w:rPr>
      </w:pPr>
    </w:p>
    <w:p w14:paraId="1B613117">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法定代表人或投标人代表签字：</w:t>
      </w:r>
      <w:r>
        <w:rPr>
          <w:rFonts w:hint="eastAsia" w:ascii="宋体" w:hAnsi="宋体" w:cs="宋体"/>
          <w:color w:val="auto"/>
          <w:sz w:val="24"/>
          <w:u w:val="single"/>
          <w:lang w:eastAsia="zh-CN"/>
        </w:rPr>
        <w:t xml:space="preserve">                              </w:t>
      </w:r>
    </w:p>
    <w:p w14:paraId="2FC34C46">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签字日期：</w:t>
      </w:r>
      <w:r>
        <w:rPr>
          <w:rFonts w:hint="eastAsia" w:ascii="宋体" w:hAnsi="宋体" w:cs="宋体"/>
          <w:color w:val="auto"/>
          <w:sz w:val="24"/>
          <w:u w:val="single"/>
          <w:lang w:eastAsia="zh-CN"/>
        </w:rPr>
        <w:t xml:space="preserve">                                                </w:t>
      </w:r>
    </w:p>
    <w:p w14:paraId="44AD9846">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加盖投标单位公章：</w:t>
      </w:r>
      <w:r>
        <w:rPr>
          <w:rFonts w:hint="eastAsia" w:ascii="宋体" w:hAnsi="宋体" w:cs="宋体"/>
          <w:color w:val="auto"/>
          <w:sz w:val="24"/>
          <w:u w:val="single"/>
          <w:lang w:eastAsia="zh-CN"/>
        </w:rPr>
        <w:t xml:space="preserve">                                        </w:t>
      </w:r>
    </w:p>
    <w:p w14:paraId="33EC4719">
      <w:pPr>
        <w:spacing w:line="480" w:lineRule="auto"/>
        <w:rPr>
          <w:rFonts w:hint="eastAsia" w:ascii="宋体" w:hAnsi="宋体" w:cs="宋体"/>
          <w:color w:val="auto"/>
          <w:sz w:val="24"/>
          <w:lang w:eastAsia="zh-CN"/>
        </w:rPr>
      </w:pPr>
      <w:r>
        <w:rPr>
          <w:rFonts w:hint="eastAsia" w:ascii="宋体" w:hAnsi="宋体" w:cs="宋体"/>
          <w:color w:val="auto"/>
          <w:sz w:val="24"/>
          <w:lang w:eastAsia="zh-CN"/>
        </w:rPr>
        <w:t>注解：若投标人未按招标文件要求提供上述承诺书，其投标可被否决。</w:t>
      </w:r>
    </w:p>
    <w:p w14:paraId="0082D4C1">
      <w:pPr>
        <w:spacing w:line="360" w:lineRule="auto"/>
        <w:rPr>
          <w:rFonts w:hint="eastAsia" w:ascii="宋体" w:hAnsi="宋体" w:cs="宋体"/>
          <w:b/>
          <w:color w:val="auto"/>
          <w:sz w:val="28"/>
          <w:szCs w:val="28"/>
          <w:lang w:eastAsia="zh-CN"/>
        </w:rPr>
        <w:sectPr>
          <w:footerReference r:id="rId8" w:type="first"/>
          <w:footerReference r:id="rId7" w:type="default"/>
          <w:pgSz w:w="11906" w:h="16838"/>
          <w:pgMar w:top="1440" w:right="1274" w:bottom="1440" w:left="124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DE40926">
      <w:pPr>
        <w:spacing w:line="360" w:lineRule="auto"/>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（2）</w:t>
      </w:r>
      <w:r>
        <w:rPr>
          <w:rFonts w:hint="eastAsia" w:ascii="宋体" w:hAnsi="宋体" w:cs="宋体"/>
          <w:b/>
          <w:color w:val="auto"/>
          <w:sz w:val="28"/>
          <w:szCs w:val="28"/>
          <w:lang w:eastAsia="zh-CN"/>
        </w:rPr>
        <w:t>参加政府采购活动前3年内在经营活动中没有重大违法记录的书面声明</w:t>
      </w:r>
    </w:p>
    <w:p w14:paraId="0800A85D">
      <w:pPr>
        <w:spacing w:line="360" w:lineRule="auto"/>
        <w:ind w:firstLine="1680" w:firstLineChars="600"/>
        <w:jc w:val="center"/>
        <w:rPr>
          <w:rFonts w:hint="eastAsia" w:ascii="宋体" w:hAnsi="宋体" w:cs="宋体"/>
          <w:bCs/>
          <w:color w:val="auto"/>
          <w:sz w:val="28"/>
          <w:szCs w:val="28"/>
          <w:lang w:eastAsia="zh-CN"/>
        </w:rPr>
      </w:pPr>
    </w:p>
    <w:p w14:paraId="4254BDB9">
      <w:pPr>
        <w:spacing w:line="360" w:lineRule="auto"/>
        <w:ind w:firstLine="1680" w:firstLineChars="600"/>
        <w:jc w:val="center"/>
        <w:rPr>
          <w:rFonts w:hint="eastAsia" w:ascii="宋体" w:hAnsi="宋体" w:cs="宋体"/>
          <w:bCs/>
          <w:color w:val="auto"/>
          <w:sz w:val="28"/>
          <w:szCs w:val="28"/>
          <w:lang w:eastAsia="zh-CN"/>
        </w:rPr>
      </w:pPr>
    </w:p>
    <w:p w14:paraId="2B5E9B63">
      <w:pPr>
        <w:jc w:val="center"/>
        <w:rPr>
          <w:rFonts w:hint="eastAsia" w:ascii="宋体" w:hAnsi="宋体" w:cs="宋体"/>
          <w:bCs/>
          <w:color w:val="auto"/>
          <w:sz w:val="28"/>
          <w:szCs w:val="28"/>
          <w:lang w:eastAsia="zh-CN"/>
        </w:rPr>
      </w:pPr>
      <w:r>
        <w:rPr>
          <w:rFonts w:hint="eastAsia" w:ascii="宋体" w:hAnsi="宋体" w:cs="宋体"/>
          <w:bCs/>
          <w:color w:val="auto"/>
          <w:sz w:val="28"/>
          <w:szCs w:val="28"/>
          <w:lang w:eastAsia="zh-CN"/>
        </w:rPr>
        <w:t>（格式自拟）</w:t>
      </w:r>
    </w:p>
    <w:p w14:paraId="77A8AB50">
      <w:pPr>
        <w:pStyle w:val="8"/>
        <w:rPr>
          <w:rFonts w:hint="eastAsia" w:ascii="宋体" w:hAnsi="宋体" w:eastAsia="宋体" w:cs="宋体"/>
          <w:bCs/>
          <w:color w:val="auto"/>
          <w:sz w:val="28"/>
          <w:szCs w:val="28"/>
          <w:lang w:eastAsia="zh-CN"/>
        </w:rPr>
      </w:pPr>
    </w:p>
    <w:p w14:paraId="753D0E10">
      <w:pPr>
        <w:pStyle w:val="8"/>
        <w:rPr>
          <w:rFonts w:hint="eastAsia" w:ascii="宋体" w:hAnsi="宋体" w:eastAsia="宋体" w:cs="宋体"/>
          <w:bCs/>
          <w:color w:val="auto"/>
          <w:sz w:val="28"/>
          <w:szCs w:val="28"/>
          <w:lang w:eastAsia="zh-CN"/>
        </w:rPr>
      </w:pPr>
    </w:p>
    <w:p w14:paraId="5C230A60">
      <w:pPr>
        <w:pStyle w:val="8"/>
        <w:rPr>
          <w:rFonts w:hint="eastAsia" w:ascii="宋体" w:hAnsi="宋体" w:eastAsia="宋体" w:cs="宋体"/>
          <w:bCs/>
          <w:color w:val="auto"/>
          <w:sz w:val="28"/>
          <w:szCs w:val="28"/>
          <w:lang w:eastAsia="zh-CN"/>
        </w:rPr>
      </w:pPr>
    </w:p>
    <w:p w14:paraId="717B7A3C">
      <w:pPr>
        <w:pStyle w:val="8"/>
        <w:rPr>
          <w:rFonts w:hint="eastAsia" w:ascii="宋体" w:hAnsi="宋体" w:eastAsia="宋体" w:cs="宋体"/>
          <w:bCs/>
          <w:color w:val="auto"/>
          <w:sz w:val="28"/>
          <w:szCs w:val="28"/>
          <w:lang w:eastAsia="zh-CN"/>
        </w:rPr>
      </w:pPr>
    </w:p>
    <w:p w14:paraId="256E0E14">
      <w:pPr>
        <w:pStyle w:val="8"/>
        <w:rPr>
          <w:rFonts w:hint="eastAsia" w:ascii="宋体" w:hAnsi="宋体" w:eastAsia="宋体" w:cs="宋体"/>
          <w:bCs/>
          <w:color w:val="auto"/>
          <w:sz w:val="28"/>
          <w:szCs w:val="28"/>
          <w:lang w:eastAsia="zh-CN"/>
        </w:rPr>
      </w:pPr>
    </w:p>
    <w:p w14:paraId="51B0C8D6">
      <w:pPr>
        <w:pStyle w:val="8"/>
        <w:rPr>
          <w:rFonts w:hint="eastAsia" w:ascii="宋体" w:hAnsi="宋体" w:eastAsia="宋体" w:cs="宋体"/>
          <w:bCs/>
          <w:color w:val="auto"/>
          <w:sz w:val="28"/>
          <w:szCs w:val="28"/>
          <w:lang w:eastAsia="zh-CN"/>
        </w:rPr>
      </w:pPr>
    </w:p>
    <w:p w14:paraId="45159039">
      <w:pPr>
        <w:pStyle w:val="8"/>
        <w:rPr>
          <w:rFonts w:hint="eastAsia" w:ascii="宋体" w:hAnsi="宋体" w:eastAsia="宋体" w:cs="宋体"/>
          <w:bCs/>
          <w:color w:val="auto"/>
          <w:sz w:val="28"/>
          <w:szCs w:val="28"/>
          <w:lang w:eastAsia="zh-CN"/>
        </w:rPr>
      </w:pPr>
    </w:p>
    <w:p w14:paraId="57ECD8B8">
      <w:pPr>
        <w:pStyle w:val="8"/>
        <w:rPr>
          <w:rFonts w:hint="eastAsia" w:ascii="宋体" w:hAnsi="宋体" w:eastAsia="宋体" w:cs="宋体"/>
          <w:bCs/>
          <w:color w:val="auto"/>
          <w:sz w:val="28"/>
          <w:szCs w:val="28"/>
          <w:lang w:eastAsia="zh-CN"/>
        </w:rPr>
      </w:pPr>
    </w:p>
    <w:p w14:paraId="01C32DF0">
      <w:pPr>
        <w:pStyle w:val="8"/>
        <w:rPr>
          <w:rFonts w:hint="eastAsia" w:ascii="宋体" w:hAnsi="宋体" w:eastAsia="宋体" w:cs="宋体"/>
          <w:bCs/>
          <w:color w:val="auto"/>
          <w:sz w:val="28"/>
          <w:szCs w:val="28"/>
          <w:lang w:eastAsia="zh-CN"/>
        </w:rPr>
      </w:pPr>
    </w:p>
    <w:p w14:paraId="049D9AD5">
      <w:pPr>
        <w:pStyle w:val="8"/>
        <w:rPr>
          <w:rFonts w:hint="eastAsia" w:ascii="宋体" w:hAnsi="宋体" w:eastAsia="宋体" w:cs="宋体"/>
          <w:bCs/>
          <w:color w:val="auto"/>
          <w:sz w:val="28"/>
          <w:szCs w:val="28"/>
          <w:lang w:eastAsia="zh-CN"/>
        </w:rPr>
      </w:pPr>
    </w:p>
    <w:p w14:paraId="7D5620DF">
      <w:pPr>
        <w:pStyle w:val="8"/>
        <w:rPr>
          <w:rFonts w:hint="eastAsia" w:ascii="宋体" w:hAnsi="宋体" w:eastAsia="宋体" w:cs="宋体"/>
          <w:bCs/>
          <w:color w:val="auto"/>
          <w:sz w:val="28"/>
          <w:szCs w:val="28"/>
          <w:lang w:eastAsia="zh-CN"/>
        </w:rPr>
      </w:pPr>
    </w:p>
    <w:p w14:paraId="44A3E9AC">
      <w:pPr>
        <w:pStyle w:val="8"/>
        <w:rPr>
          <w:rFonts w:hint="eastAsia" w:ascii="宋体" w:hAnsi="宋体" w:eastAsia="宋体" w:cs="宋体"/>
          <w:bCs/>
          <w:color w:val="auto"/>
          <w:sz w:val="28"/>
          <w:szCs w:val="28"/>
          <w:lang w:eastAsia="zh-CN"/>
        </w:rPr>
      </w:pPr>
    </w:p>
    <w:p w14:paraId="1354EC2C">
      <w:pPr>
        <w:pStyle w:val="8"/>
        <w:rPr>
          <w:rFonts w:hint="eastAsia" w:ascii="宋体" w:hAnsi="宋体" w:eastAsia="宋体" w:cs="宋体"/>
          <w:bCs/>
          <w:color w:val="auto"/>
          <w:sz w:val="28"/>
          <w:szCs w:val="28"/>
          <w:lang w:eastAsia="zh-CN"/>
        </w:rPr>
      </w:pPr>
    </w:p>
    <w:p w14:paraId="15F7EFBA">
      <w:pPr>
        <w:pStyle w:val="8"/>
        <w:rPr>
          <w:rFonts w:hint="eastAsia" w:ascii="宋体" w:hAnsi="宋体" w:eastAsia="宋体" w:cs="宋体"/>
          <w:bCs/>
          <w:color w:val="auto"/>
          <w:sz w:val="28"/>
          <w:szCs w:val="28"/>
          <w:lang w:eastAsia="zh-CN"/>
        </w:rPr>
      </w:pPr>
    </w:p>
    <w:p w14:paraId="53B454D7">
      <w:pPr>
        <w:pStyle w:val="8"/>
        <w:rPr>
          <w:rFonts w:hint="eastAsia" w:ascii="宋体" w:hAnsi="宋体" w:eastAsia="宋体" w:cs="宋体"/>
          <w:bCs/>
          <w:color w:val="auto"/>
          <w:sz w:val="28"/>
          <w:szCs w:val="28"/>
          <w:lang w:eastAsia="zh-CN"/>
        </w:rPr>
      </w:pPr>
    </w:p>
    <w:p w14:paraId="5A87CE12">
      <w:pPr>
        <w:pStyle w:val="8"/>
        <w:rPr>
          <w:rFonts w:hint="eastAsia" w:ascii="宋体" w:hAnsi="宋体" w:eastAsia="宋体" w:cs="宋体"/>
          <w:bCs/>
          <w:color w:val="auto"/>
          <w:sz w:val="28"/>
          <w:szCs w:val="28"/>
          <w:lang w:eastAsia="zh-CN"/>
        </w:rPr>
      </w:pPr>
    </w:p>
    <w:p w14:paraId="635CA095">
      <w:pPr>
        <w:tabs>
          <w:tab w:val="left" w:pos="1365"/>
        </w:tabs>
        <w:wordWrap w:val="0"/>
        <w:spacing w:line="500" w:lineRule="exact"/>
        <w:rPr>
          <w:rFonts w:hint="eastAsia" w:ascii="宋体" w:hAnsi="宋体" w:cs="宋体"/>
          <w:color w:val="auto"/>
          <w:sz w:val="24"/>
          <w:lang w:eastAsia="zh-CN"/>
        </w:rPr>
      </w:pPr>
      <w:r>
        <w:rPr>
          <w:rFonts w:hint="eastAsia" w:ascii="宋体" w:hAnsi="宋体" w:cs="宋体"/>
          <w:color w:val="auto"/>
          <w:sz w:val="24"/>
          <w:lang w:eastAsia="zh-CN"/>
        </w:rPr>
        <w:t>投  标  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（盖单位公章）</w:t>
      </w:r>
    </w:p>
    <w:p w14:paraId="3FFF5754">
      <w:pPr>
        <w:tabs>
          <w:tab w:val="left" w:pos="1365"/>
        </w:tabs>
        <w:wordWrap w:val="0"/>
        <w:spacing w:line="500" w:lineRule="exact"/>
        <w:rPr>
          <w:rFonts w:hint="eastAsia" w:ascii="宋体" w:hAnsi="宋体" w:cs="宋体"/>
          <w:color w:val="auto"/>
          <w:sz w:val="24"/>
          <w:lang w:eastAsia="zh-CN"/>
        </w:rPr>
      </w:pPr>
      <w:r>
        <w:rPr>
          <w:rFonts w:hint="eastAsia" w:ascii="宋体" w:hAnsi="宋体" w:cs="宋体"/>
          <w:color w:val="auto"/>
          <w:sz w:val="24"/>
          <w:lang w:eastAsia="zh-CN"/>
        </w:rPr>
        <w:t>投标人代表：</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（签字或盖章）</w:t>
      </w:r>
    </w:p>
    <w:p w14:paraId="263EE0E5">
      <w:pPr>
        <w:wordWrap w:val="0"/>
        <w:spacing w:line="500" w:lineRule="exac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34F9B49">
      <w:pPr>
        <w:pStyle w:val="8"/>
        <w:rPr>
          <w:rFonts w:hint="eastAsia" w:ascii="宋体" w:hAnsi="宋体" w:eastAsia="宋体" w:cs="宋体"/>
          <w:bCs/>
          <w:color w:val="auto"/>
          <w:sz w:val="28"/>
          <w:szCs w:val="28"/>
          <w:lang w:val="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4C44846">
      <w:pPr>
        <w:numPr>
          <w:ilvl w:val="0"/>
          <w:numId w:val="14"/>
        </w:numPr>
        <w:jc w:val="center"/>
        <w:rPr>
          <w:rFonts w:hint="eastAsia" w:ascii="宋体" w:hAnsi="宋体" w:cs="宋体"/>
          <w:b/>
          <w:color w:val="auto"/>
          <w:sz w:val="28"/>
          <w:szCs w:val="28"/>
          <w:lang w:val="zh-CN"/>
        </w:rPr>
      </w:pPr>
      <w:r>
        <w:rPr>
          <w:rFonts w:hint="eastAsia" w:ascii="宋体" w:hAnsi="宋体" w:cs="宋体"/>
          <w:b/>
          <w:color w:val="auto"/>
          <w:sz w:val="28"/>
          <w:szCs w:val="28"/>
          <w:lang w:val="zh-CN"/>
        </w:rPr>
        <w:t>售后服务承诺书</w:t>
      </w:r>
    </w:p>
    <w:p w14:paraId="4445E676">
      <w:pPr>
        <w:pStyle w:val="40"/>
        <w:ind w:firstLine="562"/>
        <w:rPr>
          <w:rFonts w:hint="eastAsia" w:ascii="宋体" w:hAnsi="宋体" w:cs="宋体"/>
          <w:b/>
          <w:color w:val="auto"/>
          <w:sz w:val="28"/>
          <w:szCs w:val="28"/>
          <w:lang w:val="zh-CN"/>
        </w:rPr>
      </w:pPr>
    </w:p>
    <w:p w14:paraId="1AC11DE9">
      <w:pPr>
        <w:pStyle w:val="40"/>
        <w:ind w:firstLine="562"/>
        <w:rPr>
          <w:rFonts w:hint="eastAsia" w:ascii="宋体" w:hAnsi="宋体" w:cs="宋体"/>
          <w:b/>
          <w:color w:val="auto"/>
          <w:sz w:val="28"/>
          <w:szCs w:val="28"/>
          <w:lang w:val="zh-CN"/>
        </w:rPr>
      </w:pPr>
    </w:p>
    <w:p w14:paraId="0D317E95">
      <w:pPr>
        <w:pStyle w:val="40"/>
        <w:ind w:firstLine="562"/>
        <w:rPr>
          <w:rFonts w:hint="eastAsia" w:ascii="宋体" w:hAnsi="宋体" w:cs="宋体"/>
          <w:b/>
          <w:color w:val="auto"/>
          <w:sz w:val="28"/>
          <w:szCs w:val="28"/>
          <w:lang w:val="zh-CN"/>
        </w:rPr>
      </w:pPr>
    </w:p>
    <w:p w14:paraId="537406DD">
      <w:pPr>
        <w:pStyle w:val="40"/>
        <w:ind w:firstLine="562"/>
        <w:rPr>
          <w:rFonts w:hint="eastAsia" w:ascii="宋体" w:hAnsi="宋体" w:cs="宋体"/>
          <w:b/>
          <w:color w:val="auto"/>
          <w:sz w:val="28"/>
          <w:szCs w:val="28"/>
          <w:lang w:val="zh-CN"/>
        </w:rPr>
      </w:pPr>
    </w:p>
    <w:p w14:paraId="2CBD7513">
      <w:pPr>
        <w:pStyle w:val="40"/>
        <w:ind w:firstLine="0" w:firstLineChars="0"/>
        <w:rPr>
          <w:rFonts w:hint="eastAsia" w:ascii="宋体" w:hAnsi="宋体" w:cs="宋体"/>
          <w:color w:val="auto"/>
          <w:lang w:val="zh-CN"/>
        </w:rPr>
      </w:pPr>
    </w:p>
    <w:p w14:paraId="7BEBEF25">
      <w:pPr>
        <w:jc w:val="center"/>
        <w:rPr>
          <w:rFonts w:hint="eastAsia" w:ascii="宋体" w:hAnsi="宋体" w:cs="宋体"/>
          <w:bCs/>
          <w:color w:val="auto"/>
          <w:sz w:val="28"/>
          <w:szCs w:val="28"/>
        </w:rPr>
      </w:pPr>
      <w:r>
        <w:rPr>
          <w:rFonts w:hint="eastAsia" w:ascii="宋体" w:hAnsi="宋体" w:cs="宋体"/>
          <w:bCs/>
          <w:color w:val="auto"/>
          <w:sz w:val="28"/>
          <w:szCs w:val="28"/>
        </w:rPr>
        <w:t>（格式自拟）</w:t>
      </w:r>
    </w:p>
    <w:p w14:paraId="006C9B34">
      <w:pPr>
        <w:pStyle w:val="8"/>
        <w:rPr>
          <w:rFonts w:hint="eastAsia" w:ascii="宋体" w:hAnsi="宋体" w:eastAsia="宋体" w:cs="宋体"/>
          <w:bCs/>
          <w:color w:val="auto"/>
          <w:sz w:val="28"/>
          <w:szCs w:val="28"/>
        </w:rPr>
      </w:pPr>
    </w:p>
    <w:p w14:paraId="0026C8C0">
      <w:pPr>
        <w:pStyle w:val="8"/>
        <w:rPr>
          <w:rFonts w:hint="eastAsia" w:ascii="宋体" w:hAnsi="宋体" w:eastAsia="宋体" w:cs="宋体"/>
          <w:bCs/>
          <w:color w:val="auto"/>
          <w:sz w:val="28"/>
          <w:szCs w:val="28"/>
        </w:rPr>
      </w:pPr>
    </w:p>
    <w:p w14:paraId="37CA437F">
      <w:pPr>
        <w:pStyle w:val="8"/>
        <w:rPr>
          <w:rFonts w:hint="eastAsia" w:ascii="宋体" w:hAnsi="宋体" w:eastAsia="宋体" w:cs="宋体"/>
          <w:bCs/>
          <w:color w:val="auto"/>
          <w:sz w:val="28"/>
          <w:szCs w:val="28"/>
        </w:rPr>
      </w:pPr>
    </w:p>
    <w:p w14:paraId="52682BC9">
      <w:pPr>
        <w:pStyle w:val="8"/>
        <w:rPr>
          <w:rFonts w:hint="eastAsia" w:ascii="宋体" w:hAnsi="宋体" w:eastAsia="宋体" w:cs="宋体"/>
          <w:bCs/>
          <w:color w:val="auto"/>
          <w:sz w:val="28"/>
          <w:szCs w:val="28"/>
        </w:rPr>
      </w:pPr>
    </w:p>
    <w:p w14:paraId="1AFA8C11">
      <w:pPr>
        <w:pStyle w:val="8"/>
        <w:rPr>
          <w:rFonts w:hint="eastAsia" w:ascii="宋体" w:hAnsi="宋体" w:eastAsia="宋体" w:cs="宋体"/>
          <w:bCs/>
          <w:color w:val="auto"/>
          <w:sz w:val="28"/>
          <w:szCs w:val="28"/>
        </w:rPr>
      </w:pPr>
    </w:p>
    <w:p w14:paraId="71FA965E">
      <w:pPr>
        <w:pStyle w:val="8"/>
        <w:rPr>
          <w:rFonts w:hint="eastAsia" w:ascii="宋体" w:hAnsi="宋体" w:eastAsia="宋体" w:cs="宋体"/>
          <w:bCs/>
          <w:color w:val="auto"/>
          <w:sz w:val="28"/>
          <w:szCs w:val="28"/>
        </w:rPr>
      </w:pPr>
    </w:p>
    <w:p w14:paraId="124A8EE7">
      <w:pPr>
        <w:pStyle w:val="8"/>
        <w:rPr>
          <w:rFonts w:hint="eastAsia" w:ascii="宋体" w:hAnsi="宋体" w:eastAsia="宋体" w:cs="宋体"/>
          <w:bCs/>
          <w:color w:val="auto"/>
          <w:sz w:val="28"/>
          <w:szCs w:val="28"/>
        </w:rPr>
      </w:pPr>
    </w:p>
    <w:p w14:paraId="398F14EC">
      <w:pPr>
        <w:wordWrap w:val="0"/>
        <w:spacing w:line="400" w:lineRule="exact"/>
        <w:ind w:firstLine="2640" w:firstLineChars="1100"/>
        <w:jc w:val="right"/>
        <w:rPr>
          <w:rFonts w:hint="eastAsia" w:ascii="宋体" w:hAnsi="宋体" w:cs="宋体"/>
          <w:bCs/>
          <w:color w:val="auto"/>
          <w:sz w:val="24"/>
          <w:szCs w:val="24"/>
          <w:u w:val="single"/>
          <w:lang w:val="zh-CN"/>
        </w:rPr>
      </w:pPr>
      <w:r>
        <w:rPr>
          <w:rFonts w:hint="eastAsia" w:ascii="宋体" w:hAnsi="宋体" w:cs="宋体"/>
          <w:bCs/>
          <w:color w:val="auto"/>
          <w:sz w:val="24"/>
          <w:szCs w:val="24"/>
          <w:lang w:val="zh-CN"/>
        </w:rPr>
        <w:t>投标人：</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(盖章)</w:t>
      </w:r>
    </w:p>
    <w:p w14:paraId="1ECA3A35">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0F14D091">
      <w:pPr>
        <w:wordWrap w:val="0"/>
        <w:spacing w:line="500" w:lineRule="exact"/>
        <w:ind w:firstLine="3600" w:firstLineChars="1500"/>
        <w:rPr>
          <w:rFonts w:hint="eastAsia" w:ascii="宋体" w:hAnsi="宋体" w:cs="宋体"/>
          <w:color w:val="auto"/>
          <w:sz w:val="24"/>
          <w:lang w:eastAsia="zh-CN"/>
        </w:rPr>
      </w:pPr>
      <w:r>
        <w:rPr>
          <w:rFonts w:hint="eastAsia" w:ascii="宋体" w:hAnsi="宋体" w:cs="宋体"/>
          <w:color w:val="auto"/>
          <w:sz w:val="24"/>
          <w:lang w:eastAsia="zh-CN"/>
        </w:rPr>
        <w:t>日      期：</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年</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月</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日</w:t>
      </w:r>
    </w:p>
    <w:p w14:paraId="6C0CF08C">
      <w:pPr>
        <w:spacing w:line="480" w:lineRule="auto"/>
        <w:rPr>
          <w:rFonts w:hint="eastAsia" w:ascii="宋体" w:hAnsi="宋体" w:cs="宋体"/>
          <w:color w:val="auto"/>
          <w:sz w:val="24"/>
          <w:lang w:eastAsia="zh-CN"/>
        </w:rPr>
      </w:pPr>
    </w:p>
    <w:p w14:paraId="6B3465E0">
      <w:pPr>
        <w:jc w:val="both"/>
        <w:rPr>
          <w:rFonts w:hint="eastAsia" w:ascii="宋体" w:hAnsi="宋体" w:cs="宋体"/>
          <w:color w:val="auto"/>
          <w:sz w:val="30"/>
          <w:szCs w:val="30"/>
          <w:lang w:eastAsia="zh-CN"/>
        </w:rPr>
      </w:pPr>
    </w:p>
    <w:p w14:paraId="3B57BDCF">
      <w:pPr>
        <w:pStyle w:val="8"/>
        <w:rPr>
          <w:rFonts w:hint="eastAsia" w:ascii="宋体" w:hAnsi="宋体" w:eastAsia="宋体" w:cs="宋体"/>
          <w:color w:val="auto"/>
          <w:szCs w:val="30"/>
          <w:lang w:eastAsia="zh-CN"/>
        </w:rPr>
      </w:pPr>
    </w:p>
    <w:p w14:paraId="45F4A517">
      <w:pPr>
        <w:pStyle w:val="8"/>
        <w:rPr>
          <w:rFonts w:hint="eastAsia" w:ascii="宋体" w:hAnsi="宋体" w:eastAsia="宋体" w:cs="宋体"/>
          <w:color w:val="auto"/>
          <w:szCs w:val="30"/>
          <w:lang w:eastAsia="zh-CN"/>
        </w:rPr>
      </w:pPr>
    </w:p>
    <w:p w14:paraId="64E6D6F1">
      <w:pPr>
        <w:pStyle w:val="8"/>
        <w:rPr>
          <w:rFonts w:hint="eastAsia" w:ascii="宋体" w:hAnsi="宋体" w:eastAsia="宋体" w:cs="宋体"/>
          <w:color w:val="auto"/>
          <w:szCs w:val="30"/>
          <w:lang w:eastAsia="zh-CN"/>
        </w:rPr>
      </w:pPr>
    </w:p>
    <w:p w14:paraId="772A4AD7">
      <w:pPr>
        <w:tabs>
          <w:tab w:val="left" w:pos="0"/>
        </w:tabs>
        <w:rPr>
          <w:rFonts w:hint="eastAsia" w:ascii="宋体" w:hAnsi="宋体" w:cs="宋体"/>
          <w:b/>
          <w:color w:val="auto"/>
          <w:sz w:val="28"/>
          <w:szCs w:val="28"/>
          <w:lang w:eastAsia="zh-CN"/>
        </w:rPr>
      </w:pPr>
    </w:p>
    <w:p w14:paraId="48C5CD54">
      <w:pPr>
        <w:pStyle w:val="8"/>
        <w:rPr>
          <w:rFonts w:hint="eastAsia" w:ascii="宋体" w:hAnsi="宋体" w:eastAsia="宋体" w:cs="宋体"/>
          <w:b/>
          <w:color w:val="auto"/>
          <w:sz w:val="28"/>
          <w:szCs w:val="28"/>
          <w:lang w:eastAsia="zh-CN"/>
        </w:rPr>
      </w:pPr>
    </w:p>
    <w:p w14:paraId="66CD67F1">
      <w:pPr>
        <w:rPr>
          <w:rFonts w:hint="eastAsia" w:ascii="宋体" w:hAnsi="宋体" w:cs="宋体"/>
          <w:b/>
          <w:color w:val="auto"/>
          <w:sz w:val="28"/>
          <w:szCs w:val="28"/>
          <w:lang w:eastAsia="zh-CN"/>
        </w:rPr>
      </w:pPr>
    </w:p>
    <w:p w14:paraId="09DDB9B5">
      <w:pPr>
        <w:pStyle w:val="8"/>
        <w:rPr>
          <w:rFonts w:hint="eastAsia" w:ascii="宋体" w:hAnsi="宋体" w:eastAsia="宋体" w:cs="宋体"/>
          <w:b/>
          <w:color w:val="auto"/>
          <w:sz w:val="28"/>
          <w:szCs w:val="28"/>
          <w:lang w:eastAsia="zh-CN"/>
        </w:rPr>
      </w:pPr>
    </w:p>
    <w:p w14:paraId="17A0FB51">
      <w:pPr>
        <w:rPr>
          <w:rFonts w:hint="eastAsia" w:ascii="宋体" w:hAnsi="宋体" w:cs="宋体"/>
          <w:b/>
          <w:color w:val="auto"/>
          <w:sz w:val="28"/>
          <w:szCs w:val="28"/>
          <w:lang w:eastAsia="zh-CN"/>
        </w:rPr>
      </w:pPr>
    </w:p>
    <w:p w14:paraId="035734B8">
      <w:pPr>
        <w:pStyle w:val="8"/>
        <w:rPr>
          <w:rFonts w:hint="eastAsia" w:ascii="宋体" w:hAnsi="宋体" w:eastAsia="宋体" w:cs="宋体"/>
          <w:b/>
          <w:color w:val="auto"/>
          <w:sz w:val="28"/>
          <w:szCs w:val="28"/>
          <w:lang w:eastAsia="zh-CN"/>
        </w:rPr>
      </w:pPr>
    </w:p>
    <w:p w14:paraId="0A4FC7FC">
      <w:pPr>
        <w:rPr>
          <w:rFonts w:hint="eastAsia" w:ascii="宋体" w:hAnsi="宋体" w:cs="宋体"/>
          <w:b/>
          <w:color w:val="auto"/>
          <w:sz w:val="28"/>
          <w:szCs w:val="28"/>
          <w:lang w:eastAsia="zh-CN"/>
        </w:rPr>
      </w:pPr>
    </w:p>
    <w:p w14:paraId="678610C3">
      <w:pPr>
        <w:pStyle w:val="8"/>
        <w:rPr>
          <w:rFonts w:hint="eastAsia" w:ascii="宋体" w:hAnsi="宋体" w:eastAsia="宋体" w:cs="宋体"/>
          <w:b/>
          <w:color w:val="auto"/>
          <w:sz w:val="28"/>
          <w:szCs w:val="28"/>
          <w:lang w:eastAsia="zh-CN"/>
        </w:rPr>
      </w:pPr>
    </w:p>
    <w:p w14:paraId="2A03BC07">
      <w:pPr>
        <w:rPr>
          <w:rFonts w:hint="eastAsia" w:ascii="宋体" w:hAnsi="宋体" w:cs="宋体"/>
          <w:b/>
          <w:color w:val="auto"/>
          <w:sz w:val="28"/>
          <w:szCs w:val="28"/>
          <w:lang w:eastAsia="zh-CN"/>
        </w:rPr>
      </w:pPr>
    </w:p>
    <w:p w14:paraId="0486A413">
      <w:pPr>
        <w:pStyle w:val="8"/>
        <w:rPr>
          <w:rFonts w:hint="eastAsia" w:ascii="宋体" w:hAnsi="宋体" w:eastAsia="宋体" w:cs="宋体"/>
          <w:b/>
          <w:color w:val="auto"/>
          <w:sz w:val="28"/>
          <w:szCs w:val="28"/>
          <w:lang w:eastAsia="zh-CN"/>
        </w:rPr>
      </w:pPr>
    </w:p>
    <w:p w14:paraId="44759969">
      <w:pPr>
        <w:rPr>
          <w:rFonts w:hint="eastAsia" w:ascii="宋体" w:hAnsi="宋体" w:cs="宋体"/>
          <w:b/>
          <w:color w:val="auto"/>
          <w:sz w:val="28"/>
          <w:szCs w:val="28"/>
          <w:lang w:eastAsia="zh-CN"/>
        </w:rPr>
      </w:pPr>
    </w:p>
    <w:p w14:paraId="66D0602B">
      <w:pPr>
        <w:pStyle w:val="8"/>
        <w:rPr>
          <w:rFonts w:hint="eastAsia" w:ascii="宋体" w:hAnsi="宋体" w:eastAsia="宋体" w:cs="宋体"/>
          <w:b/>
          <w:color w:val="auto"/>
          <w:sz w:val="28"/>
          <w:szCs w:val="28"/>
          <w:lang w:eastAsia="zh-CN"/>
        </w:rPr>
      </w:pPr>
    </w:p>
    <w:p w14:paraId="09FFA3EC">
      <w:pPr>
        <w:rPr>
          <w:rFonts w:hint="eastAsia" w:ascii="宋体" w:hAnsi="宋体" w:cs="宋体"/>
          <w:b/>
          <w:color w:val="auto"/>
          <w:sz w:val="28"/>
          <w:szCs w:val="28"/>
          <w:lang w:eastAsia="zh-CN"/>
        </w:rPr>
      </w:pPr>
    </w:p>
    <w:p w14:paraId="70E1DEE3">
      <w:pPr>
        <w:pStyle w:val="29"/>
        <w:numPr>
          <w:ilvl w:val="0"/>
          <w:numId w:val="0"/>
        </w:numPr>
        <w:ind w:left="540"/>
        <w:rPr>
          <w:color w:val="auto"/>
          <w:lang w:eastAsia="zh-CN"/>
        </w:rPr>
      </w:pPr>
    </w:p>
    <w:p w14:paraId="5A255CDF">
      <w:pPr>
        <w:pStyle w:val="8"/>
        <w:rPr>
          <w:rFonts w:hint="eastAsia" w:ascii="宋体" w:hAnsi="宋体" w:eastAsia="宋体" w:cs="宋体"/>
          <w:b/>
          <w:color w:val="auto"/>
          <w:sz w:val="28"/>
          <w:szCs w:val="28"/>
          <w:lang w:eastAsia="zh-CN"/>
        </w:rPr>
      </w:pPr>
    </w:p>
    <w:p w14:paraId="24655D40">
      <w:pPr>
        <w:rPr>
          <w:rFonts w:hint="eastAsia" w:ascii="宋体" w:hAnsi="宋体" w:cs="宋体"/>
          <w:b/>
          <w:color w:val="auto"/>
          <w:sz w:val="28"/>
          <w:szCs w:val="28"/>
          <w:lang w:eastAsia="zh-CN"/>
        </w:rPr>
      </w:pPr>
    </w:p>
    <w:p w14:paraId="3522B6AB">
      <w:pPr>
        <w:spacing w:line="360" w:lineRule="auto"/>
        <w:jc w:val="center"/>
        <w:rPr>
          <w:rFonts w:hint="eastAsia" w:ascii="宋体" w:hAnsi="宋体" w:cs="宋体"/>
          <w:b/>
          <w:color w:val="auto"/>
          <w:sz w:val="32"/>
          <w:szCs w:val="32"/>
          <w:lang w:eastAsia="zh-CN"/>
        </w:rPr>
      </w:pPr>
      <w:bookmarkStart w:id="59" w:name="_Toc424468861"/>
      <w:r>
        <w:rPr>
          <w:rFonts w:hint="eastAsia" w:ascii="宋体" w:hAnsi="宋体" w:cs="宋体"/>
          <w:b/>
          <w:color w:val="auto"/>
          <w:sz w:val="32"/>
          <w:szCs w:val="32"/>
          <w:lang w:eastAsia="zh-CN"/>
        </w:rPr>
        <w:t>12、投标人认为需要提供的其他材料</w:t>
      </w:r>
      <w:bookmarkEnd w:id="59"/>
    </w:p>
    <w:p w14:paraId="2AF7300F">
      <w:pPr>
        <w:pStyle w:val="5"/>
        <w:rPr>
          <w:rFonts w:hint="eastAsia" w:ascii="宋体" w:hAnsi="宋体" w:cs="宋体"/>
          <w:color w:val="auto"/>
          <w:lang w:eastAsia="zh-CN"/>
        </w:rPr>
      </w:pPr>
    </w:p>
    <w:p w14:paraId="090308F3">
      <w:pPr>
        <w:rPr>
          <w:rFonts w:hint="eastAsia" w:ascii="宋体" w:hAnsi="宋体" w:cs="宋体"/>
          <w:color w:val="auto"/>
          <w:lang w:eastAsia="zh-CN"/>
        </w:rPr>
      </w:pPr>
    </w:p>
    <w:p w14:paraId="36EBE738">
      <w:pPr>
        <w:pStyle w:val="5"/>
        <w:rPr>
          <w:rFonts w:hint="eastAsia" w:ascii="宋体" w:hAnsi="宋体" w:cs="宋体"/>
          <w:color w:val="auto"/>
          <w:lang w:eastAsia="zh-CN"/>
        </w:rPr>
      </w:pPr>
    </w:p>
    <w:p w14:paraId="2B6B319C">
      <w:pPr>
        <w:rPr>
          <w:rFonts w:hint="eastAsia" w:ascii="宋体" w:hAnsi="宋体" w:cs="宋体"/>
          <w:color w:val="auto"/>
          <w:lang w:eastAsia="zh-CN"/>
        </w:rPr>
      </w:pPr>
    </w:p>
    <w:p w14:paraId="6A8ED49B">
      <w:pPr>
        <w:pStyle w:val="5"/>
        <w:rPr>
          <w:rFonts w:hint="eastAsia" w:ascii="宋体" w:hAnsi="宋体" w:cs="宋体"/>
          <w:color w:val="auto"/>
          <w:lang w:eastAsia="zh-CN"/>
        </w:rPr>
      </w:pPr>
    </w:p>
    <w:p w14:paraId="3C65AD94">
      <w:pPr>
        <w:rPr>
          <w:rFonts w:hint="eastAsia" w:ascii="宋体" w:hAnsi="宋体" w:cs="宋体"/>
          <w:color w:val="auto"/>
          <w:lang w:eastAsia="zh-CN"/>
        </w:rPr>
      </w:pPr>
    </w:p>
    <w:p w14:paraId="53F58BCF">
      <w:pPr>
        <w:pStyle w:val="5"/>
        <w:rPr>
          <w:rFonts w:hint="eastAsia" w:ascii="宋体" w:hAnsi="宋体" w:cs="宋体"/>
          <w:color w:val="auto"/>
          <w:lang w:eastAsia="zh-CN"/>
        </w:rPr>
      </w:pPr>
    </w:p>
    <w:p w14:paraId="4F24AA0D">
      <w:pPr>
        <w:rPr>
          <w:rFonts w:hint="eastAsia" w:ascii="宋体" w:hAnsi="宋体" w:cs="宋体"/>
          <w:color w:val="auto"/>
          <w:lang w:eastAsia="zh-CN"/>
        </w:rPr>
      </w:pPr>
    </w:p>
    <w:p w14:paraId="32D5A389">
      <w:pPr>
        <w:pStyle w:val="9"/>
        <w:rPr>
          <w:rFonts w:hint="eastAsia" w:hAnsi="宋体" w:cs="宋体"/>
          <w:color w:val="auto"/>
          <w:lang w:eastAsia="zh-CN"/>
        </w:rPr>
      </w:pPr>
    </w:p>
    <w:p w14:paraId="1F4D4C33">
      <w:pPr>
        <w:pStyle w:val="9"/>
        <w:rPr>
          <w:rFonts w:hint="eastAsia" w:hAnsi="宋体" w:cs="宋体"/>
          <w:color w:val="auto"/>
          <w:lang w:eastAsia="zh-CN"/>
        </w:rPr>
      </w:pPr>
    </w:p>
    <w:p w14:paraId="2281A867">
      <w:pPr>
        <w:pStyle w:val="9"/>
        <w:rPr>
          <w:rFonts w:hint="eastAsia" w:hAnsi="宋体" w:cs="宋体"/>
          <w:color w:val="auto"/>
          <w:lang w:eastAsia="zh-CN"/>
        </w:rPr>
      </w:pPr>
    </w:p>
    <w:p w14:paraId="3D376F13">
      <w:pPr>
        <w:pStyle w:val="9"/>
        <w:rPr>
          <w:rFonts w:hint="eastAsia" w:hAnsi="宋体" w:cs="宋体"/>
          <w:color w:val="auto"/>
          <w:lang w:eastAsia="zh-CN"/>
        </w:rPr>
      </w:pPr>
    </w:p>
    <w:p w14:paraId="1FA7CA50">
      <w:pPr>
        <w:pStyle w:val="9"/>
        <w:rPr>
          <w:rFonts w:hint="eastAsia" w:hAnsi="宋体" w:cs="宋体"/>
          <w:color w:val="auto"/>
          <w:lang w:eastAsia="zh-CN"/>
        </w:rPr>
      </w:pPr>
    </w:p>
    <w:p w14:paraId="3A8264DE">
      <w:pPr>
        <w:rPr>
          <w:rFonts w:hint="eastAsia" w:ascii="宋体" w:hAnsi="宋体" w:cs="宋体"/>
          <w:color w:val="auto"/>
          <w:lang w:eastAsia="zh-CN"/>
        </w:rPr>
      </w:pPr>
    </w:p>
    <w:p w14:paraId="433E957C">
      <w:pPr>
        <w:rPr>
          <w:rFonts w:hint="eastAsia" w:ascii="宋体" w:hAnsi="宋体" w:cs="宋体"/>
          <w:color w:val="auto"/>
          <w:lang w:eastAsia="zh-CN"/>
        </w:rPr>
      </w:pPr>
    </w:p>
    <w:p w14:paraId="6C327CC1">
      <w:pPr>
        <w:pStyle w:val="2"/>
        <w:numPr>
          <w:ilvl w:val="0"/>
          <w:numId w:val="15"/>
        </w:numPr>
        <w:spacing w:before="41"/>
        <w:ind w:left="661" w:right="678"/>
        <w:rPr>
          <w:rFonts w:hint="eastAsia" w:ascii="宋体" w:hAnsi="宋体" w:cs="宋体"/>
          <w:b w:val="0"/>
          <w:color w:val="auto"/>
          <w:sz w:val="32"/>
          <w:szCs w:val="32"/>
          <w:lang w:eastAsia="zh-CN"/>
        </w:rPr>
      </w:pPr>
      <w:bookmarkStart w:id="60" w:name="_Toc11462"/>
      <w:r>
        <w:rPr>
          <w:rFonts w:hint="eastAsia" w:ascii="宋体" w:hAnsi="宋体" w:cs="宋体"/>
          <w:b w:val="0"/>
          <w:color w:val="auto"/>
          <w:sz w:val="32"/>
          <w:szCs w:val="32"/>
          <w:lang w:eastAsia="zh-CN"/>
        </w:rPr>
        <w:br w:type="page"/>
      </w:r>
      <w:bookmarkEnd w:id="60"/>
    </w:p>
    <w:p w14:paraId="08DFA8BB">
      <w:pPr>
        <w:jc w:val="center"/>
        <w:rPr>
          <w:rFonts w:hint="eastAsia" w:ascii="宋体" w:hAnsi="宋体" w:cs="宋体"/>
          <w:color w:val="auto"/>
          <w:sz w:val="32"/>
          <w:szCs w:val="32"/>
          <w:lang w:eastAsia="zh-CN"/>
        </w:rPr>
      </w:pPr>
      <w:r>
        <w:rPr>
          <w:rFonts w:hint="eastAsia" w:ascii="宋体" w:hAnsi="宋体" w:cs="宋体"/>
          <w:b/>
          <w:bCs/>
          <w:color w:val="auto"/>
          <w:sz w:val="32"/>
          <w:szCs w:val="32"/>
          <w:lang w:eastAsia="zh-CN"/>
        </w:rPr>
        <w:t>※以下内容如果投标企业未涉及无需填写</w:t>
      </w:r>
    </w:p>
    <w:p w14:paraId="6A54F5A7">
      <w:pPr>
        <w:pStyle w:val="3"/>
        <w:rPr>
          <w:rFonts w:hint="eastAsia" w:ascii="宋体" w:hAnsi="宋体" w:cs="宋体"/>
          <w:color w:val="auto"/>
          <w:lang w:eastAsia="zh-CN"/>
        </w:rPr>
      </w:pPr>
      <w:r>
        <w:rPr>
          <w:rFonts w:hint="eastAsia" w:ascii="宋体" w:hAnsi="宋体" w:cs="宋体"/>
          <w:color w:val="auto"/>
          <w:lang w:eastAsia="zh-CN"/>
        </w:rPr>
        <w:t>附件一：</w:t>
      </w:r>
    </w:p>
    <w:p w14:paraId="66CFD586">
      <w:pPr>
        <w:pStyle w:val="8"/>
        <w:rPr>
          <w:rFonts w:hint="eastAsia" w:ascii="宋体" w:hAnsi="宋体" w:eastAsia="宋体" w:cs="宋体"/>
          <w:b/>
          <w:color w:val="auto"/>
          <w:sz w:val="18"/>
          <w:lang w:eastAsia="zh-CN"/>
        </w:rPr>
      </w:pPr>
    </w:p>
    <w:p w14:paraId="4D425D79">
      <w:pPr>
        <w:pStyle w:val="41"/>
        <w:spacing w:line="360" w:lineRule="auto"/>
        <w:ind w:right="157" w:firstLine="642"/>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 ﹝2020﹞46号)的规定，本公司(联合体)参加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采购活动，提供的货物全部由符合政策要求的中小企业制造。相关企业(含联合体中的中小企业、签订分包意向协议的中小企业)的具体情况如下： </w:t>
      </w:r>
    </w:p>
    <w:p w14:paraId="1733D64F">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w:t>
      </w:r>
      <w:r>
        <w:rPr>
          <w:rFonts w:hint="eastAsia" w:ascii="宋体" w:hAnsi="宋体" w:cs="宋体"/>
          <w:color w:val="auto"/>
          <w:position w:val="16"/>
          <w:sz w:val="24"/>
          <w:szCs w:val="24"/>
          <w:vertAlign w:val="superscript"/>
          <w:lang w:eastAsia="zh-CN"/>
        </w:rPr>
        <w:t>1</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2E98BC00">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7EF32828">
      <w:pPr>
        <w:pStyle w:val="42"/>
        <w:spacing w:line="360" w:lineRule="auto"/>
        <w:ind w:left="642"/>
        <w:rPr>
          <w:rFonts w:hint="eastAsia" w:ascii="宋体" w:hAnsi="宋体" w:eastAsia="宋体" w:cs="宋体"/>
          <w:sz w:val="24"/>
          <w:szCs w:val="24"/>
        </w:rPr>
      </w:pPr>
      <w:r>
        <w:rPr>
          <w:rFonts w:hint="eastAsia" w:ascii="宋体" w:hAnsi="宋体" w:eastAsia="宋体" w:cs="宋体"/>
          <w:sz w:val="24"/>
          <w:szCs w:val="24"/>
        </w:rPr>
        <w:t>……</w:t>
      </w:r>
    </w:p>
    <w:p w14:paraId="4F900B1A">
      <w:pPr>
        <w:pStyle w:val="41"/>
        <w:spacing w:line="360" w:lineRule="auto"/>
        <w:ind w:right="157" w:firstLine="642"/>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A815C87">
      <w:pPr>
        <w:pStyle w:val="42"/>
        <w:spacing w:line="360" w:lineRule="auto"/>
        <w:ind w:left="642"/>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15B5C69">
      <w:pPr>
        <w:pStyle w:val="43"/>
        <w:spacing w:line="360" w:lineRule="auto"/>
        <w:ind w:left="4416" w:leftChars="1960" w:hanging="300" w:hangingChars="125"/>
        <w:rPr>
          <w:rFonts w:hint="eastAsia" w:ascii="宋体" w:hAnsi="宋体" w:eastAsia="宋体" w:cs="宋体"/>
          <w:sz w:val="24"/>
          <w:szCs w:val="24"/>
        </w:rPr>
      </w:pPr>
    </w:p>
    <w:p w14:paraId="32C8CB59">
      <w:pPr>
        <w:pStyle w:val="39"/>
        <w:rPr>
          <w:rFonts w:hint="eastAsia" w:ascii="宋体" w:hAnsi="宋体" w:eastAsia="宋体" w:cs="宋体"/>
          <w:sz w:val="24"/>
          <w:szCs w:val="24"/>
        </w:rPr>
      </w:pPr>
    </w:p>
    <w:p w14:paraId="72E4DF3F">
      <w:pPr>
        <w:pStyle w:val="43"/>
        <w:spacing w:line="360" w:lineRule="auto"/>
        <w:ind w:left="4416" w:leftChars="1960" w:hanging="300" w:hangingChars="125"/>
        <w:rPr>
          <w:rFonts w:hint="eastAsia" w:ascii="宋体" w:hAnsi="宋体" w:eastAsia="宋体" w:cs="宋体"/>
          <w:sz w:val="24"/>
          <w:szCs w:val="24"/>
        </w:rPr>
      </w:pPr>
    </w:p>
    <w:p w14:paraId="5DE283E9">
      <w:pPr>
        <w:pStyle w:val="43"/>
        <w:spacing w:line="360" w:lineRule="auto"/>
        <w:rPr>
          <w:rFonts w:hint="eastAsia" w:ascii="宋体" w:hAnsi="宋体" w:eastAsia="宋体" w:cs="宋体"/>
          <w:sz w:val="24"/>
          <w:szCs w:val="24"/>
        </w:rPr>
      </w:pPr>
      <w:r>
        <w:rPr>
          <w:rFonts w:hint="eastAsia" w:ascii="宋体" w:hAnsi="宋体" w:eastAsia="宋体" w:cs="宋体"/>
          <w:sz w:val="24"/>
          <w:szCs w:val="24"/>
        </w:rPr>
        <w:t>企业名称(盖章)：</w:t>
      </w:r>
    </w:p>
    <w:p w14:paraId="6162427B">
      <w:pPr>
        <w:pStyle w:val="43"/>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14:paraId="43A71518">
      <w:pPr>
        <w:pStyle w:val="39"/>
        <w:rPr>
          <w:rFonts w:hint="eastAsia" w:ascii="宋体" w:hAnsi="宋体" w:eastAsia="宋体" w:cs="宋体"/>
          <w:sz w:val="24"/>
          <w:szCs w:val="24"/>
        </w:rPr>
      </w:pPr>
    </w:p>
    <w:p w14:paraId="11185A6E">
      <w:pPr>
        <w:pStyle w:val="39"/>
        <w:rPr>
          <w:rFonts w:hint="eastAsia" w:ascii="宋体" w:hAnsi="宋体" w:eastAsia="宋体" w:cs="宋体"/>
          <w:sz w:val="24"/>
          <w:szCs w:val="24"/>
        </w:rPr>
      </w:pPr>
    </w:p>
    <w:p w14:paraId="084D0A6E">
      <w:pPr>
        <w:pStyle w:val="39"/>
        <w:rPr>
          <w:rFonts w:hint="eastAsia" w:ascii="宋体" w:hAnsi="宋体" w:eastAsia="宋体" w:cs="宋体"/>
          <w:sz w:val="24"/>
          <w:szCs w:val="24"/>
        </w:rPr>
      </w:pPr>
    </w:p>
    <w:p w14:paraId="3A79989C">
      <w:pPr>
        <w:pStyle w:val="39"/>
        <w:rPr>
          <w:rFonts w:hint="eastAsia" w:ascii="宋体" w:hAnsi="宋体" w:eastAsia="宋体" w:cs="宋体"/>
          <w:sz w:val="21"/>
          <w:szCs w:val="21"/>
        </w:rPr>
      </w:pPr>
    </w:p>
    <w:p w14:paraId="7BCD4F71">
      <w:pPr>
        <w:pStyle w:val="39"/>
        <w:rPr>
          <w:rFonts w:hint="eastAsia" w:ascii="宋体" w:hAnsi="宋体" w:eastAsia="宋体" w:cs="宋体"/>
          <w:sz w:val="21"/>
          <w:szCs w:val="21"/>
        </w:rPr>
      </w:pPr>
    </w:p>
    <w:p w14:paraId="495D5153">
      <w:pPr>
        <w:pStyle w:val="43"/>
        <w:spacing w:line="240" w:lineRule="auto"/>
        <w:rPr>
          <w:rFonts w:hint="eastAsia" w:ascii="宋体" w:hAnsi="宋体" w:eastAsia="宋体" w:cs="宋体"/>
          <w:sz w:val="21"/>
          <w:szCs w:val="21"/>
          <w:vertAlign w:val="superscript"/>
        </w:rPr>
      </w:pPr>
      <w:r>
        <w:rPr>
          <w:rFonts w:hint="eastAsia" w:ascii="宋体" w:hAnsi="宋体" w:eastAsia="宋体" w:cs="宋体"/>
          <w:sz w:val="21"/>
          <w:szCs w:val="21"/>
          <w:vertAlign w:val="superscript"/>
        </w:rPr>
        <w:t xml:space="preserve"> </w:t>
      </w:r>
    </w:p>
    <w:p w14:paraId="068C3CE8">
      <w:pPr>
        <w:pStyle w:val="43"/>
        <w:pBdr>
          <w:top w:val="single" w:color="auto" w:sz="4" w:space="1"/>
        </w:pBdr>
        <w:spacing w:line="240" w:lineRule="auto"/>
        <w:rPr>
          <w:rFonts w:hint="eastAsia" w:ascii="宋体" w:hAnsi="宋体" w:eastAsia="宋体" w:cs="宋体"/>
          <w:sz w:val="21"/>
          <w:szCs w:val="21"/>
        </w:rPr>
      </w:pPr>
      <w:r>
        <w:rPr>
          <w:rFonts w:hint="eastAsia" w:ascii="宋体" w:hAnsi="宋体" w:eastAsia="宋体" w:cs="宋体"/>
          <w:sz w:val="21"/>
          <w:szCs w:val="21"/>
          <w:vertAlign w:val="superscript"/>
        </w:rPr>
        <w:t>1</w:t>
      </w:r>
      <w:r>
        <w:rPr>
          <w:rFonts w:hint="eastAsia" w:ascii="宋体" w:hAnsi="宋体" w:eastAsia="宋体" w:cs="宋体"/>
          <w:sz w:val="21"/>
          <w:szCs w:val="21"/>
        </w:rPr>
        <w:t>从业人员、营业收入、资产总额填报上一年度数据，无上一年度数据的新成立企业可不填报。</w:t>
      </w:r>
    </w:p>
    <w:p w14:paraId="28A094DB">
      <w:pPr>
        <w:spacing w:line="190" w:lineRule="exact"/>
        <w:rPr>
          <w:rFonts w:hint="eastAsia" w:ascii="宋体" w:hAnsi="宋体" w:cs="宋体"/>
          <w:color w:val="auto"/>
          <w:sz w:val="18"/>
          <w:lang w:eastAsia="zh-CN"/>
        </w:rPr>
      </w:pPr>
    </w:p>
    <w:p w14:paraId="3DFA754B">
      <w:pPr>
        <w:pStyle w:val="12"/>
        <w:rPr>
          <w:rFonts w:hint="eastAsia" w:ascii="宋体" w:hAnsi="宋体" w:eastAsia="宋体" w:cs="宋体"/>
          <w:color w:val="auto"/>
          <w:lang w:eastAsia="zh-CN"/>
        </w:rPr>
      </w:pPr>
    </w:p>
    <w:p w14:paraId="122E1971">
      <w:pPr>
        <w:rPr>
          <w:rFonts w:hint="eastAsia" w:ascii="宋体" w:hAnsi="宋体" w:cs="宋体"/>
          <w:color w:val="auto"/>
          <w:lang w:eastAsia="zh-CN"/>
        </w:rPr>
      </w:pPr>
    </w:p>
    <w:p w14:paraId="14C48171">
      <w:pPr>
        <w:pStyle w:val="20"/>
        <w:rPr>
          <w:rFonts w:hint="eastAsia" w:ascii="宋体" w:hAnsi="宋体" w:cs="宋体"/>
          <w:color w:val="auto"/>
          <w:lang w:eastAsia="zh-CN"/>
        </w:rPr>
      </w:pPr>
    </w:p>
    <w:p w14:paraId="4FD94625">
      <w:pPr>
        <w:rPr>
          <w:rFonts w:hint="eastAsia" w:ascii="宋体" w:hAnsi="宋体" w:cs="宋体"/>
          <w:color w:val="auto"/>
          <w:lang w:eastAsia="zh-CN"/>
        </w:rPr>
      </w:pPr>
    </w:p>
    <w:p w14:paraId="29C6BF48">
      <w:pPr>
        <w:rPr>
          <w:rStyle w:val="36"/>
          <w:rFonts w:hint="eastAsia" w:ascii="宋体" w:hAnsi="宋体" w:cs="宋体"/>
          <w:bCs/>
          <w:color w:val="auto"/>
          <w:sz w:val="28"/>
          <w:szCs w:val="28"/>
        </w:rPr>
      </w:pPr>
      <w:r>
        <w:rPr>
          <w:rStyle w:val="36"/>
          <w:rFonts w:hint="eastAsia" w:ascii="宋体" w:hAnsi="宋体" w:cs="宋体"/>
          <w:color w:val="auto"/>
        </w:rPr>
        <w:t>附件二：</w:t>
      </w:r>
    </w:p>
    <w:p w14:paraId="0CD49966">
      <w:pPr>
        <w:spacing w:line="360" w:lineRule="auto"/>
        <w:jc w:val="center"/>
        <w:rPr>
          <w:rStyle w:val="36"/>
          <w:rFonts w:hint="eastAsia" w:ascii="宋体" w:hAnsi="宋体" w:cs="宋体"/>
          <w:b/>
          <w:color w:val="auto"/>
          <w:sz w:val="32"/>
          <w:szCs w:val="32"/>
        </w:rPr>
      </w:pPr>
      <w:r>
        <w:rPr>
          <w:rStyle w:val="36"/>
          <w:rFonts w:hint="eastAsia" w:ascii="宋体" w:hAnsi="宋体" w:cs="宋体"/>
          <w:b/>
          <w:color w:val="auto"/>
          <w:sz w:val="32"/>
          <w:szCs w:val="32"/>
        </w:rPr>
        <w:t>残疾人福利性单位声明函</w:t>
      </w:r>
    </w:p>
    <w:p w14:paraId="1FDA40C2">
      <w:pPr>
        <w:spacing w:line="588" w:lineRule="exact"/>
        <w:rPr>
          <w:rStyle w:val="36"/>
          <w:rFonts w:hint="eastAsia" w:ascii="宋体" w:hAnsi="宋体" w:cs="宋体"/>
          <w:b/>
          <w:color w:val="auto"/>
          <w:spacing w:val="6"/>
          <w:sz w:val="30"/>
          <w:szCs w:val="30"/>
        </w:rPr>
      </w:pPr>
    </w:p>
    <w:p w14:paraId="6D91DB47">
      <w:pPr>
        <w:spacing w:line="360" w:lineRule="auto"/>
        <w:ind w:firstLine="504" w:firstLineChars="200"/>
        <w:rPr>
          <w:rStyle w:val="36"/>
          <w:rFonts w:hint="eastAsia" w:ascii="宋体" w:hAnsi="宋体" w:cs="宋体"/>
          <w:color w:val="auto"/>
          <w:spacing w:val="6"/>
          <w:sz w:val="24"/>
          <w:szCs w:val="24"/>
        </w:rPr>
      </w:pPr>
      <w:r>
        <w:rPr>
          <w:rStyle w:val="36"/>
          <w:rFonts w:hint="eastAsia" w:ascii="宋体" w:hAnsi="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1AF171">
      <w:pPr>
        <w:spacing w:line="360" w:lineRule="auto"/>
        <w:ind w:firstLine="504" w:firstLineChars="200"/>
        <w:rPr>
          <w:rStyle w:val="36"/>
          <w:rFonts w:hint="eastAsia" w:ascii="宋体" w:hAnsi="宋体" w:cs="宋体"/>
          <w:color w:val="auto"/>
          <w:spacing w:val="6"/>
          <w:sz w:val="24"/>
          <w:szCs w:val="24"/>
        </w:rPr>
      </w:pPr>
      <w:r>
        <w:rPr>
          <w:rStyle w:val="36"/>
          <w:rFonts w:hint="eastAsia" w:ascii="宋体" w:hAnsi="宋体" w:cs="宋体"/>
          <w:color w:val="auto"/>
          <w:spacing w:val="6"/>
          <w:sz w:val="24"/>
          <w:szCs w:val="24"/>
        </w:rPr>
        <w:t>本单位对上述声明的真实性负责。如有虚假，将依法承担相应责任。</w:t>
      </w:r>
    </w:p>
    <w:p w14:paraId="24F33E7C">
      <w:pPr>
        <w:spacing w:line="360" w:lineRule="auto"/>
        <w:ind w:firstLine="504" w:firstLineChars="200"/>
        <w:rPr>
          <w:rStyle w:val="36"/>
          <w:rFonts w:hint="eastAsia" w:ascii="宋体" w:hAnsi="宋体" w:cs="宋体"/>
          <w:color w:val="auto"/>
          <w:spacing w:val="6"/>
          <w:sz w:val="24"/>
          <w:szCs w:val="24"/>
        </w:rPr>
      </w:pPr>
    </w:p>
    <w:p w14:paraId="58BC256E">
      <w:pPr>
        <w:spacing w:line="360" w:lineRule="auto"/>
        <w:ind w:firstLine="504" w:firstLineChars="200"/>
        <w:rPr>
          <w:rStyle w:val="36"/>
          <w:rFonts w:hint="eastAsia" w:ascii="宋体" w:hAnsi="宋体" w:cs="宋体"/>
          <w:color w:val="auto"/>
          <w:spacing w:val="6"/>
          <w:sz w:val="24"/>
          <w:szCs w:val="24"/>
        </w:rPr>
      </w:pPr>
    </w:p>
    <w:p w14:paraId="3EE6628D">
      <w:pPr>
        <w:spacing w:line="360" w:lineRule="auto"/>
        <w:ind w:firstLine="504" w:firstLineChars="200"/>
        <w:rPr>
          <w:rStyle w:val="36"/>
          <w:rFonts w:hint="eastAsia" w:ascii="宋体" w:hAnsi="宋体" w:cs="宋体"/>
          <w:color w:val="auto"/>
          <w:spacing w:val="6"/>
          <w:sz w:val="24"/>
          <w:szCs w:val="24"/>
        </w:rPr>
      </w:pPr>
      <w:r>
        <w:rPr>
          <w:rStyle w:val="36"/>
          <w:rFonts w:hint="eastAsia" w:ascii="宋体" w:hAnsi="宋体" w:cs="宋体"/>
          <w:color w:val="auto"/>
          <w:spacing w:val="6"/>
          <w:sz w:val="24"/>
          <w:szCs w:val="24"/>
        </w:rPr>
        <w:t xml:space="preserve">              </w:t>
      </w:r>
    </w:p>
    <w:p w14:paraId="31979D92">
      <w:pPr>
        <w:spacing w:line="360" w:lineRule="auto"/>
        <w:ind w:firstLine="504" w:firstLineChars="200"/>
        <w:rPr>
          <w:rStyle w:val="36"/>
          <w:rFonts w:hint="eastAsia" w:ascii="宋体" w:hAnsi="宋体" w:cs="宋体"/>
          <w:color w:val="auto"/>
          <w:spacing w:val="6"/>
          <w:sz w:val="24"/>
          <w:szCs w:val="24"/>
        </w:rPr>
      </w:pPr>
    </w:p>
    <w:p w14:paraId="125AB01A">
      <w:pPr>
        <w:spacing w:line="360" w:lineRule="auto"/>
        <w:ind w:firstLine="504" w:firstLineChars="200"/>
        <w:rPr>
          <w:rStyle w:val="36"/>
          <w:rFonts w:hint="eastAsia" w:ascii="宋体" w:hAnsi="宋体" w:cs="宋体"/>
          <w:color w:val="auto"/>
          <w:spacing w:val="6"/>
          <w:sz w:val="24"/>
          <w:szCs w:val="24"/>
        </w:rPr>
      </w:pPr>
    </w:p>
    <w:p w14:paraId="6BDAF893">
      <w:pPr>
        <w:spacing w:line="360" w:lineRule="auto"/>
        <w:ind w:firstLine="420"/>
        <w:rPr>
          <w:rStyle w:val="36"/>
          <w:rFonts w:hint="eastAsia" w:ascii="宋体" w:hAnsi="宋体" w:cs="宋体"/>
          <w:color w:val="auto"/>
          <w:sz w:val="24"/>
          <w:szCs w:val="24"/>
        </w:rPr>
      </w:pPr>
      <w:r>
        <w:rPr>
          <w:rStyle w:val="36"/>
          <w:rFonts w:hint="eastAsia" w:ascii="宋体" w:hAnsi="宋体" w:cs="宋体"/>
          <w:color w:val="auto"/>
          <w:sz w:val="24"/>
          <w:szCs w:val="24"/>
        </w:rPr>
        <w:t>特此声明！</w:t>
      </w:r>
    </w:p>
    <w:p w14:paraId="1F0FB87D">
      <w:pPr>
        <w:spacing w:line="360" w:lineRule="auto"/>
        <w:ind w:firstLine="420"/>
        <w:rPr>
          <w:rStyle w:val="36"/>
          <w:rFonts w:hint="eastAsia" w:ascii="宋体" w:hAnsi="宋体" w:cs="宋体"/>
          <w:color w:val="auto"/>
          <w:sz w:val="24"/>
          <w:szCs w:val="24"/>
        </w:rPr>
      </w:pPr>
    </w:p>
    <w:p w14:paraId="4CBC74E4">
      <w:pPr>
        <w:spacing w:line="360" w:lineRule="auto"/>
        <w:ind w:firstLine="420"/>
        <w:rPr>
          <w:rStyle w:val="36"/>
          <w:rFonts w:hint="eastAsia" w:ascii="宋体" w:hAnsi="宋体" w:cs="宋体"/>
          <w:color w:val="auto"/>
          <w:sz w:val="24"/>
          <w:szCs w:val="24"/>
        </w:rPr>
      </w:pPr>
    </w:p>
    <w:p w14:paraId="074297B5">
      <w:pPr>
        <w:spacing w:line="360" w:lineRule="auto"/>
        <w:ind w:firstLine="420"/>
        <w:rPr>
          <w:rStyle w:val="36"/>
          <w:rFonts w:hint="eastAsia" w:ascii="宋体" w:hAnsi="宋体" w:cs="宋体"/>
          <w:color w:val="auto"/>
          <w:sz w:val="24"/>
          <w:szCs w:val="24"/>
        </w:rPr>
      </w:pPr>
      <w:r>
        <w:rPr>
          <w:rStyle w:val="36"/>
          <w:rFonts w:hint="eastAsia" w:ascii="宋体" w:hAnsi="宋体" w:cs="宋体"/>
          <w:color w:val="auto"/>
          <w:sz w:val="24"/>
          <w:szCs w:val="24"/>
        </w:rPr>
        <w:t>单位名称：　　　　　　　　　　　　　　公司（企业）法定代表人签字：</w:t>
      </w:r>
    </w:p>
    <w:p w14:paraId="508FE94C">
      <w:pPr>
        <w:spacing w:line="360" w:lineRule="auto"/>
        <w:ind w:firstLine="420"/>
        <w:rPr>
          <w:rStyle w:val="36"/>
          <w:rFonts w:hint="eastAsia" w:ascii="宋体" w:hAnsi="宋体" w:cs="宋体"/>
          <w:color w:val="auto"/>
          <w:sz w:val="24"/>
          <w:szCs w:val="24"/>
        </w:rPr>
      </w:pPr>
      <w:r>
        <w:rPr>
          <w:rStyle w:val="36"/>
          <w:rFonts w:hint="eastAsia" w:ascii="宋体" w:hAnsi="宋体" w:cs="宋体"/>
          <w:color w:val="auto"/>
          <w:sz w:val="24"/>
          <w:szCs w:val="24"/>
        </w:rPr>
        <w:t>单位地址：　　　　　　　　　　　　　　单位公章：</w:t>
      </w:r>
    </w:p>
    <w:p w14:paraId="60AE47CB">
      <w:pPr>
        <w:spacing w:line="360" w:lineRule="auto"/>
        <w:ind w:firstLine="420"/>
        <w:rPr>
          <w:rStyle w:val="36"/>
          <w:rFonts w:hint="eastAsia" w:ascii="宋体" w:hAnsi="宋体" w:cs="宋体"/>
          <w:color w:val="auto"/>
          <w:sz w:val="24"/>
          <w:szCs w:val="24"/>
        </w:rPr>
      </w:pPr>
      <w:r>
        <w:rPr>
          <w:rStyle w:val="36"/>
          <w:rFonts w:hint="eastAsia" w:ascii="宋体" w:hAnsi="宋体" w:cs="宋体"/>
          <w:color w:val="auto"/>
          <w:sz w:val="24"/>
          <w:szCs w:val="24"/>
        </w:rPr>
        <w:t>邮政编码：　　　　　　　　　　　　　　日期：</w:t>
      </w:r>
    </w:p>
    <w:p w14:paraId="2B74C126">
      <w:pPr>
        <w:ind w:firstLine="420" w:firstLineChars="175"/>
        <w:rPr>
          <w:rStyle w:val="36"/>
          <w:rFonts w:hint="eastAsia" w:ascii="宋体" w:hAnsi="宋体" w:cs="宋体"/>
          <w:b/>
          <w:color w:val="auto"/>
          <w:sz w:val="32"/>
          <w:szCs w:val="32"/>
        </w:rPr>
      </w:pPr>
      <w:r>
        <w:rPr>
          <w:rStyle w:val="36"/>
          <w:rFonts w:hint="eastAsia" w:ascii="宋体" w:hAnsi="宋体" w:cs="宋体"/>
          <w:color w:val="auto"/>
          <w:sz w:val="24"/>
          <w:szCs w:val="24"/>
        </w:rPr>
        <w:t>联系电话：</w:t>
      </w:r>
    </w:p>
    <w:p w14:paraId="48148D9C">
      <w:pPr>
        <w:rPr>
          <w:rStyle w:val="36"/>
          <w:rFonts w:hint="eastAsia" w:ascii="宋体" w:hAnsi="宋体" w:cs="宋体"/>
          <w:b/>
          <w:color w:val="auto"/>
          <w:sz w:val="32"/>
          <w:szCs w:val="32"/>
        </w:rPr>
      </w:pPr>
    </w:p>
    <w:p w14:paraId="3100BB7A">
      <w:pPr>
        <w:rPr>
          <w:rStyle w:val="36"/>
          <w:rFonts w:hint="eastAsia" w:ascii="宋体" w:hAnsi="宋体" w:cs="宋体"/>
          <w:b/>
          <w:color w:val="auto"/>
          <w:sz w:val="32"/>
          <w:szCs w:val="32"/>
        </w:rPr>
      </w:pPr>
    </w:p>
    <w:p w14:paraId="1E5E760A">
      <w:pPr>
        <w:rPr>
          <w:rStyle w:val="36"/>
          <w:rFonts w:hint="eastAsia" w:ascii="宋体" w:hAnsi="宋体" w:cs="宋体"/>
          <w:b/>
          <w:color w:val="auto"/>
          <w:sz w:val="32"/>
          <w:szCs w:val="32"/>
        </w:rPr>
      </w:pPr>
    </w:p>
    <w:p w14:paraId="5B9E24E7">
      <w:pPr>
        <w:rPr>
          <w:rStyle w:val="36"/>
          <w:rFonts w:hint="eastAsia" w:ascii="宋体" w:hAnsi="宋体" w:cs="宋体"/>
          <w:b/>
          <w:color w:val="auto"/>
          <w:sz w:val="24"/>
          <w:szCs w:val="24"/>
          <w:lang w:val="zh-CN"/>
        </w:rPr>
      </w:pPr>
      <w:r>
        <w:rPr>
          <w:rStyle w:val="36"/>
          <w:rFonts w:hint="eastAsia" w:ascii="宋体" w:hAnsi="宋体" w:cs="宋体"/>
          <w:b/>
          <w:color w:val="auto"/>
          <w:sz w:val="24"/>
          <w:szCs w:val="24"/>
          <w:lang w:val="zh-CN"/>
        </w:rPr>
        <w:t>注：如非残疾人福利性单位，本声明函无需填写。</w:t>
      </w:r>
    </w:p>
    <w:p w14:paraId="5964EDC7">
      <w:pPr>
        <w:pStyle w:val="44"/>
        <w:rPr>
          <w:rStyle w:val="36"/>
          <w:rFonts w:hint="eastAsia" w:ascii="宋体" w:hAnsi="宋体" w:cs="宋体"/>
          <w:b/>
          <w:color w:val="auto"/>
          <w:sz w:val="24"/>
          <w:szCs w:val="24"/>
          <w:lang w:val="zh-CN"/>
        </w:rPr>
      </w:pPr>
    </w:p>
    <w:p w14:paraId="3373A6C8">
      <w:pPr>
        <w:pStyle w:val="12"/>
        <w:rPr>
          <w:rStyle w:val="36"/>
          <w:rFonts w:hint="eastAsia" w:ascii="宋体" w:hAnsi="宋体" w:eastAsia="宋体" w:cs="宋体"/>
          <w:b/>
          <w:color w:val="auto"/>
          <w:sz w:val="24"/>
          <w:szCs w:val="24"/>
          <w:lang w:val="zh-CN"/>
        </w:rPr>
      </w:pPr>
    </w:p>
    <w:p w14:paraId="393CD00F">
      <w:pPr>
        <w:rPr>
          <w:rStyle w:val="36"/>
          <w:rFonts w:hint="eastAsia" w:ascii="宋体" w:hAnsi="宋体" w:cs="宋体"/>
          <w:b/>
          <w:color w:val="auto"/>
          <w:sz w:val="24"/>
          <w:szCs w:val="24"/>
          <w:lang w:val="zh-CN"/>
        </w:rPr>
      </w:pPr>
    </w:p>
    <w:p w14:paraId="3AE87D06">
      <w:pPr>
        <w:pStyle w:val="12"/>
        <w:rPr>
          <w:rStyle w:val="36"/>
          <w:rFonts w:hint="eastAsia" w:ascii="宋体" w:hAnsi="宋体" w:eastAsia="宋体" w:cs="宋体"/>
          <w:b/>
          <w:color w:val="auto"/>
          <w:sz w:val="24"/>
          <w:szCs w:val="24"/>
          <w:lang w:val="zh-CN"/>
        </w:rPr>
      </w:pPr>
    </w:p>
    <w:p w14:paraId="039979F8">
      <w:pPr>
        <w:rPr>
          <w:rFonts w:hint="eastAsia" w:ascii="宋体" w:hAnsi="宋体" w:cs="宋体"/>
          <w:color w:val="auto"/>
          <w:lang w:val="zh-CN" w:eastAsia="zh-CN"/>
        </w:rPr>
      </w:pPr>
    </w:p>
    <w:p w14:paraId="5CB85138">
      <w:pPr>
        <w:pStyle w:val="21"/>
        <w:ind w:left="2" w:firstLine="201"/>
        <w:rPr>
          <w:rFonts w:hint="eastAsia" w:eastAsia="宋体"/>
          <w:color w:val="auto"/>
          <w:lang w:val="zh-CN" w:eastAsia="zh-CN"/>
        </w:rPr>
      </w:pPr>
    </w:p>
    <w:p w14:paraId="395F0528">
      <w:pPr>
        <w:spacing w:line="360" w:lineRule="auto"/>
        <w:rPr>
          <w:rStyle w:val="36"/>
          <w:rFonts w:hint="eastAsia" w:ascii="宋体" w:hAnsi="宋体" w:cs="宋体"/>
          <w:color w:val="auto"/>
          <w:sz w:val="24"/>
          <w:szCs w:val="24"/>
        </w:rPr>
      </w:pPr>
      <w:r>
        <w:rPr>
          <w:rStyle w:val="36"/>
          <w:rFonts w:hint="eastAsia" w:ascii="宋体" w:hAnsi="宋体" w:cs="宋体"/>
          <w:color w:val="auto"/>
          <w:sz w:val="24"/>
          <w:szCs w:val="24"/>
        </w:rPr>
        <w:t>附件三：</w:t>
      </w:r>
    </w:p>
    <w:p w14:paraId="1BC2FD31">
      <w:pPr>
        <w:spacing w:line="360" w:lineRule="auto"/>
        <w:jc w:val="center"/>
        <w:rPr>
          <w:rStyle w:val="36"/>
          <w:rFonts w:hint="eastAsia" w:ascii="宋体" w:hAnsi="宋体" w:cs="宋体"/>
          <w:b/>
          <w:color w:val="auto"/>
          <w:sz w:val="32"/>
          <w:szCs w:val="32"/>
        </w:rPr>
      </w:pPr>
      <w:r>
        <w:rPr>
          <w:rStyle w:val="36"/>
          <w:rFonts w:hint="eastAsia" w:ascii="宋体" w:hAnsi="宋体" w:cs="宋体"/>
          <w:b/>
          <w:color w:val="auto"/>
          <w:sz w:val="32"/>
          <w:szCs w:val="32"/>
        </w:rPr>
        <w:t>监狱企业证明文件</w:t>
      </w:r>
    </w:p>
    <w:p w14:paraId="0A1DED16">
      <w:pPr>
        <w:jc w:val="center"/>
        <w:rPr>
          <w:rStyle w:val="36"/>
          <w:rFonts w:hint="eastAsia" w:ascii="宋体" w:hAnsi="宋体" w:cs="宋体"/>
          <w:color w:val="auto"/>
          <w:sz w:val="32"/>
          <w:szCs w:val="32"/>
        </w:rPr>
      </w:pPr>
    </w:p>
    <w:p w14:paraId="786C77CE">
      <w:pPr>
        <w:spacing w:line="360" w:lineRule="auto"/>
        <w:jc w:val="center"/>
        <w:rPr>
          <w:rStyle w:val="36"/>
          <w:rFonts w:hint="eastAsia" w:ascii="宋体" w:hAnsi="宋体" w:cs="宋体"/>
          <w:color w:val="auto"/>
          <w:sz w:val="32"/>
          <w:szCs w:val="32"/>
        </w:rPr>
      </w:pPr>
      <w:r>
        <w:rPr>
          <w:rStyle w:val="36"/>
          <w:rFonts w:hint="eastAsia" w:ascii="宋体" w:hAnsi="宋体" w:cs="宋体"/>
          <w:bCs/>
          <w:color w:val="auto"/>
          <w:sz w:val="24"/>
          <w:szCs w:val="24"/>
        </w:rPr>
        <w:t xml:space="preserve">  </w:t>
      </w:r>
      <w:r>
        <w:rPr>
          <w:rStyle w:val="36"/>
          <w:rFonts w:hint="eastAsia" w:ascii="宋体" w:hAnsi="宋体" w:cs="宋体"/>
          <w:bCs/>
          <w:color w:val="auto"/>
          <w:sz w:val="24"/>
          <w:szCs w:val="24"/>
          <w:lang w:val="zh-CN"/>
        </w:rPr>
        <w:t>提供由省级以上监狱管理局、戒毒管理局（含新疆生产建设兵团）出具的属于监狱企业的证明文件。</w:t>
      </w:r>
    </w:p>
    <w:p w14:paraId="11FCA6EE">
      <w:pPr>
        <w:rPr>
          <w:rStyle w:val="36"/>
          <w:rFonts w:hint="eastAsia" w:ascii="宋体" w:hAnsi="宋体" w:cs="宋体"/>
          <w:b/>
          <w:color w:val="auto"/>
          <w:sz w:val="32"/>
          <w:szCs w:val="32"/>
        </w:rPr>
      </w:pPr>
    </w:p>
    <w:p w14:paraId="0ECFB520">
      <w:pPr>
        <w:pStyle w:val="12"/>
        <w:rPr>
          <w:rStyle w:val="36"/>
          <w:rFonts w:hint="eastAsia" w:ascii="宋体" w:hAnsi="宋体" w:eastAsia="宋体" w:cs="宋体"/>
          <w:b/>
          <w:color w:val="auto"/>
          <w:sz w:val="24"/>
          <w:szCs w:val="24"/>
        </w:rPr>
      </w:pPr>
      <w:r>
        <w:rPr>
          <w:rStyle w:val="36"/>
          <w:rFonts w:hint="eastAsia" w:ascii="宋体" w:hAnsi="宋体" w:eastAsia="宋体" w:cs="宋体"/>
          <w:b/>
          <w:color w:val="auto"/>
          <w:sz w:val="24"/>
          <w:szCs w:val="24"/>
        </w:rPr>
        <w:t>注：证明文件无固定格式要求，如非监狱企业，本证明文件无需提供。</w:t>
      </w:r>
    </w:p>
    <w:p w14:paraId="0C2720C1">
      <w:pPr>
        <w:rPr>
          <w:rStyle w:val="36"/>
          <w:rFonts w:hint="eastAsia" w:ascii="宋体" w:hAnsi="宋体" w:cs="宋体"/>
          <w:b/>
          <w:color w:val="auto"/>
          <w:sz w:val="32"/>
          <w:szCs w:val="32"/>
        </w:rPr>
      </w:pPr>
    </w:p>
    <w:p w14:paraId="6CA4441A">
      <w:pPr>
        <w:rPr>
          <w:rStyle w:val="36"/>
          <w:rFonts w:hint="eastAsia" w:ascii="宋体" w:hAnsi="宋体" w:cs="宋体"/>
          <w:b/>
          <w:color w:val="auto"/>
          <w:sz w:val="32"/>
          <w:szCs w:val="32"/>
        </w:rPr>
      </w:pPr>
    </w:p>
    <w:p w14:paraId="284AFDC5">
      <w:pPr>
        <w:rPr>
          <w:rStyle w:val="36"/>
          <w:rFonts w:hint="eastAsia" w:ascii="宋体" w:hAnsi="宋体" w:cs="宋体"/>
          <w:b/>
          <w:color w:val="auto"/>
          <w:sz w:val="32"/>
          <w:szCs w:val="32"/>
        </w:rPr>
      </w:pPr>
    </w:p>
    <w:p w14:paraId="43FEA228">
      <w:pPr>
        <w:rPr>
          <w:rStyle w:val="36"/>
          <w:rFonts w:hint="eastAsia" w:ascii="宋体" w:hAnsi="宋体" w:cs="宋体"/>
          <w:b/>
          <w:color w:val="auto"/>
          <w:sz w:val="32"/>
          <w:szCs w:val="32"/>
        </w:rPr>
      </w:pPr>
    </w:p>
    <w:p w14:paraId="397344CE">
      <w:pPr>
        <w:rPr>
          <w:rStyle w:val="36"/>
          <w:rFonts w:hint="eastAsia" w:ascii="宋体" w:hAnsi="宋体" w:cs="宋体"/>
          <w:b/>
          <w:color w:val="auto"/>
          <w:sz w:val="32"/>
          <w:szCs w:val="32"/>
        </w:rPr>
      </w:pPr>
    </w:p>
    <w:p w14:paraId="1CE69FC4">
      <w:pPr>
        <w:rPr>
          <w:rStyle w:val="36"/>
          <w:rFonts w:hint="eastAsia" w:ascii="宋体" w:hAnsi="宋体" w:cs="宋体"/>
          <w:b/>
          <w:color w:val="auto"/>
          <w:sz w:val="32"/>
          <w:szCs w:val="32"/>
        </w:rPr>
      </w:pPr>
    </w:p>
    <w:p w14:paraId="111711D3">
      <w:pPr>
        <w:rPr>
          <w:rStyle w:val="36"/>
          <w:rFonts w:hint="eastAsia" w:ascii="宋体" w:hAnsi="宋体" w:cs="宋体"/>
          <w:b/>
          <w:color w:val="auto"/>
          <w:sz w:val="32"/>
          <w:szCs w:val="32"/>
        </w:rPr>
      </w:pPr>
    </w:p>
    <w:p w14:paraId="504DADF3">
      <w:pPr>
        <w:rPr>
          <w:rStyle w:val="36"/>
          <w:rFonts w:hint="eastAsia" w:ascii="宋体" w:hAnsi="宋体" w:cs="宋体"/>
          <w:b/>
          <w:color w:val="auto"/>
          <w:sz w:val="32"/>
          <w:szCs w:val="32"/>
        </w:rPr>
      </w:pPr>
    </w:p>
    <w:p w14:paraId="3BF7EE64">
      <w:pPr>
        <w:rPr>
          <w:rStyle w:val="36"/>
          <w:rFonts w:hint="eastAsia" w:ascii="宋体" w:hAnsi="宋体" w:cs="宋体"/>
          <w:b/>
          <w:color w:val="auto"/>
          <w:sz w:val="32"/>
          <w:szCs w:val="32"/>
        </w:rPr>
      </w:pPr>
    </w:p>
    <w:p w14:paraId="4E73553F">
      <w:pPr>
        <w:rPr>
          <w:rStyle w:val="36"/>
          <w:rFonts w:hint="eastAsia" w:ascii="宋体" w:hAnsi="宋体" w:cs="宋体"/>
          <w:b/>
          <w:color w:val="auto"/>
          <w:sz w:val="32"/>
          <w:szCs w:val="32"/>
        </w:rPr>
      </w:pPr>
    </w:p>
    <w:p w14:paraId="204791D6">
      <w:pPr>
        <w:rPr>
          <w:rStyle w:val="36"/>
          <w:rFonts w:hint="eastAsia" w:ascii="宋体" w:hAnsi="宋体" w:cs="宋体"/>
          <w:b/>
          <w:color w:val="auto"/>
          <w:sz w:val="32"/>
          <w:szCs w:val="32"/>
        </w:rPr>
      </w:pPr>
    </w:p>
    <w:p w14:paraId="626E667B">
      <w:pPr>
        <w:rPr>
          <w:rStyle w:val="36"/>
          <w:rFonts w:hint="eastAsia" w:ascii="宋体" w:hAnsi="宋体" w:cs="宋体"/>
          <w:b/>
          <w:color w:val="auto"/>
          <w:sz w:val="32"/>
          <w:szCs w:val="32"/>
        </w:rPr>
      </w:pPr>
    </w:p>
    <w:p w14:paraId="2EE374EC">
      <w:pPr>
        <w:rPr>
          <w:rStyle w:val="36"/>
          <w:rFonts w:hint="eastAsia" w:ascii="宋体" w:hAnsi="宋体" w:cs="宋体"/>
          <w:b/>
          <w:color w:val="auto"/>
          <w:sz w:val="32"/>
          <w:szCs w:val="32"/>
        </w:rPr>
      </w:pPr>
    </w:p>
    <w:p w14:paraId="25E482A7">
      <w:pPr>
        <w:rPr>
          <w:rStyle w:val="36"/>
          <w:rFonts w:hint="eastAsia" w:ascii="宋体" w:hAnsi="宋体" w:cs="宋体"/>
          <w:b/>
          <w:color w:val="auto"/>
          <w:sz w:val="32"/>
          <w:szCs w:val="32"/>
        </w:rPr>
      </w:pPr>
    </w:p>
    <w:p w14:paraId="3D6B94E5">
      <w:pPr>
        <w:rPr>
          <w:rStyle w:val="36"/>
          <w:rFonts w:hint="eastAsia" w:ascii="宋体" w:hAnsi="宋体" w:cs="宋体"/>
          <w:b/>
          <w:color w:val="auto"/>
          <w:sz w:val="32"/>
          <w:szCs w:val="32"/>
        </w:rPr>
      </w:pPr>
    </w:p>
    <w:p w14:paraId="3F8C3F4C">
      <w:pPr>
        <w:pStyle w:val="45"/>
        <w:ind w:left="2" w:firstLine="321"/>
        <w:rPr>
          <w:rStyle w:val="36"/>
          <w:rFonts w:hint="eastAsia" w:ascii="宋体" w:hAnsi="宋体"/>
          <w:color w:val="auto"/>
          <w:kern w:val="0"/>
          <w:sz w:val="32"/>
          <w:szCs w:val="32"/>
        </w:rPr>
      </w:pPr>
    </w:p>
    <w:p w14:paraId="07A445C3">
      <w:pPr>
        <w:pStyle w:val="45"/>
        <w:ind w:left="2" w:firstLine="321"/>
        <w:rPr>
          <w:rStyle w:val="36"/>
          <w:rFonts w:hint="eastAsia" w:ascii="宋体" w:hAnsi="宋体"/>
          <w:color w:val="auto"/>
          <w:kern w:val="0"/>
          <w:sz w:val="32"/>
          <w:szCs w:val="32"/>
        </w:rPr>
      </w:pPr>
    </w:p>
    <w:p w14:paraId="12CE2C76">
      <w:pPr>
        <w:pStyle w:val="45"/>
        <w:ind w:left="2" w:firstLine="321"/>
        <w:rPr>
          <w:rStyle w:val="36"/>
          <w:rFonts w:hint="eastAsia" w:ascii="宋体" w:hAnsi="宋体"/>
          <w:color w:val="auto"/>
          <w:kern w:val="0"/>
          <w:sz w:val="32"/>
          <w:szCs w:val="32"/>
        </w:rPr>
      </w:pPr>
    </w:p>
    <w:p w14:paraId="0EFC398A">
      <w:pPr>
        <w:pStyle w:val="45"/>
        <w:ind w:left="2" w:firstLine="321"/>
        <w:rPr>
          <w:rStyle w:val="36"/>
          <w:rFonts w:hint="eastAsia" w:ascii="宋体" w:hAnsi="宋体"/>
          <w:color w:val="auto"/>
          <w:kern w:val="0"/>
          <w:sz w:val="32"/>
          <w:szCs w:val="32"/>
        </w:rPr>
      </w:pPr>
    </w:p>
    <w:p w14:paraId="1BFA992D">
      <w:pPr>
        <w:pStyle w:val="45"/>
        <w:ind w:left="2" w:firstLine="321"/>
        <w:rPr>
          <w:rStyle w:val="36"/>
          <w:rFonts w:hint="eastAsia" w:ascii="宋体" w:hAnsi="宋体"/>
          <w:color w:val="auto"/>
          <w:kern w:val="0"/>
          <w:sz w:val="32"/>
          <w:szCs w:val="32"/>
        </w:rPr>
      </w:pPr>
    </w:p>
    <w:p w14:paraId="741E920F">
      <w:pPr>
        <w:pStyle w:val="45"/>
        <w:ind w:left="2" w:firstLine="321"/>
        <w:rPr>
          <w:rStyle w:val="36"/>
          <w:rFonts w:hint="eastAsia" w:ascii="宋体" w:hAnsi="宋体"/>
          <w:color w:val="auto"/>
          <w:kern w:val="0"/>
          <w:sz w:val="32"/>
          <w:szCs w:val="32"/>
        </w:rPr>
      </w:pPr>
    </w:p>
    <w:p w14:paraId="3D240C89">
      <w:pPr>
        <w:pStyle w:val="46"/>
        <w:spacing w:line="340" w:lineRule="exact"/>
        <w:jc w:val="center"/>
        <w:rPr>
          <w:rStyle w:val="36"/>
          <w:rFonts w:hint="eastAsia" w:ascii="宋体" w:hAnsi="宋体" w:cs="宋体"/>
          <w:b/>
          <w:color w:val="auto"/>
          <w:kern w:val="0"/>
          <w:szCs w:val="21"/>
        </w:rPr>
      </w:pPr>
      <w:r>
        <w:rPr>
          <w:rStyle w:val="36"/>
          <w:rFonts w:hint="eastAsia" w:ascii="宋体" w:hAnsi="宋体" w:cs="宋体"/>
          <w:b/>
          <w:color w:val="auto"/>
          <w:kern w:val="0"/>
          <w:sz w:val="28"/>
          <w:szCs w:val="28"/>
        </w:rPr>
        <w:t>《统计上大中小微型企业划分办法（2017）》修订说明</w:t>
      </w:r>
    </w:p>
    <w:p w14:paraId="254F344B">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一、修订背景</w:t>
      </w:r>
    </w:p>
    <w:p w14:paraId="07486FAC">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CE5D97D">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9094418">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二、修订主要内容</w:t>
      </w:r>
    </w:p>
    <w:p w14:paraId="301487F2">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A5A3311">
      <w:pPr>
        <w:spacing w:line="400" w:lineRule="exact"/>
        <w:ind w:firstLine="420" w:firstLineChars="200"/>
        <w:rPr>
          <w:rStyle w:val="36"/>
          <w:rFonts w:hint="eastAsia" w:ascii="宋体" w:hAnsi="宋体" w:cs="宋体"/>
          <w:color w:val="auto"/>
        </w:rPr>
      </w:pPr>
      <w:r>
        <w:rPr>
          <w:rStyle w:val="36"/>
          <w:rFonts w:hint="eastAsia" w:ascii="宋体" w:hAnsi="宋体" w:cs="宋体"/>
          <w:color w:val="auto"/>
        </w:rPr>
        <w:t>将交通运输业中包括的“装卸搬运和运输代理业”修改为“多式联运和运输代理业、装卸搬运”。</w:t>
      </w:r>
    </w:p>
    <w:p w14:paraId="25EFEC04">
      <w:pPr>
        <w:spacing w:line="400" w:lineRule="exact"/>
        <w:ind w:firstLine="452" w:firstLineChars="200"/>
        <w:rPr>
          <w:rStyle w:val="36"/>
          <w:rFonts w:hint="eastAsia" w:ascii="宋体" w:hAnsi="宋体" w:cs="宋体"/>
          <w:color w:val="auto"/>
          <w:spacing w:val="8"/>
        </w:rPr>
      </w:pPr>
      <w:r>
        <w:rPr>
          <w:rStyle w:val="36"/>
          <w:rFonts w:hint="eastAsia" w:ascii="宋体" w:hAnsi="宋体" w:cs="宋体"/>
          <w:color w:val="auto"/>
          <w:spacing w:val="8"/>
        </w:rPr>
        <w:t>仓储业所包括的行业中类，根据《国民经济行业分类》</w:t>
      </w:r>
      <w:r>
        <w:rPr>
          <w:rStyle w:val="36"/>
          <w:rFonts w:hint="eastAsia" w:ascii="宋体" w:hAnsi="宋体" w:cs="宋体"/>
          <w:color w:val="auto"/>
        </w:rPr>
        <w:t>（GB/T 4754—2017）</w:t>
      </w:r>
      <w:r>
        <w:rPr>
          <w:rStyle w:val="36"/>
          <w:rFonts w:hint="eastAsia" w:ascii="宋体" w:hAnsi="宋体" w:cs="宋体"/>
          <w:color w:val="auto"/>
          <w:spacing w:val="8"/>
        </w:rPr>
        <w:t>调整为“通用仓储，低温仓储，危险品仓储，谷物、棉花等农产品仓储，中药材仓储和其他仓储业”。</w:t>
      </w:r>
    </w:p>
    <w:p w14:paraId="312C12A0">
      <w:pPr>
        <w:spacing w:line="400" w:lineRule="exact"/>
        <w:rPr>
          <w:rStyle w:val="36"/>
          <w:rFonts w:hint="eastAsia" w:ascii="宋体" w:hAnsi="宋体" w:cs="宋体"/>
          <w:color w:val="auto"/>
        </w:rPr>
      </w:pPr>
      <w:r>
        <w:rPr>
          <w:rStyle w:val="36"/>
          <w:rFonts w:hint="eastAsia" w:ascii="宋体" w:hAnsi="宋体" w:cs="宋体"/>
          <w:color w:val="auto"/>
        </w:rPr>
        <w:t>附表</w:t>
      </w:r>
    </w:p>
    <w:p w14:paraId="0E7D3EE0">
      <w:pPr>
        <w:spacing w:line="400" w:lineRule="exact"/>
        <w:rPr>
          <w:rStyle w:val="36"/>
          <w:rFonts w:hint="eastAsia" w:ascii="宋体" w:hAnsi="宋体" w:cs="宋体"/>
          <w:color w:val="auto"/>
        </w:rPr>
      </w:pPr>
      <w:r>
        <w:rPr>
          <w:rStyle w:val="36"/>
          <w:rFonts w:hint="eastAsia" w:ascii="宋体" w:hAnsi="宋体" w:cs="宋体"/>
          <w:color w:val="auto"/>
        </w:rPr>
        <w:t>统计上大中小微型企业划分标准</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D28B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339B168A">
            <w:pPr>
              <w:spacing w:line="240" w:lineRule="exact"/>
              <w:rPr>
                <w:rStyle w:val="36"/>
                <w:rFonts w:hint="eastAsia" w:ascii="宋体" w:hAnsi="宋体" w:cs="宋体"/>
                <w:bCs/>
                <w:color w:val="auto"/>
                <w:sz w:val="18"/>
              </w:rPr>
            </w:pPr>
            <w:r>
              <w:rPr>
                <w:rStyle w:val="36"/>
                <w:rFonts w:hint="eastAsia" w:ascii="宋体" w:hAnsi="宋体" w:cs="宋体"/>
                <w:bCs/>
                <w:color w:val="auto"/>
                <w:sz w:val="18"/>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344220FC">
            <w:pPr>
              <w:rPr>
                <w:rStyle w:val="36"/>
                <w:rFonts w:hint="eastAsia" w:ascii="宋体" w:hAnsi="宋体" w:cs="宋体"/>
                <w:bCs/>
                <w:color w:val="auto"/>
                <w:sz w:val="18"/>
                <w:szCs w:val="18"/>
              </w:rPr>
            </w:pPr>
            <w:r>
              <w:rPr>
                <w:rStyle w:val="36"/>
                <w:rFonts w:hint="eastAsia" w:ascii="宋体" w:hAnsi="宋体" w:cs="宋体"/>
                <w:bCs/>
                <w:color w:val="auto"/>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2968B13F">
            <w:pPr>
              <w:rPr>
                <w:rStyle w:val="36"/>
                <w:rFonts w:hint="eastAsia" w:ascii="宋体" w:hAnsi="宋体" w:cs="宋体"/>
                <w:bCs/>
                <w:color w:val="auto"/>
                <w:sz w:val="18"/>
                <w:szCs w:val="18"/>
              </w:rPr>
            </w:pPr>
            <w:r>
              <w:rPr>
                <w:rStyle w:val="36"/>
                <w:rFonts w:hint="eastAsia" w:ascii="宋体" w:hAnsi="宋体" w:cs="宋体"/>
                <w:bCs/>
                <w:color w:val="auto"/>
                <w:sz w:val="18"/>
                <w:szCs w:val="18"/>
              </w:rPr>
              <w:t>计量</w:t>
            </w:r>
            <w:r>
              <w:rPr>
                <w:rStyle w:val="36"/>
                <w:rFonts w:hint="eastAsia" w:ascii="宋体" w:hAnsi="宋体" w:cs="宋体"/>
                <w:bCs/>
                <w:color w:val="auto"/>
                <w:sz w:val="18"/>
                <w:szCs w:val="18"/>
              </w:rPr>
              <w:br w:type="textWrapping"/>
            </w:r>
            <w:r>
              <w:rPr>
                <w:rStyle w:val="36"/>
                <w:rFonts w:hint="eastAsia" w:ascii="宋体" w:hAnsi="宋体" w:cs="宋体"/>
                <w:bCs/>
                <w:color w:val="auto"/>
                <w:sz w:val="18"/>
                <w:szCs w:val="18"/>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72FF2D28">
            <w:pPr>
              <w:rPr>
                <w:rStyle w:val="36"/>
                <w:rFonts w:hint="eastAsia" w:ascii="宋体" w:hAnsi="宋体" w:cs="宋体"/>
                <w:bCs/>
                <w:color w:val="auto"/>
                <w:sz w:val="18"/>
                <w:szCs w:val="18"/>
              </w:rPr>
            </w:pPr>
            <w:r>
              <w:rPr>
                <w:rStyle w:val="36"/>
                <w:rFonts w:hint="eastAsia" w:ascii="宋体" w:hAnsi="宋体" w:cs="宋体"/>
                <w:bCs/>
                <w:color w:val="auto"/>
                <w:sz w:val="18"/>
                <w:szCs w:val="18"/>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125F7350">
            <w:pPr>
              <w:rPr>
                <w:rStyle w:val="36"/>
                <w:rFonts w:hint="eastAsia" w:ascii="宋体" w:hAnsi="宋体" w:cs="宋体"/>
                <w:bCs/>
                <w:color w:val="auto"/>
                <w:sz w:val="18"/>
                <w:szCs w:val="18"/>
              </w:rPr>
            </w:pPr>
            <w:r>
              <w:rPr>
                <w:rStyle w:val="36"/>
                <w:rFonts w:hint="eastAsia" w:ascii="宋体" w:hAnsi="宋体" w:cs="宋体"/>
                <w:bCs/>
                <w:color w:val="auto"/>
                <w:sz w:val="18"/>
                <w:szCs w:val="18"/>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59E9E6DD">
            <w:pPr>
              <w:rPr>
                <w:rStyle w:val="36"/>
                <w:rFonts w:hint="eastAsia" w:ascii="宋体" w:hAnsi="宋体" w:cs="宋体"/>
                <w:bCs/>
                <w:color w:val="auto"/>
                <w:sz w:val="18"/>
                <w:szCs w:val="18"/>
              </w:rPr>
            </w:pPr>
            <w:r>
              <w:rPr>
                <w:rStyle w:val="36"/>
                <w:rFonts w:hint="eastAsia" w:ascii="宋体" w:hAnsi="宋体" w:cs="宋体"/>
                <w:bCs/>
                <w:color w:val="auto"/>
                <w:sz w:val="18"/>
                <w:szCs w:val="18"/>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263C8F59">
            <w:pPr>
              <w:rPr>
                <w:rStyle w:val="36"/>
                <w:rFonts w:hint="eastAsia" w:ascii="宋体" w:hAnsi="宋体" w:cs="宋体"/>
                <w:bCs/>
                <w:color w:val="auto"/>
                <w:sz w:val="18"/>
                <w:szCs w:val="18"/>
              </w:rPr>
            </w:pPr>
            <w:r>
              <w:rPr>
                <w:rStyle w:val="36"/>
                <w:rFonts w:hint="eastAsia" w:ascii="宋体" w:hAnsi="宋体" w:cs="宋体"/>
                <w:bCs/>
                <w:color w:val="auto"/>
                <w:sz w:val="18"/>
                <w:szCs w:val="18"/>
              </w:rPr>
              <w:t>微型</w:t>
            </w:r>
          </w:p>
        </w:tc>
      </w:tr>
      <w:tr w14:paraId="1B535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461B6BE0">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708475C">
            <w:pPr>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208FD56">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5EDF9E">
            <w:pPr>
              <w:rPr>
                <w:rStyle w:val="36"/>
                <w:rFonts w:hint="eastAsia" w:ascii="宋体" w:hAnsi="宋体" w:cs="宋体"/>
                <w:color w:val="auto"/>
                <w:sz w:val="18"/>
                <w:szCs w:val="18"/>
              </w:rPr>
            </w:pPr>
            <w:r>
              <w:rPr>
                <w:rStyle w:val="36"/>
                <w:rFonts w:hint="eastAsia" w:ascii="宋体" w:hAnsi="宋体" w:cs="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CB57521">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1803198">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2C7DB0B2">
            <w:pPr>
              <w:rPr>
                <w:rStyle w:val="36"/>
                <w:rFonts w:hint="eastAsia" w:ascii="宋体" w:hAnsi="宋体" w:cs="宋体"/>
                <w:color w:val="auto"/>
                <w:sz w:val="18"/>
                <w:szCs w:val="18"/>
              </w:rPr>
            </w:pPr>
            <w:r>
              <w:rPr>
                <w:rStyle w:val="36"/>
                <w:rFonts w:hint="eastAsia" w:ascii="宋体" w:hAnsi="宋体" w:cs="宋体"/>
                <w:color w:val="auto"/>
                <w:sz w:val="18"/>
                <w:szCs w:val="18"/>
              </w:rPr>
              <w:t>Y＜50</w:t>
            </w:r>
          </w:p>
        </w:tc>
      </w:tr>
      <w:tr w14:paraId="58A4D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B43CE85">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68FAFDDC">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1AC022C">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8CE522E">
            <w:pPr>
              <w:rPr>
                <w:rStyle w:val="36"/>
                <w:rFonts w:hint="eastAsia" w:ascii="宋体" w:hAnsi="宋体" w:cs="宋体"/>
                <w:color w:val="auto"/>
                <w:sz w:val="18"/>
                <w:szCs w:val="18"/>
              </w:rPr>
            </w:pPr>
            <w:r>
              <w:rPr>
                <w:rStyle w:val="36"/>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2A7EE73">
            <w:pPr>
              <w:rPr>
                <w:rStyle w:val="36"/>
                <w:rFonts w:hint="eastAsia" w:ascii="宋体" w:hAnsi="宋体" w:cs="宋体"/>
                <w:color w:val="auto"/>
                <w:sz w:val="18"/>
                <w:szCs w:val="18"/>
              </w:rPr>
            </w:pPr>
            <w:r>
              <w:rPr>
                <w:rStyle w:val="36"/>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05A0E6E">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295B9C05">
            <w:pPr>
              <w:rPr>
                <w:rStyle w:val="36"/>
                <w:rFonts w:hint="eastAsia" w:ascii="宋体" w:hAnsi="宋体" w:cs="宋体"/>
                <w:color w:val="auto"/>
                <w:sz w:val="18"/>
                <w:szCs w:val="18"/>
              </w:rPr>
            </w:pPr>
            <w:r>
              <w:rPr>
                <w:rStyle w:val="36"/>
                <w:rFonts w:hint="eastAsia" w:ascii="宋体" w:hAnsi="宋体" w:cs="宋体"/>
                <w:color w:val="auto"/>
                <w:sz w:val="18"/>
                <w:szCs w:val="18"/>
              </w:rPr>
              <w:t>X＜20</w:t>
            </w:r>
          </w:p>
        </w:tc>
      </w:tr>
      <w:tr w14:paraId="628B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9765603">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6A68374">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2B68CC5">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5E264D2">
            <w:pPr>
              <w:rPr>
                <w:rStyle w:val="36"/>
                <w:rFonts w:hint="eastAsia" w:ascii="宋体" w:hAnsi="宋体" w:cs="宋体"/>
                <w:color w:val="auto"/>
                <w:sz w:val="18"/>
                <w:szCs w:val="18"/>
              </w:rPr>
            </w:pPr>
            <w:r>
              <w:rPr>
                <w:rStyle w:val="36"/>
                <w:rFonts w:hint="eastAsia" w:ascii="宋体" w:hAnsi="宋体" w:cs="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E131113">
            <w:pPr>
              <w:rPr>
                <w:rStyle w:val="36"/>
                <w:rFonts w:hint="eastAsia" w:ascii="宋体" w:hAnsi="宋体" w:cs="宋体"/>
                <w:color w:val="auto"/>
                <w:sz w:val="18"/>
                <w:szCs w:val="18"/>
              </w:rPr>
            </w:pPr>
            <w:r>
              <w:rPr>
                <w:rStyle w:val="36"/>
                <w:rFonts w:hint="eastAsia" w:ascii="宋体" w:hAnsi="宋体" w:cs="宋体"/>
                <w:color w:val="auto"/>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76F00C6">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976D9D6">
            <w:pPr>
              <w:rPr>
                <w:rStyle w:val="36"/>
                <w:rFonts w:hint="eastAsia" w:ascii="宋体" w:hAnsi="宋体" w:cs="宋体"/>
                <w:color w:val="auto"/>
                <w:sz w:val="18"/>
                <w:szCs w:val="18"/>
              </w:rPr>
            </w:pPr>
            <w:r>
              <w:rPr>
                <w:rStyle w:val="36"/>
                <w:rFonts w:hint="eastAsia" w:ascii="宋体" w:hAnsi="宋体" w:cs="宋体"/>
                <w:color w:val="auto"/>
                <w:sz w:val="18"/>
                <w:szCs w:val="18"/>
              </w:rPr>
              <w:t>Y＜300</w:t>
            </w:r>
          </w:p>
        </w:tc>
      </w:tr>
      <w:tr w14:paraId="5058E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5704524">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C6A606A">
            <w:pPr>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D85BCD6">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F63F68A">
            <w:pPr>
              <w:rPr>
                <w:rStyle w:val="36"/>
                <w:rFonts w:hint="eastAsia" w:ascii="宋体" w:hAnsi="宋体" w:cs="宋体"/>
                <w:color w:val="auto"/>
                <w:sz w:val="18"/>
                <w:szCs w:val="18"/>
              </w:rPr>
            </w:pPr>
            <w:r>
              <w:rPr>
                <w:rStyle w:val="36"/>
                <w:rFonts w:hint="eastAsia" w:ascii="宋体" w:hAnsi="宋体" w:cs="宋体"/>
                <w:color w:val="auto"/>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94A7770">
            <w:pPr>
              <w:rPr>
                <w:rStyle w:val="36"/>
                <w:rFonts w:hint="eastAsia" w:ascii="宋体" w:hAnsi="宋体" w:cs="宋体"/>
                <w:color w:val="auto"/>
                <w:sz w:val="18"/>
                <w:szCs w:val="18"/>
              </w:rPr>
            </w:pPr>
            <w:r>
              <w:rPr>
                <w:rStyle w:val="36"/>
                <w:rFonts w:hint="eastAsia" w:ascii="宋体" w:hAnsi="宋体" w:cs="宋体"/>
                <w:color w:val="auto"/>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BE01752">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B36AECD">
            <w:pPr>
              <w:rPr>
                <w:rStyle w:val="36"/>
                <w:rFonts w:hint="eastAsia" w:ascii="宋体" w:hAnsi="宋体" w:cs="宋体"/>
                <w:color w:val="auto"/>
                <w:sz w:val="18"/>
                <w:szCs w:val="18"/>
              </w:rPr>
            </w:pPr>
            <w:r>
              <w:rPr>
                <w:rStyle w:val="36"/>
                <w:rFonts w:hint="eastAsia" w:ascii="宋体" w:hAnsi="宋体" w:cs="宋体"/>
                <w:color w:val="auto"/>
                <w:sz w:val="18"/>
                <w:szCs w:val="18"/>
              </w:rPr>
              <w:t>Y＜300</w:t>
            </w:r>
          </w:p>
        </w:tc>
      </w:tr>
      <w:tr w14:paraId="32D2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0BC80DE">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4055B54">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2957F35">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D592A04">
            <w:pPr>
              <w:rPr>
                <w:rStyle w:val="36"/>
                <w:rFonts w:hint="eastAsia" w:ascii="宋体" w:hAnsi="宋体" w:cs="宋体"/>
                <w:color w:val="auto"/>
                <w:sz w:val="18"/>
                <w:szCs w:val="18"/>
              </w:rPr>
            </w:pPr>
            <w:r>
              <w:rPr>
                <w:rStyle w:val="36"/>
                <w:rFonts w:hint="eastAsia" w:ascii="宋体" w:hAnsi="宋体" w:cs="宋体"/>
                <w:color w:val="auto"/>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41F67D">
            <w:pPr>
              <w:rPr>
                <w:rStyle w:val="36"/>
                <w:rFonts w:hint="eastAsia" w:ascii="宋体" w:hAnsi="宋体" w:cs="宋体"/>
                <w:color w:val="auto"/>
                <w:sz w:val="18"/>
                <w:szCs w:val="18"/>
              </w:rPr>
            </w:pPr>
            <w:r>
              <w:rPr>
                <w:rStyle w:val="36"/>
                <w:rFonts w:hint="eastAsia" w:ascii="宋体" w:hAnsi="宋体" w:cs="宋体"/>
                <w:color w:val="auto"/>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2C4B0BF">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4BB45D0">
            <w:pPr>
              <w:rPr>
                <w:rStyle w:val="36"/>
                <w:rFonts w:hint="eastAsia" w:ascii="宋体" w:hAnsi="宋体" w:cs="宋体"/>
                <w:color w:val="auto"/>
                <w:sz w:val="18"/>
                <w:szCs w:val="18"/>
              </w:rPr>
            </w:pPr>
            <w:r>
              <w:rPr>
                <w:rStyle w:val="36"/>
                <w:rFonts w:hint="eastAsia" w:ascii="宋体" w:hAnsi="宋体" w:cs="宋体"/>
                <w:color w:val="auto"/>
                <w:sz w:val="18"/>
                <w:szCs w:val="18"/>
              </w:rPr>
              <w:t>Z＜300</w:t>
            </w:r>
          </w:p>
        </w:tc>
      </w:tr>
      <w:tr w14:paraId="4BE0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DB2FE27">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DD6260C">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F5B93F4">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33C84FF">
            <w:pPr>
              <w:rPr>
                <w:rStyle w:val="36"/>
                <w:rFonts w:hint="eastAsia" w:ascii="宋体" w:hAnsi="宋体" w:cs="宋体"/>
                <w:color w:val="auto"/>
                <w:sz w:val="18"/>
                <w:szCs w:val="18"/>
              </w:rPr>
            </w:pPr>
            <w:r>
              <w:rPr>
                <w:rStyle w:val="36"/>
                <w:rFonts w:hint="eastAsia" w:ascii="宋体" w:hAnsi="宋体" w:cs="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102438">
            <w:pPr>
              <w:rPr>
                <w:rStyle w:val="36"/>
                <w:rFonts w:hint="eastAsia" w:ascii="宋体" w:hAnsi="宋体" w:cs="宋体"/>
                <w:color w:val="auto"/>
                <w:sz w:val="18"/>
                <w:szCs w:val="18"/>
              </w:rPr>
            </w:pPr>
            <w:r>
              <w:rPr>
                <w:rStyle w:val="36"/>
                <w:rFonts w:hint="eastAsia" w:ascii="宋体" w:hAnsi="宋体" w:cs="宋体"/>
                <w:color w:val="auto"/>
                <w:sz w:val="18"/>
                <w:szCs w:val="18"/>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B4A969">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155A0810">
            <w:pPr>
              <w:rPr>
                <w:rStyle w:val="36"/>
                <w:rFonts w:hint="eastAsia" w:ascii="宋体" w:hAnsi="宋体" w:cs="宋体"/>
                <w:color w:val="auto"/>
                <w:sz w:val="18"/>
                <w:szCs w:val="18"/>
              </w:rPr>
            </w:pPr>
            <w:r>
              <w:rPr>
                <w:rStyle w:val="36"/>
                <w:rFonts w:hint="eastAsia" w:ascii="宋体" w:hAnsi="宋体" w:cs="宋体"/>
                <w:color w:val="auto"/>
                <w:sz w:val="18"/>
                <w:szCs w:val="18"/>
              </w:rPr>
              <w:t>X＜5</w:t>
            </w:r>
          </w:p>
        </w:tc>
      </w:tr>
      <w:tr w14:paraId="58EC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90AFEE">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957E1A5">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16B2CB8">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38241F8">
            <w:pPr>
              <w:rPr>
                <w:rStyle w:val="36"/>
                <w:rFonts w:hint="eastAsia" w:ascii="宋体" w:hAnsi="宋体" w:cs="宋体"/>
                <w:color w:val="auto"/>
                <w:sz w:val="18"/>
                <w:szCs w:val="18"/>
              </w:rPr>
            </w:pPr>
            <w:r>
              <w:rPr>
                <w:rStyle w:val="36"/>
                <w:rFonts w:hint="eastAsia" w:ascii="宋体" w:hAnsi="宋体" w:cs="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D7A4228">
            <w:pPr>
              <w:rPr>
                <w:rStyle w:val="36"/>
                <w:rFonts w:hint="eastAsia" w:ascii="宋体" w:hAnsi="宋体" w:cs="宋体"/>
                <w:color w:val="auto"/>
                <w:sz w:val="18"/>
                <w:szCs w:val="18"/>
              </w:rPr>
            </w:pPr>
            <w:r>
              <w:rPr>
                <w:rStyle w:val="36"/>
                <w:rFonts w:hint="eastAsia" w:ascii="宋体" w:hAnsi="宋体" w:cs="宋体"/>
                <w:color w:val="auto"/>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DD0BFA2">
            <w:pPr>
              <w:ind w:left="-1" w:leftChars="-1" w:hanging="1"/>
              <w:rPr>
                <w:rStyle w:val="36"/>
                <w:rFonts w:hint="eastAsia" w:ascii="宋体" w:hAnsi="宋体" w:cs="宋体"/>
                <w:color w:val="auto"/>
                <w:sz w:val="18"/>
                <w:szCs w:val="18"/>
              </w:rPr>
            </w:pPr>
            <w:r>
              <w:rPr>
                <w:rStyle w:val="36"/>
                <w:rFonts w:hint="eastAsia" w:ascii="宋体" w:hAnsi="宋体" w:cs="宋体"/>
                <w:color w:val="auto"/>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EF8A33D">
            <w:pPr>
              <w:rPr>
                <w:rStyle w:val="36"/>
                <w:rFonts w:hint="eastAsia" w:ascii="宋体" w:hAnsi="宋体" w:cs="宋体"/>
                <w:color w:val="auto"/>
                <w:sz w:val="18"/>
                <w:szCs w:val="18"/>
              </w:rPr>
            </w:pPr>
            <w:r>
              <w:rPr>
                <w:rStyle w:val="36"/>
                <w:rFonts w:hint="eastAsia" w:ascii="宋体" w:hAnsi="宋体" w:cs="宋体"/>
                <w:color w:val="auto"/>
                <w:sz w:val="18"/>
                <w:szCs w:val="18"/>
              </w:rPr>
              <w:t>Y＜1000</w:t>
            </w:r>
          </w:p>
        </w:tc>
      </w:tr>
      <w:tr w14:paraId="3497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A4B73B7">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BD8618F">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9D5F4AA">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A84082C">
            <w:pPr>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A36534B">
            <w:pPr>
              <w:rPr>
                <w:rStyle w:val="36"/>
                <w:rFonts w:hint="eastAsia" w:ascii="宋体" w:hAnsi="宋体" w:cs="宋体"/>
                <w:color w:val="auto"/>
                <w:sz w:val="18"/>
                <w:szCs w:val="18"/>
              </w:rPr>
            </w:pPr>
            <w:r>
              <w:rPr>
                <w:rStyle w:val="36"/>
                <w:rFonts w:hint="eastAsia" w:ascii="宋体" w:hAnsi="宋体" w:cs="宋体"/>
                <w:color w:val="auto"/>
                <w:sz w:val="18"/>
                <w:szCs w:val="18"/>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6FFD7CA">
            <w:pPr>
              <w:ind w:left="-1" w:leftChars="-1" w:hanging="1"/>
              <w:rPr>
                <w:rStyle w:val="36"/>
                <w:rFonts w:hint="eastAsia" w:ascii="宋体" w:hAnsi="宋体" w:cs="宋体"/>
                <w:color w:val="auto"/>
                <w:sz w:val="18"/>
                <w:szCs w:val="18"/>
              </w:rPr>
            </w:pPr>
            <w:r>
              <w:rPr>
                <w:rStyle w:val="36"/>
                <w:rFonts w:hint="eastAsia" w:ascii="宋体" w:hAnsi="宋体" w:cs="宋体"/>
                <w:color w:val="auto"/>
                <w:sz w:val="18"/>
                <w:szCs w:val="18"/>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6FF50807">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5158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D47FBB7">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3ECD11">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C26DDC3">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7F55E6C">
            <w:pPr>
              <w:rPr>
                <w:rStyle w:val="36"/>
                <w:rFonts w:hint="eastAsia" w:ascii="宋体" w:hAnsi="宋体" w:cs="宋体"/>
                <w:color w:val="auto"/>
                <w:sz w:val="18"/>
                <w:szCs w:val="18"/>
              </w:rPr>
            </w:pPr>
            <w:r>
              <w:rPr>
                <w:rStyle w:val="36"/>
                <w:rFonts w:hint="eastAsia" w:ascii="宋体" w:hAnsi="宋体" w:cs="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1FBFBB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5A4DE58">
            <w:pPr>
              <w:ind w:left="-1" w:leftChars="-1" w:hanging="1"/>
              <w:rPr>
                <w:rStyle w:val="36"/>
                <w:rFonts w:hint="eastAsia" w:ascii="宋体" w:hAnsi="宋体" w:cs="宋体"/>
                <w:color w:val="auto"/>
                <w:sz w:val="18"/>
                <w:szCs w:val="18"/>
              </w:rPr>
            </w:pPr>
            <w:r>
              <w:rPr>
                <w:rStyle w:val="36"/>
                <w:rFonts w:hint="eastAsia" w:ascii="宋体" w:hAnsi="宋体" w:cs="宋体"/>
                <w:color w:val="auto"/>
                <w:sz w:val="18"/>
                <w:szCs w:val="18"/>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0060F957">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399C4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548D7AB">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7D48EAAF">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F3016BC">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C8B9F3E">
            <w:pPr>
              <w:rPr>
                <w:rStyle w:val="36"/>
                <w:rFonts w:hint="eastAsia" w:ascii="宋体" w:hAnsi="宋体" w:cs="宋体"/>
                <w:color w:val="auto"/>
                <w:sz w:val="18"/>
                <w:szCs w:val="18"/>
              </w:rPr>
            </w:pPr>
            <w:r>
              <w:rPr>
                <w:rStyle w:val="36"/>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C39B64D">
            <w:pPr>
              <w:rPr>
                <w:rStyle w:val="36"/>
                <w:rFonts w:hint="eastAsia" w:ascii="宋体" w:hAnsi="宋体" w:cs="宋体"/>
                <w:color w:val="auto"/>
                <w:sz w:val="18"/>
                <w:szCs w:val="18"/>
              </w:rPr>
            </w:pPr>
            <w:r>
              <w:rPr>
                <w:rStyle w:val="36"/>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931A5C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C8B6B1D">
            <w:pPr>
              <w:rPr>
                <w:rStyle w:val="36"/>
                <w:rFonts w:hint="eastAsia" w:ascii="宋体" w:hAnsi="宋体" w:cs="宋体"/>
                <w:color w:val="auto"/>
                <w:sz w:val="18"/>
                <w:szCs w:val="18"/>
              </w:rPr>
            </w:pPr>
            <w:r>
              <w:rPr>
                <w:rStyle w:val="36"/>
                <w:rFonts w:hint="eastAsia" w:ascii="宋体" w:hAnsi="宋体" w:cs="宋体"/>
                <w:color w:val="auto"/>
                <w:sz w:val="18"/>
                <w:szCs w:val="18"/>
              </w:rPr>
              <w:t>X＜20</w:t>
            </w:r>
          </w:p>
        </w:tc>
      </w:tr>
      <w:tr w14:paraId="0237E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29BAA78">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8F21FB">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21F8EEF">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61B5FB1">
            <w:pPr>
              <w:rPr>
                <w:rStyle w:val="36"/>
                <w:rFonts w:hint="eastAsia" w:ascii="宋体" w:hAnsi="宋体" w:cs="宋体"/>
                <w:color w:val="auto"/>
                <w:sz w:val="18"/>
                <w:szCs w:val="18"/>
              </w:rPr>
            </w:pPr>
            <w:r>
              <w:rPr>
                <w:rStyle w:val="36"/>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723AB5">
            <w:pPr>
              <w:rPr>
                <w:rStyle w:val="36"/>
                <w:rFonts w:hint="eastAsia" w:ascii="宋体" w:hAnsi="宋体" w:cs="宋体"/>
                <w:color w:val="auto"/>
                <w:sz w:val="18"/>
                <w:szCs w:val="18"/>
              </w:rPr>
            </w:pPr>
            <w:r>
              <w:rPr>
                <w:rStyle w:val="36"/>
                <w:rFonts w:hint="eastAsia" w:ascii="宋体" w:hAnsi="宋体" w:cs="宋体"/>
                <w:color w:val="auto"/>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CC59A1B">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B39D336">
            <w:pPr>
              <w:rPr>
                <w:rStyle w:val="36"/>
                <w:rFonts w:hint="eastAsia" w:ascii="宋体" w:hAnsi="宋体" w:cs="宋体"/>
                <w:color w:val="auto"/>
                <w:sz w:val="18"/>
                <w:szCs w:val="18"/>
              </w:rPr>
            </w:pPr>
            <w:r>
              <w:rPr>
                <w:rStyle w:val="36"/>
                <w:rFonts w:hint="eastAsia" w:ascii="宋体" w:hAnsi="宋体" w:cs="宋体"/>
                <w:color w:val="auto"/>
                <w:sz w:val="18"/>
                <w:szCs w:val="18"/>
              </w:rPr>
              <w:t>Y＜200</w:t>
            </w:r>
          </w:p>
        </w:tc>
      </w:tr>
      <w:tr w14:paraId="2FE4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A084F00">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85A3291">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7874580">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C6AB790">
            <w:pPr>
              <w:rPr>
                <w:rStyle w:val="36"/>
                <w:rFonts w:hint="eastAsia" w:ascii="宋体" w:hAnsi="宋体" w:cs="宋体"/>
                <w:color w:val="auto"/>
                <w:sz w:val="18"/>
                <w:szCs w:val="18"/>
              </w:rPr>
            </w:pPr>
            <w:r>
              <w:rPr>
                <w:rStyle w:val="36"/>
                <w:rFonts w:hint="eastAsia" w:ascii="宋体" w:hAnsi="宋体" w:cs="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5E1ADB">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9D98E6">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A662A09">
            <w:pPr>
              <w:rPr>
                <w:rStyle w:val="36"/>
                <w:rFonts w:hint="eastAsia" w:ascii="宋体" w:hAnsi="宋体" w:cs="宋体"/>
                <w:color w:val="auto"/>
                <w:sz w:val="18"/>
                <w:szCs w:val="18"/>
              </w:rPr>
            </w:pPr>
            <w:r>
              <w:rPr>
                <w:rStyle w:val="36"/>
                <w:rFonts w:hint="eastAsia" w:ascii="宋体" w:hAnsi="宋体" w:cs="宋体"/>
                <w:color w:val="auto"/>
                <w:sz w:val="18"/>
                <w:szCs w:val="18"/>
              </w:rPr>
              <w:t>X＜20</w:t>
            </w:r>
          </w:p>
        </w:tc>
      </w:tr>
      <w:tr w14:paraId="1292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58A5C84">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C265DCA">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9EB6CAD">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5BA3121">
            <w:pPr>
              <w:rPr>
                <w:rStyle w:val="36"/>
                <w:rFonts w:hint="eastAsia" w:ascii="宋体" w:hAnsi="宋体" w:cs="宋体"/>
                <w:color w:val="auto"/>
                <w:sz w:val="18"/>
                <w:szCs w:val="18"/>
              </w:rPr>
            </w:pPr>
            <w:r>
              <w:rPr>
                <w:rStyle w:val="36"/>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CD2831E">
            <w:pPr>
              <w:rPr>
                <w:rStyle w:val="36"/>
                <w:rFonts w:hint="eastAsia" w:ascii="宋体" w:hAnsi="宋体" w:cs="宋体"/>
                <w:color w:val="auto"/>
                <w:sz w:val="18"/>
                <w:szCs w:val="18"/>
              </w:rPr>
            </w:pPr>
            <w:r>
              <w:rPr>
                <w:rStyle w:val="36"/>
                <w:rFonts w:hint="eastAsia" w:ascii="宋体" w:hAnsi="宋体" w:cs="宋体"/>
                <w:color w:val="auto"/>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6355B18">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BCE4AC8">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7E96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674C551">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7DCAEF7">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DD422DB">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681B59F">
            <w:pPr>
              <w:rPr>
                <w:rStyle w:val="36"/>
                <w:rFonts w:hint="eastAsia" w:ascii="宋体" w:hAnsi="宋体" w:cs="宋体"/>
                <w:color w:val="auto"/>
                <w:sz w:val="18"/>
                <w:szCs w:val="18"/>
              </w:rPr>
            </w:pPr>
            <w:r>
              <w:rPr>
                <w:rStyle w:val="36"/>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1893FD">
            <w:pPr>
              <w:rPr>
                <w:rStyle w:val="36"/>
                <w:rFonts w:hint="eastAsia" w:ascii="宋体" w:hAnsi="宋体" w:cs="宋体"/>
                <w:color w:val="auto"/>
                <w:sz w:val="18"/>
                <w:szCs w:val="18"/>
              </w:rPr>
            </w:pPr>
            <w:r>
              <w:rPr>
                <w:rStyle w:val="36"/>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5051EA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30F4198C">
            <w:pPr>
              <w:rPr>
                <w:rStyle w:val="36"/>
                <w:rFonts w:hint="eastAsia" w:ascii="宋体" w:hAnsi="宋体" w:cs="宋体"/>
                <w:color w:val="auto"/>
                <w:sz w:val="18"/>
                <w:szCs w:val="18"/>
              </w:rPr>
            </w:pPr>
            <w:r>
              <w:rPr>
                <w:rStyle w:val="36"/>
                <w:rFonts w:hint="eastAsia" w:ascii="宋体" w:hAnsi="宋体" w:cs="宋体"/>
                <w:color w:val="auto"/>
                <w:sz w:val="18"/>
                <w:szCs w:val="18"/>
              </w:rPr>
              <w:t>X＜20</w:t>
            </w:r>
          </w:p>
        </w:tc>
      </w:tr>
      <w:tr w14:paraId="65F4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91BC1A8">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251D7BD">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9A15DF3">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2DF9131">
            <w:pPr>
              <w:rPr>
                <w:rStyle w:val="36"/>
                <w:rFonts w:hint="eastAsia" w:ascii="宋体" w:hAnsi="宋体" w:cs="宋体"/>
                <w:color w:val="auto"/>
                <w:sz w:val="18"/>
                <w:szCs w:val="18"/>
              </w:rPr>
            </w:pPr>
            <w:r>
              <w:rPr>
                <w:rStyle w:val="36"/>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324A6A">
            <w:pPr>
              <w:rPr>
                <w:rStyle w:val="36"/>
                <w:rFonts w:hint="eastAsia" w:ascii="宋体" w:hAnsi="宋体" w:cs="宋体"/>
                <w:color w:val="auto"/>
                <w:sz w:val="18"/>
                <w:szCs w:val="18"/>
              </w:rPr>
            </w:pPr>
            <w:r>
              <w:rPr>
                <w:rStyle w:val="36"/>
                <w:rFonts w:hint="eastAsia" w:ascii="宋体" w:hAnsi="宋体" w:cs="宋体"/>
                <w:color w:val="auto"/>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89190B0">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F748901">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7E65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4751EFF">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F724D84">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B513677">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72F3215">
            <w:pPr>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C34598">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23E222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0DE6A2D">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78966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77C1E7E">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5B14A71">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FFD3B9A">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F921B15">
            <w:pPr>
              <w:rPr>
                <w:rStyle w:val="36"/>
                <w:rFonts w:hint="eastAsia" w:ascii="宋体" w:hAnsi="宋体" w:cs="宋体"/>
                <w:color w:val="auto"/>
                <w:sz w:val="18"/>
                <w:szCs w:val="18"/>
              </w:rPr>
            </w:pPr>
            <w:r>
              <w:rPr>
                <w:rStyle w:val="36"/>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2A33679">
            <w:pPr>
              <w:rPr>
                <w:rStyle w:val="36"/>
                <w:rFonts w:hint="eastAsia" w:ascii="宋体" w:hAnsi="宋体" w:cs="宋体"/>
                <w:color w:val="auto"/>
                <w:sz w:val="18"/>
                <w:szCs w:val="18"/>
              </w:rPr>
            </w:pPr>
            <w:r>
              <w:rPr>
                <w:rStyle w:val="36"/>
                <w:rFonts w:hint="eastAsia" w:ascii="宋体" w:hAnsi="宋体" w:cs="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BCCD98E">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9957778">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7F39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AB2AE7D">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E51B9AD">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3EB7BE5">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4956071">
            <w:pPr>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08C7AD0">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D52FB49">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FB1310">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4EA0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383DDE3">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2B83A45">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4DC2471">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1BF4539">
            <w:pPr>
              <w:rPr>
                <w:rStyle w:val="36"/>
                <w:rFonts w:hint="eastAsia" w:ascii="宋体" w:hAnsi="宋体" w:cs="宋体"/>
                <w:color w:val="auto"/>
                <w:sz w:val="18"/>
                <w:szCs w:val="18"/>
              </w:rPr>
            </w:pPr>
            <w:r>
              <w:rPr>
                <w:rStyle w:val="36"/>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4609AA9">
            <w:pPr>
              <w:rPr>
                <w:rStyle w:val="36"/>
                <w:rFonts w:hint="eastAsia" w:ascii="宋体" w:hAnsi="宋体" w:cs="宋体"/>
                <w:color w:val="auto"/>
                <w:sz w:val="18"/>
                <w:szCs w:val="18"/>
              </w:rPr>
            </w:pPr>
            <w:r>
              <w:rPr>
                <w:rStyle w:val="36"/>
                <w:rFonts w:hint="eastAsia" w:ascii="宋体" w:hAnsi="宋体" w:cs="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C554696">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989C4C4">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0C4ED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9160B93">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BDD556C">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AD9229F">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AA9A4E8">
            <w:pPr>
              <w:rPr>
                <w:rStyle w:val="36"/>
                <w:rFonts w:hint="eastAsia" w:ascii="宋体" w:hAnsi="宋体" w:cs="宋体"/>
                <w:color w:val="auto"/>
                <w:sz w:val="18"/>
                <w:szCs w:val="18"/>
              </w:rPr>
            </w:pPr>
            <w:r>
              <w:rPr>
                <w:rStyle w:val="36"/>
                <w:rFonts w:hint="eastAsia" w:ascii="宋体" w:hAnsi="宋体" w:cs="宋体"/>
                <w:color w:val="auto"/>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A83F36">
            <w:pPr>
              <w:rPr>
                <w:rStyle w:val="36"/>
                <w:rFonts w:hint="eastAsia" w:ascii="宋体" w:hAnsi="宋体" w:cs="宋体"/>
                <w:color w:val="auto"/>
                <w:sz w:val="18"/>
                <w:szCs w:val="18"/>
              </w:rPr>
            </w:pPr>
            <w:r>
              <w:rPr>
                <w:rStyle w:val="36"/>
                <w:rFonts w:hint="eastAsia" w:ascii="宋体" w:hAnsi="宋体" w:cs="宋体"/>
                <w:color w:val="auto"/>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3428650">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C2A5E6">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5B2B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EAA9054">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1E23AE6">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4BFCF63">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612031E">
            <w:pPr>
              <w:rPr>
                <w:rStyle w:val="36"/>
                <w:rFonts w:hint="eastAsia" w:ascii="宋体" w:hAnsi="宋体" w:cs="宋体"/>
                <w:color w:val="auto"/>
                <w:sz w:val="18"/>
                <w:szCs w:val="18"/>
              </w:rPr>
            </w:pPr>
            <w:r>
              <w:rPr>
                <w:rStyle w:val="36"/>
                <w:rFonts w:hint="eastAsia" w:ascii="宋体" w:hAnsi="宋体" w:cs="宋体"/>
                <w:color w:val="auto"/>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505B65">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0BF46F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7BE3DD5">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6409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9208FC5">
            <w:pPr>
              <w:spacing w:line="240" w:lineRule="exact"/>
              <w:rPr>
                <w:rStyle w:val="36"/>
                <w:rFonts w:hint="eastAsia" w:ascii="宋体" w:hAnsi="宋体" w:cs="宋体"/>
                <w:color w:val="auto"/>
                <w:spacing w:val="-12"/>
                <w:sz w:val="18"/>
                <w:szCs w:val="18"/>
              </w:rPr>
            </w:pPr>
            <w:r>
              <w:rPr>
                <w:rStyle w:val="36"/>
                <w:rFonts w:hint="eastAsia" w:ascii="宋体" w:hAnsi="宋体" w:cs="宋体"/>
                <w:color w:val="auto"/>
                <w:spacing w:val="-12"/>
                <w:sz w:val="18"/>
                <w:szCs w:val="18"/>
              </w:rPr>
              <w:t>软件和信息技术服</w:t>
            </w:r>
            <w:r>
              <w:rPr>
                <w:rStyle w:val="36"/>
                <w:rFonts w:hint="eastAsia" w:ascii="宋体" w:hAnsi="宋体" w:cs="宋体"/>
                <w:color w:val="auto"/>
                <w:sz w:val="18"/>
                <w:szCs w:val="18"/>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78F1B8E">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5E3649C">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BC6827">
            <w:pPr>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675178">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4E2A06F">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B3F7401">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4355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6F9BCE">
            <w:pPr>
              <w:rPr>
                <w:rStyle w:val="36"/>
                <w:rFonts w:hint="eastAsia" w:ascii="宋体" w:hAnsi="宋体" w:cs="宋体"/>
                <w:color w:val="auto"/>
                <w:spacing w:val="-12"/>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A9C9D3F">
            <w:pPr>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C7115F0">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C2A6A4D">
            <w:pPr>
              <w:rPr>
                <w:rStyle w:val="36"/>
                <w:rFonts w:hint="eastAsia" w:ascii="宋体" w:hAnsi="宋体" w:cs="宋体"/>
                <w:color w:val="auto"/>
                <w:sz w:val="18"/>
                <w:szCs w:val="18"/>
              </w:rPr>
            </w:pPr>
            <w:r>
              <w:rPr>
                <w:rStyle w:val="36"/>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8C81C2D">
            <w:pPr>
              <w:rPr>
                <w:rStyle w:val="36"/>
                <w:rFonts w:hint="eastAsia" w:ascii="宋体" w:hAnsi="宋体" w:cs="宋体"/>
                <w:color w:val="auto"/>
                <w:sz w:val="18"/>
                <w:szCs w:val="18"/>
              </w:rPr>
            </w:pPr>
            <w:r>
              <w:rPr>
                <w:rStyle w:val="36"/>
                <w:rFonts w:hint="eastAsia" w:ascii="宋体" w:hAnsi="宋体" w:cs="宋体"/>
                <w:color w:val="auto"/>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5806FB1">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1368C14">
            <w:pPr>
              <w:rPr>
                <w:rStyle w:val="36"/>
                <w:rFonts w:hint="eastAsia" w:ascii="宋体" w:hAnsi="宋体" w:cs="宋体"/>
                <w:color w:val="auto"/>
                <w:sz w:val="18"/>
                <w:szCs w:val="18"/>
              </w:rPr>
            </w:pPr>
            <w:r>
              <w:rPr>
                <w:rStyle w:val="36"/>
                <w:rFonts w:hint="eastAsia" w:ascii="宋体" w:hAnsi="宋体" w:cs="宋体"/>
                <w:color w:val="auto"/>
                <w:sz w:val="18"/>
                <w:szCs w:val="18"/>
              </w:rPr>
              <w:t>Y＜50</w:t>
            </w:r>
          </w:p>
        </w:tc>
      </w:tr>
      <w:tr w14:paraId="761C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5D516F4">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355FCA31">
            <w:pPr>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67604EE">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ACE058F">
            <w:pPr>
              <w:rPr>
                <w:rStyle w:val="36"/>
                <w:rFonts w:hint="eastAsia" w:ascii="宋体" w:hAnsi="宋体" w:cs="宋体"/>
                <w:color w:val="auto"/>
                <w:sz w:val="18"/>
                <w:szCs w:val="18"/>
              </w:rPr>
            </w:pPr>
            <w:r>
              <w:rPr>
                <w:rStyle w:val="36"/>
                <w:rFonts w:hint="eastAsia" w:ascii="宋体" w:hAnsi="宋体" w:cs="宋体"/>
                <w:color w:val="auto"/>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EDB7052">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A04D105">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2ADFDC8">
            <w:pPr>
              <w:rPr>
                <w:rStyle w:val="36"/>
                <w:rFonts w:hint="eastAsia" w:ascii="宋体" w:hAnsi="宋体" w:cs="宋体"/>
                <w:color w:val="auto"/>
                <w:sz w:val="18"/>
                <w:szCs w:val="18"/>
              </w:rPr>
            </w:pPr>
            <w:r>
              <w:rPr>
                <w:rStyle w:val="36"/>
                <w:rFonts w:hint="eastAsia" w:ascii="宋体" w:hAnsi="宋体" w:cs="宋体"/>
                <w:color w:val="auto"/>
                <w:sz w:val="18"/>
                <w:szCs w:val="18"/>
              </w:rPr>
              <w:t>Y＜100</w:t>
            </w:r>
          </w:p>
        </w:tc>
      </w:tr>
      <w:tr w14:paraId="347B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DAD708C">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8BEC21D">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5822C725">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948301B">
            <w:pPr>
              <w:rPr>
                <w:rStyle w:val="36"/>
                <w:rFonts w:hint="eastAsia" w:ascii="宋体" w:hAnsi="宋体" w:cs="宋体"/>
                <w:color w:val="auto"/>
                <w:sz w:val="18"/>
                <w:szCs w:val="18"/>
              </w:rPr>
            </w:pPr>
            <w:r>
              <w:rPr>
                <w:rStyle w:val="36"/>
                <w:rFonts w:hint="eastAsia" w:ascii="宋体" w:hAnsi="宋体" w:cs="宋体"/>
                <w:color w:val="auto"/>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262ABC3">
            <w:pPr>
              <w:rPr>
                <w:rStyle w:val="36"/>
                <w:rFonts w:hint="eastAsia" w:ascii="宋体" w:hAnsi="宋体" w:cs="宋体"/>
                <w:color w:val="auto"/>
                <w:sz w:val="18"/>
                <w:szCs w:val="18"/>
              </w:rPr>
            </w:pPr>
            <w:r>
              <w:rPr>
                <w:rStyle w:val="36"/>
                <w:rFonts w:hint="eastAsia" w:ascii="宋体" w:hAnsi="宋体" w:cs="宋体"/>
                <w:color w:val="auto"/>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458C33">
            <w:pPr>
              <w:rPr>
                <w:rStyle w:val="36"/>
                <w:rFonts w:hint="eastAsia" w:ascii="宋体" w:hAnsi="宋体" w:cs="宋体"/>
                <w:color w:val="auto"/>
                <w:sz w:val="18"/>
                <w:szCs w:val="18"/>
              </w:rPr>
            </w:pPr>
            <w:r>
              <w:rPr>
                <w:rStyle w:val="36"/>
                <w:rFonts w:hint="eastAsia" w:ascii="宋体" w:hAnsi="宋体" w:cs="宋体"/>
                <w:color w:val="auto"/>
                <w:sz w:val="18"/>
                <w:szCs w:val="18"/>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640A17A9">
            <w:pPr>
              <w:rPr>
                <w:rStyle w:val="36"/>
                <w:rFonts w:hint="eastAsia" w:ascii="宋体" w:hAnsi="宋体" w:cs="宋体"/>
                <w:color w:val="auto"/>
                <w:sz w:val="18"/>
                <w:szCs w:val="18"/>
              </w:rPr>
            </w:pPr>
            <w:r>
              <w:rPr>
                <w:rStyle w:val="36"/>
                <w:rFonts w:hint="eastAsia" w:ascii="宋体" w:hAnsi="宋体" w:cs="宋体"/>
                <w:color w:val="auto"/>
                <w:sz w:val="18"/>
                <w:szCs w:val="18"/>
              </w:rPr>
              <w:t>Z＜2000</w:t>
            </w:r>
          </w:p>
        </w:tc>
      </w:tr>
      <w:tr w14:paraId="588B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BF3CBDA">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4E3B90D9">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39AB66C">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38F24AF">
            <w:pPr>
              <w:rPr>
                <w:rStyle w:val="36"/>
                <w:rFonts w:hint="eastAsia" w:ascii="宋体" w:hAnsi="宋体" w:cs="宋体"/>
                <w:color w:val="auto"/>
                <w:sz w:val="18"/>
                <w:szCs w:val="18"/>
              </w:rPr>
            </w:pPr>
            <w:r>
              <w:rPr>
                <w:rStyle w:val="36"/>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F78C0B7">
            <w:pPr>
              <w:rPr>
                <w:rStyle w:val="36"/>
                <w:rFonts w:hint="eastAsia" w:ascii="宋体" w:hAnsi="宋体" w:cs="宋体"/>
                <w:color w:val="auto"/>
                <w:sz w:val="18"/>
                <w:szCs w:val="18"/>
              </w:rPr>
            </w:pPr>
            <w:r>
              <w:rPr>
                <w:rStyle w:val="36"/>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A0507D4">
            <w:pPr>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6A6B3C22">
            <w:pPr>
              <w:rPr>
                <w:rStyle w:val="36"/>
                <w:rFonts w:hint="eastAsia" w:ascii="宋体" w:hAnsi="宋体" w:cs="宋体"/>
                <w:color w:val="auto"/>
                <w:sz w:val="18"/>
                <w:szCs w:val="18"/>
              </w:rPr>
            </w:pPr>
            <w:r>
              <w:rPr>
                <w:rStyle w:val="36"/>
                <w:rFonts w:hint="eastAsia" w:ascii="宋体" w:hAnsi="宋体" w:cs="宋体"/>
                <w:color w:val="auto"/>
                <w:sz w:val="18"/>
                <w:szCs w:val="18"/>
              </w:rPr>
              <w:t>X＜100</w:t>
            </w:r>
          </w:p>
        </w:tc>
      </w:tr>
      <w:tr w14:paraId="6A0E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78B35FF">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64A49BD">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2A039FB">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1683026">
            <w:pPr>
              <w:rPr>
                <w:rStyle w:val="36"/>
                <w:rFonts w:hint="eastAsia" w:ascii="宋体" w:hAnsi="宋体" w:cs="宋体"/>
                <w:color w:val="auto"/>
                <w:sz w:val="18"/>
                <w:szCs w:val="18"/>
              </w:rPr>
            </w:pPr>
            <w:r>
              <w:rPr>
                <w:rStyle w:val="36"/>
                <w:rFonts w:hint="eastAsia" w:ascii="宋体" w:hAnsi="宋体" w:cs="宋体"/>
                <w:color w:val="auto"/>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714C92D">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960DFB4">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C772654">
            <w:pPr>
              <w:rPr>
                <w:rStyle w:val="36"/>
                <w:rFonts w:hint="eastAsia" w:ascii="宋体" w:hAnsi="宋体" w:cs="宋体"/>
                <w:color w:val="auto"/>
                <w:sz w:val="18"/>
                <w:szCs w:val="18"/>
              </w:rPr>
            </w:pPr>
            <w:r>
              <w:rPr>
                <w:rStyle w:val="36"/>
                <w:rFonts w:hint="eastAsia" w:ascii="宋体" w:hAnsi="宋体" w:cs="宋体"/>
                <w:color w:val="auto"/>
                <w:sz w:val="18"/>
                <w:szCs w:val="18"/>
              </w:rPr>
              <w:t>Y＜500</w:t>
            </w:r>
          </w:p>
        </w:tc>
      </w:tr>
      <w:tr w14:paraId="637E0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FE7BC28">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DA70BC9">
            <w:pPr>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83217D8">
            <w:pPr>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87A933E">
            <w:pPr>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29F000">
            <w:pPr>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5CE527F">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8C67A4A">
            <w:pPr>
              <w:rPr>
                <w:rStyle w:val="36"/>
                <w:rFonts w:hint="eastAsia" w:ascii="宋体" w:hAnsi="宋体" w:cs="宋体"/>
                <w:color w:val="auto"/>
                <w:sz w:val="18"/>
                <w:szCs w:val="18"/>
              </w:rPr>
            </w:pPr>
            <w:r>
              <w:rPr>
                <w:rStyle w:val="36"/>
                <w:rFonts w:hint="eastAsia" w:ascii="宋体" w:hAnsi="宋体" w:cs="宋体"/>
                <w:color w:val="auto"/>
                <w:sz w:val="18"/>
                <w:szCs w:val="18"/>
              </w:rPr>
              <w:t>X＜10</w:t>
            </w:r>
          </w:p>
        </w:tc>
      </w:tr>
      <w:tr w14:paraId="245FD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43EEE88">
            <w:pPr>
              <w:rPr>
                <w:rStyle w:val="36"/>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CBF81C7">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63114C65">
            <w:pPr>
              <w:rPr>
                <w:rStyle w:val="36"/>
                <w:rFonts w:hint="eastAsia" w:ascii="宋体" w:hAnsi="宋体" w:cs="宋体"/>
                <w:color w:val="auto"/>
                <w:sz w:val="18"/>
                <w:szCs w:val="18"/>
              </w:rPr>
            </w:pPr>
            <w:r>
              <w:rPr>
                <w:rStyle w:val="36"/>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B82E052">
            <w:pPr>
              <w:rPr>
                <w:rStyle w:val="36"/>
                <w:rFonts w:hint="eastAsia" w:ascii="宋体" w:hAnsi="宋体" w:cs="宋体"/>
                <w:color w:val="auto"/>
                <w:sz w:val="18"/>
                <w:szCs w:val="18"/>
              </w:rPr>
            </w:pPr>
            <w:r>
              <w:rPr>
                <w:rStyle w:val="36"/>
                <w:rFonts w:hint="eastAsia" w:ascii="宋体" w:hAnsi="宋体" w:cs="宋体"/>
                <w:color w:val="auto"/>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A030F4A">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3ACCFE5">
            <w:pPr>
              <w:rPr>
                <w:rStyle w:val="36"/>
                <w:rFonts w:hint="eastAsia" w:ascii="宋体" w:hAnsi="宋体" w:cs="宋体"/>
                <w:color w:val="auto"/>
                <w:sz w:val="18"/>
                <w:szCs w:val="18"/>
              </w:rPr>
            </w:pPr>
            <w:r>
              <w:rPr>
                <w:rStyle w:val="36"/>
                <w:rFonts w:hint="eastAsia" w:ascii="宋体" w:hAnsi="宋体" w:cs="宋体"/>
                <w:color w:val="auto"/>
                <w:sz w:val="18"/>
                <w:szCs w:val="18"/>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FA8AE2B">
            <w:pPr>
              <w:rPr>
                <w:rStyle w:val="36"/>
                <w:rFonts w:hint="eastAsia" w:ascii="宋体" w:hAnsi="宋体" w:cs="宋体"/>
                <w:color w:val="auto"/>
                <w:sz w:val="18"/>
                <w:szCs w:val="18"/>
              </w:rPr>
            </w:pPr>
            <w:r>
              <w:rPr>
                <w:rStyle w:val="36"/>
                <w:rFonts w:hint="eastAsia" w:ascii="宋体" w:hAnsi="宋体" w:cs="宋体"/>
                <w:color w:val="auto"/>
                <w:sz w:val="18"/>
                <w:szCs w:val="18"/>
              </w:rPr>
              <w:t>Z＜100</w:t>
            </w:r>
          </w:p>
        </w:tc>
      </w:tr>
      <w:tr w14:paraId="3F75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3320743B">
            <w:pPr>
              <w:spacing w:line="240" w:lineRule="exact"/>
              <w:rPr>
                <w:rStyle w:val="36"/>
                <w:rFonts w:hint="eastAsia" w:ascii="宋体" w:hAnsi="宋体" w:cs="宋体"/>
                <w:color w:val="auto"/>
              </w:rPr>
            </w:pPr>
            <w:r>
              <w:rPr>
                <w:rStyle w:val="36"/>
                <w:rFonts w:hint="eastAsia" w:ascii="宋体" w:hAnsi="宋体" w:cs="宋体"/>
                <w:color w:val="auto"/>
                <w:sz w:val="18"/>
                <w:szCs w:val="18"/>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56A9EBB">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BE333C7">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E547077">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64D39DB">
            <w:pPr>
              <w:spacing w:line="240" w:lineRule="exact"/>
              <w:ind w:left="1" w:leftChars="-51" w:hanging="108"/>
              <w:rPr>
                <w:rStyle w:val="36"/>
                <w:rFonts w:hint="eastAsia" w:ascii="宋体" w:hAnsi="宋体" w:cs="宋体"/>
                <w:color w:val="auto"/>
                <w:sz w:val="18"/>
                <w:szCs w:val="18"/>
              </w:rPr>
            </w:pPr>
            <w:r>
              <w:rPr>
                <w:rStyle w:val="36"/>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9DE3B1A">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40868A5D">
            <w:pPr>
              <w:spacing w:line="240" w:lineRule="exact"/>
              <w:rPr>
                <w:rStyle w:val="36"/>
                <w:rFonts w:hint="eastAsia" w:ascii="宋体" w:hAnsi="宋体" w:cs="宋体"/>
                <w:color w:val="auto"/>
                <w:sz w:val="18"/>
                <w:szCs w:val="18"/>
              </w:rPr>
            </w:pPr>
            <w:r>
              <w:rPr>
                <w:rStyle w:val="36"/>
                <w:rFonts w:hint="eastAsia" w:ascii="宋体" w:hAnsi="宋体" w:cs="宋体"/>
                <w:color w:val="auto"/>
                <w:sz w:val="18"/>
                <w:szCs w:val="18"/>
              </w:rPr>
              <w:t>X＜10</w:t>
            </w:r>
          </w:p>
        </w:tc>
      </w:tr>
    </w:tbl>
    <w:p w14:paraId="77BDC7AB">
      <w:pPr>
        <w:spacing w:line="400" w:lineRule="exact"/>
        <w:rPr>
          <w:rStyle w:val="36"/>
          <w:rFonts w:hint="eastAsia" w:ascii="宋体" w:hAnsi="宋体" w:cs="宋体"/>
          <w:color w:val="auto"/>
          <w:spacing w:val="8"/>
        </w:rPr>
      </w:pPr>
      <w:r>
        <w:rPr>
          <w:rStyle w:val="36"/>
          <w:rFonts w:hint="eastAsia" w:ascii="宋体" w:hAnsi="宋体" w:cs="宋体"/>
          <w:color w:val="auto"/>
          <w:spacing w:val="8"/>
        </w:rPr>
        <w:t>说明：</w:t>
      </w:r>
    </w:p>
    <w:p w14:paraId="5ECA60C4">
      <w:pPr>
        <w:spacing w:line="400" w:lineRule="exact"/>
        <w:rPr>
          <w:rStyle w:val="36"/>
          <w:rFonts w:hint="eastAsia" w:ascii="宋体" w:hAnsi="宋体" w:cs="宋体"/>
          <w:color w:val="auto"/>
          <w:spacing w:val="8"/>
        </w:rPr>
      </w:pPr>
      <w:r>
        <w:rPr>
          <w:rStyle w:val="36"/>
          <w:rFonts w:hint="eastAsia" w:ascii="宋体" w:hAnsi="宋体" w:cs="宋体"/>
          <w:color w:val="auto"/>
          <w:spacing w:val="8"/>
        </w:rPr>
        <w:t>　　1.大型、中型和小型企业须同时满足所列指标的下限，否则下划一档；微型企业只须满足所列指标中的一项即可。</w:t>
      </w:r>
    </w:p>
    <w:p w14:paraId="4F5A41F3">
      <w:pPr>
        <w:spacing w:line="360" w:lineRule="auto"/>
        <w:rPr>
          <w:rStyle w:val="36"/>
          <w:rFonts w:hint="eastAsia" w:ascii="宋体" w:hAnsi="宋体" w:cs="宋体"/>
          <w:color w:val="auto"/>
          <w:spacing w:val="8"/>
        </w:rPr>
      </w:pPr>
      <w:r>
        <w:rPr>
          <w:rStyle w:val="36"/>
          <w:rFonts w:hint="eastAsia" w:ascii="宋体" w:hAnsi="宋体" w:cs="宋体"/>
          <w:color w:val="auto"/>
          <w:spacing w:val="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6215FDAE">
      <w:pPr>
        <w:spacing w:line="360" w:lineRule="auto"/>
        <w:rPr>
          <w:rStyle w:val="36"/>
          <w:rFonts w:hint="eastAsia" w:ascii="宋体" w:hAnsi="宋体" w:cs="宋体"/>
          <w:color w:val="auto"/>
        </w:rPr>
      </w:pPr>
      <w:r>
        <w:rPr>
          <w:rStyle w:val="36"/>
          <w:rFonts w:hint="eastAsia" w:ascii="宋体" w:hAnsi="宋体" w:cs="宋体"/>
          <w:color w:val="auto"/>
          <w:spacing w:val="8"/>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E59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522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2522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9A4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968D">
                          <w:pPr>
                            <w:pStyle w:val="1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8A968D">
                    <w:pPr>
                      <w:pStyle w:val="1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DDF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86DF4">
                          <w:pPr>
                            <w:pStyle w:val="1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286DF4">
                    <w:pPr>
                      <w:pStyle w:val="1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9497">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E34C7">
                          <w:pPr>
                            <w:pStyle w:val="1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DE34C7">
                    <w:pPr>
                      <w:pStyle w:val="1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3CB2">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756B">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02"/>
    <w:multiLevelType w:val="singleLevel"/>
    <w:tmpl w:val="00000002"/>
    <w:lvl w:ilvl="0" w:tentative="0">
      <w:start w:val="3"/>
      <w:numFmt w:val="decimal"/>
      <w:suff w:val="nothing"/>
      <w:lvlText w:val="（%1）"/>
      <w:lvlJc w:val="left"/>
    </w:lvl>
  </w:abstractNum>
  <w:abstractNum w:abstractNumId="8">
    <w:nsid w:val="00000003"/>
    <w:multiLevelType w:val="singleLevel"/>
    <w:tmpl w:val="00000003"/>
    <w:lvl w:ilvl="0" w:tentative="0">
      <w:start w:val="7"/>
      <w:numFmt w:val="chineseCounting"/>
      <w:suff w:val="space"/>
      <w:lvlText w:val="第%1章"/>
      <w:lvlJc w:val="left"/>
      <w:rPr>
        <w:rFonts w:hint="eastAsia"/>
      </w:rPr>
    </w:lvl>
  </w:abstractNum>
  <w:abstractNum w:abstractNumId="9">
    <w:nsid w:val="0053208E"/>
    <w:multiLevelType w:val="multilevel"/>
    <w:tmpl w:val="0053208E"/>
    <w:lvl w:ilvl="0" w:tentative="0">
      <w:start w:val="1"/>
      <w:numFmt w:val="bullet"/>
      <w:pStyle w:val="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37F58264"/>
    <w:multiLevelType w:val="singleLevel"/>
    <w:tmpl w:val="37F58264"/>
    <w:lvl w:ilvl="0" w:tentative="0">
      <w:start w:val="2"/>
      <w:numFmt w:val="chineseCounting"/>
      <w:suff w:val="nothing"/>
      <w:lvlText w:val="（%1）"/>
      <w:lvlJc w:val="left"/>
      <w:rPr>
        <w:rFonts w:hint="eastAsia"/>
      </w:rPr>
    </w:lvl>
  </w:abstractNum>
  <w:abstractNum w:abstractNumId="11">
    <w:nsid w:val="37F58265"/>
    <w:multiLevelType w:val="singleLevel"/>
    <w:tmpl w:val="37F58265"/>
    <w:lvl w:ilvl="0" w:tentative="0">
      <w:start w:val="2"/>
      <w:numFmt w:val="decimal"/>
      <w:lvlText w:val="%1."/>
      <w:lvlJc w:val="left"/>
      <w:pPr>
        <w:tabs>
          <w:tab w:val="left" w:pos="312"/>
        </w:tabs>
      </w:pPr>
    </w:lvl>
  </w:abstractNum>
  <w:abstractNum w:abstractNumId="12">
    <w:nsid w:val="46292942"/>
    <w:multiLevelType w:val="singleLevel"/>
    <w:tmpl w:val="46292942"/>
    <w:lvl w:ilvl="0" w:tentative="0">
      <w:start w:val="1"/>
      <w:numFmt w:val="decimal"/>
      <w:lvlText w:val="%1."/>
      <w:lvlJc w:val="left"/>
      <w:pPr>
        <w:tabs>
          <w:tab w:val="left" w:pos="312"/>
        </w:tabs>
      </w:pPr>
    </w:lvl>
  </w:abstractNum>
  <w:abstractNum w:abstractNumId="13">
    <w:nsid w:val="57D3B022"/>
    <w:multiLevelType w:val="singleLevel"/>
    <w:tmpl w:val="57D3B022"/>
    <w:lvl w:ilvl="0" w:tentative="0">
      <w:start w:val="1"/>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12"/>
  </w:num>
  <w:num w:numId="4">
    <w:abstractNumId w:val="13"/>
  </w:num>
  <w:num w:numId="5">
    <w:abstractNumId w:val="11"/>
  </w:num>
  <w:num w:numId="6">
    <w:abstractNumId w:val="14"/>
  </w:num>
  <w:num w:numId="7">
    <w:abstractNumId w:val="1"/>
  </w:num>
  <w:num w:numId="8">
    <w:abstractNumId w:val="5"/>
  </w:num>
  <w:num w:numId="9">
    <w:abstractNumId w:val="3"/>
  </w:num>
  <w:num w:numId="10">
    <w:abstractNumId w:val="2"/>
  </w:num>
  <w:num w:numId="11">
    <w:abstractNumId w:val="0"/>
  </w:num>
  <w:num w:numId="12">
    <w:abstractNumId w:val="4"/>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comments"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CA15D9"/>
    <w:rsid w:val="00045C16"/>
    <w:rsid w:val="000915F0"/>
    <w:rsid w:val="002A0B88"/>
    <w:rsid w:val="00887E5B"/>
    <w:rsid w:val="009049D8"/>
    <w:rsid w:val="00AE4E5E"/>
    <w:rsid w:val="00CA15D9"/>
    <w:rsid w:val="00E23F36"/>
    <w:rsid w:val="01170C55"/>
    <w:rsid w:val="012515C4"/>
    <w:rsid w:val="01380314"/>
    <w:rsid w:val="018E53BB"/>
    <w:rsid w:val="01EE19B6"/>
    <w:rsid w:val="0204567E"/>
    <w:rsid w:val="02072A78"/>
    <w:rsid w:val="02094A42"/>
    <w:rsid w:val="02922C89"/>
    <w:rsid w:val="02C31095"/>
    <w:rsid w:val="03192A63"/>
    <w:rsid w:val="03F248A9"/>
    <w:rsid w:val="04117BDE"/>
    <w:rsid w:val="044C6E68"/>
    <w:rsid w:val="04D07A99"/>
    <w:rsid w:val="056D178C"/>
    <w:rsid w:val="067B57E2"/>
    <w:rsid w:val="06911C3B"/>
    <w:rsid w:val="06E42DAF"/>
    <w:rsid w:val="06EE06AA"/>
    <w:rsid w:val="06F537E7"/>
    <w:rsid w:val="077265D9"/>
    <w:rsid w:val="089112ED"/>
    <w:rsid w:val="090B72F2"/>
    <w:rsid w:val="09675889"/>
    <w:rsid w:val="09A968CE"/>
    <w:rsid w:val="09B5177D"/>
    <w:rsid w:val="0B9C6927"/>
    <w:rsid w:val="0BA17A99"/>
    <w:rsid w:val="0C564D28"/>
    <w:rsid w:val="0CFD33F5"/>
    <w:rsid w:val="0D692839"/>
    <w:rsid w:val="0D865199"/>
    <w:rsid w:val="0E6C0832"/>
    <w:rsid w:val="0E7B0A75"/>
    <w:rsid w:val="0ECA7307"/>
    <w:rsid w:val="0F7642EB"/>
    <w:rsid w:val="0FC621C4"/>
    <w:rsid w:val="0FC63F72"/>
    <w:rsid w:val="1040449A"/>
    <w:rsid w:val="10734A6E"/>
    <w:rsid w:val="10D91A83"/>
    <w:rsid w:val="11090F11"/>
    <w:rsid w:val="113413B0"/>
    <w:rsid w:val="12046FD4"/>
    <w:rsid w:val="12902616"/>
    <w:rsid w:val="12CF75E2"/>
    <w:rsid w:val="14180B15"/>
    <w:rsid w:val="1446049D"/>
    <w:rsid w:val="1525798D"/>
    <w:rsid w:val="159D39C7"/>
    <w:rsid w:val="15B64A89"/>
    <w:rsid w:val="15D14133"/>
    <w:rsid w:val="163C6D3C"/>
    <w:rsid w:val="168626AD"/>
    <w:rsid w:val="1759391E"/>
    <w:rsid w:val="186802BC"/>
    <w:rsid w:val="189270E7"/>
    <w:rsid w:val="18A62B93"/>
    <w:rsid w:val="18EB2C9C"/>
    <w:rsid w:val="18F03E0E"/>
    <w:rsid w:val="1A0E09F0"/>
    <w:rsid w:val="1A22449B"/>
    <w:rsid w:val="1AA70EF9"/>
    <w:rsid w:val="1B1C713C"/>
    <w:rsid w:val="1CD203FA"/>
    <w:rsid w:val="1CD64CCD"/>
    <w:rsid w:val="1E8C2F5F"/>
    <w:rsid w:val="1EB12291"/>
    <w:rsid w:val="1EF64B15"/>
    <w:rsid w:val="1F812824"/>
    <w:rsid w:val="1FAB0A8F"/>
    <w:rsid w:val="203372AC"/>
    <w:rsid w:val="20B524A4"/>
    <w:rsid w:val="20C1701D"/>
    <w:rsid w:val="23865A9B"/>
    <w:rsid w:val="23AD3718"/>
    <w:rsid w:val="240211D3"/>
    <w:rsid w:val="250273A3"/>
    <w:rsid w:val="2524556B"/>
    <w:rsid w:val="252C4420"/>
    <w:rsid w:val="25EF3DCB"/>
    <w:rsid w:val="25F61B42"/>
    <w:rsid w:val="26B86EE4"/>
    <w:rsid w:val="271E248E"/>
    <w:rsid w:val="28377363"/>
    <w:rsid w:val="28665E9B"/>
    <w:rsid w:val="290165BA"/>
    <w:rsid w:val="29310257"/>
    <w:rsid w:val="298011DE"/>
    <w:rsid w:val="2A4F6185"/>
    <w:rsid w:val="2AF17388"/>
    <w:rsid w:val="2B05199B"/>
    <w:rsid w:val="2B481888"/>
    <w:rsid w:val="2B860B52"/>
    <w:rsid w:val="2CBE3608"/>
    <w:rsid w:val="2CDE24A4"/>
    <w:rsid w:val="2CE81574"/>
    <w:rsid w:val="2D0E0E38"/>
    <w:rsid w:val="2D55022E"/>
    <w:rsid w:val="2DEF06E0"/>
    <w:rsid w:val="2DF85717"/>
    <w:rsid w:val="2F706CFB"/>
    <w:rsid w:val="2F7964B4"/>
    <w:rsid w:val="2FFF18EB"/>
    <w:rsid w:val="309A4933"/>
    <w:rsid w:val="31922692"/>
    <w:rsid w:val="319B6864"/>
    <w:rsid w:val="31AA1091"/>
    <w:rsid w:val="31F91B2E"/>
    <w:rsid w:val="32313075"/>
    <w:rsid w:val="32AF043E"/>
    <w:rsid w:val="32F83B93"/>
    <w:rsid w:val="33995376"/>
    <w:rsid w:val="33BA709B"/>
    <w:rsid w:val="3598340C"/>
    <w:rsid w:val="37C46534"/>
    <w:rsid w:val="388B7AFE"/>
    <w:rsid w:val="393009F4"/>
    <w:rsid w:val="39897C3B"/>
    <w:rsid w:val="3AB64A60"/>
    <w:rsid w:val="3AF61300"/>
    <w:rsid w:val="3B027CA5"/>
    <w:rsid w:val="3B201ED9"/>
    <w:rsid w:val="3BA04EA9"/>
    <w:rsid w:val="3BC443A2"/>
    <w:rsid w:val="3D4D2D2E"/>
    <w:rsid w:val="3D7F7A5C"/>
    <w:rsid w:val="3EA352FB"/>
    <w:rsid w:val="3ECD2378"/>
    <w:rsid w:val="3F3C215A"/>
    <w:rsid w:val="3F516B05"/>
    <w:rsid w:val="3FD00372"/>
    <w:rsid w:val="40B03CFF"/>
    <w:rsid w:val="41304FD3"/>
    <w:rsid w:val="41790595"/>
    <w:rsid w:val="42975177"/>
    <w:rsid w:val="42BA70B7"/>
    <w:rsid w:val="43340C18"/>
    <w:rsid w:val="434D3A87"/>
    <w:rsid w:val="444B446B"/>
    <w:rsid w:val="448C6831"/>
    <w:rsid w:val="451F1453"/>
    <w:rsid w:val="45216F7A"/>
    <w:rsid w:val="458319E2"/>
    <w:rsid w:val="45943BEF"/>
    <w:rsid w:val="464C44CA"/>
    <w:rsid w:val="469320F9"/>
    <w:rsid w:val="46AF01AD"/>
    <w:rsid w:val="46C2653A"/>
    <w:rsid w:val="4740402F"/>
    <w:rsid w:val="476615BC"/>
    <w:rsid w:val="47AF2F63"/>
    <w:rsid w:val="47B16CDB"/>
    <w:rsid w:val="4812529F"/>
    <w:rsid w:val="485E04E5"/>
    <w:rsid w:val="48912668"/>
    <w:rsid w:val="48AA5D99"/>
    <w:rsid w:val="49663AF5"/>
    <w:rsid w:val="49ED7D72"/>
    <w:rsid w:val="4B223A4B"/>
    <w:rsid w:val="4B7A5635"/>
    <w:rsid w:val="4B903FA6"/>
    <w:rsid w:val="4BB74194"/>
    <w:rsid w:val="4C0575F5"/>
    <w:rsid w:val="4D0F52FA"/>
    <w:rsid w:val="4D2E0486"/>
    <w:rsid w:val="4DB43081"/>
    <w:rsid w:val="4DF25957"/>
    <w:rsid w:val="4EAB3773"/>
    <w:rsid w:val="4EB96475"/>
    <w:rsid w:val="4ED4505D"/>
    <w:rsid w:val="4F477D2C"/>
    <w:rsid w:val="4F65165E"/>
    <w:rsid w:val="4F7725B8"/>
    <w:rsid w:val="4F820F5D"/>
    <w:rsid w:val="4F9F38BD"/>
    <w:rsid w:val="500876B4"/>
    <w:rsid w:val="509C604E"/>
    <w:rsid w:val="50EE4AFC"/>
    <w:rsid w:val="51271DBC"/>
    <w:rsid w:val="51ED6B61"/>
    <w:rsid w:val="51F55A16"/>
    <w:rsid w:val="520D3078"/>
    <w:rsid w:val="52166D33"/>
    <w:rsid w:val="52287B99"/>
    <w:rsid w:val="540168F4"/>
    <w:rsid w:val="54251911"/>
    <w:rsid w:val="54981227"/>
    <w:rsid w:val="549F1C75"/>
    <w:rsid w:val="54F46459"/>
    <w:rsid w:val="5632548A"/>
    <w:rsid w:val="569D42C9"/>
    <w:rsid w:val="56C47E6B"/>
    <w:rsid w:val="56C91592"/>
    <w:rsid w:val="56E07882"/>
    <w:rsid w:val="58AC2BA6"/>
    <w:rsid w:val="58BF5702"/>
    <w:rsid w:val="591F15CA"/>
    <w:rsid w:val="5A0E3B19"/>
    <w:rsid w:val="5AAE0E58"/>
    <w:rsid w:val="5AC02939"/>
    <w:rsid w:val="5AD664EE"/>
    <w:rsid w:val="5B2366A2"/>
    <w:rsid w:val="5B242EC8"/>
    <w:rsid w:val="5B6466FE"/>
    <w:rsid w:val="5B765E19"/>
    <w:rsid w:val="5BCC3C8B"/>
    <w:rsid w:val="5C163EB6"/>
    <w:rsid w:val="5D9F0F2C"/>
    <w:rsid w:val="5E530C70"/>
    <w:rsid w:val="5EBD205B"/>
    <w:rsid w:val="5ED52E57"/>
    <w:rsid w:val="5F847AB0"/>
    <w:rsid w:val="5F9A7541"/>
    <w:rsid w:val="60F35816"/>
    <w:rsid w:val="615E4DF2"/>
    <w:rsid w:val="61FF01EB"/>
    <w:rsid w:val="62ED3873"/>
    <w:rsid w:val="631633C8"/>
    <w:rsid w:val="63B23767"/>
    <w:rsid w:val="648A6492"/>
    <w:rsid w:val="659C46CE"/>
    <w:rsid w:val="661275CF"/>
    <w:rsid w:val="67184229"/>
    <w:rsid w:val="6723497B"/>
    <w:rsid w:val="68525518"/>
    <w:rsid w:val="688D02FE"/>
    <w:rsid w:val="69180510"/>
    <w:rsid w:val="691B729C"/>
    <w:rsid w:val="692B50DF"/>
    <w:rsid w:val="69F820EF"/>
    <w:rsid w:val="6A023614"/>
    <w:rsid w:val="6A24411F"/>
    <w:rsid w:val="6A2D7536"/>
    <w:rsid w:val="6A4544E2"/>
    <w:rsid w:val="6A745C1A"/>
    <w:rsid w:val="6AEC2279"/>
    <w:rsid w:val="6B9D6AAA"/>
    <w:rsid w:val="6BC009EB"/>
    <w:rsid w:val="6BF84629"/>
    <w:rsid w:val="6BF95CAB"/>
    <w:rsid w:val="6C3D64DF"/>
    <w:rsid w:val="6CAE2F39"/>
    <w:rsid w:val="6CE54EA3"/>
    <w:rsid w:val="6DE309C1"/>
    <w:rsid w:val="6E810905"/>
    <w:rsid w:val="6F190B3E"/>
    <w:rsid w:val="6FD958F7"/>
    <w:rsid w:val="70310BA1"/>
    <w:rsid w:val="70615E24"/>
    <w:rsid w:val="70C96BCA"/>
    <w:rsid w:val="71211F2C"/>
    <w:rsid w:val="712D08D1"/>
    <w:rsid w:val="71864485"/>
    <w:rsid w:val="71AF12E6"/>
    <w:rsid w:val="722A3062"/>
    <w:rsid w:val="72D059B7"/>
    <w:rsid w:val="736600CA"/>
    <w:rsid w:val="73CA68B7"/>
    <w:rsid w:val="73E3796C"/>
    <w:rsid w:val="740F105C"/>
    <w:rsid w:val="74784559"/>
    <w:rsid w:val="74AB58BB"/>
    <w:rsid w:val="75422471"/>
    <w:rsid w:val="756B19C7"/>
    <w:rsid w:val="757C1E26"/>
    <w:rsid w:val="75BA64AB"/>
    <w:rsid w:val="76571F4C"/>
    <w:rsid w:val="76C045DA"/>
    <w:rsid w:val="77493BB3"/>
    <w:rsid w:val="775F4CCB"/>
    <w:rsid w:val="77C42580"/>
    <w:rsid w:val="780A371A"/>
    <w:rsid w:val="79D20267"/>
    <w:rsid w:val="7A765F00"/>
    <w:rsid w:val="7B5821AB"/>
    <w:rsid w:val="7BB30D54"/>
    <w:rsid w:val="7C2B1EB0"/>
    <w:rsid w:val="7C3157E2"/>
    <w:rsid w:val="7C705B15"/>
    <w:rsid w:val="7C835849"/>
    <w:rsid w:val="7D012C11"/>
    <w:rsid w:val="7D2D3A06"/>
    <w:rsid w:val="7D5B0573"/>
    <w:rsid w:val="7D9D0B8C"/>
    <w:rsid w:val="7DE928F1"/>
    <w:rsid w:val="7E942314"/>
    <w:rsid w:val="7EC16AFC"/>
    <w:rsid w:val="7EEB58F4"/>
    <w:rsid w:val="7F216493"/>
    <w:rsid w:val="7F7678E7"/>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jc w:val="center"/>
      <w:outlineLvl w:val="0"/>
    </w:pPr>
    <w:rPr>
      <w:b/>
      <w:kern w:val="44"/>
      <w:sz w:val="44"/>
    </w:rPr>
  </w:style>
  <w:style w:type="paragraph" w:styleId="3">
    <w:name w:val="heading 2"/>
    <w:basedOn w:val="1"/>
    <w:next w:val="1"/>
    <w:qFormat/>
    <w:uiPriority w:val="0"/>
    <w:pPr>
      <w:spacing w:before="240"/>
      <w:outlineLvl w:val="1"/>
    </w:pPr>
    <w:rPr>
      <w:sz w:val="24"/>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cs="Times New Roman"/>
      <w:szCs w:val="22"/>
    </w:rPr>
  </w:style>
  <w:style w:type="paragraph" w:styleId="7">
    <w:name w:val="annotation text"/>
    <w:basedOn w:val="1"/>
    <w:qFormat/>
    <w:uiPriority w:val="0"/>
  </w:style>
  <w:style w:type="paragraph" w:styleId="8">
    <w:name w:val="Body Text"/>
    <w:basedOn w:val="1"/>
    <w:next w:val="1"/>
    <w:qFormat/>
    <w:uiPriority w:val="0"/>
    <w:rPr>
      <w:rFonts w:eastAsia="Arial"/>
    </w:rPr>
  </w:style>
  <w:style w:type="paragraph" w:styleId="9">
    <w:name w:val="Body Text Indent"/>
    <w:basedOn w:val="1"/>
    <w:qFormat/>
    <w:uiPriority w:val="0"/>
    <w:pPr>
      <w:overflowPunct w:val="0"/>
      <w:spacing w:line="360" w:lineRule="auto"/>
      <w:ind w:firstLine="540"/>
      <w:jc w:val="both"/>
    </w:pPr>
    <w:rPr>
      <w:rFonts w:ascii="宋体" w:hAnsi="MS Sans Serif"/>
      <w:spacing w:val="12"/>
      <w:sz w:val="2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cs="Courier New"/>
    </w:rPr>
  </w:style>
  <w:style w:type="paragraph" w:styleId="12">
    <w:name w:val="Date"/>
    <w:basedOn w:val="1"/>
    <w:next w:val="1"/>
    <w:qFormat/>
    <w:uiPriority w:val="0"/>
    <w:rPr>
      <w:rFonts w:eastAsia="长城楷体"/>
      <w:sz w:val="36"/>
    </w:rPr>
  </w:style>
  <w:style w:type="paragraph" w:styleId="13">
    <w:name w:val="Balloon Text"/>
    <w:basedOn w:val="1"/>
    <w:link w:val="34"/>
    <w:qFormat/>
    <w:uiPriority w:val="99"/>
    <w:rPr>
      <w:sz w:val="18"/>
      <w:szCs w:val="18"/>
    </w:rPr>
  </w:style>
  <w:style w:type="paragraph" w:styleId="14">
    <w:name w:val="footer"/>
    <w:basedOn w:val="1"/>
    <w:link w:val="33"/>
    <w:qFormat/>
    <w:uiPriority w:val="99"/>
    <w:pPr>
      <w:tabs>
        <w:tab w:val="center" w:pos="4153"/>
        <w:tab w:val="right" w:pos="8306"/>
      </w:tabs>
    </w:pPr>
    <w:rPr>
      <w:sz w:val="18"/>
      <w:szCs w:val="18"/>
    </w:rPr>
  </w:style>
  <w:style w:type="paragraph" w:styleId="15">
    <w:name w:val="envelope return"/>
    <w:basedOn w:val="1"/>
    <w:qFormat/>
    <w:uiPriority w:val="0"/>
  </w:style>
  <w:style w:type="paragraph" w:styleId="16">
    <w:name w:val="header"/>
    <w:basedOn w:val="1"/>
    <w:link w:val="32"/>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pPr>
      <w:adjustRightInd/>
      <w:snapToGrid/>
      <w:spacing w:beforeAutospacing="1" w:afterAutospacing="1"/>
    </w:pPr>
    <w:rPr>
      <w:rFonts w:ascii="等线" w:hAnsi="等线" w:eastAsia="等线" w:cs="Times New Roman"/>
      <w:snapToGrid/>
      <w:sz w:val="24"/>
      <w:szCs w:val="24"/>
      <w:lang w:eastAsia="zh-CN"/>
    </w:rPr>
  </w:style>
  <w:style w:type="paragraph" w:styleId="20">
    <w:name w:val="Title"/>
    <w:basedOn w:val="1"/>
    <w:next w:val="1"/>
    <w:qFormat/>
    <w:uiPriority w:val="10"/>
    <w:pPr>
      <w:spacing w:before="240" w:after="60"/>
      <w:jc w:val="center"/>
      <w:outlineLvl w:val="0"/>
    </w:pPr>
    <w:rPr>
      <w:rFonts w:ascii="Cambria" w:hAnsi="Cambria" w:cs="Times New Roman"/>
      <w:b/>
      <w:bCs/>
      <w:sz w:val="32"/>
      <w:szCs w:val="32"/>
    </w:rPr>
  </w:style>
  <w:style w:type="paragraph" w:styleId="21">
    <w:name w:val="Body Text First Indent"/>
    <w:basedOn w:val="8"/>
    <w:qFormat/>
    <w:uiPriority w:val="0"/>
    <w:pPr>
      <w:spacing w:line="360" w:lineRule="auto"/>
      <w:ind w:left="289" w:leftChars="1" w:firstLine="420" w:firstLineChars="100"/>
    </w:pPr>
    <w:rPr>
      <w:rFonts w:ascii="宋体" w:hAnsi="宋体" w:cs="宋体"/>
      <w:b/>
      <w:bCs/>
      <w:sz w:val="20"/>
    </w:rPr>
  </w:style>
  <w:style w:type="paragraph" w:styleId="22">
    <w:name w:val="Body Text First Indent 2"/>
    <w:basedOn w:val="9"/>
    <w:next w:val="1"/>
    <w:qFormat/>
    <w:uiPriority w:val="0"/>
    <w:pPr>
      <w:tabs>
        <w:tab w:val="left" w:pos="0"/>
        <w:tab w:val="left" w:pos="993"/>
        <w:tab w:val="left" w:pos="1134"/>
      </w:tabs>
      <w:ind w:firstLine="420" w:firstLineChars="200"/>
    </w:pPr>
    <w:rPr>
      <w:rFonts w:hAnsi="Calibri"/>
      <w:sz w:val="34"/>
      <w:szCs w:val="22"/>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qFormat/>
    <w:uiPriority w:val="99"/>
    <w:rPr>
      <w:color w:val="800080"/>
      <w:u w:val="none"/>
    </w:rPr>
  </w:style>
  <w:style w:type="character" w:styleId="28">
    <w:name w:val="Hyperlink"/>
    <w:basedOn w:val="25"/>
    <w:qFormat/>
    <w:uiPriority w:val="99"/>
    <w:rPr>
      <w:color w:val="0000FF"/>
      <w:u w:val="none"/>
    </w:rPr>
  </w:style>
  <w:style w:type="paragraph" w:customStyle="1" w:styleId="29">
    <w:name w:val="首行缩进"/>
    <w:basedOn w:val="1"/>
    <w:qFormat/>
    <w:uiPriority w:val="0"/>
    <w:pPr>
      <w:numPr>
        <w:ilvl w:val="0"/>
        <w:numId w:val="1"/>
      </w:numPr>
      <w:spacing w:line="360" w:lineRule="auto"/>
    </w:pPr>
    <w:rPr>
      <w:rFonts w:eastAsia="仿宋_GB2312"/>
    </w:rPr>
  </w:style>
  <w:style w:type="table" w:customStyle="1" w:styleId="30">
    <w:name w:val="Table Normal"/>
    <w:qFormat/>
    <w:uiPriority w:val="0"/>
    <w:tblPr>
      <w:tblCellMar>
        <w:top w:w="0" w:type="dxa"/>
        <w:left w:w="0" w:type="dxa"/>
        <w:bottom w:w="0" w:type="dxa"/>
        <w:right w:w="0" w:type="dxa"/>
      </w:tblCellMar>
    </w:tblPr>
  </w:style>
  <w:style w:type="paragraph" w:customStyle="1" w:styleId="31">
    <w:name w:val="Table Text"/>
    <w:basedOn w:val="1"/>
    <w:qFormat/>
    <w:uiPriority w:val="0"/>
    <w:rPr>
      <w:rFonts w:ascii="宋体" w:hAnsi="宋体" w:cs="宋体"/>
      <w:sz w:val="20"/>
      <w:szCs w:val="20"/>
    </w:rPr>
  </w:style>
  <w:style w:type="character" w:customStyle="1" w:styleId="32">
    <w:name w:val="页眉 字符"/>
    <w:basedOn w:val="25"/>
    <w:link w:val="16"/>
    <w:qFormat/>
    <w:uiPriority w:val="99"/>
    <w:rPr>
      <w:sz w:val="18"/>
      <w:szCs w:val="18"/>
    </w:rPr>
  </w:style>
  <w:style w:type="character" w:customStyle="1" w:styleId="33">
    <w:name w:val="页脚 字符"/>
    <w:basedOn w:val="25"/>
    <w:link w:val="14"/>
    <w:qFormat/>
    <w:uiPriority w:val="99"/>
    <w:rPr>
      <w:sz w:val="18"/>
      <w:szCs w:val="18"/>
    </w:rPr>
  </w:style>
  <w:style w:type="character" w:customStyle="1" w:styleId="34">
    <w:name w:val="批注框文本 字符"/>
    <w:basedOn w:val="25"/>
    <w:link w:val="13"/>
    <w:qFormat/>
    <w:uiPriority w:val="99"/>
    <w:rPr>
      <w:sz w:val="18"/>
      <w:szCs w:val="18"/>
    </w:rPr>
  </w:style>
  <w:style w:type="paragraph" w:customStyle="1" w:styleId="35">
    <w:name w:val="main-title"/>
    <w:basedOn w:val="1"/>
    <w:qFormat/>
    <w:uiPriority w:val="0"/>
    <w:pPr>
      <w:pBdr>
        <w:bottom w:val="single" w:color="717171" w:sz="12" w:space="15"/>
      </w:pBdr>
      <w:spacing w:line="24" w:lineRule="atLeast"/>
      <w:jc w:val="center"/>
    </w:pPr>
    <w:rPr>
      <w:sz w:val="42"/>
      <w:szCs w:val="42"/>
      <w:lang w:eastAsia="zh-CN"/>
    </w:rPr>
  </w:style>
  <w:style w:type="character" w:customStyle="1" w:styleId="36">
    <w:name w:val="NormalCharacter"/>
    <w:qFormat/>
    <w:uiPriority w:val="0"/>
    <w:rPr>
      <w:rFonts w:ascii="Times New Roman" w:hAnsi="Times New Roman"/>
      <w:kern w:val="2"/>
      <w:sz w:val="21"/>
      <w:lang w:val="en-US" w:eastAsia="zh-CN" w:bidi="ar-SA"/>
    </w:rPr>
  </w:style>
  <w:style w:type="paragraph" w:customStyle="1" w:styleId="3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8">
    <w:name w:val="样式 小四 段前: 5 磅 段后: 5 磅 首行缩进:  2 字符"/>
    <w:basedOn w:val="1"/>
    <w:qFormat/>
    <w:uiPriority w:val="0"/>
    <w:pPr>
      <w:spacing w:line="360" w:lineRule="auto"/>
    </w:pPr>
    <w:rPr>
      <w:rFonts w:ascii="宋体" w:hAnsi="宋体"/>
      <w:sz w:val="24"/>
    </w:rPr>
  </w:style>
  <w:style w:type="paragraph" w:customStyle="1" w:styleId="39">
    <w:name w:val="Default"/>
    <w:next w:val="1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List Paragraph_8306deb5-92ad-4d7c-9ec8-4e818e936cf1"/>
    <w:basedOn w:val="1"/>
    <w:qFormat/>
    <w:uiPriority w:val="0"/>
    <w:pPr>
      <w:tabs>
        <w:tab w:val="left" w:pos="900"/>
      </w:tabs>
      <w:ind w:firstLine="200" w:firstLineChars="200"/>
    </w:pPr>
  </w:style>
  <w:style w:type="paragraph" w:customStyle="1" w:styleId="41">
    <w:name w:val="CM11"/>
    <w:basedOn w:val="39"/>
    <w:next w:val="39"/>
    <w:qFormat/>
    <w:uiPriority w:val="0"/>
    <w:pPr>
      <w:spacing w:line="520" w:lineRule="atLeast"/>
    </w:pPr>
  </w:style>
  <w:style w:type="paragraph" w:customStyle="1" w:styleId="42">
    <w:name w:val="CM13"/>
    <w:basedOn w:val="39"/>
    <w:next w:val="39"/>
    <w:qFormat/>
    <w:uiPriority w:val="0"/>
    <w:pPr>
      <w:spacing w:line="520" w:lineRule="atLeast"/>
    </w:pPr>
  </w:style>
  <w:style w:type="paragraph" w:customStyle="1" w:styleId="43">
    <w:name w:val="CM14"/>
    <w:basedOn w:val="39"/>
    <w:next w:val="39"/>
    <w:qFormat/>
    <w:uiPriority w:val="0"/>
    <w:pPr>
      <w:spacing w:line="546" w:lineRule="atLeast"/>
    </w:pPr>
  </w:style>
  <w:style w:type="paragraph" w:customStyle="1" w:styleId="44">
    <w:name w:val="BodyText"/>
    <w:basedOn w:val="1"/>
    <w:next w:val="12"/>
    <w:qFormat/>
    <w:uiPriority w:val="0"/>
    <w:pPr>
      <w:spacing w:after="120"/>
      <w:jc w:val="both"/>
    </w:pPr>
  </w:style>
  <w:style w:type="paragraph" w:customStyle="1" w:styleId="45">
    <w:name w:val="BodyText1I"/>
    <w:basedOn w:val="44"/>
    <w:qFormat/>
    <w:uiPriority w:val="0"/>
    <w:pPr>
      <w:spacing w:line="360" w:lineRule="auto"/>
      <w:ind w:left="289" w:leftChars="1" w:firstLine="420" w:firstLineChars="100"/>
    </w:pPr>
    <w:rPr>
      <w:rFonts w:ascii="宋体" w:hAnsi="宋体" w:cs="宋体"/>
      <w:b/>
      <w:bCs/>
      <w:sz w:val="20"/>
    </w:rPr>
  </w:style>
  <w:style w:type="paragraph" w:customStyle="1" w:styleId="46">
    <w:name w:val="HtmlNormal"/>
    <w:basedOn w:val="1"/>
    <w:qFormat/>
    <w:uiPriority w:val="0"/>
    <w:pPr>
      <w:spacing w:before="100" w:beforeAutospacing="1" w:after="100" w:afterAutospacing="1"/>
    </w:pPr>
    <w:rPr>
      <w:rFonts w:ascii="宋体" w:hAnsi="宋体"/>
      <w:sz w:val="24"/>
      <w:szCs w:val="24"/>
      <w:lang w:eastAsia="zh-CN"/>
    </w:rPr>
  </w:style>
  <w:style w:type="character" w:customStyle="1" w:styleId="47">
    <w:name w:val="font01"/>
    <w:basedOn w:val="25"/>
    <w:qFormat/>
    <w:uiPriority w:val="0"/>
    <w:rPr>
      <w:rFonts w:hint="eastAsia" w:ascii="宋体" w:hAnsi="宋体" w:eastAsia="宋体" w:cs="宋体"/>
      <w:color w:val="000000"/>
      <w:sz w:val="22"/>
      <w:szCs w:val="22"/>
      <w:u w:val="none"/>
    </w:rPr>
  </w:style>
  <w:style w:type="paragraph" w:customStyle="1" w:styleId="48">
    <w:name w:val="普通(网站)_0"/>
    <w:basedOn w:val="49"/>
    <w:qFormat/>
    <w:uiPriority w:val="0"/>
    <w:pPr>
      <w:widowControl/>
      <w:spacing w:before="100" w:beforeAutospacing="1" w:after="100" w:afterAutospacing="1"/>
      <w:jc w:val="left"/>
    </w:pPr>
    <w:rPr>
      <w:rFonts w:ascii="宋体" w:hAnsi="宋体"/>
      <w:kern w:val="0"/>
      <w:sz w:val="24"/>
    </w:rPr>
  </w:style>
  <w:style w:type="paragraph" w:customStyle="1" w:styleId="49">
    <w:name w:val="正文_0"/>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0">
    <w:name w:val="Normal_0_0_1"/>
    <w:qFormat/>
    <w:uiPriority w:val="0"/>
    <w:rPr>
      <w:rFonts w:ascii="Times New Roman" w:hAnsi="Times New Roman" w:eastAsia="Times New Roman" w:cs="Times New Roman"/>
      <w:sz w:val="24"/>
      <w:szCs w:val="24"/>
      <w:lang w:val="en-US" w:eastAsia="zh-CN"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列出段落1"/>
    <w:basedOn w:val="1"/>
    <w:qFormat/>
    <w:uiPriority w:val="0"/>
    <w:pPr>
      <w:ind w:firstLine="420" w:firstLineChars="200"/>
    </w:pPr>
  </w:style>
  <w:style w:type="character" w:customStyle="1" w:styleId="53">
    <w:name w:val="font11"/>
    <w:basedOn w:val="25"/>
    <w:qFormat/>
    <w:uiPriority w:val="0"/>
    <w:rPr>
      <w:rFonts w:hint="eastAsia" w:ascii="宋体" w:hAnsi="宋体" w:eastAsia="宋体" w:cs="宋体"/>
      <w:color w:val="000000"/>
      <w:sz w:val="21"/>
      <w:szCs w:val="21"/>
      <w:u w:val="none"/>
    </w:rPr>
  </w:style>
  <w:style w:type="paragraph" w:styleId="5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131</Pages>
  <Words>1871</Words>
  <Characters>2199</Characters>
  <Lines>653</Lines>
  <Paragraphs>184</Paragraphs>
  <TotalTime>1</TotalTime>
  <ScaleCrop>false</ScaleCrop>
  <LinksUpToDate>false</LinksUpToDate>
  <CharactersWithSpaces>2242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Administrator</cp:lastModifiedBy>
  <dcterms:modified xsi:type="dcterms:W3CDTF">2025-06-20T06:12:24Z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2052-12.1.0.21541</vt:lpwstr>
  </property>
  <property fmtid="{D5CDD505-2E9C-101B-9397-08002B2CF9AE}" pid="6" name="ICV">
    <vt:lpwstr>FA8F85FF103B4F30AE5443651BF2CC71_13</vt:lpwstr>
  </property>
  <property fmtid="{D5CDD505-2E9C-101B-9397-08002B2CF9AE}" pid="7" name="KSOTemplateDocerSaveRecord">
    <vt:lpwstr>eyJoZGlkIjoiZTQ1MWE1YzAzMDIyMjVhYTgxOThlNGM1NTQ3MzkyM2MiLCJ1c2VySWQiOiI4NDY1MDkwMTIifQ==</vt:lpwstr>
  </property>
</Properties>
</file>