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2A48">
      <w:pPr>
        <w:spacing w:before="1560" w:beforeLines="500" w:line="360" w:lineRule="auto"/>
        <w:jc w:val="center"/>
        <w:rPr>
          <w:rFonts w:hint="eastAsia" w:ascii="仿宋" w:hAnsi="仿宋" w:eastAsia="仿宋" w:cs="仿宋"/>
          <w:color w:val="000000"/>
          <w:sz w:val="96"/>
          <w:szCs w:val="96"/>
        </w:rPr>
      </w:pPr>
      <w:bookmarkStart w:id="0" w:name="_Toc55990498"/>
      <w:r>
        <w:rPr>
          <w:rFonts w:hint="eastAsia" w:ascii="仿宋" w:hAnsi="仿宋" w:eastAsia="仿宋" w:cs="仿宋"/>
          <w:color w:val="000000"/>
          <w:sz w:val="96"/>
          <w:szCs w:val="96"/>
        </w:rPr>
        <w:t>单一来源采购文件</w:t>
      </w:r>
    </w:p>
    <w:p w14:paraId="272CD357">
      <w:pPr>
        <w:pStyle w:val="25"/>
        <w:ind w:left="0" w:leftChars="0" w:firstLine="0" w:firstLineChars="0"/>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w:t>
      </w:r>
      <w:r>
        <w:rPr>
          <w:rFonts w:hint="eastAsia" w:ascii="仿宋" w:hAnsi="仿宋" w:eastAsia="仿宋" w:cs="仿宋"/>
          <w:sz w:val="36"/>
          <w:szCs w:val="36"/>
        </w:rPr>
        <w:t>项目编号：</w:t>
      </w:r>
      <w:r>
        <w:rPr>
          <w:rFonts w:hint="eastAsia" w:ascii="仿宋" w:hAnsi="仿宋" w:eastAsia="仿宋" w:cs="仿宋"/>
          <w:sz w:val="36"/>
          <w:szCs w:val="36"/>
          <w:lang w:eastAsia="zh-CN"/>
        </w:rPr>
        <w:t>ZKGSF(ZB)-20251153）</w:t>
      </w:r>
    </w:p>
    <w:p w14:paraId="0551022B">
      <w:pPr>
        <w:pStyle w:val="18"/>
        <w:rPr>
          <w:rFonts w:hint="eastAsia" w:ascii="仿宋" w:hAnsi="仿宋" w:eastAsia="仿宋" w:cs="仿宋"/>
        </w:rPr>
      </w:pPr>
    </w:p>
    <w:p w14:paraId="3DCAC24D">
      <w:pPr>
        <w:pStyle w:val="34"/>
        <w:spacing w:line="720" w:lineRule="auto"/>
        <w:ind w:left="1200" w:hanging="1600" w:hangingChars="500"/>
        <w:rPr>
          <w:rFonts w:hint="eastAsia" w:ascii="仿宋" w:hAnsi="仿宋" w:eastAsia="仿宋" w:cs="仿宋"/>
          <w:sz w:val="32"/>
          <w:szCs w:val="22"/>
        </w:rPr>
      </w:pPr>
      <w:r>
        <w:rPr>
          <w:rFonts w:hint="eastAsia" w:ascii="仿宋" w:hAnsi="仿宋" w:eastAsia="仿宋" w:cs="仿宋"/>
          <w:sz w:val="32"/>
          <w:szCs w:val="22"/>
        </w:rPr>
        <w:t>项目名称：</w:t>
      </w:r>
      <w:r>
        <w:rPr>
          <w:rFonts w:hint="eastAsia" w:ascii="仿宋" w:hAnsi="仿宋" w:eastAsia="仿宋" w:cs="仿宋"/>
          <w:sz w:val="32"/>
          <w:szCs w:val="22"/>
          <w:lang w:eastAsia="zh-CN"/>
        </w:rPr>
        <w:t>新疆医科大学第五附属医院血流动力学模块采购项目</w:t>
      </w:r>
    </w:p>
    <w:p w14:paraId="6587B3A6">
      <w:pPr>
        <w:pStyle w:val="34"/>
        <w:spacing w:line="720" w:lineRule="auto"/>
        <w:ind w:firstLine="0" w:firstLineChars="0"/>
        <w:rPr>
          <w:rFonts w:hint="eastAsia" w:ascii="仿宋" w:hAnsi="仿宋" w:eastAsia="仿宋" w:cs="仿宋"/>
          <w:sz w:val="32"/>
          <w:szCs w:val="22"/>
          <w:lang w:eastAsia="zh-CN"/>
        </w:rPr>
      </w:pPr>
      <w:r>
        <w:rPr>
          <w:rFonts w:hint="eastAsia" w:ascii="仿宋" w:hAnsi="仿宋" w:eastAsia="仿宋" w:cs="仿宋"/>
          <w:sz w:val="32"/>
          <w:szCs w:val="22"/>
        </w:rPr>
        <w:t>采 购 人：</w:t>
      </w:r>
      <w:r>
        <w:rPr>
          <w:rFonts w:hint="eastAsia" w:ascii="仿宋" w:hAnsi="仿宋" w:eastAsia="仿宋" w:cs="仿宋"/>
          <w:sz w:val="32"/>
          <w:szCs w:val="22"/>
          <w:lang w:eastAsia="zh-CN"/>
        </w:rPr>
        <w:t>新疆医科大学第五附属医院</w:t>
      </w:r>
    </w:p>
    <w:p w14:paraId="7A6F1AB8">
      <w:pPr>
        <w:pStyle w:val="34"/>
        <w:spacing w:line="720" w:lineRule="auto"/>
        <w:ind w:firstLine="0" w:firstLineChars="0"/>
        <w:rPr>
          <w:rFonts w:hint="eastAsia" w:ascii="仿宋" w:hAnsi="仿宋" w:eastAsia="仿宋" w:cs="仿宋"/>
          <w:sz w:val="32"/>
          <w:szCs w:val="22"/>
          <w:lang w:eastAsia="zh-CN"/>
        </w:rPr>
      </w:pPr>
      <w:r>
        <w:rPr>
          <w:rFonts w:hint="eastAsia" w:ascii="仿宋" w:hAnsi="仿宋" w:eastAsia="仿宋" w:cs="仿宋"/>
          <w:sz w:val="32"/>
          <w:szCs w:val="22"/>
        </w:rPr>
        <w:t>联 系 人：</w:t>
      </w:r>
      <w:r>
        <w:rPr>
          <w:rFonts w:hint="eastAsia" w:ascii="仿宋" w:hAnsi="仿宋" w:eastAsia="仿宋" w:cs="仿宋"/>
          <w:sz w:val="32"/>
          <w:szCs w:val="22"/>
          <w:lang w:eastAsia="zh-CN"/>
        </w:rPr>
        <w:t>郑斯文</w:t>
      </w:r>
    </w:p>
    <w:p w14:paraId="6ACDF89E">
      <w:pPr>
        <w:pStyle w:val="34"/>
        <w:spacing w:line="720" w:lineRule="auto"/>
        <w:ind w:firstLine="0" w:firstLineChars="0"/>
        <w:rPr>
          <w:rFonts w:hint="eastAsia" w:ascii="仿宋" w:hAnsi="仿宋" w:eastAsia="仿宋" w:cs="仿宋"/>
          <w:sz w:val="32"/>
          <w:szCs w:val="22"/>
          <w:lang w:eastAsia="zh-CN"/>
        </w:rPr>
      </w:pPr>
      <w:r>
        <w:rPr>
          <w:rFonts w:hint="eastAsia" w:ascii="仿宋" w:hAnsi="仿宋" w:eastAsia="仿宋" w:cs="仿宋"/>
          <w:sz w:val="32"/>
          <w:szCs w:val="22"/>
        </w:rPr>
        <w:t>联系电话：</w:t>
      </w:r>
      <w:r>
        <w:rPr>
          <w:rFonts w:hint="eastAsia" w:ascii="仿宋" w:hAnsi="仿宋" w:eastAsia="仿宋" w:cs="仿宋"/>
          <w:sz w:val="32"/>
          <w:szCs w:val="22"/>
          <w:lang w:eastAsia="zh-CN"/>
        </w:rPr>
        <w:t>0991-7598403</w:t>
      </w:r>
    </w:p>
    <w:p w14:paraId="097D25B7">
      <w:pPr>
        <w:pStyle w:val="34"/>
        <w:spacing w:line="720" w:lineRule="auto"/>
        <w:ind w:firstLine="0" w:firstLineChars="0"/>
        <w:rPr>
          <w:rFonts w:hint="eastAsia" w:ascii="仿宋" w:hAnsi="仿宋" w:eastAsia="仿宋" w:cs="仿宋"/>
          <w:sz w:val="32"/>
          <w:szCs w:val="22"/>
          <w:lang w:eastAsia="zh-CN"/>
        </w:rPr>
      </w:pPr>
      <w:r>
        <w:rPr>
          <w:rFonts w:hint="eastAsia" w:ascii="仿宋" w:hAnsi="仿宋" w:eastAsia="仿宋" w:cs="仿宋"/>
          <w:sz w:val="32"/>
          <w:szCs w:val="22"/>
        </w:rPr>
        <w:t>地    址：</w:t>
      </w:r>
      <w:r>
        <w:rPr>
          <w:rFonts w:hint="eastAsia" w:ascii="仿宋" w:hAnsi="仿宋" w:eastAsia="仿宋" w:cs="仿宋"/>
          <w:sz w:val="32"/>
          <w:szCs w:val="22"/>
          <w:lang w:eastAsia="zh-CN"/>
        </w:rPr>
        <w:t>乌鲁木齐河南西路118号</w:t>
      </w:r>
    </w:p>
    <w:p w14:paraId="613E1E56">
      <w:pPr>
        <w:pStyle w:val="34"/>
        <w:spacing w:line="720" w:lineRule="auto"/>
        <w:ind w:firstLine="0" w:firstLineChars="0"/>
        <w:rPr>
          <w:rFonts w:hint="eastAsia" w:ascii="仿宋" w:hAnsi="仿宋" w:eastAsia="仿宋" w:cs="仿宋"/>
          <w:sz w:val="32"/>
          <w:szCs w:val="22"/>
        </w:rPr>
      </w:pPr>
      <w:r>
        <w:rPr>
          <w:rFonts w:hint="eastAsia" w:ascii="仿宋" w:hAnsi="仿宋" w:eastAsia="仿宋" w:cs="仿宋"/>
          <w:sz w:val="32"/>
          <w:szCs w:val="22"/>
        </w:rPr>
        <w:t>招标代理机构：中科高盛咨询集团有限公司</w:t>
      </w:r>
    </w:p>
    <w:p w14:paraId="521350F4">
      <w:pPr>
        <w:pStyle w:val="34"/>
        <w:spacing w:line="720" w:lineRule="auto"/>
        <w:ind w:firstLine="0" w:firstLineChars="0"/>
        <w:rPr>
          <w:rFonts w:hint="eastAsia" w:ascii="仿宋" w:hAnsi="仿宋" w:eastAsia="仿宋" w:cs="仿宋"/>
          <w:sz w:val="32"/>
          <w:szCs w:val="22"/>
        </w:rPr>
      </w:pPr>
      <w:r>
        <w:rPr>
          <w:rFonts w:hint="eastAsia" w:ascii="仿宋" w:hAnsi="仿宋" w:eastAsia="仿宋" w:cs="仿宋"/>
          <w:sz w:val="32"/>
          <w:szCs w:val="22"/>
        </w:rPr>
        <w:t>联 系 人：付文、丁凯露</w:t>
      </w:r>
    </w:p>
    <w:p w14:paraId="3D0C56A7">
      <w:pPr>
        <w:pStyle w:val="34"/>
        <w:spacing w:line="720" w:lineRule="auto"/>
        <w:ind w:firstLine="0" w:firstLineChars="0"/>
        <w:rPr>
          <w:rFonts w:hint="eastAsia" w:ascii="仿宋" w:hAnsi="仿宋" w:eastAsia="仿宋" w:cs="仿宋"/>
          <w:sz w:val="32"/>
          <w:szCs w:val="22"/>
          <w:lang w:eastAsia="zh-CN"/>
        </w:rPr>
      </w:pPr>
      <w:r>
        <w:rPr>
          <w:rFonts w:hint="eastAsia" w:ascii="仿宋" w:hAnsi="仿宋" w:eastAsia="仿宋" w:cs="仿宋"/>
          <w:sz w:val="32"/>
          <w:szCs w:val="22"/>
        </w:rPr>
        <w:t>联系电话：</w:t>
      </w:r>
      <w:r>
        <w:rPr>
          <w:rFonts w:hint="eastAsia" w:ascii="仿宋" w:hAnsi="仿宋" w:eastAsia="仿宋" w:cs="仿宋"/>
          <w:sz w:val="32"/>
          <w:szCs w:val="22"/>
          <w:lang w:eastAsia="zh-CN"/>
        </w:rPr>
        <w:t>0991-4881798</w:t>
      </w:r>
    </w:p>
    <w:p w14:paraId="3A459599">
      <w:pPr>
        <w:pStyle w:val="34"/>
        <w:spacing w:line="720" w:lineRule="auto"/>
        <w:ind w:firstLine="0" w:firstLineChars="0"/>
        <w:rPr>
          <w:rFonts w:hint="eastAsia" w:ascii="仿宋" w:hAnsi="仿宋" w:eastAsia="仿宋" w:cs="仿宋"/>
          <w:sz w:val="36"/>
          <w:szCs w:val="22"/>
        </w:rPr>
      </w:pPr>
      <w:r>
        <w:rPr>
          <w:rFonts w:hint="eastAsia" w:ascii="仿宋" w:hAnsi="仿宋" w:eastAsia="仿宋" w:cs="仿宋"/>
          <w:sz w:val="32"/>
          <w:szCs w:val="22"/>
        </w:rPr>
        <w:t>详细地址：新疆乌鲁木齐市会展大道绿地中心智海2008室</w:t>
      </w:r>
    </w:p>
    <w:p w14:paraId="7391B169">
      <w:pPr>
        <w:tabs>
          <w:tab w:val="left" w:pos="2700"/>
        </w:tabs>
        <w:spacing w:line="360" w:lineRule="auto"/>
        <w:jc w:val="center"/>
        <w:rPr>
          <w:rFonts w:hint="eastAsia" w:ascii="仿宋" w:hAnsi="仿宋" w:eastAsia="仿宋" w:cs="仿宋"/>
          <w:color w:val="000000"/>
          <w:sz w:val="44"/>
          <w:szCs w:val="44"/>
        </w:rPr>
      </w:pPr>
    </w:p>
    <w:p w14:paraId="790F6D0E">
      <w:pPr>
        <w:tabs>
          <w:tab w:val="left" w:pos="2700"/>
        </w:tabs>
        <w:spacing w:line="360" w:lineRule="auto"/>
        <w:jc w:val="center"/>
        <w:rPr>
          <w:rFonts w:hint="eastAsia" w:ascii="仿宋" w:hAnsi="仿宋" w:eastAsia="仿宋" w:cs="仿宋"/>
          <w:color w:val="000000"/>
          <w:sz w:val="44"/>
          <w:szCs w:val="44"/>
        </w:rPr>
      </w:pPr>
    </w:p>
    <w:p w14:paraId="5D4C2612">
      <w:pPr>
        <w:tabs>
          <w:tab w:val="left" w:pos="2700"/>
        </w:tabs>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目    录</w:t>
      </w:r>
    </w:p>
    <w:p w14:paraId="7B3A3CCC">
      <w:pPr>
        <w:pStyle w:val="8"/>
        <w:rPr>
          <w:rFonts w:hint="eastAsia" w:ascii="仿宋" w:hAnsi="仿宋" w:eastAsia="仿宋" w:cs="仿宋"/>
          <w:b w:val="0"/>
          <w:bCs w:val="0"/>
          <w:sz w:val="24"/>
          <w:szCs w:val="24"/>
        </w:rPr>
      </w:pPr>
    </w:p>
    <w:p w14:paraId="0AA8858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TOC \o "1-2" \h \z \u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_Toc11060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第一章、单一来源邀请公告</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_Toc11060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4AD87ED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_Toc27360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第二章、谈判须知</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_Toc27360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764E289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_Toc7772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第三章、</w:t>
      </w:r>
      <w:r>
        <w:rPr>
          <w:rFonts w:hint="eastAsia" w:ascii="仿宋" w:hAnsi="仿宋" w:eastAsia="仿宋" w:cs="仿宋"/>
          <w:b w:val="0"/>
          <w:bCs w:val="0"/>
          <w:sz w:val="24"/>
          <w:szCs w:val="24"/>
          <w:highlight w:val="none"/>
        </w:rPr>
        <w:t>招标内容及技术要求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_Toc7772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63EFC9D5">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_Toc20058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第四章、合同</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_Toc20058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6D7C4319">
      <w:pPr>
        <w:pStyle w:val="17"/>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_Toc25835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第五章、单一来源响应文件格式</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_Toc25835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7ACC56EC">
      <w:pPr>
        <w:pStyle w:val="20"/>
        <w:keepNext w:val="0"/>
        <w:keepLines w:val="0"/>
        <w:pageBreakBefore w:val="0"/>
        <w:widowControl w:val="0"/>
        <w:tabs>
          <w:tab w:val="right" w:leader="dot" w:pos="8360"/>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0FCE8FF5">
      <w:pPr>
        <w:pStyle w:val="8"/>
        <w:spacing w:line="360" w:lineRule="auto"/>
        <w:rPr>
          <w:rFonts w:hint="eastAsia" w:ascii="仿宋" w:hAnsi="仿宋" w:eastAsia="仿宋" w:cs="仿宋"/>
          <w:b/>
          <w:color w:val="000000"/>
          <w:sz w:val="36"/>
        </w:rPr>
      </w:pPr>
      <w:r>
        <w:rPr>
          <w:rFonts w:hint="eastAsia" w:ascii="仿宋" w:hAnsi="仿宋" w:eastAsia="仿宋" w:cs="仿宋"/>
          <w:b w:val="0"/>
          <w:bCs w:val="0"/>
          <w:sz w:val="24"/>
          <w:szCs w:val="24"/>
        </w:rPr>
        <w:fldChar w:fldCharType="end"/>
      </w:r>
    </w:p>
    <w:p w14:paraId="589B2E5B">
      <w:pPr>
        <w:pStyle w:val="23"/>
        <w:spacing w:line="360" w:lineRule="auto"/>
        <w:rPr>
          <w:rFonts w:hint="eastAsia" w:ascii="仿宋" w:hAnsi="仿宋" w:eastAsia="仿宋" w:cs="仿宋"/>
          <w:b w:val="0"/>
          <w:color w:val="000000"/>
          <w:sz w:val="36"/>
        </w:rPr>
        <w:sectPr>
          <w:headerReference r:id="rId4" w:type="first"/>
          <w:headerReference r:id="rId3" w:type="default"/>
          <w:pgSz w:w="11906" w:h="16838"/>
          <w:pgMar w:top="1270" w:right="1800" w:bottom="1270" w:left="1746" w:header="851" w:footer="992" w:gutter="0"/>
          <w:pgNumType w:start="1"/>
          <w:cols w:space="720" w:num="1"/>
          <w:docGrid w:type="lines" w:linePitch="312" w:charSpace="0"/>
        </w:sectPr>
      </w:pPr>
      <w:bookmarkStart w:id="122" w:name="_GoBack"/>
      <w:bookmarkEnd w:id="122"/>
    </w:p>
    <w:p w14:paraId="4C7CB2EC">
      <w:pPr>
        <w:pStyle w:val="2"/>
        <w:ind w:firstLine="2520" w:firstLineChars="700"/>
        <w:rPr>
          <w:rFonts w:hint="eastAsia" w:ascii="仿宋" w:hAnsi="仿宋" w:eastAsia="仿宋" w:cs="仿宋"/>
        </w:rPr>
      </w:pPr>
      <w:bookmarkStart w:id="1" w:name="_Toc78799055"/>
      <w:bookmarkEnd w:id="1"/>
      <w:bookmarkStart w:id="2" w:name="_Toc11060"/>
      <w:r>
        <w:rPr>
          <w:rFonts w:hint="eastAsia" w:ascii="仿宋" w:hAnsi="仿宋" w:eastAsia="仿宋" w:cs="仿宋"/>
        </w:rPr>
        <w:t>第一章、单一来源邀请公告</w:t>
      </w:r>
      <w:bookmarkEnd w:id="2"/>
    </w:p>
    <w:p w14:paraId="0E223FB6">
      <w:pPr>
        <w:pStyle w:val="33"/>
        <w:snapToGrid w:val="0"/>
        <w:spacing w:line="480" w:lineRule="exact"/>
        <w:ind w:firstLine="560" w:firstLineChars="200"/>
        <w:jc w:val="both"/>
        <w:rPr>
          <w:rFonts w:hint="eastAsia" w:ascii="仿宋" w:hAnsi="仿宋" w:eastAsia="仿宋" w:cs="仿宋"/>
          <w:sz w:val="28"/>
          <w:lang w:val="en-US" w:eastAsia="zh-CN"/>
        </w:rPr>
      </w:pPr>
      <w:r>
        <w:rPr>
          <w:rFonts w:hint="eastAsia" w:ascii="仿宋" w:hAnsi="仿宋" w:eastAsia="仿宋" w:cs="仿宋"/>
          <w:sz w:val="28"/>
        </w:rPr>
        <w:t>一、项目编号：</w:t>
      </w:r>
      <w:r>
        <w:rPr>
          <w:rFonts w:hint="eastAsia" w:ascii="仿宋" w:hAnsi="仿宋" w:eastAsia="仿宋" w:cs="仿宋"/>
          <w:sz w:val="28"/>
          <w:lang w:eastAsia="zh-CN"/>
        </w:rPr>
        <w:t>ZKGSF(ZB)-20251153</w:t>
      </w:r>
    </w:p>
    <w:p w14:paraId="178EBA2E">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rPr>
        <w:t>二、采购组织类型：</w:t>
      </w:r>
      <w:r>
        <w:rPr>
          <w:rFonts w:hint="eastAsia" w:ascii="仿宋" w:hAnsi="仿宋" w:eastAsia="仿宋" w:cs="仿宋"/>
          <w:color w:val="auto"/>
          <w:sz w:val="28"/>
        </w:rPr>
        <w:t>部门</w:t>
      </w:r>
      <w:r>
        <w:rPr>
          <w:rFonts w:hint="eastAsia" w:ascii="仿宋" w:hAnsi="仿宋" w:eastAsia="仿宋" w:cs="仿宋"/>
          <w:color w:val="auto"/>
          <w:sz w:val="28"/>
          <w:lang w:eastAsia="zh-CN"/>
        </w:rPr>
        <w:t>集中</w:t>
      </w:r>
      <w:r>
        <w:rPr>
          <w:rFonts w:hint="eastAsia" w:ascii="仿宋" w:hAnsi="仿宋" w:eastAsia="仿宋" w:cs="仿宋"/>
          <w:color w:val="auto"/>
          <w:sz w:val="28"/>
        </w:rPr>
        <w:t>采购-</w:t>
      </w:r>
      <w:r>
        <w:rPr>
          <w:rFonts w:hint="eastAsia" w:ascii="仿宋" w:hAnsi="仿宋" w:eastAsia="仿宋" w:cs="仿宋"/>
          <w:sz w:val="28"/>
        </w:rPr>
        <w:t>委托中介机构</w:t>
      </w:r>
    </w:p>
    <w:p w14:paraId="71D258C6">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rPr>
        <w:t>三、项目概况：采购血流动力学模块</w:t>
      </w:r>
      <w:r>
        <w:rPr>
          <w:rFonts w:hint="eastAsia" w:ascii="仿宋" w:hAnsi="仿宋" w:eastAsia="仿宋" w:cs="仿宋"/>
          <w:sz w:val="28"/>
          <w:lang w:val="en-US" w:eastAsia="zh-CN"/>
        </w:rPr>
        <w:t>2台，</w:t>
      </w:r>
      <w:r>
        <w:rPr>
          <w:rFonts w:hint="eastAsia" w:ascii="仿宋" w:hAnsi="仿宋" w:eastAsia="仿宋" w:cs="仿宋"/>
          <w:sz w:val="28"/>
        </w:rPr>
        <w:t>具体采购要求详见</w:t>
      </w:r>
      <w:r>
        <w:rPr>
          <w:rFonts w:hint="eastAsia" w:ascii="仿宋" w:hAnsi="仿宋" w:eastAsia="仿宋" w:cs="仿宋"/>
          <w:sz w:val="28"/>
          <w:lang w:val="en-US" w:eastAsia="zh-CN"/>
        </w:rPr>
        <w:t>单一来源采购文件，</w:t>
      </w:r>
      <w:r>
        <w:rPr>
          <w:rFonts w:hint="eastAsia" w:ascii="仿宋" w:hAnsi="仿宋" w:eastAsia="仿宋" w:cs="仿宋"/>
          <w:sz w:val="28"/>
          <w:highlight w:val="none"/>
        </w:rPr>
        <w:t>预算</w:t>
      </w:r>
      <w:r>
        <w:rPr>
          <w:rFonts w:hint="eastAsia" w:ascii="仿宋" w:hAnsi="仿宋" w:eastAsia="仿宋" w:cs="仿宋"/>
          <w:sz w:val="28"/>
          <w:highlight w:val="none"/>
          <w:lang w:val="en-US" w:eastAsia="zh-CN"/>
        </w:rPr>
        <w:t>18</w:t>
      </w:r>
      <w:r>
        <w:rPr>
          <w:rFonts w:hint="eastAsia" w:ascii="仿宋" w:hAnsi="仿宋" w:eastAsia="仿宋" w:cs="仿宋"/>
          <w:sz w:val="28"/>
          <w:highlight w:val="none"/>
        </w:rPr>
        <w:t>万元。</w:t>
      </w:r>
    </w:p>
    <w:p w14:paraId="772A4119">
      <w:pPr>
        <w:pStyle w:val="33"/>
        <w:snapToGrid w:val="0"/>
        <w:spacing w:line="480" w:lineRule="exact"/>
        <w:ind w:firstLine="560" w:firstLineChars="200"/>
        <w:jc w:val="both"/>
        <w:rPr>
          <w:rFonts w:hint="default" w:ascii="仿宋" w:hAnsi="仿宋" w:eastAsia="仿宋" w:cs="仿宋"/>
          <w:sz w:val="28"/>
          <w:highlight w:val="none"/>
          <w:lang w:val="en-US" w:eastAsia="zh-CN"/>
        </w:rPr>
      </w:pPr>
      <w:r>
        <w:rPr>
          <w:rFonts w:hint="eastAsia" w:ascii="仿宋" w:hAnsi="仿宋" w:eastAsia="仿宋" w:cs="仿宋"/>
          <w:sz w:val="28"/>
          <w:highlight w:val="none"/>
          <w:lang w:eastAsia="zh-CN"/>
        </w:rPr>
        <w:t>四、数量：</w:t>
      </w:r>
      <w:r>
        <w:rPr>
          <w:rFonts w:hint="eastAsia" w:ascii="仿宋" w:hAnsi="仿宋" w:eastAsia="仿宋" w:cs="仿宋"/>
          <w:sz w:val="28"/>
          <w:highlight w:val="none"/>
          <w:lang w:val="en-US" w:eastAsia="zh-CN"/>
        </w:rPr>
        <w:t>2台</w:t>
      </w:r>
    </w:p>
    <w:p w14:paraId="0B35D844">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lang w:eastAsia="zh-CN"/>
        </w:rPr>
        <w:t>五</w:t>
      </w:r>
      <w:r>
        <w:rPr>
          <w:rFonts w:hint="eastAsia" w:ascii="仿宋" w:hAnsi="仿宋" w:eastAsia="仿宋" w:cs="仿宋"/>
          <w:sz w:val="28"/>
        </w:rPr>
        <w:t>、供应商资格要求：</w:t>
      </w:r>
    </w:p>
    <w:p w14:paraId="13D8CB29">
      <w:pPr>
        <w:pStyle w:val="33"/>
        <w:snapToGrid w:val="0"/>
        <w:spacing w:line="4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1.满足《中华人民共和国政府采购法》第二十二条规定；</w:t>
      </w:r>
    </w:p>
    <w:p w14:paraId="35C9F548">
      <w:pPr>
        <w:pStyle w:val="33"/>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2.落实政府采购政策需满足的资格要求</w:t>
      </w:r>
      <w:r>
        <w:rPr>
          <w:rFonts w:hint="eastAsia" w:ascii="仿宋" w:hAnsi="仿宋" w:eastAsia="仿宋" w:cs="仿宋"/>
          <w:sz w:val="28"/>
          <w:szCs w:val="28"/>
          <w:highlight w:val="none"/>
          <w:lang w:val="en-US" w:eastAsia="zh-CN"/>
        </w:rPr>
        <w:t>：本项目为非专门面向中小企业（含中型、小型、微型企业）采购项目，根据《政府采购促进中小企业发展管理办法》（财库[2020]46号）的规定，评标时将给予小型、微型企业进行价格10%的优惠，用优惠后的价格参与评审，必须提供此声明函。</w:t>
      </w:r>
    </w:p>
    <w:p w14:paraId="02AB36DD">
      <w:pPr>
        <w:pStyle w:val="33"/>
        <w:snapToGrid w:val="0"/>
        <w:spacing w:line="4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3.本项目的特定资格要求：</w:t>
      </w:r>
    </w:p>
    <w:p w14:paraId="426AC4AC">
      <w:pPr>
        <w:pStyle w:val="33"/>
        <w:snapToGrid w:val="0"/>
        <w:spacing w:line="4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3C10C040">
      <w:pPr>
        <w:pStyle w:val="33"/>
        <w:snapToGrid w:val="0"/>
        <w:spacing w:line="4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14:paraId="1427438A">
      <w:pPr>
        <w:pStyle w:val="33"/>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lang w:eastAsia="zh-CN"/>
        </w:rPr>
        <w:t>六</w:t>
      </w:r>
      <w:r>
        <w:rPr>
          <w:rFonts w:hint="eastAsia" w:ascii="仿宋" w:hAnsi="仿宋" w:eastAsia="仿宋" w:cs="仿宋"/>
          <w:sz w:val="28"/>
        </w:rPr>
        <w:t>、单一来源采购文件的报</w:t>
      </w:r>
      <w:r>
        <w:rPr>
          <w:rFonts w:hint="eastAsia" w:ascii="仿宋" w:hAnsi="仿宋" w:eastAsia="仿宋" w:cs="仿宋"/>
          <w:sz w:val="28"/>
          <w:highlight w:val="none"/>
        </w:rPr>
        <w:t>名/发售时间、地址、售价。</w:t>
      </w:r>
    </w:p>
    <w:p w14:paraId="4A61EEB8">
      <w:pPr>
        <w:pStyle w:val="33"/>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1．报名（发售／获取）时间：</w:t>
      </w:r>
      <w:r>
        <w:rPr>
          <w:rFonts w:hint="eastAsia" w:ascii="仿宋" w:hAnsi="仿宋" w:eastAsia="仿宋" w:cs="仿宋"/>
          <w:sz w:val="28"/>
          <w:highlight w:val="none"/>
          <w:lang w:eastAsia="zh-CN"/>
        </w:rPr>
        <w:t>2025年06月26日至2024年06月27日上午：00：00-12：00，下午：12：00-23：59</w:t>
      </w:r>
    </w:p>
    <w:p w14:paraId="375C89E8">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highlight w:val="none"/>
        </w:rPr>
        <w:t>2．报名（发售／获取）地址：政采云</w:t>
      </w:r>
      <w:r>
        <w:rPr>
          <w:rFonts w:hint="eastAsia" w:ascii="仿宋" w:hAnsi="仿宋" w:eastAsia="仿宋" w:cs="仿宋"/>
          <w:sz w:val="28"/>
        </w:rPr>
        <w:t>平台线上获取</w:t>
      </w:r>
    </w:p>
    <w:p w14:paraId="5121FBE0">
      <w:pPr>
        <w:pStyle w:val="33"/>
        <w:snapToGrid w:val="0"/>
        <w:spacing w:line="480" w:lineRule="exact"/>
        <w:ind w:firstLine="560" w:firstLineChars="200"/>
        <w:jc w:val="both"/>
        <w:rPr>
          <w:rFonts w:hint="eastAsia" w:ascii="仿宋" w:hAnsi="仿宋" w:eastAsia="仿宋" w:cs="仿宋"/>
          <w:sz w:val="28"/>
          <w:lang w:eastAsia="zh-CN"/>
        </w:rPr>
      </w:pPr>
      <w:r>
        <w:rPr>
          <w:rFonts w:hint="eastAsia" w:ascii="仿宋" w:hAnsi="仿宋" w:eastAsia="仿宋" w:cs="仿宋"/>
          <w:sz w:val="28"/>
        </w:rPr>
        <w:t>3．标书售价（元）：</w:t>
      </w:r>
      <w:r>
        <w:rPr>
          <w:rFonts w:hint="eastAsia" w:ascii="仿宋" w:hAnsi="仿宋" w:eastAsia="仿宋" w:cs="仿宋"/>
          <w:sz w:val="28"/>
          <w:lang w:val="en-US" w:eastAsia="zh-CN"/>
        </w:rPr>
        <w:t>0</w:t>
      </w:r>
    </w:p>
    <w:p w14:paraId="10E6F5CB">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rPr>
        <w:t>4．供应商购买单一来源采购文件时应提交的资料：供应商登录政采云平台https://www.zcygov.cn/在线申请获取采购文件（进入“项目采购”应用，在获取采购文件菜单中选择项目，申请获取采购文件）</w:t>
      </w:r>
    </w:p>
    <w:p w14:paraId="6397616D">
      <w:pPr>
        <w:pStyle w:val="33"/>
        <w:snapToGrid w:val="0"/>
        <w:spacing w:line="480" w:lineRule="exact"/>
        <w:ind w:firstLine="560" w:firstLineChars="200"/>
        <w:jc w:val="both"/>
        <w:rPr>
          <w:rFonts w:hint="eastAsia" w:ascii="仿宋" w:hAnsi="仿宋" w:eastAsia="仿宋" w:cs="仿宋"/>
          <w:sz w:val="28"/>
        </w:rPr>
      </w:pPr>
      <w:bookmarkStart w:id="3" w:name="_Hlk56775416"/>
      <w:bookmarkEnd w:id="3"/>
      <w:r>
        <w:rPr>
          <w:rFonts w:hint="eastAsia" w:ascii="仿宋" w:hAnsi="仿宋" w:eastAsia="仿宋" w:cs="仿宋"/>
          <w:sz w:val="28"/>
          <w:lang w:eastAsia="zh-CN"/>
        </w:rPr>
        <w:t>七</w:t>
      </w:r>
      <w:r>
        <w:rPr>
          <w:rFonts w:hint="eastAsia" w:ascii="仿宋" w:hAnsi="仿宋" w:eastAsia="仿宋" w:cs="仿宋"/>
          <w:sz w:val="28"/>
        </w:rPr>
        <w:t>、单一来源响应文件递交截止时间：</w:t>
      </w:r>
      <w:r>
        <w:rPr>
          <w:rFonts w:hint="eastAsia" w:ascii="仿宋" w:hAnsi="仿宋" w:eastAsia="仿宋" w:cs="仿宋"/>
          <w:sz w:val="28"/>
          <w:highlight w:val="none"/>
          <w:u w:val="single"/>
          <w:lang w:eastAsia="zh-CN"/>
        </w:rPr>
        <w:t>2025年06月30日11:00</w:t>
      </w:r>
      <w:r>
        <w:rPr>
          <w:rFonts w:hint="eastAsia" w:ascii="仿宋" w:hAnsi="仿宋" w:eastAsia="仿宋" w:cs="仿宋"/>
          <w:sz w:val="28"/>
        </w:rPr>
        <w:t>（北京时间）</w:t>
      </w:r>
    </w:p>
    <w:p w14:paraId="0CA52984">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lang w:eastAsia="zh-CN"/>
        </w:rPr>
        <w:t>八</w:t>
      </w:r>
      <w:r>
        <w:rPr>
          <w:rFonts w:hint="eastAsia" w:ascii="仿宋" w:hAnsi="仿宋" w:eastAsia="仿宋" w:cs="仿宋"/>
          <w:sz w:val="28"/>
        </w:rPr>
        <w:t>、单一来源响应文件递交地址：在新疆政府采购云平台（www.zcygov.cn）上开启</w:t>
      </w:r>
      <w:r>
        <w:rPr>
          <w:rFonts w:hint="eastAsia" w:ascii="仿宋" w:hAnsi="仿宋" w:eastAsia="仿宋" w:cs="仿宋"/>
          <w:sz w:val="28"/>
          <w:lang w:eastAsia="zh-CN"/>
        </w:rPr>
        <w:t>电子响应</w:t>
      </w:r>
      <w:r>
        <w:rPr>
          <w:rFonts w:hint="eastAsia" w:ascii="仿宋" w:hAnsi="仿宋" w:eastAsia="仿宋" w:cs="仿宋"/>
          <w:sz w:val="28"/>
        </w:rPr>
        <w:t>文件</w:t>
      </w:r>
    </w:p>
    <w:p w14:paraId="0C9B7E64">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lang w:eastAsia="zh-CN"/>
        </w:rPr>
        <w:t>九</w:t>
      </w:r>
      <w:r>
        <w:rPr>
          <w:rFonts w:hint="eastAsia" w:ascii="仿宋" w:hAnsi="仿宋" w:eastAsia="仿宋" w:cs="仿宋"/>
          <w:sz w:val="28"/>
        </w:rPr>
        <w:t>、开标时</w:t>
      </w:r>
      <w:r>
        <w:rPr>
          <w:rFonts w:hint="eastAsia" w:ascii="仿宋" w:hAnsi="仿宋" w:eastAsia="仿宋" w:cs="仿宋"/>
          <w:sz w:val="28"/>
          <w:highlight w:val="none"/>
        </w:rPr>
        <w:t>间：</w:t>
      </w:r>
      <w:r>
        <w:rPr>
          <w:rFonts w:hint="eastAsia" w:ascii="仿宋" w:hAnsi="仿宋" w:eastAsia="仿宋" w:cs="仿宋"/>
          <w:sz w:val="28"/>
          <w:highlight w:val="none"/>
          <w:u w:val="single"/>
          <w:lang w:eastAsia="zh-CN"/>
        </w:rPr>
        <w:t>2025年06月30日11:00</w:t>
      </w:r>
      <w:r>
        <w:rPr>
          <w:rFonts w:hint="eastAsia" w:ascii="仿宋" w:hAnsi="仿宋" w:eastAsia="仿宋" w:cs="仿宋"/>
          <w:sz w:val="28"/>
          <w:highlight w:val="none"/>
        </w:rPr>
        <w:t>（北京</w:t>
      </w:r>
      <w:r>
        <w:rPr>
          <w:rFonts w:hint="eastAsia" w:ascii="仿宋" w:hAnsi="仿宋" w:eastAsia="仿宋" w:cs="仿宋"/>
          <w:sz w:val="28"/>
        </w:rPr>
        <w:t>时间）</w:t>
      </w:r>
    </w:p>
    <w:p w14:paraId="2703001F">
      <w:pPr>
        <w:pStyle w:val="33"/>
        <w:snapToGrid w:val="0"/>
        <w:spacing w:line="480" w:lineRule="exact"/>
        <w:ind w:firstLine="560" w:firstLineChars="200"/>
        <w:jc w:val="both"/>
        <w:rPr>
          <w:rFonts w:hint="eastAsia" w:ascii="仿宋" w:hAnsi="仿宋" w:eastAsia="仿宋" w:cs="仿宋"/>
          <w:sz w:val="28"/>
        </w:rPr>
      </w:pPr>
      <w:r>
        <w:rPr>
          <w:rFonts w:hint="eastAsia" w:ascii="仿宋" w:hAnsi="仿宋" w:eastAsia="仿宋" w:cs="仿宋"/>
          <w:sz w:val="28"/>
          <w:lang w:eastAsia="zh-CN"/>
        </w:rPr>
        <w:t>十</w:t>
      </w:r>
      <w:r>
        <w:rPr>
          <w:rFonts w:hint="eastAsia" w:ascii="仿宋" w:hAnsi="仿宋" w:eastAsia="仿宋" w:cs="仿宋"/>
          <w:sz w:val="28"/>
        </w:rPr>
        <w:t>、开标地址：新疆政府采购云平台（www.zcygov.cn）</w:t>
      </w:r>
    </w:p>
    <w:p w14:paraId="17C45A64">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eastAsia="zh-CN"/>
        </w:rPr>
        <w:t>十一、</w:t>
      </w:r>
      <w:r>
        <w:rPr>
          <w:rFonts w:hint="eastAsia" w:ascii="仿宋" w:hAnsi="仿宋" w:eastAsia="仿宋" w:cs="仿宋"/>
          <w:sz w:val="28"/>
          <w:lang w:val="en-US" w:eastAsia="zh-CN"/>
        </w:rPr>
        <w:t>其他补充事宜</w:t>
      </w:r>
    </w:p>
    <w:p w14:paraId="31B84FB6">
      <w:pPr>
        <w:pStyle w:val="33"/>
        <w:snapToGrid w:val="0"/>
        <w:spacing w:line="480" w:lineRule="exact"/>
        <w:ind w:left="279" w:leftChars="133" w:firstLine="464" w:firstLineChars="166"/>
        <w:jc w:val="both"/>
        <w:rPr>
          <w:rFonts w:hint="eastAsia" w:ascii="仿宋" w:hAnsi="仿宋" w:eastAsia="仿宋" w:cs="仿宋"/>
          <w:sz w:val="28"/>
          <w:lang w:val="en-US" w:eastAsia="zh-CN"/>
        </w:rPr>
      </w:pPr>
      <w:r>
        <w:rPr>
          <w:rFonts w:hint="eastAsia" w:ascii="仿宋" w:hAnsi="仿宋" w:eastAsia="仿宋" w:cs="仿宋"/>
          <w:sz w:val="28"/>
          <w:lang w:val="en-US" w:eastAsia="zh-CN"/>
        </w:rPr>
        <w:t>1、本项目实行网上投标，采用电子投标文件。</w:t>
      </w:r>
      <w:r>
        <w:rPr>
          <w:rFonts w:hint="eastAsia" w:ascii="仿宋" w:hAnsi="仿宋" w:eastAsia="仿宋" w:cs="仿宋"/>
          <w:sz w:val="28"/>
          <w:lang w:val="en-US" w:eastAsia="zh-CN"/>
        </w:rPr>
        <w:br w:type="textWrapping"/>
      </w:r>
      <w:r>
        <w:rPr>
          <w:rFonts w:hint="eastAsia" w:ascii="仿宋" w:hAnsi="仿宋" w:eastAsia="仿宋" w:cs="仿宋"/>
          <w:sz w:val="28"/>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仿宋" w:hAnsi="仿宋" w:eastAsia="仿宋" w:cs="仿宋"/>
          <w:sz w:val="28"/>
          <w:lang w:val="en-US" w:eastAsia="zh-CN"/>
        </w:rPr>
        <w:br w:type="textWrapping"/>
      </w:r>
      <w:r>
        <w:rPr>
          <w:rFonts w:hint="eastAsia" w:ascii="仿宋" w:hAnsi="仿宋" w:eastAsia="仿宋" w:cs="仿宋"/>
          <w:sz w:val="28"/>
          <w:lang w:val="en-US" w:eastAsia="zh-CN"/>
        </w:rPr>
        <w:t xml:space="preserve">   3、供应商将政采云电子交易客户端下载、安装完成后，可通过账号密码或CA登录客户端进行投标文件的制作。在使用政采云投标客户端时，建议使用WIN7及以上操作系统。</w:t>
      </w:r>
    </w:p>
    <w:p w14:paraId="6ECF253C">
      <w:pPr>
        <w:pStyle w:val="33"/>
        <w:snapToGrid w:val="0"/>
        <w:spacing w:line="360" w:lineRule="auto"/>
        <w:jc w:val="both"/>
        <w:outlineLvl w:val="9"/>
        <w:rPr>
          <w:rFonts w:hint="eastAsia" w:ascii="仿宋" w:hAnsi="仿宋" w:eastAsia="仿宋" w:cs="仿宋"/>
          <w:b/>
          <w:bCs/>
          <w:sz w:val="28"/>
          <w:szCs w:val="28"/>
        </w:rPr>
      </w:pPr>
      <w:r>
        <w:rPr>
          <w:rFonts w:hint="eastAsia" w:ascii="仿宋" w:hAnsi="仿宋" w:eastAsia="仿宋" w:cs="仿宋"/>
          <w:b/>
          <w:bCs/>
          <w:sz w:val="28"/>
          <w:szCs w:val="28"/>
        </w:rPr>
        <w:t>特别提示：</w:t>
      </w:r>
    </w:p>
    <w:p w14:paraId="2D8B67B8">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b/>
          <w:bCs/>
          <w:i w:val="0"/>
          <w:iCs w:val="0"/>
          <w:color w:val="000000"/>
          <w:spacing w:val="0"/>
          <w:sz w:val="28"/>
          <w:szCs w:val="28"/>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bCs/>
          <w:i w:val="0"/>
          <w:iCs w:val="0"/>
          <w:color w:val="000000"/>
          <w:spacing w:val="0"/>
          <w:sz w:val="28"/>
          <w:szCs w:val="28"/>
        </w:rPr>
        <w:br w:type="textWrapping"/>
      </w:r>
      <w:r>
        <w:rPr>
          <w:rFonts w:hint="eastAsia" w:ascii="仿宋" w:hAnsi="仿宋" w:eastAsia="仿宋" w:cs="仿宋"/>
          <w:b/>
          <w:bCs/>
          <w:i w:val="0"/>
          <w:iCs w:val="0"/>
          <w:color w:val="000000"/>
          <w:spacing w:val="0"/>
          <w:sz w:val="28"/>
          <w:szCs w:val="28"/>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i w:val="0"/>
          <w:iCs w:val="0"/>
          <w:color w:val="000000"/>
          <w:spacing w:val="0"/>
          <w:sz w:val="28"/>
          <w:szCs w:val="28"/>
        </w:rPr>
        <w:br w:type="textWrapping"/>
      </w:r>
      <w:r>
        <w:rPr>
          <w:rFonts w:hint="eastAsia" w:ascii="仿宋" w:hAnsi="仿宋" w:eastAsia="仿宋" w:cs="仿宋"/>
          <w:b/>
          <w:bCs/>
          <w:i w:val="0"/>
          <w:iCs w:val="0"/>
          <w:color w:val="000000"/>
          <w:spacing w:val="0"/>
          <w:sz w:val="28"/>
          <w:szCs w:val="28"/>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i w:val="0"/>
          <w:iCs w:val="0"/>
          <w:color w:val="000000"/>
          <w:spacing w:val="0"/>
          <w:sz w:val="28"/>
          <w:szCs w:val="28"/>
        </w:rPr>
        <w:br w:type="textWrapping"/>
      </w:r>
      <w:r>
        <w:rPr>
          <w:rFonts w:hint="eastAsia" w:ascii="仿宋" w:hAnsi="仿宋" w:eastAsia="仿宋" w:cs="仿宋"/>
          <w:b/>
          <w:bCs/>
          <w:i w:val="0"/>
          <w:iCs w:val="0"/>
          <w:color w:val="000000"/>
          <w:spacing w:val="0"/>
          <w:sz w:val="28"/>
          <w:szCs w:val="28"/>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497592">
      <w:pPr>
        <w:pStyle w:val="33"/>
        <w:snapToGrid w:val="0"/>
        <w:spacing w:line="480" w:lineRule="exact"/>
        <w:ind w:firstLine="560"/>
        <w:jc w:val="both"/>
        <w:rPr>
          <w:rFonts w:hint="eastAsia" w:ascii="仿宋" w:hAnsi="仿宋" w:eastAsia="仿宋" w:cs="仿宋"/>
          <w:sz w:val="28"/>
        </w:rPr>
      </w:pPr>
      <w:r>
        <w:rPr>
          <w:rFonts w:hint="eastAsia" w:ascii="仿宋" w:hAnsi="仿宋" w:eastAsia="仿宋" w:cs="仿宋"/>
          <w:sz w:val="28"/>
          <w:lang w:eastAsia="zh-CN"/>
        </w:rPr>
        <w:t>十二</w:t>
      </w:r>
      <w:r>
        <w:rPr>
          <w:rFonts w:hint="eastAsia" w:ascii="仿宋" w:hAnsi="仿宋" w:eastAsia="仿宋" w:cs="仿宋"/>
          <w:sz w:val="28"/>
        </w:rPr>
        <w:t>、联系方式</w:t>
      </w:r>
    </w:p>
    <w:bookmarkEnd w:id="0"/>
    <w:p w14:paraId="31E0E648">
      <w:pPr>
        <w:pStyle w:val="33"/>
        <w:snapToGrid w:val="0"/>
        <w:spacing w:line="480" w:lineRule="exact"/>
        <w:ind w:firstLine="560"/>
        <w:jc w:val="both"/>
        <w:rPr>
          <w:rFonts w:hint="eastAsia" w:ascii="仿宋" w:hAnsi="仿宋" w:eastAsia="仿宋" w:cs="仿宋"/>
          <w:sz w:val="28"/>
        </w:rPr>
      </w:pPr>
      <w:bookmarkStart w:id="4" w:name="_Toc78799056"/>
      <w:bookmarkEnd w:id="4"/>
      <w:bookmarkStart w:id="5" w:name="_Toc56170378"/>
      <w:bookmarkEnd w:id="5"/>
      <w:bookmarkStart w:id="6" w:name="_Toc55990500"/>
      <w:bookmarkEnd w:id="6"/>
      <w:bookmarkStart w:id="7" w:name="_Toc5896489"/>
      <w:bookmarkEnd w:id="7"/>
      <w:bookmarkStart w:id="8" w:name="_Toc399523005"/>
      <w:r>
        <w:rPr>
          <w:rFonts w:hint="eastAsia" w:ascii="仿宋" w:hAnsi="仿宋" w:eastAsia="仿宋" w:cs="仿宋"/>
          <w:sz w:val="28"/>
        </w:rPr>
        <w:t>1.采购人信息</w:t>
      </w:r>
    </w:p>
    <w:p w14:paraId="5705CCBE">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zh-CN"/>
        </w:rPr>
        <w:t>名 称：新疆医科大学第五附属医院</w:t>
      </w:r>
    </w:p>
    <w:p w14:paraId="620C25D5">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zh-CN"/>
        </w:rPr>
        <w:t>地 址：乌鲁木齐河南西路118号</w:t>
      </w:r>
    </w:p>
    <w:p w14:paraId="2348C000">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zh-CN"/>
        </w:rPr>
        <w:t>联系方式：0991-7598403</w:t>
      </w:r>
    </w:p>
    <w:p w14:paraId="360A1B3F">
      <w:pPr>
        <w:pStyle w:val="33"/>
        <w:snapToGrid w:val="0"/>
        <w:spacing w:line="480" w:lineRule="exact"/>
        <w:ind w:firstLine="560"/>
        <w:jc w:val="both"/>
        <w:rPr>
          <w:rFonts w:hint="eastAsia" w:ascii="仿宋" w:hAnsi="仿宋" w:eastAsia="仿宋" w:cs="仿宋"/>
          <w:sz w:val="28"/>
        </w:rPr>
      </w:pPr>
      <w:r>
        <w:rPr>
          <w:rFonts w:hint="eastAsia" w:ascii="仿宋" w:hAnsi="仿宋" w:eastAsia="仿宋" w:cs="仿宋"/>
          <w:sz w:val="28"/>
        </w:rPr>
        <w:t>2.采购代理机构信息</w:t>
      </w:r>
    </w:p>
    <w:p w14:paraId="02927BAC">
      <w:pPr>
        <w:pStyle w:val="33"/>
        <w:snapToGrid w:val="0"/>
        <w:spacing w:line="480" w:lineRule="exact"/>
        <w:ind w:firstLine="560"/>
        <w:jc w:val="both"/>
        <w:rPr>
          <w:rFonts w:hint="eastAsia" w:ascii="仿宋" w:hAnsi="仿宋" w:eastAsia="仿宋" w:cs="仿宋"/>
          <w:sz w:val="28"/>
          <w:lang w:val="en-US" w:eastAsia="en-US"/>
        </w:rPr>
      </w:pPr>
      <w:r>
        <w:rPr>
          <w:rFonts w:hint="eastAsia" w:ascii="仿宋" w:hAnsi="仿宋" w:eastAsia="仿宋" w:cs="仿宋"/>
          <w:sz w:val="28"/>
          <w:lang w:val="en-US" w:eastAsia="en-US"/>
        </w:rPr>
        <w:t>名 称：中科高盛咨询集团有限公司</w:t>
      </w:r>
    </w:p>
    <w:p w14:paraId="36747CD6">
      <w:pPr>
        <w:pStyle w:val="33"/>
        <w:snapToGrid w:val="0"/>
        <w:spacing w:line="480" w:lineRule="exact"/>
        <w:ind w:firstLine="560"/>
        <w:jc w:val="both"/>
        <w:rPr>
          <w:rFonts w:hint="eastAsia" w:ascii="仿宋" w:hAnsi="仿宋" w:eastAsia="仿宋" w:cs="仿宋"/>
          <w:sz w:val="28"/>
          <w:lang w:val="en-US" w:eastAsia="en-US"/>
        </w:rPr>
      </w:pPr>
      <w:r>
        <w:rPr>
          <w:rFonts w:hint="eastAsia" w:ascii="仿宋" w:hAnsi="仿宋" w:eastAsia="仿宋" w:cs="仿宋"/>
          <w:sz w:val="28"/>
          <w:lang w:val="en-US" w:eastAsia="en-US"/>
        </w:rPr>
        <w:t>地 址：乌鲁木齐市水磨沟区会展大道绿地中心智海2008室</w:t>
      </w:r>
    </w:p>
    <w:p w14:paraId="0AAA74BE">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en-US"/>
        </w:rPr>
        <w:t>联系方式：0991-4881798</w:t>
      </w:r>
    </w:p>
    <w:p w14:paraId="2BFE0E85">
      <w:pPr>
        <w:pStyle w:val="33"/>
        <w:snapToGrid w:val="0"/>
        <w:spacing w:line="480" w:lineRule="exact"/>
        <w:ind w:firstLine="560"/>
        <w:jc w:val="both"/>
        <w:rPr>
          <w:rFonts w:hint="eastAsia" w:ascii="仿宋" w:hAnsi="仿宋" w:eastAsia="仿宋" w:cs="仿宋"/>
          <w:sz w:val="28"/>
          <w:lang w:val="en-US" w:eastAsia="en-US"/>
        </w:rPr>
      </w:pPr>
      <w:r>
        <w:rPr>
          <w:rFonts w:hint="eastAsia" w:ascii="仿宋" w:hAnsi="仿宋" w:eastAsia="仿宋" w:cs="仿宋"/>
          <w:sz w:val="28"/>
          <w:lang w:val="en-US" w:eastAsia="en-US"/>
        </w:rPr>
        <w:t>3.项目联系方式</w:t>
      </w:r>
    </w:p>
    <w:p w14:paraId="5D5E3AE7">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en-US"/>
        </w:rPr>
        <w:t>项目联系人：</w:t>
      </w:r>
      <w:r>
        <w:rPr>
          <w:rFonts w:hint="eastAsia" w:ascii="仿宋" w:hAnsi="仿宋" w:eastAsia="仿宋" w:cs="仿宋"/>
          <w:sz w:val="28"/>
          <w:lang w:val="en-US" w:eastAsia="zh-CN"/>
        </w:rPr>
        <w:t>付文、丁凯露</w:t>
      </w:r>
    </w:p>
    <w:p w14:paraId="2A225BE1">
      <w:pPr>
        <w:pStyle w:val="33"/>
        <w:snapToGrid w:val="0"/>
        <w:spacing w:line="480" w:lineRule="exact"/>
        <w:ind w:firstLine="560"/>
        <w:jc w:val="both"/>
        <w:rPr>
          <w:rFonts w:hint="eastAsia" w:ascii="仿宋" w:hAnsi="仿宋" w:eastAsia="仿宋" w:cs="仿宋"/>
          <w:sz w:val="28"/>
          <w:lang w:val="en-US" w:eastAsia="zh-CN"/>
        </w:rPr>
      </w:pPr>
      <w:r>
        <w:rPr>
          <w:rFonts w:hint="eastAsia" w:ascii="仿宋" w:hAnsi="仿宋" w:eastAsia="仿宋" w:cs="仿宋"/>
          <w:sz w:val="28"/>
          <w:lang w:val="en-US" w:eastAsia="en-US"/>
        </w:rPr>
        <w:t>电 话：</w:t>
      </w:r>
      <w:r>
        <w:rPr>
          <w:rFonts w:hint="eastAsia" w:ascii="仿宋" w:hAnsi="仿宋" w:eastAsia="仿宋" w:cs="仿宋"/>
          <w:sz w:val="28"/>
          <w:lang w:val="en-US" w:eastAsia="zh-CN"/>
        </w:rPr>
        <w:t>0991-4881798</w:t>
      </w:r>
    </w:p>
    <w:p w14:paraId="58F1AA75">
      <w:pPr>
        <w:pStyle w:val="2"/>
        <w:rPr>
          <w:rFonts w:hint="eastAsia" w:ascii="仿宋" w:hAnsi="仿宋" w:eastAsia="仿宋" w:cs="仿宋"/>
        </w:rPr>
      </w:pPr>
      <w:r>
        <w:rPr>
          <w:rFonts w:hint="eastAsia" w:ascii="仿宋" w:hAnsi="仿宋" w:eastAsia="仿宋" w:cs="仿宋"/>
        </w:rPr>
        <w:br w:type="page"/>
      </w:r>
      <w:bookmarkStart w:id="9" w:name="_Toc27360"/>
      <w:r>
        <w:rPr>
          <w:rFonts w:hint="eastAsia" w:ascii="仿宋" w:hAnsi="仿宋" w:eastAsia="仿宋" w:cs="仿宋"/>
          <w:lang w:val="en-US" w:eastAsia="zh-CN"/>
        </w:rPr>
        <w:t xml:space="preserve">                </w:t>
      </w:r>
      <w:r>
        <w:rPr>
          <w:rFonts w:hint="eastAsia" w:ascii="仿宋" w:hAnsi="仿宋" w:eastAsia="仿宋" w:cs="仿宋"/>
        </w:rPr>
        <w:t>第二章、谈判须知</w:t>
      </w:r>
      <w:bookmarkEnd w:id="9"/>
    </w:p>
    <w:p w14:paraId="307F69FF">
      <w:pPr>
        <w:pStyle w:val="3"/>
        <w:rPr>
          <w:rFonts w:hint="eastAsia" w:ascii="仿宋" w:hAnsi="仿宋" w:eastAsia="仿宋" w:cs="仿宋"/>
        </w:rPr>
      </w:pPr>
      <w:bookmarkStart w:id="10" w:name="_Toc78799057"/>
      <w:bookmarkEnd w:id="10"/>
      <w:bookmarkStart w:id="11" w:name="_Toc31109"/>
      <w:bookmarkEnd w:id="11"/>
      <w:bookmarkStart w:id="12" w:name="_Toc56170379"/>
      <w:bookmarkEnd w:id="12"/>
      <w:bookmarkStart w:id="13" w:name="_Toc7555"/>
      <w:r>
        <w:rPr>
          <w:rFonts w:hint="eastAsia" w:ascii="仿宋" w:hAnsi="仿宋" w:eastAsia="仿宋" w:cs="仿宋"/>
        </w:rPr>
        <w:t>谈判须知前附表</w:t>
      </w:r>
      <w:bookmarkEnd w:id="13"/>
    </w:p>
    <w:tbl>
      <w:tblPr>
        <w:tblStyle w:val="26"/>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0"/>
        <w:gridCol w:w="8764"/>
      </w:tblGrid>
      <w:tr w14:paraId="7CE56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80" w:type="dxa"/>
            <w:vAlign w:val="center"/>
          </w:tcPr>
          <w:p w14:paraId="1FC86A3F">
            <w:pPr>
              <w:pStyle w:val="34"/>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764" w:type="dxa"/>
            <w:vAlign w:val="center"/>
          </w:tcPr>
          <w:p w14:paraId="1D4B6C15">
            <w:pPr>
              <w:pStyle w:val="34"/>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内容</w:t>
            </w:r>
          </w:p>
        </w:tc>
      </w:tr>
      <w:tr w14:paraId="4C31D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532956A0">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64" w:type="dxa"/>
            <w:tcBorders>
              <w:bottom w:val="single" w:color="auto" w:sz="4" w:space="0"/>
            </w:tcBorders>
            <w:vAlign w:val="center"/>
          </w:tcPr>
          <w:p w14:paraId="228D4251">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新疆医科大学第五附属医院血流动力学模块采购项目</w:t>
            </w:r>
          </w:p>
          <w:p w14:paraId="4BE38AED">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eastAsia="zh-CN"/>
              </w:rPr>
              <w:t>ZKGSF(ZB)-20251153</w:t>
            </w:r>
          </w:p>
        </w:tc>
      </w:tr>
      <w:tr w14:paraId="26CEF7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4DD21491">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64" w:type="dxa"/>
            <w:tcBorders>
              <w:bottom w:val="single" w:color="auto" w:sz="4" w:space="0"/>
            </w:tcBorders>
            <w:vAlign w:val="center"/>
          </w:tcPr>
          <w:p w14:paraId="655DD945">
            <w:pPr>
              <w:pStyle w:val="34"/>
              <w:keepNext w:val="0"/>
              <w:keepLines w:val="0"/>
              <w:pageBreakBefore w:val="0"/>
              <w:widowControl w:val="0"/>
              <w:kinsoku/>
              <w:overflowPunct/>
              <w:topLinePunct w:val="0"/>
              <w:bidi w:val="0"/>
              <w:spacing w:line="360" w:lineRule="exact"/>
              <w:ind w:firstLine="0" w:firstLineChars="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180000</w:t>
            </w:r>
          </w:p>
          <w:p w14:paraId="0C2582BA">
            <w:pPr>
              <w:pStyle w:val="34"/>
              <w:keepNext w:val="0"/>
              <w:keepLines w:val="0"/>
              <w:pageBreakBefore w:val="0"/>
              <w:widowControl w:val="0"/>
              <w:kinsoku/>
              <w:overflowPunct/>
              <w:topLinePunct w:val="0"/>
              <w:bidi w:val="0"/>
              <w:spacing w:line="360" w:lineRule="exact"/>
              <w:ind w:firstLine="0" w:firstLineChars="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最高限价（元）：</w:t>
            </w:r>
            <w:r>
              <w:rPr>
                <w:rFonts w:hint="eastAsia" w:ascii="仿宋" w:hAnsi="仿宋" w:eastAsia="仿宋" w:cs="仿宋"/>
                <w:color w:val="000000"/>
                <w:sz w:val="24"/>
                <w:szCs w:val="24"/>
                <w:lang w:val="en-US" w:eastAsia="zh-CN"/>
              </w:rPr>
              <w:t>180000</w:t>
            </w:r>
          </w:p>
          <w:p w14:paraId="4C4B2FF0">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投标人报价不得超过最高限价，否则将导致废标。</w:t>
            </w:r>
          </w:p>
        </w:tc>
      </w:tr>
      <w:tr w14:paraId="2EF90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80" w:type="dxa"/>
            <w:vAlign w:val="center"/>
          </w:tcPr>
          <w:p w14:paraId="11DFBFFD">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64" w:type="dxa"/>
            <w:vAlign w:val="center"/>
          </w:tcPr>
          <w:p w14:paraId="7AD53D4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采购人：新疆医科大学第五附属医院</w:t>
            </w:r>
          </w:p>
          <w:p w14:paraId="78059AAF">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联系人：郑斯文</w:t>
            </w:r>
          </w:p>
          <w:p w14:paraId="3BF8ABB6">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联系电话：0991-7598403</w:t>
            </w:r>
          </w:p>
        </w:tc>
      </w:tr>
      <w:tr w14:paraId="3CD73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80" w:type="dxa"/>
            <w:vAlign w:val="center"/>
          </w:tcPr>
          <w:p w14:paraId="694D9E60">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8764" w:type="dxa"/>
            <w:vAlign w:val="center"/>
          </w:tcPr>
          <w:p w14:paraId="4630FB10">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采购代理机构：中科高盛咨询集团有限公司</w:t>
            </w:r>
          </w:p>
          <w:p w14:paraId="2B60E58D">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地址：新疆乌鲁木齐市水磨沟区绿地中心写字楼智海2008</w:t>
            </w:r>
          </w:p>
          <w:p w14:paraId="66971FD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项目联系人：付文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丁凯露</w:t>
            </w:r>
          </w:p>
          <w:p w14:paraId="4A4385F6">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电话：</w:t>
            </w:r>
            <w:r>
              <w:rPr>
                <w:rFonts w:hint="eastAsia" w:ascii="仿宋" w:hAnsi="仿宋" w:eastAsia="仿宋" w:cs="仿宋"/>
                <w:color w:val="000000"/>
                <w:sz w:val="24"/>
                <w:szCs w:val="24"/>
                <w:lang w:eastAsia="zh-CN"/>
              </w:rPr>
              <w:t>0991-4881798</w:t>
            </w:r>
          </w:p>
        </w:tc>
      </w:tr>
      <w:tr w14:paraId="316F7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80" w:type="dxa"/>
            <w:vAlign w:val="center"/>
          </w:tcPr>
          <w:p w14:paraId="6525A8BC">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764" w:type="dxa"/>
            <w:vAlign w:val="center"/>
          </w:tcPr>
          <w:p w14:paraId="0605CECC">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rPr>
              <w:t>保证金金额</w:t>
            </w:r>
            <w:r>
              <w:rPr>
                <w:rFonts w:hint="eastAsia" w:ascii="仿宋" w:hAnsi="仿宋" w:eastAsia="仿宋" w:cs="仿宋"/>
                <w:color w:val="000000"/>
                <w:sz w:val="24"/>
                <w:szCs w:val="24"/>
                <w:highlight w:val="none"/>
              </w:rPr>
              <w:t>：人民币</w:t>
            </w:r>
            <w:r>
              <w:rPr>
                <w:rFonts w:hint="eastAsia" w:ascii="仿宋" w:hAnsi="仿宋" w:eastAsia="仿宋" w:cs="仿宋"/>
                <w:color w:val="000000"/>
                <w:sz w:val="24"/>
                <w:szCs w:val="24"/>
                <w:highlight w:val="none"/>
                <w:lang w:val="en-US" w:eastAsia="zh-CN"/>
              </w:rPr>
              <w:t>3600</w:t>
            </w:r>
            <w:r>
              <w:rPr>
                <w:rFonts w:hint="eastAsia" w:ascii="仿宋" w:hAnsi="仿宋" w:eastAsia="仿宋" w:cs="仿宋"/>
                <w:color w:val="000000"/>
                <w:sz w:val="24"/>
                <w:szCs w:val="24"/>
                <w:highlight w:val="none"/>
              </w:rPr>
              <w:t>元（大写：</w:t>
            </w:r>
            <w:r>
              <w:rPr>
                <w:rFonts w:hint="eastAsia" w:ascii="仿宋" w:hAnsi="仿宋" w:eastAsia="仿宋" w:cs="仿宋"/>
                <w:color w:val="000000"/>
                <w:sz w:val="24"/>
                <w:szCs w:val="24"/>
                <w:highlight w:val="none"/>
                <w:lang w:val="en-US" w:eastAsia="zh-CN"/>
              </w:rPr>
              <w:t>叁仟陆佰元整</w:t>
            </w:r>
            <w:r>
              <w:rPr>
                <w:rFonts w:hint="eastAsia" w:ascii="仿宋" w:hAnsi="仿宋" w:eastAsia="仿宋" w:cs="仿宋"/>
                <w:color w:val="000000"/>
                <w:sz w:val="24"/>
                <w:szCs w:val="24"/>
                <w:highlight w:val="none"/>
              </w:rPr>
              <w:t>）</w:t>
            </w:r>
          </w:p>
          <w:p w14:paraId="1A08033A">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须以</w:t>
            </w:r>
            <w:r>
              <w:rPr>
                <w:rFonts w:hint="eastAsia" w:ascii="仿宋" w:hAnsi="仿宋" w:eastAsia="仿宋" w:cs="仿宋"/>
                <w:color w:val="000000"/>
                <w:sz w:val="24"/>
                <w:szCs w:val="24"/>
              </w:rPr>
              <w:t>网银转账的形式由供应商的基本账户账户汇出，须于单一来源响应文件递交截止时间前交至招标代理机构指定账户（以到账时间为准），自</w:t>
            </w:r>
            <w:r>
              <w:rPr>
                <w:rFonts w:hint="eastAsia" w:ascii="仿宋" w:hAnsi="仿宋" w:eastAsia="仿宋" w:cs="仿宋"/>
                <w:color w:val="000000"/>
                <w:sz w:val="24"/>
                <w:szCs w:val="24"/>
                <w:lang w:eastAsia="zh-CN"/>
              </w:rPr>
              <w:t>成交通知书</w:t>
            </w:r>
            <w:r>
              <w:rPr>
                <w:rFonts w:hint="eastAsia" w:ascii="仿宋" w:hAnsi="仿宋" w:eastAsia="仿宋" w:cs="仿宋"/>
                <w:color w:val="000000"/>
                <w:sz w:val="24"/>
                <w:szCs w:val="24"/>
              </w:rPr>
              <w:t>发出之日起5个工作日内退还未中标投标人的投标保证金，自政府采购合同签订之日起5个工作日内退还中标人的投标保证金。。</w:t>
            </w:r>
          </w:p>
          <w:p w14:paraId="625EFB08">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账户名：中科高盛咨询集团有限公司</w:t>
            </w:r>
          </w:p>
          <w:p w14:paraId="7F45A97F">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开户行：中国民生银行长沙麓谷支行</w:t>
            </w:r>
          </w:p>
          <w:p w14:paraId="6F89C65B">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账  号：9902 0018 0724 0658</w:t>
            </w:r>
          </w:p>
          <w:p w14:paraId="3FF73818">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行  号：3055 5103 1033</w:t>
            </w:r>
          </w:p>
          <w:p w14:paraId="40DCFF34">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备注：请供应商在汇款时务必注明项目编号ZKGSF(ZB)-20251153及用途，否则，因款项用途不明导致投标无效等后果由投标人自行承担。</w:t>
            </w:r>
          </w:p>
        </w:tc>
      </w:tr>
      <w:tr w14:paraId="17932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80" w:type="dxa"/>
            <w:vAlign w:val="center"/>
          </w:tcPr>
          <w:p w14:paraId="2BB1B7D7">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8764" w:type="dxa"/>
            <w:vAlign w:val="center"/>
          </w:tcPr>
          <w:p w14:paraId="35DD3562">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rPr>
            </w:pPr>
            <w:r>
              <w:rPr>
                <w:rFonts w:hint="eastAsia" w:ascii="仿宋" w:hAnsi="仿宋" w:eastAsia="仿宋" w:cs="仿宋"/>
                <w:szCs w:val="24"/>
              </w:rPr>
              <w:t>供应商资格要求：</w:t>
            </w:r>
          </w:p>
          <w:p w14:paraId="0BC38912">
            <w:pPr>
              <w:pStyle w:val="33"/>
              <w:keepNext w:val="0"/>
              <w:keepLines w:val="0"/>
              <w:pageBreakBefore w:val="0"/>
              <w:widowControl w:val="0"/>
              <w:shd w:val="clear"/>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rPr>
              <w:t>1.满足《中华人民共和国政府采购法</w:t>
            </w:r>
            <w:r>
              <w:rPr>
                <w:rFonts w:hint="eastAsia" w:ascii="仿宋" w:hAnsi="仿宋" w:eastAsia="仿宋" w:cs="仿宋"/>
                <w:szCs w:val="24"/>
                <w:highlight w:val="none"/>
              </w:rPr>
              <w:t>》第二十二条规定；</w:t>
            </w:r>
          </w:p>
          <w:p w14:paraId="3C4B9160">
            <w:pPr>
              <w:pStyle w:val="33"/>
              <w:keepNext w:val="0"/>
              <w:keepLines w:val="0"/>
              <w:pageBreakBefore w:val="0"/>
              <w:widowControl w:val="0"/>
              <w:shd w:val="clear"/>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必须提供此声明函。</w:t>
            </w:r>
          </w:p>
          <w:p w14:paraId="0C77FD94">
            <w:pPr>
              <w:pStyle w:val="33"/>
              <w:keepNext w:val="0"/>
              <w:keepLines w:val="0"/>
              <w:pageBreakBefore w:val="0"/>
              <w:widowControl w:val="0"/>
              <w:shd w:val="clear"/>
              <w:kinsoku/>
              <w:overflowPunct/>
              <w:topLinePunct w:val="0"/>
              <w:bidi w:val="0"/>
              <w:snapToGrid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3.本项目的特定资格要求：</w:t>
            </w:r>
          </w:p>
          <w:p w14:paraId="4C7BF2CF">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rPr>
            </w:pPr>
            <w:r>
              <w:rPr>
                <w:rFonts w:hint="eastAsia" w:ascii="仿宋" w:hAnsi="仿宋" w:eastAsia="仿宋" w:cs="仿宋"/>
                <w:szCs w:val="24"/>
              </w:rPr>
              <w:t>（1）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48460F90">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rPr>
            </w:pPr>
            <w:r>
              <w:rPr>
                <w:rFonts w:hint="eastAsia" w:ascii="仿宋" w:hAnsi="仿宋" w:eastAsia="仿宋" w:cs="仿宋"/>
                <w:szCs w:val="24"/>
              </w:rPr>
              <w:t>（2）所投产品为进口产品的须提供产品授权委托书。</w:t>
            </w:r>
          </w:p>
          <w:p w14:paraId="51601B9A">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Cs w:val="24"/>
              </w:rPr>
            </w:pPr>
            <w:r>
              <w:rPr>
                <w:rFonts w:hint="eastAsia" w:ascii="仿宋" w:hAnsi="仿宋" w:eastAsia="仿宋" w:cs="仿宋"/>
                <w:szCs w:val="24"/>
              </w:rPr>
              <w:t>4.本项目不接受联合体投标。</w:t>
            </w:r>
          </w:p>
          <w:p w14:paraId="483C6A8D">
            <w:pPr>
              <w:pStyle w:val="33"/>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b/>
                <w:bCs/>
                <w:szCs w:val="24"/>
              </w:rPr>
            </w:pPr>
            <w:r>
              <w:rPr>
                <w:rFonts w:hint="eastAsia" w:ascii="仿宋" w:hAnsi="仿宋" w:eastAsia="仿宋" w:cs="仿宋"/>
                <w:b/>
                <w:bCs/>
                <w:szCs w:val="24"/>
              </w:rPr>
              <w:t>资格</w:t>
            </w:r>
            <w:r>
              <w:rPr>
                <w:rFonts w:hint="eastAsia" w:ascii="仿宋" w:hAnsi="仿宋" w:eastAsia="仿宋" w:cs="仿宋"/>
                <w:b/>
                <w:bCs/>
                <w:szCs w:val="24"/>
                <w:lang w:eastAsia="zh-CN"/>
              </w:rPr>
              <w:t>审查</w:t>
            </w:r>
            <w:r>
              <w:rPr>
                <w:rFonts w:hint="eastAsia" w:ascii="仿宋" w:hAnsi="仿宋" w:eastAsia="仿宋" w:cs="仿宋"/>
                <w:b/>
                <w:bCs/>
                <w:szCs w:val="24"/>
              </w:rPr>
              <w:t>文件：</w:t>
            </w:r>
          </w:p>
          <w:p w14:paraId="698661B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（1）企业营业执照（复印件</w:t>
            </w:r>
            <w:r>
              <w:rPr>
                <w:rFonts w:hint="eastAsia" w:ascii="仿宋" w:hAnsi="仿宋" w:eastAsia="仿宋" w:cs="仿宋"/>
                <w:b/>
                <w:bCs/>
                <w:szCs w:val="24"/>
                <w:lang w:eastAsia="zh-CN"/>
              </w:rPr>
              <w:t>或扫描件</w:t>
            </w:r>
            <w:r>
              <w:rPr>
                <w:rFonts w:hint="eastAsia" w:ascii="仿宋" w:hAnsi="仿宋" w:eastAsia="仿宋" w:cs="仿宋"/>
                <w:b/>
                <w:bCs/>
                <w:szCs w:val="24"/>
              </w:rPr>
              <w:t>加盖公章，</w:t>
            </w:r>
            <w:r>
              <w:rPr>
                <w:rFonts w:hint="eastAsia" w:ascii="仿宋" w:hAnsi="仿宋" w:eastAsia="仿宋" w:cs="仿宋"/>
                <w:b/>
                <w:bCs/>
                <w:szCs w:val="24"/>
                <w:lang w:eastAsia="zh-CN"/>
              </w:rPr>
              <w:t>在电子响应文件中提供</w:t>
            </w:r>
            <w:r>
              <w:rPr>
                <w:rFonts w:hint="eastAsia" w:ascii="仿宋" w:hAnsi="仿宋" w:eastAsia="仿宋" w:cs="仿宋"/>
                <w:b/>
                <w:bCs/>
                <w:szCs w:val="24"/>
              </w:rPr>
              <w:t>）</w:t>
            </w:r>
            <w:r>
              <w:rPr>
                <w:rFonts w:hint="eastAsia" w:ascii="仿宋" w:hAnsi="仿宋" w:eastAsia="仿宋" w:cs="仿宋"/>
                <w:b/>
                <w:bCs/>
                <w:szCs w:val="24"/>
                <w:lang w:eastAsia="zh-CN"/>
              </w:rPr>
              <w:t>；</w:t>
            </w:r>
          </w:p>
          <w:p w14:paraId="0EE87C8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（2）谈判代表的法人授权委托书及被授权人身份证复印件。授权委托书应由法定代表签名并加盖企业公章，私章无效</w:t>
            </w:r>
            <w:r>
              <w:rPr>
                <w:rFonts w:hint="eastAsia" w:ascii="仿宋" w:hAnsi="仿宋" w:eastAsia="仿宋" w:cs="仿宋"/>
                <w:b/>
                <w:bCs/>
                <w:szCs w:val="24"/>
                <w:lang w:eastAsia="zh-CN"/>
              </w:rPr>
              <w:t>（在电子响应文件中提供）；</w:t>
            </w:r>
          </w:p>
          <w:p w14:paraId="5D785E69">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3</w:t>
            </w:r>
            <w:r>
              <w:rPr>
                <w:rFonts w:hint="eastAsia" w:ascii="仿宋" w:hAnsi="仿宋" w:eastAsia="仿宋" w:cs="仿宋"/>
                <w:b/>
                <w:bCs/>
                <w:szCs w:val="24"/>
                <w:lang w:eastAsia="zh-CN"/>
              </w:rPr>
              <w:t>）</w:t>
            </w:r>
            <w:r>
              <w:rPr>
                <w:rFonts w:hint="eastAsia" w:ascii="仿宋" w:hAnsi="仿宋" w:eastAsia="仿宋" w:cs="仿宋"/>
                <w:b/>
                <w:bCs/>
                <w:szCs w:val="24"/>
              </w:rPr>
              <w:t>具有良好的商业信誉和健全的财务会计制度（由具备资质的中介机构出具的（</w:t>
            </w:r>
            <w:r>
              <w:rPr>
                <w:rFonts w:hint="eastAsia" w:ascii="仿宋" w:hAnsi="仿宋" w:eastAsia="仿宋" w:cs="仿宋"/>
                <w:b/>
                <w:bCs/>
                <w:szCs w:val="24"/>
                <w:lang w:val="en-US" w:eastAsia="zh-CN"/>
              </w:rPr>
              <w:t>2024年或2023年</w:t>
            </w:r>
            <w:r>
              <w:rPr>
                <w:rFonts w:hint="eastAsia" w:ascii="仿宋" w:hAnsi="仿宋" w:eastAsia="仿宋" w:cs="仿宋"/>
                <w:b/>
                <w:bCs/>
                <w:szCs w:val="24"/>
              </w:rPr>
              <w:t>）的财务审计报告或其他体现财务能力的材料原件或复印件加盖公章；成立不满一年企业或者小微企业提供财务报表；</w:t>
            </w:r>
          </w:p>
          <w:p w14:paraId="2F6D9F4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val="en-US" w:eastAsia="zh-CN"/>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4</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 xml:space="preserve">有依法缴纳税收和社会保障资金的良好记录： </w:t>
            </w:r>
          </w:p>
          <w:p w14:paraId="08CA6939">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val="en-US" w:eastAsia="zh-CN"/>
              </w:rPr>
            </w:pPr>
            <w:r>
              <w:rPr>
                <w:rFonts w:hint="eastAsia" w:ascii="仿宋" w:hAnsi="仿宋" w:eastAsia="仿宋" w:cs="仿宋"/>
                <w:b/>
                <w:bCs/>
                <w:szCs w:val="24"/>
                <w:lang w:val="en-US" w:eastAsia="zh-CN"/>
              </w:rPr>
              <w:t>①提供税务部门出具的近一年内任意三个月的完税证明（新公司从成立 之日起算，如无产生税收，需提供不拖欠税收证明材料；）</w:t>
            </w:r>
          </w:p>
          <w:p w14:paraId="56288B46">
            <w:pPr>
              <w:pStyle w:val="33"/>
              <w:keepNext w:val="0"/>
              <w:keepLines w:val="0"/>
              <w:pageBreakBefore w:val="0"/>
              <w:widowControl w:val="0"/>
              <w:kinsoku/>
              <w:overflowPunct/>
              <w:topLinePunct w:val="0"/>
              <w:bidi w:val="0"/>
              <w:snapToGrid w:val="0"/>
              <w:spacing w:line="360" w:lineRule="exact"/>
              <w:ind w:firstLine="560"/>
              <w:textAlignment w:val="auto"/>
              <w:rPr>
                <w:rFonts w:hint="default" w:ascii="仿宋" w:hAnsi="仿宋" w:eastAsia="仿宋" w:cs="仿宋"/>
                <w:b/>
                <w:bCs/>
                <w:szCs w:val="24"/>
                <w:lang w:val="en-US" w:eastAsia="zh-CN"/>
              </w:rPr>
            </w:pPr>
            <w:r>
              <w:rPr>
                <w:rFonts w:hint="eastAsia" w:ascii="仿宋" w:hAnsi="仿宋" w:eastAsia="仿宋" w:cs="仿宋"/>
                <w:b/>
                <w:bCs/>
                <w:szCs w:val="24"/>
                <w:lang w:val="en-US" w:eastAsia="zh-CN"/>
              </w:rPr>
              <w:t xml:space="preserve">②依法缴纳近一年内任意三个月企业缴纳社保证明材料（新公司从成立之日起算）        </w:t>
            </w:r>
          </w:p>
          <w:p w14:paraId="6164D630">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5</w:t>
            </w:r>
            <w:r>
              <w:rPr>
                <w:rFonts w:hint="eastAsia" w:ascii="仿宋" w:hAnsi="仿宋" w:eastAsia="仿宋" w:cs="仿宋"/>
                <w:b/>
                <w:bCs/>
                <w:szCs w:val="24"/>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Cs w:val="24"/>
                <w:lang w:eastAsia="zh-CN"/>
              </w:rPr>
              <w:t>复印件或扫描件（加盖公章在电子响应文件中提供）；</w:t>
            </w:r>
          </w:p>
          <w:p w14:paraId="3F8A9D65">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6</w:t>
            </w:r>
            <w:r>
              <w:rPr>
                <w:rFonts w:hint="eastAsia" w:ascii="仿宋" w:hAnsi="仿宋" w:eastAsia="仿宋" w:cs="仿宋"/>
                <w:b/>
                <w:bCs/>
                <w:szCs w:val="24"/>
              </w:rPr>
              <w:t>）</w:t>
            </w:r>
            <w:r>
              <w:rPr>
                <w:rFonts w:hint="eastAsia" w:ascii="仿宋" w:hAnsi="仿宋" w:eastAsia="仿宋" w:cs="仿宋"/>
                <w:b/>
                <w:bCs/>
                <w:szCs w:val="24"/>
                <w:lang w:val="en-US" w:eastAsia="zh-CN"/>
              </w:rPr>
              <w:t>投标保证金交纳凭证或有效的保函相关证明资料；</w:t>
            </w:r>
            <w:r>
              <w:rPr>
                <w:rFonts w:hint="eastAsia" w:ascii="仿宋" w:hAnsi="仿宋" w:eastAsia="仿宋" w:cs="仿宋"/>
                <w:b/>
                <w:bCs/>
                <w:szCs w:val="24"/>
                <w:lang w:eastAsia="zh-CN"/>
              </w:rPr>
              <w:t>（在电子响应文件中提供）；</w:t>
            </w:r>
          </w:p>
          <w:p w14:paraId="2A6C03D3">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7</w:t>
            </w:r>
            <w:r>
              <w:rPr>
                <w:rFonts w:hint="eastAsia" w:ascii="仿宋" w:hAnsi="仿宋" w:eastAsia="仿宋" w:cs="仿宋"/>
                <w:b/>
                <w:bCs/>
                <w:szCs w:val="24"/>
              </w:rPr>
              <w:t>）参加政府采购活动近三年内在经营活动中没有重大违法记录的书面声明</w:t>
            </w:r>
            <w:r>
              <w:rPr>
                <w:rFonts w:hint="eastAsia" w:ascii="仿宋" w:hAnsi="仿宋" w:eastAsia="仿宋" w:cs="仿宋"/>
                <w:b/>
                <w:bCs/>
                <w:szCs w:val="24"/>
                <w:lang w:eastAsia="zh-CN"/>
              </w:rPr>
              <w:t>（加盖公章在电子响应文件中提供，</w:t>
            </w:r>
            <w:r>
              <w:rPr>
                <w:rFonts w:hint="eastAsia" w:ascii="仿宋" w:hAnsi="仿宋" w:eastAsia="仿宋" w:cs="仿宋"/>
                <w:b/>
                <w:bCs/>
                <w:szCs w:val="24"/>
                <w:lang w:val="en-US" w:eastAsia="zh-CN"/>
              </w:rPr>
              <w:t>格式自拟</w:t>
            </w:r>
            <w:r>
              <w:rPr>
                <w:rFonts w:hint="eastAsia" w:ascii="仿宋" w:hAnsi="仿宋" w:eastAsia="仿宋" w:cs="仿宋"/>
                <w:b/>
                <w:bCs/>
                <w:szCs w:val="24"/>
                <w:lang w:eastAsia="zh-CN"/>
              </w:rPr>
              <w:t>）；</w:t>
            </w:r>
          </w:p>
          <w:p w14:paraId="69D260E7">
            <w:pPr>
              <w:pStyle w:val="33"/>
              <w:keepNext w:val="0"/>
              <w:keepLines w:val="0"/>
              <w:pageBreakBefore w:val="0"/>
              <w:widowControl w:val="0"/>
              <w:kinsoku/>
              <w:wordWrap w:val="0"/>
              <w:overflowPunct/>
              <w:topLinePunct w:val="0"/>
              <w:autoSpaceDE w:val="0"/>
              <w:autoSpaceDN w:val="0"/>
              <w:bidi w:val="0"/>
              <w:adjustRightInd w:val="0"/>
              <w:snapToGrid w:val="0"/>
              <w:spacing w:line="360" w:lineRule="exact"/>
              <w:ind w:firstLine="561" w:firstLineChars="0"/>
              <w:textAlignment w:val="auto"/>
              <w:rPr>
                <w:rFonts w:hint="eastAsia" w:ascii="仿宋" w:hAnsi="仿宋" w:eastAsia="仿宋" w:cs="仿宋"/>
                <w:b/>
                <w:bCs/>
                <w:szCs w:val="24"/>
                <w:lang w:eastAsia="zh-CN"/>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8</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供应商</w:t>
            </w:r>
            <w:r>
              <w:rPr>
                <w:rFonts w:hint="eastAsia" w:ascii="仿宋" w:hAnsi="仿宋" w:eastAsia="仿宋" w:cs="仿宋"/>
                <w:b/>
                <w:bCs/>
                <w:szCs w:val="24"/>
                <w:lang w:eastAsia="zh-CN"/>
              </w:rPr>
              <w:t>不得为“信用中国”网站（www.creditchina.gov.cn ）中列入失信被执行人和</w:t>
            </w:r>
            <w:r>
              <w:rPr>
                <w:rFonts w:hint="eastAsia" w:ascii="仿宋" w:hAnsi="仿宋" w:eastAsia="仿宋" w:cs="仿宋"/>
                <w:b/>
                <w:bCs/>
                <w:szCs w:val="24"/>
                <w:lang w:val="en-US" w:eastAsia="zh-CN"/>
              </w:rPr>
              <w:t>重大违法失信主体</w:t>
            </w:r>
            <w:r>
              <w:rPr>
                <w:rFonts w:hint="eastAsia" w:ascii="仿宋" w:hAnsi="仿宋" w:eastAsia="仿宋" w:cs="仿宋"/>
                <w:b/>
                <w:bCs/>
                <w:szCs w:val="24"/>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Cs w:val="24"/>
                <w:lang w:val="en-US" w:eastAsia="zh-CN"/>
              </w:rPr>
              <w:t>单一来源采购文件</w:t>
            </w:r>
            <w:r>
              <w:rPr>
                <w:rFonts w:hint="eastAsia" w:ascii="仿宋" w:hAnsi="仿宋" w:eastAsia="仿宋" w:cs="仿宋"/>
                <w:b/>
                <w:bCs/>
                <w:szCs w:val="24"/>
                <w:lang w:eastAsia="zh-CN"/>
              </w:rPr>
              <w:t>之日起</w:t>
            </w:r>
            <w:r>
              <w:rPr>
                <w:rFonts w:hint="eastAsia" w:ascii="仿宋" w:hAnsi="仿宋" w:eastAsia="仿宋" w:cs="仿宋"/>
                <w:b/>
                <w:bCs/>
                <w:szCs w:val="24"/>
                <w:lang w:val="en-US" w:eastAsia="zh-CN"/>
              </w:rPr>
              <w:t>响应</w:t>
            </w:r>
            <w:r>
              <w:rPr>
                <w:rFonts w:hint="eastAsia" w:ascii="仿宋" w:hAnsi="仿宋" w:eastAsia="仿宋" w:cs="仿宋"/>
                <w:b/>
                <w:bCs/>
                <w:szCs w:val="24"/>
                <w:lang w:eastAsia="zh-CN"/>
              </w:rPr>
              <w:t>截止时间止。（提供查询结果网页截图并加盖供应商公章）。</w:t>
            </w:r>
          </w:p>
        </w:tc>
      </w:tr>
      <w:tr w14:paraId="24770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51AAAA9C">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8764" w:type="dxa"/>
            <w:vAlign w:val="center"/>
          </w:tcPr>
          <w:p w14:paraId="0D39AF09">
            <w:pPr>
              <w:pStyle w:val="34"/>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单一来源响应文件有效期：供应商同意单一来源响应文件在单一来源采购文件规定的投标截止日期届满后立即对供应商产生法律约束力，</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有效期截至</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日后90日历天。</w:t>
            </w:r>
          </w:p>
        </w:tc>
      </w:tr>
      <w:tr w14:paraId="5D50A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396FDBC2">
            <w:pPr>
              <w:pStyle w:val="34"/>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8764" w:type="dxa"/>
            <w:vAlign w:val="center"/>
          </w:tcPr>
          <w:p w14:paraId="429B6F3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谈判报价：供应商响应文件中的报价作为第一次报价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以最终</w:t>
            </w:r>
            <w:r>
              <w:rPr>
                <w:rFonts w:hint="eastAsia" w:ascii="仿宋" w:hAnsi="仿宋" w:eastAsia="仿宋" w:cs="仿宋"/>
                <w:color w:val="000000"/>
                <w:sz w:val="24"/>
                <w:szCs w:val="24"/>
                <w:lang w:val="en-US" w:eastAsia="zh-CN"/>
              </w:rPr>
              <w:t>谈判</w:t>
            </w:r>
            <w:r>
              <w:rPr>
                <w:rFonts w:hint="eastAsia" w:ascii="仿宋" w:hAnsi="仿宋" w:eastAsia="仿宋" w:cs="仿宋"/>
                <w:color w:val="000000"/>
                <w:sz w:val="24"/>
                <w:szCs w:val="24"/>
              </w:rPr>
              <w:t>报价作为评审价</w:t>
            </w:r>
            <w:r>
              <w:rPr>
                <w:rFonts w:hint="eastAsia" w:ascii="仿宋" w:hAnsi="仿宋" w:eastAsia="仿宋" w:cs="仿宋"/>
                <w:color w:val="000000"/>
                <w:sz w:val="24"/>
                <w:szCs w:val="24"/>
                <w:lang w:eastAsia="zh-CN"/>
              </w:rPr>
              <w:t>，</w:t>
            </w:r>
          </w:p>
          <w:p w14:paraId="70D336CD">
            <w:pPr>
              <w:pStyle w:val="6"/>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本项目设置两次及以上报价。</w:t>
            </w:r>
          </w:p>
        </w:tc>
      </w:tr>
      <w:tr w14:paraId="4F318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80" w:type="dxa"/>
            <w:vAlign w:val="center"/>
          </w:tcPr>
          <w:p w14:paraId="77D4019D">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8764" w:type="dxa"/>
            <w:vAlign w:val="center"/>
          </w:tcPr>
          <w:p w14:paraId="2C55A19A">
            <w:pPr>
              <w:keepNext w:val="0"/>
              <w:keepLines w:val="0"/>
              <w:pageBreakBefore w:val="0"/>
              <w:widowControl w:val="0"/>
              <w:kinsoku/>
              <w:overflowPunct/>
              <w:topLinePunct w:val="0"/>
              <w:bidi w:val="0"/>
              <w:spacing w:line="360" w:lineRule="exact"/>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谈判截止时间：</w:t>
            </w:r>
            <w:r>
              <w:rPr>
                <w:rFonts w:hint="eastAsia" w:ascii="仿宋" w:hAnsi="仿宋" w:eastAsia="仿宋" w:cs="仿宋"/>
                <w:sz w:val="28"/>
                <w:highlight w:val="none"/>
                <w:u w:val="single"/>
                <w:lang w:eastAsia="zh-CN"/>
              </w:rPr>
              <w:t>2025年06月30日11:00（</w:t>
            </w:r>
            <w:r>
              <w:rPr>
                <w:rFonts w:hint="eastAsia" w:ascii="仿宋" w:hAnsi="仿宋" w:eastAsia="仿宋" w:cs="仿宋"/>
                <w:sz w:val="28"/>
                <w:highlight w:val="none"/>
                <w:u w:val="single"/>
                <w:lang w:val="en-US" w:eastAsia="zh-CN"/>
              </w:rPr>
              <w:t>北京时间）</w:t>
            </w:r>
          </w:p>
        </w:tc>
      </w:tr>
      <w:tr w14:paraId="75AC6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80" w:type="dxa"/>
            <w:vAlign w:val="center"/>
          </w:tcPr>
          <w:p w14:paraId="4B6A8A04">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764" w:type="dxa"/>
            <w:vAlign w:val="center"/>
          </w:tcPr>
          <w:p w14:paraId="632C32CB">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单一来源响应文件的形成：</w:t>
            </w:r>
          </w:p>
          <w:p w14:paraId="08732365">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电子响应文件包括“电子加密响应文件”和“备份响应文件”，在响应文件编制完成后同时生成。</w:t>
            </w:r>
          </w:p>
          <w:p w14:paraId="29BF3FA8">
            <w:pPr>
              <w:pStyle w:val="10"/>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1、“电子加密响应文件”是指通过“政采云电子交易客户端”完成响应文件编制后生成并加密的数据电文形式的响应文件。</w:t>
            </w:r>
          </w:p>
          <w:p w14:paraId="18477B53">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2、“备份响应文件”是指与“电子加密响应文件”同时生成的数据电文形式的电子文件（备份标书，用于供应商标书解密异常时应急使用），其他方式编制的备份响应文件视为无效备份响应文件。</w:t>
            </w:r>
          </w:p>
        </w:tc>
      </w:tr>
      <w:tr w14:paraId="5FF33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80" w:type="dxa"/>
            <w:vAlign w:val="center"/>
          </w:tcPr>
          <w:p w14:paraId="68DBF648">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764" w:type="dxa"/>
            <w:vAlign w:val="center"/>
          </w:tcPr>
          <w:p w14:paraId="1FB7687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响应文件的上传和递交：</w:t>
            </w:r>
          </w:p>
          <w:p w14:paraId="74D4799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电子加密响应文件：响应文件制作完成并生成加密标书，在谈判截止时间前，供应商需将加密的响应文件上传至政采云平台，在开标时间开始后，待采购组织机构发出解密通知后30分钟内解密响应文件。</w:t>
            </w:r>
          </w:p>
          <w:p w14:paraId="29A7A30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1.供应商未能在谈判截止时间前成功上传电子加密响应文件的投标无效。</w:t>
            </w:r>
          </w:p>
          <w:p w14:paraId="4C59E0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b/>
                <w:bCs w:val="0"/>
                <w:color w:val="auto"/>
                <w:sz w:val="24"/>
                <w:szCs w:val="24"/>
                <w:lang w:val="en-US" w:eastAsia="zh-CN"/>
              </w:rPr>
              <w:t>2.供应商成功上传电子加密响应文件后，可自行打印响应文件接收回执。</w:t>
            </w:r>
          </w:p>
        </w:tc>
      </w:tr>
      <w:tr w14:paraId="1C098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80" w:type="dxa"/>
            <w:vAlign w:val="center"/>
          </w:tcPr>
          <w:p w14:paraId="66E49BC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8764" w:type="dxa"/>
            <w:vAlign w:val="center"/>
          </w:tcPr>
          <w:p w14:paraId="73E203BA">
            <w:pPr>
              <w:keepNext w:val="0"/>
              <w:keepLines w:val="0"/>
              <w:pageBreakBefore w:val="0"/>
              <w:widowControl w:val="0"/>
              <w:kinsoku/>
              <w:overflowPunct/>
              <w:topLinePunct w:val="0"/>
              <w:bidi w:val="0"/>
              <w:spacing w:line="360" w:lineRule="exact"/>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时间：</w:t>
            </w:r>
            <w:r>
              <w:rPr>
                <w:rFonts w:hint="eastAsia" w:ascii="仿宋" w:hAnsi="仿宋" w:eastAsia="仿宋" w:cs="仿宋"/>
                <w:sz w:val="28"/>
                <w:highlight w:val="none"/>
                <w:u w:val="single"/>
                <w:lang w:eastAsia="zh-CN"/>
              </w:rPr>
              <w:t>2025年06月30日11:00（</w:t>
            </w:r>
            <w:r>
              <w:rPr>
                <w:rFonts w:hint="eastAsia" w:ascii="仿宋" w:hAnsi="仿宋" w:eastAsia="仿宋" w:cs="仿宋"/>
                <w:sz w:val="28"/>
                <w:highlight w:val="none"/>
                <w:u w:val="single"/>
                <w:lang w:val="en-US" w:eastAsia="zh-CN"/>
              </w:rPr>
              <w:t>北京时间）</w:t>
            </w:r>
          </w:p>
        </w:tc>
      </w:tr>
      <w:tr w14:paraId="13DA5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80" w:type="dxa"/>
            <w:vAlign w:val="center"/>
          </w:tcPr>
          <w:p w14:paraId="292864B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764" w:type="dxa"/>
            <w:vAlign w:val="center"/>
          </w:tcPr>
          <w:p w14:paraId="1A29725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kern w:val="2"/>
                <w:sz w:val="24"/>
                <w:szCs w:val="24"/>
                <w:lang w:val="en-US" w:eastAsia="zh-CN" w:bidi="ar-SA"/>
              </w:rPr>
              <w:t>地点：新疆政府采购云平台（www.zcygov.cn）</w:t>
            </w:r>
          </w:p>
        </w:tc>
      </w:tr>
      <w:tr w14:paraId="63EB8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04AC67EE">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14</w:t>
            </w:r>
          </w:p>
        </w:tc>
        <w:tc>
          <w:tcPr>
            <w:tcW w:w="8764" w:type="dxa"/>
            <w:shd w:val="clear" w:color="auto" w:fill="auto"/>
            <w:vAlign w:val="center"/>
          </w:tcPr>
          <w:p w14:paraId="362BD382">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交货期</w:t>
            </w:r>
            <w:r>
              <w:rPr>
                <w:rFonts w:hint="eastAsia" w:ascii="仿宋" w:hAnsi="仿宋" w:eastAsia="仿宋" w:cs="仿宋"/>
                <w:b/>
                <w:bCs/>
                <w:color w:val="auto"/>
                <w:sz w:val="24"/>
                <w:szCs w:val="24"/>
                <w:highlight w:val="none"/>
              </w:rPr>
              <w:t>：合同签订后30日内</w:t>
            </w:r>
          </w:p>
        </w:tc>
      </w:tr>
      <w:tr w14:paraId="2D6C7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7176E60B">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15</w:t>
            </w:r>
          </w:p>
        </w:tc>
        <w:tc>
          <w:tcPr>
            <w:tcW w:w="8764" w:type="dxa"/>
            <w:shd w:val="clear" w:color="auto" w:fill="auto"/>
            <w:vAlign w:val="center"/>
          </w:tcPr>
          <w:p w14:paraId="23BD4B7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质保期：≥36个月</w:t>
            </w:r>
          </w:p>
        </w:tc>
      </w:tr>
      <w:tr w14:paraId="08BEF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6C71B1D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8764" w:type="dxa"/>
            <w:shd w:val="clear" w:color="auto" w:fill="auto"/>
            <w:vAlign w:val="center"/>
          </w:tcPr>
          <w:p w14:paraId="18F04CD2">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000000"/>
                <w:sz w:val="24"/>
                <w:szCs w:val="24"/>
                <w:highlight w:val="none"/>
              </w:rPr>
              <w:t>付款方式：设备安装验收合格支付中标总金额的90%，其余10%作为尾款，尾款于设备质保期结束后付清。</w:t>
            </w:r>
          </w:p>
        </w:tc>
      </w:tr>
      <w:tr w14:paraId="43E2C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shd w:val="clear" w:color="auto" w:fill="auto"/>
            <w:vAlign w:val="center"/>
          </w:tcPr>
          <w:p w14:paraId="6CB2200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17</w:t>
            </w:r>
          </w:p>
        </w:tc>
        <w:tc>
          <w:tcPr>
            <w:tcW w:w="8764" w:type="dxa"/>
            <w:shd w:val="clear" w:color="auto" w:fill="auto"/>
            <w:vAlign w:val="center"/>
          </w:tcPr>
          <w:p w14:paraId="0E2BFB5C">
            <w:pPr>
              <w:keepNext w:val="0"/>
              <w:keepLines w:val="0"/>
              <w:pageBreakBefore w:val="0"/>
              <w:widowControl w:val="0"/>
              <w:kinsoku/>
              <w:overflowPunct/>
              <w:topLinePunct w:val="0"/>
              <w:bidi w:val="0"/>
              <w:spacing w:line="360" w:lineRule="exact"/>
              <w:jc w:val="left"/>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交货地点：新疆医科大学第五附属医院</w:t>
            </w:r>
          </w:p>
        </w:tc>
      </w:tr>
      <w:tr w14:paraId="787F4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shd w:val="clear" w:color="auto" w:fill="auto"/>
            <w:vAlign w:val="center"/>
          </w:tcPr>
          <w:p w14:paraId="6A3E2910">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18</w:t>
            </w:r>
          </w:p>
        </w:tc>
        <w:tc>
          <w:tcPr>
            <w:tcW w:w="8764" w:type="dxa"/>
            <w:shd w:val="clear" w:color="auto" w:fill="auto"/>
            <w:vAlign w:val="center"/>
          </w:tcPr>
          <w:p w14:paraId="26CF52DE">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政府采购强制采购：（1）标记*符号的节能产品；（2）其他。</w:t>
            </w:r>
          </w:p>
          <w:p w14:paraId="0CD48007">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采购最新一期《节能产品政府采购清单》的产品。</w:t>
            </w:r>
          </w:p>
          <w:p w14:paraId="49AB100E">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政府采购优先采购：（1）非标记*符号的节能产品；（2）环境标志产品；</w:t>
            </w:r>
          </w:p>
          <w:p w14:paraId="4F353E66">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采购产品为《节能产品政府采购清单》（最新期）内非标记*符号的节能产品及《环境标志产品政府采购清单》（最新期）内的产品：</w:t>
            </w:r>
          </w:p>
          <w:p w14:paraId="6726787F">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单一来源响应文件</w:t>
            </w:r>
            <w:r>
              <w:rPr>
                <w:rFonts w:hint="eastAsia" w:ascii="仿宋" w:hAnsi="仿宋" w:eastAsia="仿宋" w:cs="仿宋"/>
                <w:sz w:val="24"/>
                <w:szCs w:val="24"/>
              </w:rPr>
              <w:t>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8F81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shd w:val="clear" w:color="auto" w:fill="auto"/>
            <w:vAlign w:val="center"/>
          </w:tcPr>
          <w:p w14:paraId="739B28DE">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19</w:t>
            </w:r>
          </w:p>
        </w:tc>
        <w:tc>
          <w:tcPr>
            <w:tcW w:w="8764" w:type="dxa"/>
            <w:shd w:val="clear" w:color="auto" w:fill="auto"/>
            <w:vAlign w:val="center"/>
          </w:tcPr>
          <w:p w14:paraId="2BD5F262">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中小微企业政策文件：</w:t>
            </w:r>
          </w:p>
          <w:p w14:paraId="59507731">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4A8D7ADC">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4EA42FB0">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5B5B7318">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中小微企业政策文件说明</w:t>
            </w:r>
          </w:p>
          <w:p w14:paraId="0A2F9449">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kern w:val="2"/>
                <w:sz w:val="21"/>
                <w:lang w:val="en-US" w:eastAsia="zh-CN" w:bidi="ar-SA"/>
              </w:rPr>
            </w:pPr>
            <w:r>
              <w:rPr>
                <w:rFonts w:hint="eastAsia" w:ascii="仿宋" w:hAnsi="仿宋" w:eastAsia="仿宋" w:cs="仿宋"/>
                <w:sz w:val="24"/>
                <w:szCs w:val="24"/>
              </w:rPr>
              <w:t>1、采购限额标准以上，200万元以下的货物和服务采购项目、400万元以下的工程采购项目，适宜由中小企业提供的，采购人应当专门面向中小企业采购。</w:t>
            </w:r>
            <w:r>
              <w:rPr>
                <w:rFonts w:hint="eastAsia" w:ascii="仿宋" w:hAnsi="仿宋" w:eastAsia="仿宋" w:cs="仿宋"/>
                <w:sz w:val="24"/>
                <w:szCs w:val="24"/>
              </w:rPr>
              <w:br w:type="textWrapping"/>
            </w:r>
            <w:r>
              <w:rPr>
                <w:rFonts w:hint="eastAsia" w:ascii="仿宋" w:hAnsi="仿宋" w:eastAsia="仿宋" w:cs="仿宋"/>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sz w:val="24"/>
                <w:szCs w:val="24"/>
              </w:rPr>
              <w:br w:type="textWrapping"/>
            </w:r>
            <w:r>
              <w:rPr>
                <w:rFonts w:hint="eastAsia" w:ascii="仿宋" w:hAnsi="仿宋" w:eastAsia="仿宋" w:cs="仿宋"/>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rPr>
              <w:br w:type="textWrapping"/>
            </w:r>
            <w:r>
              <w:rPr>
                <w:rFonts w:hint="eastAsia" w:ascii="仿宋" w:hAnsi="仿宋" w:eastAsia="仿宋" w:cs="仿宋"/>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4F66C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0" w:type="dxa"/>
            <w:shd w:val="clear" w:color="auto" w:fill="auto"/>
            <w:vAlign w:val="center"/>
          </w:tcPr>
          <w:p w14:paraId="134D82FE">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w:t>
            </w:r>
          </w:p>
        </w:tc>
        <w:tc>
          <w:tcPr>
            <w:tcW w:w="8764" w:type="dxa"/>
            <w:shd w:val="clear" w:color="auto" w:fill="auto"/>
            <w:vAlign w:val="center"/>
          </w:tcPr>
          <w:p w14:paraId="64F2E06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供应商须仔细阅读本单一来源采购文件的所有条款。如果在商务、技术等方面有偏离，供应商须在</w:t>
            </w:r>
            <w:r>
              <w:rPr>
                <w:rFonts w:hint="eastAsia" w:ascii="仿宋" w:hAnsi="仿宋" w:eastAsia="仿宋" w:cs="仿宋"/>
                <w:color w:val="000000"/>
                <w:sz w:val="24"/>
                <w:szCs w:val="24"/>
              </w:rPr>
              <w:t>单一来源响应文件</w:t>
            </w:r>
            <w:r>
              <w:rPr>
                <w:rFonts w:hint="eastAsia" w:ascii="仿宋" w:hAnsi="仿宋" w:eastAsia="仿宋" w:cs="仿宋"/>
                <w:sz w:val="24"/>
                <w:szCs w:val="24"/>
              </w:rPr>
              <w:t>“商务偏离表”、“技术规格偏离表”中一一列出。另外，供应商应对字体置黑的条款、注有“投标无效”字样的条款、以及加注“*”号的条款引起重视，如不满足此类条款的规定，其后果由供应商自行承担。</w:t>
            </w:r>
          </w:p>
        </w:tc>
      </w:tr>
      <w:tr w14:paraId="1BD07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80" w:type="dxa"/>
            <w:shd w:val="clear" w:color="auto" w:fill="auto"/>
            <w:vAlign w:val="center"/>
          </w:tcPr>
          <w:p w14:paraId="52AA4F25">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21</w:t>
            </w:r>
          </w:p>
        </w:tc>
        <w:tc>
          <w:tcPr>
            <w:tcW w:w="8764" w:type="dxa"/>
            <w:shd w:val="clear" w:color="auto" w:fill="auto"/>
            <w:vAlign w:val="center"/>
          </w:tcPr>
          <w:p w14:paraId="77B9122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在评标过程直至签订合同前的任何时间，如经证实发现供应商提供虚假投标资料或信息骗取成交的，或者未按本单一来源采购文件要求提交履约保证金的（如有要求），将取消其成交供应商资格，没收其投标保证金，并报主管部门备案。</w:t>
            </w:r>
          </w:p>
        </w:tc>
      </w:tr>
      <w:tr w14:paraId="0F1F8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80" w:type="dxa"/>
            <w:shd w:val="clear" w:color="auto" w:fill="auto"/>
            <w:vAlign w:val="center"/>
          </w:tcPr>
          <w:p w14:paraId="358CA372">
            <w:pPr>
              <w:keepNext w:val="0"/>
              <w:keepLines w:val="0"/>
              <w:pageBreakBefore w:val="0"/>
              <w:widowControl w:val="0"/>
              <w:kinsoku/>
              <w:overflowPunct/>
              <w:topLinePunct w:val="0"/>
              <w:bidi w:val="0"/>
              <w:spacing w:line="360" w:lineRule="exact"/>
              <w:ind w:firstLine="120" w:firstLineChars="5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22</w:t>
            </w:r>
          </w:p>
        </w:tc>
        <w:tc>
          <w:tcPr>
            <w:tcW w:w="8764" w:type="dxa"/>
            <w:shd w:val="clear" w:color="auto" w:fill="auto"/>
            <w:vAlign w:val="center"/>
          </w:tcPr>
          <w:p w14:paraId="5DC76A2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注：供应商认为单一来源采购文件、采购过程、中标或者成交结果使自己的权益受到损害的，可以在知道或者应知其权益受到损害之日起7个工作日内，以书面形式向采购人、采购代理机构提出质疑。</w:t>
            </w:r>
          </w:p>
        </w:tc>
      </w:tr>
      <w:tr w14:paraId="457C6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80" w:type="dxa"/>
            <w:vAlign w:val="center"/>
          </w:tcPr>
          <w:p w14:paraId="2A1135A7">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w:t>
            </w:r>
          </w:p>
        </w:tc>
        <w:tc>
          <w:tcPr>
            <w:tcW w:w="8764" w:type="dxa"/>
            <w:shd w:val="clear" w:color="auto" w:fill="auto"/>
            <w:vAlign w:val="center"/>
          </w:tcPr>
          <w:p w14:paraId="5CD525B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 成交供应商须向招标代理机构按如下标准和规定交纳代理服务费：</w:t>
            </w:r>
          </w:p>
          <w:p w14:paraId="1F587C5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按照《国家计委关于印发招标代理服务收费管理暂行办法的通知（计价格[2002]1980号）及《招标代理服务收费有关问题》（发改办价格〔2003〕857号文）中规定</w:t>
            </w:r>
            <w:r>
              <w:rPr>
                <w:rFonts w:hint="eastAsia" w:ascii="仿宋" w:hAnsi="仿宋" w:eastAsia="仿宋" w:cs="仿宋"/>
                <w:color w:val="000000"/>
                <w:sz w:val="24"/>
                <w:szCs w:val="24"/>
                <w:lang w:eastAsia="zh-CN"/>
              </w:rPr>
              <w:t>下浮</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由</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单位向招标代理机构支付本项目代理费。收费标准如下：</w:t>
            </w:r>
          </w:p>
          <w:p w14:paraId="3695DFD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招标代理服务收费标准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tblGrid>
            <w:tr w14:paraId="501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31F00F2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金额（万元）</w:t>
                  </w:r>
                </w:p>
              </w:tc>
              <w:tc>
                <w:tcPr>
                  <w:tcW w:w="1546" w:type="dxa"/>
                  <w:noWrap w:val="0"/>
                  <w:vAlign w:val="top"/>
                </w:tcPr>
                <w:p w14:paraId="0C392AD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货物招标</w:t>
                  </w:r>
                </w:p>
              </w:tc>
              <w:tc>
                <w:tcPr>
                  <w:tcW w:w="1907" w:type="dxa"/>
                  <w:noWrap w:val="0"/>
                  <w:vAlign w:val="top"/>
                </w:tcPr>
                <w:p w14:paraId="022B6C7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服务招标</w:t>
                  </w:r>
                </w:p>
              </w:tc>
            </w:tr>
            <w:tr w14:paraId="054A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7B980EC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100以下</w:t>
                  </w:r>
                </w:p>
              </w:tc>
              <w:tc>
                <w:tcPr>
                  <w:tcW w:w="1546" w:type="dxa"/>
                  <w:noWrap w:val="0"/>
                  <w:vAlign w:val="center"/>
                </w:tcPr>
                <w:p w14:paraId="7A9EB17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1907" w:type="dxa"/>
                  <w:noWrap w:val="0"/>
                  <w:vAlign w:val="center"/>
                </w:tcPr>
                <w:p w14:paraId="01187DA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r>
            <w:tr w14:paraId="062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102BA87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100-500</w:t>
                  </w:r>
                </w:p>
              </w:tc>
              <w:tc>
                <w:tcPr>
                  <w:tcW w:w="1546" w:type="dxa"/>
                  <w:noWrap w:val="0"/>
                  <w:vAlign w:val="center"/>
                </w:tcPr>
                <w:p w14:paraId="15BA864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1.10%</w:t>
                  </w:r>
                </w:p>
              </w:tc>
              <w:tc>
                <w:tcPr>
                  <w:tcW w:w="1907" w:type="dxa"/>
                  <w:noWrap w:val="0"/>
                  <w:vAlign w:val="center"/>
                </w:tcPr>
                <w:p w14:paraId="3FDF54F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0.80</w:t>
                  </w:r>
                  <w:r>
                    <w:rPr>
                      <w:rFonts w:hint="eastAsia" w:ascii="仿宋" w:hAnsi="仿宋" w:eastAsia="仿宋" w:cs="仿宋"/>
                      <w:color w:val="000000"/>
                      <w:sz w:val="24"/>
                      <w:szCs w:val="24"/>
                    </w:rPr>
                    <w:t>%</w:t>
                  </w:r>
                </w:p>
              </w:tc>
            </w:tr>
            <w:tr w14:paraId="4AD7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50D7C76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500-1000</w:t>
                  </w:r>
                </w:p>
              </w:tc>
              <w:tc>
                <w:tcPr>
                  <w:tcW w:w="1546" w:type="dxa"/>
                  <w:noWrap w:val="0"/>
                  <w:vAlign w:val="center"/>
                </w:tcPr>
                <w:p w14:paraId="618C5F2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0.80%</w:t>
                  </w:r>
                </w:p>
              </w:tc>
              <w:tc>
                <w:tcPr>
                  <w:tcW w:w="1907" w:type="dxa"/>
                  <w:noWrap w:val="0"/>
                  <w:vAlign w:val="center"/>
                </w:tcPr>
                <w:p w14:paraId="1331150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45</w:t>
                  </w:r>
                  <w:r>
                    <w:rPr>
                      <w:rFonts w:hint="eastAsia" w:ascii="仿宋" w:hAnsi="仿宋" w:eastAsia="仿宋" w:cs="仿宋"/>
                      <w:color w:val="000000"/>
                      <w:sz w:val="24"/>
                      <w:szCs w:val="24"/>
                    </w:rPr>
                    <w:t>%</w:t>
                  </w:r>
                </w:p>
              </w:tc>
            </w:tr>
            <w:tr w14:paraId="7FBE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100095B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1000-5000</w:t>
                  </w:r>
                </w:p>
              </w:tc>
              <w:tc>
                <w:tcPr>
                  <w:tcW w:w="1546" w:type="dxa"/>
                  <w:noWrap w:val="0"/>
                  <w:vAlign w:val="center"/>
                </w:tcPr>
                <w:p w14:paraId="080EE11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0.50%</w:t>
                  </w:r>
                </w:p>
              </w:tc>
              <w:tc>
                <w:tcPr>
                  <w:tcW w:w="1907" w:type="dxa"/>
                  <w:noWrap w:val="0"/>
                  <w:vAlign w:val="center"/>
                </w:tcPr>
                <w:p w14:paraId="69012B4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w:t>
                  </w:r>
                </w:p>
              </w:tc>
            </w:tr>
          </w:tbl>
          <w:p w14:paraId="48FBAC8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招标代理服务收费按差额定率累进法计算。例如：某项目招标代理业务</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金额为2000万元，计算招标代理服务收费额如下：</w:t>
            </w:r>
          </w:p>
          <w:p w14:paraId="5D0788C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100万元×1.50%=1.5（万元）；</w:t>
            </w:r>
          </w:p>
          <w:p w14:paraId="56FEBF5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（500-100）万元×1.10%=4.4（万元）</w:t>
            </w:r>
          </w:p>
          <w:p w14:paraId="47919A6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（1000-500）万元×0.80%=4.0（万元）</w:t>
            </w:r>
          </w:p>
          <w:p w14:paraId="372F3D8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（2000-1000）万元×0.50%=5.0（万元）</w:t>
            </w:r>
          </w:p>
          <w:p w14:paraId="6636C6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合计收费=1.5+4.4+4.0+5.0=14.9(万元)。</w:t>
            </w:r>
          </w:p>
          <w:p w14:paraId="0CF6BF4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 代理服务费的交纳时间：</w:t>
            </w:r>
          </w:p>
          <w:p w14:paraId="201E890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在签定商务合同后的3日内以以上任何一种方式一次性向招标代理机构缴清。成交供应商如未按上述规定缴纳代理服务费，其保证金将不予退回。</w:t>
            </w:r>
          </w:p>
          <w:p w14:paraId="5567AAB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人民币（美元）帐户：</w:t>
            </w:r>
          </w:p>
          <w:p w14:paraId="28F753E7">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开户名称：中科高盛咨询集团有限公司乌鲁木齐分公司</w:t>
            </w:r>
          </w:p>
          <w:p w14:paraId="11FD6FD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开户银行：兴业银行股份有限公司乌鲁木齐南湖路支行</w:t>
            </w:r>
          </w:p>
          <w:p w14:paraId="00E4EC3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帐    号：512030100100246905</w:t>
            </w:r>
          </w:p>
          <w:p w14:paraId="5B32117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行    号：309881002036</w:t>
            </w:r>
          </w:p>
        </w:tc>
      </w:tr>
    </w:tbl>
    <w:p w14:paraId="0DCFA675">
      <w:pPr>
        <w:rPr>
          <w:rFonts w:hint="eastAsia" w:ascii="仿宋" w:hAnsi="仿宋" w:eastAsia="仿宋" w:cs="仿宋"/>
        </w:rPr>
      </w:pPr>
    </w:p>
    <w:bookmarkEnd w:id="8"/>
    <w:p w14:paraId="75013CB6">
      <w:pPr>
        <w:pStyle w:val="3"/>
        <w:rPr>
          <w:rFonts w:hint="eastAsia" w:ascii="仿宋" w:hAnsi="仿宋" w:eastAsia="仿宋" w:cs="仿宋"/>
        </w:rPr>
      </w:pPr>
      <w:bookmarkStart w:id="14" w:name="_Toc82497894"/>
      <w:bookmarkEnd w:id="14"/>
      <w:bookmarkStart w:id="15" w:name="_Toc65158527"/>
      <w:bookmarkEnd w:id="15"/>
      <w:bookmarkStart w:id="16" w:name="_Toc31678"/>
      <w:bookmarkEnd w:id="16"/>
      <w:bookmarkStart w:id="17" w:name="_Toc56170380"/>
      <w:bookmarkEnd w:id="17"/>
      <w:r>
        <w:rPr>
          <w:rFonts w:hint="eastAsia" w:ascii="仿宋" w:hAnsi="仿宋" w:eastAsia="仿宋" w:cs="仿宋"/>
        </w:rPr>
        <w:br w:type="page"/>
      </w:r>
      <w:bookmarkStart w:id="18" w:name="_Toc18585"/>
      <w:r>
        <w:rPr>
          <w:rFonts w:hint="eastAsia" w:ascii="仿宋" w:hAnsi="仿宋" w:eastAsia="仿宋" w:cs="仿宋"/>
        </w:rPr>
        <w:t>一、总 则</w:t>
      </w:r>
      <w:bookmarkEnd w:id="18"/>
    </w:p>
    <w:p w14:paraId="5130EA09">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1. 合格的供应商</w:t>
      </w:r>
    </w:p>
    <w:p w14:paraId="3F42B584">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1.1 凡符合《中华人民共和国政府采购法》第二十二条款规定的、有提供谈判服务的资格和能力，技术规范，并具有有效的营业执照、相关资质证书的国内供应商，符合本项目谈判公告资质要求的，承认和履行单一来源采购文件中的各项规定者，均可参加谈判。（见谈判须知前附表1）</w:t>
      </w:r>
    </w:p>
    <w:p w14:paraId="57DC8BD5">
      <w:pPr>
        <w:pStyle w:val="33"/>
        <w:spacing w:line="360" w:lineRule="auto"/>
        <w:ind w:firstLine="562"/>
        <w:rPr>
          <w:rFonts w:hint="eastAsia" w:ascii="仿宋" w:hAnsi="仿宋" w:eastAsia="仿宋" w:cs="仿宋"/>
          <w:sz w:val="28"/>
        </w:rPr>
      </w:pPr>
      <w:r>
        <w:rPr>
          <w:rFonts w:hint="eastAsia" w:ascii="仿宋" w:hAnsi="仿宋" w:eastAsia="仿宋" w:cs="仿宋"/>
          <w:sz w:val="28"/>
        </w:rPr>
        <w:t>1.2 凡参加谈判的供应商必须具有国际或国内相应的资质等级，信誉可靠，且应具有履行本单一来源采购文件规定的有关义务的能力。</w:t>
      </w:r>
    </w:p>
    <w:p w14:paraId="731B84B5">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1.3 供应商在本次谈判活动中，必须遵循《中华人民共和国政府采购法》及其实施条例（658号令）、《政府采购货物和服务招标投标管理办法》（财政部87号令）、《财政部关于加强政府采购货物和服务项目价格评审管理的通知》财库（2007）2号文、《政府采购非招标采购方式管理办法》（74号令）的规定。</w:t>
      </w:r>
    </w:p>
    <w:p w14:paraId="23D88A8C">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1.4 本项目不接受联合体投标。</w:t>
      </w:r>
    </w:p>
    <w:p w14:paraId="17DFBDAD">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1.5 不符合1.1、1.2、1.3、1.4条款规定的供应商，其投标将被拒绝。</w:t>
      </w:r>
    </w:p>
    <w:p w14:paraId="1D57E2A0">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 定义</w:t>
      </w:r>
    </w:p>
    <w:p w14:paraId="7C5194B9">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2.1“采购代理机构”系指中科高盛咨询集团有限公司</w:t>
      </w:r>
    </w:p>
    <w:p w14:paraId="5816B7FC">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2.2“供应商”系指向采购代理机构提交单一来源响应文件的货物制造商、经销商。</w:t>
      </w:r>
    </w:p>
    <w:p w14:paraId="62349E7C">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2.3“货物”系指卖方按合同要求，须向买方提供的设计文件、货物、机械、材料、备品、手册及其他技术资料和材料。</w:t>
      </w:r>
    </w:p>
    <w:p w14:paraId="071B43C1">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2.4“服务”系指按合同规定卖方须承担的运输、装卸、安装调试、技术协助、培训和交付使用后质保期内应履行的义务及售后服务等其他类似的义务。</w:t>
      </w:r>
    </w:p>
    <w:p w14:paraId="72B439A0">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2.5“卖方”系指提供合同货物和服务的经济实体。本次招标指有关成交供应商。</w:t>
      </w:r>
    </w:p>
    <w:p w14:paraId="58435A88">
      <w:pPr>
        <w:pStyle w:val="33"/>
        <w:spacing w:line="360" w:lineRule="auto"/>
        <w:ind w:firstLine="561"/>
        <w:jc w:val="both"/>
        <w:rPr>
          <w:rFonts w:hint="eastAsia" w:ascii="仿宋" w:hAnsi="仿宋" w:eastAsia="仿宋" w:cs="仿宋"/>
          <w:sz w:val="28"/>
        </w:rPr>
      </w:pPr>
      <w:r>
        <w:rPr>
          <w:rFonts w:hint="eastAsia" w:ascii="仿宋" w:hAnsi="仿宋" w:eastAsia="仿宋" w:cs="仿宋"/>
          <w:sz w:val="28"/>
        </w:rPr>
        <w:t>2.6“买方”系指购买货物和服务的单位，即为本次谈判的采购人。</w:t>
      </w:r>
    </w:p>
    <w:p w14:paraId="465A51C6">
      <w:pPr>
        <w:pStyle w:val="33"/>
        <w:spacing w:line="360" w:lineRule="auto"/>
        <w:ind w:firstLine="561"/>
        <w:jc w:val="both"/>
        <w:rPr>
          <w:rFonts w:hint="eastAsia" w:ascii="仿宋" w:hAnsi="仿宋" w:eastAsia="仿宋" w:cs="仿宋"/>
          <w:sz w:val="28"/>
        </w:rPr>
      </w:pPr>
      <w:r>
        <w:rPr>
          <w:rFonts w:hint="eastAsia" w:ascii="仿宋" w:hAnsi="仿宋" w:eastAsia="仿宋" w:cs="仿宋"/>
          <w:sz w:val="28"/>
        </w:rPr>
        <w:t xml:space="preserve">2.7“节能产品”或者“环保产品”是指财政部发布的《节能产品政府采购清单》或者《环境标志产品政府采购清单》的产品。 </w:t>
      </w:r>
    </w:p>
    <w:p w14:paraId="5CD631F4">
      <w:pPr>
        <w:pStyle w:val="33"/>
        <w:spacing w:line="360" w:lineRule="auto"/>
        <w:ind w:firstLine="561"/>
        <w:rPr>
          <w:rFonts w:hint="eastAsia" w:ascii="仿宋" w:hAnsi="仿宋" w:eastAsia="仿宋" w:cs="仿宋"/>
          <w:sz w:val="28"/>
        </w:rPr>
      </w:pPr>
      <w:r>
        <w:rPr>
          <w:rFonts w:hint="eastAsia" w:ascii="仿宋" w:hAnsi="仿宋" w:eastAsia="仿宋" w:cs="仿宋"/>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0802CD">
      <w:pPr>
        <w:pStyle w:val="33"/>
        <w:spacing w:line="360" w:lineRule="auto"/>
        <w:ind w:firstLine="561"/>
        <w:rPr>
          <w:rFonts w:hint="eastAsia" w:ascii="仿宋" w:hAnsi="仿宋" w:eastAsia="仿宋" w:cs="仿宋"/>
          <w:sz w:val="28"/>
        </w:rPr>
      </w:pPr>
      <w:r>
        <w:rPr>
          <w:rFonts w:hint="eastAsia" w:ascii="仿宋" w:hAnsi="仿宋" w:eastAsia="仿宋" w:cs="仿宋"/>
          <w:sz w:val="28"/>
        </w:rPr>
        <w:t>3. 其他要求</w:t>
      </w:r>
    </w:p>
    <w:p w14:paraId="0938F6DA">
      <w:pPr>
        <w:pStyle w:val="33"/>
        <w:spacing w:line="360" w:lineRule="auto"/>
        <w:ind w:firstLine="561"/>
        <w:rPr>
          <w:rFonts w:hint="eastAsia" w:ascii="仿宋" w:hAnsi="仿宋" w:eastAsia="仿宋" w:cs="仿宋"/>
          <w:sz w:val="28"/>
        </w:rPr>
      </w:pPr>
      <w:r>
        <w:rPr>
          <w:rFonts w:hint="eastAsia" w:ascii="仿宋" w:hAnsi="仿宋" w:eastAsia="仿宋" w:cs="仿宋"/>
          <w:sz w:val="28"/>
        </w:rPr>
        <w:t>3.1 供应商应自行承担所有与本次谈判有关的费用，而不论谈判的结果如何。</w:t>
      </w:r>
    </w:p>
    <w:p w14:paraId="323B6595">
      <w:pPr>
        <w:pStyle w:val="33"/>
        <w:spacing w:line="360" w:lineRule="auto"/>
        <w:ind w:firstLine="561"/>
        <w:rPr>
          <w:rFonts w:hint="eastAsia" w:ascii="仿宋" w:hAnsi="仿宋" w:eastAsia="仿宋" w:cs="仿宋"/>
          <w:sz w:val="28"/>
        </w:rPr>
      </w:pPr>
      <w:r>
        <w:rPr>
          <w:rFonts w:hint="eastAsia" w:ascii="仿宋" w:hAnsi="仿宋" w:eastAsia="仿宋" w:cs="仿宋"/>
          <w:sz w:val="28"/>
        </w:rPr>
        <w:t>3.2 政府采购政策支持</w:t>
      </w:r>
    </w:p>
    <w:p w14:paraId="7B46C306">
      <w:pPr>
        <w:pStyle w:val="33"/>
        <w:keepNext w:val="0"/>
        <w:keepLines w:val="0"/>
        <w:pageBreakBefore w:val="0"/>
        <w:widowControl w:val="0"/>
        <w:kinsoku/>
        <w:wordWrap w:val="0"/>
        <w:overflowPunct/>
        <w:topLinePunct w:val="0"/>
        <w:autoSpaceDE w:val="0"/>
        <w:autoSpaceDN w:val="0"/>
        <w:bidi w:val="0"/>
        <w:adjustRightInd w:val="0"/>
        <w:snapToGrid/>
        <w:spacing w:line="360" w:lineRule="auto"/>
        <w:ind w:firstLine="561"/>
        <w:textAlignment w:val="auto"/>
        <w:rPr>
          <w:rFonts w:hint="eastAsia" w:ascii="仿宋" w:hAnsi="仿宋" w:eastAsia="仿宋" w:cs="仿宋"/>
          <w:sz w:val="28"/>
        </w:rPr>
      </w:pPr>
      <w:r>
        <w:rPr>
          <w:rFonts w:hint="eastAsia" w:ascii="仿宋" w:hAnsi="仿宋" w:eastAsia="仿宋" w:cs="仿宋"/>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人须知前附表。</w:t>
      </w:r>
    </w:p>
    <w:p w14:paraId="0D54EDF2">
      <w:pPr>
        <w:pStyle w:val="33"/>
        <w:spacing w:line="360" w:lineRule="auto"/>
        <w:ind w:firstLine="561"/>
        <w:rPr>
          <w:rFonts w:hint="eastAsia" w:ascii="仿宋" w:hAnsi="仿宋" w:eastAsia="仿宋" w:cs="仿宋"/>
          <w:sz w:val="28"/>
        </w:rPr>
      </w:pPr>
      <w:r>
        <w:rPr>
          <w:rFonts w:hint="eastAsia" w:ascii="仿宋" w:hAnsi="仿宋" w:eastAsia="仿宋" w:cs="仿宋"/>
          <w:sz w:val="28"/>
        </w:rPr>
        <w:t>3.2.2 同一项目中部分产品属于优先采购政策的，评审时只对该部分产品的报价实行价格优惠。</w:t>
      </w:r>
    </w:p>
    <w:p w14:paraId="780C62C8">
      <w:pPr>
        <w:pStyle w:val="33"/>
        <w:spacing w:line="360" w:lineRule="auto"/>
        <w:ind w:firstLine="561"/>
        <w:rPr>
          <w:rFonts w:hint="eastAsia" w:ascii="仿宋" w:hAnsi="仿宋" w:eastAsia="仿宋" w:cs="仿宋"/>
          <w:sz w:val="28"/>
        </w:rPr>
      </w:pPr>
      <w:r>
        <w:rPr>
          <w:rFonts w:hint="eastAsia" w:ascii="仿宋" w:hAnsi="仿宋" w:eastAsia="仿宋" w:cs="仿宋"/>
          <w:sz w:val="28"/>
        </w:rPr>
        <w:t>3.2.3 为推进政府采购诚信体系建设，供应商在签署相关承诺，提供相关信息前，应认真阅读财政部门相关政策规定。</w:t>
      </w:r>
    </w:p>
    <w:p w14:paraId="2972E95B">
      <w:pPr>
        <w:pStyle w:val="3"/>
        <w:spacing w:line="360" w:lineRule="auto"/>
        <w:rPr>
          <w:rFonts w:hint="eastAsia" w:ascii="仿宋" w:hAnsi="仿宋" w:eastAsia="仿宋" w:cs="仿宋"/>
        </w:rPr>
      </w:pPr>
      <w:bookmarkStart w:id="19" w:name="_Toc56170381"/>
      <w:bookmarkEnd w:id="19"/>
      <w:bookmarkStart w:id="20" w:name="_Toc13516"/>
      <w:bookmarkEnd w:id="20"/>
      <w:bookmarkStart w:id="21" w:name="_Toc65158528"/>
      <w:bookmarkEnd w:id="21"/>
      <w:bookmarkStart w:id="22" w:name="_Toc82497895"/>
      <w:bookmarkEnd w:id="22"/>
      <w:bookmarkStart w:id="23" w:name="_Toc30341"/>
      <w:r>
        <w:rPr>
          <w:rFonts w:hint="eastAsia" w:ascii="仿宋" w:hAnsi="仿宋" w:eastAsia="仿宋" w:cs="仿宋"/>
        </w:rPr>
        <w:t>二、单一来源采购文件</w:t>
      </w:r>
      <w:bookmarkEnd w:id="23"/>
    </w:p>
    <w:p w14:paraId="6B42FC1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4. 单一来源采购文件</w:t>
      </w:r>
    </w:p>
    <w:p w14:paraId="083AEE7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4.1 单一来源采购文件用以阐明所需货物和服务、招标投标程序和合同条款。包括：</w:t>
      </w:r>
    </w:p>
    <w:p w14:paraId="3FFC29A4">
      <w:pPr>
        <w:pStyle w:val="33"/>
        <w:spacing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4.1.1 单一来源邀请公告</w:t>
      </w:r>
    </w:p>
    <w:p w14:paraId="47FAFDD7">
      <w:pPr>
        <w:pStyle w:val="33"/>
        <w:spacing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4.1.2 谈判须知</w:t>
      </w:r>
    </w:p>
    <w:p w14:paraId="2F9740C1">
      <w:pPr>
        <w:pStyle w:val="33"/>
        <w:spacing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4.1.3 谈判内容及技术要求</w:t>
      </w:r>
    </w:p>
    <w:p w14:paraId="29D4C713">
      <w:pPr>
        <w:pStyle w:val="33"/>
        <w:spacing w:line="360" w:lineRule="auto"/>
        <w:ind w:firstLine="560"/>
        <w:jc w:val="both"/>
        <w:rPr>
          <w:rFonts w:hint="eastAsia" w:ascii="仿宋" w:hAnsi="仿宋" w:eastAsia="仿宋" w:cs="仿宋"/>
          <w:sz w:val="28"/>
          <w:szCs w:val="28"/>
        </w:rPr>
      </w:pPr>
      <w:r>
        <w:rPr>
          <w:rFonts w:hint="eastAsia" w:ascii="仿宋" w:hAnsi="仿宋" w:eastAsia="仿宋" w:cs="仿宋"/>
          <w:sz w:val="28"/>
          <w:szCs w:val="28"/>
        </w:rPr>
        <w:t>4.1.4 合同</w:t>
      </w:r>
    </w:p>
    <w:p w14:paraId="3D8E4867">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4.1.5 单一来源响应文件格式</w:t>
      </w:r>
    </w:p>
    <w:p w14:paraId="29CEA991">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4.2 供应商应认真阅读单一来源采购文件中所有的事项、格式、条款和规范等要求。如果没有按照单一来源采购文件要求提交全部资料或者单一来源响应文件没有对单一来源采购文件做出实质性响应，其投标将被拒绝。</w:t>
      </w:r>
    </w:p>
    <w:p w14:paraId="36F64A1A">
      <w:pPr>
        <w:pStyle w:val="33"/>
        <w:spacing w:line="360" w:lineRule="auto"/>
        <w:ind w:firstLine="560"/>
        <w:jc w:val="both"/>
        <w:rPr>
          <w:rFonts w:hint="eastAsia" w:ascii="仿宋" w:hAnsi="仿宋" w:eastAsia="仿宋" w:cs="仿宋"/>
          <w:color w:val="auto"/>
          <w:sz w:val="28"/>
        </w:rPr>
      </w:pPr>
      <w:r>
        <w:rPr>
          <w:rFonts w:hint="eastAsia" w:ascii="仿宋" w:hAnsi="仿宋" w:eastAsia="仿宋" w:cs="仿宋"/>
          <w:color w:val="auto"/>
          <w:sz w:val="28"/>
        </w:rPr>
        <w:t>5. 单一来源采购文件的澄清和修改</w:t>
      </w:r>
    </w:p>
    <w:p w14:paraId="46112C43">
      <w:pPr>
        <w:pStyle w:val="33"/>
        <w:spacing w:line="360" w:lineRule="auto"/>
        <w:ind w:firstLine="560"/>
        <w:jc w:val="both"/>
        <w:rPr>
          <w:rFonts w:hint="eastAsia" w:ascii="仿宋" w:hAnsi="仿宋" w:eastAsia="仿宋" w:cs="仿宋"/>
          <w:sz w:val="28"/>
        </w:rPr>
      </w:pPr>
      <w:r>
        <w:rPr>
          <w:rFonts w:hint="eastAsia" w:ascii="仿宋" w:hAnsi="仿宋" w:eastAsia="仿宋" w:cs="仿宋"/>
          <w:color w:val="auto"/>
          <w:sz w:val="28"/>
        </w:rPr>
        <w:t>5.1 采购人如需对已发出的单一来源采购文件进行必要澄清或者修改的，澄清或者修改的的内容可能影响到单一来源响应文件编制的，采购代理机构应当在单一来源响应文件递交截止时间五日前，以书面形式通知所有获取单一来源采购文件的潜在供应商。该澄清或者修改的内容为</w:t>
      </w:r>
      <w:r>
        <w:rPr>
          <w:rFonts w:hint="eastAsia" w:ascii="仿宋" w:hAnsi="仿宋" w:eastAsia="仿宋" w:cs="仿宋"/>
          <w:sz w:val="28"/>
        </w:rPr>
        <w:t>单一来源采购文件的组成部分。</w:t>
      </w:r>
    </w:p>
    <w:p w14:paraId="073BC5C0">
      <w:pPr>
        <w:pStyle w:val="3"/>
        <w:spacing w:line="360" w:lineRule="auto"/>
        <w:rPr>
          <w:rFonts w:hint="eastAsia" w:ascii="仿宋" w:hAnsi="仿宋" w:eastAsia="仿宋" w:cs="仿宋"/>
        </w:rPr>
      </w:pPr>
      <w:bookmarkStart w:id="24" w:name="_Toc56170382"/>
      <w:bookmarkEnd w:id="24"/>
      <w:bookmarkStart w:id="25" w:name="_Toc11558"/>
      <w:bookmarkEnd w:id="25"/>
      <w:bookmarkStart w:id="26" w:name="_Toc65158529"/>
      <w:bookmarkEnd w:id="26"/>
      <w:bookmarkStart w:id="27" w:name="_Toc82497896"/>
      <w:bookmarkEnd w:id="27"/>
      <w:bookmarkStart w:id="28" w:name="_Toc13988"/>
      <w:r>
        <w:rPr>
          <w:rFonts w:hint="eastAsia" w:ascii="仿宋" w:hAnsi="仿宋" w:eastAsia="仿宋" w:cs="仿宋"/>
        </w:rPr>
        <w:t>三、单一来源响应文件的编制</w:t>
      </w:r>
      <w:bookmarkEnd w:id="28"/>
    </w:p>
    <w:p w14:paraId="79CCC51F">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6. 单一来源响应文件的编写</w:t>
      </w:r>
    </w:p>
    <w:p w14:paraId="153BE482">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sz w:val="28"/>
          <w:lang w:val="en-US" w:eastAsia="zh-CN"/>
        </w:rPr>
        <w:t xml:space="preserve">6.1 </w:t>
      </w:r>
      <w:r>
        <w:rPr>
          <w:rFonts w:hint="eastAsia" w:ascii="仿宋" w:hAnsi="仿宋" w:eastAsia="仿宋" w:cs="仿宋"/>
          <w:color w:val="000000"/>
          <w:kern w:val="0"/>
          <w:sz w:val="28"/>
          <w:lang w:val="en-US" w:eastAsia="zh-CN" w:bidi="ar-SA"/>
        </w:rPr>
        <w:t>电子响应文件的制作要求</w:t>
      </w:r>
    </w:p>
    <w:p w14:paraId="53251252">
      <w:pPr>
        <w:pStyle w:val="6"/>
        <w:shd w:val="clear" w:color="auto" w:fill="auto"/>
        <w:snapToGrid w:val="0"/>
        <w:spacing w:line="360" w:lineRule="auto"/>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1）供应商应按照单一来源采购文件组成内容及项目招标需求和新疆政府采购云平台要求制作响应文件，不按单一来源采购文件和新疆政府采购云平台要求制作响应文件的将视情况处理（拒收等），由此产生的责任由供应商自行承担。</w:t>
      </w:r>
    </w:p>
    <w:p w14:paraId="4464E151">
      <w:pPr>
        <w:pStyle w:val="6"/>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电子响应文件部分：供应商应根据“政采云供应商项目采购-电子招投标操作指南”及本采购文件规定的格式和顺序编制电子投标文件并进行关联定位。本文</w:t>
      </w:r>
      <w:r>
        <w:rPr>
          <w:rFonts w:hint="eastAsia" w:ascii="仿宋" w:hAnsi="仿宋" w:eastAsia="仿宋" w:cs="仿宋"/>
          <w:color w:val="000000"/>
          <w:kern w:val="0"/>
          <w:sz w:val="28"/>
          <w:highlight w:val="none"/>
          <w:lang w:val="en-US" w:eastAsia="zh-CN" w:bidi="ar-SA"/>
        </w:rPr>
        <w:t>件《第五章、单一来源响应文件格式》中</w:t>
      </w:r>
      <w:r>
        <w:rPr>
          <w:rFonts w:hint="eastAsia" w:ascii="仿宋" w:hAnsi="仿宋" w:eastAsia="仿宋" w:cs="仿宋"/>
          <w:color w:val="000000"/>
          <w:kern w:val="0"/>
          <w:sz w:val="28"/>
          <w:lang w:val="en-US" w:eastAsia="zh-CN" w:bidi="ar-SA"/>
        </w:rPr>
        <w:t>有提供格式的，供应商应按照格式进行编制（格式中要求提供相关证明材料的还需后附相关证明材料），并按格式要求在指定位置根据要求进行签章，否则视为未提供；本文件《第五章、单一来源响应文件格式》未提供格式的，请供应商自行拟定格式，并加盖单位公章，否则视为未提供。</w:t>
      </w:r>
    </w:p>
    <w:p w14:paraId="300FDCD8">
      <w:pPr>
        <w:pStyle w:val="6"/>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备份电子响应文件：通过“政采云”平台电子投标工具制作响应文件所产生的备份文件。</w:t>
      </w:r>
    </w:p>
    <w:p w14:paraId="50AFF442">
      <w:pPr>
        <w:pStyle w:val="6"/>
        <w:shd w:val="clear" w:color="auto" w:fill="auto"/>
        <w:snapToGrid w:val="0"/>
        <w:spacing w:line="360" w:lineRule="auto"/>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（2）供应商应对所提供的全部资料的真实性、有效性承担法律责任，电子响应文件中所须加盖公章部分均采用CA签章。</w:t>
      </w:r>
    </w:p>
    <w:p w14:paraId="6E1030E1">
      <w:pPr>
        <w:pStyle w:val="6"/>
        <w:shd w:val="clear" w:color="auto" w:fill="auto"/>
        <w:snapToGrid w:val="0"/>
        <w:spacing w:line="360" w:lineRule="auto"/>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（3）响应文件以及供应商与采购组织机构就有关投标事宜的所有来往函电，均应以中文汉语书写。除签字、盖章、专用名称等特殊情形外，以中文汉语以外的文字表述的响应文件视同未提供。</w:t>
      </w:r>
    </w:p>
    <w:p w14:paraId="2270CA47">
      <w:pPr>
        <w:pStyle w:val="6"/>
        <w:shd w:val="clear" w:color="auto" w:fill="auto"/>
        <w:snapToGrid w:val="0"/>
        <w:spacing w:line="360" w:lineRule="auto"/>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（4）投标计量单位，采购文件已有明确规定的，使用采购文件规定的计量单位；采购文件没有规定的，应采用中华人民共和国法定计量单位（货币单位：人民币元）。</w:t>
      </w:r>
    </w:p>
    <w:p w14:paraId="4624A32A">
      <w:pPr>
        <w:pStyle w:val="6"/>
        <w:shd w:val="clear" w:color="auto" w:fill="auto"/>
        <w:snapToGrid w:val="0"/>
        <w:spacing w:line="360" w:lineRule="auto"/>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（5）若供应商不按采购文件的要求提供资格审查材料，其风险由供应商自行承担。</w:t>
      </w:r>
    </w:p>
    <w:p w14:paraId="1A9FCDBE">
      <w:pPr>
        <w:pStyle w:val="33"/>
        <w:spacing w:line="360" w:lineRule="auto"/>
        <w:ind w:firstLine="560"/>
        <w:jc w:val="both"/>
        <w:rPr>
          <w:rFonts w:hint="eastAsia" w:ascii="仿宋" w:hAnsi="仿宋" w:eastAsia="仿宋" w:cs="仿宋"/>
          <w:sz w:val="28"/>
          <w:lang w:val="en-US" w:eastAsia="zh-CN"/>
        </w:rPr>
      </w:pPr>
      <w:r>
        <w:rPr>
          <w:rFonts w:hint="eastAsia" w:ascii="仿宋" w:hAnsi="仿宋" w:eastAsia="仿宋" w:cs="仿宋"/>
          <w:color w:val="000000"/>
          <w:kern w:val="0"/>
          <w:sz w:val="28"/>
          <w:lang w:val="en-US" w:eastAsia="zh-CN" w:bidi="ar-SA"/>
        </w:rPr>
        <w:t>（6）与本次投标无关的内容请不要制作在内，确保投标文件有针对性、简洁明了。</w:t>
      </w:r>
    </w:p>
    <w:p w14:paraId="4861D26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7. 单一来源响应文件的语言及计量单位</w:t>
      </w:r>
    </w:p>
    <w:p w14:paraId="04B48CB3">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7.1 供应商的单一来源响应文件以及供应商与采购代理机构就有关谈判活动的所有来往函电均应使用中文。如果单一来源响应文件或与投标有关的其它文件、信件及来往函电以其它语言书写的，供应商应将其译成中文。</w:t>
      </w:r>
    </w:p>
    <w:p w14:paraId="201D359F">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7.2 单一来源响应文件中所使用的计量单位除单一来源采购文件中有特殊规定外，一律使用法定计量单位。</w:t>
      </w:r>
    </w:p>
    <w:p w14:paraId="53287C5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8. 单一来源响应文件构成</w:t>
      </w:r>
    </w:p>
    <w:p w14:paraId="5F86294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8.1 供应商编写的单一来源响应文件应按下列顺序及内容提供：</w:t>
      </w:r>
    </w:p>
    <w:p w14:paraId="1CD606E8">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8.1.1 资格证明文件（以下文件必须在有效期内）</w:t>
      </w:r>
    </w:p>
    <w:p w14:paraId="75A761BD">
      <w:pPr>
        <w:pStyle w:val="33"/>
        <w:spacing w:line="360" w:lineRule="auto"/>
        <w:ind w:firstLine="562"/>
        <w:jc w:val="both"/>
        <w:rPr>
          <w:rFonts w:hint="eastAsia" w:ascii="仿宋" w:hAnsi="仿宋" w:eastAsia="仿宋" w:cs="仿宋"/>
          <w:bCs/>
          <w:sz w:val="28"/>
          <w:highlight w:val="none"/>
        </w:rPr>
      </w:pPr>
      <w:r>
        <w:rPr>
          <w:rFonts w:hint="eastAsia" w:ascii="仿宋" w:hAnsi="仿宋" w:eastAsia="仿宋" w:cs="仿宋"/>
          <w:sz w:val="28"/>
        </w:rPr>
        <w:t>（1</w:t>
      </w:r>
      <w:r>
        <w:rPr>
          <w:rFonts w:hint="eastAsia" w:ascii="仿宋" w:hAnsi="仿宋" w:eastAsia="仿宋" w:cs="仿宋"/>
          <w:sz w:val="28"/>
          <w:highlight w:val="none"/>
        </w:rPr>
        <w:t>） 见谈判须知前附表序号6——资格证明文件</w:t>
      </w:r>
    </w:p>
    <w:p w14:paraId="065CA288">
      <w:pPr>
        <w:pStyle w:val="33"/>
        <w:spacing w:line="360" w:lineRule="auto"/>
        <w:ind w:firstLine="562"/>
        <w:jc w:val="both"/>
        <w:rPr>
          <w:rFonts w:hint="eastAsia" w:ascii="仿宋" w:hAnsi="仿宋" w:eastAsia="仿宋" w:cs="仿宋"/>
        </w:rPr>
      </w:pPr>
      <w:r>
        <w:rPr>
          <w:rFonts w:hint="eastAsia" w:ascii="仿宋" w:hAnsi="仿宋" w:eastAsia="仿宋" w:cs="仿宋"/>
          <w:sz w:val="28"/>
          <w:szCs w:val="22"/>
        </w:rPr>
        <w:t xml:space="preserve">（2） </w:t>
      </w:r>
      <w:r>
        <w:rPr>
          <w:rFonts w:hint="eastAsia" w:ascii="仿宋" w:hAnsi="仿宋" w:eastAsia="仿宋" w:cs="仿宋"/>
          <w:sz w:val="28"/>
        </w:rPr>
        <w:t>供应商认为有必要提供的声明及文件资料。</w:t>
      </w:r>
    </w:p>
    <w:p w14:paraId="2B1237DC">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8.1.2 商务部分</w:t>
      </w:r>
    </w:p>
    <w:p w14:paraId="5CB506A8">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 单一来源响应文件</w:t>
      </w:r>
    </w:p>
    <w:p w14:paraId="44CE99F3">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（2） 开标一览表</w:t>
      </w:r>
    </w:p>
    <w:p w14:paraId="1B758AB7">
      <w:pPr>
        <w:pStyle w:val="33"/>
        <w:spacing w:line="360" w:lineRule="auto"/>
        <w:ind w:firstLine="562" w:firstLineChars="201"/>
        <w:jc w:val="both"/>
        <w:rPr>
          <w:rFonts w:hint="eastAsia" w:ascii="仿宋" w:hAnsi="仿宋" w:eastAsia="仿宋" w:cs="仿宋"/>
          <w:sz w:val="28"/>
        </w:rPr>
      </w:pPr>
      <w:r>
        <w:rPr>
          <w:rFonts w:hint="eastAsia" w:ascii="仿宋" w:hAnsi="仿宋" w:eastAsia="仿宋" w:cs="仿宋"/>
          <w:sz w:val="28"/>
        </w:rPr>
        <w:t>（3） 分项报价表</w:t>
      </w:r>
    </w:p>
    <w:p w14:paraId="449C5CAA">
      <w:pPr>
        <w:pStyle w:val="33"/>
        <w:spacing w:line="360" w:lineRule="auto"/>
        <w:ind w:firstLine="562" w:firstLineChars="201"/>
        <w:jc w:val="both"/>
        <w:rPr>
          <w:rFonts w:hint="eastAsia" w:ascii="仿宋" w:hAnsi="仿宋" w:eastAsia="仿宋" w:cs="仿宋"/>
          <w:sz w:val="28"/>
        </w:rPr>
      </w:pPr>
      <w:r>
        <w:rPr>
          <w:rFonts w:hint="eastAsia" w:ascii="仿宋" w:hAnsi="仿宋" w:eastAsia="仿宋" w:cs="仿宋"/>
          <w:sz w:val="28"/>
        </w:rPr>
        <w:t>（4） 商务条款偏离表</w:t>
      </w:r>
    </w:p>
    <w:p w14:paraId="4EFAFB2B">
      <w:pPr>
        <w:pStyle w:val="33"/>
        <w:spacing w:line="360" w:lineRule="auto"/>
        <w:ind w:firstLine="548" w:firstLineChars="196"/>
        <w:jc w:val="both"/>
        <w:rPr>
          <w:rFonts w:hint="eastAsia" w:ascii="仿宋" w:hAnsi="仿宋" w:eastAsia="仿宋" w:cs="仿宋"/>
          <w:sz w:val="28"/>
        </w:rPr>
      </w:pPr>
      <w:r>
        <w:rPr>
          <w:rFonts w:hint="eastAsia" w:ascii="仿宋" w:hAnsi="仿宋" w:eastAsia="仿宋" w:cs="仿宋"/>
          <w:sz w:val="28"/>
        </w:rPr>
        <w:t>（5） 近三年相同产品销售业绩（须提供加盖企业公章的合同或者中标（成交）通知书复印件）</w:t>
      </w:r>
    </w:p>
    <w:p w14:paraId="5FEBA2C8">
      <w:pPr>
        <w:pStyle w:val="33"/>
        <w:spacing w:line="360" w:lineRule="auto"/>
        <w:ind w:firstLine="548" w:firstLineChars="196"/>
        <w:jc w:val="both"/>
        <w:rPr>
          <w:rFonts w:hint="eastAsia" w:ascii="仿宋" w:hAnsi="仿宋" w:eastAsia="仿宋" w:cs="仿宋"/>
          <w:sz w:val="28"/>
        </w:rPr>
      </w:pPr>
      <w:r>
        <w:rPr>
          <w:rFonts w:hint="eastAsia" w:ascii="仿宋" w:hAnsi="仿宋" w:eastAsia="仿宋" w:cs="仿宋"/>
          <w:sz w:val="28"/>
        </w:rPr>
        <w:t>（6） 售后服务承诺书及培训计划</w:t>
      </w:r>
    </w:p>
    <w:p w14:paraId="7A169DF2">
      <w:pPr>
        <w:pStyle w:val="34"/>
        <w:spacing w:line="360" w:lineRule="auto"/>
        <w:ind w:firstLine="560"/>
        <w:rPr>
          <w:rFonts w:hint="eastAsia" w:ascii="仿宋" w:hAnsi="仿宋" w:eastAsia="仿宋" w:cs="仿宋"/>
          <w:color w:val="000000"/>
        </w:rPr>
      </w:pPr>
      <w:r>
        <w:rPr>
          <w:rFonts w:hint="eastAsia" w:ascii="仿宋" w:hAnsi="仿宋" w:eastAsia="仿宋" w:cs="仿宋"/>
          <w:bCs/>
          <w:color w:val="000000"/>
        </w:rPr>
        <w:t>（7） 若为进口产品（含主要配件），须提供</w:t>
      </w:r>
      <w:r>
        <w:rPr>
          <w:rFonts w:hint="eastAsia" w:ascii="仿宋" w:hAnsi="仿宋" w:eastAsia="仿宋" w:cs="仿宋"/>
          <w:color w:val="000000"/>
          <w:szCs w:val="21"/>
        </w:rPr>
        <w:t>报关单和检验检疫证；</w:t>
      </w:r>
      <w:r>
        <w:rPr>
          <w:rFonts w:hint="eastAsia" w:ascii="仿宋" w:hAnsi="仿宋" w:eastAsia="仿宋" w:cs="仿宋"/>
          <w:bCs/>
          <w:color w:val="000000"/>
        </w:rPr>
        <w:t>所需的进口机电证（如需要），报关、商检、计量等相关事宜，由供应商负责办理，费用由供应商承担。</w:t>
      </w:r>
      <w:r>
        <w:rPr>
          <w:rFonts w:hint="eastAsia" w:ascii="仿宋" w:hAnsi="仿宋" w:eastAsia="仿宋" w:cs="仿宋"/>
          <w:color w:val="000000"/>
        </w:rPr>
        <w:t xml:space="preserve"> </w:t>
      </w:r>
    </w:p>
    <w:p w14:paraId="474DD7E6">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（8） 供应商认为有必要提供的声明及文件资料</w:t>
      </w:r>
    </w:p>
    <w:p w14:paraId="215C9354">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8.1.3 技术部分</w:t>
      </w:r>
    </w:p>
    <w:p w14:paraId="1D5A87CC">
      <w:pPr>
        <w:pStyle w:val="33"/>
        <w:spacing w:line="360" w:lineRule="auto"/>
        <w:ind w:firstLine="420" w:firstLineChars="150"/>
        <w:jc w:val="both"/>
        <w:rPr>
          <w:rFonts w:hint="eastAsia" w:ascii="仿宋" w:hAnsi="仿宋" w:eastAsia="仿宋" w:cs="仿宋"/>
          <w:sz w:val="28"/>
        </w:rPr>
      </w:pPr>
      <w:r>
        <w:rPr>
          <w:rFonts w:hint="eastAsia" w:ascii="仿宋" w:hAnsi="仿宋" w:eastAsia="仿宋" w:cs="仿宋"/>
          <w:sz w:val="28"/>
        </w:rPr>
        <w:t>（1） 产品的详细技术参数说明</w:t>
      </w:r>
    </w:p>
    <w:p w14:paraId="4BE4FCBD">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140BC5B0">
      <w:pPr>
        <w:pStyle w:val="33"/>
        <w:snapToGrid w:val="0"/>
        <w:spacing w:line="360" w:lineRule="auto"/>
        <w:ind w:firstLine="560" w:firstLineChars="200"/>
        <w:rPr>
          <w:rFonts w:hint="eastAsia" w:ascii="仿宋" w:hAnsi="仿宋" w:eastAsia="仿宋" w:cs="仿宋"/>
          <w:sz w:val="28"/>
        </w:rPr>
      </w:pPr>
      <w:r>
        <w:rPr>
          <w:rFonts w:hint="eastAsia" w:ascii="仿宋" w:hAnsi="仿宋" w:eastAsia="仿宋" w:cs="仿宋"/>
          <w:sz w:val="28"/>
        </w:rPr>
        <w:t>（2） 技术规格偏离表（供应商须对第三章所有技术参数条款逐条列明是否响应，如有偏离，须一一列明）</w:t>
      </w:r>
    </w:p>
    <w:p w14:paraId="2C80EB54">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 备品备件及专用工具清单</w:t>
      </w:r>
    </w:p>
    <w:p w14:paraId="038DD739">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（4） 产品样册、说明书、图纸技术资料及产品质量获奖荣誉证书复印件</w:t>
      </w:r>
    </w:p>
    <w:p w14:paraId="68FBCC51">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（5） 供应商认为有必要提供的声明及完整文件或支持资料。</w:t>
      </w:r>
    </w:p>
    <w:p w14:paraId="5697AE84">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8.2 第8.1.1条中第（1）项、第8.1.2条中第（1） （2） （3） （4） （6）项、第8.1.3条中第（1） （2） （3）项为必备项，供应商在单一来源响应文件中必须提供有关材料，如果缺项，或不符合要求，将导致投标无效。</w:t>
      </w:r>
    </w:p>
    <w:p w14:paraId="63EBB9DB">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8.3 供应商在投标中违反国家有关法律法规的强制性规定的，其投标按未满足单一来源采购文件实质性要求处理。</w:t>
      </w:r>
    </w:p>
    <w:p w14:paraId="3AE5D9BF">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9. 单一来源响应文件格式</w:t>
      </w:r>
    </w:p>
    <w:p w14:paraId="06EEAB9F">
      <w:pPr>
        <w:pStyle w:val="33"/>
        <w:snapToGrid w:val="0"/>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9.1 供应商应按单一来源采购文件提供的格式完整地填写所提供的货物、服务、数量及价格。</w:t>
      </w:r>
    </w:p>
    <w:p w14:paraId="31FC6D23">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 投标报价</w:t>
      </w:r>
    </w:p>
    <w:p w14:paraId="7E280CB3">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10.1 供应商应按单一来源采购文件所附的《开标一览表》和《投标产品名称、数量、规格及报价明细表》中的项目，标明拟提供货物和服务的单价和总价。如单价和总价不符，以单价累计为准。</w:t>
      </w:r>
    </w:p>
    <w:p w14:paraId="4A7C09DC">
      <w:pPr>
        <w:pStyle w:val="33"/>
        <w:spacing w:line="360" w:lineRule="auto"/>
        <w:ind w:firstLine="567"/>
        <w:jc w:val="both"/>
        <w:rPr>
          <w:rFonts w:hint="eastAsia" w:ascii="仿宋" w:hAnsi="仿宋" w:eastAsia="仿宋" w:cs="仿宋"/>
          <w:sz w:val="28"/>
        </w:rPr>
      </w:pPr>
      <w:r>
        <w:rPr>
          <w:rFonts w:hint="eastAsia" w:ascii="仿宋" w:hAnsi="仿宋" w:eastAsia="仿宋" w:cs="仿宋"/>
          <w:sz w:val="28"/>
        </w:rPr>
        <w:t>10.2 本标只接受一个报价，不接受备选方案，但不拒绝优惠声明，优惠声明需在《开标一览表》备注中填写。</w:t>
      </w:r>
    </w:p>
    <w:p w14:paraId="1C5E76F1">
      <w:pPr>
        <w:pStyle w:val="33"/>
        <w:spacing w:line="360" w:lineRule="auto"/>
        <w:ind w:firstLine="562"/>
        <w:rPr>
          <w:rFonts w:hint="eastAsia" w:ascii="仿宋" w:hAnsi="仿宋" w:eastAsia="仿宋" w:cs="仿宋"/>
          <w:sz w:val="28"/>
        </w:rPr>
      </w:pPr>
      <w:r>
        <w:rPr>
          <w:rFonts w:hint="eastAsia" w:ascii="仿宋" w:hAnsi="仿宋" w:eastAsia="仿宋" w:cs="仿宋"/>
          <w:sz w:val="28"/>
        </w:rPr>
        <w:t>10.3 供应商应按单一来源采购文件的要求对有关设计、货物及其配套服务的全部内容进行报价。投标报价应包括：</w:t>
      </w:r>
    </w:p>
    <w:p w14:paraId="04322F5A">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10.3.1 外购、外协、配套件、原材料及功能设计生产制造、检验、油漆、包装、保险、利税、管理、备品备件、专用工具、运杂、安装调试、人员培训等费用。</w:t>
      </w:r>
    </w:p>
    <w:p w14:paraId="6EAF872D">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10.3.2 单一来源采购文件中特别要求的零、备件费用。</w:t>
      </w:r>
    </w:p>
    <w:p w14:paraId="74C00D40">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10.3.3 分项报价明细表中特别要求的安装、调试、运输及培训费用。</w:t>
      </w:r>
    </w:p>
    <w:p w14:paraId="1EB8E338">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10.3.4 所需的进口机电证（如需要），报关、商检、计量等相关事宜，由供应商负责办理，费用由供应商承担。</w:t>
      </w:r>
    </w:p>
    <w:p w14:paraId="2C72D4A6">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11. 投标货币</w:t>
      </w:r>
    </w:p>
    <w:p w14:paraId="787CAB5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11.1 本次投标货币为人民币。</w:t>
      </w:r>
    </w:p>
    <w:p w14:paraId="4B4EC274">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12. 证明供应商合格和资格的文件</w:t>
      </w:r>
    </w:p>
    <w:p w14:paraId="3CAF2511">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12.1 按照第8条规定，供应商应提交证明其有资格参加投标和一旦其投标被接受则有能力履行合同的文件，并作为其单一来源响应文件的一部分。</w:t>
      </w:r>
    </w:p>
    <w:p w14:paraId="5ACBF11A">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12.2 供应商应填写并提交单一来源采购文件所要求的资格证明类文件。</w:t>
      </w:r>
    </w:p>
    <w:p w14:paraId="3144E17F">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 证明货物的合格性和符合单一来源采购文件规定的文件</w:t>
      </w:r>
    </w:p>
    <w:p w14:paraId="1916F35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13.1 按照第8条规定，供应商应提交单一来源采购文件要求的货物及其服务的合格性及符合单一来源采购文件规定的证明文件。证明文件可以是手册、图纸和资料，并作为单一来源响应文件的一部分。</w:t>
      </w:r>
    </w:p>
    <w:p w14:paraId="2AAC69F0">
      <w:pPr>
        <w:pStyle w:val="33"/>
        <w:spacing w:line="360" w:lineRule="auto"/>
        <w:ind w:firstLine="560"/>
        <w:rPr>
          <w:rFonts w:hint="eastAsia" w:ascii="仿宋" w:hAnsi="仿宋" w:eastAsia="仿宋" w:cs="仿宋"/>
          <w:sz w:val="28"/>
        </w:rPr>
      </w:pPr>
      <w:r>
        <w:rPr>
          <w:rFonts w:hint="eastAsia" w:ascii="仿宋" w:hAnsi="仿宋" w:eastAsia="仿宋" w:cs="仿宋"/>
          <w:sz w:val="28"/>
        </w:rPr>
        <w:t>13.2 供应商应逐条阅读单一来源采购文件要求的技术规格及商务条款要求，指出自己提供的货物和服务是否对单一来源采购文件做出响应，并将不能响应之处在单一来源响应文件所附的“技术偏离表”和“商务（合同条款）偏离表”中一一列出。</w:t>
      </w:r>
    </w:p>
    <w:p w14:paraId="20DFB40C">
      <w:pPr>
        <w:pStyle w:val="33"/>
        <w:spacing w:line="360" w:lineRule="auto"/>
        <w:ind w:firstLine="560"/>
        <w:rPr>
          <w:rFonts w:hint="eastAsia" w:ascii="仿宋" w:hAnsi="仿宋" w:eastAsia="仿宋" w:cs="仿宋"/>
          <w:sz w:val="28"/>
        </w:rPr>
      </w:pPr>
      <w:r>
        <w:rPr>
          <w:rFonts w:hint="eastAsia" w:ascii="仿宋" w:hAnsi="仿宋" w:eastAsia="仿宋" w:cs="仿宋"/>
          <w:sz w:val="28"/>
        </w:rPr>
        <w:t>13.3 证明货物的合格性和符合单一来源采购文件规定的文件应包括下列内容：</w:t>
      </w:r>
    </w:p>
    <w:p w14:paraId="229B47F3">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13.3.1 投标货物的试（检）验报告、鉴定证书（复印件）；</w:t>
      </w:r>
    </w:p>
    <w:p w14:paraId="16D3BA3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13.3.2 执行的制造、验收标准；</w:t>
      </w:r>
    </w:p>
    <w:p w14:paraId="79E1B348">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13.3.3 荣获产品质量、生产管理等方面的荣誉证书（复印件）；</w:t>
      </w:r>
    </w:p>
    <w:p w14:paraId="124ACBAF">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13.3.4 有关的产品样册、手册、图纸和资料；</w:t>
      </w:r>
    </w:p>
    <w:p w14:paraId="4D270F33">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13.3.5 供应商认为有必要提供的其它证明文件；</w:t>
      </w:r>
    </w:p>
    <w:p w14:paraId="4B0B0DF7">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14. 单一来源响应文件的有效期</w:t>
      </w:r>
    </w:p>
    <w:p w14:paraId="57F726C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14.1 单一来源响应文件从实际开标之日起</w:t>
      </w:r>
      <w:r>
        <w:rPr>
          <w:rFonts w:hint="eastAsia" w:ascii="仿宋" w:hAnsi="仿宋" w:eastAsia="仿宋" w:cs="仿宋"/>
          <w:sz w:val="28"/>
          <w:u w:val="single"/>
        </w:rPr>
        <w:t xml:space="preserve"> 90 </w:t>
      </w:r>
      <w:r>
        <w:rPr>
          <w:rFonts w:hint="eastAsia" w:ascii="仿宋" w:hAnsi="仿宋" w:eastAsia="仿宋" w:cs="仿宋"/>
          <w:sz w:val="28"/>
        </w:rPr>
        <w:t>天内有效。</w:t>
      </w:r>
    </w:p>
    <w:p w14:paraId="781DAD46">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14.2 在特殊情况下，在原投标有效期届满之前，采购代理机构可与投标单位协商延长单一来源响应文件的有效期，并经投标方确认。</w:t>
      </w:r>
    </w:p>
    <w:p w14:paraId="35FE864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15. 单一来源响应文件的</w:t>
      </w:r>
      <w:r>
        <w:rPr>
          <w:rFonts w:hint="eastAsia" w:ascii="仿宋" w:hAnsi="仿宋" w:eastAsia="仿宋" w:cs="仿宋"/>
          <w:sz w:val="28"/>
          <w:lang w:eastAsia="zh-CN"/>
        </w:rPr>
        <w:t>编制要求</w:t>
      </w:r>
      <w:r>
        <w:rPr>
          <w:rFonts w:hint="eastAsia" w:ascii="仿宋" w:hAnsi="仿宋" w:eastAsia="仿宋" w:cs="仿宋"/>
          <w:sz w:val="28"/>
        </w:rPr>
        <w:t>。</w:t>
      </w:r>
    </w:p>
    <w:p w14:paraId="66DDE8B3">
      <w:pPr>
        <w:pStyle w:val="33"/>
        <w:spacing w:line="360" w:lineRule="auto"/>
        <w:ind w:firstLine="560" w:firstLineChars="200"/>
        <w:jc w:val="both"/>
        <w:rPr>
          <w:rFonts w:hint="eastAsia" w:ascii="仿宋" w:hAnsi="仿宋" w:eastAsia="仿宋" w:cs="仿宋"/>
          <w:sz w:val="28"/>
          <w:lang w:eastAsia="zh-CN"/>
        </w:rPr>
      </w:pPr>
      <w:r>
        <w:rPr>
          <w:rFonts w:hint="eastAsia" w:ascii="仿宋" w:hAnsi="仿宋" w:eastAsia="仿宋" w:cs="仿宋"/>
          <w:sz w:val="28"/>
          <w:lang w:val="en-US" w:eastAsia="zh-CN"/>
        </w:rPr>
        <w:t xml:space="preserve">15.1 </w:t>
      </w:r>
      <w:r>
        <w:rPr>
          <w:rFonts w:hint="eastAsia" w:ascii="仿宋" w:hAnsi="仿宋" w:eastAsia="仿宋" w:cs="仿宋"/>
          <w:sz w:val="28"/>
          <w:lang w:eastAsia="zh-CN"/>
        </w:rPr>
        <w:t>供应商应仔细阅读</w:t>
      </w:r>
      <w:r>
        <w:rPr>
          <w:rFonts w:hint="eastAsia" w:ascii="仿宋" w:hAnsi="仿宋" w:eastAsia="仿宋" w:cs="仿宋"/>
          <w:sz w:val="28"/>
          <w:lang w:val="en-US" w:eastAsia="zh-CN"/>
        </w:rPr>
        <w:t>招标</w:t>
      </w:r>
      <w:r>
        <w:rPr>
          <w:rFonts w:hint="eastAsia" w:ascii="仿宋" w:hAnsi="仿宋" w:eastAsia="仿宋" w:cs="仿宋"/>
          <w:sz w:val="28"/>
          <w:lang w:eastAsia="zh-CN"/>
        </w:rPr>
        <w:t>文件的所有内容，按照</w:t>
      </w:r>
      <w:r>
        <w:rPr>
          <w:rFonts w:hint="eastAsia" w:ascii="仿宋" w:hAnsi="仿宋" w:eastAsia="仿宋" w:cs="仿宋"/>
          <w:sz w:val="28"/>
          <w:lang w:val="en-US" w:eastAsia="zh-CN"/>
        </w:rPr>
        <w:t>招标</w:t>
      </w:r>
      <w:r>
        <w:rPr>
          <w:rFonts w:hint="eastAsia" w:ascii="仿宋" w:hAnsi="仿宋" w:eastAsia="仿宋" w:cs="仿宋"/>
          <w:sz w:val="28"/>
          <w:lang w:eastAsia="zh-CN"/>
        </w:rPr>
        <w:t>文件的要求详细编制投标文件，所提交的全部资料必须真实有效，并且要保证字迹清晰易于辨认。投标文件应对</w:t>
      </w:r>
      <w:r>
        <w:rPr>
          <w:rFonts w:hint="eastAsia" w:ascii="仿宋" w:hAnsi="仿宋" w:eastAsia="仿宋" w:cs="仿宋"/>
          <w:sz w:val="28"/>
          <w:lang w:val="en-US" w:eastAsia="zh-CN"/>
        </w:rPr>
        <w:t>招标</w:t>
      </w:r>
      <w:r>
        <w:rPr>
          <w:rFonts w:hint="eastAsia" w:ascii="仿宋" w:hAnsi="仿宋" w:eastAsia="仿宋" w:cs="仿宋"/>
          <w:sz w:val="28"/>
          <w:lang w:eastAsia="zh-CN"/>
        </w:rPr>
        <w:t>文件实质性内容作出响应，否则按无效标处理。</w:t>
      </w:r>
    </w:p>
    <w:p w14:paraId="158D740B">
      <w:pPr>
        <w:pStyle w:val="33"/>
        <w:spacing w:line="360" w:lineRule="auto"/>
        <w:ind w:firstLine="560" w:firstLineChars="200"/>
        <w:jc w:val="both"/>
        <w:rPr>
          <w:rFonts w:hint="eastAsia" w:ascii="仿宋" w:hAnsi="仿宋" w:eastAsia="仿宋" w:cs="仿宋"/>
          <w:sz w:val="28"/>
          <w:lang w:eastAsia="zh-CN"/>
        </w:rPr>
      </w:pPr>
      <w:r>
        <w:rPr>
          <w:rFonts w:hint="eastAsia" w:ascii="仿宋" w:hAnsi="仿宋" w:eastAsia="仿宋" w:cs="仿宋"/>
          <w:sz w:val="28"/>
          <w:lang w:val="en-US" w:eastAsia="zh-CN"/>
        </w:rPr>
        <w:t xml:space="preserve">15.2 </w:t>
      </w:r>
      <w:r>
        <w:rPr>
          <w:rFonts w:hint="eastAsia" w:ascii="仿宋" w:hAnsi="仿宋" w:eastAsia="仿宋" w:cs="仿宋"/>
          <w:sz w:val="28"/>
          <w:lang w:eastAsia="zh-CN"/>
        </w:rPr>
        <w:t>投标文件格式应按本</w:t>
      </w:r>
      <w:r>
        <w:rPr>
          <w:rFonts w:hint="eastAsia" w:ascii="仿宋" w:hAnsi="仿宋" w:eastAsia="仿宋" w:cs="仿宋"/>
          <w:sz w:val="28"/>
          <w:lang w:val="en-US" w:eastAsia="zh-CN"/>
        </w:rPr>
        <w:t>招标</w:t>
      </w:r>
      <w:r>
        <w:rPr>
          <w:rFonts w:hint="eastAsia" w:ascii="仿宋" w:hAnsi="仿宋" w:eastAsia="仿宋" w:cs="仿宋"/>
          <w:sz w:val="28"/>
          <w:lang w:eastAsia="zh-CN"/>
        </w:rPr>
        <w:t>文件</w:t>
      </w:r>
      <w:r>
        <w:rPr>
          <w:rFonts w:hint="eastAsia" w:ascii="仿宋" w:hAnsi="仿宋" w:eastAsia="仿宋" w:cs="仿宋"/>
          <w:sz w:val="28"/>
          <w:lang w:val="en-US" w:eastAsia="zh-CN"/>
        </w:rPr>
        <w:t>附件：投标书</w:t>
      </w:r>
      <w:r>
        <w:rPr>
          <w:rFonts w:hint="eastAsia" w:ascii="仿宋" w:hAnsi="仿宋" w:eastAsia="仿宋" w:cs="仿宋"/>
          <w:sz w:val="28"/>
          <w:lang w:eastAsia="zh-CN"/>
        </w:rPr>
        <w:t>格式要求编制，不得对</w:t>
      </w:r>
      <w:r>
        <w:rPr>
          <w:rFonts w:hint="eastAsia" w:ascii="仿宋" w:hAnsi="仿宋" w:eastAsia="仿宋" w:cs="仿宋"/>
          <w:sz w:val="28"/>
          <w:lang w:val="en-US" w:eastAsia="zh-CN"/>
        </w:rPr>
        <w:t>招标</w:t>
      </w:r>
      <w:r>
        <w:rPr>
          <w:rFonts w:hint="eastAsia" w:ascii="仿宋" w:hAnsi="仿宋" w:eastAsia="仿宋" w:cs="仿宋"/>
          <w:sz w:val="28"/>
          <w:lang w:eastAsia="zh-CN"/>
        </w:rPr>
        <w:t>文件格式进行增删更改，否则按无效标处理。</w:t>
      </w:r>
    </w:p>
    <w:p w14:paraId="57D07030">
      <w:pPr>
        <w:pStyle w:val="33"/>
        <w:spacing w:line="360" w:lineRule="auto"/>
        <w:ind w:firstLine="560" w:firstLineChars="200"/>
        <w:jc w:val="both"/>
        <w:rPr>
          <w:rFonts w:hint="eastAsia" w:ascii="仿宋" w:hAnsi="仿宋" w:eastAsia="仿宋" w:cs="仿宋"/>
          <w:sz w:val="28"/>
          <w:lang w:eastAsia="zh-CN"/>
        </w:rPr>
      </w:pPr>
      <w:r>
        <w:rPr>
          <w:rFonts w:hint="eastAsia" w:ascii="仿宋" w:hAnsi="仿宋" w:eastAsia="仿宋" w:cs="仿宋"/>
          <w:sz w:val="28"/>
          <w:lang w:val="en-US" w:eastAsia="zh-CN"/>
        </w:rPr>
        <w:t xml:space="preserve">15.3 </w:t>
      </w:r>
      <w:r>
        <w:rPr>
          <w:rFonts w:hint="eastAsia" w:ascii="仿宋" w:hAnsi="仿宋" w:eastAsia="仿宋" w:cs="仿宋"/>
          <w:sz w:val="28"/>
          <w:lang w:eastAsia="zh-CN"/>
        </w:rPr>
        <w:t>对</w:t>
      </w:r>
      <w:r>
        <w:rPr>
          <w:rFonts w:hint="eastAsia" w:ascii="仿宋" w:hAnsi="仿宋" w:eastAsia="仿宋" w:cs="仿宋"/>
          <w:sz w:val="28"/>
          <w:lang w:val="en-US" w:eastAsia="zh-CN"/>
        </w:rPr>
        <w:t>招标</w:t>
      </w:r>
      <w:r>
        <w:rPr>
          <w:rFonts w:hint="eastAsia" w:ascii="仿宋" w:hAnsi="仿宋" w:eastAsia="仿宋" w:cs="仿宋"/>
          <w:sz w:val="28"/>
          <w:lang w:eastAsia="zh-CN"/>
        </w:rPr>
        <w:t>文件格式可更改的例外情况：</w:t>
      </w:r>
      <w:r>
        <w:rPr>
          <w:rFonts w:hint="eastAsia" w:ascii="仿宋" w:hAnsi="仿宋" w:eastAsia="仿宋" w:cs="仿宋"/>
          <w:sz w:val="28"/>
          <w:lang w:val="en-US" w:eastAsia="zh-CN"/>
        </w:rPr>
        <w:t>招标</w:t>
      </w:r>
      <w:r>
        <w:rPr>
          <w:rFonts w:hint="eastAsia" w:ascii="仿宋" w:hAnsi="仿宋" w:eastAsia="仿宋" w:cs="仿宋"/>
          <w:sz w:val="28"/>
          <w:lang w:eastAsia="zh-CN"/>
        </w:rPr>
        <w:t>文件</w:t>
      </w:r>
      <w:r>
        <w:rPr>
          <w:rFonts w:hint="eastAsia" w:ascii="仿宋" w:hAnsi="仿宋" w:eastAsia="仿宋" w:cs="仿宋"/>
          <w:sz w:val="28"/>
          <w:lang w:val="en-US" w:eastAsia="zh-CN"/>
        </w:rPr>
        <w:t>附件：投标书</w:t>
      </w:r>
      <w:r>
        <w:rPr>
          <w:rFonts w:hint="eastAsia" w:ascii="仿宋" w:hAnsi="仿宋" w:eastAsia="仿宋" w:cs="仿宋"/>
          <w:sz w:val="28"/>
          <w:lang w:eastAsia="zh-CN"/>
        </w:rPr>
        <w:t xml:space="preserve">格式要求中明确规定表格中行数不够用时可按相同格式增加行数，其他一切内容和格式不得更改。 </w:t>
      </w:r>
    </w:p>
    <w:p w14:paraId="445C7F54">
      <w:pPr>
        <w:pStyle w:val="33"/>
        <w:spacing w:line="360" w:lineRule="auto"/>
        <w:ind w:firstLine="560" w:firstLineChars="200"/>
        <w:jc w:val="both"/>
        <w:rPr>
          <w:rFonts w:hint="eastAsia" w:ascii="仿宋" w:hAnsi="仿宋" w:eastAsia="仿宋" w:cs="仿宋"/>
          <w:sz w:val="28"/>
          <w:lang w:eastAsia="zh-CN"/>
        </w:rPr>
      </w:pPr>
      <w:r>
        <w:rPr>
          <w:rFonts w:hint="eastAsia" w:ascii="仿宋" w:hAnsi="仿宋" w:eastAsia="仿宋" w:cs="仿宋"/>
          <w:sz w:val="28"/>
          <w:lang w:val="en-US" w:eastAsia="zh-CN"/>
        </w:rPr>
        <w:t xml:space="preserve">15.4 </w:t>
      </w:r>
      <w:r>
        <w:rPr>
          <w:rFonts w:hint="eastAsia" w:ascii="仿宋" w:hAnsi="仿宋" w:eastAsia="仿宋" w:cs="仿宋"/>
          <w:sz w:val="28"/>
          <w:lang w:eastAsia="zh-CN"/>
        </w:rPr>
        <w:t>投标文件为电子投标文件，电子投标文件按“政采云供应商项目采购-电子招投标操作指南”及本采购文件要求制作、加密传输。</w:t>
      </w:r>
    </w:p>
    <w:p w14:paraId="0357644A">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lang w:val="en-US" w:eastAsia="zh-CN"/>
        </w:rPr>
        <w:t xml:space="preserve">15.5 </w:t>
      </w:r>
      <w:r>
        <w:rPr>
          <w:rFonts w:hint="eastAsia" w:ascii="仿宋" w:hAnsi="仿宋" w:eastAsia="仿宋" w:cs="仿宋"/>
          <w:sz w:val="28"/>
          <w:lang w:eastAsia="zh-CN"/>
        </w:rPr>
        <w:t>投标文件未在投标截止时间前完成传输的，视为投标文件撤回；投标文件未按时解密也未提供备份投标文件的，亦视为投标文件撤回。</w:t>
      </w:r>
    </w:p>
    <w:p w14:paraId="19F51BF1">
      <w:pPr>
        <w:pStyle w:val="33"/>
        <w:spacing w:line="360" w:lineRule="auto"/>
        <w:ind w:firstLine="560"/>
        <w:rPr>
          <w:rFonts w:hint="eastAsia" w:ascii="仿宋" w:hAnsi="仿宋" w:eastAsia="仿宋" w:cs="仿宋"/>
          <w:sz w:val="28"/>
        </w:rPr>
      </w:pPr>
      <w:r>
        <w:rPr>
          <w:rFonts w:hint="eastAsia" w:ascii="仿宋" w:hAnsi="仿宋" w:eastAsia="仿宋" w:cs="仿宋"/>
          <w:sz w:val="28"/>
        </w:rPr>
        <w:t>16. 谈判保证金</w:t>
      </w:r>
    </w:p>
    <w:p w14:paraId="07AC8596">
      <w:pPr>
        <w:pStyle w:val="33"/>
        <w:spacing w:line="360" w:lineRule="auto"/>
        <w:ind w:firstLine="560"/>
        <w:rPr>
          <w:rFonts w:hint="eastAsia" w:ascii="仿宋" w:hAnsi="仿宋" w:eastAsia="仿宋" w:cs="仿宋"/>
          <w:sz w:val="28"/>
        </w:rPr>
      </w:pPr>
      <w:r>
        <w:rPr>
          <w:rFonts w:hint="eastAsia" w:ascii="仿宋" w:hAnsi="仿宋" w:eastAsia="仿宋" w:cs="仿宋"/>
          <w:sz w:val="28"/>
        </w:rPr>
        <w:t>16.1 谈判保证金金额见投标人须知前附表。</w:t>
      </w:r>
    </w:p>
    <w:p w14:paraId="575E23FE">
      <w:pPr>
        <w:pStyle w:val="33"/>
        <w:spacing w:line="360" w:lineRule="auto"/>
        <w:ind w:firstLine="560"/>
        <w:rPr>
          <w:rFonts w:hint="eastAsia" w:ascii="仿宋" w:hAnsi="仿宋" w:eastAsia="仿宋" w:cs="仿宋"/>
          <w:sz w:val="28"/>
        </w:rPr>
      </w:pPr>
      <w:r>
        <w:rPr>
          <w:rFonts w:hint="eastAsia" w:ascii="仿宋" w:hAnsi="仿宋" w:eastAsia="仿宋" w:cs="仿宋"/>
          <w:sz w:val="28"/>
        </w:rPr>
        <w:t>16.2 谈判保证金用于保护本次招标免受供应商的违规、违约行为而引起的风险。</w:t>
      </w:r>
    </w:p>
    <w:p w14:paraId="56856F94">
      <w:pPr>
        <w:pStyle w:val="33"/>
        <w:spacing w:line="360" w:lineRule="auto"/>
        <w:ind w:firstLine="560"/>
        <w:rPr>
          <w:rFonts w:hint="eastAsia" w:ascii="仿宋" w:hAnsi="仿宋" w:eastAsia="仿宋" w:cs="仿宋"/>
          <w:sz w:val="28"/>
        </w:rPr>
      </w:pPr>
      <w:r>
        <w:rPr>
          <w:rFonts w:hint="eastAsia" w:ascii="仿宋" w:hAnsi="仿宋" w:eastAsia="仿宋" w:cs="仿宋"/>
          <w:sz w:val="28"/>
        </w:rPr>
        <w:t>16.3 谈判保证金应用人民币，由供应商按《谈判须知前附表》中明确的银行、账号，按16.1条要求的数额办理，并在单一来源响应文件中放保证金汇款凭证。</w:t>
      </w:r>
    </w:p>
    <w:p w14:paraId="75574B37">
      <w:pPr>
        <w:pStyle w:val="33"/>
        <w:spacing w:line="360" w:lineRule="auto"/>
        <w:ind w:firstLine="560"/>
        <w:rPr>
          <w:rFonts w:hint="eastAsia" w:ascii="仿宋" w:hAnsi="仿宋" w:eastAsia="仿宋" w:cs="仿宋"/>
          <w:sz w:val="28"/>
        </w:rPr>
      </w:pPr>
      <w:r>
        <w:rPr>
          <w:rFonts w:hint="eastAsia" w:ascii="仿宋" w:hAnsi="仿宋" w:eastAsia="仿宋" w:cs="仿宋"/>
          <w:sz w:val="28"/>
        </w:rPr>
        <w:t>16.4 谈判保证金的退还</w:t>
      </w:r>
    </w:p>
    <w:p w14:paraId="0E395378">
      <w:pPr>
        <w:pStyle w:val="33"/>
        <w:spacing w:line="360" w:lineRule="auto"/>
        <w:ind w:firstLine="560"/>
        <w:rPr>
          <w:rFonts w:hint="eastAsia" w:ascii="仿宋" w:hAnsi="仿宋" w:eastAsia="仿宋" w:cs="仿宋"/>
          <w:sz w:val="28"/>
        </w:rPr>
      </w:pPr>
      <w:r>
        <w:rPr>
          <w:rFonts w:hint="eastAsia" w:ascii="仿宋" w:hAnsi="仿宋" w:eastAsia="仿宋" w:cs="仿宋"/>
          <w:sz w:val="28"/>
        </w:rPr>
        <w:t>在该项目中标公示期满后，五个工作日内退还原账户。</w:t>
      </w:r>
    </w:p>
    <w:p w14:paraId="46DDDB9E">
      <w:pPr>
        <w:pStyle w:val="33"/>
        <w:spacing w:line="360" w:lineRule="auto"/>
        <w:ind w:firstLine="560"/>
        <w:rPr>
          <w:rFonts w:hint="eastAsia" w:ascii="仿宋" w:hAnsi="仿宋" w:eastAsia="仿宋" w:cs="仿宋"/>
          <w:sz w:val="28"/>
        </w:rPr>
      </w:pPr>
      <w:r>
        <w:rPr>
          <w:rFonts w:hint="eastAsia" w:ascii="仿宋" w:hAnsi="仿宋" w:eastAsia="仿宋" w:cs="仿宋"/>
          <w:sz w:val="28"/>
        </w:rPr>
        <w:t>16.5 发生以下情况谈判保证金可能被没收：</w:t>
      </w:r>
    </w:p>
    <w:p w14:paraId="70D4F623">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16.5.1 如果供应商在投标有效期内撤销单一来源响应文件；</w:t>
      </w:r>
    </w:p>
    <w:p w14:paraId="7FC741A3">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16.5.2 如果供应商串通投标的；</w:t>
      </w:r>
    </w:p>
    <w:p w14:paraId="2A1257B5">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16.5.3 如果中标供应商未能做到：</w:t>
      </w:r>
    </w:p>
    <w:p w14:paraId="296D94EB">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a. 按29条规定签定合同；</w:t>
      </w:r>
    </w:p>
    <w:p w14:paraId="177B41A2">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b. 第32条有关缴纳成交服务费的规定；</w:t>
      </w:r>
    </w:p>
    <w:p w14:paraId="27DB1F18">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c. 按单一来源采购文件要求提交合同履约保证金的。</w:t>
      </w:r>
    </w:p>
    <w:p w14:paraId="0C9DC5CB">
      <w:pPr>
        <w:pStyle w:val="3"/>
        <w:spacing w:line="360" w:lineRule="auto"/>
        <w:rPr>
          <w:rFonts w:hint="eastAsia" w:ascii="仿宋" w:hAnsi="仿宋" w:eastAsia="仿宋" w:cs="仿宋"/>
        </w:rPr>
      </w:pPr>
      <w:bookmarkStart w:id="29" w:name="_Toc29047"/>
      <w:bookmarkEnd w:id="29"/>
      <w:bookmarkStart w:id="30" w:name="_Toc56170383"/>
      <w:bookmarkEnd w:id="30"/>
      <w:bookmarkStart w:id="31" w:name="_Toc65158530"/>
      <w:bookmarkEnd w:id="31"/>
      <w:bookmarkStart w:id="32" w:name="_Toc82497897"/>
      <w:bookmarkEnd w:id="32"/>
      <w:bookmarkStart w:id="33" w:name="_Toc21071"/>
      <w:r>
        <w:rPr>
          <w:rFonts w:hint="eastAsia" w:ascii="仿宋" w:hAnsi="仿宋" w:eastAsia="仿宋" w:cs="仿宋"/>
        </w:rPr>
        <w:t>四、单一来源响应文件的递交</w:t>
      </w:r>
      <w:bookmarkEnd w:id="33"/>
    </w:p>
    <w:p w14:paraId="1161BD64">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17. 单一来源</w:t>
      </w:r>
      <w:r>
        <w:rPr>
          <w:rFonts w:hint="eastAsia" w:ascii="仿宋" w:hAnsi="仿宋" w:eastAsia="仿宋" w:cs="仿宋"/>
          <w:sz w:val="28"/>
          <w:lang w:val="en-US" w:eastAsia="zh-CN"/>
        </w:rPr>
        <w:t>电子响应文件的上传</w:t>
      </w:r>
    </w:p>
    <w:p w14:paraId="13C351CD">
      <w:pPr>
        <w:pStyle w:val="6"/>
        <w:shd w:val="clear" w:color="auto" w:fill="auto"/>
        <w:snapToGrid w:val="0"/>
        <w:spacing w:line="360" w:lineRule="auto"/>
        <w:ind w:left="0" w:leftChars="0" w:firstLine="560" w:firstLineChars="200"/>
        <w:outlineLvl w:val="9"/>
        <w:rPr>
          <w:rFonts w:hint="eastAsia" w:ascii="仿宋" w:hAnsi="仿宋" w:eastAsia="仿宋" w:cs="仿宋"/>
          <w:color w:val="000000"/>
          <w:sz w:val="28"/>
          <w:lang w:val="en-US" w:eastAsia="zh-CN" w:bidi="ar-SA"/>
        </w:rPr>
      </w:pPr>
      <w:r>
        <w:rPr>
          <w:rFonts w:hint="eastAsia" w:ascii="仿宋" w:hAnsi="仿宋" w:eastAsia="仿宋" w:cs="仿宋"/>
          <w:color w:val="000000"/>
          <w:sz w:val="28"/>
          <w:lang w:val="en-US" w:eastAsia="zh-CN" w:bidi="ar-SA"/>
        </w:rPr>
        <w:t>17.1 电子加密响应文件（“.jmbs”格式）：</w:t>
      </w:r>
    </w:p>
    <w:p w14:paraId="10A0CC78">
      <w:pPr>
        <w:pStyle w:val="6"/>
        <w:shd w:val="clear" w:color="auto" w:fill="auto"/>
        <w:snapToGrid w:val="0"/>
        <w:spacing w:line="360" w:lineRule="auto"/>
        <w:ind w:firstLine="700" w:firstLineChars="250"/>
        <w:outlineLvl w:val="9"/>
        <w:rPr>
          <w:rFonts w:hint="eastAsia" w:ascii="仿宋" w:hAnsi="仿宋" w:eastAsia="仿宋" w:cs="仿宋"/>
          <w:color w:val="000000"/>
          <w:sz w:val="28"/>
          <w:lang w:val="en-US" w:eastAsia="zh-CN" w:bidi="ar-SA"/>
        </w:rPr>
      </w:pPr>
      <w:r>
        <w:rPr>
          <w:rFonts w:hint="eastAsia" w:ascii="仿宋" w:hAnsi="仿宋" w:eastAsia="仿宋" w:cs="仿宋"/>
          <w:color w:val="000000"/>
          <w:sz w:val="28"/>
          <w:lang w:val="en-US" w:eastAsia="zh-CN" w:bidi="ar-SA"/>
        </w:rPr>
        <w:t>a. 供应商应在投标截止时间前将电子加密响应文件成功上传递交至新疆政府采购云平台，否则投标无效；</w:t>
      </w:r>
    </w:p>
    <w:p w14:paraId="4CE52179">
      <w:pPr>
        <w:pStyle w:val="6"/>
        <w:shd w:val="clear" w:color="auto" w:fill="auto"/>
        <w:snapToGrid w:val="0"/>
        <w:spacing w:line="360" w:lineRule="auto"/>
        <w:ind w:firstLine="700" w:firstLineChars="250"/>
        <w:outlineLvl w:val="9"/>
        <w:rPr>
          <w:rFonts w:hint="eastAsia" w:ascii="仿宋" w:hAnsi="仿宋" w:eastAsia="仿宋" w:cs="仿宋"/>
          <w:color w:val="000000"/>
          <w:sz w:val="28"/>
          <w:lang w:val="en-US" w:eastAsia="zh-CN" w:bidi="ar-SA"/>
        </w:rPr>
      </w:pPr>
      <w:r>
        <w:rPr>
          <w:rFonts w:hint="eastAsia" w:ascii="仿宋" w:hAnsi="仿宋" w:eastAsia="仿宋" w:cs="仿宋"/>
          <w:color w:val="000000"/>
          <w:sz w:val="28"/>
          <w:lang w:val="en-US" w:eastAsia="zh-CN" w:bidi="ar-SA"/>
        </w:rPr>
        <w:t>b.供应商成功上传电子加密响应文件后，可自行打印响应文件接收回执。</w:t>
      </w:r>
    </w:p>
    <w:p w14:paraId="3B6516A9">
      <w:pPr>
        <w:pStyle w:val="6"/>
        <w:shd w:val="clear" w:color="auto" w:fill="auto"/>
        <w:snapToGrid w:val="0"/>
        <w:spacing w:line="360" w:lineRule="auto"/>
        <w:outlineLvl w:val="9"/>
        <w:rPr>
          <w:rFonts w:hint="eastAsia" w:ascii="仿宋" w:hAnsi="仿宋" w:eastAsia="仿宋" w:cs="仿宋"/>
          <w:color w:val="000000"/>
          <w:sz w:val="28"/>
          <w:lang w:val="en-US" w:eastAsia="zh-CN" w:bidi="ar-SA"/>
        </w:rPr>
      </w:pPr>
      <w:r>
        <w:rPr>
          <w:rFonts w:hint="eastAsia" w:ascii="仿宋" w:hAnsi="仿宋" w:eastAsia="仿宋" w:cs="仿宋"/>
          <w:color w:val="000000"/>
          <w:sz w:val="28"/>
          <w:lang w:val="en-US" w:eastAsia="zh-CN" w:bidi="ar-SA"/>
        </w:rPr>
        <w:t>17.2 备份响应文件（“.bfbs”格式）：</w:t>
      </w:r>
    </w:p>
    <w:p w14:paraId="272E211E">
      <w:pPr>
        <w:pStyle w:val="33"/>
        <w:spacing w:line="360" w:lineRule="auto"/>
        <w:ind w:firstLine="560"/>
        <w:jc w:val="both"/>
        <w:rPr>
          <w:rFonts w:hint="eastAsia" w:ascii="仿宋" w:hAnsi="仿宋" w:eastAsia="仿宋" w:cs="仿宋"/>
          <w:color w:val="000000"/>
          <w:sz w:val="28"/>
          <w:lang w:val="en-US" w:eastAsia="zh-CN" w:bidi="ar-SA"/>
        </w:rPr>
      </w:pPr>
      <w:r>
        <w:rPr>
          <w:rFonts w:hint="eastAsia" w:ascii="仿宋" w:hAnsi="仿宋" w:eastAsia="仿宋" w:cs="仿宋"/>
          <w:color w:val="000000"/>
          <w:sz w:val="28"/>
          <w:lang w:val="en-US" w:eastAsia="zh-CN" w:bidi="ar-SA"/>
        </w:rPr>
        <w:t>a.“备份响应文件”是指与“电子加密响应文件”同时生成的数据电文形式的电子文件（备份标书，用于供应商标书解密异常时应急使用），其他方式编制的备份响应文件视为无效备份响应文件。</w:t>
      </w:r>
    </w:p>
    <w:p w14:paraId="1F56D25A">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sz w:val="28"/>
          <w:lang w:val="en-US" w:eastAsia="zh-CN" w:bidi="ar-SA"/>
        </w:rPr>
        <w:t xml:space="preserve">18 </w:t>
      </w:r>
      <w:r>
        <w:rPr>
          <w:rFonts w:hint="eastAsia" w:ascii="仿宋" w:hAnsi="仿宋" w:eastAsia="仿宋" w:cs="仿宋"/>
          <w:color w:val="000000"/>
          <w:kern w:val="0"/>
          <w:sz w:val="28"/>
          <w:lang w:val="en-US" w:eastAsia="zh-CN" w:bidi="ar-SA"/>
        </w:rPr>
        <w:t>响应文件的递交要求</w:t>
      </w:r>
    </w:p>
    <w:p w14:paraId="565D0A5F">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18.1 供应商须按照采购文件和政采云平台的要求编制并加密响应文件。在响应文件递交截止时间以前完成响应文件的传输递交，截止时间后递交的响应文件，将被拒收。</w:t>
      </w:r>
    </w:p>
    <w:p w14:paraId="3143615A">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18.2 备份电子响应文件必须在投标截止时间前送达指定的投标地点。备份电子响应文件在截止时间后提交，采购组织机构将拒绝接收。</w:t>
      </w:r>
    </w:p>
    <w:p w14:paraId="3C356ADC">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sz w:val="28"/>
        </w:rPr>
      </w:pPr>
      <w:r>
        <w:rPr>
          <w:rFonts w:hint="eastAsia" w:ascii="仿宋" w:hAnsi="仿宋" w:eastAsia="仿宋" w:cs="仿宋"/>
          <w:color w:val="000000"/>
          <w:kern w:val="0"/>
          <w:sz w:val="28"/>
          <w:lang w:val="en-US" w:eastAsia="zh-CN" w:bidi="ar-SA"/>
        </w:rPr>
        <w:t>18.3 如有特殊情况，采购组织机构延长截止时间和开标时间，采购组织机构和供应商的权利和义务将受到新的截止时间和开标时间的约束。</w:t>
      </w:r>
    </w:p>
    <w:p w14:paraId="7ABECF31">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19. 单一来源响应文件的修改、撤回和撤销</w:t>
      </w:r>
    </w:p>
    <w:p w14:paraId="01CA74AC">
      <w:pPr>
        <w:pStyle w:val="35"/>
        <w:spacing w:before="156" w:line="360" w:lineRule="auto"/>
        <w:ind w:firstLine="560"/>
        <w:rPr>
          <w:rFonts w:hint="eastAsia" w:ascii="仿宋" w:hAnsi="仿宋" w:eastAsia="仿宋" w:cs="仿宋"/>
          <w:sz w:val="28"/>
        </w:rPr>
      </w:pPr>
      <w:r>
        <w:rPr>
          <w:rFonts w:hint="eastAsia" w:ascii="仿宋" w:hAnsi="仿宋" w:eastAsia="仿宋" w:cs="仿宋"/>
          <w:sz w:val="28"/>
        </w:rPr>
        <w:t>19.1 供应商在递交单一来源响应文件后，可在规定的投标截止时间之前，对其单一来源响应文件以书面通知的形式进行修改或撤销。该通知必须有授权委托人的签字，并得到采购人的确认。</w:t>
      </w:r>
    </w:p>
    <w:p w14:paraId="1DDE27A6">
      <w:pPr>
        <w:pStyle w:val="35"/>
        <w:spacing w:before="156" w:line="360" w:lineRule="auto"/>
        <w:ind w:firstLine="560"/>
        <w:rPr>
          <w:rFonts w:hint="eastAsia" w:ascii="仿宋" w:hAnsi="仿宋" w:eastAsia="仿宋" w:cs="仿宋"/>
          <w:sz w:val="28"/>
        </w:rPr>
      </w:pPr>
      <w:r>
        <w:rPr>
          <w:rFonts w:hint="eastAsia" w:ascii="仿宋" w:hAnsi="仿宋" w:eastAsia="仿宋" w:cs="仿宋"/>
          <w:sz w:val="28"/>
        </w:rPr>
        <w:t>19.2 供应商对单一来源响应文件修改的书面材料或撤销通知应按单一来源采购文件要求进行密封、标注和递交，并注明“修改”或“撤销”字样，修改或撤销的内容须按单一来源采购文件的要求签署、盖章，并作为单一来源响应文件和其组成部分。</w:t>
      </w:r>
    </w:p>
    <w:p w14:paraId="66B76A42">
      <w:pPr>
        <w:pStyle w:val="35"/>
        <w:spacing w:before="156" w:line="360" w:lineRule="auto"/>
        <w:ind w:firstLine="560"/>
        <w:rPr>
          <w:rFonts w:hint="eastAsia" w:ascii="仿宋" w:hAnsi="仿宋" w:eastAsia="仿宋" w:cs="仿宋"/>
          <w:sz w:val="28"/>
        </w:rPr>
      </w:pPr>
      <w:r>
        <w:rPr>
          <w:rFonts w:hint="eastAsia" w:ascii="仿宋" w:hAnsi="仿宋" w:eastAsia="仿宋" w:cs="仿宋"/>
          <w:sz w:val="28"/>
        </w:rPr>
        <w:t>19.3 对单一来源响应文件修改的书面材料应于谈判截止日前送达采购人，谈判截止时间以后不得修改单一来源响应文件。</w:t>
      </w:r>
    </w:p>
    <w:p w14:paraId="5ADC4D70">
      <w:pPr>
        <w:pStyle w:val="35"/>
        <w:spacing w:before="156" w:line="360" w:lineRule="auto"/>
        <w:ind w:firstLine="560"/>
        <w:jc w:val="both"/>
        <w:rPr>
          <w:rFonts w:hint="eastAsia" w:ascii="仿宋" w:hAnsi="仿宋" w:eastAsia="仿宋" w:cs="仿宋"/>
          <w:sz w:val="28"/>
        </w:rPr>
      </w:pPr>
      <w:r>
        <w:rPr>
          <w:rFonts w:hint="eastAsia" w:ascii="仿宋" w:hAnsi="仿宋" w:eastAsia="仿宋" w:cs="仿宋"/>
          <w:sz w:val="28"/>
        </w:rPr>
        <w:t>19.4 供应商不得在开标后至谈判有效期满前撤销单一来源响应文件，否则采购人将没收其谈判保证金。</w:t>
      </w:r>
    </w:p>
    <w:p w14:paraId="68056611">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20.</w:t>
      </w:r>
      <w:r>
        <w:rPr>
          <w:rFonts w:hint="eastAsia" w:ascii="仿宋" w:hAnsi="仿宋" w:eastAsia="仿宋" w:cs="仿宋"/>
          <w:sz w:val="23"/>
          <w:szCs w:val="23"/>
        </w:rPr>
        <w:t xml:space="preserve"> </w:t>
      </w:r>
      <w:r>
        <w:rPr>
          <w:rFonts w:hint="eastAsia" w:ascii="仿宋" w:hAnsi="仿宋" w:eastAsia="仿宋" w:cs="仿宋"/>
          <w:sz w:val="28"/>
        </w:rPr>
        <w:t>有下列情形之一的，视为供应商串通投标，其投标无效：</w:t>
      </w:r>
    </w:p>
    <w:p w14:paraId="7E8D3CBF">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⑴ 不同供应商的单一来源响应文件由同一单位或者个人编制;</w:t>
      </w:r>
    </w:p>
    <w:p w14:paraId="3CAA1818">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⑵ 不同供应商委托同一单位或者个人办理投标事宜;</w:t>
      </w:r>
    </w:p>
    <w:p w14:paraId="414226A4">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⑶ 不同供应商的单一来源响应文件载明的项目管理成员或者联系人员为同一人;</w:t>
      </w:r>
    </w:p>
    <w:p w14:paraId="2AA48DF6">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⑷ 不同供应商的单一来源响应文件异常一致或者投标报价呈规律性差异;</w:t>
      </w:r>
    </w:p>
    <w:p w14:paraId="6D4576A9">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⑸ 不同供应商的单一来源响应文件相互混装;</w:t>
      </w:r>
    </w:p>
    <w:p w14:paraId="3CC9A4A6">
      <w:pPr>
        <w:pStyle w:val="35"/>
        <w:spacing w:line="360" w:lineRule="auto"/>
        <w:ind w:firstLine="560"/>
        <w:jc w:val="both"/>
        <w:rPr>
          <w:rFonts w:hint="eastAsia" w:ascii="仿宋" w:hAnsi="仿宋" w:eastAsia="仿宋" w:cs="仿宋"/>
          <w:sz w:val="23"/>
          <w:szCs w:val="23"/>
        </w:rPr>
      </w:pPr>
      <w:r>
        <w:rPr>
          <w:rFonts w:hint="eastAsia" w:ascii="仿宋" w:hAnsi="仿宋" w:eastAsia="仿宋" w:cs="仿宋"/>
          <w:sz w:val="28"/>
        </w:rPr>
        <w:t>⑹ 不同供应商的投标保证金从同一单位或者个人的账户转出</w:t>
      </w:r>
      <w:r>
        <w:rPr>
          <w:rFonts w:hint="eastAsia" w:ascii="仿宋" w:hAnsi="仿宋" w:eastAsia="仿宋" w:cs="仿宋"/>
          <w:sz w:val="23"/>
          <w:szCs w:val="23"/>
        </w:rPr>
        <w:t>。</w:t>
      </w:r>
    </w:p>
    <w:p w14:paraId="62C7322E">
      <w:pPr>
        <w:pStyle w:val="3"/>
        <w:spacing w:line="360" w:lineRule="auto"/>
        <w:rPr>
          <w:rFonts w:hint="eastAsia" w:ascii="仿宋" w:hAnsi="仿宋" w:eastAsia="仿宋" w:cs="仿宋"/>
        </w:rPr>
      </w:pPr>
      <w:bookmarkStart w:id="34" w:name="_Toc82497898"/>
      <w:bookmarkEnd w:id="34"/>
      <w:bookmarkStart w:id="35" w:name="_Toc56170384"/>
      <w:bookmarkEnd w:id="35"/>
      <w:bookmarkStart w:id="36" w:name="_Toc65158531"/>
      <w:bookmarkEnd w:id="36"/>
      <w:bookmarkStart w:id="37" w:name="_Toc5267"/>
      <w:bookmarkEnd w:id="37"/>
      <w:bookmarkStart w:id="38" w:name="_Toc32295"/>
      <w:r>
        <w:rPr>
          <w:rFonts w:hint="eastAsia" w:ascii="仿宋" w:hAnsi="仿宋" w:eastAsia="仿宋" w:cs="仿宋"/>
        </w:rPr>
        <w:t>五、谈判</w:t>
      </w:r>
      <w:bookmarkEnd w:id="38"/>
    </w:p>
    <w:p w14:paraId="3E2EA80F">
      <w:pPr>
        <w:pStyle w:val="35"/>
        <w:spacing w:line="360" w:lineRule="auto"/>
        <w:ind w:firstLine="560"/>
        <w:jc w:val="both"/>
        <w:rPr>
          <w:rFonts w:hint="eastAsia" w:ascii="仿宋" w:hAnsi="仿宋" w:eastAsia="仿宋" w:cs="仿宋"/>
          <w:sz w:val="28"/>
        </w:rPr>
      </w:pPr>
      <w:r>
        <w:rPr>
          <w:rFonts w:hint="eastAsia" w:ascii="仿宋" w:hAnsi="仿宋" w:eastAsia="仿宋" w:cs="仿宋"/>
          <w:sz w:val="28"/>
        </w:rPr>
        <w:t>21. 谈判</w:t>
      </w:r>
    </w:p>
    <w:p w14:paraId="64C12322">
      <w:pPr>
        <w:pStyle w:val="33"/>
        <w:spacing w:line="360" w:lineRule="auto"/>
        <w:ind w:left="1" w:firstLine="562" w:firstLineChars="201"/>
        <w:jc w:val="both"/>
        <w:rPr>
          <w:rFonts w:hint="eastAsia" w:ascii="仿宋" w:hAnsi="仿宋" w:eastAsia="仿宋" w:cs="仿宋"/>
          <w:sz w:val="28"/>
          <w:u w:val="single"/>
        </w:rPr>
      </w:pPr>
      <w:r>
        <w:rPr>
          <w:rFonts w:hint="eastAsia" w:ascii="仿宋" w:hAnsi="仿宋" w:eastAsia="仿宋" w:cs="仿宋"/>
          <w:sz w:val="28"/>
        </w:rPr>
        <w:t>21.1 除非采购代理机构另外书面通知，本项目将按本单一来源采购文件《谈判须知前附表》中规定的时间和地点进行谈判。</w:t>
      </w:r>
    </w:p>
    <w:p w14:paraId="3D794BBA">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bookmarkStart w:id="39" w:name="_Toc73975822"/>
      <w:bookmarkEnd w:id="39"/>
      <w:r>
        <w:rPr>
          <w:rFonts w:hint="eastAsia" w:ascii="仿宋" w:hAnsi="仿宋" w:eastAsia="仿宋" w:cs="仿宋"/>
          <w:color w:val="000000"/>
          <w:kern w:val="0"/>
          <w:sz w:val="28"/>
          <w:lang w:val="en-US" w:eastAsia="zh-CN" w:bidi="ar-SA"/>
        </w:rPr>
        <w:t>21.2 开标邀请</w:t>
      </w:r>
    </w:p>
    <w:p w14:paraId="26126D89">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（1）开标准备：本项目开标的准备工作由采购组织机构负责落实，开标过程由采购组织机构负责记录；</w:t>
      </w:r>
    </w:p>
    <w:p w14:paraId="7F46BD40">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（2）开标主持：本项目开标由采购人或者采购代理机构主持；</w:t>
      </w:r>
    </w:p>
    <w:p w14:paraId="1373072F">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（3）开标邀请：本项目采用电子交易，采购组织机构将按照采购文件规定的时间通过“新疆政府采购云平台，网址：</w:t>
      </w:r>
      <w:r>
        <w:rPr>
          <w:rFonts w:hint="eastAsia" w:ascii="仿宋" w:hAnsi="仿宋" w:eastAsia="仿宋" w:cs="仿宋"/>
          <w:color w:val="000000"/>
          <w:kern w:val="0"/>
          <w:sz w:val="28"/>
          <w:lang w:val="en-US" w:eastAsia="zh-CN" w:bidi="ar-SA"/>
        </w:rPr>
        <w:fldChar w:fldCharType="begin"/>
      </w:r>
      <w:r>
        <w:rPr>
          <w:rFonts w:hint="eastAsia" w:ascii="仿宋" w:hAnsi="仿宋" w:eastAsia="仿宋" w:cs="仿宋"/>
          <w:color w:val="000000"/>
          <w:kern w:val="0"/>
          <w:sz w:val="28"/>
          <w:lang w:val="en-US" w:eastAsia="zh-CN" w:bidi="ar-SA"/>
        </w:rPr>
        <w:instrText xml:space="preserve">HYPERLINK "http://www.zcygov.cn"</w:instrText>
      </w:r>
      <w:r>
        <w:rPr>
          <w:rFonts w:hint="eastAsia" w:ascii="仿宋" w:hAnsi="仿宋" w:eastAsia="仿宋" w:cs="仿宋"/>
          <w:color w:val="000000"/>
          <w:kern w:val="0"/>
          <w:sz w:val="28"/>
          <w:lang w:val="en-US" w:eastAsia="zh-CN" w:bidi="ar-SA"/>
        </w:rPr>
        <w:fldChar w:fldCharType="separate"/>
      </w:r>
      <w:r>
        <w:rPr>
          <w:rFonts w:hint="eastAsia" w:ascii="仿宋" w:hAnsi="仿宋" w:eastAsia="仿宋" w:cs="仿宋"/>
          <w:color w:val="000000"/>
          <w:kern w:val="0"/>
          <w:sz w:val="28"/>
          <w:lang w:val="en-US" w:eastAsia="zh-CN" w:bidi="ar-SA"/>
        </w:rPr>
        <w:t>www.zcygov.cn</w:t>
      </w:r>
      <w:r>
        <w:rPr>
          <w:rFonts w:hint="eastAsia" w:ascii="仿宋" w:hAnsi="仿宋" w:eastAsia="仿宋" w:cs="仿宋"/>
          <w:color w:val="000000"/>
          <w:kern w:val="0"/>
          <w:sz w:val="28"/>
          <w:lang w:val="en-US" w:eastAsia="zh-CN" w:bidi="ar-SA"/>
        </w:rPr>
        <w:fldChar w:fldCharType="end"/>
      </w:r>
      <w:r>
        <w:rPr>
          <w:rFonts w:hint="eastAsia" w:ascii="仿宋" w:hAnsi="仿宋" w:eastAsia="仿宋" w:cs="仿宋"/>
          <w:color w:val="000000"/>
          <w:kern w:val="0"/>
          <w:sz w:val="28"/>
          <w:lang w:val="en-US" w:eastAsia="zh-CN" w:bidi="ar-SA"/>
        </w:rPr>
        <w:t>”组织开标、开启投标投标文件，所有供应商均应当准时在线参加。</w:t>
      </w:r>
    </w:p>
    <w:p w14:paraId="1C3993FA">
      <w:pPr>
        <w:pStyle w:val="10"/>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EA4D12E">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bookmarkStart w:id="40" w:name="_Toc73975823"/>
      <w:bookmarkEnd w:id="40"/>
      <w:bookmarkStart w:id="41" w:name="_Toc8537"/>
      <w:bookmarkEnd w:id="41"/>
      <w:r>
        <w:rPr>
          <w:rFonts w:hint="eastAsia" w:ascii="仿宋" w:hAnsi="仿宋" w:eastAsia="仿宋" w:cs="仿宋"/>
          <w:color w:val="000000"/>
          <w:kern w:val="0"/>
          <w:sz w:val="28"/>
          <w:lang w:val="en-US" w:eastAsia="zh-CN" w:bidi="ar-SA"/>
        </w:rPr>
        <w:t>21.3 开标程序</w:t>
      </w:r>
    </w:p>
    <w:p w14:paraId="3A481CA9">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（1）开标时间到后，主持人宣布开标会议开始。</w:t>
      </w:r>
    </w:p>
    <w:p w14:paraId="2CCF939F">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（2）投标文件解密（解密规定见《投标人须知前附表》）。</w:t>
      </w:r>
    </w:p>
    <w:p w14:paraId="5C205476">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（3）投标文件解密异常情况处理（处理办法见《投标人须知前附表》）。</w:t>
      </w:r>
    </w:p>
    <w:p w14:paraId="61E09535">
      <w:pPr>
        <w:shd w:val="clear" w:color="auto" w:fill="auto"/>
        <w:snapToGrid w:val="0"/>
        <w:spacing w:line="360" w:lineRule="auto"/>
        <w:ind w:firstLine="560" w:firstLineChars="200"/>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（4）公布响应文件解密情况（响应文件成功解密的供应商名单等信息）。</w:t>
      </w:r>
    </w:p>
    <w:p w14:paraId="7A09B3C6">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5）开启标书信息，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208F1929">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（6）商务技术评审结束后，主持人公布商务技术评审无效投标供应商名单和商务技术评审有效投标供应商名单及其商务技术得分情况。商务技术评审无效的供应商，其报价不再进入评审。</w:t>
      </w:r>
    </w:p>
    <w:p w14:paraId="5F61702B">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lang w:val="en-US" w:eastAsia="zh-CN" w:bidi="ar-SA"/>
        </w:rPr>
      </w:pPr>
      <w:r>
        <w:rPr>
          <w:rFonts w:hint="eastAsia" w:ascii="仿宋" w:hAnsi="仿宋" w:eastAsia="仿宋" w:cs="仿宋"/>
          <w:color w:val="000000"/>
          <w:kern w:val="0"/>
          <w:sz w:val="28"/>
          <w:lang w:val="en-US" w:eastAsia="zh-CN" w:bidi="ar-SA"/>
        </w:rPr>
        <w:t>（7）公布开标一览表有关内容，并【开启签字时段】，供应商对开标纪录进行在线签字确认（不予确认的应说明理由，否则视为无异议）。开标结束后，由评标委员会对报价的合理性、准确性等进行审查核实。</w:t>
      </w:r>
    </w:p>
    <w:p w14:paraId="1A0EBECC">
      <w:pPr>
        <w:shd w:val="clear" w:color="auto" w:fill="auto"/>
        <w:snapToGrid w:val="0"/>
        <w:spacing w:line="360" w:lineRule="auto"/>
        <w:ind w:firstLine="560" w:firstLineChars="200"/>
        <w:outlineLvl w:val="9"/>
        <w:rPr>
          <w:rFonts w:hint="eastAsia" w:ascii="仿宋" w:hAnsi="仿宋" w:eastAsia="仿宋" w:cs="仿宋"/>
          <w:color w:val="auto"/>
          <w:sz w:val="21"/>
          <w:szCs w:val="21"/>
        </w:rPr>
      </w:pPr>
      <w:r>
        <w:rPr>
          <w:rFonts w:hint="eastAsia" w:ascii="仿宋" w:hAnsi="仿宋" w:eastAsia="仿宋" w:cs="仿宋"/>
          <w:color w:val="000000"/>
          <w:kern w:val="0"/>
          <w:sz w:val="28"/>
          <w:lang w:val="en-US" w:eastAsia="zh-CN" w:bidi="ar-SA"/>
        </w:rPr>
        <w:t>（8）评审结束后，采购代理机构在系统上公布评审结果。</w:t>
      </w:r>
    </w:p>
    <w:p w14:paraId="3D61412A">
      <w:pPr>
        <w:shd w:val="clear" w:color="auto" w:fill="auto"/>
        <w:snapToGrid w:val="0"/>
        <w:spacing w:line="360" w:lineRule="auto"/>
        <w:ind w:left="480"/>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特别情况说明：</w:t>
      </w:r>
    </w:p>
    <w:p w14:paraId="6D335A33">
      <w:pPr>
        <w:shd w:val="clear" w:color="auto" w:fill="auto"/>
        <w:snapToGrid w:val="0"/>
        <w:spacing w:line="360" w:lineRule="auto"/>
        <w:ind w:firstLine="495" w:firstLineChars="177"/>
        <w:jc w:val="left"/>
        <w:outlineLvl w:val="9"/>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（1）本项目采用电子交易，如遇“</w:t>
      </w:r>
      <w:r>
        <w:rPr>
          <w:rFonts w:hint="eastAsia" w:ascii="仿宋" w:hAnsi="仿宋" w:eastAsia="仿宋" w:cs="仿宋"/>
          <w:b/>
          <w:color w:val="auto"/>
          <w:kern w:val="0"/>
          <w:sz w:val="28"/>
          <w:szCs w:val="28"/>
          <w:lang w:eastAsia="zh-CN"/>
        </w:rPr>
        <w:t>新疆</w:t>
      </w:r>
      <w:r>
        <w:rPr>
          <w:rFonts w:hint="eastAsia" w:ascii="仿宋" w:hAnsi="仿宋" w:eastAsia="仿宋" w:cs="仿宋"/>
          <w:b/>
          <w:color w:val="auto"/>
          <w:kern w:val="0"/>
          <w:sz w:val="28"/>
          <w:szCs w:val="28"/>
        </w:rPr>
        <w:t>政府采购云平台”电子化开标或评审程序调整的，按调整后程序执行。</w:t>
      </w:r>
    </w:p>
    <w:p w14:paraId="59AD8F9D">
      <w:pPr>
        <w:pStyle w:val="33"/>
        <w:spacing w:line="360" w:lineRule="auto"/>
        <w:ind w:firstLine="560"/>
        <w:jc w:val="both"/>
        <w:rPr>
          <w:rFonts w:hint="eastAsia" w:ascii="仿宋" w:hAnsi="仿宋" w:eastAsia="仿宋" w:cs="仿宋"/>
          <w:sz w:val="28"/>
          <w:lang w:val="en-US" w:eastAsia="zh-CN"/>
        </w:rPr>
      </w:pPr>
      <w:r>
        <w:rPr>
          <w:rFonts w:hint="eastAsia" w:ascii="仿宋" w:hAnsi="仿宋" w:eastAsia="仿宋" w:cs="仿宋"/>
          <w:b/>
          <w:color w:val="auto"/>
          <w:kern w:val="0"/>
          <w:sz w:val="28"/>
          <w:szCs w:val="28"/>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8"/>
          <w:szCs w:val="28"/>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8"/>
          <w:szCs w:val="28"/>
        </w:rPr>
        <w:t>。</w:t>
      </w:r>
    </w:p>
    <w:p w14:paraId="1007C725">
      <w:pPr>
        <w:pStyle w:val="3"/>
        <w:spacing w:line="360" w:lineRule="auto"/>
        <w:rPr>
          <w:rFonts w:hint="eastAsia" w:ascii="仿宋" w:hAnsi="仿宋" w:eastAsia="仿宋" w:cs="仿宋"/>
        </w:rPr>
      </w:pPr>
      <w:bookmarkStart w:id="42" w:name="_Toc65158532"/>
      <w:bookmarkEnd w:id="42"/>
      <w:bookmarkStart w:id="43" w:name="_Toc56170385"/>
      <w:bookmarkEnd w:id="43"/>
      <w:bookmarkStart w:id="44" w:name="_Toc12931"/>
      <w:bookmarkEnd w:id="44"/>
      <w:bookmarkStart w:id="45" w:name="_Toc82497899"/>
      <w:bookmarkEnd w:id="45"/>
      <w:bookmarkStart w:id="46" w:name="_Toc1352"/>
      <w:r>
        <w:rPr>
          <w:rFonts w:hint="eastAsia" w:ascii="仿宋" w:hAnsi="仿宋" w:eastAsia="仿宋" w:cs="仿宋"/>
        </w:rPr>
        <w:t>六、资格审查</w:t>
      </w:r>
      <w:bookmarkEnd w:id="46"/>
    </w:p>
    <w:p w14:paraId="76B9EB95">
      <w:pPr>
        <w:pStyle w:val="33"/>
        <w:spacing w:line="360" w:lineRule="auto"/>
        <w:ind w:firstLine="561"/>
        <w:rPr>
          <w:rFonts w:hint="eastAsia" w:ascii="仿宋" w:hAnsi="仿宋" w:eastAsia="仿宋" w:cs="仿宋"/>
          <w:sz w:val="28"/>
        </w:rPr>
      </w:pPr>
      <w:r>
        <w:rPr>
          <w:rFonts w:hint="eastAsia" w:ascii="仿宋" w:hAnsi="仿宋" w:eastAsia="仿宋" w:cs="仿宋"/>
          <w:sz w:val="28"/>
        </w:rPr>
        <w:t>22. 资格审查</w:t>
      </w:r>
    </w:p>
    <w:p w14:paraId="6D9B21C3">
      <w:pPr>
        <w:pStyle w:val="33"/>
        <w:spacing w:line="360" w:lineRule="auto"/>
        <w:ind w:firstLine="561"/>
        <w:rPr>
          <w:rFonts w:hint="eastAsia" w:ascii="仿宋" w:hAnsi="仿宋" w:eastAsia="仿宋" w:cs="仿宋"/>
          <w:sz w:val="28"/>
        </w:rPr>
      </w:pPr>
      <w:r>
        <w:rPr>
          <w:rFonts w:hint="eastAsia" w:ascii="仿宋" w:hAnsi="仿宋" w:eastAsia="仿宋" w:cs="仿宋"/>
          <w:sz w:val="28"/>
        </w:rPr>
        <w:t>22.1 采购人按照</w:t>
      </w:r>
      <w:r>
        <w:rPr>
          <w:rFonts w:hint="eastAsia" w:ascii="仿宋" w:hAnsi="仿宋" w:eastAsia="仿宋" w:cs="仿宋"/>
          <w:sz w:val="28"/>
          <w:lang w:val="en-US" w:eastAsia="zh-CN"/>
        </w:rPr>
        <w:t>以下</w:t>
      </w:r>
      <w:r>
        <w:rPr>
          <w:rFonts w:hint="eastAsia" w:ascii="仿宋" w:hAnsi="仿宋" w:eastAsia="仿宋" w:cs="仿宋"/>
          <w:sz w:val="28"/>
        </w:rPr>
        <w:t>中规定的内容对单一来源供应商的单一来源响应文件进行资格审查。资格审查不合格的，其投标无效。</w:t>
      </w:r>
    </w:p>
    <w:p w14:paraId="60B37343">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bookmarkStart w:id="47" w:name="_Toc31900"/>
      <w:bookmarkEnd w:id="47"/>
      <w:bookmarkStart w:id="48" w:name="_Toc65158533"/>
      <w:bookmarkEnd w:id="48"/>
      <w:bookmarkStart w:id="49" w:name="_Toc56170386"/>
      <w:bookmarkEnd w:id="49"/>
      <w:bookmarkStart w:id="50" w:name="_Toc82497900"/>
      <w:bookmarkEnd w:id="50"/>
      <w:bookmarkStart w:id="51" w:name="_Toc31324"/>
      <w:r>
        <w:rPr>
          <w:rFonts w:hint="eastAsia" w:ascii="仿宋" w:hAnsi="仿宋" w:eastAsia="仿宋" w:cs="仿宋"/>
          <w:b/>
          <w:bCs/>
          <w:szCs w:val="24"/>
        </w:rPr>
        <w:t>（1）企业营业执照（复印件</w:t>
      </w:r>
      <w:r>
        <w:rPr>
          <w:rFonts w:hint="eastAsia" w:ascii="仿宋" w:hAnsi="仿宋" w:eastAsia="仿宋" w:cs="仿宋"/>
          <w:b/>
          <w:bCs/>
          <w:szCs w:val="24"/>
          <w:lang w:eastAsia="zh-CN"/>
        </w:rPr>
        <w:t>或扫描件</w:t>
      </w:r>
      <w:r>
        <w:rPr>
          <w:rFonts w:hint="eastAsia" w:ascii="仿宋" w:hAnsi="仿宋" w:eastAsia="仿宋" w:cs="仿宋"/>
          <w:b/>
          <w:bCs/>
          <w:szCs w:val="24"/>
        </w:rPr>
        <w:t>加盖公章，</w:t>
      </w:r>
      <w:r>
        <w:rPr>
          <w:rFonts w:hint="eastAsia" w:ascii="仿宋" w:hAnsi="仿宋" w:eastAsia="仿宋" w:cs="仿宋"/>
          <w:b/>
          <w:bCs/>
          <w:szCs w:val="24"/>
          <w:lang w:eastAsia="zh-CN"/>
        </w:rPr>
        <w:t>在电子响应文件中提供</w:t>
      </w:r>
      <w:r>
        <w:rPr>
          <w:rFonts w:hint="eastAsia" w:ascii="仿宋" w:hAnsi="仿宋" w:eastAsia="仿宋" w:cs="仿宋"/>
          <w:b/>
          <w:bCs/>
          <w:szCs w:val="24"/>
        </w:rPr>
        <w:t>）</w:t>
      </w:r>
      <w:r>
        <w:rPr>
          <w:rFonts w:hint="eastAsia" w:ascii="仿宋" w:hAnsi="仿宋" w:eastAsia="仿宋" w:cs="仿宋"/>
          <w:b/>
          <w:bCs/>
          <w:szCs w:val="24"/>
          <w:lang w:eastAsia="zh-CN"/>
        </w:rPr>
        <w:t>；</w:t>
      </w:r>
    </w:p>
    <w:p w14:paraId="3C855E72">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（2）谈判代表的法人授权委托书及被授权人身份证复印件。授权委托书应由法定代表签名并加盖企业公章，私章无效</w:t>
      </w:r>
      <w:r>
        <w:rPr>
          <w:rFonts w:hint="eastAsia" w:ascii="仿宋" w:hAnsi="仿宋" w:eastAsia="仿宋" w:cs="仿宋"/>
          <w:b/>
          <w:bCs/>
          <w:szCs w:val="24"/>
          <w:lang w:eastAsia="zh-CN"/>
        </w:rPr>
        <w:t>（在电子响应文件中提供）；</w:t>
      </w:r>
    </w:p>
    <w:p w14:paraId="1A9F8F0D">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3</w:t>
      </w:r>
      <w:r>
        <w:rPr>
          <w:rFonts w:hint="eastAsia" w:ascii="仿宋" w:hAnsi="仿宋" w:eastAsia="仿宋" w:cs="仿宋"/>
          <w:b/>
          <w:bCs/>
          <w:szCs w:val="24"/>
          <w:lang w:eastAsia="zh-CN"/>
        </w:rPr>
        <w:t>）</w:t>
      </w:r>
      <w:r>
        <w:rPr>
          <w:rFonts w:hint="eastAsia" w:ascii="仿宋" w:hAnsi="仿宋" w:eastAsia="仿宋" w:cs="仿宋"/>
          <w:b/>
          <w:bCs/>
          <w:szCs w:val="24"/>
        </w:rPr>
        <w:t>具有良好的商业信誉和健全的财务会计制度（由具备资质的中介机构出具的（</w:t>
      </w:r>
      <w:r>
        <w:rPr>
          <w:rFonts w:hint="eastAsia" w:ascii="仿宋" w:hAnsi="仿宋" w:eastAsia="仿宋" w:cs="仿宋"/>
          <w:b/>
          <w:bCs/>
          <w:szCs w:val="24"/>
          <w:lang w:val="en-US" w:eastAsia="zh-CN"/>
        </w:rPr>
        <w:t>2024年或2023年</w:t>
      </w:r>
      <w:r>
        <w:rPr>
          <w:rFonts w:hint="eastAsia" w:ascii="仿宋" w:hAnsi="仿宋" w:eastAsia="仿宋" w:cs="仿宋"/>
          <w:b/>
          <w:bCs/>
          <w:szCs w:val="24"/>
        </w:rPr>
        <w:t>）的财务审计报告或其他体现财务能力的材料原件或复印件加盖公章；成立不满一年企业或者小微企业提供财务报表；</w:t>
      </w:r>
    </w:p>
    <w:p w14:paraId="08373FA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val="en-US" w:eastAsia="zh-CN"/>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4</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 xml:space="preserve">有依法缴纳税收和社会保障资金的良好记录： </w:t>
      </w:r>
    </w:p>
    <w:p w14:paraId="3F88CA98">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val="en-US" w:eastAsia="zh-CN"/>
        </w:rPr>
      </w:pPr>
      <w:r>
        <w:rPr>
          <w:rFonts w:hint="eastAsia" w:ascii="仿宋" w:hAnsi="仿宋" w:eastAsia="仿宋" w:cs="仿宋"/>
          <w:b/>
          <w:bCs/>
          <w:szCs w:val="24"/>
          <w:lang w:val="en-US" w:eastAsia="zh-CN"/>
        </w:rPr>
        <w:t>①提供税务部门出具的近一年内任意三个月的完税证明（新公司从成立 之日起算，如无产生税收，需提供不拖欠税收证明材料；）</w:t>
      </w:r>
    </w:p>
    <w:p w14:paraId="345DCD60">
      <w:pPr>
        <w:pStyle w:val="33"/>
        <w:keepNext w:val="0"/>
        <w:keepLines w:val="0"/>
        <w:pageBreakBefore w:val="0"/>
        <w:widowControl w:val="0"/>
        <w:kinsoku/>
        <w:overflowPunct/>
        <w:topLinePunct w:val="0"/>
        <w:bidi w:val="0"/>
        <w:snapToGrid w:val="0"/>
        <w:spacing w:line="360" w:lineRule="exact"/>
        <w:ind w:firstLine="560"/>
        <w:textAlignment w:val="auto"/>
        <w:rPr>
          <w:rFonts w:hint="default" w:ascii="仿宋" w:hAnsi="仿宋" w:eastAsia="仿宋" w:cs="仿宋"/>
          <w:b/>
          <w:bCs/>
          <w:szCs w:val="24"/>
          <w:lang w:val="en-US" w:eastAsia="zh-CN"/>
        </w:rPr>
      </w:pPr>
      <w:r>
        <w:rPr>
          <w:rFonts w:hint="eastAsia" w:ascii="仿宋" w:hAnsi="仿宋" w:eastAsia="仿宋" w:cs="仿宋"/>
          <w:b/>
          <w:bCs/>
          <w:szCs w:val="24"/>
          <w:lang w:val="en-US" w:eastAsia="zh-CN"/>
        </w:rPr>
        <w:t xml:space="preserve">②依法缴纳近一年内任意三个月企业缴纳社保证明材料（新公司从成立之日起算）        </w:t>
      </w:r>
    </w:p>
    <w:p w14:paraId="23EC847C">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5</w:t>
      </w:r>
      <w:r>
        <w:rPr>
          <w:rFonts w:hint="eastAsia" w:ascii="仿宋" w:hAnsi="仿宋" w:eastAsia="仿宋" w:cs="仿宋"/>
          <w:b/>
          <w:bCs/>
          <w:szCs w:val="24"/>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Cs w:val="24"/>
          <w:lang w:eastAsia="zh-CN"/>
        </w:rPr>
        <w:t>复印件或扫描件（加盖公章在电子响应文件中提供）；</w:t>
      </w:r>
    </w:p>
    <w:p w14:paraId="387699A2">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6</w:t>
      </w:r>
      <w:r>
        <w:rPr>
          <w:rFonts w:hint="eastAsia" w:ascii="仿宋" w:hAnsi="仿宋" w:eastAsia="仿宋" w:cs="仿宋"/>
          <w:b/>
          <w:bCs/>
          <w:szCs w:val="24"/>
        </w:rPr>
        <w:t>）</w:t>
      </w:r>
      <w:r>
        <w:rPr>
          <w:rFonts w:hint="eastAsia" w:ascii="仿宋" w:hAnsi="仿宋" w:eastAsia="仿宋" w:cs="仿宋"/>
          <w:b/>
          <w:bCs/>
          <w:szCs w:val="24"/>
          <w:lang w:val="en-US" w:eastAsia="zh-CN"/>
        </w:rPr>
        <w:t>投标保证金交纳凭证或有效的保函相关证明资料；</w:t>
      </w:r>
      <w:r>
        <w:rPr>
          <w:rFonts w:hint="eastAsia" w:ascii="仿宋" w:hAnsi="仿宋" w:eastAsia="仿宋" w:cs="仿宋"/>
          <w:b/>
          <w:bCs/>
          <w:szCs w:val="24"/>
          <w:lang w:eastAsia="zh-CN"/>
        </w:rPr>
        <w:t>（在电子响应文件中提供）；</w:t>
      </w:r>
    </w:p>
    <w:p w14:paraId="20BACB31">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rPr>
        <w:t>（</w:t>
      </w:r>
      <w:r>
        <w:rPr>
          <w:rFonts w:hint="eastAsia" w:ascii="仿宋" w:hAnsi="仿宋" w:eastAsia="仿宋" w:cs="仿宋"/>
          <w:b/>
          <w:bCs/>
          <w:szCs w:val="24"/>
          <w:lang w:val="en-US" w:eastAsia="zh-CN"/>
        </w:rPr>
        <w:t>7</w:t>
      </w:r>
      <w:r>
        <w:rPr>
          <w:rFonts w:hint="eastAsia" w:ascii="仿宋" w:hAnsi="仿宋" w:eastAsia="仿宋" w:cs="仿宋"/>
          <w:b/>
          <w:bCs/>
          <w:szCs w:val="24"/>
        </w:rPr>
        <w:t>）参加政府采购活动近三年内在经营活动中没有重大违法记录的书面声明</w:t>
      </w:r>
      <w:r>
        <w:rPr>
          <w:rFonts w:hint="eastAsia" w:ascii="仿宋" w:hAnsi="仿宋" w:eastAsia="仿宋" w:cs="仿宋"/>
          <w:b/>
          <w:bCs/>
          <w:szCs w:val="24"/>
          <w:lang w:eastAsia="zh-CN"/>
        </w:rPr>
        <w:t>（加盖公章在电子响应文件中提供，</w:t>
      </w:r>
      <w:r>
        <w:rPr>
          <w:rFonts w:hint="eastAsia" w:ascii="仿宋" w:hAnsi="仿宋" w:eastAsia="仿宋" w:cs="仿宋"/>
          <w:b/>
          <w:bCs/>
          <w:szCs w:val="24"/>
          <w:lang w:val="en-US" w:eastAsia="zh-CN"/>
        </w:rPr>
        <w:t>格式自拟</w:t>
      </w:r>
      <w:r>
        <w:rPr>
          <w:rFonts w:hint="eastAsia" w:ascii="仿宋" w:hAnsi="仿宋" w:eastAsia="仿宋" w:cs="仿宋"/>
          <w:b/>
          <w:bCs/>
          <w:szCs w:val="24"/>
          <w:lang w:eastAsia="zh-CN"/>
        </w:rPr>
        <w:t>）；</w:t>
      </w:r>
    </w:p>
    <w:p w14:paraId="5D0C945A">
      <w:pPr>
        <w:pStyle w:val="33"/>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Cs w:val="24"/>
          <w:lang w:eastAsia="zh-CN"/>
        </w:rPr>
      </w:pPr>
      <w:r>
        <w:rPr>
          <w:rFonts w:hint="eastAsia" w:ascii="仿宋" w:hAnsi="仿宋" w:eastAsia="仿宋" w:cs="仿宋"/>
          <w:b/>
          <w:bCs/>
          <w:szCs w:val="24"/>
          <w:lang w:eastAsia="zh-CN"/>
        </w:rPr>
        <w:t>（</w:t>
      </w:r>
      <w:r>
        <w:rPr>
          <w:rFonts w:hint="eastAsia" w:ascii="仿宋" w:hAnsi="仿宋" w:eastAsia="仿宋" w:cs="仿宋"/>
          <w:b/>
          <w:bCs/>
          <w:szCs w:val="24"/>
          <w:lang w:val="en-US" w:eastAsia="zh-CN"/>
        </w:rPr>
        <w:t>8</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供应商</w:t>
      </w:r>
      <w:r>
        <w:rPr>
          <w:rFonts w:hint="eastAsia" w:ascii="仿宋" w:hAnsi="仿宋" w:eastAsia="仿宋" w:cs="仿宋"/>
          <w:b/>
          <w:bCs/>
          <w:szCs w:val="24"/>
          <w:lang w:eastAsia="zh-CN"/>
        </w:rPr>
        <w:t>不得为“信用中国”网站（www.creditchina.gov.cn ）中列入失信被执行人和</w:t>
      </w:r>
      <w:r>
        <w:rPr>
          <w:rFonts w:hint="eastAsia" w:ascii="仿宋" w:hAnsi="仿宋" w:eastAsia="仿宋" w:cs="仿宋"/>
          <w:b/>
          <w:bCs/>
          <w:szCs w:val="24"/>
          <w:lang w:val="en-US" w:eastAsia="zh-CN"/>
        </w:rPr>
        <w:t>重大违法失信主体</w:t>
      </w:r>
      <w:r>
        <w:rPr>
          <w:rFonts w:hint="eastAsia" w:ascii="仿宋" w:hAnsi="仿宋" w:eastAsia="仿宋" w:cs="仿宋"/>
          <w:b/>
          <w:bCs/>
          <w:szCs w:val="24"/>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Cs w:val="24"/>
          <w:lang w:val="en-US" w:eastAsia="zh-CN"/>
        </w:rPr>
        <w:t>单一来源采购文件</w:t>
      </w:r>
      <w:r>
        <w:rPr>
          <w:rFonts w:hint="eastAsia" w:ascii="仿宋" w:hAnsi="仿宋" w:eastAsia="仿宋" w:cs="仿宋"/>
          <w:b/>
          <w:bCs/>
          <w:szCs w:val="24"/>
          <w:lang w:eastAsia="zh-CN"/>
        </w:rPr>
        <w:t>之日起</w:t>
      </w:r>
      <w:r>
        <w:rPr>
          <w:rFonts w:hint="eastAsia" w:ascii="仿宋" w:hAnsi="仿宋" w:eastAsia="仿宋" w:cs="仿宋"/>
          <w:b/>
          <w:bCs/>
          <w:szCs w:val="24"/>
          <w:lang w:val="en-US" w:eastAsia="zh-CN"/>
        </w:rPr>
        <w:t>响应</w:t>
      </w:r>
      <w:r>
        <w:rPr>
          <w:rFonts w:hint="eastAsia" w:ascii="仿宋" w:hAnsi="仿宋" w:eastAsia="仿宋" w:cs="仿宋"/>
          <w:b/>
          <w:bCs/>
          <w:szCs w:val="24"/>
          <w:lang w:eastAsia="zh-CN"/>
        </w:rPr>
        <w:t>截止时间止。（提供查询结果网页截图并加盖供应商公章）。</w:t>
      </w:r>
    </w:p>
    <w:p w14:paraId="39628E2D">
      <w:pPr>
        <w:pStyle w:val="3"/>
        <w:spacing w:line="360" w:lineRule="auto"/>
        <w:rPr>
          <w:rFonts w:hint="eastAsia" w:ascii="仿宋" w:hAnsi="仿宋" w:eastAsia="仿宋" w:cs="仿宋"/>
        </w:rPr>
      </w:pPr>
      <w:r>
        <w:rPr>
          <w:rFonts w:hint="eastAsia" w:ascii="仿宋" w:hAnsi="仿宋" w:eastAsia="仿宋" w:cs="仿宋"/>
        </w:rPr>
        <w:t>七、谈判和定标</w:t>
      </w:r>
      <w:bookmarkEnd w:id="51"/>
    </w:p>
    <w:p w14:paraId="142F511A">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 谈判原则</w:t>
      </w:r>
    </w:p>
    <w:p w14:paraId="230C445C">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23.1 本项目的谈判遵循公平、公正、科学、择优的原则。</w:t>
      </w:r>
    </w:p>
    <w:p w14:paraId="2660A716">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23.2 谈判小组将严格按照《中华人民共和国政府采购法》、《中华人民共和国政府采购法实施条例》（国务院令第658号）、《政府采购货物和服务招标投标管理办法》（财政部87号令）、《政府采购非招标采购方式管理办法》（财政部74号令）等相关法律法规的规定依法谈判，维护各方当事人的合法权益。</w:t>
      </w:r>
    </w:p>
    <w:p w14:paraId="473155D4">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23.3 不徇私情，不明招暗定。</w:t>
      </w:r>
    </w:p>
    <w:p w14:paraId="7E4B885C">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23.4 资格审查合格的供应商，均有同等机会参加竞争。</w:t>
      </w:r>
    </w:p>
    <w:p w14:paraId="7725951D">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23.5 谈判小组不得私自泄露谈判内容，不得进行旨在影响谈判结果公正、公平的任何活动。</w:t>
      </w:r>
    </w:p>
    <w:p w14:paraId="481BF1A5">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 谈判方法</w:t>
      </w:r>
    </w:p>
    <w:p w14:paraId="13047678">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24.1 采购代理机构将根据有关法律法规的规定组建本次谈判的谈判小组。谈判小组成员由本行业相关技术、经济等方面的专家组成。其中，技术、经济等方面的专家不少于成员总人数的三分之二。</w:t>
      </w:r>
    </w:p>
    <w:p w14:paraId="74EC078E">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24.2 谈判的依据为单一来源采购文件和单一来源响应文件。根据相关法律法规的规定，谈判小组不以任何外部证据作为其谈判的依据或标准。</w:t>
      </w:r>
    </w:p>
    <w:p w14:paraId="2063029C">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24.3 谈判过程将严格保密。开标后直到授予中标供应商合同止，凡是属于审查、澄清、评价和比较的有关谈判资料以及授标建议等均不得向供应商或其他无关的人员透露。</w:t>
      </w:r>
    </w:p>
    <w:p w14:paraId="1D4FF109">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24.4 在谈判的整个过程中，供应商所进行的旨在影响谈判结果的活动，可能导致其投标被拒绝，或者被取消中标资格。</w:t>
      </w:r>
    </w:p>
    <w:p w14:paraId="05BE2710">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24.5 本次谈判采用最低价法进行谈判。谈判分符合性审查和价格谈判两个阶段。</w:t>
      </w:r>
    </w:p>
    <w:p w14:paraId="612C802A">
      <w:pPr>
        <w:pStyle w:val="33"/>
        <w:spacing w:line="360" w:lineRule="auto"/>
        <w:ind w:firstLine="562"/>
        <w:jc w:val="both"/>
        <w:rPr>
          <w:rFonts w:hint="eastAsia" w:ascii="仿宋" w:hAnsi="仿宋" w:eastAsia="仿宋" w:cs="仿宋"/>
          <w:sz w:val="28"/>
        </w:rPr>
      </w:pPr>
      <w:r>
        <w:rPr>
          <w:rFonts w:hint="eastAsia" w:ascii="仿宋" w:hAnsi="仿宋" w:eastAsia="仿宋" w:cs="仿宋"/>
          <w:sz w:val="28"/>
        </w:rPr>
        <w:t>24.5.1 只有通过符合性审查的单一来源响应文件才可进入谈判阶段。</w:t>
      </w:r>
    </w:p>
    <w:p w14:paraId="1E1BE0E6">
      <w:pPr>
        <w:pStyle w:val="33"/>
        <w:spacing w:line="360" w:lineRule="auto"/>
        <w:ind w:firstLine="560"/>
        <w:jc w:val="both"/>
        <w:rPr>
          <w:rFonts w:hint="eastAsia" w:ascii="仿宋" w:hAnsi="仿宋" w:eastAsia="仿宋" w:cs="仿宋"/>
          <w:b/>
          <w:bCs/>
          <w:sz w:val="28"/>
        </w:rPr>
      </w:pPr>
      <w:r>
        <w:rPr>
          <w:rFonts w:hint="eastAsia" w:ascii="仿宋" w:hAnsi="仿宋" w:eastAsia="仿宋" w:cs="仿宋"/>
          <w:b/>
          <w:bCs/>
          <w:sz w:val="28"/>
        </w:rPr>
        <w:t>24.6 符合性审查</w:t>
      </w:r>
    </w:p>
    <w:p w14:paraId="67006B12">
      <w:pPr>
        <w:pStyle w:val="33"/>
        <w:spacing w:line="360" w:lineRule="auto"/>
        <w:ind w:firstLine="560"/>
        <w:jc w:val="both"/>
        <w:rPr>
          <w:rFonts w:hint="eastAsia" w:ascii="仿宋" w:hAnsi="仿宋" w:eastAsia="仿宋" w:cs="仿宋"/>
          <w:sz w:val="28"/>
        </w:rPr>
      </w:pPr>
      <w:r>
        <w:rPr>
          <w:rFonts w:hint="eastAsia" w:ascii="仿宋" w:hAnsi="仿宋" w:eastAsia="仿宋" w:cs="仿宋"/>
          <w:sz w:val="28"/>
        </w:rPr>
        <w:t>谈判小组对符合资格的供应商的单一来源响应文件进行符合性审查，以确定其是否满足单一来源采购文件的实质性要求，是否存在重大偏离。重大偏离系指单一来源响应文件的有效性、真实性、合同的供货范围、质量、性能和规格等内容在实质上与单一来源采购文件形成了重大的不一致，而这种不一致可能限制了买方的权力和供应商的义务，纠正或承认这些偏离将会对该供应商和其它供应商合理的竞争地位产生不公正的影响。与单一来源采购文件有重大偏离的单一来源响应文件将被拒绝，投标无效。具体评审内容系指：</w:t>
      </w:r>
    </w:p>
    <w:p w14:paraId="0F2B269F">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 xml:space="preserve">24.6.1 </w:t>
      </w:r>
      <w:r>
        <w:rPr>
          <w:rFonts w:hint="eastAsia" w:ascii="仿宋" w:hAnsi="仿宋" w:eastAsia="仿宋" w:cs="仿宋"/>
          <w:b/>
          <w:bCs/>
          <w:sz w:val="28"/>
        </w:rPr>
        <w:t>单一来源响应文件</w:t>
      </w:r>
      <w:r>
        <w:rPr>
          <w:rFonts w:hint="eastAsia" w:ascii="仿宋" w:hAnsi="仿宋" w:eastAsia="仿宋" w:cs="仿宋"/>
          <w:b/>
          <w:bCs/>
          <w:color w:val="000000"/>
          <w:sz w:val="28"/>
        </w:rPr>
        <w:t>组成不完整，主要内容未能按单一来源采购文件规定的内容、格式填写；</w:t>
      </w:r>
    </w:p>
    <w:p w14:paraId="58F1BE91">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 xml:space="preserve">24.6.2 </w:t>
      </w:r>
      <w:r>
        <w:rPr>
          <w:rFonts w:hint="eastAsia" w:ascii="仿宋" w:hAnsi="仿宋" w:eastAsia="仿宋" w:cs="仿宋"/>
          <w:b/>
          <w:bCs/>
          <w:sz w:val="28"/>
        </w:rPr>
        <w:t>单一来源响应文件</w:t>
      </w:r>
      <w:r>
        <w:rPr>
          <w:rFonts w:hint="eastAsia" w:ascii="仿宋" w:hAnsi="仿宋" w:eastAsia="仿宋" w:cs="仿宋"/>
          <w:b/>
          <w:bCs/>
          <w:color w:val="000000"/>
          <w:sz w:val="28"/>
        </w:rPr>
        <w:t>的有效期不满足单一来源采购文件的规定；</w:t>
      </w:r>
    </w:p>
    <w:p w14:paraId="20AAAE4A">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24.6.3 投标代表授权书未能由法定代表人签署</w:t>
      </w:r>
      <w:r>
        <w:rPr>
          <w:rFonts w:hint="eastAsia" w:ascii="仿宋" w:hAnsi="仿宋" w:eastAsia="仿宋" w:cs="仿宋"/>
          <w:b/>
          <w:bCs/>
          <w:color w:val="000000"/>
          <w:sz w:val="28"/>
          <w:lang w:val="zh-CN"/>
        </w:rPr>
        <w:t>并加盖公章</w:t>
      </w:r>
      <w:r>
        <w:rPr>
          <w:rFonts w:hint="eastAsia" w:ascii="仿宋" w:hAnsi="仿宋" w:eastAsia="仿宋" w:cs="仿宋"/>
          <w:b/>
          <w:bCs/>
          <w:color w:val="000000"/>
          <w:sz w:val="28"/>
        </w:rPr>
        <w:t>；</w:t>
      </w:r>
    </w:p>
    <w:p w14:paraId="04E1834C">
      <w:pPr>
        <w:pStyle w:val="33"/>
        <w:spacing w:line="360" w:lineRule="auto"/>
        <w:ind w:firstLine="560" w:firstLineChars="200"/>
        <w:jc w:val="both"/>
        <w:rPr>
          <w:rFonts w:hint="eastAsia" w:ascii="仿宋" w:hAnsi="仿宋" w:eastAsia="仿宋" w:cs="仿宋"/>
          <w:b/>
          <w:bCs/>
          <w:sz w:val="28"/>
        </w:rPr>
      </w:pPr>
      <w:r>
        <w:rPr>
          <w:rFonts w:hint="eastAsia" w:ascii="仿宋" w:hAnsi="仿宋" w:eastAsia="仿宋" w:cs="仿宋"/>
          <w:b/>
          <w:bCs/>
          <w:sz w:val="28"/>
        </w:rPr>
        <w:t>24.6.4 单一来源响应文件没有按照规定在应由企业法人或法人授权代表在所有规定签章处逐一签署及加盖单位公章的；</w:t>
      </w:r>
    </w:p>
    <w:p w14:paraId="618A8354">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24.6.5 明显不符合单一来源采购文件关于对投标项目技术规格和标准的要求；</w:t>
      </w:r>
    </w:p>
    <w:p w14:paraId="0B80BD9C">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24.6.</w:t>
      </w:r>
      <w:r>
        <w:rPr>
          <w:rFonts w:hint="eastAsia" w:ascii="仿宋" w:hAnsi="仿宋" w:eastAsia="仿宋" w:cs="仿宋"/>
          <w:b/>
          <w:bCs/>
          <w:color w:val="000000"/>
          <w:sz w:val="28"/>
          <w:lang w:val="en-US" w:eastAsia="zh-CN"/>
        </w:rPr>
        <w:t>6</w:t>
      </w:r>
      <w:r>
        <w:rPr>
          <w:rFonts w:hint="eastAsia" w:ascii="仿宋" w:hAnsi="仿宋" w:eastAsia="仿宋" w:cs="仿宋"/>
          <w:b/>
          <w:bCs/>
          <w:color w:val="000000"/>
          <w:sz w:val="28"/>
        </w:rPr>
        <w:t xml:space="preserve"> 供应商的报价超过预算价或最高限价；</w:t>
      </w:r>
    </w:p>
    <w:p w14:paraId="6DF4334B">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24.6.</w:t>
      </w:r>
      <w:r>
        <w:rPr>
          <w:rFonts w:hint="eastAsia" w:ascii="仿宋" w:hAnsi="仿宋" w:eastAsia="仿宋" w:cs="仿宋"/>
          <w:b/>
          <w:bCs/>
          <w:color w:val="000000"/>
          <w:sz w:val="28"/>
          <w:lang w:val="en-US" w:eastAsia="zh-CN"/>
        </w:rPr>
        <w:t>7</w:t>
      </w:r>
      <w:r>
        <w:rPr>
          <w:rFonts w:hint="eastAsia" w:ascii="仿宋" w:hAnsi="仿宋" w:eastAsia="仿宋" w:cs="仿宋"/>
          <w:b/>
          <w:bCs/>
          <w:color w:val="000000"/>
          <w:sz w:val="28"/>
        </w:rPr>
        <w:t xml:space="preserve"> </w:t>
      </w:r>
      <w:r>
        <w:rPr>
          <w:rFonts w:hint="eastAsia" w:ascii="仿宋" w:hAnsi="仿宋" w:eastAsia="仿宋" w:cs="仿宋"/>
          <w:b/>
          <w:bCs/>
          <w:sz w:val="28"/>
        </w:rPr>
        <w:t>单一来源响应文件</w:t>
      </w:r>
      <w:r>
        <w:rPr>
          <w:rFonts w:hint="eastAsia" w:ascii="仿宋" w:hAnsi="仿宋" w:eastAsia="仿宋" w:cs="仿宋"/>
          <w:b/>
          <w:bCs/>
          <w:color w:val="000000"/>
          <w:sz w:val="28"/>
        </w:rPr>
        <w:t>含有采购人不能接受的附加条件；</w:t>
      </w:r>
    </w:p>
    <w:p w14:paraId="5D80077A">
      <w:pPr>
        <w:pStyle w:val="22"/>
        <w:spacing w:before="0" w:beforeAutospacing="0" w:after="0" w:afterAutospacing="0" w:line="360" w:lineRule="auto"/>
        <w:ind w:firstLine="560" w:firstLineChars="200"/>
        <w:rPr>
          <w:rFonts w:hint="eastAsia" w:ascii="仿宋" w:hAnsi="仿宋" w:eastAsia="仿宋" w:cs="仿宋"/>
          <w:b/>
          <w:bCs/>
          <w:color w:val="000000"/>
          <w:sz w:val="28"/>
        </w:rPr>
      </w:pPr>
      <w:r>
        <w:rPr>
          <w:rFonts w:hint="eastAsia" w:ascii="仿宋" w:hAnsi="仿宋" w:eastAsia="仿宋" w:cs="仿宋"/>
          <w:b/>
          <w:bCs/>
          <w:color w:val="000000"/>
          <w:sz w:val="28"/>
        </w:rPr>
        <w:t>24.6.</w:t>
      </w:r>
      <w:r>
        <w:rPr>
          <w:rFonts w:hint="eastAsia" w:ascii="仿宋" w:hAnsi="仿宋" w:eastAsia="仿宋" w:cs="仿宋"/>
          <w:b/>
          <w:bCs/>
          <w:color w:val="000000"/>
          <w:sz w:val="28"/>
          <w:lang w:val="en-US" w:eastAsia="zh-CN"/>
        </w:rPr>
        <w:t>8</w:t>
      </w:r>
      <w:r>
        <w:rPr>
          <w:rFonts w:hint="eastAsia" w:ascii="仿宋" w:hAnsi="仿宋" w:eastAsia="仿宋" w:cs="仿宋"/>
          <w:b/>
          <w:bCs/>
          <w:color w:val="000000"/>
          <w:sz w:val="28"/>
        </w:rPr>
        <w:t xml:space="preserve"> 不符合法律、法规和单一来源采购文件中规定的其他实质性要求。</w:t>
      </w:r>
    </w:p>
    <w:p w14:paraId="56928A9C">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24.7 对通过符合性审查的</w:t>
      </w:r>
      <w:r>
        <w:rPr>
          <w:rFonts w:hint="eastAsia" w:ascii="仿宋" w:hAnsi="仿宋" w:eastAsia="仿宋" w:cs="仿宋"/>
        </w:rPr>
        <w:t>单一来源响应文件</w:t>
      </w:r>
      <w:r>
        <w:rPr>
          <w:rFonts w:hint="eastAsia" w:ascii="仿宋" w:hAnsi="仿宋" w:eastAsia="仿宋" w:cs="仿宋"/>
          <w:color w:val="000000"/>
        </w:rPr>
        <w:t>，谈判小组将对其进行算术性修正。算术性修正是指对</w:t>
      </w:r>
      <w:r>
        <w:rPr>
          <w:rFonts w:hint="eastAsia" w:ascii="仿宋" w:hAnsi="仿宋" w:eastAsia="仿宋" w:cs="仿宋"/>
        </w:rPr>
        <w:t>单一来源响应文件</w:t>
      </w:r>
      <w:r>
        <w:rPr>
          <w:rFonts w:hint="eastAsia" w:ascii="仿宋" w:hAnsi="仿宋" w:eastAsia="仿宋" w:cs="仿宋"/>
          <w:color w:val="000000"/>
        </w:rPr>
        <w:t>报价出现前后不一致的进行校核，并对其算术上和运算上的差错给予修正。修正的原则如下：</w:t>
      </w:r>
    </w:p>
    <w:p w14:paraId="7DA0FC20">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 xml:space="preserve">24.7.1 </w:t>
      </w:r>
      <w:r>
        <w:rPr>
          <w:rFonts w:hint="eastAsia" w:ascii="仿宋" w:hAnsi="仿宋" w:eastAsia="仿宋" w:cs="仿宋"/>
          <w:sz w:val="28"/>
        </w:rPr>
        <w:t>单一来源响应文件</w:t>
      </w:r>
      <w:r>
        <w:rPr>
          <w:rFonts w:hint="eastAsia" w:ascii="仿宋" w:hAnsi="仿宋" w:eastAsia="仿宋" w:cs="仿宋"/>
          <w:color w:val="000000"/>
          <w:sz w:val="28"/>
        </w:rPr>
        <w:t>中投标一览表内容与</w:t>
      </w:r>
      <w:r>
        <w:rPr>
          <w:rFonts w:hint="eastAsia" w:ascii="仿宋" w:hAnsi="仿宋" w:eastAsia="仿宋" w:cs="仿宋"/>
          <w:sz w:val="28"/>
        </w:rPr>
        <w:t>单一来源响应文件</w:t>
      </w:r>
      <w:r>
        <w:rPr>
          <w:rFonts w:hint="eastAsia" w:ascii="仿宋" w:hAnsi="仿宋" w:eastAsia="仿宋" w:cs="仿宋"/>
          <w:color w:val="000000"/>
          <w:sz w:val="28"/>
        </w:rPr>
        <w:t>中相应内容不一致的，以投标一览表为准；</w:t>
      </w:r>
    </w:p>
    <w:p w14:paraId="5D13C647">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 xml:space="preserve">24.7.2 </w:t>
      </w:r>
      <w:r>
        <w:rPr>
          <w:rFonts w:hint="eastAsia" w:ascii="仿宋" w:hAnsi="仿宋" w:eastAsia="仿宋" w:cs="仿宋"/>
          <w:sz w:val="28"/>
        </w:rPr>
        <w:t>单一来源响应文件</w:t>
      </w:r>
      <w:r>
        <w:rPr>
          <w:rFonts w:hint="eastAsia" w:ascii="仿宋" w:hAnsi="仿宋" w:eastAsia="仿宋" w:cs="仿宋"/>
          <w:color w:val="000000"/>
          <w:sz w:val="28"/>
        </w:rPr>
        <w:t>的大写金额和小写金额不一致的，以大写金额为准；</w:t>
      </w:r>
    </w:p>
    <w:p w14:paraId="2274B65B">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24.7.3 单价金额小数点或者百分比有明显错位的，以投标一览表的总价为准，并修改单价；</w:t>
      </w:r>
    </w:p>
    <w:p w14:paraId="0F5844EA">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24.7.4 总价金额与按单价汇总金额不一致的，以单价金额计算结果为准。</w:t>
      </w:r>
    </w:p>
    <w:p w14:paraId="30B0D148">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24.7.5 同时出现两种以上不一致的，按照上述规定的顺序修正。修正后的报价须供应商确认，如果供应商拒绝确认，其投标无效。</w:t>
      </w:r>
    </w:p>
    <w:p w14:paraId="61D62FFA">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24.7.6 对不同文字文本单一来源响应文件的解释发生异议的，以中文文本为准。</w:t>
      </w:r>
    </w:p>
    <w:p w14:paraId="027FF776">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24.7.7 谈判小组将拒绝被定为实质上非响应性的投标，供应商不能通过修正或撤销不符之处而使其投标成为响应性投标。</w:t>
      </w:r>
    </w:p>
    <w:p w14:paraId="669E6DF8">
      <w:pPr>
        <w:pStyle w:val="22"/>
        <w:spacing w:before="0" w:beforeAutospacing="0" w:after="0" w:afterAutospacing="0"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24.7.8 谈判小组将允许投标中有微小的不正规、不一致或不规则，而该微小之处不构成重大偏离。</w:t>
      </w:r>
    </w:p>
    <w:p w14:paraId="5099C4DD">
      <w:pPr>
        <w:spacing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24.8 经谈判小组评议，认为投标报价过高、均超出采购人预算或最高限价的项目，可以不确立中标供应商，重新组织招标。</w:t>
      </w:r>
    </w:p>
    <w:p w14:paraId="691782B8">
      <w:pPr>
        <w:spacing w:line="360" w:lineRule="auto"/>
        <w:ind w:firstLine="560" w:firstLineChars="200"/>
        <w:rPr>
          <w:rFonts w:hint="eastAsia" w:ascii="仿宋" w:hAnsi="仿宋" w:eastAsia="仿宋" w:cs="仿宋"/>
          <w:color w:val="000000"/>
          <w:sz w:val="28"/>
        </w:rPr>
      </w:pPr>
      <w:r>
        <w:rPr>
          <w:rFonts w:hint="eastAsia" w:ascii="仿宋" w:hAnsi="仿宋" w:eastAsia="仿宋" w:cs="仿宋"/>
          <w:color w:val="000000"/>
          <w:sz w:val="28"/>
        </w:rPr>
        <w:t>25. 单一来源响应文件的澄清</w:t>
      </w:r>
    </w:p>
    <w:p w14:paraId="3059DC1C">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25.1 澄清、说明或补正的形式</w:t>
      </w:r>
    </w:p>
    <w:p w14:paraId="7AEE8EF8">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25.2 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8"/>
          <w:szCs w:val="28"/>
          <w:lang w:val="en-US" w:eastAsia="zh-CN"/>
        </w:rPr>
        <w:t>投标供应商澄清、说明或补正时间为20分钟</w:t>
      </w:r>
      <w:r>
        <w:rPr>
          <w:rFonts w:hint="eastAsia" w:ascii="仿宋" w:hAnsi="仿宋" w:eastAsia="仿宋" w:cs="仿宋"/>
          <w:b w:val="0"/>
          <w:bCs w:val="0"/>
          <w:color w:val="auto"/>
          <w:sz w:val="28"/>
          <w:szCs w:val="28"/>
          <w:lang w:val="en-US" w:eastAsia="zh-CN"/>
        </w:rPr>
        <w:t>。</w:t>
      </w:r>
    </w:p>
    <w:p w14:paraId="3B04A851">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25.3 投标供应商的澄清、说明或者补正应当通过“政府采购云平台”在线答复的方式提交，并加盖公章（电子印章），或者由法定代表人（负责人）或其授权的代表签字。供应商的澄清、说明或者补正不得超出单一来源采购文件的范围或者改变单一来源采购文件的实质性内容，不接受供应商主动对响应文件的澄清、说明或者补正。</w:t>
      </w:r>
    </w:p>
    <w:p w14:paraId="026C0543">
      <w:pPr>
        <w:autoSpaceDE w:val="0"/>
        <w:autoSpaceDN w:val="0"/>
        <w:adjustRightInd w:val="0"/>
        <w:spacing w:line="360" w:lineRule="auto"/>
        <w:ind w:firstLine="560" w:firstLineChars="200"/>
        <w:rPr>
          <w:rFonts w:hint="eastAsia" w:ascii="仿宋" w:hAnsi="仿宋" w:eastAsia="仿宋" w:cs="仿宋"/>
          <w:color w:val="000000"/>
          <w:sz w:val="28"/>
        </w:rPr>
      </w:pPr>
      <w:r>
        <w:rPr>
          <w:rFonts w:hint="eastAsia" w:ascii="仿宋" w:hAnsi="仿宋" w:eastAsia="仿宋" w:cs="仿宋"/>
          <w:b w:val="0"/>
          <w:bCs w:val="0"/>
          <w:color w:val="auto"/>
          <w:sz w:val="28"/>
          <w:szCs w:val="28"/>
          <w:lang w:val="en-US" w:eastAsia="zh-CN"/>
        </w:rPr>
        <w:t>25.4 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37DA3E0">
      <w:pPr>
        <w:autoSpaceDE w:val="0"/>
        <w:autoSpaceDN w:val="0"/>
        <w:adjustRightInd w:val="0"/>
        <w:spacing w:line="360" w:lineRule="auto"/>
        <w:ind w:firstLine="560" w:firstLineChars="200"/>
        <w:rPr>
          <w:rFonts w:hint="eastAsia" w:ascii="仿宋" w:hAnsi="仿宋" w:eastAsia="仿宋" w:cs="仿宋"/>
          <w:color w:val="000000"/>
          <w:kern w:val="0"/>
          <w:sz w:val="28"/>
          <w:lang w:val="en-US" w:eastAsia="zh-CN"/>
        </w:rPr>
      </w:pPr>
      <w:r>
        <w:rPr>
          <w:rFonts w:hint="eastAsia" w:ascii="仿宋" w:hAnsi="仿宋" w:eastAsia="仿宋" w:cs="仿宋"/>
          <w:color w:val="000000"/>
          <w:sz w:val="28"/>
        </w:rPr>
        <w:t>26．</w:t>
      </w:r>
      <w:r>
        <w:rPr>
          <w:rFonts w:hint="eastAsia" w:ascii="仿宋" w:hAnsi="仿宋" w:eastAsia="仿宋" w:cs="仿宋"/>
          <w:color w:val="000000"/>
          <w:sz w:val="28"/>
          <w:lang w:val="en-US" w:eastAsia="zh-CN"/>
        </w:rPr>
        <w:t>成交</w:t>
      </w:r>
      <w:r>
        <w:rPr>
          <w:rFonts w:hint="eastAsia" w:ascii="仿宋" w:hAnsi="仿宋" w:eastAsia="仿宋" w:cs="仿宋"/>
          <w:color w:val="000000"/>
          <w:sz w:val="28"/>
        </w:rPr>
        <w:t>供应商的确定</w:t>
      </w:r>
    </w:p>
    <w:p w14:paraId="3BEFB97F">
      <w:pPr>
        <w:pStyle w:val="6"/>
        <w:ind w:firstLine="840" w:firstLineChars="300"/>
        <w:rPr>
          <w:rFonts w:hint="eastAsia" w:ascii="仿宋" w:hAnsi="仿宋" w:eastAsia="仿宋" w:cs="仿宋"/>
          <w:color w:val="000000"/>
          <w:kern w:val="0"/>
          <w:sz w:val="28"/>
          <w:highlight w:val="none"/>
          <w:lang w:val="en-US" w:eastAsia="zh-CN"/>
        </w:rPr>
      </w:pPr>
      <w:r>
        <w:rPr>
          <w:rFonts w:hint="eastAsia" w:ascii="仿宋" w:hAnsi="仿宋" w:eastAsia="仿宋" w:cs="仿宋"/>
          <w:color w:val="000000"/>
          <w:kern w:val="0"/>
          <w:sz w:val="28"/>
          <w:lang w:val="en-US" w:eastAsia="zh-CN"/>
        </w:rPr>
        <w:t>采购结果确认（确定成交供应商）</w:t>
      </w:r>
      <w:r>
        <w:rPr>
          <w:rFonts w:hint="eastAsia" w:ascii="仿宋" w:hAnsi="仿宋" w:eastAsia="仿宋" w:cs="仿宋"/>
          <w:color w:val="000000"/>
          <w:kern w:val="0"/>
          <w:sz w:val="28"/>
          <w:highlight w:val="none"/>
          <w:lang w:val="en-US" w:eastAsia="zh-CN"/>
        </w:rPr>
        <w:t>：本项目由采购人委托谈判小组确定成交供应商。</w:t>
      </w:r>
    </w:p>
    <w:p w14:paraId="39EEE66A">
      <w:pPr>
        <w:pStyle w:val="6"/>
        <w:ind w:firstLine="840" w:firstLineChars="300"/>
        <w:rPr>
          <w:rFonts w:hint="eastAsia" w:ascii="仿宋" w:hAnsi="仿宋" w:eastAsia="仿宋" w:cs="仿宋"/>
        </w:rPr>
      </w:pPr>
      <w:r>
        <w:rPr>
          <w:rFonts w:hint="eastAsia" w:ascii="仿宋" w:hAnsi="仿宋" w:eastAsia="仿宋" w:cs="仿宋"/>
          <w:color w:val="000000"/>
          <w:kern w:val="0"/>
          <w:sz w:val="28"/>
          <w:highlight w:val="none"/>
          <w:lang w:val="en-US" w:eastAsia="zh-CN" w:bidi="ar-SA"/>
        </w:rPr>
        <w:t>成交供应商确定后，采购代理机构</w:t>
      </w:r>
      <w:r>
        <w:rPr>
          <w:rFonts w:hint="eastAsia" w:ascii="仿宋" w:hAnsi="仿宋" w:eastAsia="仿宋" w:cs="仿宋"/>
          <w:color w:val="000000"/>
          <w:kern w:val="0"/>
          <w:sz w:val="28"/>
          <w:lang w:val="en-US" w:eastAsia="zh-CN" w:bidi="ar-SA"/>
        </w:rPr>
        <w:t>将在新疆政府采购网（www.zjzfcg.gov.cn）上公告采购结果，中标公告期限为1个工作日。</w:t>
      </w:r>
    </w:p>
    <w:p w14:paraId="0F037571">
      <w:pPr>
        <w:pStyle w:val="33"/>
        <w:spacing w:line="360" w:lineRule="auto"/>
        <w:ind w:firstLine="560" w:firstLineChars="200"/>
        <w:jc w:val="both"/>
        <w:rPr>
          <w:rFonts w:hint="eastAsia" w:ascii="仿宋" w:hAnsi="仿宋" w:eastAsia="仿宋" w:cs="仿宋"/>
          <w:kern w:val="2"/>
          <w:sz w:val="28"/>
        </w:rPr>
      </w:pPr>
      <w:r>
        <w:rPr>
          <w:rFonts w:hint="eastAsia" w:ascii="仿宋" w:hAnsi="仿宋" w:eastAsia="仿宋" w:cs="仿宋"/>
          <w:kern w:val="2"/>
          <w:sz w:val="28"/>
        </w:rPr>
        <w:t xml:space="preserve">27. </w:t>
      </w:r>
      <w:r>
        <w:rPr>
          <w:rFonts w:hint="eastAsia" w:ascii="仿宋" w:hAnsi="仿宋" w:eastAsia="仿宋" w:cs="仿宋"/>
          <w:kern w:val="2"/>
          <w:sz w:val="28"/>
          <w:lang w:val="en-US" w:eastAsia="zh-CN"/>
        </w:rPr>
        <w:t>成交</w:t>
      </w:r>
      <w:r>
        <w:rPr>
          <w:rFonts w:hint="eastAsia" w:ascii="仿宋" w:hAnsi="仿宋" w:eastAsia="仿宋" w:cs="仿宋"/>
          <w:kern w:val="2"/>
          <w:sz w:val="28"/>
        </w:rPr>
        <w:t>通知</w:t>
      </w:r>
    </w:p>
    <w:p w14:paraId="563A37C8">
      <w:pPr>
        <w:pStyle w:val="33"/>
        <w:spacing w:line="360" w:lineRule="auto"/>
        <w:ind w:firstLine="560" w:firstLineChars="200"/>
        <w:jc w:val="both"/>
        <w:rPr>
          <w:rFonts w:hint="eastAsia" w:ascii="仿宋" w:hAnsi="仿宋" w:eastAsia="仿宋" w:cs="仿宋"/>
          <w:kern w:val="2"/>
          <w:sz w:val="28"/>
        </w:rPr>
      </w:pPr>
      <w:r>
        <w:rPr>
          <w:rFonts w:hint="eastAsia" w:ascii="仿宋" w:hAnsi="仿宋" w:eastAsia="仿宋" w:cs="仿宋"/>
          <w:kern w:val="2"/>
          <w:sz w:val="28"/>
        </w:rPr>
        <w:t>27.1 采购代理机构将在</w:t>
      </w:r>
      <w:r>
        <w:rPr>
          <w:rFonts w:hint="eastAsia" w:ascii="仿宋" w:hAnsi="仿宋" w:eastAsia="仿宋" w:cs="仿宋"/>
          <w:kern w:val="2"/>
          <w:sz w:val="28"/>
          <w:lang w:val="en-US" w:eastAsia="zh-CN"/>
        </w:rPr>
        <w:t>成交</w:t>
      </w:r>
      <w:r>
        <w:rPr>
          <w:rFonts w:hint="eastAsia" w:ascii="仿宋" w:hAnsi="仿宋" w:eastAsia="仿宋" w:cs="仿宋"/>
          <w:kern w:val="2"/>
          <w:sz w:val="28"/>
        </w:rPr>
        <w:t>结果公示发布的同时，以书面形式向</w:t>
      </w:r>
      <w:r>
        <w:rPr>
          <w:rFonts w:hint="eastAsia" w:ascii="仿宋" w:hAnsi="仿宋" w:eastAsia="仿宋" w:cs="仿宋"/>
          <w:kern w:val="2"/>
          <w:sz w:val="28"/>
          <w:lang w:val="en-US" w:eastAsia="zh-CN"/>
        </w:rPr>
        <w:t>成交</w:t>
      </w:r>
      <w:r>
        <w:rPr>
          <w:rFonts w:hint="eastAsia" w:ascii="仿宋" w:hAnsi="仿宋" w:eastAsia="仿宋" w:cs="仿宋"/>
          <w:kern w:val="2"/>
          <w:sz w:val="28"/>
        </w:rPr>
        <w:t>供应商发出《</w:t>
      </w:r>
      <w:r>
        <w:rPr>
          <w:rFonts w:hint="eastAsia" w:ascii="仿宋" w:hAnsi="仿宋" w:eastAsia="仿宋" w:cs="仿宋"/>
          <w:kern w:val="2"/>
          <w:sz w:val="28"/>
          <w:lang w:val="en-US" w:eastAsia="zh-CN"/>
        </w:rPr>
        <w:t>成交</w:t>
      </w:r>
      <w:r>
        <w:rPr>
          <w:rFonts w:hint="eastAsia" w:ascii="仿宋" w:hAnsi="仿宋" w:eastAsia="仿宋" w:cs="仿宋"/>
          <w:kern w:val="2"/>
          <w:sz w:val="28"/>
        </w:rPr>
        <w:t>通知书》。</w:t>
      </w:r>
    </w:p>
    <w:p w14:paraId="37B7B553">
      <w:pPr>
        <w:pStyle w:val="33"/>
        <w:spacing w:line="360" w:lineRule="auto"/>
        <w:ind w:firstLine="560" w:firstLineChars="200"/>
        <w:jc w:val="both"/>
        <w:rPr>
          <w:rFonts w:hint="eastAsia" w:ascii="仿宋" w:hAnsi="仿宋" w:eastAsia="仿宋" w:cs="仿宋"/>
          <w:kern w:val="2"/>
          <w:sz w:val="28"/>
        </w:rPr>
      </w:pPr>
      <w:r>
        <w:rPr>
          <w:rFonts w:hint="eastAsia" w:ascii="仿宋" w:hAnsi="仿宋" w:eastAsia="仿宋" w:cs="仿宋"/>
          <w:kern w:val="2"/>
          <w:sz w:val="28"/>
        </w:rPr>
        <w:t xml:space="preserve">27.2 </w:t>
      </w:r>
      <w:r>
        <w:rPr>
          <w:rFonts w:hint="eastAsia" w:ascii="仿宋" w:hAnsi="仿宋" w:eastAsia="仿宋" w:cs="仿宋"/>
          <w:sz w:val="28"/>
        </w:rPr>
        <w:t>采购代理机构在《</w:t>
      </w:r>
      <w:r>
        <w:rPr>
          <w:rFonts w:hint="eastAsia" w:ascii="仿宋" w:hAnsi="仿宋" w:eastAsia="仿宋" w:cs="仿宋"/>
          <w:sz w:val="28"/>
          <w:lang w:val="en-US" w:eastAsia="zh-CN"/>
        </w:rPr>
        <w:t>成交</w:t>
      </w:r>
      <w:r>
        <w:rPr>
          <w:rFonts w:hint="eastAsia" w:ascii="仿宋" w:hAnsi="仿宋" w:eastAsia="仿宋" w:cs="仿宋"/>
          <w:sz w:val="28"/>
        </w:rPr>
        <w:t>通知书》发出后五个工作日内退还未中标供应商的投标保证金，在采购合同签订后五个工作日内退还中标供应商的投标保证金。对于所有供应商的单一来源响应文件均</w:t>
      </w:r>
      <w:r>
        <w:rPr>
          <w:rFonts w:hint="eastAsia" w:ascii="仿宋" w:hAnsi="仿宋" w:eastAsia="仿宋" w:cs="仿宋"/>
          <w:sz w:val="28"/>
          <w:shd w:val="clear" w:color="auto" w:fill="FFFFFF"/>
        </w:rPr>
        <w:t>不予以退还，但对其承担保密责任。</w:t>
      </w:r>
    </w:p>
    <w:p w14:paraId="62204A2E">
      <w:pPr>
        <w:pStyle w:val="33"/>
        <w:spacing w:line="360" w:lineRule="auto"/>
        <w:jc w:val="both"/>
        <w:rPr>
          <w:rFonts w:hint="eastAsia" w:ascii="仿宋" w:hAnsi="仿宋" w:eastAsia="仿宋" w:cs="仿宋"/>
          <w:kern w:val="2"/>
          <w:sz w:val="28"/>
        </w:rPr>
      </w:pPr>
      <w:r>
        <w:rPr>
          <w:rFonts w:hint="eastAsia" w:ascii="仿宋" w:hAnsi="仿宋" w:eastAsia="仿宋" w:cs="仿宋"/>
          <w:kern w:val="2"/>
          <w:sz w:val="28"/>
        </w:rPr>
        <w:t>28. 拒绝某些或所有投标的权力。</w:t>
      </w:r>
    </w:p>
    <w:p w14:paraId="26013E85">
      <w:pPr>
        <w:pStyle w:val="33"/>
        <w:spacing w:line="360" w:lineRule="auto"/>
        <w:ind w:firstLine="560" w:firstLineChars="200"/>
        <w:jc w:val="both"/>
        <w:rPr>
          <w:rFonts w:hint="eastAsia" w:ascii="仿宋" w:hAnsi="仿宋" w:eastAsia="仿宋" w:cs="仿宋"/>
          <w:kern w:val="2"/>
          <w:sz w:val="28"/>
        </w:rPr>
      </w:pPr>
      <w:r>
        <w:rPr>
          <w:rFonts w:hint="eastAsia" w:ascii="仿宋" w:hAnsi="仿宋" w:eastAsia="仿宋" w:cs="仿宋"/>
          <w:kern w:val="2"/>
          <w:sz w:val="28"/>
        </w:rPr>
        <w:t>28.1 采购人或采购代理机构有权在《</w:t>
      </w:r>
      <w:r>
        <w:rPr>
          <w:rFonts w:hint="eastAsia" w:ascii="仿宋" w:hAnsi="仿宋" w:eastAsia="仿宋" w:cs="仿宋"/>
          <w:kern w:val="2"/>
          <w:sz w:val="28"/>
          <w:lang w:val="en-US" w:eastAsia="zh-CN"/>
        </w:rPr>
        <w:t>成交</w:t>
      </w:r>
      <w:r>
        <w:rPr>
          <w:rFonts w:hint="eastAsia" w:ascii="仿宋" w:hAnsi="仿宋" w:eastAsia="仿宋" w:cs="仿宋"/>
          <w:kern w:val="2"/>
          <w:sz w:val="28"/>
        </w:rPr>
        <w:t>通知书》发放之前的任何时候拒绝任何有不正当行为或扰乱正常招标工作的供应商，由此对相关供应商造成的损失不负责任。</w:t>
      </w:r>
    </w:p>
    <w:p w14:paraId="2A0B031C">
      <w:pPr>
        <w:pStyle w:val="3"/>
        <w:spacing w:line="360" w:lineRule="auto"/>
        <w:rPr>
          <w:rFonts w:hint="eastAsia" w:ascii="仿宋" w:hAnsi="仿宋" w:eastAsia="仿宋" w:cs="仿宋"/>
        </w:rPr>
      </w:pPr>
      <w:bookmarkStart w:id="52" w:name="_Toc82497901"/>
      <w:bookmarkEnd w:id="52"/>
      <w:bookmarkStart w:id="53" w:name="_Toc65158534"/>
      <w:bookmarkEnd w:id="53"/>
      <w:bookmarkStart w:id="54" w:name="_Toc17800"/>
      <w:bookmarkEnd w:id="54"/>
      <w:bookmarkStart w:id="55" w:name="_Toc56170387"/>
      <w:bookmarkEnd w:id="55"/>
      <w:bookmarkStart w:id="56" w:name="_Toc15463"/>
      <w:r>
        <w:rPr>
          <w:rFonts w:hint="eastAsia" w:ascii="仿宋" w:hAnsi="仿宋" w:eastAsia="仿宋" w:cs="仿宋"/>
        </w:rPr>
        <w:t>七、授予合同</w:t>
      </w:r>
      <w:bookmarkEnd w:id="56"/>
    </w:p>
    <w:p w14:paraId="683932E0">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 签订合同</w:t>
      </w:r>
    </w:p>
    <w:p w14:paraId="548B2761">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29.1 中标供应商收到《</w:t>
      </w:r>
      <w:r>
        <w:rPr>
          <w:rFonts w:hint="eastAsia" w:ascii="仿宋" w:hAnsi="仿宋" w:eastAsia="仿宋" w:cs="仿宋"/>
          <w:sz w:val="28"/>
          <w:lang w:val="en-US" w:eastAsia="zh-CN"/>
        </w:rPr>
        <w:t>成交</w:t>
      </w:r>
      <w:r>
        <w:rPr>
          <w:rFonts w:hint="eastAsia" w:ascii="仿宋" w:hAnsi="仿宋" w:eastAsia="仿宋" w:cs="仿宋"/>
          <w:sz w:val="28"/>
        </w:rPr>
        <w:t>通知书》后，须按有关规定与招标方签定经济合同。合同的签订一般在《</w:t>
      </w:r>
      <w:r>
        <w:rPr>
          <w:rFonts w:hint="eastAsia" w:ascii="仿宋" w:hAnsi="仿宋" w:eastAsia="仿宋" w:cs="仿宋"/>
          <w:sz w:val="28"/>
          <w:lang w:val="en-US" w:eastAsia="zh-CN"/>
        </w:rPr>
        <w:t>成交</w:t>
      </w:r>
      <w:r>
        <w:rPr>
          <w:rFonts w:hint="eastAsia" w:ascii="仿宋" w:hAnsi="仿宋" w:eastAsia="仿宋" w:cs="仿宋"/>
          <w:sz w:val="28"/>
        </w:rPr>
        <w:t>通知书》发出后30天内进行，但采购人事先约定的情况除外。</w:t>
      </w:r>
    </w:p>
    <w:p w14:paraId="0DCDAB11">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29.2 合同签订后，卖方应按合同的规定履行合同，未按规定履约的，采购人有权取消合同，并且不退还中标供应商的投标保证金。</w:t>
      </w:r>
    </w:p>
    <w:p w14:paraId="4857BBE2">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29.3 成交合同不得转让或分包。如需对合同的非主体部分进行转让或分包，供应商必须在单一来源采购文件中予以说明，并需经采购人同意。否则，采购人有权取消中标供应商的资格。</w:t>
      </w:r>
    </w:p>
    <w:p w14:paraId="342F83C7">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29.4 如中标供应商未按有关规定与采购人签订合同或提交合同履约保证金的，采购人可以选择其他成交候选人为中标供应商，并组织中标供应商和采购人签订经济合同。</w:t>
      </w:r>
    </w:p>
    <w:p w14:paraId="7111E2A6">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29.5 合同履约保证金的形式为银行保函，另有约定的，按照约定条件执行。</w:t>
      </w:r>
    </w:p>
    <w:p w14:paraId="797E8E8E">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30. 合同的组成</w:t>
      </w:r>
    </w:p>
    <w:p w14:paraId="2A108119">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30.1 下列文件均为经济合同不可分割的组成部分：</w:t>
      </w:r>
    </w:p>
    <w:p w14:paraId="2062BEA4">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30.1.1 单一来源采购文件及其附件、补遗文件；</w:t>
      </w:r>
    </w:p>
    <w:p w14:paraId="59B16B3C">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 xml:space="preserve">30.1.2 中标供应商的单一来源响应文件及其他附件； </w:t>
      </w:r>
    </w:p>
    <w:p w14:paraId="05556466">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30.1.3 经确认的答疑记录；</w:t>
      </w:r>
    </w:p>
    <w:p w14:paraId="150DF7A6">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 xml:space="preserve">30.1.4 </w:t>
      </w:r>
      <w:r>
        <w:rPr>
          <w:rFonts w:hint="eastAsia" w:ascii="仿宋" w:hAnsi="仿宋" w:eastAsia="仿宋" w:cs="仿宋"/>
          <w:sz w:val="28"/>
          <w:lang w:val="en-US" w:eastAsia="zh-CN"/>
        </w:rPr>
        <w:t>成交</w:t>
      </w:r>
      <w:r>
        <w:rPr>
          <w:rFonts w:hint="eastAsia" w:ascii="仿宋" w:hAnsi="仿宋" w:eastAsia="仿宋" w:cs="仿宋"/>
          <w:sz w:val="28"/>
        </w:rPr>
        <w:t>通知书。</w:t>
      </w:r>
    </w:p>
    <w:p w14:paraId="135DAC82">
      <w:pPr>
        <w:pStyle w:val="3"/>
        <w:spacing w:line="360" w:lineRule="auto"/>
        <w:rPr>
          <w:rFonts w:hint="eastAsia" w:ascii="仿宋" w:hAnsi="仿宋" w:eastAsia="仿宋" w:cs="仿宋"/>
        </w:rPr>
      </w:pPr>
      <w:bookmarkStart w:id="57" w:name="_Toc82497902"/>
      <w:bookmarkEnd w:id="57"/>
      <w:bookmarkStart w:id="58" w:name="_Toc56170388"/>
      <w:bookmarkEnd w:id="58"/>
      <w:bookmarkStart w:id="59" w:name="_Toc31821"/>
      <w:bookmarkEnd w:id="59"/>
      <w:bookmarkStart w:id="60" w:name="_Toc65158535"/>
      <w:bookmarkEnd w:id="60"/>
      <w:bookmarkStart w:id="61" w:name="_Toc4193"/>
      <w:r>
        <w:rPr>
          <w:rFonts w:hint="eastAsia" w:ascii="仿宋" w:hAnsi="仿宋" w:eastAsia="仿宋" w:cs="仿宋"/>
        </w:rPr>
        <w:t>八、买方授标时更改采购服务数量的权利</w:t>
      </w:r>
      <w:bookmarkEnd w:id="61"/>
    </w:p>
    <w:p w14:paraId="2B22801B">
      <w:pPr>
        <w:pStyle w:val="34"/>
        <w:spacing w:before="100" w:after="50" w:line="360" w:lineRule="auto"/>
        <w:ind w:firstLine="560"/>
        <w:rPr>
          <w:rFonts w:hint="eastAsia" w:ascii="仿宋" w:hAnsi="仿宋" w:eastAsia="仿宋" w:cs="仿宋"/>
          <w:color w:val="000000"/>
        </w:rPr>
      </w:pPr>
      <w:r>
        <w:rPr>
          <w:rFonts w:hint="eastAsia" w:ascii="仿宋" w:hAnsi="仿宋" w:eastAsia="仿宋" w:cs="仿宋"/>
          <w:color w:val="000000"/>
        </w:rPr>
        <w:t>31. 采购人在采购合同履行期间，有权按“投标须知前附表”第14项约定的内容对“货物需求表”中规定的货物数量和服务予以局部增加或减少，但不得对单价或其它实质性内容做任何改变，对增减的数量按同类型成交产品价结算货款。</w:t>
      </w:r>
    </w:p>
    <w:p w14:paraId="45585793">
      <w:pPr>
        <w:pStyle w:val="3"/>
        <w:spacing w:line="360" w:lineRule="auto"/>
        <w:rPr>
          <w:rFonts w:hint="eastAsia" w:ascii="仿宋" w:hAnsi="仿宋" w:eastAsia="仿宋" w:cs="仿宋"/>
        </w:rPr>
      </w:pPr>
      <w:bookmarkStart w:id="62" w:name="_Toc19926"/>
      <w:bookmarkEnd w:id="62"/>
      <w:bookmarkStart w:id="63" w:name="_Toc82497903"/>
      <w:bookmarkEnd w:id="63"/>
      <w:bookmarkStart w:id="64" w:name="_Toc65158536"/>
      <w:bookmarkEnd w:id="64"/>
      <w:bookmarkStart w:id="65" w:name="_Toc56170389"/>
      <w:bookmarkEnd w:id="65"/>
      <w:bookmarkStart w:id="66" w:name="_Toc3152"/>
      <w:r>
        <w:rPr>
          <w:rFonts w:hint="eastAsia" w:ascii="仿宋" w:hAnsi="仿宋" w:eastAsia="仿宋" w:cs="仿宋"/>
        </w:rPr>
        <w:t>九、其他事项</w:t>
      </w:r>
      <w:bookmarkEnd w:id="66"/>
    </w:p>
    <w:p w14:paraId="3D7B5D5D">
      <w:pPr>
        <w:pStyle w:val="33"/>
        <w:spacing w:line="360" w:lineRule="auto"/>
        <w:ind w:firstLine="560" w:firstLineChars="200"/>
        <w:rPr>
          <w:rFonts w:hint="eastAsia" w:ascii="仿宋" w:hAnsi="仿宋" w:eastAsia="仿宋" w:cs="仿宋"/>
          <w:sz w:val="28"/>
        </w:rPr>
      </w:pPr>
      <w:r>
        <w:rPr>
          <w:rFonts w:hint="eastAsia" w:ascii="仿宋" w:hAnsi="仿宋" w:eastAsia="仿宋" w:cs="仿宋"/>
          <w:sz w:val="28"/>
        </w:rPr>
        <w:t>32.  代理服务费</w:t>
      </w:r>
    </w:p>
    <w:p w14:paraId="390C5FB3">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32.1 中标供应商应按本单一来源采购文件的规定，在《</w:t>
      </w:r>
      <w:r>
        <w:rPr>
          <w:rFonts w:hint="eastAsia" w:ascii="仿宋" w:hAnsi="仿宋" w:eastAsia="仿宋" w:cs="仿宋"/>
          <w:sz w:val="28"/>
          <w:lang w:val="en-US" w:eastAsia="zh-CN"/>
        </w:rPr>
        <w:t>成交</w:t>
      </w:r>
      <w:r>
        <w:rPr>
          <w:rFonts w:hint="eastAsia" w:ascii="仿宋" w:hAnsi="仿宋" w:eastAsia="仿宋" w:cs="仿宋"/>
          <w:sz w:val="28"/>
        </w:rPr>
        <w:t>通知书》核发时至核发后3天内，向采购代理机构支付代理服务费</w:t>
      </w:r>
      <w:r>
        <w:rPr>
          <w:rFonts w:hint="eastAsia" w:ascii="仿宋" w:hAnsi="仿宋" w:eastAsia="仿宋" w:cs="仿宋"/>
          <w:sz w:val="28"/>
          <w:lang w:eastAsia="zh-CN"/>
        </w:rPr>
        <w:t>，</w:t>
      </w:r>
      <w:r>
        <w:rPr>
          <w:rFonts w:hint="eastAsia" w:ascii="仿宋" w:hAnsi="仿宋" w:eastAsia="仿宋" w:cs="仿宋"/>
          <w:sz w:val="28"/>
        </w:rPr>
        <w:t>其计算标准和方法见供应商须知前附表。</w:t>
      </w:r>
    </w:p>
    <w:p w14:paraId="54713BE6">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需要开具增值税专用发票，供应商请提供增值税专用发票开票信息（</w:t>
      </w:r>
      <w:r>
        <w:rPr>
          <w:rFonts w:hint="eastAsia" w:ascii="仿宋" w:hAnsi="仿宋" w:eastAsia="仿宋" w:cs="仿宋"/>
          <w:sz w:val="28"/>
          <w:lang w:val="en-US" w:eastAsia="zh-CN"/>
        </w:rPr>
        <w:t>Word版发送邮箱342585189@qq.con</w:t>
      </w:r>
      <w:r>
        <w:rPr>
          <w:rFonts w:hint="eastAsia" w:ascii="仿宋" w:hAnsi="仿宋" w:eastAsia="仿宋" w:cs="仿宋"/>
          <w:sz w:val="28"/>
        </w:rPr>
        <w:t>）；</w:t>
      </w:r>
    </w:p>
    <w:p w14:paraId="6C3152A2">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33. 本单一来源采购文件是根据《中华人民共和国政府采购法》及其实施条例（658号令）及《政府采购货物和服务招标投标管理办法》（87号令）规定编制的，解释权属中科高盛咨询集团有限公司。</w:t>
      </w:r>
    </w:p>
    <w:p w14:paraId="1AB66673">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34. 为了做好投标工作，供应商应组织有关商务和技术人员，认真解答或澄清谈判小组在评标过程中提出的有关商务和技术问题。</w:t>
      </w:r>
    </w:p>
    <w:p w14:paraId="3A861D1A">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所有与本标书有关的函电通讯地址联系见投标人须知前附表</w:t>
      </w:r>
    </w:p>
    <w:p w14:paraId="4590CC0D">
      <w:pPr>
        <w:pStyle w:val="33"/>
        <w:numPr>
          <w:ilvl w:val="0"/>
          <w:numId w:val="2"/>
        </w:numPr>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与招标代理机构、招标人和谈判小组的接触</w:t>
      </w:r>
    </w:p>
    <w:p w14:paraId="573DF7CF">
      <w:pPr>
        <w:pStyle w:val="33"/>
        <w:spacing w:line="360" w:lineRule="auto"/>
        <w:ind w:firstLine="560" w:firstLineChars="200"/>
        <w:jc w:val="both"/>
        <w:rPr>
          <w:rFonts w:hint="eastAsia" w:ascii="仿宋" w:hAnsi="仿宋" w:eastAsia="仿宋" w:cs="仿宋"/>
          <w:sz w:val="28"/>
        </w:rPr>
      </w:pPr>
      <w:bookmarkStart w:id="67" w:name="_Hlt83546623"/>
      <w:bookmarkEnd w:id="67"/>
      <w:r>
        <w:rPr>
          <w:rFonts w:hint="eastAsia" w:ascii="仿宋" w:hAnsi="仿宋" w:eastAsia="仿宋" w:cs="仿宋"/>
          <w:sz w:val="28"/>
        </w:rPr>
        <w:t>35.1 除本须知第24.2条的规定外，从开标之日起至授予合同期间，供应商不得就与其投标有关的事项与招标代理机构、招标人和谈判小组接触。</w:t>
      </w:r>
    </w:p>
    <w:p w14:paraId="3CEB2B23">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35.2 供应商试图对招标代理机构、招标人和谈判小组的评标或授予合同的决定进行影响，都可能导致其投标被拒绝，并承担相应的法律责任。</w:t>
      </w:r>
    </w:p>
    <w:p w14:paraId="2D142F49">
      <w:pPr>
        <w:pStyle w:val="33"/>
        <w:spacing w:line="360" w:lineRule="auto"/>
        <w:ind w:firstLine="560" w:firstLineChars="200"/>
        <w:jc w:val="both"/>
        <w:rPr>
          <w:rFonts w:hint="eastAsia" w:ascii="仿宋" w:hAnsi="仿宋" w:eastAsia="仿宋" w:cs="仿宋"/>
          <w:sz w:val="28"/>
        </w:rPr>
      </w:pPr>
      <w:r>
        <w:rPr>
          <w:rFonts w:hint="eastAsia" w:ascii="仿宋" w:hAnsi="仿宋" w:eastAsia="仿宋" w:cs="仿宋"/>
          <w:sz w:val="28"/>
        </w:rPr>
        <w:t>35.3 开标后直至向中标的供应商授予合同止，凡与审查、澄清、评价和比较投标的有关资料以及授权意见等，参与谈判人员均不得向供应商及任何与评标无关的其他人透露。</w:t>
      </w:r>
    </w:p>
    <w:p w14:paraId="7F6A28F2">
      <w:pPr>
        <w:pStyle w:val="2"/>
        <w:numPr>
          <w:ilvl w:val="0"/>
          <w:numId w:val="0"/>
        </w:numPr>
        <w:jc w:val="center"/>
        <w:outlineLvl w:val="0"/>
        <w:rPr>
          <w:rFonts w:hint="eastAsia" w:ascii="仿宋" w:hAnsi="仿宋" w:eastAsia="仿宋" w:cs="仿宋"/>
          <w:color w:val="000000"/>
          <w:kern w:val="2"/>
          <w:sz w:val="36"/>
          <w:lang w:val="en-US" w:eastAsia="zh-CN" w:bidi="ar-SA"/>
        </w:rPr>
      </w:pPr>
      <w:bookmarkStart w:id="68" w:name="_Toc56170390"/>
      <w:bookmarkEnd w:id="68"/>
      <w:bookmarkStart w:id="69" w:name="_Toc82497904"/>
      <w:bookmarkEnd w:id="69"/>
      <w:bookmarkStart w:id="70" w:name="_Toc55990501"/>
      <w:bookmarkEnd w:id="70"/>
      <w:r>
        <w:rPr>
          <w:rFonts w:hint="eastAsia" w:ascii="仿宋" w:hAnsi="仿宋" w:eastAsia="仿宋" w:cs="仿宋"/>
        </w:rPr>
        <w:br w:type="page"/>
      </w:r>
      <w:bookmarkStart w:id="71" w:name="_Toc7772"/>
      <w:r>
        <w:rPr>
          <w:rFonts w:hint="eastAsia" w:ascii="仿宋" w:hAnsi="仿宋" w:eastAsia="仿宋" w:cs="仿宋"/>
          <w:lang w:val="en-US" w:eastAsia="zh-CN"/>
        </w:rPr>
        <w:t xml:space="preserve">第三章 </w:t>
      </w:r>
      <w:r>
        <w:rPr>
          <w:rFonts w:hint="eastAsia" w:ascii="仿宋" w:hAnsi="仿宋" w:eastAsia="仿宋" w:cs="仿宋"/>
          <w:color w:val="000000"/>
          <w:kern w:val="2"/>
          <w:sz w:val="36"/>
          <w:lang w:val="en-US" w:eastAsia="zh-CN" w:bidi="ar-SA"/>
        </w:rPr>
        <w:t>招标内容及技术要求</w:t>
      </w:r>
      <w:bookmarkEnd w:id="71"/>
    </w:p>
    <w:p w14:paraId="3D4A874F">
      <w:pPr>
        <w:jc w:val="both"/>
        <w:rPr>
          <w:rFonts w:hint="eastAsia" w:ascii="仿宋" w:hAnsi="仿宋" w:eastAsia="仿宋" w:cs="仿宋"/>
          <w:b/>
          <w:bCs/>
          <w:sz w:val="24"/>
          <w:szCs w:val="24"/>
          <w:highlight w:val="none"/>
          <w:lang w:val="en-US" w:eastAsia="zh-CN"/>
        </w:rPr>
      </w:pPr>
      <w:bookmarkStart w:id="72" w:name="_Toc20058"/>
      <w:r>
        <w:rPr>
          <w:rFonts w:hint="eastAsia" w:ascii="仿宋" w:hAnsi="仿宋" w:eastAsia="仿宋" w:cs="仿宋"/>
          <w:b/>
          <w:bCs/>
          <w:sz w:val="24"/>
          <w:szCs w:val="24"/>
          <w:highlight w:val="none"/>
          <w:lang w:val="en-US" w:eastAsia="zh-CN"/>
        </w:rPr>
        <w:t>技术参数</w:t>
      </w:r>
    </w:p>
    <w:p w14:paraId="33BF42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1.配置连续血流动力学监测模块，模块可在我院现有监护仪上使用，实现资源共享；（提供证明文件）</w:t>
      </w:r>
    </w:p>
    <w:p w14:paraId="1424170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2具有CCO相关参数报警设置（提供证明文件）</w:t>
      </w:r>
    </w:p>
    <w:p w14:paraId="052029C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3采用微创连续监测技术，无需肺动脉导管，将经肺热稀释法和动脉搏动曲线分析法结合在一起。；</w:t>
      </w:r>
    </w:p>
    <w:p w14:paraId="6B912B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4监测参数包括：（均提供可以监测参数证明文件）</w:t>
      </w:r>
    </w:p>
    <w:p w14:paraId="695E5E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4.4连续心输出量PiCCO, 每搏量SV;</w:t>
      </w:r>
    </w:p>
    <w:p w14:paraId="17C348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4.2全心舒张末期容积GEDV，胸腔内血容量ITBV；</w:t>
      </w:r>
    </w:p>
    <w:p w14:paraId="18BE5B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4.3每搏量变异SVV, 脉压变异PPV；</w:t>
      </w:r>
    </w:p>
    <w:p w14:paraId="52053A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4.4心功指数CPI, 肺血管通透性指数PVPI，血管外肺水EVLW；</w:t>
      </w:r>
    </w:p>
    <w:p w14:paraId="214D2D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4.5全心射血分数GEF，左室收缩力指数dPmx</w:t>
      </w:r>
    </w:p>
    <w:p w14:paraId="55ACA1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4.6提供直观的蛛网图，方便查看病情变化，蛛网图可设置3-7个监测参数进行直观显示。</w:t>
      </w:r>
    </w:p>
    <w:p w14:paraId="2B1BF9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5.通过不同颜色进行分级报警；</w:t>
      </w:r>
    </w:p>
    <w:p w14:paraId="4AC46F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6.适用于成人及儿童患者；（提供证明文件）</w:t>
      </w:r>
    </w:p>
    <w:p w14:paraId="5D32C5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7.主机载体数据可存储120小时趋势图表，方便回顾及打印；</w:t>
      </w:r>
    </w:p>
    <w:p w14:paraId="10ACA9B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8.监护载体设备可连接中央站，进行中央监控与数据管理。</w:t>
      </w:r>
    </w:p>
    <w:p w14:paraId="0C9D5D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p>
    <w:p w14:paraId="20759B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cs="Times New Roman"/>
          <w:b/>
          <w:bCs/>
          <w:color w:val="000000"/>
          <w:sz w:val="24"/>
          <w:szCs w:val="24"/>
          <w:lang w:val="en-US" w:eastAsia="zh-CN"/>
        </w:rPr>
      </w:pPr>
      <w:r>
        <w:rPr>
          <w:rFonts w:hint="eastAsia" w:cs="Times New Roman"/>
          <w:b/>
          <w:bCs/>
          <w:color w:val="000000"/>
          <w:sz w:val="24"/>
          <w:szCs w:val="24"/>
          <w:lang w:val="en-US" w:eastAsia="zh-CN"/>
        </w:rPr>
        <w:t>商务要求：</w:t>
      </w:r>
    </w:p>
    <w:p w14:paraId="4D5279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1、设备保修期：≥36个月</w:t>
      </w:r>
    </w:p>
    <w:p w14:paraId="03ADC6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2、交货日期：合同签订后30日内；</w:t>
      </w:r>
    </w:p>
    <w:p w14:paraId="1D38FF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3、交货地点：新疆医科大学第五附属医院；</w:t>
      </w:r>
    </w:p>
    <w:p w14:paraId="47A618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4、如遇协商解决不了的纠纷，由采购方所在地仲裁机构裁决；</w:t>
      </w:r>
    </w:p>
    <w:p w14:paraId="565C68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5、开机率：≥98%（按工作日计算），累计故障不超过6天，每超过一天，按医院该设备上月日均全部收费为标准计算直接损失，收费标准按照新疆维吾尔自治区发改委相关物价标准执行；</w:t>
      </w:r>
    </w:p>
    <w:p w14:paraId="5E4038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6、投标方所提交的所有投标文件、现场承诺等均与合同具备同等效力</w:t>
      </w:r>
    </w:p>
    <w:p w14:paraId="4F49BB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7、验收如需交货地点当地的技术监督局等相关部门进行检测，检测费用由投标方承担；</w:t>
      </w:r>
    </w:p>
    <w:p w14:paraId="5D0AD8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8、提供产品合格证书、检测证书，进口产品还需提供商检证、报关单等证书；</w:t>
      </w:r>
    </w:p>
    <w:p w14:paraId="6BE2DF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9、预防性维修/定期维护保养：保修期内每季度巡视保养1次。</w:t>
      </w:r>
    </w:p>
    <w:p w14:paraId="453BAD7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维修支持：投标人（制造商或销售商）需在中国大陆地区设有售后服务机构和设施，并配备受过专业培训的售后服务人员。所投产品生产厂家在新疆有相应的分公司以及时为用户提供维修、应用等技术服务，在本地设有工商注册的售后服务机构，提供营业执照证明，具备专业技术人员≥1，提供工程师资质认证及社保证明，响应时间＜2小时（提供营业执照及厂家技术人员资质，并附技术人员名单）；</w:t>
      </w:r>
    </w:p>
    <w:p w14:paraId="2190D2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11、投标方须保证提供的货物是合同生效后由原厂生产的、全新的、未使用过的设备，生产日期距验收日期≤6个月，所采用的技术和软件是全新的、并符合规定的质量、规格和性能；</w:t>
      </w:r>
    </w:p>
    <w:p w14:paraId="4AEE5E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12、负责运输、装卸、仓储、安装、调试、验收等相关费用；</w:t>
      </w:r>
    </w:p>
    <w:p w14:paraId="0BBC63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13、付款：设备安装验收合格支付中标总金额的90%，其余10%作为尾款，尾款于设备质保期结束后付清。</w:t>
      </w:r>
    </w:p>
    <w:p w14:paraId="399E5C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14.若该设备使用中涉及有关耗材，请提供维持该设备正常使用的耗材明细及报价（单价），并注明序号、产品名称、注册证名称、生产厂家、单价、单位， 同时提供耗材制造商授权书、生产许可证（进口产品除外）以及所投产品的医疗器械注册证，若未按照上述要求提供耗材明细及报价，视为未实质性响应招标文件要求。（耗材报价需提供相应证明材料，如合同、中标通知书或其他证明材料）。</w:t>
      </w:r>
    </w:p>
    <w:p w14:paraId="6A5D7268">
      <w:pPr>
        <w:rPr>
          <w:rFonts w:hint="eastAsia" w:ascii="仿宋" w:hAnsi="仿宋" w:eastAsia="仿宋" w:cs="仿宋"/>
          <w:color w:val="000000"/>
          <w:kern w:val="2"/>
          <w:sz w:val="36"/>
          <w:lang w:val="en-US" w:eastAsia="zh-CN" w:bidi="ar-SA"/>
        </w:rPr>
      </w:pPr>
      <w:r>
        <w:rPr>
          <w:rFonts w:hint="eastAsia" w:ascii="仿宋" w:hAnsi="仿宋" w:eastAsia="仿宋" w:cs="仿宋"/>
          <w:sz w:val="24"/>
          <w:szCs w:val="24"/>
          <w:lang w:val="en-US" w:eastAsia="zh-CN"/>
        </w:rPr>
        <w:t>15.</w:t>
      </w:r>
      <w:r>
        <w:rPr>
          <w:rFonts w:hint="eastAsia" w:ascii="仿宋" w:hAnsi="仿宋" w:eastAsia="仿宋" w:cs="仿宋"/>
          <w:b/>
          <w:bCs/>
          <w:sz w:val="24"/>
          <w:szCs w:val="24"/>
          <w:lang w:val="en-US" w:eastAsia="zh-CN"/>
        </w:rPr>
        <w:t>分项报价表中的名称必须与发票上的项目名称保持一致。</w:t>
      </w:r>
      <w:r>
        <w:rPr>
          <w:rFonts w:hint="eastAsia" w:ascii="仿宋" w:hAnsi="仿宋" w:eastAsia="仿宋" w:cs="仿宋"/>
          <w:b w:val="0"/>
          <w:bCs w:val="0"/>
          <w:sz w:val="24"/>
          <w:szCs w:val="24"/>
          <w:lang w:val="en-US" w:eastAsia="zh-CN"/>
        </w:rPr>
        <w:t>如未按此要求填写，将被视为未实质性响应招标文件的要求。</w:t>
      </w:r>
      <w:r>
        <w:rPr>
          <w:rFonts w:hint="eastAsia" w:ascii="仿宋" w:hAnsi="仿宋" w:eastAsia="仿宋" w:cs="仿宋"/>
          <w:b/>
          <w:bCs/>
          <w:sz w:val="24"/>
          <w:szCs w:val="24"/>
          <w:highlight w:val="none"/>
          <w:lang w:val="en-US" w:eastAsia="zh-CN"/>
        </w:rPr>
        <w:br w:type="page"/>
      </w:r>
    </w:p>
    <w:p w14:paraId="5BA72D2F">
      <w:pPr>
        <w:numPr>
          <w:ilvl w:val="0"/>
          <w:numId w:val="0"/>
        </w:numPr>
        <w:ind w:leftChars="0"/>
        <w:jc w:val="center"/>
        <w:outlineLvl w:val="0"/>
        <w:rPr>
          <w:rFonts w:hint="eastAsia" w:ascii="仿宋" w:hAnsi="仿宋" w:eastAsia="仿宋" w:cs="仿宋"/>
          <w:b/>
          <w:bCs/>
          <w:kern w:val="0"/>
          <w:sz w:val="28"/>
          <w:szCs w:val="28"/>
        </w:rPr>
      </w:pPr>
      <w:r>
        <w:rPr>
          <w:rFonts w:hint="eastAsia" w:ascii="仿宋" w:hAnsi="仿宋" w:eastAsia="仿宋" w:cs="仿宋"/>
          <w:color w:val="000000"/>
          <w:kern w:val="2"/>
          <w:sz w:val="36"/>
          <w:lang w:val="en-US" w:eastAsia="zh-CN" w:bidi="ar-SA"/>
        </w:rPr>
        <w:t>第四章、合同</w:t>
      </w:r>
      <w:bookmarkEnd w:id="72"/>
    </w:p>
    <w:p w14:paraId="67C08F92">
      <w:pPr>
        <w:pStyle w:val="24"/>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（具体以实际签订合同为主）</w:t>
      </w:r>
    </w:p>
    <w:p w14:paraId="6F426E35">
      <w:pPr>
        <w:spacing w:after="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甲方：</w:t>
      </w:r>
      <w:r>
        <w:rPr>
          <w:rFonts w:hint="eastAsia" w:ascii="仿宋" w:hAnsi="仿宋" w:eastAsia="仿宋" w:cs="仿宋"/>
          <w:color w:val="000000"/>
          <w:sz w:val="24"/>
          <w:szCs w:val="24"/>
          <w:lang w:eastAsia="zh-CN"/>
        </w:rPr>
        <w:t>新疆医科大学第五附属医院</w:t>
      </w:r>
    </w:p>
    <w:p w14:paraId="30F15C3C">
      <w:pPr>
        <w:spacing w:after="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地址：</w:t>
      </w:r>
      <w:r>
        <w:rPr>
          <w:rFonts w:hint="eastAsia" w:ascii="仿宋" w:hAnsi="仿宋" w:eastAsia="仿宋" w:cs="仿宋"/>
          <w:color w:val="000000"/>
          <w:sz w:val="24"/>
          <w:szCs w:val="24"/>
          <w:lang w:eastAsia="zh-CN"/>
        </w:rPr>
        <w:t>乌鲁木齐河南西路118号</w:t>
      </w:r>
    </w:p>
    <w:p w14:paraId="6F2C56F1">
      <w:pPr>
        <w:spacing w:after="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电话：</w:t>
      </w:r>
      <w:r>
        <w:rPr>
          <w:rFonts w:hint="eastAsia" w:ascii="仿宋" w:hAnsi="仿宋" w:eastAsia="仿宋" w:cs="仿宋"/>
          <w:color w:val="000000"/>
          <w:sz w:val="24"/>
          <w:szCs w:val="24"/>
          <w:lang w:eastAsia="zh-CN"/>
        </w:rPr>
        <w:t>0991-7598403</w:t>
      </w:r>
    </w:p>
    <w:p w14:paraId="7B85C8B9">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w:t>
      </w:r>
    </w:p>
    <w:p w14:paraId="656BA868">
      <w:pPr>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AA9247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254C563D">
      <w:pPr>
        <w:widowControl w:val="0"/>
        <w:autoSpaceDE w:val="0"/>
        <w:autoSpaceDN w:val="0"/>
        <w:spacing w:after="0"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新疆医科大学第五附属医院</w:t>
      </w:r>
      <w:r>
        <w:rPr>
          <w:rFonts w:hint="eastAsia" w:ascii="仿宋" w:hAnsi="仿宋" w:eastAsia="仿宋" w:cs="仿宋"/>
          <w:color w:val="000000"/>
          <w:sz w:val="24"/>
          <w:szCs w:val="24"/>
        </w:rPr>
        <w:t>（以下简称甲方）与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（以下简称乙方）就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bCs/>
          <w:color w:val="000000"/>
          <w:sz w:val="24"/>
          <w:szCs w:val="24"/>
        </w:rPr>
        <w:t>等</w:t>
      </w:r>
      <w:r>
        <w:rPr>
          <w:rFonts w:hint="eastAsia" w:ascii="仿宋" w:hAnsi="仿宋" w:eastAsia="仿宋" w:cs="仿宋"/>
          <w:color w:val="000000"/>
          <w:sz w:val="24"/>
          <w:szCs w:val="24"/>
          <w:u w:val="none"/>
        </w:rPr>
        <w:t>设备采</w:t>
      </w:r>
      <w:r>
        <w:rPr>
          <w:rFonts w:hint="eastAsia" w:ascii="仿宋" w:hAnsi="仿宋" w:eastAsia="仿宋" w:cs="仿宋"/>
          <w:color w:val="000000"/>
          <w:sz w:val="24"/>
          <w:szCs w:val="24"/>
        </w:rPr>
        <w:t>购、安装事宜，根据《中华人民共和国政府采购法》、《中华人民共和国民法典》等规定，本着平等、自愿、互利、互惠的原则，经各方协商一致，订立本合同。</w:t>
      </w:r>
    </w:p>
    <w:p w14:paraId="663AED57">
      <w:pPr>
        <w:pStyle w:val="8"/>
        <w:spacing w:line="360" w:lineRule="auto"/>
        <w:rPr>
          <w:rFonts w:hint="eastAsia" w:ascii="仿宋" w:hAnsi="仿宋" w:eastAsia="仿宋" w:cs="仿宋"/>
          <w:color w:val="000000"/>
          <w:sz w:val="24"/>
          <w:szCs w:val="24"/>
        </w:rPr>
      </w:pPr>
    </w:p>
    <w:p w14:paraId="454C566E">
      <w:pPr>
        <w:spacing w:after="0" w:line="360" w:lineRule="auto"/>
        <w:ind w:firstLine="480" w:firstLineChars="2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第一部分 通用条款</w:t>
      </w:r>
    </w:p>
    <w:p w14:paraId="59F803A7">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在此供应的产品，乙方同意做如下保证:</w:t>
      </w:r>
    </w:p>
    <w:p w14:paraId="35260EE5">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一、乙方供应的全部产品，必须在不涉及任何担保、留置权、专利权使用费的情况下，交付与本合同规定完全相同的产品。</w:t>
      </w:r>
    </w:p>
    <w:p w14:paraId="19069C69">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二、不能将甲方全部或部分付款看作是对有缺陷的工艺或不合格产品的认可。</w:t>
      </w:r>
    </w:p>
    <w:p w14:paraId="571E0CB9">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三、所供产品均须符合相应图纸和技术规范中的相关规定，并且不涉及到任何侵权行为或任何索赔。</w:t>
      </w:r>
    </w:p>
    <w:p w14:paraId="1C1D0D17">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四、甲方收到本合同项下的产品，并不表示甲方自动放弃因延期交货、产品不合格或产品与本合同不相符造成的损失而提出索赔的权利。若产品名称、型号、规格、数量、质量等不符合本合同约定，甲方可在收货后随时向乙方提出异议，乙方应免费更换直至产品完全符合本合同约定，且乙方需承担逾期交货的责任。</w:t>
      </w:r>
    </w:p>
    <w:p w14:paraId="794BF6B1">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甲方未提出异议的，乙方仍应于产品质保期内承担保固责任。甲方对产品的验收手续仅仅证明乙方交货的行为，并不能免除乙方应当承担的产品质量责任。</w:t>
      </w:r>
    </w:p>
    <w:p w14:paraId="2A297C18">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因乙方产品质量瑕疵原因导致甲方对其他第三方承担的违约金、损失赔偿等任何赔偿责任，甲方均有权将该赔偿责任转移给乙方，乙方对此无异议。</w:t>
      </w:r>
    </w:p>
    <w:p w14:paraId="57A6B71D">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五、甲方有要求乙方延迟一段合理时间再行交货的权利。</w:t>
      </w:r>
    </w:p>
    <w:p w14:paraId="5A57ACEA">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六、除非甲方要求，乙方必须在本合同规定时间内进行交货。乙方同意偿付甲方可能因无法按照本合同约定时间进行交货而引起的所有额外的违约金、赔偿金以及其他费用。 </w:t>
      </w:r>
    </w:p>
    <w:p w14:paraId="1D3E42CC">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七、在项目终止或甲方订立本合同所依据的本项目合同终止时，甲方经书面通知可解除本合同，此种情况不作违约处理。</w:t>
      </w:r>
    </w:p>
    <w:p w14:paraId="64D7DE8A">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八、所有交付到甲方现场的产品必须附有交货单。签字的交货单必须附在所有发票上作为本合同付款的前提条件。</w:t>
      </w:r>
    </w:p>
    <w:p w14:paraId="31A05CAF">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九、所有交货费用均由乙方承担，乙方保证使甲方免于承担全部运费、快递费、保险费、装卸费、其他杂费以及由此带来的任何索赔，本合同专用条款有特别约定的，从特别约定。</w:t>
      </w:r>
    </w:p>
    <w:p w14:paraId="750456A6">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十、乙方分批供应产品的，甲方有权对任何一批产品的数量进行抽查核实，如果实际数量与乙方所提供的数量有短缺的，则乙方此前所供产品的全部数量均应按本批产品短缺比例作相应减少计算。</w:t>
      </w:r>
    </w:p>
    <w:p w14:paraId="2072B94F">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十一、因乙方所交产品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14:paraId="60DBCB10">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十二、因乙方全部或部分违约导致双方发生的诉讼/仲裁或甲方与第三方发生的诉讼/仲裁，乙方同意承担甲方因此而支出的全部诉讼费、律师费、调查费、交通费及其他合理费用。</w:t>
      </w:r>
    </w:p>
    <w:p w14:paraId="5EFA9F11">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十三、未经甲方书面同意，乙方不得将本合同的工作内容全部或部分转让给任何第三人。</w:t>
      </w:r>
    </w:p>
    <w:p w14:paraId="64A4C0BD">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十四、乙方声明、陈述和保证其是合法设立并有效存续的独立法人，其授权代表已获得法人授权可代表其签署合同。</w:t>
      </w:r>
    </w:p>
    <w:p w14:paraId="595A59F5">
      <w:pPr>
        <w:spacing w:after="0" w:line="360" w:lineRule="auto"/>
        <w:ind w:firstLine="480" w:firstLineChars="200"/>
        <w:jc w:val="both"/>
        <w:rPr>
          <w:rFonts w:hint="eastAsia" w:ascii="仿宋" w:hAnsi="仿宋" w:eastAsia="仿宋" w:cs="仿宋"/>
          <w:b/>
          <w:color w:val="000000"/>
          <w:sz w:val="24"/>
          <w:szCs w:val="24"/>
        </w:rPr>
      </w:pPr>
      <w:r>
        <w:rPr>
          <w:rFonts w:hint="eastAsia" w:ascii="仿宋" w:hAnsi="仿宋" w:eastAsia="仿宋" w:cs="仿宋"/>
          <w:color w:val="000000"/>
          <w:sz w:val="24"/>
          <w:szCs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4039FF55">
      <w:pPr>
        <w:spacing w:after="0" w:line="360" w:lineRule="auto"/>
        <w:ind w:firstLine="480" w:firstLineChars="2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第二部分 专用条款</w:t>
      </w:r>
    </w:p>
    <w:p w14:paraId="79B39990">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一、 合同标的 </w:t>
      </w:r>
    </w:p>
    <w:p w14:paraId="148151AB">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1、产品 </w:t>
      </w:r>
    </w:p>
    <w:p w14:paraId="27705CD6">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乙方提供的产品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201835C">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注:乙方应保证，甲方在中华人民共和国使用该产品或产品的任何一部分时，免受第三方提出的侵犯其专利权、商标权、工业设计权或其他知识产权的起诉。</w:t>
      </w:r>
    </w:p>
    <w:p w14:paraId="199BCEC4">
      <w:pPr>
        <w:numPr>
          <w:ilvl w:val="0"/>
          <w:numId w:val="3"/>
        </w:numPr>
        <w:spacing w:after="0"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设备名称、厂家、规格、数量及价格、技术配置要求见下表：</w:t>
      </w:r>
    </w:p>
    <w:tbl>
      <w:tblPr>
        <w:tblStyle w:val="26"/>
        <w:tblpPr w:leftFromText="180" w:rightFromText="180" w:bottomFromText="200" w:vertAnchor="text" w:horzAnchor="margin" w:tblpXSpec="center" w:tblpY="113"/>
        <w:tblW w:w="500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26"/>
        <w:gridCol w:w="2230"/>
        <w:gridCol w:w="1146"/>
        <w:gridCol w:w="659"/>
        <w:gridCol w:w="734"/>
        <w:gridCol w:w="582"/>
        <w:gridCol w:w="551"/>
        <w:gridCol w:w="926"/>
        <w:gridCol w:w="1258"/>
        <w:gridCol w:w="950"/>
      </w:tblGrid>
      <w:tr w14:paraId="703C8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5C1ED97E">
            <w:pPr>
              <w:autoSpaceDE w:val="0"/>
              <w:autoSpaceDN w:val="0"/>
              <w:spacing w:line="320" w:lineRule="exact"/>
              <w:jc w:val="center"/>
              <w:rPr>
                <w:rFonts w:hint="eastAsia" w:ascii="仿宋" w:hAnsi="仿宋" w:eastAsia="仿宋" w:cs="仿宋"/>
                <w:b w:val="0"/>
                <w:bCs/>
                <w:color w:val="000000"/>
                <w:kern w:val="2"/>
                <w:sz w:val="24"/>
                <w:szCs w:val="24"/>
                <w:lang w:val="en-US" w:eastAsia="zh-CN"/>
              </w:rPr>
            </w:pPr>
            <w:r>
              <w:rPr>
                <w:rFonts w:hint="eastAsia" w:ascii="仿宋" w:hAnsi="仿宋" w:eastAsia="仿宋" w:cs="仿宋"/>
                <w:b w:val="0"/>
                <w:bCs/>
                <w:color w:val="000000"/>
                <w:kern w:val="2"/>
                <w:sz w:val="24"/>
                <w:szCs w:val="24"/>
                <w:lang w:val="en-US" w:eastAsia="zh-CN"/>
              </w:rPr>
              <w:t>序号</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596EF0A7">
            <w:pPr>
              <w:autoSpaceDE w:val="0"/>
              <w:autoSpaceDN w:val="0"/>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设备名称</w:t>
            </w:r>
          </w:p>
        </w:tc>
        <w:tc>
          <w:tcPr>
            <w:tcW w:w="593" w:type="pct"/>
            <w:tcBorders>
              <w:top w:val="single" w:color="auto" w:sz="4" w:space="0"/>
              <w:left w:val="single" w:color="auto" w:sz="4" w:space="0"/>
              <w:bottom w:val="single" w:color="auto" w:sz="4" w:space="0"/>
              <w:right w:val="single" w:color="auto" w:sz="4" w:space="0"/>
            </w:tcBorders>
            <w:noWrap w:val="0"/>
            <w:vAlign w:val="center"/>
          </w:tcPr>
          <w:p w14:paraId="09ADA978">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生产厂家或品牌</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63CB36EE">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规格</w:t>
            </w:r>
          </w:p>
          <w:p w14:paraId="428051AD">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型号</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545A88E4">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技术</w:t>
            </w:r>
          </w:p>
          <w:p w14:paraId="188FDEA0">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参数</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58ACE7C">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14:paraId="6D76B0E3">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数量</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2356E5A">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含税单价(元)</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24DAD7A6">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合计金额（元）</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00A38EC1">
            <w:pPr>
              <w:spacing w:line="32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2"/>
                <w:sz w:val="24"/>
                <w:szCs w:val="24"/>
              </w:rPr>
              <w:t>配置清单</w:t>
            </w:r>
          </w:p>
        </w:tc>
      </w:tr>
      <w:tr w14:paraId="4873A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0C558A84">
            <w:pPr>
              <w:jc w:val="center"/>
              <w:textAlignment w:val="bottom"/>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1</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6AD109D5">
            <w:pPr>
              <w:jc w:val="center"/>
              <w:textAlignment w:val="bottom"/>
              <w:rPr>
                <w:rFonts w:hint="eastAsia" w:ascii="仿宋" w:hAnsi="仿宋" w:eastAsia="仿宋" w:cs="仿宋"/>
                <w:b w:val="0"/>
                <w:bCs/>
                <w:color w:val="000000"/>
                <w:sz w:val="24"/>
                <w:szCs w:val="24"/>
                <w:u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5581C085">
            <w:pPr>
              <w:jc w:val="center"/>
              <w:rPr>
                <w:rFonts w:hint="eastAsia" w:ascii="仿宋" w:hAnsi="仿宋" w:eastAsia="仿宋" w:cs="仿宋"/>
                <w:b w:val="0"/>
                <w:bCs/>
                <w:color w:val="000000"/>
                <w:sz w:val="24"/>
                <w:szCs w:val="24"/>
                <w:u w:val="none"/>
              </w:rPr>
            </w:pPr>
          </w:p>
        </w:tc>
        <w:tc>
          <w:tcPr>
            <w:tcW w:w="341" w:type="pct"/>
            <w:tcBorders>
              <w:top w:val="single" w:color="auto" w:sz="4" w:space="0"/>
              <w:left w:val="single" w:color="auto" w:sz="4" w:space="0"/>
              <w:bottom w:val="single" w:color="auto" w:sz="4" w:space="0"/>
              <w:right w:val="single" w:color="auto" w:sz="4" w:space="0"/>
            </w:tcBorders>
            <w:noWrap w:val="0"/>
            <w:vAlign w:val="center"/>
          </w:tcPr>
          <w:p w14:paraId="666A2C5A">
            <w:pPr>
              <w:spacing w:line="320" w:lineRule="exact"/>
              <w:jc w:val="center"/>
              <w:rPr>
                <w:rFonts w:hint="eastAsia" w:ascii="仿宋" w:hAnsi="仿宋" w:eastAsia="仿宋" w:cs="仿宋"/>
                <w:b w:val="0"/>
                <w:bCs/>
                <w:color w:val="000000"/>
                <w:sz w:val="24"/>
                <w:szCs w:val="24"/>
                <w:u w:val="none"/>
              </w:rPr>
            </w:pPr>
          </w:p>
        </w:tc>
        <w:tc>
          <w:tcPr>
            <w:tcW w:w="380" w:type="pct"/>
            <w:tcBorders>
              <w:top w:val="single" w:color="auto" w:sz="4" w:space="0"/>
              <w:left w:val="single" w:color="auto" w:sz="4" w:space="0"/>
              <w:bottom w:val="single" w:color="auto" w:sz="4" w:space="0"/>
              <w:right w:val="single" w:color="auto" w:sz="4" w:space="0"/>
            </w:tcBorders>
            <w:noWrap w:val="0"/>
            <w:vAlign w:val="center"/>
          </w:tcPr>
          <w:p w14:paraId="58B60311">
            <w:pPr>
              <w:spacing w:line="320" w:lineRule="exact"/>
              <w:jc w:val="center"/>
              <w:rPr>
                <w:rFonts w:hint="eastAsia" w:ascii="仿宋" w:hAnsi="仿宋" w:eastAsia="仿宋" w:cs="仿宋"/>
                <w:b w:val="0"/>
                <w:bCs/>
                <w:color w:val="000000"/>
                <w:sz w:val="24"/>
                <w:szCs w:val="24"/>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14:paraId="5B8BAEB2">
            <w:pPr>
              <w:jc w:val="center"/>
              <w:textAlignment w:val="bottom"/>
              <w:rPr>
                <w:rFonts w:hint="eastAsia" w:ascii="仿宋" w:hAnsi="仿宋" w:eastAsia="仿宋" w:cs="仿宋"/>
                <w:b w:val="0"/>
                <w:bCs/>
                <w:color w:val="000000"/>
                <w:sz w:val="24"/>
                <w:szCs w:val="24"/>
                <w:u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72DC63D1">
            <w:pPr>
              <w:jc w:val="center"/>
              <w:textAlignment w:val="bottom"/>
              <w:rPr>
                <w:rFonts w:hint="eastAsia" w:ascii="仿宋" w:hAnsi="仿宋" w:eastAsia="仿宋" w:cs="仿宋"/>
                <w:b w:val="0"/>
                <w:bCs/>
                <w:color w:val="000000"/>
                <w:sz w:val="24"/>
                <w:szCs w:val="24"/>
                <w:u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566A769F">
            <w:pPr>
              <w:jc w:val="center"/>
              <w:rPr>
                <w:rFonts w:hint="eastAsia" w:ascii="仿宋" w:hAnsi="仿宋" w:eastAsia="仿宋" w:cs="仿宋"/>
                <w:b w:val="0"/>
                <w:bCs/>
                <w:color w:val="000000"/>
                <w:sz w:val="24"/>
                <w:szCs w:val="24"/>
                <w:u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24E4D56">
            <w:pPr>
              <w:jc w:val="center"/>
              <w:textAlignment w:val="center"/>
              <w:rPr>
                <w:rFonts w:hint="eastAsia" w:ascii="仿宋" w:hAnsi="仿宋" w:eastAsia="仿宋" w:cs="仿宋"/>
                <w:b w:val="0"/>
                <w:bCs/>
                <w:color w:val="000000"/>
                <w:sz w:val="24"/>
                <w:szCs w:val="24"/>
                <w:u w:val="none"/>
              </w:rPr>
            </w:pPr>
          </w:p>
        </w:tc>
        <w:tc>
          <w:tcPr>
            <w:tcW w:w="488" w:type="pct"/>
            <w:tcBorders>
              <w:top w:val="single" w:color="auto" w:sz="4" w:space="0"/>
              <w:left w:val="single" w:color="auto" w:sz="4" w:space="0"/>
              <w:bottom w:val="single" w:color="auto" w:sz="4" w:space="0"/>
              <w:right w:val="single" w:color="auto" w:sz="4" w:space="0"/>
            </w:tcBorders>
            <w:noWrap w:val="0"/>
            <w:vAlign w:val="center"/>
          </w:tcPr>
          <w:p w14:paraId="2D903D8A">
            <w:pPr>
              <w:spacing w:line="320" w:lineRule="exact"/>
              <w:jc w:val="center"/>
              <w:rPr>
                <w:rFonts w:hint="eastAsia" w:ascii="仿宋" w:hAnsi="仿宋" w:eastAsia="仿宋" w:cs="仿宋"/>
                <w:b w:val="0"/>
                <w:bCs/>
                <w:color w:val="000000"/>
                <w:sz w:val="24"/>
                <w:szCs w:val="24"/>
                <w:u w:val="none"/>
              </w:rPr>
            </w:pPr>
            <w:r>
              <w:rPr>
                <w:rFonts w:hint="eastAsia" w:ascii="仿宋" w:hAnsi="仿宋" w:eastAsia="仿宋" w:cs="仿宋"/>
                <w:b w:val="0"/>
                <w:bCs/>
                <w:color w:val="000000"/>
                <w:kern w:val="2"/>
                <w:sz w:val="24"/>
                <w:szCs w:val="24"/>
                <w:u w:val="none"/>
              </w:rPr>
              <w:t>见附件</w:t>
            </w:r>
          </w:p>
        </w:tc>
      </w:tr>
      <w:tr w14:paraId="10C4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372A4E52">
            <w:pPr>
              <w:jc w:val="center"/>
              <w:textAlignment w:val="bottom"/>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2</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2134EAEC">
            <w:pPr>
              <w:jc w:val="center"/>
              <w:textAlignment w:val="bottom"/>
              <w:rPr>
                <w:rFonts w:hint="eastAsia" w:ascii="仿宋" w:hAnsi="仿宋" w:eastAsia="仿宋" w:cs="仿宋"/>
                <w:b w:val="0"/>
                <w:bCs/>
                <w:color w:val="000000"/>
                <w:sz w:val="24"/>
                <w:szCs w:val="24"/>
                <w:u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65AF6257">
            <w:pPr>
              <w:jc w:val="center"/>
              <w:rPr>
                <w:rFonts w:hint="eastAsia" w:ascii="仿宋" w:hAnsi="仿宋" w:eastAsia="仿宋" w:cs="仿宋"/>
                <w:b w:val="0"/>
                <w:bCs/>
                <w:color w:val="000000"/>
                <w:sz w:val="24"/>
                <w:szCs w:val="24"/>
                <w:u w:val="none"/>
              </w:rPr>
            </w:pPr>
          </w:p>
        </w:tc>
        <w:tc>
          <w:tcPr>
            <w:tcW w:w="341" w:type="pct"/>
            <w:tcBorders>
              <w:top w:val="single" w:color="auto" w:sz="4" w:space="0"/>
              <w:left w:val="single" w:color="auto" w:sz="4" w:space="0"/>
              <w:bottom w:val="single" w:color="auto" w:sz="4" w:space="0"/>
              <w:right w:val="single" w:color="auto" w:sz="4" w:space="0"/>
            </w:tcBorders>
            <w:noWrap w:val="0"/>
            <w:vAlign w:val="center"/>
          </w:tcPr>
          <w:p w14:paraId="27117DA4">
            <w:pPr>
              <w:spacing w:line="320" w:lineRule="exact"/>
              <w:jc w:val="center"/>
              <w:rPr>
                <w:rFonts w:hint="eastAsia" w:ascii="仿宋" w:hAnsi="仿宋" w:eastAsia="仿宋" w:cs="仿宋"/>
                <w:b w:val="0"/>
                <w:bCs/>
                <w:color w:val="000000"/>
                <w:sz w:val="24"/>
                <w:szCs w:val="24"/>
                <w:u w:val="none"/>
              </w:rPr>
            </w:pPr>
          </w:p>
        </w:tc>
        <w:tc>
          <w:tcPr>
            <w:tcW w:w="380" w:type="pct"/>
            <w:tcBorders>
              <w:top w:val="single" w:color="auto" w:sz="4" w:space="0"/>
              <w:left w:val="single" w:color="auto" w:sz="4" w:space="0"/>
              <w:bottom w:val="single" w:color="auto" w:sz="4" w:space="0"/>
              <w:right w:val="single" w:color="auto" w:sz="4" w:space="0"/>
            </w:tcBorders>
            <w:noWrap w:val="0"/>
            <w:vAlign w:val="center"/>
          </w:tcPr>
          <w:p w14:paraId="12CD2E75">
            <w:pPr>
              <w:spacing w:line="320" w:lineRule="exact"/>
              <w:jc w:val="center"/>
              <w:rPr>
                <w:rFonts w:hint="eastAsia" w:ascii="仿宋" w:hAnsi="仿宋" w:eastAsia="仿宋" w:cs="仿宋"/>
                <w:b w:val="0"/>
                <w:bCs/>
                <w:color w:val="000000"/>
                <w:sz w:val="24"/>
                <w:szCs w:val="24"/>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14:paraId="07CFD0C1">
            <w:pPr>
              <w:jc w:val="center"/>
              <w:textAlignment w:val="bottom"/>
              <w:rPr>
                <w:rFonts w:hint="eastAsia" w:ascii="仿宋" w:hAnsi="仿宋" w:eastAsia="仿宋" w:cs="仿宋"/>
                <w:b w:val="0"/>
                <w:bCs/>
                <w:color w:val="000000"/>
                <w:sz w:val="24"/>
                <w:szCs w:val="24"/>
                <w:u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09F2680B">
            <w:pPr>
              <w:jc w:val="center"/>
              <w:textAlignment w:val="bottom"/>
              <w:rPr>
                <w:rFonts w:hint="eastAsia" w:ascii="仿宋" w:hAnsi="仿宋" w:eastAsia="仿宋" w:cs="仿宋"/>
                <w:b w:val="0"/>
                <w:bCs/>
                <w:color w:val="000000"/>
                <w:sz w:val="24"/>
                <w:szCs w:val="24"/>
                <w:u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602F0933">
            <w:pPr>
              <w:jc w:val="center"/>
              <w:rPr>
                <w:rFonts w:hint="eastAsia" w:ascii="仿宋" w:hAnsi="仿宋" w:eastAsia="仿宋" w:cs="仿宋"/>
                <w:b w:val="0"/>
                <w:bCs/>
                <w:color w:val="000000"/>
                <w:sz w:val="24"/>
                <w:szCs w:val="24"/>
                <w:u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11F2A558">
            <w:pPr>
              <w:jc w:val="center"/>
              <w:textAlignment w:val="center"/>
              <w:rPr>
                <w:rFonts w:hint="eastAsia" w:ascii="仿宋" w:hAnsi="仿宋" w:eastAsia="仿宋" w:cs="仿宋"/>
                <w:b w:val="0"/>
                <w:bCs/>
                <w:color w:val="000000"/>
                <w:sz w:val="24"/>
                <w:szCs w:val="24"/>
                <w:u w:val="none"/>
              </w:rPr>
            </w:pPr>
          </w:p>
        </w:tc>
        <w:tc>
          <w:tcPr>
            <w:tcW w:w="488" w:type="pct"/>
            <w:tcBorders>
              <w:top w:val="single" w:color="auto" w:sz="4" w:space="0"/>
              <w:left w:val="single" w:color="auto" w:sz="4" w:space="0"/>
              <w:bottom w:val="single" w:color="auto" w:sz="4" w:space="0"/>
              <w:right w:val="single" w:color="auto" w:sz="4" w:space="0"/>
            </w:tcBorders>
            <w:noWrap w:val="0"/>
            <w:vAlign w:val="center"/>
          </w:tcPr>
          <w:p w14:paraId="41A381B5">
            <w:pPr>
              <w:spacing w:line="320" w:lineRule="exact"/>
              <w:jc w:val="center"/>
              <w:rPr>
                <w:rFonts w:hint="eastAsia" w:ascii="仿宋" w:hAnsi="仿宋" w:eastAsia="仿宋" w:cs="仿宋"/>
                <w:b w:val="0"/>
                <w:bCs/>
                <w:color w:val="000000"/>
                <w:sz w:val="24"/>
                <w:szCs w:val="24"/>
                <w:u w:val="none"/>
              </w:rPr>
            </w:pPr>
            <w:r>
              <w:rPr>
                <w:rFonts w:hint="eastAsia" w:ascii="仿宋" w:hAnsi="仿宋" w:eastAsia="仿宋" w:cs="仿宋"/>
                <w:b w:val="0"/>
                <w:bCs/>
                <w:color w:val="000000"/>
                <w:kern w:val="2"/>
                <w:sz w:val="24"/>
                <w:szCs w:val="24"/>
                <w:u w:val="none"/>
              </w:rPr>
              <w:t>见附件</w:t>
            </w:r>
          </w:p>
        </w:tc>
      </w:tr>
      <w:tr w14:paraId="1A54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5FA98856">
            <w:pPr>
              <w:jc w:val="center"/>
              <w:textAlignment w:val="bottom"/>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3</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2620DF56">
            <w:pPr>
              <w:jc w:val="center"/>
              <w:textAlignment w:val="bottom"/>
              <w:rPr>
                <w:rFonts w:hint="eastAsia" w:ascii="仿宋" w:hAnsi="仿宋" w:eastAsia="仿宋" w:cs="仿宋"/>
                <w:b w:val="0"/>
                <w:bCs/>
                <w:color w:val="000000"/>
                <w:sz w:val="24"/>
                <w:szCs w:val="24"/>
                <w:u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716851B0">
            <w:pPr>
              <w:jc w:val="center"/>
              <w:rPr>
                <w:rFonts w:hint="eastAsia" w:ascii="仿宋" w:hAnsi="仿宋" w:eastAsia="仿宋" w:cs="仿宋"/>
                <w:b w:val="0"/>
                <w:bCs/>
                <w:color w:val="000000"/>
                <w:sz w:val="24"/>
                <w:szCs w:val="24"/>
                <w:u w:val="none"/>
              </w:rPr>
            </w:pPr>
          </w:p>
        </w:tc>
        <w:tc>
          <w:tcPr>
            <w:tcW w:w="341" w:type="pct"/>
            <w:tcBorders>
              <w:top w:val="single" w:color="auto" w:sz="4" w:space="0"/>
              <w:left w:val="single" w:color="auto" w:sz="4" w:space="0"/>
              <w:bottom w:val="single" w:color="auto" w:sz="4" w:space="0"/>
              <w:right w:val="single" w:color="auto" w:sz="4" w:space="0"/>
            </w:tcBorders>
            <w:noWrap w:val="0"/>
            <w:vAlign w:val="center"/>
          </w:tcPr>
          <w:p w14:paraId="05395447">
            <w:pPr>
              <w:spacing w:line="320" w:lineRule="exact"/>
              <w:jc w:val="center"/>
              <w:rPr>
                <w:rFonts w:hint="eastAsia" w:ascii="仿宋" w:hAnsi="仿宋" w:eastAsia="仿宋" w:cs="仿宋"/>
                <w:b w:val="0"/>
                <w:bCs/>
                <w:color w:val="000000"/>
                <w:sz w:val="24"/>
                <w:szCs w:val="24"/>
                <w:u w:val="none"/>
              </w:rPr>
            </w:pPr>
          </w:p>
        </w:tc>
        <w:tc>
          <w:tcPr>
            <w:tcW w:w="380" w:type="pct"/>
            <w:tcBorders>
              <w:top w:val="single" w:color="auto" w:sz="4" w:space="0"/>
              <w:left w:val="single" w:color="auto" w:sz="4" w:space="0"/>
              <w:bottom w:val="single" w:color="auto" w:sz="4" w:space="0"/>
              <w:right w:val="single" w:color="auto" w:sz="4" w:space="0"/>
            </w:tcBorders>
            <w:noWrap w:val="0"/>
            <w:vAlign w:val="center"/>
          </w:tcPr>
          <w:p w14:paraId="5F0B375A">
            <w:pPr>
              <w:spacing w:line="320" w:lineRule="exact"/>
              <w:jc w:val="center"/>
              <w:rPr>
                <w:rFonts w:hint="eastAsia" w:ascii="仿宋" w:hAnsi="仿宋" w:eastAsia="仿宋" w:cs="仿宋"/>
                <w:b w:val="0"/>
                <w:bCs/>
                <w:color w:val="000000"/>
                <w:sz w:val="24"/>
                <w:szCs w:val="24"/>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14:paraId="0ADFAD53">
            <w:pPr>
              <w:jc w:val="center"/>
              <w:textAlignment w:val="bottom"/>
              <w:rPr>
                <w:rFonts w:hint="eastAsia" w:ascii="仿宋" w:hAnsi="仿宋" w:eastAsia="仿宋" w:cs="仿宋"/>
                <w:b w:val="0"/>
                <w:bCs/>
                <w:color w:val="000000"/>
                <w:sz w:val="24"/>
                <w:szCs w:val="24"/>
                <w:u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1596A281">
            <w:pPr>
              <w:jc w:val="center"/>
              <w:textAlignment w:val="bottom"/>
              <w:rPr>
                <w:rFonts w:hint="eastAsia" w:ascii="仿宋" w:hAnsi="仿宋" w:eastAsia="仿宋" w:cs="仿宋"/>
                <w:b w:val="0"/>
                <w:bCs/>
                <w:color w:val="000000"/>
                <w:sz w:val="24"/>
                <w:szCs w:val="24"/>
                <w:u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2D867D15">
            <w:pPr>
              <w:jc w:val="center"/>
              <w:rPr>
                <w:rFonts w:hint="eastAsia" w:ascii="仿宋" w:hAnsi="仿宋" w:eastAsia="仿宋" w:cs="仿宋"/>
                <w:b w:val="0"/>
                <w:bCs/>
                <w:color w:val="000000"/>
                <w:sz w:val="24"/>
                <w:szCs w:val="24"/>
                <w:u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5E27E2F9">
            <w:pPr>
              <w:jc w:val="center"/>
              <w:textAlignment w:val="center"/>
              <w:rPr>
                <w:rFonts w:hint="eastAsia" w:ascii="仿宋" w:hAnsi="仿宋" w:eastAsia="仿宋" w:cs="仿宋"/>
                <w:b w:val="0"/>
                <w:bCs/>
                <w:color w:val="000000"/>
                <w:sz w:val="24"/>
                <w:szCs w:val="24"/>
                <w:u w:val="none"/>
              </w:rPr>
            </w:pPr>
          </w:p>
        </w:tc>
        <w:tc>
          <w:tcPr>
            <w:tcW w:w="488" w:type="pct"/>
            <w:tcBorders>
              <w:top w:val="single" w:color="auto" w:sz="4" w:space="0"/>
              <w:left w:val="single" w:color="auto" w:sz="4" w:space="0"/>
              <w:bottom w:val="single" w:color="auto" w:sz="4" w:space="0"/>
              <w:right w:val="single" w:color="auto" w:sz="4" w:space="0"/>
            </w:tcBorders>
            <w:noWrap w:val="0"/>
            <w:vAlign w:val="center"/>
          </w:tcPr>
          <w:p w14:paraId="7B10ECF3">
            <w:pPr>
              <w:spacing w:line="320" w:lineRule="exact"/>
              <w:jc w:val="center"/>
              <w:rPr>
                <w:rFonts w:hint="eastAsia" w:ascii="仿宋" w:hAnsi="仿宋" w:eastAsia="仿宋" w:cs="仿宋"/>
                <w:b w:val="0"/>
                <w:bCs/>
                <w:color w:val="000000"/>
                <w:sz w:val="24"/>
                <w:szCs w:val="24"/>
                <w:u w:val="none"/>
              </w:rPr>
            </w:pPr>
            <w:r>
              <w:rPr>
                <w:rFonts w:hint="eastAsia" w:ascii="仿宋" w:hAnsi="仿宋" w:eastAsia="仿宋" w:cs="仿宋"/>
                <w:b w:val="0"/>
                <w:bCs/>
                <w:color w:val="000000"/>
                <w:kern w:val="2"/>
                <w:sz w:val="24"/>
                <w:szCs w:val="24"/>
                <w:u w:val="none"/>
              </w:rPr>
              <w:t>见附件</w:t>
            </w:r>
          </w:p>
        </w:tc>
      </w:tr>
      <w:tr w14:paraId="5F321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41E5B877">
            <w:pPr>
              <w:jc w:val="center"/>
              <w:textAlignment w:val="bottom"/>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4</w:t>
            </w:r>
          </w:p>
        </w:tc>
        <w:tc>
          <w:tcPr>
            <w:tcW w:w="1154" w:type="pct"/>
            <w:tcBorders>
              <w:top w:val="single" w:color="auto" w:sz="4" w:space="0"/>
              <w:left w:val="single" w:color="auto" w:sz="4" w:space="0"/>
              <w:bottom w:val="single" w:color="auto" w:sz="4" w:space="0"/>
              <w:right w:val="single" w:color="auto" w:sz="4" w:space="0"/>
            </w:tcBorders>
            <w:noWrap w:val="0"/>
            <w:vAlign w:val="center"/>
          </w:tcPr>
          <w:p w14:paraId="6B8F5102">
            <w:pPr>
              <w:jc w:val="center"/>
              <w:textAlignment w:val="bottom"/>
              <w:rPr>
                <w:rFonts w:hint="eastAsia" w:ascii="仿宋" w:hAnsi="仿宋" w:eastAsia="仿宋" w:cs="仿宋"/>
                <w:b w:val="0"/>
                <w:bCs/>
                <w:color w:val="000000"/>
                <w:sz w:val="24"/>
                <w:szCs w:val="24"/>
                <w:u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460B6AA0">
            <w:pPr>
              <w:jc w:val="center"/>
              <w:rPr>
                <w:rFonts w:hint="eastAsia" w:ascii="仿宋" w:hAnsi="仿宋" w:eastAsia="仿宋" w:cs="仿宋"/>
                <w:b w:val="0"/>
                <w:bCs/>
                <w:color w:val="000000"/>
                <w:sz w:val="24"/>
                <w:szCs w:val="24"/>
                <w:u w:val="none"/>
              </w:rPr>
            </w:pPr>
          </w:p>
        </w:tc>
        <w:tc>
          <w:tcPr>
            <w:tcW w:w="341" w:type="pct"/>
            <w:tcBorders>
              <w:top w:val="single" w:color="auto" w:sz="4" w:space="0"/>
              <w:left w:val="single" w:color="auto" w:sz="4" w:space="0"/>
              <w:bottom w:val="single" w:color="auto" w:sz="4" w:space="0"/>
              <w:right w:val="single" w:color="auto" w:sz="4" w:space="0"/>
            </w:tcBorders>
            <w:noWrap w:val="0"/>
            <w:vAlign w:val="center"/>
          </w:tcPr>
          <w:p w14:paraId="4C87241F">
            <w:pPr>
              <w:spacing w:line="320" w:lineRule="exact"/>
              <w:jc w:val="center"/>
              <w:rPr>
                <w:rFonts w:hint="eastAsia" w:ascii="仿宋" w:hAnsi="仿宋" w:eastAsia="仿宋" w:cs="仿宋"/>
                <w:b w:val="0"/>
                <w:bCs/>
                <w:color w:val="000000"/>
                <w:sz w:val="24"/>
                <w:szCs w:val="24"/>
                <w:u w:val="none"/>
              </w:rPr>
            </w:pPr>
          </w:p>
        </w:tc>
        <w:tc>
          <w:tcPr>
            <w:tcW w:w="380" w:type="pct"/>
            <w:tcBorders>
              <w:top w:val="single" w:color="auto" w:sz="4" w:space="0"/>
              <w:left w:val="single" w:color="auto" w:sz="4" w:space="0"/>
              <w:bottom w:val="single" w:color="auto" w:sz="4" w:space="0"/>
              <w:right w:val="single" w:color="auto" w:sz="4" w:space="0"/>
            </w:tcBorders>
            <w:noWrap w:val="0"/>
            <w:vAlign w:val="center"/>
          </w:tcPr>
          <w:p w14:paraId="7D75F812">
            <w:pPr>
              <w:spacing w:line="320" w:lineRule="exact"/>
              <w:jc w:val="center"/>
              <w:rPr>
                <w:rFonts w:hint="eastAsia" w:ascii="仿宋" w:hAnsi="仿宋" w:eastAsia="仿宋" w:cs="仿宋"/>
                <w:b w:val="0"/>
                <w:bCs/>
                <w:color w:val="000000"/>
                <w:sz w:val="24"/>
                <w:szCs w:val="24"/>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14:paraId="272842C3">
            <w:pPr>
              <w:jc w:val="center"/>
              <w:textAlignment w:val="bottom"/>
              <w:rPr>
                <w:rFonts w:hint="eastAsia" w:ascii="仿宋" w:hAnsi="仿宋" w:eastAsia="仿宋" w:cs="仿宋"/>
                <w:b w:val="0"/>
                <w:bCs/>
                <w:color w:val="000000"/>
                <w:sz w:val="24"/>
                <w:szCs w:val="24"/>
                <w:u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66421A67">
            <w:pPr>
              <w:jc w:val="center"/>
              <w:textAlignment w:val="bottom"/>
              <w:rPr>
                <w:rFonts w:hint="eastAsia" w:ascii="仿宋" w:hAnsi="仿宋" w:eastAsia="仿宋" w:cs="仿宋"/>
                <w:b w:val="0"/>
                <w:bCs/>
                <w:color w:val="000000"/>
                <w:sz w:val="24"/>
                <w:szCs w:val="24"/>
                <w:u w:val="none"/>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38E1A159">
            <w:pPr>
              <w:jc w:val="center"/>
              <w:rPr>
                <w:rFonts w:hint="eastAsia" w:ascii="仿宋" w:hAnsi="仿宋" w:eastAsia="仿宋" w:cs="仿宋"/>
                <w:b w:val="0"/>
                <w:bCs/>
                <w:color w:val="000000"/>
                <w:sz w:val="24"/>
                <w:szCs w:val="24"/>
                <w:u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6607BB3">
            <w:pPr>
              <w:jc w:val="center"/>
              <w:textAlignment w:val="center"/>
              <w:rPr>
                <w:rFonts w:hint="eastAsia" w:ascii="仿宋" w:hAnsi="仿宋" w:eastAsia="仿宋" w:cs="仿宋"/>
                <w:b w:val="0"/>
                <w:bCs/>
                <w:color w:val="000000"/>
                <w:sz w:val="24"/>
                <w:szCs w:val="24"/>
                <w:u w:val="none"/>
              </w:rPr>
            </w:pPr>
          </w:p>
        </w:tc>
        <w:tc>
          <w:tcPr>
            <w:tcW w:w="488" w:type="pct"/>
            <w:tcBorders>
              <w:top w:val="single" w:color="auto" w:sz="4" w:space="0"/>
              <w:left w:val="single" w:color="auto" w:sz="4" w:space="0"/>
              <w:bottom w:val="single" w:color="auto" w:sz="4" w:space="0"/>
              <w:right w:val="single" w:color="auto" w:sz="4" w:space="0"/>
            </w:tcBorders>
            <w:noWrap w:val="0"/>
            <w:vAlign w:val="center"/>
          </w:tcPr>
          <w:p w14:paraId="6D1B2DAC">
            <w:pPr>
              <w:spacing w:line="320" w:lineRule="exact"/>
              <w:jc w:val="center"/>
              <w:rPr>
                <w:rFonts w:hint="eastAsia" w:ascii="仿宋" w:hAnsi="仿宋" w:eastAsia="仿宋" w:cs="仿宋"/>
                <w:b w:val="0"/>
                <w:bCs/>
                <w:color w:val="000000"/>
                <w:sz w:val="24"/>
                <w:szCs w:val="24"/>
                <w:u w:val="none"/>
              </w:rPr>
            </w:pPr>
            <w:r>
              <w:rPr>
                <w:rFonts w:hint="eastAsia" w:ascii="仿宋" w:hAnsi="仿宋" w:eastAsia="仿宋" w:cs="仿宋"/>
                <w:b w:val="0"/>
                <w:bCs/>
                <w:color w:val="000000"/>
                <w:kern w:val="2"/>
                <w:sz w:val="24"/>
                <w:szCs w:val="24"/>
                <w:u w:val="none"/>
              </w:rPr>
              <w:t>见附件</w:t>
            </w:r>
          </w:p>
        </w:tc>
      </w:tr>
      <w:tr w14:paraId="604AA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3B34CDCB">
            <w:pPr>
              <w:jc w:val="center"/>
              <w:rPr>
                <w:rFonts w:hint="eastAsia" w:ascii="仿宋" w:hAnsi="仿宋" w:eastAsia="仿宋" w:cs="仿宋"/>
                <w:b w:val="0"/>
                <w:bCs/>
                <w:color w:val="000000"/>
                <w:sz w:val="24"/>
                <w:szCs w:val="24"/>
              </w:rPr>
            </w:pPr>
          </w:p>
        </w:tc>
        <w:tc>
          <w:tcPr>
            <w:tcW w:w="1154" w:type="pct"/>
            <w:tcBorders>
              <w:top w:val="single" w:color="auto" w:sz="4" w:space="0"/>
              <w:left w:val="single" w:color="auto" w:sz="4" w:space="0"/>
              <w:bottom w:val="single" w:color="auto" w:sz="4" w:space="0"/>
              <w:right w:val="single" w:color="auto" w:sz="4" w:space="0"/>
            </w:tcBorders>
            <w:noWrap w:val="0"/>
            <w:vAlign w:val="center"/>
          </w:tcPr>
          <w:p w14:paraId="315F33B3">
            <w:pPr>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合计</w:t>
            </w:r>
          </w:p>
        </w:tc>
        <w:tc>
          <w:tcPr>
            <w:tcW w:w="3521" w:type="pct"/>
            <w:gridSpan w:val="8"/>
            <w:tcBorders>
              <w:top w:val="single" w:color="auto" w:sz="4" w:space="0"/>
              <w:left w:val="single" w:color="auto" w:sz="4" w:space="0"/>
              <w:bottom w:val="single" w:color="auto" w:sz="4" w:space="0"/>
              <w:right w:val="single" w:color="auto" w:sz="4" w:space="0"/>
            </w:tcBorders>
            <w:noWrap w:val="0"/>
            <w:vAlign w:val="center"/>
          </w:tcPr>
          <w:p w14:paraId="15B8CA56">
            <w:pP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（大写）：</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元整</w:t>
            </w:r>
          </w:p>
          <w:p w14:paraId="02AEA1B6">
            <w:pP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（小写）：¥</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元</w:t>
            </w:r>
          </w:p>
        </w:tc>
      </w:tr>
    </w:tbl>
    <w:p w14:paraId="2E2BEEDA">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3、本合同为固定总价合同，合同总价为人民币大写：</w:t>
      </w:r>
      <w:r>
        <w:rPr>
          <w:rFonts w:hint="eastAsia" w:ascii="仿宋" w:hAnsi="仿宋" w:eastAsia="仿宋" w:cs="仿宋"/>
          <w:color w:val="000000"/>
          <w:sz w:val="24"/>
          <w:szCs w:val="24"/>
          <w:lang w:val="en-US" w:eastAsia="zh-CN"/>
        </w:rPr>
        <w:t xml:space="preserve">     元</w:t>
      </w:r>
      <w:r>
        <w:rPr>
          <w:rFonts w:hint="eastAsia" w:ascii="仿宋" w:hAnsi="仿宋" w:eastAsia="仿宋" w:cs="仿宋"/>
          <w:color w:val="000000"/>
          <w:sz w:val="24"/>
          <w:szCs w:val="24"/>
        </w:rPr>
        <w:t>整（小写：¥</w:t>
      </w:r>
      <w:r>
        <w:rPr>
          <w:rFonts w:hint="eastAsia" w:ascii="仿宋" w:hAnsi="仿宋" w:eastAsia="仿宋" w:cs="仿宋"/>
          <w:color w:val="000000"/>
          <w:sz w:val="24"/>
          <w:szCs w:val="24"/>
          <w:lang w:val="en-US" w:eastAsia="zh-CN"/>
        </w:rPr>
        <w:t xml:space="preserve"> .00</w:t>
      </w:r>
      <w:r>
        <w:rPr>
          <w:rFonts w:hint="eastAsia" w:ascii="仿宋" w:hAnsi="仿宋" w:eastAsia="仿宋" w:cs="仿宋"/>
          <w:color w:val="000000"/>
          <w:sz w:val="24"/>
          <w:szCs w:val="24"/>
        </w:rPr>
        <w:t>元）包含增值税。上述合同价格已包含乙方为履行本合同所产生的一切相关费用，包括但不限于本项目现场实施、部署、安装调试、运输、数据校准、培训、系统升级、税费、保险费、知识产权、后期维护费等一切相关费用及相关税费。乙方应保证甲方除支付合同约定货款之外无需再行支付其他任何费用和款项。本合同价款，甲方最终以人民币的形式向乙方支付。</w:t>
      </w:r>
    </w:p>
    <w:p w14:paraId="1E8C3E34">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本协议项下的产品规格、参数等内容，必须与根据招标文件、答疑附件、合同等确定货物的品牌、规格、参数等内容内容保持一致，任何一方不得私自更改，如在合同履行过程中，私自更改产品规格、参数的一方，承担因此给对方造成的一切损失。但因产品升级换代而改变产品规格、参数的情形除外，此种情形需形成书面情况说明，并由双方盖章或签字确认后执行。</w:t>
      </w:r>
    </w:p>
    <w:p w14:paraId="693CF571">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5、价格清单表是基于乙方在完全理解本项目材料所需为前提，同时甲方对清单中的名称、规格、材质及数量等没有校对的义务，乙方在合同有效期内不得对清单的综合费用提出任何费用的增加。</w:t>
      </w:r>
      <w:r>
        <w:rPr>
          <w:rFonts w:hint="eastAsia" w:ascii="仿宋" w:hAnsi="仿宋" w:eastAsia="仿宋" w:cs="仿宋"/>
          <w:color w:val="000000"/>
          <w:kern w:val="2"/>
          <w:sz w:val="24"/>
          <w:szCs w:val="24"/>
        </w:rPr>
        <w:t xml:space="preserve">实际供货数量以双方签字确认的数量为准。 </w:t>
      </w:r>
    </w:p>
    <w:p w14:paraId="72418A5E">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二、质量保证</w:t>
      </w:r>
    </w:p>
    <w:p w14:paraId="1CFFD280">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6364BF7D">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乙方保证本协议产品是全新的、未使用过，是符合国家技术规格和国家质量标准的出厂原装合格产品，产品型号、数量、规格及技术、质量标准、售后服务、安装调试必须满足甲方和自治区政府采购协议定点采购要求。</w:t>
      </w:r>
    </w:p>
    <w:p w14:paraId="47E4BD22">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3、乙方须按合同要求提供质量合格的产品，如期交付至甲方，并负责安装调试。</w:t>
      </w:r>
    </w:p>
    <w:p w14:paraId="2CC9CDE6">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4、乙方的安装调试人员有义务对甲方的系统维修人员及使用人员进行免费培训，确保维修人员能对设备进行日常维护和一般性故障的查找及故障的排除，确保使用人员能够熟练掌握系统的各项功能和操作。</w:t>
      </w:r>
    </w:p>
    <w:p w14:paraId="1689B174">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乙方应保证甲方在使用本采购合同项下的系统或其任何一部分时属于其自有知识产权或合法合规产品，保障甲方在使用系统及其任何部分不受到第三方关于侵犯专利权、商标权或著作权、工业设计权的指控。任何第三方如果提出侵权指控，甲方对此不负任何法律和经济责任，乙方须与第三方交涉并承担由此而引起的一切法律责任和赔偿费用。</w:t>
      </w:r>
    </w:p>
    <w:p w14:paraId="2E3743F5">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三、质量保证期</w:t>
      </w:r>
    </w:p>
    <w:p w14:paraId="14045135">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1、合同内产品（含所有配件）质保期为</w:t>
      </w:r>
      <w:r>
        <w:rPr>
          <w:rFonts w:hint="eastAsia" w:ascii="仿宋" w:hAnsi="仿宋" w:eastAsia="仿宋" w:cs="仿宋"/>
          <w:color w:val="000000"/>
          <w:sz w:val="24"/>
          <w:szCs w:val="24"/>
          <w:u w:val="single"/>
          <w:lang w:val="en-US" w:eastAsia="zh-CN"/>
        </w:rPr>
        <w:t xml:space="preserve"> 叁年</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质保期自甲方书面验收合格后，乙方开具发票之日起计算。具体质保期以相关产品生产厂家提供的质保期为准。生产厂家提供的质保期少于</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年的，以</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年为准；生产厂家提供的质保期长于</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年的，以生产厂家提供的质保期为准。在质量保证期内，因产品质量出现问题，乙方负责免费上门维修，并承担与维修相关的运费、安装、调试、保险等一切费用。质保期满后只收取材料成本费，软件终身免费升级，硬件终身维修。不得收取其他任何服务费用。</w:t>
      </w:r>
    </w:p>
    <w:p w14:paraId="558D39AB">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14:paraId="5CB84359">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质保期内，乙方应保障其所提供的全部产品在维护年度内正常运转，正常提供各项规定的服务功能，采取有效的应急措施及时处理和解决问题，保障系统在维护年度内的运行安全。保修期外，乙方承诺提供终身免费维修，定期保养，按成本价收取零配件、易损件和耗材费用。</w:t>
      </w:r>
    </w:p>
    <w:p w14:paraId="2E950DFF">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四、交货时间、地点</w:t>
      </w:r>
    </w:p>
    <w:p w14:paraId="0C9993CE">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1、乙方于合同签定后</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"交货时间"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«交货时间»</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日内，将产品交付至甲方，甲方地点：</w:t>
      </w:r>
      <w:r>
        <w:rPr>
          <w:rFonts w:hint="eastAsia" w:ascii="仿宋" w:hAnsi="仿宋" w:eastAsia="仿宋" w:cs="仿宋"/>
          <w:color w:val="000000"/>
          <w:sz w:val="24"/>
          <w:szCs w:val="24"/>
          <w:u w:val="single"/>
          <w:lang w:eastAsia="zh-CN"/>
        </w:rPr>
        <w:t>新疆医科大学第五附属医院</w:t>
      </w:r>
      <w:r>
        <w:rPr>
          <w:rFonts w:hint="eastAsia" w:ascii="仿宋" w:hAnsi="仿宋" w:eastAsia="仿宋" w:cs="仿宋"/>
          <w:color w:val="000000"/>
          <w:sz w:val="24"/>
          <w:szCs w:val="24"/>
        </w:rPr>
        <w:t>，并确保在</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天内完成安装和调试工作，配合甲方做好验收工作。</w:t>
      </w:r>
    </w:p>
    <w:p w14:paraId="65A6C17F">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其它备注说明：如因甲方原因造成无法安装或延期安装，交货期限可后延，乙方同意顺延交货日期。</w:t>
      </w:r>
    </w:p>
    <w:p w14:paraId="00E87EC9">
      <w:pPr>
        <w:spacing w:after="0" w:line="360" w:lineRule="auto"/>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b w:val="0"/>
          <w:bCs/>
          <w:color w:val="000000"/>
          <w:sz w:val="24"/>
          <w:szCs w:val="24"/>
        </w:rPr>
        <w:t>2、交货地点：</w:t>
      </w:r>
      <w:r>
        <w:rPr>
          <w:rFonts w:hint="eastAsia" w:ascii="仿宋" w:hAnsi="仿宋" w:eastAsia="仿宋" w:cs="仿宋"/>
          <w:b w:val="0"/>
          <w:bCs/>
          <w:color w:val="000000"/>
          <w:sz w:val="24"/>
          <w:szCs w:val="24"/>
          <w:u w:val="single"/>
          <w:lang w:eastAsia="zh-CN"/>
        </w:rPr>
        <w:t>新疆医科大学第五附属医院</w:t>
      </w:r>
      <w:r>
        <w:rPr>
          <w:rFonts w:hint="eastAsia" w:ascii="仿宋" w:hAnsi="仿宋" w:eastAsia="仿宋" w:cs="仿宋"/>
          <w:b w:val="0"/>
          <w:bCs/>
          <w:color w:val="000000"/>
          <w:sz w:val="24"/>
          <w:szCs w:val="24"/>
        </w:rPr>
        <w:t>。甲方指定的接收人为：姓名：</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rPr>
        <w:t>，电话号码：</w:t>
      </w:r>
      <w:r>
        <w:rPr>
          <w:rFonts w:hint="eastAsia" w:ascii="仿宋" w:hAnsi="仿宋" w:eastAsia="仿宋" w:cs="仿宋"/>
          <w:b w:val="0"/>
          <w:bCs/>
          <w:color w:val="000000"/>
          <w:sz w:val="24"/>
          <w:szCs w:val="24"/>
          <w:u w:val="single"/>
          <w:lang w:eastAsia="zh-CN"/>
        </w:rPr>
        <w:t>0991-7598403</w:t>
      </w:r>
      <w:r>
        <w:rPr>
          <w:rFonts w:hint="eastAsia" w:ascii="仿宋" w:hAnsi="仿宋" w:eastAsia="仿宋" w:cs="仿宋"/>
          <w:b w:val="0"/>
          <w:bCs/>
          <w:color w:val="000000"/>
          <w:sz w:val="24"/>
          <w:szCs w:val="24"/>
        </w:rPr>
        <w:t>；双方明确，除该指定接收人外，其他任何人员（包括甲方的其他任何工作人员）签署的接货单，甲方均不予认可。</w:t>
      </w:r>
    </w:p>
    <w:p w14:paraId="577A25D3">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3、在交付时，乙方必须向甲方提供质量合格证书、技术资料（操作、维修、保养）等一切相关资料及配件，否则，甲方有权不予付款且不承担违约责任。</w:t>
      </w:r>
    </w:p>
    <w:p w14:paraId="47E80D32">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4、交货完成前（即产品交付完成且经甲方验收合格前），本合同项下商品的损毁灭失风险由乙方承担，交货完成后（即产品交付完成且经甲方验收合格后），商品的所有权及损毁灭失风险转移至甲方。</w:t>
      </w:r>
    </w:p>
    <w:p w14:paraId="6F6046E8">
      <w:pPr>
        <w:pStyle w:val="8"/>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该设备要符合招标文件中所有硬件、软件功能及临床需求以及甲方的实际使用需求，后期无须支付任何其他费用，乙方承诺保证本合同的产品并能够与卫生管理系统连接，否则，甲方有权拒绝付款且不承担任何违约责任。</w:t>
      </w:r>
    </w:p>
    <w:p w14:paraId="63D5F340">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五、产品包装及运输</w:t>
      </w:r>
    </w:p>
    <w:p w14:paraId="57E7F4F9">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１、包装必须与运输方式相适应，包装方式的确定和包装费用均由乙方负责;由于不适当的包装而造成的产品有任何的损坏由乙方负责。</w:t>
      </w:r>
    </w:p>
    <w:p w14:paraId="57A9B659">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２、因包装不妥在运输过程中发生丢失或损坏等安全问题由乙方承担完全责任。</w:t>
      </w:r>
    </w:p>
    <w:p w14:paraId="1DB8EF76">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3、包装费和保险费均已包含在合同价款内。</w:t>
      </w:r>
    </w:p>
    <w:p w14:paraId="2A80E1EA">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4、交付过程中产品的安全问题均由乙方负责。</w:t>
      </w:r>
    </w:p>
    <w:p w14:paraId="19E64AFA">
      <w:pPr>
        <w:spacing w:after="0" w:line="360" w:lineRule="auto"/>
        <w:ind w:firstLine="360" w:firstLineChars="150"/>
        <w:jc w:val="both"/>
        <w:rPr>
          <w:rFonts w:hint="eastAsia" w:ascii="仿宋" w:hAnsi="仿宋" w:eastAsia="仿宋" w:cs="仿宋"/>
          <w:bCs/>
          <w:color w:val="000000"/>
          <w:sz w:val="24"/>
          <w:szCs w:val="24"/>
        </w:rPr>
      </w:pPr>
      <w:r>
        <w:rPr>
          <w:rFonts w:hint="eastAsia" w:ascii="仿宋" w:hAnsi="仿宋" w:eastAsia="仿宋" w:cs="仿宋"/>
          <w:b/>
          <w:color w:val="000000"/>
          <w:sz w:val="24"/>
          <w:szCs w:val="24"/>
        </w:rPr>
        <w:t>六、验收</w:t>
      </w:r>
    </w:p>
    <w:p w14:paraId="2BA1E8C1">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在交货前，乙方应确保制造商对产品的有关规格、性能、数量进行准确的和全面的检验，并出具产品符合合同规定的证书。该证书将作为申请付款单据的必要条件。但不应视为是对规格、性能、数量的最终定论。质量证书应附有写明制造商检验的细节和结果的说明。 </w:t>
      </w:r>
    </w:p>
    <w:p w14:paraId="356A24AC">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数量：乙方交货时，甲乙双方应各指定一名工作人员对产品数量进行统计，交货完成后，就甲方验收合格的产品数量，由双方各自指定的工作人员在交货清单上签字确认，交货清单一式两份，作为今后双方结算的依据。</w:t>
      </w:r>
    </w:p>
    <w:p w14:paraId="0A9B3CB5">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如果在合同规定的质量保证期内，发现产品的质量或规格与合同规定不符，或产品有缺陷，包括内在隐蔽瑕疵或使用不合适的原材料或不科学的设计等，甲方有权根据质量保证条款向乙方主张质保责任，并在乙方构成违约或侵权时主张索赔。 </w:t>
      </w:r>
    </w:p>
    <w:p w14:paraId="5D21FF54">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自产品交付后，甲方应依照双方在本合同中约定的质量要求和技术标准，对产品的质量进行验收。验收不合格的，应及时向乙方提出书面异议，乙方应在接到异议及检测报告后及时进行更换，直至验收合格，如果因乙方所供产品质量原因造成的甲方受到的损失，乙方还应承担相应违约责任并承担相应赔偿。</w:t>
      </w:r>
    </w:p>
    <w:p w14:paraId="2C5B8FD6">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5、如乙方交付设备维修调试后达不到合同或招投标文件规定的质量或技术指标要求，甲方有权提出退货，并要求乙方全额退还货款。</w:t>
      </w:r>
    </w:p>
    <w:p w14:paraId="61016DD1">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七、售后服务</w:t>
      </w:r>
    </w:p>
    <w:p w14:paraId="11EE989F">
      <w:pPr>
        <w:keepNext w:val="0"/>
        <w:keepLines w:val="0"/>
        <w:pageBreakBefore w:val="0"/>
        <w:widowControl w:val="0"/>
        <w:kinsoku/>
        <w:wordWrap/>
        <w:overflowPunct/>
        <w:topLinePunct w:val="0"/>
        <w:autoSpaceDE w:val="0"/>
        <w:autoSpaceDN w:val="0"/>
        <w:bidi w:val="0"/>
        <w:adjustRightInd/>
        <w:snapToGrid/>
        <w:spacing w:after="0" w:line="360" w:lineRule="auto"/>
        <w:ind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1、上述产品（含所有配件）的免费保修期为交货并验收合格后质保期为</w:t>
      </w:r>
      <w:r>
        <w:rPr>
          <w:rFonts w:hint="eastAsia" w:ascii="仿宋" w:hAnsi="仿宋" w:eastAsia="仿宋" w:cs="仿宋"/>
          <w:color w:val="000000"/>
          <w:sz w:val="24"/>
          <w:szCs w:val="24"/>
          <w:u w:val="single"/>
          <w:lang w:eastAsia="zh-CN"/>
        </w:rPr>
        <w:t>叁年</w:t>
      </w:r>
      <w:r>
        <w:rPr>
          <w:rFonts w:hint="eastAsia" w:ascii="仿宋" w:hAnsi="仿宋" w:eastAsia="仿宋" w:cs="仿宋"/>
          <w:color w:val="000000"/>
          <w:sz w:val="24"/>
          <w:szCs w:val="24"/>
        </w:rPr>
        <w:t>。</w:t>
      </w:r>
    </w:p>
    <w:p w14:paraId="142E86C2">
      <w:pPr>
        <w:keepNext w:val="0"/>
        <w:keepLines w:val="0"/>
        <w:pageBreakBefore w:val="0"/>
        <w:widowControl w:val="0"/>
        <w:kinsoku/>
        <w:wordWrap/>
        <w:overflowPunct/>
        <w:topLinePunct w:val="0"/>
        <w:autoSpaceDE w:val="0"/>
        <w:autoSpaceDN w:val="0"/>
        <w:bidi w:val="0"/>
        <w:adjustRightInd/>
        <w:snapToGrid/>
        <w:spacing w:after="0" w:line="360" w:lineRule="auto"/>
        <w:ind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2、乙方应提供国内（包括新疆地区）维修站（地址）：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，售后服务联系人：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，提供正规的备品备件价格表。保修期后的仅收取维修成本费用，先维修后付款；提供保修期后无偿技术支持。</w:t>
      </w:r>
    </w:p>
    <w:p w14:paraId="44239C11">
      <w:pPr>
        <w:keepNext w:val="0"/>
        <w:keepLines w:val="0"/>
        <w:pageBreakBefore w:val="0"/>
        <w:widowControl w:val="0"/>
        <w:kinsoku/>
        <w:wordWrap/>
        <w:overflowPunct/>
        <w:topLinePunct w:val="0"/>
        <w:bidi w:val="0"/>
        <w:adjustRightInd/>
        <w:snapToGrid/>
        <w:spacing w:line="360" w:lineRule="auto"/>
        <w:ind w:firstLine="360" w:firstLineChars="15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3、乙方在质保期内提供7*24小时无偿技术支持和及时的本地化服务，发生故障后，乙方应在</w:t>
      </w:r>
      <w:r>
        <w:rPr>
          <w:rFonts w:hint="eastAsia" w:ascii="仿宋" w:hAnsi="仿宋" w:eastAsia="仿宋" w:cs="仿宋"/>
          <w:color w:val="000000"/>
          <w:sz w:val="24"/>
          <w:szCs w:val="24"/>
          <w:lang w:val="en-US" w:eastAsia="zh-CN"/>
        </w:rPr>
        <w:t>30分钟</w:t>
      </w:r>
      <w:r>
        <w:rPr>
          <w:rFonts w:hint="eastAsia" w:ascii="仿宋" w:hAnsi="仿宋" w:eastAsia="仿宋" w:cs="仿宋"/>
          <w:color w:val="000000"/>
          <w:sz w:val="24"/>
          <w:szCs w:val="24"/>
        </w:rPr>
        <w:t>内响应，</w:t>
      </w:r>
      <w:r>
        <w:rPr>
          <w:rFonts w:hint="eastAsia" w:ascii="仿宋" w:hAnsi="仿宋" w:eastAsia="仿宋" w:cs="仿宋"/>
          <w:color w:val="000000"/>
          <w:sz w:val="24"/>
          <w:szCs w:val="24"/>
          <w:lang w:val="en-US" w:eastAsia="zh-CN"/>
        </w:rPr>
        <w:t>12小时内给出解决方案，</w:t>
      </w:r>
      <w:r>
        <w:rPr>
          <w:rFonts w:hint="eastAsia" w:ascii="仿宋" w:hAnsi="仿宋" w:eastAsia="仿宋" w:cs="仿宋"/>
          <w:color w:val="000000"/>
          <w:sz w:val="24"/>
          <w:szCs w:val="24"/>
        </w:rPr>
        <w:t>经远程技术指导不能解决的，应在</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小时内派遣相关技术人员至现场无偿提供服务。</w:t>
      </w:r>
    </w:p>
    <w:p w14:paraId="7004F421">
      <w:pPr>
        <w:keepNext w:val="0"/>
        <w:keepLines w:val="0"/>
        <w:pageBreakBefore w:val="0"/>
        <w:widowControl w:val="0"/>
        <w:kinsoku/>
        <w:wordWrap/>
        <w:overflowPunct/>
        <w:topLinePunct w:val="0"/>
        <w:bidi w:val="0"/>
        <w:adjustRightInd/>
        <w:snapToGrid/>
        <w:spacing w:line="360" w:lineRule="auto"/>
        <w:ind w:firstLine="360" w:firstLineChars="15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4、乙方每季度进行一次定期现场巡检，发现系统稳定运行的隐患因素并及时排除。乙方向甲方出具系统巡检报告，内容包含巡检范围、结果及巡检建议。</w:t>
      </w:r>
    </w:p>
    <w:p w14:paraId="6C09C1D3">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八、货款的支付</w:t>
      </w:r>
    </w:p>
    <w:p w14:paraId="01524EC9">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1、付款信息：</w:t>
      </w:r>
    </w:p>
    <w:p w14:paraId="0CFD61CF">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、乙方银行账户信息：</w:t>
      </w:r>
    </w:p>
    <w:p w14:paraId="16D398A2">
      <w:pPr>
        <w:spacing w:line="3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开户行： </w:t>
      </w:r>
    </w:p>
    <w:p w14:paraId="67AE4ED2">
      <w:pPr>
        <w:spacing w:line="3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"账户名称"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fldChar w:fldCharType="end"/>
      </w:r>
    </w:p>
    <w:p w14:paraId="6D6D4AF3">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p w14:paraId="148C12D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甲方支付乙方任何一笔款项前，乙方应提供符合甲方财务做账要求的正规发票，否则甲方有权拒绝付款且不承担违约责任。</w:t>
      </w:r>
    </w:p>
    <w:p w14:paraId="248450A2">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D09A0CA">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九、违约责任</w:t>
      </w:r>
    </w:p>
    <w:p w14:paraId="0E9969C1">
      <w:pPr>
        <w:pStyle w:val="35"/>
        <w:spacing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乙方应严格按照合同约定的时间交付，如乙方延迟交付，甲方有权追究延迟交付的违约责任。乙方如逾期供货，每逾期一天，按合同总额的千分之五向甲方承担违约金；乙方逾期交付超出交付期十天(含十天)以上的，甲方有权解除合同并追究乙方的违约责任，甲方解除合同的，乙方应退还甲方已支付的全部货款，并支付合同总价款20%的违约金；</w:t>
      </w:r>
    </w:p>
    <w:p w14:paraId="1EAF0CC9">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在履行合同过程中，如果乙方遇到妨碍按时交付和提供服务的情况时，应及时以书面形式将拖延的事实，可能拖延的时间和原因通知甲方。甲方在收到乙方通知后，应尽快对情况进行评价，并及时确定是否同意延长交货时间以及是否收取误期赔偿费。乙方延期交货应通过签订补充协议的方式经甲方盖章确认。</w:t>
      </w:r>
    </w:p>
    <w:p w14:paraId="5BC81F6A">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乙方所交产品质量、安装等不符合合同规定的，由乙方负责包修及重新安装，并承担修理、安装而支付的实际费用。乙方不能修理或者不能调换、安装的，除应退还甲方已支付的全部款项外，还应按合同总额的20%承担违约金。</w:t>
      </w:r>
    </w:p>
    <w:p w14:paraId="15F1CFE5">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乙方在合同供货有效期内违反本有关质量保证及售后服务的，甲方有权要求乙方支付合同总价款的20%违约金，乙方支付上述违约金不足以赔偿甲方损失的，甲方有权另行向乙方索赔（包括但不限于第三方索赔、律师费、诉讼费、鉴定费、公证费、差旅费等甲方采取诉讼途径发生的一切费用）。</w:t>
      </w:r>
    </w:p>
    <w:p w14:paraId="211D395C">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乙方承诺其销售的设备不存在权利瑕疵，没有侵犯他人知识产权或其他合法权益，也不存在司法或行政的查封、扣押、冻结等转让限制。因存在前述权利瑕疵给甲方造成损失的，乙方除应返还甲方已付款项及其利息（利息按银行同期贷款利率支付）外，还应按合同总金额的20%向甲方支付违约金并赔偿甲方损失。</w:t>
      </w:r>
    </w:p>
    <w:p w14:paraId="51118EDD">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6、本合同签订后，乙方不得以货物市场价格上涨等各种理由断货、中止供货或要求甲方调价，否则，甲方有权解除合同并要求乙方返还甲方已付款项及其利息（利息按银行同期贷款利率支付），乙方还应向甲方支付合同总价20%的违约金。</w:t>
      </w:r>
    </w:p>
    <w:p w14:paraId="0EA2E2FC">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7、乙方向甲方承诺，如发生乙方向甲方指定人员或与该业务有关的任何工作人员行贿、送礼等行为，或与甲方相关工作人员串通，做出损害甲方利益的任何行为，每次按合同总金额的20%的数额向甲方承担违约金。</w:t>
      </w:r>
    </w:p>
    <w:p w14:paraId="44D563E2">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8、如因乙方系统的授权问题造成甲方不能使用或使用不畅，在甲方提出书面异议后仍不能解决，甲方有权要求退货，并要求乙方返还所有已支付的全部货款。</w:t>
      </w:r>
    </w:p>
    <w:p w14:paraId="413D4E0D">
      <w:pPr>
        <w:spacing w:after="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未经甲方书面同意，乙方将本合同项下的任何权利义务（包含债权、债务）转让给任何第三人，或向金融机构进行质押、出让的，乙方向甲方支付转让（质押、出让）金额20%。</w:t>
      </w:r>
    </w:p>
    <w:p w14:paraId="60273554">
      <w:pPr>
        <w:spacing w:after="0" w:line="360" w:lineRule="auto"/>
        <w:ind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十、不可抗力</w:t>
      </w:r>
    </w:p>
    <w:p w14:paraId="18ABAB1A">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42709C12">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7D53489F">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3、甲乙双方因不可抗力不能履行本合同的责任和义务时，双方应及时签订补充协议，并共同遵守执行。</w:t>
      </w:r>
    </w:p>
    <w:p w14:paraId="1B1B131F">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十一、争议解决</w:t>
      </w:r>
    </w:p>
    <w:p w14:paraId="345D94C6">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本合同如发生纠纷，当事人双方应当及时协商解决，协商不成时，可向甲方所在地人民法院起诉。</w:t>
      </w:r>
    </w:p>
    <w:p w14:paraId="4C4DF120">
      <w:pPr>
        <w:spacing w:after="0" w:line="360" w:lineRule="auto"/>
        <w:ind w:firstLine="360" w:firstLineChars="150"/>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十二、合同的文本及生效</w:t>
      </w:r>
    </w:p>
    <w:p w14:paraId="5370AFF9">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1、本合同一式陆份，甲方执伍份、乙方执壹份，均具有同等法律效力。</w:t>
      </w:r>
    </w:p>
    <w:p w14:paraId="6E8A0DBD">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2、本合同经双方法定代表人或委托代理人签字（盖章）并加盖单位公章后成立生效。</w:t>
      </w:r>
    </w:p>
    <w:p w14:paraId="2B631DE7">
      <w:pPr>
        <w:spacing w:after="0" w:line="360" w:lineRule="auto"/>
        <w:ind w:firstLine="480" w:firstLineChars="200"/>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3、合同内容如遇国家法律、法规及政策另有规定的，从其规定。</w:t>
      </w:r>
    </w:p>
    <w:p w14:paraId="2447BEBB">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十三、其他约定事项</w:t>
      </w:r>
    </w:p>
    <w:p w14:paraId="43AA1C0C">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1、和本合同相关的双方往来函件(包括传真件、电子邮件)与原件具有同等的法律效力，修改无效。</w:t>
      </w:r>
    </w:p>
    <w:p w14:paraId="20B21AC4">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2、本合同有关的招投标文件、答疑附件、合同附件等是本合同不可分割的组成部分，与本合同具有同等法律效力，其他未尽事宜从其规定或另行协商签订补充协议。</w:t>
      </w:r>
    </w:p>
    <w:p w14:paraId="4E92F677">
      <w:pPr>
        <w:spacing w:after="0" w:line="360" w:lineRule="auto"/>
        <w:ind w:firstLine="360" w:firstLineChars="150"/>
        <w:jc w:val="both"/>
        <w:rPr>
          <w:rFonts w:hint="eastAsia" w:ascii="仿宋" w:hAnsi="仿宋" w:eastAsia="仿宋" w:cs="仿宋"/>
          <w:color w:val="000000"/>
          <w:sz w:val="24"/>
          <w:szCs w:val="24"/>
        </w:rPr>
      </w:pPr>
      <w:r>
        <w:rPr>
          <w:rFonts w:hint="eastAsia" w:ascii="仿宋" w:hAnsi="仿宋" w:eastAsia="仿宋" w:cs="仿宋"/>
          <w:color w:val="000000"/>
          <w:sz w:val="24"/>
          <w:szCs w:val="24"/>
        </w:rPr>
        <w:t>3、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EC88F75">
      <w:pPr>
        <w:spacing w:after="0" w:line="360" w:lineRule="auto"/>
        <w:ind w:firstLine="360" w:firstLineChars="150"/>
        <w:jc w:val="both"/>
        <w:rPr>
          <w:rFonts w:hint="eastAsia" w:ascii="仿宋" w:hAnsi="仿宋" w:eastAsia="仿宋" w:cs="仿宋"/>
          <w:b/>
          <w:color w:val="000000"/>
          <w:sz w:val="24"/>
          <w:szCs w:val="24"/>
        </w:rPr>
      </w:pPr>
      <w:r>
        <w:rPr>
          <w:rFonts w:hint="eastAsia" w:ascii="仿宋" w:hAnsi="仿宋" w:eastAsia="仿宋" w:cs="仿宋"/>
          <w:color w:val="000000"/>
          <w:sz w:val="24"/>
          <w:szCs w:val="24"/>
        </w:rPr>
        <w:t>4、本合同尾部的双方联系方式及地址为双方有效的送达地址，如有一方地址发生变更，应在变更后当日向对方书面通知，如因变更方未及时通知，相对方按合同尾部地址送达的，视为送达成功。</w:t>
      </w:r>
    </w:p>
    <w:p w14:paraId="51D433DC">
      <w:pPr>
        <w:tabs>
          <w:tab w:val="left" w:pos="2625"/>
        </w:tabs>
        <w:spacing w:after="0" w:line="280" w:lineRule="exact"/>
        <w:jc w:val="both"/>
        <w:rPr>
          <w:rFonts w:hint="eastAsia" w:ascii="仿宋" w:hAnsi="仿宋" w:eastAsia="仿宋" w:cs="仿宋"/>
          <w:color w:val="000000"/>
          <w:sz w:val="24"/>
          <w:szCs w:val="24"/>
        </w:rPr>
      </w:pPr>
    </w:p>
    <w:p w14:paraId="3DC8F240">
      <w:pPr>
        <w:tabs>
          <w:tab w:val="left" w:pos="2625"/>
        </w:tabs>
        <w:spacing w:after="0" w:line="280" w:lineRule="exact"/>
        <w:jc w:val="right"/>
        <w:rPr>
          <w:rFonts w:hint="eastAsia" w:ascii="仿宋" w:hAnsi="仿宋" w:eastAsia="仿宋" w:cs="仿宋"/>
          <w:color w:val="000000"/>
          <w:sz w:val="24"/>
          <w:szCs w:val="24"/>
        </w:rPr>
      </w:pPr>
    </w:p>
    <w:p w14:paraId="03E828B6">
      <w:pPr>
        <w:spacing w:after="0" w:line="34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（以下无正文，为本合同签署页）</w:t>
      </w:r>
    </w:p>
    <w:p w14:paraId="167D720B">
      <w:pPr>
        <w:spacing w:after="0" w:line="340" w:lineRule="exact"/>
        <w:rPr>
          <w:rFonts w:hint="eastAsia" w:ascii="仿宋" w:hAnsi="仿宋" w:eastAsia="仿宋" w:cs="仿宋"/>
          <w:b/>
          <w:bCs/>
          <w:color w:val="000000"/>
          <w:sz w:val="24"/>
          <w:szCs w:val="24"/>
        </w:rPr>
      </w:pPr>
    </w:p>
    <w:p w14:paraId="152EF81E">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p w14:paraId="5A16DD1D">
      <w:pPr>
        <w:spacing w:after="0" w:line="340" w:lineRule="exact"/>
        <w:rPr>
          <w:rFonts w:hint="eastAsia" w:ascii="仿宋" w:hAnsi="仿宋" w:eastAsia="仿宋" w:cs="仿宋"/>
          <w:b/>
          <w:bCs/>
          <w:color w:val="000000"/>
          <w:sz w:val="24"/>
          <w:szCs w:val="24"/>
        </w:rPr>
      </w:pPr>
    </w:p>
    <w:p w14:paraId="6450425A">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甲方（盖章）：                         乙方（盖章）：</w:t>
      </w:r>
    </w:p>
    <w:p w14:paraId="0F2C25C9">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 同 章：                             合 同 章：</w:t>
      </w:r>
    </w:p>
    <w:p w14:paraId="58DDBAD0">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法人签字：                             法人签字：</w:t>
      </w:r>
    </w:p>
    <w:p w14:paraId="28485F35">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                         授权代表签字：</w:t>
      </w:r>
    </w:p>
    <w:p w14:paraId="3266422B">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lang w:eastAsia="zh-CN"/>
        </w:rPr>
        <w:t>0991-7598403</w:t>
      </w:r>
      <w:r>
        <w:rPr>
          <w:rFonts w:hint="eastAsia" w:ascii="仿宋" w:hAnsi="仿宋" w:eastAsia="仿宋" w:cs="仿宋"/>
          <w:color w:val="000000"/>
          <w:sz w:val="24"/>
          <w:szCs w:val="24"/>
        </w:rPr>
        <w:t xml:space="preserve">                     电话：</w:t>
      </w:r>
    </w:p>
    <w:p w14:paraId="7EB08783">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纳税人识别号: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纳税人识别号：</w:t>
      </w:r>
    </w:p>
    <w:p w14:paraId="43375935">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lang w:eastAsia="zh-CN"/>
        </w:rPr>
        <w:t>乌鲁木齐河南西路118号</w:t>
      </w:r>
      <w:r>
        <w:rPr>
          <w:rFonts w:hint="eastAsia" w:ascii="仿宋" w:hAnsi="仿宋" w:eastAsia="仿宋" w:cs="仿宋"/>
          <w:color w:val="000000"/>
          <w:sz w:val="24"/>
          <w:szCs w:val="24"/>
        </w:rPr>
        <w:t xml:space="preserve">    地址：</w:t>
      </w:r>
    </w:p>
    <w:p w14:paraId="0652D4FA">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开户行：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开户行：</w:t>
      </w:r>
    </w:p>
    <w:p w14:paraId="77E06443">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行号：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行号：</w:t>
      </w:r>
    </w:p>
    <w:p w14:paraId="39F21758">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银行账号：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银行账号：</w:t>
      </w:r>
    </w:p>
    <w:p w14:paraId="74186921">
      <w:pPr>
        <w:keepNext w:val="0"/>
        <w:keepLines w:val="0"/>
        <w:pageBreakBefore w:val="0"/>
        <w:widowControl w:val="0"/>
        <w:kinsoku/>
        <w:wordWrap/>
        <w:overflowPunct/>
        <w:topLinePunct w:val="0"/>
        <w:bidi w:val="0"/>
        <w:snapToGrid/>
        <w:spacing w:after="0" w:line="440" w:lineRule="atLeast"/>
        <w:ind w:left="6360" w:hanging="6360" w:hangingChars="26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签订时间：  年  月  日                 签订时间：  年  月   日</w:t>
      </w:r>
    </w:p>
    <w:p w14:paraId="3859473B">
      <w:pPr>
        <w:keepNext w:val="0"/>
        <w:keepLines w:val="0"/>
        <w:pageBreakBefore w:val="0"/>
        <w:widowControl w:val="0"/>
        <w:tabs>
          <w:tab w:val="left" w:pos="-900"/>
          <w:tab w:val="left" w:pos="-540"/>
          <w:tab w:val="left" w:pos="720"/>
          <w:tab w:val="left" w:pos="1663"/>
        </w:tabs>
        <w:kinsoku/>
        <w:wordWrap/>
        <w:overflowPunct/>
        <w:topLinePunct w:val="0"/>
        <w:bidi w:val="0"/>
        <w:snapToGrid/>
        <w:spacing w:line="440" w:lineRule="atLeast"/>
        <w:textAlignment w:val="auto"/>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　　</w:t>
      </w:r>
    </w:p>
    <w:p w14:paraId="3E27B86E">
      <w:pPr>
        <w:rPr>
          <w:rFonts w:hint="eastAsia" w:ascii="仿宋" w:hAnsi="仿宋" w:eastAsia="仿宋" w:cs="仿宋"/>
          <w:sz w:val="24"/>
          <w:szCs w:val="24"/>
        </w:rPr>
      </w:pPr>
    </w:p>
    <w:p w14:paraId="7593031C">
      <w:pPr>
        <w:pStyle w:val="21"/>
        <w:numPr>
          <w:ilvl w:val="0"/>
          <w:numId w:val="0"/>
        </w:numPr>
        <w:ind w:leftChars="0"/>
        <w:rPr>
          <w:rFonts w:hint="eastAsia" w:ascii="仿宋" w:hAnsi="仿宋" w:eastAsia="仿宋" w:cs="仿宋"/>
          <w:sz w:val="24"/>
          <w:szCs w:val="24"/>
        </w:rPr>
      </w:pPr>
    </w:p>
    <w:p w14:paraId="6BE2C5EC">
      <w:pPr>
        <w:rPr>
          <w:rFonts w:hint="eastAsia" w:ascii="仿宋" w:hAnsi="仿宋" w:eastAsia="仿宋" w:cs="仿宋"/>
          <w:sz w:val="24"/>
          <w:szCs w:val="24"/>
        </w:rPr>
      </w:pPr>
      <w:bookmarkStart w:id="73" w:name="_Toc82497924"/>
      <w:bookmarkEnd w:id="73"/>
      <w:bookmarkStart w:id="74" w:name="_Toc56170392"/>
      <w:bookmarkEnd w:id="74"/>
      <w:bookmarkStart w:id="75" w:name="_Toc25835"/>
      <w:r>
        <w:rPr>
          <w:rFonts w:hint="eastAsia" w:ascii="仿宋" w:hAnsi="仿宋" w:eastAsia="仿宋" w:cs="仿宋"/>
          <w:sz w:val="24"/>
          <w:szCs w:val="24"/>
        </w:rPr>
        <w:br w:type="page"/>
      </w:r>
    </w:p>
    <w:p w14:paraId="510A7FDD">
      <w:pPr>
        <w:pStyle w:val="2"/>
        <w:jc w:val="center"/>
        <w:rPr>
          <w:rFonts w:hint="eastAsia" w:ascii="仿宋" w:hAnsi="仿宋" w:eastAsia="仿宋" w:cs="仿宋"/>
        </w:rPr>
      </w:pPr>
      <w:r>
        <w:rPr>
          <w:rFonts w:hint="eastAsia" w:ascii="仿宋" w:hAnsi="仿宋" w:eastAsia="仿宋" w:cs="仿宋"/>
        </w:rPr>
        <w:t>第五章、单一来源响应文件格式</w:t>
      </w:r>
      <w:bookmarkEnd w:id="75"/>
    </w:p>
    <w:p w14:paraId="2746B1C5">
      <w:pPr>
        <w:pStyle w:val="35"/>
        <w:spacing w:line="360" w:lineRule="auto"/>
        <w:ind w:firstLine="1400" w:firstLineChars="200"/>
        <w:jc w:val="both"/>
        <w:rPr>
          <w:rFonts w:hint="eastAsia" w:ascii="仿宋" w:hAnsi="仿宋" w:eastAsia="仿宋" w:cs="仿宋"/>
          <w:sz w:val="70"/>
        </w:rPr>
      </w:pPr>
    </w:p>
    <w:p w14:paraId="2B1762DA">
      <w:pPr>
        <w:spacing w:line="360" w:lineRule="auto"/>
        <w:jc w:val="center"/>
        <w:rPr>
          <w:rFonts w:hint="eastAsia" w:ascii="仿宋" w:hAnsi="仿宋" w:eastAsia="仿宋" w:cs="仿宋"/>
          <w:color w:val="000000"/>
          <w:sz w:val="72"/>
        </w:rPr>
      </w:pPr>
      <w:r>
        <w:rPr>
          <w:rFonts w:hint="eastAsia" w:ascii="仿宋" w:hAnsi="仿宋" w:eastAsia="仿宋" w:cs="仿宋"/>
          <w:color w:val="000000"/>
          <w:sz w:val="52"/>
          <w:szCs w:val="52"/>
          <w:u w:val="single"/>
        </w:rPr>
        <w:t xml:space="preserve"> </w:t>
      </w:r>
      <w:r>
        <w:rPr>
          <w:rFonts w:hint="eastAsia" w:ascii="仿宋" w:hAnsi="仿宋" w:eastAsia="仿宋" w:cs="仿宋"/>
          <w:color w:val="000000"/>
          <w:sz w:val="72"/>
          <w:u w:val="single"/>
        </w:rPr>
        <w:t xml:space="preserve">              </w:t>
      </w:r>
      <w:r>
        <w:rPr>
          <w:rFonts w:hint="eastAsia" w:ascii="仿宋" w:hAnsi="仿宋" w:eastAsia="仿宋" w:cs="仿宋"/>
          <w:color w:val="000000"/>
          <w:sz w:val="72"/>
        </w:rPr>
        <w:t>项目</w:t>
      </w:r>
    </w:p>
    <w:p w14:paraId="4D7F23DE">
      <w:pPr>
        <w:spacing w:line="360" w:lineRule="auto"/>
        <w:jc w:val="center"/>
        <w:rPr>
          <w:rFonts w:hint="eastAsia" w:ascii="仿宋" w:hAnsi="仿宋" w:eastAsia="仿宋" w:cs="仿宋"/>
          <w:color w:val="000000"/>
          <w:sz w:val="72"/>
        </w:rPr>
      </w:pPr>
    </w:p>
    <w:p w14:paraId="5E3EC6A3">
      <w:pPr>
        <w:spacing w:line="360" w:lineRule="auto"/>
        <w:jc w:val="center"/>
        <w:rPr>
          <w:rFonts w:hint="eastAsia" w:ascii="仿宋" w:hAnsi="仿宋" w:eastAsia="仿宋" w:cs="仿宋"/>
          <w:color w:val="000000"/>
        </w:rPr>
      </w:pPr>
      <w:r>
        <w:rPr>
          <w:rFonts w:hint="eastAsia" w:ascii="仿宋" w:hAnsi="仿宋" w:eastAsia="仿宋" w:cs="仿宋"/>
          <w:color w:val="000000"/>
          <w:sz w:val="72"/>
        </w:rPr>
        <w:t>单一来源响应文件</w:t>
      </w:r>
    </w:p>
    <w:p w14:paraId="3F888F40">
      <w:pPr>
        <w:keepNext w:val="0"/>
        <w:keepLines w:val="0"/>
        <w:pageBreakBefore w:val="0"/>
        <w:widowControl w:val="0"/>
        <w:kinsoku/>
        <w:wordWrap/>
        <w:overflowPunct/>
        <w:topLinePunct w:val="0"/>
        <w:autoSpaceDE/>
        <w:autoSpaceDN/>
        <w:bidi w:val="0"/>
        <w:adjustRightInd/>
        <w:snapToGrid/>
        <w:spacing w:line="480" w:lineRule="exact"/>
        <w:ind w:firstLine="880"/>
        <w:jc w:val="center"/>
        <w:textAlignment w:val="auto"/>
        <w:rPr>
          <w:rFonts w:hint="eastAsia" w:ascii="仿宋" w:hAnsi="仿宋" w:eastAsia="仿宋" w:cs="仿宋"/>
          <w:color w:val="000000"/>
          <w:sz w:val="44"/>
        </w:rPr>
      </w:pPr>
      <w:r>
        <w:rPr>
          <w:rFonts w:hint="eastAsia" w:ascii="仿宋" w:hAnsi="仿宋" w:eastAsia="仿宋" w:cs="仿宋"/>
          <w:color w:val="000000"/>
          <w:sz w:val="44"/>
        </w:rPr>
        <w:t>项目</w:t>
      </w:r>
      <w:r>
        <w:rPr>
          <w:rFonts w:hint="eastAsia" w:ascii="仿宋" w:hAnsi="仿宋" w:eastAsia="仿宋" w:cs="仿宋"/>
          <w:color w:val="000000"/>
          <w:sz w:val="44"/>
          <w:lang w:val="en-US" w:eastAsia="zh-CN"/>
        </w:rPr>
        <w:t>编号</w:t>
      </w:r>
      <w:r>
        <w:rPr>
          <w:rFonts w:hint="eastAsia" w:ascii="仿宋" w:hAnsi="仿宋" w:eastAsia="仿宋" w:cs="仿宋"/>
          <w:color w:val="000000"/>
          <w:sz w:val="44"/>
        </w:rPr>
        <w:t>：</w:t>
      </w:r>
    </w:p>
    <w:p w14:paraId="447BFD1A">
      <w:pPr>
        <w:spacing w:line="360" w:lineRule="auto"/>
        <w:rPr>
          <w:rFonts w:hint="eastAsia" w:ascii="仿宋" w:hAnsi="仿宋" w:eastAsia="仿宋" w:cs="仿宋"/>
          <w:color w:val="000000"/>
        </w:rPr>
      </w:pPr>
    </w:p>
    <w:p w14:paraId="66DF5EF7">
      <w:pPr>
        <w:spacing w:line="360" w:lineRule="auto"/>
        <w:ind w:firstLine="420"/>
        <w:rPr>
          <w:rFonts w:hint="eastAsia" w:ascii="仿宋" w:hAnsi="仿宋" w:eastAsia="仿宋" w:cs="仿宋"/>
          <w:color w:val="000000"/>
        </w:rPr>
      </w:pPr>
    </w:p>
    <w:p w14:paraId="3077394F">
      <w:pPr>
        <w:spacing w:line="360" w:lineRule="auto"/>
        <w:ind w:firstLine="880"/>
        <w:rPr>
          <w:rFonts w:hint="eastAsia" w:ascii="仿宋" w:hAnsi="仿宋" w:eastAsia="仿宋" w:cs="仿宋"/>
          <w:color w:val="000000"/>
          <w:sz w:val="44"/>
        </w:rPr>
      </w:pPr>
    </w:p>
    <w:p w14:paraId="29475060">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rPr>
      </w:pPr>
    </w:p>
    <w:p w14:paraId="7ACCE009">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lang w:eastAsia="zh-CN"/>
        </w:rPr>
      </w:pPr>
      <w:r>
        <w:rPr>
          <w:rFonts w:hint="eastAsia" w:ascii="仿宋" w:hAnsi="仿宋" w:eastAsia="仿宋" w:cs="仿宋"/>
          <w:color w:val="000000"/>
          <w:sz w:val="44"/>
        </w:rPr>
        <w:t>供应商名称：</w:t>
      </w:r>
      <w:r>
        <w:rPr>
          <w:rFonts w:hint="eastAsia" w:ascii="仿宋" w:hAnsi="仿宋" w:eastAsia="仿宋" w:cs="仿宋"/>
          <w:color w:val="000000"/>
          <w:sz w:val="44"/>
          <w:lang w:eastAsia="zh-CN"/>
        </w:rPr>
        <w:t>（</w:t>
      </w:r>
      <w:r>
        <w:rPr>
          <w:rFonts w:hint="eastAsia" w:ascii="仿宋" w:hAnsi="仿宋" w:eastAsia="仿宋" w:cs="仿宋"/>
          <w:color w:val="000000"/>
          <w:sz w:val="44"/>
          <w:lang w:val="en-US" w:eastAsia="zh-CN"/>
        </w:rPr>
        <w:t>盖章</w:t>
      </w:r>
      <w:r>
        <w:rPr>
          <w:rFonts w:hint="eastAsia" w:ascii="仿宋" w:hAnsi="仿宋" w:eastAsia="仿宋" w:cs="仿宋"/>
          <w:color w:val="000000"/>
          <w:sz w:val="44"/>
          <w:lang w:eastAsia="zh-CN"/>
        </w:rPr>
        <w:t>）</w:t>
      </w:r>
    </w:p>
    <w:p w14:paraId="651B4ABE">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rPr>
      </w:pPr>
    </w:p>
    <w:p w14:paraId="74B899FA">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44"/>
          <w:lang w:eastAsia="zh-CN"/>
        </w:rPr>
      </w:pPr>
      <w:r>
        <w:rPr>
          <w:rFonts w:hint="eastAsia" w:ascii="仿宋" w:hAnsi="仿宋" w:eastAsia="仿宋" w:cs="仿宋"/>
          <w:color w:val="000000"/>
          <w:sz w:val="44"/>
        </w:rPr>
        <w:t>供应商代表：</w:t>
      </w:r>
      <w:r>
        <w:rPr>
          <w:rFonts w:hint="eastAsia" w:ascii="仿宋" w:hAnsi="仿宋" w:eastAsia="仿宋" w:cs="仿宋"/>
          <w:color w:val="000000"/>
          <w:sz w:val="44"/>
          <w:lang w:eastAsia="zh-CN"/>
        </w:rPr>
        <w:t>（</w:t>
      </w:r>
      <w:r>
        <w:rPr>
          <w:rFonts w:hint="eastAsia" w:ascii="仿宋" w:hAnsi="仿宋" w:eastAsia="仿宋" w:cs="仿宋"/>
          <w:color w:val="000000"/>
          <w:sz w:val="44"/>
          <w:lang w:val="en-US" w:eastAsia="zh-CN"/>
        </w:rPr>
        <w:t>签字</w:t>
      </w:r>
      <w:r>
        <w:rPr>
          <w:rFonts w:hint="eastAsia" w:ascii="仿宋" w:hAnsi="仿宋" w:eastAsia="仿宋" w:cs="仿宋"/>
          <w:color w:val="000000"/>
          <w:sz w:val="44"/>
          <w:lang w:eastAsia="zh-CN"/>
        </w:rPr>
        <w:t>）</w:t>
      </w:r>
    </w:p>
    <w:p w14:paraId="21F2C883">
      <w:pPr>
        <w:keepNext w:val="0"/>
        <w:keepLines w:val="0"/>
        <w:pageBreakBefore w:val="0"/>
        <w:widowControl w:val="0"/>
        <w:kinsoku/>
        <w:wordWrap/>
        <w:overflowPunct/>
        <w:topLinePunct w:val="0"/>
        <w:autoSpaceDE/>
        <w:autoSpaceDN/>
        <w:bidi w:val="0"/>
        <w:adjustRightInd/>
        <w:snapToGrid/>
        <w:spacing w:line="480" w:lineRule="exact"/>
        <w:ind w:firstLine="880" w:firstLineChars="200"/>
        <w:textAlignment w:val="auto"/>
        <w:rPr>
          <w:rFonts w:hint="eastAsia" w:ascii="仿宋" w:hAnsi="仿宋" w:eastAsia="仿宋" w:cs="仿宋"/>
          <w:color w:val="000000"/>
          <w:kern w:val="2"/>
          <w:sz w:val="44"/>
          <w:lang w:val="en-US" w:eastAsia="zh-CN" w:bidi="ar-SA"/>
        </w:rPr>
      </w:pPr>
    </w:p>
    <w:p w14:paraId="30DD674F">
      <w:pPr>
        <w:keepNext w:val="0"/>
        <w:keepLines w:val="0"/>
        <w:pageBreakBefore w:val="0"/>
        <w:widowControl w:val="0"/>
        <w:kinsoku/>
        <w:wordWrap/>
        <w:overflowPunct/>
        <w:topLinePunct w:val="0"/>
        <w:autoSpaceDE/>
        <w:autoSpaceDN/>
        <w:bidi w:val="0"/>
        <w:adjustRightInd/>
        <w:snapToGrid/>
        <w:spacing w:line="480" w:lineRule="exact"/>
        <w:ind w:firstLine="880" w:firstLineChars="200"/>
        <w:textAlignment w:val="auto"/>
        <w:rPr>
          <w:rFonts w:hint="eastAsia" w:ascii="仿宋" w:hAnsi="仿宋" w:eastAsia="仿宋" w:cs="仿宋"/>
          <w:color w:val="000000"/>
          <w:kern w:val="2"/>
          <w:sz w:val="44"/>
          <w:lang w:val="en-US" w:eastAsia="zh-CN" w:bidi="ar-SA"/>
        </w:rPr>
      </w:pPr>
      <w:r>
        <w:rPr>
          <w:rFonts w:hint="eastAsia" w:ascii="仿宋" w:hAnsi="仿宋" w:eastAsia="仿宋" w:cs="仿宋"/>
          <w:color w:val="000000"/>
          <w:kern w:val="2"/>
          <w:sz w:val="44"/>
          <w:lang w:val="en-US" w:eastAsia="zh-CN" w:bidi="ar-SA"/>
        </w:rPr>
        <w:t>联系电话：</w:t>
      </w:r>
    </w:p>
    <w:p w14:paraId="0A7A55CA">
      <w:pPr>
        <w:spacing w:line="360" w:lineRule="auto"/>
        <w:ind w:firstLine="640"/>
        <w:rPr>
          <w:rFonts w:hint="eastAsia" w:ascii="仿宋" w:hAnsi="仿宋" w:eastAsia="仿宋" w:cs="仿宋"/>
          <w:color w:val="000000"/>
          <w:kern w:val="2"/>
          <w:sz w:val="44"/>
          <w:lang w:val="en-US" w:eastAsia="zh-CN" w:bidi="ar-SA"/>
        </w:rPr>
      </w:pPr>
    </w:p>
    <w:p w14:paraId="6B28850E">
      <w:pPr>
        <w:spacing w:line="360" w:lineRule="auto"/>
        <w:ind w:firstLine="640"/>
        <w:rPr>
          <w:rFonts w:hint="eastAsia" w:ascii="仿宋" w:hAnsi="仿宋" w:eastAsia="仿宋" w:cs="仿宋"/>
          <w:color w:val="000000"/>
          <w:sz w:val="32"/>
        </w:rPr>
      </w:pPr>
    </w:p>
    <w:p w14:paraId="08E0C5B7">
      <w:pPr>
        <w:spacing w:line="360" w:lineRule="auto"/>
        <w:ind w:firstLine="720"/>
        <w:jc w:val="center"/>
        <w:rPr>
          <w:rFonts w:hint="eastAsia" w:ascii="仿宋" w:hAnsi="仿宋" w:eastAsia="仿宋" w:cs="仿宋"/>
          <w:color w:val="000000"/>
          <w:sz w:val="36"/>
        </w:rPr>
      </w:pPr>
      <w:r>
        <w:rPr>
          <w:rFonts w:hint="eastAsia" w:ascii="仿宋" w:hAnsi="仿宋" w:eastAsia="仿宋" w:cs="仿宋"/>
          <w:color w:val="000000"/>
          <w:sz w:val="36"/>
        </w:rPr>
        <w:t>年      月      日</w:t>
      </w:r>
    </w:p>
    <w:p w14:paraId="52F25D08">
      <w:pPr>
        <w:pStyle w:val="3"/>
        <w:rPr>
          <w:rFonts w:hint="eastAsia" w:ascii="仿宋" w:hAnsi="仿宋" w:eastAsia="仿宋" w:cs="仿宋"/>
        </w:rPr>
      </w:pPr>
      <w:bookmarkStart w:id="76" w:name="_Toc82497925"/>
      <w:bookmarkEnd w:id="76"/>
      <w:bookmarkStart w:id="77" w:name="_Toc56170393"/>
      <w:bookmarkEnd w:id="77"/>
      <w:bookmarkStart w:id="78" w:name="_Toc21565"/>
      <w:bookmarkEnd w:id="78"/>
      <w:r>
        <w:rPr>
          <w:rFonts w:hint="eastAsia" w:ascii="仿宋" w:hAnsi="仿宋" w:eastAsia="仿宋" w:cs="仿宋"/>
          <w:sz w:val="36"/>
        </w:rPr>
        <w:br w:type="page"/>
      </w:r>
      <w:bookmarkStart w:id="79" w:name="_Toc25286"/>
      <w:r>
        <w:rPr>
          <w:rFonts w:hint="eastAsia" w:ascii="仿宋" w:hAnsi="仿宋" w:eastAsia="仿宋" w:cs="仿宋"/>
        </w:rPr>
        <w:t>附件一、投标书</w:t>
      </w:r>
      <w:bookmarkEnd w:id="79"/>
    </w:p>
    <w:p w14:paraId="48045AB4">
      <w:pPr>
        <w:pStyle w:val="36"/>
        <w:spacing w:line="360" w:lineRule="auto"/>
        <w:ind w:firstLine="0" w:firstLineChars="0"/>
        <w:jc w:val="both"/>
        <w:rPr>
          <w:rFonts w:hint="eastAsia" w:ascii="仿宋" w:hAnsi="仿宋" w:eastAsia="仿宋" w:cs="仿宋"/>
          <w:b w:val="0"/>
          <w:color w:val="000000"/>
          <w:sz w:val="28"/>
          <w:szCs w:val="16"/>
        </w:rPr>
      </w:pPr>
      <w:r>
        <w:rPr>
          <w:rFonts w:hint="eastAsia" w:ascii="仿宋" w:hAnsi="仿宋" w:eastAsia="仿宋" w:cs="仿宋"/>
          <w:b w:val="0"/>
          <w:color w:val="000000"/>
          <w:sz w:val="28"/>
          <w:szCs w:val="16"/>
        </w:rPr>
        <w:t>中科高盛咨询集团有限公司：</w:t>
      </w:r>
    </w:p>
    <w:p w14:paraId="5205AA53">
      <w:pPr>
        <w:spacing w:line="360" w:lineRule="auto"/>
        <w:ind w:firstLine="420"/>
        <w:rPr>
          <w:rFonts w:hint="eastAsia" w:ascii="仿宋" w:hAnsi="仿宋" w:eastAsia="仿宋" w:cs="仿宋"/>
          <w:color w:val="000000"/>
        </w:rPr>
      </w:pPr>
    </w:p>
    <w:p w14:paraId="063AEB41">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我们收到你们</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单一来源采购文件，经认真研究，我们决定参加投标。</w:t>
      </w:r>
    </w:p>
    <w:p w14:paraId="238B3FC8">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 xml:space="preserve">⒈按照单一来源采购文件中的一切要求，提供招标货物、安装及技术服务，投标总价 </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元（人民币大写）￥：</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元（用阿拉伯数字书写）人民币，明细见投标产品名称数量报价表。</w:t>
      </w:r>
    </w:p>
    <w:p w14:paraId="243076D4">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⒉如果我们的单一来源响应文件被接受，我们将履行单一来源采购文件中规定的每一项要求，按期、按质、按量完成交货和完工任务。</w:t>
      </w:r>
    </w:p>
    <w:p w14:paraId="254974F9">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⒊我们同意按单一来源采购文件的规定，本单一来源响应文件的有效期为开标后</w:t>
      </w:r>
      <w:r>
        <w:rPr>
          <w:rFonts w:hint="eastAsia" w:ascii="仿宋" w:hAnsi="仿宋" w:eastAsia="仿宋" w:cs="仿宋"/>
          <w:color w:val="000000"/>
          <w:sz w:val="28"/>
          <w:u w:val="single"/>
        </w:rPr>
        <w:t xml:space="preserve"> 90 </w:t>
      </w:r>
      <w:r>
        <w:rPr>
          <w:rFonts w:hint="eastAsia" w:ascii="仿宋" w:hAnsi="仿宋" w:eastAsia="仿宋" w:cs="仿宋"/>
          <w:color w:val="000000"/>
          <w:sz w:val="28"/>
        </w:rPr>
        <w:t>天。</w:t>
      </w:r>
    </w:p>
    <w:p w14:paraId="526C4C0C">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⒋我们愿意提供采购人在单一来源采购文件中要求的所有资料。</w:t>
      </w:r>
    </w:p>
    <w:p w14:paraId="72A0E006">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⒌</w:t>
      </w:r>
      <w:r>
        <w:rPr>
          <w:rFonts w:hint="eastAsia" w:ascii="仿宋" w:hAnsi="仿宋" w:eastAsia="仿宋" w:cs="仿宋"/>
          <w:sz w:val="28"/>
        </w:rPr>
        <w:t>我们认为你们有选择或拒绝任何投标者中标的权力。我们理解，最低报价不是中标的唯一条件。</w:t>
      </w:r>
    </w:p>
    <w:p w14:paraId="1E21696E">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⒍我们愿按合同法履行自己的全部责任。</w:t>
      </w:r>
    </w:p>
    <w:p w14:paraId="6B3C8048">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⒎我方愿意遵守国家有关规定及单一来源采购文件中规定的收费标准，承付中标服务费。</w:t>
      </w:r>
    </w:p>
    <w:p w14:paraId="306A190E">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⒏该项投标在开标后的全过程中保持有效，不作任何更改和变动。</w:t>
      </w:r>
    </w:p>
    <w:p w14:paraId="31D2CA54">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⒐我们同意按单一来源采购文件规定，交纳</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元的投标保证金。并同意在确定最终中标供应商、发出</w:t>
      </w:r>
      <w:r>
        <w:rPr>
          <w:rFonts w:hint="eastAsia" w:ascii="仿宋" w:hAnsi="仿宋" w:eastAsia="仿宋" w:cs="仿宋"/>
          <w:color w:val="000000"/>
          <w:sz w:val="28"/>
          <w:lang w:eastAsia="zh-CN"/>
        </w:rPr>
        <w:t>成交通知书</w:t>
      </w:r>
      <w:r>
        <w:rPr>
          <w:rFonts w:hint="eastAsia" w:ascii="仿宋" w:hAnsi="仿宋" w:eastAsia="仿宋" w:cs="仿宋"/>
          <w:color w:val="000000"/>
          <w:sz w:val="28"/>
        </w:rPr>
        <w:t>之后5个工作日内退还我公司的投标保证金。（如因特殊原因，在投标有效期之后确定中标供应商，本承诺依然有效。）</w:t>
      </w:r>
    </w:p>
    <w:p w14:paraId="28D2B063">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⒑综合说明：</w:t>
      </w:r>
    </w:p>
    <w:p w14:paraId="0EB462EF">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（1）材料的详细技术参数、技术条件、技术标准、拟达到的质量标准和保险期限。</w:t>
      </w:r>
    </w:p>
    <w:p w14:paraId="104FB6FB">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（2）易损件、配件及供应方式。</w:t>
      </w:r>
    </w:p>
    <w:p w14:paraId="58FFA7D0">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（3）工程安装计划、组织机构及人员安排。</w:t>
      </w:r>
    </w:p>
    <w:p w14:paraId="1F9DF34B">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（5）技术服务。</w:t>
      </w:r>
    </w:p>
    <w:p w14:paraId="752C9DD4">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（6）运输方式。</w:t>
      </w:r>
    </w:p>
    <w:p w14:paraId="2F0968DF">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（7）要求项目单位提供的配合。</w:t>
      </w:r>
    </w:p>
    <w:p w14:paraId="47764F06">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（8）对单一来源采购文件内容有不同意见的偏离说明。</w:t>
      </w:r>
    </w:p>
    <w:p w14:paraId="3C854CC3">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（9）其它。</w:t>
      </w:r>
    </w:p>
    <w:p w14:paraId="75F80695">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11.所有有关本标书的函电，请按下列地址联系：</w:t>
      </w:r>
    </w:p>
    <w:p w14:paraId="67C0EE87">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单       位：</w:t>
      </w:r>
    </w:p>
    <w:p w14:paraId="7A2FD92F">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地       址：</w:t>
      </w:r>
    </w:p>
    <w:p w14:paraId="39E889C6">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电       话：</w:t>
      </w:r>
    </w:p>
    <w:p w14:paraId="22F2EF74">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传       真：</w:t>
      </w:r>
    </w:p>
    <w:p w14:paraId="4A75B9B5">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邮 政 编 码：</w:t>
      </w:r>
    </w:p>
    <w:p w14:paraId="12010783">
      <w:pPr>
        <w:spacing w:line="500" w:lineRule="exact"/>
        <w:ind w:firstLine="561"/>
        <w:rPr>
          <w:rFonts w:hint="eastAsia" w:ascii="仿宋" w:hAnsi="仿宋" w:eastAsia="仿宋" w:cs="仿宋"/>
          <w:color w:val="000000"/>
          <w:sz w:val="28"/>
        </w:rPr>
      </w:pPr>
      <w:r>
        <w:rPr>
          <w:rFonts w:hint="eastAsia" w:ascii="仿宋" w:hAnsi="仿宋" w:eastAsia="仿宋" w:cs="仿宋"/>
          <w:color w:val="000000"/>
          <w:sz w:val="28"/>
        </w:rPr>
        <w:t>联  系  人：</w:t>
      </w:r>
    </w:p>
    <w:p w14:paraId="44242D54">
      <w:pPr>
        <w:spacing w:line="360" w:lineRule="auto"/>
        <w:ind w:firstLine="560"/>
        <w:rPr>
          <w:rFonts w:hint="eastAsia" w:ascii="仿宋" w:hAnsi="仿宋" w:eastAsia="仿宋" w:cs="仿宋"/>
          <w:color w:val="000000"/>
          <w:sz w:val="28"/>
        </w:rPr>
      </w:pPr>
    </w:p>
    <w:p w14:paraId="2A31611E">
      <w:pPr>
        <w:spacing w:line="360" w:lineRule="auto"/>
        <w:ind w:firstLine="560"/>
        <w:rPr>
          <w:rFonts w:hint="eastAsia" w:ascii="仿宋" w:hAnsi="仿宋" w:eastAsia="仿宋" w:cs="仿宋"/>
          <w:color w:val="000000"/>
          <w:sz w:val="28"/>
        </w:rPr>
      </w:pPr>
      <w:r>
        <w:rPr>
          <w:rFonts w:hint="eastAsia" w:ascii="仿宋" w:hAnsi="仿宋" w:eastAsia="仿宋" w:cs="仿宋"/>
          <w:color w:val="000000"/>
          <w:sz w:val="28"/>
        </w:rPr>
        <w:t>投标单位：（公章）</w:t>
      </w:r>
    </w:p>
    <w:p w14:paraId="02EEC1F7">
      <w:pPr>
        <w:spacing w:line="360" w:lineRule="auto"/>
        <w:ind w:firstLine="560"/>
        <w:rPr>
          <w:rFonts w:hint="eastAsia" w:ascii="仿宋" w:hAnsi="仿宋" w:eastAsia="仿宋" w:cs="仿宋"/>
          <w:color w:val="000000"/>
          <w:sz w:val="28"/>
          <w:lang w:eastAsia="zh-CN"/>
        </w:rPr>
      </w:pPr>
      <w:r>
        <w:rPr>
          <w:rFonts w:hint="eastAsia" w:ascii="仿宋" w:hAnsi="仿宋" w:eastAsia="仿宋" w:cs="仿宋"/>
          <w:color w:val="000000"/>
          <w:sz w:val="28"/>
          <w:lang w:eastAsia="zh-CN"/>
        </w:rPr>
        <w:t>法定代表人或法定代表授权委托人</w:t>
      </w:r>
      <w:r>
        <w:rPr>
          <w:rFonts w:hint="eastAsia" w:ascii="仿宋" w:hAnsi="仿宋" w:eastAsia="仿宋" w:cs="仿宋"/>
          <w:color w:val="000000"/>
          <w:sz w:val="28"/>
        </w:rPr>
        <w:t>：</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签字或盖章</w:t>
      </w:r>
      <w:r>
        <w:rPr>
          <w:rFonts w:hint="eastAsia" w:ascii="仿宋" w:hAnsi="仿宋" w:eastAsia="仿宋" w:cs="仿宋"/>
          <w:color w:val="000000"/>
          <w:sz w:val="28"/>
          <w:lang w:eastAsia="zh-CN"/>
        </w:rPr>
        <w:t>）</w:t>
      </w:r>
    </w:p>
    <w:p w14:paraId="338ACDAE">
      <w:pPr>
        <w:pStyle w:val="6"/>
        <w:rPr>
          <w:rFonts w:hint="eastAsia" w:ascii="仿宋" w:hAnsi="仿宋" w:eastAsia="仿宋" w:cs="仿宋"/>
          <w:lang w:val="en-US" w:eastAsia="zh-CN"/>
        </w:rPr>
      </w:pPr>
    </w:p>
    <w:p w14:paraId="1613381F">
      <w:pPr>
        <w:spacing w:line="360" w:lineRule="auto"/>
        <w:ind w:firstLine="560"/>
        <w:rPr>
          <w:rFonts w:hint="eastAsia" w:ascii="仿宋" w:hAnsi="仿宋" w:eastAsia="仿宋" w:cs="仿宋"/>
          <w:color w:val="000000"/>
          <w:sz w:val="28"/>
        </w:rPr>
      </w:pPr>
    </w:p>
    <w:p w14:paraId="0839035C">
      <w:pPr>
        <w:spacing w:line="360" w:lineRule="auto"/>
        <w:ind w:firstLine="4877" w:firstLineChars="1742"/>
        <w:rPr>
          <w:rFonts w:hint="eastAsia" w:ascii="仿宋" w:hAnsi="仿宋" w:eastAsia="仿宋" w:cs="仿宋"/>
          <w:color w:val="000000"/>
          <w:sz w:val="28"/>
        </w:rPr>
      </w:pPr>
      <w:r>
        <w:rPr>
          <w:rFonts w:hint="eastAsia" w:ascii="仿宋" w:hAnsi="仿宋" w:eastAsia="仿宋" w:cs="仿宋"/>
          <w:color w:val="000000"/>
          <w:sz w:val="28"/>
        </w:rPr>
        <w:t>年   月    日</w:t>
      </w:r>
    </w:p>
    <w:p w14:paraId="531F5D1A">
      <w:pPr>
        <w:pStyle w:val="3"/>
        <w:rPr>
          <w:rFonts w:hint="eastAsia" w:ascii="仿宋" w:hAnsi="仿宋" w:eastAsia="仿宋" w:cs="仿宋"/>
        </w:rPr>
      </w:pPr>
      <w:bookmarkStart w:id="80" w:name="_Toc56170394"/>
      <w:bookmarkEnd w:id="80"/>
      <w:bookmarkStart w:id="81" w:name="_Toc82497926"/>
      <w:bookmarkEnd w:id="81"/>
      <w:bookmarkStart w:id="82" w:name="_Toc9121"/>
      <w:bookmarkEnd w:id="82"/>
      <w:r>
        <w:rPr>
          <w:rFonts w:hint="eastAsia" w:ascii="仿宋" w:hAnsi="仿宋" w:eastAsia="仿宋" w:cs="仿宋"/>
        </w:rPr>
        <w:br w:type="page"/>
      </w:r>
      <w:bookmarkStart w:id="83" w:name="_Toc17662"/>
      <w:r>
        <w:rPr>
          <w:rFonts w:hint="eastAsia" w:ascii="仿宋" w:hAnsi="仿宋" w:eastAsia="仿宋" w:cs="仿宋"/>
        </w:rPr>
        <w:t>附件二、法定代表人资格证明书</w:t>
      </w:r>
      <w:bookmarkEnd w:id="83"/>
    </w:p>
    <w:p w14:paraId="4850EE43">
      <w:pPr>
        <w:spacing w:line="360" w:lineRule="auto"/>
        <w:rPr>
          <w:rFonts w:hint="eastAsia" w:ascii="仿宋" w:hAnsi="仿宋" w:eastAsia="仿宋" w:cs="仿宋"/>
          <w:color w:val="000000"/>
          <w:szCs w:val="21"/>
        </w:rPr>
      </w:pPr>
    </w:p>
    <w:p w14:paraId="44D9EC46">
      <w:pPr>
        <w:pStyle w:val="34"/>
        <w:spacing w:line="360" w:lineRule="auto"/>
        <w:ind w:firstLine="560"/>
        <w:rPr>
          <w:rFonts w:hint="eastAsia" w:ascii="仿宋" w:hAnsi="仿宋" w:eastAsia="仿宋" w:cs="仿宋"/>
          <w:color w:val="000000"/>
          <w:u w:val="single"/>
        </w:rPr>
      </w:pPr>
      <w:r>
        <w:rPr>
          <w:rFonts w:hint="eastAsia" w:ascii="仿宋" w:hAnsi="仿宋" w:eastAsia="仿宋" w:cs="仿宋"/>
          <w:color w:val="000000"/>
        </w:rPr>
        <w:t>单位名称：</w:t>
      </w:r>
      <w:r>
        <w:rPr>
          <w:rFonts w:hint="eastAsia" w:ascii="仿宋" w:hAnsi="仿宋" w:eastAsia="仿宋" w:cs="仿宋"/>
          <w:color w:val="000000"/>
          <w:u w:val="single"/>
        </w:rPr>
        <w:t xml:space="preserve">                                                 </w:t>
      </w:r>
      <w:r>
        <w:rPr>
          <w:rFonts w:hint="eastAsia" w:ascii="仿宋" w:hAnsi="仿宋" w:eastAsia="仿宋" w:cs="仿宋"/>
          <w:color w:val="000000"/>
        </w:rPr>
        <w:t>；</w:t>
      </w:r>
    </w:p>
    <w:p w14:paraId="6F5B5E41">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地    址：</w:t>
      </w:r>
      <w:r>
        <w:rPr>
          <w:rFonts w:hint="eastAsia" w:ascii="仿宋" w:hAnsi="仿宋" w:eastAsia="仿宋" w:cs="仿宋"/>
          <w:color w:val="000000"/>
          <w:u w:val="single"/>
        </w:rPr>
        <w:t xml:space="preserve">                                                 </w:t>
      </w:r>
      <w:r>
        <w:rPr>
          <w:rFonts w:hint="eastAsia" w:ascii="仿宋" w:hAnsi="仿宋" w:eastAsia="仿宋" w:cs="仿宋"/>
          <w:color w:val="000000"/>
        </w:rPr>
        <w:t>；</w:t>
      </w:r>
    </w:p>
    <w:p w14:paraId="608F91B3">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姓    名：</w:t>
      </w:r>
      <w:r>
        <w:rPr>
          <w:rFonts w:hint="eastAsia" w:ascii="仿宋" w:hAnsi="仿宋" w:eastAsia="仿宋" w:cs="仿宋"/>
          <w:color w:val="000000"/>
          <w:u w:val="single"/>
        </w:rPr>
        <w:t xml:space="preserve">           </w:t>
      </w:r>
      <w:r>
        <w:rPr>
          <w:rFonts w:hint="eastAsia" w:ascii="仿宋" w:hAnsi="仿宋" w:eastAsia="仿宋" w:cs="仿宋"/>
          <w:color w:val="000000"/>
        </w:rPr>
        <w:t>性别：</w:t>
      </w:r>
      <w:r>
        <w:rPr>
          <w:rFonts w:hint="eastAsia" w:ascii="仿宋" w:hAnsi="仿宋" w:eastAsia="仿宋" w:cs="仿宋"/>
          <w:color w:val="000000"/>
          <w:u w:val="single"/>
        </w:rPr>
        <w:t xml:space="preserve">      </w:t>
      </w:r>
      <w:r>
        <w:rPr>
          <w:rFonts w:hint="eastAsia" w:ascii="仿宋" w:hAnsi="仿宋" w:eastAsia="仿宋" w:cs="仿宋"/>
          <w:color w:val="000000"/>
        </w:rPr>
        <w:t>年龄：</w:t>
      </w:r>
      <w:r>
        <w:rPr>
          <w:rFonts w:hint="eastAsia" w:ascii="仿宋" w:hAnsi="仿宋" w:eastAsia="仿宋" w:cs="仿宋"/>
          <w:color w:val="000000"/>
          <w:u w:val="single"/>
        </w:rPr>
        <w:t xml:space="preserve">      </w:t>
      </w:r>
      <w:r>
        <w:rPr>
          <w:rFonts w:hint="eastAsia" w:ascii="仿宋" w:hAnsi="仿宋" w:eastAsia="仿宋" w:cs="仿宋"/>
          <w:color w:val="000000"/>
        </w:rPr>
        <w:t>职务：</w:t>
      </w:r>
      <w:r>
        <w:rPr>
          <w:rFonts w:hint="eastAsia" w:ascii="仿宋" w:hAnsi="仿宋" w:eastAsia="仿宋" w:cs="仿宋"/>
          <w:color w:val="000000"/>
          <w:u w:val="single"/>
        </w:rPr>
        <w:t xml:space="preserve">        </w:t>
      </w:r>
      <w:r>
        <w:rPr>
          <w:rFonts w:hint="eastAsia" w:ascii="仿宋" w:hAnsi="仿宋" w:eastAsia="仿宋" w:cs="仿宋"/>
          <w:color w:val="000000"/>
        </w:rPr>
        <w:t>；</w:t>
      </w:r>
    </w:p>
    <w:p w14:paraId="0CC10B2A">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该同志系</w:t>
      </w:r>
      <w:r>
        <w:rPr>
          <w:rFonts w:hint="eastAsia" w:ascii="仿宋" w:hAnsi="仿宋" w:eastAsia="仿宋" w:cs="仿宋"/>
          <w:color w:val="000000"/>
          <w:u w:val="single"/>
        </w:rPr>
        <w:t xml:space="preserve">                                  公司</w:t>
      </w:r>
      <w:r>
        <w:rPr>
          <w:rFonts w:hint="eastAsia" w:ascii="仿宋" w:hAnsi="仿宋" w:eastAsia="仿宋" w:cs="仿宋"/>
          <w:color w:val="000000"/>
        </w:rPr>
        <w:t>的法定代表人。为参加本项目，签署上述的单一来源响应文件、进行合同谈判、签署合同和处理与之有关的一切事务。</w:t>
      </w:r>
    </w:p>
    <w:p w14:paraId="6531C560">
      <w:pPr>
        <w:pStyle w:val="34"/>
        <w:spacing w:line="360" w:lineRule="auto"/>
        <w:ind w:firstLine="560"/>
        <w:rPr>
          <w:rFonts w:hint="eastAsia" w:ascii="仿宋" w:hAnsi="仿宋" w:eastAsia="仿宋" w:cs="仿宋"/>
          <w:color w:val="000000"/>
        </w:rPr>
      </w:pPr>
    </w:p>
    <w:p w14:paraId="55C57303">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特此证明</w:t>
      </w:r>
    </w:p>
    <w:p w14:paraId="28AAC653">
      <w:pPr>
        <w:pStyle w:val="34"/>
        <w:spacing w:line="360" w:lineRule="auto"/>
        <w:ind w:firstLine="560"/>
        <w:rPr>
          <w:rFonts w:hint="eastAsia" w:ascii="仿宋" w:hAnsi="仿宋" w:eastAsia="仿宋" w:cs="仿宋"/>
          <w:color w:val="000000"/>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1" name="圆角矩形 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7AA365A">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A&#10;mh3aAAAACgEAAA8AAAAAAAAAAQAgAAAAIgAAAGRycy9kb3ducmV2LnhtbFBLAQIUABQAAAAIAIdO&#10;4kCOSPIskwIAABAFAAAOAAAAAAAAAAEAIAAAACkBAABkcnMvZTJvRG9jLnhtbFBLBQYAAAAABgAG&#10;AFkBAAAuBgAAAAA=&#10;">
                <v:fill on="f" focussize="0,0"/>
                <v:stroke weight="1pt" color="#000000" miterlimit="8" joinstyle="miter"/>
                <v:imagedata o:title=""/>
                <o:lock v:ext="edit" aspectratio="f"/>
                <v:textbox>
                  <w:txbxContent>
                    <w:p w14:paraId="07AA365A">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2"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33F575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u&#10;yI3YAAAACQEAAA8AAAAAAAAAAQAgAAAAIgAAAGRycy9kb3ducmV2LnhtbFBLAQIUABQAAAAIAIdO&#10;4kC7N8P5lQIAABEFAAAOAAAAAAAAAAEAIAAAACcBAABkcnMvZTJvRG9jLnhtbFBLBQYAAAAABgAG&#10;AFkBAAAuBgAAAAA=&#10;">
                <v:fill on="f" focussize="0,0"/>
                <v:stroke weight="1pt" color="#000000" miterlimit="8" joinstyle="miter"/>
                <v:imagedata o:title=""/>
                <o:lock v:ext="edit" aspectratio="f"/>
                <v:textbox>
                  <w:txbxContent>
                    <w:p w14:paraId="033F575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v:textbox>
              </v:roundrect>
            </w:pict>
          </mc:Fallback>
        </mc:AlternateContent>
      </w:r>
    </w:p>
    <w:p w14:paraId="379F563A">
      <w:pPr>
        <w:pStyle w:val="34"/>
        <w:spacing w:line="360" w:lineRule="auto"/>
        <w:ind w:firstLine="560"/>
        <w:rPr>
          <w:rFonts w:hint="eastAsia" w:ascii="仿宋" w:hAnsi="仿宋" w:eastAsia="仿宋" w:cs="仿宋"/>
          <w:color w:val="000000"/>
        </w:rPr>
      </w:pPr>
    </w:p>
    <w:p w14:paraId="1B06C9F1">
      <w:pPr>
        <w:pStyle w:val="34"/>
        <w:spacing w:line="360" w:lineRule="auto"/>
        <w:ind w:firstLine="560"/>
        <w:rPr>
          <w:rFonts w:hint="eastAsia" w:ascii="仿宋" w:hAnsi="仿宋" w:eastAsia="仿宋" w:cs="仿宋"/>
          <w:color w:val="000000"/>
        </w:rPr>
      </w:pPr>
    </w:p>
    <w:p w14:paraId="0EC3A8A5">
      <w:pPr>
        <w:pStyle w:val="34"/>
        <w:spacing w:line="360" w:lineRule="auto"/>
        <w:ind w:firstLine="560"/>
        <w:rPr>
          <w:rFonts w:hint="eastAsia" w:ascii="仿宋" w:hAnsi="仿宋" w:eastAsia="仿宋" w:cs="仿宋"/>
          <w:color w:val="000000"/>
        </w:rPr>
      </w:pPr>
    </w:p>
    <w:p w14:paraId="1217C6FE">
      <w:pPr>
        <w:pStyle w:val="34"/>
        <w:spacing w:line="360" w:lineRule="auto"/>
        <w:ind w:firstLine="560"/>
        <w:rPr>
          <w:rFonts w:hint="eastAsia" w:ascii="仿宋" w:hAnsi="仿宋" w:eastAsia="仿宋" w:cs="仿宋"/>
          <w:color w:val="000000"/>
        </w:rPr>
      </w:pPr>
    </w:p>
    <w:p w14:paraId="4D23CAC8">
      <w:pPr>
        <w:pStyle w:val="34"/>
        <w:spacing w:line="360" w:lineRule="auto"/>
        <w:ind w:firstLine="560"/>
        <w:rPr>
          <w:rFonts w:hint="eastAsia" w:ascii="仿宋" w:hAnsi="仿宋" w:eastAsia="仿宋" w:cs="仿宋"/>
          <w:color w:val="000000"/>
        </w:rPr>
      </w:pPr>
    </w:p>
    <w:p w14:paraId="2F73D3E8">
      <w:pPr>
        <w:pStyle w:val="34"/>
        <w:spacing w:line="360" w:lineRule="auto"/>
        <w:ind w:firstLine="560"/>
        <w:rPr>
          <w:rFonts w:hint="eastAsia" w:ascii="仿宋" w:hAnsi="仿宋" w:eastAsia="仿宋" w:cs="仿宋"/>
          <w:color w:val="000000"/>
        </w:rPr>
      </w:pPr>
    </w:p>
    <w:p w14:paraId="52A7DECD">
      <w:pPr>
        <w:pStyle w:val="34"/>
        <w:spacing w:line="360" w:lineRule="auto"/>
        <w:ind w:firstLine="4200" w:firstLineChars="1500"/>
        <w:rPr>
          <w:rFonts w:hint="eastAsia" w:ascii="仿宋" w:hAnsi="仿宋" w:eastAsia="仿宋" w:cs="仿宋"/>
          <w:color w:val="000000"/>
        </w:rPr>
      </w:pPr>
      <w:r>
        <w:rPr>
          <w:rFonts w:hint="eastAsia" w:ascii="仿宋" w:hAnsi="仿宋" w:eastAsia="仿宋" w:cs="仿宋"/>
          <w:color w:val="000000"/>
        </w:rPr>
        <w:t>供应商：</w:t>
      </w:r>
      <w:r>
        <w:rPr>
          <w:rFonts w:hint="eastAsia" w:ascii="仿宋" w:hAnsi="仿宋" w:eastAsia="仿宋" w:cs="仿宋"/>
          <w:color w:val="000000"/>
          <w:u w:val="single"/>
        </w:rPr>
        <w:t xml:space="preserve">                     </w:t>
      </w:r>
      <w:r>
        <w:rPr>
          <w:rFonts w:hint="eastAsia" w:ascii="仿宋" w:hAnsi="仿宋" w:eastAsia="仿宋" w:cs="仿宋"/>
          <w:color w:val="000000"/>
        </w:rPr>
        <w:t>（公章）</w:t>
      </w:r>
    </w:p>
    <w:p w14:paraId="126932C2">
      <w:pPr>
        <w:pStyle w:val="34"/>
        <w:spacing w:line="360" w:lineRule="auto"/>
        <w:ind w:firstLine="4200" w:firstLineChars="1500"/>
        <w:rPr>
          <w:rFonts w:hint="eastAsia" w:ascii="仿宋" w:hAnsi="仿宋" w:eastAsia="仿宋" w:cs="仿宋"/>
          <w:color w:val="000000"/>
          <w:u w:val="none"/>
          <w:lang w:eastAsia="zh-CN"/>
        </w:rPr>
      </w:pPr>
      <w:r>
        <w:rPr>
          <w:rFonts w:hint="eastAsia" w:ascii="仿宋" w:hAnsi="仿宋" w:eastAsia="仿宋" w:cs="仿宋"/>
          <w:color w:val="000000"/>
        </w:rPr>
        <w:t>法定代表人：</w:t>
      </w:r>
      <w:r>
        <w:rPr>
          <w:rFonts w:hint="eastAsia" w:ascii="仿宋" w:hAnsi="仿宋" w:eastAsia="仿宋" w:cs="仿宋"/>
          <w:color w:val="000000"/>
          <w:u w:val="single"/>
        </w:rPr>
        <w:t xml:space="preserve">              </w:t>
      </w:r>
      <w:r>
        <w:rPr>
          <w:rFonts w:hint="eastAsia" w:ascii="仿宋" w:hAnsi="仿宋" w:eastAsia="仿宋" w:cs="仿宋"/>
          <w:color w:val="000000"/>
          <w:u w:val="none"/>
          <w:lang w:eastAsia="zh-CN"/>
        </w:rPr>
        <w:t>（</w:t>
      </w:r>
      <w:r>
        <w:rPr>
          <w:rFonts w:hint="eastAsia" w:ascii="仿宋" w:hAnsi="仿宋" w:eastAsia="仿宋" w:cs="仿宋"/>
          <w:color w:val="000000"/>
          <w:sz w:val="28"/>
          <w:u w:val="none"/>
          <w:lang w:val="en-US" w:eastAsia="zh-CN"/>
        </w:rPr>
        <w:t>签字或盖章</w:t>
      </w:r>
      <w:r>
        <w:rPr>
          <w:rFonts w:hint="eastAsia" w:ascii="仿宋" w:hAnsi="仿宋" w:eastAsia="仿宋" w:cs="仿宋"/>
          <w:color w:val="000000"/>
          <w:u w:val="none"/>
          <w:lang w:eastAsia="zh-CN"/>
        </w:rPr>
        <w:t>）</w:t>
      </w:r>
    </w:p>
    <w:p w14:paraId="310E77F4">
      <w:pPr>
        <w:pStyle w:val="34"/>
        <w:spacing w:line="360" w:lineRule="auto"/>
        <w:ind w:firstLine="4200" w:firstLineChars="1500"/>
        <w:rPr>
          <w:rFonts w:hint="eastAsia" w:ascii="仿宋" w:hAnsi="仿宋" w:eastAsia="仿宋" w:cs="仿宋"/>
          <w:color w:val="000000"/>
        </w:rPr>
      </w:pPr>
      <w:r>
        <w:rPr>
          <w:rFonts w:hint="eastAsia" w:ascii="仿宋" w:hAnsi="仿宋" w:eastAsia="仿宋" w:cs="仿宋"/>
          <w:color w:val="000000"/>
        </w:rPr>
        <w:t>日  期：</w:t>
      </w:r>
      <w:r>
        <w:rPr>
          <w:rFonts w:hint="eastAsia" w:ascii="仿宋" w:hAnsi="仿宋" w:eastAsia="仿宋" w:cs="仿宋"/>
          <w:color w:val="000000"/>
          <w:u w:val="single"/>
        </w:rPr>
        <w:t xml:space="preserve">       </w:t>
      </w:r>
      <w:r>
        <w:rPr>
          <w:rFonts w:hint="eastAsia" w:ascii="仿宋" w:hAnsi="仿宋" w:eastAsia="仿宋" w:cs="仿宋"/>
          <w:color w:val="000000"/>
        </w:rPr>
        <w:t>年</w:t>
      </w:r>
      <w:r>
        <w:rPr>
          <w:rFonts w:hint="eastAsia" w:ascii="仿宋" w:hAnsi="仿宋" w:eastAsia="仿宋" w:cs="仿宋"/>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rPr>
        <w:t>日</w:t>
      </w:r>
    </w:p>
    <w:p w14:paraId="2A4DEAC0">
      <w:pPr>
        <w:pStyle w:val="3"/>
        <w:spacing w:line="360" w:lineRule="auto"/>
        <w:rPr>
          <w:rFonts w:hint="eastAsia" w:ascii="仿宋" w:hAnsi="仿宋" w:eastAsia="仿宋" w:cs="仿宋"/>
        </w:rPr>
      </w:pPr>
      <w:bookmarkStart w:id="84" w:name="_Toc8289"/>
      <w:bookmarkEnd w:id="84"/>
      <w:bookmarkStart w:id="85" w:name="_Toc56170395"/>
      <w:bookmarkEnd w:id="85"/>
      <w:bookmarkStart w:id="86" w:name="_Toc82497927"/>
      <w:bookmarkEnd w:id="86"/>
      <w:r>
        <w:rPr>
          <w:rFonts w:hint="eastAsia" w:ascii="仿宋" w:hAnsi="仿宋" w:eastAsia="仿宋" w:cs="仿宋"/>
        </w:rPr>
        <w:br w:type="page"/>
      </w:r>
      <w:bookmarkStart w:id="87" w:name="_Toc27054"/>
      <w:r>
        <w:rPr>
          <w:rFonts w:hint="eastAsia" w:ascii="仿宋" w:hAnsi="仿宋" w:eastAsia="仿宋" w:cs="仿宋"/>
        </w:rPr>
        <w:t>附件三、法定代表人授权委托书</w:t>
      </w:r>
      <w:bookmarkEnd w:id="87"/>
    </w:p>
    <w:p w14:paraId="0D8F22DA">
      <w:pPr>
        <w:spacing w:line="360" w:lineRule="auto"/>
        <w:rPr>
          <w:rFonts w:hint="eastAsia" w:ascii="仿宋" w:hAnsi="仿宋" w:eastAsia="仿宋" w:cs="仿宋"/>
          <w:color w:val="000000"/>
          <w:szCs w:val="21"/>
        </w:rPr>
      </w:pPr>
    </w:p>
    <w:p w14:paraId="23DDCB18">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本授权委托书声明：我</w:t>
      </w:r>
      <w:r>
        <w:rPr>
          <w:rFonts w:hint="eastAsia" w:ascii="仿宋" w:hAnsi="仿宋" w:eastAsia="仿宋" w:cs="仿宋"/>
          <w:color w:val="000000"/>
          <w:u w:val="single"/>
        </w:rPr>
        <w:t xml:space="preserve">           </w:t>
      </w:r>
      <w:r>
        <w:rPr>
          <w:rFonts w:hint="eastAsia" w:ascii="仿宋" w:hAnsi="仿宋" w:eastAsia="仿宋" w:cs="仿宋"/>
          <w:color w:val="000000"/>
        </w:rPr>
        <w:t>（姓名）系</w:t>
      </w:r>
      <w:r>
        <w:rPr>
          <w:rFonts w:hint="eastAsia" w:ascii="仿宋" w:hAnsi="仿宋" w:eastAsia="仿宋" w:cs="仿宋"/>
          <w:color w:val="000000"/>
          <w:u w:val="single"/>
        </w:rPr>
        <w:t xml:space="preserve">                  </w:t>
      </w:r>
      <w:r>
        <w:rPr>
          <w:rFonts w:hint="eastAsia" w:ascii="仿宋" w:hAnsi="仿宋" w:eastAsia="仿宋" w:cs="仿宋"/>
          <w:color w:val="000000"/>
        </w:rPr>
        <w:t>（供应商名称）的法定代表人，现授权委托</w:t>
      </w:r>
      <w:r>
        <w:rPr>
          <w:rFonts w:hint="eastAsia" w:ascii="仿宋" w:hAnsi="仿宋" w:eastAsia="仿宋" w:cs="仿宋"/>
          <w:color w:val="000000"/>
          <w:u w:val="single"/>
        </w:rPr>
        <w:t xml:space="preserve">                        </w:t>
      </w:r>
      <w:r>
        <w:rPr>
          <w:rFonts w:hint="eastAsia" w:ascii="仿宋" w:hAnsi="仿宋" w:eastAsia="仿宋" w:cs="仿宋"/>
          <w:color w:val="000000"/>
        </w:rPr>
        <w:t>（单位名称）的</w:t>
      </w:r>
      <w:r>
        <w:rPr>
          <w:rFonts w:hint="eastAsia" w:ascii="仿宋" w:hAnsi="仿宋" w:eastAsia="仿宋" w:cs="仿宋"/>
          <w:color w:val="000000"/>
          <w:u w:val="single"/>
        </w:rPr>
        <w:t xml:space="preserve">              </w:t>
      </w:r>
      <w:r>
        <w:rPr>
          <w:rFonts w:hint="eastAsia" w:ascii="仿宋" w:hAnsi="仿宋" w:eastAsia="仿宋" w:cs="仿宋"/>
          <w:color w:val="000000"/>
        </w:rPr>
        <w:t>（姓名）为我公司签署本项目单一来源响应文件的法定代表人授权委托代理人，全权代表我单位处理本次投标的有关事宜。代理人所签署的一切有关文件，我单位均予承认。</w:t>
      </w:r>
    </w:p>
    <w:p w14:paraId="2E2492B1">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 xml:space="preserve"> 代理人无转委托权，特此声明！</w:t>
      </w:r>
    </w:p>
    <w:p w14:paraId="1DE45180">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90805</wp:posOffset>
                </wp:positionV>
                <wp:extent cx="2710180" cy="1588770"/>
                <wp:effectExtent l="6350" t="6350" r="7620" b="24130"/>
                <wp:wrapNone/>
                <wp:docPr id="3"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927777B">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 o:spid="_x0000_s1026" o:spt="2" style="position:absolute;left:0pt;margin-left:32.05pt;margin-top:7.15pt;height:125.1pt;width:213.4pt;z-index:251662336;v-text-anchor:middle;mso-width-relative:page;mso-height-relative:page;" filled="f" stroked="t" coordsize="21600,21600" arcsize="0.0403703703703704" o:gfxdata="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urvQ2AAAAAkBAAAPAAAAAAAAAAEAIAAAACIAAABkcnMvZG93bnJldi54bWxQSwECFAAUAAAACACH&#10;TuJAGqi0+ZYCAAARBQAADgAAAAAAAAABACAAAAAnAQAAZHJzL2Uyb0RvYy54bWxQSwUGAAAAAAYA&#10;BgBZAQAALwYAAAAA&#10;">
                <v:fill on="f" focussize="0,0"/>
                <v:stroke weight="1pt" color="#000000" miterlimit="8" joinstyle="miter"/>
                <v:imagedata o:title=""/>
                <o:lock v:ext="edit" aspectratio="f"/>
                <v:textbox>
                  <w:txbxContent>
                    <w:p w14:paraId="5927777B">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3263265</wp:posOffset>
                </wp:positionH>
                <wp:positionV relativeFrom="paragraph">
                  <wp:posOffset>90805</wp:posOffset>
                </wp:positionV>
                <wp:extent cx="2710180" cy="1588770"/>
                <wp:effectExtent l="6350" t="6350" r="7620" b="24130"/>
                <wp:wrapNone/>
                <wp:docPr id="4"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1D1AB7D">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256.95pt;margin-top:7.15pt;height:125.1pt;width:213.4pt;z-index:251663360;v-text-anchor:middle;mso-width-relative:page;mso-height-relative:page;" filled="f" stroked="t" coordsize="21600,21600" arcsize="0.0403703703703704" o:gfxdata="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M70PaAAAACgEAAA8AAAAAAAAAAQAgAAAAIgAAAGRycy9kb3ducmV2LnhtbFBLAQIUABQAAAAI&#10;AIdO4kCGJctTlgIAABEFAAAOAAAAAAAAAAEAIAAAACkBAABkcnMvZTJvRG9jLnhtbFBLBQYAAAAA&#10;BgAGAFkBAAAxBgAAAAA=&#10;">
                <v:fill on="f" focussize="0,0"/>
                <v:stroke weight="1pt" color="#000000" miterlimit="8" joinstyle="miter"/>
                <v:imagedata o:title=""/>
                <o:lock v:ext="edit" aspectratio="f"/>
                <v:textbox>
                  <w:txbxContent>
                    <w:p w14:paraId="61D1AB7D">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v:textbox>
              </v:roundrect>
            </w:pict>
          </mc:Fallback>
        </mc:AlternateContent>
      </w:r>
    </w:p>
    <w:p w14:paraId="033C14FF">
      <w:pPr>
        <w:pStyle w:val="34"/>
        <w:spacing w:line="360" w:lineRule="auto"/>
        <w:ind w:firstLine="560"/>
        <w:rPr>
          <w:rFonts w:hint="eastAsia" w:ascii="仿宋" w:hAnsi="仿宋" w:eastAsia="仿宋" w:cs="仿宋"/>
          <w:color w:val="000000"/>
        </w:rPr>
      </w:pPr>
    </w:p>
    <w:p w14:paraId="25BCB0F6">
      <w:pPr>
        <w:pStyle w:val="34"/>
        <w:spacing w:line="360" w:lineRule="auto"/>
        <w:ind w:firstLine="560"/>
        <w:rPr>
          <w:rFonts w:hint="eastAsia" w:ascii="仿宋" w:hAnsi="仿宋" w:eastAsia="仿宋" w:cs="仿宋"/>
          <w:color w:val="000000"/>
        </w:rPr>
      </w:pPr>
    </w:p>
    <w:p w14:paraId="3E899657">
      <w:pPr>
        <w:pStyle w:val="34"/>
        <w:spacing w:line="360" w:lineRule="auto"/>
        <w:ind w:firstLine="560"/>
        <w:rPr>
          <w:rFonts w:hint="eastAsia" w:ascii="仿宋" w:hAnsi="仿宋" w:eastAsia="仿宋" w:cs="仿宋"/>
          <w:color w:val="000000"/>
        </w:rPr>
      </w:pPr>
    </w:p>
    <w:p w14:paraId="716D78E3">
      <w:pPr>
        <w:pStyle w:val="34"/>
        <w:spacing w:line="360" w:lineRule="auto"/>
        <w:ind w:firstLine="560"/>
        <w:rPr>
          <w:rFonts w:hint="eastAsia" w:ascii="仿宋" w:hAnsi="仿宋" w:eastAsia="仿宋" w:cs="仿宋"/>
          <w:color w:val="000000"/>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417830</wp:posOffset>
                </wp:positionH>
                <wp:positionV relativeFrom="paragraph">
                  <wp:posOffset>210185</wp:posOffset>
                </wp:positionV>
                <wp:extent cx="2710180" cy="1588770"/>
                <wp:effectExtent l="6350" t="6350" r="7620" b="24130"/>
                <wp:wrapNone/>
                <wp:docPr id="5"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4DD3EA1">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32.9pt;margin-top:16.55pt;height:125.1pt;width:213.4pt;z-index:251664384;v-text-anchor:middle;mso-width-relative:page;mso-height-relative:page;" filled="f" stroked="t" coordsize="21600,21600" arcsize="0.0403703703703704" o:gfxdata="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pInIdkAAAAJAQAADwAAAAAAAAABACAAAAAiAAAAZHJzL2Rvd25yZXYueG1sUEsBAhQAFAAAAAgA&#10;h07iQAk/EZ2WAgAAEQUAAA4AAAAAAAAAAQAgAAAAKAEAAGRycy9lMm9Eb2MueG1sUEsFBgAAAAAG&#10;AAYAWQEAADAGAAAAAA==&#10;">
                <v:fill on="f" focussize="0,0"/>
                <v:stroke weight="1pt" color="#000000" miterlimit="8" joinstyle="miter"/>
                <v:imagedata o:title=""/>
                <o:lock v:ext="edit" aspectratio="f"/>
                <v:textbox>
                  <w:txbxContent>
                    <w:p w14:paraId="54DD3EA1">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3274060</wp:posOffset>
                </wp:positionH>
                <wp:positionV relativeFrom="paragraph">
                  <wp:posOffset>220980</wp:posOffset>
                </wp:positionV>
                <wp:extent cx="2710180" cy="1588770"/>
                <wp:effectExtent l="6350" t="6350" r="7620" b="24130"/>
                <wp:wrapNone/>
                <wp:docPr id="6"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10DA8E1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257.8pt;margin-top:17.4pt;height:125.1pt;width:213.4pt;z-index:251665408;v-text-anchor:middle;mso-width-relative:page;mso-height-relative:page;" filled="f" stroked="t" coordsize="21600,21600" arcsize="0.0403703703703704" o:gfxdata="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Sd6w/ZAAAACgEAAA8AAAAAAAAAAQAgAAAAIgAAAGRycy9kb3ducmV2LnhtbFBLAQIUABQAAAAI&#10;AIdO4kAVkPJClwIAABEFAAAOAAAAAAAAAAEAIAAAACgBAABkcnMvZTJvRG9jLnhtbFBLBQYAAAAA&#10;BgAGAFkBAAAxBgAAAAA=&#10;">
                <v:fill on="f" focussize="0,0"/>
                <v:stroke weight="1pt" color="#000000" miterlimit="8" joinstyle="miter"/>
                <v:imagedata o:title=""/>
                <o:lock v:ext="edit" aspectratio="f"/>
                <v:textbox>
                  <w:txbxContent>
                    <w:p w14:paraId="10DA8E13">
                      <w:pPr>
                        <w:pStyle w:val="34"/>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v:textbox>
              </v:roundrect>
            </w:pict>
          </mc:Fallback>
        </mc:AlternateContent>
      </w:r>
    </w:p>
    <w:p w14:paraId="07C30711">
      <w:pPr>
        <w:pStyle w:val="34"/>
        <w:spacing w:line="360" w:lineRule="auto"/>
        <w:ind w:firstLine="560"/>
        <w:rPr>
          <w:rFonts w:hint="eastAsia" w:ascii="仿宋" w:hAnsi="仿宋" w:eastAsia="仿宋" w:cs="仿宋"/>
          <w:color w:val="000000"/>
        </w:rPr>
      </w:pPr>
    </w:p>
    <w:p w14:paraId="272DB38A">
      <w:pPr>
        <w:pStyle w:val="34"/>
        <w:spacing w:line="360" w:lineRule="auto"/>
        <w:ind w:firstLine="560"/>
        <w:rPr>
          <w:rFonts w:hint="eastAsia" w:ascii="仿宋" w:hAnsi="仿宋" w:eastAsia="仿宋" w:cs="仿宋"/>
          <w:color w:val="000000"/>
        </w:rPr>
      </w:pPr>
    </w:p>
    <w:p w14:paraId="524F1DFF">
      <w:pPr>
        <w:pStyle w:val="34"/>
        <w:spacing w:line="360" w:lineRule="auto"/>
        <w:ind w:firstLine="560"/>
        <w:rPr>
          <w:rFonts w:hint="eastAsia" w:ascii="仿宋" w:hAnsi="仿宋" w:eastAsia="仿宋" w:cs="仿宋"/>
          <w:color w:val="000000"/>
        </w:rPr>
      </w:pPr>
    </w:p>
    <w:p w14:paraId="5704856A">
      <w:pPr>
        <w:pStyle w:val="34"/>
        <w:spacing w:line="360" w:lineRule="auto"/>
        <w:ind w:firstLine="560"/>
        <w:rPr>
          <w:rFonts w:hint="eastAsia" w:ascii="仿宋" w:hAnsi="仿宋" w:eastAsia="仿宋" w:cs="仿宋"/>
          <w:color w:val="000000"/>
        </w:rPr>
      </w:pPr>
    </w:p>
    <w:p w14:paraId="383101B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代理人：姓名：</w:t>
      </w:r>
      <w:r>
        <w:rPr>
          <w:rFonts w:hint="eastAsia" w:ascii="仿宋" w:hAnsi="仿宋" w:eastAsia="仿宋" w:cs="仿宋"/>
          <w:color w:val="000000"/>
          <w:u w:val="single"/>
        </w:rPr>
        <w:t xml:space="preserve">           </w:t>
      </w:r>
      <w:r>
        <w:rPr>
          <w:rFonts w:hint="eastAsia" w:ascii="仿宋" w:hAnsi="仿宋" w:eastAsia="仿宋" w:cs="仿宋"/>
          <w:color w:val="000000"/>
        </w:rPr>
        <w:t>性别：</w:t>
      </w:r>
      <w:r>
        <w:rPr>
          <w:rFonts w:hint="eastAsia" w:ascii="仿宋" w:hAnsi="仿宋" w:eastAsia="仿宋" w:cs="仿宋"/>
          <w:color w:val="000000"/>
          <w:u w:val="single"/>
        </w:rPr>
        <w:t xml:space="preserve">       </w:t>
      </w:r>
      <w:r>
        <w:rPr>
          <w:rFonts w:hint="eastAsia" w:ascii="仿宋" w:hAnsi="仿宋" w:eastAsia="仿宋" w:cs="仿宋"/>
          <w:color w:val="000000"/>
        </w:rPr>
        <w:t>年龄：</w:t>
      </w:r>
      <w:r>
        <w:rPr>
          <w:rFonts w:hint="eastAsia" w:ascii="仿宋" w:hAnsi="仿宋" w:eastAsia="仿宋" w:cs="仿宋"/>
          <w:color w:val="000000"/>
          <w:u w:val="single"/>
        </w:rPr>
        <w:t xml:space="preserve">          </w:t>
      </w:r>
      <w:r>
        <w:rPr>
          <w:rFonts w:hint="eastAsia" w:ascii="仿宋" w:hAnsi="仿宋" w:eastAsia="仿宋" w:cs="仿宋"/>
          <w:color w:val="000000"/>
        </w:rPr>
        <w:t>；</w:t>
      </w:r>
    </w:p>
    <w:p w14:paraId="5376CD12">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身份证号码：</w:t>
      </w:r>
      <w:r>
        <w:rPr>
          <w:rFonts w:hint="eastAsia" w:ascii="仿宋" w:hAnsi="仿宋" w:eastAsia="仿宋" w:cs="仿宋"/>
          <w:color w:val="000000"/>
          <w:u w:val="single"/>
        </w:rPr>
        <w:t xml:space="preserve">                        </w:t>
      </w:r>
      <w:r>
        <w:rPr>
          <w:rFonts w:hint="eastAsia" w:ascii="仿宋" w:hAnsi="仿宋" w:eastAsia="仿宋" w:cs="仿宋"/>
          <w:color w:val="000000"/>
        </w:rPr>
        <w:t>职务：</w:t>
      </w:r>
      <w:r>
        <w:rPr>
          <w:rFonts w:hint="eastAsia" w:ascii="仿宋" w:hAnsi="仿宋" w:eastAsia="仿宋" w:cs="仿宋"/>
          <w:color w:val="000000"/>
          <w:u w:val="single"/>
        </w:rPr>
        <w:t xml:space="preserve">            </w:t>
      </w:r>
      <w:r>
        <w:rPr>
          <w:rFonts w:hint="eastAsia" w:ascii="仿宋" w:hAnsi="仿宋" w:eastAsia="仿宋" w:cs="仿宋"/>
          <w:color w:val="000000"/>
        </w:rPr>
        <w:t>；</w:t>
      </w:r>
    </w:p>
    <w:p w14:paraId="4B4D6D3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供应商：</w:t>
      </w:r>
      <w:r>
        <w:rPr>
          <w:rFonts w:hint="eastAsia" w:ascii="仿宋" w:hAnsi="仿宋" w:eastAsia="仿宋" w:cs="仿宋"/>
          <w:color w:val="000000"/>
          <w:u w:val="single"/>
        </w:rPr>
        <w:t xml:space="preserve">                          </w:t>
      </w:r>
      <w:r>
        <w:rPr>
          <w:rFonts w:hint="eastAsia" w:ascii="仿宋" w:hAnsi="仿宋" w:eastAsia="仿宋" w:cs="仿宋"/>
          <w:color w:val="000000"/>
        </w:rPr>
        <w:t>（盖章）</w:t>
      </w:r>
    </w:p>
    <w:p w14:paraId="731E9CD8">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法定代表人：</w:t>
      </w:r>
      <w:r>
        <w:rPr>
          <w:rFonts w:hint="eastAsia" w:ascii="仿宋" w:hAnsi="仿宋" w:eastAsia="仿宋" w:cs="仿宋"/>
          <w:color w:val="000000"/>
          <w:u w:val="single"/>
        </w:rPr>
        <w:t xml:space="preserve">                      </w:t>
      </w:r>
      <w:r>
        <w:rPr>
          <w:rFonts w:hint="eastAsia" w:ascii="仿宋" w:hAnsi="仿宋" w:eastAsia="仿宋" w:cs="仿宋"/>
          <w:color w:val="000000"/>
        </w:rPr>
        <w:t>（</w:t>
      </w:r>
      <w:r>
        <w:rPr>
          <w:rFonts w:hint="eastAsia" w:ascii="仿宋" w:hAnsi="仿宋" w:eastAsia="仿宋" w:cs="仿宋"/>
          <w:color w:val="000000"/>
          <w:lang w:val="en-US" w:eastAsia="zh-CN"/>
        </w:rPr>
        <w:t>签字或盖章</w:t>
      </w:r>
      <w:r>
        <w:rPr>
          <w:rFonts w:hint="eastAsia" w:ascii="仿宋" w:hAnsi="仿宋" w:eastAsia="仿宋" w:cs="仿宋"/>
          <w:color w:val="000000"/>
        </w:rPr>
        <w:t>）</w:t>
      </w:r>
    </w:p>
    <w:p w14:paraId="7A67DA5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授权委托日期：</w:t>
      </w:r>
      <w:r>
        <w:rPr>
          <w:rFonts w:hint="eastAsia" w:ascii="仿宋" w:hAnsi="仿宋" w:eastAsia="仿宋" w:cs="仿宋"/>
          <w:color w:val="000000"/>
          <w:u w:val="single"/>
        </w:rPr>
        <w:t xml:space="preserve">         </w:t>
      </w:r>
      <w:r>
        <w:rPr>
          <w:rFonts w:hint="eastAsia" w:ascii="仿宋" w:hAnsi="仿宋" w:eastAsia="仿宋" w:cs="仿宋"/>
          <w:color w:val="000000"/>
        </w:rPr>
        <w:t>年</w:t>
      </w:r>
      <w:r>
        <w:rPr>
          <w:rFonts w:hint="eastAsia" w:ascii="仿宋" w:hAnsi="仿宋" w:eastAsia="仿宋" w:cs="仿宋"/>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rPr>
        <w:t>日</w:t>
      </w:r>
    </w:p>
    <w:p w14:paraId="3E221B7D">
      <w:pPr>
        <w:pStyle w:val="3"/>
        <w:rPr>
          <w:rFonts w:hint="eastAsia" w:ascii="仿宋" w:hAnsi="仿宋" w:eastAsia="仿宋" w:cs="仿宋"/>
        </w:rPr>
      </w:pPr>
      <w:bookmarkStart w:id="88" w:name="_Toc56170396"/>
      <w:bookmarkEnd w:id="88"/>
      <w:bookmarkStart w:id="89" w:name="_Toc82497928"/>
      <w:bookmarkEnd w:id="89"/>
      <w:bookmarkStart w:id="90" w:name="_Toc7822"/>
      <w:bookmarkEnd w:id="90"/>
      <w:r>
        <w:rPr>
          <w:rFonts w:hint="eastAsia" w:ascii="仿宋" w:hAnsi="仿宋" w:eastAsia="仿宋" w:cs="仿宋"/>
        </w:rPr>
        <w:br w:type="page"/>
      </w:r>
      <w:bookmarkStart w:id="91" w:name="_Toc15750"/>
      <w:r>
        <w:rPr>
          <w:rFonts w:hint="eastAsia" w:ascii="仿宋" w:hAnsi="仿宋" w:eastAsia="仿宋" w:cs="仿宋"/>
        </w:rPr>
        <w:t>附件四、关于单一来源响应文件的声明函</w:t>
      </w:r>
      <w:bookmarkEnd w:id="91"/>
    </w:p>
    <w:p w14:paraId="2C1A0CFD">
      <w:pPr>
        <w:adjustRightInd w:val="0"/>
        <w:snapToGrid w:val="0"/>
        <w:spacing w:line="360" w:lineRule="auto"/>
        <w:ind w:firstLine="560" w:firstLineChars="200"/>
        <w:rPr>
          <w:rFonts w:hint="eastAsia" w:ascii="仿宋" w:hAnsi="仿宋" w:eastAsia="仿宋" w:cs="仿宋"/>
          <w:color w:val="000000"/>
          <w:sz w:val="28"/>
          <w:szCs w:val="28"/>
        </w:rPr>
      </w:pPr>
    </w:p>
    <w:p w14:paraId="7192922A">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致：中科高盛咨询集团有限公司：</w:t>
      </w:r>
    </w:p>
    <w:p w14:paraId="70FA154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为响应你方</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rPr>
        <w:t>年</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rPr>
        <w:t>日的投标邀请，下述签字人自愿参与</w:t>
      </w:r>
      <w:r>
        <w:rPr>
          <w:rFonts w:hint="eastAsia" w:ascii="仿宋" w:hAnsi="仿宋" w:eastAsia="仿宋" w:cs="仿宋"/>
          <w:color w:val="000000"/>
          <w:lang w:val="en-US" w:eastAsia="zh-CN"/>
        </w:rPr>
        <w:t>谈判</w:t>
      </w:r>
      <w:r>
        <w:rPr>
          <w:rFonts w:hint="eastAsia" w:ascii="仿宋" w:hAnsi="仿宋" w:eastAsia="仿宋" w:cs="仿宋"/>
          <w:color w:val="000000"/>
        </w:rPr>
        <w:t>，提供单一来源采购文件技术需求书中规定的项目，提交下述文件并声明全部说明是真实的和正确的。下述签字人将就下述文件中存在的虚假或不真实内容对招标代理机构和采购人承担法律责任。</w:t>
      </w:r>
    </w:p>
    <w:p w14:paraId="1C59F4A0">
      <w:pPr>
        <w:pStyle w:val="34"/>
        <w:spacing w:line="360" w:lineRule="auto"/>
        <w:ind w:firstLine="560"/>
        <w:rPr>
          <w:rFonts w:hint="eastAsia" w:ascii="仿宋" w:hAnsi="仿宋" w:eastAsia="仿宋" w:cs="仿宋"/>
          <w:color w:val="000000"/>
          <w:lang w:eastAsia="zh-CN"/>
        </w:rPr>
      </w:pPr>
      <w:r>
        <w:rPr>
          <w:rFonts w:hint="eastAsia" w:ascii="仿宋" w:hAnsi="仿宋" w:eastAsia="仿宋" w:cs="仿宋"/>
          <w:color w:val="000000"/>
        </w:rPr>
        <w:t>下述签字人证明本资格文件中的内容是真实的和正确的</w:t>
      </w:r>
      <w:r>
        <w:rPr>
          <w:rFonts w:hint="eastAsia" w:ascii="仿宋" w:hAnsi="仿宋" w:eastAsia="仿宋" w:cs="仿宋"/>
          <w:color w:val="000000"/>
          <w:lang w:eastAsia="zh-CN"/>
        </w:rPr>
        <w:t>。</w:t>
      </w:r>
    </w:p>
    <w:p w14:paraId="0F79D46B">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下述签字人知道，采购人可能要求其提供进一步的资格材料并同意按采购人的要求提交。</w:t>
      </w:r>
    </w:p>
    <w:p w14:paraId="4DDF5A8B">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 xml:space="preserve">供应商：    （公章）        </w:t>
      </w:r>
    </w:p>
    <w:p w14:paraId="61534D51">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lang w:eastAsia="zh-CN"/>
        </w:rPr>
        <w:t>法定代表人或法定代表授权委托人</w:t>
      </w:r>
      <w:r>
        <w:rPr>
          <w:rFonts w:hint="eastAsia" w:ascii="仿宋" w:hAnsi="仿宋" w:eastAsia="仿宋" w:cs="仿宋"/>
          <w:color w:val="000000"/>
        </w:rPr>
        <w:t xml:space="preserve">：      （签字或盖章）       </w:t>
      </w:r>
    </w:p>
    <w:p w14:paraId="5DD1005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日期：   年   月   日</w:t>
      </w:r>
    </w:p>
    <w:p w14:paraId="5493D1D8">
      <w:pPr>
        <w:pStyle w:val="3"/>
        <w:rPr>
          <w:rFonts w:hint="eastAsia" w:ascii="仿宋" w:hAnsi="仿宋" w:eastAsia="仿宋" w:cs="仿宋"/>
        </w:rPr>
      </w:pPr>
      <w:bookmarkStart w:id="92" w:name="_Toc26415"/>
      <w:bookmarkEnd w:id="92"/>
      <w:bookmarkStart w:id="93" w:name="_Toc82497929"/>
      <w:bookmarkEnd w:id="93"/>
      <w:bookmarkStart w:id="94" w:name="_Toc56170397"/>
      <w:bookmarkEnd w:id="94"/>
      <w:r>
        <w:rPr>
          <w:rFonts w:hint="eastAsia" w:ascii="仿宋" w:hAnsi="仿宋" w:eastAsia="仿宋" w:cs="仿宋"/>
        </w:rPr>
        <w:br w:type="page"/>
      </w:r>
      <w:bookmarkStart w:id="95" w:name="_Toc20600"/>
      <w:r>
        <w:rPr>
          <w:rFonts w:hint="eastAsia" w:ascii="仿宋" w:hAnsi="仿宋" w:eastAsia="仿宋" w:cs="仿宋"/>
        </w:rPr>
        <w:t>附件五、诚信投标承诺书</w:t>
      </w:r>
      <w:bookmarkEnd w:id="95"/>
    </w:p>
    <w:p w14:paraId="28AED787">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本人以企业法定代表人的身份郑重承诺：</w:t>
      </w:r>
    </w:p>
    <w:p w14:paraId="0358F1B2">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一、单一来源响应文件中所提供的一切材料都是真实、有效、合法的；</w:t>
      </w:r>
    </w:p>
    <w:p w14:paraId="0E577476">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二、不以他人名义投标或者以其他方式弄虚作假，骗取成交；</w:t>
      </w:r>
    </w:p>
    <w:p w14:paraId="2E61621C">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三、不与其他供应商互相串通投标，不排挤其他供应商的公平竞争，不损害供应商的合法权益；</w:t>
      </w:r>
    </w:p>
    <w:p w14:paraId="4DA829E7">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四、不与采购人或者招标代理机构串通投标，损害国家利益、社会公共利益或者他人的合法权益；</w:t>
      </w:r>
    </w:p>
    <w:p w14:paraId="34BAE08D">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五、不向采购人或者谈判小组成员行贿以牟取成交；</w:t>
      </w:r>
    </w:p>
    <w:p w14:paraId="4B35EB9B">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C76042">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414C1729">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以上内容我已仔细阅读。如若违反上述承诺或形成恶意投诉，我们自愿接受以下一种或几种处罚：自动放弃中标供应商资格、限制以后投标、记入不良信用档案、没收本次投标保证金，并愿意承担由此引起的其他法律责任。</w:t>
      </w:r>
    </w:p>
    <w:p w14:paraId="7FE01B3E">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rPr>
        <w:t>供应商：（公章）</w:t>
      </w:r>
    </w:p>
    <w:p w14:paraId="0D59E0CF">
      <w:pPr>
        <w:pStyle w:val="34"/>
        <w:spacing w:line="360" w:lineRule="auto"/>
        <w:ind w:firstLine="560"/>
        <w:rPr>
          <w:rFonts w:hint="eastAsia" w:ascii="仿宋" w:hAnsi="仿宋" w:eastAsia="仿宋" w:cs="仿宋"/>
          <w:color w:val="000000"/>
        </w:rPr>
      </w:pPr>
      <w:r>
        <w:rPr>
          <w:rFonts w:hint="eastAsia" w:ascii="仿宋" w:hAnsi="仿宋" w:eastAsia="仿宋" w:cs="仿宋"/>
          <w:color w:val="000000"/>
          <w:lang w:eastAsia="zh-CN"/>
        </w:rPr>
        <w:t>法定代表人或法定代表授权委托人</w:t>
      </w:r>
      <w:r>
        <w:rPr>
          <w:rFonts w:hint="eastAsia" w:ascii="仿宋" w:hAnsi="仿宋" w:eastAsia="仿宋" w:cs="仿宋"/>
          <w:color w:val="000000"/>
        </w:rPr>
        <w:t>：（签字</w:t>
      </w:r>
      <w:r>
        <w:rPr>
          <w:rFonts w:hint="eastAsia" w:ascii="仿宋" w:hAnsi="仿宋" w:eastAsia="仿宋" w:cs="仿宋"/>
          <w:color w:val="000000"/>
          <w:lang w:val="en-US" w:eastAsia="zh-CN"/>
        </w:rPr>
        <w:t>或盖章</w:t>
      </w:r>
      <w:r>
        <w:rPr>
          <w:rFonts w:hint="eastAsia" w:ascii="仿宋" w:hAnsi="仿宋" w:eastAsia="仿宋" w:cs="仿宋"/>
          <w:color w:val="000000"/>
        </w:rPr>
        <w:t>）</w:t>
      </w:r>
    </w:p>
    <w:p w14:paraId="4F5EAC02">
      <w:pPr>
        <w:pStyle w:val="3"/>
        <w:rPr>
          <w:rFonts w:hint="eastAsia" w:ascii="仿宋" w:hAnsi="仿宋" w:eastAsia="仿宋" w:cs="仿宋"/>
        </w:rPr>
      </w:pPr>
      <w:bookmarkStart w:id="96" w:name="_Toc8836"/>
      <w:bookmarkEnd w:id="96"/>
      <w:bookmarkStart w:id="97" w:name="_Toc56170398"/>
      <w:bookmarkEnd w:id="97"/>
      <w:bookmarkStart w:id="98" w:name="_Toc82497930"/>
      <w:bookmarkEnd w:id="98"/>
      <w:bookmarkStart w:id="99" w:name="_Toc435087575"/>
      <w:bookmarkEnd w:id="99"/>
      <w:r>
        <w:rPr>
          <w:rFonts w:hint="eastAsia" w:ascii="仿宋" w:hAnsi="仿宋" w:eastAsia="仿宋" w:cs="仿宋"/>
          <w:szCs w:val="28"/>
        </w:rPr>
        <w:br w:type="page"/>
      </w:r>
      <w:bookmarkStart w:id="100" w:name="_Toc12194"/>
      <w:r>
        <w:rPr>
          <w:rFonts w:hint="eastAsia" w:ascii="仿宋" w:hAnsi="仿宋" w:eastAsia="仿宋" w:cs="仿宋"/>
        </w:rPr>
        <w:t>附件六、供应商反商业贿赂承诺书</w:t>
      </w:r>
      <w:bookmarkEnd w:id="100"/>
    </w:p>
    <w:p w14:paraId="67C1691B">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lang w:val="zh-CN"/>
        </w:rPr>
      </w:pPr>
    </w:p>
    <w:p w14:paraId="1CB6FE5E">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val="en-US" w:eastAsia="zh-CN"/>
        </w:rPr>
        <w:t>编</w:t>
      </w:r>
      <w:r>
        <w:rPr>
          <w:rFonts w:hint="eastAsia" w:ascii="仿宋" w:hAnsi="仿宋" w:eastAsia="仿宋" w:cs="仿宋"/>
          <w:color w:val="000000"/>
          <w:kern w:val="0"/>
          <w:sz w:val="28"/>
          <w:szCs w:val="28"/>
          <w:u w:val="none"/>
        </w:rPr>
        <w:t>号</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项目）招标活动中，我公司承诺如下 ：</w:t>
      </w:r>
    </w:p>
    <w:p w14:paraId="22ABFD37">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1、不给予国家工作人员及其亲属各种形式的商业贿赂（包括送礼金礼品、有价证券、购物券、回扣、佣金、咨询费、劳务费、赞助费、宣传费、支付旅游费用、报销各种消费凭证、宴请、娱乐等）；</w:t>
      </w:r>
    </w:p>
    <w:p w14:paraId="2AC2A7F5">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2、不与采购人相互勾结私下协议，弄虚作假，搞假投标、陪标、串通投标，明招暗定，暗箱操作。</w:t>
      </w:r>
    </w:p>
    <w:p w14:paraId="44ABAF98">
      <w:pPr>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3、我公司法人及项目参与人员有亲戚担任业主方副科级以上领导职务时，自愿放弃此次投标权。</w:t>
      </w:r>
    </w:p>
    <w:p w14:paraId="344E7ED3">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如有上述行为，一经发现，我公司及项目参与人员愿意按照《政府采购法》、《招投标法》、《反不正当竞争法》的有关规定接受处罚。</w:t>
      </w:r>
    </w:p>
    <w:p w14:paraId="65D936CB">
      <w:pPr>
        <w:autoSpaceDE w:val="0"/>
        <w:autoSpaceDN w:val="0"/>
        <w:adjustRightInd w:val="0"/>
        <w:snapToGrid w:val="0"/>
        <w:spacing w:line="360" w:lineRule="auto"/>
        <w:ind w:firstLine="560" w:firstLineChars="200"/>
        <w:jc w:val="left"/>
        <w:rPr>
          <w:rFonts w:hint="eastAsia" w:ascii="仿宋" w:hAnsi="仿宋" w:eastAsia="仿宋" w:cs="仿宋"/>
          <w:color w:val="000000"/>
          <w:kern w:val="0"/>
          <w:sz w:val="28"/>
          <w:szCs w:val="28"/>
        </w:rPr>
      </w:pPr>
    </w:p>
    <w:p w14:paraId="6464ADD5">
      <w:pPr>
        <w:autoSpaceDE w:val="0"/>
        <w:autoSpaceDN w:val="0"/>
        <w:adjustRightInd w:val="0"/>
        <w:spacing w:line="360" w:lineRule="auto"/>
        <w:ind w:left="221"/>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公司法人代表：（签字）</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14:paraId="4B41F20D">
      <w:pPr>
        <w:autoSpaceDE w:val="0"/>
        <w:autoSpaceDN w:val="0"/>
        <w:adjustRightInd w:val="0"/>
        <w:spacing w:line="360" w:lineRule="auto"/>
        <w:ind w:left="221"/>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法人授权代表：（签字）</w:t>
      </w:r>
      <w:r>
        <w:rPr>
          <w:rFonts w:hint="eastAsia" w:ascii="仿宋" w:hAnsi="仿宋" w:eastAsia="仿宋" w:cs="仿宋"/>
          <w:color w:val="000000"/>
          <w:kern w:val="0"/>
          <w:sz w:val="28"/>
          <w:szCs w:val="28"/>
          <w:u w:val="single"/>
        </w:rPr>
        <w:t xml:space="preserve">                    .</w:t>
      </w:r>
    </w:p>
    <w:p w14:paraId="40528F17">
      <w:pPr>
        <w:autoSpaceDE w:val="0"/>
        <w:autoSpaceDN w:val="0"/>
        <w:adjustRightInd w:val="0"/>
        <w:spacing w:line="360" w:lineRule="auto"/>
        <w:ind w:left="221"/>
        <w:rPr>
          <w:rFonts w:hint="eastAsia" w:ascii="仿宋" w:hAnsi="仿宋" w:eastAsia="仿宋" w:cs="仿宋"/>
          <w:color w:val="000000"/>
          <w:kern w:val="0"/>
          <w:sz w:val="28"/>
          <w:szCs w:val="28"/>
        </w:rPr>
      </w:pPr>
    </w:p>
    <w:p w14:paraId="2EE8A24E">
      <w:pPr>
        <w:autoSpaceDE w:val="0"/>
        <w:autoSpaceDN w:val="0"/>
        <w:adjustRightInd w:val="0"/>
        <w:spacing w:line="360" w:lineRule="auto"/>
        <w:jc w:val="righ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 xml:space="preserve">       公司签章       .</w:t>
      </w:r>
    </w:p>
    <w:p w14:paraId="4550B234">
      <w:pPr>
        <w:pStyle w:val="34"/>
        <w:spacing w:line="360" w:lineRule="auto"/>
        <w:ind w:firstLine="56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年      月     日</w:t>
      </w:r>
    </w:p>
    <w:p w14:paraId="17433AE7">
      <w:pPr>
        <w:pStyle w:val="22"/>
        <w:spacing w:before="60" w:beforeAutospacing="0" w:after="60" w:afterAutospacing="0" w:line="444" w:lineRule="atLeast"/>
        <w:ind w:left="1020"/>
        <w:jc w:val="center"/>
        <w:rPr>
          <w:rFonts w:hint="eastAsia" w:ascii="仿宋" w:hAnsi="仿宋" w:eastAsia="仿宋" w:cs="仿宋"/>
          <w:color w:val="000000"/>
          <w:sz w:val="19"/>
          <w:szCs w:val="19"/>
          <w:highlight w:val="yellow"/>
        </w:rPr>
      </w:pPr>
      <w:bookmarkStart w:id="101" w:name="_Toc21708"/>
      <w:bookmarkEnd w:id="101"/>
      <w:r>
        <w:rPr>
          <w:rFonts w:hint="eastAsia" w:ascii="仿宋" w:hAnsi="仿宋" w:eastAsia="仿宋" w:cs="仿宋"/>
        </w:rPr>
        <w:br w:type="page"/>
      </w:r>
      <w:bookmarkStart w:id="102" w:name="_Toc16337"/>
      <w:r>
        <w:rPr>
          <w:rStyle w:val="45"/>
          <w:rFonts w:hint="eastAsia" w:ascii="仿宋" w:hAnsi="仿宋" w:eastAsia="仿宋" w:cs="仿宋"/>
          <w:highlight w:val="none"/>
        </w:rPr>
        <w:t>附件七、中小企业声明函（货物）</w:t>
      </w:r>
      <w:bookmarkEnd w:id="102"/>
    </w:p>
    <w:p w14:paraId="4FD6A841">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本公司（联合体）郑重声明，根据《政府采购促进中小企业发展管理办法》（财库〔2020〕46号）的规定，本公司（联合体）参加</w:t>
      </w:r>
      <w:r>
        <w:rPr>
          <w:rStyle w:val="30"/>
          <w:rFonts w:hint="eastAsia" w:ascii="仿宋" w:hAnsi="仿宋" w:eastAsia="仿宋" w:cs="仿宋"/>
          <w:i w:val="0"/>
          <w:iCs w:val="0"/>
          <w:color w:val="000000"/>
          <w:sz w:val="28"/>
          <w:szCs w:val="28"/>
          <w:u w:val="single"/>
        </w:rPr>
        <w:t>（单位名称）</w:t>
      </w:r>
      <w:r>
        <w:rPr>
          <w:rFonts w:hint="eastAsia" w:ascii="仿宋" w:hAnsi="仿宋" w:eastAsia="仿宋" w:cs="仿宋"/>
          <w:color w:val="000000"/>
          <w:sz w:val="28"/>
          <w:szCs w:val="28"/>
        </w:rPr>
        <w:t>的</w:t>
      </w:r>
      <w:r>
        <w:rPr>
          <w:rStyle w:val="30"/>
          <w:rFonts w:hint="eastAsia" w:ascii="仿宋" w:hAnsi="仿宋" w:eastAsia="仿宋" w:cs="仿宋"/>
          <w:i w:val="0"/>
          <w:iCs w:val="0"/>
          <w:color w:val="000000"/>
          <w:sz w:val="28"/>
          <w:szCs w:val="28"/>
          <w:u w:val="single"/>
        </w:rPr>
        <w:t>（项目名称）</w:t>
      </w:r>
      <w:r>
        <w:rPr>
          <w:rFonts w:hint="eastAsia" w:ascii="仿宋" w:hAnsi="仿宋" w:eastAsia="仿宋" w:cs="仿宋"/>
          <w:color w:val="000000"/>
          <w:sz w:val="28"/>
          <w:szCs w:val="28"/>
        </w:rPr>
        <w:t>采购活动，提供的货物全部由符合政策要求的中小企业制造。相关企业（含联合体中的中小企业、签订分包意向协议的中小企业）的具体情况如下：</w:t>
      </w:r>
    </w:p>
    <w:p w14:paraId="584D1013">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Style w:val="30"/>
          <w:rFonts w:hint="eastAsia" w:ascii="仿宋" w:hAnsi="仿宋" w:eastAsia="仿宋" w:cs="仿宋"/>
          <w:i w:val="0"/>
          <w:iCs w:val="0"/>
          <w:color w:val="000000"/>
          <w:sz w:val="28"/>
          <w:szCs w:val="28"/>
          <w:u w:val="single"/>
        </w:rPr>
        <w:t>（标的名称）</w:t>
      </w:r>
      <w:r>
        <w:rPr>
          <w:rFonts w:hint="eastAsia" w:ascii="仿宋" w:hAnsi="仿宋" w:eastAsia="仿宋" w:cs="仿宋"/>
          <w:color w:val="000000"/>
          <w:sz w:val="28"/>
          <w:szCs w:val="28"/>
        </w:rPr>
        <w:t>，属于</w:t>
      </w:r>
      <w:r>
        <w:rPr>
          <w:rStyle w:val="30"/>
          <w:rFonts w:hint="eastAsia" w:ascii="仿宋" w:hAnsi="仿宋" w:eastAsia="仿宋" w:cs="仿宋"/>
          <w:i w:val="0"/>
          <w:iCs w:val="0"/>
          <w:color w:val="000000"/>
          <w:sz w:val="28"/>
          <w:szCs w:val="28"/>
          <w:u w:val="single"/>
        </w:rPr>
        <w:t>（采购文件中明确的所属行业）</w:t>
      </w:r>
      <w:r>
        <w:rPr>
          <w:rFonts w:hint="eastAsia" w:ascii="仿宋" w:hAnsi="仿宋" w:eastAsia="仿宋" w:cs="仿宋"/>
          <w:color w:val="000000"/>
          <w:sz w:val="28"/>
          <w:szCs w:val="28"/>
        </w:rPr>
        <w:t>；制造商为</w:t>
      </w:r>
      <w:r>
        <w:rPr>
          <w:rStyle w:val="30"/>
          <w:rFonts w:hint="eastAsia" w:ascii="仿宋" w:hAnsi="仿宋" w:eastAsia="仿宋" w:cs="仿宋"/>
          <w:i w:val="0"/>
          <w:iCs w:val="0"/>
          <w:color w:val="000000"/>
          <w:sz w:val="28"/>
          <w:szCs w:val="28"/>
          <w:u w:val="single"/>
        </w:rPr>
        <w:t>（企业名称）</w:t>
      </w:r>
      <w:r>
        <w:rPr>
          <w:rFonts w:hint="eastAsia" w:ascii="仿宋" w:hAnsi="仿宋" w:eastAsia="仿宋" w:cs="仿宋"/>
          <w:color w:val="000000"/>
          <w:sz w:val="28"/>
          <w:szCs w:val="28"/>
        </w:rPr>
        <w:t>，从业人员</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人，营业收入为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万元，属于</w:t>
      </w:r>
      <w:r>
        <w:rPr>
          <w:rStyle w:val="30"/>
          <w:rFonts w:hint="eastAsia" w:ascii="仿宋" w:hAnsi="仿宋" w:eastAsia="仿宋" w:cs="仿宋"/>
          <w:i w:val="0"/>
          <w:iCs w:val="0"/>
          <w:color w:val="000000"/>
          <w:sz w:val="28"/>
          <w:szCs w:val="28"/>
          <w:u w:val="single"/>
        </w:rPr>
        <w:t>（中型企业、小型企业、微型企业）</w:t>
      </w:r>
      <w:r>
        <w:rPr>
          <w:rFonts w:hint="eastAsia" w:ascii="仿宋" w:hAnsi="仿宋" w:eastAsia="仿宋" w:cs="仿宋"/>
          <w:color w:val="000000"/>
          <w:sz w:val="28"/>
          <w:szCs w:val="28"/>
        </w:rPr>
        <w:t>；</w:t>
      </w:r>
    </w:p>
    <w:p w14:paraId="2D889807">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2. </w:t>
      </w:r>
      <w:r>
        <w:rPr>
          <w:rStyle w:val="30"/>
          <w:rFonts w:hint="eastAsia" w:ascii="仿宋" w:hAnsi="仿宋" w:eastAsia="仿宋" w:cs="仿宋"/>
          <w:i w:val="0"/>
          <w:iCs w:val="0"/>
          <w:color w:val="000000"/>
          <w:sz w:val="28"/>
          <w:szCs w:val="28"/>
          <w:u w:val="single"/>
        </w:rPr>
        <w:t>（标的名称）</w:t>
      </w:r>
      <w:r>
        <w:rPr>
          <w:rFonts w:hint="eastAsia" w:ascii="仿宋" w:hAnsi="仿宋" w:eastAsia="仿宋" w:cs="仿宋"/>
          <w:color w:val="000000"/>
          <w:sz w:val="28"/>
          <w:szCs w:val="28"/>
        </w:rPr>
        <w:t>，属于</w:t>
      </w:r>
      <w:r>
        <w:rPr>
          <w:rStyle w:val="30"/>
          <w:rFonts w:hint="eastAsia" w:ascii="仿宋" w:hAnsi="仿宋" w:eastAsia="仿宋" w:cs="仿宋"/>
          <w:i w:val="0"/>
          <w:iCs w:val="0"/>
          <w:color w:val="000000"/>
          <w:sz w:val="28"/>
          <w:szCs w:val="28"/>
          <w:u w:val="single"/>
        </w:rPr>
        <w:t>（采购文件中明确的所属行业）</w:t>
      </w:r>
      <w:r>
        <w:rPr>
          <w:rFonts w:hint="eastAsia" w:ascii="仿宋" w:hAnsi="仿宋" w:eastAsia="仿宋" w:cs="仿宋"/>
          <w:color w:val="000000"/>
          <w:sz w:val="28"/>
          <w:szCs w:val="28"/>
        </w:rPr>
        <w:t>；制造商为</w:t>
      </w:r>
      <w:r>
        <w:rPr>
          <w:rStyle w:val="30"/>
          <w:rFonts w:hint="eastAsia" w:ascii="仿宋" w:hAnsi="仿宋" w:eastAsia="仿宋" w:cs="仿宋"/>
          <w:i w:val="0"/>
          <w:iCs w:val="0"/>
          <w:color w:val="000000"/>
          <w:sz w:val="28"/>
          <w:szCs w:val="28"/>
          <w:u w:val="single"/>
        </w:rPr>
        <w:t>（企业名称）</w:t>
      </w:r>
      <w:r>
        <w:rPr>
          <w:rFonts w:hint="eastAsia" w:ascii="仿宋" w:hAnsi="仿宋" w:eastAsia="仿宋" w:cs="仿宋"/>
          <w:color w:val="000000"/>
          <w:sz w:val="28"/>
          <w:szCs w:val="28"/>
        </w:rPr>
        <w:t>，从业人员</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人，营业收入为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万元，属于</w:t>
      </w:r>
      <w:r>
        <w:rPr>
          <w:rStyle w:val="30"/>
          <w:rFonts w:hint="eastAsia" w:ascii="仿宋" w:hAnsi="仿宋" w:eastAsia="仿宋" w:cs="仿宋"/>
          <w:i w:val="0"/>
          <w:iCs w:val="0"/>
          <w:color w:val="000000"/>
          <w:sz w:val="28"/>
          <w:szCs w:val="28"/>
          <w:u w:val="single"/>
        </w:rPr>
        <w:t>（中型企业、小型企业、微型企业）</w:t>
      </w:r>
      <w:r>
        <w:rPr>
          <w:rFonts w:hint="eastAsia" w:ascii="仿宋" w:hAnsi="仿宋" w:eastAsia="仿宋" w:cs="仿宋"/>
          <w:color w:val="000000"/>
          <w:sz w:val="28"/>
          <w:szCs w:val="28"/>
        </w:rPr>
        <w:t>；</w:t>
      </w:r>
    </w:p>
    <w:p w14:paraId="3C4DFEAB">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683E6940">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以上企业，不属于大企业的分支机构，不存在控股股东为大企业的情形，也不存在与大企业的负责人为同一人的情形。</w:t>
      </w:r>
    </w:p>
    <w:p w14:paraId="6DFC25B1">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本企业对上述声明内容的真实性负责。如有虚假，将依法承担相应责任。</w:t>
      </w:r>
    </w:p>
    <w:p w14:paraId="140D4277">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                      企业名称（盖章）：</w:t>
      </w:r>
    </w:p>
    <w:p w14:paraId="5E1E20AD">
      <w:pPr>
        <w:pStyle w:val="22"/>
        <w:spacing w:before="60" w:beforeAutospacing="0" w:after="60" w:afterAutospacing="0" w:line="432" w:lineRule="atLeast"/>
        <w:ind w:firstLine="516"/>
        <w:rPr>
          <w:rFonts w:hint="eastAsia" w:ascii="仿宋" w:hAnsi="仿宋" w:eastAsia="仿宋" w:cs="仿宋"/>
          <w:color w:val="000000"/>
          <w:sz w:val="28"/>
          <w:szCs w:val="28"/>
        </w:rPr>
      </w:pPr>
      <w:r>
        <w:rPr>
          <w:rFonts w:hint="eastAsia" w:ascii="仿宋" w:hAnsi="仿宋" w:eastAsia="仿宋" w:cs="仿宋"/>
          <w:color w:val="000000"/>
          <w:sz w:val="28"/>
          <w:szCs w:val="28"/>
        </w:rPr>
        <w:t>                      日期：</w:t>
      </w:r>
    </w:p>
    <w:p w14:paraId="30ED6B42">
      <w:pPr>
        <w:pStyle w:val="22"/>
        <w:spacing w:before="60" w:beforeAutospacing="0" w:after="60" w:afterAutospacing="0" w:line="432" w:lineRule="atLeast"/>
        <w:ind w:firstLine="516"/>
        <w:rPr>
          <w:rFonts w:hint="eastAsia" w:ascii="仿宋" w:hAnsi="仿宋" w:eastAsia="仿宋" w:cs="仿宋"/>
          <w:color w:val="000000"/>
          <w:sz w:val="25"/>
          <w:szCs w:val="25"/>
        </w:rPr>
      </w:pPr>
    </w:p>
    <w:p w14:paraId="1D09BDBD">
      <w:pPr>
        <w:pStyle w:val="22"/>
        <w:spacing w:before="60" w:beforeAutospacing="0" w:after="60" w:afterAutospacing="0" w:line="444" w:lineRule="atLeast"/>
        <w:ind w:firstLine="516"/>
        <w:jc w:val="right"/>
        <w:rPr>
          <w:rFonts w:hint="eastAsia" w:ascii="仿宋" w:hAnsi="仿宋" w:eastAsia="仿宋" w:cs="仿宋"/>
          <w:color w:val="000000"/>
          <w:sz w:val="25"/>
          <w:szCs w:val="25"/>
        </w:rPr>
        <w:sectPr>
          <w:headerReference r:id="rId6" w:type="first"/>
          <w:footerReference r:id="rId8" w:type="first"/>
          <w:headerReference r:id="rId5" w:type="default"/>
          <w:footerReference r:id="rId7" w:type="default"/>
          <w:pgSz w:w="11906" w:h="16838"/>
          <w:pgMar w:top="1247" w:right="1134" w:bottom="1247" w:left="1134" w:header="851" w:footer="851" w:gutter="0"/>
          <w:pgNumType w:start="1"/>
          <w:cols w:space="720" w:num="1"/>
          <w:docGrid w:type="linesAndChars" w:linePitch="312" w:charSpace="0"/>
        </w:sectPr>
      </w:pPr>
    </w:p>
    <w:p w14:paraId="5C5E0505">
      <w:pPr>
        <w:pStyle w:val="3"/>
        <w:spacing w:line="360" w:lineRule="auto"/>
        <w:rPr>
          <w:rFonts w:hint="eastAsia" w:ascii="仿宋" w:hAnsi="仿宋" w:eastAsia="仿宋" w:cs="仿宋"/>
        </w:rPr>
      </w:pPr>
      <w:bookmarkStart w:id="103" w:name="_Toc25933"/>
      <w:bookmarkEnd w:id="103"/>
      <w:bookmarkStart w:id="104" w:name="_Toc56170399"/>
      <w:bookmarkEnd w:id="104"/>
      <w:bookmarkStart w:id="105" w:name="_Toc82497932"/>
      <w:bookmarkEnd w:id="105"/>
      <w:bookmarkStart w:id="106" w:name="_Toc25905"/>
      <w:r>
        <w:rPr>
          <w:rFonts w:hint="eastAsia" w:ascii="仿宋" w:hAnsi="仿宋" w:eastAsia="仿宋" w:cs="仿宋"/>
        </w:rPr>
        <w:t>附件八、开标一览表</w:t>
      </w:r>
      <w:bookmarkEnd w:id="106"/>
    </w:p>
    <w:p w14:paraId="37D00149">
      <w:pPr>
        <w:spacing w:line="360" w:lineRule="auto"/>
        <w:ind w:firstLine="140" w:firstLineChars="50"/>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sz w:val="28"/>
          <w:szCs w:val="28"/>
          <w:highlight w:val="none"/>
        </w:rPr>
        <w:t xml:space="preserve">项目名称：                                                 </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编号：</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单位：元</w:t>
      </w:r>
    </w:p>
    <w:tbl>
      <w:tblPr>
        <w:tblStyle w:val="26"/>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2030"/>
        <w:gridCol w:w="1736"/>
        <w:gridCol w:w="3310"/>
        <w:gridCol w:w="1138"/>
        <w:gridCol w:w="1584"/>
        <w:gridCol w:w="1039"/>
        <w:gridCol w:w="1286"/>
        <w:gridCol w:w="1469"/>
      </w:tblGrid>
      <w:tr w14:paraId="3499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noWrap w:val="0"/>
            <w:vAlign w:val="center"/>
          </w:tcPr>
          <w:p w14:paraId="6F4A425E">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30" w:type="dxa"/>
            <w:noWrap w:val="0"/>
            <w:vAlign w:val="center"/>
          </w:tcPr>
          <w:p w14:paraId="5BF29EB4">
            <w:pPr>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1736" w:type="dxa"/>
            <w:noWrap w:val="0"/>
            <w:vAlign w:val="center"/>
          </w:tcPr>
          <w:p w14:paraId="24E7A412">
            <w:pPr>
              <w:jc w:val="center"/>
              <w:rPr>
                <w:rFonts w:hint="eastAsia" w:ascii="仿宋" w:hAnsi="仿宋" w:eastAsia="仿宋" w:cs="仿宋"/>
                <w:sz w:val="28"/>
                <w:szCs w:val="28"/>
              </w:rPr>
            </w:pPr>
            <w:r>
              <w:rPr>
                <w:rFonts w:hint="eastAsia" w:ascii="仿宋" w:hAnsi="仿宋" w:eastAsia="仿宋" w:cs="仿宋"/>
                <w:sz w:val="28"/>
                <w:szCs w:val="28"/>
              </w:rPr>
              <w:t>规格和型号</w:t>
            </w:r>
          </w:p>
        </w:tc>
        <w:tc>
          <w:tcPr>
            <w:tcW w:w="3310" w:type="dxa"/>
            <w:noWrap w:val="0"/>
            <w:vAlign w:val="center"/>
          </w:tcPr>
          <w:p w14:paraId="17F54C33">
            <w:pPr>
              <w:jc w:val="center"/>
              <w:rPr>
                <w:rFonts w:hint="eastAsia" w:ascii="仿宋" w:hAnsi="仿宋" w:eastAsia="仿宋" w:cs="仿宋"/>
                <w:sz w:val="28"/>
                <w:szCs w:val="28"/>
              </w:rPr>
            </w:pPr>
            <w:r>
              <w:rPr>
                <w:rFonts w:hint="eastAsia" w:ascii="仿宋" w:hAnsi="仿宋" w:eastAsia="仿宋" w:cs="仿宋"/>
                <w:sz w:val="28"/>
                <w:szCs w:val="28"/>
              </w:rPr>
              <w:t>制造商名称及国籍、地区</w:t>
            </w:r>
          </w:p>
        </w:tc>
        <w:tc>
          <w:tcPr>
            <w:tcW w:w="1138" w:type="dxa"/>
            <w:shd w:val="clear" w:color="auto" w:fill="auto"/>
            <w:noWrap w:val="0"/>
            <w:vAlign w:val="center"/>
          </w:tcPr>
          <w:p w14:paraId="63AC4A7A">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交货期</w:t>
            </w:r>
          </w:p>
        </w:tc>
        <w:tc>
          <w:tcPr>
            <w:tcW w:w="1584" w:type="dxa"/>
            <w:shd w:val="clear" w:color="auto" w:fill="auto"/>
            <w:noWrap w:val="0"/>
            <w:vAlign w:val="center"/>
          </w:tcPr>
          <w:p w14:paraId="38D30E88">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质保期</w:t>
            </w:r>
          </w:p>
        </w:tc>
        <w:tc>
          <w:tcPr>
            <w:tcW w:w="1039" w:type="dxa"/>
            <w:shd w:val="clear" w:color="auto" w:fill="auto"/>
            <w:noWrap w:val="0"/>
            <w:vAlign w:val="center"/>
          </w:tcPr>
          <w:p w14:paraId="1A51724A">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数量</w:t>
            </w:r>
          </w:p>
        </w:tc>
        <w:tc>
          <w:tcPr>
            <w:tcW w:w="1286" w:type="dxa"/>
            <w:shd w:val="clear" w:color="auto" w:fill="auto"/>
            <w:noWrap w:val="0"/>
            <w:vAlign w:val="center"/>
          </w:tcPr>
          <w:p w14:paraId="6D47647E">
            <w:pPr>
              <w:jc w:val="center"/>
              <w:rPr>
                <w:rFonts w:hint="eastAsia" w:ascii="仿宋" w:hAnsi="仿宋" w:eastAsia="仿宋" w:cs="仿宋"/>
                <w:sz w:val="28"/>
                <w:szCs w:val="28"/>
              </w:rPr>
            </w:pPr>
            <w:r>
              <w:rPr>
                <w:rFonts w:hint="eastAsia" w:ascii="仿宋" w:hAnsi="仿宋" w:eastAsia="仿宋" w:cs="仿宋"/>
                <w:sz w:val="28"/>
                <w:szCs w:val="28"/>
              </w:rPr>
              <w:t>设备</w:t>
            </w:r>
            <w:r>
              <w:rPr>
                <w:rFonts w:hint="eastAsia" w:ascii="仿宋" w:hAnsi="仿宋" w:eastAsia="仿宋" w:cs="仿宋"/>
                <w:sz w:val="28"/>
                <w:szCs w:val="28"/>
                <w:lang w:val="en-US" w:eastAsia="zh-CN"/>
              </w:rPr>
              <w:t>单价</w:t>
            </w:r>
          </w:p>
        </w:tc>
        <w:tc>
          <w:tcPr>
            <w:tcW w:w="1469" w:type="dxa"/>
            <w:noWrap w:val="0"/>
            <w:vAlign w:val="center"/>
          </w:tcPr>
          <w:p w14:paraId="27D07070">
            <w:pPr>
              <w:jc w:val="center"/>
              <w:rPr>
                <w:rFonts w:hint="default" w:ascii="仿宋" w:hAnsi="仿宋" w:eastAsia="仿宋" w:cs="仿宋"/>
                <w:sz w:val="28"/>
                <w:szCs w:val="28"/>
                <w:lang w:val="en-US" w:eastAsia="zh-CN"/>
              </w:rPr>
            </w:pPr>
            <w:r>
              <w:rPr>
                <w:rFonts w:hint="eastAsia" w:ascii="仿宋" w:hAnsi="仿宋" w:eastAsia="仿宋" w:cs="仿宋"/>
                <w:sz w:val="28"/>
                <w:szCs w:val="28"/>
              </w:rPr>
              <w:t>设备</w:t>
            </w:r>
            <w:r>
              <w:rPr>
                <w:rFonts w:hint="eastAsia" w:ascii="仿宋" w:hAnsi="仿宋" w:eastAsia="仿宋" w:cs="仿宋"/>
                <w:sz w:val="28"/>
                <w:szCs w:val="28"/>
                <w:lang w:val="en-US" w:eastAsia="zh-CN"/>
              </w:rPr>
              <w:t>总价</w:t>
            </w:r>
          </w:p>
        </w:tc>
      </w:tr>
      <w:tr w14:paraId="7438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noWrap w:val="0"/>
            <w:vAlign w:val="center"/>
          </w:tcPr>
          <w:p w14:paraId="1B7A5EAB">
            <w:pPr>
              <w:snapToGrid w:val="0"/>
              <w:jc w:val="center"/>
              <w:rPr>
                <w:rFonts w:hint="eastAsia" w:ascii="仿宋" w:hAnsi="仿宋" w:eastAsia="仿宋" w:cs="仿宋"/>
                <w:sz w:val="28"/>
                <w:szCs w:val="28"/>
              </w:rPr>
            </w:pPr>
            <w:r>
              <w:rPr>
                <w:rFonts w:hint="eastAsia" w:ascii="仿宋" w:hAnsi="仿宋" w:eastAsia="仿宋" w:cs="仿宋"/>
                <w:sz w:val="28"/>
                <w:szCs w:val="28"/>
              </w:rPr>
              <w:t>1</w:t>
            </w:r>
          </w:p>
        </w:tc>
        <w:tc>
          <w:tcPr>
            <w:tcW w:w="2030" w:type="dxa"/>
            <w:noWrap w:val="0"/>
            <w:vAlign w:val="center"/>
          </w:tcPr>
          <w:p w14:paraId="63440614">
            <w:pPr>
              <w:snapToGrid w:val="0"/>
              <w:jc w:val="center"/>
              <w:rPr>
                <w:rFonts w:hint="eastAsia" w:ascii="仿宋" w:hAnsi="仿宋" w:eastAsia="仿宋" w:cs="仿宋"/>
                <w:sz w:val="28"/>
                <w:szCs w:val="28"/>
              </w:rPr>
            </w:pPr>
          </w:p>
        </w:tc>
        <w:tc>
          <w:tcPr>
            <w:tcW w:w="1736" w:type="dxa"/>
            <w:noWrap w:val="0"/>
            <w:vAlign w:val="center"/>
          </w:tcPr>
          <w:p w14:paraId="0C47B7E5">
            <w:pPr>
              <w:snapToGrid w:val="0"/>
              <w:jc w:val="center"/>
              <w:rPr>
                <w:rFonts w:hint="eastAsia" w:ascii="仿宋" w:hAnsi="仿宋" w:eastAsia="仿宋" w:cs="仿宋"/>
                <w:sz w:val="28"/>
                <w:szCs w:val="28"/>
                <w:lang w:val="en-US" w:eastAsia="zh-CN"/>
              </w:rPr>
            </w:pPr>
          </w:p>
        </w:tc>
        <w:tc>
          <w:tcPr>
            <w:tcW w:w="3310" w:type="dxa"/>
            <w:noWrap w:val="0"/>
            <w:vAlign w:val="center"/>
          </w:tcPr>
          <w:p w14:paraId="5C65F17D">
            <w:pPr>
              <w:snapToGrid w:val="0"/>
              <w:jc w:val="center"/>
              <w:rPr>
                <w:rFonts w:hint="eastAsia" w:ascii="仿宋" w:hAnsi="仿宋" w:eastAsia="仿宋" w:cs="仿宋"/>
                <w:sz w:val="28"/>
                <w:szCs w:val="28"/>
                <w:lang w:val="en-US" w:eastAsia="zh-CN"/>
              </w:rPr>
            </w:pPr>
          </w:p>
        </w:tc>
        <w:tc>
          <w:tcPr>
            <w:tcW w:w="1138" w:type="dxa"/>
            <w:noWrap w:val="0"/>
            <w:vAlign w:val="center"/>
          </w:tcPr>
          <w:p w14:paraId="4ADEB3B4">
            <w:pPr>
              <w:snapToGrid w:val="0"/>
              <w:jc w:val="center"/>
              <w:rPr>
                <w:rFonts w:hint="eastAsia" w:ascii="仿宋" w:hAnsi="仿宋" w:eastAsia="仿宋" w:cs="仿宋"/>
                <w:sz w:val="28"/>
                <w:szCs w:val="28"/>
              </w:rPr>
            </w:pPr>
          </w:p>
        </w:tc>
        <w:tc>
          <w:tcPr>
            <w:tcW w:w="1584" w:type="dxa"/>
            <w:noWrap w:val="0"/>
            <w:vAlign w:val="center"/>
          </w:tcPr>
          <w:p w14:paraId="7B28AA29">
            <w:pPr>
              <w:snapToGrid w:val="0"/>
              <w:jc w:val="center"/>
              <w:rPr>
                <w:rFonts w:hint="eastAsia" w:ascii="仿宋" w:hAnsi="仿宋" w:eastAsia="仿宋" w:cs="仿宋"/>
                <w:sz w:val="28"/>
                <w:szCs w:val="28"/>
              </w:rPr>
            </w:pPr>
          </w:p>
        </w:tc>
        <w:tc>
          <w:tcPr>
            <w:tcW w:w="1039" w:type="dxa"/>
            <w:shd w:val="clear" w:color="auto" w:fill="auto"/>
            <w:noWrap w:val="0"/>
            <w:vAlign w:val="center"/>
          </w:tcPr>
          <w:p w14:paraId="3B283531">
            <w:pPr>
              <w:jc w:val="center"/>
              <w:rPr>
                <w:rFonts w:hint="eastAsia" w:ascii="仿宋" w:hAnsi="仿宋" w:eastAsia="仿宋" w:cs="仿宋"/>
                <w:kern w:val="2"/>
                <w:sz w:val="28"/>
                <w:szCs w:val="28"/>
                <w:lang w:val="en-US" w:eastAsia="zh-CN" w:bidi="ar-SA"/>
              </w:rPr>
            </w:pPr>
          </w:p>
        </w:tc>
        <w:tc>
          <w:tcPr>
            <w:tcW w:w="1286" w:type="dxa"/>
            <w:shd w:val="clear" w:color="auto" w:fill="auto"/>
            <w:noWrap w:val="0"/>
            <w:vAlign w:val="center"/>
          </w:tcPr>
          <w:p w14:paraId="4268460C">
            <w:pPr>
              <w:jc w:val="center"/>
              <w:rPr>
                <w:rFonts w:hint="eastAsia" w:ascii="仿宋" w:hAnsi="仿宋" w:eastAsia="仿宋" w:cs="仿宋"/>
                <w:kern w:val="2"/>
                <w:sz w:val="28"/>
                <w:szCs w:val="28"/>
                <w:lang w:val="en-US" w:eastAsia="zh-CN" w:bidi="ar-SA"/>
              </w:rPr>
            </w:pPr>
          </w:p>
        </w:tc>
        <w:tc>
          <w:tcPr>
            <w:tcW w:w="1469" w:type="dxa"/>
            <w:shd w:val="clear" w:color="auto" w:fill="auto"/>
            <w:noWrap w:val="0"/>
            <w:vAlign w:val="center"/>
          </w:tcPr>
          <w:p w14:paraId="54A6A235">
            <w:pPr>
              <w:jc w:val="center"/>
              <w:rPr>
                <w:rFonts w:hint="eastAsia" w:ascii="仿宋" w:hAnsi="仿宋" w:eastAsia="仿宋" w:cs="仿宋"/>
                <w:kern w:val="2"/>
                <w:sz w:val="28"/>
                <w:szCs w:val="28"/>
                <w:lang w:val="en-US" w:eastAsia="zh-CN" w:bidi="ar-SA"/>
              </w:rPr>
            </w:pPr>
          </w:p>
        </w:tc>
      </w:tr>
      <w:tr w14:paraId="0DEA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2810" w:type="dxa"/>
            <w:gridSpan w:val="2"/>
            <w:noWrap w:val="0"/>
            <w:vAlign w:val="center"/>
          </w:tcPr>
          <w:p w14:paraId="424DCDE3">
            <w:pPr>
              <w:jc w:val="center"/>
              <w:rPr>
                <w:rFonts w:hint="eastAsia" w:ascii="仿宋" w:hAnsi="仿宋" w:eastAsia="仿宋" w:cs="仿宋"/>
                <w:sz w:val="28"/>
                <w:szCs w:val="28"/>
                <w:lang w:eastAsia="zh-CN"/>
              </w:rPr>
            </w:pPr>
            <w:r>
              <w:rPr>
                <w:rFonts w:hint="eastAsia" w:ascii="仿宋" w:hAnsi="仿宋" w:eastAsia="仿宋" w:cs="仿宋"/>
                <w:sz w:val="28"/>
                <w:szCs w:val="28"/>
              </w:rPr>
              <w:t>投标</w:t>
            </w:r>
            <w:r>
              <w:rPr>
                <w:rFonts w:hint="eastAsia" w:ascii="仿宋" w:hAnsi="仿宋" w:eastAsia="仿宋" w:cs="仿宋"/>
                <w:sz w:val="28"/>
                <w:szCs w:val="28"/>
                <w:lang w:val="en-US" w:eastAsia="zh-CN"/>
              </w:rPr>
              <w:t>报价</w:t>
            </w:r>
          </w:p>
        </w:tc>
        <w:tc>
          <w:tcPr>
            <w:tcW w:w="11562" w:type="dxa"/>
            <w:gridSpan w:val="7"/>
            <w:noWrap w:val="0"/>
            <w:vAlign w:val="center"/>
          </w:tcPr>
          <w:p w14:paraId="57E2CEF8">
            <w:pPr>
              <w:jc w:val="left"/>
              <w:rPr>
                <w:rFonts w:hint="eastAsia" w:ascii="仿宋" w:hAnsi="仿宋" w:eastAsia="仿宋" w:cs="仿宋"/>
                <w:sz w:val="28"/>
                <w:szCs w:val="28"/>
              </w:rPr>
            </w:pPr>
            <w:r>
              <w:rPr>
                <w:rFonts w:hint="eastAsia" w:ascii="仿宋" w:hAnsi="仿宋" w:eastAsia="仿宋" w:cs="仿宋"/>
                <w:sz w:val="28"/>
                <w:szCs w:val="28"/>
              </w:rPr>
              <w:t xml:space="preserve">小写：                             大写：  </w:t>
            </w:r>
          </w:p>
        </w:tc>
      </w:tr>
    </w:tbl>
    <w:p w14:paraId="4CE86F7D">
      <w:pPr>
        <w:spacing w:line="360" w:lineRule="auto"/>
        <w:ind w:firstLine="537" w:firstLineChars="192"/>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法定代表人或法定代表授权委托人</w:t>
      </w:r>
      <w:r>
        <w:rPr>
          <w:rFonts w:hint="eastAsia" w:ascii="仿宋" w:hAnsi="仿宋" w:eastAsia="仿宋" w:cs="仿宋"/>
          <w:color w:val="000000"/>
          <w:sz w:val="28"/>
          <w:szCs w:val="28"/>
        </w:rPr>
        <w:t>：                                             投标单位公章：</w:t>
      </w:r>
    </w:p>
    <w:p w14:paraId="6273CCE0">
      <w:pPr>
        <w:spacing w:line="360" w:lineRule="auto"/>
        <w:ind w:firstLine="548" w:firstLineChars="196"/>
        <w:rPr>
          <w:rFonts w:hint="eastAsia" w:ascii="仿宋" w:hAnsi="仿宋" w:eastAsia="仿宋" w:cs="仿宋"/>
          <w:color w:val="000000"/>
          <w:sz w:val="28"/>
        </w:rPr>
      </w:pPr>
      <w:r>
        <w:rPr>
          <w:rFonts w:hint="eastAsia" w:ascii="仿宋" w:hAnsi="仿宋" w:eastAsia="仿宋" w:cs="仿宋"/>
          <w:bCs/>
          <w:color w:val="000000"/>
          <w:sz w:val="28"/>
        </w:rPr>
        <w:t>注：</w:t>
      </w:r>
      <w:r>
        <w:rPr>
          <w:rFonts w:hint="eastAsia" w:ascii="仿宋" w:hAnsi="仿宋" w:eastAsia="仿宋" w:cs="仿宋"/>
          <w:color w:val="000000"/>
          <w:sz w:val="28"/>
          <w:lang w:val="en-US" w:eastAsia="zh-CN"/>
        </w:rPr>
        <w:t>1</w:t>
      </w:r>
      <w:r>
        <w:rPr>
          <w:rFonts w:hint="eastAsia" w:ascii="仿宋" w:hAnsi="仿宋" w:eastAsia="仿宋" w:cs="仿宋"/>
          <w:color w:val="000000"/>
          <w:sz w:val="28"/>
        </w:rPr>
        <w:t>、在开标一览表中，按第二章投标人须知10.2条款的规定不允许出现两种报价，否则其投标将被拒绝。</w:t>
      </w:r>
    </w:p>
    <w:p w14:paraId="6D8504C0">
      <w:pPr>
        <w:spacing w:line="360" w:lineRule="auto"/>
        <w:ind w:firstLine="562"/>
        <w:rPr>
          <w:rFonts w:hint="eastAsia" w:ascii="仿宋" w:hAnsi="仿宋" w:eastAsia="仿宋" w:cs="仿宋"/>
          <w:color w:val="000000"/>
          <w:sz w:val="28"/>
        </w:rPr>
      </w:pPr>
      <w:r>
        <w:rPr>
          <w:rFonts w:hint="eastAsia" w:ascii="仿宋" w:hAnsi="仿宋" w:eastAsia="仿宋" w:cs="仿宋"/>
          <w:color w:val="000000"/>
          <w:sz w:val="28"/>
        </w:rPr>
        <w:t xml:space="preserve">    </w:t>
      </w:r>
      <w:r>
        <w:rPr>
          <w:rFonts w:hint="eastAsia" w:ascii="仿宋" w:hAnsi="仿宋" w:eastAsia="仿宋" w:cs="仿宋"/>
          <w:color w:val="000000"/>
          <w:sz w:val="28"/>
          <w:lang w:val="en-US" w:eastAsia="zh-CN"/>
        </w:rPr>
        <w:t>2</w:t>
      </w:r>
      <w:r>
        <w:rPr>
          <w:rFonts w:hint="eastAsia" w:ascii="仿宋" w:hAnsi="仿宋" w:eastAsia="仿宋" w:cs="仿宋"/>
          <w:color w:val="000000"/>
          <w:sz w:val="28"/>
        </w:rPr>
        <w:t>、详细清单参照附件九自制。</w:t>
      </w:r>
    </w:p>
    <w:p w14:paraId="24BA9994">
      <w:pPr>
        <w:spacing w:line="360" w:lineRule="auto"/>
        <w:ind w:firstLine="13067" w:firstLineChars="4667"/>
        <w:rPr>
          <w:rFonts w:hint="eastAsia" w:ascii="仿宋" w:hAnsi="仿宋" w:eastAsia="仿宋" w:cs="仿宋"/>
          <w:color w:val="000000"/>
          <w:sz w:val="28"/>
        </w:rPr>
      </w:pPr>
    </w:p>
    <w:p w14:paraId="7B304464">
      <w:pPr>
        <w:jc w:val="center"/>
        <w:outlineLvl w:val="1"/>
        <w:rPr>
          <w:rFonts w:hint="eastAsia" w:ascii="仿宋" w:hAnsi="仿宋" w:eastAsia="仿宋" w:cs="仿宋"/>
          <w:sz w:val="28"/>
          <w:szCs w:val="28"/>
          <w:highlight w:val="none"/>
        </w:rPr>
      </w:pPr>
      <w:bookmarkStart w:id="107" w:name="_Toc300"/>
      <w:bookmarkEnd w:id="107"/>
      <w:bookmarkStart w:id="108" w:name="_Toc56170400"/>
      <w:bookmarkEnd w:id="108"/>
      <w:bookmarkStart w:id="109" w:name="_Toc82497933"/>
      <w:bookmarkEnd w:id="109"/>
      <w:r>
        <w:rPr>
          <w:rFonts w:hint="eastAsia" w:ascii="仿宋" w:hAnsi="仿宋" w:eastAsia="仿宋" w:cs="仿宋"/>
        </w:rPr>
        <w:br w:type="page"/>
      </w:r>
      <w:bookmarkStart w:id="110" w:name="_Toc61184643"/>
      <w:bookmarkStart w:id="111" w:name="_Toc3930"/>
      <w:bookmarkStart w:id="112" w:name="_Toc2236"/>
      <w:r>
        <w:rPr>
          <w:rFonts w:hint="eastAsia" w:ascii="仿宋" w:hAnsi="仿宋" w:eastAsia="仿宋" w:cs="仿宋"/>
          <w:sz w:val="28"/>
          <w:szCs w:val="28"/>
          <w:highlight w:val="none"/>
        </w:rPr>
        <w:t>附件九、投标产品名称、数量、规格分项报价表</w:t>
      </w:r>
      <w:bookmarkEnd w:id="110"/>
      <w:bookmarkEnd w:id="111"/>
      <w:bookmarkEnd w:id="112"/>
    </w:p>
    <w:p w14:paraId="424260E8">
      <w:pPr>
        <w:pStyle w:val="34"/>
        <w:keepNext w:val="0"/>
        <w:keepLines w:val="0"/>
        <w:pageBreakBefore w:val="0"/>
        <w:widowControl w:val="0"/>
        <w:kinsoku/>
        <w:wordWrap/>
        <w:overflowPunct/>
        <w:topLinePunct w:val="0"/>
        <w:autoSpaceDE/>
        <w:autoSpaceDN/>
        <w:bidi w:val="0"/>
        <w:adjustRightInd/>
        <w:snapToGrid/>
        <w:spacing w:afterLines="50" w:line="400" w:lineRule="exact"/>
        <w:ind w:firstLine="560"/>
        <w:textAlignment w:val="auto"/>
        <w:outlineLvl w:val="9"/>
        <w:rPr>
          <w:rFonts w:hint="eastAsia" w:ascii="仿宋" w:hAnsi="仿宋" w:eastAsia="仿宋" w:cs="仿宋"/>
          <w:color w:val="000000"/>
          <w:sz w:val="44"/>
          <w:highlight w:val="none"/>
        </w:rPr>
      </w:pPr>
      <w:r>
        <w:rPr>
          <w:rFonts w:hint="eastAsia" w:ascii="仿宋" w:hAnsi="仿宋" w:eastAsia="仿宋" w:cs="仿宋"/>
          <w:color w:val="000000"/>
          <w:highlight w:val="none"/>
        </w:rPr>
        <w:t>（此表参照下表由各供应商按照招标货物内容、顺序编制填写，包括详细的产品配置清单、价格、供货范围、名称、规格、技术参数、主要配件的品牌及供货厂家等。）</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170"/>
        <w:gridCol w:w="1650"/>
        <w:gridCol w:w="1635"/>
        <w:gridCol w:w="2160"/>
        <w:gridCol w:w="1454"/>
      </w:tblGrid>
      <w:tr w14:paraId="0B9C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883" w:type="dxa"/>
            <w:noWrap w:val="0"/>
            <w:vAlign w:val="center"/>
          </w:tcPr>
          <w:p w14:paraId="1C2FD9BB">
            <w:pPr>
              <w:spacing w:line="420" w:lineRule="exact"/>
              <w:jc w:val="center"/>
              <w:rPr>
                <w:rFonts w:hint="eastAsia" w:ascii="仿宋" w:hAnsi="仿宋" w:eastAsia="仿宋" w:cs="仿宋"/>
                <w:sz w:val="24"/>
              </w:rPr>
            </w:pPr>
            <w:r>
              <w:rPr>
                <w:rFonts w:hint="eastAsia" w:ascii="仿宋" w:hAnsi="仿宋" w:eastAsia="仿宋" w:cs="仿宋"/>
                <w:sz w:val="24"/>
              </w:rPr>
              <w:t>序号</w:t>
            </w:r>
          </w:p>
        </w:tc>
        <w:tc>
          <w:tcPr>
            <w:tcW w:w="3645" w:type="dxa"/>
            <w:noWrap w:val="0"/>
            <w:vAlign w:val="center"/>
          </w:tcPr>
          <w:p w14:paraId="3304FA15">
            <w:pPr>
              <w:spacing w:line="420" w:lineRule="exact"/>
              <w:ind w:firstLine="480"/>
              <w:jc w:val="center"/>
              <w:rPr>
                <w:rFonts w:hint="eastAsia" w:ascii="仿宋" w:hAnsi="仿宋" w:eastAsia="仿宋" w:cs="仿宋"/>
                <w:sz w:val="24"/>
              </w:rPr>
            </w:pPr>
            <w:r>
              <w:rPr>
                <w:rFonts w:hint="eastAsia" w:ascii="仿宋" w:hAnsi="仿宋" w:eastAsia="仿宋" w:cs="仿宋"/>
                <w:sz w:val="24"/>
              </w:rPr>
              <w:t>名 称</w:t>
            </w:r>
          </w:p>
        </w:tc>
        <w:tc>
          <w:tcPr>
            <w:tcW w:w="1530" w:type="dxa"/>
            <w:noWrap w:val="0"/>
            <w:vAlign w:val="center"/>
          </w:tcPr>
          <w:p w14:paraId="03420229">
            <w:pPr>
              <w:spacing w:line="320" w:lineRule="exact"/>
              <w:jc w:val="center"/>
              <w:rPr>
                <w:rFonts w:hint="eastAsia" w:ascii="仿宋" w:hAnsi="仿宋" w:eastAsia="仿宋" w:cs="仿宋"/>
                <w:sz w:val="24"/>
              </w:rPr>
            </w:pPr>
            <w:r>
              <w:rPr>
                <w:rFonts w:hint="eastAsia" w:ascii="仿宋" w:hAnsi="仿宋" w:eastAsia="仿宋" w:cs="仿宋"/>
                <w:sz w:val="24"/>
              </w:rPr>
              <w:t>规格型号</w:t>
            </w:r>
          </w:p>
        </w:tc>
        <w:tc>
          <w:tcPr>
            <w:tcW w:w="1170" w:type="dxa"/>
            <w:noWrap w:val="0"/>
            <w:vAlign w:val="center"/>
          </w:tcPr>
          <w:p w14:paraId="67A4688A">
            <w:pPr>
              <w:spacing w:line="420" w:lineRule="exact"/>
              <w:jc w:val="center"/>
              <w:rPr>
                <w:rFonts w:hint="eastAsia" w:ascii="仿宋" w:hAnsi="仿宋" w:eastAsia="仿宋" w:cs="仿宋"/>
                <w:sz w:val="24"/>
              </w:rPr>
            </w:pPr>
            <w:r>
              <w:rPr>
                <w:rFonts w:hint="eastAsia" w:ascii="仿宋" w:hAnsi="仿宋" w:eastAsia="仿宋" w:cs="仿宋"/>
                <w:sz w:val="24"/>
              </w:rPr>
              <w:t>数量（标明单位）</w:t>
            </w:r>
          </w:p>
        </w:tc>
        <w:tc>
          <w:tcPr>
            <w:tcW w:w="1650" w:type="dxa"/>
            <w:noWrap w:val="0"/>
            <w:vAlign w:val="center"/>
          </w:tcPr>
          <w:p w14:paraId="2B878704">
            <w:pPr>
              <w:spacing w:line="420" w:lineRule="exact"/>
              <w:jc w:val="center"/>
              <w:rPr>
                <w:rFonts w:hint="eastAsia" w:ascii="仿宋" w:hAnsi="仿宋" w:eastAsia="仿宋" w:cs="仿宋"/>
                <w:sz w:val="24"/>
              </w:rPr>
            </w:pPr>
            <w:r>
              <w:rPr>
                <w:rFonts w:hint="eastAsia" w:ascii="仿宋" w:hAnsi="仿宋" w:eastAsia="仿宋" w:cs="仿宋"/>
                <w:sz w:val="24"/>
              </w:rPr>
              <w:t>单价（元）</w:t>
            </w:r>
          </w:p>
        </w:tc>
        <w:tc>
          <w:tcPr>
            <w:tcW w:w="1635" w:type="dxa"/>
            <w:noWrap w:val="0"/>
            <w:vAlign w:val="center"/>
          </w:tcPr>
          <w:p w14:paraId="40228BA3">
            <w:pPr>
              <w:spacing w:line="420" w:lineRule="exact"/>
              <w:jc w:val="center"/>
              <w:rPr>
                <w:rFonts w:hint="eastAsia" w:ascii="仿宋" w:hAnsi="仿宋" w:eastAsia="仿宋" w:cs="仿宋"/>
                <w:sz w:val="24"/>
              </w:rPr>
            </w:pPr>
            <w:r>
              <w:rPr>
                <w:rFonts w:hint="eastAsia" w:ascii="仿宋" w:hAnsi="仿宋" w:eastAsia="仿宋" w:cs="仿宋"/>
                <w:sz w:val="24"/>
              </w:rPr>
              <w:t>总价（元）</w:t>
            </w:r>
          </w:p>
        </w:tc>
        <w:tc>
          <w:tcPr>
            <w:tcW w:w="2160" w:type="dxa"/>
            <w:noWrap w:val="0"/>
            <w:vAlign w:val="center"/>
          </w:tcPr>
          <w:p w14:paraId="3B67E913">
            <w:pPr>
              <w:spacing w:line="420" w:lineRule="exact"/>
              <w:jc w:val="center"/>
              <w:rPr>
                <w:rFonts w:hint="eastAsia" w:ascii="仿宋" w:hAnsi="仿宋" w:eastAsia="仿宋" w:cs="仿宋"/>
                <w:sz w:val="24"/>
              </w:rPr>
            </w:pPr>
            <w:r>
              <w:rPr>
                <w:rFonts w:hint="eastAsia" w:ascii="仿宋" w:hAnsi="仿宋" w:eastAsia="仿宋" w:cs="仿宋"/>
                <w:sz w:val="24"/>
              </w:rPr>
              <w:t>制造商名称及国籍、地区</w:t>
            </w:r>
          </w:p>
        </w:tc>
        <w:tc>
          <w:tcPr>
            <w:tcW w:w="1454" w:type="dxa"/>
            <w:noWrap w:val="0"/>
            <w:vAlign w:val="center"/>
          </w:tcPr>
          <w:p w14:paraId="4E7C909B">
            <w:pPr>
              <w:spacing w:line="420" w:lineRule="exact"/>
              <w:ind w:firstLine="240" w:firstLineChars="100"/>
              <w:rPr>
                <w:rFonts w:hint="eastAsia" w:ascii="仿宋" w:hAnsi="仿宋" w:eastAsia="仿宋" w:cs="仿宋"/>
                <w:sz w:val="24"/>
              </w:rPr>
            </w:pPr>
            <w:r>
              <w:rPr>
                <w:rFonts w:hint="eastAsia" w:ascii="仿宋" w:hAnsi="仿宋" w:eastAsia="仿宋" w:cs="仿宋"/>
                <w:sz w:val="24"/>
              </w:rPr>
              <w:t>备 注</w:t>
            </w:r>
          </w:p>
        </w:tc>
      </w:tr>
      <w:tr w14:paraId="3DDC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noWrap w:val="0"/>
            <w:vAlign w:val="center"/>
          </w:tcPr>
          <w:p w14:paraId="25B8AED4">
            <w:pPr>
              <w:spacing w:line="420" w:lineRule="exact"/>
              <w:jc w:val="center"/>
              <w:rPr>
                <w:rFonts w:hint="eastAsia" w:ascii="仿宋" w:hAnsi="仿宋" w:eastAsia="仿宋" w:cs="仿宋"/>
                <w:sz w:val="24"/>
              </w:rPr>
            </w:pPr>
            <w:r>
              <w:rPr>
                <w:rFonts w:hint="eastAsia" w:ascii="仿宋" w:hAnsi="仿宋" w:eastAsia="仿宋" w:cs="仿宋"/>
                <w:sz w:val="24"/>
              </w:rPr>
              <w:t>1</w:t>
            </w:r>
          </w:p>
        </w:tc>
        <w:tc>
          <w:tcPr>
            <w:tcW w:w="3645" w:type="dxa"/>
            <w:noWrap w:val="0"/>
            <w:vAlign w:val="center"/>
          </w:tcPr>
          <w:p w14:paraId="51BF9413">
            <w:pPr>
              <w:spacing w:line="420" w:lineRule="exact"/>
              <w:jc w:val="center"/>
              <w:rPr>
                <w:rFonts w:hint="eastAsia" w:ascii="仿宋" w:hAnsi="仿宋" w:eastAsia="仿宋" w:cs="仿宋"/>
                <w:sz w:val="24"/>
              </w:rPr>
            </w:pPr>
            <w:r>
              <w:rPr>
                <w:rFonts w:hint="eastAsia" w:ascii="仿宋" w:hAnsi="仿宋" w:eastAsia="仿宋" w:cs="仿宋"/>
                <w:sz w:val="24"/>
              </w:rPr>
              <w:t>（所投的全部货物内容）</w:t>
            </w:r>
          </w:p>
        </w:tc>
        <w:tc>
          <w:tcPr>
            <w:tcW w:w="1530" w:type="dxa"/>
            <w:noWrap w:val="0"/>
            <w:vAlign w:val="center"/>
          </w:tcPr>
          <w:p w14:paraId="366DBC21">
            <w:pPr>
              <w:spacing w:line="420" w:lineRule="exact"/>
              <w:ind w:firstLine="480"/>
              <w:jc w:val="center"/>
              <w:rPr>
                <w:rFonts w:hint="eastAsia" w:ascii="仿宋" w:hAnsi="仿宋" w:eastAsia="仿宋" w:cs="仿宋"/>
                <w:sz w:val="24"/>
              </w:rPr>
            </w:pPr>
          </w:p>
        </w:tc>
        <w:tc>
          <w:tcPr>
            <w:tcW w:w="1170" w:type="dxa"/>
            <w:noWrap w:val="0"/>
            <w:vAlign w:val="center"/>
          </w:tcPr>
          <w:p w14:paraId="74C978EE">
            <w:pPr>
              <w:spacing w:line="420" w:lineRule="exact"/>
              <w:ind w:firstLine="480"/>
              <w:jc w:val="center"/>
              <w:rPr>
                <w:rFonts w:hint="eastAsia" w:ascii="仿宋" w:hAnsi="仿宋" w:eastAsia="仿宋" w:cs="仿宋"/>
                <w:sz w:val="24"/>
              </w:rPr>
            </w:pPr>
          </w:p>
        </w:tc>
        <w:tc>
          <w:tcPr>
            <w:tcW w:w="1650" w:type="dxa"/>
            <w:noWrap w:val="0"/>
            <w:vAlign w:val="center"/>
          </w:tcPr>
          <w:p w14:paraId="14D0BAC6">
            <w:pPr>
              <w:spacing w:line="420" w:lineRule="exact"/>
              <w:ind w:firstLine="480"/>
              <w:jc w:val="center"/>
              <w:rPr>
                <w:rFonts w:hint="eastAsia" w:ascii="仿宋" w:hAnsi="仿宋" w:eastAsia="仿宋" w:cs="仿宋"/>
                <w:sz w:val="24"/>
              </w:rPr>
            </w:pPr>
          </w:p>
        </w:tc>
        <w:tc>
          <w:tcPr>
            <w:tcW w:w="1635" w:type="dxa"/>
            <w:noWrap w:val="0"/>
            <w:vAlign w:val="center"/>
          </w:tcPr>
          <w:p w14:paraId="299E9E49">
            <w:pPr>
              <w:spacing w:line="420" w:lineRule="exact"/>
              <w:ind w:firstLine="480"/>
              <w:jc w:val="center"/>
              <w:rPr>
                <w:rFonts w:hint="eastAsia" w:ascii="仿宋" w:hAnsi="仿宋" w:eastAsia="仿宋" w:cs="仿宋"/>
                <w:sz w:val="24"/>
              </w:rPr>
            </w:pPr>
          </w:p>
        </w:tc>
        <w:tc>
          <w:tcPr>
            <w:tcW w:w="2160" w:type="dxa"/>
            <w:noWrap w:val="0"/>
            <w:vAlign w:val="center"/>
          </w:tcPr>
          <w:p w14:paraId="4C28BF72">
            <w:pPr>
              <w:spacing w:line="420" w:lineRule="exact"/>
              <w:ind w:firstLine="480"/>
              <w:jc w:val="center"/>
              <w:rPr>
                <w:rFonts w:hint="eastAsia" w:ascii="仿宋" w:hAnsi="仿宋" w:eastAsia="仿宋" w:cs="仿宋"/>
                <w:sz w:val="24"/>
              </w:rPr>
            </w:pPr>
          </w:p>
        </w:tc>
        <w:tc>
          <w:tcPr>
            <w:tcW w:w="1454" w:type="dxa"/>
            <w:noWrap w:val="0"/>
            <w:vAlign w:val="center"/>
          </w:tcPr>
          <w:p w14:paraId="5F6F979B">
            <w:pPr>
              <w:spacing w:line="420" w:lineRule="exact"/>
              <w:ind w:firstLine="480"/>
              <w:jc w:val="center"/>
              <w:rPr>
                <w:rFonts w:hint="eastAsia" w:ascii="仿宋" w:hAnsi="仿宋" w:eastAsia="仿宋" w:cs="仿宋"/>
                <w:sz w:val="24"/>
              </w:rPr>
            </w:pPr>
          </w:p>
        </w:tc>
      </w:tr>
      <w:tr w14:paraId="12DC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noWrap w:val="0"/>
            <w:vAlign w:val="center"/>
          </w:tcPr>
          <w:p w14:paraId="46C7509B">
            <w:pPr>
              <w:spacing w:line="420" w:lineRule="exact"/>
              <w:jc w:val="center"/>
              <w:rPr>
                <w:rFonts w:hint="eastAsia" w:ascii="仿宋" w:hAnsi="仿宋" w:eastAsia="仿宋" w:cs="仿宋"/>
                <w:sz w:val="24"/>
              </w:rPr>
            </w:pPr>
            <w:r>
              <w:rPr>
                <w:rFonts w:hint="eastAsia" w:ascii="仿宋" w:hAnsi="仿宋" w:eastAsia="仿宋" w:cs="仿宋"/>
                <w:sz w:val="24"/>
              </w:rPr>
              <w:t>2</w:t>
            </w:r>
          </w:p>
        </w:tc>
        <w:tc>
          <w:tcPr>
            <w:tcW w:w="3645" w:type="dxa"/>
            <w:noWrap w:val="0"/>
            <w:vAlign w:val="center"/>
          </w:tcPr>
          <w:p w14:paraId="01CCC438">
            <w:pPr>
              <w:spacing w:line="420" w:lineRule="exact"/>
              <w:ind w:firstLine="480"/>
              <w:jc w:val="center"/>
              <w:rPr>
                <w:rFonts w:hint="eastAsia" w:ascii="仿宋" w:hAnsi="仿宋" w:eastAsia="仿宋" w:cs="仿宋"/>
                <w:sz w:val="24"/>
              </w:rPr>
            </w:pPr>
            <w:r>
              <w:rPr>
                <w:rFonts w:hint="eastAsia" w:ascii="仿宋" w:hAnsi="仿宋" w:eastAsia="仿宋" w:cs="仿宋"/>
                <w:sz w:val="24"/>
              </w:rPr>
              <w:t>…</w:t>
            </w:r>
          </w:p>
        </w:tc>
        <w:tc>
          <w:tcPr>
            <w:tcW w:w="1530" w:type="dxa"/>
            <w:noWrap w:val="0"/>
            <w:vAlign w:val="center"/>
          </w:tcPr>
          <w:p w14:paraId="3284B19C">
            <w:pPr>
              <w:spacing w:line="420" w:lineRule="exact"/>
              <w:ind w:firstLine="480"/>
              <w:jc w:val="center"/>
              <w:rPr>
                <w:rFonts w:hint="eastAsia" w:ascii="仿宋" w:hAnsi="仿宋" w:eastAsia="仿宋" w:cs="仿宋"/>
                <w:sz w:val="24"/>
              </w:rPr>
            </w:pPr>
          </w:p>
        </w:tc>
        <w:tc>
          <w:tcPr>
            <w:tcW w:w="1170" w:type="dxa"/>
            <w:noWrap w:val="0"/>
            <w:vAlign w:val="center"/>
          </w:tcPr>
          <w:p w14:paraId="2486A13D">
            <w:pPr>
              <w:spacing w:line="420" w:lineRule="exact"/>
              <w:ind w:firstLine="480"/>
              <w:jc w:val="center"/>
              <w:rPr>
                <w:rFonts w:hint="eastAsia" w:ascii="仿宋" w:hAnsi="仿宋" w:eastAsia="仿宋" w:cs="仿宋"/>
                <w:sz w:val="24"/>
              </w:rPr>
            </w:pPr>
          </w:p>
        </w:tc>
        <w:tc>
          <w:tcPr>
            <w:tcW w:w="1650" w:type="dxa"/>
            <w:noWrap w:val="0"/>
            <w:vAlign w:val="center"/>
          </w:tcPr>
          <w:p w14:paraId="4F65F526">
            <w:pPr>
              <w:spacing w:line="420" w:lineRule="exact"/>
              <w:ind w:firstLine="480"/>
              <w:jc w:val="center"/>
              <w:rPr>
                <w:rFonts w:hint="eastAsia" w:ascii="仿宋" w:hAnsi="仿宋" w:eastAsia="仿宋" w:cs="仿宋"/>
                <w:sz w:val="24"/>
              </w:rPr>
            </w:pPr>
          </w:p>
        </w:tc>
        <w:tc>
          <w:tcPr>
            <w:tcW w:w="1635" w:type="dxa"/>
            <w:noWrap w:val="0"/>
            <w:vAlign w:val="center"/>
          </w:tcPr>
          <w:p w14:paraId="2B2CC8DA">
            <w:pPr>
              <w:spacing w:line="420" w:lineRule="exact"/>
              <w:ind w:firstLine="480"/>
              <w:jc w:val="center"/>
              <w:rPr>
                <w:rFonts w:hint="eastAsia" w:ascii="仿宋" w:hAnsi="仿宋" w:eastAsia="仿宋" w:cs="仿宋"/>
                <w:sz w:val="24"/>
              </w:rPr>
            </w:pPr>
          </w:p>
        </w:tc>
        <w:tc>
          <w:tcPr>
            <w:tcW w:w="2160" w:type="dxa"/>
            <w:noWrap w:val="0"/>
            <w:vAlign w:val="center"/>
          </w:tcPr>
          <w:p w14:paraId="1A88E054">
            <w:pPr>
              <w:spacing w:line="420" w:lineRule="exact"/>
              <w:ind w:firstLine="480"/>
              <w:jc w:val="center"/>
              <w:rPr>
                <w:rFonts w:hint="eastAsia" w:ascii="仿宋" w:hAnsi="仿宋" w:eastAsia="仿宋" w:cs="仿宋"/>
                <w:sz w:val="24"/>
              </w:rPr>
            </w:pPr>
          </w:p>
        </w:tc>
        <w:tc>
          <w:tcPr>
            <w:tcW w:w="1454" w:type="dxa"/>
            <w:noWrap w:val="0"/>
            <w:vAlign w:val="center"/>
          </w:tcPr>
          <w:p w14:paraId="04D37308">
            <w:pPr>
              <w:spacing w:line="420" w:lineRule="exact"/>
              <w:ind w:firstLine="480"/>
              <w:jc w:val="center"/>
              <w:rPr>
                <w:rFonts w:hint="eastAsia" w:ascii="仿宋" w:hAnsi="仿宋" w:eastAsia="仿宋" w:cs="仿宋"/>
                <w:sz w:val="24"/>
              </w:rPr>
            </w:pPr>
          </w:p>
        </w:tc>
      </w:tr>
      <w:tr w14:paraId="7BCC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noWrap w:val="0"/>
            <w:vAlign w:val="center"/>
          </w:tcPr>
          <w:p w14:paraId="11F3EDD3">
            <w:pPr>
              <w:spacing w:line="420" w:lineRule="exact"/>
              <w:jc w:val="center"/>
              <w:rPr>
                <w:rFonts w:hint="eastAsia" w:ascii="仿宋" w:hAnsi="仿宋" w:eastAsia="仿宋" w:cs="仿宋"/>
                <w:sz w:val="24"/>
              </w:rPr>
            </w:pPr>
            <w:r>
              <w:rPr>
                <w:rFonts w:hint="eastAsia" w:ascii="仿宋" w:hAnsi="仿宋" w:eastAsia="仿宋" w:cs="仿宋"/>
                <w:sz w:val="24"/>
              </w:rPr>
              <w:t>3</w:t>
            </w:r>
          </w:p>
        </w:tc>
        <w:tc>
          <w:tcPr>
            <w:tcW w:w="3645" w:type="dxa"/>
            <w:noWrap w:val="0"/>
            <w:vAlign w:val="center"/>
          </w:tcPr>
          <w:p w14:paraId="662B9E47">
            <w:pPr>
              <w:spacing w:line="420" w:lineRule="exact"/>
              <w:ind w:firstLine="480"/>
              <w:jc w:val="center"/>
              <w:rPr>
                <w:rFonts w:hint="eastAsia" w:ascii="仿宋" w:hAnsi="仿宋" w:eastAsia="仿宋" w:cs="仿宋"/>
                <w:sz w:val="24"/>
              </w:rPr>
            </w:pPr>
            <w:r>
              <w:rPr>
                <w:rFonts w:hint="eastAsia" w:ascii="仿宋" w:hAnsi="仿宋" w:eastAsia="仿宋" w:cs="仿宋"/>
                <w:sz w:val="24"/>
              </w:rPr>
              <w:t>…</w:t>
            </w:r>
          </w:p>
        </w:tc>
        <w:tc>
          <w:tcPr>
            <w:tcW w:w="1530" w:type="dxa"/>
            <w:noWrap w:val="0"/>
            <w:vAlign w:val="center"/>
          </w:tcPr>
          <w:p w14:paraId="4C5AD025">
            <w:pPr>
              <w:spacing w:line="420" w:lineRule="exact"/>
              <w:ind w:firstLine="480"/>
              <w:jc w:val="center"/>
              <w:rPr>
                <w:rFonts w:hint="eastAsia" w:ascii="仿宋" w:hAnsi="仿宋" w:eastAsia="仿宋" w:cs="仿宋"/>
                <w:sz w:val="24"/>
              </w:rPr>
            </w:pPr>
          </w:p>
        </w:tc>
        <w:tc>
          <w:tcPr>
            <w:tcW w:w="1170" w:type="dxa"/>
            <w:noWrap w:val="0"/>
            <w:vAlign w:val="center"/>
          </w:tcPr>
          <w:p w14:paraId="5677C120">
            <w:pPr>
              <w:spacing w:line="420" w:lineRule="exact"/>
              <w:ind w:firstLine="480"/>
              <w:jc w:val="center"/>
              <w:rPr>
                <w:rFonts w:hint="eastAsia" w:ascii="仿宋" w:hAnsi="仿宋" w:eastAsia="仿宋" w:cs="仿宋"/>
                <w:sz w:val="24"/>
              </w:rPr>
            </w:pPr>
          </w:p>
        </w:tc>
        <w:tc>
          <w:tcPr>
            <w:tcW w:w="1650" w:type="dxa"/>
            <w:noWrap w:val="0"/>
            <w:vAlign w:val="center"/>
          </w:tcPr>
          <w:p w14:paraId="5C748F23">
            <w:pPr>
              <w:spacing w:line="420" w:lineRule="exact"/>
              <w:ind w:firstLine="480"/>
              <w:jc w:val="center"/>
              <w:rPr>
                <w:rFonts w:hint="eastAsia" w:ascii="仿宋" w:hAnsi="仿宋" w:eastAsia="仿宋" w:cs="仿宋"/>
                <w:sz w:val="24"/>
              </w:rPr>
            </w:pPr>
          </w:p>
        </w:tc>
        <w:tc>
          <w:tcPr>
            <w:tcW w:w="1635" w:type="dxa"/>
            <w:noWrap w:val="0"/>
            <w:vAlign w:val="center"/>
          </w:tcPr>
          <w:p w14:paraId="590AF39F">
            <w:pPr>
              <w:spacing w:line="420" w:lineRule="exact"/>
              <w:ind w:firstLine="480"/>
              <w:jc w:val="center"/>
              <w:rPr>
                <w:rFonts w:hint="eastAsia" w:ascii="仿宋" w:hAnsi="仿宋" w:eastAsia="仿宋" w:cs="仿宋"/>
                <w:sz w:val="24"/>
              </w:rPr>
            </w:pPr>
          </w:p>
        </w:tc>
        <w:tc>
          <w:tcPr>
            <w:tcW w:w="2160" w:type="dxa"/>
            <w:noWrap w:val="0"/>
            <w:vAlign w:val="center"/>
          </w:tcPr>
          <w:p w14:paraId="19C9E517">
            <w:pPr>
              <w:spacing w:line="420" w:lineRule="exact"/>
              <w:ind w:firstLine="480"/>
              <w:jc w:val="center"/>
              <w:rPr>
                <w:rFonts w:hint="eastAsia" w:ascii="仿宋" w:hAnsi="仿宋" w:eastAsia="仿宋" w:cs="仿宋"/>
                <w:sz w:val="24"/>
              </w:rPr>
            </w:pPr>
          </w:p>
        </w:tc>
        <w:tc>
          <w:tcPr>
            <w:tcW w:w="1454" w:type="dxa"/>
            <w:noWrap w:val="0"/>
            <w:vAlign w:val="center"/>
          </w:tcPr>
          <w:p w14:paraId="5BE25939">
            <w:pPr>
              <w:spacing w:line="420" w:lineRule="exact"/>
              <w:ind w:firstLine="480"/>
              <w:jc w:val="center"/>
              <w:rPr>
                <w:rFonts w:hint="eastAsia" w:ascii="仿宋" w:hAnsi="仿宋" w:eastAsia="仿宋" w:cs="仿宋"/>
                <w:sz w:val="24"/>
              </w:rPr>
            </w:pPr>
          </w:p>
        </w:tc>
      </w:tr>
      <w:tr w14:paraId="140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noWrap w:val="0"/>
            <w:vAlign w:val="center"/>
          </w:tcPr>
          <w:p w14:paraId="57194671">
            <w:pPr>
              <w:spacing w:line="420" w:lineRule="exact"/>
              <w:jc w:val="center"/>
              <w:rPr>
                <w:rFonts w:hint="eastAsia" w:ascii="仿宋" w:hAnsi="仿宋" w:eastAsia="仿宋" w:cs="仿宋"/>
                <w:sz w:val="24"/>
              </w:rPr>
            </w:pPr>
            <w:r>
              <w:rPr>
                <w:rFonts w:hint="eastAsia" w:ascii="仿宋" w:hAnsi="仿宋" w:eastAsia="仿宋" w:cs="仿宋"/>
                <w:sz w:val="24"/>
              </w:rPr>
              <w:t>6</w:t>
            </w:r>
          </w:p>
        </w:tc>
        <w:tc>
          <w:tcPr>
            <w:tcW w:w="3645" w:type="dxa"/>
            <w:noWrap w:val="0"/>
            <w:vAlign w:val="center"/>
          </w:tcPr>
          <w:p w14:paraId="17CC23BA">
            <w:pPr>
              <w:spacing w:line="420" w:lineRule="exact"/>
              <w:ind w:firstLine="480"/>
              <w:jc w:val="center"/>
              <w:rPr>
                <w:rFonts w:hint="eastAsia" w:ascii="仿宋" w:hAnsi="仿宋" w:eastAsia="仿宋" w:cs="仿宋"/>
                <w:sz w:val="24"/>
              </w:rPr>
            </w:pPr>
            <w:r>
              <w:rPr>
                <w:rFonts w:hint="eastAsia" w:ascii="仿宋" w:hAnsi="仿宋" w:eastAsia="仿宋" w:cs="仿宋"/>
                <w:sz w:val="24"/>
              </w:rPr>
              <w:t>备品备件</w:t>
            </w:r>
          </w:p>
        </w:tc>
        <w:tc>
          <w:tcPr>
            <w:tcW w:w="9599" w:type="dxa"/>
            <w:gridSpan w:val="6"/>
            <w:noWrap w:val="0"/>
            <w:vAlign w:val="center"/>
          </w:tcPr>
          <w:p w14:paraId="184EC4FD">
            <w:pPr>
              <w:spacing w:line="420" w:lineRule="exact"/>
              <w:ind w:firstLine="480"/>
              <w:jc w:val="center"/>
              <w:rPr>
                <w:rFonts w:hint="eastAsia" w:ascii="仿宋" w:hAnsi="仿宋" w:eastAsia="仿宋" w:cs="仿宋"/>
                <w:sz w:val="24"/>
              </w:rPr>
            </w:pPr>
          </w:p>
        </w:tc>
      </w:tr>
      <w:tr w14:paraId="6928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noWrap w:val="0"/>
            <w:vAlign w:val="center"/>
          </w:tcPr>
          <w:p w14:paraId="50D92FE6">
            <w:pPr>
              <w:spacing w:line="420" w:lineRule="exact"/>
              <w:jc w:val="center"/>
              <w:rPr>
                <w:rFonts w:hint="eastAsia" w:ascii="仿宋" w:hAnsi="仿宋" w:eastAsia="仿宋" w:cs="仿宋"/>
                <w:sz w:val="24"/>
              </w:rPr>
            </w:pPr>
            <w:r>
              <w:rPr>
                <w:rFonts w:hint="eastAsia" w:ascii="仿宋" w:hAnsi="仿宋" w:eastAsia="仿宋" w:cs="仿宋"/>
                <w:sz w:val="24"/>
              </w:rPr>
              <w:t>7</w:t>
            </w:r>
          </w:p>
        </w:tc>
        <w:tc>
          <w:tcPr>
            <w:tcW w:w="3645" w:type="dxa"/>
            <w:noWrap w:val="0"/>
            <w:vAlign w:val="center"/>
          </w:tcPr>
          <w:p w14:paraId="0D29A9CC">
            <w:pPr>
              <w:spacing w:line="420" w:lineRule="exact"/>
              <w:ind w:firstLine="480"/>
              <w:jc w:val="center"/>
              <w:rPr>
                <w:rFonts w:hint="eastAsia" w:ascii="仿宋" w:hAnsi="仿宋" w:eastAsia="仿宋" w:cs="仿宋"/>
                <w:sz w:val="24"/>
              </w:rPr>
            </w:pPr>
            <w:r>
              <w:rPr>
                <w:rFonts w:hint="eastAsia" w:ascii="仿宋" w:hAnsi="仿宋" w:eastAsia="仿宋" w:cs="仿宋"/>
                <w:sz w:val="24"/>
              </w:rPr>
              <w:t>专用工具</w:t>
            </w:r>
          </w:p>
        </w:tc>
        <w:tc>
          <w:tcPr>
            <w:tcW w:w="9599" w:type="dxa"/>
            <w:gridSpan w:val="6"/>
            <w:noWrap w:val="0"/>
            <w:vAlign w:val="center"/>
          </w:tcPr>
          <w:p w14:paraId="325B1E22">
            <w:pPr>
              <w:spacing w:line="420" w:lineRule="exact"/>
              <w:ind w:firstLine="480"/>
              <w:jc w:val="center"/>
              <w:rPr>
                <w:rFonts w:hint="eastAsia" w:ascii="仿宋" w:hAnsi="仿宋" w:eastAsia="仿宋" w:cs="仿宋"/>
                <w:sz w:val="24"/>
              </w:rPr>
            </w:pPr>
          </w:p>
        </w:tc>
      </w:tr>
      <w:tr w14:paraId="015F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noWrap w:val="0"/>
            <w:vAlign w:val="center"/>
          </w:tcPr>
          <w:p w14:paraId="37353430">
            <w:pPr>
              <w:spacing w:line="420" w:lineRule="exact"/>
              <w:jc w:val="center"/>
              <w:rPr>
                <w:rFonts w:hint="eastAsia" w:ascii="仿宋" w:hAnsi="仿宋" w:eastAsia="仿宋" w:cs="仿宋"/>
                <w:sz w:val="24"/>
              </w:rPr>
            </w:pPr>
            <w:r>
              <w:rPr>
                <w:rFonts w:hint="eastAsia" w:ascii="仿宋" w:hAnsi="仿宋" w:eastAsia="仿宋" w:cs="仿宋"/>
                <w:sz w:val="24"/>
              </w:rPr>
              <w:t>8</w:t>
            </w:r>
          </w:p>
        </w:tc>
        <w:tc>
          <w:tcPr>
            <w:tcW w:w="3645" w:type="dxa"/>
            <w:noWrap w:val="0"/>
            <w:vAlign w:val="center"/>
          </w:tcPr>
          <w:p w14:paraId="699546EA">
            <w:pPr>
              <w:spacing w:line="420" w:lineRule="exact"/>
              <w:ind w:firstLine="480"/>
              <w:jc w:val="center"/>
              <w:rPr>
                <w:rFonts w:hint="eastAsia" w:ascii="仿宋" w:hAnsi="仿宋" w:eastAsia="仿宋" w:cs="仿宋"/>
                <w:sz w:val="24"/>
              </w:rPr>
            </w:pPr>
            <w:r>
              <w:rPr>
                <w:rFonts w:hint="eastAsia" w:ascii="仿宋" w:hAnsi="仿宋" w:eastAsia="仿宋" w:cs="仿宋"/>
                <w:sz w:val="24"/>
              </w:rPr>
              <w:t>安装调试费</w:t>
            </w:r>
          </w:p>
        </w:tc>
        <w:tc>
          <w:tcPr>
            <w:tcW w:w="9599" w:type="dxa"/>
            <w:gridSpan w:val="6"/>
            <w:noWrap w:val="0"/>
            <w:vAlign w:val="center"/>
          </w:tcPr>
          <w:p w14:paraId="7B45FFD9">
            <w:pPr>
              <w:spacing w:line="420" w:lineRule="exact"/>
              <w:ind w:firstLine="480"/>
              <w:jc w:val="center"/>
              <w:rPr>
                <w:rFonts w:hint="eastAsia" w:ascii="仿宋" w:hAnsi="仿宋" w:eastAsia="仿宋" w:cs="仿宋"/>
                <w:sz w:val="24"/>
              </w:rPr>
            </w:pPr>
          </w:p>
        </w:tc>
      </w:tr>
      <w:tr w14:paraId="0A2E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noWrap w:val="0"/>
            <w:vAlign w:val="center"/>
          </w:tcPr>
          <w:p w14:paraId="56CA475D">
            <w:pPr>
              <w:spacing w:line="420" w:lineRule="exact"/>
              <w:jc w:val="center"/>
              <w:rPr>
                <w:rFonts w:hint="eastAsia" w:ascii="仿宋" w:hAnsi="仿宋" w:eastAsia="仿宋" w:cs="仿宋"/>
                <w:sz w:val="24"/>
              </w:rPr>
            </w:pPr>
            <w:r>
              <w:rPr>
                <w:rFonts w:hint="eastAsia" w:ascii="仿宋" w:hAnsi="仿宋" w:eastAsia="仿宋" w:cs="仿宋"/>
                <w:sz w:val="24"/>
              </w:rPr>
              <w:t>9</w:t>
            </w:r>
          </w:p>
        </w:tc>
        <w:tc>
          <w:tcPr>
            <w:tcW w:w="3645" w:type="dxa"/>
            <w:noWrap w:val="0"/>
            <w:vAlign w:val="center"/>
          </w:tcPr>
          <w:p w14:paraId="0C4AD18C">
            <w:pPr>
              <w:spacing w:line="420" w:lineRule="exact"/>
              <w:ind w:firstLine="480"/>
              <w:jc w:val="center"/>
              <w:rPr>
                <w:rFonts w:hint="eastAsia" w:ascii="仿宋" w:hAnsi="仿宋" w:eastAsia="仿宋" w:cs="仿宋"/>
                <w:sz w:val="24"/>
              </w:rPr>
            </w:pPr>
            <w:r>
              <w:rPr>
                <w:rFonts w:hint="eastAsia" w:ascii="仿宋" w:hAnsi="仿宋" w:eastAsia="仿宋" w:cs="仿宋"/>
                <w:sz w:val="24"/>
              </w:rPr>
              <w:t>运杂费</w:t>
            </w:r>
          </w:p>
        </w:tc>
        <w:tc>
          <w:tcPr>
            <w:tcW w:w="9599" w:type="dxa"/>
            <w:gridSpan w:val="6"/>
            <w:noWrap w:val="0"/>
            <w:vAlign w:val="center"/>
          </w:tcPr>
          <w:p w14:paraId="4237E6A5">
            <w:pPr>
              <w:spacing w:line="420" w:lineRule="exact"/>
              <w:ind w:firstLine="480"/>
              <w:jc w:val="center"/>
              <w:rPr>
                <w:rFonts w:hint="eastAsia" w:ascii="仿宋" w:hAnsi="仿宋" w:eastAsia="仿宋" w:cs="仿宋"/>
                <w:sz w:val="24"/>
              </w:rPr>
            </w:pPr>
          </w:p>
        </w:tc>
      </w:tr>
      <w:tr w14:paraId="3DB5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exact"/>
        </w:trPr>
        <w:tc>
          <w:tcPr>
            <w:tcW w:w="883" w:type="dxa"/>
            <w:noWrap w:val="0"/>
            <w:vAlign w:val="center"/>
          </w:tcPr>
          <w:p w14:paraId="5694FB20">
            <w:pPr>
              <w:spacing w:line="420" w:lineRule="exact"/>
              <w:jc w:val="center"/>
              <w:rPr>
                <w:rFonts w:hint="eastAsia" w:ascii="仿宋" w:hAnsi="仿宋" w:eastAsia="仿宋" w:cs="仿宋"/>
                <w:sz w:val="24"/>
              </w:rPr>
            </w:pPr>
          </w:p>
        </w:tc>
        <w:tc>
          <w:tcPr>
            <w:tcW w:w="3645" w:type="dxa"/>
            <w:noWrap w:val="0"/>
            <w:vAlign w:val="center"/>
          </w:tcPr>
          <w:p w14:paraId="04643EC8">
            <w:pPr>
              <w:spacing w:line="420" w:lineRule="exact"/>
              <w:ind w:firstLine="480"/>
              <w:jc w:val="center"/>
              <w:rPr>
                <w:rFonts w:hint="eastAsia" w:ascii="仿宋" w:hAnsi="仿宋" w:eastAsia="仿宋" w:cs="仿宋"/>
                <w:sz w:val="24"/>
              </w:rPr>
            </w:pPr>
            <w:r>
              <w:rPr>
                <w:rFonts w:hint="eastAsia" w:ascii="仿宋" w:hAnsi="仿宋" w:eastAsia="仿宋" w:cs="仿宋"/>
                <w:sz w:val="24"/>
              </w:rPr>
              <w:t>…</w:t>
            </w:r>
          </w:p>
        </w:tc>
        <w:tc>
          <w:tcPr>
            <w:tcW w:w="9599" w:type="dxa"/>
            <w:gridSpan w:val="6"/>
            <w:noWrap w:val="0"/>
            <w:vAlign w:val="center"/>
          </w:tcPr>
          <w:p w14:paraId="3F0EDE35">
            <w:pPr>
              <w:spacing w:line="420" w:lineRule="exact"/>
              <w:ind w:firstLine="480"/>
              <w:jc w:val="center"/>
              <w:rPr>
                <w:rFonts w:hint="eastAsia" w:ascii="仿宋" w:hAnsi="仿宋" w:eastAsia="仿宋" w:cs="仿宋"/>
                <w:sz w:val="24"/>
              </w:rPr>
            </w:pPr>
          </w:p>
        </w:tc>
      </w:tr>
      <w:tr w14:paraId="64C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528" w:type="dxa"/>
            <w:gridSpan w:val="2"/>
            <w:noWrap w:val="0"/>
            <w:vAlign w:val="center"/>
          </w:tcPr>
          <w:p w14:paraId="7B95F87D">
            <w:pPr>
              <w:spacing w:line="420" w:lineRule="exact"/>
              <w:ind w:firstLine="480"/>
              <w:jc w:val="center"/>
              <w:rPr>
                <w:rFonts w:hint="eastAsia" w:ascii="仿宋" w:hAnsi="仿宋" w:eastAsia="仿宋" w:cs="仿宋"/>
                <w:sz w:val="24"/>
              </w:rPr>
            </w:pPr>
            <w:r>
              <w:rPr>
                <w:rFonts w:hint="eastAsia" w:ascii="仿宋" w:hAnsi="仿宋" w:eastAsia="仿宋" w:cs="仿宋"/>
                <w:sz w:val="24"/>
              </w:rPr>
              <w:t>合计总价（万元）</w:t>
            </w:r>
          </w:p>
        </w:tc>
        <w:tc>
          <w:tcPr>
            <w:tcW w:w="9599" w:type="dxa"/>
            <w:gridSpan w:val="6"/>
            <w:noWrap w:val="0"/>
            <w:vAlign w:val="center"/>
          </w:tcPr>
          <w:p w14:paraId="0C8AD86D">
            <w:pPr>
              <w:spacing w:line="420" w:lineRule="exact"/>
              <w:ind w:firstLine="480"/>
              <w:jc w:val="center"/>
              <w:rPr>
                <w:rFonts w:hint="eastAsia" w:ascii="仿宋" w:hAnsi="仿宋" w:eastAsia="仿宋" w:cs="仿宋"/>
                <w:sz w:val="24"/>
              </w:rPr>
            </w:pPr>
          </w:p>
        </w:tc>
      </w:tr>
    </w:tbl>
    <w:p w14:paraId="5F5083E4">
      <w:pPr>
        <w:keepNext w:val="0"/>
        <w:keepLines w:val="0"/>
        <w:pageBreakBefore w:val="0"/>
        <w:widowControl w:val="0"/>
        <w:kinsoku/>
        <w:wordWrap/>
        <w:overflowPunct/>
        <w:topLinePunct w:val="0"/>
        <w:autoSpaceDE/>
        <w:autoSpaceDN/>
        <w:bidi w:val="0"/>
        <w:adjustRightInd/>
        <w:snapToGrid/>
        <w:spacing w:beforeLines="50" w:line="400" w:lineRule="exact"/>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注：1、如果按单价计算的结果与总价不一致，以单价为准修正总价。</w:t>
      </w:r>
    </w:p>
    <w:p w14:paraId="7A223719">
      <w:pPr>
        <w:pStyle w:val="10"/>
        <w:keepNext w:val="0"/>
        <w:keepLines w:val="0"/>
        <w:pageBreakBefore w:val="0"/>
        <w:widowControl w:val="0"/>
        <w:kinsoku/>
        <w:wordWrap/>
        <w:overflowPunct/>
        <w:topLinePunct w:val="0"/>
        <w:autoSpaceDE/>
        <w:autoSpaceDN/>
        <w:bidi w:val="0"/>
        <w:adjustRightInd/>
        <w:snapToGrid/>
        <w:spacing w:line="400" w:lineRule="exact"/>
        <w:ind w:right="-15"/>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2、供应商须参照第</w:t>
      </w:r>
      <w:r>
        <w:rPr>
          <w:rFonts w:hint="eastAsia" w:ascii="仿宋" w:hAnsi="仿宋" w:eastAsia="仿宋" w:cs="仿宋"/>
          <w:color w:val="000000"/>
          <w:sz w:val="28"/>
          <w:highlight w:val="none"/>
          <w:lang w:val="en-US" w:eastAsia="zh-CN"/>
        </w:rPr>
        <w:t>四</w:t>
      </w:r>
      <w:r>
        <w:rPr>
          <w:rFonts w:hint="eastAsia" w:ascii="仿宋" w:hAnsi="仿宋" w:eastAsia="仿宋" w:cs="仿宋"/>
          <w:color w:val="000000"/>
          <w:sz w:val="28"/>
          <w:highlight w:val="none"/>
        </w:rPr>
        <w:t>章各包所列明的内容全部报价。如果不提供详细分项报价视为未实质性响应招标文件。</w:t>
      </w:r>
    </w:p>
    <w:p w14:paraId="54A59410">
      <w:pPr>
        <w:pStyle w:val="34"/>
        <w:keepNext w:val="0"/>
        <w:keepLines w:val="0"/>
        <w:pageBreakBefore w:val="0"/>
        <w:widowControl w:val="0"/>
        <w:kinsoku/>
        <w:wordWrap/>
        <w:overflowPunct/>
        <w:topLinePunct w:val="0"/>
        <w:autoSpaceDE/>
        <w:autoSpaceDN/>
        <w:bidi w:val="0"/>
        <w:adjustRightInd/>
        <w:snapToGrid/>
        <w:spacing w:line="400" w:lineRule="exact"/>
        <w:ind w:firstLine="560"/>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或</w:t>
      </w:r>
      <w:r>
        <w:rPr>
          <w:rFonts w:hint="eastAsia" w:ascii="仿宋" w:hAnsi="仿宋" w:eastAsia="仿宋" w:cs="仿宋"/>
          <w:color w:val="000000"/>
          <w:highlight w:val="none"/>
        </w:rPr>
        <w:t>法定代表授权委托人：（签字）</w:t>
      </w:r>
      <w:r>
        <w:rPr>
          <w:rFonts w:hint="eastAsia" w:ascii="仿宋" w:hAnsi="仿宋" w:eastAsia="仿宋" w:cs="仿宋"/>
          <w:color w:val="000000"/>
          <w:highlight w:val="none"/>
          <w:lang w:val="en-US" w:eastAsia="zh-CN"/>
        </w:rPr>
        <w:t xml:space="preserve">                  投标单位名称</w:t>
      </w:r>
      <w:r>
        <w:rPr>
          <w:rFonts w:hint="eastAsia" w:ascii="仿宋" w:hAnsi="仿宋" w:eastAsia="仿宋" w:cs="仿宋"/>
          <w:color w:val="000000"/>
          <w:highlight w:val="none"/>
        </w:rPr>
        <w:t>：（公章）</w:t>
      </w:r>
    </w:p>
    <w:p w14:paraId="51B61EC8">
      <w:pPr>
        <w:pStyle w:val="10"/>
        <w:keepNext w:val="0"/>
        <w:keepLines w:val="0"/>
        <w:pageBreakBefore w:val="0"/>
        <w:widowControl w:val="0"/>
        <w:kinsoku/>
        <w:wordWrap/>
        <w:overflowPunct/>
        <w:topLinePunct w:val="0"/>
        <w:autoSpaceDE/>
        <w:autoSpaceDN/>
        <w:bidi w:val="0"/>
        <w:adjustRightInd/>
        <w:snapToGrid/>
        <w:spacing w:line="400" w:lineRule="exact"/>
        <w:ind w:right="-553"/>
        <w:jc w:val="right"/>
        <w:textAlignment w:val="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E75338F">
      <w:pPr>
        <w:pStyle w:val="10"/>
        <w:spacing w:line="360" w:lineRule="auto"/>
        <w:ind w:right="-553"/>
        <w:jc w:val="right"/>
        <w:outlineLvl w:val="9"/>
        <w:rPr>
          <w:rFonts w:hint="eastAsia" w:ascii="仿宋" w:hAnsi="仿宋" w:eastAsia="仿宋" w:cs="仿宋"/>
          <w:color w:val="000000"/>
          <w:sz w:val="28"/>
          <w:highlight w:val="none"/>
        </w:rPr>
      </w:pPr>
    </w:p>
    <w:p w14:paraId="78A50A1F">
      <w:pPr>
        <w:pStyle w:val="3"/>
        <w:rPr>
          <w:rFonts w:hint="eastAsia" w:ascii="仿宋" w:hAnsi="仿宋" w:eastAsia="仿宋" w:cs="仿宋"/>
        </w:rPr>
      </w:pPr>
      <w:bookmarkStart w:id="113" w:name="_Toc29938"/>
      <w:r>
        <w:rPr>
          <w:rFonts w:hint="eastAsia" w:ascii="仿宋" w:hAnsi="仿宋" w:eastAsia="仿宋" w:cs="仿宋"/>
        </w:rPr>
        <w:t>附件十、技术规格偏离表</w:t>
      </w:r>
      <w:bookmarkEnd w:id="113"/>
    </w:p>
    <w:tbl>
      <w:tblPr>
        <w:tblStyle w:val="26"/>
        <w:tblW w:w="0" w:type="auto"/>
        <w:jc w:val="center"/>
        <w:tblLayout w:type="fixed"/>
        <w:tblCellMar>
          <w:top w:w="0" w:type="dxa"/>
          <w:left w:w="108" w:type="dxa"/>
          <w:bottom w:w="0" w:type="dxa"/>
          <w:right w:w="108" w:type="dxa"/>
        </w:tblCellMar>
      </w:tblPr>
      <w:tblGrid>
        <w:gridCol w:w="918"/>
        <w:gridCol w:w="3762"/>
        <w:gridCol w:w="3583"/>
        <w:gridCol w:w="3342"/>
        <w:gridCol w:w="2435"/>
      </w:tblGrid>
      <w:tr w14:paraId="28D859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AC1498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762" w:type="dxa"/>
            <w:tcBorders>
              <w:top w:val="single" w:color="auto" w:sz="6" w:space="0"/>
              <w:left w:val="single" w:color="auto" w:sz="6" w:space="0"/>
              <w:bottom w:val="single" w:color="auto" w:sz="6" w:space="0"/>
              <w:right w:val="single" w:color="auto" w:sz="6" w:space="0"/>
            </w:tcBorders>
            <w:vAlign w:val="center"/>
          </w:tcPr>
          <w:p w14:paraId="1405F96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14:paraId="101004A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14:paraId="1AF34DA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14:paraId="7843B9A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响应/偏离</w:t>
            </w:r>
          </w:p>
        </w:tc>
      </w:tr>
      <w:tr w14:paraId="37688D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78C7E17">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113C9FE">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6DA3B103">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71655B71">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6A76D3EA">
            <w:pPr>
              <w:spacing w:line="360" w:lineRule="auto"/>
              <w:ind w:firstLine="420"/>
              <w:jc w:val="center"/>
              <w:rPr>
                <w:rFonts w:hint="eastAsia" w:ascii="仿宋" w:hAnsi="仿宋" w:eastAsia="仿宋" w:cs="仿宋"/>
                <w:color w:val="000000"/>
                <w:sz w:val="24"/>
                <w:szCs w:val="24"/>
              </w:rPr>
            </w:pPr>
          </w:p>
        </w:tc>
      </w:tr>
      <w:tr w14:paraId="617315C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6035E3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A091A03">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A6155A0">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3BDE68D3">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0C3B33BB">
            <w:pPr>
              <w:spacing w:line="360" w:lineRule="auto"/>
              <w:ind w:firstLine="420"/>
              <w:jc w:val="center"/>
              <w:rPr>
                <w:rFonts w:hint="eastAsia" w:ascii="仿宋" w:hAnsi="仿宋" w:eastAsia="仿宋" w:cs="仿宋"/>
                <w:color w:val="000000"/>
                <w:sz w:val="24"/>
                <w:szCs w:val="24"/>
              </w:rPr>
            </w:pPr>
          </w:p>
        </w:tc>
      </w:tr>
      <w:tr w14:paraId="2A64A9C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D7DC416">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D210DB">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72AF7936">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5C32B05C">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29D8B8EA">
            <w:pPr>
              <w:spacing w:line="360" w:lineRule="auto"/>
              <w:ind w:firstLine="420"/>
              <w:jc w:val="center"/>
              <w:rPr>
                <w:rFonts w:hint="eastAsia" w:ascii="仿宋" w:hAnsi="仿宋" w:eastAsia="仿宋" w:cs="仿宋"/>
                <w:color w:val="000000"/>
                <w:sz w:val="24"/>
                <w:szCs w:val="24"/>
              </w:rPr>
            </w:pPr>
          </w:p>
        </w:tc>
      </w:tr>
      <w:tr w14:paraId="3A027E9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B4678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B87E6F0">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957F1BB">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5313CA7F">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66DF4057">
            <w:pPr>
              <w:spacing w:line="360" w:lineRule="auto"/>
              <w:ind w:firstLine="420"/>
              <w:jc w:val="center"/>
              <w:rPr>
                <w:rFonts w:hint="eastAsia" w:ascii="仿宋" w:hAnsi="仿宋" w:eastAsia="仿宋" w:cs="仿宋"/>
                <w:color w:val="000000"/>
                <w:sz w:val="24"/>
                <w:szCs w:val="24"/>
              </w:rPr>
            </w:pPr>
          </w:p>
        </w:tc>
      </w:tr>
      <w:tr w14:paraId="3B22CD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F0E36F">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ACDAEC">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4AF6A8C4">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2C4D3333">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7023F86F">
            <w:pPr>
              <w:spacing w:line="360" w:lineRule="auto"/>
              <w:ind w:firstLine="420"/>
              <w:jc w:val="center"/>
              <w:rPr>
                <w:rFonts w:hint="eastAsia" w:ascii="仿宋" w:hAnsi="仿宋" w:eastAsia="仿宋" w:cs="仿宋"/>
                <w:color w:val="000000"/>
                <w:sz w:val="24"/>
                <w:szCs w:val="24"/>
              </w:rPr>
            </w:pPr>
          </w:p>
        </w:tc>
      </w:tr>
      <w:tr w14:paraId="1F434B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BFE7B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5C72132">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3F1E3297">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48D70BFB">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3DBA9281">
            <w:pPr>
              <w:spacing w:line="360" w:lineRule="auto"/>
              <w:ind w:firstLine="420"/>
              <w:jc w:val="center"/>
              <w:rPr>
                <w:rFonts w:hint="eastAsia" w:ascii="仿宋" w:hAnsi="仿宋" w:eastAsia="仿宋" w:cs="仿宋"/>
                <w:color w:val="000000"/>
                <w:sz w:val="24"/>
                <w:szCs w:val="24"/>
              </w:rPr>
            </w:pPr>
          </w:p>
        </w:tc>
      </w:tr>
      <w:tr w14:paraId="15B138C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59CCCC">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4B10823E">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F9CC44B">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14E61C69">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7745BA6D">
            <w:pPr>
              <w:spacing w:line="360" w:lineRule="auto"/>
              <w:ind w:firstLine="420"/>
              <w:jc w:val="center"/>
              <w:rPr>
                <w:rFonts w:hint="eastAsia" w:ascii="仿宋" w:hAnsi="仿宋" w:eastAsia="仿宋" w:cs="仿宋"/>
                <w:color w:val="000000"/>
                <w:sz w:val="24"/>
                <w:szCs w:val="24"/>
              </w:rPr>
            </w:pPr>
          </w:p>
        </w:tc>
      </w:tr>
      <w:tr w14:paraId="6DD7794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7FEA7A">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93E3DC">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35BF8AAD">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7541AD3E">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43D525DD">
            <w:pPr>
              <w:spacing w:line="360" w:lineRule="auto"/>
              <w:ind w:firstLine="420"/>
              <w:jc w:val="center"/>
              <w:rPr>
                <w:rFonts w:hint="eastAsia" w:ascii="仿宋" w:hAnsi="仿宋" w:eastAsia="仿宋" w:cs="仿宋"/>
                <w:color w:val="000000"/>
                <w:sz w:val="24"/>
                <w:szCs w:val="24"/>
              </w:rPr>
            </w:pPr>
          </w:p>
        </w:tc>
      </w:tr>
    </w:tbl>
    <w:p w14:paraId="08CC71B2">
      <w:pPr>
        <w:spacing w:line="240" w:lineRule="auto"/>
        <w:ind w:firstLine="562"/>
        <w:rPr>
          <w:rFonts w:hint="eastAsia" w:ascii="仿宋" w:hAnsi="仿宋" w:eastAsia="仿宋" w:cs="仿宋"/>
          <w:color w:val="000000"/>
          <w:kern w:val="0"/>
          <w:sz w:val="24"/>
        </w:rPr>
      </w:pPr>
      <w:r>
        <w:rPr>
          <w:rFonts w:hint="eastAsia" w:ascii="仿宋" w:hAnsi="仿宋" w:eastAsia="仿宋" w:cs="仿宋"/>
          <w:color w:val="000000"/>
          <w:sz w:val="28"/>
        </w:rPr>
        <w:t>（供应商须对第三章所有技术参数条款逐条列明是否响应，如有偏离，须一一列明。</w:t>
      </w:r>
    </w:p>
    <w:p w14:paraId="1D73C3C1">
      <w:pPr>
        <w:pStyle w:val="10"/>
        <w:spacing w:line="360" w:lineRule="auto"/>
        <w:ind w:right="-553" w:firstLine="537" w:firstLineChars="192"/>
        <w:rPr>
          <w:rFonts w:hint="eastAsia" w:ascii="仿宋" w:hAnsi="仿宋" w:eastAsia="仿宋" w:cs="仿宋"/>
          <w:color w:val="000000"/>
          <w:sz w:val="28"/>
        </w:rPr>
      </w:pPr>
      <w:r>
        <w:rPr>
          <w:rFonts w:hint="eastAsia" w:ascii="仿宋" w:hAnsi="仿宋" w:eastAsia="仿宋" w:cs="仿宋"/>
          <w:color w:val="000000"/>
          <w:sz w:val="28"/>
          <w:lang w:eastAsia="zh-CN"/>
        </w:rPr>
        <w:t>法定代表人或授权代表人签字</w:t>
      </w:r>
      <w:r>
        <w:rPr>
          <w:rFonts w:hint="eastAsia" w:ascii="仿宋" w:hAnsi="仿宋" w:eastAsia="仿宋" w:cs="仿宋"/>
          <w:color w:val="000000"/>
          <w:sz w:val="28"/>
        </w:rPr>
        <w:t xml:space="preserve">                                            投标单位公章：</w:t>
      </w:r>
    </w:p>
    <w:p w14:paraId="7079442B">
      <w:pPr>
        <w:pStyle w:val="10"/>
        <w:spacing w:line="360" w:lineRule="auto"/>
        <w:ind w:right="-553"/>
        <w:jc w:val="right"/>
        <w:rPr>
          <w:rFonts w:hint="eastAsia" w:ascii="仿宋" w:hAnsi="仿宋" w:eastAsia="仿宋" w:cs="仿宋"/>
          <w:color w:val="000000"/>
          <w:sz w:val="28"/>
        </w:rPr>
      </w:pPr>
      <w:r>
        <w:rPr>
          <w:rFonts w:hint="eastAsia" w:ascii="仿宋" w:hAnsi="仿宋" w:eastAsia="仿宋" w:cs="仿宋"/>
          <w:color w:val="000000"/>
          <w:sz w:val="28"/>
          <w:u w:val="single"/>
        </w:rPr>
        <w:t xml:space="preserve">      </w:t>
      </w:r>
      <w:r>
        <w:rPr>
          <w:rFonts w:hint="eastAsia" w:ascii="仿宋" w:hAnsi="仿宋" w:eastAsia="仿宋" w:cs="仿宋"/>
          <w:color w:val="000000"/>
          <w:sz w:val="28"/>
        </w:rPr>
        <w:t>年</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月</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日</w:t>
      </w:r>
    </w:p>
    <w:p w14:paraId="2FD700EB">
      <w:pPr>
        <w:pStyle w:val="3"/>
        <w:rPr>
          <w:rFonts w:hint="eastAsia" w:ascii="仿宋" w:hAnsi="仿宋" w:eastAsia="仿宋" w:cs="仿宋"/>
        </w:rPr>
      </w:pPr>
      <w:bookmarkStart w:id="114" w:name="_Toc17315"/>
      <w:bookmarkEnd w:id="114"/>
      <w:bookmarkStart w:id="115" w:name="_Toc56170402"/>
      <w:bookmarkEnd w:id="115"/>
      <w:bookmarkStart w:id="116" w:name="_Toc82497935"/>
      <w:bookmarkEnd w:id="116"/>
      <w:r>
        <w:rPr>
          <w:rFonts w:hint="eastAsia" w:ascii="仿宋" w:hAnsi="仿宋" w:eastAsia="仿宋" w:cs="仿宋"/>
          <w:sz w:val="42"/>
        </w:rPr>
        <w:br w:type="page"/>
      </w:r>
      <w:bookmarkStart w:id="117" w:name="_Toc16210"/>
      <w:r>
        <w:rPr>
          <w:rFonts w:hint="eastAsia" w:ascii="仿宋" w:hAnsi="仿宋" w:eastAsia="仿宋" w:cs="仿宋"/>
        </w:rPr>
        <w:t>附件十一、商务条款偏离表</w:t>
      </w:r>
      <w:bookmarkEnd w:id="117"/>
    </w:p>
    <w:tbl>
      <w:tblPr>
        <w:tblStyle w:val="26"/>
        <w:tblW w:w="14287" w:type="dxa"/>
        <w:jc w:val="center"/>
        <w:tblLayout w:type="fixed"/>
        <w:tblCellMar>
          <w:top w:w="0" w:type="dxa"/>
          <w:left w:w="108" w:type="dxa"/>
          <w:bottom w:w="0" w:type="dxa"/>
          <w:right w:w="108" w:type="dxa"/>
        </w:tblCellMar>
      </w:tblPr>
      <w:tblGrid>
        <w:gridCol w:w="1165"/>
        <w:gridCol w:w="1806"/>
        <w:gridCol w:w="3576"/>
        <w:gridCol w:w="4320"/>
        <w:gridCol w:w="3420"/>
      </w:tblGrid>
      <w:tr w14:paraId="536E82F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9907B12">
            <w:pPr>
              <w:spacing w:line="360" w:lineRule="auto"/>
              <w:ind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806" w:type="dxa"/>
            <w:tcBorders>
              <w:top w:val="single" w:color="auto" w:sz="6" w:space="0"/>
              <w:left w:val="single" w:color="auto" w:sz="6" w:space="0"/>
              <w:bottom w:val="single" w:color="auto" w:sz="6" w:space="0"/>
              <w:right w:val="single" w:color="auto" w:sz="6" w:space="0"/>
            </w:tcBorders>
            <w:vAlign w:val="center"/>
          </w:tcPr>
          <w:p w14:paraId="502B0067">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14:paraId="6774B8A0">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14:paraId="500C6B3F">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14:paraId="28B37176">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响应/偏离</w:t>
            </w:r>
          </w:p>
        </w:tc>
      </w:tr>
      <w:tr w14:paraId="5B2E9F0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0AE3C3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B6252E7">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3EE38CB5">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6B333222">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017F8DA">
            <w:pPr>
              <w:spacing w:line="360" w:lineRule="auto"/>
              <w:ind w:firstLine="420"/>
              <w:jc w:val="center"/>
              <w:rPr>
                <w:rFonts w:hint="eastAsia" w:ascii="仿宋" w:hAnsi="仿宋" w:eastAsia="仿宋" w:cs="仿宋"/>
                <w:color w:val="000000"/>
                <w:sz w:val="24"/>
                <w:szCs w:val="24"/>
              </w:rPr>
            </w:pPr>
          </w:p>
        </w:tc>
      </w:tr>
      <w:tr w14:paraId="26A2176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0AEF2C8">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74A5EE9E">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3E247912">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25DC0F78">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6CC1B9DF">
            <w:pPr>
              <w:spacing w:line="360" w:lineRule="auto"/>
              <w:ind w:firstLine="420"/>
              <w:jc w:val="center"/>
              <w:rPr>
                <w:rFonts w:hint="eastAsia" w:ascii="仿宋" w:hAnsi="仿宋" w:eastAsia="仿宋" w:cs="仿宋"/>
                <w:color w:val="000000"/>
                <w:sz w:val="24"/>
                <w:szCs w:val="24"/>
              </w:rPr>
            </w:pPr>
          </w:p>
        </w:tc>
      </w:tr>
      <w:tr w14:paraId="13E5029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EF86D3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1FC8C7D9">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18996D68">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3844605F">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7EC3822">
            <w:pPr>
              <w:spacing w:line="360" w:lineRule="auto"/>
              <w:ind w:firstLine="420"/>
              <w:jc w:val="center"/>
              <w:rPr>
                <w:rFonts w:hint="eastAsia" w:ascii="仿宋" w:hAnsi="仿宋" w:eastAsia="仿宋" w:cs="仿宋"/>
                <w:color w:val="000000"/>
                <w:sz w:val="24"/>
                <w:szCs w:val="24"/>
              </w:rPr>
            </w:pPr>
          </w:p>
        </w:tc>
      </w:tr>
      <w:tr w14:paraId="2456E493">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CB19464">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D5D0770">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6116AA6A">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5A465874">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95778C6">
            <w:pPr>
              <w:spacing w:line="360" w:lineRule="auto"/>
              <w:ind w:firstLine="420"/>
              <w:jc w:val="center"/>
              <w:rPr>
                <w:rFonts w:hint="eastAsia" w:ascii="仿宋" w:hAnsi="仿宋" w:eastAsia="仿宋" w:cs="仿宋"/>
                <w:color w:val="000000"/>
                <w:sz w:val="24"/>
                <w:szCs w:val="24"/>
              </w:rPr>
            </w:pPr>
          </w:p>
        </w:tc>
      </w:tr>
      <w:tr w14:paraId="1E09F7E2">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1EE7602B">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E761400">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2BFDF227">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782907D6">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3134C973">
            <w:pPr>
              <w:spacing w:line="360" w:lineRule="auto"/>
              <w:ind w:firstLine="420"/>
              <w:jc w:val="center"/>
              <w:rPr>
                <w:rFonts w:hint="eastAsia" w:ascii="仿宋" w:hAnsi="仿宋" w:eastAsia="仿宋" w:cs="仿宋"/>
                <w:color w:val="000000"/>
                <w:sz w:val="24"/>
                <w:szCs w:val="24"/>
              </w:rPr>
            </w:pPr>
          </w:p>
        </w:tc>
      </w:tr>
      <w:tr w14:paraId="4BD1F0D8">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D5501BD">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7262E7E6">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57BE06E5">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6E13D311">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48DD771A">
            <w:pPr>
              <w:spacing w:line="360" w:lineRule="auto"/>
              <w:ind w:firstLine="420"/>
              <w:jc w:val="center"/>
              <w:rPr>
                <w:rFonts w:hint="eastAsia" w:ascii="仿宋" w:hAnsi="仿宋" w:eastAsia="仿宋" w:cs="仿宋"/>
                <w:color w:val="000000"/>
                <w:sz w:val="24"/>
                <w:szCs w:val="24"/>
              </w:rPr>
            </w:pPr>
          </w:p>
        </w:tc>
      </w:tr>
      <w:tr w14:paraId="43C4FC5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49FEA96">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265CEF4C">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46CC58E4">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4B887964">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5CB40DE9">
            <w:pPr>
              <w:spacing w:line="360" w:lineRule="auto"/>
              <w:ind w:firstLine="420"/>
              <w:jc w:val="center"/>
              <w:rPr>
                <w:rFonts w:hint="eastAsia" w:ascii="仿宋" w:hAnsi="仿宋" w:eastAsia="仿宋" w:cs="仿宋"/>
                <w:color w:val="000000"/>
                <w:sz w:val="24"/>
                <w:szCs w:val="24"/>
              </w:rPr>
            </w:pPr>
          </w:p>
        </w:tc>
      </w:tr>
      <w:tr w14:paraId="5190B93E">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E74454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34657AD7">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08AD9AF6">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45274EF2">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8E41C18">
            <w:pPr>
              <w:spacing w:line="360" w:lineRule="auto"/>
              <w:ind w:firstLine="420"/>
              <w:jc w:val="center"/>
              <w:rPr>
                <w:rFonts w:hint="eastAsia" w:ascii="仿宋" w:hAnsi="仿宋" w:eastAsia="仿宋" w:cs="仿宋"/>
                <w:color w:val="000000"/>
                <w:sz w:val="24"/>
                <w:szCs w:val="24"/>
              </w:rPr>
            </w:pPr>
          </w:p>
        </w:tc>
      </w:tr>
    </w:tbl>
    <w:p w14:paraId="3F901420">
      <w:pPr>
        <w:pStyle w:val="10"/>
        <w:spacing w:line="360" w:lineRule="auto"/>
        <w:ind w:right="-553" w:firstLine="537" w:firstLineChars="192"/>
        <w:rPr>
          <w:rFonts w:hint="eastAsia" w:ascii="仿宋" w:hAnsi="仿宋" w:eastAsia="仿宋" w:cs="仿宋"/>
          <w:color w:val="000000"/>
          <w:sz w:val="28"/>
        </w:rPr>
      </w:pPr>
      <w:r>
        <w:rPr>
          <w:rFonts w:hint="eastAsia" w:ascii="仿宋" w:hAnsi="仿宋" w:eastAsia="仿宋" w:cs="仿宋"/>
          <w:color w:val="000000"/>
          <w:sz w:val="28"/>
          <w:lang w:eastAsia="zh-CN"/>
        </w:rPr>
        <w:t>法定代表人或授权代表人签字</w:t>
      </w:r>
      <w:r>
        <w:rPr>
          <w:rFonts w:hint="eastAsia" w:ascii="仿宋" w:hAnsi="仿宋" w:eastAsia="仿宋" w:cs="仿宋"/>
          <w:color w:val="000000"/>
          <w:sz w:val="28"/>
        </w:rPr>
        <w:t xml:space="preserve">                                            投标单位公章：</w:t>
      </w:r>
    </w:p>
    <w:p w14:paraId="084898DA">
      <w:pPr>
        <w:pStyle w:val="10"/>
        <w:spacing w:line="360" w:lineRule="auto"/>
        <w:ind w:right="-553"/>
        <w:jc w:val="right"/>
        <w:rPr>
          <w:rFonts w:hint="eastAsia" w:ascii="仿宋" w:hAnsi="仿宋" w:eastAsia="仿宋" w:cs="仿宋"/>
          <w:color w:val="000000"/>
          <w:sz w:val="28"/>
        </w:rPr>
      </w:pPr>
      <w:r>
        <w:rPr>
          <w:rFonts w:hint="eastAsia" w:ascii="仿宋" w:hAnsi="仿宋" w:eastAsia="仿宋" w:cs="仿宋"/>
          <w:color w:val="000000"/>
          <w:sz w:val="28"/>
          <w:u w:val="single"/>
        </w:rPr>
        <w:t xml:space="preserve">      </w:t>
      </w:r>
      <w:r>
        <w:rPr>
          <w:rFonts w:hint="eastAsia" w:ascii="仿宋" w:hAnsi="仿宋" w:eastAsia="仿宋" w:cs="仿宋"/>
          <w:color w:val="000000"/>
          <w:sz w:val="28"/>
        </w:rPr>
        <w:t>年</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月</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日</w:t>
      </w:r>
    </w:p>
    <w:p w14:paraId="3B452101">
      <w:pPr>
        <w:pStyle w:val="3"/>
        <w:rPr>
          <w:rFonts w:hint="eastAsia" w:ascii="仿宋" w:hAnsi="仿宋" w:eastAsia="仿宋" w:cs="仿宋"/>
        </w:rPr>
      </w:pPr>
      <w:bookmarkStart w:id="118" w:name="_Toc82497936"/>
      <w:bookmarkEnd w:id="118"/>
      <w:bookmarkStart w:id="119" w:name="_Toc56170403"/>
      <w:bookmarkEnd w:id="119"/>
      <w:bookmarkStart w:id="120" w:name="_Toc10823"/>
      <w:bookmarkEnd w:id="120"/>
      <w:r>
        <w:rPr>
          <w:rFonts w:hint="eastAsia" w:ascii="仿宋" w:hAnsi="仿宋" w:eastAsia="仿宋" w:cs="仿宋"/>
        </w:rPr>
        <w:br w:type="page"/>
      </w:r>
      <w:bookmarkStart w:id="121" w:name="_Toc14484"/>
      <w:r>
        <w:rPr>
          <w:rFonts w:hint="eastAsia" w:ascii="仿宋" w:hAnsi="仿宋" w:eastAsia="仿宋" w:cs="仿宋"/>
        </w:rPr>
        <w:t>附件十二、类似业绩表</w:t>
      </w:r>
      <w:bookmarkEnd w:id="121"/>
    </w:p>
    <w:tbl>
      <w:tblPr>
        <w:tblStyle w:val="26"/>
        <w:tblW w:w="0" w:type="auto"/>
        <w:jc w:val="center"/>
        <w:tblLayout w:type="fixed"/>
        <w:tblCellMar>
          <w:top w:w="0" w:type="dxa"/>
          <w:left w:w="108" w:type="dxa"/>
          <w:bottom w:w="0" w:type="dxa"/>
          <w:right w:w="108" w:type="dxa"/>
        </w:tblCellMar>
      </w:tblPr>
      <w:tblGrid>
        <w:gridCol w:w="2838"/>
        <w:gridCol w:w="2597"/>
        <w:gridCol w:w="3020"/>
        <w:gridCol w:w="1880"/>
        <w:gridCol w:w="1750"/>
        <w:gridCol w:w="1750"/>
      </w:tblGrid>
      <w:tr w14:paraId="7006D37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E06C80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地区</w:t>
            </w:r>
          </w:p>
        </w:tc>
        <w:tc>
          <w:tcPr>
            <w:tcW w:w="2597" w:type="dxa"/>
            <w:tcBorders>
              <w:top w:val="single" w:color="auto" w:sz="6" w:space="0"/>
              <w:left w:val="single" w:color="auto" w:sz="6" w:space="0"/>
              <w:bottom w:val="single" w:color="auto" w:sz="6" w:space="0"/>
              <w:right w:val="single" w:color="auto" w:sz="6" w:space="0"/>
            </w:tcBorders>
            <w:vAlign w:val="center"/>
          </w:tcPr>
          <w:p w14:paraId="5049567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3020" w:type="dxa"/>
            <w:tcBorders>
              <w:top w:val="single" w:color="auto" w:sz="6" w:space="0"/>
              <w:left w:val="single" w:color="auto" w:sz="6" w:space="0"/>
              <w:bottom w:val="single" w:color="auto" w:sz="6" w:space="0"/>
              <w:right w:val="single" w:color="auto" w:sz="6" w:space="0"/>
            </w:tcBorders>
            <w:vAlign w:val="center"/>
          </w:tcPr>
          <w:p w14:paraId="7BFCF19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中标内容</w:t>
            </w:r>
          </w:p>
        </w:tc>
        <w:tc>
          <w:tcPr>
            <w:tcW w:w="1880" w:type="dxa"/>
            <w:tcBorders>
              <w:top w:val="single" w:color="auto" w:sz="6" w:space="0"/>
              <w:left w:val="single" w:color="auto" w:sz="6" w:space="0"/>
              <w:bottom w:val="single" w:color="auto" w:sz="6" w:space="0"/>
              <w:right w:val="single" w:color="auto" w:sz="6" w:space="0"/>
            </w:tcBorders>
            <w:vAlign w:val="center"/>
          </w:tcPr>
          <w:p w14:paraId="31D5F26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750" w:type="dxa"/>
            <w:tcBorders>
              <w:top w:val="single" w:color="auto" w:sz="6" w:space="0"/>
              <w:left w:val="single" w:color="auto" w:sz="6" w:space="0"/>
              <w:bottom w:val="single" w:color="auto" w:sz="6" w:space="0"/>
              <w:right w:val="single" w:color="auto" w:sz="6" w:space="0"/>
            </w:tcBorders>
            <w:vAlign w:val="center"/>
          </w:tcPr>
          <w:p w14:paraId="7CEB30C1">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中标金额</w:t>
            </w:r>
          </w:p>
        </w:tc>
        <w:tc>
          <w:tcPr>
            <w:tcW w:w="1750" w:type="dxa"/>
            <w:tcBorders>
              <w:top w:val="single" w:color="auto" w:sz="6" w:space="0"/>
              <w:left w:val="single" w:color="auto" w:sz="6" w:space="0"/>
              <w:bottom w:val="single" w:color="auto" w:sz="6" w:space="0"/>
              <w:right w:val="single" w:color="auto" w:sz="6" w:space="0"/>
            </w:tcBorders>
            <w:vAlign w:val="center"/>
          </w:tcPr>
          <w:p w14:paraId="56B5122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342B6AE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9D4091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61CE3768">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A0B3FB2">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6552CB14">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9E84CE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1FB592EB">
            <w:pPr>
              <w:spacing w:line="360" w:lineRule="auto"/>
              <w:ind w:firstLine="420"/>
              <w:jc w:val="center"/>
              <w:rPr>
                <w:rFonts w:hint="eastAsia" w:ascii="仿宋" w:hAnsi="仿宋" w:eastAsia="仿宋" w:cs="仿宋"/>
                <w:color w:val="000000"/>
                <w:sz w:val="24"/>
                <w:szCs w:val="24"/>
              </w:rPr>
            </w:pPr>
          </w:p>
        </w:tc>
      </w:tr>
      <w:tr w14:paraId="1AB1FB1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65E7345">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48FC3F4F">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2249190F">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45AC2203">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9DBB193">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56380F47">
            <w:pPr>
              <w:spacing w:line="360" w:lineRule="auto"/>
              <w:ind w:firstLine="420"/>
              <w:jc w:val="center"/>
              <w:rPr>
                <w:rFonts w:hint="eastAsia" w:ascii="仿宋" w:hAnsi="仿宋" w:eastAsia="仿宋" w:cs="仿宋"/>
                <w:color w:val="000000"/>
                <w:sz w:val="24"/>
                <w:szCs w:val="24"/>
              </w:rPr>
            </w:pPr>
          </w:p>
        </w:tc>
      </w:tr>
      <w:tr w14:paraId="54A11D2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AF096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2E69C03C">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BD45CF1">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0A5709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1F11B39">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253805F4">
            <w:pPr>
              <w:spacing w:line="360" w:lineRule="auto"/>
              <w:ind w:firstLine="420"/>
              <w:jc w:val="center"/>
              <w:rPr>
                <w:rFonts w:hint="eastAsia" w:ascii="仿宋" w:hAnsi="仿宋" w:eastAsia="仿宋" w:cs="仿宋"/>
                <w:color w:val="000000"/>
                <w:sz w:val="24"/>
                <w:szCs w:val="24"/>
              </w:rPr>
            </w:pPr>
          </w:p>
        </w:tc>
      </w:tr>
      <w:tr w14:paraId="4A05F96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FEE227C">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03B8FE8D">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9A03A1E">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CDE0067">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ABF6FDA">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59EB5B1B">
            <w:pPr>
              <w:spacing w:line="360" w:lineRule="auto"/>
              <w:ind w:firstLine="420"/>
              <w:jc w:val="center"/>
              <w:rPr>
                <w:rFonts w:hint="eastAsia" w:ascii="仿宋" w:hAnsi="仿宋" w:eastAsia="仿宋" w:cs="仿宋"/>
                <w:color w:val="000000"/>
                <w:sz w:val="24"/>
                <w:szCs w:val="24"/>
              </w:rPr>
            </w:pPr>
          </w:p>
        </w:tc>
      </w:tr>
      <w:tr w14:paraId="24E59F3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D5268F">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7F410AEB">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BE438E2">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4FBDDCF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25C11821">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CE78C1D">
            <w:pPr>
              <w:spacing w:line="360" w:lineRule="auto"/>
              <w:ind w:firstLine="420"/>
              <w:jc w:val="center"/>
              <w:rPr>
                <w:rFonts w:hint="eastAsia" w:ascii="仿宋" w:hAnsi="仿宋" w:eastAsia="仿宋" w:cs="仿宋"/>
                <w:color w:val="000000"/>
                <w:sz w:val="24"/>
                <w:szCs w:val="24"/>
              </w:rPr>
            </w:pPr>
          </w:p>
        </w:tc>
      </w:tr>
      <w:tr w14:paraId="67F0B55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6D6B50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3D8D3DB6">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14AAA168">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6B50C8E8">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3BCA0C6C">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E427B77">
            <w:pPr>
              <w:spacing w:line="360" w:lineRule="auto"/>
              <w:ind w:firstLine="420"/>
              <w:jc w:val="center"/>
              <w:rPr>
                <w:rFonts w:hint="eastAsia" w:ascii="仿宋" w:hAnsi="仿宋" w:eastAsia="仿宋" w:cs="仿宋"/>
                <w:color w:val="000000"/>
                <w:sz w:val="24"/>
                <w:szCs w:val="24"/>
              </w:rPr>
            </w:pPr>
          </w:p>
        </w:tc>
      </w:tr>
      <w:tr w14:paraId="7BF0C1B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834E322">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0725BF69">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16433CC5">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153B46A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B2711B8">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AA54475">
            <w:pPr>
              <w:spacing w:line="360" w:lineRule="auto"/>
              <w:ind w:firstLine="420"/>
              <w:jc w:val="center"/>
              <w:rPr>
                <w:rFonts w:hint="eastAsia" w:ascii="仿宋" w:hAnsi="仿宋" w:eastAsia="仿宋" w:cs="仿宋"/>
                <w:color w:val="000000"/>
                <w:sz w:val="24"/>
                <w:szCs w:val="24"/>
              </w:rPr>
            </w:pPr>
          </w:p>
        </w:tc>
      </w:tr>
      <w:tr w14:paraId="2F76A0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AE6BA4">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7DBC4EF9">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330D6F75">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0AE3E0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1A2CE1D">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34D2158A">
            <w:pPr>
              <w:spacing w:line="360" w:lineRule="auto"/>
              <w:ind w:firstLine="420"/>
              <w:jc w:val="center"/>
              <w:rPr>
                <w:rFonts w:hint="eastAsia" w:ascii="仿宋" w:hAnsi="仿宋" w:eastAsia="仿宋" w:cs="仿宋"/>
                <w:color w:val="000000"/>
                <w:sz w:val="24"/>
                <w:szCs w:val="24"/>
              </w:rPr>
            </w:pPr>
          </w:p>
        </w:tc>
      </w:tr>
    </w:tbl>
    <w:p w14:paraId="1C1658A9">
      <w:pPr>
        <w:spacing w:line="360" w:lineRule="auto"/>
        <w:ind w:firstLine="137" w:firstLineChars="49"/>
        <w:rPr>
          <w:rFonts w:hint="eastAsia" w:ascii="仿宋" w:hAnsi="仿宋" w:eastAsia="仿宋" w:cs="仿宋"/>
          <w:color w:val="000000"/>
          <w:sz w:val="28"/>
          <w:szCs w:val="28"/>
        </w:rPr>
      </w:pPr>
      <w:r>
        <w:rPr>
          <w:rFonts w:hint="eastAsia" w:ascii="仿宋" w:hAnsi="仿宋" w:eastAsia="仿宋" w:cs="仿宋"/>
          <w:color w:val="000000"/>
          <w:sz w:val="28"/>
          <w:szCs w:val="28"/>
        </w:rPr>
        <w:t>注：供应商应随此表附上相关的业绩证明（如中标（成交）通知书</w:t>
      </w:r>
      <w:r>
        <w:rPr>
          <w:rFonts w:hint="eastAsia" w:ascii="仿宋" w:hAnsi="仿宋" w:eastAsia="仿宋" w:cs="仿宋"/>
          <w:color w:val="000000"/>
          <w:sz w:val="28"/>
          <w:szCs w:val="28"/>
          <w:lang w:val="en-US" w:eastAsia="zh-CN"/>
        </w:rPr>
        <w:t>或</w:t>
      </w:r>
      <w:r>
        <w:rPr>
          <w:rFonts w:hint="eastAsia" w:ascii="仿宋" w:hAnsi="仿宋" w:eastAsia="仿宋" w:cs="仿宋"/>
          <w:color w:val="000000"/>
          <w:sz w:val="28"/>
          <w:szCs w:val="28"/>
        </w:rPr>
        <w:t>合同复印件）。</w:t>
      </w:r>
    </w:p>
    <w:p w14:paraId="64187781">
      <w:pPr>
        <w:pStyle w:val="10"/>
        <w:spacing w:line="360" w:lineRule="auto"/>
        <w:ind w:right="-553" w:firstLine="537" w:firstLineChars="192"/>
        <w:rPr>
          <w:rFonts w:hint="eastAsia" w:ascii="仿宋" w:hAnsi="仿宋" w:eastAsia="仿宋" w:cs="仿宋"/>
          <w:color w:val="000000"/>
          <w:sz w:val="28"/>
        </w:rPr>
      </w:pPr>
      <w:r>
        <w:rPr>
          <w:rFonts w:hint="eastAsia" w:ascii="仿宋" w:hAnsi="仿宋" w:eastAsia="仿宋" w:cs="仿宋"/>
          <w:color w:val="000000"/>
          <w:sz w:val="28"/>
          <w:lang w:eastAsia="zh-CN"/>
        </w:rPr>
        <w:t>法定代表人或授权代表人签字</w:t>
      </w:r>
      <w:r>
        <w:rPr>
          <w:rFonts w:hint="eastAsia" w:ascii="仿宋" w:hAnsi="仿宋" w:eastAsia="仿宋" w:cs="仿宋"/>
          <w:color w:val="000000"/>
          <w:sz w:val="28"/>
        </w:rPr>
        <w:t xml:space="preserve">                                            投标单位公章：</w:t>
      </w:r>
    </w:p>
    <w:p w14:paraId="65106A15">
      <w:pPr>
        <w:pStyle w:val="10"/>
        <w:spacing w:line="360" w:lineRule="auto"/>
        <w:ind w:right="-553"/>
        <w:jc w:val="right"/>
        <w:rPr>
          <w:rFonts w:hint="eastAsia" w:ascii="仿宋" w:hAnsi="仿宋" w:eastAsia="仿宋" w:cs="仿宋"/>
          <w:color w:val="000000"/>
          <w:sz w:val="28"/>
        </w:rPr>
      </w:pPr>
      <w:r>
        <w:rPr>
          <w:rFonts w:hint="eastAsia" w:ascii="仿宋" w:hAnsi="仿宋" w:eastAsia="仿宋" w:cs="仿宋"/>
          <w:color w:val="000000"/>
          <w:sz w:val="28"/>
          <w:u w:val="single"/>
        </w:rPr>
        <w:t xml:space="preserve">      </w:t>
      </w:r>
      <w:r>
        <w:rPr>
          <w:rFonts w:hint="eastAsia" w:ascii="仿宋" w:hAnsi="仿宋" w:eastAsia="仿宋" w:cs="仿宋"/>
          <w:color w:val="000000"/>
          <w:sz w:val="28"/>
        </w:rPr>
        <w:t>年</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月</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日</w:t>
      </w:r>
    </w:p>
    <w:p w14:paraId="42597D46">
      <w:pPr>
        <w:rPr>
          <w:rFonts w:hint="eastAsia" w:ascii="仿宋" w:hAnsi="仿宋" w:eastAsia="仿宋" w:cs="仿宋"/>
        </w:rPr>
      </w:pPr>
    </w:p>
    <w:sectPr>
      <w:headerReference r:id="rId10" w:type="first"/>
      <w:headerReference r:id="rId9" w:type="default"/>
      <w:pgSz w:w="16838" w:h="11906" w:orient="landscape"/>
      <w:pgMar w:top="1020" w:right="1077" w:bottom="1020" w:left="1077" w:header="851" w:footer="850"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EED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B0BE507">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IU4QzLgIAAFkEAAAOAAAAAAAAAAEAIAAAAB8BAABkcnMvZTJvRG9jLnhtbFBLBQYAAAAA&#10;BgAGAFkBAAC/BQAAAAA=&#10;">
              <v:fill on="f" focussize="0,0"/>
              <v:stroke on="f" weight="0.5pt"/>
              <v:imagedata o:title=""/>
              <o:lock v:ext="edit" aspectratio="f"/>
              <v:textbox inset="0mm,0mm,0mm,0mm" style="mso-fit-shape-to-text:t;">
                <w:txbxContent>
                  <w:p w14:paraId="7B0BE507">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7F1A">
    <w:pPr>
      <w:pStyle w:val="14"/>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61306C6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PqoctAgAAWQQAAA4AAAAAAAAAAQAgAAAAHwEAAGRycy9lMm9Eb2MueG1sUEsFBgAAAAAG&#10;AAYAWQEAAL4FAAAAAA==&#10;">
              <v:fill on="f" focussize="0,0"/>
              <v:stroke on="f" weight="0.5pt"/>
              <v:imagedata o:title=""/>
              <o:lock v:ext="edit" aspectratio="f"/>
              <v:textbox inset="0mm,0mm,0mm,0mm" style="mso-fit-shape-to-text:t;">
                <w:txbxContent>
                  <w:p w14:paraId="61306C60">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6FE77E3E">
                          <w:pPr>
                            <w:pStyle w:val="14"/>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KBbHlAQAA&#10;yAMAAA4AAAAAAAAAAQAgAAAAIgEAAGRycy9lMm9Eb2MueG1sUEsFBgAAAAAGAAYAWQEAAHkFAAAA&#10;AA==&#10;">
              <v:fill on="f" focussize="0,0"/>
              <v:stroke on="f" weight="1.25pt"/>
              <v:imagedata o:title=""/>
              <o:lock v:ext="edit" aspectratio="f"/>
              <v:textbox inset="0mm,0mm,0mm,0mm" style="mso-fit-shape-to-text:t;">
                <w:txbxContent>
                  <w:p w14:paraId="6FE77E3E">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BBD1">
    <w:pPr>
      <w:pBdr>
        <w:bottom w:val="dashDotStroked" w:color="auto" w:sz="24" w:space="1"/>
      </w:pBdr>
      <w:jc w:val="left"/>
    </w:pPr>
    <w:r>
      <w:drawing>
        <wp:inline distT="0" distB="0" distL="114300" distR="114300">
          <wp:extent cx="1231900" cy="204470"/>
          <wp:effectExtent l="0" t="0" r="0" b="5080"/>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C247">
    <w:pPr>
      <w:pBdr>
        <w:bottom w:val="dashDotStroked" w:color="auto" w:sz="24" w:space="1"/>
      </w:pBdr>
      <w:jc w:val="left"/>
    </w:pPr>
    <w: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86B2">
    <w:pPr>
      <w:pBdr>
        <w:bottom w:val="dashDotStroked" w:color="auto" w:sz="24" w:space="1"/>
      </w:pBdr>
    </w:pPr>
    <w:r>
      <w:drawing>
        <wp:inline distT="0" distB="0" distL="114300" distR="114300">
          <wp:extent cx="1231900" cy="204470"/>
          <wp:effectExtent l="0" t="0" r="0" b="5080"/>
          <wp:docPr id="1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9C85">
    <w:pPr>
      <w:pBdr>
        <w:bottom w:val="dashDotStroked" w:color="auto" w:sz="24" w:space="1"/>
      </w:pBdr>
      <w:jc w:val="left"/>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8B40">
    <w:pPr>
      <w:pBdr>
        <w:bottom w:val="dashDotStroked" w:color="auto" w:sz="24" w:space="1"/>
      </w:pBdr>
    </w:pPr>
    <w:r>
      <w:drawing>
        <wp:inline distT="0" distB="0" distL="114300" distR="114300">
          <wp:extent cx="1231900" cy="204470"/>
          <wp:effectExtent l="0" t="0" r="0" b="5080"/>
          <wp:docPr id="15"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A2D4">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AAC9"/>
    <w:multiLevelType w:val="singleLevel"/>
    <w:tmpl w:val="DCE1AAC9"/>
    <w:lvl w:ilvl="0" w:tentative="0">
      <w:start w:val="35"/>
      <w:numFmt w:val="decimal"/>
      <w:suff w:val="space"/>
      <w:lvlText w:val="%1."/>
      <w:lvlJc w:val="left"/>
    </w:lvl>
  </w:abstractNum>
  <w:abstractNum w:abstractNumId="1">
    <w:nsid w:val="EF0AD22C"/>
    <w:multiLevelType w:val="singleLevel"/>
    <w:tmpl w:val="EF0AD22C"/>
    <w:lvl w:ilvl="0" w:tentative="0">
      <w:start w:val="2"/>
      <w:numFmt w:val="decimal"/>
      <w:suff w:val="nothing"/>
      <w:lvlText w:val="%1、"/>
      <w:lvlJc w:val="left"/>
    </w:lvl>
  </w:abstractNum>
  <w:abstractNum w:abstractNumId="2">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5"/>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YxOGE4YWY0Mjg5ZTg3NmUxYzEzZTgwNThhMzMifQ=="/>
  </w:docVars>
  <w:rsids>
    <w:rsidRoot w:val="00077980"/>
    <w:rsid w:val="00077980"/>
    <w:rsid w:val="00291BF4"/>
    <w:rsid w:val="002F442E"/>
    <w:rsid w:val="00374021"/>
    <w:rsid w:val="00465379"/>
    <w:rsid w:val="00467F74"/>
    <w:rsid w:val="00490268"/>
    <w:rsid w:val="004A1643"/>
    <w:rsid w:val="004B0738"/>
    <w:rsid w:val="004B5E54"/>
    <w:rsid w:val="004B62E9"/>
    <w:rsid w:val="005C0A97"/>
    <w:rsid w:val="00692053"/>
    <w:rsid w:val="00740931"/>
    <w:rsid w:val="00777622"/>
    <w:rsid w:val="007F3875"/>
    <w:rsid w:val="008425CA"/>
    <w:rsid w:val="0084599C"/>
    <w:rsid w:val="008B5B30"/>
    <w:rsid w:val="008D4EE8"/>
    <w:rsid w:val="008E0DF4"/>
    <w:rsid w:val="008F08CE"/>
    <w:rsid w:val="00991659"/>
    <w:rsid w:val="00A01235"/>
    <w:rsid w:val="00A56DEE"/>
    <w:rsid w:val="00AB670B"/>
    <w:rsid w:val="00C86F85"/>
    <w:rsid w:val="00CE6532"/>
    <w:rsid w:val="00CF2353"/>
    <w:rsid w:val="00D43A1C"/>
    <w:rsid w:val="00E53F88"/>
    <w:rsid w:val="00ED7884"/>
    <w:rsid w:val="00FD16FA"/>
    <w:rsid w:val="010351AA"/>
    <w:rsid w:val="01AE7EDD"/>
    <w:rsid w:val="01E90844"/>
    <w:rsid w:val="01FD13AB"/>
    <w:rsid w:val="01FD6321"/>
    <w:rsid w:val="02296098"/>
    <w:rsid w:val="02341698"/>
    <w:rsid w:val="026262C0"/>
    <w:rsid w:val="026B2DE7"/>
    <w:rsid w:val="026C368B"/>
    <w:rsid w:val="02932C56"/>
    <w:rsid w:val="02C97509"/>
    <w:rsid w:val="032633D2"/>
    <w:rsid w:val="032C24F9"/>
    <w:rsid w:val="03397FDA"/>
    <w:rsid w:val="03446118"/>
    <w:rsid w:val="034F75D6"/>
    <w:rsid w:val="039A4A50"/>
    <w:rsid w:val="03A16576"/>
    <w:rsid w:val="03DB06E3"/>
    <w:rsid w:val="03E346C9"/>
    <w:rsid w:val="03EB44B8"/>
    <w:rsid w:val="04216B36"/>
    <w:rsid w:val="045E4EBC"/>
    <w:rsid w:val="04BA216D"/>
    <w:rsid w:val="04DC05F0"/>
    <w:rsid w:val="055307EC"/>
    <w:rsid w:val="06836239"/>
    <w:rsid w:val="06A45BBE"/>
    <w:rsid w:val="06B86DA7"/>
    <w:rsid w:val="071B0BFE"/>
    <w:rsid w:val="07314873"/>
    <w:rsid w:val="07864ACB"/>
    <w:rsid w:val="07985EE9"/>
    <w:rsid w:val="07FE7A63"/>
    <w:rsid w:val="0816413E"/>
    <w:rsid w:val="081A742F"/>
    <w:rsid w:val="087F5FFF"/>
    <w:rsid w:val="08950FD1"/>
    <w:rsid w:val="08AF108B"/>
    <w:rsid w:val="090E0B90"/>
    <w:rsid w:val="093E5D8C"/>
    <w:rsid w:val="09514820"/>
    <w:rsid w:val="09661D2F"/>
    <w:rsid w:val="09741678"/>
    <w:rsid w:val="09791F82"/>
    <w:rsid w:val="09BB0D18"/>
    <w:rsid w:val="0A1923D4"/>
    <w:rsid w:val="0A544FCF"/>
    <w:rsid w:val="0A602699"/>
    <w:rsid w:val="0A7B238B"/>
    <w:rsid w:val="0A7B753B"/>
    <w:rsid w:val="0ACA33CF"/>
    <w:rsid w:val="0ACD4998"/>
    <w:rsid w:val="0B3B6AE4"/>
    <w:rsid w:val="0B6F1375"/>
    <w:rsid w:val="0BAD4690"/>
    <w:rsid w:val="0BB044B7"/>
    <w:rsid w:val="0BD0765E"/>
    <w:rsid w:val="0C2720CC"/>
    <w:rsid w:val="0C6B0ACF"/>
    <w:rsid w:val="0C917127"/>
    <w:rsid w:val="0CC6576E"/>
    <w:rsid w:val="0CE072AD"/>
    <w:rsid w:val="0D071137"/>
    <w:rsid w:val="0D4654B4"/>
    <w:rsid w:val="0D695602"/>
    <w:rsid w:val="0D7C226D"/>
    <w:rsid w:val="0D7D1375"/>
    <w:rsid w:val="0DA971C4"/>
    <w:rsid w:val="0DB973E7"/>
    <w:rsid w:val="0DD04666"/>
    <w:rsid w:val="0DE6032D"/>
    <w:rsid w:val="0E3F5936"/>
    <w:rsid w:val="0E462B7A"/>
    <w:rsid w:val="0E4D7AFC"/>
    <w:rsid w:val="0EE228A3"/>
    <w:rsid w:val="0F150E28"/>
    <w:rsid w:val="0F4D66CC"/>
    <w:rsid w:val="0F87169C"/>
    <w:rsid w:val="0FA46DDA"/>
    <w:rsid w:val="0FC87C25"/>
    <w:rsid w:val="0FF7237E"/>
    <w:rsid w:val="0FFA286D"/>
    <w:rsid w:val="0FFB0CFE"/>
    <w:rsid w:val="1004031A"/>
    <w:rsid w:val="10067B9A"/>
    <w:rsid w:val="105136CC"/>
    <w:rsid w:val="1079177A"/>
    <w:rsid w:val="107E79D8"/>
    <w:rsid w:val="10AC5ADF"/>
    <w:rsid w:val="10D97CD5"/>
    <w:rsid w:val="10FE3661"/>
    <w:rsid w:val="11172C7B"/>
    <w:rsid w:val="11AB268D"/>
    <w:rsid w:val="11EF390B"/>
    <w:rsid w:val="126C7B21"/>
    <w:rsid w:val="12776E22"/>
    <w:rsid w:val="128332CD"/>
    <w:rsid w:val="128679E9"/>
    <w:rsid w:val="12943B2C"/>
    <w:rsid w:val="129E4A58"/>
    <w:rsid w:val="135D13F1"/>
    <w:rsid w:val="137361BF"/>
    <w:rsid w:val="13DD4545"/>
    <w:rsid w:val="13E67B05"/>
    <w:rsid w:val="14112990"/>
    <w:rsid w:val="14397409"/>
    <w:rsid w:val="144B7ACC"/>
    <w:rsid w:val="1453290B"/>
    <w:rsid w:val="14740441"/>
    <w:rsid w:val="14863A35"/>
    <w:rsid w:val="14A72759"/>
    <w:rsid w:val="1528327C"/>
    <w:rsid w:val="1546345F"/>
    <w:rsid w:val="15513596"/>
    <w:rsid w:val="158D515F"/>
    <w:rsid w:val="158E6DDD"/>
    <w:rsid w:val="15BA420C"/>
    <w:rsid w:val="15CD661C"/>
    <w:rsid w:val="15E802FE"/>
    <w:rsid w:val="15F5638F"/>
    <w:rsid w:val="16557DFE"/>
    <w:rsid w:val="165D6CB3"/>
    <w:rsid w:val="16912F26"/>
    <w:rsid w:val="170932D1"/>
    <w:rsid w:val="1736249E"/>
    <w:rsid w:val="17743904"/>
    <w:rsid w:val="17C343D2"/>
    <w:rsid w:val="180425B8"/>
    <w:rsid w:val="1845393B"/>
    <w:rsid w:val="185B1B37"/>
    <w:rsid w:val="186B4B90"/>
    <w:rsid w:val="187C31C1"/>
    <w:rsid w:val="188D47C9"/>
    <w:rsid w:val="18963552"/>
    <w:rsid w:val="18C76F03"/>
    <w:rsid w:val="18DF279C"/>
    <w:rsid w:val="18E52408"/>
    <w:rsid w:val="195B1BCF"/>
    <w:rsid w:val="196D7322"/>
    <w:rsid w:val="19734D4D"/>
    <w:rsid w:val="19831126"/>
    <w:rsid w:val="198B4678"/>
    <w:rsid w:val="19BA23E3"/>
    <w:rsid w:val="19E72185"/>
    <w:rsid w:val="1A92241C"/>
    <w:rsid w:val="1AAC0188"/>
    <w:rsid w:val="1AC970A4"/>
    <w:rsid w:val="1AE073EA"/>
    <w:rsid w:val="1AE35837"/>
    <w:rsid w:val="1B230862"/>
    <w:rsid w:val="1B407D62"/>
    <w:rsid w:val="1BAF2A1C"/>
    <w:rsid w:val="1BBC2159"/>
    <w:rsid w:val="1BD3405D"/>
    <w:rsid w:val="1C134904"/>
    <w:rsid w:val="1C340898"/>
    <w:rsid w:val="1C3B18B0"/>
    <w:rsid w:val="1C52504E"/>
    <w:rsid w:val="1C5F55CF"/>
    <w:rsid w:val="1CC41839"/>
    <w:rsid w:val="1CC44BB5"/>
    <w:rsid w:val="1CEB3D6E"/>
    <w:rsid w:val="1D025721"/>
    <w:rsid w:val="1D13331E"/>
    <w:rsid w:val="1D1722B1"/>
    <w:rsid w:val="1D3D7F74"/>
    <w:rsid w:val="1D5769B4"/>
    <w:rsid w:val="1DA8115B"/>
    <w:rsid w:val="1E0A6893"/>
    <w:rsid w:val="1E0F39B7"/>
    <w:rsid w:val="1E296254"/>
    <w:rsid w:val="1E58248B"/>
    <w:rsid w:val="1EF23C8D"/>
    <w:rsid w:val="1EF26B32"/>
    <w:rsid w:val="1F093055"/>
    <w:rsid w:val="1F0E2E6E"/>
    <w:rsid w:val="1F6D440A"/>
    <w:rsid w:val="1F8719ED"/>
    <w:rsid w:val="1FA71CD1"/>
    <w:rsid w:val="1FA85442"/>
    <w:rsid w:val="1FB53339"/>
    <w:rsid w:val="1FCF6E73"/>
    <w:rsid w:val="1FFE32B4"/>
    <w:rsid w:val="20062169"/>
    <w:rsid w:val="2013529E"/>
    <w:rsid w:val="20261D71"/>
    <w:rsid w:val="20626372"/>
    <w:rsid w:val="20C35BA6"/>
    <w:rsid w:val="213B7B4F"/>
    <w:rsid w:val="2149741F"/>
    <w:rsid w:val="214D21E4"/>
    <w:rsid w:val="21861DDC"/>
    <w:rsid w:val="21990922"/>
    <w:rsid w:val="21AE6FF1"/>
    <w:rsid w:val="21B51792"/>
    <w:rsid w:val="21DB087F"/>
    <w:rsid w:val="2220575E"/>
    <w:rsid w:val="22317971"/>
    <w:rsid w:val="22356D36"/>
    <w:rsid w:val="224E3661"/>
    <w:rsid w:val="22507FC8"/>
    <w:rsid w:val="23326541"/>
    <w:rsid w:val="234C6E20"/>
    <w:rsid w:val="234F72D8"/>
    <w:rsid w:val="23552C0D"/>
    <w:rsid w:val="235E2A3A"/>
    <w:rsid w:val="236D0D9D"/>
    <w:rsid w:val="238D506A"/>
    <w:rsid w:val="23DE5B25"/>
    <w:rsid w:val="23F059D2"/>
    <w:rsid w:val="240063DE"/>
    <w:rsid w:val="240F721A"/>
    <w:rsid w:val="24273A92"/>
    <w:rsid w:val="242A39A5"/>
    <w:rsid w:val="24561911"/>
    <w:rsid w:val="24591F38"/>
    <w:rsid w:val="24747E1D"/>
    <w:rsid w:val="249E7C41"/>
    <w:rsid w:val="24A20ED2"/>
    <w:rsid w:val="24D63971"/>
    <w:rsid w:val="24EC5A21"/>
    <w:rsid w:val="2516480B"/>
    <w:rsid w:val="2536529E"/>
    <w:rsid w:val="25807435"/>
    <w:rsid w:val="258766C7"/>
    <w:rsid w:val="25895BF3"/>
    <w:rsid w:val="25A24470"/>
    <w:rsid w:val="25BD21AD"/>
    <w:rsid w:val="25DD2143"/>
    <w:rsid w:val="25E35533"/>
    <w:rsid w:val="260C1DEF"/>
    <w:rsid w:val="26647AC3"/>
    <w:rsid w:val="27367D90"/>
    <w:rsid w:val="2746748E"/>
    <w:rsid w:val="274D36E4"/>
    <w:rsid w:val="275C6648"/>
    <w:rsid w:val="27766CCF"/>
    <w:rsid w:val="278C51B3"/>
    <w:rsid w:val="279B63E0"/>
    <w:rsid w:val="27AE0EAD"/>
    <w:rsid w:val="27B24902"/>
    <w:rsid w:val="27CB32E2"/>
    <w:rsid w:val="27D03D78"/>
    <w:rsid w:val="28261C18"/>
    <w:rsid w:val="28307103"/>
    <w:rsid w:val="284C6C4A"/>
    <w:rsid w:val="28706108"/>
    <w:rsid w:val="28AA6967"/>
    <w:rsid w:val="28AD7F14"/>
    <w:rsid w:val="28B2104C"/>
    <w:rsid w:val="29B601BD"/>
    <w:rsid w:val="29F50346"/>
    <w:rsid w:val="2A4320E6"/>
    <w:rsid w:val="2A4C2202"/>
    <w:rsid w:val="2A550FE2"/>
    <w:rsid w:val="2A591132"/>
    <w:rsid w:val="2A5F2BA2"/>
    <w:rsid w:val="2A871F28"/>
    <w:rsid w:val="2AB949D0"/>
    <w:rsid w:val="2ACF41CB"/>
    <w:rsid w:val="2AD613E0"/>
    <w:rsid w:val="2B3F5977"/>
    <w:rsid w:val="2B766148"/>
    <w:rsid w:val="2B785E35"/>
    <w:rsid w:val="2BCA78F2"/>
    <w:rsid w:val="2BF9409D"/>
    <w:rsid w:val="2C543C2F"/>
    <w:rsid w:val="2C9848CB"/>
    <w:rsid w:val="2D070CB6"/>
    <w:rsid w:val="2D5C0C70"/>
    <w:rsid w:val="2D831DB3"/>
    <w:rsid w:val="2DD43D83"/>
    <w:rsid w:val="2E2A6C1C"/>
    <w:rsid w:val="2E381733"/>
    <w:rsid w:val="2E441581"/>
    <w:rsid w:val="2E854610"/>
    <w:rsid w:val="2ECD5998"/>
    <w:rsid w:val="2EDF4901"/>
    <w:rsid w:val="2EF205F7"/>
    <w:rsid w:val="2F821788"/>
    <w:rsid w:val="2F8E58D1"/>
    <w:rsid w:val="2F9812E0"/>
    <w:rsid w:val="2FBF7622"/>
    <w:rsid w:val="2FCC29AF"/>
    <w:rsid w:val="303350A5"/>
    <w:rsid w:val="30603B38"/>
    <w:rsid w:val="306A4E5D"/>
    <w:rsid w:val="30735246"/>
    <w:rsid w:val="30843362"/>
    <w:rsid w:val="30D54166"/>
    <w:rsid w:val="30DA11D4"/>
    <w:rsid w:val="30FA12B4"/>
    <w:rsid w:val="315B74F0"/>
    <w:rsid w:val="32087FC3"/>
    <w:rsid w:val="323E187E"/>
    <w:rsid w:val="3256718A"/>
    <w:rsid w:val="32827D75"/>
    <w:rsid w:val="3284085C"/>
    <w:rsid w:val="32E72125"/>
    <w:rsid w:val="32EC0E75"/>
    <w:rsid w:val="32ED37B2"/>
    <w:rsid w:val="33412BAA"/>
    <w:rsid w:val="33565EF7"/>
    <w:rsid w:val="33AC0A82"/>
    <w:rsid w:val="33B66770"/>
    <w:rsid w:val="33F97BC3"/>
    <w:rsid w:val="348940F0"/>
    <w:rsid w:val="34AC0B54"/>
    <w:rsid w:val="35036A04"/>
    <w:rsid w:val="353A2B32"/>
    <w:rsid w:val="35570879"/>
    <w:rsid w:val="3558250D"/>
    <w:rsid w:val="355A22C0"/>
    <w:rsid w:val="358833D3"/>
    <w:rsid w:val="35CC5A3E"/>
    <w:rsid w:val="35D00DF7"/>
    <w:rsid w:val="36852831"/>
    <w:rsid w:val="368F49AC"/>
    <w:rsid w:val="36AB19CF"/>
    <w:rsid w:val="36CC7811"/>
    <w:rsid w:val="36E64773"/>
    <w:rsid w:val="374E46CA"/>
    <w:rsid w:val="37692D42"/>
    <w:rsid w:val="37715856"/>
    <w:rsid w:val="378F7F37"/>
    <w:rsid w:val="37FA03AE"/>
    <w:rsid w:val="37FE1C4C"/>
    <w:rsid w:val="380B2468"/>
    <w:rsid w:val="381D5581"/>
    <w:rsid w:val="38246991"/>
    <w:rsid w:val="38477172"/>
    <w:rsid w:val="3883256E"/>
    <w:rsid w:val="38E52E6A"/>
    <w:rsid w:val="392456E8"/>
    <w:rsid w:val="39281ADA"/>
    <w:rsid w:val="394D03A1"/>
    <w:rsid w:val="394D2FB2"/>
    <w:rsid w:val="39576CAC"/>
    <w:rsid w:val="39897B4B"/>
    <w:rsid w:val="39897C3B"/>
    <w:rsid w:val="398B16C9"/>
    <w:rsid w:val="39C23E2F"/>
    <w:rsid w:val="39E21F67"/>
    <w:rsid w:val="39F20D19"/>
    <w:rsid w:val="3A122237"/>
    <w:rsid w:val="3A1B0D7F"/>
    <w:rsid w:val="3A257AE1"/>
    <w:rsid w:val="3A2D0CDF"/>
    <w:rsid w:val="3AB07B2F"/>
    <w:rsid w:val="3AB1054B"/>
    <w:rsid w:val="3AD87C2E"/>
    <w:rsid w:val="3AF25C24"/>
    <w:rsid w:val="3B0C7FB1"/>
    <w:rsid w:val="3B351E28"/>
    <w:rsid w:val="3B3C6A8F"/>
    <w:rsid w:val="3BB645EB"/>
    <w:rsid w:val="3BBE2933"/>
    <w:rsid w:val="3BFD417A"/>
    <w:rsid w:val="3C0F395D"/>
    <w:rsid w:val="3C146FE5"/>
    <w:rsid w:val="3C363E1C"/>
    <w:rsid w:val="3C601127"/>
    <w:rsid w:val="3C66126E"/>
    <w:rsid w:val="3C6712EE"/>
    <w:rsid w:val="3C7A1ABD"/>
    <w:rsid w:val="3CB346F8"/>
    <w:rsid w:val="3CD22555"/>
    <w:rsid w:val="3CF0078C"/>
    <w:rsid w:val="3CF20C35"/>
    <w:rsid w:val="3D0F7869"/>
    <w:rsid w:val="3D5F13DF"/>
    <w:rsid w:val="3DAA1165"/>
    <w:rsid w:val="3DB90276"/>
    <w:rsid w:val="3DC25BB8"/>
    <w:rsid w:val="3DFA1107"/>
    <w:rsid w:val="3E0A498A"/>
    <w:rsid w:val="3E644066"/>
    <w:rsid w:val="3E87302B"/>
    <w:rsid w:val="3EAA48DB"/>
    <w:rsid w:val="3EBB5605"/>
    <w:rsid w:val="3EDF2C1D"/>
    <w:rsid w:val="3F23578A"/>
    <w:rsid w:val="3F261A88"/>
    <w:rsid w:val="3F581721"/>
    <w:rsid w:val="3F9A7199"/>
    <w:rsid w:val="3FB12AEB"/>
    <w:rsid w:val="3FD928AD"/>
    <w:rsid w:val="3FDE45C7"/>
    <w:rsid w:val="3FFF067D"/>
    <w:rsid w:val="4016514E"/>
    <w:rsid w:val="40167D4F"/>
    <w:rsid w:val="401A339B"/>
    <w:rsid w:val="402033EC"/>
    <w:rsid w:val="40582531"/>
    <w:rsid w:val="407D65BF"/>
    <w:rsid w:val="407F4613"/>
    <w:rsid w:val="4085109C"/>
    <w:rsid w:val="40A551BD"/>
    <w:rsid w:val="40B97C4E"/>
    <w:rsid w:val="40DD0623"/>
    <w:rsid w:val="411614AD"/>
    <w:rsid w:val="41AA57CD"/>
    <w:rsid w:val="41C97221"/>
    <w:rsid w:val="41EF52CD"/>
    <w:rsid w:val="4220586B"/>
    <w:rsid w:val="4222702A"/>
    <w:rsid w:val="42262F16"/>
    <w:rsid w:val="4269685C"/>
    <w:rsid w:val="42780692"/>
    <w:rsid w:val="4286439C"/>
    <w:rsid w:val="42921492"/>
    <w:rsid w:val="42CB1066"/>
    <w:rsid w:val="42F56A3D"/>
    <w:rsid w:val="430375B1"/>
    <w:rsid w:val="431A5ACA"/>
    <w:rsid w:val="43350757"/>
    <w:rsid w:val="435B61A4"/>
    <w:rsid w:val="43C875B2"/>
    <w:rsid w:val="44135A2B"/>
    <w:rsid w:val="441C19FF"/>
    <w:rsid w:val="447B63D2"/>
    <w:rsid w:val="44B607EB"/>
    <w:rsid w:val="44C123D8"/>
    <w:rsid w:val="450A2833"/>
    <w:rsid w:val="456B4783"/>
    <w:rsid w:val="4582203F"/>
    <w:rsid w:val="461D1B52"/>
    <w:rsid w:val="461D4281"/>
    <w:rsid w:val="46382981"/>
    <w:rsid w:val="46630BE6"/>
    <w:rsid w:val="46A130D7"/>
    <w:rsid w:val="46F54B62"/>
    <w:rsid w:val="47455C3E"/>
    <w:rsid w:val="47BC5D66"/>
    <w:rsid w:val="47D31A02"/>
    <w:rsid w:val="481652EC"/>
    <w:rsid w:val="48BB76E5"/>
    <w:rsid w:val="48D371C2"/>
    <w:rsid w:val="48E56029"/>
    <w:rsid w:val="48E95E38"/>
    <w:rsid w:val="48FA645F"/>
    <w:rsid w:val="48FE0BB8"/>
    <w:rsid w:val="493023AB"/>
    <w:rsid w:val="49544D03"/>
    <w:rsid w:val="49932EB3"/>
    <w:rsid w:val="499A4958"/>
    <w:rsid w:val="49C610BE"/>
    <w:rsid w:val="49FC5FB9"/>
    <w:rsid w:val="49FE3EA7"/>
    <w:rsid w:val="4A054E2F"/>
    <w:rsid w:val="4A274866"/>
    <w:rsid w:val="4A484AC1"/>
    <w:rsid w:val="4A4B7383"/>
    <w:rsid w:val="4AF330DD"/>
    <w:rsid w:val="4B211FC2"/>
    <w:rsid w:val="4B4C0E28"/>
    <w:rsid w:val="4B5D730F"/>
    <w:rsid w:val="4B5E2CBD"/>
    <w:rsid w:val="4BA41760"/>
    <w:rsid w:val="4BCB7C3F"/>
    <w:rsid w:val="4BDF6255"/>
    <w:rsid w:val="4BEF7DD1"/>
    <w:rsid w:val="4C3545BA"/>
    <w:rsid w:val="4C786019"/>
    <w:rsid w:val="4D021EA7"/>
    <w:rsid w:val="4D26665B"/>
    <w:rsid w:val="4D915AD6"/>
    <w:rsid w:val="4D9A2275"/>
    <w:rsid w:val="4DDD0A98"/>
    <w:rsid w:val="4DE161F9"/>
    <w:rsid w:val="4DEB0DF8"/>
    <w:rsid w:val="4E2A5C26"/>
    <w:rsid w:val="4E576E78"/>
    <w:rsid w:val="4E6A373F"/>
    <w:rsid w:val="4EBD692E"/>
    <w:rsid w:val="4EE00275"/>
    <w:rsid w:val="4EF455D1"/>
    <w:rsid w:val="4EFC5D7C"/>
    <w:rsid w:val="4F0E4A13"/>
    <w:rsid w:val="4F111332"/>
    <w:rsid w:val="4F786970"/>
    <w:rsid w:val="4F7B405B"/>
    <w:rsid w:val="4F87640C"/>
    <w:rsid w:val="4FD15A0C"/>
    <w:rsid w:val="507A6D47"/>
    <w:rsid w:val="50B91B96"/>
    <w:rsid w:val="50D61560"/>
    <w:rsid w:val="50FA27B7"/>
    <w:rsid w:val="50FB552B"/>
    <w:rsid w:val="51433366"/>
    <w:rsid w:val="518E5375"/>
    <w:rsid w:val="51A41ADF"/>
    <w:rsid w:val="51CD6E49"/>
    <w:rsid w:val="51EF7A40"/>
    <w:rsid w:val="51F71515"/>
    <w:rsid w:val="5222617C"/>
    <w:rsid w:val="52B8427A"/>
    <w:rsid w:val="52BE57B4"/>
    <w:rsid w:val="52BE7700"/>
    <w:rsid w:val="52E57838"/>
    <w:rsid w:val="52FB52AE"/>
    <w:rsid w:val="530C2D5B"/>
    <w:rsid w:val="53275BAC"/>
    <w:rsid w:val="540256B8"/>
    <w:rsid w:val="54716E49"/>
    <w:rsid w:val="54BA746C"/>
    <w:rsid w:val="54BE4755"/>
    <w:rsid w:val="54D43636"/>
    <w:rsid w:val="5514326A"/>
    <w:rsid w:val="556C161A"/>
    <w:rsid w:val="558A2919"/>
    <w:rsid w:val="55947227"/>
    <w:rsid w:val="55A43901"/>
    <w:rsid w:val="55E15398"/>
    <w:rsid w:val="55EC4E13"/>
    <w:rsid w:val="55FB5540"/>
    <w:rsid w:val="5614466E"/>
    <w:rsid w:val="561D378D"/>
    <w:rsid w:val="5656707D"/>
    <w:rsid w:val="568A7297"/>
    <w:rsid w:val="568E17E6"/>
    <w:rsid w:val="5697545B"/>
    <w:rsid w:val="56A45F20"/>
    <w:rsid w:val="56B36AA5"/>
    <w:rsid w:val="56E71870"/>
    <w:rsid w:val="56EF33D8"/>
    <w:rsid w:val="57323D27"/>
    <w:rsid w:val="575C2661"/>
    <w:rsid w:val="57E50A42"/>
    <w:rsid w:val="58140F2A"/>
    <w:rsid w:val="58634B40"/>
    <w:rsid w:val="58E16E01"/>
    <w:rsid w:val="59311A39"/>
    <w:rsid w:val="59390EB0"/>
    <w:rsid w:val="59671CCA"/>
    <w:rsid w:val="596F535C"/>
    <w:rsid w:val="59735AD0"/>
    <w:rsid w:val="59C226BD"/>
    <w:rsid w:val="59C56EB2"/>
    <w:rsid w:val="5A1F7AD4"/>
    <w:rsid w:val="5A470DD9"/>
    <w:rsid w:val="5A4747F2"/>
    <w:rsid w:val="5A854D10"/>
    <w:rsid w:val="5A9667E3"/>
    <w:rsid w:val="5AEA5DFD"/>
    <w:rsid w:val="5AEE4FF9"/>
    <w:rsid w:val="5B2A44C3"/>
    <w:rsid w:val="5B5D0F3E"/>
    <w:rsid w:val="5B7975ED"/>
    <w:rsid w:val="5BD26823"/>
    <w:rsid w:val="5C31062E"/>
    <w:rsid w:val="5C39128C"/>
    <w:rsid w:val="5C7F2045"/>
    <w:rsid w:val="5C943063"/>
    <w:rsid w:val="5CC051CE"/>
    <w:rsid w:val="5D037640"/>
    <w:rsid w:val="5D731C54"/>
    <w:rsid w:val="5D9B1B67"/>
    <w:rsid w:val="5E1B7F6C"/>
    <w:rsid w:val="5E1E3D0E"/>
    <w:rsid w:val="5E823B49"/>
    <w:rsid w:val="5E937D4A"/>
    <w:rsid w:val="5EA6392C"/>
    <w:rsid w:val="5ECC681D"/>
    <w:rsid w:val="5F3D5B80"/>
    <w:rsid w:val="5F5E3465"/>
    <w:rsid w:val="5F627DF4"/>
    <w:rsid w:val="5F742670"/>
    <w:rsid w:val="5F7558A0"/>
    <w:rsid w:val="60101E97"/>
    <w:rsid w:val="602538A6"/>
    <w:rsid w:val="6034358B"/>
    <w:rsid w:val="607A09A5"/>
    <w:rsid w:val="60BA60FD"/>
    <w:rsid w:val="60CD4561"/>
    <w:rsid w:val="60D73A64"/>
    <w:rsid w:val="60E74EF8"/>
    <w:rsid w:val="60F875EA"/>
    <w:rsid w:val="610F2056"/>
    <w:rsid w:val="612E5943"/>
    <w:rsid w:val="614C6E55"/>
    <w:rsid w:val="61722BDF"/>
    <w:rsid w:val="61B10E49"/>
    <w:rsid w:val="61D35CA4"/>
    <w:rsid w:val="61D51CCF"/>
    <w:rsid w:val="62007B63"/>
    <w:rsid w:val="62183760"/>
    <w:rsid w:val="621912AD"/>
    <w:rsid w:val="62284340"/>
    <w:rsid w:val="622A1359"/>
    <w:rsid w:val="62372822"/>
    <w:rsid w:val="625D5A4E"/>
    <w:rsid w:val="628B10C4"/>
    <w:rsid w:val="628F50BC"/>
    <w:rsid w:val="629569CE"/>
    <w:rsid w:val="62A73DF8"/>
    <w:rsid w:val="630C63C0"/>
    <w:rsid w:val="63461A8D"/>
    <w:rsid w:val="634E70A1"/>
    <w:rsid w:val="636A185B"/>
    <w:rsid w:val="63747EBF"/>
    <w:rsid w:val="63A00656"/>
    <w:rsid w:val="63E1474B"/>
    <w:rsid w:val="640E76A0"/>
    <w:rsid w:val="642E160C"/>
    <w:rsid w:val="64346872"/>
    <w:rsid w:val="64520AAB"/>
    <w:rsid w:val="648C06B4"/>
    <w:rsid w:val="649563AC"/>
    <w:rsid w:val="64ED7E46"/>
    <w:rsid w:val="65290368"/>
    <w:rsid w:val="652D6046"/>
    <w:rsid w:val="65326320"/>
    <w:rsid w:val="6553067F"/>
    <w:rsid w:val="65711400"/>
    <w:rsid w:val="658729D1"/>
    <w:rsid w:val="65BD1819"/>
    <w:rsid w:val="65D82EB9"/>
    <w:rsid w:val="65F92D0E"/>
    <w:rsid w:val="66055A43"/>
    <w:rsid w:val="6655487D"/>
    <w:rsid w:val="667A42E4"/>
    <w:rsid w:val="669729F9"/>
    <w:rsid w:val="66C70C3D"/>
    <w:rsid w:val="66D86E08"/>
    <w:rsid w:val="66E15D4B"/>
    <w:rsid w:val="66F34A87"/>
    <w:rsid w:val="66F916AD"/>
    <w:rsid w:val="670A6EBA"/>
    <w:rsid w:val="67316662"/>
    <w:rsid w:val="678F4F86"/>
    <w:rsid w:val="679726F0"/>
    <w:rsid w:val="681A2B04"/>
    <w:rsid w:val="681F5B80"/>
    <w:rsid w:val="68347765"/>
    <w:rsid w:val="688B4586"/>
    <w:rsid w:val="689D3C55"/>
    <w:rsid w:val="68A16A06"/>
    <w:rsid w:val="68C17741"/>
    <w:rsid w:val="68E1741B"/>
    <w:rsid w:val="69923DA4"/>
    <w:rsid w:val="69C86159"/>
    <w:rsid w:val="69CE78DA"/>
    <w:rsid w:val="69DB7BEC"/>
    <w:rsid w:val="6A1E51F1"/>
    <w:rsid w:val="6A417AB5"/>
    <w:rsid w:val="6A751438"/>
    <w:rsid w:val="6A8B4921"/>
    <w:rsid w:val="6AC973EE"/>
    <w:rsid w:val="6B000621"/>
    <w:rsid w:val="6B310C5C"/>
    <w:rsid w:val="6B6657F2"/>
    <w:rsid w:val="6B7A3154"/>
    <w:rsid w:val="6BB32772"/>
    <w:rsid w:val="6BB93C0E"/>
    <w:rsid w:val="6BE720B5"/>
    <w:rsid w:val="6C0F498B"/>
    <w:rsid w:val="6C59713A"/>
    <w:rsid w:val="6C692BA0"/>
    <w:rsid w:val="6C841820"/>
    <w:rsid w:val="6CA22515"/>
    <w:rsid w:val="6CA74FAC"/>
    <w:rsid w:val="6D1A38F7"/>
    <w:rsid w:val="6D5C063D"/>
    <w:rsid w:val="6D9837F8"/>
    <w:rsid w:val="6E042DF9"/>
    <w:rsid w:val="6E8403F6"/>
    <w:rsid w:val="6EA17140"/>
    <w:rsid w:val="6F2200B6"/>
    <w:rsid w:val="6F230BBF"/>
    <w:rsid w:val="6F78442A"/>
    <w:rsid w:val="6FBA2537"/>
    <w:rsid w:val="6FBB1DCF"/>
    <w:rsid w:val="6FE20F26"/>
    <w:rsid w:val="6FF01B40"/>
    <w:rsid w:val="6FFB46E7"/>
    <w:rsid w:val="700A0487"/>
    <w:rsid w:val="70465339"/>
    <w:rsid w:val="704F76FE"/>
    <w:rsid w:val="705E7F32"/>
    <w:rsid w:val="708244C1"/>
    <w:rsid w:val="7099228F"/>
    <w:rsid w:val="70A72872"/>
    <w:rsid w:val="70B71331"/>
    <w:rsid w:val="70EC417D"/>
    <w:rsid w:val="710D194A"/>
    <w:rsid w:val="711F197A"/>
    <w:rsid w:val="71224C0C"/>
    <w:rsid w:val="713C1616"/>
    <w:rsid w:val="71A5627F"/>
    <w:rsid w:val="71AE5AA7"/>
    <w:rsid w:val="71BF1312"/>
    <w:rsid w:val="71E73175"/>
    <w:rsid w:val="71F7622F"/>
    <w:rsid w:val="720E38B7"/>
    <w:rsid w:val="72426CA2"/>
    <w:rsid w:val="729371AC"/>
    <w:rsid w:val="72F47B8C"/>
    <w:rsid w:val="731F7FA6"/>
    <w:rsid w:val="734464CA"/>
    <w:rsid w:val="73764E78"/>
    <w:rsid w:val="749862DE"/>
    <w:rsid w:val="74AF5B6B"/>
    <w:rsid w:val="74EC0AA3"/>
    <w:rsid w:val="74FF7EF2"/>
    <w:rsid w:val="7513171D"/>
    <w:rsid w:val="75324707"/>
    <w:rsid w:val="753E621C"/>
    <w:rsid w:val="75442FB9"/>
    <w:rsid w:val="758B2449"/>
    <w:rsid w:val="759A42B2"/>
    <w:rsid w:val="75C61106"/>
    <w:rsid w:val="75CD61DE"/>
    <w:rsid w:val="75DA6FFC"/>
    <w:rsid w:val="76322AD1"/>
    <w:rsid w:val="766E65AC"/>
    <w:rsid w:val="76820CB3"/>
    <w:rsid w:val="76A30FD2"/>
    <w:rsid w:val="76C47FCE"/>
    <w:rsid w:val="76E258C8"/>
    <w:rsid w:val="77030A3B"/>
    <w:rsid w:val="772207AC"/>
    <w:rsid w:val="7728784A"/>
    <w:rsid w:val="772D765C"/>
    <w:rsid w:val="7737270F"/>
    <w:rsid w:val="77706B6E"/>
    <w:rsid w:val="777F4A60"/>
    <w:rsid w:val="77C52287"/>
    <w:rsid w:val="77F263D0"/>
    <w:rsid w:val="786F17CF"/>
    <w:rsid w:val="78914E57"/>
    <w:rsid w:val="78BE00B5"/>
    <w:rsid w:val="78FA6438"/>
    <w:rsid w:val="79177DEF"/>
    <w:rsid w:val="792C110C"/>
    <w:rsid w:val="793739E7"/>
    <w:rsid w:val="79986FF6"/>
    <w:rsid w:val="7A0B7F0B"/>
    <w:rsid w:val="7A811C8D"/>
    <w:rsid w:val="7ACF2C27"/>
    <w:rsid w:val="7ADD4111"/>
    <w:rsid w:val="7B073F40"/>
    <w:rsid w:val="7B281593"/>
    <w:rsid w:val="7B5D6256"/>
    <w:rsid w:val="7B6825E1"/>
    <w:rsid w:val="7B875186"/>
    <w:rsid w:val="7BBC16B4"/>
    <w:rsid w:val="7BC65BA9"/>
    <w:rsid w:val="7BDD312F"/>
    <w:rsid w:val="7BF6324B"/>
    <w:rsid w:val="7C080487"/>
    <w:rsid w:val="7C0876C1"/>
    <w:rsid w:val="7C12264D"/>
    <w:rsid w:val="7C1C539B"/>
    <w:rsid w:val="7C1D11E6"/>
    <w:rsid w:val="7C1D5AC8"/>
    <w:rsid w:val="7C3B17B4"/>
    <w:rsid w:val="7C3D26D3"/>
    <w:rsid w:val="7C5A7F0B"/>
    <w:rsid w:val="7CBC6298"/>
    <w:rsid w:val="7D3354C1"/>
    <w:rsid w:val="7D33750B"/>
    <w:rsid w:val="7D8B0707"/>
    <w:rsid w:val="7D953C18"/>
    <w:rsid w:val="7DAF266D"/>
    <w:rsid w:val="7DB33651"/>
    <w:rsid w:val="7E044AAC"/>
    <w:rsid w:val="7E3F39E7"/>
    <w:rsid w:val="7E68649B"/>
    <w:rsid w:val="7E721BAB"/>
    <w:rsid w:val="7EB16E12"/>
    <w:rsid w:val="7EDF5F23"/>
    <w:rsid w:val="7EF53E05"/>
    <w:rsid w:val="7F751604"/>
    <w:rsid w:val="7FF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spacing w:line="360" w:lineRule="auto"/>
    </w:pPr>
    <w:rPr>
      <w:rFonts w:ascii="仿宋" w:hAnsi="仿宋" w:eastAsia="仿宋"/>
      <w:color w:val="000000"/>
      <w:sz w:val="36"/>
    </w:rPr>
  </w:style>
  <w:style w:type="paragraph" w:styleId="3">
    <w:name w:val="heading 2"/>
    <w:basedOn w:val="4"/>
    <w:next w:val="1"/>
    <w:link w:val="45"/>
    <w:autoRedefine/>
    <w:qFormat/>
    <w:uiPriority w:val="0"/>
    <w:pPr>
      <w:spacing w:beforeLines="0" w:afterLines="0" w:line="520" w:lineRule="exact"/>
      <w:outlineLvl w:val="1"/>
    </w:pPr>
    <w:rPr>
      <w:rFonts w:ascii="仿宋" w:hAnsi="仿宋" w:eastAsia="仿宋" w:cs="宋体"/>
      <w:b w:val="0"/>
      <w:color w:val="000000"/>
      <w:kern w:val="0"/>
      <w:sz w:val="28"/>
      <w:szCs w:val="24"/>
    </w:rPr>
  </w:style>
  <w:style w:type="paragraph" w:styleId="5">
    <w:name w:val="heading 3"/>
    <w:basedOn w:val="1"/>
    <w:next w:val="1"/>
    <w:autoRedefine/>
    <w:qFormat/>
    <w:uiPriority w:val="0"/>
    <w:pPr>
      <w:keepNext/>
      <w:keepLines/>
      <w:numPr>
        <w:ilvl w:val="2"/>
        <w:numId w:val="1"/>
      </w:numPr>
      <w:tabs>
        <w:tab w:val="left" w:pos="720"/>
      </w:tabs>
      <w:adjustRightInd w:val="0"/>
      <w:spacing w:before="260" w:after="260" w:line="416" w:lineRule="atLeast"/>
      <w:jc w:val="left"/>
      <w:outlineLvl w:val="2"/>
    </w:pPr>
    <w:rPr>
      <w:rFonts w:eastAsia="黑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4">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styleId="6">
    <w:name w:val="Normal Indent"/>
    <w:basedOn w:val="1"/>
    <w:next w:val="1"/>
    <w:autoRedefine/>
    <w:qFormat/>
    <w:uiPriority w:val="0"/>
    <w:pPr>
      <w:ind w:firstLine="420"/>
    </w:pPr>
    <w:rPr>
      <w:sz w:val="24"/>
    </w:rPr>
  </w:style>
  <w:style w:type="paragraph" w:styleId="7">
    <w:name w:val="annotation text"/>
    <w:basedOn w:val="1"/>
    <w:autoRedefine/>
    <w:qFormat/>
    <w:uiPriority w:val="0"/>
    <w:pPr>
      <w:jc w:val="left"/>
    </w:pPr>
  </w:style>
  <w:style w:type="paragraph" w:styleId="8">
    <w:name w:val="Body Text"/>
    <w:basedOn w:val="1"/>
    <w:autoRedefine/>
    <w:qFormat/>
    <w:uiPriority w:val="0"/>
    <w:rPr>
      <w:sz w:val="24"/>
      <w:szCs w:val="24"/>
    </w:rPr>
  </w:style>
  <w:style w:type="paragraph" w:styleId="9">
    <w:name w:val="Body Text Indent"/>
    <w:basedOn w:val="1"/>
    <w:next w:val="8"/>
    <w:autoRedefine/>
    <w:qFormat/>
    <w:uiPriority w:val="0"/>
    <w:pPr>
      <w:ind w:left="1617" w:leftChars="770" w:firstLine="2"/>
    </w:pPr>
    <w:rPr>
      <w:sz w:val="28"/>
    </w:rPr>
  </w:style>
  <w:style w:type="paragraph" w:styleId="10">
    <w:name w:val="Plain Text"/>
    <w:basedOn w:val="1"/>
    <w:next w:val="11"/>
    <w:autoRedefine/>
    <w:qFormat/>
    <w:uiPriority w:val="0"/>
    <w:rPr>
      <w:rFonts w:ascii="宋体" w:hAnsi="Courier New"/>
      <w:sz w:val="11"/>
    </w:rPr>
  </w:style>
  <w:style w:type="paragraph" w:styleId="11">
    <w:name w:val="index 7"/>
    <w:basedOn w:val="1"/>
    <w:next w:val="1"/>
    <w:autoRedefine/>
    <w:qFormat/>
    <w:uiPriority w:val="0"/>
    <w:pPr>
      <w:autoSpaceDE/>
      <w:autoSpaceDN/>
      <w:adjustRightInd/>
      <w:ind w:left="1200" w:leftChars="1200"/>
    </w:pPr>
    <w:rPr>
      <w:color w:val="auto"/>
      <w:kern w:val="2"/>
      <w:szCs w:val="24"/>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6"/>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envelope return"/>
    <w:basedOn w:val="1"/>
    <w:unhideWhenUsed/>
    <w:qFormat/>
    <w:uiPriority w:val="0"/>
    <w:pPr>
      <w:snapToGrid w:val="0"/>
    </w:pPr>
    <w:rPr>
      <w:rFonts w:ascii="Arial" w:hAnsi="Arial"/>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spacing w:before="120" w:after="120" w:line="360" w:lineRule="auto"/>
      <w:ind w:firstLine="200" w:firstLineChars="200"/>
      <w:jc w:val="left"/>
    </w:pPr>
    <w:rPr>
      <w:b/>
      <w:bCs/>
      <w:caps/>
      <w:sz w:val="20"/>
    </w:rPr>
  </w:style>
  <w:style w:type="paragraph" w:styleId="18">
    <w:name w:val="List"/>
    <w:basedOn w:val="1"/>
    <w:autoRedefine/>
    <w:qFormat/>
    <w:uiPriority w:val="0"/>
    <w:pPr>
      <w:ind w:left="420" w:hanging="420"/>
    </w:pPr>
    <w:rPr>
      <w:rFonts w:ascii="Arial" w:hAnsi="Arial" w:eastAsia="楷体_GB2312"/>
      <w:sz w:val="28"/>
    </w:rPr>
  </w:style>
  <w:style w:type="paragraph" w:styleId="19">
    <w:name w:val="toc 6"/>
    <w:basedOn w:val="1"/>
    <w:next w:val="1"/>
    <w:autoRedefine/>
    <w:qFormat/>
    <w:uiPriority w:val="99"/>
    <w:pPr>
      <w:ind w:left="2100" w:leftChars="1000"/>
    </w:pPr>
  </w:style>
  <w:style w:type="paragraph" w:styleId="20">
    <w:name w:val="toc 2"/>
    <w:basedOn w:val="1"/>
    <w:next w:val="1"/>
    <w:autoRedefine/>
    <w:qFormat/>
    <w:uiPriority w:val="39"/>
    <w:pPr>
      <w:ind w:left="100" w:leftChars="100"/>
      <w:jc w:val="left"/>
    </w:pPr>
    <w:rPr>
      <w:rFonts w:ascii="Arial" w:hAnsi="Arial"/>
    </w:rPr>
  </w:style>
  <w:style w:type="paragraph" w:styleId="21">
    <w:name w:val="HTML Preformatted"/>
    <w:basedOn w:val="1"/>
    <w:autoRedefine/>
    <w:qFormat/>
    <w:uiPriority w:val="0"/>
    <w:pPr>
      <w:widowControl/>
      <w:spacing w:line="360" w:lineRule="auto"/>
    </w:pPr>
    <w:rPr>
      <w:rFonts w:ascii="Courier New" w:hAnsi="Courier New"/>
      <w:sz w:val="20"/>
      <w:szCs w:val="20"/>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autoRedefine/>
    <w:qFormat/>
    <w:uiPriority w:val="99"/>
    <w:pPr>
      <w:spacing w:before="240" w:after="60"/>
      <w:ind w:left="425" w:hanging="425"/>
      <w:jc w:val="center"/>
      <w:outlineLvl w:val="0"/>
    </w:pPr>
    <w:rPr>
      <w:rFonts w:ascii="Arial" w:hAnsi="Arial" w:cs="Arial"/>
      <w:b/>
      <w:bCs/>
      <w:sz w:val="32"/>
      <w:szCs w:val="32"/>
    </w:rPr>
  </w:style>
  <w:style w:type="paragraph" w:styleId="24">
    <w:name w:val="Body Text First Indent"/>
    <w:basedOn w:val="8"/>
    <w:next w:val="19"/>
    <w:autoRedefine/>
    <w:qFormat/>
    <w:uiPriority w:val="99"/>
    <w:pPr>
      <w:spacing w:after="120"/>
      <w:ind w:firstLine="420" w:firstLineChars="100"/>
      <w:jc w:val="both"/>
    </w:pPr>
    <w:rPr>
      <w:sz w:val="21"/>
    </w:rPr>
  </w:style>
  <w:style w:type="paragraph" w:styleId="25">
    <w:name w:val="Body Text First Indent 2"/>
    <w:basedOn w:val="9"/>
    <w:autoRedefine/>
    <w:qFormat/>
    <w:uiPriority w:val="0"/>
    <w:pPr>
      <w:spacing w:after="120" w:line="360" w:lineRule="auto"/>
      <w:ind w:firstLine="480" w:firstLineChars="200"/>
    </w:pPr>
    <w:rPr>
      <w:sz w:val="24"/>
      <w:lang w:val="zh-CN"/>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autoRedefine/>
    <w:qFormat/>
    <w:uiPriority w:val="0"/>
    <w:rPr>
      <w:i/>
      <w:iCs/>
    </w:rPr>
  </w:style>
  <w:style w:type="character" w:styleId="31">
    <w:name w:val="Hyperlink"/>
    <w:autoRedefine/>
    <w:qFormat/>
    <w:uiPriority w:val="99"/>
    <w:rPr>
      <w:color w:val="333333"/>
      <w:u w:val="none"/>
    </w:rPr>
  </w:style>
  <w:style w:type="paragraph" w:customStyle="1" w:styleId="32">
    <w:name w:val="_Style 2"/>
    <w:basedOn w:val="1"/>
    <w:autoRedefine/>
    <w:qFormat/>
    <w:uiPriority w:val="99"/>
    <w:pPr>
      <w:ind w:firstLine="420" w:firstLineChars="200"/>
    </w:pPr>
    <w:rPr>
      <w:szCs w:val="24"/>
    </w:rPr>
  </w:style>
  <w:style w:type="paragraph" w:customStyle="1" w:styleId="33">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缺省文本"/>
    <w:autoRedefine/>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6">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7">
    <w:name w:val="列出段落1"/>
    <w:basedOn w:val="1"/>
    <w:autoRedefine/>
    <w:qFormat/>
    <w:uiPriority w:val="34"/>
    <w:pPr>
      <w:ind w:firstLine="420" w:firstLineChars="200"/>
    </w:pPr>
    <w:rPr>
      <w:szCs w:val="21"/>
    </w:rPr>
  </w:style>
  <w:style w:type="paragraph" w:customStyle="1" w:styleId="38">
    <w:name w:val="正文缩进1"/>
    <w:basedOn w:val="1"/>
    <w:autoRedefine/>
    <w:qFormat/>
    <w:uiPriority w:val="0"/>
    <w:pPr>
      <w:ind w:firstLine="420"/>
    </w:pPr>
    <w:rPr>
      <w:rFonts w:ascii="Times New Roman" w:hAnsi="Times New Roman"/>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40">
    <w:name w:val="7）页眉页脚"/>
    <w:autoRedefine/>
    <w:qFormat/>
    <w:uiPriority w:val="0"/>
    <w:rPr>
      <w:rFonts w:ascii="仿宋_GB2312" w:eastAsia="仿宋_GB2312"/>
      <w:b/>
      <w:i/>
      <w:sz w:val="18"/>
      <w:vertAlign w:val="baseline"/>
    </w:rPr>
  </w:style>
  <w:style w:type="paragraph" w:customStyle="1" w:styleId="41">
    <w:name w:val="答复表头"/>
    <w:basedOn w:val="42"/>
    <w:autoRedefine/>
    <w:qFormat/>
    <w:uiPriority w:val="0"/>
    <w:pPr>
      <w:tabs>
        <w:tab w:val="left" w:pos="480"/>
      </w:tabs>
    </w:pPr>
    <w:rPr>
      <w:b/>
    </w:rPr>
  </w:style>
  <w:style w:type="paragraph" w:customStyle="1" w:styleId="42">
    <w:name w:val="正表头"/>
    <w:basedOn w:val="1"/>
    <w:autoRedefine/>
    <w:qFormat/>
    <w:uiPriority w:val="0"/>
    <w:pPr>
      <w:tabs>
        <w:tab w:val="left" w:pos="480"/>
      </w:tabs>
      <w:autoSpaceDE w:val="0"/>
      <w:autoSpaceDN w:val="0"/>
      <w:adjustRightInd w:val="0"/>
      <w:jc w:val="center"/>
    </w:pPr>
    <w:rPr>
      <w:rFonts w:ascii="宋体" w:hAnsi="Tms Rmn"/>
      <w:color w:val="000000"/>
      <w:kern w:val="0"/>
    </w:rPr>
  </w:style>
  <w:style w:type="paragraph" w:styleId="43">
    <w:name w:val="List Paragraph"/>
    <w:basedOn w:val="1"/>
    <w:autoRedefine/>
    <w:qFormat/>
    <w:uiPriority w:val="99"/>
    <w:pPr>
      <w:ind w:firstLine="420" w:firstLineChars="200"/>
    </w:pPr>
  </w:style>
  <w:style w:type="paragraph" w:customStyle="1" w:styleId="44">
    <w:name w:val="封面署名"/>
    <w:basedOn w:val="1"/>
    <w:autoRedefine/>
    <w:qFormat/>
    <w:uiPriority w:val="0"/>
    <w:pPr>
      <w:jc w:val="center"/>
    </w:pPr>
    <w:rPr>
      <w:b/>
      <w:kern w:val="0"/>
      <w:sz w:val="28"/>
    </w:rPr>
  </w:style>
  <w:style w:type="character" w:customStyle="1" w:styleId="45">
    <w:name w:val="标题 2 字符"/>
    <w:link w:val="3"/>
    <w:autoRedefine/>
    <w:qFormat/>
    <w:uiPriority w:val="0"/>
    <w:rPr>
      <w:rFonts w:ascii="仿宋" w:hAnsi="仿宋" w:eastAsia="仿宋" w:cs="宋体"/>
      <w:color w:val="000000"/>
      <w:kern w:val="0"/>
      <w:sz w:val="28"/>
      <w:szCs w:val="24"/>
    </w:rPr>
  </w:style>
  <w:style w:type="character" w:customStyle="1" w:styleId="46">
    <w:name w:val="批注框文本 字符"/>
    <w:basedOn w:val="28"/>
    <w:link w:val="13"/>
    <w:autoRedefine/>
    <w:qFormat/>
    <w:uiPriority w:val="0"/>
    <w:rPr>
      <w:rFonts w:ascii="Calibri" w:hAnsi="Calibri"/>
      <w:kern w:val="2"/>
      <w:sz w:val="18"/>
      <w:szCs w:val="18"/>
    </w:rPr>
  </w:style>
  <w:style w:type="character" w:customStyle="1" w:styleId="47">
    <w:name w:val="font11"/>
    <w:basedOn w:val="28"/>
    <w:autoRedefine/>
    <w:qFormat/>
    <w:uiPriority w:val="0"/>
    <w:rPr>
      <w:rFonts w:hint="eastAsia" w:ascii="仿宋" w:hAnsi="仿宋" w:eastAsia="仿宋" w:cs="仿宋"/>
      <w:color w:val="000000"/>
      <w:sz w:val="22"/>
      <w:szCs w:val="22"/>
      <w:u w:val="none"/>
    </w:rPr>
  </w:style>
  <w:style w:type="character" w:customStyle="1" w:styleId="48">
    <w:name w:val="font51"/>
    <w:basedOn w:val="28"/>
    <w:autoRedefine/>
    <w:qFormat/>
    <w:uiPriority w:val="0"/>
    <w:rPr>
      <w:rFonts w:hint="eastAsia" w:ascii="仿宋" w:hAnsi="仿宋" w:eastAsia="仿宋" w:cs="仿宋"/>
      <w:color w:val="000000"/>
      <w:sz w:val="24"/>
      <w:szCs w:val="24"/>
      <w:u w:val="none"/>
    </w:rPr>
  </w:style>
  <w:style w:type="character" w:customStyle="1" w:styleId="49">
    <w:name w:val="font21"/>
    <w:basedOn w:val="28"/>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21171</Words>
  <Characters>22665</Characters>
  <Lines>203</Lines>
  <Paragraphs>57</Paragraphs>
  <TotalTime>82</TotalTime>
  <ScaleCrop>false</ScaleCrop>
  <LinksUpToDate>false</LinksUpToDate>
  <CharactersWithSpaces>22999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20342</dc:creator>
  <cp:lastModifiedBy>卡比</cp:lastModifiedBy>
  <cp:lastPrinted>2025-06-13T11:26:00Z</cp:lastPrinted>
  <dcterms:modified xsi:type="dcterms:W3CDTF">2025-06-26T08:04:47Z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58E5B82783D144718D705943F4F476D7_13</vt:lpwstr>
  </property>
  <property fmtid="{D5CDD505-2E9C-101B-9397-08002B2CF9AE}" pid="4" name="KSOTemplateDocerSaveRecord">
    <vt:lpwstr>eyJoZGlkIjoiZDUxMGQzNzZmZjkwZGRjNTQ3Mzk5YTU1ZDY3NjRjOTAiLCJ1c2VySWQiOiI0MzE3MzI0ODkifQ==</vt:lpwstr>
  </property>
</Properties>
</file>